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C527B" w:rsidR="0005538B" w:rsidP="006C527B" w:rsidRDefault="000C1980" w14:paraId="026D1F24" w14:textId="00885981">
      <w:pPr>
        <w:tabs>
          <w:tab w:val="center" w:pos="4140"/>
          <w:tab w:val="right" w:pos="9360"/>
        </w:tabs>
        <w:rPr>
          <w:b/>
          <w:szCs w:val="26"/>
        </w:rPr>
      </w:pPr>
      <w:r>
        <w:t>ALJ/ATR/gp2</w:t>
      </w:r>
      <w:r>
        <w:tab/>
      </w:r>
      <w:r w:rsidR="006C527B">
        <w:rPr>
          <w:rFonts w:ascii="Arial" w:hAnsi="Arial" w:cs="Arial"/>
          <w:b/>
          <w:sz w:val="32"/>
          <w:szCs w:val="32"/>
        </w:rPr>
        <w:tab/>
      </w:r>
      <w:r w:rsidR="006C527B">
        <w:rPr>
          <w:rFonts w:cs="Arial"/>
          <w:b/>
          <w:szCs w:val="26"/>
        </w:rPr>
        <w:t>Date of Issuance:  6/7/2021</w:t>
      </w:r>
    </w:p>
    <w:p w:rsidR="000C1980" w:rsidP="000C1980" w:rsidRDefault="000C1980" w14:paraId="3B2C1CB9" w14:textId="77777777"/>
    <w:p w:rsidRPr="00D40287" w:rsidR="000C1980" w:rsidP="000C1980" w:rsidRDefault="000C1980" w14:paraId="2656B7DB" w14:textId="5756E693">
      <w:pPr>
        <w:ind w:left="1080" w:hanging="1080"/>
        <w:rPr>
          <w:b/>
          <w:bCs/>
        </w:rPr>
      </w:pPr>
      <w:r>
        <w:t xml:space="preserve">Decision </w:t>
      </w:r>
      <w:r w:rsidRPr="006C527B" w:rsidR="006C527B">
        <w:t>21-06-</w:t>
      </w:r>
      <w:proofErr w:type="gramStart"/>
      <w:r w:rsidRPr="006C527B" w:rsidR="006C527B">
        <w:t>015</w:t>
      </w:r>
      <w:r w:rsidR="006C527B">
        <w:t xml:space="preserve">  June</w:t>
      </w:r>
      <w:proofErr w:type="gramEnd"/>
      <w:r w:rsidR="006C527B">
        <w:t xml:space="preserve"> 3, 2021</w:t>
      </w:r>
    </w:p>
    <w:p w:rsidR="000C1980" w:rsidP="000C1980" w:rsidRDefault="000C1980" w14:paraId="67D80D72" w14:textId="77777777">
      <w:pPr>
        <w:shd w:val="clear" w:color="auto" w:fill="FFFFFF" w:themeFill="background1"/>
      </w:pPr>
    </w:p>
    <w:p w:rsidRPr="00BC79F1" w:rsidR="000C1980" w:rsidP="000C1980" w:rsidRDefault="000C1980" w14:paraId="6688B3CA" w14:textId="77777777">
      <w:pPr>
        <w:keepNext/>
        <w:shd w:val="clear" w:color="auto" w:fill="FFFFFF" w:themeFill="background1"/>
        <w:jc w:val="center"/>
        <w:rPr>
          <w:rFonts w:ascii="Arial" w:hAnsi="Arial" w:cs="Arial"/>
          <w:b/>
          <w:bCs/>
          <w:spacing w:val="-8"/>
          <w:szCs w:val="26"/>
        </w:rPr>
      </w:pPr>
      <w:r w:rsidRPr="00D860EE">
        <w:rPr>
          <w:rFonts w:ascii="Arial" w:hAnsi="Arial" w:cs="Arial"/>
          <w:b/>
          <w:bCs/>
          <w:spacing w:val="-8"/>
          <w:szCs w:val="26"/>
        </w:rPr>
        <w:t>BEFORE THE PUBLIC UTILITIES COMMISSION OF THE STATE OF CALIFORNIA</w:t>
      </w:r>
    </w:p>
    <w:p w:rsidR="000C1980" w:rsidP="000C1980" w:rsidRDefault="000C1980" w14:paraId="2566435F" w14:textId="77777777">
      <w:pPr>
        <w:shd w:val="clear" w:color="auto" w:fill="FFFFFF" w:themeFill="background1"/>
        <w:suppressAutoHyphens/>
        <w:jc w:val="center"/>
        <w:rPr>
          <w:rFonts w:ascii="Arial" w:hAnsi="Arial" w:cs="Arial"/>
        </w:rPr>
      </w:pPr>
    </w:p>
    <w:tbl>
      <w:tblPr>
        <w:tblStyle w:val="TableGrid"/>
        <w:tblW w:w="0" w:type="auto"/>
        <w:tblBorders>
          <w:top w:val="none" w:color="auto" w:sz="0" w:space="0"/>
          <w:left w:val="none" w:color="auto" w:sz="0" w:space="0"/>
          <w:right w:val="none" w:color="auto" w:sz="0" w:space="0"/>
          <w:insideH w:val="none" w:color="auto" w:sz="0" w:space="0"/>
        </w:tblBorders>
        <w:tblLook w:val="04A0" w:firstRow="1" w:lastRow="0" w:firstColumn="1" w:lastColumn="0" w:noHBand="0" w:noVBand="1"/>
      </w:tblPr>
      <w:tblGrid>
        <w:gridCol w:w="4770"/>
        <w:gridCol w:w="4590"/>
      </w:tblGrid>
      <w:tr w:rsidR="000C1980" w:rsidTr="0023091F" w14:paraId="1021B4C7" w14:textId="77777777">
        <w:tc>
          <w:tcPr>
            <w:tcW w:w="4770" w:type="dxa"/>
            <w:tcBorders>
              <w:bottom w:val="single" w:color="auto" w:sz="4" w:space="0"/>
              <w:right w:val="single" w:color="auto" w:sz="4" w:space="0"/>
            </w:tcBorders>
          </w:tcPr>
          <w:p w:rsidR="000C1980" w:rsidP="000C1980" w:rsidRDefault="000C1980" w14:paraId="5F335812" w14:textId="77777777">
            <w:pPr>
              <w:shd w:val="clear" w:color="auto" w:fill="FFFFFF" w:themeFill="background1"/>
            </w:pPr>
            <w:r w:rsidRPr="00E70E92">
              <w:t>Application of Pacific Gas and Electric Company for Approval of Energy Savings Assistance and California Alternate Rates for Energy Programs and Budgets for 2021-2026 Program Years. (U39M)</w:t>
            </w:r>
            <w:r>
              <w:t xml:space="preserve"> </w:t>
            </w:r>
          </w:p>
          <w:p w:rsidR="000C1980" w:rsidP="0023091F" w:rsidRDefault="000C1980" w14:paraId="4FC68C18" w14:textId="77777777">
            <w:pPr>
              <w:pStyle w:val="ALJBodyText"/>
            </w:pPr>
          </w:p>
        </w:tc>
        <w:tc>
          <w:tcPr>
            <w:tcW w:w="4590" w:type="dxa"/>
            <w:tcBorders>
              <w:left w:val="single" w:color="auto" w:sz="4" w:space="0"/>
            </w:tcBorders>
            <w:vAlign w:val="center"/>
          </w:tcPr>
          <w:p w:rsidR="000C1980" w:rsidP="0023091F" w:rsidRDefault="000C1980" w14:paraId="0EF96198" w14:textId="77777777">
            <w:pPr>
              <w:pStyle w:val="ALJBodyText"/>
              <w:jc w:val="center"/>
            </w:pPr>
            <w:r w:rsidRPr="00E70E92">
              <w:t xml:space="preserve">Application </w:t>
            </w:r>
            <w:bookmarkStart w:name="_Hlk51589161" w:id="0"/>
            <w:r w:rsidRPr="00E70E92">
              <w:t>19-11-</w:t>
            </w:r>
            <w:bookmarkEnd w:id="0"/>
            <w:r>
              <w:t>003</w:t>
            </w:r>
          </w:p>
        </w:tc>
      </w:tr>
      <w:tr w:rsidR="000C1980" w:rsidTr="0023091F" w14:paraId="3247F303" w14:textId="77777777">
        <w:tc>
          <w:tcPr>
            <w:tcW w:w="4770" w:type="dxa"/>
            <w:tcBorders>
              <w:top w:val="single" w:color="auto" w:sz="4" w:space="0"/>
              <w:bottom w:val="single" w:color="auto" w:sz="4" w:space="0"/>
              <w:right w:val="single" w:color="auto" w:sz="4" w:space="0"/>
            </w:tcBorders>
            <w:vAlign w:val="center"/>
          </w:tcPr>
          <w:p w:rsidR="000C1980" w:rsidP="0023091F" w:rsidRDefault="000C1980" w14:paraId="7820DE60" w14:textId="77777777">
            <w:pPr>
              <w:pStyle w:val="ALJBodyText"/>
            </w:pPr>
            <w:r>
              <w:t>And Related Matters.</w:t>
            </w:r>
          </w:p>
        </w:tc>
        <w:tc>
          <w:tcPr>
            <w:tcW w:w="4590" w:type="dxa"/>
            <w:tcBorders>
              <w:left w:val="single" w:color="auto" w:sz="4" w:space="0"/>
              <w:bottom w:val="nil"/>
            </w:tcBorders>
            <w:vAlign w:val="center"/>
          </w:tcPr>
          <w:p w:rsidRPr="00E70E92" w:rsidR="000C1980" w:rsidP="000C1980" w:rsidRDefault="000C1980" w14:paraId="20000FE6" w14:textId="77777777">
            <w:pPr>
              <w:shd w:val="clear" w:color="auto" w:fill="FFFFFF" w:themeFill="background1"/>
              <w:jc w:val="center"/>
            </w:pPr>
            <w:r w:rsidRPr="00E70E92">
              <w:t>Application 19-11-004</w:t>
            </w:r>
          </w:p>
          <w:p w:rsidRPr="00E70E92" w:rsidR="000C1980" w:rsidP="000C1980" w:rsidRDefault="000C1980" w14:paraId="3D6EAA52" w14:textId="77777777">
            <w:pPr>
              <w:shd w:val="clear" w:color="auto" w:fill="FFFFFF" w:themeFill="background1"/>
              <w:jc w:val="center"/>
            </w:pPr>
            <w:r w:rsidRPr="00E70E92">
              <w:t>Application 19-11-005</w:t>
            </w:r>
          </w:p>
          <w:p w:rsidRPr="00E70E92" w:rsidR="000C1980" w:rsidP="000C1980" w:rsidRDefault="000C1980" w14:paraId="5988D55E" w14:textId="77777777">
            <w:pPr>
              <w:shd w:val="clear" w:color="auto" w:fill="FFFFFF" w:themeFill="background1"/>
              <w:jc w:val="center"/>
            </w:pPr>
            <w:r w:rsidRPr="00E70E92">
              <w:t>Application 19-11-006</w:t>
            </w:r>
          </w:p>
          <w:p w:rsidR="000C1980" w:rsidP="000C1980" w:rsidRDefault="000C1980" w14:paraId="716E5F39" w14:textId="77777777">
            <w:pPr>
              <w:shd w:val="clear" w:color="auto" w:fill="FFFFFF" w:themeFill="background1"/>
              <w:jc w:val="center"/>
            </w:pPr>
            <w:r w:rsidRPr="00E70E92">
              <w:t>Application 19-11-007</w:t>
            </w:r>
            <w:r>
              <w:br/>
            </w:r>
          </w:p>
        </w:tc>
      </w:tr>
    </w:tbl>
    <w:p w:rsidR="000C1980" w:rsidP="0023091F" w:rsidRDefault="000C1980" w14:paraId="0D4283BF" w14:textId="77777777">
      <w:pPr>
        <w:pStyle w:val="ALJBodyText"/>
      </w:pPr>
    </w:p>
    <w:p w:rsidRPr="00E70E92" w:rsidR="000C1980" w:rsidP="001968DC" w:rsidRDefault="000C1980" w14:paraId="4BC4FF11" w14:textId="77777777">
      <w:pPr>
        <w:pStyle w:val="Dummy"/>
        <w:ind w:left="720"/>
        <w:jc w:val="center"/>
      </w:pPr>
      <w:bookmarkStart w:name="_Toc45616407" w:id="1"/>
      <w:bookmarkStart w:name="_Toc69733468" w:id="2"/>
      <w:bookmarkStart w:name="_Toc69733828" w:id="3"/>
      <w:bookmarkStart w:name="_Toc69734513" w:id="4"/>
      <w:bookmarkStart w:name="_Toc69947732" w:id="5"/>
      <w:r>
        <w:t xml:space="preserve">DECISION </w:t>
      </w:r>
      <w:bookmarkStart w:name="_Hlk38376456" w:id="6"/>
      <w:r>
        <w:t xml:space="preserve">ON </w:t>
      </w:r>
      <w:bookmarkStart w:name="_Toc323212922" w:id="7"/>
      <w:bookmarkStart w:name="_Toc323652286" w:id="8"/>
      <w:bookmarkStart w:name="_Toc331076733" w:id="9"/>
      <w:bookmarkStart w:name="_Toc331607815" w:id="10"/>
      <w:bookmarkStart w:name="_Toc467483549" w:id="11"/>
      <w:bookmarkStart w:name="_Hlk51234335" w:id="12"/>
      <w:bookmarkStart w:name="_Toc429737056" w:id="13"/>
      <w:bookmarkEnd w:id="1"/>
      <w:bookmarkEnd w:id="6"/>
      <w:r w:rsidRPr="00E70E92">
        <w:t>LARGE INVESTOR</w:t>
      </w:r>
      <w:r w:rsidRPr="00E70E92">
        <w:noBreakHyphen/>
        <w:t>OWNED UTILITIES’ AND MARIN CLEAN ENERGY’S CALIFORNIA ALTERNATE RATES FOR ENERGY (CARE)</w:t>
      </w:r>
      <w:r>
        <w:t xml:space="preserve">, </w:t>
      </w:r>
      <w:bookmarkEnd w:id="7"/>
      <w:bookmarkEnd w:id="8"/>
      <w:bookmarkEnd w:id="9"/>
      <w:bookmarkEnd w:id="10"/>
      <w:r w:rsidRPr="00E70E92">
        <w:t>ENERGY SAVINGS ASSISTANCE (ESA)</w:t>
      </w:r>
      <w:r>
        <w:t xml:space="preserve">, AND </w:t>
      </w:r>
      <w:r w:rsidRPr="00063C7B">
        <w:t>FAMILY ELECTRIC RATE ASSISTANCE</w:t>
      </w:r>
      <w:r w:rsidRPr="00E70E92">
        <w:t xml:space="preserve"> </w:t>
      </w:r>
      <w:r>
        <w:t xml:space="preserve">(FERA) </w:t>
      </w:r>
      <w:r w:rsidRPr="00E70E92">
        <w:t>PROGRAM APPLICATIONS</w:t>
      </w:r>
      <w:bookmarkEnd w:id="11"/>
      <w:r w:rsidRPr="00E70E92">
        <w:t xml:space="preserve"> FOR PROGRAM YEARS 2021-2026</w:t>
      </w:r>
      <w:bookmarkEnd w:id="2"/>
      <w:bookmarkEnd w:id="3"/>
      <w:bookmarkEnd w:id="4"/>
      <w:bookmarkEnd w:id="5"/>
      <w:bookmarkEnd w:id="12"/>
    </w:p>
    <w:bookmarkEnd w:id="13"/>
    <w:p w:rsidR="000C1980" w:rsidP="001968DC" w:rsidRDefault="000C1980" w14:paraId="5F7A105B" w14:textId="77777777">
      <w:pPr>
        <w:pStyle w:val="Dummy"/>
        <w:ind w:left="720"/>
        <w:jc w:val="center"/>
        <w:sectPr w:rsidR="000C1980" w:rsidSect="000C1980">
          <w:headerReference w:type="first" r:id="rId11"/>
          <w:footerReference w:type="first" r:id="rId12"/>
          <w:pgSz w:w="12240" w:h="15840" w:code="1"/>
          <w:pgMar w:top="1440" w:right="1440" w:bottom="1440" w:left="1440" w:header="720" w:footer="720" w:gutter="0"/>
          <w:pgNumType w:start="1"/>
          <w:cols w:space="720"/>
          <w:titlePg/>
          <w:docGrid w:linePitch="360"/>
        </w:sectPr>
      </w:pPr>
    </w:p>
    <w:p w:rsidRPr="00DD6709" w:rsidR="000C1980" w:rsidP="001968DC" w:rsidRDefault="000C1980" w14:paraId="68D26373" w14:textId="527EDB00">
      <w:pPr>
        <w:suppressAutoHyphens/>
        <w:ind w:left="720"/>
        <w:jc w:val="center"/>
        <w:rPr>
          <w:b/>
        </w:rPr>
      </w:pPr>
      <w:bookmarkStart w:name="_Toc2523435" w:id="14"/>
      <w:r w:rsidRPr="00C80002">
        <w:rPr>
          <w:b/>
        </w:rPr>
        <w:lastRenderedPageBreak/>
        <w:t>TABLE OF CONTENTS</w:t>
      </w:r>
    </w:p>
    <w:p w:rsidRPr="003209E9" w:rsidR="000C1980" w:rsidP="00480C4A" w:rsidRDefault="000C1980" w14:paraId="6C1D3C8C" w14:textId="20D7377B">
      <w:pPr>
        <w:suppressAutoHyphens/>
        <w:rPr>
          <w:b/>
        </w:rPr>
      </w:pPr>
      <w:r w:rsidRPr="008828EA">
        <w:rPr>
          <w:b/>
        </w:rPr>
        <w:t>Title</w:t>
      </w:r>
      <w:r w:rsidRPr="008828EA">
        <w:rPr>
          <w:b/>
        </w:rPr>
        <w:tab/>
      </w:r>
      <w:r w:rsidRPr="008828EA">
        <w:rPr>
          <w:b/>
        </w:rPr>
        <w:tab/>
      </w:r>
      <w:r w:rsidRPr="008828EA">
        <w:rPr>
          <w:b/>
        </w:rPr>
        <w:tab/>
      </w:r>
      <w:r w:rsidRPr="008828EA">
        <w:rPr>
          <w:b/>
        </w:rPr>
        <w:tab/>
      </w:r>
      <w:r w:rsidRPr="008828EA">
        <w:rPr>
          <w:b/>
        </w:rPr>
        <w:tab/>
      </w:r>
      <w:r w:rsidRPr="008828EA">
        <w:rPr>
          <w:b/>
        </w:rPr>
        <w:tab/>
      </w:r>
      <w:r w:rsidRPr="008828EA">
        <w:rPr>
          <w:b/>
        </w:rPr>
        <w:tab/>
      </w:r>
      <w:r w:rsidRPr="008828EA">
        <w:rPr>
          <w:b/>
        </w:rPr>
        <w:tab/>
      </w:r>
      <w:r w:rsidRPr="008828EA">
        <w:rPr>
          <w:b/>
        </w:rPr>
        <w:tab/>
      </w:r>
      <w:r w:rsidRPr="008828EA">
        <w:rPr>
          <w:b/>
        </w:rPr>
        <w:tab/>
      </w:r>
      <w:r w:rsidRPr="008828EA">
        <w:rPr>
          <w:b/>
        </w:rPr>
        <w:tab/>
      </w:r>
      <w:r>
        <w:rPr>
          <w:b/>
        </w:rPr>
        <w:t xml:space="preserve"> </w:t>
      </w:r>
      <w:r w:rsidR="00480C4A">
        <w:rPr>
          <w:b/>
        </w:rPr>
        <w:tab/>
      </w:r>
      <w:r>
        <w:rPr>
          <w:b/>
        </w:rPr>
        <w:t xml:space="preserve"> </w:t>
      </w:r>
      <w:r w:rsidRPr="008828EA">
        <w:rPr>
          <w:b/>
        </w:rPr>
        <w:t>Page</w:t>
      </w:r>
    </w:p>
    <w:sdt>
      <w:sdtPr>
        <w:rPr>
          <w:rFonts w:ascii="Book Antiqua" w:hAnsi="Book Antiqua" w:cs="Times New Roman" w:eastAsiaTheme="minorHAnsi"/>
          <w:b w:val="0"/>
          <w:szCs w:val="20"/>
        </w:rPr>
        <w:id w:val="1067537867"/>
        <w:docPartObj>
          <w:docPartGallery w:val="Table of Contents"/>
          <w:docPartUnique/>
        </w:docPartObj>
      </w:sdtPr>
      <w:sdtEndPr>
        <w:rPr>
          <w:bCs/>
          <w:noProof/>
        </w:rPr>
      </w:sdtEndPr>
      <w:sdtContent>
        <w:p w:rsidRPr="000C1980" w:rsidR="000C1980" w:rsidP="001968DC" w:rsidRDefault="000C1980" w14:paraId="38A8B920" w14:textId="2C0E25DF">
          <w:pPr>
            <w:pStyle w:val="TOCHeading"/>
            <w:spacing w:after="0"/>
            <w:ind w:left="720"/>
            <w:rPr>
              <w:rFonts w:ascii="Book Antiqua" w:hAnsi="Book Antiqua"/>
              <w:b w:val="0"/>
              <w:bCs/>
            </w:rPr>
          </w:pPr>
        </w:p>
        <w:p w:rsidR="00C054EE" w:rsidP="00480C4A" w:rsidRDefault="00257E90" w14:paraId="200E54A7" w14:textId="1C8BEC4A">
          <w:pPr>
            <w:pStyle w:val="TOC1"/>
            <w:tabs>
              <w:tab w:val="right" w:leader="dot" w:pos="9350"/>
            </w:tabs>
            <w:ind w:left="0" w:firstLine="0"/>
            <w:rPr>
              <w:rFonts w:asciiTheme="minorHAnsi" w:hAnsiTheme="minorHAnsi" w:cstheme="minorBidi"/>
              <w:noProof/>
              <w:sz w:val="22"/>
              <w:szCs w:val="22"/>
            </w:rPr>
          </w:pPr>
          <w:r>
            <w:fldChar w:fldCharType="begin"/>
          </w:r>
          <w:r>
            <w:instrText xml:space="preserve"> TOC \o "1-6" \h \z \t "mainex,1" </w:instrText>
          </w:r>
          <w:r>
            <w:fldChar w:fldCharType="separate"/>
          </w:r>
          <w:hyperlink w:history="1" w:anchor="_Toc69947733">
            <w:r w:rsidRPr="00FD24A9" w:rsidR="00C054EE">
              <w:rPr>
                <w:rStyle w:val="Hyperlink"/>
                <w:noProof/>
              </w:rPr>
              <w:t>DECISION ON LARGE INVESTOR</w:t>
            </w:r>
            <w:r w:rsidRPr="00FD24A9" w:rsidR="00C054EE">
              <w:rPr>
                <w:rStyle w:val="Hyperlink"/>
                <w:noProof/>
              </w:rPr>
              <w:noBreakHyphen/>
              <w:t>OWNED UTILITIES’ AND MARIN CLEAN ENERGY’S CALIFORNIA ALTERNATE RATES FOR ENERGY (CARE), ENERGY SAVINGS ASSISTANCE (ESA), ANDFAMILY ELECTRIC RATE ASSISTANCE (FERA) PROGRAM APPLICATIONS FOR PROGRAM YEARS 2021-2026</w:t>
            </w:r>
            <w:r w:rsidR="00C054EE">
              <w:rPr>
                <w:noProof/>
                <w:webHidden/>
              </w:rPr>
              <w:tab/>
            </w:r>
            <w:r w:rsidR="00C054EE">
              <w:rPr>
                <w:noProof/>
                <w:webHidden/>
              </w:rPr>
              <w:fldChar w:fldCharType="begin"/>
            </w:r>
            <w:r w:rsidR="00C054EE">
              <w:rPr>
                <w:noProof/>
                <w:webHidden/>
              </w:rPr>
              <w:instrText xml:space="preserve"> PAGEREF _Toc69947733 \h </w:instrText>
            </w:r>
            <w:r w:rsidR="00C054EE">
              <w:rPr>
                <w:noProof/>
                <w:webHidden/>
              </w:rPr>
            </w:r>
            <w:r w:rsidR="00C054EE">
              <w:rPr>
                <w:noProof/>
                <w:webHidden/>
              </w:rPr>
              <w:fldChar w:fldCharType="separate"/>
            </w:r>
            <w:r w:rsidR="004C2E01">
              <w:rPr>
                <w:noProof/>
                <w:webHidden/>
              </w:rPr>
              <w:t>2</w:t>
            </w:r>
            <w:r w:rsidR="00C054EE">
              <w:rPr>
                <w:noProof/>
                <w:webHidden/>
              </w:rPr>
              <w:fldChar w:fldCharType="end"/>
            </w:r>
          </w:hyperlink>
        </w:p>
        <w:p w:rsidR="00C054EE" w:rsidRDefault="000D5832" w14:paraId="60D2591E" w14:textId="2C5B6701">
          <w:pPr>
            <w:pStyle w:val="TOC1"/>
            <w:tabs>
              <w:tab w:val="right" w:leader="dot" w:pos="9350"/>
            </w:tabs>
            <w:rPr>
              <w:rFonts w:asciiTheme="minorHAnsi" w:hAnsiTheme="minorHAnsi" w:cstheme="minorBidi"/>
              <w:noProof/>
              <w:sz w:val="22"/>
              <w:szCs w:val="22"/>
            </w:rPr>
          </w:pPr>
          <w:hyperlink w:history="1" w:anchor="_Toc69947734">
            <w:r w:rsidRPr="00FD24A9" w:rsidR="00C054EE">
              <w:rPr>
                <w:rStyle w:val="Hyperlink"/>
                <w:noProof/>
              </w:rPr>
              <w:t>Summary</w:t>
            </w:r>
            <w:r w:rsidR="00C054EE">
              <w:rPr>
                <w:noProof/>
                <w:webHidden/>
              </w:rPr>
              <w:tab/>
            </w:r>
            <w:r w:rsidR="00C054EE">
              <w:rPr>
                <w:noProof/>
                <w:webHidden/>
              </w:rPr>
              <w:fldChar w:fldCharType="begin"/>
            </w:r>
            <w:r w:rsidR="00C054EE">
              <w:rPr>
                <w:noProof/>
                <w:webHidden/>
              </w:rPr>
              <w:instrText xml:space="preserve"> PAGEREF _Toc69947734 \h </w:instrText>
            </w:r>
            <w:r w:rsidR="00C054EE">
              <w:rPr>
                <w:noProof/>
                <w:webHidden/>
              </w:rPr>
            </w:r>
            <w:r w:rsidR="00C054EE">
              <w:rPr>
                <w:noProof/>
                <w:webHidden/>
              </w:rPr>
              <w:fldChar w:fldCharType="separate"/>
            </w:r>
            <w:r w:rsidR="004C2E01">
              <w:rPr>
                <w:noProof/>
                <w:webHidden/>
              </w:rPr>
              <w:t>2</w:t>
            </w:r>
            <w:r w:rsidR="00C054EE">
              <w:rPr>
                <w:noProof/>
                <w:webHidden/>
              </w:rPr>
              <w:fldChar w:fldCharType="end"/>
            </w:r>
          </w:hyperlink>
        </w:p>
        <w:p w:rsidR="00C054EE" w:rsidRDefault="000D5832" w14:paraId="00B1B48F" w14:textId="013B427E">
          <w:pPr>
            <w:pStyle w:val="TOC1"/>
            <w:tabs>
              <w:tab w:val="right" w:leader="dot" w:pos="9350"/>
            </w:tabs>
            <w:rPr>
              <w:rFonts w:asciiTheme="minorHAnsi" w:hAnsiTheme="minorHAnsi" w:cstheme="minorBidi"/>
              <w:noProof/>
              <w:sz w:val="22"/>
              <w:szCs w:val="22"/>
            </w:rPr>
          </w:pPr>
          <w:hyperlink w:history="1" w:anchor="_Toc69947735">
            <w:r w:rsidRPr="00FD24A9" w:rsidR="00C054EE">
              <w:rPr>
                <w:rStyle w:val="Hyperlink"/>
                <w:noProof/>
              </w:rPr>
              <w:t>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_Toc69947735 \h </w:instrText>
            </w:r>
            <w:r w:rsidR="00C054EE">
              <w:rPr>
                <w:noProof/>
                <w:webHidden/>
              </w:rPr>
            </w:r>
            <w:r w:rsidR="00C054EE">
              <w:rPr>
                <w:noProof/>
                <w:webHidden/>
              </w:rPr>
              <w:fldChar w:fldCharType="separate"/>
            </w:r>
            <w:r w:rsidR="004C2E01">
              <w:rPr>
                <w:noProof/>
                <w:webHidden/>
              </w:rPr>
              <w:t>5</w:t>
            </w:r>
            <w:r w:rsidR="00C054EE">
              <w:rPr>
                <w:noProof/>
                <w:webHidden/>
              </w:rPr>
              <w:fldChar w:fldCharType="end"/>
            </w:r>
          </w:hyperlink>
        </w:p>
        <w:p w:rsidR="00C054EE" w:rsidRDefault="000D5832" w14:paraId="3C689190" w14:textId="1CC8A696">
          <w:pPr>
            <w:pStyle w:val="TOC2"/>
            <w:tabs>
              <w:tab w:val="right" w:leader="dot" w:pos="9350"/>
            </w:tabs>
            <w:rPr>
              <w:rFonts w:asciiTheme="minorHAnsi" w:hAnsiTheme="minorHAnsi" w:cstheme="minorBidi"/>
              <w:noProof/>
              <w:sz w:val="22"/>
              <w:szCs w:val="22"/>
            </w:rPr>
          </w:pPr>
          <w:hyperlink w:history="1" w:anchor="_Toc69947736">
            <w:r w:rsidRPr="00FD24A9" w:rsidR="00C054EE">
              <w:rPr>
                <w:rStyle w:val="Hyperlink"/>
                <w:noProof/>
              </w:rPr>
              <w:t>1.1.</w:t>
            </w:r>
            <w:r w:rsidR="00C054EE">
              <w:rPr>
                <w:rFonts w:asciiTheme="minorHAnsi" w:hAnsiTheme="minorHAnsi" w:cstheme="minorBidi"/>
                <w:noProof/>
                <w:sz w:val="22"/>
                <w:szCs w:val="22"/>
              </w:rPr>
              <w:tab/>
            </w:r>
            <w:r w:rsidRPr="00FD24A9" w:rsidR="00C054EE">
              <w:rPr>
                <w:rStyle w:val="Hyperlink"/>
                <w:noProof/>
              </w:rPr>
              <w:t>The California Alternate Rates for Energy (CARE) Program</w:t>
            </w:r>
            <w:r w:rsidR="00C054EE">
              <w:rPr>
                <w:noProof/>
                <w:webHidden/>
              </w:rPr>
              <w:tab/>
            </w:r>
            <w:r w:rsidR="00C054EE">
              <w:rPr>
                <w:noProof/>
                <w:webHidden/>
              </w:rPr>
              <w:fldChar w:fldCharType="begin"/>
            </w:r>
            <w:r w:rsidR="00C054EE">
              <w:rPr>
                <w:noProof/>
                <w:webHidden/>
              </w:rPr>
              <w:instrText xml:space="preserve"> PAGEREF _Toc69947736 \h </w:instrText>
            </w:r>
            <w:r w:rsidR="00C054EE">
              <w:rPr>
                <w:noProof/>
                <w:webHidden/>
              </w:rPr>
            </w:r>
            <w:r w:rsidR="00C054EE">
              <w:rPr>
                <w:noProof/>
                <w:webHidden/>
              </w:rPr>
              <w:fldChar w:fldCharType="separate"/>
            </w:r>
            <w:r w:rsidR="004C2E01">
              <w:rPr>
                <w:noProof/>
                <w:webHidden/>
              </w:rPr>
              <w:t>5</w:t>
            </w:r>
            <w:r w:rsidR="00C054EE">
              <w:rPr>
                <w:noProof/>
                <w:webHidden/>
              </w:rPr>
              <w:fldChar w:fldCharType="end"/>
            </w:r>
          </w:hyperlink>
        </w:p>
        <w:p w:rsidR="00C054EE" w:rsidRDefault="000D5832" w14:paraId="12A52353" w14:textId="48FB8585">
          <w:pPr>
            <w:pStyle w:val="TOC2"/>
            <w:tabs>
              <w:tab w:val="right" w:leader="dot" w:pos="9350"/>
            </w:tabs>
            <w:rPr>
              <w:rFonts w:asciiTheme="minorHAnsi" w:hAnsiTheme="minorHAnsi" w:cstheme="minorBidi"/>
              <w:noProof/>
              <w:sz w:val="22"/>
              <w:szCs w:val="22"/>
            </w:rPr>
          </w:pPr>
          <w:hyperlink w:history="1" w:anchor="_Toc69947737">
            <w:r w:rsidRPr="00FD24A9" w:rsidR="00C054EE">
              <w:rPr>
                <w:rStyle w:val="Hyperlink"/>
                <w:noProof/>
              </w:rPr>
              <w:t>1.2.</w:t>
            </w:r>
            <w:r w:rsidR="00C054EE">
              <w:rPr>
                <w:rFonts w:asciiTheme="minorHAnsi" w:hAnsiTheme="minorHAnsi" w:cstheme="minorBidi"/>
                <w:noProof/>
                <w:sz w:val="22"/>
                <w:szCs w:val="22"/>
              </w:rPr>
              <w:tab/>
            </w:r>
            <w:r w:rsidRPr="00FD24A9" w:rsidR="00C054EE">
              <w:rPr>
                <w:rStyle w:val="Hyperlink"/>
                <w:noProof/>
              </w:rPr>
              <w:t>The Family Electric Rate Assistance (FERA) Program</w:t>
            </w:r>
            <w:r w:rsidR="00C054EE">
              <w:rPr>
                <w:noProof/>
                <w:webHidden/>
              </w:rPr>
              <w:tab/>
            </w:r>
            <w:r w:rsidR="00C054EE">
              <w:rPr>
                <w:noProof/>
                <w:webHidden/>
              </w:rPr>
              <w:fldChar w:fldCharType="begin"/>
            </w:r>
            <w:r w:rsidR="00C054EE">
              <w:rPr>
                <w:noProof/>
                <w:webHidden/>
              </w:rPr>
              <w:instrText xml:space="preserve"> PAGEREF _Toc69947737 \h </w:instrText>
            </w:r>
            <w:r w:rsidR="00C054EE">
              <w:rPr>
                <w:noProof/>
                <w:webHidden/>
              </w:rPr>
            </w:r>
            <w:r w:rsidR="00C054EE">
              <w:rPr>
                <w:noProof/>
                <w:webHidden/>
              </w:rPr>
              <w:fldChar w:fldCharType="separate"/>
            </w:r>
            <w:r w:rsidR="004C2E01">
              <w:rPr>
                <w:noProof/>
                <w:webHidden/>
              </w:rPr>
              <w:t>7</w:t>
            </w:r>
            <w:r w:rsidR="00C054EE">
              <w:rPr>
                <w:noProof/>
                <w:webHidden/>
              </w:rPr>
              <w:fldChar w:fldCharType="end"/>
            </w:r>
          </w:hyperlink>
        </w:p>
        <w:p w:rsidR="00C054EE" w:rsidRDefault="000D5832" w14:paraId="6448D635" w14:textId="0DA2A1D8">
          <w:pPr>
            <w:pStyle w:val="TOC2"/>
            <w:tabs>
              <w:tab w:val="right" w:leader="dot" w:pos="9350"/>
            </w:tabs>
            <w:rPr>
              <w:rFonts w:asciiTheme="minorHAnsi" w:hAnsiTheme="minorHAnsi" w:cstheme="minorBidi"/>
              <w:noProof/>
              <w:sz w:val="22"/>
              <w:szCs w:val="22"/>
            </w:rPr>
          </w:pPr>
          <w:hyperlink w:history="1" w:anchor="_Toc69947738">
            <w:r w:rsidRPr="00FD24A9" w:rsidR="00C054EE">
              <w:rPr>
                <w:rStyle w:val="Hyperlink"/>
                <w:noProof/>
              </w:rPr>
              <w:t>1.3.</w:t>
            </w:r>
            <w:r w:rsidR="00C054EE">
              <w:rPr>
                <w:rFonts w:asciiTheme="minorHAnsi" w:hAnsiTheme="minorHAnsi" w:cstheme="minorBidi"/>
                <w:noProof/>
                <w:sz w:val="22"/>
                <w:szCs w:val="22"/>
              </w:rPr>
              <w:tab/>
            </w:r>
            <w:r w:rsidRPr="00FD24A9" w:rsidR="00C054EE">
              <w:rPr>
                <w:rStyle w:val="Hyperlink"/>
                <w:noProof/>
              </w:rPr>
              <w:t>The Energy Savings Assistance (ESA) Program</w:t>
            </w:r>
            <w:r w:rsidR="00C054EE">
              <w:rPr>
                <w:noProof/>
                <w:webHidden/>
              </w:rPr>
              <w:tab/>
            </w:r>
            <w:r w:rsidR="00C054EE">
              <w:rPr>
                <w:noProof/>
                <w:webHidden/>
              </w:rPr>
              <w:fldChar w:fldCharType="begin"/>
            </w:r>
            <w:r w:rsidR="00C054EE">
              <w:rPr>
                <w:noProof/>
                <w:webHidden/>
              </w:rPr>
              <w:instrText xml:space="preserve"> PAGEREF _Toc69947738 \h </w:instrText>
            </w:r>
            <w:r w:rsidR="00C054EE">
              <w:rPr>
                <w:noProof/>
                <w:webHidden/>
              </w:rPr>
            </w:r>
            <w:r w:rsidR="00C054EE">
              <w:rPr>
                <w:noProof/>
                <w:webHidden/>
              </w:rPr>
              <w:fldChar w:fldCharType="separate"/>
            </w:r>
            <w:r w:rsidR="004C2E01">
              <w:rPr>
                <w:noProof/>
                <w:webHidden/>
              </w:rPr>
              <w:t>8</w:t>
            </w:r>
            <w:r w:rsidR="00C054EE">
              <w:rPr>
                <w:noProof/>
                <w:webHidden/>
              </w:rPr>
              <w:fldChar w:fldCharType="end"/>
            </w:r>
          </w:hyperlink>
        </w:p>
        <w:p w:rsidR="00C054EE" w:rsidRDefault="000D5832" w14:paraId="594E8BCA" w14:textId="10C31EA8">
          <w:pPr>
            <w:pStyle w:val="TOC1"/>
            <w:tabs>
              <w:tab w:val="right" w:leader="dot" w:pos="9350"/>
            </w:tabs>
            <w:rPr>
              <w:rFonts w:asciiTheme="minorHAnsi" w:hAnsiTheme="minorHAnsi" w:cstheme="minorBidi"/>
              <w:noProof/>
              <w:sz w:val="22"/>
              <w:szCs w:val="22"/>
            </w:rPr>
          </w:pPr>
          <w:hyperlink w:history="1" w:anchor="_Toc69947739">
            <w:r w:rsidRPr="00FD24A9" w:rsidR="00C054EE">
              <w:rPr>
                <w:rStyle w:val="Hyperlink"/>
                <w:noProof/>
              </w:rPr>
              <w:t>2.</w:t>
            </w:r>
            <w:r w:rsidR="00C054EE">
              <w:rPr>
                <w:rFonts w:asciiTheme="minorHAnsi" w:hAnsiTheme="minorHAnsi" w:cstheme="minorBidi"/>
                <w:noProof/>
                <w:sz w:val="22"/>
                <w:szCs w:val="22"/>
              </w:rPr>
              <w:tab/>
            </w:r>
            <w:r w:rsidRPr="00FD24A9" w:rsidR="00C054EE">
              <w:rPr>
                <w:rStyle w:val="Hyperlink"/>
                <w:noProof/>
              </w:rPr>
              <w:t>History and Procedural Issues</w:t>
            </w:r>
            <w:r w:rsidR="00C054EE">
              <w:rPr>
                <w:noProof/>
                <w:webHidden/>
              </w:rPr>
              <w:tab/>
            </w:r>
            <w:r w:rsidR="00C054EE">
              <w:rPr>
                <w:noProof/>
                <w:webHidden/>
              </w:rPr>
              <w:fldChar w:fldCharType="begin"/>
            </w:r>
            <w:r w:rsidR="00C054EE">
              <w:rPr>
                <w:noProof/>
                <w:webHidden/>
              </w:rPr>
              <w:instrText xml:space="preserve"> PAGEREF _Toc69947739 \h </w:instrText>
            </w:r>
            <w:r w:rsidR="00C054EE">
              <w:rPr>
                <w:noProof/>
                <w:webHidden/>
              </w:rPr>
            </w:r>
            <w:r w:rsidR="00C054EE">
              <w:rPr>
                <w:noProof/>
                <w:webHidden/>
              </w:rPr>
              <w:fldChar w:fldCharType="separate"/>
            </w:r>
            <w:r w:rsidR="004C2E01">
              <w:rPr>
                <w:noProof/>
                <w:webHidden/>
              </w:rPr>
              <w:t>9</w:t>
            </w:r>
            <w:r w:rsidR="00C054EE">
              <w:rPr>
                <w:noProof/>
                <w:webHidden/>
              </w:rPr>
              <w:fldChar w:fldCharType="end"/>
            </w:r>
          </w:hyperlink>
        </w:p>
        <w:p w:rsidR="00C054EE" w:rsidRDefault="000D5832" w14:paraId="3555AABC" w14:textId="30E56A9B">
          <w:pPr>
            <w:pStyle w:val="TOC2"/>
            <w:tabs>
              <w:tab w:val="right" w:leader="dot" w:pos="9350"/>
            </w:tabs>
            <w:rPr>
              <w:rFonts w:asciiTheme="minorHAnsi" w:hAnsiTheme="minorHAnsi" w:cstheme="minorBidi"/>
              <w:noProof/>
              <w:sz w:val="22"/>
              <w:szCs w:val="22"/>
            </w:rPr>
          </w:pPr>
          <w:hyperlink w:history="1" w:anchor="_Toc69947740">
            <w:r w:rsidRPr="00FD24A9" w:rsidR="00C054EE">
              <w:rPr>
                <w:rStyle w:val="Hyperlink"/>
                <w:noProof/>
              </w:rPr>
              <w:t>2.1.</w:t>
            </w:r>
            <w:r w:rsidR="00C054EE">
              <w:rPr>
                <w:rFonts w:asciiTheme="minorHAnsi" w:hAnsiTheme="minorHAnsi" w:cstheme="minorBidi"/>
                <w:noProof/>
                <w:sz w:val="22"/>
                <w:szCs w:val="22"/>
              </w:rPr>
              <w:tab/>
            </w:r>
            <w:r w:rsidRPr="00FD24A9" w:rsidR="00C054EE">
              <w:rPr>
                <w:rStyle w:val="Hyperlink"/>
                <w:noProof/>
              </w:rPr>
              <w:t>Commission D.19-06-022</w:t>
            </w:r>
            <w:r w:rsidR="00C054EE">
              <w:rPr>
                <w:noProof/>
                <w:webHidden/>
              </w:rPr>
              <w:tab/>
            </w:r>
            <w:r w:rsidR="00C054EE">
              <w:rPr>
                <w:noProof/>
                <w:webHidden/>
              </w:rPr>
              <w:fldChar w:fldCharType="begin"/>
            </w:r>
            <w:r w:rsidR="00C054EE">
              <w:rPr>
                <w:noProof/>
                <w:webHidden/>
              </w:rPr>
              <w:instrText xml:space="preserve"> PAGEREF _Toc69947740 \h </w:instrText>
            </w:r>
            <w:r w:rsidR="00C054EE">
              <w:rPr>
                <w:noProof/>
                <w:webHidden/>
              </w:rPr>
            </w:r>
            <w:r w:rsidR="00C054EE">
              <w:rPr>
                <w:noProof/>
                <w:webHidden/>
              </w:rPr>
              <w:fldChar w:fldCharType="separate"/>
            </w:r>
            <w:r w:rsidR="004C2E01">
              <w:rPr>
                <w:noProof/>
                <w:webHidden/>
              </w:rPr>
              <w:t>9</w:t>
            </w:r>
            <w:r w:rsidR="00C054EE">
              <w:rPr>
                <w:noProof/>
                <w:webHidden/>
              </w:rPr>
              <w:fldChar w:fldCharType="end"/>
            </w:r>
          </w:hyperlink>
        </w:p>
        <w:p w:rsidR="00C054EE" w:rsidRDefault="000D5832" w14:paraId="3283CCC8" w14:textId="286325B1">
          <w:pPr>
            <w:pStyle w:val="TOC2"/>
            <w:tabs>
              <w:tab w:val="right" w:leader="dot" w:pos="9350"/>
            </w:tabs>
            <w:rPr>
              <w:rFonts w:asciiTheme="minorHAnsi" w:hAnsiTheme="minorHAnsi" w:cstheme="minorBidi"/>
              <w:noProof/>
              <w:sz w:val="22"/>
              <w:szCs w:val="22"/>
            </w:rPr>
          </w:pPr>
          <w:hyperlink w:history="1" w:anchor="_Toc69947741">
            <w:r w:rsidRPr="00FD24A9" w:rsidR="00C054EE">
              <w:rPr>
                <w:rStyle w:val="Hyperlink"/>
                <w:noProof/>
              </w:rPr>
              <w:t>2.2.</w:t>
            </w:r>
            <w:r w:rsidR="00C054EE">
              <w:rPr>
                <w:rFonts w:asciiTheme="minorHAnsi" w:hAnsiTheme="minorHAnsi" w:cstheme="minorBidi"/>
                <w:noProof/>
                <w:sz w:val="22"/>
                <w:szCs w:val="22"/>
              </w:rPr>
              <w:tab/>
            </w:r>
            <w:r w:rsidRPr="00FD24A9" w:rsidR="00C054EE">
              <w:rPr>
                <w:rStyle w:val="Hyperlink"/>
                <w:noProof/>
              </w:rPr>
              <w:t>IOU and MCE Applications</w:t>
            </w:r>
            <w:r w:rsidR="00C054EE">
              <w:rPr>
                <w:noProof/>
                <w:webHidden/>
              </w:rPr>
              <w:tab/>
            </w:r>
            <w:r w:rsidR="00C054EE">
              <w:rPr>
                <w:noProof/>
                <w:webHidden/>
              </w:rPr>
              <w:fldChar w:fldCharType="begin"/>
            </w:r>
            <w:r w:rsidR="00C054EE">
              <w:rPr>
                <w:noProof/>
                <w:webHidden/>
              </w:rPr>
              <w:instrText xml:space="preserve"> PAGEREF _Toc69947741 \h </w:instrText>
            </w:r>
            <w:r w:rsidR="00C054EE">
              <w:rPr>
                <w:noProof/>
                <w:webHidden/>
              </w:rPr>
            </w:r>
            <w:r w:rsidR="00C054EE">
              <w:rPr>
                <w:noProof/>
                <w:webHidden/>
              </w:rPr>
              <w:fldChar w:fldCharType="separate"/>
            </w:r>
            <w:r w:rsidR="004C2E01">
              <w:rPr>
                <w:noProof/>
                <w:webHidden/>
              </w:rPr>
              <w:t>10</w:t>
            </w:r>
            <w:r w:rsidR="00C054EE">
              <w:rPr>
                <w:noProof/>
                <w:webHidden/>
              </w:rPr>
              <w:fldChar w:fldCharType="end"/>
            </w:r>
          </w:hyperlink>
        </w:p>
        <w:p w:rsidR="00C054EE" w:rsidRDefault="000D5832" w14:paraId="0553F05F" w14:textId="4E70E14F">
          <w:pPr>
            <w:pStyle w:val="TOC2"/>
            <w:tabs>
              <w:tab w:val="right" w:leader="dot" w:pos="9350"/>
            </w:tabs>
            <w:rPr>
              <w:rFonts w:asciiTheme="minorHAnsi" w:hAnsiTheme="minorHAnsi" w:cstheme="minorBidi"/>
              <w:noProof/>
              <w:sz w:val="22"/>
              <w:szCs w:val="22"/>
            </w:rPr>
          </w:pPr>
          <w:hyperlink w:history="1" w:anchor="_Toc69947742">
            <w:r w:rsidRPr="00FD24A9" w:rsidR="00C054EE">
              <w:rPr>
                <w:rStyle w:val="Hyperlink"/>
                <w:noProof/>
              </w:rPr>
              <w:t>2.3.</w:t>
            </w:r>
            <w:r w:rsidR="00C054EE">
              <w:rPr>
                <w:rFonts w:asciiTheme="minorHAnsi" w:hAnsiTheme="minorHAnsi" w:cstheme="minorBidi"/>
                <w:noProof/>
                <w:sz w:val="22"/>
                <w:szCs w:val="22"/>
              </w:rPr>
              <w:tab/>
            </w:r>
            <w:r w:rsidRPr="00FD24A9" w:rsidR="00C054EE">
              <w:rPr>
                <w:rStyle w:val="Hyperlink"/>
                <w:noProof/>
              </w:rPr>
              <w:t>Hearings, Rulings and Workshops</w:t>
            </w:r>
            <w:r w:rsidR="00C054EE">
              <w:rPr>
                <w:noProof/>
                <w:webHidden/>
              </w:rPr>
              <w:tab/>
            </w:r>
            <w:r w:rsidR="00C054EE">
              <w:rPr>
                <w:noProof/>
                <w:webHidden/>
              </w:rPr>
              <w:fldChar w:fldCharType="begin"/>
            </w:r>
            <w:r w:rsidR="00C054EE">
              <w:rPr>
                <w:noProof/>
                <w:webHidden/>
              </w:rPr>
              <w:instrText xml:space="preserve"> PAGEREF _Toc69947742 \h </w:instrText>
            </w:r>
            <w:r w:rsidR="00C054EE">
              <w:rPr>
                <w:noProof/>
                <w:webHidden/>
              </w:rPr>
            </w:r>
            <w:r w:rsidR="00C054EE">
              <w:rPr>
                <w:noProof/>
                <w:webHidden/>
              </w:rPr>
              <w:fldChar w:fldCharType="separate"/>
            </w:r>
            <w:r w:rsidR="004C2E01">
              <w:rPr>
                <w:noProof/>
                <w:webHidden/>
              </w:rPr>
              <w:t>11</w:t>
            </w:r>
            <w:r w:rsidR="00C054EE">
              <w:rPr>
                <w:noProof/>
                <w:webHidden/>
              </w:rPr>
              <w:fldChar w:fldCharType="end"/>
            </w:r>
          </w:hyperlink>
        </w:p>
        <w:p w:rsidR="00C054EE" w:rsidRDefault="000D5832" w14:paraId="00392C94" w14:textId="69AF1087">
          <w:pPr>
            <w:pStyle w:val="TOC2"/>
            <w:tabs>
              <w:tab w:val="right" w:leader="dot" w:pos="9350"/>
            </w:tabs>
            <w:rPr>
              <w:rFonts w:asciiTheme="minorHAnsi" w:hAnsiTheme="minorHAnsi" w:cstheme="minorBidi"/>
              <w:noProof/>
              <w:sz w:val="22"/>
              <w:szCs w:val="22"/>
            </w:rPr>
          </w:pPr>
          <w:hyperlink w:history="1" w:anchor="_Toc69947743">
            <w:r w:rsidRPr="00FD24A9" w:rsidR="00C054EE">
              <w:rPr>
                <w:rStyle w:val="Hyperlink"/>
                <w:noProof/>
              </w:rPr>
              <w:t>2.4.</w:t>
            </w:r>
            <w:r w:rsidR="00C054EE">
              <w:rPr>
                <w:rFonts w:asciiTheme="minorHAnsi" w:hAnsiTheme="minorHAnsi" w:cstheme="minorBidi"/>
                <w:noProof/>
                <w:sz w:val="22"/>
                <w:szCs w:val="22"/>
              </w:rPr>
              <w:tab/>
            </w:r>
            <w:r w:rsidRPr="00FD24A9" w:rsidR="00C054EE">
              <w:rPr>
                <w:rStyle w:val="Hyperlink"/>
                <w:noProof/>
              </w:rPr>
              <w:t>Testimony and Briefs</w:t>
            </w:r>
            <w:r w:rsidR="00C054EE">
              <w:rPr>
                <w:noProof/>
                <w:webHidden/>
              </w:rPr>
              <w:tab/>
            </w:r>
            <w:r w:rsidR="00C054EE">
              <w:rPr>
                <w:noProof/>
                <w:webHidden/>
              </w:rPr>
              <w:fldChar w:fldCharType="begin"/>
            </w:r>
            <w:r w:rsidR="00C054EE">
              <w:rPr>
                <w:noProof/>
                <w:webHidden/>
              </w:rPr>
              <w:instrText xml:space="preserve"> PAGEREF _Toc69947743 \h </w:instrText>
            </w:r>
            <w:r w:rsidR="00C054EE">
              <w:rPr>
                <w:noProof/>
                <w:webHidden/>
              </w:rPr>
            </w:r>
            <w:r w:rsidR="00C054EE">
              <w:rPr>
                <w:noProof/>
                <w:webHidden/>
              </w:rPr>
              <w:fldChar w:fldCharType="separate"/>
            </w:r>
            <w:r w:rsidR="004C2E01">
              <w:rPr>
                <w:noProof/>
                <w:webHidden/>
              </w:rPr>
              <w:t>14</w:t>
            </w:r>
            <w:r w:rsidR="00C054EE">
              <w:rPr>
                <w:noProof/>
                <w:webHidden/>
              </w:rPr>
              <w:fldChar w:fldCharType="end"/>
            </w:r>
          </w:hyperlink>
        </w:p>
        <w:p w:rsidR="00C054EE" w:rsidRDefault="000D5832" w14:paraId="2C6FE8DB" w14:textId="09153C47">
          <w:pPr>
            <w:pStyle w:val="TOC1"/>
            <w:tabs>
              <w:tab w:val="right" w:leader="dot" w:pos="9350"/>
            </w:tabs>
            <w:rPr>
              <w:rFonts w:asciiTheme="minorHAnsi" w:hAnsiTheme="minorHAnsi" w:cstheme="minorBidi"/>
              <w:noProof/>
              <w:sz w:val="22"/>
              <w:szCs w:val="22"/>
            </w:rPr>
          </w:pPr>
          <w:hyperlink w:history="1" w:anchor="_Toc69947744">
            <w:r w:rsidRPr="00FD24A9" w:rsidR="00C054EE">
              <w:rPr>
                <w:rStyle w:val="Hyperlink"/>
                <w:noProof/>
              </w:rPr>
              <w:t>3.</w:t>
            </w:r>
            <w:r w:rsidR="00C054EE">
              <w:rPr>
                <w:rFonts w:asciiTheme="minorHAnsi" w:hAnsiTheme="minorHAnsi" w:cstheme="minorBidi"/>
                <w:noProof/>
                <w:sz w:val="22"/>
                <w:szCs w:val="22"/>
              </w:rPr>
              <w:tab/>
            </w:r>
            <w:r w:rsidRPr="00FD24A9" w:rsidR="00C054EE">
              <w:rPr>
                <w:rStyle w:val="Hyperlink"/>
                <w:noProof/>
              </w:rPr>
              <w:t>Issues and Scope</w:t>
            </w:r>
            <w:r w:rsidR="00C054EE">
              <w:rPr>
                <w:noProof/>
                <w:webHidden/>
              </w:rPr>
              <w:tab/>
            </w:r>
            <w:r w:rsidR="00C054EE">
              <w:rPr>
                <w:noProof/>
                <w:webHidden/>
              </w:rPr>
              <w:fldChar w:fldCharType="begin"/>
            </w:r>
            <w:r w:rsidR="00C054EE">
              <w:rPr>
                <w:noProof/>
                <w:webHidden/>
              </w:rPr>
              <w:instrText xml:space="preserve"> PAGEREF _Toc69947744 \h </w:instrText>
            </w:r>
            <w:r w:rsidR="00C054EE">
              <w:rPr>
                <w:noProof/>
                <w:webHidden/>
              </w:rPr>
            </w:r>
            <w:r w:rsidR="00C054EE">
              <w:rPr>
                <w:noProof/>
                <w:webHidden/>
              </w:rPr>
              <w:fldChar w:fldCharType="separate"/>
            </w:r>
            <w:r w:rsidR="004C2E01">
              <w:rPr>
                <w:noProof/>
                <w:webHidden/>
              </w:rPr>
              <w:t>15</w:t>
            </w:r>
            <w:r w:rsidR="00C054EE">
              <w:rPr>
                <w:noProof/>
                <w:webHidden/>
              </w:rPr>
              <w:fldChar w:fldCharType="end"/>
            </w:r>
          </w:hyperlink>
        </w:p>
        <w:p w:rsidR="00C054EE" w:rsidRDefault="000D5832" w14:paraId="5C44F126" w14:textId="7B0F6FC5">
          <w:pPr>
            <w:pStyle w:val="TOC1"/>
            <w:tabs>
              <w:tab w:val="right" w:leader="dot" w:pos="9350"/>
            </w:tabs>
            <w:rPr>
              <w:rFonts w:asciiTheme="minorHAnsi" w:hAnsiTheme="minorHAnsi" w:cstheme="minorBidi"/>
              <w:noProof/>
              <w:sz w:val="22"/>
              <w:szCs w:val="22"/>
            </w:rPr>
          </w:pPr>
          <w:hyperlink w:history="1" w:anchor="_Toc69947745">
            <w:r w:rsidRPr="00FD24A9" w:rsidR="00C054EE">
              <w:rPr>
                <w:rStyle w:val="Hyperlink"/>
                <w:noProof/>
              </w:rPr>
              <w:t>4.</w:t>
            </w:r>
            <w:r w:rsidR="00C054EE">
              <w:rPr>
                <w:rFonts w:asciiTheme="minorHAnsi" w:hAnsiTheme="minorHAnsi" w:cstheme="minorBidi"/>
                <w:noProof/>
                <w:sz w:val="22"/>
                <w:szCs w:val="22"/>
              </w:rPr>
              <w:tab/>
            </w:r>
            <w:r w:rsidRPr="00FD24A9" w:rsidR="00C054EE">
              <w:rPr>
                <w:rStyle w:val="Hyperlink"/>
                <w:noProof/>
              </w:rPr>
              <w:t>CARE Program</w:t>
            </w:r>
            <w:r w:rsidR="00C054EE">
              <w:rPr>
                <w:noProof/>
                <w:webHidden/>
              </w:rPr>
              <w:tab/>
            </w:r>
            <w:r w:rsidR="00C054EE">
              <w:rPr>
                <w:noProof/>
                <w:webHidden/>
              </w:rPr>
              <w:fldChar w:fldCharType="begin"/>
            </w:r>
            <w:r w:rsidR="00C054EE">
              <w:rPr>
                <w:noProof/>
                <w:webHidden/>
              </w:rPr>
              <w:instrText xml:space="preserve"> PAGEREF _Toc69947745 \h </w:instrText>
            </w:r>
            <w:r w:rsidR="00C054EE">
              <w:rPr>
                <w:noProof/>
                <w:webHidden/>
              </w:rPr>
            </w:r>
            <w:r w:rsidR="00C054EE">
              <w:rPr>
                <w:noProof/>
                <w:webHidden/>
              </w:rPr>
              <w:fldChar w:fldCharType="separate"/>
            </w:r>
            <w:r w:rsidR="004C2E01">
              <w:rPr>
                <w:noProof/>
                <w:webHidden/>
              </w:rPr>
              <w:t>18</w:t>
            </w:r>
            <w:r w:rsidR="00C054EE">
              <w:rPr>
                <w:noProof/>
                <w:webHidden/>
              </w:rPr>
              <w:fldChar w:fldCharType="end"/>
            </w:r>
          </w:hyperlink>
        </w:p>
        <w:p w:rsidR="00C054EE" w:rsidRDefault="000D5832" w14:paraId="5BE433FE" w14:textId="2031FAE2">
          <w:pPr>
            <w:pStyle w:val="TOC2"/>
            <w:tabs>
              <w:tab w:val="right" w:leader="dot" w:pos="9350"/>
            </w:tabs>
            <w:rPr>
              <w:rFonts w:asciiTheme="minorHAnsi" w:hAnsiTheme="minorHAnsi" w:cstheme="minorBidi"/>
              <w:noProof/>
              <w:sz w:val="22"/>
              <w:szCs w:val="22"/>
            </w:rPr>
          </w:pPr>
          <w:hyperlink w:history="1" w:anchor="_Toc69947746">
            <w:r w:rsidRPr="00FD24A9" w:rsidR="00C054EE">
              <w:rPr>
                <w:rStyle w:val="Hyperlink"/>
                <w:noProof/>
              </w:rPr>
              <w:t>4.1.</w:t>
            </w:r>
            <w:r w:rsidR="00C054EE">
              <w:rPr>
                <w:rFonts w:asciiTheme="minorHAnsi" w:hAnsiTheme="minorHAnsi" w:cstheme="minorBidi"/>
                <w:noProof/>
                <w:sz w:val="22"/>
                <w:szCs w:val="22"/>
              </w:rPr>
              <w:tab/>
            </w:r>
            <w:r w:rsidRPr="00FD24A9" w:rsidR="00C054EE">
              <w:rPr>
                <w:rStyle w:val="Hyperlink"/>
                <w:noProof/>
              </w:rPr>
              <w:t>CARE Goals</w:t>
            </w:r>
            <w:r w:rsidR="00C054EE">
              <w:rPr>
                <w:noProof/>
                <w:webHidden/>
              </w:rPr>
              <w:tab/>
            </w:r>
            <w:r w:rsidR="00C054EE">
              <w:rPr>
                <w:noProof/>
                <w:webHidden/>
              </w:rPr>
              <w:fldChar w:fldCharType="begin"/>
            </w:r>
            <w:r w:rsidR="00C054EE">
              <w:rPr>
                <w:noProof/>
                <w:webHidden/>
              </w:rPr>
              <w:instrText xml:space="preserve"> PAGEREF _Toc69947746 \h </w:instrText>
            </w:r>
            <w:r w:rsidR="00C054EE">
              <w:rPr>
                <w:noProof/>
                <w:webHidden/>
              </w:rPr>
            </w:r>
            <w:r w:rsidR="00C054EE">
              <w:rPr>
                <w:noProof/>
                <w:webHidden/>
              </w:rPr>
              <w:fldChar w:fldCharType="separate"/>
            </w:r>
            <w:r w:rsidR="004C2E01">
              <w:rPr>
                <w:noProof/>
                <w:webHidden/>
              </w:rPr>
              <w:t>18</w:t>
            </w:r>
            <w:r w:rsidR="00C054EE">
              <w:rPr>
                <w:noProof/>
                <w:webHidden/>
              </w:rPr>
              <w:fldChar w:fldCharType="end"/>
            </w:r>
          </w:hyperlink>
        </w:p>
        <w:p w:rsidR="00C054EE" w:rsidRDefault="000D5832" w14:paraId="5CAB7468" w14:textId="18854961">
          <w:pPr>
            <w:pStyle w:val="TOC3"/>
            <w:tabs>
              <w:tab w:val="left" w:pos="1296"/>
              <w:tab w:val="right" w:leader="dot" w:pos="9350"/>
            </w:tabs>
            <w:rPr>
              <w:rFonts w:asciiTheme="minorHAnsi" w:hAnsiTheme="minorHAnsi" w:cstheme="minorBidi"/>
              <w:noProof/>
              <w:sz w:val="22"/>
              <w:szCs w:val="22"/>
            </w:rPr>
          </w:pPr>
          <w:hyperlink w:history="1" w:anchor="_Toc69947747">
            <w:r w:rsidRPr="00FD24A9" w:rsidR="00C054EE">
              <w:rPr>
                <w:rStyle w:val="Hyperlink"/>
                <w:noProof/>
              </w:rPr>
              <w:t>4.1.1.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_Toc69947747 \h </w:instrText>
            </w:r>
            <w:r w:rsidR="00C054EE">
              <w:rPr>
                <w:noProof/>
                <w:webHidden/>
              </w:rPr>
            </w:r>
            <w:r w:rsidR="00C054EE">
              <w:rPr>
                <w:noProof/>
                <w:webHidden/>
              </w:rPr>
              <w:fldChar w:fldCharType="separate"/>
            </w:r>
            <w:r w:rsidR="004C2E01">
              <w:rPr>
                <w:noProof/>
                <w:webHidden/>
              </w:rPr>
              <w:t>18</w:t>
            </w:r>
            <w:r w:rsidR="00C054EE">
              <w:rPr>
                <w:noProof/>
                <w:webHidden/>
              </w:rPr>
              <w:fldChar w:fldCharType="end"/>
            </w:r>
          </w:hyperlink>
        </w:p>
        <w:p w:rsidR="00C054EE" w:rsidRDefault="000D5832" w14:paraId="389DB184" w14:textId="1E4C71F9">
          <w:pPr>
            <w:pStyle w:val="TOC3"/>
            <w:tabs>
              <w:tab w:val="left" w:pos="1296"/>
              <w:tab w:val="right" w:leader="dot" w:pos="9350"/>
            </w:tabs>
            <w:rPr>
              <w:rFonts w:asciiTheme="minorHAnsi" w:hAnsiTheme="minorHAnsi" w:cstheme="minorBidi"/>
              <w:noProof/>
              <w:sz w:val="22"/>
              <w:szCs w:val="22"/>
            </w:rPr>
          </w:pPr>
          <w:hyperlink w:history="1" w:anchor="_Toc69947748">
            <w:r w:rsidRPr="00FD24A9" w:rsidR="00C054EE">
              <w:rPr>
                <w:rStyle w:val="Hyperlink"/>
                <w:noProof/>
              </w:rPr>
              <w:t>4.1.2.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_Toc69947748 \h </w:instrText>
            </w:r>
            <w:r w:rsidR="00C054EE">
              <w:rPr>
                <w:noProof/>
                <w:webHidden/>
              </w:rPr>
            </w:r>
            <w:r w:rsidR="00C054EE">
              <w:rPr>
                <w:noProof/>
                <w:webHidden/>
              </w:rPr>
              <w:fldChar w:fldCharType="separate"/>
            </w:r>
            <w:r w:rsidR="004C2E01">
              <w:rPr>
                <w:noProof/>
                <w:webHidden/>
              </w:rPr>
              <w:t>18</w:t>
            </w:r>
            <w:r w:rsidR="00C054EE">
              <w:rPr>
                <w:noProof/>
                <w:webHidden/>
              </w:rPr>
              <w:fldChar w:fldCharType="end"/>
            </w:r>
          </w:hyperlink>
        </w:p>
        <w:p w:rsidR="00C054EE" w:rsidRDefault="000D5832" w14:paraId="14AFF8D6" w14:textId="73533A91">
          <w:pPr>
            <w:pStyle w:val="TOC3"/>
            <w:tabs>
              <w:tab w:val="left" w:pos="1296"/>
              <w:tab w:val="right" w:leader="dot" w:pos="9350"/>
            </w:tabs>
            <w:rPr>
              <w:rFonts w:asciiTheme="minorHAnsi" w:hAnsiTheme="minorHAnsi" w:cstheme="minorBidi"/>
              <w:noProof/>
              <w:sz w:val="22"/>
              <w:szCs w:val="22"/>
            </w:rPr>
          </w:pPr>
          <w:hyperlink w:history="1" w:anchor="_Toc69947749">
            <w:r w:rsidRPr="00FD24A9" w:rsidR="00C054EE">
              <w:rPr>
                <w:rStyle w:val="Hyperlink"/>
                <w:noProof/>
              </w:rPr>
              <w:t>4.1.3.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_Toc69947749 \h </w:instrText>
            </w:r>
            <w:r w:rsidR="00C054EE">
              <w:rPr>
                <w:noProof/>
                <w:webHidden/>
              </w:rPr>
            </w:r>
            <w:r w:rsidR="00C054EE">
              <w:rPr>
                <w:noProof/>
                <w:webHidden/>
              </w:rPr>
              <w:fldChar w:fldCharType="separate"/>
            </w:r>
            <w:r w:rsidR="004C2E01">
              <w:rPr>
                <w:noProof/>
                <w:webHidden/>
              </w:rPr>
              <w:t>19</w:t>
            </w:r>
            <w:r w:rsidR="00C054EE">
              <w:rPr>
                <w:noProof/>
                <w:webHidden/>
              </w:rPr>
              <w:fldChar w:fldCharType="end"/>
            </w:r>
          </w:hyperlink>
        </w:p>
        <w:p w:rsidR="00C054EE" w:rsidRDefault="000D5832" w14:paraId="3DE9E217" w14:textId="633F1DB9">
          <w:pPr>
            <w:pStyle w:val="TOC3"/>
            <w:tabs>
              <w:tab w:val="left" w:pos="1296"/>
              <w:tab w:val="right" w:leader="dot" w:pos="9350"/>
            </w:tabs>
            <w:rPr>
              <w:rFonts w:asciiTheme="minorHAnsi" w:hAnsiTheme="minorHAnsi" w:cstheme="minorBidi"/>
              <w:noProof/>
              <w:sz w:val="22"/>
              <w:szCs w:val="22"/>
            </w:rPr>
          </w:pPr>
          <w:hyperlink w:history="1" w:anchor="_Toc69947750">
            <w:r w:rsidRPr="00FD24A9" w:rsidR="00C054EE">
              <w:rPr>
                <w:rStyle w:val="Hyperlink"/>
                <w:noProof/>
              </w:rPr>
              <w:t>4.1.4.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_Toc69947750 \h </w:instrText>
            </w:r>
            <w:r w:rsidR="00C054EE">
              <w:rPr>
                <w:noProof/>
                <w:webHidden/>
              </w:rPr>
            </w:r>
            <w:r w:rsidR="00C054EE">
              <w:rPr>
                <w:noProof/>
                <w:webHidden/>
              </w:rPr>
              <w:fldChar w:fldCharType="separate"/>
            </w:r>
            <w:r w:rsidR="004C2E01">
              <w:rPr>
                <w:noProof/>
                <w:webHidden/>
              </w:rPr>
              <w:t>19</w:t>
            </w:r>
            <w:r w:rsidR="00C054EE">
              <w:rPr>
                <w:noProof/>
                <w:webHidden/>
              </w:rPr>
              <w:fldChar w:fldCharType="end"/>
            </w:r>
          </w:hyperlink>
        </w:p>
        <w:p w:rsidR="00C054EE" w:rsidRDefault="000D5832" w14:paraId="5093569C" w14:textId="2ABF3A0E">
          <w:pPr>
            <w:pStyle w:val="TOC3"/>
            <w:tabs>
              <w:tab w:val="left" w:pos="1296"/>
              <w:tab w:val="right" w:leader="dot" w:pos="9350"/>
            </w:tabs>
            <w:rPr>
              <w:rFonts w:asciiTheme="minorHAnsi" w:hAnsiTheme="minorHAnsi" w:cstheme="minorBidi"/>
              <w:noProof/>
              <w:sz w:val="22"/>
              <w:szCs w:val="22"/>
            </w:rPr>
          </w:pPr>
          <w:hyperlink w:history="1" w:anchor="_Toc69947751">
            <w:r w:rsidRPr="00FD24A9" w:rsidR="00C054EE">
              <w:rPr>
                <w:rStyle w:val="Hyperlink"/>
                <w:noProof/>
              </w:rPr>
              <w:t>4.1.5.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_Toc69947751 \h </w:instrText>
            </w:r>
            <w:r w:rsidR="00C054EE">
              <w:rPr>
                <w:noProof/>
                <w:webHidden/>
              </w:rPr>
            </w:r>
            <w:r w:rsidR="00C054EE">
              <w:rPr>
                <w:noProof/>
                <w:webHidden/>
              </w:rPr>
              <w:fldChar w:fldCharType="separate"/>
            </w:r>
            <w:r w:rsidR="004C2E01">
              <w:rPr>
                <w:noProof/>
                <w:webHidden/>
              </w:rPr>
              <w:t>20</w:t>
            </w:r>
            <w:r w:rsidR="00C054EE">
              <w:rPr>
                <w:noProof/>
                <w:webHidden/>
              </w:rPr>
              <w:fldChar w:fldCharType="end"/>
            </w:r>
          </w:hyperlink>
        </w:p>
        <w:p w:rsidR="00C054EE" w:rsidRDefault="000D5832" w14:paraId="3F6E78BC" w14:textId="26876310">
          <w:pPr>
            <w:pStyle w:val="TOC3"/>
            <w:tabs>
              <w:tab w:val="left" w:pos="1296"/>
              <w:tab w:val="right" w:leader="dot" w:pos="9350"/>
            </w:tabs>
            <w:rPr>
              <w:rFonts w:asciiTheme="minorHAnsi" w:hAnsiTheme="minorHAnsi" w:cstheme="minorBidi"/>
              <w:noProof/>
              <w:sz w:val="22"/>
              <w:szCs w:val="22"/>
            </w:rPr>
          </w:pPr>
          <w:hyperlink w:history="1" w:anchor="_Toc69947752">
            <w:r w:rsidRPr="00FD24A9" w:rsidR="00C054EE">
              <w:rPr>
                <w:rStyle w:val="Hyperlink"/>
                <w:noProof/>
              </w:rPr>
              <w:t>4.1.6.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_Toc69947752 \h </w:instrText>
            </w:r>
            <w:r w:rsidR="00C054EE">
              <w:rPr>
                <w:noProof/>
                <w:webHidden/>
              </w:rPr>
            </w:r>
            <w:r w:rsidR="00C054EE">
              <w:rPr>
                <w:noProof/>
                <w:webHidden/>
              </w:rPr>
              <w:fldChar w:fldCharType="separate"/>
            </w:r>
            <w:r w:rsidR="004C2E01">
              <w:rPr>
                <w:noProof/>
                <w:webHidden/>
              </w:rPr>
              <w:t>20</w:t>
            </w:r>
            <w:r w:rsidR="00C054EE">
              <w:rPr>
                <w:noProof/>
                <w:webHidden/>
              </w:rPr>
              <w:fldChar w:fldCharType="end"/>
            </w:r>
          </w:hyperlink>
        </w:p>
        <w:p w:rsidR="00C054EE" w:rsidRDefault="000D5832" w14:paraId="0C1AAAE1" w14:textId="41FDB267">
          <w:pPr>
            <w:pStyle w:val="TOC3"/>
            <w:tabs>
              <w:tab w:val="left" w:pos="1296"/>
              <w:tab w:val="right" w:leader="dot" w:pos="9350"/>
            </w:tabs>
            <w:rPr>
              <w:rFonts w:asciiTheme="minorHAnsi" w:hAnsiTheme="minorHAnsi" w:cstheme="minorBidi"/>
              <w:noProof/>
              <w:sz w:val="22"/>
              <w:szCs w:val="22"/>
            </w:rPr>
          </w:pPr>
          <w:hyperlink w:history="1" w:anchor="_Toc69947753">
            <w:r w:rsidRPr="00FD24A9" w:rsidR="00C054EE">
              <w:rPr>
                <w:rStyle w:val="Hyperlink"/>
                <w:noProof/>
              </w:rPr>
              <w:t>4.1.7.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_Toc69947753 \h </w:instrText>
            </w:r>
            <w:r w:rsidR="00C054EE">
              <w:rPr>
                <w:noProof/>
                <w:webHidden/>
              </w:rPr>
            </w:r>
            <w:r w:rsidR="00C054EE">
              <w:rPr>
                <w:noProof/>
                <w:webHidden/>
              </w:rPr>
              <w:fldChar w:fldCharType="separate"/>
            </w:r>
            <w:r w:rsidR="004C2E01">
              <w:rPr>
                <w:noProof/>
                <w:webHidden/>
              </w:rPr>
              <w:t>20</w:t>
            </w:r>
            <w:r w:rsidR="00C054EE">
              <w:rPr>
                <w:noProof/>
                <w:webHidden/>
              </w:rPr>
              <w:fldChar w:fldCharType="end"/>
            </w:r>
          </w:hyperlink>
        </w:p>
        <w:p w:rsidR="00C054EE" w:rsidRDefault="000D5832" w14:paraId="761A2066" w14:textId="1385C8DD">
          <w:pPr>
            <w:pStyle w:val="TOC4"/>
            <w:tabs>
              <w:tab w:val="left" w:pos="1728"/>
              <w:tab w:val="right" w:leader="dot" w:pos="9350"/>
            </w:tabs>
            <w:rPr>
              <w:rFonts w:asciiTheme="minorHAnsi" w:hAnsiTheme="minorHAnsi" w:eastAsiaTheme="minorEastAsia" w:cstheme="minorBidi"/>
              <w:noProof/>
              <w:sz w:val="22"/>
              <w:szCs w:val="22"/>
            </w:rPr>
          </w:pPr>
          <w:hyperlink w:history="1" w:anchor="_Toc69947754">
            <w:r w:rsidRPr="00FD24A9" w:rsidR="00C054EE">
              <w:rPr>
                <w:rStyle w:val="Hyperlink"/>
                <w:noProof/>
              </w:rPr>
              <w:t>4.1.7.1.</w:t>
            </w:r>
            <w:r w:rsidR="00C054EE">
              <w:rPr>
                <w:rFonts w:asciiTheme="minorHAnsi" w:hAnsiTheme="minorHAnsi" w:eastAsiaTheme="minorEastAsia" w:cstheme="minorBidi"/>
                <w:noProof/>
                <w:sz w:val="22"/>
                <w:szCs w:val="22"/>
              </w:rPr>
              <w:tab/>
            </w:r>
            <w:r w:rsidRPr="00FD24A9" w:rsidR="00C054EE">
              <w:rPr>
                <w:rStyle w:val="Hyperlink"/>
                <w:noProof/>
              </w:rPr>
              <w:t>Percent Enrollment Goal: Approved</w:t>
            </w:r>
            <w:r w:rsidR="00C054EE">
              <w:rPr>
                <w:noProof/>
                <w:webHidden/>
              </w:rPr>
              <w:tab/>
            </w:r>
            <w:r w:rsidR="00C054EE">
              <w:rPr>
                <w:noProof/>
                <w:webHidden/>
              </w:rPr>
              <w:fldChar w:fldCharType="begin"/>
            </w:r>
            <w:r w:rsidR="00C054EE">
              <w:rPr>
                <w:noProof/>
                <w:webHidden/>
              </w:rPr>
              <w:instrText xml:space="preserve"> PAGEREF _Toc69947754 \h </w:instrText>
            </w:r>
            <w:r w:rsidR="00C054EE">
              <w:rPr>
                <w:noProof/>
                <w:webHidden/>
              </w:rPr>
            </w:r>
            <w:r w:rsidR="00C054EE">
              <w:rPr>
                <w:noProof/>
                <w:webHidden/>
              </w:rPr>
              <w:fldChar w:fldCharType="separate"/>
            </w:r>
            <w:r w:rsidR="004C2E01">
              <w:rPr>
                <w:noProof/>
                <w:webHidden/>
              </w:rPr>
              <w:t>20</w:t>
            </w:r>
            <w:r w:rsidR="00C054EE">
              <w:rPr>
                <w:noProof/>
                <w:webHidden/>
              </w:rPr>
              <w:fldChar w:fldCharType="end"/>
            </w:r>
          </w:hyperlink>
        </w:p>
        <w:p w:rsidR="00C054EE" w:rsidRDefault="000D5832" w14:paraId="6359DEC4" w14:textId="1BB47AEA">
          <w:pPr>
            <w:pStyle w:val="TOC2"/>
            <w:tabs>
              <w:tab w:val="right" w:leader="dot" w:pos="9350"/>
            </w:tabs>
            <w:rPr>
              <w:rFonts w:asciiTheme="minorHAnsi" w:hAnsiTheme="minorHAnsi" w:cstheme="minorBidi"/>
              <w:noProof/>
              <w:sz w:val="22"/>
              <w:szCs w:val="22"/>
            </w:rPr>
          </w:pPr>
          <w:hyperlink w:history="1" w:anchor="_Toc69947755">
            <w:r w:rsidRPr="00FD24A9" w:rsidR="00C054EE">
              <w:rPr>
                <w:rStyle w:val="Hyperlink"/>
                <w:noProof/>
              </w:rPr>
              <w:t>4.2.</w:t>
            </w:r>
            <w:r w:rsidR="00C054EE">
              <w:rPr>
                <w:rFonts w:asciiTheme="minorHAnsi" w:hAnsiTheme="minorHAnsi" w:cstheme="minorBidi"/>
                <w:noProof/>
                <w:sz w:val="22"/>
                <w:szCs w:val="22"/>
              </w:rPr>
              <w:tab/>
            </w:r>
            <w:r w:rsidRPr="00FD24A9" w:rsidR="00C054EE">
              <w:rPr>
                <w:rStyle w:val="Hyperlink"/>
                <w:noProof/>
              </w:rPr>
              <w:t>CARE Enrollment and Eligibility</w:t>
            </w:r>
            <w:r w:rsidR="00C054EE">
              <w:rPr>
                <w:noProof/>
                <w:webHidden/>
              </w:rPr>
              <w:tab/>
            </w:r>
            <w:r w:rsidR="00C054EE">
              <w:rPr>
                <w:noProof/>
                <w:webHidden/>
              </w:rPr>
              <w:fldChar w:fldCharType="begin"/>
            </w:r>
            <w:r w:rsidR="00C054EE">
              <w:rPr>
                <w:noProof/>
                <w:webHidden/>
              </w:rPr>
              <w:instrText xml:space="preserve"> PAGEREF _Toc69947755 \h </w:instrText>
            </w:r>
            <w:r w:rsidR="00C054EE">
              <w:rPr>
                <w:noProof/>
                <w:webHidden/>
              </w:rPr>
            </w:r>
            <w:r w:rsidR="00C054EE">
              <w:rPr>
                <w:noProof/>
                <w:webHidden/>
              </w:rPr>
              <w:fldChar w:fldCharType="separate"/>
            </w:r>
            <w:r w:rsidR="004C2E01">
              <w:rPr>
                <w:noProof/>
                <w:webHidden/>
              </w:rPr>
              <w:t>21</w:t>
            </w:r>
            <w:r w:rsidR="00C054EE">
              <w:rPr>
                <w:noProof/>
                <w:webHidden/>
              </w:rPr>
              <w:fldChar w:fldCharType="end"/>
            </w:r>
          </w:hyperlink>
        </w:p>
        <w:p w:rsidR="00C054EE" w:rsidRDefault="000D5832" w14:paraId="09C3ECD5" w14:textId="1AB89DCB">
          <w:pPr>
            <w:pStyle w:val="TOC3"/>
            <w:tabs>
              <w:tab w:val="left" w:pos="1296"/>
              <w:tab w:val="right" w:leader="dot" w:pos="9350"/>
            </w:tabs>
            <w:rPr>
              <w:rFonts w:asciiTheme="minorHAnsi" w:hAnsiTheme="minorHAnsi" w:cstheme="minorBidi"/>
              <w:noProof/>
              <w:sz w:val="22"/>
              <w:szCs w:val="22"/>
            </w:rPr>
          </w:pPr>
          <w:hyperlink w:history="1" w:anchor="_Toc69947756">
            <w:r w:rsidRPr="00FD24A9" w:rsidR="00C054EE">
              <w:rPr>
                <w:rStyle w:val="Hyperlink"/>
                <w:noProof/>
              </w:rPr>
              <w:t>4.2.1.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_Toc69947756 \h </w:instrText>
            </w:r>
            <w:r w:rsidR="00C054EE">
              <w:rPr>
                <w:noProof/>
                <w:webHidden/>
              </w:rPr>
            </w:r>
            <w:r w:rsidR="00C054EE">
              <w:rPr>
                <w:noProof/>
                <w:webHidden/>
              </w:rPr>
              <w:fldChar w:fldCharType="separate"/>
            </w:r>
            <w:r w:rsidR="004C2E01">
              <w:rPr>
                <w:noProof/>
                <w:webHidden/>
              </w:rPr>
              <w:t>21</w:t>
            </w:r>
            <w:r w:rsidR="00C054EE">
              <w:rPr>
                <w:noProof/>
                <w:webHidden/>
              </w:rPr>
              <w:fldChar w:fldCharType="end"/>
            </w:r>
          </w:hyperlink>
        </w:p>
        <w:p w:rsidR="00C054EE" w:rsidRDefault="000D5832" w14:paraId="3C6162DF" w14:textId="4DFBB8ED">
          <w:pPr>
            <w:pStyle w:val="TOC3"/>
            <w:tabs>
              <w:tab w:val="left" w:pos="1296"/>
              <w:tab w:val="right" w:leader="dot" w:pos="9350"/>
            </w:tabs>
            <w:rPr>
              <w:rFonts w:asciiTheme="minorHAnsi" w:hAnsiTheme="minorHAnsi" w:cstheme="minorBidi"/>
              <w:noProof/>
              <w:sz w:val="22"/>
              <w:szCs w:val="22"/>
            </w:rPr>
          </w:pPr>
          <w:hyperlink w:history="1" w:anchor="_Toc69947757">
            <w:r w:rsidRPr="00FD24A9" w:rsidR="00C054EE">
              <w:rPr>
                <w:rStyle w:val="Hyperlink"/>
                <w:noProof/>
              </w:rPr>
              <w:t>4.2.2.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_Toc69947757 \h </w:instrText>
            </w:r>
            <w:r w:rsidR="00C054EE">
              <w:rPr>
                <w:noProof/>
                <w:webHidden/>
              </w:rPr>
            </w:r>
            <w:r w:rsidR="00C054EE">
              <w:rPr>
                <w:noProof/>
                <w:webHidden/>
              </w:rPr>
              <w:fldChar w:fldCharType="separate"/>
            </w:r>
            <w:r w:rsidR="004C2E01">
              <w:rPr>
                <w:noProof/>
                <w:webHidden/>
              </w:rPr>
              <w:t>22</w:t>
            </w:r>
            <w:r w:rsidR="00C054EE">
              <w:rPr>
                <w:noProof/>
                <w:webHidden/>
              </w:rPr>
              <w:fldChar w:fldCharType="end"/>
            </w:r>
          </w:hyperlink>
        </w:p>
        <w:p w:rsidR="00C054EE" w:rsidRDefault="000D5832" w14:paraId="7F1AE764" w14:textId="0270D0D9">
          <w:pPr>
            <w:pStyle w:val="TOC3"/>
            <w:tabs>
              <w:tab w:val="left" w:pos="1296"/>
              <w:tab w:val="right" w:leader="dot" w:pos="9350"/>
            </w:tabs>
            <w:rPr>
              <w:rFonts w:asciiTheme="minorHAnsi" w:hAnsiTheme="minorHAnsi" w:cstheme="minorBidi"/>
              <w:noProof/>
              <w:sz w:val="22"/>
              <w:szCs w:val="22"/>
            </w:rPr>
          </w:pPr>
          <w:hyperlink w:history="1" w:anchor="_Toc69947758">
            <w:r w:rsidRPr="00FD24A9" w:rsidR="00C054EE">
              <w:rPr>
                <w:rStyle w:val="Hyperlink"/>
                <w:noProof/>
              </w:rPr>
              <w:t>4.2.3.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_Toc69947758 \h </w:instrText>
            </w:r>
            <w:r w:rsidR="00C054EE">
              <w:rPr>
                <w:noProof/>
                <w:webHidden/>
              </w:rPr>
            </w:r>
            <w:r w:rsidR="00C054EE">
              <w:rPr>
                <w:noProof/>
                <w:webHidden/>
              </w:rPr>
              <w:fldChar w:fldCharType="separate"/>
            </w:r>
            <w:r w:rsidR="004C2E01">
              <w:rPr>
                <w:noProof/>
                <w:webHidden/>
              </w:rPr>
              <w:t>23</w:t>
            </w:r>
            <w:r w:rsidR="00C054EE">
              <w:rPr>
                <w:noProof/>
                <w:webHidden/>
              </w:rPr>
              <w:fldChar w:fldCharType="end"/>
            </w:r>
          </w:hyperlink>
        </w:p>
        <w:p w:rsidR="00C054EE" w:rsidRDefault="000D5832" w14:paraId="462BD420" w14:textId="13C2DE58">
          <w:pPr>
            <w:pStyle w:val="TOC3"/>
            <w:tabs>
              <w:tab w:val="left" w:pos="1296"/>
              <w:tab w:val="right" w:leader="dot" w:pos="9350"/>
            </w:tabs>
            <w:rPr>
              <w:rFonts w:asciiTheme="minorHAnsi" w:hAnsiTheme="minorHAnsi" w:cstheme="minorBidi"/>
              <w:noProof/>
              <w:sz w:val="22"/>
              <w:szCs w:val="22"/>
            </w:rPr>
          </w:pPr>
          <w:hyperlink w:history="1" w:anchor="_Toc69947759">
            <w:r w:rsidRPr="00FD24A9" w:rsidR="00C054EE">
              <w:rPr>
                <w:rStyle w:val="Hyperlink"/>
                <w:noProof/>
              </w:rPr>
              <w:t>4.2.4.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_Toc69947759 \h </w:instrText>
            </w:r>
            <w:r w:rsidR="00C054EE">
              <w:rPr>
                <w:noProof/>
                <w:webHidden/>
              </w:rPr>
            </w:r>
            <w:r w:rsidR="00C054EE">
              <w:rPr>
                <w:noProof/>
                <w:webHidden/>
              </w:rPr>
              <w:fldChar w:fldCharType="separate"/>
            </w:r>
            <w:r w:rsidR="004C2E01">
              <w:rPr>
                <w:noProof/>
                <w:webHidden/>
              </w:rPr>
              <w:t>25</w:t>
            </w:r>
            <w:r w:rsidR="00C054EE">
              <w:rPr>
                <w:noProof/>
                <w:webHidden/>
              </w:rPr>
              <w:fldChar w:fldCharType="end"/>
            </w:r>
          </w:hyperlink>
        </w:p>
        <w:p w:rsidR="00C054EE" w:rsidRDefault="000D5832" w14:paraId="1A759F93" w14:textId="50347F8A">
          <w:pPr>
            <w:pStyle w:val="TOC3"/>
            <w:tabs>
              <w:tab w:val="left" w:pos="1296"/>
              <w:tab w:val="right" w:leader="dot" w:pos="9350"/>
            </w:tabs>
            <w:rPr>
              <w:rFonts w:asciiTheme="minorHAnsi" w:hAnsiTheme="minorHAnsi" w:cstheme="minorBidi"/>
              <w:noProof/>
              <w:sz w:val="22"/>
              <w:szCs w:val="22"/>
            </w:rPr>
          </w:pPr>
          <w:hyperlink w:history="1" w:anchor="_Toc69947760">
            <w:r w:rsidRPr="00FD24A9" w:rsidR="00C054EE">
              <w:rPr>
                <w:rStyle w:val="Hyperlink"/>
                <w:noProof/>
              </w:rPr>
              <w:t>4.2.5.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_Toc69947760 \h </w:instrText>
            </w:r>
            <w:r w:rsidR="00C054EE">
              <w:rPr>
                <w:noProof/>
                <w:webHidden/>
              </w:rPr>
            </w:r>
            <w:r w:rsidR="00C054EE">
              <w:rPr>
                <w:noProof/>
                <w:webHidden/>
              </w:rPr>
              <w:fldChar w:fldCharType="separate"/>
            </w:r>
            <w:r w:rsidR="004C2E01">
              <w:rPr>
                <w:noProof/>
                <w:webHidden/>
              </w:rPr>
              <w:t>27</w:t>
            </w:r>
            <w:r w:rsidR="00C054EE">
              <w:rPr>
                <w:noProof/>
                <w:webHidden/>
              </w:rPr>
              <w:fldChar w:fldCharType="end"/>
            </w:r>
          </w:hyperlink>
        </w:p>
        <w:p w:rsidR="00C054EE" w:rsidRDefault="000D5832" w14:paraId="2D779CFA" w14:textId="6FA95E7E">
          <w:pPr>
            <w:pStyle w:val="TOC3"/>
            <w:tabs>
              <w:tab w:val="left" w:pos="1296"/>
              <w:tab w:val="right" w:leader="dot" w:pos="9350"/>
            </w:tabs>
            <w:rPr>
              <w:rFonts w:asciiTheme="minorHAnsi" w:hAnsiTheme="minorHAnsi" w:cstheme="minorBidi"/>
              <w:noProof/>
              <w:sz w:val="22"/>
              <w:szCs w:val="22"/>
            </w:rPr>
          </w:pPr>
          <w:hyperlink w:history="1" w:anchor="_Toc69947761">
            <w:r w:rsidRPr="00FD24A9" w:rsidR="00C054EE">
              <w:rPr>
                <w:rStyle w:val="Hyperlink"/>
                <w:noProof/>
              </w:rPr>
              <w:t>4.2.6.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_Toc69947761 \h </w:instrText>
            </w:r>
            <w:r w:rsidR="00C054EE">
              <w:rPr>
                <w:noProof/>
                <w:webHidden/>
              </w:rPr>
            </w:r>
            <w:r w:rsidR="00C054EE">
              <w:rPr>
                <w:noProof/>
                <w:webHidden/>
              </w:rPr>
              <w:fldChar w:fldCharType="separate"/>
            </w:r>
            <w:r w:rsidR="004C2E01">
              <w:rPr>
                <w:noProof/>
                <w:webHidden/>
              </w:rPr>
              <w:t>28</w:t>
            </w:r>
            <w:r w:rsidR="00C054EE">
              <w:rPr>
                <w:noProof/>
                <w:webHidden/>
              </w:rPr>
              <w:fldChar w:fldCharType="end"/>
            </w:r>
          </w:hyperlink>
        </w:p>
        <w:p w:rsidR="00C054EE" w:rsidRDefault="000D5832" w14:paraId="60CDDCBD" w14:textId="07FE4579">
          <w:pPr>
            <w:pStyle w:val="TOC4"/>
            <w:tabs>
              <w:tab w:val="left" w:pos="1728"/>
              <w:tab w:val="right" w:leader="dot" w:pos="9350"/>
            </w:tabs>
            <w:rPr>
              <w:rFonts w:asciiTheme="minorHAnsi" w:hAnsiTheme="minorHAnsi" w:eastAsiaTheme="minorEastAsia" w:cstheme="minorBidi"/>
              <w:noProof/>
              <w:sz w:val="22"/>
              <w:szCs w:val="22"/>
            </w:rPr>
          </w:pPr>
          <w:hyperlink w:history="1" w:anchor="_Toc69947762">
            <w:r w:rsidRPr="00FD24A9" w:rsidR="00C054EE">
              <w:rPr>
                <w:rStyle w:val="Hyperlink"/>
                <w:noProof/>
              </w:rPr>
              <w:t>4.2.6.1.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_Toc69947762 \h </w:instrText>
            </w:r>
            <w:r w:rsidR="00C054EE">
              <w:rPr>
                <w:noProof/>
                <w:webHidden/>
              </w:rPr>
            </w:r>
            <w:r w:rsidR="00C054EE">
              <w:rPr>
                <w:noProof/>
                <w:webHidden/>
              </w:rPr>
              <w:fldChar w:fldCharType="separate"/>
            </w:r>
            <w:r w:rsidR="004C2E01">
              <w:rPr>
                <w:noProof/>
                <w:webHidden/>
              </w:rPr>
              <w:t>28</w:t>
            </w:r>
            <w:r w:rsidR="00C054EE">
              <w:rPr>
                <w:noProof/>
                <w:webHidden/>
              </w:rPr>
              <w:fldChar w:fldCharType="end"/>
            </w:r>
          </w:hyperlink>
        </w:p>
        <w:p w:rsidR="00C054EE" w:rsidRDefault="000D5832" w14:paraId="549A2829" w14:textId="030E274D">
          <w:pPr>
            <w:pStyle w:val="TOC4"/>
            <w:tabs>
              <w:tab w:val="left" w:pos="1728"/>
              <w:tab w:val="right" w:leader="dot" w:pos="9350"/>
            </w:tabs>
            <w:rPr>
              <w:rFonts w:asciiTheme="minorHAnsi" w:hAnsiTheme="minorHAnsi" w:eastAsiaTheme="minorEastAsia" w:cstheme="minorBidi"/>
              <w:noProof/>
              <w:sz w:val="22"/>
              <w:szCs w:val="22"/>
            </w:rPr>
          </w:pPr>
          <w:hyperlink w:history="1" w:anchor="_Toc69947763">
            <w:r w:rsidRPr="00FD24A9" w:rsidR="00C054EE">
              <w:rPr>
                <w:rStyle w:val="Hyperlink"/>
                <w:noProof/>
              </w:rPr>
              <w:t>4.2.6.2.</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_Toc69947763 \h </w:instrText>
            </w:r>
            <w:r w:rsidR="00C054EE">
              <w:rPr>
                <w:noProof/>
                <w:webHidden/>
              </w:rPr>
            </w:r>
            <w:r w:rsidR="00C054EE">
              <w:rPr>
                <w:noProof/>
                <w:webHidden/>
              </w:rPr>
              <w:fldChar w:fldCharType="separate"/>
            </w:r>
            <w:r w:rsidR="004C2E01">
              <w:rPr>
                <w:noProof/>
                <w:webHidden/>
              </w:rPr>
              <w:t>29</w:t>
            </w:r>
            <w:r w:rsidR="00C054EE">
              <w:rPr>
                <w:noProof/>
                <w:webHidden/>
              </w:rPr>
              <w:fldChar w:fldCharType="end"/>
            </w:r>
          </w:hyperlink>
        </w:p>
        <w:p w:rsidR="00C054EE" w:rsidRDefault="000D5832" w14:paraId="39037D25" w14:textId="00239B76">
          <w:pPr>
            <w:pStyle w:val="TOC4"/>
            <w:tabs>
              <w:tab w:val="left" w:pos="1728"/>
              <w:tab w:val="right" w:leader="dot" w:pos="9350"/>
            </w:tabs>
            <w:rPr>
              <w:rFonts w:asciiTheme="minorHAnsi" w:hAnsiTheme="minorHAnsi" w:eastAsiaTheme="minorEastAsia" w:cstheme="minorBidi"/>
              <w:noProof/>
              <w:sz w:val="22"/>
              <w:szCs w:val="22"/>
            </w:rPr>
          </w:pPr>
          <w:hyperlink w:history="1" w:anchor="_Toc69947764">
            <w:r w:rsidRPr="00FD24A9" w:rsidR="00C054EE">
              <w:rPr>
                <w:rStyle w:val="Hyperlink"/>
                <w:noProof/>
              </w:rPr>
              <w:t>4.2.6.3.</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_Toc69947764 \h </w:instrText>
            </w:r>
            <w:r w:rsidR="00C054EE">
              <w:rPr>
                <w:noProof/>
                <w:webHidden/>
              </w:rPr>
            </w:r>
            <w:r w:rsidR="00C054EE">
              <w:rPr>
                <w:noProof/>
                <w:webHidden/>
              </w:rPr>
              <w:fldChar w:fldCharType="separate"/>
            </w:r>
            <w:r w:rsidR="004C2E01">
              <w:rPr>
                <w:noProof/>
                <w:webHidden/>
              </w:rPr>
              <w:t>30</w:t>
            </w:r>
            <w:r w:rsidR="00C054EE">
              <w:rPr>
                <w:noProof/>
                <w:webHidden/>
              </w:rPr>
              <w:fldChar w:fldCharType="end"/>
            </w:r>
          </w:hyperlink>
        </w:p>
        <w:p w:rsidR="00C054EE" w:rsidRDefault="000D5832" w14:paraId="55E4BC85" w14:textId="020D8EE8">
          <w:pPr>
            <w:pStyle w:val="TOC3"/>
            <w:tabs>
              <w:tab w:val="left" w:pos="1296"/>
              <w:tab w:val="right" w:leader="dot" w:pos="9350"/>
            </w:tabs>
            <w:rPr>
              <w:rFonts w:asciiTheme="minorHAnsi" w:hAnsiTheme="minorHAnsi" w:cstheme="minorBidi"/>
              <w:noProof/>
              <w:sz w:val="22"/>
              <w:szCs w:val="22"/>
            </w:rPr>
          </w:pPr>
          <w:hyperlink w:history="1" w:anchor="_Toc69947765">
            <w:r w:rsidRPr="00FD24A9" w:rsidR="00C054EE">
              <w:rPr>
                <w:rStyle w:val="Hyperlink"/>
                <w:noProof/>
              </w:rPr>
              <w:t>4.2.7.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_Toc69947765 \h </w:instrText>
            </w:r>
            <w:r w:rsidR="00C054EE">
              <w:rPr>
                <w:noProof/>
                <w:webHidden/>
              </w:rPr>
            </w:r>
            <w:r w:rsidR="00C054EE">
              <w:rPr>
                <w:noProof/>
                <w:webHidden/>
              </w:rPr>
              <w:fldChar w:fldCharType="separate"/>
            </w:r>
            <w:r w:rsidR="004C2E01">
              <w:rPr>
                <w:noProof/>
                <w:webHidden/>
              </w:rPr>
              <w:t>30</w:t>
            </w:r>
            <w:r w:rsidR="00C054EE">
              <w:rPr>
                <w:noProof/>
                <w:webHidden/>
              </w:rPr>
              <w:fldChar w:fldCharType="end"/>
            </w:r>
          </w:hyperlink>
        </w:p>
        <w:p w:rsidR="00C054EE" w:rsidRDefault="000D5832" w14:paraId="4321307A" w14:textId="151FB917">
          <w:pPr>
            <w:pStyle w:val="TOC4"/>
            <w:tabs>
              <w:tab w:val="left" w:pos="1728"/>
              <w:tab w:val="right" w:leader="dot" w:pos="9350"/>
            </w:tabs>
            <w:rPr>
              <w:rFonts w:asciiTheme="minorHAnsi" w:hAnsiTheme="minorHAnsi" w:eastAsiaTheme="minorEastAsia" w:cstheme="minorBidi"/>
              <w:noProof/>
              <w:sz w:val="22"/>
              <w:szCs w:val="22"/>
            </w:rPr>
          </w:pPr>
          <w:hyperlink w:history="1" w:anchor="_Toc69947766">
            <w:r w:rsidRPr="00FD24A9" w:rsidR="00C054EE">
              <w:rPr>
                <w:rStyle w:val="Hyperlink"/>
                <w:noProof/>
              </w:rPr>
              <w:t>4.2.7.1.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_Toc69947766 \h </w:instrText>
            </w:r>
            <w:r w:rsidR="00C054EE">
              <w:rPr>
                <w:noProof/>
                <w:webHidden/>
              </w:rPr>
            </w:r>
            <w:r w:rsidR="00C054EE">
              <w:rPr>
                <w:noProof/>
                <w:webHidden/>
              </w:rPr>
              <w:fldChar w:fldCharType="separate"/>
            </w:r>
            <w:r w:rsidR="004C2E01">
              <w:rPr>
                <w:noProof/>
                <w:webHidden/>
              </w:rPr>
              <w:t>30</w:t>
            </w:r>
            <w:r w:rsidR="00C054EE">
              <w:rPr>
                <w:noProof/>
                <w:webHidden/>
              </w:rPr>
              <w:fldChar w:fldCharType="end"/>
            </w:r>
          </w:hyperlink>
        </w:p>
        <w:p w:rsidR="00C054EE" w:rsidRDefault="000D5832" w14:paraId="6B4DA351" w14:textId="5CD1DCE3">
          <w:pPr>
            <w:pStyle w:val="TOC4"/>
            <w:tabs>
              <w:tab w:val="left" w:pos="1728"/>
              <w:tab w:val="right" w:leader="dot" w:pos="9350"/>
            </w:tabs>
            <w:rPr>
              <w:rFonts w:asciiTheme="minorHAnsi" w:hAnsiTheme="minorHAnsi" w:eastAsiaTheme="minorEastAsia" w:cstheme="minorBidi"/>
              <w:noProof/>
              <w:sz w:val="22"/>
              <w:szCs w:val="22"/>
            </w:rPr>
          </w:pPr>
          <w:hyperlink w:history="1" w:anchor="_Toc69947767">
            <w:r w:rsidRPr="00FD24A9" w:rsidR="00C054EE">
              <w:rPr>
                <w:rStyle w:val="Hyperlink"/>
                <w:noProof/>
              </w:rPr>
              <w:t>4.2.7.2.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_Toc69947767 \h </w:instrText>
            </w:r>
            <w:r w:rsidR="00C054EE">
              <w:rPr>
                <w:noProof/>
                <w:webHidden/>
              </w:rPr>
            </w:r>
            <w:r w:rsidR="00C054EE">
              <w:rPr>
                <w:noProof/>
                <w:webHidden/>
              </w:rPr>
              <w:fldChar w:fldCharType="separate"/>
            </w:r>
            <w:r w:rsidR="004C2E01">
              <w:rPr>
                <w:noProof/>
                <w:webHidden/>
              </w:rPr>
              <w:t>31</w:t>
            </w:r>
            <w:r w:rsidR="00C054EE">
              <w:rPr>
                <w:noProof/>
                <w:webHidden/>
              </w:rPr>
              <w:fldChar w:fldCharType="end"/>
            </w:r>
          </w:hyperlink>
        </w:p>
        <w:p w:rsidR="00C054EE" w:rsidRDefault="000D5832" w14:paraId="1C7F42F4" w14:textId="670DC3EF">
          <w:pPr>
            <w:pStyle w:val="TOC4"/>
            <w:tabs>
              <w:tab w:val="left" w:pos="1728"/>
              <w:tab w:val="right" w:leader="dot" w:pos="9350"/>
            </w:tabs>
            <w:rPr>
              <w:rFonts w:asciiTheme="minorHAnsi" w:hAnsiTheme="minorHAnsi" w:eastAsiaTheme="minorEastAsia" w:cstheme="minorBidi"/>
              <w:noProof/>
              <w:sz w:val="22"/>
              <w:szCs w:val="22"/>
            </w:rPr>
          </w:pPr>
          <w:hyperlink w:history="1" w:anchor="_Toc69947768">
            <w:r w:rsidRPr="00FD24A9" w:rsidR="00C054EE">
              <w:rPr>
                <w:rStyle w:val="Hyperlink"/>
                <w:noProof/>
              </w:rPr>
              <w:t>4.2.7.3.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_Toc69947768 \h </w:instrText>
            </w:r>
            <w:r w:rsidR="00C054EE">
              <w:rPr>
                <w:noProof/>
                <w:webHidden/>
              </w:rPr>
            </w:r>
            <w:r w:rsidR="00C054EE">
              <w:rPr>
                <w:noProof/>
                <w:webHidden/>
              </w:rPr>
              <w:fldChar w:fldCharType="separate"/>
            </w:r>
            <w:r w:rsidR="004C2E01">
              <w:rPr>
                <w:noProof/>
                <w:webHidden/>
              </w:rPr>
              <w:t>32</w:t>
            </w:r>
            <w:r w:rsidR="00C054EE">
              <w:rPr>
                <w:noProof/>
                <w:webHidden/>
              </w:rPr>
              <w:fldChar w:fldCharType="end"/>
            </w:r>
          </w:hyperlink>
        </w:p>
        <w:p w:rsidR="00C054EE" w:rsidRDefault="000D5832" w14:paraId="59384D1A" w14:textId="46DA9127">
          <w:pPr>
            <w:pStyle w:val="TOC4"/>
            <w:tabs>
              <w:tab w:val="left" w:pos="1728"/>
              <w:tab w:val="right" w:leader="dot" w:pos="9350"/>
            </w:tabs>
            <w:rPr>
              <w:rFonts w:asciiTheme="minorHAnsi" w:hAnsiTheme="minorHAnsi" w:eastAsiaTheme="minorEastAsia" w:cstheme="minorBidi"/>
              <w:noProof/>
              <w:sz w:val="22"/>
              <w:szCs w:val="22"/>
            </w:rPr>
          </w:pPr>
          <w:hyperlink w:history="1" w:anchor="_Toc69947769">
            <w:r w:rsidRPr="00FD24A9" w:rsidR="00C054EE">
              <w:rPr>
                <w:rStyle w:val="Hyperlink"/>
                <w:noProof/>
              </w:rPr>
              <w:t>4.2.7.4.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_Toc69947769 \h </w:instrText>
            </w:r>
            <w:r w:rsidR="00C054EE">
              <w:rPr>
                <w:noProof/>
                <w:webHidden/>
              </w:rPr>
            </w:r>
            <w:r w:rsidR="00C054EE">
              <w:rPr>
                <w:noProof/>
                <w:webHidden/>
              </w:rPr>
              <w:fldChar w:fldCharType="separate"/>
            </w:r>
            <w:r w:rsidR="004C2E01">
              <w:rPr>
                <w:noProof/>
                <w:webHidden/>
              </w:rPr>
              <w:t>32</w:t>
            </w:r>
            <w:r w:rsidR="00C054EE">
              <w:rPr>
                <w:noProof/>
                <w:webHidden/>
              </w:rPr>
              <w:fldChar w:fldCharType="end"/>
            </w:r>
          </w:hyperlink>
        </w:p>
        <w:p w:rsidR="00C054EE" w:rsidRDefault="000D5832" w14:paraId="5FF2BCB4" w14:textId="62ECF86B">
          <w:pPr>
            <w:pStyle w:val="TOC3"/>
            <w:tabs>
              <w:tab w:val="left" w:pos="1296"/>
              <w:tab w:val="right" w:leader="dot" w:pos="9350"/>
            </w:tabs>
            <w:rPr>
              <w:rFonts w:asciiTheme="minorHAnsi" w:hAnsiTheme="minorHAnsi" w:cstheme="minorBidi"/>
              <w:noProof/>
              <w:sz w:val="22"/>
              <w:szCs w:val="22"/>
            </w:rPr>
          </w:pPr>
          <w:hyperlink w:history="1" w:anchor="_Toc69947770">
            <w:r w:rsidRPr="00FD24A9" w:rsidR="00C054EE">
              <w:rPr>
                <w:rStyle w:val="Hyperlink"/>
                <w:noProof/>
              </w:rPr>
              <w:t>4.2.8.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_Toc69947770 \h </w:instrText>
            </w:r>
            <w:r w:rsidR="00C054EE">
              <w:rPr>
                <w:noProof/>
                <w:webHidden/>
              </w:rPr>
            </w:r>
            <w:r w:rsidR="00C054EE">
              <w:rPr>
                <w:noProof/>
                <w:webHidden/>
              </w:rPr>
              <w:fldChar w:fldCharType="separate"/>
            </w:r>
            <w:r w:rsidR="004C2E01">
              <w:rPr>
                <w:noProof/>
                <w:webHidden/>
              </w:rPr>
              <w:t>33</w:t>
            </w:r>
            <w:r w:rsidR="00C054EE">
              <w:rPr>
                <w:noProof/>
                <w:webHidden/>
              </w:rPr>
              <w:fldChar w:fldCharType="end"/>
            </w:r>
          </w:hyperlink>
        </w:p>
        <w:p w:rsidR="00C054EE" w:rsidRDefault="000D5832" w14:paraId="7E3E328F" w14:textId="65F9E28B">
          <w:pPr>
            <w:pStyle w:val="TOC4"/>
            <w:tabs>
              <w:tab w:val="left" w:pos="1728"/>
              <w:tab w:val="right" w:leader="dot" w:pos="9350"/>
            </w:tabs>
            <w:rPr>
              <w:rFonts w:asciiTheme="minorHAnsi" w:hAnsiTheme="minorHAnsi" w:eastAsiaTheme="minorEastAsia" w:cstheme="minorBidi"/>
              <w:noProof/>
              <w:sz w:val="22"/>
              <w:szCs w:val="22"/>
            </w:rPr>
          </w:pPr>
          <w:hyperlink w:history="1" w:anchor="_Toc69947771">
            <w:r w:rsidRPr="00FD24A9" w:rsidR="00C054EE">
              <w:rPr>
                <w:rStyle w:val="Hyperlink"/>
                <w:noProof/>
              </w:rPr>
              <w:t>4.2.8.1.</w:t>
            </w:r>
            <w:r w:rsidR="00C054EE">
              <w:rPr>
                <w:rFonts w:asciiTheme="minorHAnsi" w:hAnsiTheme="minorHAnsi" w:eastAsiaTheme="minorEastAsia" w:cstheme="minorBidi"/>
                <w:noProof/>
                <w:sz w:val="22"/>
                <w:szCs w:val="22"/>
              </w:rPr>
              <w:tab/>
            </w:r>
            <w:r w:rsidRPr="00FD24A9" w:rsidR="00C054EE">
              <w:rPr>
                <w:rStyle w:val="Hyperlink"/>
                <w:noProof/>
              </w:rPr>
              <w:t>Extending Recertification for the CARE Expansion Program: Approved</w:t>
            </w:r>
            <w:r w:rsidR="00C054EE">
              <w:rPr>
                <w:noProof/>
                <w:webHidden/>
              </w:rPr>
              <w:tab/>
            </w:r>
            <w:r w:rsidR="00C054EE">
              <w:rPr>
                <w:noProof/>
                <w:webHidden/>
              </w:rPr>
              <w:fldChar w:fldCharType="begin"/>
            </w:r>
            <w:r w:rsidR="00C054EE">
              <w:rPr>
                <w:noProof/>
                <w:webHidden/>
              </w:rPr>
              <w:instrText xml:space="preserve"> PAGEREF _Toc69947771 \h </w:instrText>
            </w:r>
            <w:r w:rsidR="00C054EE">
              <w:rPr>
                <w:noProof/>
                <w:webHidden/>
              </w:rPr>
            </w:r>
            <w:r w:rsidR="00C054EE">
              <w:rPr>
                <w:noProof/>
                <w:webHidden/>
              </w:rPr>
              <w:fldChar w:fldCharType="separate"/>
            </w:r>
            <w:r w:rsidR="004C2E01">
              <w:rPr>
                <w:noProof/>
                <w:webHidden/>
              </w:rPr>
              <w:t>33</w:t>
            </w:r>
            <w:r w:rsidR="00C054EE">
              <w:rPr>
                <w:noProof/>
                <w:webHidden/>
              </w:rPr>
              <w:fldChar w:fldCharType="end"/>
            </w:r>
          </w:hyperlink>
        </w:p>
        <w:p w:rsidR="00C054EE" w:rsidRDefault="000D5832" w14:paraId="33268ABE" w14:textId="26CDDC83">
          <w:pPr>
            <w:pStyle w:val="TOC4"/>
            <w:tabs>
              <w:tab w:val="left" w:pos="1728"/>
              <w:tab w:val="right" w:leader="dot" w:pos="9350"/>
            </w:tabs>
            <w:rPr>
              <w:rFonts w:asciiTheme="minorHAnsi" w:hAnsiTheme="minorHAnsi" w:eastAsiaTheme="minorEastAsia" w:cstheme="minorBidi"/>
              <w:noProof/>
              <w:sz w:val="22"/>
              <w:szCs w:val="22"/>
            </w:rPr>
          </w:pPr>
          <w:hyperlink w:history="1" w:anchor="_Toc69947772">
            <w:r w:rsidRPr="00FD24A9" w:rsidR="00C054EE">
              <w:rPr>
                <w:rStyle w:val="Hyperlink"/>
                <w:noProof/>
              </w:rPr>
              <w:t>4.2.8.2.</w:t>
            </w:r>
            <w:r w:rsidR="00C054EE">
              <w:rPr>
                <w:rFonts w:asciiTheme="minorHAnsi" w:hAnsiTheme="minorHAnsi" w:eastAsiaTheme="minorEastAsia" w:cstheme="minorBidi"/>
                <w:noProof/>
                <w:sz w:val="22"/>
                <w:szCs w:val="22"/>
              </w:rPr>
              <w:tab/>
            </w:r>
            <w:r w:rsidRPr="00FD24A9" w:rsidR="00C054EE">
              <w:rPr>
                <w:rStyle w:val="Hyperlink"/>
                <w:noProof/>
              </w:rPr>
              <w:t>Exempting Recertification for Fixed Income Households: Approved</w:t>
            </w:r>
            <w:r w:rsidR="00C054EE">
              <w:rPr>
                <w:noProof/>
                <w:webHidden/>
              </w:rPr>
              <w:tab/>
            </w:r>
            <w:r w:rsidR="00C054EE">
              <w:rPr>
                <w:noProof/>
                <w:webHidden/>
              </w:rPr>
              <w:fldChar w:fldCharType="begin"/>
            </w:r>
            <w:r w:rsidR="00C054EE">
              <w:rPr>
                <w:noProof/>
                <w:webHidden/>
              </w:rPr>
              <w:instrText xml:space="preserve"> PAGEREF _Toc69947772 \h </w:instrText>
            </w:r>
            <w:r w:rsidR="00C054EE">
              <w:rPr>
                <w:noProof/>
                <w:webHidden/>
              </w:rPr>
            </w:r>
            <w:r w:rsidR="00C054EE">
              <w:rPr>
                <w:noProof/>
                <w:webHidden/>
              </w:rPr>
              <w:fldChar w:fldCharType="separate"/>
            </w:r>
            <w:r w:rsidR="004C2E01">
              <w:rPr>
                <w:noProof/>
                <w:webHidden/>
              </w:rPr>
              <w:t>34</w:t>
            </w:r>
            <w:r w:rsidR="00C054EE">
              <w:rPr>
                <w:noProof/>
                <w:webHidden/>
              </w:rPr>
              <w:fldChar w:fldCharType="end"/>
            </w:r>
          </w:hyperlink>
        </w:p>
        <w:p w:rsidR="00C054EE" w:rsidRDefault="000D5832" w14:paraId="68A558FD" w14:textId="5C4E5A42">
          <w:pPr>
            <w:pStyle w:val="TOC4"/>
            <w:tabs>
              <w:tab w:val="left" w:pos="1728"/>
              <w:tab w:val="right" w:leader="dot" w:pos="9350"/>
            </w:tabs>
            <w:rPr>
              <w:rFonts w:asciiTheme="minorHAnsi" w:hAnsiTheme="minorHAnsi" w:eastAsiaTheme="minorEastAsia" w:cstheme="minorBidi"/>
              <w:noProof/>
              <w:sz w:val="22"/>
              <w:szCs w:val="22"/>
            </w:rPr>
          </w:pPr>
          <w:hyperlink w:history="1" w:anchor="_Toc69947773">
            <w:r w:rsidRPr="00FD24A9" w:rsidR="00C054EE">
              <w:rPr>
                <w:rStyle w:val="Hyperlink"/>
                <w:noProof/>
              </w:rPr>
              <w:t>4.2.8.3.</w:t>
            </w:r>
            <w:r w:rsidR="00C054EE">
              <w:rPr>
                <w:rFonts w:asciiTheme="minorHAnsi" w:hAnsiTheme="minorHAnsi" w:eastAsiaTheme="minorEastAsia" w:cstheme="minorBidi"/>
                <w:noProof/>
                <w:sz w:val="22"/>
                <w:szCs w:val="22"/>
              </w:rPr>
              <w:tab/>
            </w:r>
            <w:r w:rsidRPr="00FD24A9" w:rsidR="00C054EE">
              <w:rPr>
                <w:rStyle w:val="Hyperlink"/>
                <w:noProof/>
              </w:rPr>
              <w:t>Updating Probability Models: Approved</w:t>
            </w:r>
            <w:r w:rsidR="00C054EE">
              <w:rPr>
                <w:noProof/>
                <w:webHidden/>
              </w:rPr>
              <w:tab/>
            </w:r>
            <w:r w:rsidR="00C054EE">
              <w:rPr>
                <w:noProof/>
                <w:webHidden/>
              </w:rPr>
              <w:fldChar w:fldCharType="begin"/>
            </w:r>
            <w:r w:rsidR="00C054EE">
              <w:rPr>
                <w:noProof/>
                <w:webHidden/>
              </w:rPr>
              <w:instrText xml:space="preserve"> PAGEREF _Toc69947773 \h </w:instrText>
            </w:r>
            <w:r w:rsidR="00C054EE">
              <w:rPr>
                <w:noProof/>
                <w:webHidden/>
              </w:rPr>
            </w:r>
            <w:r w:rsidR="00C054EE">
              <w:rPr>
                <w:noProof/>
                <w:webHidden/>
              </w:rPr>
              <w:fldChar w:fldCharType="separate"/>
            </w:r>
            <w:r w:rsidR="004C2E01">
              <w:rPr>
                <w:noProof/>
                <w:webHidden/>
              </w:rPr>
              <w:t>34</w:t>
            </w:r>
            <w:r w:rsidR="00C054EE">
              <w:rPr>
                <w:noProof/>
                <w:webHidden/>
              </w:rPr>
              <w:fldChar w:fldCharType="end"/>
            </w:r>
          </w:hyperlink>
        </w:p>
        <w:p w:rsidR="00C054EE" w:rsidRDefault="000D5832" w14:paraId="2A53C411" w14:textId="49FABC07">
          <w:pPr>
            <w:pStyle w:val="TOC4"/>
            <w:tabs>
              <w:tab w:val="left" w:pos="1728"/>
              <w:tab w:val="right" w:leader="dot" w:pos="9350"/>
            </w:tabs>
            <w:rPr>
              <w:rFonts w:asciiTheme="minorHAnsi" w:hAnsiTheme="minorHAnsi" w:eastAsiaTheme="minorEastAsia" w:cstheme="minorBidi"/>
              <w:noProof/>
              <w:sz w:val="22"/>
              <w:szCs w:val="22"/>
            </w:rPr>
          </w:pPr>
          <w:hyperlink w:history="1" w:anchor="_Toc69947774">
            <w:r w:rsidRPr="00FD24A9" w:rsidR="00C054EE">
              <w:rPr>
                <w:rStyle w:val="Hyperlink"/>
                <w:noProof/>
              </w:rPr>
              <w:t>4.2.8.4.</w:t>
            </w:r>
            <w:r w:rsidR="00C054EE">
              <w:rPr>
                <w:rFonts w:asciiTheme="minorHAnsi" w:hAnsiTheme="minorHAnsi" w:eastAsiaTheme="minorEastAsia" w:cstheme="minorBidi"/>
                <w:noProof/>
                <w:sz w:val="22"/>
                <w:szCs w:val="22"/>
              </w:rPr>
              <w:tab/>
            </w:r>
            <w:r w:rsidRPr="00FD24A9" w:rsidR="00C054EE">
              <w:rPr>
                <w:rStyle w:val="Hyperlink"/>
                <w:noProof/>
              </w:rPr>
              <w:t xml:space="preserve">Auto-Recertifying “High Probability” Households: </w:t>
            </w:r>
            <w:r w:rsidR="00480C4A">
              <w:rPr>
                <w:rStyle w:val="Hyperlink"/>
                <w:noProof/>
              </w:rPr>
              <w:br/>
            </w:r>
            <w:r w:rsidRPr="00FD24A9" w:rsidR="00C054EE">
              <w:rPr>
                <w:rStyle w:val="Hyperlink"/>
                <w:noProof/>
              </w:rPr>
              <w:t>Approved</w:t>
            </w:r>
            <w:r w:rsidR="00C054EE">
              <w:rPr>
                <w:noProof/>
                <w:webHidden/>
              </w:rPr>
              <w:tab/>
            </w:r>
            <w:r w:rsidR="00C054EE">
              <w:rPr>
                <w:noProof/>
                <w:webHidden/>
              </w:rPr>
              <w:fldChar w:fldCharType="begin"/>
            </w:r>
            <w:r w:rsidR="00C054EE">
              <w:rPr>
                <w:noProof/>
                <w:webHidden/>
              </w:rPr>
              <w:instrText xml:space="preserve"> PAGEREF _Toc69947774 \h </w:instrText>
            </w:r>
            <w:r w:rsidR="00C054EE">
              <w:rPr>
                <w:noProof/>
                <w:webHidden/>
              </w:rPr>
            </w:r>
            <w:r w:rsidR="00C054EE">
              <w:rPr>
                <w:noProof/>
                <w:webHidden/>
              </w:rPr>
              <w:fldChar w:fldCharType="separate"/>
            </w:r>
            <w:r w:rsidR="004C2E01">
              <w:rPr>
                <w:noProof/>
                <w:webHidden/>
              </w:rPr>
              <w:t>35</w:t>
            </w:r>
            <w:r w:rsidR="00C054EE">
              <w:rPr>
                <w:noProof/>
                <w:webHidden/>
              </w:rPr>
              <w:fldChar w:fldCharType="end"/>
            </w:r>
          </w:hyperlink>
        </w:p>
        <w:p w:rsidR="00C054EE" w:rsidRDefault="000D5832" w14:paraId="6A959810" w14:textId="78D58A2A">
          <w:pPr>
            <w:pStyle w:val="TOC4"/>
            <w:tabs>
              <w:tab w:val="left" w:pos="1728"/>
              <w:tab w:val="right" w:leader="dot" w:pos="9350"/>
            </w:tabs>
            <w:rPr>
              <w:rFonts w:asciiTheme="minorHAnsi" w:hAnsiTheme="minorHAnsi" w:eastAsiaTheme="minorEastAsia" w:cstheme="minorBidi"/>
              <w:noProof/>
              <w:sz w:val="22"/>
              <w:szCs w:val="22"/>
            </w:rPr>
          </w:pPr>
          <w:hyperlink w:history="1" w:anchor="_Toc69947775">
            <w:r w:rsidRPr="00FD24A9" w:rsidR="00C054EE">
              <w:rPr>
                <w:rStyle w:val="Hyperlink"/>
                <w:noProof/>
              </w:rPr>
              <w:t>4.2.8.5.</w:t>
            </w:r>
            <w:r w:rsidR="00C054EE">
              <w:rPr>
                <w:rFonts w:asciiTheme="minorHAnsi" w:hAnsiTheme="minorHAnsi" w:eastAsiaTheme="minorEastAsia" w:cstheme="minorBidi"/>
                <w:noProof/>
                <w:sz w:val="22"/>
                <w:szCs w:val="22"/>
              </w:rPr>
              <w:tab/>
            </w:r>
            <w:r w:rsidRPr="00FD24A9" w:rsidR="00C054EE">
              <w:rPr>
                <w:rStyle w:val="Hyperlink"/>
                <w:noProof/>
              </w:rPr>
              <w:t xml:space="preserve">Increasing the High Usage PEV Threshold: </w:t>
            </w:r>
            <w:r w:rsidR="00480C4A">
              <w:rPr>
                <w:rStyle w:val="Hyperlink"/>
                <w:noProof/>
              </w:rPr>
              <w:br/>
            </w:r>
            <w:r w:rsidRPr="00FD24A9" w:rsidR="00C054EE">
              <w:rPr>
                <w:rStyle w:val="Hyperlink"/>
                <w:noProof/>
              </w:rPr>
              <w:t>Approved</w:t>
            </w:r>
            <w:r w:rsidR="00C054EE">
              <w:rPr>
                <w:noProof/>
                <w:webHidden/>
              </w:rPr>
              <w:tab/>
            </w:r>
            <w:r w:rsidR="00C054EE">
              <w:rPr>
                <w:noProof/>
                <w:webHidden/>
              </w:rPr>
              <w:fldChar w:fldCharType="begin"/>
            </w:r>
            <w:r w:rsidR="00C054EE">
              <w:rPr>
                <w:noProof/>
                <w:webHidden/>
              </w:rPr>
              <w:instrText xml:space="preserve"> PAGEREF _Toc69947775 \h </w:instrText>
            </w:r>
            <w:r w:rsidR="00C054EE">
              <w:rPr>
                <w:noProof/>
                <w:webHidden/>
              </w:rPr>
            </w:r>
            <w:r w:rsidR="00C054EE">
              <w:rPr>
                <w:noProof/>
                <w:webHidden/>
              </w:rPr>
              <w:fldChar w:fldCharType="separate"/>
            </w:r>
            <w:r w:rsidR="004C2E01">
              <w:rPr>
                <w:noProof/>
                <w:webHidden/>
              </w:rPr>
              <w:t>37</w:t>
            </w:r>
            <w:r w:rsidR="00C054EE">
              <w:rPr>
                <w:noProof/>
                <w:webHidden/>
              </w:rPr>
              <w:fldChar w:fldCharType="end"/>
            </w:r>
          </w:hyperlink>
        </w:p>
        <w:p w:rsidR="00C054EE" w:rsidRDefault="000D5832" w14:paraId="07F7A07E" w14:textId="47DCFB7F">
          <w:pPr>
            <w:pStyle w:val="TOC4"/>
            <w:tabs>
              <w:tab w:val="left" w:pos="1728"/>
              <w:tab w:val="right" w:leader="dot" w:pos="9350"/>
            </w:tabs>
            <w:rPr>
              <w:rFonts w:asciiTheme="minorHAnsi" w:hAnsiTheme="minorHAnsi" w:eastAsiaTheme="minorEastAsia" w:cstheme="minorBidi"/>
              <w:noProof/>
              <w:sz w:val="22"/>
              <w:szCs w:val="22"/>
            </w:rPr>
          </w:pPr>
          <w:hyperlink w:history="1" w:anchor="_Toc69947776">
            <w:r w:rsidRPr="00FD24A9" w:rsidR="00C054EE">
              <w:rPr>
                <w:rStyle w:val="Hyperlink"/>
                <w:noProof/>
              </w:rPr>
              <w:t>4.2.8.6.</w:t>
            </w:r>
            <w:r w:rsidR="00C054EE">
              <w:rPr>
                <w:rFonts w:asciiTheme="minorHAnsi" w:hAnsiTheme="minorHAnsi" w:eastAsiaTheme="minorEastAsia" w:cstheme="minorBidi"/>
                <w:noProof/>
                <w:sz w:val="22"/>
                <w:szCs w:val="22"/>
              </w:rPr>
              <w:tab/>
            </w:r>
            <w:r w:rsidRPr="00FD24A9" w:rsidR="00C054EE">
              <w:rPr>
                <w:rStyle w:val="Hyperlink"/>
                <w:noProof/>
              </w:rPr>
              <w:t xml:space="preserve">Modifying PEV Income Documentation: </w:t>
            </w:r>
            <w:r w:rsidR="00480C4A">
              <w:rPr>
                <w:rStyle w:val="Hyperlink"/>
                <w:noProof/>
              </w:rPr>
              <w:br/>
            </w:r>
            <w:r w:rsidRPr="00FD24A9" w:rsidR="00C054EE">
              <w:rPr>
                <w:rStyle w:val="Hyperlink"/>
                <w:noProof/>
              </w:rPr>
              <w:t>Approved</w:t>
            </w:r>
            <w:r w:rsidR="00C054EE">
              <w:rPr>
                <w:noProof/>
                <w:webHidden/>
              </w:rPr>
              <w:tab/>
            </w:r>
            <w:r w:rsidR="00C054EE">
              <w:rPr>
                <w:noProof/>
                <w:webHidden/>
              </w:rPr>
              <w:fldChar w:fldCharType="begin"/>
            </w:r>
            <w:r w:rsidR="00C054EE">
              <w:rPr>
                <w:noProof/>
                <w:webHidden/>
              </w:rPr>
              <w:instrText xml:space="preserve"> PAGEREF _Toc69947776 \h </w:instrText>
            </w:r>
            <w:r w:rsidR="00C054EE">
              <w:rPr>
                <w:noProof/>
                <w:webHidden/>
              </w:rPr>
            </w:r>
            <w:r w:rsidR="00C054EE">
              <w:rPr>
                <w:noProof/>
                <w:webHidden/>
              </w:rPr>
              <w:fldChar w:fldCharType="separate"/>
            </w:r>
            <w:r w:rsidR="004C2E01">
              <w:rPr>
                <w:noProof/>
                <w:webHidden/>
              </w:rPr>
              <w:t>38</w:t>
            </w:r>
            <w:r w:rsidR="00C054EE">
              <w:rPr>
                <w:noProof/>
                <w:webHidden/>
              </w:rPr>
              <w:fldChar w:fldCharType="end"/>
            </w:r>
          </w:hyperlink>
        </w:p>
        <w:p w:rsidR="00C054EE" w:rsidRDefault="000D5832" w14:paraId="41D4ACDC" w14:textId="09CBE3AD">
          <w:pPr>
            <w:pStyle w:val="TOC4"/>
            <w:tabs>
              <w:tab w:val="left" w:pos="1728"/>
              <w:tab w:val="right" w:leader="dot" w:pos="9350"/>
            </w:tabs>
            <w:rPr>
              <w:rFonts w:asciiTheme="minorHAnsi" w:hAnsiTheme="minorHAnsi" w:eastAsiaTheme="minorEastAsia" w:cstheme="minorBidi"/>
              <w:noProof/>
              <w:sz w:val="22"/>
              <w:szCs w:val="22"/>
            </w:rPr>
          </w:pPr>
          <w:hyperlink w:history="1" w:anchor="_Toc69947777">
            <w:r w:rsidRPr="00FD24A9" w:rsidR="00C054EE">
              <w:rPr>
                <w:rStyle w:val="Hyperlink"/>
                <w:noProof/>
              </w:rPr>
              <w:t>4.2.8.7.</w:t>
            </w:r>
            <w:r w:rsidR="00C054EE">
              <w:rPr>
                <w:rFonts w:asciiTheme="minorHAnsi" w:hAnsiTheme="minorHAnsi" w:eastAsiaTheme="minorEastAsia" w:cstheme="minorBidi"/>
                <w:noProof/>
                <w:sz w:val="22"/>
                <w:szCs w:val="22"/>
              </w:rPr>
              <w:tab/>
            </w:r>
            <w:r w:rsidRPr="00FD24A9" w:rsidR="00C054EE">
              <w:rPr>
                <w:rStyle w:val="Hyperlink"/>
                <w:noProof/>
              </w:rPr>
              <w:t xml:space="preserve">Funding ENA Training and CARE Hotline: </w:t>
            </w:r>
            <w:r w:rsidR="00480C4A">
              <w:rPr>
                <w:rStyle w:val="Hyperlink"/>
                <w:noProof/>
              </w:rPr>
              <w:br/>
            </w:r>
            <w:r w:rsidRPr="00FD24A9" w:rsidR="00C054EE">
              <w:rPr>
                <w:rStyle w:val="Hyperlink"/>
                <w:noProof/>
              </w:rPr>
              <w:t>Approved</w:t>
            </w:r>
            <w:r w:rsidR="00C054EE">
              <w:rPr>
                <w:noProof/>
                <w:webHidden/>
              </w:rPr>
              <w:tab/>
            </w:r>
            <w:r w:rsidR="00C054EE">
              <w:rPr>
                <w:noProof/>
                <w:webHidden/>
              </w:rPr>
              <w:fldChar w:fldCharType="begin"/>
            </w:r>
            <w:r w:rsidR="00C054EE">
              <w:rPr>
                <w:noProof/>
                <w:webHidden/>
              </w:rPr>
              <w:instrText xml:space="preserve"> PAGEREF _Toc69947777 \h </w:instrText>
            </w:r>
            <w:r w:rsidR="00C054EE">
              <w:rPr>
                <w:noProof/>
                <w:webHidden/>
              </w:rPr>
            </w:r>
            <w:r w:rsidR="00C054EE">
              <w:rPr>
                <w:noProof/>
                <w:webHidden/>
              </w:rPr>
              <w:fldChar w:fldCharType="separate"/>
            </w:r>
            <w:r w:rsidR="004C2E01">
              <w:rPr>
                <w:noProof/>
                <w:webHidden/>
              </w:rPr>
              <w:t>39</w:t>
            </w:r>
            <w:r w:rsidR="00C054EE">
              <w:rPr>
                <w:noProof/>
                <w:webHidden/>
              </w:rPr>
              <w:fldChar w:fldCharType="end"/>
            </w:r>
          </w:hyperlink>
        </w:p>
        <w:p w:rsidR="00C054EE" w:rsidRDefault="000D5832" w14:paraId="16F83869" w14:textId="46CA5121">
          <w:pPr>
            <w:pStyle w:val="TOC4"/>
            <w:tabs>
              <w:tab w:val="left" w:pos="1728"/>
              <w:tab w:val="right" w:leader="dot" w:pos="9350"/>
            </w:tabs>
            <w:rPr>
              <w:rFonts w:asciiTheme="minorHAnsi" w:hAnsiTheme="minorHAnsi" w:eastAsiaTheme="minorEastAsia" w:cstheme="minorBidi"/>
              <w:noProof/>
              <w:sz w:val="22"/>
              <w:szCs w:val="22"/>
            </w:rPr>
          </w:pPr>
          <w:hyperlink w:history="1" w:anchor="_Toc69947778">
            <w:r w:rsidRPr="00FD24A9" w:rsidR="00C054EE">
              <w:rPr>
                <w:rStyle w:val="Hyperlink"/>
                <w:noProof/>
              </w:rPr>
              <w:t>4.2.8.8.</w:t>
            </w:r>
            <w:r w:rsidR="00C054EE">
              <w:rPr>
                <w:rFonts w:asciiTheme="minorHAnsi" w:hAnsiTheme="minorHAnsi" w:eastAsiaTheme="minorEastAsia" w:cstheme="minorBidi"/>
                <w:noProof/>
                <w:sz w:val="22"/>
                <w:szCs w:val="22"/>
              </w:rPr>
              <w:tab/>
            </w:r>
            <w:r w:rsidRPr="00FD24A9" w:rsidR="00C054EE">
              <w:rPr>
                <w:rStyle w:val="Hyperlink"/>
                <w:noProof/>
              </w:rPr>
              <w:t xml:space="preserve">Funding PEV Outbound Call Efforts: </w:t>
            </w:r>
            <w:r w:rsidR="00480C4A">
              <w:rPr>
                <w:rStyle w:val="Hyperlink"/>
                <w:noProof/>
              </w:rPr>
              <w:br/>
            </w:r>
            <w:r w:rsidRPr="00FD24A9" w:rsidR="00C054EE">
              <w:rPr>
                <w:rStyle w:val="Hyperlink"/>
                <w:noProof/>
              </w:rPr>
              <w:t>Approved as a Pilot</w:t>
            </w:r>
            <w:r w:rsidR="00C054EE">
              <w:rPr>
                <w:noProof/>
                <w:webHidden/>
              </w:rPr>
              <w:tab/>
            </w:r>
            <w:r w:rsidR="00C054EE">
              <w:rPr>
                <w:noProof/>
                <w:webHidden/>
              </w:rPr>
              <w:fldChar w:fldCharType="begin"/>
            </w:r>
            <w:r w:rsidR="00C054EE">
              <w:rPr>
                <w:noProof/>
                <w:webHidden/>
              </w:rPr>
              <w:instrText xml:space="preserve"> PAGEREF _Toc69947778 \h </w:instrText>
            </w:r>
            <w:r w:rsidR="00C054EE">
              <w:rPr>
                <w:noProof/>
                <w:webHidden/>
              </w:rPr>
            </w:r>
            <w:r w:rsidR="00C054EE">
              <w:rPr>
                <w:noProof/>
                <w:webHidden/>
              </w:rPr>
              <w:fldChar w:fldCharType="separate"/>
            </w:r>
            <w:r w:rsidR="004C2E01">
              <w:rPr>
                <w:noProof/>
                <w:webHidden/>
              </w:rPr>
              <w:t>40</w:t>
            </w:r>
            <w:r w:rsidR="00C054EE">
              <w:rPr>
                <w:noProof/>
                <w:webHidden/>
              </w:rPr>
              <w:fldChar w:fldCharType="end"/>
            </w:r>
          </w:hyperlink>
        </w:p>
        <w:p w:rsidR="00C054EE" w:rsidRDefault="000D5832" w14:paraId="4B98C85F" w14:textId="75973841">
          <w:pPr>
            <w:pStyle w:val="TOC4"/>
            <w:tabs>
              <w:tab w:val="left" w:pos="1728"/>
              <w:tab w:val="right" w:leader="dot" w:pos="9350"/>
            </w:tabs>
            <w:rPr>
              <w:rFonts w:asciiTheme="minorHAnsi" w:hAnsiTheme="minorHAnsi" w:eastAsiaTheme="minorEastAsia" w:cstheme="minorBidi"/>
              <w:noProof/>
              <w:sz w:val="22"/>
              <w:szCs w:val="22"/>
            </w:rPr>
          </w:pPr>
          <w:hyperlink w:history="1" w:anchor="_Toc69947779">
            <w:r w:rsidRPr="00FD24A9" w:rsidR="00C054EE">
              <w:rPr>
                <w:rStyle w:val="Hyperlink"/>
                <w:noProof/>
              </w:rPr>
              <w:t>4.2.8.9.</w:t>
            </w:r>
            <w:r w:rsidR="00C054EE">
              <w:rPr>
                <w:rFonts w:asciiTheme="minorHAnsi" w:hAnsiTheme="minorHAnsi" w:eastAsiaTheme="minorEastAsia" w:cstheme="minorBidi"/>
                <w:noProof/>
                <w:sz w:val="22"/>
                <w:szCs w:val="22"/>
              </w:rPr>
              <w:tab/>
            </w:r>
            <w:r w:rsidRPr="00FD24A9" w:rsidR="00C054EE">
              <w:rPr>
                <w:rStyle w:val="Hyperlink"/>
                <w:noProof/>
              </w:rPr>
              <w:t>Increasing Capitation Fees: Approved</w:t>
            </w:r>
            <w:r w:rsidR="00C054EE">
              <w:rPr>
                <w:noProof/>
                <w:webHidden/>
              </w:rPr>
              <w:tab/>
            </w:r>
            <w:r w:rsidR="00C054EE">
              <w:rPr>
                <w:noProof/>
                <w:webHidden/>
              </w:rPr>
              <w:fldChar w:fldCharType="begin"/>
            </w:r>
            <w:r w:rsidR="00C054EE">
              <w:rPr>
                <w:noProof/>
                <w:webHidden/>
              </w:rPr>
              <w:instrText xml:space="preserve"> PAGEREF _Toc69947779 \h </w:instrText>
            </w:r>
            <w:r w:rsidR="00C054EE">
              <w:rPr>
                <w:noProof/>
                <w:webHidden/>
              </w:rPr>
            </w:r>
            <w:r w:rsidR="00C054EE">
              <w:rPr>
                <w:noProof/>
                <w:webHidden/>
              </w:rPr>
              <w:fldChar w:fldCharType="separate"/>
            </w:r>
            <w:r w:rsidR="004C2E01">
              <w:rPr>
                <w:noProof/>
                <w:webHidden/>
              </w:rPr>
              <w:t>42</w:t>
            </w:r>
            <w:r w:rsidR="00C054EE">
              <w:rPr>
                <w:noProof/>
                <w:webHidden/>
              </w:rPr>
              <w:fldChar w:fldCharType="end"/>
            </w:r>
          </w:hyperlink>
        </w:p>
        <w:p w:rsidR="00C054EE" w:rsidRDefault="000D5832" w14:paraId="3F4BAF24" w14:textId="1233C8D0">
          <w:pPr>
            <w:pStyle w:val="TOC4"/>
            <w:tabs>
              <w:tab w:val="left" w:pos="2160"/>
              <w:tab w:val="right" w:leader="dot" w:pos="9350"/>
            </w:tabs>
            <w:rPr>
              <w:rFonts w:asciiTheme="minorHAnsi" w:hAnsiTheme="minorHAnsi" w:eastAsiaTheme="minorEastAsia" w:cstheme="minorBidi"/>
              <w:noProof/>
              <w:sz w:val="22"/>
              <w:szCs w:val="22"/>
            </w:rPr>
          </w:pPr>
          <w:hyperlink w:history="1" w:anchor="_Toc69947780">
            <w:r w:rsidRPr="00FD24A9" w:rsidR="00C054EE">
              <w:rPr>
                <w:rStyle w:val="Hyperlink"/>
                <w:noProof/>
              </w:rPr>
              <w:t>4.2.8.10.</w:t>
            </w:r>
            <w:r w:rsidR="00C054EE">
              <w:rPr>
                <w:rFonts w:asciiTheme="minorHAnsi" w:hAnsiTheme="minorHAnsi" w:eastAsiaTheme="minorEastAsia" w:cstheme="minorBidi"/>
                <w:noProof/>
                <w:sz w:val="22"/>
                <w:szCs w:val="22"/>
              </w:rPr>
              <w:tab/>
            </w:r>
            <w:r w:rsidRPr="00FD24A9" w:rsidR="00C054EE">
              <w:rPr>
                <w:rStyle w:val="Hyperlink"/>
                <w:noProof/>
              </w:rPr>
              <w:t xml:space="preserve">Creating Data Sharing Partnerships:  </w:t>
            </w:r>
            <w:r w:rsidR="00480C4A">
              <w:rPr>
                <w:rStyle w:val="Hyperlink"/>
                <w:noProof/>
              </w:rPr>
              <w:br/>
            </w:r>
            <w:r w:rsidRPr="00FD24A9" w:rsidR="00C054EE">
              <w:rPr>
                <w:rStyle w:val="Hyperlink"/>
                <w:noProof/>
              </w:rPr>
              <w:t>Requires Further Study</w:t>
            </w:r>
            <w:r w:rsidR="00C054EE">
              <w:rPr>
                <w:noProof/>
                <w:webHidden/>
              </w:rPr>
              <w:tab/>
            </w:r>
            <w:r w:rsidR="00C054EE">
              <w:rPr>
                <w:noProof/>
                <w:webHidden/>
              </w:rPr>
              <w:fldChar w:fldCharType="begin"/>
            </w:r>
            <w:r w:rsidR="00C054EE">
              <w:rPr>
                <w:noProof/>
                <w:webHidden/>
              </w:rPr>
              <w:instrText xml:space="preserve"> PAGEREF _Toc69947780 \h </w:instrText>
            </w:r>
            <w:r w:rsidR="00C054EE">
              <w:rPr>
                <w:noProof/>
                <w:webHidden/>
              </w:rPr>
            </w:r>
            <w:r w:rsidR="00C054EE">
              <w:rPr>
                <w:noProof/>
                <w:webHidden/>
              </w:rPr>
              <w:fldChar w:fldCharType="separate"/>
            </w:r>
            <w:r w:rsidR="004C2E01">
              <w:rPr>
                <w:noProof/>
                <w:webHidden/>
              </w:rPr>
              <w:t>43</w:t>
            </w:r>
            <w:r w:rsidR="00C054EE">
              <w:rPr>
                <w:noProof/>
                <w:webHidden/>
              </w:rPr>
              <w:fldChar w:fldCharType="end"/>
            </w:r>
          </w:hyperlink>
        </w:p>
        <w:p w:rsidR="00C054EE" w:rsidRDefault="000D5832" w14:paraId="558ACE9F" w14:textId="3DE65416">
          <w:pPr>
            <w:pStyle w:val="TOC4"/>
            <w:tabs>
              <w:tab w:val="left" w:pos="2160"/>
              <w:tab w:val="right" w:leader="dot" w:pos="9350"/>
            </w:tabs>
            <w:rPr>
              <w:rFonts w:asciiTheme="minorHAnsi" w:hAnsiTheme="minorHAnsi" w:eastAsiaTheme="minorEastAsia" w:cstheme="minorBidi"/>
              <w:noProof/>
              <w:sz w:val="22"/>
              <w:szCs w:val="22"/>
            </w:rPr>
          </w:pPr>
          <w:hyperlink w:history="1" w:anchor="_Toc69947781">
            <w:r w:rsidRPr="00FD24A9" w:rsidR="00C054EE">
              <w:rPr>
                <w:rStyle w:val="Hyperlink"/>
                <w:noProof/>
              </w:rPr>
              <w:t>4.2.8.11.</w:t>
            </w:r>
            <w:r w:rsidR="00C054EE">
              <w:rPr>
                <w:rFonts w:asciiTheme="minorHAnsi" w:hAnsiTheme="minorHAnsi" w:eastAsiaTheme="minorEastAsia" w:cstheme="minorBidi"/>
                <w:noProof/>
                <w:sz w:val="22"/>
                <w:szCs w:val="22"/>
              </w:rPr>
              <w:tab/>
            </w:r>
            <w:r w:rsidRPr="00FD24A9" w:rsidR="00C054EE">
              <w:rPr>
                <w:rStyle w:val="Hyperlink"/>
                <w:noProof/>
              </w:rPr>
              <w:t>Funding CIS and IVR: Approved in Part</w:t>
            </w:r>
            <w:r w:rsidR="00C054EE">
              <w:rPr>
                <w:noProof/>
                <w:webHidden/>
              </w:rPr>
              <w:tab/>
            </w:r>
            <w:r w:rsidR="00C054EE">
              <w:rPr>
                <w:noProof/>
                <w:webHidden/>
              </w:rPr>
              <w:fldChar w:fldCharType="begin"/>
            </w:r>
            <w:r w:rsidR="00C054EE">
              <w:rPr>
                <w:noProof/>
                <w:webHidden/>
              </w:rPr>
              <w:instrText xml:space="preserve"> PAGEREF _Toc69947781 \h </w:instrText>
            </w:r>
            <w:r w:rsidR="00C054EE">
              <w:rPr>
                <w:noProof/>
                <w:webHidden/>
              </w:rPr>
            </w:r>
            <w:r w:rsidR="00C054EE">
              <w:rPr>
                <w:noProof/>
                <w:webHidden/>
              </w:rPr>
              <w:fldChar w:fldCharType="separate"/>
            </w:r>
            <w:r w:rsidR="004C2E01">
              <w:rPr>
                <w:noProof/>
                <w:webHidden/>
              </w:rPr>
              <w:t>44</w:t>
            </w:r>
            <w:r w:rsidR="00C054EE">
              <w:rPr>
                <w:noProof/>
                <w:webHidden/>
              </w:rPr>
              <w:fldChar w:fldCharType="end"/>
            </w:r>
          </w:hyperlink>
        </w:p>
        <w:p w:rsidR="00C054EE" w:rsidRDefault="000D5832" w14:paraId="49257BBC" w14:textId="24FA1DDC">
          <w:pPr>
            <w:pStyle w:val="TOC2"/>
            <w:tabs>
              <w:tab w:val="right" w:leader="dot" w:pos="9350"/>
            </w:tabs>
            <w:rPr>
              <w:rFonts w:asciiTheme="minorHAnsi" w:hAnsiTheme="minorHAnsi" w:cstheme="minorBidi"/>
              <w:noProof/>
              <w:sz w:val="22"/>
              <w:szCs w:val="22"/>
            </w:rPr>
          </w:pPr>
          <w:hyperlink w:history="1" w:anchor="_Toc69947782">
            <w:r w:rsidRPr="00FD24A9" w:rsidR="00C054EE">
              <w:rPr>
                <w:rStyle w:val="Hyperlink"/>
                <w:noProof/>
              </w:rPr>
              <w:t>4.3.</w:t>
            </w:r>
            <w:r w:rsidR="00C054EE">
              <w:rPr>
                <w:rFonts w:asciiTheme="minorHAnsi" w:hAnsiTheme="minorHAnsi" w:cstheme="minorBidi"/>
                <w:noProof/>
                <w:sz w:val="22"/>
                <w:szCs w:val="22"/>
              </w:rPr>
              <w:tab/>
            </w:r>
            <w:r w:rsidRPr="00FD24A9" w:rsidR="00C054EE">
              <w:rPr>
                <w:rStyle w:val="Hyperlink"/>
                <w:noProof/>
              </w:rPr>
              <w:t>CARE Marketing, Education, Outreach, Leveraging</w:t>
            </w:r>
            <w:r w:rsidR="00C054EE">
              <w:rPr>
                <w:noProof/>
                <w:webHidden/>
              </w:rPr>
              <w:tab/>
            </w:r>
            <w:r w:rsidR="00C054EE">
              <w:rPr>
                <w:noProof/>
                <w:webHidden/>
              </w:rPr>
              <w:fldChar w:fldCharType="begin"/>
            </w:r>
            <w:r w:rsidR="00C054EE">
              <w:rPr>
                <w:noProof/>
                <w:webHidden/>
              </w:rPr>
              <w:instrText xml:space="preserve"> PAGEREF _Toc69947782 \h </w:instrText>
            </w:r>
            <w:r w:rsidR="00C054EE">
              <w:rPr>
                <w:noProof/>
                <w:webHidden/>
              </w:rPr>
            </w:r>
            <w:r w:rsidR="00C054EE">
              <w:rPr>
                <w:noProof/>
                <w:webHidden/>
              </w:rPr>
              <w:fldChar w:fldCharType="separate"/>
            </w:r>
            <w:r w:rsidR="004C2E01">
              <w:rPr>
                <w:noProof/>
                <w:webHidden/>
              </w:rPr>
              <w:t>45</w:t>
            </w:r>
            <w:r w:rsidR="00C054EE">
              <w:rPr>
                <w:noProof/>
                <w:webHidden/>
              </w:rPr>
              <w:fldChar w:fldCharType="end"/>
            </w:r>
          </w:hyperlink>
        </w:p>
        <w:p w:rsidR="00C054EE" w:rsidRDefault="000D5832" w14:paraId="3E08AA32" w14:textId="155A992B">
          <w:pPr>
            <w:pStyle w:val="TOC3"/>
            <w:tabs>
              <w:tab w:val="left" w:pos="1296"/>
              <w:tab w:val="right" w:leader="dot" w:pos="9350"/>
            </w:tabs>
            <w:rPr>
              <w:rFonts w:asciiTheme="minorHAnsi" w:hAnsiTheme="minorHAnsi" w:cstheme="minorBidi"/>
              <w:noProof/>
              <w:sz w:val="22"/>
              <w:szCs w:val="22"/>
            </w:rPr>
          </w:pPr>
          <w:hyperlink w:history="1" w:anchor="_Toc69947783">
            <w:r w:rsidRPr="00FD24A9" w:rsidR="00C054EE">
              <w:rPr>
                <w:rStyle w:val="Hyperlink"/>
                <w:noProof/>
              </w:rPr>
              <w:t>4.3.1.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_Toc69947783 \h </w:instrText>
            </w:r>
            <w:r w:rsidR="00C054EE">
              <w:rPr>
                <w:noProof/>
                <w:webHidden/>
              </w:rPr>
            </w:r>
            <w:r w:rsidR="00C054EE">
              <w:rPr>
                <w:noProof/>
                <w:webHidden/>
              </w:rPr>
              <w:fldChar w:fldCharType="separate"/>
            </w:r>
            <w:r w:rsidR="004C2E01">
              <w:rPr>
                <w:noProof/>
                <w:webHidden/>
              </w:rPr>
              <w:t>45</w:t>
            </w:r>
            <w:r w:rsidR="00C054EE">
              <w:rPr>
                <w:noProof/>
                <w:webHidden/>
              </w:rPr>
              <w:fldChar w:fldCharType="end"/>
            </w:r>
          </w:hyperlink>
        </w:p>
        <w:p w:rsidR="00C054EE" w:rsidRDefault="000D5832" w14:paraId="6D762444" w14:textId="18B96A50">
          <w:pPr>
            <w:pStyle w:val="TOC3"/>
            <w:tabs>
              <w:tab w:val="left" w:pos="1296"/>
              <w:tab w:val="right" w:leader="dot" w:pos="9350"/>
            </w:tabs>
            <w:rPr>
              <w:rFonts w:asciiTheme="minorHAnsi" w:hAnsiTheme="minorHAnsi" w:cstheme="minorBidi"/>
              <w:noProof/>
              <w:sz w:val="22"/>
              <w:szCs w:val="22"/>
            </w:rPr>
          </w:pPr>
          <w:hyperlink w:history="1" w:anchor="_Toc69947784">
            <w:r w:rsidRPr="00FD24A9" w:rsidR="00C054EE">
              <w:rPr>
                <w:rStyle w:val="Hyperlink"/>
                <w:noProof/>
              </w:rPr>
              <w:t>4.3.2.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_Toc69947784 \h </w:instrText>
            </w:r>
            <w:r w:rsidR="00C054EE">
              <w:rPr>
                <w:noProof/>
                <w:webHidden/>
              </w:rPr>
            </w:r>
            <w:r w:rsidR="00C054EE">
              <w:rPr>
                <w:noProof/>
                <w:webHidden/>
              </w:rPr>
              <w:fldChar w:fldCharType="separate"/>
            </w:r>
            <w:r w:rsidR="004C2E01">
              <w:rPr>
                <w:noProof/>
                <w:webHidden/>
              </w:rPr>
              <w:t>45</w:t>
            </w:r>
            <w:r w:rsidR="00C054EE">
              <w:rPr>
                <w:noProof/>
                <w:webHidden/>
              </w:rPr>
              <w:fldChar w:fldCharType="end"/>
            </w:r>
          </w:hyperlink>
        </w:p>
        <w:p w:rsidR="00C054EE" w:rsidRDefault="000D5832" w14:paraId="685A3851" w14:textId="04009C6A">
          <w:pPr>
            <w:pStyle w:val="TOC3"/>
            <w:tabs>
              <w:tab w:val="left" w:pos="1296"/>
              <w:tab w:val="right" w:leader="dot" w:pos="9350"/>
            </w:tabs>
            <w:rPr>
              <w:rFonts w:asciiTheme="minorHAnsi" w:hAnsiTheme="minorHAnsi" w:cstheme="minorBidi"/>
              <w:noProof/>
              <w:sz w:val="22"/>
              <w:szCs w:val="22"/>
            </w:rPr>
          </w:pPr>
          <w:hyperlink w:history="1" w:anchor="_Toc69947785">
            <w:r w:rsidRPr="00FD24A9" w:rsidR="00C054EE">
              <w:rPr>
                <w:rStyle w:val="Hyperlink"/>
                <w:noProof/>
              </w:rPr>
              <w:t>4.3.3.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_Toc69947785 \h </w:instrText>
            </w:r>
            <w:r w:rsidR="00C054EE">
              <w:rPr>
                <w:noProof/>
                <w:webHidden/>
              </w:rPr>
            </w:r>
            <w:r w:rsidR="00C054EE">
              <w:rPr>
                <w:noProof/>
                <w:webHidden/>
              </w:rPr>
              <w:fldChar w:fldCharType="separate"/>
            </w:r>
            <w:r w:rsidR="004C2E01">
              <w:rPr>
                <w:noProof/>
                <w:webHidden/>
              </w:rPr>
              <w:t>49</w:t>
            </w:r>
            <w:r w:rsidR="00C054EE">
              <w:rPr>
                <w:noProof/>
                <w:webHidden/>
              </w:rPr>
              <w:fldChar w:fldCharType="end"/>
            </w:r>
          </w:hyperlink>
        </w:p>
        <w:p w:rsidR="00C054EE" w:rsidRDefault="000D5832" w14:paraId="682F5FC1" w14:textId="2FF9FF78">
          <w:pPr>
            <w:pStyle w:val="TOC3"/>
            <w:tabs>
              <w:tab w:val="left" w:pos="1296"/>
              <w:tab w:val="right" w:leader="dot" w:pos="9350"/>
            </w:tabs>
            <w:rPr>
              <w:rFonts w:asciiTheme="minorHAnsi" w:hAnsiTheme="minorHAnsi" w:cstheme="minorBidi"/>
              <w:noProof/>
              <w:sz w:val="22"/>
              <w:szCs w:val="22"/>
            </w:rPr>
          </w:pPr>
          <w:hyperlink w:history="1" w:anchor="_Toc69947786">
            <w:r w:rsidRPr="00FD24A9" w:rsidR="00C054EE">
              <w:rPr>
                <w:rStyle w:val="Hyperlink"/>
                <w:noProof/>
              </w:rPr>
              <w:t>4.3.4.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_Toc69947786 \h </w:instrText>
            </w:r>
            <w:r w:rsidR="00C054EE">
              <w:rPr>
                <w:noProof/>
                <w:webHidden/>
              </w:rPr>
            </w:r>
            <w:r w:rsidR="00C054EE">
              <w:rPr>
                <w:noProof/>
                <w:webHidden/>
              </w:rPr>
              <w:fldChar w:fldCharType="separate"/>
            </w:r>
            <w:r w:rsidR="004C2E01">
              <w:rPr>
                <w:noProof/>
                <w:webHidden/>
              </w:rPr>
              <w:t>54</w:t>
            </w:r>
            <w:r w:rsidR="00C054EE">
              <w:rPr>
                <w:noProof/>
                <w:webHidden/>
              </w:rPr>
              <w:fldChar w:fldCharType="end"/>
            </w:r>
          </w:hyperlink>
        </w:p>
        <w:p w:rsidR="00C054EE" w:rsidRDefault="000D5832" w14:paraId="7C795144" w14:textId="0319D2ED">
          <w:pPr>
            <w:pStyle w:val="TOC3"/>
            <w:tabs>
              <w:tab w:val="left" w:pos="1296"/>
              <w:tab w:val="right" w:leader="dot" w:pos="9350"/>
            </w:tabs>
            <w:rPr>
              <w:rFonts w:asciiTheme="minorHAnsi" w:hAnsiTheme="minorHAnsi" w:cstheme="minorBidi"/>
              <w:noProof/>
              <w:sz w:val="22"/>
              <w:szCs w:val="22"/>
            </w:rPr>
          </w:pPr>
          <w:hyperlink w:history="1" w:anchor="_Toc69947787">
            <w:r w:rsidRPr="00FD24A9" w:rsidR="00C054EE">
              <w:rPr>
                <w:rStyle w:val="Hyperlink"/>
                <w:noProof/>
              </w:rPr>
              <w:t>4.3.5.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_Toc69947787 \h </w:instrText>
            </w:r>
            <w:r w:rsidR="00C054EE">
              <w:rPr>
                <w:noProof/>
                <w:webHidden/>
              </w:rPr>
            </w:r>
            <w:r w:rsidR="00C054EE">
              <w:rPr>
                <w:noProof/>
                <w:webHidden/>
              </w:rPr>
              <w:fldChar w:fldCharType="separate"/>
            </w:r>
            <w:r w:rsidR="004C2E01">
              <w:rPr>
                <w:noProof/>
                <w:webHidden/>
              </w:rPr>
              <w:t>56</w:t>
            </w:r>
            <w:r w:rsidR="00C054EE">
              <w:rPr>
                <w:noProof/>
                <w:webHidden/>
              </w:rPr>
              <w:fldChar w:fldCharType="end"/>
            </w:r>
          </w:hyperlink>
        </w:p>
        <w:p w:rsidR="00C054EE" w:rsidRDefault="000D5832" w14:paraId="552F9BF5" w14:textId="52FB00BD">
          <w:pPr>
            <w:pStyle w:val="TOC3"/>
            <w:tabs>
              <w:tab w:val="left" w:pos="1296"/>
              <w:tab w:val="right" w:leader="dot" w:pos="9350"/>
            </w:tabs>
            <w:rPr>
              <w:rFonts w:asciiTheme="minorHAnsi" w:hAnsiTheme="minorHAnsi" w:cstheme="minorBidi"/>
              <w:noProof/>
              <w:sz w:val="22"/>
              <w:szCs w:val="22"/>
            </w:rPr>
          </w:pPr>
          <w:hyperlink w:history="1" w:anchor="_Toc69947788">
            <w:r w:rsidRPr="00FD24A9" w:rsidR="00C054EE">
              <w:rPr>
                <w:rStyle w:val="Hyperlink"/>
                <w:noProof/>
              </w:rPr>
              <w:t>4.3.6.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_Toc69947788 \h </w:instrText>
            </w:r>
            <w:r w:rsidR="00C054EE">
              <w:rPr>
                <w:noProof/>
                <w:webHidden/>
              </w:rPr>
            </w:r>
            <w:r w:rsidR="00C054EE">
              <w:rPr>
                <w:noProof/>
                <w:webHidden/>
              </w:rPr>
              <w:fldChar w:fldCharType="separate"/>
            </w:r>
            <w:r w:rsidR="004C2E01">
              <w:rPr>
                <w:noProof/>
                <w:webHidden/>
              </w:rPr>
              <w:t>57</w:t>
            </w:r>
            <w:r w:rsidR="00C054EE">
              <w:rPr>
                <w:noProof/>
                <w:webHidden/>
              </w:rPr>
              <w:fldChar w:fldCharType="end"/>
            </w:r>
          </w:hyperlink>
        </w:p>
        <w:p w:rsidR="00C054EE" w:rsidRDefault="000D5832" w14:paraId="1E7EE265" w14:textId="0AE6C53A">
          <w:pPr>
            <w:pStyle w:val="TOC4"/>
            <w:tabs>
              <w:tab w:val="left" w:pos="1728"/>
              <w:tab w:val="right" w:leader="dot" w:pos="9350"/>
            </w:tabs>
            <w:rPr>
              <w:rFonts w:asciiTheme="minorHAnsi" w:hAnsiTheme="minorHAnsi" w:eastAsiaTheme="minorEastAsia" w:cstheme="minorBidi"/>
              <w:noProof/>
              <w:sz w:val="22"/>
              <w:szCs w:val="22"/>
            </w:rPr>
          </w:pPr>
          <w:hyperlink w:history="1" w:anchor="_Toc69947789">
            <w:r w:rsidRPr="00FD24A9" w:rsidR="00C054EE">
              <w:rPr>
                <w:rStyle w:val="Hyperlink"/>
                <w:noProof/>
              </w:rPr>
              <w:t>4.3.6.1.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_Toc69947789 \h </w:instrText>
            </w:r>
            <w:r w:rsidR="00C054EE">
              <w:rPr>
                <w:noProof/>
                <w:webHidden/>
              </w:rPr>
            </w:r>
            <w:r w:rsidR="00C054EE">
              <w:rPr>
                <w:noProof/>
                <w:webHidden/>
              </w:rPr>
              <w:fldChar w:fldCharType="separate"/>
            </w:r>
            <w:r w:rsidR="004C2E01">
              <w:rPr>
                <w:noProof/>
                <w:webHidden/>
              </w:rPr>
              <w:t>57</w:t>
            </w:r>
            <w:r w:rsidR="00C054EE">
              <w:rPr>
                <w:noProof/>
                <w:webHidden/>
              </w:rPr>
              <w:fldChar w:fldCharType="end"/>
            </w:r>
          </w:hyperlink>
        </w:p>
        <w:p w:rsidR="00C054EE" w:rsidRDefault="000D5832" w14:paraId="04BFEEBF" w14:textId="0B4C42E7">
          <w:pPr>
            <w:pStyle w:val="TOC4"/>
            <w:tabs>
              <w:tab w:val="left" w:pos="1728"/>
              <w:tab w:val="right" w:leader="dot" w:pos="9350"/>
            </w:tabs>
            <w:rPr>
              <w:rFonts w:asciiTheme="minorHAnsi" w:hAnsiTheme="minorHAnsi" w:eastAsiaTheme="minorEastAsia" w:cstheme="minorBidi"/>
              <w:noProof/>
              <w:sz w:val="22"/>
              <w:szCs w:val="22"/>
            </w:rPr>
          </w:pPr>
          <w:hyperlink w:history="1" w:anchor="_Toc69947790">
            <w:r w:rsidRPr="00FD24A9" w:rsidR="00C054EE">
              <w:rPr>
                <w:rStyle w:val="Hyperlink"/>
                <w:noProof/>
              </w:rPr>
              <w:t>4.3.6.2.</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_Toc69947790 \h </w:instrText>
            </w:r>
            <w:r w:rsidR="00C054EE">
              <w:rPr>
                <w:noProof/>
                <w:webHidden/>
              </w:rPr>
            </w:r>
            <w:r w:rsidR="00C054EE">
              <w:rPr>
                <w:noProof/>
                <w:webHidden/>
              </w:rPr>
              <w:fldChar w:fldCharType="separate"/>
            </w:r>
            <w:r w:rsidR="004C2E01">
              <w:rPr>
                <w:noProof/>
                <w:webHidden/>
              </w:rPr>
              <w:t>58</w:t>
            </w:r>
            <w:r w:rsidR="00C054EE">
              <w:rPr>
                <w:noProof/>
                <w:webHidden/>
              </w:rPr>
              <w:fldChar w:fldCharType="end"/>
            </w:r>
          </w:hyperlink>
        </w:p>
        <w:p w:rsidR="00C054EE" w:rsidRDefault="000D5832" w14:paraId="5236D5C0" w14:textId="6D5BF74C">
          <w:pPr>
            <w:pStyle w:val="TOC4"/>
            <w:tabs>
              <w:tab w:val="left" w:pos="1728"/>
              <w:tab w:val="right" w:leader="dot" w:pos="9350"/>
            </w:tabs>
            <w:rPr>
              <w:rFonts w:asciiTheme="minorHAnsi" w:hAnsiTheme="minorHAnsi" w:eastAsiaTheme="minorEastAsia" w:cstheme="minorBidi"/>
              <w:noProof/>
              <w:sz w:val="22"/>
              <w:szCs w:val="22"/>
            </w:rPr>
          </w:pPr>
          <w:hyperlink w:history="1" w:anchor="_Toc69947791">
            <w:r w:rsidRPr="00FD24A9" w:rsidR="00C054EE">
              <w:rPr>
                <w:rStyle w:val="Hyperlink"/>
                <w:noProof/>
              </w:rPr>
              <w:t>4.3.6.3.</w:t>
            </w:r>
            <w:r w:rsidR="00C054EE">
              <w:rPr>
                <w:rFonts w:asciiTheme="minorHAnsi" w:hAnsiTheme="minorHAnsi" w:eastAsiaTheme="minorEastAsia" w:cstheme="minorBidi"/>
                <w:noProof/>
                <w:sz w:val="22"/>
                <w:szCs w:val="22"/>
              </w:rPr>
              <w:tab/>
            </w:r>
            <w:r w:rsidRPr="00FD24A9" w:rsidR="00C054EE">
              <w:rPr>
                <w:rStyle w:val="Hyperlink"/>
                <w:noProof/>
              </w:rPr>
              <w:t>Enervee</w:t>
            </w:r>
            <w:r w:rsidR="00C054EE">
              <w:rPr>
                <w:noProof/>
                <w:webHidden/>
              </w:rPr>
              <w:tab/>
            </w:r>
            <w:r w:rsidR="00C054EE">
              <w:rPr>
                <w:noProof/>
                <w:webHidden/>
              </w:rPr>
              <w:fldChar w:fldCharType="begin"/>
            </w:r>
            <w:r w:rsidR="00C054EE">
              <w:rPr>
                <w:noProof/>
                <w:webHidden/>
              </w:rPr>
              <w:instrText xml:space="preserve"> PAGEREF _Toc69947791 \h </w:instrText>
            </w:r>
            <w:r w:rsidR="00C054EE">
              <w:rPr>
                <w:noProof/>
                <w:webHidden/>
              </w:rPr>
            </w:r>
            <w:r w:rsidR="00C054EE">
              <w:rPr>
                <w:noProof/>
                <w:webHidden/>
              </w:rPr>
              <w:fldChar w:fldCharType="separate"/>
            </w:r>
            <w:r w:rsidR="004C2E01">
              <w:rPr>
                <w:noProof/>
                <w:webHidden/>
              </w:rPr>
              <w:t>58</w:t>
            </w:r>
            <w:r w:rsidR="00C054EE">
              <w:rPr>
                <w:noProof/>
                <w:webHidden/>
              </w:rPr>
              <w:fldChar w:fldCharType="end"/>
            </w:r>
          </w:hyperlink>
        </w:p>
        <w:p w:rsidR="00C054EE" w:rsidRDefault="000D5832" w14:paraId="1CB301B7" w14:textId="1B6F98BA">
          <w:pPr>
            <w:pStyle w:val="TOC4"/>
            <w:tabs>
              <w:tab w:val="left" w:pos="1728"/>
              <w:tab w:val="right" w:leader="dot" w:pos="9350"/>
            </w:tabs>
            <w:rPr>
              <w:rFonts w:asciiTheme="minorHAnsi" w:hAnsiTheme="minorHAnsi" w:eastAsiaTheme="minorEastAsia" w:cstheme="minorBidi"/>
              <w:noProof/>
              <w:sz w:val="22"/>
              <w:szCs w:val="22"/>
            </w:rPr>
          </w:pPr>
          <w:hyperlink w:history="1" w:anchor="_Toc69947792">
            <w:r w:rsidRPr="00FD24A9" w:rsidR="00C054EE">
              <w:rPr>
                <w:rStyle w:val="Hyperlink"/>
                <w:noProof/>
              </w:rPr>
              <w:t>4.3.6.4.</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_Toc69947792 \h </w:instrText>
            </w:r>
            <w:r w:rsidR="00C054EE">
              <w:rPr>
                <w:noProof/>
                <w:webHidden/>
              </w:rPr>
            </w:r>
            <w:r w:rsidR="00C054EE">
              <w:rPr>
                <w:noProof/>
                <w:webHidden/>
              </w:rPr>
              <w:fldChar w:fldCharType="separate"/>
            </w:r>
            <w:r w:rsidR="004C2E01">
              <w:rPr>
                <w:noProof/>
                <w:webHidden/>
              </w:rPr>
              <w:t>59</w:t>
            </w:r>
            <w:r w:rsidR="00C054EE">
              <w:rPr>
                <w:noProof/>
                <w:webHidden/>
              </w:rPr>
              <w:fldChar w:fldCharType="end"/>
            </w:r>
          </w:hyperlink>
        </w:p>
        <w:p w:rsidR="00C054EE" w:rsidRDefault="000D5832" w14:paraId="1A559097" w14:textId="54E757DB">
          <w:pPr>
            <w:pStyle w:val="TOC4"/>
            <w:tabs>
              <w:tab w:val="left" w:pos="1728"/>
              <w:tab w:val="right" w:leader="dot" w:pos="9350"/>
            </w:tabs>
            <w:rPr>
              <w:rFonts w:asciiTheme="minorHAnsi" w:hAnsiTheme="minorHAnsi" w:eastAsiaTheme="minorEastAsia" w:cstheme="minorBidi"/>
              <w:noProof/>
              <w:sz w:val="22"/>
              <w:szCs w:val="22"/>
            </w:rPr>
          </w:pPr>
          <w:hyperlink w:history="1" w:anchor="_Toc69947793">
            <w:r w:rsidRPr="00FD24A9" w:rsidR="00C054EE">
              <w:rPr>
                <w:rStyle w:val="Hyperlink"/>
                <w:noProof/>
              </w:rPr>
              <w:t>4.3.6.5.</w:t>
            </w:r>
            <w:r w:rsidR="00C054EE">
              <w:rPr>
                <w:rFonts w:asciiTheme="minorHAnsi" w:hAnsiTheme="minorHAnsi" w:eastAsiaTheme="minorEastAsia" w:cstheme="minorBidi"/>
                <w:noProof/>
                <w:sz w:val="22"/>
                <w:szCs w:val="22"/>
              </w:rPr>
              <w:tab/>
            </w:r>
            <w:r w:rsidRPr="00FD24A9" w:rsidR="00C054EE">
              <w:rPr>
                <w:rStyle w:val="Hyperlink"/>
                <w:noProof/>
              </w:rPr>
              <w:t>CETF</w:t>
            </w:r>
            <w:r w:rsidR="00C054EE">
              <w:rPr>
                <w:noProof/>
                <w:webHidden/>
              </w:rPr>
              <w:tab/>
            </w:r>
            <w:r w:rsidR="00C054EE">
              <w:rPr>
                <w:noProof/>
                <w:webHidden/>
              </w:rPr>
              <w:fldChar w:fldCharType="begin"/>
            </w:r>
            <w:r w:rsidR="00C054EE">
              <w:rPr>
                <w:noProof/>
                <w:webHidden/>
              </w:rPr>
              <w:instrText xml:space="preserve"> PAGEREF _Toc69947793 \h </w:instrText>
            </w:r>
            <w:r w:rsidR="00C054EE">
              <w:rPr>
                <w:noProof/>
                <w:webHidden/>
              </w:rPr>
            </w:r>
            <w:r w:rsidR="00C054EE">
              <w:rPr>
                <w:noProof/>
                <w:webHidden/>
              </w:rPr>
              <w:fldChar w:fldCharType="separate"/>
            </w:r>
            <w:r w:rsidR="004C2E01">
              <w:rPr>
                <w:noProof/>
                <w:webHidden/>
              </w:rPr>
              <w:t>59</w:t>
            </w:r>
            <w:r w:rsidR="00C054EE">
              <w:rPr>
                <w:noProof/>
                <w:webHidden/>
              </w:rPr>
              <w:fldChar w:fldCharType="end"/>
            </w:r>
          </w:hyperlink>
        </w:p>
        <w:p w:rsidR="00C054EE" w:rsidRDefault="000D5832" w14:paraId="5F98B2CA" w14:textId="23ED1AF2">
          <w:pPr>
            <w:pStyle w:val="TOC4"/>
            <w:tabs>
              <w:tab w:val="left" w:pos="1728"/>
              <w:tab w:val="right" w:leader="dot" w:pos="9350"/>
            </w:tabs>
            <w:rPr>
              <w:rFonts w:asciiTheme="minorHAnsi" w:hAnsiTheme="minorHAnsi" w:eastAsiaTheme="minorEastAsia" w:cstheme="minorBidi"/>
              <w:noProof/>
              <w:sz w:val="22"/>
              <w:szCs w:val="22"/>
            </w:rPr>
          </w:pPr>
          <w:hyperlink w:history="1" w:anchor="_Toc69947794">
            <w:r w:rsidRPr="00FD24A9" w:rsidR="00C054EE">
              <w:rPr>
                <w:rStyle w:val="Hyperlink"/>
                <w:noProof/>
              </w:rPr>
              <w:t>4.3.6.6.</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_Toc69947794 \h </w:instrText>
            </w:r>
            <w:r w:rsidR="00C054EE">
              <w:rPr>
                <w:noProof/>
                <w:webHidden/>
              </w:rPr>
            </w:r>
            <w:r w:rsidR="00C054EE">
              <w:rPr>
                <w:noProof/>
                <w:webHidden/>
              </w:rPr>
              <w:fldChar w:fldCharType="separate"/>
            </w:r>
            <w:r w:rsidR="004C2E01">
              <w:rPr>
                <w:noProof/>
                <w:webHidden/>
              </w:rPr>
              <w:t>61</w:t>
            </w:r>
            <w:r w:rsidR="00C054EE">
              <w:rPr>
                <w:noProof/>
                <w:webHidden/>
              </w:rPr>
              <w:fldChar w:fldCharType="end"/>
            </w:r>
          </w:hyperlink>
        </w:p>
        <w:p w:rsidR="00C054EE" w:rsidRDefault="000D5832" w14:paraId="000FE998" w14:textId="6D71335F">
          <w:pPr>
            <w:pStyle w:val="TOC4"/>
            <w:tabs>
              <w:tab w:val="left" w:pos="1728"/>
              <w:tab w:val="right" w:leader="dot" w:pos="9350"/>
            </w:tabs>
            <w:rPr>
              <w:rFonts w:asciiTheme="minorHAnsi" w:hAnsiTheme="minorHAnsi" w:eastAsiaTheme="minorEastAsia" w:cstheme="minorBidi"/>
              <w:noProof/>
              <w:sz w:val="22"/>
              <w:szCs w:val="22"/>
            </w:rPr>
          </w:pPr>
          <w:hyperlink w:history="1" w:anchor="_Toc69947795">
            <w:r w:rsidRPr="00FD24A9" w:rsidR="00C054EE">
              <w:rPr>
                <w:rStyle w:val="Hyperlink"/>
                <w:noProof/>
              </w:rPr>
              <w:t>4.3.6.7.</w:t>
            </w:r>
            <w:r w:rsidR="00C054EE">
              <w:rPr>
                <w:rFonts w:asciiTheme="minorHAnsi" w:hAnsiTheme="minorHAnsi" w:eastAsiaTheme="minorEastAsia" w:cstheme="minorBidi"/>
                <w:noProof/>
                <w:sz w:val="22"/>
                <w:szCs w:val="22"/>
              </w:rPr>
              <w:tab/>
            </w:r>
            <w:r w:rsidRPr="00FD24A9" w:rsidR="00C054EE">
              <w:rPr>
                <w:rStyle w:val="Hyperlink"/>
                <w:noProof/>
              </w:rPr>
              <w:t>EEC, TELACU et al.</w:t>
            </w:r>
            <w:r w:rsidR="00C054EE">
              <w:rPr>
                <w:noProof/>
                <w:webHidden/>
              </w:rPr>
              <w:tab/>
            </w:r>
            <w:r w:rsidR="00C054EE">
              <w:rPr>
                <w:noProof/>
                <w:webHidden/>
              </w:rPr>
              <w:fldChar w:fldCharType="begin"/>
            </w:r>
            <w:r w:rsidR="00C054EE">
              <w:rPr>
                <w:noProof/>
                <w:webHidden/>
              </w:rPr>
              <w:instrText xml:space="preserve"> PAGEREF _Toc69947795 \h </w:instrText>
            </w:r>
            <w:r w:rsidR="00C054EE">
              <w:rPr>
                <w:noProof/>
                <w:webHidden/>
              </w:rPr>
            </w:r>
            <w:r w:rsidR="00C054EE">
              <w:rPr>
                <w:noProof/>
                <w:webHidden/>
              </w:rPr>
              <w:fldChar w:fldCharType="separate"/>
            </w:r>
            <w:r w:rsidR="004C2E01">
              <w:rPr>
                <w:noProof/>
                <w:webHidden/>
              </w:rPr>
              <w:t>61</w:t>
            </w:r>
            <w:r w:rsidR="00C054EE">
              <w:rPr>
                <w:noProof/>
                <w:webHidden/>
              </w:rPr>
              <w:fldChar w:fldCharType="end"/>
            </w:r>
          </w:hyperlink>
        </w:p>
        <w:p w:rsidR="00C054EE" w:rsidRDefault="000D5832" w14:paraId="7D812982" w14:textId="07868E65">
          <w:pPr>
            <w:pStyle w:val="TOC3"/>
            <w:tabs>
              <w:tab w:val="left" w:pos="1296"/>
              <w:tab w:val="right" w:leader="dot" w:pos="9350"/>
            </w:tabs>
            <w:rPr>
              <w:rFonts w:asciiTheme="minorHAnsi" w:hAnsiTheme="minorHAnsi" w:cstheme="minorBidi"/>
              <w:noProof/>
              <w:sz w:val="22"/>
              <w:szCs w:val="22"/>
            </w:rPr>
          </w:pPr>
          <w:hyperlink w:history="1" w:anchor="_Toc69947796">
            <w:r w:rsidRPr="00FD24A9" w:rsidR="00C054EE">
              <w:rPr>
                <w:rStyle w:val="Hyperlink"/>
                <w:noProof/>
              </w:rPr>
              <w:t>4.3.7.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_Toc69947796 \h </w:instrText>
            </w:r>
            <w:r w:rsidR="00C054EE">
              <w:rPr>
                <w:noProof/>
                <w:webHidden/>
              </w:rPr>
            </w:r>
            <w:r w:rsidR="00C054EE">
              <w:rPr>
                <w:noProof/>
                <w:webHidden/>
              </w:rPr>
              <w:fldChar w:fldCharType="separate"/>
            </w:r>
            <w:r w:rsidR="004C2E01">
              <w:rPr>
                <w:noProof/>
                <w:webHidden/>
              </w:rPr>
              <w:t>62</w:t>
            </w:r>
            <w:r w:rsidR="00C054EE">
              <w:rPr>
                <w:noProof/>
                <w:webHidden/>
              </w:rPr>
              <w:fldChar w:fldCharType="end"/>
            </w:r>
          </w:hyperlink>
        </w:p>
        <w:p w:rsidR="00C054EE" w:rsidRDefault="000D5832" w14:paraId="5F225065" w14:textId="456CF671">
          <w:pPr>
            <w:pStyle w:val="TOC4"/>
            <w:tabs>
              <w:tab w:val="left" w:pos="1728"/>
              <w:tab w:val="right" w:leader="dot" w:pos="9350"/>
            </w:tabs>
            <w:rPr>
              <w:rFonts w:asciiTheme="minorHAnsi" w:hAnsiTheme="minorHAnsi" w:eastAsiaTheme="minorEastAsia" w:cstheme="minorBidi"/>
              <w:noProof/>
              <w:sz w:val="22"/>
              <w:szCs w:val="22"/>
            </w:rPr>
          </w:pPr>
          <w:hyperlink w:history="1" w:anchor="_Toc69947797">
            <w:r w:rsidRPr="00FD24A9" w:rsidR="00C054EE">
              <w:rPr>
                <w:rStyle w:val="Hyperlink"/>
                <w:noProof/>
              </w:rPr>
              <w:t>4.3.7.1.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_Toc69947797 \h </w:instrText>
            </w:r>
            <w:r w:rsidR="00C054EE">
              <w:rPr>
                <w:noProof/>
                <w:webHidden/>
              </w:rPr>
            </w:r>
            <w:r w:rsidR="00C054EE">
              <w:rPr>
                <w:noProof/>
                <w:webHidden/>
              </w:rPr>
              <w:fldChar w:fldCharType="separate"/>
            </w:r>
            <w:r w:rsidR="004C2E01">
              <w:rPr>
                <w:noProof/>
                <w:webHidden/>
              </w:rPr>
              <w:t>62</w:t>
            </w:r>
            <w:r w:rsidR="00C054EE">
              <w:rPr>
                <w:noProof/>
                <w:webHidden/>
              </w:rPr>
              <w:fldChar w:fldCharType="end"/>
            </w:r>
          </w:hyperlink>
        </w:p>
        <w:p w:rsidR="00C054EE" w:rsidRDefault="000D5832" w14:paraId="42731705" w14:textId="601ADC25">
          <w:pPr>
            <w:pStyle w:val="TOC4"/>
            <w:tabs>
              <w:tab w:val="left" w:pos="1728"/>
              <w:tab w:val="right" w:leader="dot" w:pos="9350"/>
            </w:tabs>
            <w:rPr>
              <w:rFonts w:asciiTheme="minorHAnsi" w:hAnsiTheme="minorHAnsi" w:eastAsiaTheme="minorEastAsia" w:cstheme="minorBidi"/>
              <w:noProof/>
              <w:sz w:val="22"/>
              <w:szCs w:val="22"/>
            </w:rPr>
          </w:pPr>
          <w:hyperlink w:history="1" w:anchor="_Toc69947798">
            <w:r w:rsidRPr="00FD24A9" w:rsidR="00C054EE">
              <w:rPr>
                <w:rStyle w:val="Hyperlink"/>
                <w:noProof/>
              </w:rPr>
              <w:t>4.3.7.2.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_Toc69947798 \h </w:instrText>
            </w:r>
            <w:r w:rsidR="00C054EE">
              <w:rPr>
                <w:noProof/>
                <w:webHidden/>
              </w:rPr>
            </w:r>
            <w:r w:rsidR="00C054EE">
              <w:rPr>
                <w:noProof/>
                <w:webHidden/>
              </w:rPr>
              <w:fldChar w:fldCharType="separate"/>
            </w:r>
            <w:r w:rsidR="004C2E01">
              <w:rPr>
                <w:noProof/>
                <w:webHidden/>
              </w:rPr>
              <w:t>62</w:t>
            </w:r>
            <w:r w:rsidR="00C054EE">
              <w:rPr>
                <w:noProof/>
                <w:webHidden/>
              </w:rPr>
              <w:fldChar w:fldCharType="end"/>
            </w:r>
          </w:hyperlink>
        </w:p>
        <w:p w:rsidR="00C054EE" w:rsidRDefault="000D5832" w14:paraId="5446FCF9" w14:textId="19A5F2F3">
          <w:pPr>
            <w:pStyle w:val="TOC4"/>
            <w:tabs>
              <w:tab w:val="left" w:pos="1728"/>
              <w:tab w:val="right" w:leader="dot" w:pos="9350"/>
            </w:tabs>
            <w:rPr>
              <w:rFonts w:asciiTheme="minorHAnsi" w:hAnsiTheme="minorHAnsi" w:eastAsiaTheme="minorEastAsia" w:cstheme="minorBidi"/>
              <w:noProof/>
              <w:sz w:val="22"/>
              <w:szCs w:val="22"/>
            </w:rPr>
          </w:pPr>
          <w:hyperlink w:history="1" w:anchor="_Toc69947799">
            <w:r w:rsidRPr="00FD24A9" w:rsidR="00C054EE">
              <w:rPr>
                <w:rStyle w:val="Hyperlink"/>
                <w:noProof/>
              </w:rPr>
              <w:t>4.3.7.3.</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_Toc69947799 \h </w:instrText>
            </w:r>
            <w:r w:rsidR="00C054EE">
              <w:rPr>
                <w:noProof/>
                <w:webHidden/>
              </w:rPr>
            </w:r>
            <w:r w:rsidR="00C054EE">
              <w:rPr>
                <w:noProof/>
                <w:webHidden/>
              </w:rPr>
              <w:fldChar w:fldCharType="separate"/>
            </w:r>
            <w:r w:rsidR="004C2E01">
              <w:rPr>
                <w:noProof/>
                <w:webHidden/>
              </w:rPr>
              <w:t>62</w:t>
            </w:r>
            <w:r w:rsidR="00C054EE">
              <w:rPr>
                <w:noProof/>
                <w:webHidden/>
              </w:rPr>
              <w:fldChar w:fldCharType="end"/>
            </w:r>
          </w:hyperlink>
        </w:p>
        <w:p w:rsidR="00C054EE" w:rsidRDefault="000D5832" w14:paraId="4263B459" w14:textId="7D18DF34">
          <w:pPr>
            <w:pStyle w:val="TOC3"/>
            <w:tabs>
              <w:tab w:val="left" w:pos="1296"/>
              <w:tab w:val="right" w:leader="dot" w:pos="9350"/>
            </w:tabs>
            <w:rPr>
              <w:rFonts w:asciiTheme="minorHAnsi" w:hAnsiTheme="minorHAnsi" w:cstheme="minorBidi"/>
              <w:noProof/>
              <w:sz w:val="22"/>
              <w:szCs w:val="22"/>
            </w:rPr>
          </w:pPr>
          <w:hyperlink w:history="1" w:anchor="_Toc69947800">
            <w:r w:rsidRPr="00FD24A9" w:rsidR="00C054EE">
              <w:rPr>
                <w:rStyle w:val="Hyperlink"/>
                <w:noProof/>
              </w:rPr>
              <w:t>4.3.8.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_Toc69947800 \h </w:instrText>
            </w:r>
            <w:r w:rsidR="00C054EE">
              <w:rPr>
                <w:noProof/>
                <w:webHidden/>
              </w:rPr>
            </w:r>
            <w:r w:rsidR="00C054EE">
              <w:rPr>
                <w:noProof/>
                <w:webHidden/>
              </w:rPr>
              <w:fldChar w:fldCharType="separate"/>
            </w:r>
            <w:r w:rsidR="004C2E01">
              <w:rPr>
                <w:noProof/>
                <w:webHidden/>
              </w:rPr>
              <w:t>63</w:t>
            </w:r>
            <w:r w:rsidR="00C054EE">
              <w:rPr>
                <w:noProof/>
                <w:webHidden/>
              </w:rPr>
              <w:fldChar w:fldCharType="end"/>
            </w:r>
          </w:hyperlink>
        </w:p>
        <w:p w:rsidR="00C054EE" w:rsidRDefault="000D5832" w14:paraId="060A96A6" w14:textId="7D1CB9AC">
          <w:pPr>
            <w:pStyle w:val="TOC4"/>
            <w:tabs>
              <w:tab w:val="left" w:pos="1728"/>
              <w:tab w:val="right" w:leader="dot" w:pos="9350"/>
            </w:tabs>
            <w:rPr>
              <w:rFonts w:asciiTheme="minorHAnsi" w:hAnsiTheme="minorHAnsi" w:eastAsiaTheme="minorEastAsia" w:cstheme="minorBidi"/>
              <w:noProof/>
              <w:sz w:val="22"/>
              <w:szCs w:val="22"/>
            </w:rPr>
          </w:pPr>
          <w:hyperlink w:history="1" w:anchor="_Toc69947801">
            <w:r w:rsidRPr="00FD24A9" w:rsidR="00C054EE">
              <w:rPr>
                <w:rStyle w:val="Hyperlink"/>
                <w:noProof/>
              </w:rPr>
              <w:t>4.3.8.1.</w:t>
            </w:r>
            <w:r w:rsidR="00C054EE">
              <w:rPr>
                <w:rFonts w:asciiTheme="minorHAnsi" w:hAnsiTheme="minorHAnsi" w:eastAsiaTheme="minorEastAsia" w:cstheme="minorBidi"/>
                <w:noProof/>
                <w:sz w:val="22"/>
                <w:szCs w:val="22"/>
              </w:rPr>
              <w:tab/>
            </w:r>
            <w:r w:rsidRPr="00FD24A9" w:rsidR="00C054EE">
              <w:rPr>
                <w:rStyle w:val="Hyperlink"/>
                <w:noProof/>
              </w:rPr>
              <w:t>General Marketing, Education and Outreach Strategies: Approved with Additional Reporting Requirements</w:t>
            </w:r>
            <w:r w:rsidR="00C054EE">
              <w:rPr>
                <w:noProof/>
                <w:webHidden/>
              </w:rPr>
              <w:tab/>
            </w:r>
            <w:r w:rsidR="00C054EE">
              <w:rPr>
                <w:noProof/>
                <w:webHidden/>
              </w:rPr>
              <w:fldChar w:fldCharType="begin"/>
            </w:r>
            <w:r w:rsidR="00C054EE">
              <w:rPr>
                <w:noProof/>
                <w:webHidden/>
              </w:rPr>
              <w:instrText xml:space="preserve"> PAGEREF _Toc69947801 \h </w:instrText>
            </w:r>
            <w:r w:rsidR="00C054EE">
              <w:rPr>
                <w:noProof/>
                <w:webHidden/>
              </w:rPr>
            </w:r>
            <w:r w:rsidR="00C054EE">
              <w:rPr>
                <w:noProof/>
                <w:webHidden/>
              </w:rPr>
              <w:fldChar w:fldCharType="separate"/>
            </w:r>
            <w:r w:rsidR="004C2E01">
              <w:rPr>
                <w:noProof/>
                <w:webHidden/>
              </w:rPr>
              <w:t>63</w:t>
            </w:r>
            <w:r w:rsidR="00C054EE">
              <w:rPr>
                <w:noProof/>
                <w:webHidden/>
              </w:rPr>
              <w:fldChar w:fldCharType="end"/>
            </w:r>
          </w:hyperlink>
        </w:p>
        <w:p w:rsidR="00C054EE" w:rsidRDefault="000D5832" w14:paraId="5F420963" w14:textId="2F61D085">
          <w:pPr>
            <w:pStyle w:val="TOC4"/>
            <w:tabs>
              <w:tab w:val="left" w:pos="1728"/>
              <w:tab w:val="right" w:leader="dot" w:pos="9350"/>
            </w:tabs>
            <w:rPr>
              <w:rFonts w:asciiTheme="minorHAnsi" w:hAnsiTheme="minorHAnsi" w:eastAsiaTheme="minorEastAsia" w:cstheme="minorBidi"/>
              <w:noProof/>
              <w:sz w:val="22"/>
              <w:szCs w:val="22"/>
            </w:rPr>
          </w:pPr>
          <w:hyperlink w:history="1" w:anchor="_Toc69947802">
            <w:r w:rsidRPr="00FD24A9" w:rsidR="00C054EE">
              <w:rPr>
                <w:rStyle w:val="Hyperlink"/>
                <w:noProof/>
              </w:rPr>
              <w:t>4.3.8.2.</w:t>
            </w:r>
            <w:r w:rsidR="00C054EE">
              <w:rPr>
                <w:rFonts w:asciiTheme="minorHAnsi" w:hAnsiTheme="minorHAnsi" w:eastAsiaTheme="minorEastAsia" w:cstheme="minorBidi"/>
                <w:noProof/>
                <w:sz w:val="22"/>
                <w:szCs w:val="22"/>
              </w:rPr>
              <w:tab/>
            </w:r>
            <w:r w:rsidRPr="00FD24A9" w:rsidR="00C054EE">
              <w:rPr>
                <w:rStyle w:val="Hyperlink"/>
                <w:noProof/>
              </w:rPr>
              <w:t>Coordination with Broadband Outreach and Referrals: Approved per Joint Stipulation</w:t>
            </w:r>
            <w:r w:rsidR="00C054EE">
              <w:rPr>
                <w:noProof/>
                <w:webHidden/>
              </w:rPr>
              <w:tab/>
            </w:r>
            <w:r w:rsidR="00C054EE">
              <w:rPr>
                <w:noProof/>
                <w:webHidden/>
              </w:rPr>
              <w:fldChar w:fldCharType="begin"/>
            </w:r>
            <w:r w:rsidR="00C054EE">
              <w:rPr>
                <w:noProof/>
                <w:webHidden/>
              </w:rPr>
              <w:instrText xml:space="preserve"> PAGEREF _Toc69947802 \h </w:instrText>
            </w:r>
            <w:r w:rsidR="00C054EE">
              <w:rPr>
                <w:noProof/>
                <w:webHidden/>
              </w:rPr>
            </w:r>
            <w:r w:rsidR="00C054EE">
              <w:rPr>
                <w:noProof/>
                <w:webHidden/>
              </w:rPr>
              <w:fldChar w:fldCharType="separate"/>
            </w:r>
            <w:r w:rsidR="004C2E01">
              <w:rPr>
                <w:noProof/>
                <w:webHidden/>
              </w:rPr>
              <w:t>66</w:t>
            </w:r>
            <w:r w:rsidR="00C054EE">
              <w:rPr>
                <w:noProof/>
                <w:webHidden/>
              </w:rPr>
              <w:fldChar w:fldCharType="end"/>
            </w:r>
          </w:hyperlink>
        </w:p>
        <w:p w:rsidR="00C054EE" w:rsidRDefault="000D5832" w14:paraId="036F05D1" w14:textId="69701D18">
          <w:pPr>
            <w:pStyle w:val="TOC4"/>
            <w:tabs>
              <w:tab w:val="left" w:pos="1728"/>
              <w:tab w:val="right" w:leader="dot" w:pos="9350"/>
            </w:tabs>
            <w:rPr>
              <w:rFonts w:asciiTheme="minorHAnsi" w:hAnsiTheme="minorHAnsi" w:eastAsiaTheme="minorEastAsia" w:cstheme="minorBidi"/>
              <w:noProof/>
              <w:sz w:val="22"/>
              <w:szCs w:val="22"/>
            </w:rPr>
          </w:pPr>
          <w:hyperlink w:history="1" w:anchor="_Toc69947803">
            <w:r w:rsidRPr="00FD24A9" w:rsidR="00C054EE">
              <w:rPr>
                <w:rStyle w:val="Hyperlink"/>
                <w:noProof/>
              </w:rPr>
              <w:t>4.3.8.3.</w:t>
            </w:r>
            <w:r w:rsidR="00C054EE">
              <w:rPr>
                <w:rFonts w:asciiTheme="minorHAnsi" w:hAnsiTheme="minorHAnsi" w:eastAsiaTheme="minorEastAsia" w:cstheme="minorBidi"/>
                <w:noProof/>
                <w:sz w:val="22"/>
                <w:szCs w:val="22"/>
              </w:rPr>
              <w:tab/>
            </w:r>
            <w:r w:rsidRPr="00FD24A9" w:rsidR="00C054EE">
              <w:rPr>
                <w:rStyle w:val="Hyperlink"/>
                <w:noProof/>
              </w:rPr>
              <w:t>Establishment of an Online Market Place: Denied</w:t>
            </w:r>
            <w:r w:rsidR="00C054EE">
              <w:rPr>
                <w:noProof/>
                <w:webHidden/>
              </w:rPr>
              <w:tab/>
            </w:r>
            <w:r w:rsidR="00C054EE">
              <w:rPr>
                <w:noProof/>
                <w:webHidden/>
              </w:rPr>
              <w:fldChar w:fldCharType="begin"/>
            </w:r>
            <w:r w:rsidR="00C054EE">
              <w:rPr>
                <w:noProof/>
                <w:webHidden/>
              </w:rPr>
              <w:instrText xml:space="preserve"> PAGEREF _Toc69947803 \h </w:instrText>
            </w:r>
            <w:r w:rsidR="00C054EE">
              <w:rPr>
                <w:noProof/>
                <w:webHidden/>
              </w:rPr>
            </w:r>
            <w:r w:rsidR="00C054EE">
              <w:rPr>
                <w:noProof/>
                <w:webHidden/>
              </w:rPr>
              <w:fldChar w:fldCharType="separate"/>
            </w:r>
            <w:r w:rsidR="004C2E01">
              <w:rPr>
                <w:noProof/>
                <w:webHidden/>
              </w:rPr>
              <w:t>68</w:t>
            </w:r>
            <w:r w:rsidR="00C054EE">
              <w:rPr>
                <w:noProof/>
                <w:webHidden/>
              </w:rPr>
              <w:fldChar w:fldCharType="end"/>
            </w:r>
          </w:hyperlink>
        </w:p>
        <w:p w:rsidR="00C054EE" w:rsidRDefault="000D5832" w14:paraId="553ED726" w14:textId="17C71174">
          <w:pPr>
            <w:pStyle w:val="TOC2"/>
            <w:tabs>
              <w:tab w:val="right" w:leader="dot" w:pos="9350"/>
            </w:tabs>
            <w:rPr>
              <w:rFonts w:asciiTheme="minorHAnsi" w:hAnsiTheme="minorHAnsi" w:cstheme="minorBidi"/>
              <w:noProof/>
              <w:sz w:val="22"/>
              <w:szCs w:val="22"/>
            </w:rPr>
          </w:pPr>
          <w:hyperlink w:history="1" w:anchor="_Toc69947804">
            <w:r w:rsidRPr="00FD24A9" w:rsidR="00C054EE">
              <w:rPr>
                <w:rStyle w:val="Hyperlink"/>
                <w:noProof/>
              </w:rPr>
              <w:t>4.4.</w:t>
            </w:r>
            <w:r w:rsidR="00C054EE">
              <w:rPr>
                <w:rFonts w:asciiTheme="minorHAnsi" w:hAnsiTheme="minorHAnsi" w:cstheme="minorBidi"/>
                <w:noProof/>
                <w:sz w:val="22"/>
                <w:szCs w:val="22"/>
              </w:rPr>
              <w:tab/>
            </w:r>
            <w:r w:rsidRPr="00FD24A9" w:rsidR="00C054EE">
              <w:rPr>
                <w:rStyle w:val="Hyperlink"/>
                <w:noProof/>
              </w:rPr>
              <w:t>Cooling Centers</w:t>
            </w:r>
            <w:r w:rsidR="00C054EE">
              <w:rPr>
                <w:noProof/>
                <w:webHidden/>
              </w:rPr>
              <w:tab/>
            </w:r>
            <w:r w:rsidR="00C054EE">
              <w:rPr>
                <w:noProof/>
                <w:webHidden/>
              </w:rPr>
              <w:fldChar w:fldCharType="begin"/>
            </w:r>
            <w:r w:rsidR="00C054EE">
              <w:rPr>
                <w:noProof/>
                <w:webHidden/>
              </w:rPr>
              <w:instrText xml:space="preserve"> PAGEREF _Toc69947804 \h </w:instrText>
            </w:r>
            <w:r w:rsidR="00C054EE">
              <w:rPr>
                <w:noProof/>
                <w:webHidden/>
              </w:rPr>
            </w:r>
            <w:r w:rsidR="00C054EE">
              <w:rPr>
                <w:noProof/>
                <w:webHidden/>
              </w:rPr>
              <w:fldChar w:fldCharType="separate"/>
            </w:r>
            <w:r w:rsidR="004C2E01">
              <w:rPr>
                <w:noProof/>
                <w:webHidden/>
              </w:rPr>
              <w:t>68</w:t>
            </w:r>
            <w:r w:rsidR="00C054EE">
              <w:rPr>
                <w:noProof/>
                <w:webHidden/>
              </w:rPr>
              <w:fldChar w:fldCharType="end"/>
            </w:r>
          </w:hyperlink>
        </w:p>
        <w:p w:rsidR="00C054EE" w:rsidRDefault="000D5832" w14:paraId="66D0BDCB" w14:textId="3F0F0D4D">
          <w:pPr>
            <w:pStyle w:val="TOC3"/>
            <w:tabs>
              <w:tab w:val="left" w:pos="1296"/>
              <w:tab w:val="right" w:leader="dot" w:pos="9350"/>
            </w:tabs>
            <w:rPr>
              <w:rFonts w:asciiTheme="minorHAnsi" w:hAnsiTheme="minorHAnsi" w:cstheme="minorBidi"/>
              <w:noProof/>
              <w:sz w:val="22"/>
              <w:szCs w:val="22"/>
            </w:rPr>
          </w:pPr>
          <w:hyperlink w:history="1" w:anchor="_Toc69947805">
            <w:r w:rsidRPr="00FD24A9" w:rsidR="00C054EE">
              <w:rPr>
                <w:rStyle w:val="Hyperlink"/>
                <w:noProof/>
              </w:rPr>
              <w:t>4.4.1.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_Toc69947805 \h </w:instrText>
            </w:r>
            <w:r w:rsidR="00C054EE">
              <w:rPr>
                <w:noProof/>
                <w:webHidden/>
              </w:rPr>
            </w:r>
            <w:r w:rsidR="00C054EE">
              <w:rPr>
                <w:noProof/>
                <w:webHidden/>
              </w:rPr>
              <w:fldChar w:fldCharType="separate"/>
            </w:r>
            <w:r w:rsidR="004C2E01">
              <w:rPr>
                <w:noProof/>
                <w:webHidden/>
              </w:rPr>
              <w:t>68</w:t>
            </w:r>
            <w:r w:rsidR="00C054EE">
              <w:rPr>
                <w:noProof/>
                <w:webHidden/>
              </w:rPr>
              <w:fldChar w:fldCharType="end"/>
            </w:r>
          </w:hyperlink>
        </w:p>
        <w:p w:rsidR="00C054EE" w:rsidRDefault="000D5832" w14:paraId="710E11A6" w14:textId="655D7B23">
          <w:pPr>
            <w:pStyle w:val="TOC3"/>
            <w:tabs>
              <w:tab w:val="left" w:pos="1296"/>
              <w:tab w:val="right" w:leader="dot" w:pos="9350"/>
            </w:tabs>
            <w:rPr>
              <w:rFonts w:asciiTheme="minorHAnsi" w:hAnsiTheme="minorHAnsi" w:cstheme="minorBidi"/>
              <w:noProof/>
              <w:sz w:val="22"/>
              <w:szCs w:val="22"/>
            </w:rPr>
          </w:pPr>
          <w:hyperlink w:history="1" w:anchor="_Toc69947806">
            <w:r w:rsidRPr="00FD24A9" w:rsidR="00C054EE">
              <w:rPr>
                <w:rStyle w:val="Hyperlink"/>
                <w:noProof/>
              </w:rPr>
              <w:t>4.4.2.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_Toc69947806 \h </w:instrText>
            </w:r>
            <w:r w:rsidR="00C054EE">
              <w:rPr>
                <w:noProof/>
                <w:webHidden/>
              </w:rPr>
            </w:r>
            <w:r w:rsidR="00C054EE">
              <w:rPr>
                <w:noProof/>
                <w:webHidden/>
              </w:rPr>
              <w:fldChar w:fldCharType="separate"/>
            </w:r>
            <w:r w:rsidR="004C2E01">
              <w:rPr>
                <w:noProof/>
                <w:webHidden/>
              </w:rPr>
              <w:t>68</w:t>
            </w:r>
            <w:r w:rsidR="00C054EE">
              <w:rPr>
                <w:noProof/>
                <w:webHidden/>
              </w:rPr>
              <w:fldChar w:fldCharType="end"/>
            </w:r>
          </w:hyperlink>
        </w:p>
        <w:p w:rsidR="00C054EE" w:rsidRDefault="000D5832" w14:paraId="43C805A4" w14:textId="011471C5">
          <w:pPr>
            <w:pStyle w:val="TOC3"/>
            <w:tabs>
              <w:tab w:val="left" w:pos="1296"/>
              <w:tab w:val="right" w:leader="dot" w:pos="9350"/>
            </w:tabs>
            <w:rPr>
              <w:rFonts w:asciiTheme="minorHAnsi" w:hAnsiTheme="minorHAnsi" w:cstheme="minorBidi"/>
              <w:noProof/>
              <w:sz w:val="22"/>
              <w:szCs w:val="22"/>
            </w:rPr>
          </w:pPr>
          <w:hyperlink w:history="1" w:anchor="_Toc69947807">
            <w:r w:rsidRPr="00FD24A9" w:rsidR="00C054EE">
              <w:rPr>
                <w:rStyle w:val="Hyperlink"/>
                <w:noProof/>
              </w:rPr>
              <w:t>4.4.3.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_Toc69947807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6B8D33A0" w14:textId="7B2FDE5E">
          <w:pPr>
            <w:pStyle w:val="TOC3"/>
            <w:tabs>
              <w:tab w:val="left" w:pos="1296"/>
              <w:tab w:val="right" w:leader="dot" w:pos="9350"/>
            </w:tabs>
            <w:rPr>
              <w:rFonts w:asciiTheme="minorHAnsi" w:hAnsiTheme="minorHAnsi" w:cstheme="minorBidi"/>
              <w:noProof/>
              <w:sz w:val="22"/>
              <w:szCs w:val="22"/>
            </w:rPr>
          </w:pPr>
          <w:hyperlink w:history="1" w:anchor="_Toc69947808">
            <w:r w:rsidRPr="00FD24A9" w:rsidR="00C054EE">
              <w:rPr>
                <w:rStyle w:val="Hyperlink"/>
                <w:noProof/>
              </w:rPr>
              <w:t>4.4.4.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_Toc69947808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2302732B" w14:textId="29929746">
          <w:pPr>
            <w:pStyle w:val="TOC3"/>
            <w:tabs>
              <w:tab w:val="left" w:pos="1296"/>
              <w:tab w:val="right" w:leader="dot" w:pos="9350"/>
            </w:tabs>
            <w:rPr>
              <w:rFonts w:asciiTheme="minorHAnsi" w:hAnsiTheme="minorHAnsi" w:cstheme="minorBidi"/>
              <w:noProof/>
              <w:sz w:val="22"/>
              <w:szCs w:val="22"/>
            </w:rPr>
          </w:pPr>
          <w:hyperlink w:history="1" w:anchor="_Toc69947809">
            <w:r w:rsidRPr="00FD24A9" w:rsidR="00C054EE">
              <w:rPr>
                <w:rStyle w:val="Hyperlink"/>
                <w:noProof/>
              </w:rPr>
              <w:t>4.4.5.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_Toc69947809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3008FDC8" w14:textId="6EBC21FF">
          <w:pPr>
            <w:pStyle w:val="TOC3"/>
            <w:tabs>
              <w:tab w:val="left" w:pos="1296"/>
              <w:tab w:val="right" w:leader="dot" w:pos="9350"/>
            </w:tabs>
            <w:rPr>
              <w:rFonts w:asciiTheme="minorHAnsi" w:hAnsiTheme="minorHAnsi" w:cstheme="minorBidi"/>
              <w:noProof/>
              <w:sz w:val="22"/>
              <w:szCs w:val="22"/>
            </w:rPr>
          </w:pPr>
          <w:hyperlink w:history="1" w:anchor="_Toc69947810">
            <w:r w:rsidRPr="00FD24A9" w:rsidR="00C054EE">
              <w:rPr>
                <w:rStyle w:val="Hyperlink"/>
                <w:noProof/>
              </w:rPr>
              <w:t>4.4.6.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_Toc69947810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63FCAE3B" w14:textId="09F0271A">
          <w:pPr>
            <w:pStyle w:val="TOC3"/>
            <w:tabs>
              <w:tab w:val="left" w:pos="1296"/>
              <w:tab w:val="right" w:leader="dot" w:pos="9350"/>
            </w:tabs>
            <w:rPr>
              <w:rFonts w:asciiTheme="minorHAnsi" w:hAnsiTheme="minorHAnsi" w:cstheme="minorBidi"/>
              <w:noProof/>
              <w:sz w:val="22"/>
              <w:szCs w:val="22"/>
            </w:rPr>
          </w:pPr>
          <w:hyperlink w:history="1" w:anchor="_Toc69947811">
            <w:r w:rsidRPr="00FD24A9" w:rsidR="00C054EE">
              <w:rPr>
                <w:rStyle w:val="Hyperlink"/>
                <w:noProof/>
              </w:rPr>
              <w:t>4.4.7.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_Toc69947811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6FB4FFB2" w14:textId="1818BDD1">
          <w:pPr>
            <w:pStyle w:val="TOC4"/>
            <w:tabs>
              <w:tab w:val="left" w:pos="1728"/>
              <w:tab w:val="right" w:leader="dot" w:pos="9350"/>
            </w:tabs>
            <w:rPr>
              <w:rFonts w:asciiTheme="minorHAnsi" w:hAnsiTheme="minorHAnsi" w:eastAsiaTheme="minorEastAsia" w:cstheme="minorBidi"/>
              <w:noProof/>
              <w:sz w:val="22"/>
              <w:szCs w:val="22"/>
            </w:rPr>
          </w:pPr>
          <w:hyperlink w:history="1" w:anchor="_Toc69947812">
            <w:r w:rsidRPr="00FD24A9" w:rsidR="00C054EE">
              <w:rPr>
                <w:rStyle w:val="Hyperlink"/>
                <w:noProof/>
              </w:rPr>
              <w:t>4.4.7.1.</w:t>
            </w:r>
            <w:r w:rsidR="00C054EE">
              <w:rPr>
                <w:rFonts w:asciiTheme="minorHAnsi" w:hAnsiTheme="minorHAnsi" w:eastAsiaTheme="minorEastAsia" w:cstheme="minorBidi"/>
                <w:noProof/>
                <w:sz w:val="22"/>
                <w:szCs w:val="22"/>
              </w:rPr>
              <w:tab/>
            </w:r>
            <w:r w:rsidRPr="00FD24A9" w:rsidR="00C054EE">
              <w:rPr>
                <w:rStyle w:val="Hyperlink"/>
                <w:noProof/>
              </w:rPr>
              <w:t>Funding Cooling Center via GRC: Approved</w:t>
            </w:r>
            <w:r w:rsidR="00C054EE">
              <w:rPr>
                <w:noProof/>
                <w:webHidden/>
              </w:rPr>
              <w:tab/>
            </w:r>
            <w:r w:rsidR="00C054EE">
              <w:rPr>
                <w:noProof/>
                <w:webHidden/>
              </w:rPr>
              <w:fldChar w:fldCharType="begin"/>
            </w:r>
            <w:r w:rsidR="00C054EE">
              <w:rPr>
                <w:noProof/>
                <w:webHidden/>
              </w:rPr>
              <w:instrText xml:space="preserve"> PAGEREF _Toc69947812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0DC24FF2" w14:textId="3748BA82">
          <w:pPr>
            <w:pStyle w:val="TOC2"/>
            <w:tabs>
              <w:tab w:val="right" w:leader="dot" w:pos="9350"/>
            </w:tabs>
            <w:rPr>
              <w:rFonts w:asciiTheme="minorHAnsi" w:hAnsiTheme="minorHAnsi" w:cstheme="minorBidi"/>
              <w:noProof/>
              <w:sz w:val="22"/>
              <w:szCs w:val="22"/>
            </w:rPr>
          </w:pPr>
          <w:hyperlink w:history="1" w:anchor="_Toc69947813">
            <w:r w:rsidRPr="00FD24A9" w:rsidR="00C054EE">
              <w:rPr>
                <w:rStyle w:val="Hyperlink"/>
                <w:noProof/>
              </w:rPr>
              <w:t>4.5.</w:t>
            </w:r>
            <w:r w:rsidR="00C054EE">
              <w:rPr>
                <w:rFonts w:asciiTheme="minorHAnsi" w:hAnsiTheme="minorHAnsi" w:cstheme="minorBidi"/>
                <w:noProof/>
                <w:sz w:val="22"/>
                <w:szCs w:val="22"/>
              </w:rPr>
              <w:tab/>
            </w:r>
            <w:r w:rsidRPr="00FD24A9" w:rsidR="00C054EE">
              <w:rPr>
                <w:rStyle w:val="Hyperlink"/>
                <w:noProof/>
              </w:rPr>
              <w:t>CHANGES</w:t>
            </w:r>
            <w:r w:rsidR="00C054EE">
              <w:rPr>
                <w:noProof/>
                <w:webHidden/>
              </w:rPr>
              <w:tab/>
            </w:r>
            <w:r w:rsidR="00C054EE">
              <w:rPr>
                <w:noProof/>
                <w:webHidden/>
              </w:rPr>
              <w:fldChar w:fldCharType="begin"/>
            </w:r>
            <w:r w:rsidR="00C054EE">
              <w:rPr>
                <w:noProof/>
                <w:webHidden/>
              </w:rPr>
              <w:instrText xml:space="preserve"> PAGEREF _Toc69947813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7281A930" w14:textId="2345586D">
          <w:pPr>
            <w:pStyle w:val="TOC3"/>
            <w:tabs>
              <w:tab w:val="left" w:pos="1296"/>
              <w:tab w:val="right" w:leader="dot" w:pos="9350"/>
            </w:tabs>
            <w:rPr>
              <w:rFonts w:asciiTheme="minorHAnsi" w:hAnsiTheme="minorHAnsi" w:cstheme="minorBidi"/>
              <w:noProof/>
              <w:sz w:val="22"/>
              <w:szCs w:val="22"/>
            </w:rPr>
          </w:pPr>
          <w:hyperlink w:history="1" w:anchor="_Toc69947814">
            <w:r w:rsidRPr="00FD24A9" w:rsidR="00C054EE">
              <w:rPr>
                <w:rStyle w:val="Hyperlink"/>
                <w:noProof/>
              </w:rPr>
              <w:t>4.5.1.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_Toc69947814 \h </w:instrText>
            </w:r>
            <w:r w:rsidR="00C054EE">
              <w:rPr>
                <w:noProof/>
                <w:webHidden/>
              </w:rPr>
            </w:r>
            <w:r w:rsidR="00C054EE">
              <w:rPr>
                <w:noProof/>
                <w:webHidden/>
              </w:rPr>
              <w:fldChar w:fldCharType="separate"/>
            </w:r>
            <w:r w:rsidR="004C2E01">
              <w:rPr>
                <w:noProof/>
                <w:webHidden/>
              </w:rPr>
              <w:t>69</w:t>
            </w:r>
            <w:r w:rsidR="00C054EE">
              <w:rPr>
                <w:noProof/>
                <w:webHidden/>
              </w:rPr>
              <w:fldChar w:fldCharType="end"/>
            </w:r>
          </w:hyperlink>
        </w:p>
        <w:p w:rsidR="00C054EE" w:rsidRDefault="000D5832" w14:paraId="73449211" w14:textId="515BB08E">
          <w:pPr>
            <w:pStyle w:val="TOC3"/>
            <w:tabs>
              <w:tab w:val="left" w:pos="1296"/>
              <w:tab w:val="right" w:leader="dot" w:pos="9350"/>
            </w:tabs>
            <w:rPr>
              <w:rFonts w:asciiTheme="minorHAnsi" w:hAnsiTheme="minorHAnsi" w:cstheme="minorBidi"/>
              <w:noProof/>
              <w:sz w:val="22"/>
              <w:szCs w:val="22"/>
            </w:rPr>
          </w:pPr>
          <w:hyperlink w:history="1" w:anchor="_Toc69947815">
            <w:r w:rsidRPr="00FD24A9" w:rsidR="00C054EE">
              <w:rPr>
                <w:rStyle w:val="Hyperlink"/>
                <w:noProof/>
              </w:rPr>
              <w:t>4.5.2.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_Toc69947815 \h </w:instrText>
            </w:r>
            <w:r w:rsidR="00C054EE">
              <w:rPr>
                <w:noProof/>
                <w:webHidden/>
              </w:rPr>
            </w:r>
            <w:r w:rsidR="00C054EE">
              <w:rPr>
                <w:noProof/>
                <w:webHidden/>
              </w:rPr>
              <w:fldChar w:fldCharType="separate"/>
            </w:r>
            <w:r w:rsidR="004C2E01">
              <w:rPr>
                <w:noProof/>
                <w:webHidden/>
              </w:rPr>
              <w:t>70</w:t>
            </w:r>
            <w:r w:rsidR="00C054EE">
              <w:rPr>
                <w:noProof/>
                <w:webHidden/>
              </w:rPr>
              <w:fldChar w:fldCharType="end"/>
            </w:r>
          </w:hyperlink>
        </w:p>
        <w:p w:rsidR="00C054EE" w:rsidRDefault="000D5832" w14:paraId="28A48B4A" w14:textId="6892DD10">
          <w:pPr>
            <w:pStyle w:val="TOC3"/>
            <w:tabs>
              <w:tab w:val="left" w:pos="1296"/>
              <w:tab w:val="right" w:leader="dot" w:pos="9350"/>
            </w:tabs>
            <w:rPr>
              <w:rFonts w:asciiTheme="minorHAnsi" w:hAnsiTheme="minorHAnsi" w:cstheme="minorBidi"/>
              <w:noProof/>
              <w:sz w:val="22"/>
              <w:szCs w:val="22"/>
            </w:rPr>
          </w:pPr>
          <w:hyperlink w:history="1" w:anchor="_Toc69947816">
            <w:r w:rsidRPr="00FD24A9" w:rsidR="00C054EE">
              <w:rPr>
                <w:rStyle w:val="Hyperlink"/>
                <w:noProof/>
              </w:rPr>
              <w:t>4.5.3.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_Toc69947816 \h </w:instrText>
            </w:r>
            <w:r w:rsidR="00C054EE">
              <w:rPr>
                <w:noProof/>
                <w:webHidden/>
              </w:rPr>
            </w:r>
            <w:r w:rsidR="00C054EE">
              <w:rPr>
                <w:noProof/>
                <w:webHidden/>
              </w:rPr>
              <w:fldChar w:fldCharType="separate"/>
            </w:r>
            <w:r w:rsidR="004C2E01">
              <w:rPr>
                <w:noProof/>
                <w:webHidden/>
              </w:rPr>
              <w:t>71</w:t>
            </w:r>
            <w:r w:rsidR="00C054EE">
              <w:rPr>
                <w:noProof/>
                <w:webHidden/>
              </w:rPr>
              <w:fldChar w:fldCharType="end"/>
            </w:r>
          </w:hyperlink>
        </w:p>
        <w:p w:rsidR="00C054EE" w:rsidRDefault="000D5832" w14:paraId="4B806C20" w14:textId="20316CF1">
          <w:pPr>
            <w:pStyle w:val="TOC3"/>
            <w:tabs>
              <w:tab w:val="left" w:pos="1296"/>
              <w:tab w:val="right" w:leader="dot" w:pos="9350"/>
            </w:tabs>
            <w:rPr>
              <w:rFonts w:asciiTheme="minorHAnsi" w:hAnsiTheme="minorHAnsi" w:cstheme="minorBidi"/>
              <w:noProof/>
              <w:sz w:val="22"/>
              <w:szCs w:val="22"/>
            </w:rPr>
          </w:pPr>
          <w:hyperlink w:history="1" w:anchor="_Toc69947817">
            <w:r w:rsidRPr="00FD24A9" w:rsidR="00C054EE">
              <w:rPr>
                <w:rStyle w:val="Hyperlink"/>
                <w:noProof/>
              </w:rPr>
              <w:t>4.5.4.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_Toc69947817 \h </w:instrText>
            </w:r>
            <w:r w:rsidR="00C054EE">
              <w:rPr>
                <w:noProof/>
                <w:webHidden/>
              </w:rPr>
            </w:r>
            <w:r w:rsidR="00C054EE">
              <w:rPr>
                <w:noProof/>
                <w:webHidden/>
              </w:rPr>
              <w:fldChar w:fldCharType="separate"/>
            </w:r>
            <w:r w:rsidR="004C2E01">
              <w:rPr>
                <w:noProof/>
                <w:webHidden/>
              </w:rPr>
              <w:t>71</w:t>
            </w:r>
            <w:r w:rsidR="00C054EE">
              <w:rPr>
                <w:noProof/>
                <w:webHidden/>
              </w:rPr>
              <w:fldChar w:fldCharType="end"/>
            </w:r>
          </w:hyperlink>
        </w:p>
        <w:p w:rsidR="00C054EE" w:rsidRDefault="000D5832" w14:paraId="18C0E417" w14:textId="17615D48">
          <w:pPr>
            <w:pStyle w:val="TOC3"/>
            <w:tabs>
              <w:tab w:val="left" w:pos="1296"/>
              <w:tab w:val="right" w:leader="dot" w:pos="9350"/>
            </w:tabs>
            <w:rPr>
              <w:rFonts w:asciiTheme="minorHAnsi" w:hAnsiTheme="minorHAnsi" w:cstheme="minorBidi"/>
              <w:noProof/>
              <w:sz w:val="22"/>
              <w:szCs w:val="22"/>
            </w:rPr>
          </w:pPr>
          <w:hyperlink w:history="1" w:anchor="_Toc69947818">
            <w:r w:rsidRPr="00FD24A9" w:rsidR="00C054EE">
              <w:rPr>
                <w:rStyle w:val="Hyperlink"/>
                <w:noProof/>
              </w:rPr>
              <w:t>4.5.5.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_Toc69947818 \h </w:instrText>
            </w:r>
            <w:r w:rsidR="00C054EE">
              <w:rPr>
                <w:noProof/>
                <w:webHidden/>
              </w:rPr>
            </w:r>
            <w:r w:rsidR="00C054EE">
              <w:rPr>
                <w:noProof/>
                <w:webHidden/>
              </w:rPr>
              <w:fldChar w:fldCharType="separate"/>
            </w:r>
            <w:r w:rsidR="004C2E01">
              <w:rPr>
                <w:noProof/>
                <w:webHidden/>
              </w:rPr>
              <w:t>72</w:t>
            </w:r>
            <w:r w:rsidR="00C054EE">
              <w:rPr>
                <w:noProof/>
                <w:webHidden/>
              </w:rPr>
              <w:fldChar w:fldCharType="end"/>
            </w:r>
          </w:hyperlink>
        </w:p>
        <w:p w:rsidR="00C054EE" w:rsidRDefault="000D5832" w14:paraId="3AFAFF60" w14:textId="0E8D4F94">
          <w:pPr>
            <w:pStyle w:val="TOC3"/>
            <w:tabs>
              <w:tab w:val="left" w:pos="1296"/>
              <w:tab w:val="right" w:leader="dot" w:pos="9350"/>
            </w:tabs>
            <w:rPr>
              <w:rFonts w:asciiTheme="minorHAnsi" w:hAnsiTheme="minorHAnsi" w:cstheme="minorBidi"/>
              <w:noProof/>
              <w:sz w:val="22"/>
              <w:szCs w:val="22"/>
            </w:rPr>
          </w:pPr>
          <w:hyperlink w:history="1" w:anchor="_Toc69947819">
            <w:r w:rsidRPr="00FD24A9" w:rsidR="00C054EE">
              <w:rPr>
                <w:rStyle w:val="Hyperlink"/>
                <w:noProof/>
              </w:rPr>
              <w:t>4.5.6.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_Toc69947819 \h </w:instrText>
            </w:r>
            <w:r w:rsidR="00C054EE">
              <w:rPr>
                <w:noProof/>
                <w:webHidden/>
              </w:rPr>
            </w:r>
            <w:r w:rsidR="00C054EE">
              <w:rPr>
                <w:noProof/>
                <w:webHidden/>
              </w:rPr>
              <w:fldChar w:fldCharType="separate"/>
            </w:r>
            <w:r w:rsidR="004C2E01">
              <w:rPr>
                <w:noProof/>
                <w:webHidden/>
              </w:rPr>
              <w:t>73</w:t>
            </w:r>
            <w:r w:rsidR="00C054EE">
              <w:rPr>
                <w:noProof/>
                <w:webHidden/>
              </w:rPr>
              <w:fldChar w:fldCharType="end"/>
            </w:r>
          </w:hyperlink>
        </w:p>
        <w:p w:rsidR="00C054EE" w:rsidRDefault="000D5832" w14:paraId="4A23E87B" w14:textId="58593E92">
          <w:pPr>
            <w:pStyle w:val="TOC4"/>
            <w:tabs>
              <w:tab w:val="left" w:pos="1728"/>
              <w:tab w:val="right" w:leader="dot" w:pos="9350"/>
            </w:tabs>
            <w:rPr>
              <w:rFonts w:asciiTheme="minorHAnsi" w:hAnsiTheme="minorHAnsi" w:eastAsiaTheme="minorEastAsia" w:cstheme="minorBidi"/>
              <w:noProof/>
              <w:sz w:val="22"/>
              <w:szCs w:val="22"/>
            </w:rPr>
          </w:pPr>
          <w:hyperlink w:history="1" w:anchor="_Toc69947820">
            <w:r w:rsidRPr="00FD24A9" w:rsidR="00C054EE">
              <w:rPr>
                <w:rStyle w:val="Hyperlink"/>
                <w:noProof/>
              </w:rPr>
              <w:t>4.5.6.1.</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_Toc69947820 \h </w:instrText>
            </w:r>
            <w:r w:rsidR="00C054EE">
              <w:rPr>
                <w:noProof/>
                <w:webHidden/>
              </w:rPr>
            </w:r>
            <w:r w:rsidR="00C054EE">
              <w:rPr>
                <w:noProof/>
                <w:webHidden/>
              </w:rPr>
              <w:fldChar w:fldCharType="separate"/>
            </w:r>
            <w:r w:rsidR="004C2E01">
              <w:rPr>
                <w:noProof/>
                <w:webHidden/>
              </w:rPr>
              <w:t>73</w:t>
            </w:r>
            <w:r w:rsidR="00C054EE">
              <w:rPr>
                <w:noProof/>
                <w:webHidden/>
              </w:rPr>
              <w:fldChar w:fldCharType="end"/>
            </w:r>
          </w:hyperlink>
        </w:p>
        <w:p w:rsidR="00C054EE" w:rsidRDefault="000D5832" w14:paraId="5E9A9205" w14:textId="21960588">
          <w:pPr>
            <w:pStyle w:val="TOC3"/>
            <w:tabs>
              <w:tab w:val="left" w:pos="1296"/>
              <w:tab w:val="right" w:leader="dot" w:pos="9350"/>
            </w:tabs>
            <w:rPr>
              <w:rFonts w:asciiTheme="minorHAnsi" w:hAnsiTheme="minorHAnsi" w:cstheme="minorBidi"/>
              <w:noProof/>
              <w:sz w:val="22"/>
              <w:szCs w:val="22"/>
            </w:rPr>
          </w:pPr>
          <w:hyperlink w:history="1" w:anchor="_Toc69947821">
            <w:r w:rsidRPr="00FD24A9" w:rsidR="00C054EE">
              <w:rPr>
                <w:rStyle w:val="Hyperlink"/>
                <w:noProof/>
              </w:rPr>
              <w:t>4.5.7.</w:t>
            </w:r>
            <w:r w:rsidR="00C054EE">
              <w:rPr>
                <w:rFonts w:asciiTheme="minorHAnsi" w:hAnsiTheme="minorHAnsi" w:cstheme="minorBidi"/>
                <w:noProof/>
                <w:sz w:val="22"/>
                <w:szCs w:val="22"/>
              </w:rPr>
              <w:tab/>
            </w:r>
            <w:r w:rsidRPr="00FD24A9" w:rsidR="00C054EE">
              <w:rPr>
                <w:rStyle w:val="Hyperlink"/>
                <w:noProof/>
              </w:rPr>
              <w:t>IOU Response</w:t>
            </w:r>
            <w:r w:rsidR="00C054EE">
              <w:rPr>
                <w:noProof/>
                <w:webHidden/>
              </w:rPr>
              <w:tab/>
            </w:r>
            <w:r w:rsidR="00C054EE">
              <w:rPr>
                <w:noProof/>
                <w:webHidden/>
              </w:rPr>
              <w:fldChar w:fldCharType="begin"/>
            </w:r>
            <w:r w:rsidR="00C054EE">
              <w:rPr>
                <w:noProof/>
                <w:webHidden/>
              </w:rPr>
              <w:instrText xml:space="preserve"> PAGEREF _Toc69947821 \h </w:instrText>
            </w:r>
            <w:r w:rsidR="00C054EE">
              <w:rPr>
                <w:noProof/>
                <w:webHidden/>
              </w:rPr>
            </w:r>
            <w:r w:rsidR="00C054EE">
              <w:rPr>
                <w:noProof/>
                <w:webHidden/>
              </w:rPr>
              <w:fldChar w:fldCharType="separate"/>
            </w:r>
            <w:r w:rsidR="004C2E01">
              <w:rPr>
                <w:noProof/>
                <w:webHidden/>
              </w:rPr>
              <w:t>73</w:t>
            </w:r>
            <w:r w:rsidR="00C054EE">
              <w:rPr>
                <w:noProof/>
                <w:webHidden/>
              </w:rPr>
              <w:fldChar w:fldCharType="end"/>
            </w:r>
          </w:hyperlink>
        </w:p>
        <w:p w:rsidR="00C054EE" w:rsidRDefault="000D5832" w14:paraId="6AE0B3C3" w14:textId="3F0CAE14">
          <w:pPr>
            <w:pStyle w:val="TOC4"/>
            <w:tabs>
              <w:tab w:val="left" w:pos="1728"/>
              <w:tab w:val="right" w:leader="dot" w:pos="9350"/>
            </w:tabs>
            <w:rPr>
              <w:rFonts w:asciiTheme="minorHAnsi" w:hAnsiTheme="minorHAnsi" w:eastAsiaTheme="minorEastAsia" w:cstheme="minorBidi"/>
              <w:noProof/>
              <w:sz w:val="22"/>
              <w:szCs w:val="22"/>
            </w:rPr>
          </w:pPr>
          <w:hyperlink w:history="1" w:anchor="_Toc69947822">
            <w:r w:rsidRPr="00FD24A9" w:rsidR="00C054EE">
              <w:rPr>
                <w:rStyle w:val="Hyperlink"/>
                <w:noProof/>
              </w:rPr>
              <w:t>4.5.7.1.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_Toc69947822 \h </w:instrText>
            </w:r>
            <w:r w:rsidR="00C054EE">
              <w:rPr>
                <w:noProof/>
                <w:webHidden/>
              </w:rPr>
            </w:r>
            <w:r w:rsidR="00C054EE">
              <w:rPr>
                <w:noProof/>
                <w:webHidden/>
              </w:rPr>
              <w:fldChar w:fldCharType="separate"/>
            </w:r>
            <w:r w:rsidR="004C2E01">
              <w:rPr>
                <w:noProof/>
                <w:webHidden/>
              </w:rPr>
              <w:t>73</w:t>
            </w:r>
            <w:r w:rsidR="00C054EE">
              <w:rPr>
                <w:noProof/>
                <w:webHidden/>
              </w:rPr>
              <w:fldChar w:fldCharType="end"/>
            </w:r>
          </w:hyperlink>
        </w:p>
        <w:p w:rsidR="00C054EE" w:rsidRDefault="000D5832" w14:paraId="495D39E6" w14:textId="78C1187F">
          <w:pPr>
            <w:pStyle w:val="TOC3"/>
            <w:tabs>
              <w:tab w:val="left" w:pos="1296"/>
              <w:tab w:val="right" w:leader="dot" w:pos="9350"/>
            </w:tabs>
            <w:rPr>
              <w:rFonts w:asciiTheme="minorHAnsi" w:hAnsiTheme="minorHAnsi" w:cstheme="minorBidi"/>
              <w:noProof/>
              <w:sz w:val="22"/>
              <w:szCs w:val="22"/>
            </w:rPr>
          </w:pPr>
          <w:hyperlink w:history="1" w:anchor="_Toc69947823">
            <w:r w:rsidRPr="00FD24A9" w:rsidR="00C054EE">
              <w:rPr>
                <w:rStyle w:val="Hyperlink"/>
                <w:noProof/>
              </w:rPr>
              <w:t>4.5.8.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_Toc69947823 \h </w:instrText>
            </w:r>
            <w:r w:rsidR="00C054EE">
              <w:rPr>
                <w:noProof/>
                <w:webHidden/>
              </w:rPr>
            </w:r>
            <w:r w:rsidR="00C054EE">
              <w:rPr>
                <w:noProof/>
                <w:webHidden/>
              </w:rPr>
              <w:fldChar w:fldCharType="separate"/>
            </w:r>
            <w:r w:rsidR="004C2E01">
              <w:rPr>
                <w:noProof/>
                <w:webHidden/>
              </w:rPr>
              <w:t>73</w:t>
            </w:r>
            <w:r w:rsidR="00C054EE">
              <w:rPr>
                <w:noProof/>
                <w:webHidden/>
              </w:rPr>
              <w:fldChar w:fldCharType="end"/>
            </w:r>
          </w:hyperlink>
        </w:p>
        <w:p w:rsidR="00C054EE" w:rsidRDefault="000D5832" w14:paraId="1883025A" w14:textId="7B3B32A1">
          <w:pPr>
            <w:pStyle w:val="TOC4"/>
            <w:tabs>
              <w:tab w:val="left" w:pos="1728"/>
              <w:tab w:val="right" w:leader="dot" w:pos="9350"/>
            </w:tabs>
            <w:rPr>
              <w:rFonts w:asciiTheme="minorHAnsi" w:hAnsiTheme="minorHAnsi" w:eastAsiaTheme="minorEastAsia" w:cstheme="minorBidi"/>
              <w:noProof/>
              <w:sz w:val="22"/>
              <w:szCs w:val="22"/>
            </w:rPr>
          </w:pPr>
          <w:hyperlink w:history="1" w:anchor="_Toc69947824">
            <w:r w:rsidRPr="00FD24A9" w:rsidR="00C054EE">
              <w:rPr>
                <w:rStyle w:val="Hyperlink"/>
                <w:noProof/>
              </w:rPr>
              <w:t>4.5.8.1.</w:t>
            </w:r>
            <w:r w:rsidR="00C054EE">
              <w:rPr>
                <w:rFonts w:asciiTheme="minorHAnsi" w:hAnsiTheme="minorHAnsi" w:eastAsiaTheme="minorEastAsia" w:cstheme="minorBidi"/>
                <w:noProof/>
                <w:sz w:val="22"/>
                <w:szCs w:val="22"/>
              </w:rPr>
              <w:tab/>
            </w:r>
            <w:r w:rsidRPr="00FD24A9" w:rsidR="00C054EE">
              <w:rPr>
                <w:rStyle w:val="Hyperlink"/>
                <w:noProof/>
              </w:rPr>
              <w:t>Alternate Funding Source: Denied</w:t>
            </w:r>
            <w:r w:rsidR="00C054EE">
              <w:rPr>
                <w:noProof/>
                <w:webHidden/>
              </w:rPr>
              <w:tab/>
            </w:r>
            <w:r w:rsidR="00C054EE">
              <w:rPr>
                <w:noProof/>
                <w:webHidden/>
              </w:rPr>
              <w:fldChar w:fldCharType="begin"/>
            </w:r>
            <w:r w:rsidR="00C054EE">
              <w:rPr>
                <w:noProof/>
                <w:webHidden/>
              </w:rPr>
              <w:instrText xml:space="preserve"> PAGEREF _Toc69947824 \h </w:instrText>
            </w:r>
            <w:r w:rsidR="00C054EE">
              <w:rPr>
                <w:noProof/>
                <w:webHidden/>
              </w:rPr>
            </w:r>
            <w:r w:rsidR="00C054EE">
              <w:rPr>
                <w:noProof/>
                <w:webHidden/>
              </w:rPr>
              <w:fldChar w:fldCharType="separate"/>
            </w:r>
            <w:r w:rsidR="004C2E01">
              <w:rPr>
                <w:noProof/>
                <w:webHidden/>
              </w:rPr>
              <w:t>73</w:t>
            </w:r>
            <w:r w:rsidR="00C054EE">
              <w:rPr>
                <w:noProof/>
                <w:webHidden/>
              </w:rPr>
              <w:fldChar w:fldCharType="end"/>
            </w:r>
          </w:hyperlink>
        </w:p>
        <w:p w:rsidR="00C054EE" w:rsidRDefault="000D5832" w14:paraId="74FDE958" w14:textId="3AF0FAD8">
          <w:pPr>
            <w:pStyle w:val="TOC2"/>
            <w:tabs>
              <w:tab w:val="right" w:leader="dot" w:pos="9350"/>
            </w:tabs>
            <w:rPr>
              <w:rFonts w:asciiTheme="minorHAnsi" w:hAnsiTheme="minorHAnsi" w:cstheme="minorBidi"/>
              <w:noProof/>
              <w:sz w:val="22"/>
              <w:szCs w:val="22"/>
            </w:rPr>
          </w:pPr>
          <w:hyperlink w:history="1" w:anchor="_Toc69947825">
            <w:r w:rsidRPr="00FD24A9" w:rsidR="00C054EE">
              <w:rPr>
                <w:rStyle w:val="Hyperlink"/>
                <w:noProof/>
              </w:rPr>
              <w:t>4.6.</w:t>
            </w:r>
            <w:r w:rsidR="00C054EE">
              <w:rPr>
                <w:rFonts w:asciiTheme="minorHAnsi" w:hAnsiTheme="minorHAnsi" w:cstheme="minorBidi"/>
                <w:noProof/>
                <w:sz w:val="22"/>
                <w:szCs w:val="22"/>
              </w:rPr>
              <w:tab/>
            </w:r>
            <w:r w:rsidRPr="00FD24A9" w:rsidR="00C054EE">
              <w:rPr>
                <w:rStyle w:val="Hyperlink"/>
                <w:noProof/>
              </w:rPr>
              <w:t>CARE Budgets</w:t>
            </w:r>
            <w:r w:rsidR="00C054EE">
              <w:rPr>
                <w:noProof/>
                <w:webHidden/>
              </w:rPr>
              <w:tab/>
            </w:r>
            <w:r w:rsidR="00C054EE">
              <w:rPr>
                <w:noProof/>
                <w:webHidden/>
              </w:rPr>
              <w:fldChar w:fldCharType="begin"/>
            </w:r>
            <w:r w:rsidR="00C054EE">
              <w:rPr>
                <w:noProof/>
                <w:webHidden/>
              </w:rPr>
              <w:instrText xml:space="preserve"> PAGEREF _Toc69947825 \h </w:instrText>
            </w:r>
            <w:r w:rsidR="00C054EE">
              <w:rPr>
                <w:noProof/>
                <w:webHidden/>
              </w:rPr>
            </w:r>
            <w:r w:rsidR="00C054EE">
              <w:rPr>
                <w:noProof/>
                <w:webHidden/>
              </w:rPr>
              <w:fldChar w:fldCharType="separate"/>
            </w:r>
            <w:r w:rsidR="004C2E01">
              <w:rPr>
                <w:noProof/>
                <w:webHidden/>
              </w:rPr>
              <w:t>75</w:t>
            </w:r>
            <w:r w:rsidR="00C054EE">
              <w:rPr>
                <w:noProof/>
                <w:webHidden/>
              </w:rPr>
              <w:fldChar w:fldCharType="end"/>
            </w:r>
          </w:hyperlink>
        </w:p>
        <w:p w:rsidR="00C054EE" w:rsidRDefault="000D5832" w14:paraId="4BEDCD14" w14:textId="63E78989">
          <w:pPr>
            <w:pStyle w:val="TOC3"/>
            <w:tabs>
              <w:tab w:val="left" w:pos="1296"/>
              <w:tab w:val="right" w:leader="dot" w:pos="9350"/>
            </w:tabs>
            <w:rPr>
              <w:rFonts w:asciiTheme="minorHAnsi" w:hAnsiTheme="minorHAnsi" w:cstheme="minorBidi"/>
              <w:noProof/>
              <w:sz w:val="22"/>
              <w:szCs w:val="22"/>
            </w:rPr>
          </w:pPr>
          <w:hyperlink w:history="1" w:anchor="_Toc69947826">
            <w:r w:rsidRPr="00FD24A9" w:rsidR="00C054EE">
              <w:rPr>
                <w:rStyle w:val="Hyperlink"/>
                <w:noProof/>
              </w:rPr>
              <w:t>4.6.1.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_Toc69947826 \h </w:instrText>
            </w:r>
            <w:r w:rsidR="00C054EE">
              <w:rPr>
                <w:noProof/>
                <w:webHidden/>
              </w:rPr>
            </w:r>
            <w:r w:rsidR="00C054EE">
              <w:rPr>
                <w:noProof/>
                <w:webHidden/>
              </w:rPr>
              <w:fldChar w:fldCharType="separate"/>
            </w:r>
            <w:r w:rsidR="004C2E01">
              <w:rPr>
                <w:noProof/>
                <w:webHidden/>
              </w:rPr>
              <w:t>75</w:t>
            </w:r>
            <w:r w:rsidR="00C054EE">
              <w:rPr>
                <w:noProof/>
                <w:webHidden/>
              </w:rPr>
              <w:fldChar w:fldCharType="end"/>
            </w:r>
          </w:hyperlink>
        </w:p>
        <w:p w:rsidR="00C054EE" w:rsidRDefault="000D5832" w14:paraId="7CE158B2" w14:textId="07A4A648">
          <w:pPr>
            <w:pStyle w:val="TOC3"/>
            <w:tabs>
              <w:tab w:val="left" w:pos="1296"/>
              <w:tab w:val="right" w:leader="dot" w:pos="9350"/>
            </w:tabs>
            <w:rPr>
              <w:rFonts w:asciiTheme="minorHAnsi" w:hAnsiTheme="minorHAnsi" w:cstheme="minorBidi"/>
              <w:noProof/>
              <w:sz w:val="22"/>
              <w:szCs w:val="22"/>
            </w:rPr>
          </w:pPr>
          <w:hyperlink w:history="1" w:anchor="_Toc69947827">
            <w:r w:rsidRPr="00FD24A9" w:rsidR="00C054EE">
              <w:rPr>
                <w:rStyle w:val="Hyperlink"/>
                <w:noProof/>
              </w:rPr>
              <w:t>4.6.2.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_Toc69947827 \h </w:instrText>
            </w:r>
            <w:r w:rsidR="00C054EE">
              <w:rPr>
                <w:noProof/>
                <w:webHidden/>
              </w:rPr>
            </w:r>
            <w:r w:rsidR="00C054EE">
              <w:rPr>
                <w:noProof/>
                <w:webHidden/>
              </w:rPr>
              <w:fldChar w:fldCharType="separate"/>
            </w:r>
            <w:r w:rsidR="004C2E01">
              <w:rPr>
                <w:noProof/>
                <w:webHidden/>
              </w:rPr>
              <w:t>76</w:t>
            </w:r>
            <w:r w:rsidR="00C054EE">
              <w:rPr>
                <w:noProof/>
                <w:webHidden/>
              </w:rPr>
              <w:fldChar w:fldCharType="end"/>
            </w:r>
          </w:hyperlink>
        </w:p>
        <w:p w:rsidR="00C054EE" w:rsidRDefault="000D5832" w14:paraId="6C149C19" w14:textId="56A887B0">
          <w:pPr>
            <w:pStyle w:val="TOC3"/>
            <w:tabs>
              <w:tab w:val="left" w:pos="1296"/>
              <w:tab w:val="right" w:leader="dot" w:pos="9350"/>
            </w:tabs>
            <w:rPr>
              <w:rFonts w:asciiTheme="minorHAnsi" w:hAnsiTheme="minorHAnsi" w:cstheme="minorBidi"/>
              <w:noProof/>
              <w:sz w:val="22"/>
              <w:szCs w:val="22"/>
            </w:rPr>
          </w:pPr>
          <w:hyperlink w:history="1" w:anchor="_Toc69947828">
            <w:r w:rsidRPr="00FD24A9" w:rsidR="00C054EE">
              <w:rPr>
                <w:rStyle w:val="Hyperlink"/>
                <w:noProof/>
              </w:rPr>
              <w:t>4.6.3.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_Toc69947828 \h </w:instrText>
            </w:r>
            <w:r w:rsidR="00C054EE">
              <w:rPr>
                <w:noProof/>
                <w:webHidden/>
              </w:rPr>
            </w:r>
            <w:r w:rsidR="00C054EE">
              <w:rPr>
                <w:noProof/>
                <w:webHidden/>
              </w:rPr>
              <w:fldChar w:fldCharType="separate"/>
            </w:r>
            <w:r w:rsidR="004C2E01">
              <w:rPr>
                <w:noProof/>
                <w:webHidden/>
              </w:rPr>
              <w:t>77</w:t>
            </w:r>
            <w:r w:rsidR="00C054EE">
              <w:rPr>
                <w:noProof/>
                <w:webHidden/>
              </w:rPr>
              <w:fldChar w:fldCharType="end"/>
            </w:r>
          </w:hyperlink>
        </w:p>
        <w:p w:rsidR="00C054EE" w:rsidRDefault="000D5832" w14:paraId="6DB55999" w14:textId="7C419C6A">
          <w:pPr>
            <w:pStyle w:val="TOC3"/>
            <w:tabs>
              <w:tab w:val="left" w:pos="1296"/>
              <w:tab w:val="right" w:leader="dot" w:pos="9350"/>
            </w:tabs>
            <w:rPr>
              <w:rFonts w:asciiTheme="minorHAnsi" w:hAnsiTheme="minorHAnsi" w:cstheme="minorBidi"/>
              <w:noProof/>
              <w:sz w:val="22"/>
              <w:szCs w:val="22"/>
            </w:rPr>
          </w:pPr>
          <w:hyperlink w:history="1" w:anchor="_Toc69947829">
            <w:r w:rsidRPr="00FD24A9" w:rsidR="00C054EE">
              <w:rPr>
                <w:rStyle w:val="Hyperlink"/>
                <w:noProof/>
              </w:rPr>
              <w:t>4.6.4.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_Toc69947829 \h </w:instrText>
            </w:r>
            <w:r w:rsidR="00C054EE">
              <w:rPr>
                <w:noProof/>
                <w:webHidden/>
              </w:rPr>
            </w:r>
            <w:r w:rsidR="00C054EE">
              <w:rPr>
                <w:noProof/>
                <w:webHidden/>
              </w:rPr>
              <w:fldChar w:fldCharType="separate"/>
            </w:r>
            <w:r w:rsidR="004C2E01">
              <w:rPr>
                <w:noProof/>
                <w:webHidden/>
              </w:rPr>
              <w:t>77</w:t>
            </w:r>
            <w:r w:rsidR="00C054EE">
              <w:rPr>
                <w:noProof/>
                <w:webHidden/>
              </w:rPr>
              <w:fldChar w:fldCharType="end"/>
            </w:r>
          </w:hyperlink>
        </w:p>
        <w:p w:rsidR="00C054EE" w:rsidRDefault="000D5832" w14:paraId="613B3FC9" w14:textId="227FC6D4">
          <w:pPr>
            <w:pStyle w:val="TOC3"/>
            <w:tabs>
              <w:tab w:val="left" w:pos="1296"/>
              <w:tab w:val="right" w:leader="dot" w:pos="9350"/>
            </w:tabs>
            <w:rPr>
              <w:rFonts w:asciiTheme="minorHAnsi" w:hAnsiTheme="minorHAnsi" w:cstheme="minorBidi"/>
              <w:noProof/>
              <w:sz w:val="22"/>
              <w:szCs w:val="22"/>
            </w:rPr>
          </w:pPr>
          <w:hyperlink w:history="1" w:anchor="_Toc69947830">
            <w:r w:rsidRPr="00FD24A9" w:rsidR="00C054EE">
              <w:rPr>
                <w:rStyle w:val="Hyperlink"/>
                <w:noProof/>
              </w:rPr>
              <w:t>4.6.5.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_Toc69947830 \h </w:instrText>
            </w:r>
            <w:r w:rsidR="00C054EE">
              <w:rPr>
                <w:noProof/>
                <w:webHidden/>
              </w:rPr>
            </w:r>
            <w:r w:rsidR="00C054EE">
              <w:rPr>
                <w:noProof/>
                <w:webHidden/>
              </w:rPr>
              <w:fldChar w:fldCharType="separate"/>
            </w:r>
            <w:r w:rsidR="004C2E01">
              <w:rPr>
                <w:noProof/>
                <w:webHidden/>
              </w:rPr>
              <w:t>78</w:t>
            </w:r>
            <w:r w:rsidR="00C054EE">
              <w:rPr>
                <w:noProof/>
                <w:webHidden/>
              </w:rPr>
              <w:fldChar w:fldCharType="end"/>
            </w:r>
          </w:hyperlink>
        </w:p>
        <w:p w:rsidR="00C054EE" w:rsidRDefault="000D5832" w14:paraId="390AEFF1" w14:textId="3C2723F6">
          <w:pPr>
            <w:pStyle w:val="TOC3"/>
            <w:tabs>
              <w:tab w:val="left" w:pos="1296"/>
              <w:tab w:val="right" w:leader="dot" w:pos="9350"/>
            </w:tabs>
            <w:rPr>
              <w:rFonts w:asciiTheme="minorHAnsi" w:hAnsiTheme="minorHAnsi" w:cstheme="minorBidi"/>
              <w:noProof/>
              <w:sz w:val="22"/>
              <w:szCs w:val="22"/>
            </w:rPr>
          </w:pPr>
          <w:hyperlink w:history="1" w:anchor="_Toc69947831">
            <w:r w:rsidRPr="00FD24A9" w:rsidR="00C054EE">
              <w:rPr>
                <w:rStyle w:val="Hyperlink"/>
                <w:noProof/>
              </w:rPr>
              <w:t>4.6.6.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_Toc69947831 \h </w:instrText>
            </w:r>
            <w:r w:rsidR="00C054EE">
              <w:rPr>
                <w:noProof/>
                <w:webHidden/>
              </w:rPr>
            </w:r>
            <w:r w:rsidR="00C054EE">
              <w:rPr>
                <w:noProof/>
                <w:webHidden/>
              </w:rPr>
              <w:fldChar w:fldCharType="separate"/>
            </w:r>
            <w:r w:rsidR="004C2E01">
              <w:rPr>
                <w:noProof/>
                <w:webHidden/>
              </w:rPr>
              <w:t>78</w:t>
            </w:r>
            <w:r w:rsidR="00C054EE">
              <w:rPr>
                <w:noProof/>
                <w:webHidden/>
              </w:rPr>
              <w:fldChar w:fldCharType="end"/>
            </w:r>
          </w:hyperlink>
        </w:p>
        <w:p w:rsidR="00C054EE" w:rsidRDefault="000D5832" w14:paraId="73A3B5EE" w14:textId="16FA1A4B">
          <w:pPr>
            <w:pStyle w:val="TOC3"/>
            <w:tabs>
              <w:tab w:val="left" w:pos="1296"/>
              <w:tab w:val="right" w:leader="dot" w:pos="9350"/>
            </w:tabs>
            <w:rPr>
              <w:rFonts w:asciiTheme="minorHAnsi" w:hAnsiTheme="minorHAnsi" w:cstheme="minorBidi"/>
              <w:noProof/>
              <w:sz w:val="22"/>
              <w:szCs w:val="22"/>
            </w:rPr>
          </w:pPr>
          <w:hyperlink w:history="1" w:anchor="_Toc69947832">
            <w:r w:rsidRPr="00FD24A9" w:rsidR="00C054EE">
              <w:rPr>
                <w:rStyle w:val="Hyperlink"/>
                <w:noProof/>
              </w:rPr>
              <w:t>4.6.7.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_Toc69947832 \h </w:instrText>
            </w:r>
            <w:r w:rsidR="00C054EE">
              <w:rPr>
                <w:noProof/>
                <w:webHidden/>
              </w:rPr>
            </w:r>
            <w:r w:rsidR="00C054EE">
              <w:rPr>
                <w:noProof/>
                <w:webHidden/>
              </w:rPr>
              <w:fldChar w:fldCharType="separate"/>
            </w:r>
            <w:r w:rsidR="004C2E01">
              <w:rPr>
                <w:noProof/>
                <w:webHidden/>
              </w:rPr>
              <w:t>78</w:t>
            </w:r>
            <w:r w:rsidR="00C054EE">
              <w:rPr>
                <w:noProof/>
                <w:webHidden/>
              </w:rPr>
              <w:fldChar w:fldCharType="end"/>
            </w:r>
          </w:hyperlink>
        </w:p>
        <w:p w:rsidR="00C054EE" w:rsidRDefault="000D5832" w14:paraId="6A87734E" w14:textId="1A15F653">
          <w:pPr>
            <w:pStyle w:val="TOC4"/>
            <w:tabs>
              <w:tab w:val="left" w:pos="1728"/>
              <w:tab w:val="right" w:leader="dot" w:pos="9350"/>
            </w:tabs>
            <w:rPr>
              <w:rFonts w:asciiTheme="minorHAnsi" w:hAnsiTheme="minorHAnsi" w:eastAsiaTheme="minorEastAsia" w:cstheme="minorBidi"/>
              <w:noProof/>
              <w:sz w:val="22"/>
              <w:szCs w:val="22"/>
            </w:rPr>
          </w:pPr>
          <w:hyperlink w:history="1" w:anchor="_Toc69947833">
            <w:r w:rsidRPr="00FD24A9" w:rsidR="00C054EE">
              <w:rPr>
                <w:rStyle w:val="Hyperlink"/>
                <w:noProof/>
              </w:rPr>
              <w:t>4.6.7.1.</w:t>
            </w:r>
            <w:r w:rsidR="00C054EE">
              <w:rPr>
                <w:rFonts w:asciiTheme="minorHAnsi" w:hAnsiTheme="minorHAnsi" w:eastAsiaTheme="minorEastAsia" w:cstheme="minorBidi"/>
                <w:noProof/>
                <w:sz w:val="22"/>
                <w:szCs w:val="22"/>
              </w:rPr>
              <w:tab/>
            </w:r>
            <w:r w:rsidRPr="00FD24A9" w:rsidR="00C054EE">
              <w:rPr>
                <w:rStyle w:val="Hyperlink"/>
                <w:noProof/>
              </w:rPr>
              <w:t>CARE Subsidy Budgets for all IOUs: Approved</w:t>
            </w:r>
            <w:r w:rsidR="00C054EE">
              <w:rPr>
                <w:noProof/>
                <w:webHidden/>
              </w:rPr>
              <w:tab/>
            </w:r>
            <w:r w:rsidR="00C054EE">
              <w:rPr>
                <w:noProof/>
                <w:webHidden/>
              </w:rPr>
              <w:fldChar w:fldCharType="begin"/>
            </w:r>
            <w:r w:rsidR="00C054EE">
              <w:rPr>
                <w:noProof/>
                <w:webHidden/>
              </w:rPr>
              <w:instrText xml:space="preserve"> PAGEREF _Toc69947833 \h </w:instrText>
            </w:r>
            <w:r w:rsidR="00C054EE">
              <w:rPr>
                <w:noProof/>
                <w:webHidden/>
              </w:rPr>
            </w:r>
            <w:r w:rsidR="00C054EE">
              <w:rPr>
                <w:noProof/>
                <w:webHidden/>
              </w:rPr>
              <w:fldChar w:fldCharType="separate"/>
            </w:r>
            <w:r w:rsidR="004C2E01">
              <w:rPr>
                <w:noProof/>
                <w:webHidden/>
              </w:rPr>
              <w:t>78</w:t>
            </w:r>
            <w:r w:rsidR="00C054EE">
              <w:rPr>
                <w:noProof/>
                <w:webHidden/>
              </w:rPr>
              <w:fldChar w:fldCharType="end"/>
            </w:r>
          </w:hyperlink>
        </w:p>
        <w:p w:rsidR="00C054EE" w:rsidRDefault="000D5832" w14:paraId="695F5D50" w14:textId="6C267A35">
          <w:pPr>
            <w:pStyle w:val="TOC4"/>
            <w:tabs>
              <w:tab w:val="left" w:pos="1728"/>
              <w:tab w:val="right" w:leader="dot" w:pos="9350"/>
            </w:tabs>
            <w:rPr>
              <w:rFonts w:asciiTheme="minorHAnsi" w:hAnsiTheme="minorHAnsi" w:eastAsiaTheme="minorEastAsia" w:cstheme="minorBidi"/>
              <w:noProof/>
              <w:sz w:val="22"/>
              <w:szCs w:val="22"/>
            </w:rPr>
          </w:pPr>
          <w:hyperlink w:history="1" w:anchor="_Toc69947834">
            <w:r w:rsidRPr="00FD24A9" w:rsidR="00C054EE">
              <w:rPr>
                <w:rStyle w:val="Hyperlink"/>
                <w:noProof/>
              </w:rPr>
              <w:t>4.6.7.2.</w:t>
            </w:r>
            <w:r w:rsidR="00C054EE">
              <w:rPr>
                <w:rFonts w:asciiTheme="minorHAnsi" w:hAnsiTheme="minorHAnsi" w:eastAsiaTheme="minorEastAsia" w:cstheme="minorBidi"/>
                <w:noProof/>
                <w:sz w:val="22"/>
                <w:szCs w:val="22"/>
              </w:rPr>
              <w:tab/>
            </w:r>
            <w:r w:rsidRPr="00FD24A9" w:rsidR="00C054EE">
              <w:rPr>
                <w:rStyle w:val="Hyperlink"/>
                <w:noProof/>
              </w:rPr>
              <w:t xml:space="preserve">PG&amp;E’s CARE Program Management </w:t>
            </w:r>
            <w:r w:rsidR="00480C4A">
              <w:rPr>
                <w:rStyle w:val="Hyperlink"/>
                <w:noProof/>
              </w:rPr>
              <w:br/>
            </w:r>
            <w:r w:rsidRPr="00FD24A9" w:rsidR="00C054EE">
              <w:rPr>
                <w:rStyle w:val="Hyperlink"/>
                <w:noProof/>
              </w:rPr>
              <w:t>Budgets: Approved</w:t>
            </w:r>
            <w:r w:rsidR="00C054EE">
              <w:rPr>
                <w:noProof/>
                <w:webHidden/>
              </w:rPr>
              <w:tab/>
            </w:r>
            <w:r w:rsidR="00C054EE">
              <w:rPr>
                <w:noProof/>
                <w:webHidden/>
              </w:rPr>
              <w:fldChar w:fldCharType="begin"/>
            </w:r>
            <w:r w:rsidR="00C054EE">
              <w:rPr>
                <w:noProof/>
                <w:webHidden/>
              </w:rPr>
              <w:instrText xml:space="preserve"> PAGEREF _Toc69947834 \h </w:instrText>
            </w:r>
            <w:r w:rsidR="00C054EE">
              <w:rPr>
                <w:noProof/>
                <w:webHidden/>
              </w:rPr>
            </w:r>
            <w:r w:rsidR="00C054EE">
              <w:rPr>
                <w:noProof/>
                <w:webHidden/>
              </w:rPr>
              <w:fldChar w:fldCharType="separate"/>
            </w:r>
            <w:r w:rsidR="004C2E01">
              <w:rPr>
                <w:noProof/>
                <w:webHidden/>
              </w:rPr>
              <w:t>79</w:t>
            </w:r>
            <w:r w:rsidR="00C054EE">
              <w:rPr>
                <w:noProof/>
                <w:webHidden/>
              </w:rPr>
              <w:fldChar w:fldCharType="end"/>
            </w:r>
          </w:hyperlink>
        </w:p>
        <w:p w:rsidR="00C054EE" w:rsidRDefault="000D5832" w14:paraId="0A8BA813" w14:textId="63664CAA">
          <w:pPr>
            <w:pStyle w:val="TOC4"/>
            <w:tabs>
              <w:tab w:val="left" w:pos="1728"/>
              <w:tab w:val="right" w:leader="dot" w:pos="9350"/>
            </w:tabs>
            <w:rPr>
              <w:rFonts w:asciiTheme="minorHAnsi" w:hAnsiTheme="minorHAnsi" w:eastAsiaTheme="minorEastAsia" w:cstheme="minorBidi"/>
              <w:noProof/>
              <w:sz w:val="22"/>
              <w:szCs w:val="22"/>
            </w:rPr>
          </w:pPr>
          <w:hyperlink w:history="1" w:anchor="_Toc69947835">
            <w:r w:rsidRPr="00FD24A9" w:rsidR="00C054EE">
              <w:rPr>
                <w:rStyle w:val="Hyperlink"/>
                <w:noProof/>
              </w:rPr>
              <w:t>4.6.7.3.</w:t>
            </w:r>
            <w:r w:rsidR="00C054EE">
              <w:rPr>
                <w:rFonts w:asciiTheme="minorHAnsi" w:hAnsiTheme="minorHAnsi" w:eastAsiaTheme="minorEastAsia" w:cstheme="minorBidi"/>
                <w:noProof/>
                <w:sz w:val="22"/>
                <w:szCs w:val="22"/>
              </w:rPr>
              <w:tab/>
            </w:r>
            <w:r w:rsidRPr="00FD24A9" w:rsidR="00C054EE">
              <w:rPr>
                <w:rStyle w:val="Hyperlink"/>
                <w:noProof/>
              </w:rPr>
              <w:t xml:space="preserve">SCE’s CARE Program Management </w:t>
            </w:r>
            <w:r w:rsidR="00480C4A">
              <w:rPr>
                <w:rStyle w:val="Hyperlink"/>
                <w:noProof/>
              </w:rPr>
              <w:br/>
            </w:r>
            <w:r w:rsidRPr="00FD24A9" w:rsidR="00C054EE">
              <w:rPr>
                <w:rStyle w:val="Hyperlink"/>
                <w:noProof/>
              </w:rPr>
              <w:t>Budgets: Approved</w:t>
            </w:r>
            <w:r w:rsidR="00C054EE">
              <w:rPr>
                <w:noProof/>
                <w:webHidden/>
              </w:rPr>
              <w:tab/>
            </w:r>
            <w:r w:rsidR="00C054EE">
              <w:rPr>
                <w:noProof/>
                <w:webHidden/>
              </w:rPr>
              <w:fldChar w:fldCharType="begin"/>
            </w:r>
            <w:r w:rsidR="00C054EE">
              <w:rPr>
                <w:noProof/>
                <w:webHidden/>
              </w:rPr>
              <w:instrText xml:space="preserve"> PAGEREF _Toc69947835 \h </w:instrText>
            </w:r>
            <w:r w:rsidR="00C054EE">
              <w:rPr>
                <w:noProof/>
                <w:webHidden/>
              </w:rPr>
            </w:r>
            <w:r w:rsidR="00C054EE">
              <w:rPr>
                <w:noProof/>
                <w:webHidden/>
              </w:rPr>
              <w:fldChar w:fldCharType="separate"/>
            </w:r>
            <w:r w:rsidR="004C2E01">
              <w:rPr>
                <w:noProof/>
                <w:webHidden/>
              </w:rPr>
              <w:t>81</w:t>
            </w:r>
            <w:r w:rsidR="00C054EE">
              <w:rPr>
                <w:noProof/>
                <w:webHidden/>
              </w:rPr>
              <w:fldChar w:fldCharType="end"/>
            </w:r>
          </w:hyperlink>
        </w:p>
        <w:p w:rsidR="00C054EE" w:rsidRDefault="000D5832" w14:paraId="2ABB847F" w14:textId="733BF3C9">
          <w:pPr>
            <w:pStyle w:val="TOC4"/>
            <w:tabs>
              <w:tab w:val="left" w:pos="1728"/>
              <w:tab w:val="right" w:leader="dot" w:pos="9350"/>
            </w:tabs>
            <w:rPr>
              <w:rFonts w:asciiTheme="minorHAnsi" w:hAnsiTheme="minorHAnsi" w:eastAsiaTheme="minorEastAsia" w:cstheme="minorBidi"/>
              <w:noProof/>
              <w:sz w:val="22"/>
              <w:szCs w:val="22"/>
            </w:rPr>
          </w:pPr>
          <w:hyperlink w:history="1" w:anchor="_Toc69947836">
            <w:r w:rsidRPr="00FD24A9" w:rsidR="00C054EE">
              <w:rPr>
                <w:rStyle w:val="Hyperlink"/>
                <w:noProof/>
              </w:rPr>
              <w:t>4.6.7.4.</w:t>
            </w:r>
            <w:r w:rsidR="00C054EE">
              <w:rPr>
                <w:rFonts w:asciiTheme="minorHAnsi" w:hAnsiTheme="minorHAnsi" w:eastAsiaTheme="minorEastAsia" w:cstheme="minorBidi"/>
                <w:noProof/>
                <w:sz w:val="22"/>
                <w:szCs w:val="22"/>
              </w:rPr>
              <w:tab/>
            </w:r>
            <w:r w:rsidRPr="00FD24A9" w:rsidR="00C054EE">
              <w:rPr>
                <w:rStyle w:val="Hyperlink"/>
                <w:noProof/>
              </w:rPr>
              <w:t>SoCalGas’ CARE Program Management Budgets: Approved with Modifications</w:t>
            </w:r>
            <w:r w:rsidR="00C054EE">
              <w:rPr>
                <w:noProof/>
                <w:webHidden/>
              </w:rPr>
              <w:tab/>
            </w:r>
            <w:r w:rsidR="00C054EE">
              <w:rPr>
                <w:noProof/>
                <w:webHidden/>
              </w:rPr>
              <w:fldChar w:fldCharType="begin"/>
            </w:r>
            <w:r w:rsidR="00C054EE">
              <w:rPr>
                <w:noProof/>
                <w:webHidden/>
              </w:rPr>
              <w:instrText xml:space="preserve"> PAGEREF _Toc69947836 \h </w:instrText>
            </w:r>
            <w:r w:rsidR="00C054EE">
              <w:rPr>
                <w:noProof/>
                <w:webHidden/>
              </w:rPr>
            </w:r>
            <w:r w:rsidR="00C054EE">
              <w:rPr>
                <w:noProof/>
                <w:webHidden/>
              </w:rPr>
              <w:fldChar w:fldCharType="separate"/>
            </w:r>
            <w:r w:rsidR="004C2E01">
              <w:rPr>
                <w:noProof/>
                <w:webHidden/>
              </w:rPr>
              <w:t>83</w:t>
            </w:r>
            <w:r w:rsidR="00C054EE">
              <w:rPr>
                <w:noProof/>
                <w:webHidden/>
              </w:rPr>
              <w:fldChar w:fldCharType="end"/>
            </w:r>
          </w:hyperlink>
        </w:p>
        <w:p w:rsidR="00C054EE" w:rsidRDefault="000D5832" w14:paraId="76D6BA53" w14:textId="6A6AC386">
          <w:pPr>
            <w:pStyle w:val="TOC4"/>
            <w:tabs>
              <w:tab w:val="left" w:pos="1728"/>
              <w:tab w:val="right" w:leader="dot" w:pos="9350"/>
            </w:tabs>
            <w:rPr>
              <w:rFonts w:asciiTheme="minorHAnsi" w:hAnsiTheme="minorHAnsi" w:eastAsiaTheme="minorEastAsia" w:cstheme="minorBidi"/>
              <w:noProof/>
              <w:sz w:val="22"/>
              <w:szCs w:val="22"/>
            </w:rPr>
          </w:pPr>
          <w:hyperlink w:history="1" w:anchor="_Toc69947837">
            <w:r w:rsidRPr="00FD24A9" w:rsidR="00C054EE">
              <w:rPr>
                <w:rStyle w:val="Hyperlink"/>
                <w:noProof/>
              </w:rPr>
              <w:t>4.6.7.5.</w:t>
            </w:r>
            <w:r w:rsidR="00C054EE">
              <w:rPr>
                <w:rFonts w:asciiTheme="minorHAnsi" w:hAnsiTheme="minorHAnsi" w:eastAsiaTheme="minorEastAsia" w:cstheme="minorBidi"/>
                <w:noProof/>
                <w:sz w:val="22"/>
                <w:szCs w:val="22"/>
              </w:rPr>
              <w:tab/>
            </w:r>
            <w:r w:rsidRPr="00FD24A9" w:rsidR="00C054EE">
              <w:rPr>
                <w:rStyle w:val="Hyperlink"/>
                <w:noProof/>
              </w:rPr>
              <w:t>SDG&amp;E’s CARE Program Management Budgets: Approved with Modifications</w:t>
            </w:r>
            <w:r w:rsidR="00C054EE">
              <w:rPr>
                <w:noProof/>
                <w:webHidden/>
              </w:rPr>
              <w:tab/>
            </w:r>
            <w:r w:rsidR="00C054EE">
              <w:rPr>
                <w:noProof/>
                <w:webHidden/>
              </w:rPr>
              <w:fldChar w:fldCharType="begin"/>
            </w:r>
            <w:r w:rsidR="00C054EE">
              <w:rPr>
                <w:noProof/>
                <w:webHidden/>
              </w:rPr>
              <w:instrText xml:space="preserve"> PAGEREF _Toc69947837 \h </w:instrText>
            </w:r>
            <w:r w:rsidR="00C054EE">
              <w:rPr>
                <w:noProof/>
                <w:webHidden/>
              </w:rPr>
            </w:r>
            <w:r w:rsidR="00C054EE">
              <w:rPr>
                <w:noProof/>
                <w:webHidden/>
              </w:rPr>
              <w:fldChar w:fldCharType="separate"/>
            </w:r>
            <w:r w:rsidR="004C2E01">
              <w:rPr>
                <w:noProof/>
                <w:webHidden/>
              </w:rPr>
              <w:t>85</w:t>
            </w:r>
            <w:r w:rsidR="00C054EE">
              <w:rPr>
                <w:noProof/>
                <w:webHidden/>
              </w:rPr>
              <w:fldChar w:fldCharType="end"/>
            </w:r>
          </w:hyperlink>
        </w:p>
        <w:p w:rsidR="00C054EE" w:rsidRDefault="000D5832" w14:paraId="26B6F937" w14:textId="37E75D76">
          <w:pPr>
            <w:pStyle w:val="TOC4"/>
            <w:tabs>
              <w:tab w:val="left" w:pos="1728"/>
              <w:tab w:val="right" w:leader="dot" w:pos="9350"/>
            </w:tabs>
            <w:rPr>
              <w:rFonts w:asciiTheme="minorHAnsi" w:hAnsiTheme="minorHAnsi" w:eastAsiaTheme="minorEastAsia" w:cstheme="minorBidi"/>
              <w:noProof/>
              <w:sz w:val="22"/>
              <w:szCs w:val="22"/>
            </w:rPr>
          </w:pPr>
          <w:hyperlink w:history="1" w:anchor="_Toc69947838">
            <w:r w:rsidRPr="00FD24A9" w:rsidR="00C054EE">
              <w:rPr>
                <w:rStyle w:val="Hyperlink"/>
                <w:noProof/>
              </w:rPr>
              <w:t>4.6.7.6.</w:t>
            </w:r>
            <w:r w:rsidR="00C054EE">
              <w:rPr>
                <w:rFonts w:asciiTheme="minorHAnsi" w:hAnsiTheme="minorHAnsi" w:eastAsiaTheme="minorEastAsia" w:cstheme="minorBidi"/>
                <w:noProof/>
                <w:sz w:val="22"/>
                <w:szCs w:val="22"/>
              </w:rPr>
              <w:tab/>
            </w:r>
            <w:r w:rsidRPr="00FD24A9" w:rsidR="00C054EE">
              <w:rPr>
                <w:rStyle w:val="Hyperlink"/>
                <w:noProof/>
              </w:rPr>
              <w:t>Total Approved CARE Budgets: Summary</w:t>
            </w:r>
            <w:r w:rsidR="00C054EE">
              <w:rPr>
                <w:noProof/>
                <w:webHidden/>
              </w:rPr>
              <w:tab/>
            </w:r>
            <w:r w:rsidR="00C054EE">
              <w:rPr>
                <w:noProof/>
                <w:webHidden/>
              </w:rPr>
              <w:fldChar w:fldCharType="begin"/>
            </w:r>
            <w:r w:rsidR="00C054EE">
              <w:rPr>
                <w:noProof/>
                <w:webHidden/>
              </w:rPr>
              <w:instrText xml:space="preserve"> PAGEREF _Toc69947838 \h </w:instrText>
            </w:r>
            <w:r w:rsidR="00C054EE">
              <w:rPr>
                <w:noProof/>
                <w:webHidden/>
              </w:rPr>
            </w:r>
            <w:r w:rsidR="00C054EE">
              <w:rPr>
                <w:noProof/>
                <w:webHidden/>
              </w:rPr>
              <w:fldChar w:fldCharType="separate"/>
            </w:r>
            <w:r w:rsidR="004C2E01">
              <w:rPr>
                <w:noProof/>
                <w:webHidden/>
              </w:rPr>
              <w:t>87</w:t>
            </w:r>
            <w:r w:rsidR="00C054EE">
              <w:rPr>
                <w:noProof/>
                <w:webHidden/>
              </w:rPr>
              <w:fldChar w:fldCharType="end"/>
            </w:r>
          </w:hyperlink>
        </w:p>
        <w:p w:rsidR="00C054EE" w:rsidRDefault="000D5832" w14:paraId="54837E95" w14:textId="136A4DD2">
          <w:pPr>
            <w:pStyle w:val="TOC1"/>
            <w:tabs>
              <w:tab w:val="right" w:leader="dot" w:pos="9350"/>
            </w:tabs>
            <w:rPr>
              <w:rFonts w:asciiTheme="minorHAnsi" w:hAnsiTheme="minorHAnsi" w:cstheme="minorBidi"/>
              <w:noProof/>
              <w:sz w:val="22"/>
              <w:szCs w:val="22"/>
            </w:rPr>
          </w:pPr>
          <w:hyperlink w:history="1" w:anchor="_Toc69947839">
            <w:r w:rsidRPr="00FD24A9" w:rsidR="00C054EE">
              <w:rPr>
                <w:rStyle w:val="Hyperlink"/>
                <w:noProof/>
              </w:rPr>
              <w:t>5.</w:t>
            </w:r>
            <w:r w:rsidR="00C054EE">
              <w:rPr>
                <w:rFonts w:asciiTheme="minorHAnsi" w:hAnsiTheme="minorHAnsi" w:cstheme="minorBidi"/>
                <w:noProof/>
                <w:sz w:val="22"/>
                <w:szCs w:val="22"/>
              </w:rPr>
              <w:tab/>
            </w:r>
            <w:r w:rsidRPr="00FD24A9" w:rsidR="00C054EE">
              <w:rPr>
                <w:rStyle w:val="Hyperlink"/>
                <w:noProof/>
              </w:rPr>
              <w:t>FERA Program</w:t>
            </w:r>
            <w:r w:rsidR="00C054EE">
              <w:rPr>
                <w:noProof/>
                <w:webHidden/>
              </w:rPr>
              <w:tab/>
            </w:r>
            <w:r w:rsidR="00C054EE">
              <w:rPr>
                <w:noProof/>
                <w:webHidden/>
              </w:rPr>
              <w:fldChar w:fldCharType="begin"/>
            </w:r>
            <w:r w:rsidR="00C054EE">
              <w:rPr>
                <w:noProof/>
                <w:webHidden/>
              </w:rPr>
              <w:instrText xml:space="preserve"> PAGEREF _Toc69947839 \h </w:instrText>
            </w:r>
            <w:r w:rsidR="00C054EE">
              <w:rPr>
                <w:noProof/>
                <w:webHidden/>
              </w:rPr>
            </w:r>
            <w:r w:rsidR="00C054EE">
              <w:rPr>
                <w:noProof/>
                <w:webHidden/>
              </w:rPr>
              <w:fldChar w:fldCharType="separate"/>
            </w:r>
            <w:r w:rsidR="004C2E01">
              <w:rPr>
                <w:noProof/>
                <w:webHidden/>
              </w:rPr>
              <w:t>88</w:t>
            </w:r>
            <w:r w:rsidR="00C054EE">
              <w:rPr>
                <w:noProof/>
                <w:webHidden/>
              </w:rPr>
              <w:fldChar w:fldCharType="end"/>
            </w:r>
          </w:hyperlink>
        </w:p>
        <w:p w:rsidR="00C054EE" w:rsidRDefault="000D5832" w14:paraId="539BFE88" w14:textId="3396F402">
          <w:pPr>
            <w:pStyle w:val="TOC2"/>
            <w:tabs>
              <w:tab w:val="right" w:leader="dot" w:pos="9350"/>
            </w:tabs>
            <w:rPr>
              <w:rFonts w:asciiTheme="minorHAnsi" w:hAnsiTheme="minorHAnsi" w:cstheme="minorBidi"/>
              <w:noProof/>
              <w:sz w:val="22"/>
              <w:szCs w:val="22"/>
            </w:rPr>
          </w:pPr>
          <w:hyperlink w:history="1" w:anchor="_Toc69947840">
            <w:r w:rsidRPr="00FD24A9" w:rsidR="00C054EE">
              <w:rPr>
                <w:rStyle w:val="Hyperlink"/>
                <w:noProof/>
              </w:rPr>
              <w:t>5.1.</w:t>
            </w:r>
            <w:r w:rsidR="00C054EE">
              <w:rPr>
                <w:rFonts w:asciiTheme="minorHAnsi" w:hAnsiTheme="minorHAnsi" w:cstheme="minorBidi"/>
                <w:noProof/>
                <w:sz w:val="22"/>
                <w:szCs w:val="22"/>
              </w:rPr>
              <w:tab/>
            </w:r>
            <w:r w:rsidRPr="00FD24A9" w:rsidR="00C054EE">
              <w:rPr>
                <w:rStyle w:val="Hyperlink"/>
                <w:noProof/>
              </w:rPr>
              <w:t>FERA Goals</w:t>
            </w:r>
            <w:r w:rsidR="00C054EE">
              <w:rPr>
                <w:noProof/>
                <w:webHidden/>
              </w:rPr>
              <w:tab/>
            </w:r>
            <w:r w:rsidR="00C054EE">
              <w:rPr>
                <w:noProof/>
                <w:webHidden/>
              </w:rPr>
              <w:fldChar w:fldCharType="begin"/>
            </w:r>
            <w:r w:rsidR="00C054EE">
              <w:rPr>
                <w:noProof/>
                <w:webHidden/>
              </w:rPr>
              <w:instrText xml:space="preserve"> PAGEREF _Toc69947840 \h </w:instrText>
            </w:r>
            <w:r w:rsidR="00C054EE">
              <w:rPr>
                <w:noProof/>
                <w:webHidden/>
              </w:rPr>
            </w:r>
            <w:r w:rsidR="00C054EE">
              <w:rPr>
                <w:noProof/>
                <w:webHidden/>
              </w:rPr>
              <w:fldChar w:fldCharType="separate"/>
            </w:r>
            <w:r w:rsidR="004C2E01">
              <w:rPr>
                <w:noProof/>
                <w:webHidden/>
              </w:rPr>
              <w:t>88</w:t>
            </w:r>
            <w:r w:rsidR="00C054EE">
              <w:rPr>
                <w:noProof/>
                <w:webHidden/>
              </w:rPr>
              <w:fldChar w:fldCharType="end"/>
            </w:r>
          </w:hyperlink>
        </w:p>
        <w:p w:rsidR="00C054EE" w:rsidRDefault="000D5832" w14:paraId="22809088" w14:textId="5FAD4B93">
          <w:pPr>
            <w:pStyle w:val="TOC3"/>
            <w:tabs>
              <w:tab w:val="left" w:pos="1296"/>
              <w:tab w:val="right" w:leader="dot" w:pos="9350"/>
            </w:tabs>
            <w:rPr>
              <w:rFonts w:asciiTheme="minorHAnsi" w:hAnsiTheme="minorHAnsi" w:cstheme="minorBidi"/>
              <w:noProof/>
              <w:sz w:val="22"/>
              <w:szCs w:val="22"/>
            </w:rPr>
          </w:pPr>
          <w:hyperlink w:history="1" w:anchor="_Toc69947841">
            <w:r w:rsidRPr="00FD24A9" w:rsidR="00C054EE">
              <w:rPr>
                <w:rStyle w:val="Hyperlink"/>
                <w:noProof/>
              </w:rPr>
              <w:t>5.1.1.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_Toc69947841 \h </w:instrText>
            </w:r>
            <w:r w:rsidR="00C054EE">
              <w:rPr>
                <w:noProof/>
                <w:webHidden/>
              </w:rPr>
            </w:r>
            <w:r w:rsidR="00C054EE">
              <w:rPr>
                <w:noProof/>
                <w:webHidden/>
              </w:rPr>
              <w:fldChar w:fldCharType="separate"/>
            </w:r>
            <w:r w:rsidR="004C2E01">
              <w:rPr>
                <w:noProof/>
                <w:webHidden/>
              </w:rPr>
              <w:t>88</w:t>
            </w:r>
            <w:r w:rsidR="00C054EE">
              <w:rPr>
                <w:noProof/>
                <w:webHidden/>
              </w:rPr>
              <w:fldChar w:fldCharType="end"/>
            </w:r>
          </w:hyperlink>
        </w:p>
        <w:p w:rsidR="00C054EE" w:rsidRDefault="000D5832" w14:paraId="3935852D" w14:textId="2A1DAA9C">
          <w:pPr>
            <w:pStyle w:val="TOC3"/>
            <w:tabs>
              <w:tab w:val="left" w:pos="1296"/>
              <w:tab w:val="right" w:leader="dot" w:pos="9350"/>
            </w:tabs>
            <w:rPr>
              <w:rFonts w:asciiTheme="minorHAnsi" w:hAnsiTheme="minorHAnsi" w:cstheme="minorBidi"/>
              <w:noProof/>
              <w:sz w:val="22"/>
              <w:szCs w:val="22"/>
            </w:rPr>
          </w:pPr>
          <w:hyperlink w:history="1" w:anchor="_Toc69947842">
            <w:r w:rsidRPr="00FD24A9" w:rsidR="00C054EE">
              <w:rPr>
                <w:rStyle w:val="Hyperlink"/>
                <w:noProof/>
              </w:rPr>
              <w:t>5.1.2.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_Toc69947842 \h </w:instrText>
            </w:r>
            <w:r w:rsidR="00C054EE">
              <w:rPr>
                <w:noProof/>
                <w:webHidden/>
              </w:rPr>
            </w:r>
            <w:r w:rsidR="00C054EE">
              <w:rPr>
                <w:noProof/>
                <w:webHidden/>
              </w:rPr>
              <w:fldChar w:fldCharType="separate"/>
            </w:r>
            <w:r w:rsidR="004C2E01">
              <w:rPr>
                <w:noProof/>
                <w:webHidden/>
              </w:rPr>
              <w:t>89</w:t>
            </w:r>
            <w:r w:rsidR="00C054EE">
              <w:rPr>
                <w:noProof/>
                <w:webHidden/>
              </w:rPr>
              <w:fldChar w:fldCharType="end"/>
            </w:r>
          </w:hyperlink>
        </w:p>
        <w:p w:rsidR="00C054EE" w:rsidRDefault="000D5832" w14:paraId="5542EC08" w14:textId="221FE864">
          <w:pPr>
            <w:pStyle w:val="TOC3"/>
            <w:tabs>
              <w:tab w:val="left" w:pos="1296"/>
              <w:tab w:val="right" w:leader="dot" w:pos="9350"/>
            </w:tabs>
            <w:rPr>
              <w:rFonts w:asciiTheme="minorHAnsi" w:hAnsiTheme="minorHAnsi" w:cstheme="minorBidi"/>
              <w:noProof/>
              <w:sz w:val="22"/>
              <w:szCs w:val="22"/>
            </w:rPr>
          </w:pPr>
          <w:hyperlink w:history="1" w:anchor="_Toc69947843">
            <w:r w:rsidRPr="00FD24A9" w:rsidR="00C054EE">
              <w:rPr>
                <w:rStyle w:val="Hyperlink"/>
                <w:noProof/>
              </w:rPr>
              <w:t>5.1.3.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_Toc69947843 \h </w:instrText>
            </w:r>
            <w:r w:rsidR="00C054EE">
              <w:rPr>
                <w:noProof/>
                <w:webHidden/>
              </w:rPr>
            </w:r>
            <w:r w:rsidR="00C054EE">
              <w:rPr>
                <w:noProof/>
                <w:webHidden/>
              </w:rPr>
              <w:fldChar w:fldCharType="separate"/>
            </w:r>
            <w:r w:rsidR="004C2E01">
              <w:rPr>
                <w:noProof/>
                <w:webHidden/>
              </w:rPr>
              <w:t>89</w:t>
            </w:r>
            <w:r w:rsidR="00C054EE">
              <w:rPr>
                <w:noProof/>
                <w:webHidden/>
              </w:rPr>
              <w:fldChar w:fldCharType="end"/>
            </w:r>
          </w:hyperlink>
        </w:p>
        <w:p w:rsidR="00C054EE" w:rsidRDefault="000D5832" w14:paraId="0365E333" w14:textId="0263E1AF">
          <w:pPr>
            <w:pStyle w:val="TOC3"/>
            <w:tabs>
              <w:tab w:val="left" w:pos="1296"/>
              <w:tab w:val="right" w:leader="dot" w:pos="9350"/>
            </w:tabs>
            <w:rPr>
              <w:rFonts w:asciiTheme="minorHAnsi" w:hAnsiTheme="minorHAnsi" w:cstheme="minorBidi"/>
              <w:noProof/>
              <w:sz w:val="22"/>
              <w:szCs w:val="22"/>
            </w:rPr>
          </w:pPr>
          <w:hyperlink w:history="1" w:anchor="_Toc69947844">
            <w:r w:rsidRPr="00FD24A9" w:rsidR="00C054EE">
              <w:rPr>
                <w:rStyle w:val="Hyperlink"/>
                <w:noProof/>
              </w:rPr>
              <w:t>5.1.4.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_Toc69947844 \h </w:instrText>
            </w:r>
            <w:r w:rsidR="00C054EE">
              <w:rPr>
                <w:noProof/>
                <w:webHidden/>
              </w:rPr>
            </w:r>
            <w:r w:rsidR="00C054EE">
              <w:rPr>
                <w:noProof/>
                <w:webHidden/>
              </w:rPr>
              <w:fldChar w:fldCharType="separate"/>
            </w:r>
            <w:r w:rsidR="004C2E01">
              <w:rPr>
                <w:noProof/>
                <w:webHidden/>
              </w:rPr>
              <w:t>90</w:t>
            </w:r>
            <w:r w:rsidR="00C054EE">
              <w:rPr>
                <w:noProof/>
                <w:webHidden/>
              </w:rPr>
              <w:fldChar w:fldCharType="end"/>
            </w:r>
          </w:hyperlink>
        </w:p>
        <w:p w:rsidR="00C054EE" w:rsidRDefault="000D5832" w14:paraId="76C9CB67" w14:textId="3AE6D209">
          <w:pPr>
            <w:pStyle w:val="TOC3"/>
            <w:tabs>
              <w:tab w:val="left" w:pos="1296"/>
              <w:tab w:val="right" w:leader="dot" w:pos="9350"/>
            </w:tabs>
            <w:rPr>
              <w:rFonts w:asciiTheme="minorHAnsi" w:hAnsiTheme="minorHAnsi" w:cstheme="minorBidi"/>
              <w:noProof/>
              <w:sz w:val="22"/>
              <w:szCs w:val="22"/>
            </w:rPr>
          </w:pPr>
          <w:hyperlink w:history="1" w:anchor="_Toc69947845">
            <w:r w:rsidRPr="00FD24A9" w:rsidR="00C054EE">
              <w:rPr>
                <w:rStyle w:val="Hyperlink"/>
                <w:noProof/>
              </w:rPr>
              <w:t>5.1.5.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_Toc69947845 \h </w:instrText>
            </w:r>
            <w:r w:rsidR="00C054EE">
              <w:rPr>
                <w:noProof/>
                <w:webHidden/>
              </w:rPr>
            </w:r>
            <w:r w:rsidR="00C054EE">
              <w:rPr>
                <w:noProof/>
                <w:webHidden/>
              </w:rPr>
              <w:fldChar w:fldCharType="separate"/>
            </w:r>
            <w:r w:rsidR="004C2E01">
              <w:rPr>
                <w:noProof/>
                <w:webHidden/>
              </w:rPr>
              <w:t>90</w:t>
            </w:r>
            <w:r w:rsidR="00C054EE">
              <w:rPr>
                <w:noProof/>
                <w:webHidden/>
              </w:rPr>
              <w:fldChar w:fldCharType="end"/>
            </w:r>
          </w:hyperlink>
        </w:p>
        <w:p w:rsidR="00C054EE" w:rsidRDefault="000D5832" w14:paraId="368D313E" w14:textId="6288FBE6">
          <w:pPr>
            <w:pStyle w:val="TOC3"/>
            <w:tabs>
              <w:tab w:val="left" w:pos="1296"/>
              <w:tab w:val="right" w:leader="dot" w:pos="9350"/>
            </w:tabs>
            <w:rPr>
              <w:rFonts w:asciiTheme="minorHAnsi" w:hAnsiTheme="minorHAnsi" w:cstheme="minorBidi"/>
              <w:noProof/>
              <w:sz w:val="22"/>
              <w:szCs w:val="22"/>
            </w:rPr>
          </w:pPr>
          <w:hyperlink w:history="1" w:anchor="_Toc69947846">
            <w:r w:rsidRPr="00FD24A9" w:rsidR="00C054EE">
              <w:rPr>
                <w:rStyle w:val="Hyperlink"/>
                <w:noProof/>
              </w:rPr>
              <w:t>5.1.6.</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_Toc69947846 \h </w:instrText>
            </w:r>
            <w:r w:rsidR="00C054EE">
              <w:rPr>
                <w:noProof/>
                <w:webHidden/>
              </w:rPr>
            </w:r>
            <w:r w:rsidR="00C054EE">
              <w:rPr>
                <w:noProof/>
                <w:webHidden/>
              </w:rPr>
              <w:fldChar w:fldCharType="separate"/>
            </w:r>
            <w:r w:rsidR="004C2E01">
              <w:rPr>
                <w:noProof/>
                <w:webHidden/>
              </w:rPr>
              <w:t>91</w:t>
            </w:r>
            <w:r w:rsidR="00C054EE">
              <w:rPr>
                <w:noProof/>
                <w:webHidden/>
              </w:rPr>
              <w:fldChar w:fldCharType="end"/>
            </w:r>
          </w:hyperlink>
        </w:p>
        <w:p w:rsidR="00C054EE" w:rsidRDefault="000D5832" w14:paraId="61A6F70E" w14:textId="4A7297B6">
          <w:pPr>
            <w:pStyle w:val="TOC4"/>
            <w:tabs>
              <w:tab w:val="left" w:pos="1728"/>
              <w:tab w:val="right" w:leader="dot" w:pos="9350"/>
            </w:tabs>
            <w:rPr>
              <w:rFonts w:asciiTheme="minorHAnsi" w:hAnsiTheme="minorHAnsi" w:eastAsiaTheme="minorEastAsia" w:cstheme="minorBidi"/>
              <w:noProof/>
              <w:sz w:val="22"/>
              <w:szCs w:val="22"/>
            </w:rPr>
          </w:pPr>
          <w:hyperlink w:history="1" w:anchor="_Toc69947847">
            <w:r w:rsidRPr="00FD24A9" w:rsidR="00C054EE">
              <w:rPr>
                <w:rStyle w:val="Hyperlink"/>
                <w:noProof/>
              </w:rPr>
              <w:t>5.1.6.1.</w:t>
            </w:r>
            <w:r w:rsidR="00C054EE">
              <w:rPr>
                <w:rFonts w:asciiTheme="minorHAnsi" w:hAnsiTheme="minorHAnsi" w:eastAsiaTheme="minorEastAsia" w:cstheme="minorBidi"/>
                <w:noProof/>
                <w:sz w:val="22"/>
                <w:szCs w:val="22"/>
              </w:rPr>
              <w:tab/>
            </w:r>
            <w:r w:rsidRPr="00FD24A9" w:rsidR="00C054EE">
              <w:rPr>
                <w:rStyle w:val="Hyperlink"/>
                <w:noProof/>
              </w:rPr>
              <w:t>50 percent Enrollment Goal: Denied for PG&amp;E and SDG&amp;E, Approved for SCE</w:t>
            </w:r>
            <w:r w:rsidR="00C054EE">
              <w:rPr>
                <w:noProof/>
                <w:webHidden/>
              </w:rPr>
              <w:tab/>
            </w:r>
            <w:r w:rsidR="00C054EE">
              <w:rPr>
                <w:noProof/>
                <w:webHidden/>
              </w:rPr>
              <w:fldChar w:fldCharType="begin"/>
            </w:r>
            <w:r w:rsidR="00C054EE">
              <w:rPr>
                <w:noProof/>
                <w:webHidden/>
              </w:rPr>
              <w:instrText xml:space="preserve"> PAGEREF _Toc69947847 \h </w:instrText>
            </w:r>
            <w:r w:rsidR="00C054EE">
              <w:rPr>
                <w:noProof/>
                <w:webHidden/>
              </w:rPr>
            </w:r>
            <w:r w:rsidR="00C054EE">
              <w:rPr>
                <w:noProof/>
                <w:webHidden/>
              </w:rPr>
              <w:fldChar w:fldCharType="separate"/>
            </w:r>
            <w:r w:rsidR="004C2E01">
              <w:rPr>
                <w:noProof/>
                <w:webHidden/>
              </w:rPr>
              <w:t>91</w:t>
            </w:r>
            <w:r w:rsidR="00C054EE">
              <w:rPr>
                <w:noProof/>
                <w:webHidden/>
              </w:rPr>
              <w:fldChar w:fldCharType="end"/>
            </w:r>
          </w:hyperlink>
        </w:p>
        <w:p w:rsidR="00C054EE" w:rsidRDefault="000D5832" w14:paraId="5D60C4A0" w14:textId="219094AC">
          <w:pPr>
            <w:pStyle w:val="TOC4"/>
            <w:tabs>
              <w:tab w:val="left" w:pos="1728"/>
              <w:tab w:val="right" w:leader="dot" w:pos="9350"/>
            </w:tabs>
            <w:rPr>
              <w:rFonts w:asciiTheme="minorHAnsi" w:hAnsiTheme="minorHAnsi" w:eastAsiaTheme="minorEastAsia" w:cstheme="minorBidi"/>
              <w:noProof/>
              <w:sz w:val="22"/>
              <w:szCs w:val="22"/>
            </w:rPr>
          </w:pPr>
          <w:hyperlink w:history="1" w:anchor="_Toc69947848">
            <w:r w:rsidRPr="00FD24A9" w:rsidR="00C054EE">
              <w:rPr>
                <w:rStyle w:val="Hyperlink"/>
                <w:noProof/>
              </w:rPr>
              <w:t>5.1.6.2.</w:t>
            </w:r>
            <w:r w:rsidR="00C054EE">
              <w:rPr>
                <w:rFonts w:asciiTheme="minorHAnsi" w:hAnsiTheme="minorHAnsi" w:eastAsiaTheme="minorEastAsia" w:cstheme="minorBidi"/>
                <w:noProof/>
                <w:sz w:val="22"/>
                <w:szCs w:val="22"/>
              </w:rPr>
              <w:tab/>
            </w:r>
            <w:r w:rsidRPr="00FD24A9" w:rsidR="00C054EE">
              <w:rPr>
                <w:rStyle w:val="Hyperlink"/>
                <w:noProof/>
              </w:rPr>
              <w:t xml:space="preserve">Consolidating FERA with the Low Income </w:t>
            </w:r>
            <w:r w:rsidR="00480C4A">
              <w:rPr>
                <w:rStyle w:val="Hyperlink"/>
                <w:noProof/>
              </w:rPr>
              <w:br/>
            </w:r>
            <w:r w:rsidRPr="00FD24A9" w:rsidR="00C054EE">
              <w:rPr>
                <w:rStyle w:val="Hyperlink"/>
                <w:noProof/>
              </w:rPr>
              <w:t>Proceeding: Approved</w:t>
            </w:r>
            <w:r w:rsidR="00C054EE">
              <w:rPr>
                <w:noProof/>
                <w:webHidden/>
              </w:rPr>
              <w:tab/>
            </w:r>
            <w:r w:rsidR="00C054EE">
              <w:rPr>
                <w:noProof/>
                <w:webHidden/>
              </w:rPr>
              <w:fldChar w:fldCharType="begin"/>
            </w:r>
            <w:r w:rsidR="00C054EE">
              <w:rPr>
                <w:noProof/>
                <w:webHidden/>
              </w:rPr>
              <w:instrText xml:space="preserve"> PAGEREF _Toc69947848 \h </w:instrText>
            </w:r>
            <w:r w:rsidR="00C054EE">
              <w:rPr>
                <w:noProof/>
                <w:webHidden/>
              </w:rPr>
            </w:r>
            <w:r w:rsidR="00C054EE">
              <w:rPr>
                <w:noProof/>
                <w:webHidden/>
              </w:rPr>
              <w:fldChar w:fldCharType="separate"/>
            </w:r>
            <w:r w:rsidR="004C2E01">
              <w:rPr>
                <w:noProof/>
                <w:webHidden/>
              </w:rPr>
              <w:t>93</w:t>
            </w:r>
            <w:r w:rsidR="00C054EE">
              <w:rPr>
                <w:noProof/>
                <w:webHidden/>
              </w:rPr>
              <w:fldChar w:fldCharType="end"/>
            </w:r>
          </w:hyperlink>
        </w:p>
        <w:p w:rsidR="00C054EE" w:rsidRDefault="000D5832" w14:paraId="64642795" w14:textId="353F91A1">
          <w:pPr>
            <w:pStyle w:val="TOC2"/>
            <w:tabs>
              <w:tab w:val="right" w:leader="dot" w:pos="9350"/>
            </w:tabs>
            <w:rPr>
              <w:rFonts w:asciiTheme="minorHAnsi" w:hAnsiTheme="minorHAnsi" w:cstheme="minorBidi"/>
              <w:noProof/>
              <w:sz w:val="22"/>
              <w:szCs w:val="22"/>
            </w:rPr>
          </w:pPr>
          <w:hyperlink w:history="1" w:anchor="_Toc69947849">
            <w:r w:rsidRPr="00FD24A9" w:rsidR="00C054EE">
              <w:rPr>
                <w:rStyle w:val="Hyperlink"/>
                <w:noProof/>
              </w:rPr>
              <w:t>5.2.</w:t>
            </w:r>
            <w:r w:rsidR="00C054EE">
              <w:rPr>
                <w:rFonts w:asciiTheme="minorHAnsi" w:hAnsiTheme="minorHAnsi" w:cstheme="minorBidi"/>
                <w:noProof/>
                <w:sz w:val="22"/>
                <w:szCs w:val="22"/>
              </w:rPr>
              <w:tab/>
            </w:r>
            <w:r w:rsidRPr="00FD24A9" w:rsidR="00C054EE">
              <w:rPr>
                <w:rStyle w:val="Hyperlink"/>
                <w:noProof/>
              </w:rPr>
              <w:t>FERA Enrollment and Eligibility</w:t>
            </w:r>
            <w:r w:rsidR="00C054EE">
              <w:rPr>
                <w:noProof/>
                <w:webHidden/>
              </w:rPr>
              <w:tab/>
            </w:r>
            <w:r w:rsidR="00C054EE">
              <w:rPr>
                <w:noProof/>
                <w:webHidden/>
              </w:rPr>
              <w:fldChar w:fldCharType="begin"/>
            </w:r>
            <w:r w:rsidR="00C054EE">
              <w:rPr>
                <w:noProof/>
                <w:webHidden/>
              </w:rPr>
              <w:instrText xml:space="preserve"> PAGEREF _Toc69947849 \h </w:instrText>
            </w:r>
            <w:r w:rsidR="00C054EE">
              <w:rPr>
                <w:noProof/>
                <w:webHidden/>
              </w:rPr>
            </w:r>
            <w:r w:rsidR="00C054EE">
              <w:rPr>
                <w:noProof/>
                <w:webHidden/>
              </w:rPr>
              <w:fldChar w:fldCharType="separate"/>
            </w:r>
            <w:r w:rsidR="004C2E01">
              <w:rPr>
                <w:noProof/>
                <w:webHidden/>
              </w:rPr>
              <w:t>93</w:t>
            </w:r>
            <w:r w:rsidR="00C054EE">
              <w:rPr>
                <w:noProof/>
                <w:webHidden/>
              </w:rPr>
              <w:fldChar w:fldCharType="end"/>
            </w:r>
          </w:hyperlink>
        </w:p>
        <w:p w:rsidR="00C054EE" w:rsidRDefault="000D5832" w14:paraId="714F69D3" w14:textId="6115ADA0">
          <w:pPr>
            <w:pStyle w:val="TOC3"/>
            <w:tabs>
              <w:tab w:val="left" w:pos="1296"/>
              <w:tab w:val="right" w:leader="dot" w:pos="9350"/>
            </w:tabs>
            <w:rPr>
              <w:rFonts w:asciiTheme="minorHAnsi" w:hAnsiTheme="minorHAnsi" w:cstheme="minorBidi"/>
              <w:noProof/>
              <w:sz w:val="22"/>
              <w:szCs w:val="22"/>
            </w:rPr>
          </w:pPr>
          <w:hyperlink w:history="1" w:anchor="_Toc69947850">
            <w:r w:rsidRPr="00FD24A9" w:rsidR="00C054EE">
              <w:rPr>
                <w:rStyle w:val="Hyperlink"/>
                <w:noProof/>
              </w:rPr>
              <w:t>5.2.1.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_Toc69947850 \h </w:instrText>
            </w:r>
            <w:r w:rsidR="00C054EE">
              <w:rPr>
                <w:noProof/>
                <w:webHidden/>
              </w:rPr>
            </w:r>
            <w:r w:rsidR="00C054EE">
              <w:rPr>
                <w:noProof/>
                <w:webHidden/>
              </w:rPr>
              <w:fldChar w:fldCharType="separate"/>
            </w:r>
            <w:r w:rsidR="004C2E01">
              <w:rPr>
                <w:noProof/>
                <w:webHidden/>
              </w:rPr>
              <w:t>93</w:t>
            </w:r>
            <w:r w:rsidR="00C054EE">
              <w:rPr>
                <w:noProof/>
                <w:webHidden/>
              </w:rPr>
              <w:fldChar w:fldCharType="end"/>
            </w:r>
          </w:hyperlink>
        </w:p>
        <w:p w:rsidR="00C054EE" w:rsidRDefault="000D5832" w14:paraId="0E9BB6AC" w14:textId="3EC198F6">
          <w:pPr>
            <w:pStyle w:val="TOC3"/>
            <w:tabs>
              <w:tab w:val="left" w:pos="1296"/>
              <w:tab w:val="right" w:leader="dot" w:pos="9350"/>
            </w:tabs>
            <w:rPr>
              <w:rFonts w:asciiTheme="minorHAnsi" w:hAnsiTheme="minorHAnsi" w:cstheme="minorBidi"/>
              <w:noProof/>
              <w:sz w:val="22"/>
              <w:szCs w:val="22"/>
            </w:rPr>
          </w:pPr>
          <w:hyperlink w:history="1" w:anchor="_Toc69947851">
            <w:r w:rsidRPr="00FD24A9" w:rsidR="00C054EE">
              <w:rPr>
                <w:rStyle w:val="Hyperlink"/>
                <w:noProof/>
              </w:rPr>
              <w:t>5.2.2.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_Toc69947851 \h </w:instrText>
            </w:r>
            <w:r w:rsidR="00C054EE">
              <w:rPr>
                <w:noProof/>
                <w:webHidden/>
              </w:rPr>
            </w:r>
            <w:r w:rsidR="00C054EE">
              <w:rPr>
                <w:noProof/>
                <w:webHidden/>
              </w:rPr>
              <w:fldChar w:fldCharType="separate"/>
            </w:r>
            <w:r w:rsidR="004C2E01">
              <w:rPr>
                <w:noProof/>
                <w:webHidden/>
              </w:rPr>
              <w:t>93</w:t>
            </w:r>
            <w:r w:rsidR="00C054EE">
              <w:rPr>
                <w:noProof/>
                <w:webHidden/>
              </w:rPr>
              <w:fldChar w:fldCharType="end"/>
            </w:r>
          </w:hyperlink>
        </w:p>
        <w:p w:rsidR="00C054EE" w:rsidRDefault="000D5832" w14:paraId="06BB9112" w14:textId="76B7CABF">
          <w:pPr>
            <w:pStyle w:val="TOC3"/>
            <w:tabs>
              <w:tab w:val="left" w:pos="1296"/>
              <w:tab w:val="right" w:leader="dot" w:pos="9350"/>
            </w:tabs>
            <w:rPr>
              <w:rFonts w:asciiTheme="minorHAnsi" w:hAnsiTheme="minorHAnsi" w:cstheme="minorBidi"/>
              <w:noProof/>
              <w:sz w:val="22"/>
              <w:szCs w:val="22"/>
            </w:rPr>
          </w:pPr>
          <w:hyperlink w:history="1" w:anchor="_Toc69947852">
            <w:r w:rsidRPr="00FD24A9" w:rsidR="00C054EE">
              <w:rPr>
                <w:rStyle w:val="Hyperlink"/>
                <w:noProof/>
              </w:rPr>
              <w:t>5.2.3.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_Toc69947852 \h </w:instrText>
            </w:r>
            <w:r w:rsidR="00C054EE">
              <w:rPr>
                <w:noProof/>
                <w:webHidden/>
              </w:rPr>
            </w:r>
            <w:r w:rsidR="00C054EE">
              <w:rPr>
                <w:noProof/>
                <w:webHidden/>
              </w:rPr>
              <w:fldChar w:fldCharType="separate"/>
            </w:r>
            <w:r w:rsidR="004C2E01">
              <w:rPr>
                <w:noProof/>
                <w:webHidden/>
              </w:rPr>
              <w:t>93</w:t>
            </w:r>
            <w:r w:rsidR="00C054EE">
              <w:rPr>
                <w:noProof/>
                <w:webHidden/>
              </w:rPr>
              <w:fldChar w:fldCharType="end"/>
            </w:r>
          </w:hyperlink>
        </w:p>
        <w:p w:rsidR="00C054EE" w:rsidRDefault="000D5832" w14:paraId="64B915EF" w14:textId="3F2CDEFE">
          <w:pPr>
            <w:pStyle w:val="TOC3"/>
            <w:tabs>
              <w:tab w:val="left" w:pos="1296"/>
              <w:tab w:val="right" w:leader="dot" w:pos="9350"/>
            </w:tabs>
            <w:rPr>
              <w:rFonts w:asciiTheme="minorHAnsi" w:hAnsiTheme="minorHAnsi" w:cstheme="minorBidi"/>
              <w:noProof/>
              <w:sz w:val="22"/>
              <w:szCs w:val="22"/>
            </w:rPr>
          </w:pPr>
          <w:hyperlink w:history="1" w:anchor="_Toc69947853">
            <w:r w:rsidRPr="00FD24A9" w:rsidR="00C054EE">
              <w:rPr>
                <w:rStyle w:val="Hyperlink"/>
                <w:noProof/>
              </w:rPr>
              <w:t>5.2.4.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_Toc69947853 \h </w:instrText>
            </w:r>
            <w:r w:rsidR="00C054EE">
              <w:rPr>
                <w:noProof/>
                <w:webHidden/>
              </w:rPr>
            </w:r>
            <w:r w:rsidR="00C054EE">
              <w:rPr>
                <w:noProof/>
                <w:webHidden/>
              </w:rPr>
              <w:fldChar w:fldCharType="separate"/>
            </w:r>
            <w:r w:rsidR="004C2E01">
              <w:rPr>
                <w:noProof/>
                <w:webHidden/>
              </w:rPr>
              <w:t>94</w:t>
            </w:r>
            <w:r w:rsidR="00C054EE">
              <w:rPr>
                <w:noProof/>
                <w:webHidden/>
              </w:rPr>
              <w:fldChar w:fldCharType="end"/>
            </w:r>
          </w:hyperlink>
        </w:p>
        <w:p w:rsidR="00C054EE" w:rsidRDefault="000D5832" w14:paraId="2B8B6D15" w14:textId="640B4122">
          <w:pPr>
            <w:pStyle w:val="TOC3"/>
            <w:tabs>
              <w:tab w:val="left" w:pos="1296"/>
              <w:tab w:val="right" w:leader="dot" w:pos="9350"/>
            </w:tabs>
            <w:rPr>
              <w:rFonts w:asciiTheme="minorHAnsi" w:hAnsiTheme="minorHAnsi" w:cstheme="minorBidi"/>
              <w:noProof/>
              <w:sz w:val="22"/>
              <w:szCs w:val="22"/>
            </w:rPr>
          </w:pPr>
          <w:hyperlink w:history="1" w:anchor="_Toc69947854">
            <w:r w:rsidRPr="00FD24A9" w:rsidR="00C054EE">
              <w:rPr>
                <w:rStyle w:val="Hyperlink"/>
                <w:noProof/>
              </w:rPr>
              <w:t>5.2.5.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_Toc69947854 \h </w:instrText>
            </w:r>
            <w:r w:rsidR="00C054EE">
              <w:rPr>
                <w:noProof/>
                <w:webHidden/>
              </w:rPr>
            </w:r>
            <w:r w:rsidR="00C054EE">
              <w:rPr>
                <w:noProof/>
                <w:webHidden/>
              </w:rPr>
              <w:fldChar w:fldCharType="separate"/>
            </w:r>
            <w:r w:rsidR="004C2E01">
              <w:rPr>
                <w:noProof/>
                <w:webHidden/>
              </w:rPr>
              <w:t>94</w:t>
            </w:r>
            <w:r w:rsidR="00C054EE">
              <w:rPr>
                <w:noProof/>
                <w:webHidden/>
              </w:rPr>
              <w:fldChar w:fldCharType="end"/>
            </w:r>
          </w:hyperlink>
        </w:p>
        <w:p w:rsidR="00C054EE" w:rsidRDefault="000D5832" w14:paraId="1EE490C1" w14:textId="77326721">
          <w:pPr>
            <w:pStyle w:val="TOC3"/>
            <w:tabs>
              <w:tab w:val="left" w:pos="1296"/>
              <w:tab w:val="right" w:leader="dot" w:pos="9350"/>
            </w:tabs>
            <w:rPr>
              <w:rFonts w:asciiTheme="minorHAnsi" w:hAnsiTheme="minorHAnsi" w:cstheme="minorBidi"/>
              <w:noProof/>
              <w:sz w:val="22"/>
              <w:szCs w:val="22"/>
            </w:rPr>
          </w:pPr>
          <w:hyperlink w:history="1" w:anchor="_Toc69947855">
            <w:r w:rsidRPr="00FD24A9" w:rsidR="00C054EE">
              <w:rPr>
                <w:rStyle w:val="Hyperlink"/>
                <w:noProof/>
              </w:rPr>
              <w:t>5.2.6.</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_Toc69947855 \h </w:instrText>
            </w:r>
            <w:r w:rsidR="00C054EE">
              <w:rPr>
                <w:noProof/>
                <w:webHidden/>
              </w:rPr>
            </w:r>
            <w:r w:rsidR="00C054EE">
              <w:rPr>
                <w:noProof/>
                <w:webHidden/>
              </w:rPr>
              <w:fldChar w:fldCharType="separate"/>
            </w:r>
            <w:r w:rsidR="004C2E01">
              <w:rPr>
                <w:noProof/>
                <w:webHidden/>
              </w:rPr>
              <w:t>94</w:t>
            </w:r>
            <w:r w:rsidR="00C054EE">
              <w:rPr>
                <w:noProof/>
                <w:webHidden/>
              </w:rPr>
              <w:fldChar w:fldCharType="end"/>
            </w:r>
          </w:hyperlink>
        </w:p>
        <w:p w:rsidR="00C054EE" w:rsidRDefault="000D5832" w14:paraId="4191F296" w14:textId="41A7012A">
          <w:pPr>
            <w:pStyle w:val="TOC4"/>
            <w:tabs>
              <w:tab w:val="left" w:pos="1728"/>
              <w:tab w:val="right" w:leader="dot" w:pos="9350"/>
            </w:tabs>
            <w:rPr>
              <w:rFonts w:asciiTheme="minorHAnsi" w:hAnsiTheme="minorHAnsi" w:eastAsiaTheme="minorEastAsia" w:cstheme="minorBidi"/>
              <w:noProof/>
              <w:sz w:val="22"/>
              <w:szCs w:val="22"/>
            </w:rPr>
          </w:pPr>
          <w:hyperlink w:history="1" w:anchor="_Toc69947856">
            <w:r w:rsidRPr="00FD24A9" w:rsidR="00C054EE">
              <w:rPr>
                <w:rStyle w:val="Hyperlink"/>
                <w:noProof/>
              </w:rPr>
              <w:t>5.2.6.1.</w:t>
            </w:r>
            <w:r w:rsidR="00C054EE">
              <w:rPr>
                <w:rFonts w:asciiTheme="minorHAnsi" w:hAnsiTheme="minorHAnsi" w:eastAsiaTheme="minorEastAsia" w:cstheme="minorBidi"/>
                <w:noProof/>
                <w:sz w:val="22"/>
                <w:szCs w:val="22"/>
              </w:rPr>
              <w:tab/>
            </w:r>
            <w:r w:rsidRPr="00FD24A9" w:rsidR="00C054EE">
              <w:rPr>
                <w:rStyle w:val="Hyperlink"/>
                <w:noProof/>
              </w:rPr>
              <w:t xml:space="preserve">Auto-Recertification of “High Probability” </w:t>
            </w:r>
            <w:r w:rsidR="00480C4A">
              <w:rPr>
                <w:rStyle w:val="Hyperlink"/>
                <w:noProof/>
              </w:rPr>
              <w:br/>
            </w:r>
            <w:r w:rsidRPr="00FD24A9" w:rsidR="00C054EE">
              <w:rPr>
                <w:rStyle w:val="Hyperlink"/>
                <w:noProof/>
              </w:rPr>
              <w:t>Households: New</w:t>
            </w:r>
            <w:r w:rsidR="00C054EE">
              <w:rPr>
                <w:noProof/>
                <w:webHidden/>
              </w:rPr>
              <w:tab/>
            </w:r>
            <w:r w:rsidR="00C054EE">
              <w:rPr>
                <w:noProof/>
                <w:webHidden/>
              </w:rPr>
              <w:fldChar w:fldCharType="begin"/>
            </w:r>
            <w:r w:rsidR="00C054EE">
              <w:rPr>
                <w:noProof/>
                <w:webHidden/>
              </w:rPr>
              <w:instrText xml:space="preserve"> PAGEREF _Toc69947856 \h </w:instrText>
            </w:r>
            <w:r w:rsidR="00C054EE">
              <w:rPr>
                <w:noProof/>
                <w:webHidden/>
              </w:rPr>
            </w:r>
            <w:r w:rsidR="00C054EE">
              <w:rPr>
                <w:noProof/>
                <w:webHidden/>
              </w:rPr>
              <w:fldChar w:fldCharType="separate"/>
            </w:r>
            <w:r w:rsidR="004C2E01">
              <w:rPr>
                <w:noProof/>
                <w:webHidden/>
              </w:rPr>
              <w:t>94</w:t>
            </w:r>
            <w:r w:rsidR="00C054EE">
              <w:rPr>
                <w:noProof/>
                <w:webHidden/>
              </w:rPr>
              <w:fldChar w:fldCharType="end"/>
            </w:r>
          </w:hyperlink>
        </w:p>
        <w:p w:rsidR="00C054EE" w:rsidRDefault="000D5832" w14:paraId="1714405B" w14:textId="5E8274B6">
          <w:pPr>
            <w:pStyle w:val="TOC4"/>
            <w:tabs>
              <w:tab w:val="left" w:pos="1728"/>
              <w:tab w:val="right" w:leader="dot" w:pos="9350"/>
            </w:tabs>
            <w:rPr>
              <w:rFonts w:asciiTheme="minorHAnsi" w:hAnsiTheme="minorHAnsi" w:eastAsiaTheme="minorEastAsia" w:cstheme="minorBidi"/>
              <w:noProof/>
              <w:sz w:val="22"/>
              <w:szCs w:val="22"/>
            </w:rPr>
          </w:pPr>
          <w:hyperlink w:history="1" w:anchor="_Toc69947857">
            <w:r w:rsidRPr="00FD24A9" w:rsidR="00C054EE">
              <w:rPr>
                <w:rStyle w:val="Hyperlink"/>
                <w:noProof/>
              </w:rPr>
              <w:t>5.2.6.2.</w:t>
            </w:r>
            <w:r w:rsidR="00C054EE">
              <w:rPr>
                <w:rFonts w:asciiTheme="minorHAnsi" w:hAnsiTheme="minorHAnsi" w:eastAsiaTheme="minorEastAsia" w:cstheme="minorBidi"/>
                <w:noProof/>
                <w:sz w:val="22"/>
                <w:szCs w:val="22"/>
              </w:rPr>
              <w:tab/>
            </w:r>
            <w:r w:rsidRPr="00FD24A9" w:rsidR="00C054EE">
              <w:rPr>
                <w:rStyle w:val="Hyperlink"/>
                <w:noProof/>
              </w:rPr>
              <w:t>High Usage (HU) PEV: New</w:t>
            </w:r>
            <w:r w:rsidR="00C054EE">
              <w:rPr>
                <w:noProof/>
                <w:webHidden/>
              </w:rPr>
              <w:tab/>
            </w:r>
            <w:r w:rsidR="00C054EE">
              <w:rPr>
                <w:noProof/>
                <w:webHidden/>
              </w:rPr>
              <w:fldChar w:fldCharType="begin"/>
            </w:r>
            <w:r w:rsidR="00C054EE">
              <w:rPr>
                <w:noProof/>
                <w:webHidden/>
              </w:rPr>
              <w:instrText xml:space="preserve"> PAGEREF _Toc69947857 \h </w:instrText>
            </w:r>
            <w:r w:rsidR="00C054EE">
              <w:rPr>
                <w:noProof/>
                <w:webHidden/>
              </w:rPr>
            </w:r>
            <w:r w:rsidR="00C054EE">
              <w:rPr>
                <w:noProof/>
                <w:webHidden/>
              </w:rPr>
              <w:fldChar w:fldCharType="separate"/>
            </w:r>
            <w:r w:rsidR="004C2E01">
              <w:rPr>
                <w:noProof/>
                <w:webHidden/>
              </w:rPr>
              <w:t>95</w:t>
            </w:r>
            <w:r w:rsidR="00C054EE">
              <w:rPr>
                <w:noProof/>
                <w:webHidden/>
              </w:rPr>
              <w:fldChar w:fldCharType="end"/>
            </w:r>
          </w:hyperlink>
        </w:p>
        <w:p w:rsidR="00C054EE" w:rsidRDefault="000D5832" w14:paraId="7EF5B10E" w14:textId="7EEE2E79">
          <w:pPr>
            <w:pStyle w:val="TOC4"/>
            <w:tabs>
              <w:tab w:val="left" w:pos="1728"/>
              <w:tab w:val="right" w:leader="dot" w:pos="9350"/>
            </w:tabs>
            <w:rPr>
              <w:rFonts w:asciiTheme="minorHAnsi" w:hAnsiTheme="minorHAnsi" w:eastAsiaTheme="minorEastAsia" w:cstheme="minorBidi"/>
              <w:noProof/>
              <w:sz w:val="22"/>
              <w:szCs w:val="22"/>
            </w:rPr>
          </w:pPr>
          <w:hyperlink w:history="1" w:anchor="_Toc69947858">
            <w:r w:rsidRPr="00FD24A9" w:rsidR="00C054EE">
              <w:rPr>
                <w:rStyle w:val="Hyperlink"/>
                <w:noProof/>
              </w:rPr>
              <w:t>5.2.6.3.</w:t>
            </w:r>
            <w:r w:rsidR="00C054EE">
              <w:rPr>
                <w:rFonts w:asciiTheme="minorHAnsi" w:hAnsiTheme="minorHAnsi" w:eastAsiaTheme="minorEastAsia" w:cstheme="minorBidi"/>
                <w:noProof/>
                <w:sz w:val="22"/>
                <w:szCs w:val="22"/>
              </w:rPr>
              <w:tab/>
            </w:r>
            <w:r w:rsidRPr="00FD24A9" w:rsidR="00C054EE">
              <w:rPr>
                <w:rStyle w:val="Hyperlink"/>
                <w:noProof/>
              </w:rPr>
              <w:t>Auto-Enrolling Eligible Customers into FERA if Denied for CARE: New</w:t>
            </w:r>
            <w:r w:rsidR="00C054EE">
              <w:rPr>
                <w:noProof/>
                <w:webHidden/>
              </w:rPr>
              <w:tab/>
            </w:r>
            <w:r w:rsidR="00C054EE">
              <w:rPr>
                <w:noProof/>
                <w:webHidden/>
              </w:rPr>
              <w:fldChar w:fldCharType="begin"/>
            </w:r>
            <w:r w:rsidR="00C054EE">
              <w:rPr>
                <w:noProof/>
                <w:webHidden/>
              </w:rPr>
              <w:instrText xml:space="preserve"> PAGEREF _Toc69947858 \h </w:instrText>
            </w:r>
            <w:r w:rsidR="00C054EE">
              <w:rPr>
                <w:noProof/>
                <w:webHidden/>
              </w:rPr>
            </w:r>
            <w:r w:rsidR="00C054EE">
              <w:rPr>
                <w:noProof/>
                <w:webHidden/>
              </w:rPr>
              <w:fldChar w:fldCharType="separate"/>
            </w:r>
            <w:r w:rsidR="004C2E01">
              <w:rPr>
                <w:noProof/>
                <w:webHidden/>
              </w:rPr>
              <w:t>95</w:t>
            </w:r>
            <w:r w:rsidR="00C054EE">
              <w:rPr>
                <w:noProof/>
                <w:webHidden/>
              </w:rPr>
              <w:fldChar w:fldCharType="end"/>
            </w:r>
          </w:hyperlink>
        </w:p>
        <w:p w:rsidR="00C054EE" w:rsidRDefault="000D5832" w14:paraId="329669A9" w14:textId="65AEA280">
          <w:pPr>
            <w:pStyle w:val="TOC2"/>
            <w:tabs>
              <w:tab w:val="right" w:leader="dot" w:pos="9350"/>
            </w:tabs>
            <w:rPr>
              <w:rFonts w:asciiTheme="minorHAnsi" w:hAnsiTheme="minorHAnsi" w:cstheme="minorBidi"/>
              <w:noProof/>
              <w:sz w:val="22"/>
              <w:szCs w:val="22"/>
            </w:rPr>
          </w:pPr>
          <w:hyperlink w:history="1" w:anchor="_Toc69947859">
            <w:r w:rsidRPr="00FD24A9" w:rsidR="00C054EE">
              <w:rPr>
                <w:rStyle w:val="Hyperlink"/>
                <w:noProof/>
              </w:rPr>
              <w:t>5.3.</w:t>
            </w:r>
            <w:r w:rsidR="00C054EE">
              <w:rPr>
                <w:rFonts w:asciiTheme="minorHAnsi" w:hAnsiTheme="minorHAnsi" w:cstheme="minorBidi"/>
                <w:noProof/>
                <w:sz w:val="22"/>
                <w:szCs w:val="22"/>
              </w:rPr>
              <w:tab/>
            </w:r>
            <w:r w:rsidRPr="00FD24A9" w:rsidR="00C054EE">
              <w:rPr>
                <w:rStyle w:val="Hyperlink"/>
                <w:noProof/>
              </w:rPr>
              <w:t>FERA Marketing, Education, Outreach, Leveraging</w:t>
            </w:r>
            <w:r w:rsidR="00C054EE">
              <w:rPr>
                <w:noProof/>
                <w:webHidden/>
              </w:rPr>
              <w:tab/>
            </w:r>
            <w:r w:rsidR="00C054EE">
              <w:rPr>
                <w:noProof/>
                <w:webHidden/>
              </w:rPr>
              <w:fldChar w:fldCharType="begin"/>
            </w:r>
            <w:r w:rsidR="00C054EE">
              <w:rPr>
                <w:noProof/>
                <w:webHidden/>
              </w:rPr>
              <w:instrText xml:space="preserve"> PAGEREF _Toc69947859 \h </w:instrText>
            </w:r>
            <w:r w:rsidR="00C054EE">
              <w:rPr>
                <w:noProof/>
                <w:webHidden/>
              </w:rPr>
            </w:r>
            <w:r w:rsidR="00C054EE">
              <w:rPr>
                <w:noProof/>
                <w:webHidden/>
              </w:rPr>
              <w:fldChar w:fldCharType="separate"/>
            </w:r>
            <w:r w:rsidR="004C2E01">
              <w:rPr>
                <w:noProof/>
                <w:webHidden/>
              </w:rPr>
              <w:t>96</w:t>
            </w:r>
            <w:r w:rsidR="00C054EE">
              <w:rPr>
                <w:noProof/>
                <w:webHidden/>
              </w:rPr>
              <w:fldChar w:fldCharType="end"/>
            </w:r>
          </w:hyperlink>
        </w:p>
        <w:p w:rsidR="00C054EE" w:rsidRDefault="000D5832" w14:paraId="4F6050BC" w14:textId="5D2A6128">
          <w:pPr>
            <w:pStyle w:val="TOC3"/>
            <w:tabs>
              <w:tab w:val="left" w:pos="1296"/>
              <w:tab w:val="right" w:leader="dot" w:pos="9350"/>
            </w:tabs>
            <w:rPr>
              <w:rFonts w:asciiTheme="minorHAnsi" w:hAnsiTheme="minorHAnsi" w:cstheme="minorBidi"/>
              <w:noProof/>
              <w:sz w:val="22"/>
              <w:szCs w:val="22"/>
            </w:rPr>
          </w:pPr>
          <w:hyperlink w:history="1" w:anchor="_Toc69947860">
            <w:r w:rsidRPr="00FD24A9" w:rsidR="00C054EE">
              <w:rPr>
                <w:rStyle w:val="Hyperlink"/>
                <w:noProof/>
              </w:rPr>
              <w:t>5.3.1.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_Toc69947860 \h </w:instrText>
            </w:r>
            <w:r w:rsidR="00C054EE">
              <w:rPr>
                <w:noProof/>
                <w:webHidden/>
              </w:rPr>
            </w:r>
            <w:r w:rsidR="00C054EE">
              <w:rPr>
                <w:noProof/>
                <w:webHidden/>
              </w:rPr>
              <w:fldChar w:fldCharType="separate"/>
            </w:r>
            <w:r w:rsidR="004C2E01">
              <w:rPr>
                <w:noProof/>
                <w:webHidden/>
              </w:rPr>
              <w:t>96</w:t>
            </w:r>
            <w:r w:rsidR="00C054EE">
              <w:rPr>
                <w:noProof/>
                <w:webHidden/>
              </w:rPr>
              <w:fldChar w:fldCharType="end"/>
            </w:r>
          </w:hyperlink>
        </w:p>
        <w:p w:rsidR="00C054EE" w:rsidRDefault="000D5832" w14:paraId="3D061C0E" w14:textId="0FEBC0E3">
          <w:pPr>
            <w:pStyle w:val="TOC3"/>
            <w:tabs>
              <w:tab w:val="left" w:pos="1296"/>
              <w:tab w:val="right" w:leader="dot" w:pos="9350"/>
            </w:tabs>
            <w:rPr>
              <w:rFonts w:asciiTheme="minorHAnsi" w:hAnsiTheme="minorHAnsi" w:cstheme="minorBidi"/>
              <w:noProof/>
              <w:sz w:val="22"/>
              <w:szCs w:val="22"/>
            </w:rPr>
          </w:pPr>
          <w:hyperlink w:history="1" w:anchor="_Toc69947861">
            <w:r w:rsidRPr="00FD24A9" w:rsidR="00C054EE">
              <w:rPr>
                <w:rStyle w:val="Hyperlink"/>
                <w:noProof/>
              </w:rPr>
              <w:t>5.3.2.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_Toc69947861 \h </w:instrText>
            </w:r>
            <w:r w:rsidR="00C054EE">
              <w:rPr>
                <w:noProof/>
                <w:webHidden/>
              </w:rPr>
            </w:r>
            <w:r w:rsidR="00C054EE">
              <w:rPr>
                <w:noProof/>
                <w:webHidden/>
              </w:rPr>
              <w:fldChar w:fldCharType="separate"/>
            </w:r>
            <w:r w:rsidR="004C2E01">
              <w:rPr>
                <w:noProof/>
                <w:webHidden/>
              </w:rPr>
              <w:t>96</w:t>
            </w:r>
            <w:r w:rsidR="00C054EE">
              <w:rPr>
                <w:noProof/>
                <w:webHidden/>
              </w:rPr>
              <w:fldChar w:fldCharType="end"/>
            </w:r>
          </w:hyperlink>
        </w:p>
        <w:p w:rsidR="00C054EE" w:rsidRDefault="000D5832" w14:paraId="2E6F242C" w14:textId="3A3B070C">
          <w:pPr>
            <w:pStyle w:val="TOC3"/>
            <w:tabs>
              <w:tab w:val="left" w:pos="1296"/>
              <w:tab w:val="right" w:leader="dot" w:pos="9350"/>
            </w:tabs>
            <w:rPr>
              <w:rFonts w:asciiTheme="minorHAnsi" w:hAnsiTheme="minorHAnsi" w:cstheme="minorBidi"/>
              <w:noProof/>
              <w:sz w:val="22"/>
              <w:szCs w:val="22"/>
            </w:rPr>
          </w:pPr>
          <w:hyperlink w:history="1" w:anchor="_Toc69947862">
            <w:r w:rsidRPr="00FD24A9" w:rsidR="00C054EE">
              <w:rPr>
                <w:rStyle w:val="Hyperlink"/>
                <w:noProof/>
              </w:rPr>
              <w:t>5.3.3.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_Toc69947862 \h </w:instrText>
            </w:r>
            <w:r w:rsidR="00C054EE">
              <w:rPr>
                <w:noProof/>
                <w:webHidden/>
              </w:rPr>
            </w:r>
            <w:r w:rsidR="00C054EE">
              <w:rPr>
                <w:noProof/>
                <w:webHidden/>
              </w:rPr>
              <w:fldChar w:fldCharType="separate"/>
            </w:r>
            <w:r w:rsidR="004C2E01">
              <w:rPr>
                <w:noProof/>
                <w:webHidden/>
              </w:rPr>
              <w:t>98</w:t>
            </w:r>
            <w:r w:rsidR="00C054EE">
              <w:rPr>
                <w:noProof/>
                <w:webHidden/>
              </w:rPr>
              <w:fldChar w:fldCharType="end"/>
            </w:r>
          </w:hyperlink>
        </w:p>
        <w:p w:rsidR="00C054EE" w:rsidRDefault="000D5832" w14:paraId="78CB72B7" w14:textId="203B1276">
          <w:pPr>
            <w:pStyle w:val="TOC3"/>
            <w:tabs>
              <w:tab w:val="left" w:pos="1296"/>
              <w:tab w:val="right" w:leader="dot" w:pos="9350"/>
            </w:tabs>
            <w:rPr>
              <w:rFonts w:asciiTheme="minorHAnsi" w:hAnsiTheme="minorHAnsi" w:cstheme="minorBidi"/>
              <w:noProof/>
              <w:sz w:val="22"/>
              <w:szCs w:val="22"/>
            </w:rPr>
          </w:pPr>
          <w:hyperlink w:history="1" w:anchor="_Toc69947863">
            <w:r w:rsidRPr="00FD24A9" w:rsidR="00C054EE">
              <w:rPr>
                <w:rStyle w:val="Hyperlink"/>
                <w:noProof/>
              </w:rPr>
              <w:t>5.3.4.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_Toc69947863 \h </w:instrText>
            </w:r>
            <w:r w:rsidR="00C054EE">
              <w:rPr>
                <w:noProof/>
                <w:webHidden/>
              </w:rPr>
            </w:r>
            <w:r w:rsidR="00C054EE">
              <w:rPr>
                <w:noProof/>
                <w:webHidden/>
              </w:rPr>
              <w:fldChar w:fldCharType="separate"/>
            </w:r>
            <w:r w:rsidR="004C2E01">
              <w:rPr>
                <w:noProof/>
                <w:webHidden/>
              </w:rPr>
              <w:t>100</w:t>
            </w:r>
            <w:r w:rsidR="00C054EE">
              <w:rPr>
                <w:noProof/>
                <w:webHidden/>
              </w:rPr>
              <w:fldChar w:fldCharType="end"/>
            </w:r>
          </w:hyperlink>
        </w:p>
        <w:p w:rsidR="00C054EE" w:rsidRDefault="000D5832" w14:paraId="2FFCC24E" w14:textId="542C11AB">
          <w:pPr>
            <w:pStyle w:val="TOC3"/>
            <w:tabs>
              <w:tab w:val="left" w:pos="1296"/>
              <w:tab w:val="right" w:leader="dot" w:pos="9350"/>
            </w:tabs>
            <w:rPr>
              <w:rFonts w:asciiTheme="minorHAnsi" w:hAnsiTheme="minorHAnsi" w:cstheme="minorBidi"/>
              <w:noProof/>
              <w:sz w:val="22"/>
              <w:szCs w:val="22"/>
            </w:rPr>
          </w:pPr>
          <w:hyperlink w:history="1" w:anchor="_Toc69947864">
            <w:r w:rsidRPr="00FD24A9" w:rsidR="00C054EE">
              <w:rPr>
                <w:rStyle w:val="Hyperlink"/>
                <w:noProof/>
              </w:rPr>
              <w:t>5.3.5.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_Toc69947864 \h </w:instrText>
            </w:r>
            <w:r w:rsidR="00C054EE">
              <w:rPr>
                <w:noProof/>
                <w:webHidden/>
              </w:rPr>
            </w:r>
            <w:r w:rsidR="00C054EE">
              <w:rPr>
                <w:noProof/>
                <w:webHidden/>
              </w:rPr>
              <w:fldChar w:fldCharType="separate"/>
            </w:r>
            <w:r w:rsidR="004C2E01">
              <w:rPr>
                <w:noProof/>
                <w:webHidden/>
              </w:rPr>
              <w:t>101</w:t>
            </w:r>
            <w:r w:rsidR="00C054EE">
              <w:rPr>
                <w:noProof/>
                <w:webHidden/>
              </w:rPr>
              <w:fldChar w:fldCharType="end"/>
            </w:r>
          </w:hyperlink>
        </w:p>
        <w:p w:rsidR="00C054EE" w:rsidRDefault="000D5832" w14:paraId="0EB6EC80" w14:textId="7EF41E42">
          <w:pPr>
            <w:pStyle w:val="TOC4"/>
            <w:tabs>
              <w:tab w:val="left" w:pos="1728"/>
              <w:tab w:val="right" w:leader="dot" w:pos="9350"/>
            </w:tabs>
            <w:rPr>
              <w:rFonts w:asciiTheme="minorHAnsi" w:hAnsiTheme="minorHAnsi" w:eastAsiaTheme="minorEastAsia" w:cstheme="minorBidi"/>
              <w:noProof/>
              <w:sz w:val="22"/>
              <w:szCs w:val="22"/>
            </w:rPr>
          </w:pPr>
          <w:hyperlink w:history="1" w:anchor="_Toc69947865">
            <w:r w:rsidRPr="00FD24A9" w:rsidR="00C054EE">
              <w:rPr>
                <w:rStyle w:val="Hyperlink"/>
                <w:noProof/>
              </w:rPr>
              <w:t>5.3.5.1.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_Toc69947865 \h </w:instrText>
            </w:r>
            <w:r w:rsidR="00C054EE">
              <w:rPr>
                <w:noProof/>
                <w:webHidden/>
              </w:rPr>
            </w:r>
            <w:r w:rsidR="00C054EE">
              <w:rPr>
                <w:noProof/>
                <w:webHidden/>
              </w:rPr>
              <w:fldChar w:fldCharType="separate"/>
            </w:r>
            <w:r w:rsidR="004C2E01">
              <w:rPr>
                <w:noProof/>
                <w:webHidden/>
              </w:rPr>
              <w:t>101</w:t>
            </w:r>
            <w:r w:rsidR="00C054EE">
              <w:rPr>
                <w:noProof/>
                <w:webHidden/>
              </w:rPr>
              <w:fldChar w:fldCharType="end"/>
            </w:r>
          </w:hyperlink>
        </w:p>
        <w:p w:rsidR="00C054EE" w:rsidRDefault="000D5832" w14:paraId="1A9BACE4" w14:textId="1EBB3EBE">
          <w:pPr>
            <w:pStyle w:val="TOC4"/>
            <w:tabs>
              <w:tab w:val="left" w:pos="1728"/>
              <w:tab w:val="right" w:leader="dot" w:pos="9350"/>
            </w:tabs>
            <w:rPr>
              <w:rFonts w:asciiTheme="minorHAnsi" w:hAnsiTheme="minorHAnsi" w:eastAsiaTheme="minorEastAsia" w:cstheme="minorBidi"/>
              <w:noProof/>
              <w:sz w:val="22"/>
              <w:szCs w:val="22"/>
            </w:rPr>
          </w:pPr>
          <w:hyperlink w:history="1" w:anchor="_Toc69947866">
            <w:r w:rsidRPr="00FD24A9" w:rsidR="00C054EE">
              <w:rPr>
                <w:rStyle w:val="Hyperlink"/>
                <w:noProof/>
              </w:rPr>
              <w:t>5.3.5.2.</w:t>
            </w:r>
            <w:r w:rsidR="00C054EE">
              <w:rPr>
                <w:rFonts w:asciiTheme="minorHAnsi" w:hAnsiTheme="minorHAnsi" w:eastAsiaTheme="minorEastAsia" w:cstheme="minorBidi"/>
                <w:noProof/>
                <w:sz w:val="22"/>
                <w:szCs w:val="22"/>
              </w:rPr>
              <w:tab/>
            </w:r>
            <w:r w:rsidRPr="00FD24A9" w:rsidR="00C054EE">
              <w:rPr>
                <w:rStyle w:val="Hyperlink"/>
                <w:noProof/>
              </w:rPr>
              <w:t>Enervee</w:t>
            </w:r>
            <w:r w:rsidR="00C054EE">
              <w:rPr>
                <w:noProof/>
                <w:webHidden/>
              </w:rPr>
              <w:tab/>
            </w:r>
            <w:r w:rsidR="00C054EE">
              <w:rPr>
                <w:noProof/>
                <w:webHidden/>
              </w:rPr>
              <w:fldChar w:fldCharType="begin"/>
            </w:r>
            <w:r w:rsidR="00C054EE">
              <w:rPr>
                <w:noProof/>
                <w:webHidden/>
              </w:rPr>
              <w:instrText xml:space="preserve"> PAGEREF _Toc69947866 \h </w:instrText>
            </w:r>
            <w:r w:rsidR="00C054EE">
              <w:rPr>
                <w:noProof/>
                <w:webHidden/>
              </w:rPr>
            </w:r>
            <w:r w:rsidR="00C054EE">
              <w:rPr>
                <w:noProof/>
                <w:webHidden/>
              </w:rPr>
              <w:fldChar w:fldCharType="separate"/>
            </w:r>
            <w:r w:rsidR="004C2E01">
              <w:rPr>
                <w:noProof/>
                <w:webHidden/>
              </w:rPr>
              <w:t>101</w:t>
            </w:r>
            <w:r w:rsidR="00C054EE">
              <w:rPr>
                <w:noProof/>
                <w:webHidden/>
              </w:rPr>
              <w:fldChar w:fldCharType="end"/>
            </w:r>
          </w:hyperlink>
        </w:p>
        <w:p w:rsidR="00C054EE" w:rsidRDefault="000D5832" w14:paraId="614457C1" w14:textId="3538AC3E">
          <w:pPr>
            <w:pStyle w:val="TOC3"/>
            <w:tabs>
              <w:tab w:val="left" w:pos="1296"/>
              <w:tab w:val="right" w:leader="dot" w:pos="9350"/>
            </w:tabs>
            <w:rPr>
              <w:rFonts w:asciiTheme="minorHAnsi" w:hAnsiTheme="minorHAnsi" w:cstheme="minorBidi"/>
              <w:noProof/>
              <w:sz w:val="22"/>
              <w:szCs w:val="22"/>
            </w:rPr>
          </w:pPr>
          <w:hyperlink w:history="1" w:anchor="_Toc69947867">
            <w:r w:rsidRPr="00FD24A9" w:rsidR="00C054EE">
              <w:rPr>
                <w:rStyle w:val="Hyperlink"/>
                <w:noProof/>
              </w:rPr>
              <w:t>5.3.6.</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_Toc69947867 \h </w:instrText>
            </w:r>
            <w:r w:rsidR="00C054EE">
              <w:rPr>
                <w:noProof/>
                <w:webHidden/>
              </w:rPr>
            </w:r>
            <w:r w:rsidR="00C054EE">
              <w:rPr>
                <w:noProof/>
                <w:webHidden/>
              </w:rPr>
              <w:fldChar w:fldCharType="separate"/>
            </w:r>
            <w:r w:rsidR="004C2E01">
              <w:rPr>
                <w:noProof/>
                <w:webHidden/>
              </w:rPr>
              <w:t>102</w:t>
            </w:r>
            <w:r w:rsidR="00C054EE">
              <w:rPr>
                <w:noProof/>
                <w:webHidden/>
              </w:rPr>
              <w:fldChar w:fldCharType="end"/>
            </w:r>
          </w:hyperlink>
        </w:p>
        <w:p w:rsidR="00C054EE" w:rsidRDefault="000D5832" w14:paraId="15E77868" w14:textId="2E49B4DB">
          <w:pPr>
            <w:pStyle w:val="TOC4"/>
            <w:tabs>
              <w:tab w:val="left" w:pos="1728"/>
              <w:tab w:val="right" w:leader="dot" w:pos="9350"/>
            </w:tabs>
            <w:rPr>
              <w:rFonts w:asciiTheme="minorHAnsi" w:hAnsiTheme="minorHAnsi" w:eastAsiaTheme="minorEastAsia" w:cstheme="minorBidi"/>
              <w:noProof/>
              <w:sz w:val="22"/>
              <w:szCs w:val="22"/>
            </w:rPr>
          </w:pPr>
          <w:hyperlink w:history="1" w:anchor="_Toc69947868">
            <w:r w:rsidRPr="00FD24A9" w:rsidR="00C054EE">
              <w:rPr>
                <w:rStyle w:val="Hyperlink"/>
                <w:noProof/>
              </w:rPr>
              <w:t>5.3.6.1.</w:t>
            </w:r>
            <w:r w:rsidR="00C054EE">
              <w:rPr>
                <w:rFonts w:asciiTheme="minorHAnsi" w:hAnsiTheme="minorHAnsi" w:eastAsiaTheme="minorEastAsia" w:cstheme="minorBidi"/>
                <w:noProof/>
                <w:sz w:val="22"/>
                <w:szCs w:val="22"/>
              </w:rPr>
              <w:tab/>
            </w:r>
            <w:r w:rsidRPr="00FD24A9" w:rsidR="00C054EE">
              <w:rPr>
                <w:rStyle w:val="Hyperlink"/>
                <w:noProof/>
              </w:rPr>
              <w:t>General Marketing, Education and Outreach Strategies: Approved with Modifications</w:t>
            </w:r>
            <w:r w:rsidR="00C054EE">
              <w:rPr>
                <w:noProof/>
                <w:webHidden/>
              </w:rPr>
              <w:tab/>
            </w:r>
            <w:r w:rsidR="00C054EE">
              <w:rPr>
                <w:noProof/>
                <w:webHidden/>
              </w:rPr>
              <w:fldChar w:fldCharType="begin"/>
            </w:r>
            <w:r w:rsidR="00C054EE">
              <w:rPr>
                <w:noProof/>
                <w:webHidden/>
              </w:rPr>
              <w:instrText xml:space="preserve"> PAGEREF _Toc69947868 \h </w:instrText>
            </w:r>
            <w:r w:rsidR="00C054EE">
              <w:rPr>
                <w:noProof/>
                <w:webHidden/>
              </w:rPr>
            </w:r>
            <w:r w:rsidR="00C054EE">
              <w:rPr>
                <w:noProof/>
                <w:webHidden/>
              </w:rPr>
              <w:fldChar w:fldCharType="separate"/>
            </w:r>
            <w:r w:rsidR="004C2E01">
              <w:rPr>
                <w:noProof/>
                <w:webHidden/>
              </w:rPr>
              <w:t>102</w:t>
            </w:r>
            <w:r w:rsidR="00C054EE">
              <w:rPr>
                <w:noProof/>
                <w:webHidden/>
              </w:rPr>
              <w:fldChar w:fldCharType="end"/>
            </w:r>
          </w:hyperlink>
        </w:p>
        <w:p w:rsidR="00C054EE" w:rsidRDefault="000D5832" w14:paraId="6C02F9D5" w14:textId="506D0700">
          <w:pPr>
            <w:pStyle w:val="TOC4"/>
            <w:tabs>
              <w:tab w:val="left" w:pos="1728"/>
              <w:tab w:val="right" w:leader="dot" w:pos="9350"/>
            </w:tabs>
            <w:rPr>
              <w:rFonts w:asciiTheme="minorHAnsi" w:hAnsiTheme="minorHAnsi" w:eastAsiaTheme="minorEastAsia" w:cstheme="minorBidi"/>
              <w:noProof/>
              <w:sz w:val="22"/>
              <w:szCs w:val="22"/>
            </w:rPr>
          </w:pPr>
          <w:hyperlink w:history="1" w:anchor="_Toc69947869">
            <w:r w:rsidRPr="00FD24A9" w:rsidR="00C054EE">
              <w:rPr>
                <w:rStyle w:val="Hyperlink"/>
                <w:noProof/>
              </w:rPr>
              <w:t>5.3.6.2.</w:t>
            </w:r>
            <w:r w:rsidR="00C054EE">
              <w:rPr>
                <w:rFonts w:asciiTheme="minorHAnsi" w:hAnsiTheme="minorHAnsi" w:eastAsiaTheme="minorEastAsia" w:cstheme="minorBidi"/>
                <w:noProof/>
                <w:sz w:val="22"/>
                <w:szCs w:val="22"/>
              </w:rPr>
              <w:tab/>
            </w:r>
            <w:r w:rsidRPr="00FD24A9" w:rsidR="00C054EE">
              <w:rPr>
                <w:rStyle w:val="Hyperlink"/>
                <w:noProof/>
              </w:rPr>
              <w:t>PG&amp;E’s FERA Propensity Model: Denied</w:t>
            </w:r>
            <w:r w:rsidR="00C054EE">
              <w:rPr>
                <w:noProof/>
                <w:webHidden/>
              </w:rPr>
              <w:tab/>
            </w:r>
            <w:r w:rsidR="00C054EE">
              <w:rPr>
                <w:noProof/>
                <w:webHidden/>
              </w:rPr>
              <w:fldChar w:fldCharType="begin"/>
            </w:r>
            <w:r w:rsidR="00C054EE">
              <w:rPr>
                <w:noProof/>
                <w:webHidden/>
              </w:rPr>
              <w:instrText xml:space="preserve"> PAGEREF _Toc69947869 \h </w:instrText>
            </w:r>
            <w:r w:rsidR="00C054EE">
              <w:rPr>
                <w:noProof/>
                <w:webHidden/>
              </w:rPr>
            </w:r>
            <w:r w:rsidR="00C054EE">
              <w:rPr>
                <w:noProof/>
                <w:webHidden/>
              </w:rPr>
              <w:fldChar w:fldCharType="separate"/>
            </w:r>
            <w:r w:rsidR="004C2E01">
              <w:rPr>
                <w:noProof/>
                <w:webHidden/>
              </w:rPr>
              <w:t>102</w:t>
            </w:r>
            <w:r w:rsidR="00C054EE">
              <w:rPr>
                <w:noProof/>
                <w:webHidden/>
              </w:rPr>
              <w:fldChar w:fldCharType="end"/>
            </w:r>
          </w:hyperlink>
        </w:p>
        <w:p w:rsidR="00C054EE" w:rsidRDefault="000D5832" w14:paraId="4937483B" w14:textId="36238323">
          <w:pPr>
            <w:pStyle w:val="TOC4"/>
            <w:tabs>
              <w:tab w:val="left" w:pos="1728"/>
              <w:tab w:val="right" w:leader="dot" w:pos="9350"/>
            </w:tabs>
            <w:rPr>
              <w:rFonts w:asciiTheme="minorHAnsi" w:hAnsiTheme="minorHAnsi" w:eastAsiaTheme="minorEastAsia" w:cstheme="minorBidi"/>
              <w:noProof/>
              <w:sz w:val="22"/>
              <w:szCs w:val="22"/>
            </w:rPr>
          </w:pPr>
          <w:hyperlink w:history="1" w:anchor="_Toc69947870">
            <w:r w:rsidRPr="00FD24A9" w:rsidR="00C054EE">
              <w:rPr>
                <w:rStyle w:val="Hyperlink"/>
                <w:noProof/>
              </w:rPr>
              <w:t>5.3.6.3.</w:t>
            </w:r>
            <w:r w:rsidR="00C054EE">
              <w:rPr>
                <w:rFonts w:asciiTheme="minorHAnsi" w:hAnsiTheme="minorHAnsi" w:eastAsiaTheme="minorEastAsia" w:cstheme="minorBidi"/>
                <w:noProof/>
                <w:sz w:val="22"/>
                <w:szCs w:val="22"/>
              </w:rPr>
              <w:tab/>
            </w:r>
            <w:r w:rsidRPr="00FD24A9" w:rsidR="00C054EE">
              <w:rPr>
                <w:rStyle w:val="Hyperlink"/>
                <w:noProof/>
              </w:rPr>
              <w:t>New FERA Capitation Fee $30: Approved</w:t>
            </w:r>
            <w:r w:rsidR="00C054EE">
              <w:rPr>
                <w:noProof/>
                <w:webHidden/>
              </w:rPr>
              <w:tab/>
            </w:r>
            <w:r w:rsidR="00C054EE">
              <w:rPr>
                <w:noProof/>
                <w:webHidden/>
              </w:rPr>
              <w:fldChar w:fldCharType="begin"/>
            </w:r>
            <w:r w:rsidR="00C054EE">
              <w:rPr>
                <w:noProof/>
                <w:webHidden/>
              </w:rPr>
              <w:instrText xml:space="preserve"> PAGEREF _Toc69947870 \h </w:instrText>
            </w:r>
            <w:r w:rsidR="00C054EE">
              <w:rPr>
                <w:noProof/>
                <w:webHidden/>
              </w:rPr>
            </w:r>
            <w:r w:rsidR="00C054EE">
              <w:rPr>
                <w:noProof/>
                <w:webHidden/>
              </w:rPr>
              <w:fldChar w:fldCharType="separate"/>
            </w:r>
            <w:r w:rsidR="004C2E01">
              <w:rPr>
                <w:noProof/>
                <w:webHidden/>
              </w:rPr>
              <w:t>104</w:t>
            </w:r>
            <w:r w:rsidR="00C054EE">
              <w:rPr>
                <w:noProof/>
                <w:webHidden/>
              </w:rPr>
              <w:fldChar w:fldCharType="end"/>
            </w:r>
          </w:hyperlink>
        </w:p>
        <w:p w:rsidR="00C054EE" w:rsidRDefault="000D5832" w14:paraId="68DACFFB" w14:textId="160ECC93">
          <w:pPr>
            <w:pStyle w:val="TOC4"/>
            <w:tabs>
              <w:tab w:val="left" w:pos="1728"/>
              <w:tab w:val="right" w:leader="dot" w:pos="9350"/>
            </w:tabs>
            <w:rPr>
              <w:rFonts w:asciiTheme="minorHAnsi" w:hAnsiTheme="minorHAnsi" w:eastAsiaTheme="minorEastAsia" w:cstheme="minorBidi"/>
              <w:noProof/>
              <w:sz w:val="22"/>
              <w:szCs w:val="22"/>
            </w:rPr>
          </w:pPr>
          <w:hyperlink w:history="1" w:anchor="_Toc69947871">
            <w:r w:rsidRPr="00FD24A9" w:rsidR="00C054EE">
              <w:rPr>
                <w:rStyle w:val="Hyperlink"/>
                <w:noProof/>
              </w:rPr>
              <w:t>5.3.6.4.</w:t>
            </w:r>
            <w:r w:rsidR="00C054EE">
              <w:rPr>
                <w:rFonts w:asciiTheme="minorHAnsi" w:hAnsiTheme="minorHAnsi" w:eastAsiaTheme="minorEastAsia" w:cstheme="minorBidi"/>
                <w:noProof/>
                <w:sz w:val="22"/>
                <w:szCs w:val="22"/>
              </w:rPr>
              <w:tab/>
            </w:r>
            <w:r w:rsidRPr="00FD24A9" w:rsidR="00C054EE">
              <w:rPr>
                <w:rStyle w:val="Hyperlink"/>
                <w:noProof/>
              </w:rPr>
              <w:t>SCE’s FERA Telemarking Pilot: Approved</w:t>
            </w:r>
            <w:r w:rsidR="00C054EE">
              <w:rPr>
                <w:noProof/>
                <w:webHidden/>
              </w:rPr>
              <w:tab/>
            </w:r>
            <w:r w:rsidR="00C054EE">
              <w:rPr>
                <w:noProof/>
                <w:webHidden/>
              </w:rPr>
              <w:fldChar w:fldCharType="begin"/>
            </w:r>
            <w:r w:rsidR="00C054EE">
              <w:rPr>
                <w:noProof/>
                <w:webHidden/>
              </w:rPr>
              <w:instrText xml:space="preserve"> PAGEREF _Toc69947871 \h </w:instrText>
            </w:r>
            <w:r w:rsidR="00C054EE">
              <w:rPr>
                <w:noProof/>
                <w:webHidden/>
              </w:rPr>
            </w:r>
            <w:r w:rsidR="00C054EE">
              <w:rPr>
                <w:noProof/>
                <w:webHidden/>
              </w:rPr>
              <w:fldChar w:fldCharType="separate"/>
            </w:r>
            <w:r w:rsidR="004C2E01">
              <w:rPr>
                <w:noProof/>
                <w:webHidden/>
              </w:rPr>
              <w:t>104</w:t>
            </w:r>
            <w:r w:rsidR="00C054EE">
              <w:rPr>
                <w:noProof/>
                <w:webHidden/>
              </w:rPr>
              <w:fldChar w:fldCharType="end"/>
            </w:r>
          </w:hyperlink>
        </w:p>
        <w:p w:rsidR="00C054EE" w:rsidRDefault="000D5832" w14:paraId="2D69B424" w14:textId="136E0736">
          <w:pPr>
            <w:pStyle w:val="TOC4"/>
            <w:tabs>
              <w:tab w:val="left" w:pos="1728"/>
              <w:tab w:val="right" w:leader="dot" w:pos="9350"/>
            </w:tabs>
            <w:rPr>
              <w:rFonts w:asciiTheme="minorHAnsi" w:hAnsiTheme="minorHAnsi" w:eastAsiaTheme="minorEastAsia" w:cstheme="minorBidi"/>
              <w:noProof/>
              <w:sz w:val="22"/>
              <w:szCs w:val="22"/>
            </w:rPr>
          </w:pPr>
          <w:hyperlink w:history="1" w:anchor="_Toc69947872">
            <w:r w:rsidRPr="00FD24A9" w:rsidR="00C054EE">
              <w:rPr>
                <w:rStyle w:val="Hyperlink"/>
                <w:noProof/>
              </w:rPr>
              <w:t>5.3.6.5.</w:t>
            </w:r>
            <w:r w:rsidR="00C054EE">
              <w:rPr>
                <w:rFonts w:asciiTheme="minorHAnsi" w:hAnsiTheme="minorHAnsi" w:eastAsiaTheme="minorEastAsia" w:cstheme="minorBidi"/>
                <w:noProof/>
                <w:sz w:val="22"/>
                <w:szCs w:val="22"/>
              </w:rPr>
              <w:tab/>
            </w:r>
            <w:r w:rsidRPr="00FD24A9" w:rsidR="00C054EE">
              <w:rPr>
                <w:rStyle w:val="Hyperlink"/>
                <w:noProof/>
              </w:rPr>
              <w:t>Online Marketplace: Denied</w:t>
            </w:r>
            <w:r w:rsidR="00C054EE">
              <w:rPr>
                <w:noProof/>
                <w:webHidden/>
              </w:rPr>
              <w:tab/>
            </w:r>
            <w:r w:rsidR="00C054EE">
              <w:rPr>
                <w:noProof/>
                <w:webHidden/>
              </w:rPr>
              <w:fldChar w:fldCharType="begin"/>
            </w:r>
            <w:r w:rsidR="00C054EE">
              <w:rPr>
                <w:noProof/>
                <w:webHidden/>
              </w:rPr>
              <w:instrText xml:space="preserve"> PAGEREF _Toc69947872 \h </w:instrText>
            </w:r>
            <w:r w:rsidR="00C054EE">
              <w:rPr>
                <w:noProof/>
                <w:webHidden/>
              </w:rPr>
            </w:r>
            <w:r w:rsidR="00C054EE">
              <w:rPr>
                <w:noProof/>
                <w:webHidden/>
              </w:rPr>
              <w:fldChar w:fldCharType="separate"/>
            </w:r>
            <w:r w:rsidR="004C2E01">
              <w:rPr>
                <w:noProof/>
                <w:webHidden/>
              </w:rPr>
              <w:t>105</w:t>
            </w:r>
            <w:r w:rsidR="00C054EE">
              <w:rPr>
                <w:noProof/>
                <w:webHidden/>
              </w:rPr>
              <w:fldChar w:fldCharType="end"/>
            </w:r>
          </w:hyperlink>
        </w:p>
        <w:p w:rsidR="00C054EE" w:rsidRDefault="000D5832" w14:paraId="4B308864" w14:textId="3EB0387C">
          <w:pPr>
            <w:pStyle w:val="TOC2"/>
            <w:tabs>
              <w:tab w:val="right" w:leader="dot" w:pos="9350"/>
            </w:tabs>
            <w:rPr>
              <w:rFonts w:asciiTheme="minorHAnsi" w:hAnsiTheme="minorHAnsi" w:cstheme="minorBidi"/>
              <w:noProof/>
              <w:sz w:val="22"/>
              <w:szCs w:val="22"/>
            </w:rPr>
          </w:pPr>
          <w:hyperlink w:history="1" w:anchor="_Toc69947873">
            <w:r w:rsidRPr="00FD24A9" w:rsidR="00C054EE">
              <w:rPr>
                <w:rStyle w:val="Hyperlink"/>
                <w:noProof/>
              </w:rPr>
              <w:t>5.4.</w:t>
            </w:r>
            <w:r w:rsidR="00C054EE">
              <w:rPr>
                <w:rFonts w:asciiTheme="minorHAnsi" w:hAnsiTheme="minorHAnsi" w:cstheme="minorBidi"/>
                <w:noProof/>
                <w:sz w:val="22"/>
                <w:szCs w:val="22"/>
              </w:rPr>
              <w:tab/>
            </w:r>
            <w:r w:rsidRPr="00FD24A9" w:rsidR="00C054EE">
              <w:rPr>
                <w:rStyle w:val="Hyperlink"/>
                <w:noProof/>
              </w:rPr>
              <w:t>FERA Budgets</w:t>
            </w:r>
            <w:r w:rsidR="00C054EE">
              <w:rPr>
                <w:noProof/>
                <w:webHidden/>
              </w:rPr>
              <w:tab/>
            </w:r>
            <w:r w:rsidR="00C054EE">
              <w:rPr>
                <w:noProof/>
                <w:webHidden/>
              </w:rPr>
              <w:fldChar w:fldCharType="begin"/>
            </w:r>
            <w:r w:rsidR="00C054EE">
              <w:rPr>
                <w:noProof/>
                <w:webHidden/>
              </w:rPr>
              <w:instrText xml:space="preserve"> PAGEREF _Toc69947873 \h </w:instrText>
            </w:r>
            <w:r w:rsidR="00C054EE">
              <w:rPr>
                <w:noProof/>
                <w:webHidden/>
              </w:rPr>
            </w:r>
            <w:r w:rsidR="00C054EE">
              <w:rPr>
                <w:noProof/>
                <w:webHidden/>
              </w:rPr>
              <w:fldChar w:fldCharType="separate"/>
            </w:r>
            <w:r w:rsidR="004C2E01">
              <w:rPr>
                <w:noProof/>
                <w:webHidden/>
              </w:rPr>
              <w:t>105</w:t>
            </w:r>
            <w:r w:rsidR="00C054EE">
              <w:rPr>
                <w:noProof/>
                <w:webHidden/>
              </w:rPr>
              <w:fldChar w:fldCharType="end"/>
            </w:r>
          </w:hyperlink>
        </w:p>
        <w:p w:rsidR="00C054EE" w:rsidRDefault="000D5832" w14:paraId="1FED50D4" w14:textId="385A12E1">
          <w:pPr>
            <w:pStyle w:val="TOC3"/>
            <w:tabs>
              <w:tab w:val="left" w:pos="1296"/>
              <w:tab w:val="right" w:leader="dot" w:pos="9350"/>
            </w:tabs>
            <w:rPr>
              <w:rFonts w:asciiTheme="minorHAnsi" w:hAnsiTheme="minorHAnsi" w:cstheme="minorBidi"/>
              <w:noProof/>
              <w:sz w:val="22"/>
              <w:szCs w:val="22"/>
            </w:rPr>
          </w:pPr>
          <w:hyperlink w:history="1" w:anchor="_Toc69947874">
            <w:r w:rsidRPr="00FD24A9" w:rsidR="00C054EE">
              <w:rPr>
                <w:rStyle w:val="Hyperlink"/>
                <w:noProof/>
              </w:rPr>
              <w:t>5.4.1.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_Toc69947874 \h </w:instrText>
            </w:r>
            <w:r w:rsidR="00C054EE">
              <w:rPr>
                <w:noProof/>
                <w:webHidden/>
              </w:rPr>
            </w:r>
            <w:r w:rsidR="00C054EE">
              <w:rPr>
                <w:noProof/>
                <w:webHidden/>
              </w:rPr>
              <w:fldChar w:fldCharType="separate"/>
            </w:r>
            <w:r w:rsidR="004C2E01">
              <w:rPr>
                <w:noProof/>
                <w:webHidden/>
              </w:rPr>
              <w:t>105</w:t>
            </w:r>
            <w:r w:rsidR="00C054EE">
              <w:rPr>
                <w:noProof/>
                <w:webHidden/>
              </w:rPr>
              <w:fldChar w:fldCharType="end"/>
            </w:r>
          </w:hyperlink>
        </w:p>
        <w:p w:rsidR="00C054EE" w:rsidRDefault="000D5832" w14:paraId="6E428917" w14:textId="11EEBEEC">
          <w:pPr>
            <w:pStyle w:val="TOC3"/>
            <w:tabs>
              <w:tab w:val="left" w:pos="1296"/>
              <w:tab w:val="right" w:leader="dot" w:pos="9350"/>
            </w:tabs>
            <w:rPr>
              <w:rFonts w:asciiTheme="minorHAnsi" w:hAnsiTheme="minorHAnsi" w:cstheme="minorBidi"/>
              <w:noProof/>
              <w:sz w:val="22"/>
              <w:szCs w:val="22"/>
            </w:rPr>
          </w:pPr>
          <w:hyperlink w:history="1" w:anchor="_Toc69947875">
            <w:r w:rsidRPr="00FD24A9" w:rsidR="00C054EE">
              <w:rPr>
                <w:rStyle w:val="Hyperlink"/>
                <w:noProof/>
              </w:rPr>
              <w:t>5.4.2.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_Toc69947875 \h </w:instrText>
            </w:r>
            <w:r w:rsidR="00C054EE">
              <w:rPr>
                <w:noProof/>
                <w:webHidden/>
              </w:rPr>
            </w:r>
            <w:r w:rsidR="00C054EE">
              <w:rPr>
                <w:noProof/>
                <w:webHidden/>
              </w:rPr>
              <w:fldChar w:fldCharType="separate"/>
            </w:r>
            <w:r w:rsidR="004C2E01">
              <w:rPr>
                <w:noProof/>
                <w:webHidden/>
              </w:rPr>
              <w:t>106</w:t>
            </w:r>
            <w:r w:rsidR="00C054EE">
              <w:rPr>
                <w:noProof/>
                <w:webHidden/>
              </w:rPr>
              <w:fldChar w:fldCharType="end"/>
            </w:r>
          </w:hyperlink>
        </w:p>
        <w:p w:rsidR="00C054EE" w:rsidRDefault="000D5832" w14:paraId="09921A6A" w14:textId="375FBD91">
          <w:pPr>
            <w:pStyle w:val="TOC3"/>
            <w:tabs>
              <w:tab w:val="left" w:pos="1296"/>
              <w:tab w:val="right" w:leader="dot" w:pos="9350"/>
            </w:tabs>
            <w:rPr>
              <w:rFonts w:asciiTheme="minorHAnsi" w:hAnsiTheme="minorHAnsi" w:cstheme="minorBidi"/>
              <w:noProof/>
              <w:sz w:val="22"/>
              <w:szCs w:val="22"/>
            </w:rPr>
          </w:pPr>
          <w:hyperlink w:history="1" w:anchor="_Toc69947876">
            <w:r w:rsidRPr="00FD24A9" w:rsidR="00C054EE">
              <w:rPr>
                <w:rStyle w:val="Hyperlink"/>
                <w:noProof/>
              </w:rPr>
              <w:t>5.4.3.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_Toc69947876 \h </w:instrText>
            </w:r>
            <w:r w:rsidR="00C054EE">
              <w:rPr>
                <w:noProof/>
                <w:webHidden/>
              </w:rPr>
            </w:r>
            <w:r w:rsidR="00C054EE">
              <w:rPr>
                <w:noProof/>
                <w:webHidden/>
              </w:rPr>
              <w:fldChar w:fldCharType="separate"/>
            </w:r>
            <w:r w:rsidR="004C2E01">
              <w:rPr>
                <w:noProof/>
                <w:webHidden/>
              </w:rPr>
              <w:t>108</w:t>
            </w:r>
            <w:r w:rsidR="00C054EE">
              <w:rPr>
                <w:noProof/>
                <w:webHidden/>
              </w:rPr>
              <w:fldChar w:fldCharType="end"/>
            </w:r>
          </w:hyperlink>
        </w:p>
        <w:p w:rsidR="00C054EE" w:rsidRDefault="000D5832" w14:paraId="450C0D14" w14:textId="40ED2A33">
          <w:pPr>
            <w:pStyle w:val="TOC3"/>
            <w:tabs>
              <w:tab w:val="left" w:pos="1296"/>
              <w:tab w:val="right" w:leader="dot" w:pos="9350"/>
            </w:tabs>
            <w:rPr>
              <w:rFonts w:asciiTheme="minorHAnsi" w:hAnsiTheme="minorHAnsi" w:cstheme="minorBidi"/>
              <w:noProof/>
              <w:sz w:val="22"/>
              <w:szCs w:val="22"/>
            </w:rPr>
          </w:pPr>
          <w:hyperlink w:history="1" w:anchor="_Toc69947877">
            <w:r w:rsidRPr="00FD24A9" w:rsidR="00C054EE">
              <w:rPr>
                <w:rStyle w:val="Hyperlink"/>
                <w:noProof/>
              </w:rPr>
              <w:t>5.4.4.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_Toc69947877 \h </w:instrText>
            </w:r>
            <w:r w:rsidR="00C054EE">
              <w:rPr>
                <w:noProof/>
                <w:webHidden/>
              </w:rPr>
            </w:r>
            <w:r w:rsidR="00C054EE">
              <w:rPr>
                <w:noProof/>
                <w:webHidden/>
              </w:rPr>
              <w:fldChar w:fldCharType="separate"/>
            </w:r>
            <w:r w:rsidR="004C2E01">
              <w:rPr>
                <w:noProof/>
                <w:webHidden/>
              </w:rPr>
              <w:t>109</w:t>
            </w:r>
            <w:r w:rsidR="00C054EE">
              <w:rPr>
                <w:noProof/>
                <w:webHidden/>
              </w:rPr>
              <w:fldChar w:fldCharType="end"/>
            </w:r>
          </w:hyperlink>
        </w:p>
        <w:p w:rsidR="00C054EE" w:rsidRDefault="000D5832" w14:paraId="7A5E976C" w14:textId="63A9B121">
          <w:pPr>
            <w:pStyle w:val="TOC3"/>
            <w:tabs>
              <w:tab w:val="left" w:pos="1296"/>
              <w:tab w:val="right" w:leader="dot" w:pos="9350"/>
            </w:tabs>
            <w:rPr>
              <w:rFonts w:asciiTheme="minorHAnsi" w:hAnsiTheme="minorHAnsi" w:cstheme="minorBidi"/>
              <w:noProof/>
              <w:sz w:val="22"/>
              <w:szCs w:val="22"/>
            </w:rPr>
          </w:pPr>
          <w:hyperlink w:history="1" w:anchor="_Toc69947878">
            <w:r w:rsidRPr="00FD24A9" w:rsidR="00C054EE">
              <w:rPr>
                <w:rStyle w:val="Hyperlink"/>
                <w:noProof/>
              </w:rPr>
              <w:t>5.4.5.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_Toc69947878 \h </w:instrText>
            </w:r>
            <w:r w:rsidR="00C054EE">
              <w:rPr>
                <w:noProof/>
                <w:webHidden/>
              </w:rPr>
            </w:r>
            <w:r w:rsidR="00C054EE">
              <w:rPr>
                <w:noProof/>
                <w:webHidden/>
              </w:rPr>
              <w:fldChar w:fldCharType="separate"/>
            </w:r>
            <w:r w:rsidR="004C2E01">
              <w:rPr>
                <w:noProof/>
                <w:webHidden/>
              </w:rPr>
              <w:t>111</w:t>
            </w:r>
            <w:r w:rsidR="00C054EE">
              <w:rPr>
                <w:noProof/>
                <w:webHidden/>
              </w:rPr>
              <w:fldChar w:fldCharType="end"/>
            </w:r>
          </w:hyperlink>
        </w:p>
        <w:p w:rsidR="00C054EE" w:rsidRDefault="000D5832" w14:paraId="19E3FE4D" w14:textId="2FD5DED7">
          <w:pPr>
            <w:pStyle w:val="TOC3"/>
            <w:tabs>
              <w:tab w:val="left" w:pos="1296"/>
              <w:tab w:val="right" w:leader="dot" w:pos="9350"/>
            </w:tabs>
            <w:rPr>
              <w:rFonts w:asciiTheme="minorHAnsi" w:hAnsiTheme="minorHAnsi" w:cstheme="minorBidi"/>
              <w:noProof/>
              <w:sz w:val="22"/>
              <w:szCs w:val="22"/>
            </w:rPr>
          </w:pPr>
          <w:hyperlink w:history="1" w:anchor="_Toc69947879">
            <w:r w:rsidRPr="00FD24A9" w:rsidR="00C054EE">
              <w:rPr>
                <w:rStyle w:val="Hyperlink"/>
                <w:noProof/>
              </w:rPr>
              <w:t>5.4.6.</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_Toc69947879 \h </w:instrText>
            </w:r>
            <w:r w:rsidR="00C054EE">
              <w:rPr>
                <w:noProof/>
                <w:webHidden/>
              </w:rPr>
            </w:r>
            <w:r w:rsidR="00C054EE">
              <w:rPr>
                <w:noProof/>
                <w:webHidden/>
              </w:rPr>
              <w:fldChar w:fldCharType="separate"/>
            </w:r>
            <w:r w:rsidR="004C2E01">
              <w:rPr>
                <w:noProof/>
                <w:webHidden/>
              </w:rPr>
              <w:t>111</w:t>
            </w:r>
            <w:r w:rsidR="00C054EE">
              <w:rPr>
                <w:noProof/>
                <w:webHidden/>
              </w:rPr>
              <w:fldChar w:fldCharType="end"/>
            </w:r>
          </w:hyperlink>
        </w:p>
        <w:p w:rsidR="00C054EE" w:rsidRDefault="000D5832" w14:paraId="5A9F9162" w14:textId="3C8C42C4">
          <w:pPr>
            <w:pStyle w:val="TOC4"/>
            <w:tabs>
              <w:tab w:val="left" w:pos="1728"/>
              <w:tab w:val="right" w:leader="dot" w:pos="9350"/>
            </w:tabs>
            <w:rPr>
              <w:rFonts w:asciiTheme="minorHAnsi" w:hAnsiTheme="minorHAnsi" w:eastAsiaTheme="minorEastAsia" w:cstheme="minorBidi"/>
              <w:noProof/>
              <w:sz w:val="22"/>
              <w:szCs w:val="22"/>
            </w:rPr>
          </w:pPr>
          <w:hyperlink w:history="1" w:anchor="_Toc69947880">
            <w:r w:rsidRPr="00FD24A9" w:rsidR="00C054EE">
              <w:rPr>
                <w:rStyle w:val="Hyperlink"/>
                <w:noProof/>
              </w:rPr>
              <w:t>5.4.6.1.</w:t>
            </w:r>
            <w:r w:rsidR="00C054EE">
              <w:rPr>
                <w:rFonts w:asciiTheme="minorHAnsi" w:hAnsiTheme="minorHAnsi" w:eastAsiaTheme="minorEastAsia" w:cstheme="minorBidi"/>
                <w:noProof/>
                <w:sz w:val="22"/>
                <w:szCs w:val="22"/>
              </w:rPr>
              <w:tab/>
            </w:r>
            <w:r w:rsidRPr="00FD24A9" w:rsidR="00C054EE">
              <w:rPr>
                <w:rStyle w:val="Hyperlink"/>
                <w:noProof/>
              </w:rPr>
              <w:t>FERA Subsidy Budgets: Approved</w:t>
            </w:r>
            <w:r w:rsidR="00C054EE">
              <w:rPr>
                <w:noProof/>
                <w:webHidden/>
              </w:rPr>
              <w:tab/>
            </w:r>
            <w:r w:rsidR="00C054EE">
              <w:rPr>
                <w:noProof/>
                <w:webHidden/>
              </w:rPr>
              <w:fldChar w:fldCharType="begin"/>
            </w:r>
            <w:r w:rsidR="00C054EE">
              <w:rPr>
                <w:noProof/>
                <w:webHidden/>
              </w:rPr>
              <w:instrText xml:space="preserve"> PAGEREF _Toc69947880 \h </w:instrText>
            </w:r>
            <w:r w:rsidR="00C054EE">
              <w:rPr>
                <w:noProof/>
                <w:webHidden/>
              </w:rPr>
            </w:r>
            <w:r w:rsidR="00C054EE">
              <w:rPr>
                <w:noProof/>
                <w:webHidden/>
              </w:rPr>
              <w:fldChar w:fldCharType="separate"/>
            </w:r>
            <w:r w:rsidR="004C2E01">
              <w:rPr>
                <w:noProof/>
                <w:webHidden/>
              </w:rPr>
              <w:t>111</w:t>
            </w:r>
            <w:r w:rsidR="00C054EE">
              <w:rPr>
                <w:noProof/>
                <w:webHidden/>
              </w:rPr>
              <w:fldChar w:fldCharType="end"/>
            </w:r>
          </w:hyperlink>
        </w:p>
        <w:p w:rsidR="00C054EE" w:rsidRDefault="000D5832" w14:paraId="36994C65" w14:textId="10CC54A8">
          <w:pPr>
            <w:pStyle w:val="TOC4"/>
            <w:tabs>
              <w:tab w:val="left" w:pos="1728"/>
              <w:tab w:val="right" w:leader="dot" w:pos="9350"/>
            </w:tabs>
            <w:rPr>
              <w:rFonts w:asciiTheme="minorHAnsi" w:hAnsiTheme="minorHAnsi" w:eastAsiaTheme="minorEastAsia" w:cstheme="minorBidi"/>
              <w:noProof/>
              <w:sz w:val="22"/>
              <w:szCs w:val="22"/>
            </w:rPr>
          </w:pPr>
          <w:hyperlink w:history="1" w:anchor="_Toc69947881">
            <w:r w:rsidRPr="00FD24A9" w:rsidR="00C054EE">
              <w:rPr>
                <w:rStyle w:val="Hyperlink"/>
                <w:noProof/>
              </w:rPr>
              <w:t>5.4.6.2.</w:t>
            </w:r>
            <w:r w:rsidR="00C054EE">
              <w:rPr>
                <w:rFonts w:asciiTheme="minorHAnsi" w:hAnsiTheme="minorHAnsi" w:eastAsiaTheme="minorEastAsia" w:cstheme="minorBidi"/>
                <w:noProof/>
                <w:sz w:val="22"/>
                <w:szCs w:val="22"/>
              </w:rPr>
              <w:tab/>
            </w:r>
            <w:r w:rsidRPr="00FD24A9" w:rsidR="00C054EE">
              <w:rPr>
                <w:rStyle w:val="Hyperlink"/>
                <w:noProof/>
              </w:rPr>
              <w:t>FERA Program Management Budgets: Approved with Modifications</w:t>
            </w:r>
            <w:r w:rsidR="00C054EE">
              <w:rPr>
                <w:noProof/>
                <w:webHidden/>
              </w:rPr>
              <w:tab/>
            </w:r>
            <w:r w:rsidR="00C054EE">
              <w:rPr>
                <w:noProof/>
                <w:webHidden/>
              </w:rPr>
              <w:fldChar w:fldCharType="begin"/>
            </w:r>
            <w:r w:rsidR="00C054EE">
              <w:rPr>
                <w:noProof/>
                <w:webHidden/>
              </w:rPr>
              <w:instrText xml:space="preserve"> PAGEREF _Toc69947881 \h </w:instrText>
            </w:r>
            <w:r w:rsidR="00C054EE">
              <w:rPr>
                <w:noProof/>
                <w:webHidden/>
              </w:rPr>
            </w:r>
            <w:r w:rsidR="00C054EE">
              <w:rPr>
                <w:noProof/>
                <w:webHidden/>
              </w:rPr>
              <w:fldChar w:fldCharType="separate"/>
            </w:r>
            <w:r w:rsidR="004C2E01">
              <w:rPr>
                <w:noProof/>
                <w:webHidden/>
              </w:rPr>
              <w:t>111</w:t>
            </w:r>
            <w:r w:rsidR="00C054EE">
              <w:rPr>
                <w:noProof/>
                <w:webHidden/>
              </w:rPr>
              <w:fldChar w:fldCharType="end"/>
            </w:r>
          </w:hyperlink>
        </w:p>
        <w:p w:rsidR="00C054EE" w:rsidRDefault="000D5832" w14:paraId="321498D5" w14:textId="4F049058">
          <w:pPr>
            <w:pStyle w:val="TOC4"/>
            <w:tabs>
              <w:tab w:val="left" w:pos="1728"/>
              <w:tab w:val="right" w:leader="dot" w:pos="9350"/>
            </w:tabs>
            <w:rPr>
              <w:rFonts w:asciiTheme="minorHAnsi" w:hAnsiTheme="minorHAnsi" w:eastAsiaTheme="minorEastAsia" w:cstheme="minorBidi"/>
              <w:noProof/>
              <w:sz w:val="22"/>
              <w:szCs w:val="22"/>
            </w:rPr>
          </w:pPr>
          <w:hyperlink w:history="1" w:anchor="_Toc69947882">
            <w:r w:rsidRPr="00FD24A9" w:rsidR="00C054EE">
              <w:rPr>
                <w:rStyle w:val="Hyperlink"/>
                <w:noProof/>
              </w:rPr>
              <w:t>5.4.6.3.</w:t>
            </w:r>
            <w:r w:rsidR="00C054EE">
              <w:rPr>
                <w:rFonts w:asciiTheme="minorHAnsi" w:hAnsiTheme="minorHAnsi" w:eastAsiaTheme="minorEastAsia" w:cstheme="minorBidi"/>
                <w:noProof/>
                <w:sz w:val="22"/>
                <w:szCs w:val="22"/>
              </w:rPr>
              <w:tab/>
            </w:r>
            <w:r w:rsidRPr="00FD24A9" w:rsidR="00C054EE">
              <w:rPr>
                <w:rStyle w:val="Hyperlink"/>
                <w:noProof/>
              </w:rPr>
              <w:t>FERA Applications</w:t>
            </w:r>
            <w:r w:rsidRPr="00FD24A9" w:rsidR="00C054EE">
              <w:rPr>
                <w:rStyle w:val="Hyperlink"/>
                <w:bCs/>
                <w:noProof/>
              </w:rPr>
              <w:t xml:space="preserve"> to be Included with CARE and ESA Applications</w:t>
            </w:r>
            <w:r w:rsidRPr="00FD24A9" w:rsidR="00C054EE">
              <w:rPr>
                <w:rStyle w:val="Hyperlink"/>
                <w:noProof/>
              </w:rPr>
              <w:t>: Approved</w:t>
            </w:r>
            <w:r w:rsidR="00C054EE">
              <w:rPr>
                <w:noProof/>
                <w:webHidden/>
              </w:rPr>
              <w:tab/>
            </w:r>
            <w:r w:rsidR="00C054EE">
              <w:rPr>
                <w:noProof/>
                <w:webHidden/>
              </w:rPr>
              <w:fldChar w:fldCharType="begin"/>
            </w:r>
            <w:r w:rsidR="00C054EE">
              <w:rPr>
                <w:noProof/>
                <w:webHidden/>
              </w:rPr>
              <w:instrText xml:space="preserve"> PAGEREF _Toc69947882 \h </w:instrText>
            </w:r>
            <w:r w:rsidR="00C054EE">
              <w:rPr>
                <w:noProof/>
                <w:webHidden/>
              </w:rPr>
            </w:r>
            <w:r w:rsidR="00C054EE">
              <w:rPr>
                <w:noProof/>
                <w:webHidden/>
              </w:rPr>
              <w:fldChar w:fldCharType="separate"/>
            </w:r>
            <w:r w:rsidR="004C2E01">
              <w:rPr>
                <w:noProof/>
                <w:webHidden/>
              </w:rPr>
              <w:t>112</w:t>
            </w:r>
            <w:r w:rsidR="00C054EE">
              <w:rPr>
                <w:noProof/>
                <w:webHidden/>
              </w:rPr>
              <w:fldChar w:fldCharType="end"/>
            </w:r>
          </w:hyperlink>
        </w:p>
        <w:p w:rsidR="00C054EE" w:rsidRDefault="000D5832" w14:paraId="5B37EA8F" w14:textId="2B3ADC18">
          <w:pPr>
            <w:pStyle w:val="TOC4"/>
            <w:tabs>
              <w:tab w:val="left" w:pos="1728"/>
              <w:tab w:val="right" w:leader="dot" w:pos="9350"/>
            </w:tabs>
            <w:rPr>
              <w:rFonts w:asciiTheme="minorHAnsi" w:hAnsiTheme="minorHAnsi" w:eastAsiaTheme="minorEastAsia" w:cstheme="minorBidi"/>
              <w:noProof/>
              <w:sz w:val="22"/>
              <w:szCs w:val="22"/>
            </w:rPr>
          </w:pPr>
          <w:hyperlink w:history="1" w:anchor="_Toc69947883">
            <w:r w:rsidRPr="00FD24A9" w:rsidR="00C054EE">
              <w:rPr>
                <w:rStyle w:val="Hyperlink"/>
                <w:noProof/>
              </w:rPr>
              <w:t>5.4.6.4.</w:t>
            </w:r>
            <w:r w:rsidR="00C054EE">
              <w:rPr>
                <w:rFonts w:asciiTheme="minorHAnsi" w:hAnsiTheme="minorHAnsi" w:eastAsiaTheme="minorEastAsia" w:cstheme="minorBidi"/>
                <w:noProof/>
                <w:sz w:val="22"/>
                <w:szCs w:val="22"/>
              </w:rPr>
              <w:tab/>
            </w:r>
            <w:r w:rsidRPr="00FD24A9" w:rsidR="00C054EE">
              <w:rPr>
                <w:rStyle w:val="Hyperlink"/>
                <w:noProof/>
              </w:rPr>
              <w:t>FERA Balancing Account: Approved with Modifications</w:t>
            </w:r>
            <w:r w:rsidR="00C054EE">
              <w:rPr>
                <w:noProof/>
                <w:webHidden/>
              </w:rPr>
              <w:tab/>
            </w:r>
            <w:r w:rsidR="00C054EE">
              <w:rPr>
                <w:noProof/>
                <w:webHidden/>
              </w:rPr>
              <w:fldChar w:fldCharType="begin"/>
            </w:r>
            <w:r w:rsidR="00C054EE">
              <w:rPr>
                <w:noProof/>
                <w:webHidden/>
              </w:rPr>
              <w:instrText xml:space="preserve"> PAGEREF _Toc69947883 \h </w:instrText>
            </w:r>
            <w:r w:rsidR="00C054EE">
              <w:rPr>
                <w:noProof/>
                <w:webHidden/>
              </w:rPr>
            </w:r>
            <w:r w:rsidR="00C054EE">
              <w:rPr>
                <w:noProof/>
                <w:webHidden/>
              </w:rPr>
              <w:fldChar w:fldCharType="separate"/>
            </w:r>
            <w:r w:rsidR="004C2E01">
              <w:rPr>
                <w:noProof/>
                <w:webHidden/>
              </w:rPr>
              <w:t>112</w:t>
            </w:r>
            <w:r w:rsidR="00C054EE">
              <w:rPr>
                <w:noProof/>
                <w:webHidden/>
              </w:rPr>
              <w:fldChar w:fldCharType="end"/>
            </w:r>
          </w:hyperlink>
        </w:p>
        <w:p w:rsidR="00C054EE" w:rsidRDefault="000D5832" w14:paraId="0B2E5F39" w14:textId="69FDED61">
          <w:pPr>
            <w:pStyle w:val="TOC1"/>
            <w:tabs>
              <w:tab w:val="right" w:leader="dot" w:pos="9350"/>
            </w:tabs>
            <w:rPr>
              <w:rFonts w:asciiTheme="minorHAnsi" w:hAnsiTheme="minorHAnsi" w:cstheme="minorBidi"/>
              <w:noProof/>
              <w:sz w:val="22"/>
              <w:szCs w:val="22"/>
            </w:rPr>
          </w:pPr>
          <w:hyperlink w:history="1" w:anchor="_Toc69947884">
            <w:r w:rsidRPr="00FD24A9" w:rsidR="00C054EE">
              <w:rPr>
                <w:rStyle w:val="Hyperlink"/>
                <w:noProof/>
              </w:rPr>
              <w:t>6.</w:t>
            </w:r>
            <w:r w:rsidR="00C054EE">
              <w:rPr>
                <w:rFonts w:asciiTheme="minorHAnsi" w:hAnsiTheme="minorHAnsi" w:cstheme="minorBidi"/>
                <w:noProof/>
                <w:sz w:val="22"/>
                <w:szCs w:val="22"/>
              </w:rPr>
              <w:tab/>
            </w:r>
            <w:r w:rsidRPr="00FD24A9" w:rsidR="00C054EE">
              <w:rPr>
                <w:rStyle w:val="Hyperlink"/>
                <w:noProof/>
              </w:rPr>
              <w:t>ESA Program</w:t>
            </w:r>
            <w:r w:rsidR="00C054EE">
              <w:rPr>
                <w:noProof/>
                <w:webHidden/>
              </w:rPr>
              <w:tab/>
            </w:r>
            <w:r w:rsidR="00C054EE">
              <w:rPr>
                <w:noProof/>
                <w:webHidden/>
              </w:rPr>
              <w:fldChar w:fldCharType="begin"/>
            </w:r>
            <w:r w:rsidR="00C054EE">
              <w:rPr>
                <w:noProof/>
                <w:webHidden/>
              </w:rPr>
              <w:instrText xml:space="preserve"> PAGEREF _Toc69947884 \h </w:instrText>
            </w:r>
            <w:r w:rsidR="00C054EE">
              <w:rPr>
                <w:noProof/>
                <w:webHidden/>
              </w:rPr>
            </w:r>
            <w:r w:rsidR="00C054EE">
              <w:rPr>
                <w:noProof/>
                <w:webHidden/>
              </w:rPr>
              <w:fldChar w:fldCharType="separate"/>
            </w:r>
            <w:r w:rsidR="004C2E01">
              <w:rPr>
                <w:noProof/>
                <w:webHidden/>
              </w:rPr>
              <w:t>114</w:t>
            </w:r>
            <w:r w:rsidR="00C054EE">
              <w:rPr>
                <w:noProof/>
                <w:webHidden/>
              </w:rPr>
              <w:fldChar w:fldCharType="end"/>
            </w:r>
          </w:hyperlink>
        </w:p>
        <w:p w:rsidR="00C054EE" w:rsidRDefault="000D5832" w14:paraId="0D07B712" w14:textId="0A8B003B">
          <w:pPr>
            <w:pStyle w:val="TOC2"/>
            <w:tabs>
              <w:tab w:val="right" w:leader="dot" w:pos="9350"/>
            </w:tabs>
            <w:rPr>
              <w:rFonts w:asciiTheme="minorHAnsi" w:hAnsiTheme="minorHAnsi" w:cstheme="minorBidi"/>
              <w:noProof/>
              <w:sz w:val="22"/>
              <w:szCs w:val="22"/>
            </w:rPr>
          </w:pPr>
          <w:hyperlink w:history="1" w:anchor="_Toc69947885">
            <w:r w:rsidRPr="00FD24A9" w:rsidR="00C054EE">
              <w:rPr>
                <w:rStyle w:val="Hyperlink"/>
                <w:noProof/>
              </w:rPr>
              <w:t>6.1.</w:t>
            </w:r>
            <w:r w:rsidR="00C054EE">
              <w:rPr>
                <w:rFonts w:asciiTheme="minorHAnsi" w:hAnsiTheme="minorHAnsi" w:cstheme="minorBidi"/>
                <w:noProof/>
                <w:sz w:val="22"/>
                <w:szCs w:val="22"/>
              </w:rPr>
              <w:tab/>
            </w:r>
            <w:r w:rsidRPr="00FD24A9" w:rsidR="00C054EE">
              <w:rPr>
                <w:rStyle w:val="Hyperlink"/>
                <w:noProof/>
              </w:rPr>
              <w:t>2020 Statutory Goal and Completion of “First Touches”</w:t>
            </w:r>
            <w:r w:rsidR="00C054EE">
              <w:rPr>
                <w:noProof/>
                <w:webHidden/>
              </w:rPr>
              <w:tab/>
            </w:r>
            <w:r w:rsidR="00C054EE">
              <w:rPr>
                <w:noProof/>
                <w:webHidden/>
              </w:rPr>
              <w:fldChar w:fldCharType="begin"/>
            </w:r>
            <w:r w:rsidR="00C054EE">
              <w:rPr>
                <w:noProof/>
                <w:webHidden/>
              </w:rPr>
              <w:instrText xml:space="preserve"> PAGEREF _Toc69947885 \h </w:instrText>
            </w:r>
            <w:r w:rsidR="00C054EE">
              <w:rPr>
                <w:noProof/>
                <w:webHidden/>
              </w:rPr>
            </w:r>
            <w:r w:rsidR="00C054EE">
              <w:rPr>
                <w:noProof/>
                <w:webHidden/>
              </w:rPr>
              <w:fldChar w:fldCharType="separate"/>
            </w:r>
            <w:r w:rsidR="004C2E01">
              <w:rPr>
                <w:noProof/>
                <w:webHidden/>
              </w:rPr>
              <w:t>114</w:t>
            </w:r>
            <w:r w:rsidR="00C054EE">
              <w:rPr>
                <w:noProof/>
                <w:webHidden/>
              </w:rPr>
              <w:fldChar w:fldCharType="end"/>
            </w:r>
          </w:hyperlink>
        </w:p>
        <w:p w:rsidR="00C054EE" w:rsidRDefault="000D5832" w14:paraId="7C06EB34" w14:textId="0B70D502">
          <w:pPr>
            <w:pStyle w:val="TOC3"/>
            <w:tabs>
              <w:tab w:val="left" w:pos="1296"/>
              <w:tab w:val="right" w:leader="dot" w:pos="9350"/>
            </w:tabs>
            <w:rPr>
              <w:rFonts w:asciiTheme="minorHAnsi" w:hAnsiTheme="minorHAnsi" w:cstheme="minorBidi"/>
              <w:noProof/>
              <w:sz w:val="22"/>
              <w:szCs w:val="22"/>
            </w:rPr>
          </w:pPr>
          <w:hyperlink w:history="1" w:anchor="_Toc69947886">
            <w:r w:rsidRPr="00FD24A9" w:rsidR="00C054EE">
              <w:rPr>
                <w:rStyle w:val="Hyperlink"/>
                <w:noProof/>
              </w:rPr>
              <w:t>6.1.1.</w:t>
            </w:r>
            <w:r w:rsidR="00C054EE">
              <w:rPr>
                <w:rFonts w:asciiTheme="minorHAnsi" w:hAnsiTheme="minorHAnsi" w:cstheme="minorBidi"/>
                <w:noProof/>
                <w:sz w:val="22"/>
                <w:szCs w:val="22"/>
              </w:rPr>
              <w:tab/>
            </w:r>
            <w:r w:rsidRPr="00FD24A9" w:rsidR="00C054EE">
              <w:rPr>
                <w:rStyle w:val="Hyperlink"/>
                <w:noProof/>
              </w:rPr>
              <w:t>2020 Statutory Goal</w:t>
            </w:r>
            <w:r w:rsidR="00C054EE">
              <w:rPr>
                <w:noProof/>
                <w:webHidden/>
              </w:rPr>
              <w:tab/>
            </w:r>
            <w:r w:rsidR="00C054EE">
              <w:rPr>
                <w:noProof/>
                <w:webHidden/>
              </w:rPr>
              <w:fldChar w:fldCharType="begin"/>
            </w:r>
            <w:r w:rsidR="00C054EE">
              <w:rPr>
                <w:noProof/>
                <w:webHidden/>
              </w:rPr>
              <w:instrText xml:space="preserve"> PAGEREF _Toc69947886 \h </w:instrText>
            </w:r>
            <w:r w:rsidR="00C054EE">
              <w:rPr>
                <w:noProof/>
                <w:webHidden/>
              </w:rPr>
            </w:r>
            <w:r w:rsidR="00C054EE">
              <w:rPr>
                <w:noProof/>
                <w:webHidden/>
              </w:rPr>
              <w:fldChar w:fldCharType="separate"/>
            </w:r>
            <w:r w:rsidR="004C2E01">
              <w:rPr>
                <w:noProof/>
                <w:webHidden/>
              </w:rPr>
              <w:t>114</w:t>
            </w:r>
            <w:r w:rsidR="00C054EE">
              <w:rPr>
                <w:noProof/>
                <w:webHidden/>
              </w:rPr>
              <w:fldChar w:fldCharType="end"/>
            </w:r>
          </w:hyperlink>
        </w:p>
        <w:p w:rsidR="00C054EE" w:rsidRDefault="000D5832" w14:paraId="307A168A" w14:textId="121B88C1">
          <w:pPr>
            <w:pStyle w:val="TOC3"/>
            <w:tabs>
              <w:tab w:val="left" w:pos="1296"/>
              <w:tab w:val="right" w:leader="dot" w:pos="9350"/>
            </w:tabs>
            <w:rPr>
              <w:rFonts w:asciiTheme="minorHAnsi" w:hAnsiTheme="minorHAnsi" w:cstheme="minorBidi"/>
              <w:noProof/>
              <w:sz w:val="22"/>
              <w:szCs w:val="22"/>
            </w:rPr>
          </w:pPr>
          <w:hyperlink w:history="1" w:anchor="_Toc69947887">
            <w:r w:rsidRPr="00FD24A9" w:rsidR="00C054EE">
              <w:rPr>
                <w:rStyle w:val="Hyperlink"/>
                <w:noProof/>
              </w:rPr>
              <w:t>6.1.2.</w:t>
            </w:r>
            <w:r w:rsidR="00C054EE">
              <w:rPr>
                <w:rFonts w:asciiTheme="minorHAnsi" w:hAnsiTheme="minorHAnsi" w:cstheme="minorBidi"/>
                <w:noProof/>
                <w:sz w:val="22"/>
                <w:szCs w:val="22"/>
              </w:rPr>
              <w:tab/>
            </w:r>
            <w:r w:rsidRPr="00FD24A9" w:rsidR="00C054EE">
              <w:rPr>
                <w:rStyle w:val="Hyperlink"/>
                <w:noProof/>
              </w:rPr>
              <w:t>Impacts from COVID-19 on the 2020 Statutory Goal</w:t>
            </w:r>
            <w:r w:rsidR="00C054EE">
              <w:rPr>
                <w:noProof/>
                <w:webHidden/>
              </w:rPr>
              <w:tab/>
            </w:r>
            <w:r w:rsidR="00C054EE">
              <w:rPr>
                <w:noProof/>
                <w:webHidden/>
              </w:rPr>
              <w:fldChar w:fldCharType="begin"/>
            </w:r>
            <w:r w:rsidR="00C054EE">
              <w:rPr>
                <w:noProof/>
                <w:webHidden/>
              </w:rPr>
              <w:instrText xml:space="preserve"> PAGEREF _Toc69947887 \h </w:instrText>
            </w:r>
            <w:r w:rsidR="00C054EE">
              <w:rPr>
                <w:noProof/>
                <w:webHidden/>
              </w:rPr>
            </w:r>
            <w:r w:rsidR="00C054EE">
              <w:rPr>
                <w:noProof/>
                <w:webHidden/>
              </w:rPr>
              <w:fldChar w:fldCharType="separate"/>
            </w:r>
            <w:r w:rsidR="004C2E01">
              <w:rPr>
                <w:noProof/>
                <w:webHidden/>
              </w:rPr>
              <w:t>115</w:t>
            </w:r>
            <w:r w:rsidR="00C054EE">
              <w:rPr>
                <w:noProof/>
                <w:webHidden/>
              </w:rPr>
              <w:fldChar w:fldCharType="end"/>
            </w:r>
          </w:hyperlink>
        </w:p>
        <w:p w:rsidR="00C054EE" w:rsidRDefault="000D5832" w14:paraId="56BF6E4B" w14:textId="2A0492FB">
          <w:pPr>
            <w:pStyle w:val="TOC2"/>
            <w:tabs>
              <w:tab w:val="right" w:leader="dot" w:pos="9350"/>
            </w:tabs>
            <w:rPr>
              <w:rFonts w:asciiTheme="minorHAnsi" w:hAnsiTheme="minorHAnsi" w:cstheme="minorBidi"/>
              <w:noProof/>
              <w:sz w:val="22"/>
              <w:szCs w:val="22"/>
            </w:rPr>
          </w:pPr>
          <w:hyperlink w:history="1" w:anchor="_Toc69947888">
            <w:r w:rsidRPr="00FD24A9" w:rsidR="00C054EE">
              <w:rPr>
                <w:rStyle w:val="Hyperlink"/>
                <w:noProof/>
              </w:rPr>
              <w:t>6.2.</w:t>
            </w:r>
            <w:r w:rsidR="00C054EE">
              <w:rPr>
                <w:rFonts w:asciiTheme="minorHAnsi" w:hAnsiTheme="minorHAnsi" w:cstheme="minorBidi"/>
                <w:noProof/>
                <w:sz w:val="22"/>
                <w:szCs w:val="22"/>
              </w:rPr>
              <w:tab/>
            </w:r>
            <w:r w:rsidRPr="00FD24A9" w:rsidR="00C054EE">
              <w:rPr>
                <w:rStyle w:val="Hyperlink"/>
                <w:noProof/>
              </w:rPr>
              <w:t>Energy Division Staff’s Proposed ESA Design &amp; Goals</w:t>
            </w:r>
            <w:r w:rsidR="00C054EE">
              <w:rPr>
                <w:noProof/>
                <w:webHidden/>
              </w:rPr>
              <w:tab/>
            </w:r>
            <w:r w:rsidR="00C054EE">
              <w:rPr>
                <w:noProof/>
                <w:webHidden/>
              </w:rPr>
              <w:fldChar w:fldCharType="begin"/>
            </w:r>
            <w:r w:rsidR="00C054EE">
              <w:rPr>
                <w:noProof/>
                <w:webHidden/>
              </w:rPr>
              <w:instrText xml:space="preserve"> PAGEREF _Toc69947888 \h </w:instrText>
            </w:r>
            <w:r w:rsidR="00C054EE">
              <w:rPr>
                <w:noProof/>
                <w:webHidden/>
              </w:rPr>
            </w:r>
            <w:r w:rsidR="00C054EE">
              <w:rPr>
                <w:noProof/>
                <w:webHidden/>
              </w:rPr>
              <w:fldChar w:fldCharType="separate"/>
            </w:r>
            <w:r w:rsidR="004C2E01">
              <w:rPr>
                <w:noProof/>
                <w:webHidden/>
              </w:rPr>
              <w:t>116</w:t>
            </w:r>
            <w:r w:rsidR="00C054EE">
              <w:rPr>
                <w:noProof/>
                <w:webHidden/>
              </w:rPr>
              <w:fldChar w:fldCharType="end"/>
            </w:r>
          </w:hyperlink>
        </w:p>
        <w:p w:rsidR="00C054EE" w:rsidRDefault="000D5832" w14:paraId="08F71C00" w14:textId="4257186B">
          <w:pPr>
            <w:pStyle w:val="TOC3"/>
            <w:tabs>
              <w:tab w:val="left" w:pos="1296"/>
              <w:tab w:val="right" w:leader="dot" w:pos="9350"/>
            </w:tabs>
            <w:rPr>
              <w:rFonts w:asciiTheme="minorHAnsi" w:hAnsiTheme="minorHAnsi" w:cstheme="minorBidi"/>
              <w:noProof/>
              <w:sz w:val="22"/>
              <w:szCs w:val="22"/>
            </w:rPr>
          </w:pPr>
          <w:hyperlink w:history="1" w:anchor="_Toc69947889">
            <w:r w:rsidRPr="00FD24A9" w:rsidR="00C054EE">
              <w:rPr>
                <w:rStyle w:val="Hyperlink"/>
                <w:noProof/>
              </w:rPr>
              <w:t>6.2.1.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_Toc69947889 \h </w:instrText>
            </w:r>
            <w:r w:rsidR="00C054EE">
              <w:rPr>
                <w:noProof/>
                <w:webHidden/>
              </w:rPr>
            </w:r>
            <w:r w:rsidR="00C054EE">
              <w:rPr>
                <w:noProof/>
                <w:webHidden/>
              </w:rPr>
              <w:fldChar w:fldCharType="separate"/>
            </w:r>
            <w:r w:rsidR="004C2E01">
              <w:rPr>
                <w:noProof/>
                <w:webHidden/>
              </w:rPr>
              <w:t>116</w:t>
            </w:r>
            <w:r w:rsidR="00C054EE">
              <w:rPr>
                <w:noProof/>
                <w:webHidden/>
              </w:rPr>
              <w:fldChar w:fldCharType="end"/>
            </w:r>
          </w:hyperlink>
        </w:p>
        <w:p w:rsidR="00C054EE" w:rsidRDefault="000D5832" w14:paraId="0AF9DCEF" w14:textId="069748F6">
          <w:pPr>
            <w:pStyle w:val="TOC3"/>
            <w:tabs>
              <w:tab w:val="left" w:pos="1296"/>
              <w:tab w:val="right" w:leader="dot" w:pos="9350"/>
            </w:tabs>
            <w:rPr>
              <w:rFonts w:asciiTheme="minorHAnsi" w:hAnsiTheme="minorHAnsi" w:cstheme="minorBidi"/>
              <w:noProof/>
              <w:sz w:val="22"/>
              <w:szCs w:val="22"/>
            </w:rPr>
          </w:pPr>
          <w:hyperlink w:history="1" w:anchor="_Toc69947890">
            <w:r w:rsidRPr="00FD24A9" w:rsidR="00C054EE">
              <w:rPr>
                <w:rStyle w:val="Hyperlink"/>
                <w:noProof/>
              </w:rPr>
              <w:t>6.2.2.</w:t>
            </w:r>
            <w:r w:rsidR="00C054EE">
              <w:rPr>
                <w:rFonts w:asciiTheme="minorHAnsi" w:hAnsiTheme="minorHAnsi" w:cstheme="minorBidi"/>
                <w:noProof/>
                <w:sz w:val="22"/>
                <w:szCs w:val="22"/>
              </w:rPr>
              <w:tab/>
            </w:r>
            <w:r w:rsidRPr="00FD24A9" w:rsidR="00C054EE">
              <w:rPr>
                <w:rStyle w:val="Hyperlink"/>
                <w:noProof/>
              </w:rPr>
              <w:t>Party Comments</w:t>
            </w:r>
            <w:r w:rsidR="00C054EE">
              <w:rPr>
                <w:noProof/>
                <w:webHidden/>
              </w:rPr>
              <w:tab/>
            </w:r>
            <w:r w:rsidR="00C054EE">
              <w:rPr>
                <w:noProof/>
                <w:webHidden/>
              </w:rPr>
              <w:fldChar w:fldCharType="begin"/>
            </w:r>
            <w:r w:rsidR="00C054EE">
              <w:rPr>
                <w:noProof/>
                <w:webHidden/>
              </w:rPr>
              <w:instrText xml:space="preserve"> PAGEREF _Toc69947890 \h </w:instrText>
            </w:r>
            <w:r w:rsidR="00C054EE">
              <w:rPr>
                <w:noProof/>
                <w:webHidden/>
              </w:rPr>
            </w:r>
            <w:r w:rsidR="00C054EE">
              <w:rPr>
                <w:noProof/>
                <w:webHidden/>
              </w:rPr>
              <w:fldChar w:fldCharType="separate"/>
            </w:r>
            <w:r w:rsidR="004C2E01">
              <w:rPr>
                <w:noProof/>
                <w:webHidden/>
              </w:rPr>
              <w:t>121</w:t>
            </w:r>
            <w:r w:rsidR="00C054EE">
              <w:rPr>
                <w:noProof/>
                <w:webHidden/>
              </w:rPr>
              <w:fldChar w:fldCharType="end"/>
            </w:r>
          </w:hyperlink>
        </w:p>
        <w:p w:rsidR="00C054EE" w:rsidRDefault="000D5832" w14:paraId="2E9D6164" w14:textId="6BC8F049">
          <w:pPr>
            <w:pStyle w:val="TOC4"/>
            <w:tabs>
              <w:tab w:val="left" w:pos="1728"/>
              <w:tab w:val="right" w:leader="dot" w:pos="9350"/>
            </w:tabs>
            <w:rPr>
              <w:rFonts w:asciiTheme="minorHAnsi" w:hAnsiTheme="minorHAnsi" w:eastAsiaTheme="minorEastAsia" w:cstheme="minorBidi"/>
              <w:noProof/>
              <w:sz w:val="22"/>
              <w:szCs w:val="22"/>
            </w:rPr>
          </w:pPr>
          <w:hyperlink w:history="1" w:anchor="_Toc69947891">
            <w:r w:rsidRPr="00FD24A9" w:rsidR="00C054EE">
              <w:rPr>
                <w:rStyle w:val="Hyperlink"/>
                <w:noProof/>
              </w:rPr>
              <w:t>6.2.2.1.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_Toc69947891 \h </w:instrText>
            </w:r>
            <w:r w:rsidR="00C054EE">
              <w:rPr>
                <w:noProof/>
                <w:webHidden/>
              </w:rPr>
            </w:r>
            <w:r w:rsidR="00C054EE">
              <w:rPr>
                <w:noProof/>
                <w:webHidden/>
              </w:rPr>
              <w:fldChar w:fldCharType="separate"/>
            </w:r>
            <w:r w:rsidR="004C2E01">
              <w:rPr>
                <w:noProof/>
                <w:webHidden/>
              </w:rPr>
              <w:t>121</w:t>
            </w:r>
            <w:r w:rsidR="00C054EE">
              <w:rPr>
                <w:noProof/>
                <w:webHidden/>
              </w:rPr>
              <w:fldChar w:fldCharType="end"/>
            </w:r>
          </w:hyperlink>
        </w:p>
        <w:p w:rsidR="00C054EE" w:rsidRDefault="000D5832" w14:paraId="66AE0561" w14:textId="090ABAFE">
          <w:pPr>
            <w:pStyle w:val="TOC4"/>
            <w:tabs>
              <w:tab w:val="left" w:pos="1728"/>
              <w:tab w:val="right" w:leader="dot" w:pos="9350"/>
            </w:tabs>
            <w:rPr>
              <w:rFonts w:asciiTheme="minorHAnsi" w:hAnsiTheme="minorHAnsi" w:eastAsiaTheme="minorEastAsia" w:cstheme="minorBidi"/>
              <w:noProof/>
              <w:sz w:val="22"/>
              <w:szCs w:val="22"/>
            </w:rPr>
          </w:pPr>
          <w:hyperlink w:history="1" w:anchor="_Toc69947892">
            <w:r w:rsidRPr="00FD24A9" w:rsidR="00C054EE">
              <w:rPr>
                <w:rStyle w:val="Hyperlink"/>
                <w:noProof/>
              </w:rPr>
              <w:t>6.2.2.2.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_Toc69947892 \h </w:instrText>
            </w:r>
            <w:r w:rsidR="00C054EE">
              <w:rPr>
                <w:noProof/>
                <w:webHidden/>
              </w:rPr>
            </w:r>
            <w:r w:rsidR="00C054EE">
              <w:rPr>
                <w:noProof/>
                <w:webHidden/>
              </w:rPr>
              <w:fldChar w:fldCharType="separate"/>
            </w:r>
            <w:r w:rsidR="004C2E01">
              <w:rPr>
                <w:noProof/>
                <w:webHidden/>
              </w:rPr>
              <w:t>122</w:t>
            </w:r>
            <w:r w:rsidR="00C054EE">
              <w:rPr>
                <w:noProof/>
                <w:webHidden/>
              </w:rPr>
              <w:fldChar w:fldCharType="end"/>
            </w:r>
          </w:hyperlink>
        </w:p>
        <w:p w:rsidR="00C054EE" w:rsidRDefault="000D5832" w14:paraId="3D114217" w14:textId="531BF7F6">
          <w:pPr>
            <w:pStyle w:val="TOC4"/>
            <w:tabs>
              <w:tab w:val="left" w:pos="1728"/>
              <w:tab w:val="right" w:leader="dot" w:pos="9350"/>
            </w:tabs>
            <w:rPr>
              <w:rFonts w:asciiTheme="minorHAnsi" w:hAnsiTheme="minorHAnsi" w:eastAsiaTheme="minorEastAsia" w:cstheme="minorBidi"/>
              <w:noProof/>
              <w:sz w:val="22"/>
              <w:szCs w:val="22"/>
            </w:rPr>
          </w:pPr>
          <w:hyperlink w:history="1" w:anchor="_Toc69947893">
            <w:r w:rsidRPr="00FD24A9" w:rsidR="00C054EE">
              <w:rPr>
                <w:rStyle w:val="Hyperlink"/>
                <w:noProof/>
              </w:rPr>
              <w:t>6.2.2.3.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_Toc69947893 \h </w:instrText>
            </w:r>
            <w:r w:rsidR="00C054EE">
              <w:rPr>
                <w:noProof/>
                <w:webHidden/>
              </w:rPr>
            </w:r>
            <w:r w:rsidR="00C054EE">
              <w:rPr>
                <w:noProof/>
                <w:webHidden/>
              </w:rPr>
              <w:fldChar w:fldCharType="separate"/>
            </w:r>
            <w:r w:rsidR="004C2E01">
              <w:rPr>
                <w:noProof/>
                <w:webHidden/>
              </w:rPr>
              <w:t>122</w:t>
            </w:r>
            <w:r w:rsidR="00C054EE">
              <w:rPr>
                <w:noProof/>
                <w:webHidden/>
              </w:rPr>
              <w:fldChar w:fldCharType="end"/>
            </w:r>
          </w:hyperlink>
        </w:p>
        <w:p w:rsidR="00C054EE" w:rsidRDefault="000D5832" w14:paraId="5A213CC1" w14:textId="0CC66B1E">
          <w:pPr>
            <w:pStyle w:val="TOC4"/>
            <w:tabs>
              <w:tab w:val="left" w:pos="1728"/>
              <w:tab w:val="right" w:leader="dot" w:pos="9350"/>
            </w:tabs>
            <w:rPr>
              <w:rFonts w:asciiTheme="minorHAnsi" w:hAnsiTheme="minorHAnsi" w:eastAsiaTheme="minorEastAsia" w:cstheme="minorBidi"/>
              <w:noProof/>
              <w:sz w:val="22"/>
              <w:szCs w:val="22"/>
            </w:rPr>
          </w:pPr>
          <w:hyperlink w:history="1" w:anchor="_Toc69947894">
            <w:r w:rsidRPr="00FD24A9" w:rsidR="00C054EE">
              <w:rPr>
                <w:rStyle w:val="Hyperlink"/>
                <w:noProof/>
              </w:rPr>
              <w:t>6.2.2.4.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_Toc69947894 \h </w:instrText>
            </w:r>
            <w:r w:rsidR="00C054EE">
              <w:rPr>
                <w:noProof/>
                <w:webHidden/>
              </w:rPr>
            </w:r>
            <w:r w:rsidR="00C054EE">
              <w:rPr>
                <w:noProof/>
                <w:webHidden/>
              </w:rPr>
              <w:fldChar w:fldCharType="separate"/>
            </w:r>
            <w:r w:rsidR="004C2E01">
              <w:rPr>
                <w:noProof/>
                <w:webHidden/>
              </w:rPr>
              <w:t>123</w:t>
            </w:r>
            <w:r w:rsidR="00C054EE">
              <w:rPr>
                <w:noProof/>
                <w:webHidden/>
              </w:rPr>
              <w:fldChar w:fldCharType="end"/>
            </w:r>
          </w:hyperlink>
        </w:p>
        <w:p w:rsidR="00C054EE" w:rsidRDefault="000D5832" w14:paraId="48248E21" w14:textId="5A584179">
          <w:pPr>
            <w:pStyle w:val="TOC4"/>
            <w:tabs>
              <w:tab w:val="left" w:pos="1728"/>
              <w:tab w:val="right" w:leader="dot" w:pos="9350"/>
            </w:tabs>
            <w:rPr>
              <w:rFonts w:asciiTheme="minorHAnsi" w:hAnsiTheme="minorHAnsi" w:eastAsiaTheme="minorEastAsia" w:cstheme="minorBidi"/>
              <w:noProof/>
              <w:sz w:val="22"/>
              <w:szCs w:val="22"/>
            </w:rPr>
          </w:pPr>
          <w:hyperlink w:history="1" w:anchor="_Toc69947895">
            <w:r w:rsidRPr="00FD24A9" w:rsidR="00C054EE">
              <w:rPr>
                <w:rStyle w:val="Hyperlink"/>
                <w:noProof/>
              </w:rPr>
              <w:t>6.2.2.5.</w:t>
            </w:r>
            <w:r w:rsidR="00C054EE">
              <w:rPr>
                <w:rFonts w:asciiTheme="minorHAnsi" w:hAnsiTheme="minorHAnsi" w:eastAsiaTheme="minorEastAsia" w:cstheme="minorBidi"/>
                <w:noProof/>
                <w:sz w:val="22"/>
                <w:szCs w:val="22"/>
              </w:rPr>
              <w:tab/>
            </w:r>
            <w:r w:rsidRPr="00FD24A9" w:rsidR="00C054EE">
              <w:rPr>
                <w:rStyle w:val="Hyperlink"/>
                <w:noProof/>
              </w:rPr>
              <w:t>MCE</w:t>
            </w:r>
            <w:r w:rsidR="00C054EE">
              <w:rPr>
                <w:noProof/>
                <w:webHidden/>
              </w:rPr>
              <w:tab/>
            </w:r>
            <w:r w:rsidR="00C054EE">
              <w:rPr>
                <w:noProof/>
                <w:webHidden/>
              </w:rPr>
              <w:fldChar w:fldCharType="begin"/>
            </w:r>
            <w:r w:rsidR="00C054EE">
              <w:rPr>
                <w:noProof/>
                <w:webHidden/>
              </w:rPr>
              <w:instrText xml:space="preserve"> PAGEREF _Toc69947895 \h </w:instrText>
            </w:r>
            <w:r w:rsidR="00C054EE">
              <w:rPr>
                <w:noProof/>
                <w:webHidden/>
              </w:rPr>
            </w:r>
            <w:r w:rsidR="00C054EE">
              <w:rPr>
                <w:noProof/>
                <w:webHidden/>
              </w:rPr>
              <w:fldChar w:fldCharType="separate"/>
            </w:r>
            <w:r w:rsidR="004C2E01">
              <w:rPr>
                <w:noProof/>
                <w:webHidden/>
              </w:rPr>
              <w:t>123</w:t>
            </w:r>
            <w:r w:rsidR="00C054EE">
              <w:rPr>
                <w:noProof/>
                <w:webHidden/>
              </w:rPr>
              <w:fldChar w:fldCharType="end"/>
            </w:r>
          </w:hyperlink>
        </w:p>
        <w:p w:rsidR="00C054EE" w:rsidRDefault="000D5832" w14:paraId="3D6D75E9" w14:textId="26F644C3">
          <w:pPr>
            <w:pStyle w:val="TOC4"/>
            <w:tabs>
              <w:tab w:val="left" w:pos="1728"/>
              <w:tab w:val="right" w:leader="dot" w:pos="9350"/>
            </w:tabs>
            <w:rPr>
              <w:rFonts w:asciiTheme="minorHAnsi" w:hAnsiTheme="minorHAnsi" w:eastAsiaTheme="minorEastAsia" w:cstheme="minorBidi"/>
              <w:noProof/>
              <w:sz w:val="22"/>
              <w:szCs w:val="22"/>
            </w:rPr>
          </w:pPr>
          <w:hyperlink w:history="1" w:anchor="_Toc69947896">
            <w:r w:rsidRPr="00FD24A9" w:rsidR="00C054EE">
              <w:rPr>
                <w:rStyle w:val="Hyperlink"/>
                <w:noProof/>
              </w:rPr>
              <w:t>6.2.2.6.</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_Toc69947896 \h </w:instrText>
            </w:r>
            <w:r w:rsidR="00C054EE">
              <w:rPr>
                <w:noProof/>
                <w:webHidden/>
              </w:rPr>
            </w:r>
            <w:r w:rsidR="00C054EE">
              <w:rPr>
                <w:noProof/>
                <w:webHidden/>
              </w:rPr>
              <w:fldChar w:fldCharType="separate"/>
            </w:r>
            <w:r w:rsidR="004C2E01">
              <w:rPr>
                <w:noProof/>
                <w:webHidden/>
              </w:rPr>
              <w:t>124</w:t>
            </w:r>
            <w:r w:rsidR="00C054EE">
              <w:rPr>
                <w:noProof/>
                <w:webHidden/>
              </w:rPr>
              <w:fldChar w:fldCharType="end"/>
            </w:r>
          </w:hyperlink>
        </w:p>
        <w:p w:rsidR="00C054EE" w:rsidRDefault="000D5832" w14:paraId="2B513108" w14:textId="5AE75BAD">
          <w:pPr>
            <w:pStyle w:val="TOC4"/>
            <w:tabs>
              <w:tab w:val="left" w:pos="1728"/>
              <w:tab w:val="right" w:leader="dot" w:pos="9350"/>
            </w:tabs>
            <w:rPr>
              <w:rFonts w:asciiTheme="minorHAnsi" w:hAnsiTheme="minorHAnsi" w:eastAsiaTheme="minorEastAsia" w:cstheme="minorBidi"/>
              <w:noProof/>
              <w:sz w:val="22"/>
              <w:szCs w:val="22"/>
            </w:rPr>
          </w:pPr>
          <w:hyperlink w:history="1" w:anchor="_Toc69947897">
            <w:r w:rsidRPr="00FD24A9" w:rsidR="00C054EE">
              <w:rPr>
                <w:rStyle w:val="Hyperlink"/>
                <w:noProof/>
              </w:rPr>
              <w:t>6.2.2.7.</w:t>
            </w:r>
            <w:r w:rsidR="00C054EE">
              <w:rPr>
                <w:rFonts w:asciiTheme="minorHAnsi" w:hAnsiTheme="minorHAnsi" w:eastAsiaTheme="minorEastAsia" w:cstheme="minorBidi"/>
                <w:noProof/>
                <w:sz w:val="22"/>
                <w:szCs w:val="22"/>
              </w:rPr>
              <w:tab/>
            </w:r>
            <w:r w:rsidRPr="00FD24A9" w:rsidR="00C054EE">
              <w:rPr>
                <w:rStyle w:val="Hyperlink"/>
                <w:noProof/>
              </w:rPr>
              <w:t>CETF</w:t>
            </w:r>
            <w:r w:rsidR="00C054EE">
              <w:rPr>
                <w:noProof/>
                <w:webHidden/>
              </w:rPr>
              <w:tab/>
            </w:r>
            <w:r w:rsidR="00C054EE">
              <w:rPr>
                <w:noProof/>
                <w:webHidden/>
              </w:rPr>
              <w:fldChar w:fldCharType="begin"/>
            </w:r>
            <w:r w:rsidR="00C054EE">
              <w:rPr>
                <w:noProof/>
                <w:webHidden/>
              </w:rPr>
              <w:instrText xml:space="preserve"> PAGEREF _Toc69947897 \h </w:instrText>
            </w:r>
            <w:r w:rsidR="00C054EE">
              <w:rPr>
                <w:noProof/>
                <w:webHidden/>
              </w:rPr>
            </w:r>
            <w:r w:rsidR="00C054EE">
              <w:rPr>
                <w:noProof/>
                <w:webHidden/>
              </w:rPr>
              <w:fldChar w:fldCharType="separate"/>
            </w:r>
            <w:r w:rsidR="004C2E01">
              <w:rPr>
                <w:noProof/>
                <w:webHidden/>
              </w:rPr>
              <w:t>124</w:t>
            </w:r>
            <w:r w:rsidR="00C054EE">
              <w:rPr>
                <w:noProof/>
                <w:webHidden/>
              </w:rPr>
              <w:fldChar w:fldCharType="end"/>
            </w:r>
          </w:hyperlink>
        </w:p>
        <w:p w:rsidR="00C054EE" w:rsidRDefault="000D5832" w14:paraId="64D2BB06" w14:textId="4E25BF36">
          <w:pPr>
            <w:pStyle w:val="TOC4"/>
            <w:tabs>
              <w:tab w:val="left" w:pos="1728"/>
              <w:tab w:val="right" w:leader="dot" w:pos="9350"/>
            </w:tabs>
            <w:rPr>
              <w:rFonts w:asciiTheme="minorHAnsi" w:hAnsiTheme="minorHAnsi" w:eastAsiaTheme="minorEastAsia" w:cstheme="minorBidi"/>
              <w:noProof/>
              <w:sz w:val="22"/>
              <w:szCs w:val="22"/>
            </w:rPr>
          </w:pPr>
          <w:hyperlink w:history="1" w:anchor="_Toc69947898">
            <w:r w:rsidRPr="00FD24A9" w:rsidR="00C054EE">
              <w:rPr>
                <w:rStyle w:val="Hyperlink"/>
                <w:noProof/>
              </w:rPr>
              <w:t>6.2.2.8.</w:t>
            </w:r>
            <w:r w:rsidR="00C054EE">
              <w:rPr>
                <w:rFonts w:asciiTheme="minorHAnsi" w:hAnsiTheme="minorHAnsi" w:eastAsiaTheme="minorEastAsia" w:cstheme="minorBidi"/>
                <w:noProof/>
                <w:sz w:val="22"/>
                <w:szCs w:val="22"/>
              </w:rPr>
              <w:tab/>
            </w:r>
            <w:r w:rsidRPr="00FD24A9" w:rsidR="00C054EE">
              <w:rPr>
                <w:rStyle w:val="Hyperlink"/>
                <w:noProof/>
              </w:rPr>
              <w:t>CEDMC</w:t>
            </w:r>
            <w:r w:rsidR="00C054EE">
              <w:rPr>
                <w:noProof/>
                <w:webHidden/>
              </w:rPr>
              <w:tab/>
            </w:r>
            <w:r w:rsidR="00C054EE">
              <w:rPr>
                <w:noProof/>
                <w:webHidden/>
              </w:rPr>
              <w:fldChar w:fldCharType="begin"/>
            </w:r>
            <w:r w:rsidR="00C054EE">
              <w:rPr>
                <w:noProof/>
                <w:webHidden/>
              </w:rPr>
              <w:instrText xml:space="preserve"> PAGEREF _Toc69947898 \h </w:instrText>
            </w:r>
            <w:r w:rsidR="00C054EE">
              <w:rPr>
                <w:noProof/>
                <w:webHidden/>
              </w:rPr>
            </w:r>
            <w:r w:rsidR="00C054EE">
              <w:rPr>
                <w:noProof/>
                <w:webHidden/>
              </w:rPr>
              <w:fldChar w:fldCharType="separate"/>
            </w:r>
            <w:r w:rsidR="004C2E01">
              <w:rPr>
                <w:noProof/>
                <w:webHidden/>
              </w:rPr>
              <w:t>125</w:t>
            </w:r>
            <w:r w:rsidR="00C054EE">
              <w:rPr>
                <w:noProof/>
                <w:webHidden/>
              </w:rPr>
              <w:fldChar w:fldCharType="end"/>
            </w:r>
          </w:hyperlink>
        </w:p>
        <w:p w:rsidR="00C054EE" w:rsidRDefault="000D5832" w14:paraId="035DBB16" w14:textId="476DE674">
          <w:pPr>
            <w:pStyle w:val="TOC4"/>
            <w:tabs>
              <w:tab w:val="left" w:pos="1728"/>
              <w:tab w:val="right" w:leader="dot" w:pos="9350"/>
            </w:tabs>
            <w:rPr>
              <w:rFonts w:asciiTheme="minorHAnsi" w:hAnsiTheme="minorHAnsi" w:eastAsiaTheme="minorEastAsia" w:cstheme="minorBidi"/>
              <w:noProof/>
              <w:sz w:val="22"/>
              <w:szCs w:val="22"/>
            </w:rPr>
          </w:pPr>
          <w:hyperlink w:history="1" w:anchor="_Toc69947899">
            <w:r w:rsidRPr="00FD24A9" w:rsidR="00C054EE">
              <w:rPr>
                <w:rStyle w:val="Hyperlink"/>
                <w:noProof/>
              </w:rPr>
              <w:t>6.2.2.9.</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_Toc69947899 \h </w:instrText>
            </w:r>
            <w:r w:rsidR="00C054EE">
              <w:rPr>
                <w:noProof/>
                <w:webHidden/>
              </w:rPr>
            </w:r>
            <w:r w:rsidR="00C054EE">
              <w:rPr>
                <w:noProof/>
                <w:webHidden/>
              </w:rPr>
              <w:fldChar w:fldCharType="separate"/>
            </w:r>
            <w:r w:rsidR="004C2E01">
              <w:rPr>
                <w:noProof/>
                <w:webHidden/>
              </w:rPr>
              <w:t>125</w:t>
            </w:r>
            <w:r w:rsidR="00C054EE">
              <w:rPr>
                <w:noProof/>
                <w:webHidden/>
              </w:rPr>
              <w:fldChar w:fldCharType="end"/>
            </w:r>
          </w:hyperlink>
        </w:p>
        <w:p w:rsidR="00C054EE" w:rsidRDefault="000D5832" w14:paraId="3DDEEFAB" w14:textId="433E3CE9">
          <w:pPr>
            <w:pStyle w:val="TOC4"/>
            <w:tabs>
              <w:tab w:val="left" w:pos="2160"/>
              <w:tab w:val="right" w:leader="dot" w:pos="9350"/>
            </w:tabs>
            <w:rPr>
              <w:rFonts w:asciiTheme="minorHAnsi" w:hAnsiTheme="minorHAnsi" w:eastAsiaTheme="minorEastAsia" w:cstheme="minorBidi"/>
              <w:noProof/>
              <w:sz w:val="22"/>
              <w:szCs w:val="22"/>
            </w:rPr>
          </w:pPr>
          <w:hyperlink w:history="1" w:anchor="_Toc69947900">
            <w:r w:rsidRPr="00FD24A9" w:rsidR="00C054EE">
              <w:rPr>
                <w:rStyle w:val="Hyperlink"/>
                <w:noProof/>
              </w:rPr>
              <w:t>6.2.2.10.</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_Toc69947900 \h </w:instrText>
            </w:r>
            <w:r w:rsidR="00C054EE">
              <w:rPr>
                <w:noProof/>
                <w:webHidden/>
              </w:rPr>
            </w:r>
            <w:r w:rsidR="00C054EE">
              <w:rPr>
                <w:noProof/>
                <w:webHidden/>
              </w:rPr>
              <w:fldChar w:fldCharType="separate"/>
            </w:r>
            <w:r w:rsidR="004C2E01">
              <w:rPr>
                <w:noProof/>
                <w:webHidden/>
              </w:rPr>
              <w:t>125</w:t>
            </w:r>
            <w:r w:rsidR="00C054EE">
              <w:rPr>
                <w:noProof/>
                <w:webHidden/>
              </w:rPr>
              <w:fldChar w:fldCharType="end"/>
            </w:r>
          </w:hyperlink>
        </w:p>
        <w:p w:rsidR="00C054EE" w:rsidRDefault="000D5832" w14:paraId="2C9D4133" w14:textId="11E65750">
          <w:pPr>
            <w:pStyle w:val="TOC4"/>
            <w:tabs>
              <w:tab w:val="left" w:pos="2160"/>
              <w:tab w:val="right" w:leader="dot" w:pos="9350"/>
            </w:tabs>
            <w:rPr>
              <w:rFonts w:asciiTheme="minorHAnsi" w:hAnsiTheme="minorHAnsi" w:eastAsiaTheme="minorEastAsia" w:cstheme="minorBidi"/>
              <w:noProof/>
              <w:sz w:val="22"/>
              <w:szCs w:val="22"/>
            </w:rPr>
          </w:pPr>
          <w:hyperlink w:history="1" w:anchor="_Toc69947901">
            <w:r w:rsidRPr="00FD24A9" w:rsidR="00C054EE">
              <w:rPr>
                <w:rStyle w:val="Hyperlink"/>
                <w:noProof/>
              </w:rPr>
              <w:t>6.2.2.11.</w:t>
            </w:r>
            <w:r w:rsidR="00C054EE">
              <w:rPr>
                <w:rFonts w:asciiTheme="minorHAnsi" w:hAnsiTheme="minorHAnsi" w:eastAsiaTheme="minorEastAsia" w:cstheme="minorBidi"/>
                <w:noProof/>
                <w:sz w:val="22"/>
                <w:szCs w:val="22"/>
              </w:rPr>
              <w:tab/>
            </w:r>
            <w:r w:rsidRPr="00FD24A9" w:rsidR="00C054EE">
              <w:rPr>
                <w:rStyle w:val="Hyperlink"/>
                <w:noProof/>
              </w:rPr>
              <w:t>PCF</w:t>
            </w:r>
            <w:r w:rsidR="00C054EE">
              <w:rPr>
                <w:noProof/>
                <w:webHidden/>
              </w:rPr>
              <w:tab/>
            </w:r>
            <w:r w:rsidR="00C054EE">
              <w:rPr>
                <w:noProof/>
                <w:webHidden/>
              </w:rPr>
              <w:fldChar w:fldCharType="begin"/>
            </w:r>
            <w:r w:rsidR="00C054EE">
              <w:rPr>
                <w:noProof/>
                <w:webHidden/>
              </w:rPr>
              <w:instrText xml:space="preserve"> PAGEREF _Toc69947901 \h </w:instrText>
            </w:r>
            <w:r w:rsidR="00C054EE">
              <w:rPr>
                <w:noProof/>
                <w:webHidden/>
              </w:rPr>
            </w:r>
            <w:r w:rsidR="00C054EE">
              <w:rPr>
                <w:noProof/>
                <w:webHidden/>
              </w:rPr>
              <w:fldChar w:fldCharType="separate"/>
            </w:r>
            <w:r w:rsidR="004C2E01">
              <w:rPr>
                <w:noProof/>
                <w:webHidden/>
              </w:rPr>
              <w:t>126</w:t>
            </w:r>
            <w:r w:rsidR="00C054EE">
              <w:rPr>
                <w:noProof/>
                <w:webHidden/>
              </w:rPr>
              <w:fldChar w:fldCharType="end"/>
            </w:r>
          </w:hyperlink>
        </w:p>
        <w:p w:rsidR="00C054EE" w:rsidRDefault="000D5832" w14:paraId="27DAFF58" w14:textId="22A4FAED">
          <w:pPr>
            <w:pStyle w:val="TOC4"/>
            <w:tabs>
              <w:tab w:val="left" w:pos="2160"/>
              <w:tab w:val="right" w:leader="dot" w:pos="9350"/>
            </w:tabs>
            <w:rPr>
              <w:rFonts w:asciiTheme="minorHAnsi" w:hAnsiTheme="minorHAnsi" w:eastAsiaTheme="minorEastAsia" w:cstheme="minorBidi"/>
              <w:noProof/>
              <w:sz w:val="22"/>
              <w:szCs w:val="22"/>
            </w:rPr>
          </w:pPr>
          <w:hyperlink w:history="1" w:anchor="_Toc69947902">
            <w:r w:rsidRPr="00FD24A9" w:rsidR="00C054EE">
              <w:rPr>
                <w:rStyle w:val="Hyperlink"/>
                <w:noProof/>
              </w:rPr>
              <w:t>6.2.2.12.</w:t>
            </w:r>
            <w:r w:rsidR="00C054EE">
              <w:rPr>
                <w:rFonts w:asciiTheme="minorHAnsi" w:hAnsiTheme="minorHAnsi" w:eastAsiaTheme="minorEastAsia" w:cstheme="minorBidi"/>
                <w:noProof/>
                <w:sz w:val="22"/>
                <w:szCs w:val="22"/>
              </w:rPr>
              <w:tab/>
            </w:r>
            <w:r w:rsidRPr="00FD24A9" w:rsidR="00C054EE">
              <w:rPr>
                <w:rStyle w:val="Hyperlink"/>
                <w:noProof/>
              </w:rPr>
              <w:t>EEC and TELACU et al.</w:t>
            </w:r>
            <w:r w:rsidR="00C054EE">
              <w:rPr>
                <w:noProof/>
                <w:webHidden/>
              </w:rPr>
              <w:tab/>
            </w:r>
            <w:r w:rsidR="00C054EE">
              <w:rPr>
                <w:noProof/>
                <w:webHidden/>
              </w:rPr>
              <w:fldChar w:fldCharType="begin"/>
            </w:r>
            <w:r w:rsidR="00C054EE">
              <w:rPr>
                <w:noProof/>
                <w:webHidden/>
              </w:rPr>
              <w:instrText xml:space="preserve"> PAGEREF _Toc69947902 \h </w:instrText>
            </w:r>
            <w:r w:rsidR="00C054EE">
              <w:rPr>
                <w:noProof/>
                <w:webHidden/>
              </w:rPr>
            </w:r>
            <w:r w:rsidR="00C054EE">
              <w:rPr>
                <w:noProof/>
                <w:webHidden/>
              </w:rPr>
              <w:fldChar w:fldCharType="separate"/>
            </w:r>
            <w:r w:rsidR="004C2E01">
              <w:rPr>
                <w:noProof/>
                <w:webHidden/>
              </w:rPr>
              <w:t>126</w:t>
            </w:r>
            <w:r w:rsidR="00C054EE">
              <w:rPr>
                <w:noProof/>
                <w:webHidden/>
              </w:rPr>
              <w:fldChar w:fldCharType="end"/>
            </w:r>
          </w:hyperlink>
        </w:p>
        <w:p w:rsidR="00C054EE" w:rsidRDefault="000D5832" w14:paraId="1782A731" w14:textId="2E51EB61">
          <w:pPr>
            <w:pStyle w:val="TOC4"/>
            <w:tabs>
              <w:tab w:val="left" w:pos="2160"/>
              <w:tab w:val="right" w:leader="dot" w:pos="9350"/>
            </w:tabs>
            <w:rPr>
              <w:rFonts w:asciiTheme="minorHAnsi" w:hAnsiTheme="minorHAnsi" w:eastAsiaTheme="minorEastAsia" w:cstheme="minorBidi"/>
              <w:noProof/>
              <w:sz w:val="22"/>
              <w:szCs w:val="22"/>
            </w:rPr>
          </w:pPr>
          <w:hyperlink w:history="1" w:anchor="_Toc69947903">
            <w:r w:rsidRPr="00FD24A9" w:rsidR="00C054EE">
              <w:rPr>
                <w:rStyle w:val="Hyperlink"/>
                <w:noProof/>
              </w:rPr>
              <w:t>6.2.2.13.</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_Toc69947903 \h </w:instrText>
            </w:r>
            <w:r w:rsidR="00C054EE">
              <w:rPr>
                <w:noProof/>
                <w:webHidden/>
              </w:rPr>
            </w:r>
            <w:r w:rsidR="00C054EE">
              <w:rPr>
                <w:noProof/>
                <w:webHidden/>
              </w:rPr>
              <w:fldChar w:fldCharType="separate"/>
            </w:r>
            <w:r w:rsidR="004C2E01">
              <w:rPr>
                <w:noProof/>
                <w:webHidden/>
              </w:rPr>
              <w:t>127</w:t>
            </w:r>
            <w:r w:rsidR="00C054EE">
              <w:rPr>
                <w:noProof/>
                <w:webHidden/>
              </w:rPr>
              <w:fldChar w:fldCharType="end"/>
            </w:r>
          </w:hyperlink>
        </w:p>
        <w:p w:rsidR="00C054EE" w:rsidRDefault="000D5832" w14:paraId="0A54BC93" w14:textId="31D312F5">
          <w:pPr>
            <w:pStyle w:val="TOC4"/>
            <w:tabs>
              <w:tab w:val="left" w:pos="2160"/>
              <w:tab w:val="right" w:leader="dot" w:pos="9350"/>
            </w:tabs>
            <w:rPr>
              <w:rFonts w:asciiTheme="minorHAnsi" w:hAnsiTheme="minorHAnsi" w:eastAsiaTheme="minorEastAsia" w:cstheme="minorBidi"/>
              <w:noProof/>
              <w:sz w:val="22"/>
              <w:szCs w:val="22"/>
            </w:rPr>
          </w:pPr>
          <w:hyperlink w:history="1" w:anchor="_Toc69947904">
            <w:r w:rsidRPr="00FD24A9" w:rsidR="00C054EE">
              <w:rPr>
                <w:rStyle w:val="Hyperlink"/>
                <w:noProof/>
              </w:rPr>
              <w:t>6.2.2.14.</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_Toc69947904 \h </w:instrText>
            </w:r>
            <w:r w:rsidR="00C054EE">
              <w:rPr>
                <w:noProof/>
                <w:webHidden/>
              </w:rPr>
            </w:r>
            <w:r w:rsidR="00C054EE">
              <w:rPr>
                <w:noProof/>
                <w:webHidden/>
              </w:rPr>
              <w:fldChar w:fldCharType="separate"/>
            </w:r>
            <w:r w:rsidR="004C2E01">
              <w:rPr>
                <w:noProof/>
                <w:webHidden/>
              </w:rPr>
              <w:t>127</w:t>
            </w:r>
            <w:r w:rsidR="00C054EE">
              <w:rPr>
                <w:noProof/>
                <w:webHidden/>
              </w:rPr>
              <w:fldChar w:fldCharType="end"/>
            </w:r>
          </w:hyperlink>
        </w:p>
        <w:p w:rsidR="00C054EE" w:rsidRDefault="000D5832" w14:paraId="6FD30899" w14:textId="368C396C">
          <w:pPr>
            <w:pStyle w:val="TOC3"/>
            <w:tabs>
              <w:tab w:val="left" w:pos="1296"/>
              <w:tab w:val="right" w:leader="dot" w:pos="9350"/>
            </w:tabs>
            <w:rPr>
              <w:rFonts w:asciiTheme="minorHAnsi" w:hAnsiTheme="minorHAnsi" w:cstheme="minorBidi"/>
              <w:noProof/>
              <w:sz w:val="22"/>
              <w:szCs w:val="22"/>
            </w:rPr>
          </w:pPr>
          <w:hyperlink w:history="1" w:anchor="_Toc69947905">
            <w:r w:rsidRPr="00FD24A9" w:rsidR="00C054EE">
              <w:rPr>
                <w:rStyle w:val="Hyperlink"/>
                <w:noProof/>
              </w:rPr>
              <w:t>6.2.3.</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_Toc69947905 \h </w:instrText>
            </w:r>
            <w:r w:rsidR="00C054EE">
              <w:rPr>
                <w:noProof/>
                <w:webHidden/>
              </w:rPr>
            </w:r>
            <w:r w:rsidR="00C054EE">
              <w:rPr>
                <w:noProof/>
                <w:webHidden/>
              </w:rPr>
              <w:fldChar w:fldCharType="separate"/>
            </w:r>
            <w:r w:rsidR="004C2E01">
              <w:rPr>
                <w:noProof/>
                <w:webHidden/>
              </w:rPr>
              <w:t>127</w:t>
            </w:r>
            <w:r w:rsidR="00C054EE">
              <w:rPr>
                <w:noProof/>
                <w:webHidden/>
              </w:rPr>
              <w:fldChar w:fldCharType="end"/>
            </w:r>
          </w:hyperlink>
        </w:p>
        <w:p w:rsidR="00C054EE" w:rsidRDefault="000D5832" w14:paraId="0DFDD470" w14:textId="213D1D53">
          <w:pPr>
            <w:pStyle w:val="TOC4"/>
            <w:tabs>
              <w:tab w:val="left" w:pos="1728"/>
              <w:tab w:val="right" w:leader="dot" w:pos="9350"/>
            </w:tabs>
            <w:rPr>
              <w:rFonts w:asciiTheme="minorHAnsi" w:hAnsiTheme="minorHAnsi" w:eastAsiaTheme="minorEastAsia" w:cstheme="minorBidi"/>
              <w:noProof/>
              <w:sz w:val="22"/>
              <w:szCs w:val="22"/>
            </w:rPr>
          </w:pPr>
          <w:hyperlink w:history="1" w:anchor="_Toc69947906">
            <w:r w:rsidRPr="00FD24A9" w:rsidR="00C054EE">
              <w:rPr>
                <w:rStyle w:val="Hyperlink"/>
                <w:noProof/>
              </w:rPr>
              <w:t>6.2.3.1.</w:t>
            </w:r>
            <w:r w:rsidR="00C054EE">
              <w:rPr>
                <w:rFonts w:asciiTheme="minorHAnsi" w:hAnsiTheme="minorHAnsi" w:eastAsiaTheme="minorEastAsia" w:cstheme="minorBidi"/>
                <w:noProof/>
                <w:sz w:val="22"/>
                <w:szCs w:val="22"/>
              </w:rPr>
              <w:tab/>
            </w:r>
            <w:r w:rsidRPr="00FD24A9" w:rsidR="00C054EE">
              <w:rPr>
                <w:rStyle w:val="Hyperlink"/>
                <w:noProof/>
              </w:rPr>
              <w:t>Additional Data Requirements: Approved</w:t>
            </w:r>
            <w:r w:rsidR="00C054EE">
              <w:rPr>
                <w:noProof/>
                <w:webHidden/>
              </w:rPr>
              <w:tab/>
            </w:r>
            <w:r w:rsidR="00C054EE">
              <w:rPr>
                <w:noProof/>
                <w:webHidden/>
              </w:rPr>
              <w:fldChar w:fldCharType="begin"/>
            </w:r>
            <w:r w:rsidR="00C054EE">
              <w:rPr>
                <w:noProof/>
                <w:webHidden/>
              </w:rPr>
              <w:instrText xml:space="preserve"> PAGEREF _Toc69947906 \h </w:instrText>
            </w:r>
            <w:r w:rsidR="00C054EE">
              <w:rPr>
                <w:noProof/>
                <w:webHidden/>
              </w:rPr>
            </w:r>
            <w:r w:rsidR="00C054EE">
              <w:rPr>
                <w:noProof/>
                <w:webHidden/>
              </w:rPr>
              <w:fldChar w:fldCharType="separate"/>
            </w:r>
            <w:r w:rsidR="004C2E01">
              <w:rPr>
                <w:noProof/>
                <w:webHidden/>
              </w:rPr>
              <w:t>127</w:t>
            </w:r>
            <w:r w:rsidR="00C054EE">
              <w:rPr>
                <w:noProof/>
                <w:webHidden/>
              </w:rPr>
              <w:fldChar w:fldCharType="end"/>
            </w:r>
          </w:hyperlink>
        </w:p>
        <w:p w:rsidR="00C054EE" w:rsidRDefault="000D5832" w14:paraId="5DCB9418" w14:textId="09C363D1">
          <w:pPr>
            <w:pStyle w:val="TOC4"/>
            <w:tabs>
              <w:tab w:val="left" w:pos="1728"/>
              <w:tab w:val="right" w:leader="dot" w:pos="9350"/>
            </w:tabs>
            <w:rPr>
              <w:rFonts w:asciiTheme="minorHAnsi" w:hAnsiTheme="minorHAnsi" w:eastAsiaTheme="minorEastAsia" w:cstheme="minorBidi"/>
              <w:noProof/>
              <w:sz w:val="22"/>
              <w:szCs w:val="22"/>
            </w:rPr>
          </w:pPr>
          <w:hyperlink w:history="1" w:anchor="_Toc69947907">
            <w:r w:rsidRPr="00FD24A9" w:rsidR="00C054EE">
              <w:rPr>
                <w:rStyle w:val="Hyperlink"/>
                <w:noProof/>
              </w:rPr>
              <w:t>6.2.3.2.</w:t>
            </w:r>
            <w:r w:rsidR="00C054EE">
              <w:rPr>
                <w:rFonts w:asciiTheme="minorHAnsi" w:hAnsiTheme="minorHAnsi" w:eastAsiaTheme="minorEastAsia" w:cstheme="minorBidi"/>
                <w:noProof/>
                <w:sz w:val="22"/>
                <w:szCs w:val="22"/>
              </w:rPr>
              <w:tab/>
            </w:r>
            <w:r w:rsidRPr="00FD24A9" w:rsidR="00C054EE">
              <w:rPr>
                <w:rStyle w:val="Hyperlink"/>
                <w:noProof/>
              </w:rPr>
              <w:t>Staff Proposal Treatment Packages: Approved as a Pilot</w:t>
            </w:r>
            <w:r w:rsidR="00C054EE">
              <w:rPr>
                <w:noProof/>
                <w:webHidden/>
              </w:rPr>
              <w:tab/>
            </w:r>
            <w:r w:rsidR="00C054EE">
              <w:rPr>
                <w:noProof/>
                <w:webHidden/>
              </w:rPr>
              <w:fldChar w:fldCharType="begin"/>
            </w:r>
            <w:r w:rsidR="00C054EE">
              <w:rPr>
                <w:noProof/>
                <w:webHidden/>
              </w:rPr>
              <w:instrText xml:space="preserve"> PAGEREF _Toc69947907 \h </w:instrText>
            </w:r>
            <w:r w:rsidR="00C054EE">
              <w:rPr>
                <w:noProof/>
                <w:webHidden/>
              </w:rPr>
            </w:r>
            <w:r w:rsidR="00C054EE">
              <w:rPr>
                <w:noProof/>
                <w:webHidden/>
              </w:rPr>
              <w:fldChar w:fldCharType="separate"/>
            </w:r>
            <w:r w:rsidR="004C2E01">
              <w:rPr>
                <w:noProof/>
                <w:webHidden/>
              </w:rPr>
              <w:t>128</w:t>
            </w:r>
            <w:r w:rsidR="00C054EE">
              <w:rPr>
                <w:noProof/>
                <w:webHidden/>
              </w:rPr>
              <w:fldChar w:fldCharType="end"/>
            </w:r>
          </w:hyperlink>
        </w:p>
        <w:p w:rsidR="00C054EE" w:rsidRDefault="000D5832" w14:paraId="65FD3A87" w14:textId="4C9C72F7">
          <w:pPr>
            <w:pStyle w:val="TOC4"/>
            <w:tabs>
              <w:tab w:val="left" w:pos="1728"/>
              <w:tab w:val="right" w:leader="dot" w:pos="9350"/>
            </w:tabs>
            <w:rPr>
              <w:rFonts w:asciiTheme="minorHAnsi" w:hAnsiTheme="minorHAnsi" w:eastAsiaTheme="minorEastAsia" w:cstheme="minorBidi"/>
              <w:noProof/>
              <w:sz w:val="22"/>
              <w:szCs w:val="22"/>
            </w:rPr>
          </w:pPr>
          <w:hyperlink w:history="1" w:anchor="_Toc69947908">
            <w:r w:rsidRPr="00FD24A9" w:rsidR="00C054EE">
              <w:rPr>
                <w:rStyle w:val="Hyperlink"/>
                <w:noProof/>
              </w:rPr>
              <w:t>6.2.3.3.</w:t>
            </w:r>
            <w:r w:rsidR="00C054EE">
              <w:rPr>
                <w:rFonts w:asciiTheme="minorHAnsi" w:hAnsiTheme="minorHAnsi" w:eastAsiaTheme="minorEastAsia" w:cstheme="minorBidi"/>
                <w:noProof/>
                <w:sz w:val="22"/>
                <w:szCs w:val="22"/>
              </w:rPr>
              <w:tab/>
            </w:r>
            <w:r w:rsidRPr="00FD24A9" w:rsidR="00C054EE">
              <w:rPr>
                <w:rStyle w:val="Hyperlink"/>
                <w:noProof/>
              </w:rPr>
              <w:t>Pilot Workshop: New</w:t>
            </w:r>
            <w:r w:rsidR="00C054EE">
              <w:rPr>
                <w:noProof/>
                <w:webHidden/>
              </w:rPr>
              <w:tab/>
            </w:r>
            <w:r w:rsidR="00C054EE">
              <w:rPr>
                <w:noProof/>
                <w:webHidden/>
              </w:rPr>
              <w:fldChar w:fldCharType="begin"/>
            </w:r>
            <w:r w:rsidR="00C054EE">
              <w:rPr>
                <w:noProof/>
                <w:webHidden/>
              </w:rPr>
              <w:instrText xml:space="preserve"> PAGEREF _Toc69947908 \h </w:instrText>
            </w:r>
            <w:r w:rsidR="00C054EE">
              <w:rPr>
                <w:noProof/>
                <w:webHidden/>
              </w:rPr>
            </w:r>
            <w:r w:rsidR="00C054EE">
              <w:rPr>
                <w:noProof/>
                <w:webHidden/>
              </w:rPr>
              <w:fldChar w:fldCharType="separate"/>
            </w:r>
            <w:r w:rsidR="004C2E01">
              <w:rPr>
                <w:noProof/>
                <w:webHidden/>
              </w:rPr>
              <w:t>129</w:t>
            </w:r>
            <w:r w:rsidR="00C054EE">
              <w:rPr>
                <w:noProof/>
                <w:webHidden/>
              </w:rPr>
              <w:fldChar w:fldCharType="end"/>
            </w:r>
          </w:hyperlink>
        </w:p>
        <w:p w:rsidR="00C054EE" w:rsidRDefault="000D5832" w14:paraId="3EBB36C4" w14:textId="19B6EA93">
          <w:pPr>
            <w:pStyle w:val="TOC4"/>
            <w:tabs>
              <w:tab w:val="left" w:pos="1728"/>
              <w:tab w:val="right" w:leader="dot" w:pos="9350"/>
            </w:tabs>
            <w:rPr>
              <w:rFonts w:asciiTheme="minorHAnsi" w:hAnsiTheme="minorHAnsi" w:eastAsiaTheme="minorEastAsia" w:cstheme="minorBidi"/>
              <w:noProof/>
              <w:sz w:val="22"/>
              <w:szCs w:val="22"/>
            </w:rPr>
          </w:pPr>
          <w:hyperlink w:history="1" w:anchor="_Toc69947909">
            <w:r w:rsidRPr="00FD24A9" w:rsidR="00C054EE">
              <w:rPr>
                <w:rStyle w:val="Hyperlink"/>
                <w:noProof/>
              </w:rPr>
              <w:t>6.2.3.4.</w:t>
            </w:r>
            <w:r w:rsidR="00C054EE">
              <w:rPr>
                <w:rFonts w:asciiTheme="minorHAnsi" w:hAnsiTheme="minorHAnsi" w:eastAsiaTheme="minorEastAsia" w:cstheme="minorBidi"/>
                <w:noProof/>
                <w:sz w:val="22"/>
                <w:szCs w:val="22"/>
              </w:rPr>
              <w:tab/>
            </w:r>
            <w:r w:rsidRPr="00FD24A9" w:rsidR="00C054EE">
              <w:rPr>
                <w:rStyle w:val="Hyperlink"/>
                <w:noProof/>
              </w:rPr>
              <w:t xml:space="preserve">Coordinating with Clean Energy Programs: Requires </w:t>
            </w:r>
            <w:r w:rsidRPr="00FD24A9" w:rsidR="00C054EE">
              <w:rPr>
                <w:rStyle w:val="Hyperlink"/>
                <w:bCs/>
                <w:noProof/>
              </w:rPr>
              <w:t>Further Study</w:t>
            </w:r>
            <w:r w:rsidR="00C054EE">
              <w:rPr>
                <w:noProof/>
                <w:webHidden/>
              </w:rPr>
              <w:tab/>
            </w:r>
            <w:r w:rsidR="00C054EE">
              <w:rPr>
                <w:noProof/>
                <w:webHidden/>
              </w:rPr>
              <w:fldChar w:fldCharType="begin"/>
            </w:r>
            <w:r w:rsidR="00C054EE">
              <w:rPr>
                <w:noProof/>
                <w:webHidden/>
              </w:rPr>
              <w:instrText xml:space="preserve"> PAGEREF _Toc69947909 \h </w:instrText>
            </w:r>
            <w:r w:rsidR="00C054EE">
              <w:rPr>
                <w:noProof/>
                <w:webHidden/>
              </w:rPr>
            </w:r>
            <w:r w:rsidR="00C054EE">
              <w:rPr>
                <w:noProof/>
                <w:webHidden/>
              </w:rPr>
              <w:fldChar w:fldCharType="separate"/>
            </w:r>
            <w:r w:rsidR="004C2E01">
              <w:rPr>
                <w:noProof/>
                <w:webHidden/>
              </w:rPr>
              <w:t>129</w:t>
            </w:r>
            <w:r w:rsidR="00C054EE">
              <w:rPr>
                <w:noProof/>
                <w:webHidden/>
              </w:rPr>
              <w:fldChar w:fldCharType="end"/>
            </w:r>
          </w:hyperlink>
        </w:p>
        <w:p w:rsidR="00C054EE" w:rsidRDefault="000D5832" w14:paraId="2F30E25C" w14:textId="704C0F75">
          <w:pPr>
            <w:pStyle w:val="TOC4"/>
            <w:tabs>
              <w:tab w:val="left" w:pos="1728"/>
              <w:tab w:val="right" w:leader="dot" w:pos="9350"/>
            </w:tabs>
            <w:rPr>
              <w:rFonts w:asciiTheme="minorHAnsi" w:hAnsiTheme="minorHAnsi" w:eastAsiaTheme="minorEastAsia" w:cstheme="minorBidi"/>
              <w:noProof/>
              <w:sz w:val="22"/>
              <w:szCs w:val="22"/>
            </w:rPr>
          </w:pPr>
          <w:hyperlink w:history="1" w:anchor="_Toc69947910">
            <w:r w:rsidRPr="00FD24A9" w:rsidR="00C054EE">
              <w:rPr>
                <w:rStyle w:val="Hyperlink"/>
                <w:noProof/>
              </w:rPr>
              <w:t>6.2.3.5.</w:t>
            </w:r>
            <w:r w:rsidR="00C054EE">
              <w:rPr>
                <w:rFonts w:asciiTheme="minorHAnsi" w:hAnsiTheme="minorHAnsi" w:eastAsiaTheme="minorEastAsia" w:cstheme="minorBidi"/>
                <w:noProof/>
                <w:sz w:val="22"/>
                <w:szCs w:val="22"/>
              </w:rPr>
              <w:tab/>
            </w:r>
            <w:r w:rsidRPr="00FD24A9" w:rsidR="00C054EE">
              <w:rPr>
                <w:rStyle w:val="Hyperlink"/>
                <w:noProof/>
              </w:rPr>
              <w:t>UAS: Requires Further Study</w:t>
            </w:r>
            <w:r w:rsidR="00C054EE">
              <w:rPr>
                <w:noProof/>
                <w:webHidden/>
              </w:rPr>
              <w:tab/>
            </w:r>
            <w:r w:rsidR="00C054EE">
              <w:rPr>
                <w:noProof/>
                <w:webHidden/>
              </w:rPr>
              <w:fldChar w:fldCharType="begin"/>
            </w:r>
            <w:r w:rsidR="00C054EE">
              <w:rPr>
                <w:noProof/>
                <w:webHidden/>
              </w:rPr>
              <w:instrText xml:space="preserve"> PAGEREF _Toc69947910 \h </w:instrText>
            </w:r>
            <w:r w:rsidR="00C054EE">
              <w:rPr>
                <w:noProof/>
                <w:webHidden/>
              </w:rPr>
            </w:r>
            <w:r w:rsidR="00C054EE">
              <w:rPr>
                <w:noProof/>
                <w:webHidden/>
              </w:rPr>
              <w:fldChar w:fldCharType="separate"/>
            </w:r>
            <w:r w:rsidR="004C2E01">
              <w:rPr>
                <w:noProof/>
                <w:webHidden/>
              </w:rPr>
              <w:t>130</w:t>
            </w:r>
            <w:r w:rsidR="00C054EE">
              <w:rPr>
                <w:noProof/>
                <w:webHidden/>
              </w:rPr>
              <w:fldChar w:fldCharType="end"/>
            </w:r>
          </w:hyperlink>
        </w:p>
        <w:p w:rsidR="00C054EE" w:rsidRDefault="000D5832" w14:paraId="01689F25" w14:textId="017F1D67">
          <w:pPr>
            <w:pStyle w:val="TOC2"/>
            <w:tabs>
              <w:tab w:val="right" w:leader="dot" w:pos="9350"/>
            </w:tabs>
            <w:rPr>
              <w:rFonts w:asciiTheme="minorHAnsi" w:hAnsiTheme="minorHAnsi" w:cstheme="minorBidi"/>
              <w:noProof/>
              <w:sz w:val="22"/>
              <w:szCs w:val="22"/>
            </w:rPr>
          </w:pPr>
          <w:hyperlink w:history="1" w:anchor="_Toc69947911">
            <w:r w:rsidRPr="00FD24A9" w:rsidR="00C054EE">
              <w:rPr>
                <w:rStyle w:val="Hyperlink"/>
                <w:noProof/>
              </w:rPr>
              <w:t>6.3.</w:t>
            </w:r>
            <w:r w:rsidR="00C054EE">
              <w:rPr>
                <w:rFonts w:asciiTheme="minorHAnsi" w:hAnsiTheme="minorHAnsi" w:cstheme="minorBidi"/>
                <w:noProof/>
                <w:sz w:val="22"/>
                <w:szCs w:val="22"/>
              </w:rPr>
              <w:tab/>
            </w:r>
            <w:r w:rsidRPr="00FD24A9" w:rsidR="00C054EE">
              <w:rPr>
                <w:rStyle w:val="Hyperlink"/>
                <w:noProof/>
              </w:rPr>
              <w:t>ESA Enrollment and Eligibility Requirements</w:t>
            </w:r>
            <w:r w:rsidR="00C054EE">
              <w:rPr>
                <w:noProof/>
                <w:webHidden/>
              </w:rPr>
              <w:tab/>
            </w:r>
            <w:r w:rsidR="00C054EE">
              <w:rPr>
                <w:noProof/>
                <w:webHidden/>
              </w:rPr>
              <w:fldChar w:fldCharType="begin"/>
            </w:r>
            <w:r w:rsidR="00C054EE">
              <w:rPr>
                <w:noProof/>
                <w:webHidden/>
              </w:rPr>
              <w:instrText xml:space="preserve"> PAGEREF _Toc69947911 \h </w:instrText>
            </w:r>
            <w:r w:rsidR="00C054EE">
              <w:rPr>
                <w:noProof/>
                <w:webHidden/>
              </w:rPr>
            </w:r>
            <w:r w:rsidR="00C054EE">
              <w:rPr>
                <w:noProof/>
                <w:webHidden/>
              </w:rPr>
              <w:fldChar w:fldCharType="separate"/>
            </w:r>
            <w:r w:rsidR="004C2E01">
              <w:rPr>
                <w:noProof/>
                <w:webHidden/>
              </w:rPr>
              <w:t>133</w:t>
            </w:r>
            <w:r w:rsidR="00C054EE">
              <w:rPr>
                <w:noProof/>
                <w:webHidden/>
              </w:rPr>
              <w:fldChar w:fldCharType="end"/>
            </w:r>
          </w:hyperlink>
        </w:p>
        <w:p w:rsidR="00C054EE" w:rsidRDefault="000D5832" w14:paraId="25ADF901" w14:textId="47517CE5">
          <w:pPr>
            <w:pStyle w:val="TOC3"/>
            <w:tabs>
              <w:tab w:val="left" w:pos="1296"/>
              <w:tab w:val="right" w:leader="dot" w:pos="9350"/>
            </w:tabs>
            <w:rPr>
              <w:rFonts w:asciiTheme="minorHAnsi" w:hAnsiTheme="minorHAnsi" w:cstheme="minorBidi"/>
              <w:noProof/>
              <w:sz w:val="22"/>
              <w:szCs w:val="22"/>
            </w:rPr>
          </w:pPr>
          <w:hyperlink w:history="1" w:anchor="_Toc69947912">
            <w:r w:rsidRPr="00FD24A9" w:rsidR="00C054EE">
              <w:rPr>
                <w:rStyle w:val="Hyperlink"/>
                <w:noProof/>
              </w:rPr>
              <w:t>6.3.1.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_Toc69947912 \h </w:instrText>
            </w:r>
            <w:r w:rsidR="00C054EE">
              <w:rPr>
                <w:noProof/>
                <w:webHidden/>
              </w:rPr>
            </w:r>
            <w:r w:rsidR="00C054EE">
              <w:rPr>
                <w:noProof/>
                <w:webHidden/>
              </w:rPr>
              <w:fldChar w:fldCharType="separate"/>
            </w:r>
            <w:r w:rsidR="004C2E01">
              <w:rPr>
                <w:noProof/>
                <w:webHidden/>
              </w:rPr>
              <w:t>133</w:t>
            </w:r>
            <w:r w:rsidR="00C054EE">
              <w:rPr>
                <w:noProof/>
                <w:webHidden/>
              </w:rPr>
              <w:fldChar w:fldCharType="end"/>
            </w:r>
          </w:hyperlink>
        </w:p>
        <w:p w:rsidR="00C054EE" w:rsidRDefault="000D5832" w14:paraId="1E365570" w14:textId="259912E0">
          <w:pPr>
            <w:pStyle w:val="TOC3"/>
            <w:tabs>
              <w:tab w:val="left" w:pos="1296"/>
              <w:tab w:val="right" w:leader="dot" w:pos="9350"/>
            </w:tabs>
            <w:rPr>
              <w:rFonts w:asciiTheme="minorHAnsi" w:hAnsiTheme="minorHAnsi" w:cstheme="minorBidi"/>
              <w:noProof/>
              <w:sz w:val="22"/>
              <w:szCs w:val="22"/>
            </w:rPr>
          </w:pPr>
          <w:hyperlink w:history="1" w:anchor="_Toc69947913">
            <w:r w:rsidRPr="00FD24A9" w:rsidR="00C054EE">
              <w:rPr>
                <w:rStyle w:val="Hyperlink"/>
                <w:noProof/>
              </w:rPr>
              <w:t>6.3.2.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_Toc69947913 \h </w:instrText>
            </w:r>
            <w:r w:rsidR="00C054EE">
              <w:rPr>
                <w:noProof/>
                <w:webHidden/>
              </w:rPr>
            </w:r>
            <w:r w:rsidR="00C054EE">
              <w:rPr>
                <w:noProof/>
                <w:webHidden/>
              </w:rPr>
              <w:fldChar w:fldCharType="separate"/>
            </w:r>
            <w:r w:rsidR="004C2E01">
              <w:rPr>
                <w:noProof/>
                <w:webHidden/>
              </w:rPr>
              <w:t>133</w:t>
            </w:r>
            <w:r w:rsidR="00C054EE">
              <w:rPr>
                <w:noProof/>
                <w:webHidden/>
              </w:rPr>
              <w:fldChar w:fldCharType="end"/>
            </w:r>
          </w:hyperlink>
        </w:p>
        <w:p w:rsidR="00C054EE" w:rsidRDefault="000D5832" w14:paraId="25785FE6" w14:textId="53AEF7C4">
          <w:pPr>
            <w:pStyle w:val="TOC3"/>
            <w:tabs>
              <w:tab w:val="left" w:pos="1296"/>
              <w:tab w:val="right" w:leader="dot" w:pos="9350"/>
            </w:tabs>
            <w:rPr>
              <w:rFonts w:asciiTheme="minorHAnsi" w:hAnsiTheme="minorHAnsi" w:cstheme="minorBidi"/>
              <w:noProof/>
              <w:sz w:val="22"/>
              <w:szCs w:val="22"/>
            </w:rPr>
          </w:pPr>
          <w:hyperlink w:history="1" w:anchor="_Toc69947914">
            <w:r w:rsidRPr="00FD24A9" w:rsidR="00C054EE">
              <w:rPr>
                <w:rStyle w:val="Hyperlink"/>
                <w:noProof/>
              </w:rPr>
              <w:t>6.3.3.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_Toc69947914 \h </w:instrText>
            </w:r>
            <w:r w:rsidR="00C054EE">
              <w:rPr>
                <w:noProof/>
                <w:webHidden/>
              </w:rPr>
            </w:r>
            <w:r w:rsidR="00C054EE">
              <w:rPr>
                <w:noProof/>
                <w:webHidden/>
              </w:rPr>
              <w:fldChar w:fldCharType="separate"/>
            </w:r>
            <w:r w:rsidR="004C2E01">
              <w:rPr>
                <w:noProof/>
                <w:webHidden/>
              </w:rPr>
              <w:t>134</w:t>
            </w:r>
            <w:r w:rsidR="00C054EE">
              <w:rPr>
                <w:noProof/>
                <w:webHidden/>
              </w:rPr>
              <w:fldChar w:fldCharType="end"/>
            </w:r>
          </w:hyperlink>
        </w:p>
        <w:p w:rsidR="00C054EE" w:rsidRDefault="000D5832" w14:paraId="1603D136" w14:textId="6700A264">
          <w:pPr>
            <w:pStyle w:val="TOC3"/>
            <w:tabs>
              <w:tab w:val="left" w:pos="1296"/>
              <w:tab w:val="right" w:leader="dot" w:pos="9350"/>
            </w:tabs>
            <w:rPr>
              <w:rFonts w:asciiTheme="minorHAnsi" w:hAnsiTheme="minorHAnsi" w:cstheme="minorBidi"/>
              <w:noProof/>
              <w:sz w:val="22"/>
              <w:szCs w:val="22"/>
            </w:rPr>
          </w:pPr>
          <w:hyperlink w:history="1" w:anchor="_Toc69947915">
            <w:r w:rsidRPr="00FD24A9" w:rsidR="00C054EE">
              <w:rPr>
                <w:rStyle w:val="Hyperlink"/>
                <w:noProof/>
              </w:rPr>
              <w:t>6.3.4.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_Toc69947915 \h </w:instrText>
            </w:r>
            <w:r w:rsidR="00C054EE">
              <w:rPr>
                <w:noProof/>
                <w:webHidden/>
              </w:rPr>
            </w:r>
            <w:r w:rsidR="00C054EE">
              <w:rPr>
                <w:noProof/>
                <w:webHidden/>
              </w:rPr>
              <w:fldChar w:fldCharType="separate"/>
            </w:r>
            <w:r w:rsidR="004C2E01">
              <w:rPr>
                <w:noProof/>
                <w:webHidden/>
              </w:rPr>
              <w:t>135</w:t>
            </w:r>
            <w:r w:rsidR="00C054EE">
              <w:rPr>
                <w:noProof/>
                <w:webHidden/>
              </w:rPr>
              <w:fldChar w:fldCharType="end"/>
            </w:r>
          </w:hyperlink>
        </w:p>
        <w:p w:rsidR="00C054EE" w:rsidRDefault="000D5832" w14:paraId="2B7DCDDC" w14:textId="4E600D03">
          <w:pPr>
            <w:pStyle w:val="TOC3"/>
            <w:tabs>
              <w:tab w:val="left" w:pos="1296"/>
              <w:tab w:val="right" w:leader="dot" w:pos="9350"/>
            </w:tabs>
            <w:rPr>
              <w:rFonts w:asciiTheme="minorHAnsi" w:hAnsiTheme="minorHAnsi" w:cstheme="minorBidi"/>
              <w:noProof/>
              <w:sz w:val="22"/>
              <w:szCs w:val="22"/>
            </w:rPr>
          </w:pPr>
          <w:hyperlink w:history="1" w:anchor="_Toc69947916">
            <w:r w:rsidRPr="00FD24A9" w:rsidR="00C054EE">
              <w:rPr>
                <w:rStyle w:val="Hyperlink"/>
                <w:noProof/>
              </w:rPr>
              <w:t>6.3.5.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_Toc69947916 \h </w:instrText>
            </w:r>
            <w:r w:rsidR="00C054EE">
              <w:rPr>
                <w:noProof/>
                <w:webHidden/>
              </w:rPr>
            </w:r>
            <w:r w:rsidR="00C054EE">
              <w:rPr>
                <w:noProof/>
                <w:webHidden/>
              </w:rPr>
              <w:fldChar w:fldCharType="separate"/>
            </w:r>
            <w:r w:rsidR="004C2E01">
              <w:rPr>
                <w:noProof/>
                <w:webHidden/>
              </w:rPr>
              <w:t>136</w:t>
            </w:r>
            <w:r w:rsidR="00C054EE">
              <w:rPr>
                <w:noProof/>
                <w:webHidden/>
              </w:rPr>
              <w:fldChar w:fldCharType="end"/>
            </w:r>
          </w:hyperlink>
        </w:p>
        <w:p w:rsidR="00C054EE" w:rsidRDefault="000D5832" w14:paraId="144F4CD3" w14:textId="0F6A0076">
          <w:pPr>
            <w:pStyle w:val="TOC3"/>
            <w:tabs>
              <w:tab w:val="left" w:pos="1296"/>
              <w:tab w:val="right" w:leader="dot" w:pos="9350"/>
            </w:tabs>
            <w:rPr>
              <w:rFonts w:asciiTheme="minorHAnsi" w:hAnsiTheme="minorHAnsi" w:cstheme="minorBidi"/>
              <w:noProof/>
              <w:sz w:val="22"/>
              <w:szCs w:val="22"/>
            </w:rPr>
          </w:pPr>
          <w:hyperlink w:history="1" w:anchor="_Toc69947917">
            <w:r w:rsidRPr="00FD24A9" w:rsidR="00C054EE">
              <w:rPr>
                <w:rStyle w:val="Hyperlink"/>
                <w:noProof/>
              </w:rPr>
              <w:t>6.3.6.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_Toc69947917 \h </w:instrText>
            </w:r>
            <w:r w:rsidR="00C054EE">
              <w:rPr>
                <w:noProof/>
                <w:webHidden/>
              </w:rPr>
            </w:r>
            <w:r w:rsidR="00C054EE">
              <w:rPr>
                <w:noProof/>
                <w:webHidden/>
              </w:rPr>
              <w:fldChar w:fldCharType="separate"/>
            </w:r>
            <w:r w:rsidR="004C2E01">
              <w:rPr>
                <w:noProof/>
                <w:webHidden/>
              </w:rPr>
              <w:t>137</w:t>
            </w:r>
            <w:r w:rsidR="00C054EE">
              <w:rPr>
                <w:noProof/>
                <w:webHidden/>
              </w:rPr>
              <w:fldChar w:fldCharType="end"/>
            </w:r>
          </w:hyperlink>
        </w:p>
        <w:p w:rsidR="00C054EE" w:rsidRDefault="000D5832" w14:paraId="4142F8F5" w14:textId="568FFD1E">
          <w:pPr>
            <w:pStyle w:val="TOC4"/>
            <w:tabs>
              <w:tab w:val="left" w:pos="1728"/>
              <w:tab w:val="right" w:leader="dot" w:pos="9350"/>
            </w:tabs>
            <w:rPr>
              <w:rFonts w:asciiTheme="minorHAnsi" w:hAnsiTheme="minorHAnsi" w:eastAsiaTheme="minorEastAsia" w:cstheme="minorBidi"/>
              <w:noProof/>
              <w:sz w:val="22"/>
              <w:szCs w:val="22"/>
            </w:rPr>
          </w:pPr>
          <w:hyperlink w:history="1" w:anchor="_Toc69947918">
            <w:r w:rsidRPr="00FD24A9" w:rsidR="00C054EE">
              <w:rPr>
                <w:rStyle w:val="Hyperlink"/>
                <w:noProof/>
              </w:rPr>
              <w:t>6.3.6.1.</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_Toc69947918 \h </w:instrText>
            </w:r>
            <w:r w:rsidR="00C054EE">
              <w:rPr>
                <w:noProof/>
                <w:webHidden/>
              </w:rPr>
            </w:r>
            <w:r w:rsidR="00C054EE">
              <w:rPr>
                <w:noProof/>
                <w:webHidden/>
              </w:rPr>
              <w:fldChar w:fldCharType="separate"/>
            </w:r>
            <w:r w:rsidR="004C2E01">
              <w:rPr>
                <w:noProof/>
                <w:webHidden/>
              </w:rPr>
              <w:t>137</w:t>
            </w:r>
            <w:r w:rsidR="00C054EE">
              <w:rPr>
                <w:noProof/>
                <w:webHidden/>
              </w:rPr>
              <w:fldChar w:fldCharType="end"/>
            </w:r>
          </w:hyperlink>
        </w:p>
        <w:p w:rsidR="00C054EE" w:rsidRDefault="000D5832" w14:paraId="415596F9" w14:textId="0F0B96EB">
          <w:pPr>
            <w:pStyle w:val="TOC4"/>
            <w:tabs>
              <w:tab w:val="left" w:pos="1728"/>
              <w:tab w:val="right" w:leader="dot" w:pos="9350"/>
            </w:tabs>
            <w:rPr>
              <w:rFonts w:asciiTheme="minorHAnsi" w:hAnsiTheme="minorHAnsi" w:eastAsiaTheme="minorEastAsia" w:cstheme="minorBidi"/>
              <w:noProof/>
              <w:sz w:val="22"/>
              <w:szCs w:val="22"/>
            </w:rPr>
          </w:pPr>
          <w:hyperlink w:history="1" w:anchor="_Toc69947919">
            <w:r w:rsidRPr="00FD24A9" w:rsidR="00C054EE">
              <w:rPr>
                <w:rStyle w:val="Hyperlink"/>
                <w:noProof/>
              </w:rPr>
              <w:t>6.3.6.2.</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_Toc69947919 \h </w:instrText>
            </w:r>
            <w:r w:rsidR="00C054EE">
              <w:rPr>
                <w:noProof/>
                <w:webHidden/>
              </w:rPr>
            </w:r>
            <w:r w:rsidR="00C054EE">
              <w:rPr>
                <w:noProof/>
                <w:webHidden/>
              </w:rPr>
              <w:fldChar w:fldCharType="separate"/>
            </w:r>
            <w:r w:rsidR="004C2E01">
              <w:rPr>
                <w:noProof/>
                <w:webHidden/>
              </w:rPr>
              <w:t>138</w:t>
            </w:r>
            <w:r w:rsidR="00C054EE">
              <w:rPr>
                <w:noProof/>
                <w:webHidden/>
              </w:rPr>
              <w:fldChar w:fldCharType="end"/>
            </w:r>
          </w:hyperlink>
        </w:p>
        <w:p w:rsidR="00C054EE" w:rsidRDefault="000D5832" w14:paraId="0B8DA707" w14:textId="5EC3AE8A">
          <w:pPr>
            <w:pStyle w:val="TOC4"/>
            <w:tabs>
              <w:tab w:val="left" w:pos="1728"/>
              <w:tab w:val="right" w:leader="dot" w:pos="9350"/>
            </w:tabs>
            <w:rPr>
              <w:rFonts w:asciiTheme="minorHAnsi" w:hAnsiTheme="minorHAnsi" w:eastAsiaTheme="minorEastAsia" w:cstheme="minorBidi"/>
              <w:noProof/>
              <w:sz w:val="22"/>
              <w:szCs w:val="22"/>
            </w:rPr>
          </w:pPr>
          <w:hyperlink w:history="1" w:anchor="_Toc69947920">
            <w:r w:rsidRPr="00FD24A9" w:rsidR="00C054EE">
              <w:rPr>
                <w:rStyle w:val="Hyperlink"/>
                <w:noProof/>
              </w:rPr>
              <w:t>6.3.6.3.</w:t>
            </w:r>
            <w:r w:rsidR="00C054EE">
              <w:rPr>
                <w:rFonts w:asciiTheme="minorHAnsi" w:hAnsiTheme="minorHAnsi" w:eastAsiaTheme="minorEastAsia" w:cstheme="minorBidi"/>
                <w:noProof/>
                <w:sz w:val="22"/>
                <w:szCs w:val="22"/>
              </w:rPr>
              <w:tab/>
            </w:r>
            <w:r w:rsidRPr="00FD24A9" w:rsidR="00C054EE">
              <w:rPr>
                <w:rStyle w:val="Hyperlink"/>
                <w:noProof/>
              </w:rPr>
              <w:t>TELACU et al.</w:t>
            </w:r>
            <w:r w:rsidR="00C054EE">
              <w:rPr>
                <w:noProof/>
                <w:webHidden/>
              </w:rPr>
              <w:tab/>
            </w:r>
            <w:r w:rsidR="00C054EE">
              <w:rPr>
                <w:noProof/>
                <w:webHidden/>
              </w:rPr>
              <w:fldChar w:fldCharType="begin"/>
            </w:r>
            <w:r w:rsidR="00C054EE">
              <w:rPr>
                <w:noProof/>
                <w:webHidden/>
              </w:rPr>
              <w:instrText xml:space="preserve"> PAGEREF _Toc69947920 \h </w:instrText>
            </w:r>
            <w:r w:rsidR="00C054EE">
              <w:rPr>
                <w:noProof/>
                <w:webHidden/>
              </w:rPr>
            </w:r>
            <w:r w:rsidR="00C054EE">
              <w:rPr>
                <w:noProof/>
                <w:webHidden/>
              </w:rPr>
              <w:fldChar w:fldCharType="separate"/>
            </w:r>
            <w:r w:rsidR="004C2E01">
              <w:rPr>
                <w:noProof/>
                <w:webHidden/>
              </w:rPr>
              <w:t>139</w:t>
            </w:r>
            <w:r w:rsidR="00C054EE">
              <w:rPr>
                <w:noProof/>
                <w:webHidden/>
              </w:rPr>
              <w:fldChar w:fldCharType="end"/>
            </w:r>
          </w:hyperlink>
        </w:p>
        <w:p w:rsidR="00C054EE" w:rsidRDefault="000D5832" w14:paraId="544D5F7B" w14:textId="2349F6B3">
          <w:pPr>
            <w:pStyle w:val="TOC4"/>
            <w:tabs>
              <w:tab w:val="left" w:pos="1728"/>
              <w:tab w:val="right" w:leader="dot" w:pos="9350"/>
            </w:tabs>
            <w:rPr>
              <w:rFonts w:asciiTheme="minorHAnsi" w:hAnsiTheme="minorHAnsi" w:eastAsiaTheme="minorEastAsia" w:cstheme="minorBidi"/>
              <w:noProof/>
              <w:sz w:val="22"/>
              <w:szCs w:val="22"/>
            </w:rPr>
          </w:pPr>
          <w:hyperlink w:history="1" w:anchor="_Toc69947921">
            <w:r w:rsidRPr="00FD24A9" w:rsidR="00C054EE">
              <w:rPr>
                <w:rStyle w:val="Hyperlink"/>
                <w:noProof/>
              </w:rPr>
              <w:t>6.3.6.4.</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_Toc69947921 \h </w:instrText>
            </w:r>
            <w:r w:rsidR="00C054EE">
              <w:rPr>
                <w:noProof/>
                <w:webHidden/>
              </w:rPr>
            </w:r>
            <w:r w:rsidR="00C054EE">
              <w:rPr>
                <w:noProof/>
                <w:webHidden/>
              </w:rPr>
              <w:fldChar w:fldCharType="separate"/>
            </w:r>
            <w:r w:rsidR="004C2E01">
              <w:rPr>
                <w:noProof/>
                <w:webHidden/>
              </w:rPr>
              <w:t>139</w:t>
            </w:r>
            <w:r w:rsidR="00C054EE">
              <w:rPr>
                <w:noProof/>
                <w:webHidden/>
              </w:rPr>
              <w:fldChar w:fldCharType="end"/>
            </w:r>
          </w:hyperlink>
        </w:p>
        <w:p w:rsidR="00C054EE" w:rsidRDefault="000D5832" w14:paraId="3754C468" w14:textId="3026F980">
          <w:pPr>
            <w:pStyle w:val="TOC3"/>
            <w:tabs>
              <w:tab w:val="left" w:pos="1296"/>
              <w:tab w:val="right" w:leader="dot" w:pos="9350"/>
            </w:tabs>
            <w:rPr>
              <w:rFonts w:asciiTheme="minorHAnsi" w:hAnsiTheme="minorHAnsi" w:cstheme="minorBidi"/>
              <w:noProof/>
              <w:sz w:val="22"/>
              <w:szCs w:val="22"/>
            </w:rPr>
          </w:pPr>
          <w:hyperlink w:history="1" w:anchor="_Toc69947922">
            <w:r w:rsidRPr="00FD24A9" w:rsidR="00C054EE">
              <w:rPr>
                <w:rStyle w:val="Hyperlink"/>
                <w:noProof/>
              </w:rPr>
              <w:t>6.3.7.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_Toc69947922 \h </w:instrText>
            </w:r>
            <w:r w:rsidR="00C054EE">
              <w:rPr>
                <w:noProof/>
                <w:webHidden/>
              </w:rPr>
            </w:r>
            <w:r w:rsidR="00C054EE">
              <w:rPr>
                <w:noProof/>
                <w:webHidden/>
              </w:rPr>
              <w:fldChar w:fldCharType="separate"/>
            </w:r>
            <w:r w:rsidR="004C2E01">
              <w:rPr>
                <w:noProof/>
                <w:webHidden/>
              </w:rPr>
              <w:t>140</w:t>
            </w:r>
            <w:r w:rsidR="00C054EE">
              <w:rPr>
                <w:noProof/>
                <w:webHidden/>
              </w:rPr>
              <w:fldChar w:fldCharType="end"/>
            </w:r>
          </w:hyperlink>
        </w:p>
        <w:p w:rsidR="00C054EE" w:rsidRDefault="000D5832" w14:paraId="49FF91A3" w14:textId="1318FBBF">
          <w:pPr>
            <w:pStyle w:val="TOC4"/>
            <w:tabs>
              <w:tab w:val="left" w:pos="1728"/>
              <w:tab w:val="right" w:leader="dot" w:pos="9350"/>
            </w:tabs>
            <w:rPr>
              <w:rFonts w:asciiTheme="minorHAnsi" w:hAnsiTheme="minorHAnsi" w:eastAsiaTheme="minorEastAsia" w:cstheme="minorBidi"/>
              <w:noProof/>
              <w:sz w:val="22"/>
              <w:szCs w:val="22"/>
            </w:rPr>
          </w:pPr>
          <w:hyperlink w:history="1" w:anchor="_Toc69947923">
            <w:r w:rsidRPr="00FD24A9" w:rsidR="00C054EE">
              <w:rPr>
                <w:rStyle w:val="Hyperlink"/>
                <w:noProof/>
              </w:rPr>
              <w:t>6.3.7.1.</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_Toc69947923 \h </w:instrText>
            </w:r>
            <w:r w:rsidR="00C054EE">
              <w:rPr>
                <w:noProof/>
                <w:webHidden/>
              </w:rPr>
            </w:r>
            <w:r w:rsidR="00C054EE">
              <w:rPr>
                <w:noProof/>
                <w:webHidden/>
              </w:rPr>
              <w:fldChar w:fldCharType="separate"/>
            </w:r>
            <w:r w:rsidR="004C2E01">
              <w:rPr>
                <w:noProof/>
                <w:webHidden/>
              </w:rPr>
              <w:t>140</w:t>
            </w:r>
            <w:r w:rsidR="00C054EE">
              <w:rPr>
                <w:noProof/>
                <w:webHidden/>
              </w:rPr>
              <w:fldChar w:fldCharType="end"/>
            </w:r>
          </w:hyperlink>
        </w:p>
        <w:p w:rsidR="00C054EE" w:rsidRDefault="000D5832" w14:paraId="6C82FB78" w14:textId="4FB353AE">
          <w:pPr>
            <w:pStyle w:val="TOC4"/>
            <w:tabs>
              <w:tab w:val="left" w:pos="1728"/>
              <w:tab w:val="right" w:leader="dot" w:pos="9350"/>
            </w:tabs>
            <w:rPr>
              <w:rFonts w:asciiTheme="minorHAnsi" w:hAnsiTheme="minorHAnsi" w:eastAsiaTheme="minorEastAsia" w:cstheme="minorBidi"/>
              <w:noProof/>
              <w:sz w:val="22"/>
              <w:szCs w:val="22"/>
            </w:rPr>
          </w:pPr>
          <w:hyperlink w:history="1" w:anchor="_Toc69947924">
            <w:r w:rsidRPr="00FD24A9" w:rsidR="00C054EE">
              <w:rPr>
                <w:rStyle w:val="Hyperlink"/>
                <w:noProof/>
              </w:rPr>
              <w:t>6.3.7.2.</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_Toc69947924 \h </w:instrText>
            </w:r>
            <w:r w:rsidR="00C054EE">
              <w:rPr>
                <w:noProof/>
                <w:webHidden/>
              </w:rPr>
            </w:r>
            <w:r w:rsidR="00C054EE">
              <w:rPr>
                <w:noProof/>
                <w:webHidden/>
              </w:rPr>
              <w:fldChar w:fldCharType="separate"/>
            </w:r>
            <w:r w:rsidR="004C2E01">
              <w:rPr>
                <w:noProof/>
                <w:webHidden/>
              </w:rPr>
              <w:t>140</w:t>
            </w:r>
            <w:r w:rsidR="00C054EE">
              <w:rPr>
                <w:noProof/>
                <w:webHidden/>
              </w:rPr>
              <w:fldChar w:fldCharType="end"/>
            </w:r>
          </w:hyperlink>
        </w:p>
        <w:p w:rsidR="00C054EE" w:rsidRDefault="000D5832" w14:paraId="77F621F4" w14:textId="27C12260">
          <w:pPr>
            <w:pStyle w:val="TOC3"/>
            <w:tabs>
              <w:tab w:val="left" w:pos="1296"/>
              <w:tab w:val="right" w:leader="dot" w:pos="9350"/>
            </w:tabs>
            <w:rPr>
              <w:rFonts w:asciiTheme="minorHAnsi" w:hAnsiTheme="minorHAnsi" w:cstheme="minorBidi"/>
              <w:noProof/>
              <w:sz w:val="22"/>
              <w:szCs w:val="22"/>
            </w:rPr>
          </w:pPr>
          <w:hyperlink w:history="1" w:anchor="_Toc69947925">
            <w:r w:rsidRPr="00FD24A9" w:rsidR="00C054EE">
              <w:rPr>
                <w:rStyle w:val="Hyperlink"/>
                <w:noProof/>
              </w:rPr>
              <w:t>6.3.8.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_Toc69947925 \h </w:instrText>
            </w:r>
            <w:r w:rsidR="00C054EE">
              <w:rPr>
                <w:noProof/>
                <w:webHidden/>
              </w:rPr>
            </w:r>
            <w:r w:rsidR="00C054EE">
              <w:rPr>
                <w:noProof/>
                <w:webHidden/>
              </w:rPr>
              <w:fldChar w:fldCharType="separate"/>
            </w:r>
            <w:r w:rsidR="004C2E01">
              <w:rPr>
                <w:noProof/>
                <w:webHidden/>
              </w:rPr>
              <w:t>142</w:t>
            </w:r>
            <w:r w:rsidR="00C054EE">
              <w:rPr>
                <w:noProof/>
                <w:webHidden/>
              </w:rPr>
              <w:fldChar w:fldCharType="end"/>
            </w:r>
          </w:hyperlink>
        </w:p>
        <w:p w:rsidR="00C054EE" w:rsidRDefault="000D5832" w14:paraId="3881751E" w14:textId="2648E378">
          <w:pPr>
            <w:pStyle w:val="TOC4"/>
            <w:tabs>
              <w:tab w:val="left" w:pos="1728"/>
              <w:tab w:val="right" w:leader="dot" w:pos="9350"/>
            </w:tabs>
            <w:rPr>
              <w:rFonts w:asciiTheme="minorHAnsi" w:hAnsiTheme="minorHAnsi" w:eastAsiaTheme="minorEastAsia" w:cstheme="minorBidi"/>
              <w:noProof/>
              <w:sz w:val="22"/>
              <w:szCs w:val="22"/>
            </w:rPr>
          </w:pPr>
          <w:hyperlink w:history="1" w:anchor="_Toc69947926">
            <w:r w:rsidRPr="00FD24A9" w:rsidR="00C054EE">
              <w:rPr>
                <w:rStyle w:val="Hyperlink"/>
                <w:noProof/>
              </w:rPr>
              <w:t>6.3.8.1.</w:t>
            </w:r>
            <w:r w:rsidR="00C054EE">
              <w:rPr>
                <w:rFonts w:asciiTheme="minorHAnsi" w:hAnsiTheme="minorHAnsi" w:eastAsiaTheme="minorEastAsia" w:cstheme="minorBidi"/>
                <w:noProof/>
                <w:sz w:val="22"/>
                <w:szCs w:val="22"/>
              </w:rPr>
              <w:tab/>
            </w:r>
            <w:r w:rsidRPr="00FD24A9" w:rsidR="00C054EE">
              <w:rPr>
                <w:rStyle w:val="Hyperlink"/>
                <w:noProof/>
              </w:rPr>
              <w:t>Changing the Income Eligibility Requirements: Denied</w:t>
            </w:r>
            <w:r w:rsidR="00C054EE">
              <w:rPr>
                <w:noProof/>
                <w:webHidden/>
              </w:rPr>
              <w:tab/>
            </w:r>
            <w:r w:rsidR="00C054EE">
              <w:rPr>
                <w:noProof/>
                <w:webHidden/>
              </w:rPr>
              <w:fldChar w:fldCharType="begin"/>
            </w:r>
            <w:r w:rsidR="00C054EE">
              <w:rPr>
                <w:noProof/>
                <w:webHidden/>
              </w:rPr>
              <w:instrText xml:space="preserve"> PAGEREF _Toc69947926 \h </w:instrText>
            </w:r>
            <w:r w:rsidR="00C054EE">
              <w:rPr>
                <w:noProof/>
                <w:webHidden/>
              </w:rPr>
            </w:r>
            <w:r w:rsidR="00C054EE">
              <w:rPr>
                <w:noProof/>
                <w:webHidden/>
              </w:rPr>
              <w:fldChar w:fldCharType="separate"/>
            </w:r>
            <w:r w:rsidR="004C2E01">
              <w:rPr>
                <w:noProof/>
                <w:webHidden/>
              </w:rPr>
              <w:t>142</w:t>
            </w:r>
            <w:r w:rsidR="00C054EE">
              <w:rPr>
                <w:noProof/>
                <w:webHidden/>
              </w:rPr>
              <w:fldChar w:fldCharType="end"/>
            </w:r>
          </w:hyperlink>
        </w:p>
        <w:p w:rsidR="00C054EE" w:rsidRDefault="000D5832" w14:paraId="5976D3E4" w14:textId="42B4E789">
          <w:pPr>
            <w:pStyle w:val="TOC4"/>
            <w:tabs>
              <w:tab w:val="left" w:pos="1728"/>
              <w:tab w:val="right" w:leader="dot" w:pos="9350"/>
            </w:tabs>
            <w:rPr>
              <w:rFonts w:asciiTheme="minorHAnsi" w:hAnsiTheme="minorHAnsi" w:eastAsiaTheme="minorEastAsia" w:cstheme="minorBidi"/>
              <w:noProof/>
              <w:sz w:val="22"/>
              <w:szCs w:val="22"/>
            </w:rPr>
          </w:pPr>
          <w:hyperlink w:history="1" w:anchor="_Toc69947927">
            <w:r w:rsidRPr="00FD24A9" w:rsidR="00C054EE">
              <w:rPr>
                <w:rStyle w:val="Hyperlink"/>
                <w:noProof/>
              </w:rPr>
              <w:t>6.3.8.2.</w:t>
            </w:r>
            <w:r w:rsidR="00C054EE">
              <w:rPr>
                <w:rFonts w:asciiTheme="minorHAnsi" w:hAnsiTheme="minorHAnsi" w:eastAsiaTheme="minorEastAsia" w:cstheme="minorBidi"/>
                <w:noProof/>
                <w:sz w:val="22"/>
                <w:szCs w:val="22"/>
              </w:rPr>
              <w:tab/>
            </w:r>
            <w:r w:rsidRPr="00FD24A9" w:rsidR="00C054EE">
              <w:rPr>
                <w:rStyle w:val="Hyperlink"/>
                <w:noProof/>
              </w:rPr>
              <w:t>Self-Certification for Basic Treatment: Approved</w:t>
            </w:r>
            <w:r w:rsidR="00C054EE">
              <w:rPr>
                <w:noProof/>
                <w:webHidden/>
              </w:rPr>
              <w:tab/>
            </w:r>
            <w:r w:rsidR="00C054EE">
              <w:rPr>
                <w:noProof/>
                <w:webHidden/>
              </w:rPr>
              <w:fldChar w:fldCharType="begin"/>
            </w:r>
            <w:r w:rsidR="00C054EE">
              <w:rPr>
                <w:noProof/>
                <w:webHidden/>
              </w:rPr>
              <w:instrText xml:space="preserve"> PAGEREF _Toc69947927 \h </w:instrText>
            </w:r>
            <w:r w:rsidR="00C054EE">
              <w:rPr>
                <w:noProof/>
                <w:webHidden/>
              </w:rPr>
            </w:r>
            <w:r w:rsidR="00C054EE">
              <w:rPr>
                <w:noProof/>
                <w:webHidden/>
              </w:rPr>
              <w:fldChar w:fldCharType="separate"/>
            </w:r>
            <w:r w:rsidR="004C2E01">
              <w:rPr>
                <w:noProof/>
                <w:webHidden/>
              </w:rPr>
              <w:t>142</w:t>
            </w:r>
            <w:r w:rsidR="00C054EE">
              <w:rPr>
                <w:noProof/>
                <w:webHidden/>
              </w:rPr>
              <w:fldChar w:fldCharType="end"/>
            </w:r>
          </w:hyperlink>
        </w:p>
        <w:p w:rsidR="00C054EE" w:rsidRDefault="000D5832" w14:paraId="3EABC36B" w14:textId="2F986CDE">
          <w:pPr>
            <w:pStyle w:val="TOC4"/>
            <w:tabs>
              <w:tab w:val="left" w:pos="1728"/>
              <w:tab w:val="right" w:leader="dot" w:pos="9350"/>
            </w:tabs>
            <w:rPr>
              <w:rFonts w:asciiTheme="minorHAnsi" w:hAnsiTheme="minorHAnsi" w:eastAsiaTheme="minorEastAsia" w:cstheme="minorBidi"/>
              <w:noProof/>
              <w:sz w:val="22"/>
              <w:szCs w:val="22"/>
            </w:rPr>
          </w:pPr>
          <w:hyperlink w:history="1" w:anchor="_Toc69947928">
            <w:r w:rsidRPr="00FD24A9" w:rsidR="00C054EE">
              <w:rPr>
                <w:rStyle w:val="Hyperlink"/>
                <w:noProof/>
              </w:rPr>
              <w:t>6.3.8.3.</w:t>
            </w:r>
            <w:r w:rsidR="00C054EE">
              <w:rPr>
                <w:rFonts w:asciiTheme="minorHAnsi" w:hAnsiTheme="minorHAnsi" w:eastAsiaTheme="minorEastAsia" w:cstheme="minorBidi"/>
                <w:noProof/>
                <w:sz w:val="22"/>
                <w:szCs w:val="22"/>
              </w:rPr>
              <w:tab/>
            </w:r>
            <w:r w:rsidRPr="00FD24A9" w:rsidR="00C054EE">
              <w:rPr>
                <w:rStyle w:val="Hyperlink"/>
                <w:noProof/>
              </w:rPr>
              <w:t>Automatic CARE Enrollment for ESA Households: Approved with Modifications</w:t>
            </w:r>
            <w:r w:rsidR="00C054EE">
              <w:rPr>
                <w:noProof/>
                <w:webHidden/>
              </w:rPr>
              <w:tab/>
            </w:r>
            <w:r w:rsidR="00C054EE">
              <w:rPr>
                <w:noProof/>
                <w:webHidden/>
              </w:rPr>
              <w:fldChar w:fldCharType="begin"/>
            </w:r>
            <w:r w:rsidR="00C054EE">
              <w:rPr>
                <w:noProof/>
                <w:webHidden/>
              </w:rPr>
              <w:instrText xml:space="preserve"> PAGEREF _Toc69947928 \h </w:instrText>
            </w:r>
            <w:r w:rsidR="00C054EE">
              <w:rPr>
                <w:noProof/>
                <w:webHidden/>
              </w:rPr>
            </w:r>
            <w:r w:rsidR="00C054EE">
              <w:rPr>
                <w:noProof/>
                <w:webHidden/>
              </w:rPr>
              <w:fldChar w:fldCharType="separate"/>
            </w:r>
            <w:r w:rsidR="004C2E01">
              <w:rPr>
                <w:noProof/>
                <w:webHidden/>
              </w:rPr>
              <w:t>143</w:t>
            </w:r>
            <w:r w:rsidR="00C054EE">
              <w:rPr>
                <w:noProof/>
                <w:webHidden/>
              </w:rPr>
              <w:fldChar w:fldCharType="end"/>
            </w:r>
          </w:hyperlink>
        </w:p>
        <w:p w:rsidR="00C054EE" w:rsidRDefault="000D5832" w14:paraId="5E74C7CC" w14:textId="49F1AACB">
          <w:pPr>
            <w:pStyle w:val="TOC4"/>
            <w:tabs>
              <w:tab w:val="left" w:pos="1728"/>
              <w:tab w:val="right" w:leader="dot" w:pos="9350"/>
            </w:tabs>
            <w:rPr>
              <w:rFonts w:asciiTheme="minorHAnsi" w:hAnsiTheme="minorHAnsi" w:eastAsiaTheme="minorEastAsia" w:cstheme="minorBidi"/>
              <w:noProof/>
              <w:sz w:val="22"/>
              <w:szCs w:val="22"/>
            </w:rPr>
          </w:pPr>
          <w:hyperlink w:history="1" w:anchor="_Toc69947929">
            <w:r w:rsidRPr="00FD24A9" w:rsidR="00C054EE">
              <w:rPr>
                <w:rStyle w:val="Hyperlink"/>
                <w:noProof/>
              </w:rPr>
              <w:t>6.3.8.4.</w:t>
            </w:r>
            <w:r w:rsidR="00C054EE">
              <w:rPr>
                <w:rFonts w:asciiTheme="minorHAnsi" w:hAnsiTheme="minorHAnsi" w:eastAsiaTheme="minorEastAsia" w:cstheme="minorBidi"/>
                <w:noProof/>
                <w:sz w:val="22"/>
                <w:szCs w:val="22"/>
              </w:rPr>
              <w:tab/>
            </w:r>
            <w:r w:rsidRPr="00FD24A9" w:rsidR="00C054EE">
              <w:rPr>
                <w:rStyle w:val="Hyperlink"/>
                <w:noProof/>
              </w:rPr>
              <w:t>Alternative Enrollment Options: Approved</w:t>
            </w:r>
            <w:r w:rsidR="00C054EE">
              <w:rPr>
                <w:noProof/>
                <w:webHidden/>
              </w:rPr>
              <w:tab/>
            </w:r>
            <w:r w:rsidR="00C054EE">
              <w:rPr>
                <w:noProof/>
                <w:webHidden/>
              </w:rPr>
              <w:fldChar w:fldCharType="begin"/>
            </w:r>
            <w:r w:rsidR="00C054EE">
              <w:rPr>
                <w:noProof/>
                <w:webHidden/>
              </w:rPr>
              <w:instrText xml:space="preserve"> PAGEREF _Toc69947929 \h </w:instrText>
            </w:r>
            <w:r w:rsidR="00C054EE">
              <w:rPr>
                <w:noProof/>
                <w:webHidden/>
              </w:rPr>
            </w:r>
            <w:r w:rsidR="00C054EE">
              <w:rPr>
                <w:noProof/>
                <w:webHidden/>
              </w:rPr>
              <w:fldChar w:fldCharType="separate"/>
            </w:r>
            <w:r w:rsidR="004C2E01">
              <w:rPr>
                <w:noProof/>
                <w:webHidden/>
              </w:rPr>
              <w:t>144</w:t>
            </w:r>
            <w:r w:rsidR="00C054EE">
              <w:rPr>
                <w:noProof/>
                <w:webHidden/>
              </w:rPr>
              <w:fldChar w:fldCharType="end"/>
            </w:r>
          </w:hyperlink>
        </w:p>
        <w:p w:rsidR="00C054EE" w:rsidRDefault="000D5832" w14:paraId="4121B47A" w14:textId="370EC382">
          <w:pPr>
            <w:pStyle w:val="TOC4"/>
            <w:tabs>
              <w:tab w:val="left" w:pos="1728"/>
              <w:tab w:val="right" w:leader="dot" w:pos="9350"/>
            </w:tabs>
            <w:rPr>
              <w:rFonts w:asciiTheme="minorHAnsi" w:hAnsiTheme="minorHAnsi" w:eastAsiaTheme="minorEastAsia" w:cstheme="minorBidi"/>
              <w:noProof/>
              <w:sz w:val="22"/>
              <w:szCs w:val="22"/>
            </w:rPr>
          </w:pPr>
          <w:hyperlink w:history="1" w:anchor="_Toc69947930">
            <w:r w:rsidRPr="00FD24A9" w:rsidR="00C054EE">
              <w:rPr>
                <w:rStyle w:val="Hyperlink"/>
                <w:noProof/>
              </w:rPr>
              <w:t>6.3.8.5.</w:t>
            </w:r>
            <w:r w:rsidR="00C054EE">
              <w:rPr>
                <w:rFonts w:asciiTheme="minorHAnsi" w:hAnsiTheme="minorHAnsi" w:eastAsiaTheme="minorEastAsia" w:cstheme="minorBidi"/>
                <w:noProof/>
                <w:sz w:val="22"/>
                <w:szCs w:val="22"/>
              </w:rPr>
              <w:tab/>
            </w:r>
            <w:r w:rsidRPr="00FD24A9" w:rsidR="00C054EE">
              <w:rPr>
                <w:rStyle w:val="Hyperlink"/>
                <w:noProof/>
              </w:rPr>
              <w:t>Required Audits (During Enrollment): Approved with Modifications</w:t>
            </w:r>
            <w:r w:rsidR="00C054EE">
              <w:rPr>
                <w:noProof/>
                <w:webHidden/>
              </w:rPr>
              <w:tab/>
            </w:r>
            <w:r w:rsidR="00C054EE">
              <w:rPr>
                <w:noProof/>
                <w:webHidden/>
              </w:rPr>
              <w:fldChar w:fldCharType="begin"/>
            </w:r>
            <w:r w:rsidR="00C054EE">
              <w:rPr>
                <w:noProof/>
                <w:webHidden/>
              </w:rPr>
              <w:instrText xml:space="preserve"> PAGEREF _Toc69947930 \h </w:instrText>
            </w:r>
            <w:r w:rsidR="00C054EE">
              <w:rPr>
                <w:noProof/>
                <w:webHidden/>
              </w:rPr>
            </w:r>
            <w:r w:rsidR="00C054EE">
              <w:rPr>
                <w:noProof/>
                <w:webHidden/>
              </w:rPr>
              <w:fldChar w:fldCharType="separate"/>
            </w:r>
            <w:r w:rsidR="004C2E01">
              <w:rPr>
                <w:noProof/>
                <w:webHidden/>
              </w:rPr>
              <w:t>145</w:t>
            </w:r>
            <w:r w:rsidR="00C054EE">
              <w:rPr>
                <w:noProof/>
                <w:webHidden/>
              </w:rPr>
              <w:fldChar w:fldCharType="end"/>
            </w:r>
          </w:hyperlink>
        </w:p>
        <w:p w:rsidR="00C054EE" w:rsidRDefault="000D5832" w14:paraId="45157E38" w14:textId="5E063059">
          <w:pPr>
            <w:pStyle w:val="TOC4"/>
            <w:tabs>
              <w:tab w:val="left" w:pos="1728"/>
              <w:tab w:val="right" w:leader="dot" w:pos="9350"/>
            </w:tabs>
            <w:rPr>
              <w:rFonts w:asciiTheme="minorHAnsi" w:hAnsiTheme="minorHAnsi" w:eastAsiaTheme="minorEastAsia" w:cstheme="minorBidi"/>
              <w:noProof/>
              <w:sz w:val="22"/>
              <w:szCs w:val="22"/>
            </w:rPr>
          </w:pPr>
          <w:hyperlink w:history="1" w:anchor="_Toc69947931">
            <w:r w:rsidRPr="00FD24A9" w:rsidR="00C054EE">
              <w:rPr>
                <w:rStyle w:val="Hyperlink"/>
                <w:noProof/>
              </w:rPr>
              <w:t>6.3.8.6.</w:t>
            </w:r>
            <w:r w:rsidR="00C054EE">
              <w:rPr>
                <w:rFonts w:asciiTheme="minorHAnsi" w:hAnsiTheme="minorHAnsi" w:eastAsiaTheme="minorEastAsia" w:cstheme="minorBidi"/>
                <w:noProof/>
                <w:sz w:val="22"/>
                <w:szCs w:val="22"/>
              </w:rPr>
              <w:tab/>
            </w:r>
            <w:r w:rsidRPr="00FD24A9" w:rsidR="00C054EE">
              <w:rPr>
                <w:rStyle w:val="Hyperlink"/>
                <w:noProof/>
              </w:rPr>
              <w:t>Automatic Qualification via CARE PEV: Denied</w:t>
            </w:r>
            <w:r w:rsidR="00C054EE">
              <w:rPr>
                <w:noProof/>
                <w:webHidden/>
              </w:rPr>
              <w:tab/>
            </w:r>
            <w:r w:rsidR="00C054EE">
              <w:rPr>
                <w:noProof/>
                <w:webHidden/>
              </w:rPr>
              <w:fldChar w:fldCharType="begin"/>
            </w:r>
            <w:r w:rsidR="00C054EE">
              <w:rPr>
                <w:noProof/>
                <w:webHidden/>
              </w:rPr>
              <w:instrText xml:space="preserve"> PAGEREF _Toc69947931 \h </w:instrText>
            </w:r>
            <w:r w:rsidR="00C054EE">
              <w:rPr>
                <w:noProof/>
                <w:webHidden/>
              </w:rPr>
            </w:r>
            <w:r w:rsidR="00C054EE">
              <w:rPr>
                <w:noProof/>
                <w:webHidden/>
              </w:rPr>
              <w:fldChar w:fldCharType="separate"/>
            </w:r>
            <w:r w:rsidR="004C2E01">
              <w:rPr>
                <w:noProof/>
                <w:webHidden/>
              </w:rPr>
              <w:t>145</w:t>
            </w:r>
            <w:r w:rsidR="00C054EE">
              <w:rPr>
                <w:noProof/>
                <w:webHidden/>
              </w:rPr>
              <w:fldChar w:fldCharType="end"/>
            </w:r>
          </w:hyperlink>
        </w:p>
        <w:p w:rsidR="00C054EE" w:rsidRDefault="000D5832" w14:paraId="6497F246" w14:textId="0EEADCA7">
          <w:pPr>
            <w:pStyle w:val="TOC4"/>
            <w:tabs>
              <w:tab w:val="left" w:pos="1728"/>
              <w:tab w:val="right" w:leader="dot" w:pos="9350"/>
            </w:tabs>
            <w:rPr>
              <w:rFonts w:asciiTheme="minorHAnsi" w:hAnsiTheme="minorHAnsi" w:eastAsiaTheme="minorEastAsia" w:cstheme="minorBidi"/>
              <w:noProof/>
              <w:sz w:val="22"/>
              <w:szCs w:val="22"/>
            </w:rPr>
          </w:pPr>
          <w:hyperlink w:history="1" w:anchor="_Toc69947932">
            <w:r w:rsidRPr="00FD24A9" w:rsidR="00C054EE">
              <w:rPr>
                <w:rStyle w:val="Hyperlink"/>
                <w:noProof/>
              </w:rPr>
              <w:t>6.3.8.7.</w:t>
            </w:r>
            <w:r w:rsidR="00C054EE">
              <w:rPr>
                <w:rFonts w:asciiTheme="minorHAnsi" w:hAnsiTheme="minorHAnsi" w:eastAsiaTheme="minorEastAsia" w:cstheme="minorBidi"/>
                <w:noProof/>
                <w:sz w:val="22"/>
                <w:szCs w:val="22"/>
              </w:rPr>
              <w:tab/>
            </w:r>
            <w:r w:rsidRPr="00FD24A9" w:rsidR="00C054EE">
              <w:rPr>
                <w:rStyle w:val="Hyperlink"/>
                <w:bCs/>
                <w:noProof/>
              </w:rPr>
              <w:t>Expanding</w:t>
            </w:r>
            <w:r w:rsidRPr="00FD24A9" w:rsidR="00C054EE">
              <w:rPr>
                <w:rStyle w:val="Hyperlink"/>
                <w:bCs/>
                <w:i/>
                <w:noProof/>
              </w:rPr>
              <w:t xml:space="preserve"> </w:t>
            </w:r>
            <w:r w:rsidRPr="00FD24A9" w:rsidR="00C054EE">
              <w:rPr>
                <w:rStyle w:val="Hyperlink"/>
                <w:noProof/>
              </w:rPr>
              <w:t>Categorical Eligibility: Denied</w:t>
            </w:r>
            <w:r w:rsidR="00C054EE">
              <w:rPr>
                <w:noProof/>
                <w:webHidden/>
              </w:rPr>
              <w:tab/>
            </w:r>
            <w:r w:rsidR="00C054EE">
              <w:rPr>
                <w:noProof/>
                <w:webHidden/>
              </w:rPr>
              <w:fldChar w:fldCharType="begin"/>
            </w:r>
            <w:r w:rsidR="00C054EE">
              <w:rPr>
                <w:noProof/>
                <w:webHidden/>
              </w:rPr>
              <w:instrText xml:space="preserve"> PAGEREF _Toc69947932 \h </w:instrText>
            </w:r>
            <w:r w:rsidR="00C054EE">
              <w:rPr>
                <w:noProof/>
                <w:webHidden/>
              </w:rPr>
            </w:r>
            <w:r w:rsidR="00C054EE">
              <w:rPr>
                <w:noProof/>
                <w:webHidden/>
              </w:rPr>
              <w:fldChar w:fldCharType="separate"/>
            </w:r>
            <w:r w:rsidR="004C2E01">
              <w:rPr>
                <w:noProof/>
                <w:webHidden/>
              </w:rPr>
              <w:t>146</w:t>
            </w:r>
            <w:r w:rsidR="00C054EE">
              <w:rPr>
                <w:noProof/>
                <w:webHidden/>
              </w:rPr>
              <w:fldChar w:fldCharType="end"/>
            </w:r>
          </w:hyperlink>
        </w:p>
        <w:p w:rsidR="00C054EE" w:rsidRDefault="000D5832" w14:paraId="34364FA8" w14:textId="53B0C305">
          <w:pPr>
            <w:pStyle w:val="TOC4"/>
            <w:tabs>
              <w:tab w:val="left" w:pos="1728"/>
              <w:tab w:val="right" w:leader="dot" w:pos="9350"/>
            </w:tabs>
            <w:rPr>
              <w:rFonts w:asciiTheme="minorHAnsi" w:hAnsiTheme="minorHAnsi" w:eastAsiaTheme="minorEastAsia" w:cstheme="minorBidi"/>
              <w:noProof/>
              <w:sz w:val="22"/>
              <w:szCs w:val="22"/>
            </w:rPr>
          </w:pPr>
          <w:hyperlink w:history="1" w:anchor="_Toc69947933">
            <w:r w:rsidRPr="00FD24A9" w:rsidR="00C054EE">
              <w:rPr>
                <w:rStyle w:val="Hyperlink"/>
                <w:noProof/>
              </w:rPr>
              <w:t>6.3.8.8.</w:t>
            </w:r>
            <w:r w:rsidR="00C054EE">
              <w:rPr>
                <w:rFonts w:asciiTheme="minorHAnsi" w:hAnsiTheme="minorHAnsi" w:eastAsiaTheme="minorEastAsia" w:cstheme="minorBidi"/>
                <w:noProof/>
                <w:sz w:val="22"/>
                <w:szCs w:val="22"/>
              </w:rPr>
              <w:tab/>
            </w:r>
            <w:r w:rsidRPr="00FD24A9" w:rsidR="00C054EE">
              <w:rPr>
                <w:rStyle w:val="Hyperlink"/>
                <w:noProof/>
              </w:rPr>
              <w:t>Property Owner Approvals/Waivers: Approved with Modifications</w:t>
            </w:r>
            <w:r w:rsidR="00C054EE">
              <w:rPr>
                <w:noProof/>
                <w:webHidden/>
              </w:rPr>
              <w:tab/>
            </w:r>
            <w:r w:rsidR="00C054EE">
              <w:rPr>
                <w:noProof/>
                <w:webHidden/>
              </w:rPr>
              <w:fldChar w:fldCharType="begin"/>
            </w:r>
            <w:r w:rsidR="00C054EE">
              <w:rPr>
                <w:noProof/>
                <w:webHidden/>
              </w:rPr>
              <w:instrText xml:space="preserve"> PAGEREF _Toc69947933 \h </w:instrText>
            </w:r>
            <w:r w:rsidR="00C054EE">
              <w:rPr>
                <w:noProof/>
                <w:webHidden/>
              </w:rPr>
            </w:r>
            <w:r w:rsidR="00C054EE">
              <w:rPr>
                <w:noProof/>
                <w:webHidden/>
              </w:rPr>
              <w:fldChar w:fldCharType="separate"/>
            </w:r>
            <w:r w:rsidR="004C2E01">
              <w:rPr>
                <w:noProof/>
                <w:webHidden/>
              </w:rPr>
              <w:t>147</w:t>
            </w:r>
            <w:r w:rsidR="00C054EE">
              <w:rPr>
                <w:noProof/>
                <w:webHidden/>
              </w:rPr>
              <w:fldChar w:fldCharType="end"/>
            </w:r>
          </w:hyperlink>
        </w:p>
        <w:p w:rsidR="00C054EE" w:rsidRDefault="000D5832" w14:paraId="229AACE9" w14:textId="2A80812F">
          <w:pPr>
            <w:pStyle w:val="TOC2"/>
            <w:tabs>
              <w:tab w:val="right" w:leader="dot" w:pos="9350"/>
            </w:tabs>
            <w:rPr>
              <w:rFonts w:asciiTheme="minorHAnsi" w:hAnsiTheme="minorHAnsi" w:cstheme="minorBidi"/>
              <w:noProof/>
              <w:sz w:val="22"/>
              <w:szCs w:val="22"/>
            </w:rPr>
          </w:pPr>
          <w:hyperlink w:history="1" w:anchor="_Toc69947934">
            <w:r w:rsidRPr="00FD24A9" w:rsidR="00C054EE">
              <w:rPr>
                <w:rStyle w:val="Hyperlink"/>
                <w:noProof/>
              </w:rPr>
              <w:t>6.4.</w:t>
            </w:r>
            <w:r w:rsidR="00C054EE">
              <w:rPr>
                <w:rFonts w:asciiTheme="minorHAnsi" w:hAnsiTheme="minorHAnsi" w:cstheme="minorBidi"/>
                <w:noProof/>
                <w:sz w:val="22"/>
                <w:szCs w:val="22"/>
              </w:rPr>
              <w:tab/>
            </w:r>
            <w:r w:rsidRPr="00FD24A9" w:rsidR="00C054EE">
              <w:rPr>
                <w:rStyle w:val="Hyperlink"/>
                <w:noProof/>
              </w:rPr>
              <w:t>ESA Delivery Model</w:t>
            </w:r>
            <w:r w:rsidR="00C054EE">
              <w:rPr>
                <w:noProof/>
                <w:webHidden/>
              </w:rPr>
              <w:tab/>
            </w:r>
            <w:r w:rsidR="00C054EE">
              <w:rPr>
                <w:noProof/>
                <w:webHidden/>
              </w:rPr>
              <w:fldChar w:fldCharType="begin"/>
            </w:r>
            <w:r w:rsidR="00C054EE">
              <w:rPr>
                <w:noProof/>
                <w:webHidden/>
              </w:rPr>
              <w:instrText xml:space="preserve"> PAGEREF _Toc69947934 \h </w:instrText>
            </w:r>
            <w:r w:rsidR="00C054EE">
              <w:rPr>
                <w:noProof/>
                <w:webHidden/>
              </w:rPr>
            </w:r>
            <w:r w:rsidR="00C054EE">
              <w:rPr>
                <w:noProof/>
                <w:webHidden/>
              </w:rPr>
              <w:fldChar w:fldCharType="separate"/>
            </w:r>
            <w:r w:rsidR="004C2E01">
              <w:rPr>
                <w:noProof/>
                <w:webHidden/>
              </w:rPr>
              <w:t>148</w:t>
            </w:r>
            <w:r w:rsidR="00C054EE">
              <w:rPr>
                <w:noProof/>
                <w:webHidden/>
              </w:rPr>
              <w:fldChar w:fldCharType="end"/>
            </w:r>
          </w:hyperlink>
        </w:p>
        <w:p w:rsidR="00C054EE" w:rsidRDefault="000D5832" w14:paraId="22E8280F" w14:textId="5DA6F641">
          <w:pPr>
            <w:pStyle w:val="TOC3"/>
            <w:tabs>
              <w:tab w:val="left" w:pos="1296"/>
              <w:tab w:val="right" w:leader="dot" w:pos="9350"/>
            </w:tabs>
            <w:rPr>
              <w:rFonts w:asciiTheme="minorHAnsi" w:hAnsiTheme="minorHAnsi" w:cstheme="minorBidi"/>
              <w:noProof/>
              <w:sz w:val="22"/>
              <w:szCs w:val="22"/>
            </w:rPr>
          </w:pPr>
          <w:hyperlink w:history="1" w:anchor="_Toc69947935">
            <w:r w:rsidRPr="00FD24A9" w:rsidR="00C054EE">
              <w:rPr>
                <w:rStyle w:val="Hyperlink"/>
                <w:noProof/>
              </w:rPr>
              <w:t>6.4.1.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_Toc69947935 \h </w:instrText>
            </w:r>
            <w:r w:rsidR="00C054EE">
              <w:rPr>
                <w:noProof/>
                <w:webHidden/>
              </w:rPr>
            </w:r>
            <w:r w:rsidR="00C054EE">
              <w:rPr>
                <w:noProof/>
                <w:webHidden/>
              </w:rPr>
              <w:fldChar w:fldCharType="separate"/>
            </w:r>
            <w:r w:rsidR="004C2E01">
              <w:rPr>
                <w:noProof/>
                <w:webHidden/>
              </w:rPr>
              <w:t>148</w:t>
            </w:r>
            <w:r w:rsidR="00C054EE">
              <w:rPr>
                <w:noProof/>
                <w:webHidden/>
              </w:rPr>
              <w:fldChar w:fldCharType="end"/>
            </w:r>
          </w:hyperlink>
        </w:p>
        <w:p w:rsidR="00C054EE" w:rsidRDefault="000D5832" w14:paraId="3F5590E1" w14:textId="24499F9B">
          <w:pPr>
            <w:pStyle w:val="TOC3"/>
            <w:tabs>
              <w:tab w:val="left" w:pos="1296"/>
              <w:tab w:val="right" w:leader="dot" w:pos="9350"/>
            </w:tabs>
            <w:rPr>
              <w:rFonts w:asciiTheme="minorHAnsi" w:hAnsiTheme="minorHAnsi" w:cstheme="minorBidi"/>
              <w:noProof/>
              <w:sz w:val="22"/>
              <w:szCs w:val="22"/>
            </w:rPr>
          </w:pPr>
          <w:hyperlink w:history="1" w:anchor="_Toc69947936">
            <w:r w:rsidRPr="00FD24A9" w:rsidR="00C054EE">
              <w:rPr>
                <w:rStyle w:val="Hyperlink"/>
                <w:noProof/>
              </w:rPr>
              <w:t>6.4.2.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_Toc69947936 \h </w:instrText>
            </w:r>
            <w:r w:rsidR="00C054EE">
              <w:rPr>
                <w:noProof/>
                <w:webHidden/>
              </w:rPr>
            </w:r>
            <w:r w:rsidR="00C054EE">
              <w:rPr>
                <w:noProof/>
                <w:webHidden/>
              </w:rPr>
              <w:fldChar w:fldCharType="separate"/>
            </w:r>
            <w:r w:rsidR="004C2E01">
              <w:rPr>
                <w:noProof/>
                <w:webHidden/>
              </w:rPr>
              <w:t>148</w:t>
            </w:r>
            <w:r w:rsidR="00C054EE">
              <w:rPr>
                <w:noProof/>
                <w:webHidden/>
              </w:rPr>
              <w:fldChar w:fldCharType="end"/>
            </w:r>
          </w:hyperlink>
        </w:p>
        <w:p w:rsidR="00C054EE" w:rsidRDefault="000D5832" w14:paraId="50A3E1E0" w14:textId="47B9081F">
          <w:pPr>
            <w:pStyle w:val="TOC3"/>
            <w:tabs>
              <w:tab w:val="left" w:pos="1296"/>
              <w:tab w:val="right" w:leader="dot" w:pos="9350"/>
            </w:tabs>
            <w:rPr>
              <w:rFonts w:asciiTheme="minorHAnsi" w:hAnsiTheme="minorHAnsi" w:cstheme="minorBidi"/>
              <w:noProof/>
              <w:sz w:val="22"/>
              <w:szCs w:val="22"/>
            </w:rPr>
          </w:pPr>
          <w:hyperlink w:history="1" w:anchor="_Toc69947937">
            <w:r w:rsidRPr="00FD24A9" w:rsidR="00C054EE">
              <w:rPr>
                <w:rStyle w:val="Hyperlink"/>
                <w:noProof/>
              </w:rPr>
              <w:t>6.4.3.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_Toc69947937 \h </w:instrText>
            </w:r>
            <w:r w:rsidR="00C054EE">
              <w:rPr>
                <w:noProof/>
                <w:webHidden/>
              </w:rPr>
            </w:r>
            <w:r w:rsidR="00C054EE">
              <w:rPr>
                <w:noProof/>
                <w:webHidden/>
              </w:rPr>
              <w:fldChar w:fldCharType="separate"/>
            </w:r>
            <w:r w:rsidR="004C2E01">
              <w:rPr>
                <w:noProof/>
                <w:webHidden/>
              </w:rPr>
              <w:t>150</w:t>
            </w:r>
            <w:r w:rsidR="00C054EE">
              <w:rPr>
                <w:noProof/>
                <w:webHidden/>
              </w:rPr>
              <w:fldChar w:fldCharType="end"/>
            </w:r>
          </w:hyperlink>
        </w:p>
        <w:p w:rsidR="00C054EE" w:rsidRDefault="000D5832" w14:paraId="3A1D3BEC" w14:textId="6A083E0D">
          <w:pPr>
            <w:pStyle w:val="TOC3"/>
            <w:tabs>
              <w:tab w:val="left" w:pos="1296"/>
              <w:tab w:val="right" w:leader="dot" w:pos="9350"/>
            </w:tabs>
            <w:rPr>
              <w:rFonts w:asciiTheme="minorHAnsi" w:hAnsiTheme="minorHAnsi" w:cstheme="minorBidi"/>
              <w:noProof/>
              <w:sz w:val="22"/>
              <w:szCs w:val="22"/>
            </w:rPr>
          </w:pPr>
          <w:hyperlink w:history="1" w:anchor="_Toc69947938">
            <w:r w:rsidRPr="00FD24A9" w:rsidR="00C054EE">
              <w:rPr>
                <w:rStyle w:val="Hyperlink"/>
                <w:noProof/>
              </w:rPr>
              <w:t>6.4.4.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_Toc69947938 \h </w:instrText>
            </w:r>
            <w:r w:rsidR="00C054EE">
              <w:rPr>
                <w:noProof/>
                <w:webHidden/>
              </w:rPr>
            </w:r>
            <w:r w:rsidR="00C054EE">
              <w:rPr>
                <w:noProof/>
                <w:webHidden/>
              </w:rPr>
              <w:fldChar w:fldCharType="separate"/>
            </w:r>
            <w:r w:rsidR="004C2E01">
              <w:rPr>
                <w:noProof/>
                <w:webHidden/>
              </w:rPr>
              <w:t>153</w:t>
            </w:r>
            <w:r w:rsidR="00C054EE">
              <w:rPr>
                <w:noProof/>
                <w:webHidden/>
              </w:rPr>
              <w:fldChar w:fldCharType="end"/>
            </w:r>
          </w:hyperlink>
        </w:p>
        <w:p w:rsidR="00C054EE" w:rsidRDefault="000D5832" w14:paraId="0E9095A5" w14:textId="3B22E350">
          <w:pPr>
            <w:pStyle w:val="TOC3"/>
            <w:tabs>
              <w:tab w:val="left" w:pos="1296"/>
              <w:tab w:val="right" w:leader="dot" w:pos="9350"/>
            </w:tabs>
            <w:rPr>
              <w:rFonts w:asciiTheme="minorHAnsi" w:hAnsiTheme="minorHAnsi" w:cstheme="minorBidi"/>
              <w:noProof/>
              <w:sz w:val="22"/>
              <w:szCs w:val="22"/>
            </w:rPr>
          </w:pPr>
          <w:hyperlink w:history="1" w:anchor="_Toc69947939">
            <w:r w:rsidRPr="00FD24A9" w:rsidR="00C054EE">
              <w:rPr>
                <w:rStyle w:val="Hyperlink"/>
                <w:noProof/>
              </w:rPr>
              <w:t>6.4.5.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_Toc69947939 \h </w:instrText>
            </w:r>
            <w:r w:rsidR="00C054EE">
              <w:rPr>
                <w:noProof/>
                <w:webHidden/>
              </w:rPr>
            </w:r>
            <w:r w:rsidR="00C054EE">
              <w:rPr>
                <w:noProof/>
                <w:webHidden/>
              </w:rPr>
              <w:fldChar w:fldCharType="separate"/>
            </w:r>
            <w:r w:rsidR="004C2E01">
              <w:rPr>
                <w:noProof/>
                <w:webHidden/>
              </w:rPr>
              <w:t>154</w:t>
            </w:r>
            <w:r w:rsidR="00C054EE">
              <w:rPr>
                <w:noProof/>
                <w:webHidden/>
              </w:rPr>
              <w:fldChar w:fldCharType="end"/>
            </w:r>
          </w:hyperlink>
        </w:p>
        <w:p w:rsidR="00C054EE" w:rsidRDefault="000D5832" w14:paraId="5BC9844D" w14:textId="2CDB0C49">
          <w:pPr>
            <w:pStyle w:val="TOC3"/>
            <w:tabs>
              <w:tab w:val="left" w:pos="1296"/>
              <w:tab w:val="right" w:leader="dot" w:pos="9350"/>
            </w:tabs>
            <w:rPr>
              <w:rFonts w:asciiTheme="minorHAnsi" w:hAnsiTheme="minorHAnsi" w:cstheme="minorBidi"/>
              <w:noProof/>
              <w:sz w:val="22"/>
              <w:szCs w:val="22"/>
            </w:rPr>
          </w:pPr>
          <w:hyperlink w:history="1" w:anchor="_Toc69947940">
            <w:r w:rsidRPr="00FD24A9" w:rsidR="00C054EE">
              <w:rPr>
                <w:rStyle w:val="Hyperlink"/>
                <w:noProof/>
              </w:rPr>
              <w:t>6.4.6.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_Toc69947940 \h </w:instrText>
            </w:r>
            <w:r w:rsidR="00C054EE">
              <w:rPr>
                <w:noProof/>
                <w:webHidden/>
              </w:rPr>
            </w:r>
            <w:r w:rsidR="00C054EE">
              <w:rPr>
                <w:noProof/>
                <w:webHidden/>
              </w:rPr>
              <w:fldChar w:fldCharType="separate"/>
            </w:r>
            <w:r w:rsidR="004C2E01">
              <w:rPr>
                <w:noProof/>
                <w:webHidden/>
              </w:rPr>
              <w:t>157</w:t>
            </w:r>
            <w:r w:rsidR="00C054EE">
              <w:rPr>
                <w:noProof/>
                <w:webHidden/>
              </w:rPr>
              <w:fldChar w:fldCharType="end"/>
            </w:r>
          </w:hyperlink>
        </w:p>
        <w:p w:rsidR="00C054EE" w:rsidRDefault="000D5832" w14:paraId="5CE56200" w14:textId="5C7CC126">
          <w:pPr>
            <w:pStyle w:val="TOC4"/>
            <w:tabs>
              <w:tab w:val="left" w:pos="1728"/>
              <w:tab w:val="right" w:leader="dot" w:pos="9350"/>
            </w:tabs>
            <w:rPr>
              <w:rFonts w:asciiTheme="minorHAnsi" w:hAnsiTheme="minorHAnsi" w:eastAsiaTheme="minorEastAsia" w:cstheme="minorBidi"/>
              <w:noProof/>
              <w:sz w:val="22"/>
              <w:szCs w:val="22"/>
            </w:rPr>
          </w:pPr>
          <w:hyperlink w:history="1" w:anchor="_Toc69947941">
            <w:r w:rsidRPr="00FD24A9" w:rsidR="00C054EE">
              <w:rPr>
                <w:rStyle w:val="Hyperlink"/>
                <w:noProof/>
              </w:rPr>
              <w:t>6.4.6.1.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_Toc69947941 \h </w:instrText>
            </w:r>
            <w:r w:rsidR="00C054EE">
              <w:rPr>
                <w:noProof/>
                <w:webHidden/>
              </w:rPr>
            </w:r>
            <w:r w:rsidR="00C054EE">
              <w:rPr>
                <w:noProof/>
                <w:webHidden/>
              </w:rPr>
              <w:fldChar w:fldCharType="separate"/>
            </w:r>
            <w:r w:rsidR="004C2E01">
              <w:rPr>
                <w:noProof/>
                <w:webHidden/>
              </w:rPr>
              <w:t>157</w:t>
            </w:r>
            <w:r w:rsidR="00C054EE">
              <w:rPr>
                <w:noProof/>
                <w:webHidden/>
              </w:rPr>
              <w:fldChar w:fldCharType="end"/>
            </w:r>
          </w:hyperlink>
        </w:p>
        <w:p w:rsidR="00C054EE" w:rsidRDefault="000D5832" w14:paraId="66ED86A5" w14:textId="68C695AE">
          <w:pPr>
            <w:pStyle w:val="TOC4"/>
            <w:tabs>
              <w:tab w:val="left" w:pos="1728"/>
              <w:tab w:val="right" w:leader="dot" w:pos="9350"/>
            </w:tabs>
            <w:rPr>
              <w:rFonts w:asciiTheme="minorHAnsi" w:hAnsiTheme="minorHAnsi" w:eastAsiaTheme="minorEastAsia" w:cstheme="minorBidi"/>
              <w:noProof/>
              <w:sz w:val="22"/>
              <w:szCs w:val="22"/>
            </w:rPr>
          </w:pPr>
          <w:hyperlink w:history="1" w:anchor="_Toc69947942">
            <w:r w:rsidRPr="00FD24A9" w:rsidR="00C054EE">
              <w:rPr>
                <w:rStyle w:val="Hyperlink"/>
                <w:noProof/>
              </w:rPr>
              <w:t>6.4.6.2.</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_Toc69947942 \h </w:instrText>
            </w:r>
            <w:r w:rsidR="00C054EE">
              <w:rPr>
                <w:noProof/>
                <w:webHidden/>
              </w:rPr>
            </w:r>
            <w:r w:rsidR="00C054EE">
              <w:rPr>
                <w:noProof/>
                <w:webHidden/>
              </w:rPr>
              <w:fldChar w:fldCharType="separate"/>
            </w:r>
            <w:r w:rsidR="004C2E01">
              <w:rPr>
                <w:noProof/>
                <w:webHidden/>
              </w:rPr>
              <w:t>157</w:t>
            </w:r>
            <w:r w:rsidR="00C054EE">
              <w:rPr>
                <w:noProof/>
                <w:webHidden/>
              </w:rPr>
              <w:fldChar w:fldCharType="end"/>
            </w:r>
          </w:hyperlink>
        </w:p>
        <w:p w:rsidR="00C054EE" w:rsidRDefault="000D5832" w14:paraId="41535051" w14:textId="4E5D6B94">
          <w:pPr>
            <w:pStyle w:val="TOC4"/>
            <w:tabs>
              <w:tab w:val="left" w:pos="1728"/>
              <w:tab w:val="right" w:leader="dot" w:pos="9350"/>
            </w:tabs>
            <w:rPr>
              <w:rFonts w:asciiTheme="minorHAnsi" w:hAnsiTheme="minorHAnsi" w:eastAsiaTheme="minorEastAsia" w:cstheme="minorBidi"/>
              <w:noProof/>
              <w:sz w:val="22"/>
              <w:szCs w:val="22"/>
            </w:rPr>
          </w:pPr>
          <w:hyperlink w:history="1" w:anchor="_Toc69947943">
            <w:r w:rsidRPr="00FD24A9" w:rsidR="00C054EE">
              <w:rPr>
                <w:rStyle w:val="Hyperlink"/>
                <w:noProof/>
              </w:rPr>
              <w:t>6.4.6.3.</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_Toc69947943 \h </w:instrText>
            </w:r>
            <w:r w:rsidR="00C054EE">
              <w:rPr>
                <w:noProof/>
                <w:webHidden/>
              </w:rPr>
            </w:r>
            <w:r w:rsidR="00C054EE">
              <w:rPr>
                <w:noProof/>
                <w:webHidden/>
              </w:rPr>
              <w:fldChar w:fldCharType="separate"/>
            </w:r>
            <w:r w:rsidR="004C2E01">
              <w:rPr>
                <w:noProof/>
                <w:webHidden/>
              </w:rPr>
              <w:t>158</w:t>
            </w:r>
            <w:r w:rsidR="00C054EE">
              <w:rPr>
                <w:noProof/>
                <w:webHidden/>
              </w:rPr>
              <w:fldChar w:fldCharType="end"/>
            </w:r>
          </w:hyperlink>
        </w:p>
        <w:p w:rsidR="00C054EE" w:rsidRDefault="000D5832" w14:paraId="343D0E3D" w14:textId="7ED51341">
          <w:pPr>
            <w:pStyle w:val="TOC4"/>
            <w:tabs>
              <w:tab w:val="left" w:pos="1728"/>
              <w:tab w:val="right" w:leader="dot" w:pos="9350"/>
            </w:tabs>
            <w:rPr>
              <w:rFonts w:asciiTheme="minorHAnsi" w:hAnsiTheme="minorHAnsi" w:eastAsiaTheme="minorEastAsia" w:cstheme="minorBidi"/>
              <w:noProof/>
              <w:sz w:val="22"/>
              <w:szCs w:val="22"/>
            </w:rPr>
          </w:pPr>
          <w:hyperlink w:history="1" w:anchor="_Toc69947944">
            <w:r w:rsidRPr="00FD24A9" w:rsidR="00C054EE">
              <w:rPr>
                <w:rStyle w:val="Hyperlink"/>
                <w:noProof/>
              </w:rPr>
              <w:t>6.4.6.4.</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_Toc69947944 \h </w:instrText>
            </w:r>
            <w:r w:rsidR="00C054EE">
              <w:rPr>
                <w:noProof/>
                <w:webHidden/>
              </w:rPr>
            </w:r>
            <w:r w:rsidR="00C054EE">
              <w:rPr>
                <w:noProof/>
                <w:webHidden/>
              </w:rPr>
              <w:fldChar w:fldCharType="separate"/>
            </w:r>
            <w:r w:rsidR="004C2E01">
              <w:rPr>
                <w:noProof/>
                <w:webHidden/>
              </w:rPr>
              <w:t>160</w:t>
            </w:r>
            <w:r w:rsidR="00C054EE">
              <w:rPr>
                <w:noProof/>
                <w:webHidden/>
              </w:rPr>
              <w:fldChar w:fldCharType="end"/>
            </w:r>
          </w:hyperlink>
        </w:p>
        <w:p w:rsidR="00C054EE" w:rsidRDefault="000D5832" w14:paraId="255819B2" w14:textId="6065DEFC">
          <w:pPr>
            <w:pStyle w:val="TOC4"/>
            <w:tabs>
              <w:tab w:val="left" w:pos="1728"/>
              <w:tab w:val="right" w:leader="dot" w:pos="9350"/>
            </w:tabs>
            <w:rPr>
              <w:rFonts w:asciiTheme="minorHAnsi" w:hAnsiTheme="minorHAnsi" w:eastAsiaTheme="minorEastAsia" w:cstheme="minorBidi"/>
              <w:noProof/>
              <w:sz w:val="22"/>
              <w:szCs w:val="22"/>
            </w:rPr>
          </w:pPr>
          <w:hyperlink w:history="1" w:anchor="_Toc69947945">
            <w:r w:rsidRPr="00FD24A9" w:rsidR="00C054EE">
              <w:rPr>
                <w:rStyle w:val="Hyperlink"/>
                <w:noProof/>
              </w:rPr>
              <w:t>6.4.6.5.</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_Toc69947945 \h </w:instrText>
            </w:r>
            <w:r w:rsidR="00C054EE">
              <w:rPr>
                <w:noProof/>
                <w:webHidden/>
              </w:rPr>
            </w:r>
            <w:r w:rsidR="00C054EE">
              <w:rPr>
                <w:noProof/>
                <w:webHidden/>
              </w:rPr>
              <w:fldChar w:fldCharType="separate"/>
            </w:r>
            <w:r w:rsidR="004C2E01">
              <w:rPr>
                <w:noProof/>
                <w:webHidden/>
              </w:rPr>
              <w:t>161</w:t>
            </w:r>
            <w:r w:rsidR="00C054EE">
              <w:rPr>
                <w:noProof/>
                <w:webHidden/>
              </w:rPr>
              <w:fldChar w:fldCharType="end"/>
            </w:r>
          </w:hyperlink>
        </w:p>
        <w:p w:rsidR="00C054EE" w:rsidRDefault="000D5832" w14:paraId="3FDE8BD8" w14:textId="0B6DE7EF">
          <w:pPr>
            <w:pStyle w:val="TOC4"/>
            <w:tabs>
              <w:tab w:val="left" w:pos="1728"/>
              <w:tab w:val="right" w:leader="dot" w:pos="9350"/>
            </w:tabs>
            <w:rPr>
              <w:rFonts w:asciiTheme="minorHAnsi" w:hAnsiTheme="minorHAnsi" w:eastAsiaTheme="minorEastAsia" w:cstheme="minorBidi"/>
              <w:noProof/>
              <w:sz w:val="22"/>
              <w:szCs w:val="22"/>
            </w:rPr>
          </w:pPr>
          <w:hyperlink w:history="1" w:anchor="_Toc69947946">
            <w:r w:rsidRPr="00FD24A9" w:rsidR="00C054EE">
              <w:rPr>
                <w:rStyle w:val="Hyperlink"/>
                <w:noProof/>
              </w:rPr>
              <w:t>6.4.6.6.</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_Toc69947946 \h </w:instrText>
            </w:r>
            <w:r w:rsidR="00C054EE">
              <w:rPr>
                <w:noProof/>
                <w:webHidden/>
              </w:rPr>
            </w:r>
            <w:r w:rsidR="00C054EE">
              <w:rPr>
                <w:noProof/>
                <w:webHidden/>
              </w:rPr>
              <w:fldChar w:fldCharType="separate"/>
            </w:r>
            <w:r w:rsidR="004C2E01">
              <w:rPr>
                <w:noProof/>
                <w:webHidden/>
              </w:rPr>
              <w:t>161</w:t>
            </w:r>
            <w:r w:rsidR="00C054EE">
              <w:rPr>
                <w:noProof/>
                <w:webHidden/>
              </w:rPr>
              <w:fldChar w:fldCharType="end"/>
            </w:r>
          </w:hyperlink>
        </w:p>
        <w:p w:rsidR="00C054EE" w:rsidRDefault="000D5832" w14:paraId="57A7B090" w14:textId="284D6A4E">
          <w:pPr>
            <w:pStyle w:val="TOC4"/>
            <w:tabs>
              <w:tab w:val="left" w:pos="1728"/>
              <w:tab w:val="right" w:leader="dot" w:pos="9350"/>
            </w:tabs>
            <w:rPr>
              <w:rFonts w:asciiTheme="minorHAnsi" w:hAnsiTheme="minorHAnsi" w:eastAsiaTheme="minorEastAsia" w:cstheme="minorBidi"/>
              <w:noProof/>
              <w:sz w:val="22"/>
              <w:szCs w:val="22"/>
            </w:rPr>
          </w:pPr>
          <w:hyperlink w:history="1" w:anchor="_Toc69947947">
            <w:r w:rsidRPr="00FD24A9" w:rsidR="00C054EE">
              <w:rPr>
                <w:rStyle w:val="Hyperlink"/>
                <w:noProof/>
              </w:rPr>
              <w:t>6.4.6.7.</w:t>
            </w:r>
            <w:r w:rsidR="00C054EE">
              <w:rPr>
                <w:rFonts w:asciiTheme="minorHAnsi" w:hAnsiTheme="minorHAnsi" w:eastAsiaTheme="minorEastAsia" w:cstheme="minorBidi"/>
                <w:noProof/>
                <w:sz w:val="22"/>
                <w:szCs w:val="22"/>
              </w:rPr>
              <w:tab/>
            </w:r>
            <w:r w:rsidRPr="00FD24A9" w:rsidR="00C054EE">
              <w:rPr>
                <w:rStyle w:val="Hyperlink"/>
                <w:noProof/>
              </w:rPr>
              <w:t>TELACU et al.</w:t>
            </w:r>
            <w:r w:rsidR="00C054EE">
              <w:rPr>
                <w:noProof/>
                <w:webHidden/>
              </w:rPr>
              <w:tab/>
            </w:r>
            <w:r w:rsidR="00C054EE">
              <w:rPr>
                <w:noProof/>
                <w:webHidden/>
              </w:rPr>
              <w:fldChar w:fldCharType="begin"/>
            </w:r>
            <w:r w:rsidR="00C054EE">
              <w:rPr>
                <w:noProof/>
                <w:webHidden/>
              </w:rPr>
              <w:instrText xml:space="preserve"> PAGEREF _Toc69947947 \h </w:instrText>
            </w:r>
            <w:r w:rsidR="00C054EE">
              <w:rPr>
                <w:noProof/>
                <w:webHidden/>
              </w:rPr>
            </w:r>
            <w:r w:rsidR="00C054EE">
              <w:rPr>
                <w:noProof/>
                <w:webHidden/>
              </w:rPr>
              <w:fldChar w:fldCharType="separate"/>
            </w:r>
            <w:r w:rsidR="004C2E01">
              <w:rPr>
                <w:noProof/>
                <w:webHidden/>
              </w:rPr>
              <w:t>162</w:t>
            </w:r>
            <w:r w:rsidR="00C054EE">
              <w:rPr>
                <w:noProof/>
                <w:webHidden/>
              </w:rPr>
              <w:fldChar w:fldCharType="end"/>
            </w:r>
          </w:hyperlink>
        </w:p>
        <w:p w:rsidR="00C054EE" w:rsidRDefault="000D5832" w14:paraId="572D6F02" w14:textId="78619914">
          <w:pPr>
            <w:pStyle w:val="TOC4"/>
            <w:tabs>
              <w:tab w:val="left" w:pos="1728"/>
              <w:tab w:val="right" w:leader="dot" w:pos="9350"/>
            </w:tabs>
            <w:rPr>
              <w:rFonts w:asciiTheme="minorHAnsi" w:hAnsiTheme="minorHAnsi" w:eastAsiaTheme="minorEastAsia" w:cstheme="minorBidi"/>
              <w:noProof/>
              <w:sz w:val="22"/>
              <w:szCs w:val="22"/>
            </w:rPr>
          </w:pPr>
          <w:hyperlink w:history="1" w:anchor="_Toc69947948">
            <w:r w:rsidRPr="00FD24A9" w:rsidR="00C054EE">
              <w:rPr>
                <w:rStyle w:val="Hyperlink"/>
                <w:noProof/>
              </w:rPr>
              <w:t>6.4.6.8.</w:t>
            </w:r>
            <w:r w:rsidR="00C054EE">
              <w:rPr>
                <w:rFonts w:asciiTheme="minorHAnsi" w:hAnsiTheme="minorHAnsi" w:eastAsiaTheme="minorEastAsia" w:cstheme="minorBidi"/>
                <w:noProof/>
                <w:sz w:val="22"/>
                <w:szCs w:val="22"/>
              </w:rPr>
              <w:tab/>
            </w:r>
            <w:r w:rsidRPr="00FD24A9" w:rsidR="00C054EE">
              <w:rPr>
                <w:rStyle w:val="Hyperlink"/>
                <w:noProof/>
              </w:rPr>
              <w:t>PCF</w:t>
            </w:r>
            <w:r w:rsidR="00C054EE">
              <w:rPr>
                <w:noProof/>
                <w:webHidden/>
              </w:rPr>
              <w:tab/>
            </w:r>
            <w:r w:rsidR="00C054EE">
              <w:rPr>
                <w:noProof/>
                <w:webHidden/>
              </w:rPr>
              <w:fldChar w:fldCharType="begin"/>
            </w:r>
            <w:r w:rsidR="00C054EE">
              <w:rPr>
                <w:noProof/>
                <w:webHidden/>
              </w:rPr>
              <w:instrText xml:space="preserve"> PAGEREF _Toc69947948 \h </w:instrText>
            </w:r>
            <w:r w:rsidR="00C054EE">
              <w:rPr>
                <w:noProof/>
                <w:webHidden/>
              </w:rPr>
            </w:r>
            <w:r w:rsidR="00C054EE">
              <w:rPr>
                <w:noProof/>
                <w:webHidden/>
              </w:rPr>
              <w:fldChar w:fldCharType="separate"/>
            </w:r>
            <w:r w:rsidR="004C2E01">
              <w:rPr>
                <w:noProof/>
                <w:webHidden/>
              </w:rPr>
              <w:t>163</w:t>
            </w:r>
            <w:r w:rsidR="00C054EE">
              <w:rPr>
                <w:noProof/>
                <w:webHidden/>
              </w:rPr>
              <w:fldChar w:fldCharType="end"/>
            </w:r>
          </w:hyperlink>
        </w:p>
        <w:p w:rsidR="00C054EE" w:rsidRDefault="000D5832" w14:paraId="050892BF" w14:textId="086FFC01">
          <w:pPr>
            <w:pStyle w:val="TOC3"/>
            <w:tabs>
              <w:tab w:val="left" w:pos="1296"/>
              <w:tab w:val="right" w:leader="dot" w:pos="9350"/>
            </w:tabs>
            <w:rPr>
              <w:rFonts w:asciiTheme="minorHAnsi" w:hAnsiTheme="minorHAnsi" w:cstheme="minorBidi"/>
              <w:noProof/>
              <w:sz w:val="22"/>
              <w:szCs w:val="22"/>
            </w:rPr>
          </w:pPr>
          <w:hyperlink w:history="1" w:anchor="_Toc69947949">
            <w:r w:rsidRPr="00FD24A9" w:rsidR="00C054EE">
              <w:rPr>
                <w:rStyle w:val="Hyperlink"/>
                <w:noProof/>
              </w:rPr>
              <w:t>6.4.7.</w:t>
            </w:r>
            <w:r w:rsidR="00C054EE">
              <w:rPr>
                <w:rFonts w:asciiTheme="minorHAnsi" w:hAnsiTheme="minorHAnsi" w:cstheme="minorBidi"/>
                <w:noProof/>
                <w:sz w:val="22"/>
                <w:szCs w:val="22"/>
              </w:rPr>
              <w:tab/>
            </w:r>
            <w:r w:rsidRPr="00FD24A9" w:rsidR="00C054EE">
              <w:rPr>
                <w:rStyle w:val="Hyperlink"/>
                <w:noProof/>
              </w:rPr>
              <w:t>IOU Response</w:t>
            </w:r>
            <w:r w:rsidR="00C054EE">
              <w:rPr>
                <w:noProof/>
                <w:webHidden/>
              </w:rPr>
              <w:tab/>
            </w:r>
            <w:r w:rsidR="00C054EE">
              <w:rPr>
                <w:noProof/>
                <w:webHidden/>
              </w:rPr>
              <w:fldChar w:fldCharType="begin"/>
            </w:r>
            <w:r w:rsidR="00C054EE">
              <w:rPr>
                <w:noProof/>
                <w:webHidden/>
              </w:rPr>
              <w:instrText xml:space="preserve"> PAGEREF _Toc69947949 \h </w:instrText>
            </w:r>
            <w:r w:rsidR="00C054EE">
              <w:rPr>
                <w:noProof/>
                <w:webHidden/>
              </w:rPr>
            </w:r>
            <w:r w:rsidR="00C054EE">
              <w:rPr>
                <w:noProof/>
                <w:webHidden/>
              </w:rPr>
              <w:fldChar w:fldCharType="separate"/>
            </w:r>
            <w:r w:rsidR="004C2E01">
              <w:rPr>
                <w:noProof/>
                <w:webHidden/>
              </w:rPr>
              <w:t>163</w:t>
            </w:r>
            <w:r w:rsidR="00C054EE">
              <w:rPr>
                <w:noProof/>
                <w:webHidden/>
              </w:rPr>
              <w:fldChar w:fldCharType="end"/>
            </w:r>
          </w:hyperlink>
        </w:p>
        <w:p w:rsidR="00C054EE" w:rsidRDefault="000D5832" w14:paraId="34F255E5" w14:textId="2779E11E">
          <w:pPr>
            <w:pStyle w:val="TOC4"/>
            <w:tabs>
              <w:tab w:val="left" w:pos="1728"/>
              <w:tab w:val="right" w:leader="dot" w:pos="9350"/>
            </w:tabs>
            <w:rPr>
              <w:rFonts w:asciiTheme="minorHAnsi" w:hAnsiTheme="minorHAnsi" w:eastAsiaTheme="minorEastAsia" w:cstheme="minorBidi"/>
              <w:noProof/>
              <w:sz w:val="22"/>
              <w:szCs w:val="22"/>
            </w:rPr>
          </w:pPr>
          <w:hyperlink w:history="1" w:anchor="_Toc69947950">
            <w:r w:rsidRPr="00FD24A9" w:rsidR="00C054EE">
              <w:rPr>
                <w:rStyle w:val="Hyperlink"/>
                <w:noProof/>
              </w:rPr>
              <w:t>6.4.7.1.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_Toc69947950 \h </w:instrText>
            </w:r>
            <w:r w:rsidR="00C054EE">
              <w:rPr>
                <w:noProof/>
                <w:webHidden/>
              </w:rPr>
            </w:r>
            <w:r w:rsidR="00C054EE">
              <w:rPr>
                <w:noProof/>
                <w:webHidden/>
              </w:rPr>
              <w:fldChar w:fldCharType="separate"/>
            </w:r>
            <w:r w:rsidR="004C2E01">
              <w:rPr>
                <w:noProof/>
                <w:webHidden/>
              </w:rPr>
              <w:t>163</w:t>
            </w:r>
            <w:r w:rsidR="00C054EE">
              <w:rPr>
                <w:noProof/>
                <w:webHidden/>
              </w:rPr>
              <w:fldChar w:fldCharType="end"/>
            </w:r>
          </w:hyperlink>
        </w:p>
        <w:p w:rsidR="00C054EE" w:rsidRDefault="000D5832" w14:paraId="4FD607FC" w14:textId="5807D6DD">
          <w:pPr>
            <w:pStyle w:val="TOC4"/>
            <w:tabs>
              <w:tab w:val="left" w:pos="1728"/>
              <w:tab w:val="right" w:leader="dot" w:pos="9350"/>
            </w:tabs>
            <w:rPr>
              <w:rFonts w:asciiTheme="minorHAnsi" w:hAnsiTheme="minorHAnsi" w:eastAsiaTheme="minorEastAsia" w:cstheme="minorBidi"/>
              <w:noProof/>
              <w:sz w:val="22"/>
              <w:szCs w:val="22"/>
            </w:rPr>
          </w:pPr>
          <w:hyperlink w:history="1" w:anchor="_Toc69947951">
            <w:r w:rsidRPr="00FD24A9" w:rsidR="00C054EE">
              <w:rPr>
                <w:rStyle w:val="Hyperlink"/>
                <w:noProof/>
              </w:rPr>
              <w:t>6.4.7.2.</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_Toc69947951 \h </w:instrText>
            </w:r>
            <w:r w:rsidR="00C054EE">
              <w:rPr>
                <w:noProof/>
                <w:webHidden/>
              </w:rPr>
            </w:r>
            <w:r w:rsidR="00C054EE">
              <w:rPr>
                <w:noProof/>
                <w:webHidden/>
              </w:rPr>
              <w:fldChar w:fldCharType="separate"/>
            </w:r>
            <w:r w:rsidR="004C2E01">
              <w:rPr>
                <w:noProof/>
                <w:webHidden/>
              </w:rPr>
              <w:t>163</w:t>
            </w:r>
            <w:r w:rsidR="00C054EE">
              <w:rPr>
                <w:noProof/>
                <w:webHidden/>
              </w:rPr>
              <w:fldChar w:fldCharType="end"/>
            </w:r>
          </w:hyperlink>
        </w:p>
        <w:p w:rsidR="00C054EE" w:rsidRDefault="000D5832" w14:paraId="60FD278F" w14:textId="5F7A52A1">
          <w:pPr>
            <w:pStyle w:val="TOC3"/>
            <w:tabs>
              <w:tab w:val="left" w:pos="1296"/>
              <w:tab w:val="right" w:leader="dot" w:pos="9350"/>
            </w:tabs>
            <w:rPr>
              <w:rFonts w:asciiTheme="minorHAnsi" w:hAnsiTheme="minorHAnsi" w:cstheme="minorBidi"/>
              <w:noProof/>
              <w:sz w:val="22"/>
              <w:szCs w:val="22"/>
            </w:rPr>
          </w:pPr>
          <w:hyperlink w:history="1" w:anchor="_Toc69947952">
            <w:r w:rsidRPr="00FD24A9" w:rsidR="00C054EE">
              <w:rPr>
                <w:rStyle w:val="Hyperlink"/>
                <w:noProof/>
              </w:rPr>
              <w:t>6.4.8.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_Toc69947952 \h </w:instrText>
            </w:r>
            <w:r w:rsidR="00C054EE">
              <w:rPr>
                <w:noProof/>
                <w:webHidden/>
              </w:rPr>
            </w:r>
            <w:r w:rsidR="00C054EE">
              <w:rPr>
                <w:noProof/>
                <w:webHidden/>
              </w:rPr>
              <w:fldChar w:fldCharType="separate"/>
            </w:r>
            <w:r w:rsidR="004C2E01">
              <w:rPr>
                <w:noProof/>
                <w:webHidden/>
              </w:rPr>
              <w:t>164</w:t>
            </w:r>
            <w:r w:rsidR="00C054EE">
              <w:rPr>
                <w:noProof/>
                <w:webHidden/>
              </w:rPr>
              <w:fldChar w:fldCharType="end"/>
            </w:r>
          </w:hyperlink>
        </w:p>
        <w:p w:rsidR="00C054EE" w:rsidRDefault="000D5832" w14:paraId="6AE3910F" w14:textId="6CC4C7CF">
          <w:pPr>
            <w:pStyle w:val="TOC4"/>
            <w:tabs>
              <w:tab w:val="left" w:pos="1728"/>
              <w:tab w:val="right" w:leader="dot" w:pos="9350"/>
            </w:tabs>
            <w:rPr>
              <w:rFonts w:asciiTheme="minorHAnsi" w:hAnsiTheme="minorHAnsi" w:eastAsiaTheme="minorEastAsia" w:cstheme="minorBidi"/>
              <w:noProof/>
              <w:sz w:val="22"/>
              <w:szCs w:val="22"/>
            </w:rPr>
          </w:pPr>
          <w:hyperlink w:history="1" w:anchor="_Toc69947953">
            <w:r w:rsidRPr="00FD24A9" w:rsidR="00C054EE">
              <w:rPr>
                <w:rStyle w:val="Hyperlink"/>
                <w:noProof/>
              </w:rPr>
              <w:t>6.4.8.1.</w:t>
            </w:r>
            <w:r w:rsidR="00C054EE">
              <w:rPr>
                <w:rFonts w:asciiTheme="minorHAnsi" w:hAnsiTheme="minorHAnsi" w:eastAsiaTheme="minorEastAsia" w:cstheme="minorBidi"/>
                <w:noProof/>
                <w:sz w:val="22"/>
                <w:szCs w:val="22"/>
              </w:rPr>
              <w:tab/>
            </w:r>
            <w:r w:rsidRPr="00FD24A9" w:rsidR="00C054EE">
              <w:rPr>
                <w:rStyle w:val="Hyperlink"/>
                <w:noProof/>
              </w:rPr>
              <w:t xml:space="preserve">IOU Designs: Approved with Additional </w:t>
            </w:r>
            <w:r w:rsidR="00480C4A">
              <w:rPr>
                <w:rStyle w:val="Hyperlink"/>
                <w:noProof/>
              </w:rPr>
              <w:br/>
            </w:r>
            <w:r w:rsidRPr="00FD24A9" w:rsidR="00C054EE">
              <w:rPr>
                <w:rStyle w:val="Hyperlink"/>
                <w:noProof/>
              </w:rPr>
              <w:t>Reporting Requirements</w:t>
            </w:r>
            <w:r w:rsidR="00C054EE">
              <w:rPr>
                <w:noProof/>
                <w:webHidden/>
              </w:rPr>
              <w:tab/>
            </w:r>
            <w:r w:rsidR="00C054EE">
              <w:rPr>
                <w:noProof/>
                <w:webHidden/>
              </w:rPr>
              <w:fldChar w:fldCharType="begin"/>
            </w:r>
            <w:r w:rsidR="00C054EE">
              <w:rPr>
                <w:noProof/>
                <w:webHidden/>
              </w:rPr>
              <w:instrText xml:space="preserve"> PAGEREF _Toc69947953 \h </w:instrText>
            </w:r>
            <w:r w:rsidR="00C054EE">
              <w:rPr>
                <w:noProof/>
                <w:webHidden/>
              </w:rPr>
            </w:r>
            <w:r w:rsidR="00C054EE">
              <w:rPr>
                <w:noProof/>
                <w:webHidden/>
              </w:rPr>
              <w:fldChar w:fldCharType="separate"/>
            </w:r>
            <w:r w:rsidR="004C2E01">
              <w:rPr>
                <w:noProof/>
                <w:webHidden/>
              </w:rPr>
              <w:t>164</w:t>
            </w:r>
            <w:r w:rsidR="00C054EE">
              <w:rPr>
                <w:noProof/>
                <w:webHidden/>
              </w:rPr>
              <w:fldChar w:fldCharType="end"/>
            </w:r>
          </w:hyperlink>
        </w:p>
        <w:p w:rsidR="00C054EE" w:rsidRDefault="000D5832" w14:paraId="3740CCCF" w14:textId="264C734F">
          <w:pPr>
            <w:pStyle w:val="TOC4"/>
            <w:tabs>
              <w:tab w:val="left" w:pos="1728"/>
              <w:tab w:val="right" w:leader="dot" w:pos="9350"/>
            </w:tabs>
            <w:rPr>
              <w:rFonts w:asciiTheme="minorHAnsi" w:hAnsiTheme="minorHAnsi" w:eastAsiaTheme="minorEastAsia" w:cstheme="minorBidi"/>
              <w:noProof/>
              <w:sz w:val="22"/>
              <w:szCs w:val="22"/>
            </w:rPr>
          </w:pPr>
          <w:hyperlink w:history="1" w:anchor="_Toc69947954">
            <w:r w:rsidRPr="00FD24A9" w:rsidR="00C054EE">
              <w:rPr>
                <w:rStyle w:val="Hyperlink"/>
                <w:noProof/>
              </w:rPr>
              <w:t>6.4.8.2.</w:t>
            </w:r>
            <w:r w:rsidR="00C054EE">
              <w:rPr>
                <w:rFonts w:asciiTheme="minorHAnsi" w:hAnsiTheme="minorHAnsi" w:eastAsiaTheme="minorEastAsia" w:cstheme="minorBidi"/>
                <w:noProof/>
                <w:sz w:val="22"/>
                <w:szCs w:val="22"/>
              </w:rPr>
              <w:tab/>
            </w:r>
            <w:r w:rsidRPr="00FD24A9" w:rsidR="00C054EE">
              <w:rPr>
                <w:rStyle w:val="Hyperlink"/>
                <w:noProof/>
              </w:rPr>
              <w:t>Ideal Efficient State: Denied</w:t>
            </w:r>
            <w:r w:rsidR="00C054EE">
              <w:rPr>
                <w:noProof/>
                <w:webHidden/>
              </w:rPr>
              <w:tab/>
            </w:r>
            <w:r w:rsidR="00C054EE">
              <w:rPr>
                <w:noProof/>
                <w:webHidden/>
              </w:rPr>
              <w:fldChar w:fldCharType="begin"/>
            </w:r>
            <w:r w:rsidR="00C054EE">
              <w:rPr>
                <w:noProof/>
                <w:webHidden/>
              </w:rPr>
              <w:instrText xml:space="preserve"> PAGEREF _Toc69947954 \h </w:instrText>
            </w:r>
            <w:r w:rsidR="00C054EE">
              <w:rPr>
                <w:noProof/>
                <w:webHidden/>
              </w:rPr>
            </w:r>
            <w:r w:rsidR="00C054EE">
              <w:rPr>
                <w:noProof/>
                <w:webHidden/>
              </w:rPr>
              <w:fldChar w:fldCharType="separate"/>
            </w:r>
            <w:r w:rsidR="004C2E01">
              <w:rPr>
                <w:noProof/>
                <w:webHidden/>
              </w:rPr>
              <w:t>166</w:t>
            </w:r>
            <w:r w:rsidR="00C054EE">
              <w:rPr>
                <w:noProof/>
                <w:webHidden/>
              </w:rPr>
              <w:fldChar w:fldCharType="end"/>
            </w:r>
          </w:hyperlink>
        </w:p>
        <w:p w:rsidR="00C054EE" w:rsidRDefault="000D5832" w14:paraId="4BFDEB74" w14:textId="6A71F9F8">
          <w:pPr>
            <w:pStyle w:val="TOC4"/>
            <w:tabs>
              <w:tab w:val="left" w:pos="1728"/>
              <w:tab w:val="right" w:leader="dot" w:pos="9350"/>
            </w:tabs>
            <w:rPr>
              <w:rFonts w:asciiTheme="minorHAnsi" w:hAnsiTheme="minorHAnsi" w:eastAsiaTheme="minorEastAsia" w:cstheme="minorBidi"/>
              <w:noProof/>
              <w:sz w:val="22"/>
              <w:szCs w:val="22"/>
            </w:rPr>
          </w:pPr>
          <w:hyperlink w:history="1" w:anchor="_Toc69947955">
            <w:r w:rsidRPr="00FD24A9" w:rsidR="00C054EE">
              <w:rPr>
                <w:rStyle w:val="Hyperlink"/>
                <w:noProof/>
              </w:rPr>
              <w:t>6.4.8.3.</w:t>
            </w:r>
            <w:r w:rsidR="00C054EE">
              <w:rPr>
                <w:rFonts w:asciiTheme="minorHAnsi" w:hAnsiTheme="minorHAnsi" w:eastAsiaTheme="minorEastAsia" w:cstheme="minorBidi"/>
                <w:noProof/>
                <w:sz w:val="22"/>
                <w:szCs w:val="22"/>
              </w:rPr>
              <w:tab/>
            </w:r>
            <w:r w:rsidRPr="00FD24A9" w:rsidR="00C054EE">
              <w:rPr>
                <w:rStyle w:val="Hyperlink"/>
                <w:noProof/>
              </w:rPr>
              <w:t>Two Tiered Approach: Denied</w:t>
            </w:r>
            <w:r w:rsidR="00C054EE">
              <w:rPr>
                <w:noProof/>
                <w:webHidden/>
              </w:rPr>
              <w:tab/>
            </w:r>
            <w:r w:rsidR="00C054EE">
              <w:rPr>
                <w:noProof/>
                <w:webHidden/>
              </w:rPr>
              <w:fldChar w:fldCharType="begin"/>
            </w:r>
            <w:r w:rsidR="00C054EE">
              <w:rPr>
                <w:noProof/>
                <w:webHidden/>
              </w:rPr>
              <w:instrText xml:space="preserve"> PAGEREF _Toc69947955 \h </w:instrText>
            </w:r>
            <w:r w:rsidR="00C054EE">
              <w:rPr>
                <w:noProof/>
                <w:webHidden/>
              </w:rPr>
            </w:r>
            <w:r w:rsidR="00C054EE">
              <w:rPr>
                <w:noProof/>
                <w:webHidden/>
              </w:rPr>
              <w:fldChar w:fldCharType="separate"/>
            </w:r>
            <w:r w:rsidR="004C2E01">
              <w:rPr>
                <w:noProof/>
                <w:webHidden/>
              </w:rPr>
              <w:t>167</w:t>
            </w:r>
            <w:r w:rsidR="00C054EE">
              <w:rPr>
                <w:noProof/>
                <w:webHidden/>
              </w:rPr>
              <w:fldChar w:fldCharType="end"/>
            </w:r>
          </w:hyperlink>
        </w:p>
        <w:p w:rsidR="00C054EE" w:rsidRDefault="000D5832" w14:paraId="673E9B34" w14:textId="6D29E06D">
          <w:pPr>
            <w:pStyle w:val="TOC4"/>
            <w:tabs>
              <w:tab w:val="left" w:pos="1728"/>
              <w:tab w:val="right" w:leader="dot" w:pos="9350"/>
            </w:tabs>
            <w:rPr>
              <w:rFonts w:asciiTheme="minorHAnsi" w:hAnsiTheme="minorHAnsi" w:eastAsiaTheme="minorEastAsia" w:cstheme="minorBidi"/>
              <w:noProof/>
              <w:sz w:val="22"/>
              <w:szCs w:val="22"/>
            </w:rPr>
          </w:pPr>
          <w:hyperlink w:history="1" w:anchor="_Toc69947956">
            <w:r w:rsidRPr="00FD24A9" w:rsidR="00C054EE">
              <w:rPr>
                <w:rStyle w:val="Hyperlink"/>
                <w:noProof/>
              </w:rPr>
              <w:t>6.4.8.4.</w:t>
            </w:r>
            <w:r w:rsidR="00C054EE">
              <w:rPr>
                <w:rFonts w:asciiTheme="minorHAnsi" w:hAnsiTheme="minorHAnsi" w:eastAsiaTheme="minorEastAsia" w:cstheme="minorBidi"/>
                <w:noProof/>
                <w:sz w:val="22"/>
                <w:szCs w:val="22"/>
              </w:rPr>
              <w:tab/>
            </w:r>
            <w:r w:rsidRPr="00FD24A9" w:rsidR="00C054EE">
              <w:rPr>
                <w:rStyle w:val="Hyperlink"/>
                <w:noProof/>
              </w:rPr>
              <w:t>Treatment of Go-Backs: Denied</w:t>
            </w:r>
            <w:r w:rsidR="00C054EE">
              <w:rPr>
                <w:noProof/>
                <w:webHidden/>
              </w:rPr>
              <w:tab/>
            </w:r>
            <w:r w:rsidR="00C054EE">
              <w:rPr>
                <w:noProof/>
                <w:webHidden/>
              </w:rPr>
              <w:fldChar w:fldCharType="begin"/>
            </w:r>
            <w:r w:rsidR="00C054EE">
              <w:rPr>
                <w:noProof/>
                <w:webHidden/>
              </w:rPr>
              <w:instrText xml:space="preserve"> PAGEREF _Toc69947956 \h </w:instrText>
            </w:r>
            <w:r w:rsidR="00C054EE">
              <w:rPr>
                <w:noProof/>
                <w:webHidden/>
              </w:rPr>
            </w:r>
            <w:r w:rsidR="00C054EE">
              <w:rPr>
                <w:noProof/>
                <w:webHidden/>
              </w:rPr>
              <w:fldChar w:fldCharType="separate"/>
            </w:r>
            <w:r w:rsidR="004C2E01">
              <w:rPr>
                <w:noProof/>
                <w:webHidden/>
              </w:rPr>
              <w:t>167</w:t>
            </w:r>
            <w:r w:rsidR="00C054EE">
              <w:rPr>
                <w:noProof/>
                <w:webHidden/>
              </w:rPr>
              <w:fldChar w:fldCharType="end"/>
            </w:r>
          </w:hyperlink>
        </w:p>
        <w:p w:rsidR="00C054EE" w:rsidRDefault="000D5832" w14:paraId="67D50077" w14:textId="0E4AFB77">
          <w:pPr>
            <w:pStyle w:val="TOC4"/>
            <w:tabs>
              <w:tab w:val="left" w:pos="1728"/>
              <w:tab w:val="right" w:leader="dot" w:pos="9350"/>
            </w:tabs>
            <w:rPr>
              <w:rFonts w:asciiTheme="minorHAnsi" w:hAnsiTheme="minorHAnsi" w:eastAsiaTheme="minorEastAsia" w:cstheme="minorBidi"/>
              <w:noProof/>
              <w:sz w:val="22"/>
              <w:szCs w:val="22"/>
            </w:rPr>
          </w:pPr>
          <w:hyperlink w:history="1" w:anchor="_Toc69947957">
            <w:r w:rsidRPr="00FD24A9" w:rsidR="00C054EE">
              <w:rPr>
                <w:rStyle w:val="Hyperlink"/>
                <w:noProof/>
              </w:rPr>
              <w:t>6.4.8.5.</w:t>
            </w:r>
            <w:r w:rsidR="00C054EE">
              <w:rPr>
                <w:rFonts w:asciiTheme="minorHAnsi" w:hAnsiTheme="minorHAnsi" w:eastAsiaTheme="minorEastAsia" w:cstheme="minorBidi"/>
                <w:noProof/>
                <w:sz w:val="22"/>
                <w:szCs w:val="22"/>
              </w:rPr>
              <w:tab/>
            </w:r>
            <w:r w:rsidRPr="00FD24A9" w:rsidR="00C054EE">
              <w:rPr>
                <w:rStyle w:val="Hyperlink"/>
                <w:noProof/>
              </w:rPr>
              <w:t>LIWP Design Model: Denied</w:t>
            </w:r>
            <w:r w:rsidR="00C054EE">
              <w:rPr>
                <w:noProof/>
                <w:webHidden/>
              </w:rPr>
              <w:tab/>
            </w:r>
            <w:r w:rsidR="00C054EE">
              <w:rPr>
                <w:noProof/>
                <w:webHidden/>
              </w:rPr>
              <w:fldChar w:fldCharType="begin"/>
            </w:r>
            <w:r w:rsidR="00C054EE">
              <w:rPr>
                <w:noProof/>
                <w:webHidden/>
              </w:rPr>
              <w:instrText xml:space="preserve"> PAGEREF _Toc69947957 \h </w:instrText>
            </w:r>
            <w:r w:rsidR="00C054EE">
              <w:rPr>
                <w:noProof/>
                <w:webHidden/>
              </w:rPr>
            </w:r>
            <w:r w:rsidR="00C054EE">
              <w:rPr>
                <w:noProof/>
                <w:webHidden/>
              </w:rPr>
              <w:fldChar w:fldCharType="separate"/>
            </w:r>
            <w:r w:rsidR="004C2E01">
              <w:rPr>
                <w:noProof/>
                <w:webHidden/>
              </w:rPr>
              <w:t>168</w:t>
            </w:r>
            <w:r w:rsidR="00C054EE">
              <w:rPr>
                <w:noProof/>
                <w:webHidden/>
              </w:rPr>
              <w:fldChar w:fldCharType="end"/>
            </w:r>
          </w:hyperlink>
        </w:p>
        <w:p w:rsidR="00C054EE" w:rsidRDefault="000D5832" w14:paraId="717FC89E" w14:textId="555B7AE9">
          <w:pPr>
            <w:pStyle w:val="TOC4"/>
            <w:tabs>
              <w:tab w:val="left" w:pos="1728"/>
              <w:tab w:val="right" w:leader="dot" w:pos="9350"/>
            </w:tabs>
            <w:rPr>
              <w:rFonts w:asciiTheme="minorHAnsi" w:hAnsiTheme="minorHAnsi" w:eastAsiaTheme="minorEastAsia" w:cstheme="minorBidi"/>
              <w:noProof/>
              <w:sz w:val="22"/>
              <w:szCs w:val="22"/>
            </w:rPr>
          </w:pPr>
          <w:hyperlink w:history="1" w:anchor="_Toc69947958">
            <w:r w:rsidRPr="00FD24A9" w:rsidR="00C054EE">
              <w:rPr>
                <w:rStyle w:val="Hyperlink"/>
                <w:noProof/>
              </w:rPr>
              <w:t>6.4.8.6.</w:t>
            </w:r>
            <w:r w:rsidR="00C054EE">
              <w:rPr>
                <w:rFonts w:asciiTheme="minorHAnsi" w:hAnsiTheme="minorHAnsi" w:eastAsiaTheme="minorEastAsia" w:cstheme="minorBidi"/>
                <w:noProof/>
                <w:sz w:val="22"/>
                <w:szCs w:val="22"/>
              </w:rPr>
              <w:tab/>
            </w:r>
            <w:r w:rsidRPr="00FD24A9" w:rsidR="00C054EE">
              <w:rPr>
                <w:rStyle w:val="Hyperlink"/>
                <w:noProof/>
              </w:rPr>
              <w:t>Third Party Design Model: Denied</w:t>
            </w:r>
            <w:r w:rsidR="00C054EE">
              <w:rPr>
                <w:noProof/>
                <w:webHidden/>
              </w:rPr>
              <w:tab/>
            </w:r>
            <w:r w:rsidR="00C054EE">
              <w:rPr>
                <w:noProof/>
                <w:webHidden/>
              </w:rPr>
              <w:fldChar w:fldCharType="begin"/>
            </w:r>
            <w:r w:rsidR="00C054EE">
              <w:rPr>
                <w:noProof/>
                <w:webHidden/>
              </w:rPr>
              <w:instrText xml:space="preserve"> PAGEREF _Toc69947958 \h </w:instrText>
            </w:r>
            <w:r w:rsidR="00C054EE">
              <w:rPr>
                <w:noProof/>
                <w:webHidden/>
              </w:rPr>
            </w:r>
            <w:r w:rsidR="00C054EE">
              <w:rPr>
                <w:noProof/>
                <w:webHidden/>
              </w:rPr>
              <w:fldChar w:fldCharType="separate"/>
            </w:r>
            <w:r w:rsidR="004C2E01">
              <w:rPr>
                <w:noProof/>
                <w:webHidden/>
              </w:rPr>
              <w:t>168</w:t>
            </w:r>
            <w:r w:rsidR="00C054EE">
              <w:rPr>
                <w:noProof/>
                <w:webHidden/>
              </w:rPr>
              <w:fldChar w:fldCharType="end"/>
            </w:r>
          </w:hyperlink>
        </w:p>
        <w:p w:rsidR="00C054EE" w:rsidRDefault="000D5832" w14:paraId="4E404B1C" w14:textId="2698E32B">
          <w:pPr>
            <w:pStyle w:val="TOC2"/>
            <w:tabs>
              <w:tab w:val="right" w:leader="dot" w:pos="9350"/>
            </w:tabs>
            <w:rPr>
              <w:rFonts w:asciiTheme="minorHAnsi" w:hAnsiTheme="minorHAnsi" w:cstheme="minorBidi"/>
              <w:noProof/>
              <w:sz w:val="22"/>
              <w:szCs w:val="22"/>
            </w:rPr>
          </w:pPr>
          <w:hyperlink w:history="1" w:anchor="_Toc69947959">
            <w:r w:rsidRPr="00FD24A9" w:rsidR="00C054EE">
              <w:rPr>
                <w:rStyle w:val="Hyperlink"/>
                <w:noProof/>
              </w:rPr>
              <w:t>6.5.</w:t>
            </w:r>
            <w:r w:rsidR="00C054EE">
              <w:rPr>
                <w:rFonts w:asciiTheme="minorHAnsi" w:hAnsiTheme="minorHAnsi" w:cstheme="minorBidi"/>
                <w:noProof/>
                <w:sz w:val="22"/>
                <w:szCs w:val="22"/>
              </w:rPr>
              <w:tab/>
            </w:r>
            <w:r w:rsidRPr="00FD24A9" w:rsidR="00C054EE">
              <w:rPr>
                <w:rStyle w:val="Hyperlink"/>
                <w:noProof/>
              </w:rPr>
              <w:t>ESA Measures</w:t>
            </w:r>
            <w:r w:rsidR="00C054EE">
              <w:rPr>
                <w:noProof/>
                <w:webHidden/>
              </w:rPr>
              <w:tab/>
            </w:r>
            <w:r w:rsidR="00C054EE">
              <w:rPr>
                <w:noProof/>
                <w:webHidden/>
              </w:rPr>
              <w:fldChar w:fldCharType="begin"/>
            </w:r>
            <w:r w:rsidR="00C054EE">
              <w:rPr>
                <w:noProof/>
                <w:webHidden/>
              </w:rPr>
              <w:instrText xml:space="preserve"> PAGEREF _Toc69947959 \h </w:instrText>
            </w:r>
            <w:r w:rsidR="00C054EE">
              <w:rPr>
                <w:noProof/>
                <w:webHidden/>
              </w:rPr>
            </w:r>
            <w:r w:rsidR="00C054EE">
              <w:rPr>
                <w:noProof/>
                <w:webHidden/>
              </w:rPr>
              <w:fldChar w:fldCharType="separate"/>
            </w:r>
            <w:r w:rsidR="004C2E01">
              <w:rPr>
                <w:noProof/>
                <w:webHidden/>
              </w:rPr>
              <w:t>168</w:t>
            </w:r>
            <w:r w:rsidR="00C054EE">
              <w:rPr>
                <w:noProof/>
                <w:webHidden/>
              </w:rPr>
              <w:fldChar w:fldCharType="end"/>
            </w:r>
          </w:hyperlink>
        </w:p>
        <w:p w:rsidR="00C054EE" w:rsidRDefault="000D5832" w14:paraId="138E58CD" w14:textId="57294E74">
          <w:pPr>
            <w:pStyle w:val="TOC3"/>
            <w:tabs>
              <w:tab w:val="left" w:pos="1296"/>
              <w:tab w:val="right" w:leader="dot" w:pos="9350"/>
            </w:tabs>
            <w:rPr>
              <w:rFonts w:asciiTheme="minorHAnsi" w:hAnsiTheme="minorHAnsi" w:cstheme="minorBidi"/>
              <w:noProof/>
              <w:sz w:val="22"/>
              <w:szCs w:val="22"/>
            </w:rPr>
          </w:pPr>
          <w:hyperlink w:history="1" w:anchor="_Toc69947960">
            <w:r w:rsidRPr="00FD24A9" w:rsidR="00C054EE">
              <w:rPr>
                <w:rStyle w:val="Hyperlink"/>
                <w:noProof/>
              </w:rPr>
              <w:t>6.5.1.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_Toc69947960 \h </w:instrText>
            </w:r>
            <w:r w:rsidR="00C054EE">
              <w:rPr>
                <w:noProof/>
                <w:webHidden/>
              </w:rPr>
            </w:r>
            <w:r w:rsidR="00C054EE">
              <w:rPr>
                <w:noProof/>
                <w:webHidden/>
              </w:rPr>
              <w:fldChar w:fldCharType="separate"/>
            </w:r>
            <w:r w:rsidR="004C2E01">
              <w:rPr>
                <w:noProof/>
                <w:webHidden/>
              </w:rPr>
              <w:t>168</w:t>
            </w:r>
            <w:r w:rsidR="00C054EE">
              <w:rPr>
                <w:noProof/>
                <w:webHidden/>
              </w:rPr>
              <w:fldChar w:fldCharType="end"/>
            </w:r>
          </w:hyperlink>
        </w:p>
        <w:p w:rsidR="00C054EE" w:rsidRDefault="000D5832" w14:paraId="56F16BF7" w14:textId="1501F8AF">
          <w:pPr>
            <w:pStyle w:val="TOC3"/>
            <w:tabs>
              <w:tab w:val="left" w:pos="1296"/>
              <w:tab w:val="right" w:leader="dot" w:pos="9350"/>
            </w:tabs>
            <w:rPr>
              <w:rFonts w:asciiTheme="minorHAnsi" w:hAnsiTheme="minorHAnsi" w:cstheme="minorBidi"/>
              <w:noProof/>
              <w:sz w:val="22"/>
              <w:szCs w:val="22"/>
            </w:rPr>
          </w:pPr>
          <w:hyperlink w:history="1" w:anchor="_Toc69947961">
            <w:r w:rsidRPr="00FD24A9" w:rsidR="00C054EE">
              <w:rPr>
                <w:rStyle w:val="Hyperlink"/>
                <w:noProof/>
              </w:rPr>
              <w:t>6.5.2.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_Toc69947961 \h </w:instrText>
            </w:r>
            <w:r w:rsidR="00C054EE">
              <w:rPr>
                <w:noProof/>
                <w:webHidden/>
              </w:rPr>
            </w:r>
            <w:r w:rsidR="00C054EE">
              <w:rPr>
                <w:noProof/>
                <w:webHidden/>
              </w:rPr>
              <w:fldChar w:fldCharType="separate"/>
            </w:r>
            <w:r w:rsidR="004C2E01">
              <w:rPr>
                <w:noProof/>
                <w:webHidden/>
              </w:rPr>
              <w:t>169</w:t>
            </w:r>
            <w:r w:rsidR="00C054EE">
              <w:rPr>
                <w:noProof/>
                <w:webHidden/>
              </w:rPr>
              <w:fldChar w:fldCharType="end"/>
            </w:r>
          </w:hyperlink>
        </w:p>
        <w:p w:rsidR="00C054EE" w:rsidRDefault="000D5832" w14:paraId="06C7C51D" w14:textId="38B164A8">
          <w:pPr>
            <w:pStyle w:val="TOC3"/>
            <w:tabs>
              <w:tab w:val="left" w:pos="1296"/>
              <w:tab w:val="right" w:leader="dot" w:pos="9350"/>
            </w:tabs>
            <w:rPr>
              <w:rFonts w:asciiTheme="minorHAnsi" w:hAnsiTheme="minorHAnsi" w:cstheme="minorBidi"/>
              <w:noProof/>
              <w:sz w:val="22"/>
              <w:szCs w:val="22"/>
            </w:rPr>
          </w:pPr>
          <w:hyperlink w:history="1" w:anchor="_Toc69947962">
            <w:r w:rsidRPr="00FD24A9" w:rsidR="00C054EE">
              <w:rPr>
                <w:rStyle w:val="Hyperlink"/>
                <w:noProof/>
              </w:rPr>
              <w:t>6.5.3.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_Toc69947962 \h </w:instrText>
            </w:r>
            <w:r w:rsidR="00C054EE">
              <w:rPr>
                <w:noProof/>
                <w:webHidden/>
              </w:rPr>
            </w:r>
            <w:r w:rsidR="00C054EE">
              <w:rPr>
                <w:noProof/>
                <w:webHidden/>
              </w:rPr>
              <w:fldChar w:fldCharType="separate"/>
            </w:r>
            <w:r w:rsidR="004C2E01">
              <w:rPr>
                <w:noProof/>
                <w:webHidden/>
              </w:rPr>
              <w:t>171</w:t>
            </w:r>
            <w:r w:rsidR="00C054EE">
              <w:rPr>
                <w:noProof/>
                <w:webHidden/>
              </w:rPr>
              <w:fldChar w:fldCharType="end"/>
            </w:r>
          </w:hyperlink>
        </w:p>
        <w:p w:rsidR="00C054EE" w:rsidRDefault="000D5832" w14:paraId="38E1AFF8" w14:textId="310F84EE">
          <w:pPr>
            <w:pStyle w:val="TOC3"/>
            <w:tabs>
              <w:tab w:val="left" w:pos="1296"/>
              <w:tab w:val="right" w:leader="dot" w:pos="9350"/>
            </w:tabs>
            <w:rPr>
              <w:rFonts w:asciiTheme="minorHAnsi" w:hAnsiTheme="minorHAnsi" w:cstheme="minorBidi"/>
              <w:noProof/>
              <w:sz w:val="22"/>
              <w:szCs w:val="22"/>
            </w:rPr>
          </w:pPr>
          <w:hyperlink w:history="1" w:anchor="_Toc69947963">
            <w:r w:rsidRPr="00FD24A9" w:rsidR="00C054EE">
              <w:rPr>
                <w:rStyle w:val="Hyperlink"/>
                <w:noProof/>
              </w:rPr>
              <w:t>6.5.4.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_Toc69947963 \h </w:instrText>
            </w:r>
            <w:r w:rsidR="00C054EE">
              <w:rPr>
                <w:noProof/>
                <w:webHidden/>
              </w:rPr>
            </w:r>
            <w:r w:rsidR="00C054EE">
              <w:rPr>
                <w:noProof/>
                <w:webHidden/>
              </w:rPr>
              <w:fldChar w:fldCharType="separate"/>
            </w:r>
            <w:r w:rsidR="004C2E01">
              <w:rPr>
                <w:noProof/>
                <w:webHidden/>
              </w:rPr>
              <w:t>174</w:t>
            </w:r>
            <w:r w:rsidR="00C054EE">
              <w:rPr>
                <w:noProof/>
                <w:webHidden/>
              </w:rPr>
              <w:fldChar w:fldCharType="end"/>
            </w:r>
          </w:hyperlink>
        </w:p>
        <w:p w:rsidR="00C054EE" w:rsidRDefault="000D5832" w14:paraId="45288D0B" w14:textId="21DF5715">
          <w:pPr>
            <w:pStyle w:val="TOC3"/>
            <w:tabs>
              <w:tab w:val="left" w:pos="1296"/>
              <w:tab w:val="right" w:leader="dot" w:pos="9350"/>
            </w:tabs>
            <w:rPr>
              <w:rFonts w:asciiTheme="minorHAnsi" w:hAnsiTheme="minorHAnsi" w:cstheme="minorBidi"/>
              <w:noProof/>
              <w:sz w:val="22"/>
              <w:szCs w:val="22"/>
            </w:rPr>
          </w:pPr>
          <w:hyperlink w:history="1" w:anchor="_Toc69947964">
            <w:r w:rsidRPr="00FD24A9" w:rsidR="00C054EE">
              <w:rPr>
                <w:rStyle w:val="Hyperlink"/>
                <w:noProof/>
              </w:rPr>
              <w:t>6.5.5.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_Toc69947964 \h </w:instrText>
            </w:r>
            <w:r w:rsidR="00C054EE">
              <w:rPr>
                <w:noProof/>
                <w:webHidden/>
              </w:rPr>
            </w:r>
            <w:r w:rsidR="00C054EE">
              <w:rPr>
                <w:noProof/>
                <w:webHidden/>
              </w:rPr>
              <w:fldChar w:fldCharType="separate"/>
            </w:r>
            <w:r w:rsidR="004C2E01">
              <w:rPr>
                <w:noProof/>
                <w:webHidden/>
              </w:rPr>
              <w:t>176</w:t>
            </w:r>
            <w:r w:rsidR="00C054EE">
              <w:rPr>
                <w:noProof/>
                <w:webHidden/>
              </w:rPr>
              <w:fldChar w:fldCharType="end"/>
            </w:r>
          </w:hyperlink>
        </w:p>
        <w:p w:rsidR="00C054EE" w:rsidRDefault="000D5832" w14:paraId="3FB7B191" w14:textId="310BE58C">
          <w:pPr>
            <w:pStyle w:val="TOC3"/>
            <w:tabs>
              <w:tab w:val="left" w:pos="1296"/>
              <w:tab w:val="right" w:leader="dot" w:pos="9350"/>
            </w:tabs>
            <w:rPr>
              <w:rFonts w:asciiTheme="minorHAnsi" w:hAnsiTheme="minorHAnsi" w:cstheme="minorBidi"/>
              <w:noProof/>
              <w:sz w:val="22"/>
              <w:szCs w:val="22"/>
            </w:rPr>
          </w:pPr>
          <w:hyperlink w:history="1" w:anchor="_Toc69947965">
            <w:r w:rsidRPr="00FD24A9" w:rsidR="00C054EE">
              <w:rPr>
                <w:rStyle w:val="Hyperlink"/>
                <w:noProof/>
              </w:rPr>
              <w:t>6.5.6.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_Toc69947965 \h </w:instrText>
            </w:r>
            <w:r w:rsidR="00C054EE">
              <w:rPr>
                <w:noProof/>
                <w:webHidden/>
              </w:rPr>
            </w:r>
            <w:r w:rsidR="00C054EE">
              <w:rPr>
                <w:noProof/>
                <w:webHidden/>
              </w:rPr>
              <w:fldChar w:fldCharType="separate"/>
            </w:r>
            <w:r w:rsidR="004C2E01">
              <w:rPr>
                <w:noProof/>
                <w:webHidden/>
              </w:rPr>
              <w:t>177</w:t>
            </w:r>
            <w:r w:rsidR="00C054EE">
              <w:rPr>
                <w:noProof/>
                <w:webHidden/>
              </w:rPr>
              <w:fldChar w:fldCharType="end"/>
            </w:r>
          </w:hyperlink>
        </w:p>
        <w:p w:rsidR="00C054EE" w:rsidRDefault="000D5832" w14:paraId="0523E7F6" w14:textId="201543ED">
          <w:pPr>
            <w:pStyle w:val="TOC4"/>
            <w:tabs>
              <w:tab w:val="left" w:pos="1728"/>
              <w:tab w:val="right" w:leader="dot" w:pos="9350"/>
            </w:tabs>
            <w:rPr>
              <w:rFonts w:asciiTheme="minorHAnsi" w:hAnsiTheme="minorHAnsi" w:eastAsiaTheme="minorEastAsia" w:cstheme="minorBidi"/>
              <w:noProof/>
              <w:sz w:val="22"/>
              <w:szCs w:val="22"/>
            </w:rPr>
          </w:pPr>
          <w:hyperlink w:history="1" w:anchor="_Toc69947966">
            <w:r w:rsidRPr="00FD24A9" w:rsidR="00C054EE">
              <w:rPr>
                <w:rStyle w:val="Hyperlink"/>
                <w:noProof/>
              </w:rPr>
              <w:t>6.5.6.1.</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_Toc69947966 \h </w:instrText>
            </w:r>
            <w:r w:rsidR="00C054EE">
              <w:rPr>
                <w:noProof/>
                <w:webHidden/>
              </w:rPr>
            </w:r>
            <w:r w:rsidR="00C054EE">
              <w:rPr>
                <w:noProof/>
                <w:webHidden/>
              </w:rPr>
              <w:fldChar w:fldCharType="separate"/>
            </w:r>
            <w:r w:rsidR="004C2E01">
              <w:rPr>
                <w:noProof/>
                <w:webHidden/>
              </w:rPr>
              <w:t>177</w:t>
            </w:r>
            <w:r w:rsidR="00C054EE">
              <w:rPr>
                <w:noProof/>
                <w:webHidden/>
              </w:rPr>
              <w:fldChar w:fldCharType="end"/>
            </w:r>
          </w:hyperlink>
        </w:p>
        <w:p w:rsidR="00C054EE" w:rsidRDefault="000D5832" w14:paraId="4D868B81" w14:textId="0899B9CC">
          <w:pPr>
            <w:pStyle w:val="TOC4"/>
            <w:tabs>
              <w:tab w:val="left" w:pos="1728"/>
              <w:tab w:val="right" w:leader="dot" w:pos="9350"/>
            </w:tabs>
            <w:rPr>
              <w:rFonts w:asciiTheme="minorHAnsi" w:hAnsiTheme="minorHAnsi" w:eastAsiaTheme="minorEastAsia" w:cstheme="minorBidi"/>
              <w:noProof/>
              <w:sz w:val="22"/>
              <w:szCs w:val="22"/>
            </w:rPr>
          </w:pPr>
          <w:hyperlink w:history="1" w:anchor="_Toc69947967">
            <w:r w:rsidRPr="00FD24A9" w:rsidR="00C054EE">
              <w:rPr>
                <w:rStyle w:val="Hyperlink"/>
                <w:noProof/>
              </w:rPr>
              <w:t>6.5.6.2.</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_Toc69947967 \h </w:instrText>
            </w:r>
            <w:r w:rsidR="00C054EE">
              <w:rPr>
                <w:noProof/>
                <w:webHidden/>
              </w:rPr>
            </w:r>
            <w:r w:rsidR="00C054EE">
              <w:rPr>
                <w:noProof/>
                <w:webHidden/>
              </w:rPr>
              <w:fldChar w:fldCharType="separate"/>
            </w:r>
            <w:r w:rsidR="004C2E01">
              <w:rPr>
                <w:noProof/>
                <w:webHidden/>
              </w:rPr>
              <w:t>179</w:t>
            </w:r>
            <w:r w:rsidR="00C054EE">
              <w:rPr>
                <w:noProof/>
                <w:webHidden/>
              </w:rPr>
              <w:fldChar w:fldCharType="end"/>
            </w:r>
          </w:hyperlink>
        </w:p>
        <w:p w:rsidR="00C054EE" w:rsidRDefault="000D5832" w14:paraId="3DA2A41D" w14:textId="29D9AFC1">
          <w:pPr>
            <w:pStyle w:val="TOC4"/>
            <w:tabs>
              <w:tab w:val="left" w:pos="1728"/>
              <w:tab w:val="right" w:leader="dot" w:pos="9350"/>
            </w:tabs>
            <w:rPr>
              <w:rFonts w:asciiTheme="minorHAnsi" w:hAnsiTheme="minorHAnsi" w:eastAsiaTheme="minorEastAsia" w:cstheme="minorBidi"/>
              <w:noProof/>
              <w:sz w:val="22"/>
              <w:szCs w:val="22"/>
            </w:rPr>
          </w:pPr>
          <w:hyperlink w:history="1" w:anchor="_Toc69947968">
            <w:r w:rsidRPr="00FD24A9" w:rsidR="00C054EE">
              <w:rPr>
                <w:rStyle w:val="Hyperlink"/>
                <w:noProof/>
              </w:rPr>
              <w:t>6.5.6.3.</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_Toc69947968 \h </w:instrText>
            </w:r>
            <w:r w:rsidR="00C054EE">
              <w:rPr>
                <w:noProof/>
                <w:webHidden/>
              </w:rPr>
            </w:r>
            <w:r w:rsidR="00C054EE">
              <w:rPr>
                <w:noProof/>
                <w:webHidden/>
              </w:rPr>
              <w:fldChar w:fldCharType="separate"/>
            </w:r>
            <w:r w:rsidR="004C2E01">
              <w:rPr>
                <w:noProof/>
                <w:webHidden/>
              </w:rPr>
              <w:t>180</w:t>
            </w:r>
            <w:r w:rsidR="00C054EE">
              <w:rPr>
                <w:noProof/>
                <w:webHidden/>
              </w:rPr>
              <w:fldChar w:fldCharType="end"/>
            </w:r>
          </w:hyperlink>
        </w:p>
        <w:p w:rsidR="00C054EE" w:rsidRDefault="000D5832" w14:paraId="237EB49E" w14:textId="4D6934F4">
          <w:pPr>
            <w:pStyle w:val="TOC4"/>
            <w:tabs>
              <w:tab w:val="left" w:pos="1728"/>
              <w:tab w:val="right" w:leader="dot" w:pos="9350"/>
            </w:tabs>
            <w:rPr>
              <w:rFonts w:asciiTheme="minorHAnsi" w:hAnsiTheme="minorHAnsi" w:eastAsiaTheme="minorEastAsia" w:cstheme="minorBidi"/>
              <w:noProof/>
              <w:sz w:val="22"/>
              <w:szCs w:val="22"/>
            </w:rPr>
          </w:pPr>
          <w:hyperlink w:history="1" w:anchor="_Toc69947969">
            <w:r w:rsidRPr="00FD24A9" w:rsidR="00C054EE">
              <w:rPr>
                <w:rStyle w:val="Hyperlink"/>
                <w:noProof/>
              </w:rPr>
              <w:t>6.5.6.4.</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_Toc69947969 \h </w:instrText>
            </w:r>
            <w:r w:rsidR="00C054EE">
              <w:rPr>
                <w:noProof/>
                <w:webHidden/>
              </w:rPr>
            </w:r>
            <w:r w:rsidR="00C054EE">
              <w:rPr>
                <w:noProof/>
                <w:webHidden/>
              </w:rPr>
              <w:fldChar w:fldCharType="separate"/>
            </w:r>
            <w:r w:rsidR="004C2E01">
              <w:rPr>
                <w:noProof/>
                <w:webHidden/>
              </w:rPr>
              <w:t>180</w:t>
            </w:r>
            <w:r w:rsidR="00C054EE">
              <w:rPr>
                <w:noProof/>
                <w:webHidden/>
              </w:rPr>
              <w:fldChar w:fldCharType="end"/>
            </w:r>
          </w:hyperlink>
        </w:p>
        <w:p w:rsidR="00C054EE" w:rsidRDefault="000D5832" w14:paraId="4EE3E132" w14:textId="11790E99">
          <w:pPr>
            <w:pStyle w:val="TOC4"/>
            <w:tabs>
              <w:tab w:val="left" w:pos="1728"/>
              <w:tab w:val="right" w:leader="dot" w:pos="9350"/>
            </w:tabs>
            <w:rPr>
              <w:rFonts w:asciiTheme="minorHAnsi" w:hAnsiTheme="minorHAnsi" w:eastAsiaTheme="minorEastAsia" w:cstheme="minorBidi"/>
              <w:noProof/>
              <w:sz w:val="22"/>
              <w:szCs w:val="22"/>
            </w:rPr>
          </w:pPr>
          <w:hyperlink w:history="1" w:anchor="_Toc69947970">
            <w:r w:rsidRPr="00FD24A9" w:rsidR="00C054EE">
              <w:rPr>
                <w:rStyle w:val="Hyperlink"/>
                <w:noProof/>
              </w:rPr>
              <w:t>6.5.6.5.</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_Toc69947970 \h </w:instrText>
            </w:r>
            <w:r w:rsidR="00C054EE">
              <w:rPr>
                <w:noProof/>
                <w:webHidden/>
              </w:rPr>
            </w:r>
            <w:r w:rsidR="00C054EE">
              <w:rPr>
                <w:noProof/>
                <w:webHidden/>
              </w:rPr>
              <w:fldChar w:fldCharType="separate"/>
            </w:r>
            <w:r w:rsidR="004C2E01">
              <w:rPr>
                <w:noProof/>
                <w:webHidden/>
              </w:rPr>
              <w:t>182</w:t>
            </w:r>
            <w:r w:rsidR="00C054EE">
              <w:rPr>
                <w:noProof/>
                <w:webHidden/>
              </w:rPr>
              <w:fldChar w:fldCharType="end"/>
            </w:r>
          </w:hyperlink>
        </w:p>
        <w:p w:rsidR="00C054EE" w:rsidRDefault="000D5832" w14:paraId="1743262A" w14:textId="4D67A82B">
          <w:pPr>
            <w:pStyle w:val="TOC4"/>
            <w:tabs>
              <w:tab w:val="left" w:pos="1728"/>
              <w:tab w:val="right" w:leader="dot" w:pos="9350"/>
            </w:tabs>
            <w:rPr>
              <w:rFonts w:asciiTheme="minorHAnsi" w:hAnsiTheme="minorHAnsi" w:eastAsiaTheme="minorEastAsia" w:cstheme="minorBidi"/>
              <w:noProof/>
              <w:sz w:val="22"/>
              <w:szCs w:val="22"/>
            </w:rPr>
          </w:pPr>
          <w:hyperlink w:history="1" w:anchor="_Toc69947971">
            <w:r w:rsidRPr="00FD24A9" w:rsidR="00C054EE">
              <w:rPr>
                <w:rStyle w:val="Hyperlink"/>
                <w:noProof/>
              </w:rPr>
              <w:t>6.5.6.6.</w:t>
            </w:r>
            <w:r w:rsidR="00C054EE">
              <w:rPr>
                <w:rFonts w:asciiTheme="minorHAnsi" w:hAnsiTheme="minorHAnsi" w:eastAsiaTheme="minorEastAsia" w:cstheme="minorBidi"/>
                <w:noProof/>
                <w:sz w:val="22"/>
                <w:szCs w:val="22"/>
              </w:rPr>
              <w:tab/>
            </w:r>
            <w:r w:rsidRPr="00FD24A9" w:rsidR="00C054EE">
              <w:rPr>
                <w:rStyle w:val="Hyperlink"/>
                <w:noProof/>
              </w:rPr>
              <w:t>TELACU et al.</w:t>
            </w:r>
            <w:r w:rsidR="00C054EE">
              <w:rPr>
                <w:noProof/>
                <w:webHidden/>
              </w:rPr>
              <w:tab/>
            </w:r>
            <w:r w:rsidR="00C054EE">
              <w:rPr>
                <w:noProof/>
                <w:webHidden/>
              </w:rPr>
              <w:fldChar w:fldCharType="begin"/>
            </w:r>
            <w:r w:rsidR="00C054EE">
              <w:rPr>
                <w:noProof/>
                <w:webHidden/>
              </w:rPr>
              <w:instrText xml:space="preserve"> PAGEREF _Toc69947971 \h </w:instrText>
            </w:r>
            <w:r w:rsidR="00C054EE">
              <w:rPr>
                <w:noProof/>
                <w:webHidden/>
              </w:rPr>
            </w:r>
            <w:r w:rsidR="00C054EE">
              <w:rPr>
                <w:noProof/>
                <w:webHidden/>
              </w:rPr>
              <w:fldChar w:fldCharType="separate"/>
            </w:r>
            <w:r w:rsidR="004C2E01">
              <w:rPr>
                <w:noProof/>
                <w:webHidden/>
              </w:rPr>
              <w:t>184</w:t>
            </w:r>
            <w:r w:rsidR="00C054EE">
              <w:rPr>
                <w:noProof/>
                <w:webHidden/>
              </w:rPr>
              <w:fldChar w:fldCharType="end"/>
            </w:r>
          </w:hyperlink>
        </w:p>
        <w:p w:rsidR="00C054EE" w:rsidRDefault="000D5832" w14:paraId="061BDB6C" w14:textId="74659F42">
          <w:pPr>
            <w:pStyle w:val="TOC4"/>
            <w:tabs>
              <w:tab w:val="left" w:pos="1728"/>
              <w:tab w:val="right" w:leader="dot" w:pos="9350"/>
            </w:tabs>
            <w:rPr>
              <w:rFonts w:asciiTheme="minorHAnsi" w:hAnsiTheme="minorHAnsi" w:eastAsiaTheme="minorEastAsia" w:cstheme="minorBidi"/>
              <w:noProof/>
              <w:sz w:val="22"/>
              <w:szCs w:val="22"/>
            </w:rPr>
          </w:pPr>
          <w:hyperlink w:history="1" w:anchor="_Toc69947972">
            <w:r w:rsidRPr="00FD24A9" w:rsidR="00C054EE">
              <w:rPr>
                <w:rStyle w:val="Hyperlink"/>
                <w:noProof/>
              </w:rPr>
              <w:t>6.5.6.7.</w:t>
            </w:r>
            <w:r w:rsidR="00C054EE">
              <w:rPr>
                <w:rFonts w:asciiTheme="minorHAnsi" w:hAnsiTheme="minorHAnsi" w:eastAsiaTheme="minorEastAsia" w:cstheme="minorBidi"/>
                <w:noProof/>
                <w:sz w:val="22"/>
                <w:szCs w:val="22"/>
              </w:rPr>
              <w:tab/>
            </w:r>
            <w:r w:rsidRPr="00FD24A9" w:rsidR="00C054EE">
              <w:rPr>
                <w:rStyle w:val="Hyperlink"/>
                <w:noProof/>
              </w:rPr>
              <w:t>PCF</w:t>
            </w:r>
            <w:r w:rsidR="00C054EE">
              <w:rPr>
                <w:noProof/>
                <w:webHidden/>
              </w:rPr>
              <w:tab/>
            </w:r>
            <w:r w:rsidR="00C054EE">
              <w:rPr>
                <w:noProof/>
                <w:webHidden/>
              </w:rPr>
              <w:fldChar w:fldCharType="begin"/>
            </w:r>
            <w:r w:rsidR="00C054EE">
              <w:rPr>
                <w:noProof/>
                <w:webHidden/>
              </w:rPr>
              <w:instrText xml:space="preserve"> PAGEREF _Toc69947972 \h </w:instrText>
            </w:r>
            <w:r w:rsidR="00C054EE">
              <w:rPr>
                <w:noProof/>
                <w:webHidden/>
              </w:rPr>
            </w:r>
            <w:r w:rsidR="00C054EE">
              <w:rPr>
                <w:noProof/>
                <w:webHidden/>
              </w:rPr>
              <w:fldChar w:fldCharType="separate"/>
            </w:r>
            <w:r w:rsidR="004C2E01">
              <w:rPr>
                <w:noProof/>
                <w:webHidden/>
              </w:rPr>
              <w:t>184</w:t>
            </w:r>
            <w:r w:rsidR="00C054EE">
              <w:rPr>
                <w:noProof/>
                <w:webHidden/>
              </w:rPr>
              <w:fldChar w:fldCharType="end"/>
            </w:r>
          </w:hyperlink>
        </w:p>
        <w:p w:rsidR="00C054EE" w:rsidRDefault="000D5832" w14:paraId="75BD809E" w14:textId="641019F4">
          <w:pPr>
            <w:pStyle w:val="TOC4"/>
            <w:tabs>
              <w:tab w:val="left" w:pos="1728"/>
              <w:tab w:val="right" w:leader="dot" w:pos="9350"/>
            </w:tabs>
            <w:rPr>
              <w:rFonts w:asciiTheme="minorHAnsi" w:hAnsiTheme="minorHAnsi" w:eastAsiaTheme="minorEastAsia" w:cstheme="minorBidi"/>
              <w:noProof/>
              <w:sz w:val="22"/>
              <w:szCs w:val="22"/>
            </w:rPr>
          </w:pPr>
          <w:hyperlink w:history="1" w:anchor="_Toc69947973">
            <w:r w:rsidRPr="00FD24A9" w:rsidR="00C054EE">
              <w:rPr>
                <w:rStyle w:val="Hyperlink"/>
                <w:noProof/>
              </w:rPr>
              <w:t>6.5.6.8.</w:t>
            </w:r>
            <w:r w:rsidR="00C054EE">
              <w:rPr>
                <w:rFonts w:asciiTheme="minorHAnsi" w:hAnsiTheme="minorHAnsi" w:eastAsiaTheme="minorEastAsia" w:cstheme="minorBidi"/>
                <w:noProof/>
                <w:sz w:val="22"/>
                <w:szCs w:val="22"/>
              </w:rPr>
              <w:tab/>
            </w:r>
            <w:r w:rsidRPr="00FD24A9" w:rsidR="00C054EE">
              <w:rPr>
                <w:rStyle w:val="Hyperlink"/>
                <w:noProof/>
              </w:rPr>
              <w:t>Enervee</w:t>
            </w:r>
            <w:r w:rsidR="00C054EE">
              <w:rPr>
                <w:noProof/>
                <w:webHidden/>
              </w:rPr>
              <w:tab/>
            </w:r>
            <w:r w:rsidR="00C054EE">
              <w:rPr>
                <w:noProof/>
                <w:webHidden/>
              </w:rPr>
              <w:fldChar w:fldCharType="begin"/>
            </w:r>
            <w:r w:rsidR="00C054EE">
              <w:rPr>
                <w:noProof/>
                <w:webHidden/>
              </w:rPr>
              <w:instrText xml:space="preserve"> PAGEREF _Toc69947973 \h </w:instrText>
            </w:r>
            <w:r w:rsidR="00C054EE">
              <w:rPr>
                <w:noProof/>
                <w:webHidden/>
              </w:rPr>
            </w:r>
            <w:r w:rsidR="00C054EE">
              <w:rPr>
                <w:noProof/>
                <w:webHidden/>
              </w:rPr>
              <w:fldChar w:fldCharType="separate"/>
            </w:r>
            <w:r w:rsidR="004C2E01">
              <w:rPr>
                <w:noProof/>
                <w:webHidden/>
              </w:rPr>
              <w:t>185</w:t>
            </w:r>
            <w:r w:rsidR="00C054EE">
              <w:rPr>
                <w:noProof/>
                <w:webHidden/>
              </w:rPr>
              <w:fldChar w:fldCharType="end"/>
            </w:r>
          </w:hyperlink>
        </w:p>
        <w:p w:rsidR="00C054EE" w:rsidRDefault="000D5832" w14:paraId="01FC2B0F" w14:textId="7150E505">
          <w:pPr>
            <w:pStyle w:val="TOC3"/>
            <w:tabs>
              <w:tab w:val="left" w:pos="1296"/>
              <w:tab w:val="right" w:leader="dot" w:pos="9350"/>
            </w:tabs>
            <w:rPr>
              <w:rFonts w:asciiTheme="minorHAnsi" w:hAnsiTheme="minorHAnsi" w:cstheme="minorBidi"/>
              <w:noProof/>
              <w:sz w:val="22"/>
              <w:szCs w:val="22"/>
            </w:rPr>
          </w:pPr>
          <w:hyperlink w:history="1" w:anchor="_Toc69947974">
            <w:r w:rsidRPr="00FD24A9" w:rsidR="00C054EE">
              <w:rPr>
                <w:rStyle w:val="Hyperlink"/>
                <w:noProof/>
              </w:rPr>
              <w:t>6.5.7.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_Toc69947974 \h </w:instrText>
            </w:r>
            <w:r w:rsidR="00C054EE">
              <w:rPr>
                <w:noProof/>
                <w:webHidden/>
              </w:rPr>
            </w:r>
            <w:r w:rsidR="00C054EE">
              <w:rPr>
                <w:noProof/>
                <w:webHidden/>
              </w:rPr>
              <w:fldChar w:fldCharType="separate"/>
            </w:r>
            <w:r w:rsidR="004C2E01">
              <w:rPr>
                <w:noProof/>
                <w:webHidden/>
              </w:rPr>
              <w:t>186</w:t>
            </w:r>
            <w:r w:rsidR="00C054EE">
              <w:rPr>
                <w:noProof/>
                <w:webHidden/>
              </w:rPr>
              <w:fldChar w:fldCharType="end"/>
            </w:r>
          </w:hyperlink>
        </w:p>
        <w:p w:rsidR="00C054EE" w:rsidRDefault="000D5832" w14:paraId="420C8317" w14:textId="0197D2D1">
          <w:pPr>
            <w:pStyle w:val="TOC4"/>
            <w:tabs>
              <w:tab w:val="left" w:pos="1728"/>
              <w:tab w:val="right" w:leader="dot" w:pos="9350"/>
            </w:tabs>
            <w:rPr>
              <w:rFonts w:asciiTheme="minorHAnsi" w:hAnsiTheme="minorHAnsi" w:eastAsiaTheme="minorEastAsia" w:cstheme="minorBidi"/>
              <w:noProof/>
              <w:sz w:val="22"/>
              <w:szCs w:val="22"/>
            </w:rPr>
          </w:pPr>
          <w:hyperlink w:history="1" w:anchor="_Toc69947975">
            <w:r w:rsidRPr="00FD24A9" w:rsidR="00C054EE">
              <w:rPr>
                <w:rStyle w:val="Hyperlink"/>
                <w:noProof/>
              </w:rPr>
              <w:t>6.5.7.1.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_Toc69947975 \h </w:instrText>
            </w:r>
            <w:r w:rsidR="00C054EE">
              <w:rPr>
                <w:noProof/>
                <w:webHidden/>
              </w:rPr>
            </w:r>
            <w:r w:rsidR="00C054EE">
              <w:rPr>
                <w:noProof/>
                <w:webHidden/>
              </w:rPr>
              <w:fldChar w:fldCharType="separate"/>
            </w:r>
            <w:r w:rsidR="004C2E01">
              <w:rPr>
                <w:noProof/>
                <w:webHidden/>
              </w:rPr>
              <w:t>186</w:t>
            </w:r>
            <w:r w:rsidR="00C054EE">
              <w:rPr>
                <w:noProof/>
                <w:webHidden/>
              </w:rPr>
              <w:fldChar w:fldCharType="end"/>
            </w:r>
          </w:hyperlink>
        </w:p>
        <w:p w:rsidR="00C054EE" w:rsidRDefault="000D5832" w14:paraId="750DDC60" w14:textId="049AB0AD">
          <w:pPr>
            <w:pStyle w:val="TOC4"/>
            <w:tabs>
              <w:tab w:val="left" w:pos="1728"/>
              <w:tab w:val="right" w:leader="dot" w:pos="9350"/>
            </w:tabs>
            <w:rPr>
              <w:rFonts w:asciiTheme="minorHAnsi" w:hAnsiTheme="minorHAnsi" w:eastAsiaTheme="minorEastAsia" w:cstheme="minorBidi"/>
              <w:noProof/>
              <w:sz w:val="22"/>
              <w:szCs w:val="22"/>
            </w:rPr>
          </w:pPr>
          <w:hyperlink w:history="1" w:anchor="_Toc69947976">
            <w:r w:rsidRPr="00FD24A9" w:rsidR="00C054EE">
              <w:rPr>
                <w:rStyle w:val="Hyperlink"/>
                <w:noProof/>
              </w:rPr>
              <w:t>6.5.7.2.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_Toc69947976 \h </w:instrText>
            </w:r>
            <w:r w:rsidR="00C054EE">
              <w:rPr>
                <w:noProof/>
                <w:webHidden/>
              </w:rPr>
            </w:r>
            <w:r w:rsidR="00C054EE">
              <w:rPr>
                <w:noProof/>
                <w:webHidden/>
              </w:rPr>
              <w:fldChar w:fldCharType="separate"/>
            </w:r>
            <w:r w:rsidR="004C2E01">
              <w:rPr>
                <w:noProof/>
                <w:webHidden/>
              </w:rPr>
              <w:t>188</w:t>
            </w:r>
            <w:r w:rsidR="00C054EE">
              <w:rPr>
                <w:noProof/>
                <w:webHidden/>
              </w:rPr>
              <w:fldChar w:fldCharType="end"/>
            </w:r>
          </w:hyperlink>
        </w:p>
        <w:p w:rsidR="00C054EE" w:rsidRDefault="000D5832" w14:paraId="2FCC499C" w14:textId="556DD003">
          <w:pPr>
            <w:pStyle w:val="TOC4"/>
            <w:tabs>
              <w:tab w:val="left" w:pos="1728"/>
              <w:tab w:val="right" w:leader="dot" w:pos="9350"/>
            </w:tabs>
            <w:rPr>
              <w:rFonts w:asciiTheme="minorHAnsi" w:hAnsiTheme="minorHAnsi" w:eastAsiaTheme="minorEastAsia" w:cstheme="minorBidi"/>
              <w:noProof/>
              <w:sz w:val="22"/>
              <w:szCs w:val="22"/>
            </w:rPr>
          </w:pPr>
          <w:hyperlink w:history="1" w:anchor="_Toc69947977">
            <w:r w:rsidRPr="00FD24A9" w:rsidR="00C054EE">
              <w:rPr>
                <w:rStyle w:val="Hyperlink"/>
                <w:noProof/>
              </w:rPr>
              <w:t>6.5.7.3.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_Toc69947977 \h </w:instrText>
            </w:r>
            <w:r w:rsidR="00C054EE">
              <w:rPr>
                <w:noProof/>
                <w:webHidden/>
              </w:rPr>
            </w:r>
            <w:r w:rsidR="00C054EE">
              <w:rPr>
                <w:noProof/>
                <w:webHidden/>
              </w:rPr>
              <w:fldChar w:fldCharType="separate"/>
            </w:r>
            <w:r w:rsidR="004C2E01">
              <w:rPr>
                <w:noProof/>
                <w:webHidden/>
              </w:rPr>
              <w:t>189</w:t>
            </w:r>
            <w:r w:rsidR="00C054EE">
              <w:rPr>
                <w:noProof/>
                <w:webHidden/>
              </w:rPr>
              <w:fldChar w:fldCharType="end"/>
            </w:r>
          </w:hyperlink>
        </w:p>
        <w:p w:rsidR="00C054EE" w:rsidRDefault="000D5832" w14:paraId="4B30AD87" w14:textId="40DE480F">
          <w:pPr>
            <w:pStyle w:val="TOC4"/>
            <w:tabs>
              <w:tab w:val="left" w:pos="1728"/>
              <w:tab w:val="right" w:leader="dot" w:pos="9350"/>
            </w:tabs>
            <w:rPr>
              <w:rFonts w:asciiTheme="minorHAnsi" w:hAnsiTheme="minorHAnsi" w:eastAsiaTheme="minorEastAsia" w:cstheme="minorBidi"/>
              <w:noProof/>
              <w:sz w:val="22"/>
              <w:szCs w:val="22"/>
            </w:rPr>
          </w:pPr>
          <w:hyperlink w:history="1" w:anchor="_Toc69947978">
            <w:r w:rsidRPr="00FD24A9" w:rsidR="00C054EE">
              <w:rPr>
                <w:rStyle w:val="Hyperlink"/>
                <w:noProof/>
              </w:rPr>
              <w:t>6.5.7.4.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_Toc69947978 \h </w:instrText>
            </w:r>
            <w:r w:rsidR="00C054EE">
              <w:rPr>
                <w:noProof/>
                <w:webHidden/>
              </w:rPr>
            </w:r>
            <w:r w:rsidR="00C054EE">
              <w:rPr>
                <w:noProof/>
                <w:webHidden/>
              </w:rPr>
              <w:fldChar w:fldCharType="separate"/>
            </w:r>
            <w:r w:rsidR="004C2E01">
              <w:rPr>
                <w:noProof/>
                <w:webHidden/>
              </w:rPr>
              <w:t>191</w:t>
            </w:r>
            <w:r w:rsidR="00C054EE">
              <w:rPr>
                <w:noProof/>
                <w:webHidden/>
              </w:rPr>
              <w:fldChar w:fldCharType="end"/>
            </w:r>
          </w:hyperlink>
        </w:p>
        <w:p w:rsidR="00C054EE" w:rsidRDefault="000D5832" w14:paraId="257DF54D" w14:textId="70FDEE46">
          <w:pPr>
            <w:pStyle w:val="TOC3"/>
            <w:tabs>
              <w:tab w:val="left" w:pos="1296"/>
              <w:tab w:val="right" w:leader="dot" w:pos="9350"/>
            </w:tabs>
            <w:rPr>
              <w:rFonts w:asciiTheme="minorHAnsi" w:hAnsiTheme="minorHAnsi" w:cstheme="minorBidi"/>
              <w:noProof/>
              <w:sz w:val="22"/>
              <w:szCs w:val="22"/>
            </w:rPr>
          </w:pPr>
          <w:hyperlink w:history="1" w:anchor="_Toc69947979">
            <w:r w:rsidRPr="00FD24A9" w:rsidR="00C054EE">
              <w:rPr>
                <w:rStyle w:val="Hyperlink"/>
                <w:noProof/>
              </w:rPr>
              <w:t>6.5.8.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_Toc69947979 \h </w:instrText>
            </w:r>
            <w:r w:rsidR="00C054EE">
              <w:rPr>
                <w:noProof/>
                <w:webHidden/>
              </w:rPr>
            </w:r>
            <w:r w:rsidR="00C054EE">
              <w:rPr>
                <w:noProof/>
                <w:webHidden/>
              </w:rPr>
              <w:fldChar w:fldCharType="separate"/>
            </w:r>
            <w:r w:rsidR="004C2E01">
              <w:rPr>
                <w:noProof/>
                <w:webHidden/>
              </w:rPr>
              <w:t>192</w:t>
            </w:r>
            <w:r w:rsidR="00C054EE">
              <w:rPr>
                <w:noProof/>
                <w:webHidden/>
              </w:rPr>
              <w:fldChar w:fldCharType="end"/>
            </w:r>
          </w:hyperlink>
        </w:p>
        <w:p w:rsidR="00C054EE" w:rsidRDefault="000D5832" w14:paraId="6C385BF8" w14:textId="2F51B69F">
          <w:pPr>
            <w:pStyle w:val="TOC4"/>
            <w:tabs>
              <w:tab w:val="left" w:pos="1728"/>
              <w:tab w:val="right" w:leader="dot" w:pos="9350"/>
            </w:tabs>
            <w:rPr>
              <w:rFonts w:asciiTheme="minorHAnsi" w:hAnsiTheme="minorHAnsi" w:eastAsiaTheme="minorEastAsia" w:cstheme="minorBidi"/>
              <w:noProof/>
              <w:sz w:val="22"/>
              <w:szCs w:val="22"/>
            </w:rPr>
          </w:pPr>
          <w:hyperlink w:history="1" w:anchor="_Toc69947980">
            <w:r w:rsidRPr="00FD24A9" w:rsidR="00C054EE">
              <w:rPr>
                <w:rStyle w:val="Hyperlink"/>
                <w:noProof/>
              </w:rPr>
              <w:t>6.5.8.1.</w:t>
            </w:r>
            <w:r w:rsidR="00C054EE">
              <w:rPr>
                <w:rFonts w:asciiTheme="minorHAnsi" w:hAnsiTheme="minorHAnsi" w:eastAsiaTheme="minorEastAsia" w:cstheme="minorBidi"/>
                <w:noProof/>
                <w:sz w:val="22"/>
                <w:szCs w:val="22"/>
              </w:rPr>
              <w:tab/>
            </w:r>
            <w:r w:rsidRPr="00FD24A9" w:rsidR="00C054EE">
              <w:rPr>
                <w:rStyle w:val="Hyperlink"/>
                <w:noProof/>
              </w:rPr>
              <w:t>IOUs’ Measure Mix: Approved</w:t>
            </w:r>
            <w:r w:rsidR="00C054EE">
              <w:rPr>
                <w:noProof/>
                <w:webHidden/>
              </w:rPr>
              <w:tab/>
            </w:r>
            <w:r w:rsidR="00C054EE">
              <w:rPr>
                <w:noProof/>
                <w:webHidden/>
              </w:rPr>
              <w:fldChar w:fldCharType="begin"/>
            </w:r>
            <w:r w:rsidR="00C054EE">
              <w:rPr>
                <w:noProof/>
                <w:webHidden/>
              </w:rPr>
              <w:instrText xml:space="preserve"> PAGEREF _Toc69947980 \h </w:instrText>
            </w:r>
            <w:r w:rsidR="00C054EE">
              <w:rPr>
                <w:noProof/>
                <w:webHidden/>
              </w:rPr>
            </w:r>
            <w:r w:rsidR="00C054EE">
              <w:rPr>
                <w:noProof/>
                <w:webHidden/>
              </w:rPr>
              <w:fldChar w:fldCharType="separate"/>
            </w:r>
            <w:r w:rsidR="004C2E01">
              <w:rPr>
                <w:noProof/>
                <w:webHidden/>
              </w:rPr>
              <w:t>192</w:t>
            </w:r>
            <w:r w:rsidR="00C054EE">
              <w:rPr>
                <w:noProof/>
                <w:webHidden/>
              </w:rPr>
              <w:fldChar w:fldCharType="end"/>
            </w:r>
          </w:hyperlink>
        </w:p>
        <w:p w:rsidR="00C054EE" w:rsidRDefault="000D5832" w14:paraId="492D207F" w14:textId="29973390">
          <w:pPr>
            <w:pStyle w:val="TOC4"/>
            <w:tabs>
              <w:tab w:val="left" w:pos="1728"/>
              <w:tab w:val="right" w:leader="dot" w:pos="9350"/>
            </w:tabs>
            <w:rPr>
              <w:rFonts w:asciiTheme="minorHAnsi" w:hAnsiTheme="minorHAnsi" w:eastAsiaTheme="minorEastAsia" w:cstheme="minorBidi"/>
              <w:noProof/>
              <w:sz w:val="22"/>
              <w:szCs w:val="22"/>
            </w:rPr>
          </w:pPr>
          <w:hyperlink w:history="1" w:anchor="_Toc69947981">
            <w:r w:rsidRPr="00FD24A9" w:rsidR="00C054EE">
              <w:rPr>
                <w:rStyle w:val="Hyperlink"/>
                <w:noProof/>
              </w:rPr>
              <w:t>6.5.8.2.</w:t>
            </w:r>
            <w:r w:rsidR="00C054EE">
              <w:rPr>
                <w:rFonts w:asciiTheme="minorHAnsi" w:hAnsiTheme="minorHAnsi" w:eastAsiaTheme="minorEastAsia" w:cstheme="minorBidi"/>
                <w:noProof/>
                <w:sz w:val="22"/>
                <w:szCs w:val="22"/>
              </w:rPr>
              <w:tab/>
            </w:r>
            <w:r w:rsidRPr="00FD24A9" w:rsidR="00C054EE">
              <w:rPr>
                <w:rStyle w:val="Hyperlink"/>
                <w:noProof/>
              </w:rPr>
              <w:t>New Measures (Ideal Efficient State): Denied</w:t>
            </w:r>
            <w:r w:rsidR="00C054EE">
              <w:rPr>
                <w:noProof/>
                <w:webHidden/>
              </w:rPr>
              <w:tab/>
            </w:r>
            <w:r w:rsidR="00C054EE">
              <w:rPr>
                <w:noProof/>
                <w:webHidden/>
              </w:rPr>
              <w:fldChar w:fldCharType="begin"/>
            </w:r>
            <w:r w:rsidR="00C054EE">
              <w:rPr>
                <w:noProof/>
                <w:webHidden/>
              </w:rPr>
              <w:instrText xml:space="preserve"> PAGEREF _Toc69947981 \h </w:instrText>
            </w:r>
            <w:r w:rsidR="00C054EE">
              <w:rPr>
                <w:noProof/>
                <w:webHidden/>
              </w:rPr>
            </w:r>
            <w:r w:rsidR="00C054EE">
              <w:rPr>
                <w:noProof/>
                <w:webHidden/>
              </w:rPr>
              <w:fldChar w:fldCharType="separate"/>
            </w:r>
            <w:r w:rsidR="004C2E01">
              <w:rPr>
                <w:noProof/>
                <w:webHidden/>
              </w:rPr>
              <w:t>193</w:t>
            </w:r>
            <w:r w:rsidR="00C054EE">
              <w:rPr>
                <w:noProof/>
                <w:webHidden/>
              </w:rPr>
              <w:fldChar w:fldCharType="end"/>
            </w:r>
          </w:hyperlink>
        </w:p>
        <w:p w:rsidR="00C054EE" w:rsidRDefault="000D5832" w14:paraId="63447516" w14:textId="682FABDF">
          <w:pPr>
            <w:pStyle w:val="TOC4"/>
            <w:tabs>
              <w:tab w:val="left" w:pos="1728"/>
              <w:tab w:val="right" w:leader="dot" w:pos="9350"/>
            </w:tabs>
            <w:rPr>
              <w:rFonts w:asciiTheme="minorHAnsi" w:hAnsiTheme="minorHAnsi" w:eastAsiaTheme="minorEastAsia" w:cstheme="minorBidi"/>
              <w:noProof/>
              <w:sz w:val="22"/>
              <w:szCs w:val="22"/>
            </w:rPr>
          </w:pPr>
          <w:hyperlink w:history="1" w:anchor="_Toc69947982">
            <w:r w:rsidRPr="00FD24A9" w:rsidR="00C054EE">
              <w:rPr>
                <w:rStyle w:val="Hyperlink"/>
                <w:noProof/>
              </w:rPr>
              <w:t>6.5.8.3.</w:t>
            </w:r>
            <w:r w:rsidR="00C054EE">
              <w:rPr>
                <w:rFonts w:asciiTheme="minorHAnsi" w:hAnsiTheme="minorHAnsi" w:eastAsiaTheme="minorEastAsia" w:cstheme="minorBidi"/>
                <w:noProof/>
                <w:sz w:val="22"/>
                <w:szCs w:val="22"/>
              </w:rPr>
              <w:tab/>
            </w:r>
            <w:r w:rsidRPr="00FD24A9" w:rsidR="00C054EE">
              <w:rPr>
                <w:rStyle w:val="Hyperlink"/>
                <w:noProof/>
              </w:rPr>
              <w:t>New Measures (Mobile Homes): Denied</w:t>
            </w:r>
            <w:r w:rsidR="00C054EE">
              <w:rPr>
                <w:noProof/>
                <w:webHidden/>
              </w:rPr>
              <w:tab/>
            </w:r>
            <w:r w:rsidR="00C054EE">
              <w:rPr>
                <w:noProof/>
                <w:webHidden/>
              </w:rPr>
              <w:fldChar w:fldCharType="begin"/>
            </w:r>
            <w:r w:rsidR="00C054EE">
              <w:rPr>
                <w:noProof/>
                <w:webHidden/>
              </w:rPr>
              <w:instrText xml:space="preserve"> PAGEREF _Toc69947982 \h </w:instrText>
            </w:r>
            <w:r w:rsidR="00C054EE">
              <w:rPr>
                <w:noProof/>
                <w:webHidden/>
              </w:rPr>
            </w:r>
            <w:r w:rsidR="00C054EE">
              <w:rPr>
                <w:noProof/>
                <w:webHidden/>
              </w:rPr>
              <w:fldChar w:fldCharType="separate"/>
            </w:r>
            <w:r w:rsidR="004C2E01">
              <w:rPr>
                <w:noProof/>
                <w:webHidden/>
              </w:rPr>
              <w:t>194</w:t>
            </w:r>
            <w:r w:rsidR="00C054EE">
              <w:rPr>
                <w:noProof/>
                <w:webHidden/>
              </w:rPr>
              <w:fldChar w:fldCharType="end"/>
            </w:r>
          </w:hyperlink>
        </w:p>
        <w:p w:rsidR="00C054EE" w:rsidRDefault="000D5832" w14:paraId="544CBBBC" w14:textId="719FFBBD">
          <w:pPr>
            <w:pStyle w:val="TOC4"/>
            <w:tabs>
              <w:tab w:val="left" w:pos="1728"/>
              <w:tab w:val="right" w:leader="dot" w:pos="9350"/>
            </w:tabs>
            <w:rPr>
              <w:rFonts w:asciiTheme="minorHAnsi" w:hAnsiTheme="minorHAnsi" w:eastAsiaTheme="minorEastAsia" w:cstheme="minorBidi"/>
              <w:noProof/>
              <w:sz w:val="22"/>
              <w:szCs w:val="22"/>
            </w:rPr>
          </w:pPr>
          <w:hyperlink w:history="1" w:anchor="_Toc69947983">
            <w:r w:rsidRPr="00FD24A9" w:rsidR="00C054EE">
              <w:rPr>
                <w:rStyle w:val="Hyperlink"/>
                <w:noProof/>
              </w:rPr>
              <w:t>6.5.8.4.</w:t>
            </w:r>
            <w:r w:rsidR="00C054EE">
              <w:rPr>
                <w:rFonts w:asciiTheme="minorHAnsi" w:hAnsiTheme="minorHAnsi" w:eastAsiaTheme="minorEastAsia" w:cstheme="minorBidi"/>
                <w:noProof/>
                <w:sz w:val="22"/>
                <w:szCs w:val="22"/>
              </w:rPr>
              <w:tab/>
            </w:r>
            <w:r w:rsidRPr="00FD24A9" w:rsidR="00C054EE">
              <w:rPr>
                <w:rStyle w:val="Hyperlink"/>
                <w:noProof/>
              </w:rPr>
              <w:t>New Measures (Whole House Solar Battery and On Bill Financing): Denied</w:t>
            </w:r>
            <w:r w:rsidR="00C054EE">
              <w:rPr>
                <w:noProof/>
                <w:webHidden/>
              </w:rPr>
              <w:tab/>
            </w:r>
            <w:r w:rsidR="00C054EE">
              <w:rPr>
                <w:noProof/>
                <w:webHidden/>
              </w:rPr>
              <w:fldChar w:fldCharType="begin"/>
            </w:r>
            <w:r w:rsidR="00C054EE">
              <w:rPr>
                <w:noProof/>
                <w:webHidden/>
              </w:rPr>
              <w:instrText xml:space="preserve"> PAGEREF _Toc69947983 \h </w:instrText>
            </w:r>
            <w:r w:rsidR="00C054EE">
              <w:rPr>
                <w:noProof/>
                <w:webHidden/>
              </w:rPr>
            </w:r>
            <w:r w:rsidR="00C054EE">
              <w:rPr>
                <w:noProof/>
                <w:webHidden/>
              </w:rPr>
              <w:fldChar w:fldCharType="separate"/>
            </w:r>
            <w:r w:rsidR="004C2E01">
              <w:rPr>
                <w:noProof/>
                <w:webHidden/>
              </w:rPr>
              <w:t>195</w:t>
            </w:r>
            <w:r w:rsidR="00C054EE">
              <w:rPr>
                <w:noProof/>
                <w:webHidden/>
              </w:rPr>
              <w:fldChar w:fldCharType="end"/>
            </w:r>
          </w:hyperlink>
        </w:p>
        <w:p w:rsidR="00C054EE" w:rsidRDefault="000D5832" w14:paraId="1ECB06F9" w14:textId="2FA476EF">
          <w:pPr>
            <w:pStyle w:val="TOC4"/>
            <w:tabs>
              <w:tab w:val="left" w:pos="1728"/>
              <w:tab w:val="right" w:leader="dot" w:pos="9350"/>
            </w:tabs>
            <w:rPr>
              <w:rFonts w:asciiTheme="minorHAnsi" w:hAnsiTheme="minorHAnsi" w:eastAsiaTheme="minorEastAsia" w:cstheme="minorBidi"/>
              <w:noProof/>
              <w:sz w:val="22"/>
              <w:szCs w:val="22"/>
            </w:rPr>
          </w:pPr>
          <w:hyperlink w:history="1" w:anchor="_Toc69947984">
            <w:r w:rsidRPr="00FD24A9" w:rsidR="00C054EE">
              <w:rPr>
                <w:rStyle w:val="Hyperlink"/>
                <w:noProof/>
              </w:rPr>
              <w:t>6.5.8.5.</w:t>
            </w:r>
            <w:r w:rsidR="00C054EE">
              <w:rPr>
                <w:rFonts w:asciiTheme="minorHAnsi" w:hAnsiTheme="minorHAnsi" w:eastAsiaTheme="minorEastAsia" w:cstheme="minorBidi"/>
                <w:noProof/>
                <w:sz w:val="22"/>
                <w:szCs w:val="22"/>
              </w:rPr>
              <w:tab/>
            </w:r>
            <w:r w:rsidRPr="00FD24A9" w:rsidR="00C054EE">
              <w:rPr>
                <w:rStyle w:val="Hyperlink"/>
                <w:noProof/>
              </w:rPr>
              <w:t>New Measures (All Energy Efficiency and Clean Energy Measures): Denied</w:t>
            </w:r>
            <w:r w:rsidR="00C054EE">
              <w:rPr>
                <w:noProof/>
                <w:webHidden/>
              </w:rPr>
              <w:tab/>
            </w:r>
            <w:r w:rsidR="00C054EE">
              <w:rPr>
                <w:noProof/>
                <w:webHidden/>
              </w:rPr>
              <w:fldChar w:fldCharType="begin"/>
            </w:r>
            <w:r w:rsidR="00C054EE">
              <w:rPr>
                <w:noProof/>
                <w:webHidden/>
              </w:rPr>
              <w:instrText xml:space="preserve"> PAGEREF _Toc69947984 \h </w:instrText>
            </w:r>
            <w:r w:rsidR="00C054EE">
              <w:rPr>
                <w:noProof/>
                <w:webHidden/>
              </w:rPr>
            </w:r>
            <w:r w:rsidR="00C054EE">
              <w:rPr>
                <w:noProof/>
                <w:webHidden/>
              </w:rPr>
              <w:fldChar w:fldCharType="separate"/>
            </w:r>
            <w:r w:rsidR="004C2E01">
              <w:rPr>
                <w:noProof/>
                <w:webHidden/>
              </w:rPr>
              <w:t>195</w:t>
            </w:r>
            <w:r w:rsidR="00C054EE">
              <w:rPr>
                <w:noProof/>
                <w:webHidden/>
              </w:rPr>
              <w:fldChar w:fldCharType="end"/>
            </w:r>
          </w:hyperlink>
        </w:p>
        <w:p w:rsidR="00C054EE" w:rsidRDefault="000D5832" w14:paraId="6DD7329B" w14:textId="1229551D">
          <w:pPr>
            <w:pStyle w:val="TOC4"/>
            <w:tabs>
              <w:tab w:val="left" w:pos="1728"/>
              <w:tab w:val="right" w:leader="dot" w:pos="9350"/>
            </w:tabs>
            <w:rPr>
              <w:rFonts w:asciiTheme="minorHAnsi" w:hAnsiTheme="minorHAnsi" w:eastAsiaTheme="minorEastAsia" w:cstheme="minorBidi"/>
              <w:noProof/>
              <w:sz w:val="22"/>
              <w:szCs w:val="22"/>
            </w:rPr>
          </w:pPr>
          <w:hyperlink w:history="1" w:anchor="_Toc69947985">
            <w:r w:rsidRPr="00FD24A9" w:rsidR="00C054EE">
              <w:rPr>
                <w:rStyle w:val="Hyperlink"/>
                <w:noProof/>
              </w:rPr>
              <w:t>6.5.8.6.</w:t>
            </w:r>
            <w:r w:rsidR="00C054EE">
              <w:rPr>
                <w:rFonts w:asciiTheme="minorHAnsi" w:hAnsiTheme="minorHAnsi" w:eastAsiaTheme="minorEastAsia" w:cstheme="minorBidi"/>
                <w:noProof/>
                <w:sz w:val="22"/>
                <w:szCs w:val="22"/>
              </w:rPr>
              <w:tab/>
            </w:r>
            <w:r w:rsidRPr="00FD24A9" w:rsidR="00C054EE">
              <w:rPr>
                <w:rStyle w:val="Hyperlink"/>
                <w:bCs/>
                <w:noProof/>
              </w:rPr>
              <w:t xml:space="preserve">Prioritization of </w:t>
            </w:r>
            <w:r w:rsidRPr="00FD24A9" w:rsidR="00C054EE">
              <w:rPr>
                <w:rStyle w:val="Hyperlink"/>
                <w:noProof/>
              </w:rPr>
              <w:t>Electrification Measures: Denied</w:t>
            </w:r>
            <w:r w:rsidR="00C054EE">
              <w:rPr>
                <w:noProof/>
                <w:webHidden/>
              </w:rPr>
              <w:tab/>
            </w:r>
            <w:r w:rsidR="00C054EE">
              <w:rPr>
                <w:noProof/>
                <w:webHidden/>
              </w:rPr>
              <w:fldChar w:fldCharType="begin"/>
            </w:r>
            <w:r w:rsidR="00C054EE">
              <w:rPr>
                <w:noProof/>
                <w:webHidden/>
              </w:rPr>
              <w:instrText xml:space="preserve"> PAGEREF _Toc69947985 \h </w:instrText>
            </w:r>
            <w:r w:rsidR="00C054EE">
              <w:rPr>
                <w:noProof/>
                <w:webHidden/>
              </w:rPr>
            </w:r>
            <w:r w:rsidR="00C054EE">
              <w:rPr>
                <w:noProof/>
                <w:webHidden/>
              </w:rPr>
              <w:fldChar w:fldCharType="separate"/>
            </w:r>
            <w:r w:rsidR="004C2E01">
              <w:rPr>
                <w:noProof/>
                <w:webHidden/>
              </w:rPr>
              <w:t>195</w:t>
            </w:r>
            <w:r w:rsidR="00C054EE">
              <w:rPr>
                <w:noProof/>
                <w:webHidden/>
              </w:rPr>
              <w:fldChar w:fldCharType="end"/>
            </w:r>
          </w:hyperlink>
        </w:p>
        <w:p w:rsidR="00C054EE" w:rsidRDefault="000D5832" w14:paraId="73BD4E54" w14:textId="2B71A449">
          <w:pPr>
            <w:pStyle w:val="TOC4"/>
            <w:tabs>
              <w:tab w:val="left" w:pos="1728"/>
              <w:tab w:val="right" w:leader="dot" w:pos="9350"/>
            </w:tabs>
            <w:rPr>
              <w:rFonts w:asciiTheme="minorHAnsi" w:hAnsiTheme="minorHAnsi" w:eastAsiaTheme="minorEastAsia" w:cstheme="minorBidi"/>
              <w:noProof/>
              <w:sz w:val="22"/>
              <w:szCs w:val="22"/>
            </w:rPr>
          </w:pPr>
          <w:hyperlink w:history="1" w:anchor="_Toc69947986">
            <w:r w:rsidRPr="00FD24A9" w:rsidR="00C054EE">
              <w:rPr>
                <w:rStyle w:val="Hyperlink"/>
                <w:noProof/>
              </w:rPr>
              <w:t>6.5.8.7.</w:t>
            </w:r>
            <w:r w:rsidR="00C054EE">
              <w:rPr>
                <w:rFonts w:asciiTheme="minorHAnsi" w:hAnsiTheme="minorHAnsi" w:eastAsiaTheme="minorEastAsia" w:cstheme="minorBidi"/>
                <w:noProof/>
                <w:sz w:val="22"/>
                <w:szCs w:val="22"/>
              </w:rPr>
              <w:tab/>
            </w:r>
            <w:r w:rsidRPr="00FD24A9" w:rsidR="00C054EE">
              <w:rPr>
                <w:rStyle w:val="Hyperlink"/>
                <w:noProof/>
              </w:rPr>
              <w:t xml:space="preserve">Requiring Healthy Building Materials:  </w:t>
            </w:r>
            <w:r w:rsidR="00480C4A">
              <w:rPr>
                <w:rStyle w:val="Hyperlink"/>
                <w:noProof/>
              </w:rPr>
              <w:br/>
            </w:r>
            <w:r w:rsidRPr="00FD24A9" w:rsidR="00C054EE">
              <w:rPr>
                <w:rStyle w:val="Hyperlink"/>
                <w:noProof/>
              </w:rPr>
              <w:t>Requires Further Study</w:t>
            </w:r>
            <w:r w:rsidR="00C054EE">
              <w:rPr>
                <w:noProof/>
                <w:webHidden/>
              </w:rPr>
              <w:tab/>
            </w:r>
            <w:r w:rsidR="00C054EE">
              <w:rPr>
                <w:noProof/>
                <w:webHidden/>
              </w:rPr>
              <w:fldChar w:fldCharType="begin"/>
            </w:r>
            <w:r w:rsidR="00C054EE">
              <w:rPr>
                <w:noProof/>
                <w:webHidden/>
              </w:rPr>
              <w:instrText xml:space="preserve"> PAGEREF _Toc69947986 \h </w:instrText>
            </w:r>
            <w:r w:rsidR="00C054EE">
              <w:rPr>
                <w:noProof/>
                <w:webHidden/>
              </w:rPr>
            </w:r>
            <w:r w:rsidR="00C054EE">
              <w:rPr>
                <w:noProof/>
                <w:webHidden/>
              </w:rPr>
              <w:fldChar w:fldCharType="separate"/>
            </w:r>
            <w:r w:rsidR="004C2E01">
              <w:rPr>
                <w:noProof/>
                <w:webHidden/>
              </w:rPr>
              <w:t>196</w:t>
            </w:r>
            <w:r w:rsidR="00C054EE">
              <w:rPr>
                <w:noProof/>
                <w:webHidden/>
              </w:rPr>
              <w:fldChar w:fldCharType="end"/>
            </w:r>
          </w:hyperlink>
        </w:p>
        <w:p w:rsidR="00C054EE" w:rsidRDefault="000D5832" w14:paraId="4072ED9E" w14:textId="5808EC9A">
          <w:pPr>
            <w:pStyle w:val="TOC4"/>
            <w:tabs>
              <w:tab w:val="left" w:pos="1728"/>
              <w:tab w:val="right" w:leader="dot" w:pos="9350"/>
            </w:tabs>
            <w:rPr>
              <w:rFonts w:asciiTheme="minorHAnsi" w:hAnsiTheme="minorHAnsi" w:eastAsiaTheme="minorEastAsia" w:cstheme="minorBidi"/>
              <w:noProof/>
              <w:sz w:val="22"/>
              <w:szCs w:val="22"/>
            </w:rPr>
          </w:pPr>
          <w:hyperlink w:history="1" w:anchor="_Toc69947987">
            <w:r w:rsidRPr="00FD24A9" w:rsidR="00C054EE">
              <w:rPr>
                <w:rStyle w:val="Hyperlink"/>
                <w:noProof/>
              </w:rPr>
              <w:t>6.5.8.8.</w:t>
            </w:r>
            <w:r w:rsidR="00C054EE">
              <w:rPr>
                <w:rFonts w:asciiTheme="minorHAnsi" w:hAnsiTheme="minorHAnsi" w:eastAsiaTheme="minorEastAsia" w:cstheme="minorBidi"/>
                <w:noProof/>
                <w:sz w:val="22"/>
                <w:szCs w:val="22"/>
              </w:rPr>
              <w:tab/>
            </w:r>
            <w:r w:rsidRPr="00FD24A9" w:rsidR="00C054EE">
              <w:rPr>
                <w:rStyle w:val="Hyperlink"/>
                <w:noProof/>
              </w:rPr>
              <w:t xml:space="preserve">Allowing ESA Contractors to Enroll and </w:t>
            </w:r>
            <w:r w:rsidR="00480C4A">
              <w:rPr>
                <w:rStyle w:val="Hyperlink"/>
                <w:noProof/>
              </w:rPr>
              <w:br/>
            </w:r>
            <w:r w:rsidRPr="00FD24A9" w:rsidR="00C054EE">
              <w:rPr>
                <w:rStyle w:val="Hyperlink"/>
                <w:noProof/>
              </w:rPr>
              <w:t>Install Solar: Denied</w:t>
            </w:r>
            <w:r w:rsidR="00C054EE">
              <w:rPr>
                <w:noProof/>
                <w:webHidden/>
              </w:rPr>
              <w:tab/>
            </w:r>
            <w:r w:rsidR="00C054EE">
              <w:rPr>
                <w:noProof/>
                <w:webHidden/>
              </w:rPr>
              <w:fldChar w:fldCharType="begin"/>
            </w:r>
            <w:r w:rsidR="00C054EE">
              <w:rPr>
                <w:noProof/>
                <w:webHidden/>
              </w:rPr>
              <w:instrText xml:space="preserve"> PAGEREF _Toc69947987 \h </w:instrText>
            </w:r>
            <w:r w:rsidR="00C054EE">
              <w:rPr>
                <w:noProof/>
                <w:webHidden/>
              </w:rPr>
            </w:r>
            <w:r w:rsidR="00C054EE">
              <w:rPr>
                <w:noProof/>
                <w:webHidden/>
              </w:rPr>
              <w:fldChar w:fldCharType="separate"/>
            </w:r>
            <w:r w:rsidR="004C2E01">
              <w:rPr>
                <w:noProof/>
                <w:webHidden/>
              </w:rPr>
              <w:t>197</w:t>
            </w:r>
            <w:r w:rsidR="00C054EE">
              <w:rPr>
                <w:noProof/>
                <w:webHidden/>
              </w:rPr>
              <w:fldChar w:fldCharType="end"/>
            </w:r>
          </w:hyperlink>
        </w:p>
        <w:p w:rsidR="00C054EE" w:rsidRDefault="000D5832" w14:paraId="14129F0B" w14:textId="18CB115B">
          <w:pPr>
            <w:pStyle w:val="TOC4"/>
            <w:tabs>
              <w:tab w:val="left" w:pos="1728"/>
              <w:tab w:val="right" w:leader="dot" w:pos="9350"/>
            </w:tabs>
            <w:rPr>
              <w:rFonts w:asciiTheme="minorHAnsi" w:hAnsiTheme="minorHAnsi" w:eastAsiaTheme="minorEastAsia" w:cstheme="minorBidi"/>
              <w:noProof/>
              <w:sz w:val="22"/>
              <w:szCs w:val="22"/>
            </w:rPr>
          </w:pPr>
          <w:hyperlink w:history="1" w:anchor="_Toc69947988">
            <w:r w:rsidRPr="00FD24A9" w:rsidR="00C054EE">
              <w:rPr>
                <w:rStyle w:val="Hyperlink"/>
                <w:noProof/>
              </w:rPr>
              <w:t>6.5.8.9.</w:t>
            </w:r>
            <w:r w:rsidR="00C054EE">
              <w:rPr>
                <w:rFonts w:asciiTheme="minorHAnsi" w:hAnsiTheme="minorHAnsi" w:eastAsiaTheme="minorEastAsia" w:cstheme="minorBidi"/>
                <w:noProof/>
                <w:sz w:val="22"/>
                <w:szCs w:val="22"/>
              </w:rPr>
              <w:tab/>
            </w:r>
            <w:r w:rsidRPr="00FD24A9" w:rsidR="00C054EE">
              <w:rPr>
                <w:rStyle w:val="Hyperlink"/>
                <w:noProof/>
              </w:rPr>
              <w:t>Budget Caps (General, Home Repairs, Non-Resource Measures): Approved with Modifications</w:t>
            </w:r>
            <w:r w:rsidR="00C054EE">
              <w:rPr>
                <w:noProof/>
                <w:webHidden/>
              </w:rPr>
              <w:tab/>
            </w:r>
            <w:r w:rsidR="00C054EE">
              <w:rPr>
                <w:noProof/>
                <w:webHidden/>
              </w:rPr>
              <w:fldChar w:fldCharType="begin"/>
            </w:r>
            <w:r w:rsidR="00C054EE">
              <w:rPr>
                <w:noProof/>
                <w:webHidden/>
              </w:rPr>
              <w:instrText xml:space="preserve"> PAGEREF _Toc69947988 \h </w:instrText>
            </w:r>
            <w:r w:rsidR="00C054EE">
              <w:rPr>
                <w:noProof/>
                <w:webHidden/>
              </w:rPr>
            </w:r>
            <w:r w:rsidR="00C054EE">
              <w:rPr>
                <w:noProof/>
                <w:webHidden/>
              </w:rPr>
              <w:fldChar w:fldCharType="separate"/>
            </w:r>
            <w:r w:rsidR="004C2E01">
              <w:rPr>
                <w:noProof/>
                <w:webHidden/>
              </w:rPr>
              <w:t>197</w:t>
            </w:r>
            <w:r w:rsidR="00C054EE">
              <w:rPr>
                <w:noProof/>
                <w:webHidden/>
              </w:rPr>
              <w:fldChar w:fldCharType="end"/>
            </w:r>
          </w:hyperlink>
        </w:p>
        <w:p w:rsidR="00C054EE" w:rsidRDefault="000D5832" w14:paraId="296C17E7" w14:textId="6D519D80">
          <w:pPr>
            <w:pStyle w:val="TOC4"/>
            <w:tabs>
              <w:tab w:val="left" w:pos="2160"/>
              <w:tab w:val="right" w:leader="dot" w:pos="9350"/>
            </w:tabs>
            <w:rPr>
              <w:rFonts w:asciiTheme="minorHAnsi" w:hAnsiTheme="minorHAnsi" w:eastAsiaTheme="minorEastAsia" w:cstheme="minorBidi"/>
              <w:noProof/>
              <w:sz w:val="22"/>
              <w:szCs w:val="22"/>
            </w:rPr>
          </w:pPr>
          <w:hyperlink w:history="1" w:anchor="_Toc69947989">
            <w:r w:rsidRPr="00FD24A9" w:rsidR="00C054EE">
              <w:rPr>
                <w:rStyle w:val="Hyperlink"/>
                <w:noProof/>
              </w:rPr>
              <w:t>6.5.8.10.</w:t>
            </w:r>
            <w:r w:rsidR="00C054EE">
              <w:rPr>
                <w:rFonts w:asciiTheme="minorHAnsi" w:hAnsiTheme="minorHAnsi" w:eastAsiaTheme="minorEastAsia" w:cstheme="minorBidi"/>
                <w:noProof/>
                <w:sz w:val="22"/>
                <w:szCs w:val="22"/>
              </w:rPr>
              <w:tab/>
            </w:r>
            <w:r w:rsidRPr="00FD24A9" w:rsidR="00C054EE">
              <w:rPr>
                <w:rStyle w:val="Hyperlink"/>
                <w:noProof/>
              </w:rPr>
              <w:t xml:space="preserve">Establishment of an Online Marketplace for </w:t>
            </w:r>
            <w:r w:rsidR="00480C4A">
              <w:rPr>
                <w:rStyle w:val="Hyperlink"/>
                <w:noProof/>
              </w:rPr>
              <w:br/>
            </w:r>
            <w:r w:rsidRPr="00FD24A9" w:rsidR="00C054EE">
              <w:rPr>
                <w:rStyle w:val="Hyperlink"/>
                <w:noProof/>
              </w:rPr>
              <w:t>Measures: Denied</w:t>
            </w:r>
            <w:r w:rsidR="00C054EE">
              <w:rPr>
                <w:noProof/>
                <w:webHidden/>
              </w:rPr>
              <w:tab/>
            </w:r>
            <w:r w:rsidR="00C054EE">
              <w:rPr>
                <w:noProof/>
                <w:webHidden/>
              </w:rPr>
              <w:fldChar w:fldCharType="begin"/>
            </w:r>
            <w:r w:rsidR="00C054EE">
              <w:rPr>
                <w:noProof/>
                <w:webHidden/>
              </w:rPr>
              <w:instrText xml:space="preserve"> PAGEREF _Toc69947989 \h </w:instrText>
            </w:r>
            <w:r w:rsidR="00C054EE">
              <w:rPr>
                <w:noProof/>
                <w:webHidden/>
              </w:rPr>
            </w:r>
            <w:r w:rsidR="00C054EE">
              <w:rPr>
                <w:noProof/>
                <w:webHidden/>
              </w:rPr>
              <w:fldChar w:fldCharType="separate"/>
            </w:r>
            <w:r w:rsidR="004C2E01">
              <w:rPr>
                <w:noProof/>
                <w:webHidden/>
              </w:rPr>
              <w:t>199</w:t>
            </w:r>
            <w:r w:rsidR="00C054EE">
              <w:rPr>
                <w:noProof/>
                <w:webHidden/>
              </w:rPr>
              <w:fldChar w:fldCharType="end"/>
            </w:r>
          </w:hyperlink>
        </w:p>
        <w:p w:rsidR="00C054EE" w:rsidRDefault="000D5832" w14:paraId="32DDC785" w14:textId="74BB30CB">
          <w:pPr>
            <w:pStyle w:val="TOC4"/>
            <w:tabs>
              <w:tab w:val="left" w:pos="2160"/>
              <w:tab w:val="right" w:leader="dot" w:pos="9350"/>
            </w:tabs>
            <w:rPr>
              <w:rFonts w:asciiTheme="minorHAnsi" w:hAnsiTheme="minorHAnsi" w:eastAsiaTheme="minorEastAsia" w:cstheme="minorBidi"/>
              <w:noProof/>
              <w:sz w:val="22"/>
              <w:szCs w:val="22"/>
            </w:rPr>
          </w:pPr>
          <w:hyperlink w:history="1" w:anchor="_Toc69947990">
            <w:r w:rsidRPr="00FD24A9" w:rsidR="00C054EE">
              <w:rPr>
                <w:rStyle w:val="Hyperlink"/>
                <w:noProof/>
              </w:rPr>
              <w:t>6.5.8.11.</w:t>
            </w:r>
            <w:r w:rsidR="00C054EE">
              <w:rPr>
                <w:rFonts w:asciiTheme="minorHAnsi" w:hAnsiTheme="minorHAnsi" w:eastAsiaTheme="minorEastAsia" w:cstheme="minorBidi"/>
                <w:noProof/>
                <w:sz w:val="22"/>
                <w:szCs w:val="22"/>
              </w:rPr>
              <w:tab/>
            </w:r>
            <w:r w:rsidRPr="00FD24A9" w:rsidR="00C054EE">
              <w:rPr>
                <w:rStyle w:val="Hyperlink"/>
                <w:noProof/>
              </w:rPr>
              <w:t xml:space="preserve">Process for Updating Measures: Approved with </w:t>
            </w:r>
            <w:r w:rsidR="00480C4A">
              <w:rPr>
                <w:rStyle w:val="Hyperlink"/>
                <w:noProof/>
              </w:rPr>
              <w:br/>
            </w:r>
            <w:r w:rsidRPr="00FD24A9" w:rsidR="00C054EE">
              <w:rPr>
                <w:rStyle w:val="Hyperlink"/>
                <w:noProof/>
              </w:rPr>
              <w:t>Modifications</w:t>
            </w:r>
            <w:r w:rsidR="00C054EE">
              <w:rPr>
                <w:noProof/>
                <w:webHidden/>
              </w:rPr>
              <w:tab/>
            </w:r>
            <w:r w:rsidR="00C054EE">
              <w:rPr>
                <w:noProof/>
                <w:webHidden/>
              </w:rPr>
              <w:fldChar w:fldCharType="begin"/>
            </w:r>
            <w:r w:rsidR="00C054EE">
              <w:rPr>
                <w:noProof/>
                <w:webHidden/>
              </w:rPr>
              <w:instrText xml:space="preserve"> PAGEREF _Toc69947990 \h </w:instrText>
            </w:r>
            <w:r w:rsidR="00C054EE">
              <w:rPr>
                <w:noProof/>
                <w:webHidden/>
              </w:rPr>
            </w:r>
            <w:r w:rsidR="00C054EE">
              <w:rPr>
                <w:noProof/>
                <w:webHidden/>
              </w:rPr>
              <w:fldChar w:fldCharType="separate"/>
            </w:r>
            <w:r w:rsidR="004C2E01">
              <w:rPr>
                <w:noProof/>
                <w:webHidden/>
              </w:rPr>
              <w:t>199</w:t>
            </w:r>
            <w:r w:rsidR="00C054EE">
              <w:rPr>
                <w:noProof/>
                <w:webHidden/>
              </w:rPr>
              <w:fldChar w:fldCharType="end"/>
            </w:r>
          </w:hyperlink>
        </w:p>
        <w:p w:rsidR="00C054EE" w:rsidRDefault="000D5832" w14:paraId="013C018D" w14:textId="14B7D13C">
          <w:pPr>
            <w:pStyle w:val="TOC4"/>
            <w:tabs>
              <w:tab w:val="left" w:pos="2160"/>
              <w:tab w:val="right" w:leader="dot" w:pos="9350"/>
            </w:tabs>
            <w:rPr>
              <w:rFonts w:asciiTheme="minorHAnsi" w:hAnsiTheme="minorHAnsi" w:eastAsiaTheme="minorEastAsia" w:cstheme="minorBidi"/>
              <w:noProof/>
              <w:sz w:val="22"/>
              <w:szCs w:val="22"/>
            </w:rPr>
          </w:pPr>
          <w:hyperlink w:history="1" w:anchor="_Toc69947991">
            <w:r w:rsidRPr="00FD24A9" w:rsidR="00C054EE">
              <w:rPr>
                <w:rStyle w:val="Hyperlink"/>
                <w:noProof/>
              </w:rPr>
              <w:t>6.5.8.12.</w:t>
            </w:r>
            <w:r w:rsidR="00C054EE">
              <w:rPr>
                <w:rFonts w:asciiTheme="minorHAnsi" w:hAnsiTheme="minorHAnsi" w:eastAsiaTheme="minorEastAsia" w:cstheme="minorBidi"/>
                <w:noProof/>
                <w:sz w:val="22"/>
                <w:szCs w:val="22"/>
              </w:rPr>
              <w:tab/>
            </w:r>
            <w:r w:rsidRPr="00FD24A9" w:rsidR="00C054EE">
              <w:rPr>
                <w:rStyle w:val="Hyperlink"/>
                <w:noProof/>
              </w:rPr>
              <w:t>Additional Reporting and Compliance: New</w:t>
            </w:r>
            <w:r w:rsidR="00C054EE">
              <w:rPr>
                <w:noProof/>
                <w:webHidden/>
              </w:rPr>
              <w:tab/>
            </w:r>
            <w:r w:rsidR="00C054EE">
              <w:rPr>
                <w:noProof/>
                <w:webHidden/>
              </w:rPr>
              <w:fldChar w:fldCharType="begin"/>
            </w:r>
            <w:r w:rsidR="00C054EE">
              <w:rPr>
                <w:noProof/>
                <w:webHidden/>
              </w:rPr>
              <w:instrText xml:space="preserve"> PAGEREF _Toc69947991 \h </w:instrText>
            </w:r>
            <w:r w:rsidR="00C054EE">
              <w:rPr>
                <w:noProof/>
                <w:webHidden/>
              </w:rPr>
            </w:r>
            <w:r w:rsidR="00C054EE">
              <w:rPr>
                <w:noProof/>
                <w:webHidden/>
              </w:rPr>
              <w:fldChar w:fldCharType="separate"/>
            </w:r>
            <w:r w:rsidR="004C2E01">
              <w:rPr>
                <w:noProof/>
                <w:webHidden/>
              </w:rPr>
              <w:t>200</w:t>
            </w:r>
            <w:r w:rsidR="00C054EE">
              <w:rPr>
                <w:noProof/>
                <w:webHidden/>
              </w:rPr>
              <w:fldChar w:fldCharType="end"/>
            </w:r>
          </w:hyperlink>
        </w:p>
        <w:p w:rsidR="00C054EE" w:rsidRDefault="000D5832" w14:paraId="76143597" w14:textId="14BEBF82">
          <w:pPr>
            <w:pStyle w:val="TOC2"/>
            <w:tabs>
              <w:tab w:val="right" w:leader="dot" w:pos="9350"/>
            </w:tabs>
            <w:rPr>
              <w:rFonts w:asciiTheme="minorHAnsi" w:hAnsiTheme="minorHAnsi" w:cstheme="minorBidi"/>
              <w:noProof/>
              <w:sz w:val="22"/>
              <w:szCs w:val="22"/>
            </w:rPr>
          </w:pPr>
          <w:hyperlink w:history="1" w:anchor="_Toc69947992">
            <w:r w:rsidRPr="00FD24A9" w:rsidR="00C054EE">
              <w:rPr>
                <w:rStyle w:val="Hyperlink"/>
                <w:noProof/>
              </w:rPr>
              <w:t>6.6.</w:t>
            </w:r>
            <w:r w:rsidR="00C054EE">
              <w:rPr>
                <w:rFonts w:asciiTheme="minorHAnsi" w:hAnsiTheme="minorHAnsi" w:cstheme="minorBidi"/>
                <w:noProof/>
                <w:sz w:val="22"/>
                <w:szCs w:val="22"/>
              </w:rPr>
              <w:tab/>
            </w:r>
            <w:r w:rsidRPr="00FD24A9" w:rsidR="00C054EE">
              <w:rPr>
                <w:rStyle w:val="Hyperlink"/>
                <w:noProof/>
              </w:rPr>
              <w:t>ESA Customer Segments / Market Segmentation</w:t>
            </w:r>
            <w:r w:rsidR="00C054EE">
              <w:rPr>
                <w:noProof/>
                <w:webHidden/>
              </w:rPr>
              <w:tab/>
            </w:r>
            <w:r w:rsidR="00C054EE">
              <w:rPr>
                <w:noProof/>
                <w:webHidden/>
              </w:rPr>
              <w:fldChar w:fldCharType="begin"/>
            </w:r>
            <w:r w:rsidR="00C054EE">
              <w:rPr>
                <w:noProof/>
                <w:webHidden/>
              </w:rPr>
              <w:instrText xml:space="preserve"> PAGEREF _Toc69947992 \h </w:instrText>
            </w:r>
            <w:r w:rsidR="00C054EE">
              <w:rPr>
                <w:noProof/>
                <w:webHidden/>
              </w:rPr>
            </w:r>
            <w:r w:rsidR="00C054EE">
              <w:rPr>
                <w:noProof/>
                <w:webHidden/>
              </w:rPr>
              <w:fldChar w:fldCharType="separate"/>
            </w:r>
            <w:r w:rsidR="004C2E01">
              <w:rPr>
                <w:noProof/>
                <w:webHidden/>
              </w:rPr>
              <w:t>200</w:t>
            </w:r>
            <w:r w:rsidR="00C054EE">
              <w:rPr>
                <w:noProof/>
                <w:webHidden/>
              </w:rPr>
              <w:fldChar w:fldCharType="end"/>
            </w:r>
          </w:hyperlink>
        </w:p>
        <w:p w:rsidR="00C054EE" w:rsidRDefault="000D5832" w14:paraId="0058EAFB" w14:textId="5ABE34B3">
          <w:pPr>
            <w:pStyle w:val="TOC3"/>
            <w:tabs>
              <w:tab w:val="left" w:pos="1296"/>
              <w:tab w:val="right" w:leader="dot" w:pos="9350"/>
            </w:tabs>
            <w:rPr>
              <w:rFonts w:asciiTheme="minorHAnsi" w:hAnsiTheme="minorHAnsi" w:cstheme="minorBidi"/>
              <w:noProof/>
              <w:sz w:val="22"/>
              <w:szCs w:val="22"/>
            </w:rPr>
          </w:pPr>
          <w:hyperlink w:history="1" w:anchor="_Toc69947993">
            <w:r w:rsidRPr="00FD24A9" w:rsidR="00C054EE">
              <w:rPr>
                <w:rStyle w:val="Hyperlink"/>
                <w:noProof/>
              </w:rPr>
              <w:t>6.6.1.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_Toc69947993 \h </w:instrText>
            </w:r>
            <w:r w:rsidR="00C054EE">
              <w:rPr>
                <w:noProof/>
                <w:webHidden/>
              </w:rPr>
            </w:r>
            <w:r w:rsidR="00C054EE">
              <w:rPr>
                <w:noProof/>
                <w:webHidden/>
              </w:rPr>
              <w:fldChar w:fldCharType="separate"/>
            </w:r>
            <w:r w:rsidR="004C2E01">
              <w:rPr>
                <w:noProof/>
                <w:webHidden/>
              </w:rPr>
              <w:t>200</w:t>
            </w:r>
            <w:r w:rsidR="00C054EE">
              <w:rPr>
                <w:noProof/>
                <w:webHidden/>
              </w:rPr>
              <w:fldChar w:fldCharType="end"/>
            </w:r>
          </w:hyperlink>
        </w:p>
        <w:p w:rsidR="00C054EE" w:rsidRDefault="000D5832" w14:paraId="6E3B4745" w14:textId="54F9D963">
          <w:pPr>
            <w:pStyle w:val="TOC3"/>
            <w:tabs>
              <w:tab w:val="left" w:pos="1296"/>
              <w:tab w:val="right" w:leader="dot" w:pos="9350"/>
            </w:tabs>
            <w:rPr>
              <w:rFonts w:asciiTheme="minorHAnsi" w:hAnsiTheme="minorHAnsi" w:cstheme="minorBidi"/>
              <w:noProof/>
              <w:sz w:val="22"/>
              <w:szCs w:val="22"/>
            </w:rPr>
          </w:pPr>
          <w:hyperlink w:history="1" w:anchor="_Toc69947994">
            <w:r w:rsidRPr="00FD24A9" w:rsidR="00C054EE">
              <w:rPr>
                <w:rStyle w:val="Hyperlink"/>
                <w:noProof/>
              </w:rPr>
              <w:t>6.6.2.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_Toc69947994 \h </w:instrText>
            </w:r>
            <w:r w:rsidR="00C054EE">
              <w:rPr>
                <w:noProof/>
                <w:webHidden/>
              </w:rPr>
            </w:r>
            <w:r w:rsidR="00C054EE">
              <w:rPr>
                <w:noProof/>
                <w:webHidden/>
              </w:rPr>
              <w:fldChar w:fldCharType="separate"/>
            </w:r>
            <w:r w:rsidR="004C2E01">
              <w:rPr>
                <w:noProof/>
                <w:webHidden/>
              </w:rPr>
              <w:t>201</w:t>
            </w:r>
            <w:r w:rsidR="00C054EE">
              <w:rPr>
                <w:noProof/>
                <w:webHidden/>
              </w:rPr>
              <w:fldChar w:fldCharType="end"/>
            </w:r>
          </w:hyperlink>
        </w:p>
        <w:p w:rsidR="00C054EE" w:rsidRDefault="000D5832" w14:paraId="732A02B9" w14:textId="25FED437">
          <w:pPr>
            <w:pStyle w:val="TOC3"/>
            <w:tabs>
              <w:tab w:val="left" w:pos="1296"/>
              <w:tab w:val="right" w:leader="dot" w:pos="9350"/>
            </w:tabs>
            <w:rPr>
              <w:rFonts w:asciiTheme="minorHAnsi" w:hAnsiTheme="minorHAnsi" w:cstheme="minorBidi"/>
              <w:noProof/>
              <w:sz w:val="22"/>
              <w:szCs w:val="22"/>
            </w:rPr>
          </w:pPr>
          <w:hyperlink w:history="1" w:anchor="_Toc69947995">
            <w:r w:rsidRPr="00FD24A9" w:rsidR="00C054EE">
              <w:rPr>
                <w:rStyle w:val="Hyperlink"/>
                <w:noProof/>
              </w:rPr>
              <w:t>6.6.3.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_Toc69947995 \h </w:instrText>
            </w:r>
            <w:r w:rsidR="00C054EE">
              <w:rPr>
                <w:noProof/>
                <w:webHidden/>
              </w:rPr>
            </w:r>
            <w:r w:rsidR="00C054EE">
              <w:rPr>
                <w:noProof/>
                <w:webHidden/>
              </w:rPr>
              <w:fldChar w:fldCharType="separate"/>
            </w:r>
            <w:r w:rsidR="004C2E01">
              <w:rPr>
                <w:noProof/>
                <w:webHidden/>
              </w:rPr>
              <w:t>202</w:t>
            </w:r>
            <w:r w:rsidR="00C054EE">
              <w:rPr>
                <w:noProof/>
                <w:webHidden/>
              </w:rPr>
              <w:fldChar w:fldCharType="end"/>
            </w:r>
          </w:hyperlink>
        </w:p>
        <w:p w:rsidR="00C054EE" w:rsidRDefault="000D5832" w14:paraId="2DB76792" w14:textId="33B33D2C">
          <w:pPr>
            <w:pStyle w:val="TOC3"/>
            <w:tabs>
              <w:tab w:val="left" w:pos="1296"/>
              <w:tab w:val="right" w:leader="dot" w:pos="9350"/>
            </w:tabs>
            <w:rPr>
              <w:rFonts w:asciiTheme="minorHAnsi" w:hAnsiTheme="minorHAnsi" w:cstheme="minorBidi"/>
              <w:noProof/>
              <w:sz w:val="22"/>
              <w:szCs w:val="22"/>
            </w:rPr>
          </w:pPr>
          <w:hyperlink w:history="1" w:anchor="_Toc69947996">
            <w:r w:rsidRPr="00FD24A9" w:rsidR="00C054EE">
              <w:rPr>
                <w:rStyle w:val="Hyperlink"/>
                <w:noProof/>
              </w:rPr>
              <w:t>6.6.4.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_Toc69947996 \h </w:instrText>
            </w:r>
            <w:r w:rsidR="00C054EE">
              <w:rPr>
                <w:noProof/>
                <w:webHidden/>
              </w:rPr>
            </w:r>
            <w:r w:rsidR="00C054EE">
              <w:rPr>
                <w:noProof/>
                <w:webHidden/>
              </w:rPr>
              <w:fldChar w:fldCharType="separate"/>
            </w:r>
            <w:r w:rsidR="004C2E01">
              <w:rPr>
                <w:noProof/>
                <w:webHidden/>
              </w:rPr>
              <w:t>202</w:t>
            </w:r>
            <w:r w:rsidR="00C054EE">
              <w:rPr>
                <w:noProof/>
                <w:webHidden/>
              </w:rPr>
              <w:fldChar w:fldCharType="end"/>
            </w:r>
          </w:hyperlink>
        </w:p>
        <w:p w:rsidR="00C054EE" w:rsidRDefault="000D5832" w14:paraId="700D2952" w14:textId="43281DED">
          <w:pPr>
            <w:pStyle w:val="TOC3"/>
            <w:tabs>
              <w:tab w:val="left" w:pos="1296"/>
              <w:tab w:val="right" w:leader="dot" w:pos="9350"/>
            </w:tabs>
            <w:rPr>
              <w:rFonts w:asciiTheme="minorHAnsi" w:hAnsiTheme="minorHAnsi" w:cstheme="minorBidi"/>
              <w:noProof/>
              <w:sz w:val="22"/>
              <w:szCs w:val="22"/>
            </w:rPr>
          </w:pPr>
          <w:hyperlink w:history="1" w:anchor="_Toc69947997">
            <w:r w:rsidRPr="00FD24A9" w:rsidR="00C054EE">
              <w:rPr>
                <w:rStyle w:val="Hyperlink"/>
                <w:noProof/>
              </w:rPr>
              <w:t>6.6.5.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_Toc69947997 \h </w:instrText>
            </w:r>
            <w:r w:rsidR="00C054EE">
              <w:rPr>
                <w:noProof/>
                <w:webHidden/>
              </w:rPr>
            </w:r>
            <w:r w:rsidR="00C054EE">
              <w:rPr>
                <w:noProof/>
                <w:webHidden/>
              </w:rPr>
              <w:fldChar w:fldCharType="separate"/>
            </w:r>
            <w:r w:rsidR="004C2E01">
              <w:rPr>
                <w:noProof/>
                <w:webHidden/>
              </w:rPr>
              <w:t>202</w:t>
            </w:r>
            <w:r w:rsidR="00C054EE">
              <w:rPr>
                <w:noProof/>
                <w:webHidden/>
              </w:rPr>
              <w:fldChar w:fldCharType="end"/>
            </w:r>
          </w:hyperlink>
        </w:p>
        <w:p w:rsidR="00C054EE" w:rsidRDefault="000D5832" w14:paraId="43F73476" w14:textId="2666C09E">
          <w:pPr>
            <w:pStyle w:val="TOC3"/>
            <w:tabs>
              <w:tab w:val="left" w:pos="1296"/>
              <w:tab w:val="right" w:leader="dot" w:pos="9350"/>
            </w:tabs>
            <w:rPr>
              <w:rFonts w:asciiTheme="minorHAnsi" w:hAnsiTheme="minorHAnsi" w:cstheme="minorBidi"/>
              <w:noProof/>
              <w:sz w:val="22"/>
              <w:szCs w:val="22"/>
            </w:rPr>
          </w:pPr>
          <w:hyperlink w:history="1" w:anchor="_Toc69947998">
            <w:r w:rsidRPr="00FD24A9" w:rsidR="00C054EE">
              <w:rPr>
                <w:rStyle w:val="Hyperlink"/>
                <w:noProof/>
              </w:rPr>
              <w:t>6.6.6.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_Toc69947998 \h </w:instrText>
            </w:r>
            <w:r w:rsidR="00C054EE">
              <w:rPr>
                <w:noProof/>
                <w:webHidden/>
              </w:rPr>
            </w:r>
            <w:r w:rsidR="00C054EE">
              <w:rPr>
                <w:noProof/>
                <w:webHidden/>
              </w:rPr>
              <w:fldChar w:fldCharType="separate"/>
            </w:r>
            <w:r w:rsidR="004C2E01">
              <w:rPr>
                <w:noProof/>
                <w:webHidden/>
              </w:rPr>
              <w:t>203</w:t>
            </w:r>
            <w:r w:rsidR="00C054EE">
              <w:rPr>
                <w:noProof/>
                <w:webHidden/>
              </w:rPr>
              <w:fldChar w:fldCharType="end"/>
            </w:r>
          </w:hyperlink>
        </w:p>
        <w:p w:rsidR="00C054EE" w:rsidRDefault="000D5832" w14:paraId="7DA46E80" w14:textId="2308E0E8">
          <w:pPr>
            <w:pStyle w:val="TOC4"/>
            <w:tabs>
              <w:tab w:val="left" w:pos="1728"/>
              <w:tab w:val="right" w:leader="dot" w:pos="9350"/>
            </w:tabs>
            <w:rPr>
              <w:rFonts w:asciiTheme="minorHAnsi" w:hAnsiTheme="minorHAnsi" w:eastAsiaTheme="minorEastAsia" w:cstheme="minorBidi"/>
              <w:noProof/>
              <w:sz w:val="22"/>
              <w:szCs w:val="22"/>
            </w:rPr>
          </w:pPr>
          <w:hyperlink w:history="1" w:anchor="_Toc69947999">
            <w:r w:rsidRPr="00FD24A9" w:rsidR="00C054EE">
              <w:rPr>
                <w:rStyle w:val="Hyperlink"/>
                <w:noProof/>
              </w:rPr>
              <w:t>6.6.6.1.</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_Toc69947999 \h </w:instrText>
            </w:r>
            <w:r w:rsidR="00C054EE">
              <w:rPr>
                <w:noProof/>
                <w:webHidden/>
              </w:rPr>
            </w:r>
            <w:r w:rsidR="00C054EE">
              <w:rPr>
                <w:noProof/>
                <w:webHidden/>
              </w:rPr>
              <w:fldChar w:fldCharType="separate"/>
            </w:r>
            <w:r w:rsidR="004C2E01">
              <w:rPr>
                <w:noProof/>
                <w:webHidden/>
              </w:rPr>
              <w:t>203</w:t>
            </w:r>
            <w:r w:rsidR="00C054EE">
              <w:rPr>
                <w:noProof/>
                <w:webHidden/>
              </w:rPr>
              <w:fldChar w:fldCharType="end"/>
            </w:r>
          </w:hyperlink>
        </w:p>
        <w:p w:rsidR="00C054EE" w:rsidRDefault="000D5832" w14:paraId="28302A53" w14:textId="3A079582">
          <w:pPr>
            <w:pStyle w:val="TOC4"/>
            <w:tabs>
              <w:tab w:val="left" w:pos="1728"/>
              <w:tab w:val="right" w:leader="dot" w:pos="9350"/>
            </w:tabs>
            <w:rPr>
              <w:rFonts w:asciiTheme="minorHAnsi" w:hAnsiTheme="minorHAnsi" w:eastAsiaTheme="minorEastAsia" w:cstheme="minorBidi"/>
              <w:noProof/>
              <w:sz w:val="22"/>
              <w:szCs w:val="22"/>
            </w:rPr>
          </w:pPr>
          <w:hyperlink w:history="1" w:anchor="_Toc69948000">
            <w:r w:rsidRPr="00FD24A9" w:rsidR="00C054EE">
              <w:rPr>
                <w:rStyle w:val="Hyperlink"/>
                <w:noProof/>
              </w:rPr>
              <w:t>6.6.6.2.</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_Toc69948000 \h </w:instrText>
            </w:r>
            <w:r w:rsidR="00C054EE">
              <w:rPr>
                <w:noProof/>
                <w:webHidden/>
              </w:rPr>
            </w:r>
            <w:r w:rsidR="00C054EE">
              <w:rPr>
                <w:noProof/>
                <w:webHidden/>
              </w:rPr>
              <w:fldChar w:fldCharType="separate"/>
            </w:r>
            <w:r w:rsidR="004C2E01">
              <w:rPr>
                <w:noProof/>
                <w:webHidden/>
              </w:rPr>
              <w:t>203</w:t>
            </w:r>
            <w:r w:rsidR="00C054EE">
              <w:rPr>
                <w:noProof/>
                <w:webHidden/>
              </w:rPr>
              <w:fldChar w:fldCharType="end"/>
            </w:r>
          </w:hyperlink>
        </w:p>
        <w:p w:rsidR="00C054EE" w:rsidRDefault="000D5832" w14:paraId="5AD47583" w14:textId="12EBE3AF">
          <w:pPr>
            <w:pStyle w:val="TOC4"/>
            <w:tabs>
              <w:tab w:val="left" w:pos="1728"/>
              <w:tab w:val="right" w:leader="dot" w:pos="9350"/>
            </w:tabs>
            <w:rPr>
              <w:rFonts w:asciiTheme="minorHAnsi" w:hAnsiTheme="minorHAnsi" w:eastAsiaTheme="minorEastAsia" w:cstheme="minorBidi"/>
              <w:noProof/>
              <w:sz w:val="22"/>
              <w:szCs w:val="22"/>
            </w:rPr>
          </w:pPr>
          <w:hyperlink w:history="1" w:anchor="_Toc69948001">
            <w:r w:rsidRPr="00FD24A9" w:rsidR="00C054EE">
              <w:rPr>
                <w:rStyle w:val="Hyperlink"/>
                <w:noProof/>
              </w:rPr>
              <w:t>6.6.6.3.</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_Toc69948001 \h </w:instrText>
            </w:r>
            <w:r w:rsidR="00C054EE">
              <w:rPr>
                <w:noProof/>
                <w:webHidden/>
              </w:rPr>
            </w:r>
            <w:r w:rsidR="00C054EE">
              <w:rPr>
                <w:noProof/>
                <w:webHidden/>
              </w:rPr>
              <w:fldChar w:fldCharType="separate"/>
            </w:r>
            <w:r w:rsidR="004C2E01">
              <w:rPr>
                <w:noProof/>
                <w:webHidden/>
              </w:rPr>
              <w:t>204</w:t>
            </w:r>
            <w:r w:rsidR="00C054EE">
              <w:rPr>
                <w:noProof/>
                <w:webHidden/>
              </w:rPr>
              <w:fldChar w:fldCharType="end"/>
            </w:r>
          </w:hyperlink>
        </w:p>
        <w:p w:rsidR="00C054EE" w:rsidRDefault="000D5832" w14:paraId="23AD07BF" w14:textId="1E9A537C">
          <w:pPr>
            <w:pStyle w:val="TOC4"/>
            <w:tabs>
              <w:tab w:val="left" w:pos="1728"/>
              <w:tab w:val="right" w:leader="dot" w:pos="9350"/>
            </w:tabs>
            <w:rPr>
              <w:rFonts w:asciiTheme="minorHAnsi" w:hAnsiTheme="minorHAnsi" w:eastAsiaTheme="minorEastAsia" w:cstheme="minorBidi"/>
              <w:noProof/>
              <w:sz w:val="22"/>
              <w:szCs w:val="22"/>
            </w:rPr>
          </w:pPr>
          <w:hyperlink w:history="1" w:anchor="_Toc69948002">
            <w:r w:rsidRPr="00FD24A9" w:rsidR="00C054EE">
              <w:rPr>
                <w:rStyle w:val="Hyperlink"/>
                <w:noProof/>
              </w:rPr>
              <w:t>6.6.6.4.</w:t>
            </w:r>
            <w:r w:rsidR="00C054EE">
              <w:rPr>
                <w:rFonts w:asciiTheme="minorHAnsi" w:hAnsiTheme="minorHAnsi" w:eastAsiaTheme="minorEastAsia" w:cstheme="minorBidi"/>
                <w:noProof/>
                <w:sz w:val="22"/>
                <w:szCs w:val="22"/>
              </w:rPr>
              <w:tab/>
            </w:r>
            <w:r w:rsidRPr="00FD24A9" w:rsidR="00C054EE">
              <w:rPr>
                <w:rStyle w:val="Hyperlink"/>
                <w:noProof/>
              </w:rPr>
              <w:t xml:space="preserve">California Efficiency + Demand </w:t>
            </w:r>
            <w:r w:rsidR="00480C4A">
              <w:rPr>
                <w:rStyle w:val="Hyperlink"/>
                <w:noProof/>
              </w:rPr>
              <w:br/>
            </w:r>
            <w:r w:rsidRPr="00FD24A9" w:rsidR="00C054EE">
              <w:rPr>
                <w:rStyle w:val="Hyperlink"/>
                <w:noProof/>
              </w:rPr>
              <w:t>Management Council (CEDM)</w:t>
            </w:r>
            <w:r w:rsidR="00C054EE">
              <w:rPr>
                <w:noProof/>
                <w:webHidden/>
              </w:rPr>
              <w:tab/>
            </w:r>
            <w:r w:rsidR="00C054EE">
              <w:rPr>
                <w:noProof/>
                <w:webHidden/>
              </w:rPr>
              <w:fldChar w:fldCharType="begin"/>
            </w:r>
            <w:r w:rsidR="00C054EE">
              <w:rPr>
                <w:noProof/>
                <w:webHidden/>
              </w:rPr>
              <w:instrText xml:space="preserve"> PAGEREF _Toc69948002 \h </w:instrText>
            </w:r>
            <w:r w:rsidR="00C054EE">
              <w:rPr>
                <w:noProof/>
                <w:webHidden/>
              </w:rPr>
            </w:r>
            <w:r w:rsidR="00C054EE">
              <w:rPr>
                <w:noProof/>
                <w:webHidden/>
              </w:rPr>
              <w:fldChar w:fldCharType="separate"/>
            </w:r>
            <w:r w:rsidR="004C2E01">
              <w:rPr>
                <w:noProof/>
                <w:webHidden/>
              </w:rPr>
              <w:t>204</w:t>
            </w:r>
            <w:r w:rsidR="00C054EE">
              <w:rPr>
                <w:noProof/>
                <w:webHidden/>
              </w:rPr>
              <w:fldChar w:fldCharType="end"/>
            </w:r>
          </w:hyperlink>
        </w:p>
        <w:p w:rsidR="00C054EE" w:rsidRDefault="000D5832" w14:paraId="400EE61B" w14:textId="7D163F8E">
          <w:pPr>
            <w:pStyle w:val="TOC4"/>
            <w:tabs>
              <w:tab w:val="left" w:pos="1728"/>
              <w:tab w:val="right" w:leader="dot" w:pos="9350"/>
            </w:tabs>
            <w:rPr>
              <w:rFonts w:asciiTheme="minorHAnsi" w:hAnsiTheme="minorHAnsi" w:eastAsiaTheme="minorEastAsia" w:cstheme="minorBidi"/>
              <w:noProof/>
              <w:sz w:val="22"/>
              <w:szCs w:val="22"/>
            </w:rPr>
          </w:pPr>
          <w:hyperlink w:history="1" w:anchor="_Toc69948003">
            <w:r w:rsidRPr="00FD24A9" w:rsidR="00C054EE">
              <w:rPr>
                <w:rStyle w:val="Hyperlink"/>
                <w:noProof/>
              </w:rPr>
              <w:t>6.6.6.5.</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_Toc69948003 \h </w:instrText>
            </w:r>
            <w:r w:rsidR="00C054EE">
              <w:rPr>
                <w:noProof/>
                <w:webHidden/>
              </w:rPr>
            </w:r>
            <w:r w:rsidR="00C054EE">
              <w:rPr>
                <w:noProof/>
                <w:webHidden/>
              </w:rPr>
              <w:fldChar w:fldCharType="separate"/>
            </w:r>
            <w:r w:rsidR="004C2E01">
              <w:rPr>
                <w:noProof/>
                <w:webHidden/>
              </w:rPr>
              <w:t>204</w:t>
            </w:r>
            <w:r w:rsidR="00C054EE">
              <w:rPr>
                <w:noProof/>
                <w:webHidden/>
              </w:rPr>
              <w:fldChar w:fldCharType="end"/>
            </w:r>
          </w:hyperlink>
        </w:p>
        <w:p w:rsidR="00C054EE" w:rsidRDefault="000D5832" w14:paraId="169E6ABC" w14:textId="31F80F90">
          <w:pPr>
            <w:pStyle w:val="TOC4"/>
            <w:tabs>
              <w:tab w:val="left" w:pos="1728"/>
              <w:tab w:val="right" w:leader="dot" w:pos="9350"/>
            </w:tabs>
            <w:rPr>
              <w:rFonts w:asciiTheme="minorHAnsi" w:hAnsiTheme="minorHAnsi" w:eastAsiaTheme="minorEastAsia" w:cstheme="minorBidi"/>
              <w:noProof/>
              <w:sz w:val="22"/>
              <w:szCs w:val="22"/>
            </w:rPr>
          </w:pPr>
          <w:hyperlink w:history="1" w:anchor="_Toc69948004">
            <w:r w:rsidRPr="00FD24A9" w:rsidR="00C054EE">
              <w:rPr>
                <w:rStyle w:val="Hyperlink"/>
                <w:noProof/>
              </w:rPr>
              <w:t>6.6.6.6.</w:t>
            </w:r>
            <w:r w:rsidR="00C054EE">
              <w:rPr>
                <w:rFonts w:asciiTheme="minorHAnsi" w:hAnsiTheme="minorHAnsi" w:eastAsiaTheme="minorEastAsia" w:cstheme="minorBidi"/>
                <w:noProof/>
                <w:sz w:val="22"/>
                <w:szCs w:val="22"/>
              </w:rPr>
              <w:tab/>
            </w:r>
            <w:r w:rsidRPr="00FD24A9" w:rsidR="00C054EE">
              <w:rPr>
                <w:rStyle w:val="Hyperlink"/>
                <w:noProof/>
              </w:rPr>
              <w:t>MCE</w:t>
            </w:r>
            <w:r w:rsidR="00C054EE">
              <w:rPr>
                <w:noProof/>
                <w:webHidden/>
              </w:rPr>
              <w:tab/>
            </w:r>
            <w:r w:rsidR="00C054EE">
              <w:rPr>
                <w:noProof/>
                <w:webHidden/>
              </w:rPr>
              <w:fldChar w:fldCharType="begin"/>
            </w:r>
            <w:r w:rsidR="00C054EE">
              <w:rPr>
                <w:noProof/>
                <w:webHidden/>
              </w:rPr>
              <w:instrText xml:space="preserve"> PAGEREF _Toc69948004 \h </w:instrText>
            </w:r>
            <w:r w:rsidR="00C054EE">
              <w:rPr>
                <w:noProof/>
                <w:webHidden/>
              </w:rPr>
            </w:r>
            <w:r w:rsidR="00C054EE">
              <w:rPr>
                <w:noProof/>
                <w:webHidden/>
              </w:rPr>
              <w:fldChar w:fldCharType="separate"/>
            </w:r>
            <w:r w:rsidR="004C2E01">
              <w:rPr>
                <w:noProof/>
                <w:webHidden/>
              </w:rPr>
              <w:t>204</w:t>
            </w:r>
            <w:r w:rsidR="00C054EE">
              <w:rPr>
                <w:noProof/>
                <w:webHidden/>
              </w:rPr>
              <w:fldChar w:fldCharType="end"/>
            </w:r>
          </w:hyperlink>
        </w:p>
        <w:p w:rsidR="00C054EE" w:rsidRDefault="000D5832" w14:paraId="5671685E" w14:textId="1E447A71">
          <w:pPr>
            <w:pStyle w:val="TOC4"/>
            <w:tabs>
              <w:tab w:val="left" w:pos="1728"/>
              <w:tab w:val="right" w:leader="dot" w:pos="9350"/>
            </w:tabs>
            <w:rPr>
              <w:rFonts w:asciiTheme="minorHAnsi" w:hAnsiTheme="minorHAnsi" w:eastAsiaTheme="minorEastAsia" w:cstheme="minorBidi"/>
              <w:noProof/>
              <w:sz w:val="22"/>
              <w:szCs w:val="22"/>
            </w:rPr>
          </w:pPr>
          <w:hyperlink w:history="1" w:anchor="_Toc69948005">
            <w:r w:rsidRPr="00FD24A9" w:rsidR="00C054EE">
              <w:rPr>
                <w:rStyle w:val="Hyperlink"/>
                <w:noProof/>
              </w:rPr>
              <w:t>6.6.6.7.</w:t>
            </w:r>
            <w:r w:rsidR="00C054EE">
              <w:rPr>
                <w:rFonts w:asciiTheme="minorHAnsi" w:hAnsiTheme="minorHAnsi" w:eastAsiaTheme="minorEastAsia" w:cstheme="minorBidi"/>
                <w:noProof/>
                <w:sz w:val="22"/>
                <w:szCs w:val="22"/>
              </w:rPr>
              <w:tab/>
            </w:r>
            <w:r w:rsidRPr="00FD24A9" w:rsidR="00C054EE">
              <w:rPr>
                <w:rStyle w:val="Hyperlink"/>
                <w:noProof/>
              </w:rPr>
              <w:t>PCF</w:t>
            </w:r>
            <w:r w:rsidR="00C054EE">
              <w:rPr>
                <w:noProof/>
                <w:webHidden/>
              </w:rPr>
              <w:tab/>
            </w:r>
            <w:r w:rsidR="00C054EE">
              <w:rPr>
                <w:noProof/>
                <w:webHidden/>
              </w:rPr>
              <w:fldChar w:fldCharType="begin"/>
            </w:r>
            <w:r w:rsidR="00C054EE">
              <w:rPr>
                <w:noProof/>
                <w:webHidden/>
              </w:rPr>
              <w:instrText xml:space="preserve"> PAGEREF _Toc69948005 \h </w:instrText>
            </w:r>
            <w:r w:rsidR="00C054EE">
              <w:rPr>
                <w:noProof/>
                <w:webHidden/>
              </w:rPr>
            </w:r>
            <w:r w:rsidR="00C054EE">
              <w:rPr>
                <w:noProof/>
                <w:webHidden/>
              </w:rPr>
              <w:fldChar w:fldCharType="separate"/>
            </w:r>
            <w:r w:rsidR="004C2E01">
              <w:rPr>
                <w:noProof/>
                <w:webHidden/>
              </w:rPr>
              <w:t>205</w:t>
            </w:r>
            <w:r w:rsidR="00C054EE">
              <w:rPr>
                <w:noProof/>
                <w:webHidden/>
              </w:rPr>
              <w:fldChar w:fldCharType="end"/>
            </w:r>
          </w:hyperlink>
        </w:p>
        <w:p w:rsidR="00C054EE" w:rsidRDefault="000D5832" w14:paraId="57BDAF38" w14:textId="37A91875">
          <w:pPr>
            <w:pStyle w:val="TOC3"/>
            <w:tabs>
              <w:tab w:val="left" w:pos="1296"/>
              <w:tab w:val="right" w:leader="dot" w:pos="9350"/>
            </w:tabs>
            <w:rPr>
              <w:rFonts w:asciiTheme="minorHAnsi" w:hAnsiTheme="minorHAnsi" w:cstheme="minorBidi"/>
              <w:noProof/>
              <w:sz w:val="22"/>
              <w:szCs w:val="22"/>
            </w:rPr>
          </w:pPr>
          <w:hyperlink w:history="1" w:anchor="_Toc69948006">
            <w:r w:rsidRPr="00FD24A9" w:rsidR="00C054EE">
              <w:rPr>
                <w:rStyle w:val="Hyperlink"/>
                <w:noProof/>
              </w:rPr>
              <w:t>6.6.7.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_Toc69948006 \h </w:instrText>
            </w:r>
            <w:r w:rsidR="00C054EE">
              <w:rPr>
                <w:noProof/>
                <w:webHidden/>
              </w:rPr>
            </w:r>
            <w:r w:rsidR="00C054EE">
              <w:rPr>
                <w:noProof/>
                <w:webHidden/>
              </w:rPr>
              <w:fldChar w:fldCharType="separate"/>
            </w:r>
            <w:r w:rsidR="004C2E01">
              <w:rPr>
                <w:noProof/>
                <w:webHidden/>
              </w:rPr>
              <w:t>205</w:t>
            </w:r>
            <w:r w:rsidR="00C054EE">
              <w:rPr>
                <w:noProof/>
                <w:webHidden/>
              </w:rPr>
              <w:fldChar w:fldCharType="end"/>
            </w:r>
          </w:hyperlink>
        </w:p>
        <w:p w:rsidR="00C054EE" w:rsidRDefault="000D5832" w14:paraId="22F7E5B7" w14:textId="6BA9C270">
          <w:pPr>
            <w:pStyle w:val="TOC4"/>
            <w:tabs>
              <w:tab w:val="left" w:pos="1728"/>
              <w:tab w:val="right" w:leader="dot" w:pos="9350"/>
            </w:tabs>
            <w:rPr>
              <w:rFonts w:asciiTheme="minorHAnsi" w:hAnsiTheme="minorHAnsi" w:eastAsiaTheme="minorEastAsia" w:cstheme="minorBidi"/>
              <w:noProof/>
              <w:sz w:val="22"/>
              <w:szCs w:val="22"/>
            </w:rPr>
          </w:pPr>
          <w:hyperlink w:history="1" w:anchor="_Toc69948007">
            <w:r w:rsidRPr="00FD24A9" w:rsidR="00C054EE">
              <w:rPr>
                <w:rStyle w:val="Hyperlink"/>
                <w:noProof/>
              </w:rPr>
              <w:t>6.6.7.1.</w:t>
            </w:r>
            <w:r w:rsidR="00C054EE">
              <w:rPr>
                <w:rFonts w:asciiTheme="minorHAnsi" w:hAnsiTheme="minorHAnsi" w:eastAsiaTheme="minorEastAsia" w:cstheme="minorBidi"/>
                <w:noProof/>
                <w:sz w:val="22"/>
                <w:szCs w:val="22"/>
              </w:rPr>
              <w:tab/>
            </w:r>
            <w:r w:rsidRPr="00FD24A9" w:rsidR="00C054EE">
              <w:rPr>
                <w:rStyle w:val="Hyperlink"/>
                <w:noProof/>
              </w:rPr>
              <w:t>IOUs Proposed Prioritizations: Approved with Additional Reporting Requirements</w:t>
            </w:r>
            <w:r w:rsidR="00C054EE">
              <w:rPr>
                <w:noProof/>
                <w:webHidden/>
              </w:rPr>
              <w:tab/>
            </w:r>
            <w:r w:rsidR="00C054EE">
              <w:rPr>
                <w:noProof/>
                <w:webHidden/>
              </w:rPr>
              <w:fldChar w:fldCharType="begin"/>
            </w:r>
            <w:r w:rsidR="00C054EE">
              <w:rPr>
                <w:noProof/>
                <w:webHidden/>
              </w:rPr>
              <w:instrText xml:space="preserve"> PAGEREF _Toc69948007 \h </w:instrText>
            </w:r>
            <w:r w:rsidR="00C054EE">
              <w:rPr>
                <w:noProof/>
                <w:webHidden/>
              </w:rPr>
            </w:r>
            <w:r w:rsidR="00C054EE">
              <w:rPr>
                <w:noProof/>
                <w:webHidden/>
              </w:rPr>
              <w:fldChar w:fldCharType="separate"/>
            </w:r>
            <w:r w:rsidR="004C2E01">
              <w:rPr>
                <w:noProof/>
                <w:webHidden/>
              </w:rPr>
              <w:t>205</w:t>
            </w:r>
            <w:r w:rsidR="00C054EE">
              <w:rPr>
                <w:noProof/>
                <w:webHidden/>
              </w:rPr>
              <w:fldChar w:fldCharType="end"/>
            </w:r>
          </w:hyperlink>
        </w:p>
        <w:p w:rsidR="00C054EE" w:rsidRDefault="000D5832" w14:paraId="1B346650" w14:textId="797F0A3B">
          <w:pPr>
            <w:pStyle w:val="TOC2"/>
            <w:tabs>
              <w:tab w:val="right" w:leader="dot" w:pos="9350"/>
            </w:tabs>
            <w:rPr>
              <w:rFonts w:asciiTheme="minorHAnsi" w:hAnsiTheme="minorHAnsi" w:cstheme="minorBidi"/>
              <w:noProof/>
              <w:sz w:val="22"/>
              <w:szCs w:val="22"/>
            </w:rPr>
          </w:pPr>
          <w:hyperlink w:history="1" w:anchor="_Toc69948008">
            <w:r w:rsidRPr="00FD24A9" w:rsidR="00C054EE">
              <w:rPr>
                <w:rStyle w:val="Hyperlink"/>
                <w:noProof/>
              </w:rPr>
              <w:t>6.7.</w:t>
            </w:r>
            <w:r w:rsidR="00C054EE">
              <w:rPr>
                <w:rFonts w:asciiTheme="minorHAnsi" w:hAnsiTheme="minorHAnsi" w:cstheme="minorBidi"/>
                <w:noProof/>
                <w:sz w:val="22"/>
                <w:szCs w:val="22"/>
              </w:rPr>
              <w:tab/>
            </w:r>
            <w:r w:rsidRPr="00FD24A9" w:rsidR="00C054EE">
              <w:rPr>
                <w:rStyle w:val="Hyperlink"/>
                <w:noProof/>
              </w:rPr>
              <w:t>ESA Goals – Energy Savings</w:t>
            </w:r>
            <w:r w:rsidR="00C054EE">
              <w:rPr>
                <w:noProof/>
                <w:webHidden/>
              </w:rPr>
              <w:tab/>
            </w:r>
            <w:r w:rsidR="00C054EE">
              <w:rPr>
                <w:noProof/>
                <w:webHidden/>
              </w:rPr>
              <w:fldChar w:fldCharType="begin"/>
            </w:r>
            <w:r w:rsidR="00C054EE">
              <w:rPr>
                <w:noProof/>
                <w:webHidden/>
              </w:rPr>
              <w:instrText xml:space="preserve"> PAGEREF _Toc69948008 \h </w:instrText>
            </w:r>
            <w:r w:rsidR="00C054EE">
              <w:rPr>
                <w:noProof/>
                <w:webHidden/>
              </w:rPr>
            </w:r>
            <w:r w:rsidR="00C054EE">
              <w:rPr>
                <w:noProof/>
                <w:webHidden/>
              </w:rPr>
              <w:fldChar w:fldCharType="separate"/>
            </w:r>
            <w:r w:rsidR="004C2E01">
              <w:rPr>
                <w:noProof/>
                <w:webHidden/>
              </w:rPr>
              <w:t>207</w:t>
            </w:r>
            <w:r w:rsidR="00C054EE">
              <w:rPr>
                <w:noProof/>
                <w:webHidden/>
              </w:rPr>
              <w:fldChar w:fldCharType="end"/>
            </w:r>
          </w:hyperlink>
        </w:p>
        <w:p w:rsidR="00C054EE" w:rsidRDefault="000D5832" w14:paraId="4445D3D1" w14:textId="523C7546">
          <w:pPr>
            <w:pStyle w:val="TOC3"/>
            <w:tabs>
              <w:tab w:val="left" w:pos="1296"/>
              <w:tab w:val="right" w:leader="dot" w:pos="9350"/>
            </w:tabs>
            <w:rPr>
              <w:rFonts w:asciiTheme="minorHAnsi" w:hAnsiTheme="minorHAnsi" w:cstheme="minorBidi"/>
              <w:noProof/>
              <w:sz w:val="22"/>
              <w:szCs w:val="22"/>
            </w:rPr>
          </w:pPr>
          <w:hyperlink w:history="1" w:anchor="_Toc69948009">
            <w:r w:rsidRPr="00FD24A9" w:rsidR="00C054EE">
              <w:rPr>
                <w:rStyle w:val="Hyperlink"/>
                <w:noProof/>
              </w:rPr>
              <w:t>6.7.1.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_Toc69948009 \h </w:instrText>
            </w:r>
            <w:r w:rsidR="00C054EE">
              <w:rPr>
                <w:noProof/>
                <w:webHidden/>
              </w:rPr>
            </w:r>
            <w:r w:rsidR="00C054EE">
              <w:rPr>
                <w:noProof/>
                <w:webHidden/>
              </w:rPr>
              <w:fldChar w:fldCharType="separate"/>
            </w:r>
            <w:r w:rsidR="004C2E01">
              <w:rPr>
                <w:noProof/>
                <w:webHidden/>
              </w:rPr>
              <w:t>207</w:t>
            </w:r>
            <w:r w:rsidR="00C054EE">
              <w:rPr>
                <w:noProof/>
                <w:webHidden/>
              </w:rPr>
              <w:fldChar w:fldCharType="end"/>
            </w:r>
          </w:hyperlink>
        </w:p>
        <w:p w:rsidR="00C054EE" w:rsidRDefault="000D5832" w14:paraId="45DBE113" w14:textId="68184374">
          <w:pPr>
            <w:pStyle w:val="TOC3"/>
            <w:tabs>
              <w:tab w:val="left" w:pos="1296"/>
              <w:tab w:val="right" w:leader="dot" w:pos="9350"/>
            </w:tabs>
            <w:rPr>
              <w:rFonts w:asciiTheme="minorHAnsi" w:hAnsiTheme="minorHAnsi" w:cstheme="minorBidi"/>
              <w:noProof/>
              <w:sz w:val="22"/>
              <w:szCs w:val="22"/>
            </w:rPr>
          </w:pPr>
          <w:hyperlink w:history="1" w:anchor="_Toc69948010">
            <w:r w:rsidRPr="00FD24A9" w:rsidR="00C054EE">
              <w:rPr>
                <w:rStyle w:val="Hyperlink"/>
                <w:noProof/>
              </w:rPr>
              <w:t>6.7.2.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_Toc69948010 \h </w:instrText>
            </w:r>
            <w:r w:rsidR="00C054EE">
              <w:rPr>
                <w:noProof/>
                <w:webHidden/>
              </w:rPr>
            </w:r>
            <w:r w:rsidR="00C054EE">
              <w:rPr>
                <w:noProof/>
                <w:webHidden/>
              </w:rPr>
              <w:fldChar w:fldCharType="separate"/>
            </w:r>
            <w:r w:rsidR="004C2E01">
              <w:rPr>
                <w:noProof/>
                <w:webHidden/>
              </w:rPr>
              <w:t>207</w:t>
            </w:r>
            <w:r w:rsidR="00C054EE">
              <w:rPr>
                <w:noProof/>
                <w:webHidden/>
              </w:rPr>
              <w:fldChar w:fldCharType="end"/>
            </w:r>
          </w:hyperlink>
        </w:p>
        <w:p w:rsidR="00C054EE" w:rsidRDefault="000D5832" w14:paraId="1F56822D" w14:textId="14DDA890">
          <w:pPr>
            <w:pStyle w:val="TOC3"/>
            <w:tabs>
              <w:tab w:val="left" w:pos="1296"/>
              <w:tab w:val="right" w:leader="dot" w:pos="9350"/>
            </w:tabs>
            <w:rPr>
              <w:rFonts w:asciiTheme="minorHAnsi" w:hAnsiTheme="minorHAnsi" w:cstheme="minorBidi"/>
              <w:noProof/>
              <w:sz w:val="22"/>
              <w:szCs w:val="22"/>
            </w:rPr>
          </w:pPr>
          <w:hyperlink w:history="1" w:anchor="_Toc69948011">
            <w:r w:rsidRPr="00FD24A9" w:rsidR="00C054EE">
              <w:rPr>
                <w:rStyle w:val="Hyperlink"/>
                <w:noProof/>
              </w:rPr>
              <w:t>6.7.3.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_Toc69948011 \h </w:instrText>
            </w:r>
            <w:r w:rsidR="00C054EE">
              <w:rPr>
                <w:noProof/>
                <w:webHidden/>
              </w:rPr>
            </w:r>
            <w:r w:rsidR="00C054EE">
              <w:rPr>
                <w:noProof/>
                <w:webHidden/>
              </w:rPr>
              <w:fldChar w:fldCharType="separate"/>
            </w:r>
            <w:r w:rsidR="004C2E01">
              <w:rPr>
                <w:noProof/>
                <w:webHidden/>
              </w:rPr>
              <w:t>208</w:t>
            </w:r>
            <w:r w:rsidR="00C054EE">
              <w:rPr>
                <w:noProof/>
                <w:webHidden/>
              </w:rPr>
              <w:fldChar w:fldCharType="end"/>
            </w:r>
          </w:hyperlink>
        </w:p>
        <w:p w:rsidR="00C054EE" w:rsidRDefault="000D5832" w14:paraId="54CCBDE1" w14:textId="6ED4AC0C">
          <w:pPr>
            <w:pStyle w:val="TOC3"/>
            <w:tabs>
              <w:tab w:val="left" w:pos="1296"/>
              <w:tab w:val="right" w:leader="dot" w:pos="9350"/>
            </w:tabs>
            <w:rPr>
              <w:rFonts w:asciiTheme="minorHAnsi" w:hAnsiTheme="minorHAnsi" w:cstheme="minorBidi"/>
              <w:noProof/>
              <w:sz w:val="22"/>
              <w:szCs w:val="22"/>
            </w:rPr>
          </w:pPr>
          <w:hyperlink w:history="1" w:anchor="_Toc69948012">
            <w:r w:rsidRPr="00FD24A9" w:rsidR="00C054EE">
              <w:rPr>
                <w:rStyle w:val="Hyperlink"/>
                <w:noProof/>
              </w:rPr>
              <w:t>6.7.4.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_Toc69948012 \h </w:instrText>
            </w:r>
            <w:r w:rsidR="00C054EE">
              <w:rPr>
                <w:noProof/>
                <w:webHidden/>
              </w:rPr>
            </w:r>
            <w:r w:rsidR="00C054EE">
              <w:rPr>
                <w:noProof/>
                <w:webHidden/>
              </w:rPr>
              <w:fldChar w:fldCharType="separate"/>
            </w:r>
            <w:r w:rsidR="004C2E01">
              <w:rPr>
                <w:noProof/>
                <w:webHidden/>
              </w:rPr>
              <w:t>209</w:t>
            </w:r>
            <w:r w:rsidR="00C054EE">
              <w:rPr>
                <w:noProof/>
                <w:webHidden/>
              </w:rPr>
              <w:fldChar w:fldCharType="end"/>
            </w:r>
          </w:hyperlink>
        </w:p>
        <w:p w:rsidR="00C054EE" w:rsidRDefault="000D5832" w14:paraId="4D9D5028" w14:textId="7E2349A9">
          <w:pPr>
            <w:pStyle w:val="TOC3"/>
            <w:tabs>
              <w:tab w:val="left" w:pos="1296"/>
              <w:tab w:val="right" w:leader="dot" w:pos="9350"/>
            </w:tabs>
            <w:rPr>
              <w:rFonts w:asciiTheme="minorHAnsi" w:hAnsiTheme="minorHAnsi" w:cstheme="minorBidi"/>
              <w:noProof/>
              <w:sz w:val="22"/>
              <w:szCs w:val="22"/>
            </w:rPr>
          </w:pPr>
          <w:hyperlink w:history="1" w:anchor="_Toc69948013">
            <w:r w:rsidRPr="00FD24A9" w:rsidR="00C054EE">
              <w:rPr>
                <w:rStyle w:val="Hyperlink"/>
                <w:noProof/>
              </w:rPr>
              <w:t>6.7.5.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_Toc69948013 \h </w:instrText>
            </w:r>
            <w:r w:rsidR="00C054EE">
              <w:rPr>
                <w:noProof/>
                <w:webHidden/>
              </w:rPr>
            </w:r>
            <w:r w:rsidR="00C054EE">
              <w:rPr>
                <w:noProof/>
                <w:webHidden/>
              </w:rPr>
              <w:fldChar w:fldCharType="separate"/>
            </w:r>
            <w:r w:rsidR="004C2E01">
              <w:rPr>
                <w:noProof/>
                <w:webHidden/>
              </w:rPr>
              <w:t>209</w:t>
            </w:r>
            <w:r w:rsidR="00C054EE">
              <w:rPr>
                <w:noProof/>
                <w:webHidden/>
              </w:rPr>
              <w:fldChar w:fldCharType="end"/>
            </w:r>
          </w:hyperlink>
        </w:p>
        <w:p w:rsidR="00C054EE" w:rsidRDefault="000D5832" w14:paraId="2718EC32" w14:textId="33381725">
          <w:pPr>
            <w:pStyle w:val="TOC3"/>
            <w:tabs>
              <w:tab w:val="left" w:pos="1296"/>
              <w:tab w:val="right" w:leader="dot" w:pos="9350"/>
            </w:tabs>
            <w:rPr>
              <w:rFonts w:asciiTheme="minorHAnsi" w:hAnsiTheme="minorHAnsi" w:cstheme="minorBidi"/>
              <w:noProof/>
              <w:sz w:val="22"/>
              <w:szCs w:val="22"/>
            </w:rPr>
          </w:pPr>
          <w:hyperlink w:history="1" w:anchor="_Toc69948014">
            <w:r w:rsidRPr="00FD24A9" w:rsidR="00C054EE">
              <w:rPr>
                <w:rStyle w:val="Hyperlink"/>
                <w:noProof/>
              </w:rPr>
              <w:t>6.7.6.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_Toc69948014 \h </w:instrText>
            </w:r>
            <w:r w:rsidR="00C054EE">
              <w:rPr>
                <w:noProof/>
                <w:webHidden/>
              </w:rPr>
            </w:r>
            <w:r w:rsidR="00C054EE">
              <w:rPr>
                <w:noProof/>
                <w:webHidden/>
              </w:rPr>
              <w:fldChar w:fldCharType="separate"/>
            </w:r>
            <w:r w:rsidR="004C2E01">
              <w:rPr>
                <w:noProof/>
                <w:webHidden/>
              </w:rPr>
              <w:t>210</w:t>
            </w:r>
            <w:r w:rsidR="00C054EE">
              <w:rPr>
                <w:noProof/>
                <w:webHidden/>
              </w:rPr>
              <w:fldChar w:fldCharType="end"/>
            </w:r>
          </w:hyperlink>
        </w:p>
        <w:p w:rsidR="00C054EE" w:rsidRDefault="000D5832" w14:paraId="0229EF98" w14:textId="72765699">
          <w:pPr>
            <w:pStyle w:val="TOC4"/>
            <w:tabs>
              <w:tab w:val="left" w:pos="1728"/>
              <w:tab w:val="right" w:leader="dot" w:pos="9350"/>
            </w:tabs>
            <w:rPr>
              <w:rFonts w:asciiTheme="minorHAnsi" w:hAnsiTheme="minorHAnsi" w:eastAsiaTheme="minorEastAsia" w:cstheme="minorBidi"/>
              <w:noProof/>
              <w:sz w:val="22"/>
              <w:szCs w:val="22"/>
            </w:rPr>
          </w:pPr>
          <w:hyperlink w:history="1" w:anchor="_Toc69948015">
            <w:r w:rsidRPr="00FD24A9" w:rsidR="00C054EE">
              <w:rPr>
                <w:rStyle w:val="Hyperlink"/>
                <w:noProof/>
              </w:rPr>
              <w:t>6.7.6.1.</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_Toc69948015 \h </w:instrText>
            </w:r>
            <w:r w:rsidR="00C054EE">
              <w:rPr>
                <w:noProof/>
                <w:webHidden/>
              </w:rPr>
            </w:r>
            <w:r w:rsidR="00C054EE">
              <w:rPr>
                <w:noProof/>
                <w:webHidden/>
              </w:rPr>
              <w:fldChar w:fldCharType="separate"/>
            </w:r>
            <w:r w:rsidR="004C2E01">
              <w:rPr>
                <w:noProof/>
                <w:webHidden/>
              </w:rPr>
              <w:t>210</w:t>
            </w:r>
            <w:r w:rsidR="00C054EE">
              <w:rPr>
                <w:noProof/>
                <w:webHidden/>
              </w:rPr>
              <w:fldChar w:fldCharType="end"/>
            </w:r>
          </w:hyperlink>
        </w:p>
        <w:p w:rsidR="00C054EE" w:rsidRDefault="000D5832" w14:paraId="1DD93AE4" w14:textId="2E58632F">
          <w:pPr>
            <w:pStyle w:val="TOC4"/>
            <w:tabs>
              <w:tab w:val="left" w:pos="1728"/>
              <w:tab w:val="right" w:leader="dot" w:pos="9350"/>
            </w:tabs>
            <w:rPr>
              <w:rFonts w:asciiTheme="minorHAnsi" w:hAnsiTheme="minorHAnsi" w:eastAsiaTheme="minorEastAsia" w:cstheme="minorBidi"/>
              <w:noProof/>
              <w:sz w:val="22"/>
              <w:szCs w:val="22"/>
            </w:rPr>
          </w:pPr>
          <w:hyperlink w:history="1" w:anchor="_Toc69948016">
            <w:r w:rsidRPr="00FD24A9" w:rsidR="00C054EE">
              <w:rPr>
                <w:rStyle w:val="Hyperlink"/>
                <w:noProof/>
              </w:rPr>
              <w:t>6.7.6.2.</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_Toc69948016 \h </w:instrText>
            </w:r>
            <w:r w:rsidR="00C054EE">
              <w:rPr>
                <w:noProof/>
                <w:webHidden/>
              </w:rPr>
            </w:r>
            <w:r w:rsidR="00C054EE">
              <w:rPr>
                <w:noProof/>
                <w:webHidden/>
              </w:rPr>
              <w:fldChar w:fldCharType="separate"/>
            </w:r>
            <w:r w:rsidR="004C2E01">
              <w:rPr>
                <w:noProof/>
                <w:webHidden/>
              </w:rPr>
              <w:t>211</w:t>
            </w:r>
            <w:r w:rsidR="00C054EE">
              <w:rPr>
                <w:noProof/>
                <w:webHidden/>
              </w:rPr>
              <w:fldChar w:fldCharType="end"/>
            </w:r>
          </w:hyperlink>
        </w:p>
        <w:p w:rsidR="00C054EE" w:rsidRDefault="000D5832" w14:paraId="31B4F7CD" w14:textId="66BB91CF">
          <w:pPr>
            <w:pStyle w:val="TOC4"/>
            <w:tabs>
              <w:tab w:val="left" w:pos="1728"/>
              <w:tab w:val="right" w:leader="dot" w:pos="9350"/>
            </w:tabs>
            <w:rPr>
              <w:rFonts w:asciiTheme="minorHAnsi" w:hAnsiTheme="minorHAnsi" w:eastAsiaTheme="minorEastAsia" w:cstheme="minorBidi"/>
              <w:noProof/>
              <w:sz w:val="22"/>
              <w:szCs w:val="22"/>
            </w:rPr>
          </w:pPr>
          <w:hyperlink w:history="1" w:anchor="_Toc69948017">
            <w:r w:rsidRPr="00FD24A9" w:rsidR="00C054EE">
              <w:rPr>
                <w:rStyle w:val="Hyperlink"/>
                <w:noProof/>
              </w:rPr>
              <w:t>6.7.6.3.</w:t>
            </w:r>
            <w:r w:rsidR="00C054EE">
              <w:rPr>
                <w:rFonts w:asciiTheme="minorHAnsi" w:hAnsiTheme="minorHAnsi" w:eastAsiaTheme="minorEastAsia" w:cstheme="minorBidi"/>
                <w:noProof/>
                <w:sz w:val="22"/>
                <w:szCs w:val="22"/>
              </w:rPr>
              <w:tab/>
            </w:r>
            <w:r w:rsidRPr="00FD24A9" w:rsidR="00C054EE">
              <w:rPr>
                <w:rStyle w:val="Hyperlink"/>
                <w:noProof/>
              </w:rPr>
              <w:t>CEDMC</w:t>
            </w:r>
            <w:r w:rsidR="00C054EE">
              <w:rPr>
                <w:noProof/>
                <w:webHidden/>
              </w:rPr>
              <w:tab/>
            </w:r>
            <w:r w:rsidR="00C054EE">
              <w:rPr>
                <w:noProof/>
                <w:webHidden/>
              </w:rPr>
              <w:fldChar w:fldCharType="begin"/>
            </w:r>
            <w:r w:rsidR="00C054EE">
              <w:rPr>
                <w:noProof/>
                <w:webHidden/>
              </w:rPr>
              <w:instrText xml:space="preserve"> PAGEREF _Toc69948017 \h </w:instrText>
            </w:r>
            <w:r w:rsidR="00C054EE">
              <w:rPr>
                <w:noProof/>
                <w:webHidden/>
              </w:rPr>
            </w:r>
            <w:r w:rsidR="00C054EE">
              <w:rPr>
                <w:noProof/>
                <w:webHidden/>
              </w:rPr>
              <w:fldChar w:fldCharType="separate"/>
            </w:r>
            <w:r w:rsidR="004C2E01">
              <w:rPr>
                <w:noProof/>
                <w:webHidden/>
              </w:rPr>
              <w:t>212</w:t>
            </w:r>
            <w:r w:rsidR="00C054EE">
              <w:rPr>
                <w:noProof/>
                <w:webHidden/>
              </w:rPr>
              <w:fldChar w:fldCharType="end"/>
            </w:r>
          </w:hyperlink>
        </w:p>
        <w:p w:rsidR="00C054EE" w:rsidRDefault="000D5832" w14:paraId="06933C15" w14:textId="4FF706F8">
          <w:pPr>
            <w:pStyle w:val="TOC3"/>
            <w:tabs>
              <w:tab w:val="left" w:pos="1296"/>
              <w:tab w:val="right" w:leader="dot" w:pos="9350"/>
            </w:tabs>
            <w:rPr>
              <w:rFonts w:asciiTheme="minorHAnsi" w:hAnsiTheme="minorHAnsi" w:cstheme="minorBidi"/>
              <w:noProof/>
              <w:sz w:val="22"/>
              <w:szCs w:val="22"/>
            </w:rPr>
          </w:pPr>
          <w:hyperlink w:history="1" w:anchor="_Toc69948018">
            <w:r w:rsidRPr="00FD24A9" w:rsidR="00C054EE">
              <w:rPr>
                <w:rStyle w:val="Hyperlink"/>
                <w:noProof/>
              </w:rPr>
              <w:t>6.7.7.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_Toc69948018 \h </w:instrText>
            </w:r>
            <w:r w:rsidR="00C054EE">
              <w:rPr>
                <w:noProof/>
                <w:webHidden/>
              </w:rPr>
            </w:r>
            <w:r w:rsidR="00C054EE">
              <w:rPr>
                <w:noProof/>
                <w:webHidden/>
              </w:rPr>
              <w:fldChar w:fldCharType="separate"/>
            </w:r>
            <w:r w:rsidR="004C2E01">
              <w:rPr>
                <w:noProof/>
                <w:webHidden/>
              </w:rPr>
              <w:t>213</w:t>
            </w:r>
            <w:r w:rsidR="00C054EE">
              <w:rPr>
                <w:noProof/>
                <w:webHidden/>
              </w:rPr>
              <w:fldChar w:fldCharType="end"/>
            </w:r>
          </w:hyperlink>
        </w:p>
        <w:p w:rsidR="00C054EE" w:rsidRDefault="000D5832" w14:paraId="5974A57A" w14:textId="099A21BC">
          <w:pPr>
            <w:pStyle w:val="TOC4"/>
            <w:tabs>
              <w:tab w:val="left" w:pos="1728"/>
              <w:tab w:val="right" w:leader="dot" w:pos="9350"/>
            </w:tabs>
            <w:rPr>
              <w:rFonts w:asciiTheme="minorHAnsi" w:hAnsiTheme="minorHAnsi" w:eastAsiaTheme="minorEastAsia" w:cstheme="minorBidi"/>
              <w:noProof/>
              <w:sz w:val="22"/>
              <w:szCs w:val="22"/>
            </w:rPr>
          </w:pPr>
          <w:hyperlink w:history="1" w:anchor="_Toc69948019">
            <w:r w:rsidRPr="00FD24A9" w:rsidR="00C054EE">
              <w:rPr>
                <w:rStyle w:val="Hyperlink"/>
                <w:noProof/>
              </w:rPr>
              <w:t>6.7.7.1.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_Toc69948019 \h </w:instrText>
            </w:r>
            <w:r w:rsidR="00C054EE">
              <w:rPr>
                <w:noProof/>
                <w:webHidden/>
              </w:rPr>
            </w:r>
            <w:r w:rsidR="00C054EE">
              <w:rPr>
                <w:noProof/>
                <w:webHidden/>
              </w:rPr>
              <w:fldChar w:fldCharType="separate"/>
            </w:r>
            <w:r w:rsidR="004C2E01">
              <w:rPr>
                <w:noProof/>
                <w:webHidden/>
              </w:rPr>
              <w:t>213</w:t>
            </w:r>
            <w:r w:rsidR="00C054EE">
              <w:rPr>
                <w:noProof/>
                <w:webHidden/>
              </w:rPr>
              <w:fldChar w:fldCharType="end"/>
            </w:r>
          </w:hyperlink>
        </w:p>
        <w:p w:rsidR="00C054EE" w:rsidRDefault="000D5832" w14:paraId="6AFD2DD5" w14:textId="7E44C0AD">
          <w:pPr>
            <w:pStyle w:val="TOC4"/>
            <w:tabs>
              <w:tab w:val="left" w:pos="1728"/>
              <w:tab w:val="right" w:leader="dot" w:pos="9350"/>
            </w:tabs>
            <w:rPr>
              <w:rFonts w:asciiTheme="minorHAnsi" w:hAnsiTheme="minorHAnsi" w:eastAsiaTheme="minorEastAsia" w:cstheme="minorBidi"/>
              <w:noProof/>
              <w:sz w:val="22"/>
              <w:szCs w:val="22"/>
            </w:rPr>
          </w:pPr>
          <w:hyperlink w:history="1" w:anchor="_Toc69948020">
            <w:r w:rsidRPr="00FD24A9" w:rsidR="00C054EE">
              <w:rPr>
                <w:rStyle w:val="Hyperlink"/>
                <w:noProof/>
              </w:rPr>
              <w:t>6.7.7.2.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_Toc69948020 \h </w:instrText>
            </w:r>
            <w:r w:rsidR="00C054EE">
              <w:rPr>
                <w:noProof/>
                <w:webHidden/>
              </w:rPr>
            </w:r>
            <w:r w:rsidR="00C054EE">
              <w:rPr>
                <w:noProof/>
                <w:webHidden/>
              </w:rPr>
              <w:fldChar w:fldCharType="separate"/>
            </w:r>
            <w:r w:rsidR="004C2E01">
              <w:rPr>
                <w:noProof/>
                <w:webHidden/>
              </w:rPr>
              <w:t>214</w:t>
            </w:r>
            <w:r w:rsidR="00C054EE">
              <w:rPr>
                <w:noProof/>
                <w:webHidden/>
              </w:rPr>
              <w:fldChar w:fldCharType="end"/>
            </w:r>
          </w:hyperlink>
        </w:p>
        <w:p w:rsidR="00C054EE" w:rsidRDefault="000D5832" w14:paraId="0DD42F88" w14:textId="62AEB967">
          <w:pPr>
            <w:pStyle w:val="TOC4"/>
            <w:tabs>
              <w:tab w:val="left" w:pos="1728"/>
              <w:tab w:val="right" w:leader="dot" w:pos="9350"/>
            </w:tabs>
            <w:rPr>
              <w:rFonts w:asciiTheme="minorHAnsi" w:hAnsiTheme="minorHAnsi" w:eastAsiaTheme="minorEastAsia" w:cstheme="minorBidi"/>
              <w:noProof/>
              <w:sz w:val="22"/>
              <w:szCs w:val="22"/>
            </w:rPr>
          </w:pPr>
          <w:hyperlink w:history="1" w:anchor="_Toc69948021">
            <w:r w:rsidRPr="00FD24A9" w:rsidR="00C054EE">
              <w:rPr>
                <w:rStyle w:val="Hyperlink"/>
                <w:noProof/>
              </w:rPr>
              <w:t>6.7.7.3.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_Toc69948021 \h </w:instrText>
            </w:r>
            <w:r w:rsidR="00C054EE">
              <w:rPr>
                <w:noProof/>
                <w:webHidden/>
              </w:rPr>
            </w:r>
            <w:r w:rsidR="00C054EE">
              <w:rPr>
                <w:noProof/>
                <w:webHidden/>
              </w:rPr>
              <w:fldChar w:fldCharType="separate"/>
            </w:r>
            <w:r w:rsidR="004C2E01">
              <w:rPr>
                <w:noProof/>
                <w:webHidden/>
              </w:rPr>
              <w:t>215</w:t>
            </w:r>
            <w:r w:rsidR="00C054EE">
              <w:rPr>
                <w:noProof/>
                <w:webHidden/>
              </w:rPr>
              <w:fldChar w:fldCharType="end"/>
            </w:r>
          </w:hyperlink>
        </w:p>
        <w:p w:rsidR="00C054EE" w:rsidRDefault="000D5832" w14:paraId="20301E4B" w14:textId="2A1C82F3">
          <w:pPr>
            <w:pStyle w:val="TOC4"/>
            <w:tabs>
              <w:tab w:val="left" w:pos="1728"/>
              <w:tab w:val="right" w:leader="dot" w:pos="9350"/>
            </w:tabs>
            <w:rPr>
              <w:rFonts w:asciiTheme="minorHAnsi" w:hAnsiTheme="minorHAnsi" w:eastAsiaTheme="minorEastAsia" w:cstheme="minorBidi"/>
              <w:noProof/>
              <w:sz w:val="22"/>
              <w:szCs w:val="22"/>
            </w:rPr>
          </w:pPr>
          <w:hyperlink w:history="1" w:anchor="_Toc69948022">
            <w:r w:rsidRPr="00FD24A9" w:rsidR="00C054EE">
              <w:rPr>
                <w:rStyle w:val="Hyperlink"/>
                <w:noProof/>
              </w:rPr>
              <w:t>6.7.7.4.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_Toc69948022 \h </w:instrText>
            </w:r>
            <w:r w:rsidR="00C054EE">
              <w:rPr>
                <w:noProof/>
                <w:webHidden/>
              </w:rPr>
            </w:r>
            <w:r w:rsidR="00C054EE">
              <w:rPr>
                <w:noProof/>
                <w:webHidden/>
              </w:rPr>
              <w:fldChar w:fldCharType="separate"/>
            </w:r>
            <w:r w:rsidR="004C2E01">
              <w:rPr>
                <w:noProof/>
                <w:webHidden/>
              </w:rPr>
              <w:t>215</w:t>
            </w:r>
            <w:r w:rsidR="00C054EE">
              <w:rPr>
                <w:noProof/>
                <w:webHidden/>
              </w:rPr>
              <w:fldChar w:fldCharType="end"/>
            </w:r>
          </w:hyperlink>
        </w:p>
        <w:p w:rsidR="00C054EE" w:rsidRDefault="000D5832" w14:paraId="7106EB53" w14:textId="6360199E">
          <w:pPr>
            <w:pStyle w:val="TOC3"/>
            <w:tabs>
              <w:tab w:val="left" w:pos="1296"/>
              <w:tab w:val="right" w:leader="dot" w:pos="9350"/>
            </w:tabs>
            <w:rPr>
              <w:rFonts w:asciiTheme="minorHAnsi" w:hAnsiTheme="minorHAnsi" w:cstheme="minorBidi"/>
              <w:noProof/>
              <w:sz w:val="22"/>
              <w:szCs w:val="22"/>
            </w:rPr>
          </w:pPr>
          <w:hyperlink w:history="1" w:anchor="_Toc69948023">
            <w:r w:rsidRPr="00FD24A9" w:rsidR="00C054EE">
              <w:rPr>
                <w:rStyle w:val="Hyperlink"/>
                <w:noProof/>
              </w:rPr>
              <w:t>6.7.8.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_Toc69948023 \h </w:instrText>
            </w:r>
            <w:r w:rsidR="00C054EE">
              <w:rPr>
                <w:noProof/>
                <w:webHidden/>
              </w:rPr>
            </w:r>
            <w:r w:rsidR="00C054EE">
              <w:rPr>
                <w:noProof/>
                <w:webHidden/>
              </w:rPr>
              <w:fldChar w:fldCharType="separate"/>
            </w:r>
            <w:r w:rsidR="004C2E01">
              <w:rPr>
                <w:noProof/>
                <w:webHidden/>
              </w:rPr>
              <w:t>215</w:t>
            </w:r>
            <w:r w:rsidR="00C054EE">
              <w:rPr>
                <w:noProof/>
                <w:webHidden/>
              </w:rPr>
              <w:fldChar w:fldCharType="end"/>
            </w:r>
          </w:hyperlink>
        </w:p>
        <w:p w:rsidR="00C054EE" w:rsidRDefault="000D5832" w14:paraId="317EC551" w14:textId="03E03B3E">
          <w:pPr>
            <w:pStyle w:val="TOC4"/>
            <w:tabs>
              <w:tab w:val="left" w:pos="1728"/>
              <w:tab w:val="right" w:leader="dot" w:pos="9350"/>
            </w:tabs>
            <w:rPr>
              <w:rFonts w:asciiTheme="minorHAnsi" w:hAnsiTheme="minorHAnsi" w:eastAsiaTheme="minorEastAsia" w:cstheme="minorBidi"/>
              <w:noProof/>
              <w:sz w:val="22"/>
              <w:szCs w:val="22"/>
            </w:rPr>
          </w:pPr>
          <w:hyperlink w:history="1" w:anchor="_Toc69948024">
            <w:r w:rsidRPr="00FD24A9" w:rsidR="00C054EE">
              <w:rPr>
                <w:rStyle w:val="Hyperlink"/>
                <w:noProof/>
              </w:rPr>
              <w:t>6.7.8.1.</w:t>
            </w:r>
            <w:r w:rsidR="00C054EE">
              <w:rPr>
                <w:rFonts w:asciiTheme="minorHAnsi" w:hAnsiTheme="minorHAnsi" w:eastAsiaTheme="minorEastAsia" w:cstheme="minorBidi"/>
                <w:noProof/>
                <w:sz w:val="22"/>
                <w:szCs w:val="22"/>
              </w:rPr>
              <w:tab/>
            </w:r>
            <w:r w:rsidRPr="00FD24A9" w:rsidR="00C054EE">
              <w:rPr>
                <w:rStyle w:val="Hyperlink"/>
                <w:noProof/>
              </w:rPr>
              <w:t>Portfolio Level Energy Savings Targets: Approved with Modifications</w:t>
            </w:r>
            <w:r w:rsidR="00C054EE">
              <w:rPr>
                <w:noProof/>
                <w:webHidden/>
              </w:rPr>
              <w:tab/>
            </w:r>
            <w:r w:rsidR="00C054EE">
              <w:rPr>
                <w:noProof/>
                <w:webHidden/>
              </w:rPr>
              <w:fldChar w:fldCharType="begin"/>
            </w:r>
            <w:r w:rsidR="00C054EE">
              <w:rPr>
                <w:noProof/>
                <w:webHidden/>
              </w:rPr>
              <w:instrText xml:space="preserve"> PAGEREF _Toc69948024 \h </w:instrText>
            </w:r>
            <w:r w:rsidR="00C054EE">
              <w:rPr>
                <w:noProof/>
                <w:webHidden/>
              </w:rPr>
            </w:r>
            <w:r w:rsidR="00C054EE">
              <w:rPr>
                <w:noProof/>
                <w:webHidden/>
              </w:rPr>
              <w:fldChar w:fldCharType="separate"/>
            </w:r>
            <w:r w:rsidR="004C2E01">
              <w:rPr>
                <w:noProof/>
                <w:webHidden/>
              </w:rPr>
              <w:t>215</w:t>
            </w:r>
            <w:r w:rsidR="00C054EE">
              <w:rPr>
                <w:noProof/>
                <w:webHidden/>
              </w:rPr>
              <w:fldChar w:fldCharType="end"/>
            </w:r>
          </w:hyperlink>
        </w:p>
        <w:p w:rsidR="00C054EE" w:rsidRDefault="000D5832" w14:paraId="67647922" w14:textId="4E8CCB01">
          <w:pPr>
            <w:pStyle w:val="TOC4"/>
            <w:tabs>
              <w:tab w:val="left" w:pos="1728"/>
              <w:tab w:val="right" w:leader="dot" w:pos="9350"/>
            </w:tabs>
            <w:rPr>
              <w:rFonts w:asciiTheme="minorHAnsi" w:hAnsiTheme="minorHAnsi" w:eastAsiaTheme="minorEastAsia" w:cstheme="minorBidi"/>
              <w:noProof/>
              <w:sz w:val="22"/>
              <w:szCs w:val="22"/>
            </w:rPr>
          </w:pPr>
          <w:hyperlink w:history="1" w:anchor="_Toc69948025">
            <w:r w:rsidRPr="00FD24A9" w:rsidR="00C054EE">
              <w:rPr>
                <w:rStyle w:val="Hyperlink"/>
                <w:noProof/>
              </w:rPr>
              <w:t>6.7.8.2.</w:t>
            </w:r>
            <w:r w:rsidR="00C054EE">
              <w:rPr>
                <w:rFonts w:asciiTheme="minorHAnsi" w:hAnsiTheme="minorHAnsi" w:eastAsiaTheme="minorEastAsia" w:cstheme="minorBidi"/>
                <w:noProof/>
                <w:sz w:val="22"/>
                <w:szCs w:val="22"/>
              </w:rPr>
              <w:tab/>
            </w:r>
            <w:r w:rsidRPr="00FD24A9" w:rsidR="00C054EE">
              <w:rPr>
                <w:rStyle w:val="Hyperlink"/>
                <w:noProof/>
              </w:rPr>
              <w:t>Additional Energy Metrics: Approved with Modifications</w:t>
            </w:r>
            <w:r w:rsidR="00C054EE">
              <w:rPr>
                <w:noProof/>
                <w:webHidden/>
              </w:rPr>
              <w:tab/>
            </w:r>
            <w:r w:rsidR="00C054EE">
              <w:rPr>
                <w:noProof/>
                <w:webHidden/>
              </w:rPr>
              <w:fldChar w:fldCharType="begin"/>
            </w:r>
            <w:r w:rsidR="00C054EE">
              <w:rPr>
                <w:noProof/>
                <w:webHidden/>
              </w:rPr>
              <w:instrText xml:space="preserve"> PAGEREF _Toc69948025 \h </w:instrText>
            </w:r>
            <w:r w:rsidR="00C054EE">
              <w:rPr>
                <w:noProof/>
                <w:webHidden/>
              </w:rPr>
            </w:r>
            <w:r w:rsidR="00C054EE">
              <w:rPr>
                <w:noProof/>
                <w:webHidden/>
              </w:rPr>
              <w:fldChar w:fldCharType="separate"/>
            </w:r>
            <w:r w:rsidR="004C2E01">
              <w:rPr>
                <w:noProof/>
                <w:webHidden/>
              </w:rPr>
              <w:t>217</w:t>
            </w:r>
            <w:r w:rsidR="00C054EE">
              <w:rPr>
                <w:noProof/>
                <w:webHidden/>
              </w:rPr>
              <w:fldChar w:fldCharType="end"/>
            </w:r>
          </w:hyperlink>
        </w:p>
        <w:p w:rsidR="00C054EE" w:rsidRDefault="000D5832" w14:paraId="1487FCD9" w14:textId="6F5209E8">
          <w:pPr>
            <w:pStyle w:val="TOC4"/>
            <w:tabs>
              <w:tab w:val="left" w:pos="1728"/>
              <w:tab w:val="right" w:leader="dot" w:pos="9350"/>
            </w:tabs>
            <w:rPr>
              <w:rFonts w:asciiTheme="minorHAnsi" w:hAnsiTheme="minorHAnsi" w:eastAsiaTheme="minorEastAsia" w:cstheme="minorBidi"/>
              <w:noProof/>
              <w:sz w:val="22"/>
              <w:szCs w:val="22"/>
            </w:rPr>
          </w:pPr>
          <w:hyperlink w:history="1" w:anchor="_Toc69948026">
            <w:r w:rsidRPr="00FD24A9" w:rsidR="00C054EE">
              <w:rPr>
                <w:rStyle w:val="Hyperlink"/>
                <w:noProof/>
              </w:rPr>
              <w:t>6.7.8.3.</w:t>
            </w:r>
            <w:r w:rsidR="00C054EE">
              <w:rPr>
                <w:rFonts w:asciiTheme="minorHAnsi" w:hAnsiTheme="minorHAnsi" w:eastAsiaTheme="minorEastAsia" w:cstheme="minorBidi"/>
                <w:noProof/>
                <w:sz w:val="22"/>
                <w:szCs w:val="22"/>
              </w:rPr>
              <w:tab/>
            </w:r>
            <w:r w:rsidRPr="00FD24A9" w:rsidR="00C054EE">
              <w:rPr>
                <w:rStyle w:val="Hyperlink"/>
                <w:noProof/>
              </w:rPr>
              <w:t>Targeted Potential Study: Denied</w:t>
            </w:r>
            <w:r w:rsidR="00C054EE">
              <w:rPr>
                <w:noProof/>
                <w:webHidden/>
              </w:rPr>
              <w:tab/>
            </w:r>
            <w:r w:rsidR="00C054EE">
              <w:rPr>
                <w:noProof/>
                <w:webHidden/>
              </w:rPr>
              <w:fldChar w:fldCharType="begin"/>
            </w:r>
            <w:r w:rsidR="00C054EE">
              <w:rPr>
                <w:noProof/>
                <w:webHidden/>
              </w:rPr>
              <w:instrText xml:space="preserve"> PAGEREF _Toc69948026 \h </w:instrText>
            </w:r>
            <w:r w:rsidR="00C054EE">
              <w:rPr>
                <w:noProof/>
                <w:webHidden/>
              </w:rPr>
            </w:r>
            <w:r w:rsidR="00C054EE">
              <w:rPr>
                <w:noProof/>
                <w:webHidden/>
              </w:rPr>
              <w:fldChar w:fldCharType="separate"/>
            </w:r>
            <w:r w:rsidR="004C2E01">
              <w:rPr>
                <w:noProof/>
                <w:webHidden/>
              </w:rPr>
              <w:t>219</w:t>
            </w:r>
            <w:r w:rsidR="00C054EE">
              <w:rPr>
                <w:noProof/>
                <w:webHidden/>
              </w:rPr>
              <w:fldChar w:fldCharType="end"/>
            </w:r>
          </w:hyperlink>
        </w:p>
        <w:p w:rsidR="00C054EE" w:rsidRDefault="000D5832" w14:paraId="3FFBCF19" w14:textId="3F388778">
          <w:pPr>
            <w:pStyle w:val="TOC4"/>
            <w:tabs>
              <w:tab w:val="left" w:pos="1728"/>
              <w:tab w:val="right" w:leader="dot" w:pos="9350"/>
            </w:tabs>
            <w:rPr>
              <w:rFonts w:asciiTheme="minorHAnsi" w:hAnsiTheme="minorHAnsi" w:eastAsiaTheme="minorEastAsia" w:cstheme="minorBidi"/>
              <w:noProof/>
              <w:sz w:val="22"/>
              <w:szCs w:val="22"/>
            </w:rPr>
          </w:pPr>
          <w:hyperlink w:history="1" w:anchor="_Toc69948027">
            <w:r w:rsidRPr="00FD24A9" w:rsidR="00C054EE">
              <w:rPr>
                <w:rStyle w:val="Hyperlink"/>
                <w:noProof/>
              </w:rPr>
              <w:t>6.7.8.4.</w:t>
            </w:r>
            <w:r w:rsidR="00C054EE">
              <w:rPr>
                <w:rFonts w:asciiTheme="minorHAnsi" w:hAnsiTheme="minorHAnsi" w:eastAsiaTheme="minorEastAsia" w:cstheme="minorBidi"/>
                <w:noProof/>
                <w:sz w:val="22"/>
                <w:szCs w:val="22"/>
              </w:rPr>
              <w:tab/>
            </w:r>
            <w:r w:rsidRPr="00FD24A9" w:rsidR="00C054EE">
              <w:rPr>
                <w:rStyle w:val="Hyperlink"/>
                <w:noProof/>
              </w:rPr>
              <w:t>P&amp;G Study to Inform Goals: Approved</w:t>
            </w:r>
            <w:r w:rsidR="00C054EE">
              <w:rPr>
                <w:noProof/>
                <w:webHidden/>
              </w:rPr>
              <w:tab/>
            </w:r>
            <w:r w:rsidR="00C054EE">
              <w:rPr>
                <w:noProof/>
                <w:webHidden/>
              </w:rPr>
              <w:fldChar w:fldCharType="begin"/>
            </w:r>
            <w:r w:rsidR="00C054EE">
              <w:rPr>
                <w:noProof/>
                <w:webHidden/>
              </w:rPr>
              <w:instrText xml:space="preserve"> PAGEREF _Toc69948027 \h </w:instrText>
            </w:r>
            <w:r w:rsidR="00C054EE">
              <w:rPr>
                <w:noProof/>
                <w:webHidden/>
              </w:rPr>
            </w:r>
            <w:r w:rsidR="00C054EE">
              <w:rPr>
                <w:noProof/>
                <w:webHidden/>
              </w:rPr>
              <w:fldChar w:fldCharType="separate"/>
            </w:r>
            <w:r w:rsidR="004C2E01">
              <w:rPr>
                <w:noProof/>
                <w:webHidden/>
              </w:rPr>
              <w:t>219</w:t>
            </w:r>
            <w:r w:rsidR="00C054EE">
              <w:rPr>
                <w:noProof/>
                <w:webHidden/>
              </w:rPr>
              <w:fldChar w:fldCharType="end"/>
            </w:r>
          </w:hyperlink>
        </w:p>
        <w:p w:rsidR="00C054EE" w:rsidRDefault="000D5832" w14:paraId="3A44C9C0" w14:textId="21E4A986">
          <w:pPr>
            <w:pStyle w:val="TOC4"/>
            <w:tabs>
              <w:tab w:val="left" w:pos="1728"/>
              <w:tab w:val="right" w:leader="dot" w:pos="9350"/>
            </w:tabs>
            <w:rPr>
              <w:rFonts w:asciiTheme="minorHAnsi" w:hAnsiTheme="minorHAnsi" w:eastAsiaTheme="minorEastAsia" w:cstheme="minorBidi"/>
              <w:noProof/>
              <w:sz w:val="22"/>
              <w:szCs w:val="22"/>
            </w:rPr>
          </w:pPr>
          <w:hyperlink w:history="1" w:anchor="_Toc69948028">
            <w:r w:rsidRPr="00FD24A9" w:rsidR="00C054EE">
              <w:rPr>
                <w:rStyle w:val="Hyperlink"/>
                <w:noProof/>
              </w:rPr>
              <w:t>6.7.8.5.</w:t>
            </w:r>
            <w:r w:rsidR="00C054EE">
              <w:rPr>
                <w:rFonts w:asciiTheme="minorHAnsi" w:hAnsiTheme="minorHAnsi" w:eastAsiaTheme="minorEastAsia" w:cstheme="minorBidi"/>
                <w:noProof/>
                <w:sz w:val="22"/>
                <w:szCs w:val="22"/>
              </w:rPr>
              <w:tab/>
            </w:r>
            <w:r w:rsidRPr="00FD24A9" w:rsidR="00C054EE">
              <w:rPr>
                <w:rStyle w:val="Hyperlink"/>
                <w:noProof/>
              </w:rPr>
              <w:t>Stakeholder Process for Setting/Updating Goals: Approved with Modifications</w:t>
            </w:r>
            <w:r w:rsidR="00C054EE">
              <w:rPr>
                <w:noProof/>
                <w:webHidden/>
              </w:rPr>
              <w:tab/>
            </w:r>
            <w:r w:rsidR="00C054EE">
              <w:rPr>
                <w:noProof/>
                <w:webHidden/>
              </w:rPr>
              <w:fldChar w:fldCharType="begin"/>
            </w:r>
            <w:r w:rsidR="00C054EE">
              <w:rPr>
                <w:noProof/>
                <w:webHidden/>
              </w:rPr>
              <w:instrText xml:space="preserve"> PAGEREF _Toc69948028 \h </w:instrText>
            </w:r>
            <w:r w:rsidR="00C054EE">
              <w:rPr>
                <w:noProof/>
                <w:webHidden/>
              </w:rPr>
            </w:r>
            <w:r w:rsidR="00C054EE">
              <w:rPr>
                <w:noProof/>
                <w:webHidden/>
              </w:rPr>
              <w:fldChar w:fldCharType="separate"/>
            </w:r>
            <w:r w:rsidR="004C2E01">
              <w:rPr>
                <w:noProof/>
                <w:webHidden/>
              </w:rPr>
              <w:t>220</w:t>
            </w:r>
            <w:r w:rsidR="00C054EE">
              <w:rPr>
                <w:noProof/>
                <w:webHidden/>
              </w:rPr>
              <w:fldChar w:fldCharType="end"/>
            </w:r>
          </w:hyperlink>
        </w:p>
        <w:p w:rsidR="00C054EE" w:rsidRDefault="000D5832" w14:paraId="7BFC9227" w14:textId="59A29610">
          <w:pPr>
            <w:pStyle w:val="TOC4"/>
            <w:tabs>
              <w:tab w:val="left" w:pos="1728"/>
              <w:tab w:val="right" w:leader="dot" w:pos="9350"/>
            </w:tabs>
            <w:rPr>
              <w:rFonts w:asciiTheme="minorHAnsi" w:hAnsiTheme="minorHAnsi" w:eastAsiaTheme="minorEastAsia" w:cstheme="minorBidi"/>
              <w:noProof/>
              <w:sz w:val="22"/>
              <w:szCs w:val="22"/>
            </w:rPr>
          </w:pPr>
          <w:hyperlink w:history="1" w:anchor="_Toc69948029">
            <w:r w:rsidRPr="00FD24A9" w:rsidR="00C054EE">
              <w:rPr>
                <w:rStyle w:val="Hyperlink"/>
                <w:noProof/>
              </w:rPr>
              <w:t>6.7.8.6.</w:t>
            </w:r>
            <w:r w:rsidR="00C054EE">
              <w:rPr>
                <w:rFonts w:asciiTheme="minorHAnsi" w:hAnsiTheme="minorHAnsi" w:eastAsiaTheme="minorEastAsia" w:cstheme="minorBidi"/>
                <w:noProof/>
                <w:sz w:val="22"/>
                <w:szCs w:val="22"/>
              </w:rPr>
              <w:tab/>
            </w:r>
            <w:r w:rsidRPr="00FD24A9" w:rsidR="00C054EE">
              <w:rPr>
                <w:rStyle w:val="Hyperlink"/>
                <w:noProof/>
              </w:rPr>
              <w:t>Consistent Formatting: Approved</w:t>
            </w:r>
            <w:r w:rsidR="00C054EE">
              <w:rPr>
                <w:noProof/>
                <w:webHidden/>
              </w:rPr>
              <w:tab/>
            </w:r>
            <w:r w:rsidR="00C054EE">
              <w:rPr>
                <w:noProof/>
                <w:webHidden/>
              </w:rPr>
              <w:fldChar w:fldCharType="begin"/>
            </w:r>
            <w:r w:rsidR="00C054EE">
              <w:rPr>
                <w:noProof/>
                <w:webHidden/>
              </w:rPr>
              <w:instrText xml:space="preserve"> PAGEREF _Toc69948029 \h </w:instrText>
            </w:r>
            <w:r w:rsidR="00C054EE">
              <w:rPr>
                <w:noProof/>
                <w:webHidden/>
              </w:rPr>
            </w:r>
            <w:r w:rsidR="00C054EE">
              <w:rPr>
                <w:noProof/>
                <w:webHidden/>
              </w:rPr>
              <w:fldChar w:fldCharType="separate"/>
            </w:r>
            <w:r w:rsidR="004C2E01">
              <w:rPr>
                <w:noProof/>
                <w:webHidden/>
              </w:rPr>
              <w:t>221</w:t>
            </w:r>
            <w:r w:rsidR="00C054EE">
              <w:rPr>
                <w:noProof/>
                <w:webHidden/>
              </w:rPr>
              <w:fldChar w:fldCharType="end"/>
            </w:r>
          </w:hyperlink>
        </w:p>
        <w:p w:rsidR="00C054EE" w:rsidRDefault="000D5832" w14:paraId="237FE658" w14:textId="06F3BB65">
          <w:pPr>
            <w:pStyle w:val="TOC2"/>
            <w:tabs>
              <w:tab w:val="right" w:leader="dot" w:pos="9350"/>
            </w:tabs>
            <w:rPr>
              <w:rFonts w:asciiTheme="minorHAnsi" w:hAnsiTheme="minorHAnsi" w:cstheme="minorBidi"/>
              <w:noProof/>
              <w:sz w:val="22"/>
              <w:szCs w:val="22"/>
            </w:rPr>
          </w:pPr>
          <w:hyperlink w:history="1" w:anchor="_Toc69948030">
            <w:r w:rsidRPr="00FD24A9" w:rsidR="00C054EE">
              <w:rPr>
                <w:rStyle w:val="Hyperlink"/>
                <w:noProof/>
              </w:rPr>
              <w:t>6.8.</w:t>
            </w:r>
            <w:r w:rsidR="00C054EE">
              <w:rPr>
                <w:rFonts w:asciiTheme="minorHAnsi" w:hAnsiTheme="minorHAnsi" w:cstheme="minorBidi"/>
                <w:noProof/>
                <w:sz w:val="22"/>
                <w:szCs w:val="22"/>
              </w:rPr>
              <w:tab/>
            </w:r>
            <w:r w:rsidRPr="00FD24A9" w:rsidR="00C054EE">
              <w:rPr>
                <w:rStyle w:val="Hyperlink"/>
                <w:noProof/>
              </w:rPr>
              <w:t>ESA Goals – Health, Comfort, &amp; Safety, Energy Burden, Public Health, Climate Change</w:t>
            </w:r>
            <w:r w:rsidR="00C054EE">
              <w:rPr>
                <w:noProof/>
                <w:webHidden/>
              </w:rPr>
              <w:tab/>
            </w:r>
            <w:r w:rsidR="00C054EE">
              <w:rPr>
                <w:noProof/>
                <w:webHidden/>
              </w:rPr>
              <w:fldChar w:fldCharType="begin"/>
            </w:r>
            <w:r w:rsidR="00C054EE">
              <w:rPr>
                <w:noProof/>
                <w:webHidden/>
              </w:rPr>
              <w:instrText xml:space="preserve"> PAGEREF _Toc69948030 \h </w:instrText>
            </w:r>
            <w:r w:rsidR="00C054EE">
              <w:rPr>
                <w:noProof/>
                <w:webHidden/>
              </w:rPr>
            </w:r>
            <w:r w:rsidR="00C054EE">
              <w:rPr>
                <w:noProof/>
                <w:webHidden/>
              </w:rPr>
              <w:fldChar w:fldCharType="separate"/>
            </w:r>
            <w:r w:rsidR="004C2E01">
              <w:rPr>
                <w:noProof/>
                <w:webHidden/>
              </w:rPr>
              <w:t>221</w:t>
            </w:r>
            <w:r w:rsidR="00C054EE">
              <w:rPr>
                <w:noProof/>
                <w:webHidden/>
              </w:rPr>
              <w:fldChar w:fldCharType="end"/>
            </w:r>
          </w:hyperlink>
        </w:p>
        <w:p w:rsidR="00C054EE" w:rsidRDefault="000D5832" w14:paraId="7CB48153" w14:textId="01A5D131">
          <w:pPr>
            <w:pStyle w:val="TOC3"/>
            <w:tabs>
              <w:tab w:val="left" w:pos="1296"/>
              <w:tab w:val="right" w:leader="dot" w:pos="9350"/>
            </w:tabs>
            <w:rPr>
              <w:rFonts w:asciiTheme="minorHAnsi" w:hAnsiTheme="minorHAnsi" w:cstheme="minorBidi"/>
              <w:noProof/>
              <w:sz w:val="22"/>
              <w:szCs w:val="22"/>
            </w:rPr>
          </w:pPr>
          <w:hyperlink w:history="1" w:anchor="_Toc69948031">
            <w:r w:rsidRPr="00FD24A9" w:rsidR="00C054EE">
              <w:rPr>
                <w:rStyle w:val="Hyperlink"/>
                <w:noProof/>
              </w:rPr>
              <w:t>6.8.1.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_Toc69948031 \h </w:instrText>
            </w:r>
            <w:r w:rsidR="00C054EE">
              <w:rPr>
                <w:noProof/>
                <w:webHidden/>
              </w:rPr>
            </w:r>
            <w:r w:rsidR="00C054EE">
              <w:rPr>
                <w:noProof/>
                <w:webHidden/>
              </w:rPr>
              <w:fldChar w:fldCharType="separate"/>
            </w:r>
            <w:r w:rsidR="004C2E01">
              <w:rPr>
                <w:noProof/>
                <w:webHidden/>
              </w:rPr>
              <w:t>221</w:t>
            </w:r>
            <w:r w:rsidR="00C054EE">
              <w:rPr>
                <w:noProof/>
                <w:webHidden/>
              </w:rPr>
              <w:fldChar w:fldCharType="end"/>
            </w:r>
          </w:hyperlink>
        </w:p>
        <w:p w:rsidR="00C054EE" w:rsidRDefault="000D5832" w14:paraId="33D258AB" w14:textId="12DB3250">
          <w:pPr>
            <w:pStyle w:val="TOC3"/>
            <w:tabs>
              <w:tab w:val="left" w:pos="1296"/>
              <w:tab w:val="right" w:leader="dot" w:pos="9350"/>
            </w:tabs>
            <w:rPr>
              <w:rFonts w:asciiTheme="minorHAnsi" w:hAnsiTheme="minorHAnsi" w:cstheme="minorBidi"/>
              <w:noProof/>
              <w:sz w:val="22"/>
              <w:szCs w:val="22"/>
            </w:rPr>
          </w:pPr>
          <w:hyperlink w:history="1" w:anchor="_Toc69948032">
            <w:r w:rsidRPr="00FD24A9" w:rsidR="00C054EE">
              <w:rPr>
                <w:rStyle w:val="Hyperlink"/>
                <w:noProof/>
              </w:rPr>
              <w:t>6.8.2.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_Toc69948032 \h </w:instrText>
            </w:r>
            <w:r w:rsidR="00C054EE">
              <w:rPr>
                <w:noProof/>
                <w:webHidden/>
              </w:rPr>
            </w:r>
            <w:r w:rsidR="00C054EE">
              <w:rPr>
                <w:noProof/>
                <w:webHidden/>
              </w:rPr>
              <w:fldChar w:fldCharType="separate"/>
            </w:r>
            <w:r w:rsidR="004C2E01">
              <w:rPr>
                <w:noProof/>
                <w:webHidden/>
              </w:rPr>
              <w:t>222</w:t>
            </w:r>
            <w:r w:rsidR="00C054EE">
              <w:rPr>
                <w:noProof/>
                <w:webHidden/>
              </w:rPr>
              <w:fldChar w:fldCharType="end"/>
            </w:r>
          </w:hyperlink>
        </w:p>
        <w:p w:rsidR="00C054EE" w:rsidRDefault="000D5832" w14:paraId="27A07A5B" w14:textId="0BAE23C9">
          <w:pPr>
            <w:pStyle w:val="TOC3"/>
            <w:tabs>
              <w:tab w:val="left" w:pos="1296"/>
              <w:tab w:val="right" w:leader="dot" w:pos="9350"/>
            </w:tabs>
            <w:rPr>
              <w:rFonts w:asciiTheme="minorHAnsi" w:hAnsiTheme="minorHAnsi" w:cstheme="minorBidi"/>
              <w:noProof/>
              <w:sz w:val="22"/>
              <w:szCs w:val="22"/>
            </w:rPr>
          </w:pPr>
          <w:hyperlink w:history="1" w:anchor="_Toc69948033">
            <w:r w:rsidRPr="00FD24A9" w:rsidR="00C054EE">
              <w:rPr>
                <w:rStyle w:val="Hyperlink"/>
                <w:noProof/>
              </w:rPr>
              <w:t>6.8.3.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_Toc69948033 \h </w:instrText>
            </w:r>
            <w:r w:rsidR="00C054EE">
              <w:rPr>
                <w:noProof/>
                <w:webHidden/>
              </w:rPr>
            </w:r>
            <w:r w:rsidR="00C054EE">
              <w:rPr>
                <w:noProof/>
                <w:webHidden/>
              </w:rPr>
              <w:fldChar w:fldCharType="separate"/>
            </w:r>
            <w:r w:rsidR="004C2E01">
              <w:rPr>
                <w:noProof/>
                <w:webHidden/>
              </w:rPr>
              <w:t>223</w:t>
            </w:r>
            <w:r w:rsidR="00C054EE">
              <w:rPr>
                <w:noProof/>
                <w:webHidden/>
              </w:rPr>
              <w:fldChar w:fldCharType="end"/>
            </w:r>
          </w:hyperlink>
        </w:p>
        <w:p w:rsidR="00C054EE" w:rsidRDefault="000D5832" w14:paraId="5282AD8E" w14:textId="2CF7A3FC">
          <w:pPr>
            <w:pStyle w:val="TOC3"/>
            <w:tabs>
              <w:tab w:val="left" w:pos="1296"/>
              <w:tab w:val="right" w:leader="dot" w:pos="9350"/>
            </w:tabs>
            <w:rPr>
              <w:rFonts w:asciiTheme="minorHAnsi" w:hAnsiTheme="minorHAnsi" w:cstheme="minorBidi"/>
              <w:noProof/>
              <w:sz w:val="22"/>
              <w:szCs w:val="22"/>
            </w:rPr>
          </w:pPr>
          <w:hyperlink w:history="1" w:anchor="_Toc69948034">
            <w:r w:rsidRPr="00FD24A9" w:rsidR="00C054EE">
              <w:rPr>
                <w:rStyle w:val="Hyperlink"/>
                <w:noProof/>
              </w:rPr>
              <w:t>6.8.4.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_Toc69948034 \h </w:instrText>
            </w:r>
            <w:r w:rsidR="00C054EE">
              <w:rPr>
                <w:noProof/>
                <w:webHidden/>
              </w:rPr>
            </w:r>
            <w:r w:rsidR="00C054EE">
              <w:rPr>
                <w:noProof/>
                <w:webHidden/>
              </w:rPr>
              <w:fldChar w:fldCharType="separate"/>
            </w:r>
            <w:r w:rsidR="004C2E01">
              <w:rPr>
                <w:noProof/>
                <w:webHidden/>
              </w:rPr>
              <w:t>223</w:t>
            </w:r>
            <w:r w:rsidR="00C054EE">
              <w:rPr>
                <w:noProof/>
                <w:webHidden/>
              </w:rPr>
              <w:fldChar w:fldCharType="end"/>
            </w:r>
          </w:hyperlink>
        </w:p>
        <w:p w:rsidR="00C054EE" w:rsidRDefault="000D5832" w14:paraId="7A48F8C6" w14:textId="3A769AF8">
          <w:pPr>
            <w:pStyle w:val="TOC3"/>
            <w:tabs>
              <w:tab w:val="left" w:pos="1296"/>
              <w:tab w:val="right" w:leader="dot" w:pos="9350"/>
            </w:tabs>
            <w:rPr>
              <w:rFonts w:asciiTheme="minorHAnsi" w:hAnsiTheme="minorHAnsi" w:cstheme="minorBidi"/>
              <w:noProof/>
              <w:sz w:val="22"/>
              <w:szCs w:val="22"/>
            </w:rPr>
          </w:pPr>
          <w:hyperlink w:history="1" w:anchor="_Toc69948035">
            <w:r w:rsidRPr="00FD24A9" w:rsidR="00C054EE">
              <w:rPr>
                <w:rStyle w:val="Hyperlink"/>
                <w:noProof/>
              </w:rPr>
              <w:t>6.8.5.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_Toc69948035 \h </w:instrText>
            </w:r>
            <w:r w:rsidR="00C054EE">
              <w:rPr>
                <w:noProof/>
                <w:webHidden/>
              </w:rPr>
            </w:r>
            <w:r w:rsidR="00C054EE">
              <w:rPr>
                <w:noProof/>
                <w:webHidden/>
              </w:rPr>
              <w:fldChar w:fldCharType="separate"/>
            </w:r>
            <w:r w:rsidR="004C2E01">
              <w:rPr>
                <w:noProof/>
                <w:webHidden/>
              </w:rPr>
              <w:t>224</w:t>
            </w:r>
            <w:r w:rsidR="00C054EE">
              <w:rPr>
                <w:noProof/>
                <w:webHidden/>
              </w:rPr>
              <w:fldChar w:fldCharType="end"/>
            </w:r>
          </w:hyperlink>
        </w:p>
        <w:p w:rsidR="00C054EE" w:rsidRDefault="000D5832" w14:paraId="5C7CBC1D" w14:textId="475F0F52">
          <w:pPr>
            <w:pStyle w:val="TOC3"/>
            <w:tabs>
              <w:tab w:val="left" w:pos="1296"/>
              <w:tab w:val="right" w:leader="dot" w:pos="9350"/>
            </w:tabs>
            <w:rPr>
              <w:rFonts w:asciiTheme="minorHAnsi" w:hAnsiTheme="minorHAnsi" w:cstheme="minorBidi"/>
              <w:noProof/>
              <w:sz w:val="22"/>
              <w:szCs w:val="22"/>
            </w:rPr>
          </w:pPr>
          <w:hyperlink w:history="1" w:anchor="_Toc69948036">
            <w:r w:rsidRPr="00FD24A9" w:rsidR="00C054EE">
              <w:rPr>
                <w:rStyle w:val="Hyperlink"/>
                <w:noProof/>
              </w:rPr>
              <w:t>6.8.6.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_Toc69948036 \h </w:instrText>
            </w:r>
            <w:r w:rsidR="00C054EE">
              <w:rPr>
                <w:noProof/>
                <w:webHidden/>
              </w:rPr>
            </w:r>
            <w:r w:rsidR="00C054EE">
              <w:rPr>
                <w:noProof/>
                <w:webHidden/>
              </w:rPr>
              <w:fldChar w:fldCharType="separate"/>
            </w:r>
            <w:r w:rsidR="004C2E01">
              <w:rPr>
                <w:noProof/>
                <w:webHidden/>
              </w:rPr>
              <w:t>225</w:t>
            </w:r>
            <w:r w:rsidR="00C054EE">
              <w:rPr>
                <w:noProof/>
                <w:webHidden/>
              </w:rPr>
              <w:fldChar w:fldCharType="end"/>
            </w:r>
          </w:hyperlink>
        </w:p>
        <w:p w:rsidR="00C054EE" w:rsidRDefault="000D5832" w14:paraId="38498BDD" w14:textId="188760A5">
          <w:pPr>
            <w:pStyle w:val="TOC4"/>
            <w:tabs>
              <w:tab w:val="left" w:pos="1728"/>
              <w:tab w:val="right" w:leader="dot" w:pos="9350"/>
            </w:tabs>
            <w:rPr>
              <w:rFonts w:asciiTheme="minorHAnsi" w:hAnsiTheme="minorHAnsi" w:eastAsiaTheme="minorEastAsia" w:cstheme="minorBidi"/>
              <w:noProof/>
              <w:sz w:val="22"/>
              <w:szCs w:val="22"/>
            </w:rPr>
          </w:pPr>
          <w:hyperlink w:history="1" w:anchor="_Toc69948037">
            <w:r w:rsidRPr="00FD24A9" w:rsidR="00C054EE">
              <w:rPr>
                <w:rStyle w:val="Hyperlink"/>
                <w:noProof/>
              </w:rPr>
              <w:t>6.8.6.1.</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_Toc69948037 \h </w:instrText>
            </w:r>
            <w:r w:rsidR="00C054EE">
              <w:rPr>
                <w:noProof/>
                <w:webHidden/>
              </w:rPr>
            </w:r>
            <w:r w:rsidR="00C054EE">
              <w:rPr>
                <w:noProof/>
                <w:webHidden/>
              </w:rPr>
              <w:fldChar w:fldCharType="separate"/>
            </w:r>
            <w:r w:rsidR="004C2E01">
              <w:rPr>
                <w:noProof/>
                <w:webHidden/>
              </w:rPr>
              <w:t>225</w:t>
            </w:r>
            <w:r w:rsidR="00C054EE">
              <w:rPr>
                <w:noProof/>
                <w:webHidden/>
              </w:rPr>
              <w:fldChar w:fldCharType="end"/>
            </w:r>
          </w:hyperlink>
        </w:p>
        <w:p w:rsidR="00C054EE" w:rsidRDefault="000D5832" w14:paraId="78876344" w14:textId="5A9D8D13">
          <w:pPr>
            <w:pStyle w:val="TOC4"/>
            <w:tabs>
              <w:tab w:val="left" w:pos="1728"/>
              <w:tab w:val="right" w:leader="dot" w:pos="9350"/>
            </w:tabs>
            <w:rPr>
              <w:rFonts w:asciiTheme="minorHAnsi" w:hAnsiTheme="minorHAnsi" w:eastAsiaTheme="minorEastAsia" w:cstheme="minorBidi"/>
              <w:noProof/>
              <w:sz w:val="22"/>
              <w:szCs w:val="22"/>
            </w:rPr>
          </w:pPr>
          <w:hyperlink w:history="1" w:anchor="_Toc69948038">
            <w:r w:rsidRPr="00FD24A9" w:rsidR="00C054EE">
              <w:rPr>
                <w:rStyle w:val="Hyperlink"/>
                <w:noProof/>
              </w:rPr>
              <w:t>6.8.6.2.</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_Toc69948038 \h </w:instrText>
            </w:r>
            <w:r w:rsidR="00C054EE">
              <w:rPr>
                <w:noProof/>
                <w:webHidden/>
              </w:rPr>
            </w:r>
            <w:r w:rsidR="00C054EE">
              <w:rPr>
                <w:noProof/>
                <w:webHidden/>
              </w:rPr>
              <w:fldChar w:fldCharType="separate"/>
            </w:r>
            <w:r w:rsidR="004C2E01">
              <w:rPr>
                <w:noProof/>
                <w:webHidden/>
              </w:rPr>
              <w:t>225</w:t>
            </w:r>
            <w:r w:rsidR="00C054EE">
              <w:rPr>
                <w:noProof/>
                <w:webHidden/>
              </w:rPr>
              <w:fldChar w:fldCharType="end"/>
            </w:r>
          </w:hyperlink>
        </w:p>
        <w:p w:rsidR="00C054EE" w:rsidRDefault="000D5832" w14:paraId="7CF81A91" w14:textId="71A200D3">
          <w:pPr>
            <w:pStyle w:val="TOC3"/>
            <w:tabs>
              <w:tab w:val="left" w:pos="1296"/>
              <w:tab w:val="right" w:leader="dot" w:pos="9350"/>
            </w:tabs>
            <w:rPr>
              <w:rFonts w:asciiTheme="minorHAnsi" w:hAnsiTheme="minorHAnsi" w:cstheme="minorBidi"/>
              <w:noProof/>
              <w:sz w:val="22"/>
              <w:szCs w:val="22"/>
            </w:rPr>
          </w:pPr>
          <w:hyperlink w:history="1" w:anchor="_Toc69948039">
            <w:r w:rsidRPr="00FD24A9" w:rsidR="00C054EE">
              <w:rPr>
                <w:rStyle w:val="Hyperlink"/>
                <w:noProof/>
              </w:rPr>
              <w:t>6.8.7.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_Toc69948039 \h </w:instrText>
            </w:r>
            <w:r w:rsidR="00C054EE">
              <w:rPr>
                <w:noProof/>
                <w:webHidden/>
              </w:rPr>
            </w:r>
            <w:r w:rsidR="00C054EE">
              <w:rPr>
                <w:noProof/>
                <w:webHidden/>
              </w:rPr>
              <w:fldChar w:fldCharType="separate"/>
            </w:r>
            <w:r w:rsidR="004C2E01">
              <w:rPr>
                <w:noProof/>
                <w:webHidden/>
              </w:rPr>
              <w:t>226</w:t>
            </w:r>
            <w:r w:rsidR="00C054EE">
              <w:rPr>
                <w:noProof/>
                <w:webHidden/>
              </w:rPr>
              <w:fldChar w:fldCharType="end"/>
            </w:r>
          </w:hyperlink>
        </w:p>
        <w:p w:rsidR="00C054EE" w:rsidRDefault="000D5832" w14:paraId="5520180C" w14:textId="6C484675">
          <w:pPr>
            <w:pStyle w:val="TOC4"/>
            <w:tabs>
              <w:tab w:val="left" w:pos="1728"/>
              <w:tab w:val="right" w:leader="dot" w:pos="9350"/>
            </w:tabs>
            <w:rPr>
              <w:rFonts w:asciiTheme="minorHAnsi" w:hAnsiTheme="minorHAnsi" w:eastAsiaTheme="minorEastAsia" w:cstheme="minorBidi"/>
              <w:noProof/>
              <w:sz w:val="22"/>
              <w:szCs w:val="22"/>
            </w:rPr>
          </w:pPr>
          <w:hyperlink w:history="1" w:anchor="_Toc69948040">
            <w:r w:rsidRPr="00FD24A9" w:rsidR="00C054EE">
              <w:rPr>
                <w:rStyle w:val="Hyperlink"/>
                <w:noProof/>
              </w:rPr>
              <w:t>6.8.7.1.</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_Toc69948040 \h </w:instrText>
            </w:r>
            <w:r w:rsidR="00C054EE">
              <w:rPr>
                <w:noProof/>
                <w:webHidden/>
              </w:rPr>
            </w:r>
            <w:r w:rsidR="00C054EE">
              <w:rPr>
                <w:noProof/>
                <w:webHidden/>
              </w:rPr>
              <w:fldChar w:fldCharType="separate"/>
            </w:r>
            <w:r w:rsidR="004C2E01">
              <w:rPr>
                <w:noProof/>
                <w:webHidden/>
              </w:rPr>
              <w:t>226</w:t>
            </w:r>
            <w:r w:rsidR="00C054EE">
              <w:rPr>
                <w:noProof/>
                <w:webHidden/>
              </w:rPr>
              <w:fldChar w:fldCharType="end"/>
            </w:r>
          </w:hyperlink>
        </w:p>
        <w:p w:rsidR="00C054EE" w:rsidRDefault="000D5832" w14:paraId="4B476970" w14:textId="16C29C2D">
          <w:pPr>
            <w:pStyle w:val="TOC3"/>
            <w:tabs>
              <w:tab w:val="left" w:pos="1296"/>
              <w:tab w:val="right" w:leader="dot" w:pos="9350"/>
            </w:tabs>
            <w:rPr>
              <w:rFonts w:asciiTheme="minorHAnsi" w:hAnsiTheme="minorHAnsi" w:cstheme="minorBidi"/>
              <w:noProof/>
              <w:sz w:val="22"/>
              <w:szCs w:val="22"/>
            </w:rPr>
          </w:pPr>
          <w:hyperlink w:history="1" w:anchor="_Toc69948041">
            <w:r w:rsidRPr="00FD24A9" w:rsidR="00C054EE">
              <w:rPr>
                <w:rStyle w:val="Hyperlink"/>
                <w:noProof/>
              </w:rPr>
              <w:t>6.8.8.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_Toc69948041 \h </w:instrText>
            </w:r>
            <w:r w:rsidR="00C054EE">
              <w:rPr>
                <w:noProof/>
                <w:webHidden/>
              </w:rPr>
            </w:r>
            <w:r w:rsidR="00C054EE">
              <w:rPr>
                <w:noProof/>
                <w:webHidden/>
              </w:rPr>
              <w:fldChar w:fldCharType="separate"/>
            </w:r>
            <w:r w:rsidR="004C2E01">
              <w:rPr>
                <w:noProof/>
                <w:webHidden/>
              </w:rPr>
              <w:t>226</w:t>
            </w:r>
            <w:r w:rsidR="00C054EE">
              <w:rPr>
                <w:noProof/>
                <w:webHidden/>
              </w:rPr>
              <w:fldChar w:fldCharType="end"/>
            </w:r>
          </w:hyperlink>
        </w:p>
        <w:p w:rsidR="00C054EE" w:rsidRDefault="000D5832" w14:paraId="0DA4C8CE" w14:textId="47FD2B28">
          <w:pPr>
            <w:pStyle w:val="TOC4"/>
            <w:tabs>
              <w:tab w:val="left" w:pos="1728"/>
              <w:tab w:val="right" w:leader="dot" w:pos="9350"/>
            </w:tabs>
            <w:rPr>
              <w:rFonts w:asciiTheme="minorHAnsi" w:hAnsiTheme="minorHAnsi" w:eastAsiaTheme="minorEastAsia" w:cstheme="minorBidi"/>
              <w:noProof/>
              <w:sz w:val="22"/>
              <w:szCs w:val="22"/>
            </w:rPr>
          </w:pPr>
          <w:hyperlink w:history="1" w:anchor="_Toc69948042">
            <w:r w:rsidRPr="00FD24A9" w:rsidR="00C054EE">
              <w:rPr>
                <w:rStyle w:val="Hyperlink"/>
                <w:noProof/>
              </w:rPr>
              <w:t>6.8.8.1.</w:t>
            </w:r>
            <w:r w:rsidR="00C054EE">
              <w:rPr>
                <w:rFonts w:asciiTheme="minorHAnsi" w:hAnsiTheme="minorHAnsi" w:eastAsiaTheme="minorEastAsia" w:cstheme="minorBidi"/>
                <w:noProof/>
                <w:sz w:val="22"/>
                <w:szCs w:val="22"/>
              </w:rPr>
              <w:tab/>
            </w:r>
            <w:r w:rsidRPr="00FD24A9" w:rsidR="00C054EE">
              <w:rPr>
                <w:rStyle w:val="Hyperlink"/>
                <w:noProof/>
              </w:rPr>
              <w:t>Quantitative HCS Goal: Approved as Metrics with Additional Reporting</w:t>
            </w:r>
            <w:r w:rsidR="00C054EE">
              <w:rPr>
                <w:noProof/>
                <w:webHidden/>
              </w:rPr>
              <w:tab/>
            </w:r>
            <w:r w:rsidR="00C054EE">
              <w:rPr>
                <w:noProof/>
                <w:webHidden/>
              </w:rPr>
              <w:fldChar w:fldCharType="begin"/>
            </w:r>
            <w:r w:rsidR="00C054EE">
              <w:rPr>
                <w:noProof/>
                <w:webHidden/>
              </w:rPr>
              <w:instrText xml:space="preserve"> PAGEREF _Toc69948042 \h </w:instrText>
            </w:r>
            <w:r w:rsidR="00C054EE">
              <w:rPr>
                <w:noProof/>
                <w:webHidden/>
              </w:rPr>
            </w:r>
            <w:r w:rsidR="00C054EE">
              <w:rPr>
                <w:noProof/>
                <w:webHidden/>
              </w:rPr>
              <w:fldChar w:fldCharType="separate"/>
            </w:r>
            <w:r w:rsidR="004C2E01">
              <w:rPr>
                <w:noProof/>
                <w:webHidden/>
              </w:rPr>
              <w:t>226</w:t>
            </w:r>
            <w:r w:rsidR="00C054EE">
              <w:rPr>
                <w:noProof/>
                <w:webHidden/>
              </w:rPr>
              <w:fldChar w:fldCharType="end"/>
            </w:r>
          </w:hyperlink>
        </w:p>
        <w:p w:rsidR="00C054EE" w:rsidRDefault="000D5832" w14:paraId="05B83585" w14:textId="3E75811C">
          <w:pPr>
            <w:pStyle w:val="TOC4"/>
            <w:tabs>
              <w:tab w:val="left" w:pos="1728"/>
              <w:tab w:val="right" w:leader="dot" w:pos="9350"/>
            </w:tabs>
            <w:rPr>
              <w:rFonts w:asciiTheme="minorHAnsi" w:hAnsiTheme="minorHAnsi" w:eastAsiaTheme="minorEastAsia" w:cstheme="minorBidi"/>
              <w:noProof/>
              <w:sz w:val="22"/>
              <w:szCs w:val="22"/>
            </w:rPr>
          </w:pPr>
          <w:hyperlink w:history="1" w:anchor="_Toc69948043">
            <w:r w:rsidRPr="00FD24A9" w:rsidR="00C054EE">
              <w:rPr>
                <w:rStyle w:val="Hyperlink"/>
                <w:noProof/>
              </w:rPr>
              <w:t>6.8.8.2.</w:t>
            </w:r>
            <w:r w:rsidR="00C054EE">
              <w:rPr>
                <w:rFonts w:asciiTheme="minorHAnsi" w:hAnsiTheme="minorHAnsi" w:eastAsiaTheme="minorEastAsia" w:cstheme="minorBidi"/>
                <w:noProof/>
                <w:sz w:val="22"/>
                <w:szCs w:val="22"/>
              </w:rPr>
              <w:tab/>
            </w:r>
            <w:r w:rsidRPr="00FD24A9" w:rsidR="00C054EE">
              <w:rPr>
                <w:rStyle w:val="Hyperlink"/>
                <w:noProof/>
              </w:rPr>
              <w:t>ESA as an Equity Program: Denied</w:t>
            </w:r>
            <w:r w:rsidR="00C054EE">
              <w:rPr>
                <w:noProof/>
                <w:webHidden/>
              </w:rPr>
              <w:tab/>
            </w:r>
            <w:r w:rsidR="00C054EE">
              <w:rPr>
                <w:noProof/>
                <w:webHidden/>
              </w:rPr>
              <w:fldChar w:fldCharType="begin"/>
            </w:r>
            <w:r w:rsidR="00C054EE">
              <w:rPr>
                <w:noProof/>
                <w:webHidden/>
              </w:rPr>
              <w:instrText xml:space="preserve"> PAGEREF _Toc69948043 \h </w:instrText>
            </w:r>
            <w:r w:rsidR="00C054EE">
              <w:rPr>
                <w:noProof/>
                <w:webHidden/>
              </w:rPr>
            </w:r>
            <w:r w:rsidR="00C054EE">
              <w:rPr>
                <w:noProof/>
                <w:webHidden/>
              </w:rPr>
              <w:fldChar w:fldCharType="separate"/>
            </w:r>
            <w:r w:rsidR="004C2E01">
              <w:rPr>
                <w:noProof/>
                <w:webHidden/>
              </w:rPr>
              <w:t>228</w:t>
            </w:r>
            <w:r w:rsidR="00C054EE">
              <w:rPr>
                <w:noProof/>
                <w:webHidden/>
              </w:rPr>
              <w:fldChar w:fldCharType="end"/>
            </w:r>
          </w:hyperlink>
        </w:p>
        <w:p w:rsidR="00C054EE" w:rsidRDefault="000D5832" w14:paraId="06E9E904" w14:textId="00B9D2F3">
          <w:pPr>
            <w:pStyle w:val="TOC2"/>
            <w:tabs>
              <w:tab w:val="right" w:leader="dot" w:pos="9350"/>
            </w:tabs>
            <w:rPr>
              <w:rFonts w:asciiTheme="minorHAnsi" w:hAnsiTheme="minorHAnsi" w:cstheme="minorBidi"/>
              <w:noProof/>
              <w:sz w:val="22"/>
              <w:szCs w:val="22"/>
            </w:rPr>
          </w:pPr>
          <w:hyperlink w:history="1" w:anchor="_Toc69948044">
            <w:r w:rsidRPr="00FD24A9" w:rsidR="00C054EE">
              <w:rPr>
                <w:rStyle w:val="Hyperlink"/>
                <w:noProof/>
              </w:rPr>
              <w:t>6.9.</w:t>
            </w:r>
            <w:r w:rsidR="00C054EE">
              <w:rPr>
                <w:rFonts w:asciiTheme="minorHAnsi" w:hAnsiTheme="minorHAnsi" w:cstheme="minorBidi"/>
                <w:noProof/>
                <w:sz w:val="22"/>
                <w:szCs w:val="22"/>
              </w:rPr>
              <w:tab/>
            </w:r>
            <w:r w:rsidRPr="00FD24A9" w:rsidR="00C054EE">
              <w:rPr>
                <w:rStyle w:val="Hyperlink"/>
                <w:noProof/>
              </w:rPr>
              <w:t>ESA Goals – Household Treatment Targets</w:t>
            </w:r>
            <w:r w:rsidR="00C054EE">
              <w:rPr>
                <w:noProof/>
                <w:webHidden/>
              </w:rPr>
              <w:tab/>
            </w:r>
            <w:r w:rsidR="00C054EE">
              <w:rPr>
                <w:noProof/>
                <w:webHidden/>
              </w:rPr>
              <w:fldChar w:fldCharType="begin"/>
            </w:r>
            <w:r w:rsidR="00C054EE">
              <w:rPr>
                <w:noProof/>
                <w:webHidden/>
              </w:rPr>
              <w:instrText xml:space="preserve"> PAGEREF _Toc69948044 \h </w:instrText>
            </w:r>
            <w:r w:rsidR="00C054EE">
              <w:rPr>
                <w:noProof/>
                <w:webHidden/>
              </w:rPr>
            </w:r>
            <w:r w:rsidR="00C054EE">
              <w:rPr>
                <w:noProof/>
                <w:webHidden/>
              </w:rPr>
              <w:fldChar w:fldCharType="separate"/>
            </w:r>
            <w:r w:rsidR="004C2E01">
              <w:rPr>
                <w:noProof/>
                <w:webHidden/>
              </w:rPr>
              <w:t>229</w:t>
            </w:r>
            <w:r w:rsidR="00C054EE">
              <w:rPr>
                <w:noProof/>
                <w:webHidden/>
              </w:rPr>
              <w:fldChar w:fldCharType="end"/>
            </w:r>
          </w:hyperlink>
        </w:p>
        <w:p w:rsidR="00C054EE" w:rsidRDefault="000D5832" w14:paraId="569CECAF" w14:textId="3408E244">
          <w:pPr>
            <w:pStyle w:val="TOC3"/>
            <w:tabs>
              <w:tab w:val="left" w:pos="1296"/>
              <w:tab w:val="right" w:leader="dot" w:pos="9350"/>
            </w:tabs>
            <w:rPr>
              <w:rFonts w:asciiTheme="minorHAnsi" w:hAnsiTheme="minorHAnsi" w:cstheme="minorBidi"/>
              <w:noProof/>
              <w:sz w:val="22"/>
              <w:szCs w:val="22"/>
            </w:rPr>
          </w:pPr>
          <w:hyperlink w:history="1" w:anchor="_Toc69948045">
            <w:r w:rsidRPr="00FD24A9" w:rsidR="00C054EE">
              <w:rPr>
                <w:rStyle w:val="Hyperlink"/>
                <w:noProof/>
              </w:rPr>
              <w:t>6.9.1.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_Toc69948045 \h </w:instrText>
            </w:r>
            <w:r w:rsidR="00C054EE">
              <w:rPr>
                <w:noProof/>
                <w:webHidden/>
              </w:rPr>
            </w:r>
            <w:r w:rsidR="00C054EE">
              <w:rPr>
                <w:noProof/>
                <w:webHidden/>
              </w:rPr>
              <w:fldChar w:fldCharType="separate"/>
            </w:r>
            <w:r w:rsidR="004C2E01">
              <w:rPr>
                <w:noProof/>
                <w:webHidden/>
              </w:rPr>
              <w:t>229</w:t>
            </w:r>
            <w:r w:rsidR="00C054EE">
              <w:rPr>
                <w:noProof/>
                <w:webHidden/>
              </w:rPr>
              <w:fldChar w:fldCharType="end"/>
            </w:r>
          </w:hyperlink>
        </w:p>
        <w:p w:rsidR="00C054EE" w:rsidRDefault="000D5832" w14:paraId="5D30D22F" w14:textId="62AADE61">
          <w:pPr>
            <w:pStyle w:val="TOC3"/>
            <w:tabs>
              <w:tab w:val="left" w:pos="1296"/>
              <w:tab w:val="right" w:leader="dot" w:pos="9350"/>
            </w:tabs>
            <w:rPr>
              <w:rFonts w:asciiTheme="minorHAnsi" w:hAnsiTheme="minorHAnsi" w:cstheme="minorBidi"/>
              <w:noProof/>
              <w:sz w:val="22"/>
              <w:szCs w:val="22"/>
            </w:rPr>
          </w:pPr>
          <w:hyperlink w:history="1" w:anchor="_Toc69948046">
            <w:r w:rsidRPr="00FD24A9" w:rsidR="00C054EE">
              <w:rPr>
                <w:rStyle w:val="Hyperlink"/>
                <w:noProof/>
              </w:rPr>
              <w:t>6.9.2.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_Toc69948046 \h </w:instrText>
            </w:r>
            <w:r w:rsidR="00C054EE">
              <w:rPr>
                <w:noProof/>
                <w:webHidden/>
              </w:rPr>
            </w:r>
            <w:r w:rsidR="00C054EE">
              <w:rPr>
                <w:noProof/>
                <w:webHidden/>
              </w:rPr>
              <w:fldChar w:fldCharType="separate"/>
            </w:r>
            <w:r w:rsidR="004C2E01">
              <w:rPr>
                <w:noProof/>
                <w:webHidden/>
              </w:rPr>
              <w:t>229</w:t>
            </w:r>
            <w:r w:rsidR="00C054EE">
              <w:rPr>
                <w:noProof/>
                <w:webHidden/>
              </w:rPr>
              <w:fldChar w:fldCharType="end"/>
            </w:r>
          </w:hyperlink>
        </w:p>
        <w:p w:rsidR="00C054EE" w:rsidRDefault="000D5832" w14:paraId="34FC4265" w14:textId="4524D18A">
          <w:pPr>
            <w:pStyle w:val="TOC3"/>
            <w:tabs>
              <w:tab w:val="left" w:pos="1296"/>
              <w:tab w:val="right" w:leader="dot" w:pos="9350"/>
            </w:tabs>
            <w:rPr>
              <w:rFonts w:asciiTheme="minorHAnsi" w:hAnsiTheme="minorHAnsi" w:cstheme="minorBidi"/>
              <w:noProof/>
              <w:sz w:val="22"/>
              <w:szCs w:val="22"/>
            </w:rPr>
          </w:pPr>
          <w:hyperlink w:history="1" w:anchor="_Toc69948047">
            <w:r w:rsidRPr="00FD24A9" w:rsidR="00C054EE">
              <w:rPr>
                <w:rStyle w:val="Hyperlink"/>
                <w:noProof/>
              </w:rPr>
              <w:t>6.9.3.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_Toc69948047 \h </w:instrText>
            </w:r>
            <w:r w:rsidR="00C054EE">
              <w:rPr>
                <w:noProof/>
                <w:webHidden/>
              </w:rPr>
            </w:r>
            <w:r w:rsidR="00C054EE">
              <w:rPr>
                <w:noProof/>
                <w:webHidden/>
              </w:rPr>
              <w:fldChar w:fldCharType="separate"/>
            </w:r>
            <w:r w:rsidR="004C2E01">
              <w:rPr>
                <w:noProof/>
                <w:webHidden/>
              </w:rPr>
              <w:t>230</w:t>
            </w:r>
            <w:r w:rsidR="00C054EE">
              <w:rPr>
                <w:noProof/>
                <w:webHidden/>
              </w:rPr>
              <w:fldChar w:fldCharType="end"/>
            </w:r>
          </w:hyperlink>
        </w:p>
        <w:p w:rsidR="00C054EE" w:rsidRDefault="000D5832" w14:paraId="4C8BF70E" w14:textId="598DAFE2">
          <w:pPr>
            <w:pStyle w:val="TOC3"/>
            <w:tabs>
              <w:tab w:val="left" w:pos="1296"/>
              <w:tab w:val="right" w:leader="dot" w:pos="9350"/>
            </w:tabs>
            <w:rPr>
              <w:rFonts w:asciiTheme="minorHAnsi" w:hAnsiTheme="minorHAnsi" w:cstheme="minorBidi"/>
              <w:noProof/>
              <w:sz w:val="22"/>
              <w:szCs w:val="22"/>
            </w:rPr>
          </w:pPr>
          <w:hyperlink w:history="1" w:anchor="_Toc69948048">
            <w:r w:rsidRPr="00FD24A9" w:rsidR="00C054EE">
              <w:rPr>
                <w:rStyle w:val="Hyperlink"/>
                <w:noProof/>
              </w:rPr>
              <w:t>6.9.4.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_Toc69948048 \h </w:instrText>
            </w:r>
            <w:r w:rsidR="00C054EE">
              <w:rPr>
                <w:noProof/>
                <w:webHidden/>
              </w:rPr>
            </w:r>
            <w:r w:rsidR="00C054EE">
              <w:rPr>
                <w:noProof/>
                <w:webHidden/>
              </w:rPr>
              <w:fldChar w:fldCharType="separate"/>
            </w:r>
            <w:r w:rsidR="004C2E01">
              <w:rPr>
                <w:noProof/>
                <w:webHidden/>
              </w:rPr>
              <w:t>230</w:t>
            </w:r>
            <w:r w:rsidR="00C054EE">
              <w:rPr>
                <w:noProof/>
                <w:webHidden/>
              </w:rPr>
              <w:fldChar w:fldCharType="end"/>
            </w:r>
          </w:hyperlink>
        </w:p>
        <w:p w:rsidR="00C054EE" w:rsidRDefault="000D5832" w14:paraId="3091B02D" w14:textId="68B5EF56">
          <w:pPr>
            <w:pStyle w:val="TOC3"/>
            <w:tabs>
              <w:tab w:val="left" w:pos="1296"/>
              <w:tab w:val="right" w:leader="dot" w:pos="9350"/>
            </w:tabs>
            <w:rPr>
              <w:rFonts w:asciiTheme="minorHAnsi" w:hAnsiTheme="minorHAnsi" w:cstheme="minorBidi"/>
              <w:noProof/>
              <w:sz w:val="22"/>
              <w:szCs w:val="22"/>
            </w:rPr>
          </w:pPr>
          <w:hyperlink w:history="1" w:anchor="_Toc69948049">
            <w:r w:rsidRPr="00FD24A9" w:rsidR="00C054EE">
              <w:rPr>
                <w:rStyle w:val="Hyperlink"/>
                <w:noProof/>
              </w:rPr>
              <w:t>6.9.5.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_Toc69948049 \h </w:instrText>
            </w:r>
            <w:r w:rsidR="00C054EE">
              <w:rPr>
                <w:noProof/>
                <w:webHidden/>
              </w:rPr>
            </w:r>
            <w:r w:rsidR="00C054EE">
              <w:rPr>
                <w:noProof/>
                <w:webHidden/>
              </w:rPr>
              <w:fldChar w:fldCharType="separate"/>
            </w:r>
            <w:r w:rsidR="004C2E01">
              <w:rPr>
                <w:noProof/>
                <w:webHidden/>
              </w:rPr>
              <w:t>230</w:t>
            </w:r>
            <w:r w:rsidR="00C054EE">
              <w:rPr>
                <w:noProof/>
                <w:webHidden/>
              </w:rPr>
              <w:fldChar w:fldCharType="end"/>
            </w:r>
          </w:hyperlink>
        </w:p>
        <w:p w:rsidR="00C054EE" w:rsidRDefault="000D5832" w14:paraId="60206AE3" w14:textId="239D0F6F">
          <w:pPr>
            <w:pStyle w:val="TOC3"/>
            <w:tabs>
              <w:tab w:val="left" w:pos="1296"/>
              <w:tab w:val="right" w:leader="dot" w:pos="9350"/>
            </w:tabs>
            <w:rPr>
              <w:rFonts w:asciiTheme="minorHAnsi" w:hAnsiTheme="minorHAnsi" w:cstheme="minorBidi"/>
              <w:noProof/>
              <w:sz w:val="22"/>
              <w:szCs w:val="22"/>
            </w:rPr>
          </w:pPr>
          <w:hyperlink w:history="1" w:anchor="_Toc69948050">
            <w:r w:rsidRPr="00FD24A9" w:rsidR="00C054EE">
              <w:rPr>
                <w:rStyle w:val="Hyperlink"/>
                <w:noProof/>
              </w:rPr>
              <w:t>6.9.6.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_Toc69948050 \h </w:instrText>
            </w:r>
            <w:r w:rsidR="00C054EE">
              <w:rPr>
                <w:noProof/>
                <w:webHidden/>
              </w:rPr>
            </w:r>
            <w:r w:rsidR="00C054EE">
              <w:rPr>
                <w:noProof/>
                <w:webHidden/>
              </w:rPr>
              <w:fldChar w:fldCharType="separate"/>
            </w:r>
            <w:r w:rsidR="004C2E01">
              <w:rPr>
                <w:noProof/>
                <w:webHidden/>
              </w:rPr>
              <w:t>231</w:t>
            </w:r>
            <w:r w:rsidR="00C054EE">
              <w:rPr>
                <w:noProof/>
                <w:webHidden/>
              </w:rPr>
              <w:fldChar w:fldCharType="end"/>
            </w:r>
          </w:hyperlink>
        </w:p>
        <w:p w:rsidR="00C054EE" w:rsidRDefault="000D5832" w14:paraId="56B17DAD" w14:textId="6E2DCB9A">
          <w:pPr>
            <w:pStyle w:val="TOC4"/>
            <w:tabs>
              <w:tab w:val="left" w:pos="1728"/>
              <w:tab w:val="right" w:leader="dot" w:pos="9350"/>
            </w:tabs>
            <w:rPr>
              <w:rFonts w:asciiTheme="minorHAnsi" w:hAnsiTheme="minorHAnsi" w:eastAsiaTheme="minorEastAsia" w:cstheme="minorBidi"/>
              <w:noProof/>
              <w:sz w:val="22"/>
              <w:szCs w:val="22"/>
            </w:rPr>
          </w:pPr>
          <w:hyperlink w:history="1" w:anchor="_Toc69948051">
            <w:r w:rsidRPr="00FD24A9" w:rsidR="00C054EE">
              <w:rPr>
                <w:rStyle w:val="Hyperlink"/>
                <w:noProof/>
              </w:rPr>
              <w:t>6.9.6.1.</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_Toc69948051 \h </w:instrText>
            </w:r>
            <w:r w:rsidR="00C054EE">
              <w:rPr>
                <w:noProof/>
                <w:webHidden/>
              </w:rPr>
            </w:r>
            <w:r w:rsidR="00C054EE">
              <w:rPr>
                <w:noProof/>
                <w:webHidden/>
              </w:rPr>
              <w:fldChar w:fldCharType="separate"/>
            </w:r>
            <w:r w:rsidR="004C2E01">
              <w:rPr>
                <w:noProof/>
                <w:webHidden/>
              </w:rPr>
              <w:t>231</w:t>
            </w:r>
            <w:r w:rsidR="00C054EE">
              <w:rPr>
                <w:noProof/>
                <w:webHidden/>
              </w:rPr>
              <w:fldChar w:fldCharType="end"/>
            </w:r>
          </w:hyperlink>
        </w:p>
        <w:p w:rsidR="00C054EE" w:rsidRDefault="000D5832" w14:paraId="722F2F4F" w14:textId="17D6AC1B">
          <w:pPr>
            <w:pStyle w:val="TOC3"/>
            <w:tabs>
              <w:tab w:val="left" w:pos="1296"/>
              <w:tab w:val="right" w:leader="dot" w:pos="9350"/>
            </w:tabs>
            <w:rPr>
              <w:rFonts w:asciiTheme="minorHAnsi" w:hAnsiTheme="minorHAnsi" w:cstheme="minorBidi"/>
              <w:noProof/>
              <w:sz w:val="22"/>
              <w:szCs w:val="22"/>
            </w:rPr>
          </w:pPr>
          <w:hyperlink w:history="1" w:anchor="_Toc69948052">
            <w:r w:rsidRPr="00FD24A9" w:rsidR="00C054EE">
              <w:rPr>
                <w:rStyle w:val="Hyperlink"/>
                <w:noProof/>
              </w:rPr>
              <w:t>6.9.7.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_Toc69948052 \h </w:instrText>
            </w:r>
            <w:r w:rsidR="00C054EE">
              <w:rPr>
                <w:noProof/>
                <w:webHidden/>
              </w:rPr>
            </w:r>
            <w:r w:rsidR="00C054EE">
              <w:rPr>
                <w:noProof/>
                <w:webHidden/>
              </w:rPr>
              <w:fldChar w:fldCharType="separate"/>
            </w:r>
            <w:r w:rsidR="004C2E01">
              <w:rPr>
                <w:noProof/>
                <w:webHidden/>
              </w:rPr>
              <w:t>231</w:t>
            </w:r>
            <w:r w:rsidR="00C054EE">
              <w:rPr>
                <w:noProof/>
                <w:webHidden/>
              </w:rPr>
              <w:fldChar w:fldCharType="end"/>
            </w:r>
          </w:hyperlink>
        </w:p>
        <w:p w:rsidR="00C054EE" w:rsidRDefault="000D5832" w14:paraId="1736E542" w14:textId="77B692AB">
          <w:pPr>
            <w:pStyle w:val="TOC4"/>
            <w:tabs>
              <w:tab w:val="left" w:pos="1728"/>
              <w:tab w:val="right" w:leader="dot" w:pos="9350"/>
            </w:tabs>
            <w:rPr>
              <w:rFonts w:asciiTheme="minorHAnsi" w:hAnsiTheme="minorHAnsi" w:eastAsiaTheme="minorEastAsia" w:cstheme="minorBidi"/>
              <w:noProof/>
              <w:sz w:val="22"/>
              <w:szCs w:val="22"/>
            </w:rPr>
          </w:pPr>
          <w:hyperlink w:history="1" w:anchor="_Toc69948053">
            <w:r w:rsidRPr="00FD24A9" w:rsidR="00C054EE">
              <w:rPr>
                <w:rStyle w:val="Hyperlink"/>
                <w:noProof/>
              </w:rPr>
              <w:t>6.9.7.1.</w:t>
            </w:r>
            <w:r w:rsidR="00C054EE">
              <w:rPr>
                <w:rFonts w:asciiTheme="minorHAnsi" w:hAnsiTheme="minorHAnsi" w:eastAsiaTheme="minorEastAsia" w:cstheme="minorBidi"/>
                <w:noProof/>
                <w:sz w:val="22"/>
                <w:szCs w:val="22"/>
              </w:rPr>
              <w:tab/>
            </w:r>
            <w:r w:rsidRPr="00FD24A9" w:rsidR="00C054EE">
              <w:rPr>
                <w:rStyle w:val="Hyperlink"/>
                <w:noProof/>
              </w:rPr>
              <w:t>Household Treatment Goals: Approved with Modifications</w:t>
            </w:r>
            <w:r w:rsidR="00C054EE">
              <w:rPr>
                <w:noProof/>
                <w:webHidden/>
              </w:rPr>
              <w:tab/>
            </w:r>
            <w:r w:rsidR="00C054EE">
              <w:rPr>
                <w:noProof/>
                <w:webHidden/>
              </w:rPr>
              <w:fldChar w:fldCharType="begin"/>
            </w:r>
            <w:r w:rsidR="00C054EE">
              <w:rPr>
                <w:noProof/>
                <w:webHidden/>
              </w:rPr>
              <w:instrText xml:space="preserve"> PAGEREF _Toc69948053 \h </w:instrText>
            </w:r>
            <w:r w:rsidR="00C054EE">
              <w:rPr>
                <w:noProof/>
                <w:webHidden/>
              </w:rPr>
            </w:r>
            <w:r w:rsidR="00C054EE">
              <w:rPr>
                <w:noProof/>
                <w:webHidden/>
              </w:rPr>
              <w:fldChar w:fldCharType="separate"/>
            </w:r>
            <w:r w:rsidR="004C2E01">
              <w:rPr>
                <w:noProof/>
                <w:webHidden/>
              </w:rPr>
              <w:t>231</w:t>
            </w:r>
            <w:r w:rsidR="00C054EE">
              <w:rPr>
                <w:noProof/>
                <w:webHidden/>
              </w:rPr>
              <w:fldChar w:fldCharType="end"/>
            </w:r>
          </w:hyperlink>
        </w:p>
        <w:p w:rsidR="00C054EE" w:rsidRDefault="000D5832" w14:paraId="3005DCAF" w14:textId="67ED5BF4">
          <w:pPr>
            <w:pStyle w:val="TOC4"/>
            <w:tabs>
              <w:tab w:val="left" w:pos="1728"/>
              <w:tab w:val="right" w:leader="dot" w:pos="9350"/>
            </w:tabs>
            <w:rPr>
              <w:rFonts w:asciiTheme="minorHAnsi" w:hAnsiTheme="minorHAnsi" w:eastAsiaTheme="minorEastAsia" w:cstheme="minorBidi"/>
              <w:noProof/>
              <w:sz w:val="22"/>
              <w:szCs w:val="22"/>
            </w:rPr>
          </w:pPr>
          <w:hyperlink w:history="1" w:anchor="_Toc69948054">
            <w:r w:rsidRPr="00FD24A9" w:rsidR="00C054EE">
              <w:rPr>
                <w:rStyle w:val="Hyperlink"/>
                <w:noProof/>
              </w:rPr>
              <w:t>6.9.7.2.</w:t>
            </w:r>
            <w:r w:rsidR="00C054EE">
              <w:rPr>
                <w:rFonts w:asciiTheme="minorHAnsi" w:hAnsiTheme="minorHAnsi" w:eastAsiaTheme="minorEastAsia" w:cstheme="minorBidi"/>
                <w:noProof/>
                <w:sz w:val="22"/>
                <w:szCs w:val="22"/>
              </w:rPr>
              <w:tab/>
            </w:r>
            <w:r w:rsidRPr="00FD24A9" w:rsidR="00C054EE">
              <w:rPr>
                <w:rStyle w:val="Hyperlink"/>
                <w:noProof/>
              </w:rPr>
              <w:t>Household Penetration Goal: Denied</w:t>
            </w:r>
            <w:r w:rsidR="00C054EE">
              <w:rPr>
                <w:noProof/>
                <w:webHidden/>
              </w:rPr>
              <w:tab/>
            </w:r>
            <w:r w:rsidR="00C054EE">
              <w:rPr>
                <w:noProof/>
                <w:webHidden/>
              </w:rPr>
              <w:fldChar w:fldCharType="begin"/>
            </w:r>
            <w:r w:rsidR="00C054EE">
              <w:rPr>
                <w:noProof/>
                <w:webHidden/>
              </w:rPr>
              <w:instrText xml:space="preserve"> PAGEREF _Toc69948054 \h </w:instrText>
            </w:r>
            <w:r w:rsidR="00C054EE">
              <w:rPr>
                <w:noProof/>
                <w:webHidden/>
              </w:rPr>
            </w:r>
            <w:r w:rsidR="00C054EE">
              <w:rPr>
                <w:noProof/>
                <w:webHidden/>
              </w:rPr>
              <w:fldChar w:fldCharType="separate"/>
            </w:r>
            <w:r w:rsidR="004C2E01">
              <w:rPr>
                <w:noProof/>
                <w:webHidden/>
              </w:rPr>
              <w:t>233</w:t>
            </w:r>
            <w:r w:rsidR="00C054EE">
              <w:rPr>
                <w:noProof/>
                <w:webHidden/>
              </w:rPr>
              <w:fldChar w:fldCharType="end"/>
            </w:r>
          </w:hyperlink>
        </w:p>
        <w:p w:rsidR="00C054EE" w:rsidRDefault="000D5832" w14:paraId="6BEFF8E4" w14:textId="0D378B67">
          <w:pPr>
            <w:pStyle w:val="TOC2"/>
            <w:tabs>
              <w:tab w:val="left" w:pos="1296"/>
              <w:tab w:val="right" w:leader="dot" w:pos="9350"/>
            </w:tabs>
            <w:rPr>
              <w:rFonts w:asciiTheme="minorHAnsi" w:hAnsiTheme="minorHAnsi" w:cstheme="minorBidi"/>
              <w:noProof/>
              <w:sz w:val="22"/>
              <w:szCs w:val="22"/>
            </w:rPr>
          </w:pPr>
          <w:hyperlink w:history="1" w:anchor="_Toc69948055">
            <w:r w:rsidRPr="00FD24A9" w:rsidR="00C054EE">
              <w:rPr>
                <w:rStyle w:val="Hyperlink"/>
                <w:noProof/>
              </w:rPr>
              <w:t>6.10.</w:t>
            </w:r>
            <w:r w:rsidR="00C054EE">
              <w:rPr>
                <w:rFonts w:asciiTheme="minorHAnsi" w:hAnsiTheme="minorHAnsi" w:cstheme="minorBidi"/>
                <w:noProof/>
                <w:sz w:val="22"/>
                <w:szCs w:val="22"/>
              </w:rPr>
              <w:tab/>
            </w:r>
            <w:r w:rsidRPr="00FD24A9" w:rsidR="00C054EE">
              <w:rPr>
                <w:rStyle w:val="Hyperlink"/>
                <w:noProof/>
              </w:rPr>
              <w:t>ESA Cost Effectiveness</w:t>
            </w:r>
            <w:r w:rsidR="00C054EE">
              <w:rPr>
                <w:noProof/>
                <w:webHidden/>
              </w:rPr>
              <w:tab/>
            </w:r>
            <w:r w:rsidR="00C054EE">
              <w:rPr>
                <w:noProof/>
                <w:webHidden/>
              </w:rPr>
              <w:fldChar w:fldCharType="begin"/>
            </w:r>
            <w:r w:rsidR="00C054EE">
              <w:rPr>
                <w:noProof/>
                <w:webHidden/>
              </w:rPr>
              <w:instrText xml:space="preserve"> PAGEREF _Toc69948055 \h </w:instrText>
            </w:r>
            <w:r w:rsidR="00C054EE">
              <w:rPr>
                <w:noProof/>
                <w:webHidden/>
              </w:rPr>
            </w:r>
            <w:r w:rsidR="00C054EE">
              <w:rPr>
                <w:noProof/>
                <w:webHidden/>
              </w:rPr>
              <w:fldChar w:fldCharType="separate"/>
            </w:r>
            <w:r w:rsidR="004C2E01">
              <w:rPr>
                <w:noProof/>
                <w:webHidden/>
              </w:rPr>
              <w:t>233</w:t>
            </w:r>
            <w:r w:rsidR="00C054EE">
              <w:rPr>
                <w:noProof/>
                <w:webHidden/>
              </w:rPr>
              <w:fldChar w:fldCharType="end"/>
            </w:r>
          </w:hyperlink>
        </w:p>
        <w:p w:rsidR="00C054EE" w:rsidRDefault="000D5832" w14:paraId="702C426E" w14:textId="370DD29E">
          <w:pPr>
            <w:pStyle w:val="TOC3"/>
            <w:tabs>
              <w:tab w:val="left" w:pos="1728"/>
              <w:tab w:val="right" w:leader="dot" w:pos="9350"/>
            </w:tabs>
            <w:rPr>
              <w:rFonts w:asciiTheme="minorHAnsi" w:hAnsiTheme="minorHAnsi" w:cstheme="minorBidi"/>
              <w:noProof/>
              <w:sz w:val="22"/>
              <w:szCs w:val="22"/>
            </w:rPr>
          </w:pPr>
          <w:hyperlink w:history="1" w:anchor="_Toc69948056">
            <w:r w:rsidRPr="00FD24A9" w:rsidR="00C054EE">
              <w:rPr>
                <w:rStyle w:val="Hyperlink"/>
                <w:noProof/>
              </w:rPr>
              <w:t>6.10.1.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_Toc69948056 \h </w:instrText>
            </w:r>
            <w:r w:rsidR="00C054EE">
              <w:rPr>
                <w:noProof/>
                <w:webHidden/>
              </w:rPr>
            </w:r>
            <w:r w:rsidR="00C054EE">
              <w:rPr>
                <w:noProof/>
                <w:webHidden/>
              </w:rPr>
              <w:fldChar w:fldCharType="separate"/>
            </w:r>
            <w:r w:rsidR="004C2E01">
              <w:rPr>
                <w:noProof/>
                <w:webHidden/>
              </w:rPr>
              <w:t>233</w:t>
            </w:r>
            <w:r w:rsidR="00C054EE">
              <w:rPr>
                <w:noProof/>
                <w:webHidden/>
              </w:rPr>
              <w:fldChar w:fldCharType="end"/>
            </w:r>
          </w:hyperlink>
        </w:p>
        <w:p w:rsidR="00C054EE" w:rsidRDefault="000D5832" w14:paraId="6CFD5CAF" w14:textId="7CC7DFAB">
          <w:pPr>
            <w:pStyle w:val="TOC3"/>
            <w:tabs>
              <w:tab w:val="left" w:pos="1728"/>
              <w:tab w:val="right" w:leader="dot" w:pos="9350"/>
            </w:tabs>
            <w:rPr>
              <w:rFonts w:asciiTheme="minorHAnsi" w:hAnsiTheme="minorHAnsi" w:cstheme="minorBidi"/>
              <w:noProof/>
              <w:sz w:val="22"/>
              <w:szCs w:val="22"/>
            </w:rPr>
          </w:pPr>
          <w:hyperlink w:history="1" w:anchor="_Toc69948057">
            <w:r w:rsidRPr="00FD24A9" w:rsidR="00C054EE">
              <w:rPr>
                <w:rStyle w:val="Hyperlink"/>
                <w:noProof/>
              </w:rPr>
              <w:t>6.10.2.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_Toc69948057 \h </w:instrText>
            </w:r>
            <w:r w:rsidR="00C054EE">
              <w:rPr>
                <w:noProof/>
                <w:webHidden/>
              </w:rPr>
            </w:r>
            <w:r w:rsidR="00C054EE">
              <w:rPr>
                <w:noProof/>
                <w:webHidden/>
              </w:rPr>
              <w:fldChar w:fldCharType="separate"/>
            </w:r>
            <w:r w:rsidR="004C2E01">
              <w:rPr>
                <w:noProof/>
                <w:webHidden/>
              </w:rPr>
              <w:t>235</w:t>
            </w:r>
            <w:r w:rsidR="00C054EE">
              <w:rPr>
                <w:noProof/>
                <w:webHidden/>
              </w:rPr>
              <w:fldChar w:fldCharType="end"/>
            </w:r>
          </w:hyperlink>
        </w:p>
        <w:p w:rsidR="00C054EE" w:rsidRDefault="000D5832" w14:paraId="4ED9A6FA" w14:textId="1D1F1CBA">
          <w:pPr>
            <w:pStyle w:val="TOC3"/>
            <w:tabs>
              <w:tab w:val="left" w:pos="1728"/>
              <w:tab w:val="right" w:leader="dot" w:pos="9350"/>
            </w:tabs>
            <w:rPr>
              <w:rFonts w:asciiTheme="minorHAnsi" w:hAnsiTheme="minorHAnsi" w:cstheme="minorBidi"/>
              <w:noProof/>
              <w:sz w:val="22"/>
              <w:szCs w:val="22"/>
            </w:rPr>
          </w:pPr>
          <w:hyperlink w:history="1" w:anchor="_Toc69948058">
            <w:r w:rsidRPr="00FD24A9" w:rsidR="00C054EE">
              <w:rPr>
                <w:rStyle w:val="Hyperlink"/>
                <w:noProof/>
              </w:rPr>
              <w:t>6.10.3.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_Toc69948058 \h </w:instrText>
            </w:r>
            <w:r w:rsidR="00C054EE">
              <w:rPr>
                <w:noProof/>
                <w:webHidden/>
              </w:rPr>
            </w:r>
            <w:r w:rsidR="00C054EE">
              <w:rPr>
                <w:noProof/>
                <w:webHidden/>
              </w:rPr>
              <w:fldChar w:fldCharType="separate"/>
            </w:r>
            <w:r w:rsidR="004C2E01">
              <w:rPr>
                <w:noProof/>
                <w:webHidden/>
              </w:rPr>
              <w:t>237</w:t>
            </w:r>
            <w:r w:rsidR="00C054EE">
              <w:rPr>
                <w:noProof/>
                <w:webHidden/>
              </w:rPr>
              <w:fldChar w:fldCharType="end"/>
            </w:r>
          </w:hyperlink>
        </w:p>
        <w:p w:rsidR="00C054EE" w:rsidRDefault="000D5832" w14:paraId="0EE792F9" w14:textId="3A66021F">
          <w:pPr>
            <w:pStyle w:val="TOC3"/>
            <w:tabs>
              <w:tab w:val="left" w:pos="1728"/>
              <w:tab w:val="right" w:leader="dot" w:pos="9350"/>
            </w:tabs>
            <w:rPr>
              <w:rFonts w:asciiTheme="minorHAnsi" w:hAnsiTheme="minorHAnsi" w:cstheme="minorBidi"/>
              <w:noProof/>
              <w:sz w:val="22"/>
              <w:szCs w:val="22"/>
            </w:rPr>
          </w:pPr>
          <w:hyperlink w:history="1" w:anchor="_Toc69948059">
            <w:r w:rsidRPr="00FD24A9" w:rsidR="00C054EE">
              <w:rPr>
                <w:rStyle w:val="Hyperlink"/>
                <w:noProof/>
              </w:rPr>
              <w:t>6.10.4.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_Toc69948059 \h </w:instrText>
            </w:r>
            <w:r w:rsidR="00C054EE">
              <w:rPr>
                <w:noProof/>
                <w:webHidden/>
              </w:rPr>
            </w:r>
            <w:r w:rsidR="00C054EE">
              <w:rPr>
                <w:noProof/>
                <w:webHidden/>
              </w:rPr>
              <w:fldChar w:fldCharType="separate"/>
            </w:r>
            <w:r w:rsidR="004C2E01">
              <w:rPr>
                <w:noProof/>
                <w:webHidden/>
              </w:rPr>
              <w:t>237</w:t>
            </w:r>
            <w:r w:rsidR="00C054EE">
              <w:rPr>
                <w:noProof/>
                <w:webHidden/>
              </w:rPr>
              <w:fldChar w:fldCharType="end"/>
            </w:r>
          </w:hyperlink>
        </w:p>
        <w:p w:rsidR="00C054EE" w:rsidRDefault="000D5832" w14:paraId="64FE1F3D" w14:textId="32A6374C">
          <w:pPr>
            <w:pStyle w:val="TOC3"/>
            <w:tabs>
              <w:tab w:val="left" w:pos="1728"/>
              <w:tab w:val="right" w:leader="dot" w:pos="9350"/>
            </w:tabs>
            <w:rPr>
              <w:rFonts w:asciiTheme="minorHAnsi" w:hAnsiTheme="minorHAnsi" w:cstheme="minorBidi"/>
              <w:noProof/>
              <w:sz w:val="22"/>
              <w:szCs w:val="22"/>
            </w:rPr>
          </w:pPr>
          <w:hyperlink w:history="1" w:anchor="_Toc69948060">
            <w:r w:rsidRPr="00FD24A9" w:rsidR="00C054EE">
              <w:rPr>
                <w:rStyle w:val="Hyperlink"/>
                <w:noProof/>
              </w:rPr>
              <w:t>6.10.5.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_Toc69948060 \h </w:instrText>
            </w:r>
            <w:r w:rsidR="00C054EE">
              <w:rPr>
                <w:noProof/>
                <w:webHidden/>
              </w:rPr>
            </w:r>
            <w:r w:rsidR="00C054EE">
              <w:rPr>
                <w:noProof/>
                <w:webHidden/>
              </w:rPr>
              <w:fldChar w:fldCharType="separate"/>
            </w:r>
            <w:r w:rsidR="004C2E01">
              <w:rPr>
                <w:noProof/>
                <w:webHidden/>
              </w:rPr>
              <w:t>238</w:t>
            </w:r>
            <w:r w:rsidR="00C054EE">
              <w:rPr>
                <w:noProof/>
                <w:webHidden/>
              </w:rPr>
              <w:fldChar w:fldCharType="end"/>
            </w:r>
          </w:hyperlink>
        </w:p>
        <w:p w:rsidR="00C054EE" w:rsidRDefault="000D5832" w14:paraId="04015DA0" w14:textId="0E55F9A1">
          <w:pPr>
            <w:pStyle w:val="TOC3"/>
            <w:tabs>
              <w:tab w:val="left" w:pos="1728"/>
              <w:tab w:val="right" w:leader="dot" w:pos="9350"/>
            </w:tabs>
            <w:rPr>
              <w:rFonts w:asciiTheme="minorHAnsi" w:hAnsiTheme="minorHAnsi" w:cstheme="minorBidi"/>
              <w:noProof/>
              <w:sz w:val="22"/>
              <w:szCs w:val="22"/>
            </w:rPr>
          </w:pPr>
          <w:hyperlink w:history="1" w:anchor="_Toc69948061">
            <w:r w:rsidRPr="00FD24A9" w:rsidR="00C054EE">
              <w:rPr>
                <w:rStyle w:val="Hyperlink"/>
                <w:noProof/>
              </w:rPr>
              <w:t>6.10.6.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_Toc69948061 \h </w:instrText>
            </w:r>
            <w:r w:rsidR="00C054EE">
              <w:rPr>
                <w:noProof/>
                <w:webHidden/>
              </w:rPr>
            </w:r>
            <w:r w:rsidR="00C054EE">
              <w:rPr>
                <w:noProof/>
                <w:webHidden/>
              </w:rPr>
              <w:fldChar w:fldCharType="separate"/>
            </w:r>
            <w:r w:rsidR="004C2E01">
              <w:rPr>
                <w:noProof/>
                <w:webHidden/>
              </w:rPr>
              <w:t>238</w:t>
            </w:r>
            <w:r w:rsidR="00C054EE">
              <w:rPr>
                <w:noProof/>
                <w:webHidden/>
              </w:rPr>
              <w:fldChar w:fldCharType="end"/>
            </w:r>
          </w:hyperlink>
        </w:p>
        <w:p w:rsidR="00C054EE" w:rsidRDefault="000D5832" w14:paraId="43717D45" w14:textId="6EC44E36">
          <w:pPr>
            <w:pStyle w:val="TOC4"/>
            <w:tabs>
              <w:tab w:val="left" w:pos="2160"/>
              <w:tab w:val="right" w:leader="dot" w:pos="9350"/>
            </w:tabs>
            <w:rPr>
              <w:rFonts w:asciiTheme="minorHAnsi" w:hAnsiTheme="minorHAnsi" w:eastAsiaTheme="minorEastAsia" w:cstheme="minorBidi"/>
              <w:noProof/>
              <w:sz w:val="22"/>
              <w:szCs w:val="22"/>
            </w:rPr>
          </w:pPr>
          <w:hyperlink w:history="1" w:anchor="_Toc69948062">
            <w:r w:rsidRPr="00FD24A9" w:rsidR="00C054EE">
              <w:rPr>
                <w:rStyle w:val="Hyperlink"/>
                <w:noProof/>
              </w:rPr>
              <w:t>6.10.6.1.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_Toc69948062 \h </w:instrText>
            </w:r>
            <w:r w:rsidR="00C054EE">
              <w:rPr>
                <w:noProof/>
                <w:webHidden/>
              </w:rPr>
            </w:r>
            <w:r w:rsidR="00C054EE">
              <w:rPr>
                <w:noProof/>
                <w:webHidden/>
              </w:rPr>
              <w:fldChar w:fldCharType="separate"/>
            </w:r>
            <w:r w:rsidR="004C2E01">
              <w:rPr>
                <w:noProof/>
                <w:webHidden/>
              </w:rPr>
              <w:t>238</w:t>
            </w:r>
            <w:r w:rsidR="00C054EE">
              <w:rPr>
                <w:noProof/>
                <w:webHidden/>
              </w:rPr>
              <w:fldChar w:fldCharType="end"/>
            </w:r>
          </w:hyperlink>
        </w:p>
        <w:p w:rsidR="00C054EE" w:rsidRDefault="000D5832" w14:paraId="73DF981B" w14:textId="2AB1E624">
          <w:pPr>
            <w:pStyle w:val="TOC4"/>
            <w:tabs>
              <w:tab w:val="left" w:pos="2160"/>
              <w:tab w:val="right" w:leader="dot" w:pos="9350"/>
            </w:tabs>
            <w:rPr>
              <w:rFonts w:asciiTheme="minorHAnsi" w:hAnsiTheme="minorHAnsi" w:eastAsiaTheme="minorEastAsia" w:cstheme="minorBidi"/>
              <w:noProof/>
              <w:sz w:val="22"/>
              <w:szCs w:val="22"/>
            </w:rPr>
          </w:pPr>
          <w:hyperlink w:history="1" w:anchor="_Toc69948063">
            <w:r w:rsidRPr="00FD24A9" w:rsidR="00C054EE">
              <w:rPr>
                <w:rStyle w:val="Hyperlink"/>
                <w:noProof/>
              </w:rPr>
              <w:t>6.10.6.2.</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_Toc69948063 \h </w:instrText>
            </w:r>
            <w:r w:rsidR="00C054EE">
              <w:rPr>
                <w:noProof/>
                <w:webHidden/>
              </w:rPr>
            </w:r>
            <w:r w:rsidR="00C054EE">
              <w:rPr>
                <w:noProof/>
                <w:webHidden/>
              </w:rPr>
              <w:fldChar w:fldCharType="separate"/>
            </w:r>
            <w:r w:rsidR="004C2E01">
              <w:rPr>
                <w:noProof/>
                <w:webHidden/>
              </w:rPr>
              <w:t>241</w:t>
            </w:r>
            <w:r w:rsidR="00C054EE">
              <w:rPr>
                <w:noProof/>
                <w:webHidden/>
              </w:rPr>
              <w:fldChar w:fldCharType="end"/>
            </w:r>
          </w:hyperlink>
        </w:p>
        <w:p w:rsidR="00C054EE" w:rsidRDefault="000D5832" w14:paraId="63DB2E0E" w14:textId="1B103599">
          <w:pPr>
            <w:pStyle w:val="TOC4"/>
            <w:tabs>
              <w:tab w:val="left" w:pos="2160"/>
              <w:tab w:val="right" w:leader="dot" w:pos="9350"/>
            </w:tabs>
            <w:rPr>
              <w:rFonts w:asciiTheme="minorHAnsi" w:hAnsiTheme="minorHAnsi" w:eastAsiaTheme="minorEastAsia" w:cstheme="minorBidi"/>
              <w:noProof/>
              <w:sz w:val="22"/>
              <w:szCs w:val="22"/>
            </w:rPr>
          </w:pPr>
          <w:hyperlink w:history="1" w:anchor="_Toc69948064">
            <w:r w:rsidRPr="00FD24A9" w:rsidR="00C054EE">
              <w:rPr>
                <w:rStyle w:val="Hyperlink"/>
                <w:noProof/>
              </w:rPr>
              <w:t>6.10.6.3.</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_Toc69948064 \h </w:instrText>
            </w:r>
            <w:r w:rsidR="00C054EE">
              <w:rPr>
                <w:noProof/>
                <w:webHidden/>
              </w:rPr>
            </w:r>
            <w:r w:rsidR="00C054EE">
              <w:rPr>
                <w:noProof/>
                <w:webHidden/>
              </w:rPr>
              <w:fldChar w:fldCharType="separate"/>
            </w:r>
            <w:r w:rsidR="004C2E01">
              <w:rPr>
                <w:noProof/>
                <w:webHidden/>
              </w:rPr>
              <w:t>243</w:t>
            </w:r>
            <w:r w:rsidR="00C054EE">
              <w:rPr>
                <w:noProof/>
                <w:webHidden/>
              </w:rPr>
              <w:fldChar w:fldCharType="end"/>
            </w:r>
          </w:hyperlink>
        </w:p>
        <w:p w:rsidR="00C054EE" w:rsidRDefault="000D5832" w14:paraId="6A82BECD" w14:textId="06FFBA3D">
          <w:pPr>
            <w:pStyle w:val="TOC4"/>
            <w:tabs>
              <w:tab w:val="left" w:pos="2160"/>
              <w:tab w:val="right" w:leader="dot" w:pos="9350"/>
            </w:tabs>
            <w:rPr>
              <w:rFonts w:asciiTheme="minorHAnsi" w:hAnsiTheme="minorHAnsi" w:eastAsiaTheme="minorEastAsia" w:cstheme="minorBidi"/>
              <w:noProof/>
              <w:sz w:val="22"/>
              <w:szCs w:val="22"/>
            </w:rPr>
          </w:pPr>
          <w:hyperlink w:history="1" w:anchor="_Toc69948065">
            <w:r w:rsidRPr="00FD24A9" w:rsidR="00C054EE">
              <w:rPr>
                <w:rStyle w:val="Hyperlink"/>
                <w:noProof/>
              </w:rPr>
              <w:t>6.10.6.4.</w:t>
            </w:r>
            <w:r w:rsidR="00C054EE">
              <w:rPr>
                <w:rFonts w:asciiTheme="minorHAnsi" w:hAnsiTheme="minorHAnsi" w:eastAsiaTheme="minorEastAsia" w:cstheme="minorBidi"/>
                <w:noProof/>
                <w:sz w:val="22"/>
                <w:szCs w:val="22"/>
              </w:rPr>
              <w:tab/>
            </w:r>
            <w:r w:rsidRPr="00FD24A9" w:rsidR="00C054EE">
              <w:rPr>
                <w:rStyle w:val="Hyperlink"/>
                <w:noProof/>
              </w:rPr>
              <w:t>EEC and TELACU et al.</w:t>
            </w:r>
            <w:r w:rsidR="00C054EE">
              <w:rPr>
                <w:noProof/>
                <w:webHidden/>
              </w:rPr>
              <w:tab/>
            </w:r>
            <w:r w:rsidR="00C054EE">
              <w:rPr>
                <w:noProof/>
                <w:webHidden/>
              </w:rPr>
              <w:fldChar w:fldCharType="begin"/>
            </w:r>
            <w:r w:rsidR="00C054EE">
              <w:rPr>
                <w:noProof/>
                <w:webHidden/>
              </w:rPr>
              <w:instrText xml:space="preserve"> PAGEREF _Toc69948065 \h </w:instrText>
            </w:r>
            <w:r w:rsidR="00C054EE">
              <w:rPr>
                <w:noProof/>
                <w:webHidden/>
              </w:rPr>
            </w:r>
            <w:r w:rsidR="00C054EE">
              <w:rPr>
                <w:noProof/>
                <w:webHidden/>
              </w:rPr>
              <w:fldChar w:fldCharType="separate"/>
            </w:r>
            <w:r w:rsidR="004C2E01">
              <w:rPr>
                <w:noProof/>
                <w:webHidden/>
              </w:rPr>
              <w:t>243</w:t>
            </w:r>
            <w:r w:rsidR="00C054EE">
              <w:rPr>
                <w:noProof/>
                <w:webHidden/>
              </w:rPr>
              <w:fldChar w:fldCharType="end"/>
            </w:r>
          </w:hyperlink>
        </w:p>
        <w:p w:rsidR="00C054EE" w:rsidRDefault="000D5832" w14:paraId="34DEB802" w14:textId="434CCA8A">
          <w:pPr>
            <w:pStyle w:val="TOC4"/>
            <w:tabs>
              <w:tab w:val="left" w:pos="2160"/>
              <w:tab w:val="right" w:leader="dot" w:pos="9350"/>
            </w:tabs>
            <w:rPr>
              <w:rFonts w:asciiTheme="minorHAnsi" w:hAnsiTheme="minorHAnsi" w:eastAsiaTheme="minorEastAsia" w:cstheme="minorBidi"/>
              <w:noProof/>
              <w:sz w:val="22"/>
              <w:szCs w:val="22"/>
            </w:rPr>
          </w:pPr>
          <w:hyperlink w:history="1" w:anchor="_Toc69948066">
            <w:r w:rsidRPr="00FD24A9" w:rsidR="00C054EE">
              <w:rPr>
                <w:rStyle w:val="Hyperlink"/>
                <w:noProof/>
              </w:rPr>
              <w:t>6.10.6.5.</w:t>
            </w:r>
            <w:r w:rsidR="00C054EE">
              <w:rPr>
                <w:rFonts w:asciiTheme="minorHAnsi" w:hAnsiTheme="minorHAnsi" w:eastAsiaTheme="minorEastAsia" w:cstheme="minorBidi"/>
                <w:noProof/>
                <w:sz w:val="22"/>
                <w:szCs w:val="22"/>
              </w:rPr>
              <w:tab/>
            </w:r>
            <w:r w:rsidRPr="00FD24A9" w:rsidR="00C054EE">
              <w:rPr>
                <w:rStyle w:val="Hyperlink"/>
                <w:noProof/>
              </w:rPr>
              <w:t>PCF</w:t>
            </w:r>
            <w:r w:rsidR="00C054EE">
              <w:rPr>
                <w:noProof/>
                <w:webHidden/>
              </w:rPr>
              <w:tab/>
            </w:r>
            <w:r w:rsidR="00C054EE">
              <w:rPr>
                <w:noProof/>
                <w:webHidden/>
              </w:rPr>
              <w:fldChar w:fldCharType="begin"/>
            </w:r>
            <w:r w:rsidR="00C054EE">
              <w:rPr>
                <w:noProof/>
                <w:webHidden/>
              </w:rPr>
              <w:instrText xml:space="preserve"> PAGEREF _Toc69948066 \h </w:instrText>
            </w:r>
            <w:r w:rsidR="00C054EE">
              <w:rPr>
                <w:noProof/>
                <w:webHidden/>
              </w:rPr>
            </w:r>
            <w:r w:rsidR="00C054EE">
              <w:rPr>
                <w:noProof/>
                <w:webHidden/>
              </w:rPr>
              <w:fldChar w:fldCharType="separate"/>
            </w:r>
            <w:r w:rsidR="004C2E01">
              <w:rPr>
                <w:noProof/>
                <w:webHidden/>
              </w:rPr>
              <w:t>243</w:t>
            </w:r>
            <w:r w:rsidR="00C054EE">
              <w:rPr>
                <w:noProof/>
                <w:webHidden/>
              </w:rPr>
              <w:fldChar w:fldCharType="end"/>
            </w:r>
          </w:hyperlink>
        </w:p>
        <w:p w:rsidR="00C054EE" w:rsidRDefault="000D5832" w14:paraId="5F45F007" w14:textId="2E750B87">
          <w:pPr>
            <w:pStyle w:val="TOC3"/>
            <w:tabs>
              <w:tab w:val="left" w:pos="1728"/>
              <w:tab w:val="right" w:leader="dot" w:pos="9350"/>
            </w:tabs>
            <w:rPr>
              <w:rFonts w:asciiTheme="minorHAnsi" w:hAnsiTheme="minorHAnsi" w:cstheme="minorBidi"/>
              <w:noProof/>
              <w:sz w:val="22"/>
              <w:szCs w:val="22"/>
            </w:rPr>
          </w:pPr>
          <w:hyperlink w:history="1" w:anchor="_Toc69948067">
            <w:r w:rsidRPr="00FD24A9" w:rsidR="00C054EE">
              <w:rPr>
                <w:rStyle w:val="Hyperlink"/>
                <w:noProof/>
              </w:rPr>
              <w:t>6.10.7.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_Toc69948067 \h </w:instrText>
            </w:r>
            <w:r w:rsidR="00C054EE">
              <w:rPr>
                <w:noProof/>
                <w:webHidden/>
              </w:rPr>
            </w:r>
            <w:r w:rsidR="00C054EE">
              <w:rPr>
                <w:noProof/>
                <w:webHidden/>
              </w:rPr>
              <w:fldChar w:fldCharType="separate"/>
            </w:r>
            <w:r w:rsidR="004C2E01">
              <w:rPr>
                <w:noProof/>
                <w:webHidden/>
              </w:rPr>
              <w:t>244</w:t>
            </w:r>
            <w:r w:rsidR="00C054EE">
              <w:rPr>
                <w:noProof/>
                <w:webHidden/>
              </w:rPr>
              <w:fldChar w:fldCharType="end"/>
            </w:r>
          </w:hyperlink>
        </w:p>
        <w:p w:rsidR="00C054EE" w:rsidRDefault="000D5832" w14:paraId="19162B71" w14:textId="751EAE91">
          <w:pPr>
            <w:pStyle w:val="TOC4"/>
            <w:tabs>
              <w:tab w:val="left" w:pos="2160"/>
              <w:tab w:val="right" w:leader="dot" w:pos="9350"/>
            </w:tabs>
            <w:rPr>
              <w:rFonts w:asciiTheme="minorHAnsi" w:hAnsiTheme="minorHAnsi" w:eastAsiaTheme="minorEastAsia" w:cstheme="minorBidi"/>
              <w:noProof/>
              <w:sz w:val="22"/>
              <w:szCs w:val="22"/>
            </w:rPr>
          </w:pPr>
          <w:hyperlink w:history="1" w:anchor="_Toc69948068">
            <w:r w:rsidRPr="00FD24A9" w:rsidR="00C054EE">
              <w:rPr>
                <w:rStyle w:val="Hyperlink"/>
                <w:noProof/>
              </w:rPr>
              <w:t>6.10.7.1.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_Toc69948068 \h </w:instrText>
            </w:r>
            <w:r w:rsidR="00C054EE">
              <w:rPr>
                <w:noProof/>
                <w:webHidden/>
              </w:rPr>
            </w:r>
            <w:r w:rsidR="00C054EE">
              <w:rPr>
                <w:noProof/>
                <w:webHidden/>
              </w:rPr>
              <w:fldChar w:fldCharType="separate"/>
            </w:r>
            <w:r w:rsidR="004C2E01">
              <w:rPr>
                <w:noProof/>
                <w:webHidden/>
              </w:rPr>
              <w:t>244</w:t>
            </w:r>
            <w:r w:rsidR="00C054EE">
              <w:rPr>
                <w:noProof/>
                <w:webHidden/>
              </w:rPr>
              <w:fldChar w:fldCharType="end"/>
            </w:r>
          </w:hyperlink>
        </w:p>
        <w:p w:rsidR="00C054EE" w:rsidRDefault="000D5832" w14:paraId="028D3AF0" w14:textId="0A8A89C9">
          <w:pPr>
            <w:pStyle w:val="TOC4"/>
            <w:tabs>
              <w:tab w:val="left" w:pos="2160"/>
              <w:tab w:val="right" w:leader="dot" w:pos="9350"/>
            </w:tabs>
            <w:rPr>
              <w:rFonts w:asciiTheme="minorHAnsi" w:hAnsiTheme="minorHAnsi" w:eastAsiaTheme="minorEastAsia" w:cstheme="minorBidi"/>
              <w:noProof/>
              <w:sz w:val="22"/>
              <w:szCs w:val="22"/>
            </w:rPr>
          </w:pPr>
          <w:hyperlink w:history="1" w:anchor="_Toc69948069">
            <w:r w:rsidRPr="00FD24A9" w:rsidR="00C054EE">
              <w:rPr>
                <w:rStyle w:val="Hyperlink"/>
                <w:noProof/>
              </w:rPr>
              <w:t>6.10.7.2.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_Toc69948069 \h </w:instrText>
            </w:r>
            <w:r w:rsidR="00C054EE">
              <w:rPr>
                <w:noProof/>
                <w:webHidden/>
              </w:rPr>
            </w:r>
            <w:r w:rsidR="00C054EE">
              <w:rPr>
                <w:noProof/>
                <w:webHidden/>
              </w:rPr>
              <w:fldChar w:fldCharType="separate"/>
            </w:r>
            <w:r w:rsidR="004C2E01">
              <w:rPr>
                <w:noProof/>
                <w:webHidden/>
              </w:rPr>
              <w:t>246</w:t>
            </w:r>
            <w:r w:rsidR="00C054EE">
              <w:rPr>
                <w:noProof/>
                <w:webHidden/>
              </w:rPr>
              <w:fldChar w:fldCharType="end"/>
            </w:r>
          </w:hyperlink>
        </w:p>
        <w:p w:rsidR="00C054EE" w:rsidRDefault="000D5832" w14:paraId="7F1AB518" w14:textId="1812A857">
          <w:pPr>
            <w:pStyle w:val="TOC4"/>
            <w:tabs>
              <w:tab w:val="left" w:pos="2160"/>
              <w:tab w:val="right" w:leader="dot" w:pos="9350"/>
            </w:tabs>
            <w:rPr>
              <w:rFonts w:asciiTheme="minorHAnsi" w:hAnsiTheme="minorHAnsi" w:eastAsiaTheme="minorEastAsia" w:cstheme="minorBidi"/>
              <w:noProof/>
              <w:sz w:val="22"/>
              <w:szCs w:val="22"/>
            </w:rPr>
          </w:pPr>
          <w:hyperlink w:history="1" w:anchor="_Toc69948070">
            <w:r w:rsidRPr="00FD24A9" w:rsidR="00C054EE">
              <w:rPr>
                <w:rStyle w:val="Hyperlink"/>
                <w:noProof/>
              </w:rPr>
              <w:t>6.10.7.3.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_Toc69948070 \h </w:instrText>
            </w:r>
            <w:r w:rsidR="00C054EE">
              <w:rPr>
                <w:noProof/>
                <w:webHidden/>
              </w:rPr>
            </w:r>
            <w:r w:rsidR="00C054EE">
              <w:rPr>
                <w:noProof/>
                <w:webHidden/>
              </w:rPr>
              <w:fldChar w:fldCharType="separate"/>
            </w:r>
            <w:r w:rsidR="004C2E01">
              <w:rPr>
                <w:noProof/>
                <w:webHidden/>
              </w:rPr>
              <w:t>247</w:t>
            </w:r>
            <w:r w:rsidR="00C054EE">
              <w:rPr>
                <w:noProof/>
                <w:webHidden/>
              </w:rPr>
              <w:fldChar w:fldCharType="end"/>
            </w:r>
          </w:hyperlink>
        </w:p>
        <w:p w:rsidR="00C054EE" w:rsidRDefault="000D5832" w14:paraId="3EA2447F" w14:textId="4B5BFA55">
          <w:pPr>
            <w:pStyle w:val="TOC4"/>
            <w:tabs>
              <w:tab w:val="left" w:pos="2160"/>
              <w:tab w:val="right" w:leader="dot" w:pos="9350"/>
            </w:tabs>
            <w:rPr>
              <w:rFonts w:asciiTheme="minorHAnsi" w:hAnsiTheme="minorHAnsi" w:eastAsiaTheme="minorEastAsia" w:cstheme="minorBidi"/>
              <w:noProof/>
              <w:sz w:val="22"/>
              <w:szCs w:val="22"/>
            </w:rPr>
          </w:pPr>
          <w:hyperlink w:history="1" w:anchor="_Toc69948071">
            <w:r w:rsidRPr="00FD24A9" w:rsidR="00C054EE">
              <w:rPr>
                <w:rStyle w:val="Hyperlink"/>
                <w:noProof/>
              </w:rPr>
              <w:t>6.10.7.4.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_Toc69948071 \h </w:instrText>
            </w:r>
            <w:r w:rsidR="00C054EE">
              <w:rPr>
                <w:noProof/>
                <w:webHidden/>
              </w:rPr>
            </w:r>
            <w:r w:rsidR="00C054EE">
              <w:rPr>
                <w:noProof/>
                <w:webHidden/>
              </w:rPr>
              <w:fldChar w:fldCharType="separate"/>
            </w:r>
            <w:r w:rsidR="004C2E01">
              <w:rPr>
                <w:noProof/>
                <w:webHidden/>
              </w:rPr>
              <w:t>247</w:t>
            </w:r>
            <w:r w:rsidR="00C054EE">
              <w:rPr>
                <w:noProof/>
                <w:webHidden/>
              </w:rPr>
              <w:fldChar w:fldCharType="end"/>
            </w:r>
          </w:hyperlink>
        </w:p>
        <w:p w:rsidR="00C054EE" w:rsidRDefault="000D5832" w14:paraId="722A8065" w14:textId="5ABA52E8">
          <w:pPr>
            <w:pStyle w:val="TOC3"/>
            <w:tabs>
              <w:tab w:val="left" w:pos="1728"/>
              <w:tab w:val="right" w:leader="dot" w:pos="9350"/>
            </w:tabs>
            <w:rPr>
              <w:rFonts w:asciiTheme="minorHAnsi" w:hAnsiTheme="minorHAnsi" w:cstheme="minorBidi"/>
              <w:noProof/>
              <w:sz w:val="22"/>
              <w:szCs w:val="22"/>
            </w:rPr>
          </w:pPr>
          <w:hyperlink w:history="1" w:anchor="_Toc69948072">
            <w:r w:rsidRPr="00FD24A9" w:rsidR="00C054EE">
              <w:rPr>
                <w:rStyle w:val="Hyperlink"/>
                <w:noProof/>
              </w:rPr>
              <w:t>6.10.8.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_Toc69948072 \h </w:instrText>
            </w:r>
            <w:r w:rsidR="00C054EE">
              <w:rPr>
                <w:noProof/>
                <w:webHidden/>
              </w:rPr>
            </w:r>
            <w:r w:rsidR="00C054EE">
              <w:rPr>
                <w:noProof/>
                <w:webHidden/>
              </w:rPr>
              <w:fldChar w:fldCharType="separate"/>
            </w:r>
            <w:r w:rsidR="004C2E01">
              <w:rPr>
                <w:noProof/>
                <w:webHidden/>
              </w:rPr>
              <w:t>248</w:t>
            </w:r>
            <w:r w:rsidR="00C054EE">
              <w:rPr>
                <w:noProof/>
                <w:webHidden/>
              </w:rPr>
              <w:fldChar w:fldCharType="end"/>
            </w:r>
          </w:hyperlink>
        </w:p>
        <w:p w:rsidR="00C054EE" w:rsidRDefault="000D5832" w14:paraId="638C8EBC" w14:textId="09C80F58">
          <w:pPr>
            <w:pStyle w:val="TOC4"/>
            <w:tabs>
              <w:tab w:val="left" w:pos="2160"/>
              <w:tab w:val="right" w:leader="dot" w:pos="9350"/>
            </w:tabs>
            <w:rPr>
              <w:rFonts w:asciiTheme="minorHAnsi" w:hAnsiTheme="minorHAnsi" w:eastAsiaTheme="minorEastAsia" w:cstheme="minorBidi"/>
              <w:noProof/>
              <w:sz w:val="22"/>
              <w:szCs w:val="22"/>
            </w:rPr>
          </w:pPr>
          <w:hyperlink w:history="1" w:anchor="_Toc69948073">
            <w:r w:rsidRPr="00FD24A9" w:rsidR="00C054EE">
              <w:rPr>
                <w:rStyle w:val="Hyperlink"/>
                <w:noProof/>
              </w:rPr>
              <w:t>6.10.8.1.</w:t>
            </w:r>
            <w:r w:rsidR="00C054EE">
              <w:rPr>
                <w:rFonts w:asciiTheme="minorHAnsi" w:hAnsiTheme="minorHAnsi" w:eastAsiaTheme="minorEastAsia" w:cstheme="minorBidi"/>
                <w:noProof/>
                <w:sz w:val="22"/>
                <w:szCs w:val="22"/>
              </w:rPr>
              <w:tab/>
            </w:r>
            <w:r w:rsidRPr="00FD24A9" w:rsidR="00C054EE">
              <w:rPr>
                <w:rStyle w:val="Hyperlink"/>
                <w:noProof/>
              </w:rPr>
              <w:t>ESACET Threshold (Portfolio Level): Approved as a Target at 0.70 ESACET</w:t>
            </w:r>
            <w:r w:rsidR="00C054EE">
              <w:rPr>
                <w:noProof/>
                <w:webHidden/>
              </w:rPr>
              <w:tab/>
            </w:r>
            <w:r w:rsidR="00C054EE">
              <w:rPr>
                <w:noProof/>
                <w:webHidden/>
              </w:rPr>
              <w:fldChar w:fldCharType="begin"/>
            </w:r>
            <w:r w:rsidR="00C054EE">
              <w:rPr>
                <w:noProof/>
                <w:webHidden/>
              </w:rPr>
              <w:instrText xml:space="preserve"> PAGEREF _Toc69948073 \h </w:instrText>
            </w:r>
            <w:r w:rsidR="00C054EE">
              <w:rPr>
                <w:noProof/>
                <w:webHidden/>
              </w:rPr>
            </w:r>
            <w:r w:rsidR="00C054EE">
              <w:rPr>
                <w:noProof/>
                <w:webHidden/>
              </w:rPr>
              <w:fldChar w:fldCharType="separate"/>
            </w:r>
            <w:r w:rsidR="004C2E01">
              <w:rPr>
                <w:noProof/>
                <w:webHidden/>
              </w:rPr>
              <w:t>248</w:t>
            </w:r>
            <w:r w:rsidR="00C054EE">
              <w:rPr>
                <w:noProof/>
                <w:webHidden/>
              </w:rPr>
              <w:fldChar w:fldCharType="end"/>
            </w:r>
          </w:hyperlink>
        </w:p>
        <w:p w:rsidR="00C054EE" w:rsidRDefault="000D5832" w14:paraId="224CBFCE" w14:textId="5FFEC6D2">
          <w:pPr>
            <w:pStyle w:val="TOC4"/>
            <w:tabs>
              <w:tab w:val="left" w:pos="2160"/>
              <w:tab w:val="right" w:leader="dot" w:pos="9350"/>
            </w:tabs>
            <w:rPr>
              <w:rFonts w:asciiTheme="minorHAnsi" w:hAnsiTheme="minorHAnsi" w:eastAsiaTheme="minorEastAsia" w:cstheme="minorBidi"/>
              <w:noProof/>
              <w:sz w:val="22"/>
              <w:szCs w:val="22"/>
            </w:rPr>
          </w:pPr>
          <w:hyperlink w:history="1" w:anchor="_Toc69948074">
            <w:r w:rsidRPr="00FD24A9" w:rsidR="00C054EE">
              <w:rPr>
                <w:rStyle w:val="Hyperlink"/>
                <w:noProof/>
              </w:rPr>
              <w:t>6.10.8.2.</w:t>
            </w:r>
            <w:r w:rsidR="00C054EE">
              <w:rPr>
                <w:rFonts w:asciiTheme="minorHAnsi" w:hAnsiTheme="minorHAnsi" w:eastAsiaTheme="minorEastAsia" w:cstheme="minorBidi"/>
                <w:noProof/>
                <w:sz w:val="22"/>
                <w:szCs w:val="22"/>
              </w:rPr>
              <w:tab/>
            </w:r>
            <w:r w:rsidRPr="00FD24A9" w:rsidR="00C054EE">
              <w:rPr>
                <w:rStyle w:val="Hyperlink"/>
                <w:noProof/>
              </w:rPr>
              <w:t>ESACET Threshold (Measure Level): Approved with Modifications</w:t>
            </w:r>
            <w:r w:rsidR="00C054EE">
              <w:rPr>
                <w:noProof/>
                <w:webHidden/>
              </w:rPr>
              <w:tab/>
            </w:r>
            <w:r w:rsidR="00C054EE">
              <w:rPr>
                <w:noProof/>
                <w:webHidden/>
              </w:rPr>
              <w:fldChar w:fldCharType="begin"/>
            </w:r>
            <w:r w:rsidR="00C054EE">
              <w:rPr>
                <w:noProof/>
                <w:webHidden/>
              </w:rPr>
              <w:instrText xml:space="preserve"> PAGEREF _Toc69948074 \h </w:instrText>
            </w:r>
            <w:r w:rsidR="00C054EE">
              <w:rPr>
                <w:noProof/>
                <w:webHidden/>
              </w:rPr>
            </w:r>
            <w:r w:rsidR="00C054EE">
              <w:rPr>
                <w:noProof/>
                <w:webHidden/>
              </w:rPr>
              <w:fldChar w:fldCharType="separate"/>
            </w:r>
            <w:r w:rsidR="004C2E01">
              <w:rPr>
                <w:noProof/>
                <w:webHidden/>
              </w:rPr>
              <w:t>251</w:t>
            </w:r>
            <w:r w:rsidR="00C054EE">
              <w:rPr>
                <w:noProof/>
                <w:webHidden/>
              </w:rPr>
              <w:fldChar w:fldCharType="end"/>
            </w:r>
          </w:hyperlink>
        </w:p>
        <w:p w:rsidR="00C054EE" w:rsidRDefault="000D5832" w14:paraId="7566FED3" w14:textId="44744B46">
          <w:pPr>
            <w:pStyle w:val="TOC4"/>
            <w:tabs>
              <w:tab w:val="left" w:pos="2160"/>
              <w:tab w:val="right" w:leader="dot" w:pos="9350"/>
            </w:tabs>
            <w:rPr>
              <w:rFonts w:asciiTheme="minorHAnsi" w:hAnsiTheme="minorHAnsi" w:eastAsiaTheme="minorEastAsia" w:cstheme="minorBidi"/>
              <w:noProof/>
              <w:sz w:val="22"/>
              <w:szCs w:val="22"/>
            </w:rPr>
          </w:pPr>
          <w:hyperlink w:history="1" w:anchor="_Toc69948075">
            <w:r w:rsidRPr="00FD24A9" w:rsidR="00C054EE">
              <w:rPr>
                <w:rStyle w:val="Hyperlink"/>
                <w:noProof/>
              </w:rPr>
              <w:t>6.10.8.3.</w:t>
            </w:r>
            <w:r w:rsidR="00C054EE">
              <w:rPr>
                <w:rFonts w:asciiTheme="minorHAnsi" w:hAnsiTheme="minorHAnsi" w:eastAsiaTheme="minorEastAsia" w:cstheme="minorBidi"/>
                <w:noProof/>
                <w:sz w:val="22"/>
                <w:szCs w:val="22"/>
              </w:rPr>
              <w:tab/>
            </w:r>
            <w:r w:rsidRPr="00FD24A9" w:rsidR="00C054EE">
              <w:rPr>
                <w:rStyle w:val="Hyperlink"/>
                <w:noProof/>
              </w:rPr>
              <w:t>ESACET Threshold for Budgeting: Denied</w:t>
            </w:r>
            <w:r w:rsidR="00C054EE">
              <w:rPr>
                <w:noProof/>
                <w:webHidden/>
              </w:rPr>
              <w:tab/>
            </w:r>
            <w:r w:rsidR="00C054EE">
              <w:rPr>
                <w:noProof/>
                <w:webHidden/>
              </w:rPr>
              <w:fldChar w:fldCharType="begin"/>
            </w:r>
            <w:r w:rsidR="00C054EE">
              <w:rPr>
                <w:noProof/>
                <w:webHidden/>
              </w:rPr>
              <w:instrText xml:space="preserve"> PAGEREF _Toc69948075 \h </w:instrText>
            </w:r>
            <w:r w:rsidR="00C054EE">
              <w:rPr>
                <w:noProof/>
                <w:webHidden/>
              </w:rPr>
            </w:r>
            <w:r w:rsidR="00C054EE">
              <w:rPr>
                <w:noProof/>
                <w:webHidden/>
              </w:rPr>
              <w:fldChar w:fldCharType="separate"/>
            </w:r>
            <w:r w:rsidR="004C2E01">
              <w:rPr>
                <w:noProof/>
                <w:webHidden/>
              </w:rPr>
              <w:t>251</w:t>
            </w:r>
            <w:r w:rsidR="00C054EE">
              <w:rPr>
                <w:noProof/>
                <w:webHidden/>
              </w:rPr>
              <w:fldChar w:fldCharType="end"/>
            </w:r>
          </w:hyperlink>
        </w:p>
        <w:p w:rsidR="00C054EE" w:rsidRDefault="000D5832" w14:paraId="0B4ADF50" w14:textId="7A09DCA6">
          <w:pPr>
            <w:pStyle w:val="TOC4"/>
            <w:tabs>
              <w:tab w:val="left" w:pos="2160"/>
              <w:tab w:val="right" w:leader="dot" w:pos="9350"/>
            </w:tabs>
            <w:rPr>
              <w:rFonts w:asciiTheme="minorHAnsi" w:hAnsiTheme="minorHAnsi" w:eastAsiaTheme="minorEastAsia" w:cstheme="minorBidi"/>
              <w:noProof/>
              <w:sz w:val="22"/>
              <w:szCs w:val="22"/>
            </w:rPr>
          </w:pPr>
          <w:hyperlink w:history="1" w:anchor="_Toc69948076">
            <w:r w:rsidRPr="00FD24A9" w:rsidR="00C054EE">
              <w:rPr>
                <w:rStyle w:val="Hyperlink"/>
                <w:noProof/>
              </w:rPr>
              <w:t>6.10.8.4.</w:t>
            </w:r>
            <w:r w:rsidR="00C054EE">
              <w:rPr>
                <w:rFonts w:asciiTheme="minorHAnsi" w:hAnsiTheme="minorHAnsi" w:eastAsiaTheme="minorEastAsia" w:cstheme="minorBidi"/>
                <w:noProof/>
                <w:sz w:val="22"/>
                <w:szCs w:val="22"/>
              </w:rPr>
              <w:tab/>
            </w:r>
            <w:r w:rsidRPr="00FD24A9" w:rsidR="00C054EE">
              <w:rPr>
                <w:rStyle w:val="Hyperlink"/>
                <w:noProof/>
              </w:rPr>
              <w:t>Reconvening Cost-Effectiveness Working Group: Approved</w:t>
            </w:r>
            <w:r w:rsidR="00C054EE">
              <w:rPr>
                <w:noProof/>
                <w:webHidden/>
              </w:rPr>
              <w:tab/>
            </w:r>
            <w:r w:rsidR="00C054EE">
              <w:rPr>
                <w:noProof/>
                <w:webHidden/>
              </w:rPr>
              <w:fldChar w:fldCharType="begin"/>
            </w:r>
            <w:r w:rsidR="00C054EE">
              <w:rPr>
                <w:noProof/>
                <w:webHidden/>
              </w:rPr>
              <w:instrText xml:space="preserve"> PAGEREF _Toc69948076 \h </w:instrText>
            </w:r>
            <w:r w:rsidR="00C054EE">
              <w:rPr>
                <w:noProof/>
                <w:webHidden/>
              </w:rPr>
            </w:r>
            <w:r w:rsidR="00C054EE">
              <w:rPr>
                <w:noProof/>
                <w:webHidden/>
              </w:rPr>
              <w:fldChar w:fldCharType="separate"/>
            </w:r>
            <w:r w:rsidR="004C2E01">
              <w:rPr>
                <w:noProof/>
                <w:webHidden/>
              </w:rPr>
              <w:t>252</w:t>
            </w:r>
            <w:r w:rsidR="00C054EE">
              <w:rPr>
                <w:noProof/>
                <w:webHidden/>
              </w:rPr>
              <w:fldChar w:fldCharType="end"/>
            </w:r>
          </w:hyperlink>
        </w:p>
        <w:p w:rsidR="00C054EE" w:rsidRDefault="000D5832" w14:paraId="5265C0E0" w14:textId="520D82D6">
          <w:pPr>
            <w:pStyle w:val="TOC4"/>
            <w:tabs>
              <w:tab w:val="left" w:pos="2160"/>
              <w:tab w:val="right" w:leader="dot" w:pos="9350"/>
            </w:tabs>
            <w:rPr>
              <w:rFonts w:asciiTheme="minorHAnsi" w:hAnsiTheme="minorHAnsi" w:eastAsiaTheme="minorEastAsia" w:cstheme="minorBidi"/>
              <w:noProof/>
              <w:sz w:val="22"/>
              <w:szCs w:val="22"/>
            </w:rPr>
          </w:pPr>
          <w:hyperlink w:history="1" w:anchor="_Toc69948077">
            <w:r w:rsidRPr="00FD24A9" w:rsidR="00C054EE">
              <w:rPr>
                <w:rStyle w:val="Hyperlink"/>
                <w:noProof/>
              </w:rPr>
              <w:t>6.10.8.5.</w:t>
            </w:r>
            <w:r w:rsidR="00C054EE">
              <w:rPr>
                <w:rFonts w:asciiTheme="minorHAnsi" w:hAnsiTheme="minorHAnsi" w:eastAsiaTheme="minorEastAsia" w:cstheme="minorBidi"/>
                <w:noProof/>
                <w:sz w:val="22"/>
                <w:szCs w:val="22"/>
              </w:rPr>
              <w:tab/>
            </w:r>
            <w:r w:rsidRPr="00FD24A9" w:rsidR="00C054EE">
              <w:rPr>
                <w:rStyle w:val="Hyperlink"/>
                <w:noProof/>
              </w:rPr>
              <w:t>Defining Resource Measures and Non</w:t>
            </w:r>
            <w:r w:rsidRPr="00FD24A9" w:rsidR="00C054EE">
              <w:rPr>
                <w:rStyle w:val="Hyperlink"/>
                <w:noProof/>
              </w:rPr>
              <w:noBreakHyphen/>
              <w:t>Resource Measures: Denied</w:t>
            </w:r>
            <w:r w:rsidR="00C054EE">
              <w:rPr>
                <w:noProof/>
                <w:webHidden/>
              </w:rPr>
              <w:tab/>
            </w:r>
            <w:r w:rsidR="00C054EE">
              <w:rPr>
                <w:noProof/>
                <w:webHidden/>
              </w:rPr>
              <w:fldChar w:fldCharType="begin"/>
            </w:r>
            <w:r w:rsidR="00C054EE">
              <w:rPr>
                <w:noProof/>
                <w:webHidden/>
              </w:rPr>
              <w:instrText xml:space="preserve"> PAGEREF _Toc69948077 \h </w:instrText>
            </w:r>
            <w:r w:rsidR="00C054EE">
              <w:rPr>
                <w:noProof/>
                <w:webHidden/>
              </w:rPr>
            </w:r>
            <w:r w:rsidR="00C054EE">
              <w:rPr>
                <w:noProof/>
                <w:webHidden/>
              </w:rPr>
              <w:fldChar w:fldCharType="separate"/>
            </w:r>
            <w:r w:rsidR="004C2E01">
              <w:rPr>
                <w:noProof/>
                <w:webHidden/>
              </w:rPr>
              <w:t>254</w:t>
            </w:r>
            <w:r w:rsidR="00C054EE">
              <w:rPr>
                <w:noProof/>
                <w:webHidden/>
              </w:rPr>
              <w:fldChar w:fldCharType="end"/>
            </w:r>
          </w:hyperlink>
        </w:p>
        <w:p w:rsidR="00C054EE" w:rsidRDefault="000D5832" w14:paraId="24A52FC9" w14:textId="0CAE8B7B">
          <w:pPr>
            <w:pStyle w:val="TOC4"/>
            <w:tabs>
              <w:tab w:val="left" w:pos="2160"/>
              <w:tab w:val="right" w:leader="dot" w:pos="9350"/>
            </w:tabs>
            <w:rPr>
              <w:rFonts w:asciiTheme="minorHAnsi" w:hAnsiTheme="minorHAnsi" w:eastAsiaTheme="minorEastAsia" w:cstheme="minorBidi"/>
              <w:noProof/>
              <w:sz w:val="22"/>
              <w:szCs w:val="22"/>
            </w:rPr>
          </w:pPr>
          <w:hyperlink w:history="1" w:anchor="_Toc69948078">
            <w:r w:rsidRPr="00FD24A9" w:rsidR="00C054EE">
              <w:rPr>
                <w:rStyle w:val="Hyperlink"/>
                <w:noProof/>
              </w:rPr>
              <w:t>6.10.8.6.</w:t>
            </w:r>
            <w:r w:rsidR="00C054EE">
              <w:rPr>
                <w:rFonts w:asciiTheme="minorHAnsi" w:hAnsiTheme="minorHAnsi" w:eastAsiaTheme="minorEastAsia" w:cstheme="minorBidi"/>
                <w:noProof/>
                <w:sz w:val="22"/>
                <w:szCs w:val="22"/>
              </w:rPr>
              <w:tab/>
            </w:r>
            <w:r w:rsidRPr="00FD24A9" w:rsidR="00C054EE">
              <w:rPr>
                <w:rStyle w:val="Hyperlink"/>
                <w:noProof/>
              </w:rPr>
              <w:t>Updated Discounting Methodology for ESACET Calculation: Approved</w:t>
            </w:r>
            <w:r w:rsidR="00C054EE">
              <w:rPr>
                <w:noProof/>
                <w:webHidden/>
              </w:rPr>
              <w:tab/>
            </w:r>
            <w:r w:rsidR="00C054EE">
              <w:rPr>
                <w:noProof/>
                <w:webHidden/>
              </w:rPr>
              <w:fldChar w:fldCharType="begin"/>
            </w:r>
            <w:r w:rsidR="00C054EE">
              <w:rPr>
                <w:noProof/>
                <w:webHidden/>
              </w:rPr>
              <w:instrText xml:space="preserve"> PAGEREF _Toc69948078 \h </w:instrText>
            </w:r>
            <w:r w:rsidR="00C054EE">
              <w:rPr>
                <w:noProof/>
                <w:webHidden/>
              </w:rPr>
            </w:r>
            <w:r w:rsidR="00C054EE">
              <w:rPr>
                <w:noProof/>
                <w:webHidden/>
              </w:rPr>
              <w:fldChar w:fldCharType="separate"/>
            </w:r>
            <w:r w:rsidR="004C2E01">
              <w:rPr>
                <w:noProof/>
                <w:webHidden/>
              </w:rPr>
              <w:t>255</w:t>
            </w:r>
            <w:r w:rsidR="00C054EE">
              <w:rPr>
                <w:noProof/>
                <w:webHidden/>
              </w:rPr>
              <w:fldChar w:fldCharType="end"/>
            </w:r>
          </w:hyperlink>
        </w:p>
        <w:p w:rsidR="00C054EE" w:rsidRDefault="000D5832" w14:paraId="702706C3" w14:textId="1B1E334F">
          <w:pPr>
            <w:pStyle w:val="TOC4"/>
            <w:tabs>
              <w:tab w:val="left" w:pos="2160"/>
              <w:tab w:val="right" w:leader="dot" w:pos="9350"/>
            </w:tabs>
            <w:rPr>
              <w:rFonts w:asciiTheme="minorHAnsi" w:hAnsiTheme="minorHAnsi" w:eastAsiaTheme="minorEastAsia" w:cstheme="minorBidi"/>
              <w:noProof/>
              <w:sz w:val="22"/>
              <w:szCs w:val="22"/>
            </w:rPr>
          </w:pPr>
          <w:hyperlink w:history="1" w:anchor="_Toc69948079">
            <w:r w:rsidRPr="00FD24A9" w:rsidR="00C054EE">
              <w:rPr>
                <w:rStyle w:val="Hyperlink"/>
                <w:noProof/>
              </w:rPr>
              <w:t>6.10.8.7.</w:t>
            </w:r>
            <w:r w:rsidR="00C054EE">
              <w:rPr>
                <w:rFonts w:asciiTheme="minorHAnsi" w:hAnsiTheme="minorHAnsi" w:eastAsiaTheme="minorEastAsia" w:cstheme="minorBidi"/>
                <w:noProof/>
                <w:sz w:val="22"/>
                <w:szCs w:val="22"/>
              </w:rPr>
              <w:tab/>
            </w:r>
            <w:r w:rsidRPr="00FD24A9" w:rsidR="00C054EE">
              <w:rPr>
                <w:rStyle w:val="Hyperlink"/>
                <w:noProof/>
              </w:rPr>
              <w:t>Discontinuing the Resource Test: Denied</w:t>
            </w:r>
            <w:r w:rsidR="00C054EE">
              <w:rPr>
                <w:noProof/>
                <w:webHidden/>
              </w:rPr>
              <w:tab/>
            </w:r>
            <w:r w:rsidR="00C054EE">
              <w:rPr>
                <w:noProof/>
                <w:webHidden/>
              </w:rPr>
              <w:fldChar w:fldCharType="begin"/>
            </w:r>
            <w:r w:rsidR="00C054EE">
              <w:rPr>
                <w:noProof/>
                <w:webHidden/>
              </w:rPr>
              <w:instrText xml:space="preserve"> PAGEREF _Toc69948079 \h </w:instrText>
            </w:r>
            <w:r w:rsidR="00C054EE">
              <w:rPr>
                <w:noProof/>
                <w:webHidden/>
              </w:rPr>
            </w:r>
            <w:r w:rsidR="00C054EE">
              <w:rPr>
                <w:noProof/>
                <w:webHidden/>
              </w:rPr>
              <w:fldChar w:fldCharType="separate"/>
            </w:r>
            <w:r w:rsidR="004C2E01">
              <w:rPr>
                <w:noProof/>
                <w:webHidden/>
              </w:rPr>
              <w:t>255</w:t>
            </w:r>
            <w:r w:rsidR="00C054EE">
              <w:rPr>
                <w:noProof/>
                <w:webHidden/>
              </w:rPr>
              <w:fldChar w:fldCharType="end"/>
            </w:r>
          </w:hyperlink>
        </w:p>
        <w:p w:rsidR="00C054EE" w:rsidRDefault="000D5832" w14:paraId="243B5164" w14:textId="3F4909CF">
          <w:pPr>
            <w:pStyle w:val="TOC2"/>
            <w:tabs>
              <w:tab w:val="left" w:pos="1296"/>
              <w:tab w:val="right" w:leader="dot" w:pos="9350"/>
            </w:tabs>
            <w:rPr>
              <w:rFonts w:asciiTheme="minorHAnsi" w:hAnsiTheme="minorHAnsi" w:cstheme="minorBidi"/>
              <w:noProof/>
              <w:sz w:val="22"/>
              <w:szCs w:val="22"/>
            </w:rPr>
          </w:pPr>
          <w:hyperlink w:history="1" w:anchor="_Toc69948080">
            <w:r w:rsidRPr="00FD24A9" w:rsidR="00C054EE">
              <w:rPr>
                <w:rStyle w:val="Hyperlink"/>
                <w:noProof/>
              </w:rPr>
              <w:t>6.11.</w:t>
            </w:r>
            <w:r w:rsidR="00C054EE">
              <w:rPr>
                <w:rFonts w:asciiTheme="minorHAnsi" w:hAnsiTheme="minorHAnsi" w:cstheme="minorBidi"/>
                <w:noProof/>
                <w:sz w:val="22"/>
                <w:szCs w:val="22"/>
              </w:rPr>
              <w:tab/>
            </w:r>
            <w:r w:rsidRPr="00FD24A9" w:rsidR="00C054EE">
              <w:rPr>
                <w:rStyle w:val="Hyperlink"/>
                <w:noProof/>
              </w:rPr>
              <w:t>ESA Marketing, Education and Outreach</w:t>
            </w:r>
            <w:r w:rsidR="00C054EE">
              <w:rPr>
                <w:noProof/>
                <w:webHidden/>
              </w:rPr>
              <w:tab/>
            </w:r>
            <w:r w:rsidR="00C054EE">
              <w:rPr>
                <w:noProof/>
                <w:webHidden/>
              </w:rPr>
              <w:fldChar w:fldCharType="begin"/>
            </w:r>
            <w:r w:rsidR="00C054EE">
              <w:rPr>
                <w:noProof/>
                <w:webHidden/>
              </w:rPr>
              <w:instrText xml:space="preserve"> PAGEREF _Toc69948080 \h </w:instrText>
            </w:r>
            <w:r w:rsidR="00C054EE">
              <w:rPr>
                <w:noProof/>
                <w:webHidden/>
              </w:rPr>
            </w:r>
            <w:r w:rsidR="00C054EE">
              <w:rPr>
                <w:noProof/>
                <w:webHidden/>
              </w:rPr>
              <w:fldChar w:fldCharType="separate"/>
            </w:r>
            <w:r w:rsidR="004C2E01">
              <w:rPr>
                <w:noProof/>
                <w:webHidden/>
              </w:rPr>
              <w:t>256</w:t>
            </w:r>
            <w:r w:rsidR="00C054EE">
              <w:rPr>
                <w:noProof/>
                <w:webHidden/>
              </w:rPr>
              <w:fldChar w:fldCharType="end"/>
            </w:r>
          </w:hyperlink>
        </w:p>
        <w:p w:rsidR="00C054EE" w:rsidRDefault="000D5832" w14:paraId="12AE2832" w14:textId="4CF08984">
          <w:pPr>
            <w:pStyle w:val="TOC3"/>
            <w:tabs>
              <w:tab w:val="left" w:pos="1728"/>
              <w:tab w:val="right" w:leader="dot" w:pos="9350"/>
            </w:tabs>
            <w:rPr>
              <w:rFonts w:asciiTheme="minorHAnsi" w:hAnsiTheme="minorHAnsi" w:cstheme="minorBidi"/>
              <w:noProof/>
              <w:sz w:val="22"/>
              <w:szCs w:val="22"/>
            </w:rPr>
          </w:pPr>
          <w:hyperlink w:history="1" w:anchor="_Toc69948081">
            <w:r w:rsidRPr="00FD24A9" w:rsidR="00C054EE">
              <w:rPr>
                <w:rStyle w:val="Hyperlink"/>
                <w:noProof/>
              </w:rPr>
              <w:t>6.11.1.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_Toc69948081 \h </w:instrText>
            </w:r>
            <w:r w:rsidR="00C054EE">
              <w:rPr>
                <w:noProof/>
                <w:webHidden/>
              </w:rPr>
            </w:r>
            <w:r w:rsidR="00C054EE">
              <w:rPr>
                <w:noProof/>
                <w:webHidden/>
              </w:rPr>
              <w:fldChar w:fldCharType="separate"/>
            </w:r>
            <w:r w:rsidR="004C2E01">
              <w:rPr>
                <w:noProof/>
                <w:webHidden/>
              </w:rPr>
              <w:t>256</w:t>
            </w:r>
            <w:r w:rsidR="00C054EE">
              <w:rPr>
                <w:noProof/>
                <w:webHidden/>
              </w:rPr>
              <w:fldChar w:fldCharType="end"/>
            </w:r>
          </w:hyperlink>
        </w:p>
        <w:p w:rsidR="00C054EE" w:rsidRDefault="000D5832" w14:paraId="3E48C8DA" w14:textId="0353C6C4">
          <w:pPr>
            <w:pStyle w:val="TOC3"/>
            <w:tabs>
              <w:tab w:val="left" w:pos="1728"/>
              <w:tab w:val="right" w:leader="dot" w:pos="9350"/>
            </w:tabs>
            <w:rPr>
              <w:rFonts w:asciiTheme="minorHAnsi" w:hAnsiTheme="minorHAnsi" w:cstheme="minorBidi"/>
              <w:noProof/>
              <w:sz w:val="22"/>
              <w:szCs w:val="22"/>
            </w:rPr>
          </w:pPr>
          <w:hyperlink w:history="1" w:anchor="_Toc69948082">
            <w:r w:rsidRPr="00FD24A9" w:rsidR="00C054EE">
              <w:rPr>
                <w:rStyle w:val="Hyperlink"/>
                <w:noProof/>
              </w:rPr>
              <w:t>6.11.2.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_Toc69948082 \h </w:instrText>
            </w:r>
            <w:r w:rsidR="00C054EE">
              <w:rPr>
                <w:noProof/>
                <w:webHidden/>
              </w:rPr>
            </w:r>
            <w:r w:rsidR="00C054EE">
              <w:rPr>
                <w:noProof/>
                <w:webHidden/>
              </w:rPr>
              <w:fldChar w:fldCharType="separate"/>
            </w:r>
            <w:r w:rsidR="004C2E01">
              <w:rPr>
                <w:noProof/>
                <w:webHidden/>
              </w:rPr>
              <w:t>256</w:t>
            </w:r>
            <w:r w:rsidR="00C054EE">
              <w:rPr>
                <w:noProof/>
                <w:webHidden/>
              </w:rPr>
              <w:fldChar w:fldCharType="end"/>
            </w:r>
          </w:hyperlink>
        </w:p>
        <w:p w:rsidR="00C054EE" w:rsidRDefault="000D5832" w14:paraId="094E2000" w14:textId="68C21CDD">
          <w:pPr>
            <w:pStyle w:val="TOC3"/>
            <w:tabs>
              <w:tab w:val="left" w:pos="1728"/>
              <w:tab w:val="right" w:leader="dot" w:pos="9350"/>
            </w:tabs>
            <w:rPr>
              <w:rFonts w:asciiTheme="minorHAnsi" w:hAnsiTheme="minorHAnsi" w:cstheme="minorBidi"/>
              <w:noProof/>
              <w:sz w:val="22"/>
              <w:szCs w:val="22"/>
            </w:rPr>
          </w:pPr>
          <w:hyperlink w:history="1" w:anchor="_Toc69948083">
            <w:r w:rsidRPr="00FD24A9" w:rsidR="00C054EE">
              <w:rPr>
                <w:rStyle w:val="Hyperlink"/>
                <w:noProof/>
              </w:rPr>
              <w:t>6.11.3.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_Toc69948083 \h </w:instrText>
            </w:r>
            <w:r w:rsidR="00C054EE">
              <w:rPr>
                <w:noProof/>
                <w:webHidden/>
              </w:rPr>
            </w:r>
            <w:r w:rsidR="00C054EE">
              <w:rPr>
                <w:noProof/>
                <w:webHidden/>
              </w:rPr>
              <w:fldChar w:fldCharType="separate"/>
            </w:r>
            <w:r w:rsidR="004C2E01">
              <w:rPr>
                <w:noProof/>
                <w:webHidden/>
              </w:rPr>
              <w:t>257</w:t>
            </w:r>
            <w:r w:rsidR="00C054EE">
              <w:rPr>
                <w:noProof/>
                <w:webHidden/>
              </w:rPr>
              <w:fldChar w:fldCharType="end"/>
            </w:r>
          </w:hyperlink>
        </w:p>
        <w:p w:rsidR="00C054EE" w:rsidRDefault="000D5832" w14:paraId="152E5A72" w14:textId="45FE13DE">
          <w:pPr>
            <w:pStyle w:val="TOC3"/>
            <w:tabs>
              <w:tab w:val="left" w:pos="1728"/>
              <w:tab w:val="right" w:leader="dot" w:pos="9350"/>
            </w:tabs>
            <w:rPr>
              <w:rFonts w:asciiTheme="minorHAnsi" w:hAnsiTheme="minorHAnsi" w:cstheme="minorBidi"/>
              <w:noProof/>
              <w:sz w:val="22"/>
              <w:szCs w:val="22"/>
            </w:rPr>
          </w:pPr>
          <w:hyperlink w:history="1" w:anchor="_Toc69948084">
            <w:r w:rsidRPr="00FD24A9" w:rsidR="00C054EE">
              <w:rPr>
                <w:rStyle w:val="Hyperlink"/>
                <w:noProof/>
              </w:rPr>
              <w:t>6.11.4.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_Toc69948084 \h </w:instrText>
            </w:r>
            <w:r w:rsidR="00C054EE">
              <w:rPr>
                <w:noProof/>
                <w:webHidden/>
              </w:rPr>
            </w:r>
            <w:r w:rsidR="00C054EE">
              <w:rPr>
                <w:noProof/>
                <w:webHidden/>
              </w:rPr>
              <w:fldChar w:fldCharType="separate"/>
            </w:r>
            <w:r w:rsidR="004C2E01">
              <w:rPr>
                <w:noProof/>
                <w:webHidden/>
              </w:rPr>
              <w:t>259</w:t>
            </w:r>
            <w:r w:rsidR="00C054EE">
              <w:rPr>
                <w:noProof/>
                <w:webHidden/>
              </w:rPr>
              <w:fldChar w:fldCharType="end"/>
            </w:r>
          </w:hyperlink>
        </w:p>
        <w:p w:rsidR="00C054EE" w:rsidRDefault="000D5832" w14:paraId="2E5094F7" w14:textId="08A4A06A">
          <w:pPr>
            <w:pStyle w:val="TOC3"/>
            <w:tabs>
              <w:tab w:val="left" w:pos="1728"/>
              <w:tab w:val="right" w:leader="dot" w:pos="9350"/>
            </w:tabs>
            <w:rPr>
              <w:rFonts w:asciiTheme="minorHAnsi" w:hAnsiTheme="minorHAnsi" w:cstheme="minorBidi"/>
              <w:noProof/>
              <w:sz w:val="22"/>
              <w:szCs w:val="22"/>
            </w:rPr>
          </w:pPr>
          <w:hyperlink w:history="1" w:anchor="_Toc69948085">
            <w:r w:rsidRPr="00FD24A9" w:rsidR="00C054EE">
              <w:rPr>
                <w:rStyle w:val="Hyperlink"/>
                <w:noProof/>
              </w:rPr>
              <w:t>6.11.5.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_Toc69948085 \h </w:instrText>
            </w:r>
            <w:r w:rsidR="00C054EE">
              <w:rPr>
                <w:noProof/>
                <w:webHidden/>
              </w:rPr>
            </w:r>
            <w:r w:rsidR="00C054EE">
              <w:rPr>
                <w:noProof/>
                <w:webHidden/>
              </w:rPr>
              <w:fldChar w:fldCharType="separate"/>
            </w:r>
            <w:r w:rsidR="004C2E01">
              <w:rPr>
                <w:noProof/>
                <w:webHidden/>
              </w:rPr>
              <w:t>259</w:t>
            </w:r>
            <w:r w:rsidR="00C054EE">
              <w:rPr>
                <w:noProof/>
                <w:webHidden/>
              </w:rPr>
              <w:fldChar w:fldCharType="end"/>
            </w:r>
          </w:hyperlink>
        </w:p>
        <w:p w:rsidR="00C054EE" w:rsidRDefault="000D5832" w14:paraId="646FA17E" w14:textId="65A15B64">
          <w:pPr>
            <w:pStyle w:val="TOC3"/>
            <w:tabs>
              <w:tab w:val="left" w:pos="1728"/>
              <w:tab w:val="right" w:leader="dot" w:pos="9350"/>
            </w:tabs>
            <w:rPr>
              <w:rFonts w:asciiTheme="minorHAnsi" w:hAnsiTheme="minorHAnsi" w:cstheme="minorBidi"/>
              <w:noProof/>
              <w:sz w:val="22"/>
              <w:szCs w:val="22"/>
            </w:rPr>
          </w:pPr>
          <w:hyperlink w:history="1" w:anchor="_Toc69948086">
            <w:r w:rsidRPr="00FD24A9" w:rsidR="00C054EE">
              <w:rPr>
                <w:rStyle w:val="Hyperlink"/>
                <w:noProof/>
              </w:rPr>
              <w:t>6.11.6.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_Toc69948086 \h </w:instrText>
            </w:r>
            <w:r w:rsidR="00C054EE">
              <w:rPr>
                <w:noProof/>
                <w:webHidden/>
              </w:rPr>
            </w:r>
            <w:r w:rsidR="00C054EE">
              <w:rPr>
                <w:noProof/>
                <w:webHidden/>
              </w:rPr>
              <w:fldChar w:fldCharType="separate"/>
            </w:r>
            <w:r w:rsidR="004C2E01">
              <w:rPr>
                <w:noProof/>
                <w:webHidden/>
              </w:rPr>
              <w:t>260</w:t>
            </w:r>
            <w:r w:rsidR="00C054EE">
              <w:rPr>
                <w:noProof/>
                <w:webHidden/>
              </w:rPr>
              <w:fldChar w:fldCharType="end"/>
            </w:r>
          </w:hyperlink>
        </w:p>
        <w:p w:rsidR="00C054EE" w:rsidRDefault="000D5832" w14:paraId="29934FD8" w14:textId="68772169">
          <w:pPr>
            <w:pStyle w:val="TOC4"/>
            <w:tabs>
              <w:tab w:val="left" w:pos="2160"/>
              <w:tab w:val="right" w:leader="dot" w:pos="9350"/>
            </w:tabs>
            <w:rPr>
              <w:rFonts w:asciiTheme="minorHAnsi" w:hAnsiTheme="minorHAnsi" w:eastAsiaTheme="minorEastAsia" w:cstheme="minorBidi"/>
              <w:noProof/>
              <w:sz w:val="22"/>
              <w:szCs w:val="22"/>
            </w:rPr>
          </w:pPr>
          <w:hyperlink w:history="1" w:anchor="_Toc69948087">
            <w:r w:rsidRPr="00FD24A9" w:rsidR="00C054EE">
              <w:rPr>
                <w:rStyle w:val="Hyperlink"/>
                <w:noProof/>
              </w:rPr>
              <w:t>6.11.6.1.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_Toc69948087 \h </w:instrText>
            </w:r>
            <w:r w:rsidR="00C054EE">
              <w:rPr>
                <w:noProof/>
                <w:webHidden/>
              </w:rPr>
            </w:r>
            <w:r w:rsidR="00C054EE">
              <w:rPr>
                <w:noProof/>
                <w:webHidden/>
              </w:rPr>
              <w:fldChar w:fldCharType="separate"/>
            </w:r>
            <w:r w:rsidR="004C2E01">
              <w:rPr>
                <w:noProof/>
                <w:webHidden/>
              </w:rPr>
              <w:t>260</w:t>
            </w:r>
            <w:r w:rsidR="00C054EE">
              <w:rPr>
                <w:noProof/>
                <w:webHidden/>
              </w:rPr>
              <w:fldChar w:fldCharType="end"/>
            </w:r>
          </w:hyperlink>
        </w:p>
        <w:p w:rsidR="00C054EE" w:rsidRDefault="000D5832" w14:paraId="136AC89E" w14:textId="4C590B0B">
          <w:pPr>
            <w:pStyle w:val="TOC4"/>
            <w:tabs>
              <w:tab w:val="left" w:pos="2160"/>
              <w:tab w:val="right" w:leader="dot" w:pos="9350"/>
            </w:tabs>
            <w:rPr>
              <w:rFonts w:asciiTheme="minorHAnsi" w:hAnsiTheme="minorHAnsi" w:eastAsiaTheme="minorEastAsia" w:cstheme="minorBidi"/>
              <w:noProof/>
              <w:sz w:val="22"/>
              <w:szCs w:val="22"/>
            </w:rPr>
          </w:pPr>
          <w:hyperlink w:history="1" w:anchor="_Toc69948088">
            <w:r w:rsidRPr="00FD24A9" w:rsidR="00C054EE">
              <w:rPr>
                <w:rStyle w:val="Hyperlink"/>
                <w:noProof/>
              </w:rPr>
              <w:t>6.11.6.2.</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_Toc69948088 \h </w:instrText>
            </w:r>
            <w:r w:rsidR="00C054EE">
              <w:rPr>
                <w:noProof/>
                <w:webHidden/>
              </w:rPr>
            </w:r>
            <w:r w:rsidR="00C054EE">
              <w:rPr>
                <w:noProof/>
                <w:webHidden/>
              </w:rPr>
              <w:fldChar w:fldCharType="separate"/>
            </w:r>
            <w:r w:rsidR="004C2E01">
              <w:rPr>
                <w:noProof/>
                <w:webHidden/>
              </w:rPr>
              <w:t>262</w:t>
            </w:r>
            <w:r w:rsidR="00C054EE">
              <w:rPr>
                <w:noProof/>
                <w:webHidden/>
              </w:rPr>
              <w:fldChar w:fldCharType="end"/>
            </w:r>
          </w:hyperlink>
        </w:p>
        <w:p w:rsidR="00C054EE" w:rsidRDefault="000D5832" w14:paraId="029F2341" w14:textId="7BA6DA26">
          <w:pPr>
            <w:pStyle w:val="TOC4"/>
            <w:tabs>
              <w:tab w:val="left" w:pos="2160"/>
              <w:tab w:val="right" w:leader="dot" w:pos="9350"/>
            </w:tabs>
            <w:rPr>
              <w:rFonts w:asciiTheme="minorHAnsi" w:hAnsiTheme="minorHAnsi" w:eastAsiaTheme="minorEastAsia" w:cstheme="minorBidi"/>
              <w:noProof/>
              <w:sz w:val="22"/>
              <w:szCs w:val="22"/>
            </w:rPr>
          </w:pPr>
          <w:hyperlink w:history="1" w:anchor="_Toc69948089">
            <w:r w:rsidRPr="00FD24A9" w:rsidR="00C054EE">
              <w:rPr>
                <w:rStyle w:val="Hyperlink"/>
                <w:noProof/>
              </w:rPr>
              <w:t>6.11.6.3.</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_Toc69948089 \h </w:instrText>
            </w:r>
            <w:r w:rsidR="00C054EE">
              <w:rPr>
                <w:noProof/>
                <w:webHidden/>
              </w:rPr>
            </w:r>
            <w:r w:rsidR="00C054EE">
              <w:rPr>
                <w:noProof/>
                <w:webHidden/>
              </w:rPr>
              <w:fldChar w:fldCharType="separate"/>
            </w:r>
            <w:r w:rsidR="004C2E01">
              <w:rPr>
                <w:noProof/>
                <w:webHidden/>
              </w:rPr>
              <w:t>263</w:t>
            </w:r>
            <w:r w:rsidR="00C054EE">
              <w:rPr>
                <w:noProof/>
                <w:webHidden/>
              </w:rPr>
              <w:fldChar w:fldCharType="end"/>
            </w:r>
          </w:hyperlink>
        </w:p>
        <w:p w:rsidR="00C054EE" w:rsidRDefault="000D5832" w14:paraId="2E181D87" w14:textId="2402DDC9">
          <w:pPr>
            <w:pStyle w:val="TOC4"/>
            <w:tabs>
              <w:tab w:val="left" w:pos="2160"/>
              <w:tab w:val="right" w:leader="dot" w:pos="9350"/>
            </w:tabs>
            <w:rPr>
              <w:rFonts w:asciiTheme="minorHAnsi" w:hAnsiTheme="minorHAnsi" w:eastAsiaTheme="minorEastAsia" w:cstheme="minorBidi"/>
              <w:noProof/>
              <w:sz w:val="22"/>
              <w:szCs w:val="22"/>
            </w:rPr>
          </w:pPr>
          <w:hyperlink w:history="1" w:anchor="_Toc69948090">
            <w:r w:rsidRPr="00FD24A9" w:rsidR="00C054EE">
              <w:rPr>
                <w:rStyle w:val="Hyperlink"/>
                <w:noProof/>
              </w:rPr>
              <w:t>6.11.6.4.</w:t>
            </w:r>
            <w:r w:rsidR="00C054EE">
              <w:rPr>
                <w:rFonts w:asciiTheme="minorHAnsi" w:hAnsiTheme="minorHAnsi" w:eastAsiaTheme="minorEastAsia" w:cstheme="minorBidi"/>
                <w:noProof/>
                <w:sz w:val="22"/>
                <w:szCs w:val="22"/>
              </w:rPr>
              <w:tab/>
            </w:r>
            <w:r w:rsidRPr="00FD24A9" w:rsidR="00C054EE">
              <w:rPr>
                <w:rStyle w:val="Hyperlink"/>
                <w:noProof/>
              </w:rPr>
              <w:t>CETF</w:t>
            </w:r>
            <w:r w:rsidR="00C054EE">
              <w:rPr>
                <w:noProof/>
                <w:webHidden/>
              </w:rPr>
              <w:tab/>
            </w:r>
            <w:r w:rsidR="00C054EE">
              <w:rPr>
                <w:noProof/>
                <w:webHidden/>
              </w:rPr>
              <w:fldChar w:fldCharType="begin"/>
            </w:r>
            <w:r w:rsidR="00C054EE">
              <w:rPr>
                <w:noProof/>
                <w:webHidden/>
              </w:rPr>
              <w:instrText xml:space="preserve"> PAGEREF _Toc69948090 \h </w:instrText>
            </w:r>
            <w:r w:rsidR="00C054EE">
              <w:rPr>
                <w:noProof/>
                <w:webHidden/>
              </w:rPr>
            </w:r>
            <w:r w:rsidR="00C054EE">
              <w:rPr>
                <w:noProof/>
                <w:webHidden/>
              </w:rPr>
              <w:fldChar w:fldCharType="separate"/>
            </w:r>
            <w:r w:rsidR="004C2E01">
              <w:rPr>
                <w:noProof/>
                <w:webHidden/>
              </w:rPr>
              <w:t>263</w:t>
            </w:r>
            <w:r w:rsidR="00C054EE">
              <w:rPr>
                <w:noProof/>
                <w:webHidden/>
              </w:rPr>
              <w:fldChar w:fldCharType="end"/>
            </w:r>
          </w:hyperlink>
        </w:p>
        <w:p w:rsidR="00C054EE" w:rsidRDefault="000D5832" w14:paraId="6E317E43" w14:textId="1B28C9FA">
          <w:pPr>
            <w:pStyle w:val="TOC3"/>
            <w:tabs>
              <w:tab w:val="left" w:pos="1728"/>
              <w:tab w:val="right" w:leader="dot" w:pos="9350"/>
            </w:tabs>
            <w:rPr>
              <w:rFonts w:asciiTheme="minorHAnsi" w:hAnsiTheme="minorHAnsi" w:cstheme="minorBidi"/>
              <w:noProof/>
              <w:sz w:val="22"/>
              <w:szCs w:val="22"/>
            </w:rPr>
          </w:pPr>
          <w:hyperlink w:history="1" w:anchor="_Toc69948091">
            <w:r w:rsidRPr="00FD24A9" w:rsidR="00C054EE">
              <w:rPr>
                <w:rStyle w:val="Hyperlink"/>
                <w:noProof/>
              </w:rPr>
              <w:t>6.11.7.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_Toc69948091 \h </w:instrText>
            </w:r>
            <w:r w:rsidR="00C054EE">
              <w:rPr>
                <w:noProof/>
                <w:webHidden/>
              </w:rPr>
            </w:r>
            <w:r w:rsidR="00C054EE">
              <w:rPr>
                <w:noProof/>
                <w:webHidden/>
              </w:rPr>
              <w:fldChar w:fldCharType="separate"/>
            </w:r>
            <w:r w:rsidR="004C2E01">
              <w:rPr>
                <w:noProof/>
                <w:webHidden/>
              </w:rPr>
              <w:t>264</w:t>
            </w:r>
            <w:r w:rsidR="00C054EE">
              <w:rPr>
                <w:noProof/>
                <w:webHidden/>
              </w:rPr>
              <w:fldChar w:fldCharType="end"/>
            </w:r>
          </w:hyperlink>
        </w:p>
        <w:p w:rsidR="00C054EE" w:rsidRDefault="000D5832" w14:paraId="7BC5C659" w14:textId="54B62B41">
          <w:pPr>
            <w:pStyle w:val="TOC4"/>
            <w:tabs>
              <w:tab w:val="left" w:pos="2160"/>
              <w:tab w:val="right" w:leader="dot" w:pos="9350"/>
            </w:tabs>
            <w:rPr>
              <w:rFonts w:asciiTheme="minorHAnsi" w:hAnsiTheme="minorHAnsi" w:eastAsiaTheme="minorEastAsia" w:cstheme="minorBidi"/>
              <w:noProof/>
              <w:sz w:val="22"/>
              <w:szCs w:val="22"/>
            </w:rPr>
          </w:pPr>
          <w:hyperlink w:history="1" w:anchor="_Toc69948092">
            <w:r w:rsidRPr="00FD24A9" w:rsidR="00C054EE">
              <w:rPr>
                <w:rStyle w:val="Hyperlink"/>
                <w:noProof/>
              </w:rPr>
              <w:t>6.11.7.1.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_Toc69948092 \h </w:instrText>
            </w:r>
            <w:r w:rsidR="00C054EE">
              <w:rPr>
                <w:noProof/>
                <w:webHidden/>
              </w:rPr>
            </w:r>
            <w:r w:rsidR="00C054EE">
              <w:rPr>
                <w:noProof/>
                <w:webHidden/>
              </w:rPr>
              <w:fldChar w:fldCharType="separate"/>
            </w:r>
            <w:r w:rsidR="004C2E01">
              <w:rPr>
                <w:noProof/>
                <w:webHidden/>
              </w:rPr>
              <w:t>264</w:t>
            </w:r>
            <w:r w:rsidR="00C054EE">
              <w:rPr>
                <w:noProof/>
                <w:webHidden/>
              </w:rPr>
              <w:fldChar w:fldCharType="end"/>
            </w:r>
          </w:hyperlink>
        </w:p>
        <w:p w:rsidR="00C054EE" w:rsidRDefault="000D5832" w14:paraId="6D5747D4" w14:textId="6527536B">
          <w:pPr>
            <w:pStyle w:val="TOC4"/>
            <w:tabs>
              <w:tab w:val="left" w:pos="2160"/>
              <w:tab w:val="right" w:leader="dot" w:pos="9350"/>
            </w:tabs>
            <w:rPr>
              <w:rFonts w:asciiTheme="minorHAnsi" w:hAnsiTheme="minorHAnsi" w:eastAsiaTheme="minorEastAsia" w:cstheme="minorBidi"/>
              <w:noProof/>
              <w:sz w:val="22"/>
              <w:szCs w:val="22"/>
            </w:rPr>
          </w:pPr>
          <w:hyperlink w:history="1" w:anchor="_Toc69948093">
            <w:r w:rsidRPr="00FD24A9" w:rsidR="00C054EE">
              <w:rPr>
                <w:rStyle w:val="Hyperlink"/>
                <w:noProof/>
              </w:rPr>
              <w:t>6.11.7.2.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_Toc69948093 \h </w:instrText>
            </w:r>
            <w:r w:rsidR="00C054EE">
              <w:rPr>
                <w:noProof/>
                <w:webHidden/>
              </w:rPr>
            </w:r>
            <w:r w:rsidR="00C054EE">
              <w:rPr>
                <w:noProof/>
                <w:webHidden/>
              </w:rPr>
              <w:fldChar w:fldCharType="separate"/>
            </w:r>
            <w:r w:rsidR="004C2E01">
              <w:rPr>
                <w:noProof/>
                <w:webHidden/>
              </w:rPr>
              <w:t>265</w:t>
            </w:r>
            <w:r w:rsidR="00C054EE">
              <w:rPr>
                <w:noProof/>
                <w:webHidden/>
              </w:rPr>
              <w:fldChar w:fldCharType="end"/>
            </w:r>
          </w:hyperlink>
        </w:p>
        <w:p w:rsidR="00C054EE" w:rsidRDefault="000D5832" w14:paraId="486B87D3" w14:textId="23A36B63">
          <w:pPr>
            <w:pStyle w:val="TOC4"/>
            <w:tabs>
              <w:tab w:val="left" w:pos="2160"/>
              <w:tab w:val="right" w:leader="dot" w:pos="9350"/>
            </w:tabs>
            <w:rPr>
              <w:rFonts w:asciiTheme="minorHAnsi" w:hAnsiTheme="minorHAnsi" w:eastAsiaTheme="minorEastAsia" w:cstheme="minorBidi"/>
              <w:noProof/>
              <w:sz w:val="22"/>
              <w:szCs w:val="22"/>
            </w:rPr>
          </w:pPr>
          <w:hyperlink w:history="1" w:anchor="_Toc69948094">
            <w:r w:rsidRPr="00FD24A9" w:rsidR="00C054EE">
              <w:rPr>
                <w:rStyle w:val="Hyperlink"/>
                <w:noProof/>
              </w:rPr>
              <w:t>6.11.7.3.</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_Toc69948094 \h </w:instrText>
            </w:r>
            <w:r w:rsidR="00C054EE">
              <w:rPr>
                <w:noProof/>
                <w:webHidden/>
              </w:rPr>
            </w:r>
            <w:r w:rsidR="00C054EE">
              <w:rPr>
                <w:noProof/>
                <w:webHidden/>
              </w:rPr>
              <w:fldChar w:fldCharType="separate"/>
            </w:r>
            <w:r w:rsidR="004C2E01">
              <w:rPr>
                <w:noProof/>
                <w:webHidden/>
              </w:rPr>
              <w:t>265</w:t>
            </w:r>
            <w:r w:rsidR="00C054EE">
              <w:rPr>
                <w:noProof/>
                <w:webHidden/>
              </w:rPr>
              <w:fldChar w:fldCharType="end"/>
            </w:r>
          </w:hyperlink>
        </w:p>
        <w:p w:rsidR="00C054EE" w:rsidRDefault="000D5832" w14:paraId="60469493" w14:textId="063D499E">
          <w:pPr>
            <w:pStyle w:val="TOC3"/>
            <w:tabs>
              <w:tab w:val="left" w:pos="1728"/>
              <w:tab w:val="right" w:leader="dot" w:pos="9350"/>
            </w:tabs>
            <w:rPr>
              <w:rFonts w:asciiTheme="minorHAnsi" w:hAnsiTheme="minorHAnsi" w:cstheme="minorBidi"/>
              <w:noProof/>
              <w:sz w:val="22"/>
              <w:szCs w:val="22"/>
            </w:rPr>
          </w:pPr>
          <w:hyperlink w:history="1" w:anchor="_Toc69948095">
            <w:r w:rsidRPr="00FD24A9" w:rsidR="00C054EE">
              <w:rPr>
                <w:rStyle w:val="Hyperlink"/>
                <w:noProof/>
              </w:rPr>
              <w:t>6.11.8.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_Toc69948095 \h </w:instrText>
            </w:r>
            <w:r w:rsidR="00C054EE">
              <w:rPr>
                <w:noProof/>
                <w:webHidden/>
              </w:rPr>
            </w:r>
            <w:r w:rsidR="00C054EE">
              <w:rPr>
                <w:noProof/>
                <w:webHidden/>
              </w:rPr>
              <w:fldChar w:fldCharType="separate"/>
            </w:r>
            <w:r w:rsidR="004C2E01">
              <w:rPr>
                <w:noProof/>
                <w:webHidden/>
              </w:rPr>
              <w:t>266</w:t>
            </w:r>
            <w:r w:rsidR="00C054EE">
              <w:rPr>
                <w:noProof/>
                <w:webHidden/>
              </w:rPr>
              <w:fldChar w:fldCharType="end"/>
            </w:r>
          </w:hyperlink>
        </w:p>
        <w:p w:rsidR="00C054EE" w:rsidRDefault="000D5832" w14:paraId="0EBEACF6" w14:textId="772A70C1">
          <w:pPr>
            <w:pStyle w:val="TOC4"/>
            <w:tabs>
              <w:tab w:val="left" w:pos="2160"/>
              <w:tab w:val="right" w:leader="dot" w:pos="9350"/>
            </w:tabs>
            <w:rPr>
              <w:rFonts w:asciiTheme="minorHAnsi" w:hAnsiTheme="minorHAnsi" w:eastAsiaTheme="minorEastAsia" w:cstheme="minorBidi"/>
              <w:noProof/>
              <w:sz w:val="22"/>
              <w:szCs w:val="22"/>
            </w:rPr>
          </w:pPr>
          <w:hyperlink w:history="1" w:anchor="_Toc69948096">
            <w:r w:rsidRPr="00FD24A9" w:rsidR="00C054EE">
              <w:rPr>
                <w:rStyle w:val="Hyperlink"/>
                <w:noProof/>
              </w:rPr>
              <w:t>6.11.8.1.</w:t>
            </w:r>
            <w:r w:rsidR="00C054EE">
              <w:rPr>
                <w:rFonts w:asciiTheme="minorHAnsi" w:hAnsiTheme="minorHAnsi" w:eastAsiaTheme="minorEastAsia" w:cstheme="minorBidi"/>
                <w:noProof/>
                <w:sz w:val="22"/>
                <w:szCs w:val="22"/>
              </w:rPr>
              <w:tab/>
            </w:r>
            <w:r w:rsidRPr="00FD24A9" w:rsidR="00C054EE">
              <w:rPr>
                <w:rStyle w:val="Hyperlink"/>
                <w:noProof/>
              </w:rPr>
              <w:t>IOUs’ ME&amp;O Strategies: Approved with Additional Reporting</w:t>
            </w:r>
            <w:r w:rsidR="00C054EE">
              <w:rPr>
                <w:noProof/>
                <w:webHidden/>
              </w:rPr>
              <w:tab/>
            </w:r>
            <w:r w:rsidR="00C054EE">
              <w:rPr>
                <w:noProof/>
                <w:webHidden/>
              </w:rPr>
              <w:fldChar w:fldCharType="begin"/>
            </w:r>
            <w:r w:rsidR="00C054EE">
              <w:rPr>
                <w:noProof/>
                <w:webHidden/>
              </w:rPr>
              <w:instrText xml:space="preserve"> PAGEREF _Toc69948096 \h </w:instrText>
            </w:r>
            <w:r w:rsidR="00C054EE">
              <w:rPr>
                <w:noProof/>
                <w:webHidden/>
              </w:rPr>
            </w:r>
            <w:r w:rsidR="00C054EE">
              <w:rPr>
                <w:noProof/>
                <w:webHidden/>
              </w:rPr>
              <w:fldChar w:fldCharType="separate"/>
            </w:r>
            <w:r w:rsidR="004C2E01">
              <w:rPr>
                <w:noProof/>
                <w:webHidden/>
              </w:rPr>
              <w:t>266</w:t>
            </w:r>
            <w:r w:rsidR="00C054EE">
              <w:rPr>
                <w:noProof/>
                <w:webHidden/>
              </w:rPr>
              <w:fldChar w:fldCharType="end"/>
            </w:r>
          </w:hyperlink>
        </w:p>
        <w:p w:rsidR="00C054EE" w:rsidRDefault="000D5832" w14:paraId="43FE1FE0" w14:textId="266C2C0A">
          <w:pPr>
            <w:pStyle w:val="TOC4"/>
            <w:tabs>
              <w:tab w:val="left" w:pos="2160"/>
              <w:tab w:val="right" w:leader="dot" w:pos="9350"/>
            </w:tabs>
            <w:rPr>
              <w:rFonts w:asciiTheme="minorHAnsi" w:hAnsiTheme="minorHAnsi" w:eastAsiaTheme="minorEastAsia" w:cstheme="minorBidi"/>
              <w:noProof/>
              <w:sz w:val="22"/>
              <w:szCs w:val="22"/>
            </w:rPr>
          </w:pPr>
          <w:hyperlink w:history="1" w:anchor="_Toc69948097">
            <w:r w:rsidRPr="00FD24A9" w:rsidR="00C054EE">
              <w:rPr>
                <w:rStyle w:val="Hyperlink"/>
                <w:noProof/>
              </w:rPr>
              <w:t>6.11.8.2.</w:t>
            </w:r>
            <w:r w:rsidR="00C054EE">
              <w:rPr>
                <w:rFonts w:asciiTheme="minorHAnsi" w:hAnsiTheme="minorHAnsi" w:eastAsiaTheme="minorEastAsia" w:cstheme="minorBidi"/>
                <w:noProof/>
                <w:sz w:val="22"/>
                <w:szCs w:val="22"/>
              </w:rPr>
              <w:tab/>
            </w:r>
            <w:r w:rsidRPr="00FD24A9" w:rsidR="00C054EE">
              <w:rPr>
                <w:rStyle w:val="Hyperlink"/>
                <w:noProof/>
              </w:rPr>
              <w:t>Evaluation of IOUs’ ME&amp;O: Denied</w:t>
            </w:r>
            <w:r w:rsidR="00C054EE">
              <w:rPr>
                <w:noProof/>
                <w:webHidden/>
              </w:rPr>
              <w:tab/>
            </w:r>
            <w:r w:rsidR="00C054EE">
              <w:rPr>
                <w:noProof/>
                <w:webHidden/>
              </w:rPr>
              <w:fldChar w:fldCharType="begin"/>
            </w:r>
            <w:r w:rsidR="00C054EE">
              <w:rPr>
                <w:noProof/>
                <w:webHidden/>
              </w:rPr>
              <w:instrText xml:space="preserve"> PAGEREF _Toc69948097 \h </w:instrText>
            </w:r>
            <w:r w:rsidR="00C054EE">
              <w:rPr>
                <w:noProof/>
                <w:webHidden/>
              </w:rPr>
            </w:r>
            <w:r w:rsidR="00C054EE">
              <w:rPr>
                <w:noProof/>
                <w:webHidden/>
              </w:rPr>
              <w:fldChar w:fldCharType="separate"/>
            </w:r>
            <w:r w:rsidR="004C2E01">
              <w:rPr>
                <w:noProof/>
                <w:webHidden/>
              </w:rPr>
              <w:t>267</w:t>
            </w:r>
            <w:r w:rsidR="00C054EE">
              <w:rPr>
                <w:noProof/>
                <w:webHidden/>
              </w:rPr>
              <w:fldChar w:fldCharType="end"/>
            </w:r>
          </w:hyperlink>
        </w:p>
        <w:p w:rsidR="00C054EE" w:rsidRDefault="000D5832" w14:paraId="0719AB4C" w14:textId="6752AA0A">
          <w:pPr>
            <w:pStyle w:val="TOC4"/>
            <w:tabs>
              <w:tab w:val="left" w:pos="2160"/>
              <w:tab w:val="right" w:leader="dot" w:pos="9350"/>
            </w:tabs>
            <w:rPr>
              <w:rFonts w:asciiTheme="minorHAnsi" w:hAnsiTheme="minorHAnsi" w:eastAsiaTheme="minorEastAsia" w:cstheme="minorBidi"/>
              <w:noProof/>
              <w:sz w:val="22"/>
              <w:szCs w:val="22"/>
            </w:rPr>
          </w:pPr>
          <w:hyperlink w:history="1" w:anchor="_Toc69948098">
            <w:r w:rsidRPr="00FD24A9" w:rsidR="00C054EE">
              <w:rPr>
                <w:rStyle w:val="Hyperlink"/>
                <w:noProof/>
              </w:rPr>
              <w:t>6.11.8.3.</w:t>
            </w:r>
            <w:r w:rsidR="00C054EE">
              <w:rPr>
                <w:rFonts w:asciiTheme="minorHAnsi" w:hAnsiTheme="minorHAnsi" w:eastAsiaTheme="minorEastAsia" w:cstheme="minorBidi"/>
                <w:noProof/>
                <w:sz w:val="22"/>
                <w:szCs w:val="22"/>
              </w:rPr>
              <w:tab/>
            </w:r>
            <w:r w:rsidRPr="00FD24A9" w:rsidR="00C054EE">
              <w:rPr>
                <w:rStyle w:val="Hyperlink"/>
                <w:noProof/>
              </w:rPr>
              <w:t>Evaluation of Energy Education: Denied</w:t>
            </w:r>
            <w:r w:rsidR="00C054EE">
              <w:rPr>
                <w:noProof/>
                <w:webHidden/>
              </w:rPr>
              <w:tab/>
            </w:r>
            <w:r w:rsidR="00C054EE">
              <w:rPr>
                <w:noProof/>
                <w:webHidden/>
              </w:rPr>
              <w:fldChar w:fldCharType="begin"/>
            </w:r>
            <w:r w:rsidR="00C054EE">
              <w:rPr>
                <w:noProof/>
                <w:webHidden/>
              </w:rPr>
              <w:instrText xml:space="preserve"> PAGEREF _Toc69948098 \h </w:instrText>
            </w:r>
            <w:r w:rsidR="00C054EE">
              <w:rPr>
                <w:noProof/>
                <w:webHidden/>
              </w:rPr>
            </w:r>
            <w:r w:rsidR="00C054EE">
              <w:rPr>
                <w:noProof/>
                <w:webHidden/>
              </w:rPr>
              <w:fldChar w:fldCharType="separate"/>
            </w:r>
            <w:r w:rsidR="004C2E01">
              <w:rPr>
                <w:noProof/>
                <w:webHidden/>
              </w:rPr>
              <w:t>267</w:t>
            </w:r>
            <w:r w:rsidR="00C054EE">
              <w:rPr>
                <w:noProof/>
                <w:webHidden/>
              </w:rPr>
              <w:fldChar w:fldCharType="end"/>
            </w:r>
          </w:hyperlink>
        </w:p>
        <w:p w:rsidR="00C054EE" w:rsidRDefault="000D5832" w14:paraId="7ECD2AB1" w14:textId="0FFD0B39">
          <w:pPr>
            <w:pStyle w:val="TOC4"/>
            <w:tabs>
              <w:tab w:val="left" w:pos="2160"/>
              <w:tab w:val="right" w:leader="dot" w:pos="9350"/>
            </w:tabs>
            <w:rPr>
              <w:rFonts w:asciiTheme="minorHAnsi" w:hAnsiTheme="minorHAnsi" w:eastAsiaTheme="minorEastAsia" w:cstheme="minorBidi"/>
              <w:noProof/>
              <w:sz w:val="22"/>
              <w:szCs w:val="22"/>
            </w:rPr>
          </w:pPr>
          <w:hyperlink w:history="1" w:anchor="_Toc69948099">
            <w:r w:rsidRPr="00FD24A9" w:rsidR="00C054EE">
              <w:rPr>
                <w:rStyle w:val="Hyperlink"/>
                <w:noProof/>
              </w:rPr>
              <w:t>6.11.8.4.</w:t>
            </w:r>
            <w:r w:rsidR="00C054EE">
              <w:rPr>
                <w:rFonts w:asciiTheme="minorHAnsi" w:hAnsiTheme="minorHAnsi" w:eastAsiaTheme="minorEastAsia" w:cstheme="minorBidi"/>
                <w:noProof/>
                <w:sz w:val="22"/>
                <w:szCs w:val="22"/>
              </w:rPr>
              <w:tab/>
            </w:r>
            <w:r w:rsidRPr="00FD24A9" w:rsidR="00C054EE">
              <w:rPr>
                <w:rStyle w:val="Hyperlink"/>
                <w:noProof/>
              </w:rPr>
              <w:t>Transition to Online Energy Education: Approved</w:t>
            </w:r>
            <w:r w:rsidR="00C054EE">
              <w:rPr>
                <w:noProof/>
                <w:webHidden/>
              </w:rPr>
              <w:tab/>
            </w:r>
            <w:r w:rsidR="00C054EE">
              <w:rPr>
                <w:noProof/>
                <w:webHidden/>
              </w:rPr>
              <w:fldChar w:fldCharType="begin"/>
            </w:r>
            <w:r w:rsidR="00C054EE">
              <w:rPr>
                <w:noProof/>
                <w:webHidden/>
              </w:rPr>
              <w:instrText xml:space="preserve"> PAGEREF _Toc69948099 \h </w:instrText>
            </w:r>
            <w:r w:rsidR="00C054EE">
              <w:rPr>
                <w:noProof/>
                <w:webHidden/>
              </w:rPr>
            </w:r>
            <w:r w:rsidR="00C054EE">
              <w:rPr>
                <w:noProof/>
                <w:webHidden/>
              </w:rPr>
              <w:fldChar w:fldCharType="separate"/>
            </w:r>
            <w:r w:rsidR="004C2E01">
              <w:rPr>
                <w:noProof/>
                <w:webHidden/>
              </w:rPr>
              <w:t>267</w:t>
            </w:r>
            <w:r w:rsidR="00C054EE">
              <w:rPr>
                <w:noProof/>
                <w:webHidden/>
              </w:rPr>
              <w:fldChar w:fldCharType="end"/>
            </w:r>
          </w:hyperlink>
        </w:p>
        <w:p w:rsidR="00C054EE" w:rsidRDefault="000D5832" w14:paraId="1FEBCF53" w14:textId="2FEE01AA">
          <w:pPr>
            <w:pStyle w:val="TOC4"/>
            <w:tabs>
              <w:tab w:val="left" w:pos="2160"/>
              <w:tab w:val="right" w:leader="dot" w:pos="9350"/>
            </w:tabs>
            <w:rPr>
              <w:rFonts w:asciiTheme="minorHAnsi" w:hAnsiTheme="minorHAnsi" w:eastAsiaTheme="minorEastAsia" w:cstheme="minorBidi"/>
              <w:noProof/>
              <w:sz w:val="22"/>
              <w:szCs w:val="22"/>
            </w:rPr>
          </w:pPr>
          <w:hyperlink w:history="1" w:anchor="_Toc69948100">
            <w:r w:rsidRPr="00FD24A9" w:rsidR="00C054EE">
              <w:rPr>
                <w:rStyle w:val="Hyperlink"/>
                <w:noProof/>
              </w:rPr>
              <w:t>6.11.8.5.</w:t>
            </w:r>
            <w:r w:rsidR="00C054EE">
              <w:rPr>
                <w:rFonts w:asciiTheme="minorHAnsi" w:hAnsiTheme="minorHAnsi" w:eastAsiaTheme="minorEastAsia" w:cstheme="minorBidi"/>
                <w:noProof/>
                <w:sz w:val="22"/>
                <w:szCs w:val="22"/>
              </w:rPr>
              <w:tab/>
            </w:r>
            <w:r w:rsidRPr="00FD24A9" w:rsidR="00C054EE">
              <w:rPr>
                <w:rStyle w:val="Hyperlink"/>
                <w:noProof/>
              </w:rPr>
              <w:t>Home Energy Reports In lieu of Energy Education: Denied</w:t>
            </w:r>
            <w:r w:rsidR="00C054EE">
              <w:rPr>
                <w:noProof/>
                <w:webHidden/>
              </w:rPr>
              <w:tab/>
            </w:r>
            <w:r w:rsidR="00C054EE">
              <w:rPr>
                <w:noProof/>
                <w:webHidden/>
              </w:rPr>
              <w:fldChar w:fldCharType="begin"/>
            </w:r>
            <w:r w:rsidR="00C054EE">
              <w:rPr>
                <w:noProof/>
                <w:webHidden/>
              </w:rPr>
              <w:instrText xml:space="preserve"> PAGEREF _Toc69948100 \h </w:instrText>
            </w:r>
            <w:r w:rsidR="00C054EE">
              <w:rPr>
                <w:noProof/>
                <w:webHidden/>
              </w:rPr>
            </w:r>
            <w:r w:rsidR="00C054EE">
              <w:rPr>
                <w:noProof/>
                <w:webHidden/>
              </w:rPr>
              <w:fldChar w:fldCharType="separate"/>
            </w:r>
            <w:r w:rsidR="004C2E01">
              <w:rPr>
                <w:noProof/>
                <w:webHidden/>
              </w:rPr>
              <w:t>268</w:t>
            </w:r>
            <w:r w:rsidR="00C054EE">
              <w:rPr>
                <w:noProof/>
                <w:webHidden/>
              </w:rPr>
              <w:fldChar w:fldCharType="end"/>
            </w:r>
          </w:hyperlink>
        </w:p>
        <w:p w:rsidR="00C054EE" w:rsidRDefault="000D5832" w14:paraId="347D62EB" w14:textId="401A6DF6">
          <w:pPr>
            <w:pStyle w:val="TOC4"/>
            <w:tabs>
              <w:tab w:val="left" w:pos="2160"/>
              <w:tab w:val="right" w:leader="dot" w:pos="9350"/>
            </w:tabs>
            <w:rPr>
              <w:rFonts w:asciiTheme="minorHAnsi" w:hAnsiTheme="minorHAnsi" w:eastAsiaTheme="minorEastAsia" w:cstheme="minorBidi"/>
              <w:noProof/>
              <w:sz w:val="22"/>
              <w:szCs w:val="22"/>
            </w:rPr>
          </w:pPr>
          <w:hyperlink w:history="1" w:anchor="_Toc69948101">
            <w:r w:rsidRPr="00FD24A9" w:rsidR="00C054EE">
              <w:rPr>
                <w:rStyle w:val="Hyperlink"/>
                <w:noProof/>
              </w:rPr>
              <w:t>6.11.8.6.</w:t>
            </w:r>
            <w:r w:rsidR="00C054EE">
              <w:rPr>
                <w:rFonts w:asciiTheme="minorHAnsi" w:hAnsiTheme="minorHAnsi" w:eastAsiaTheme="minorEastAsia" w:cstheme="minorBidi"/>
                <w:noProof/>
                <w:sz w:val="22"/>
                <w:szCs w:val="22"/>
              </w:rPr>
              <w:tab/>
            </w:r>
            <w:r w:rsidRPr="00FD24A9" w:rsidR="00C054EE">
              <w:rPr>
                <w:rStyle w:val="Hyperlink"/>
                <w:noProof/>
              </w:rPr>
              <w:t>Coordination with Broadband Outreach and Referrals: Approved per Joint Stipulation</w:t>
            </w:r>
            <w:r w:rsidR="00C054EE">
              <w:rPr>
                <w:noProof/>
                <w:webHidden/>
              </w:rPr>
              <w:tab/>
            </w:r>
            <w:r w:rsidR="00C054EE">
              <w:rPr>
                <w:noProof/>
                <w:webHidden/>
              </w:rPr>
              <w:fldChar w:fldCharType="begin"/>
            </w:r>
            <w:r w:rsidR="00C054EE">
              <w:rPr>
                <w:noProof/>
                <w:webHidden/>
              </w:rPr>
              <w:instrText xml:space="preserve"> PAGEREF _Toc69948101 \h </w:instrText>
            </w:r>
            <w:r w:rsidR="00C054EE">
              <w:rPr>
                <w:noProof/>
                <w:webHidden/>
              </w:rPr>
            </w:r>
            <w:r w:rsidR="00C054EE">
              <w:rPr>
                <w:noProof/>
                <w:webHidden/>
              </w:rPr>
              <w:fldChar w:fldCharType="separate"/>
            </w:r>
            <w:r w:rsidR="004C2E01">
              <w:rPr>
                <w:noProof/>
                <w:webHidden/>
              </w:rPr>
              <w:t>268</w:t>
            </w:r>
            <w:r w:rsidR="00C054EE">
              <w:rPr>
                <w:noProof/>
                <w:webHidden/>
              </w:rPr>
              <w:fldChar w:fldCharType="end"/>
            </w:r>
          </w:hyperlink>
        </w:p>
        <w:p w:rsidR="00C054EE" w:rsidRDefault="000D5832" w14:paraId="49489AF3" w14:textId="0708589F">
          <w:pPr>
            <w:pStyle w:val="TOC2"/>
            <w:tabs>
              <w:tab w:val="left" w:pos="1296"/>
              <w:tab w:val="right" w:leader="dot" w:pos="9350"/>
            </w:tabs>
            <w:rPr>
              <w:rFonts w:asciiTheme="minorHAnsi" w:hAnsiTheme="minorHAnsi" w:cstheme="minorBidi"/>
              <w:noProof/>
              <w:sz w:val="22"/>
              <w:szCs w:val="22"/>
            </w:rPr>
          </w:pPr>
          <w:hyperlink w:history="1" w:anchor="_Toc69948102">
            <w:r w:rsidRPr="00FD24A9" w:rsidR="00C054EE">
              <w:rPr>
                <w:rStyle w:val="Hyperlink"/>
                <w:noProof/>
              </w:rPr>
              <w:t>6.12.</w:t>
            </w:r>
            <w:r w:rsidR="00C054EE">
              <w:rPr>
                <w:rFonts w:asciiTheme="minorHAnsi" w:hAnsiTheme="minorHAnsi" w:cstheme="minorBidi"/>
                <w:noProof/>
                <w:sz w:val="22"/>
                <w:szCs w:val="22"/>
              </w:rPr>
              <w:tab/>
            </w:r>
            <w:r w:rsidRPr="00FD24A9" w:rsidR="00C054EE">
              <w:rPr>
                <w:rStyle w:val="Hyperlink"/>
                <w:noProof/>
              </w:rPr>
              <w:t>ESA Referral, Leveraging, Coordination</w:t>
            </w:r>
            <w:r w:rsidR="00C054EE">
              <w:rPr>
                <w:noProof/>
                <w:webHidden/>
              </w:rPr>
              <w:tab/>
            </w:r>
            <w:r w:rsidR="00C054EE">
              <w:rPr>
                <w:noProof/>
                <w:webHidden/>
              </w:rPr>
              <w:fldChar w:fldCharType="begin"/>
            </w:r>
            <w:r w:rsidR="00C054EE">
              <w:rPr>
                <w:noProof/>
                <w:webHidden/>
              </w:rPr>
              <w:instrText xml:space="preserve"> PAGEREF _Toc69948102 \h </w:instrText>
            </w:r>
            <w:r w:rsidR="00C054EE">
              <w:rPr>
                <w:noProof/>
                <w:webHidden/>
              </w:rPr>
            </w:r>
            <w:r w:rsidR="00C054EE">
              <w:rPr>
                <w:noProof/>
                <w:webHidden/>
              </w:rPr>
              <w:fldChar w:fldCharType="separate"/>
            </w:r>
            <w:r w:rsidR="004C2E01">
              <w:rPr>
                <w:noProof/>
                <w:webHidden/>
              </w:rPr>
              <w:t>268</w:t>
            </w:r>
            <w:r w:rsidR="00C054EE">
              <w:rPr>
                <w:noProof/>
                <w:webHidden/>
              </w:rPr>
              <w:fldChar w:fldCharType="end"/>
            </w:r>
          </w:hyperlink>
        </w:p>
        <w:p w:rsidR="00C054EE" w:rsidRDefault="000D5832" w14:paraId="016D445B" w14:textId="38466BB7">
          <w:pPr>
            <w:pStyle w:val="TOC3"/>
            <w:tabs>
              <w:tab w:val="left" w:pos="1728"/>
              <w:tab w:val="right" w:leader="dot" w:pos="9350"/>
            </w:tabs>
            <w:rPr>
              <w:rFonts w:asciiTheme="minorHAnsi" w:hAnsiTheme="minorHAnsi" w:cstheme="minorBidi"/>
              <w:noProof/>
              <w:sz w:val="22"/>
              <w:szCs w:val="22"/>
            </w:rPr>
          </w:pPr>
          <w:hyperlink w:history="1" w:anchor="_Toc69948103">
            <w:r w:rsidRPr="00FD24A9" w:rsidR="00C054EE">
              <w:rPr>
                <w:rStyle w:val="Hyperlink"/>
                <w:noProof/>
              </w:rPr>
              <w:t>6.12.1.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_Toc69948103 \h </w:instrText>
            </w:r>
            <w:r w:rsidR="00C054EE">
              <w:rPr>
                <w:noProof/>
                <w:webHidden/>
              </w:rPr>
            </w:r>
            <w:r w:rsidR="00C054EE">
              <w:rPr>
                <w:noProof/>
                <w:webHidden/>
              </w:rPr>
              <w:fldChar w:fldCharType="separate"/>
            </w:r>
            <w:r w:rsidR="004C2E01">
              <w:rPr>
                <w:noProof/>
                <w:webHidden/>
              </w:rPr>
              <w:t>268</w:t>
            </w:r>
            <w:r w:rsidR="00C054EE">
              <w:rPr>
                <w:noProof/>
                <w:webHidden/>
              </w:rPr>
              <w:fldChar w:fldCharType="end"/>
            </w:r>
          </w:hyperlink>
        </w:p>
        <w:p w:rsidR="00C054EE" w:rsidRDefault="000D5832" w14:paraId="57E415FF" w14:textId="7284A22F">
          <w:pPr>
            <w:pStyle w:val="TOC3"/>
            <w:tabs>
              <w:tab w:val="left" w:pos="1728"/>
              <w:tab w:val="right" w:leader="dot" w:pos="9350"/>
            </w:tabs>
            <w:rPr>
              <w:rFonts w:asciiTheme="minorHAnsi" w:hAnsiTheme="minorHAnsi" w:cstheme="minorBidi"/>
              <w:noProof/>
              <w:sz w:val="22"/>
              <w:szCs w:val="22"/>
            </w:rPr>
          </w:pPr>
          <w:hyperlink w:history="1" w:anchor="_Toc69948104">
            <w:r w:rsidRPr="00FD24A9" w:rsidR="00C054EE">
              <w:rPr>
                <w:rStyle w:val="Hyperlink"/>
                <w:noProof/>
              </w:rPr>
              <w:t>6.12.2.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_Toc69948104 \h </w:instrText>
            </w:r>
            <w:r w:rsidR="00C054EE">
              <w:rPr>
                <w:noProof/>
                <w:webHidden/>
              </w:rPr>
            </w:r>
            <w:r w:rsidR="00C054EE">
              <w:rPr>
                <w:noProof/>
                <w:webHidden/>
              </w:rPr>
              <w:fldChar w:fldCharType="separate"/>
            </w:r>
            <w:r w:rsidR="004C2E01">
              <w:rPr>
                <w:noProof/>
                <w:webHidden/>
              </w:rPr>
              <w:t>269</w:t>
            </w:r>
            <w:r w:rsidR="00C054EE">
              <w:rPr>
                <w:noProof/>
                <w:webHidden/>
              </w:rPr>
              <w:fldChar w:fldCharType="end"/>
            </w:r>
          </w:hyperlink>
        </w:p>
        <w:p w:rsidR="00C054EE" w:rsidRDefault="000D5832" w14:paraId="642CC7A7" w14:textId="1EF26FC1">
          <w:pPr>
            <w:pStyle w:val="TOC3"/>
            <w:tabs>
              <w:tab w:val="left" w:pos="1728"/>
              <w:tab w:val="right" w:leader="dot" w:pos="9350"/>
            </w:tabs>
            <w:rPr>
              <w:rFonts w:asciiTheme="minorHAnsi" w:hAnsiTheme="minorHAnsi" w:cstheme="minorBidi"/>
              <w:noProof/>
              <w:sz w:val="22"/>
              <w:szCs w:val="22"/>
            </w:rPr>
          </w:pPr>
          <w:hyperlink w:history="1" w:anchor="_Toc69948105">
            <w:r w:rsidRPr="00FD24A9" w:rsidR="00C054EE">
              <w:rPr>
                <w:rStyle w:val="Hyperlink"/>
                <w:noProof/>
              </w:rPr>
              <w:t>6.12.3.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_Toc69948105 \h </w:instrText>
            </w:r>
            <w:r w:rsidR="00C054EE">
              <w:rPr>
                <w:noProof/>
                <w:webHidden/>
              </w:rPr>
            </w:r>
            <w:r w:rsidR="00C054EE">
              <w:rPr>
                <w:noProof/>
                <w:webHidden/>
              </w:rPr>
              <w:fldChar w:fldCharType="separate"/>
            </w:r>
            <w:r w:rsidR="004C2E01">
              <w:rPr>
                <w:noProof/>
                <w:webHidden/>
              </w:rPr>
              <w:t>270</w:t>
            </w:r>
            <w:r w:rsidR="00C054EE">
              <w:rPr>
                <w:noProof/>
                <w:webHidden/>
              </w:rPr>
              <w:fldChar w:fldCharType="end"/>
            </w:r>
          </w:hyperlink>
        </w:p>
        <w:p w:rsidR="00C054EE" w:rsidRDefault="000D5832" w14:paraId="24F44C2D" w14:textId="415BEEB1">
          <w:pPr>
            <w:pStyle w:val="TOC3"/>
            <w:tabs>
              <w:tab w:val="left" w:pos="1728"/>
              <w:tab w:val="right" w:leader="dot" w:pos="9350"/>
            </w:tabs>
            <w:rPr>
              <w:rFonts w:asciiTheme="minorHAnsi" w:hAnsiTheme="minorHAnsi" w:cstheme="minorBidi"/>
              <w:noProof/>
              <w:sz w:val="22"/>
              <w:szCs w:val="22"/>
            </w:rPr>
          </w:pPr>
          <w:hyperlink w:history="1" w:anchor="_Toc69948106">
            <w:r w:rsidRPr="00FD24A9" w:rsidR="00C054EE">
              <w:rPr>
                <w:rStyle w:val="Hyperlink"/>
                <w:noProof/>
              </w:rPr>
              <w:t>6.12.4.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_Toc69948106 \h </w:instrText>
            </w:r>
            <w:r w:rsidR="00C054EE">
              <w:rPr>
                <w:noProof/>
                <w:webHidden/>
              </w:rPr>
            </w:r>
            <w:r w:rsidR="00C054EE">
              <w:rPr>
                <w:noProof/>
                <w:webHidden/>
              </w:rPr>
              <w:fldChar w:fldCharType="separate"/>
            </w:r>
            <w:r w:rsidR="004C2E01">
              <w:rPr>
                <w:noProof/>
                <w:webHidden/>
              </w:rPr>
              <w:t>270</w:t>
            </w:r>
            <w:r w:rsidR="00C054EE">
              <w:rPr>
                <w:noProof/>
                <w:webHidden/>
              </w:rPr>
              <w:fldChar w:fldCharType="end"/>
            </w:r>
          </w:hyperlink>
        </w:p>
        <w:p w:rsidR="00C054EE" w:rsidRDefault="000D5832" w14:paraId="4B1B3383" w14:textId="0F9B7640">
          <w:pPr>
            <w:pStyle w:val="TOC3"/>
            <w:tabs>
              <w:tab w:val="left" w:pos="1728"/>
              <w:tab w:val="right" w:leader="dot" w:pos="9350"/>
            </w:tabs>
            <w:rPr>
              <w:rFonts w:asciiTheme="minorHAnsi" w:hAnsiTheme="minorHAnsi" w:cstheme="minorBidi"/>
              <w:noProof/>
              <w:sz w:val="22"/>
              <w:szCs w:val="22"/>
            </w:rPr>
          </w:pPr>
          <w:hyperlink w:history="1" w:anchor="_Toc69948107">
            <w:r w:rsidRPr="00FD24A9" w:rsidR="00C054EE">
              <w:rPr>
                <w:rStyle w:val="Hyperlink"/>
                <w:noProof/>
              </w:rPr>
              <w:t>6.12.5.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_Toc69948107 \h </w:instrText>
            </w:r>
            <w:r w:rsidR="00C054EE">
              <w:rPr>
                <w:noProof/>
                <w:webHidden/>
              </w:rPr>
            </w:r>
            <w:r w:rsidR="00C054EE">
              <w:rPr>
                <w:noProof/>
                <w:webHidden/>
              </w:rPr>
              <w:fldChar w:fldCharType="separate"/>
            </w:r>
            <w:r w:rsidR="004C2E01">
              <w:rPr>
                <w:noProof/>
                <w:webHidden/>
              </w:rPr>
              <w:t>271</w:t>
            </w:r>
            <w:r w:rsidR="00C054EE">
              <w:rPr>
                <w:noProof/>
                <w:webHidden/>
              </w:rPr>
              <w:fldChar w:fldCharType="end"/>
            </w:r>
          </w:hyperlink>
        </w:p>
        <w:p w:rsidR="00C054EE" w:rsidRDefault="000D5832" w14:paraId="6D940845" w14:textId="515745A8">
          <w:pPr>
            <w:pStyle w:val="TOC3"/>
            <w:tabs>
              <w:tab w:val="left" w:pos="1728"/>
              <w:tab w:val="right" w:leader="dot" w:pos="9350"/>
            </w:tabs>
            <w:rPr>
              <w:rFonts w:asciiTheme="minorHAnsi" w:hAnsiTheme="minorHAnsi" w:cstheme="minorBidi"/>
              <w:noProof/>
              <w:sz w:val="22"/>
              <w:szCs w:val="22"/>
            </w:rPr>
          </w:pPr>
          <w:hyperlink w:history="1" w:anchor="_Toc69948108">
            <w:r w:rsidRPr="00FD24A9" w:rsidR="00C054EE">
              <w:rPr>
                <w:rStyle w:val="Hyperlink"/>
                <w:noProof/>
              </w:rPr>
              <w:t>6.12.6.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_Toc69948108 \h </w:instrText>
            </w:r>
            <w:r w:rsidR="00C054EE">
              <w:rPr>
                <w:noProof/>
                <w:webHidden/>
              </w:rPr>
            </w:r>
            <w:r w:rsidR="00C054EE">
              <w:rPr>
                <w:noProof/>
                <w:webHidden/>
              </w:rPr>
              <w:fldChar w:fldCharType="separate"/>
            </w:r>
            <w:r w:rsidR="004C2E01">
              <w:rPr>
                <w:noProof/>
                <w:webHidden/>
              </w:rPr>
              <w:t>272</w:t>
            </w:r>
            <w:r w:rsidR="00C054EE">
              <w:rPr>
                <w:noProof/>
                <w:webHidden/>
              </w:rPr>
              <w:fldChar w:fldCharType="end"/>
            </w:r>
          </w:hyperlink>
        </w:p>
        <w:p w:rsidR="00C054EE" w:rsidRDefault="000D5832" w14:paraId="630E3D8B" w14:textId="651343C4">
          <w:pPr>
            <w:pStyle w:val="TOC4"/>
            <w:tabs>
              <w:tab w:val="left" w:pos="2160"/>
              <w:tab w:val="right" w:leader="dot" w:pos="9350"/>
            </w:tabs>
            <w:rPr>
              <w:rFonts w:asciiTheme="minorHAnsi" w:hAnsiTheme="minorHAnsi" w:eastAsiaTheme="minorEastAsia" w:cstheme="minorBidi"/>
              <w:noProof/>
              <w:sz w:val="22"/>
              <w:szCs w:val="22"/>
            </w:rPr>
          </w:pPr>
          <w:hyperlink w:history="1" w:anchor="_Toc69948109">
            <w:r w:rsidRPr="00FD24A9" w:rsidR="00C054EE">
              <w:rPr>
                <w:rStyle w:val="Hyperlink"/>
                <w:noProof/>
              </w:rPr>
              <w:t>6.12.6.1.</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_Toc69948109 \h </w:instrText>
            </w:r>
            <w:r w:rsidR="00C054EE">
              <w:rPr>
                <w:noProof/>
                <w:webHidden/>
              </w:rPr>
            </w:r>
            <w:r w:rsidR="00C054EE">
              <w:rPr>
                <w:noProof/>
                <w:webHidden/>
              </w:rPr>
              <w:fldChar w:fldCharType="separate"/>
            </w:r>
            <w:r w:rsidR="004C2E01">
              <w:rPr>
                <w:noProof/>
                <w:webHidden/>
              </w:rPr>
              <w:t>272</w:t>
            </w:r>
            <w:r w:rsidR="00C054EE">
              <w:rPr>
                <w:noProof/>
                <w:webHidden/>
              </w:rPr>
              <w:fldChar w:fldCharType="end"/>
            </w:r>
          </w:hyperlink>
        </w:p>
        <w:p w:rsidR="00C054EE" w:rsidRDefault="000D5832" w14:paraId="345BEEB7" w14:textId="52012A2E">
          <w:pPr>
            <w:pStyle w:val="TOC3"/>
            <w:tabs>
              <w:tab w:val="left" w:pos="1728"/>
              <w:tab w:val="right" w:leader="dot" w:pos="9350"/>
            </w:tabs>
            <w:rPr>
              <w:rFonts w:asciiTheme="minorHAnsi" w:hAnsiTheme="minorHAnsi" w:cstheme="minorBidi"/>
              <w:noProof/>
              <w:sz w:val="22"/>
              <w:szCs w:val="22"/>
            </w:rPr>
          </w:pPr>
          <w:hyperlink w:history="1" w:anchor="_Toc69948110">
            <w:r w:rsidRPr="00FD24A9" w:rsidR="00C054EE">
              <w:rPr>
                <w:rStyle w:val="Hyperlink"/>
                <w:noProof/>
              </w:rPr>
              <w:t>6.12.7.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_Toc69948110 \h </w:instrText>
            </w:r>
            <w:r w:rsidR="00C054EE">
              <w:rPr>
                <w:noProof/>
                <w:webHidden/>
              </w:rPr>
            </w:r>
            <w:r w:rsidR="00C054EE">
              <w:rPr>
                <w:noProof/>
                <w:webHidden/>
              </w:rPr>
              <w:fldChar w:fldCharType="separate"/>
            </w:r>
            <w:r w:rsidR="004C2E01">
              <w:rPr>
                <w:noProof/>
                <w:webHidden/>
              </w:rPr>
              <w:t>272</w:t>
            </w:r>
            <w:r w:rsidR="00C054EE">
              <w:rPr>
                <w:noProof/>
                <w:webHidden/>
              </w:rPr>
              <w:fldChar w:fldCharType="end"/>
            </w:r>
          </w:hyperlink>
        </w:p>
        <w:p w:rsidR="00C054EE" w:rsidRDefault="000D5832" w14:paraId="45E1A790" w14:textId="7748120B">
          <w:pPr>
            <w:pStyle w:val="TOC4"/>
            <w:tabs>
              <w:tab w:val="left" w:pos="2160"/>
              <w:tab w:val="right" w:leader="dot" w:pos="9350"/>
            </w:tabs>
            <w:rPr>
              <w:rFonts w:asciiTheme="minorHAnsi" w:hAnsiTheme="minorHAnsi" w:eastAsiaTheme="minorEastAsia" w:cstheme="minorBidi"/>
              <w:noProof/>
              <w:sz w:val="22"/>
              <w:szCs w:val="22"/>
            </w:rPr>
          </w:pPr>
          <w:hyperlink w:history="1" w:anchor="_Toc69948111">
            <w:r w:rsidRPr="00FD24A9" w:rsidR="00C054EE">
              <w:rPr>
                <w:rStyle w:val="Hyperlink"/>
                <w:noProof/>
              </w:rPr>
              <w:t>6.12.7.1.</w:t>
            </w:r>
            <w:r w:rsidR="00C054EE">
              <w:rPr>
                <w:rFonts w:asciiTheme="minorHAnsi" w:hAnsiTheme="minorHAnsi" w:eastAsiaTheme="minorEastAsia" w:cstheme="minorBidi"/>
                <w:noProof/>
                <w:sz w:val="22"/>
                <w:szCs w:val="22"/>
              </w:rPr>
              <w:tab/>
            </w:r>
            <w:r w:rsidRPr="00FD24A9" w:rsidR="00C054EE">
              <w:rPr>
                <w:rStyle w:val="Hyperlink"/>
                <w:noProof/>
              </w:rPr>
              <w:t>IOUs’ Referral, Leveraging, and Coordination Efforts: Approved</w:t>
            </w:r>
            <w:r w:rsidR="00C054EE">
              <w:rPr>
                <w:noProof/>
                <w:webHidden/>
              </w:rPr>
              <w:tab/>
            </w:r>
            <w:r w:rsidR="00C054EE">
              <w:rPr>
                <w:noProof/>
                <w:webHidden/>
              </w:rPr>
              <w:fldChar w:fldCharType="begin"/>
            </w:r>
            <w:r w:rsidR="00C054EE">
              <w:rPr>
                <w:noProof/>
                <w:webHidden/>
              </w:rPr>
              <w:instrText xml:space="preserve"> PAGEREF _Toc69948111 \h </w:instrText>
            </w:r>
            <w:r w:rsidR="00C054EE">
              <w:rPr>
                <w:noProof/>
                <w:webHidden/>
              </w:rPr>
            </w:r>
            <w:r w:rsidR="00C054EE">
              <w:rPr>
                <w:noProof/>
                <w:webHidden/>
              </w:rPr>
              <w:fldChar w:fldCharType="separate"/>
            </w:r>
            <w:r w:rsidR="004C2E01">
              <w:rPr>
                <w:noProof/>
                <w:webHidden/>
              </w:rPr>
              <w:t>272</w:t>
            </w:r>
            <w:r w:rsidR="00C054EE">
              <w:rPr>
                <w:noProof/>
                <w:webHidden/>
              </w:rPr>
              <w:fldChar w:fldCharType="end"/>
            </w:r>
          </w:hyperlink>
        </w:p>
        <w:p w:rsidR="00C054EE" w:rsidRDefault="000D5832" w14:paraId="7CE62B48" w14:textId="6535F9EE">
          <w:pPr>
            <w:pStyle w:val="TOC4"/>
            <w:tabs>
              <w:tab w:val="left" w:pos="2160"/>
              <w:tab w:val="right" w:leader="dot" w:pos="9350"/>
            </w:tabs>
            <w:rPr>
              <w:rFonts w:asciiTheme="minorHAnsi" w:hAnsiTheme="minorHAnsi" w:eastAsiaTheme="minorEastAsia" w:cstheme="minorBidi"/>
              <w:noProof/>
              <w:sz w:val="22"/>
              <w:szCs w:val="22"/>
            </w:rPr>
          </w:pPr>
          <w:hyperlink w:history="1" w:anchor="_Toc69948112">
            <w:r w:rsidRPr="00FD24A9" w:rsidR="00C054EE">
              <w:rPr>
                <w:rStyle w:val="Hyperlink"/>
                <w:noProof/>
              </w:rPr>
              <w:t>6.12.7.2.</w:t>
            </w:r>
            <w:r w:rsidR="00C054EE">
              <w:rPr>
                <w:rFonts w:asciiTheme="minorHAnsi" w:hAnsiTheme="minorHAnsi" w:eastAsiaTheme="minorEastAsia" w:cstheme="minorBidi"/>
                <w:noProof/>
                <w:sz w:val="22"/>
                <w:szCs w:val="22"/>
              </w:rPr>
              <w:tab/>
            </w:r>
            <w:r w:rsidRPr="00FD24A9" w:rsidR="00C054EE">
              <w:rPr>
                <w:rStyle w:val="Hyperlink"/>
                <w:noProof/>
              </w:rPr>
              <w:t>Coordinate/Leverage with SGIP: Approved</w:t>
            </w:r>
            <w:r w:rsidR="00C054EE">
              <w:rPr>
                <w:noProof/>
                <w:webHidden/>
              </w:rPr>
              <w:tab/>
            </w:r>
            <w:r w:rsidR="00C054EE">
              <w:rPr>
                <w:noProof/>
                <w:webHidden/>
              </w:rPr>
              <w:fldChar w:fldCharType="begin"/>
            </w:r>
            <w:r w:rsidR="00C054EE">
              <w:rPr>
                <w:noProof/>
                <w:webHidden/>
              </w:rPr>
              <w:instrText xml:space="preserve"> PAGEREF _Toc69948112 \h </w:instrText>
            </w:r>
            <w:r w:rsidR="00C054EE">
              <w:rPr>
                <w:noProof/>
                <w:webHidden/>
              </w:rPr>
            </w:r>
            <w:r w:rsidR="00C054EE">
              <w:rPr>
                <w:noProof/>
                <w:webHidden/>
              </w:rPr>
              <w:fldChar w:fldCharType="separate"/>
            </w:r>
            <w:r w:rsidR="004C2E01">
              <w:rPr>
                <w:noProof/>
                <w:webHidden/>
              </w:rPr>
              <w:t>272</w:t>
            </w:r>
            <w:r w:rsidR="00C054EE">
              <w:rPr>
                <w:noProof/>
                <w:webHidden/>
              </w:rPr>
              <w:fldChar w:fldCharType="end"/>
            </w:r>
          </w:hyperlink>
        </w:p>
        <w:p w:rsidR="00C054EE" w:rsidRDefault="000D5832" w14:paraId="25175F8B" w14:textId="4962CFAB">
          <w:pPr>
            <w:pStyle w:val="TOC4"/>
            <w:tabs>
              <w:tab w:val="left" w:pos="2160"/>
              <w:tab w:val="right" w:leader="dot" w:pos="9350"/>
            </w:tabs>
            <w:rPr>
              <w:rFonts w:asciiTheme="minorHAnsi" w:hAnsiTheme="minorHAnsi" w:eastAsiaTheme="minorEastAsia" w:cstheme="minorBidi"/>
              <w:noProof/>
              <w:sz w:val="22"/>
              <w:szCs w:val="22"/>
            </w:rPr>
          </w:pPr>
          <w:hyperlink w:history="1" w:anchor="_Toc69948113">
            <w:r w:rsidRPr="00FD24A9" w:rsidR="00C054EE">
              <w:rPr>
                <w:rStyle w:val="Hyperlink"/>
                <w:noProof/>
              </w:rPr>
              <w:t>6.12.7.3.</w:t>
            </w:r>
            <w:r w:rsidR="00C054EE">
              <w:rPr>
                <w:rFonts w:asciiTheme="minorHAnsi" w:hAnsiTheme="minorHAnsi" w:eastAsiaTheme="minorEastAsia" w:cstheme="minorBidi"/>
                <w:noProof/>
                <w:sz w:val="22"/>
                <w:szCs w:val="22"/>
              </w:rPr>
              <w:tab/>
            </w:r>
            <w:r w:rsidRPr="00FD24A9" w:rsidR="00C054EE">
              <w:rPr>
                <w:rStyle w:val="Hyperlink"/>
                <w:noProof/>
              </w:rPr>
              <w:t>Workshop on Coordinating with Clean Energy Programs: New</w:t>
            </w:r>
            <w:r w:rsidR="00C054EE">
              <w:rPr>
                <w:noProof/>
                <w:webHidden/>
              </w:rPr>
              <w:tab/>
            </w:r>
            <w:r w:rsidR="00C054EE">
              <w:rPr>
                <w:noProof/>
                <w:webHidden/>
              </w:rPr>
              <w:fldChar w:fldCharType="begin"/>
            </w:r>
            <w:r w:rsidR="00C054EE">
              <w:rPr>
                <w:noProof/>
                <w:webHidden/>
              </w:rPr>
              <w:instrText xml:space="preserve"> PAGEREF _Toc69948113 \h </w:instrText>
            </w:r>
            <w:r w:rsidR="00C054EE">
              <w:rPr>
                <w:noProof/>
                <w:webHidden/>
              </w:rPr>
            </w:r>
            <w:r w:rsidR="00C054EE">
              <w:rPr>
                <w:noProof/>
                <w:webHidden/>
              </w:rPr>
              <w:fldChar w:fldCharType="separate"/>
            </w:r>
            <w:r w:rsidR="004C2E01">
              <w:rPr>
                <w:noProof/>
                <w:webHidden/>
              </w:rPr>
              <w:t>273</w:t>
            </w:r>
            <w:r w:rsidR="00C054EE">
              <w:rPr>
                <w:noProof/>
                <w:webHidden/>
              </w:rPr>
              <w:fldChar w:fldCharType="end"/>
            </w:r>
          </w:hyperlink>
        </w:p>
        <w:p w:rsidR="00C054EE" w:rsidRDefault="000D5832" w14:paraId="0CB9310A" w14:textId="2E3625D0">
          <w:pPr>
            <w:pStyle w:val="TOC2"/>
            <w:tabs>
              <w:tab w:val="left" w:pos="1296"/>
              <w:tab w:val="right" w:leader="dot" w:pos="9350"/>
            </w:tabs>
            <w:rPr>
              <w:rFonts w:asciiTheme="minorHAnsi" w:hAnsiTheme="minorHAnsi" w:cstheme="minorBidi"/>
              <w:noProof/>
              <w:sz w:val="22"/>
              <w:szCs w:val="22"/>
            </w:rPr>
          </w:pPr>
          <w:hyperlink w:history="1" w:anchor="_Toc69948114">
            <w:r w:rsidRPr="00FD24A9" w:rsidR="00C054EE">
              <w:rPr>
                <w:rStyle w:val="Hyperlink"/>
                <w:noProof/>
              </w:rPr>
              <w:t>6.13.</w:t>
            </w:r>
            <w:r w:rsidR="00C054EE">
              <w:rPr>
                <w:rFonts w:asciiTheme="minorHAnsi" w:hAnsiTheme="minorHAnsi" w:cstheme="minorBidi"/>
                <w:noProof/>
                <w:sz w:val="22"/>
                <w:szCs w:val="22"/>
              </w:rPr>
              <w:tab/>
            </w:r>
            <w:r w:rsidRPr="00FD24A9" w:rsidR="00C054EE">
              <w:rPr>
                <w:rStyle w:val="Hyperlink"/>
                <w:noProof/>
              </w:rPr>
              <w:t>ESA Workforce, Education and Training</w:t>
            </w:r>
            <w:r w:rsidR="00C054EE">
              <w:rPr>
                <w:noProof/>
                <w:webHidden/>
              </w:rPr>
              <w:tab/>
            </w:r>
            <w:r w:rsidR="00C054EE">
              <w:rPr>
                <w:noProof/>
                <w:webHidden/>
              </w:rPr>
              <w:fldChar w:fldCharType="begin"/>
            </w:r>
            <w:r w:rsidR="00C054EE">
              <w:rPr>
                <w:noProof/>
                <w:webHidden/>
              </w:rPr>
              <w:instrText xml:space="preserve"> PAGEREF _Toc69948114 \h </w:instrText>
            </w:r>
            <w:r w:rsidR="00C054EE">
              <w:rPr>
                <w:noProof/>
                <w:webHidden/>
              </w:rPr>
            </w:r>
            <w:r w:rsidR="00C054EE">
              <w:rPr>
                <w:noProof/>
                <w:webHidden/>
              </w:rPr>
              <w:fldChar w:fldCharType="separate"/>
            </w:r>
            <w:r w:rsidR="004C2E01">
              <w:rPr>
                <w:noProof/>
                <w:webHidden/>
              </w:rPr>
              <w:t>273</w:t>
            </w:r>
            <w:r w:rsidR="00C054EE">
              <w:rPr>
                <w:noProof/>
                <w:webHidden/>
              </w:rPr>
              <w:fldChar w:fldCharType="end"/>
            </w:r>
          </w:hyperlink>
        </w:p>
        <w:p w:rsidR="00C054EE" w:rsidRDefault="000D5832" w14:paraId="379B026F" w14:textId="5B39D24D">
          <w:pPr>
            <w:pStyle w:val="TOC3"/>
            <w:tabs>
              <w:tab w:val="left" w:pos="1728"/>
              <w:tab w:val="right" w:leader="dot" w:pos="9350"/>
            </w:tabs>
            <w:rPr>
              <w:rFonts w:asciiTheme="minorHAnsi" w:hAnsiTheme="minorHAnsi" w:cstheme="minorBidi"/>
              <w:noProof/>
              <w:sz w:val="22"/>
              <w:szCs w:val="22"/>
            </w:rPr>
          </w:pPr>
          <w:hyperlink w:history="1" w:anchor="_Toc69948115">
            <w:r w:rsidRPr="00FD24A9" w:rsidR="00C054EE">
              <w:rPr>
                <w:rStyle w:val="Hyperlink"/>
                <w:noProof/>
              </w:rPr>
              <w:t>6.13.1.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_Toc69948115 \h </w:instrText>
            </w:r>
            <w:r w:rsidR="00C054EE">
              <w:rPr>
                <w:noProof/>
                <w:webHidden/>
              </w:rPr>
            </w:r>
            <w:r w:rsidR="00C054EE">
              <w:rPr>
                <w:noProof/>
                <w:webHidden/>
              </w:rPr>
              <w:fldChar w:fldCharType="separate"/>
            </w:r>
            <w:r w:rsidR="004C2E01">
              <w:rPr>
                <w:noProof/>
                <w:webHidden/>
              </w:rPr>
              <w:t>273</w:t>
            </w:r>
            <w:r w:rsidR="00C054EE">
              <w:rPr>
                <w:noProof/>
                <w:webHidden/>
              </w:rPr>
              <w:fldChar w:fldCharType="end"/>
            </w:r>
          </w:hyperlink>
        </w:p>
        <w:p w:rsidR="00C054EE" w:rsidRDefault="000D5832" w14:paraId="50B91FD5" w14:textId="1337B310">
          <w:pPr>
            <w:pStyle w:val="TOC3"/>
            <w:tabs>
              <w:tab w:val="left" w:pos="1728"/>
              <w:tab w:val="right" w:leader="dot" w:pos="9350"/>
            </w:tabs>
            <w:rPr>
              <w:rFonts w:asciiTheme="minorHAnsi" w:hAnsiTheme="minorHAnsi" w:cstheme="minorBidi"/>
              <w:noProof/>
              <w:sz w:val="22"/>
              <w:szCs w:val="22"/>
            </w:rPr>
          </w:pPr>
          <w:hyperlink w:history="1" w:anchor="_Toc69948116">
            <w:r w:rsidRPr="00FD24A9" w:rsidR="00C054EE">
              <w:rPr>
                <w:rStyle w:val="Hyperlink"/>
                <w:noProof/>
              </w:rPr>
              <w:t>6.13.2.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_Toc69948116 \h </w:instrText>
            </w:r>
            <w:r w:rsidR="00C054EE">
              <w:rPr>
                <w:noProof/>
                <w:webHidden/>
              </w:rPr>
            </w:r>
            <w:r w:rsidR="00C054EE">
              <w:rPr>
                <w:noProof/>
                <w:webHidden/>
              </w:rPr>
              <w:fldChar w:fldCharType="separate"/>
            </w:r>
            <w:r w:rsidR="004C2E01">
              <w:rPr>
                <w:noProof/>
                <w:webHidden/>
              </w:rPr>
              <w:t>273</w:t>
            </w:r>
            <w:r w:rsidR="00C054EE">
              <w:rPr>
                <w:noProof/>
                <w:webHidden/>
              </w:rPr>
              <w:fldChar w:fldCharType="end"/>
            </w:r>
          </w:hyperlink>
        </w:p>
        <w:p w:rsidR="00C054EE" w:rsidRDefault="000D5832" w14:paraId="69072177" w14:textId="6ED957D0">
          <w:pPr>
            <w:pStyle w:val="TOC3"/>
            <w:tabs>
              <w:tab w:val="left" w:pos="1728"/>
              <w:tab w:val="right" w:leader="dot" w:pos="9350"/>
            </w:tabs>
            <w:rPr>
              <w:rFonts w:asciiTheme="minorHAnsi" w:hAnsiTheme="minorHAnsi" w:cstheme="minorBidi"/>
              <w:noProof/>
              <w:sz w:val="22"/>
              <w:szCs w:val="22"/>
            </w:rPr>
          </w:pPr>
          <w:hyperlink w:history="1" w:anchor="_Toc69948117">
            <w:r w:rsidRPr="00FD24A9" w:rsidR="00C054EE">
              <w:rPr>
                <w:rStyle w:val="Hyperlink"/>
                <w:noProof/>
              </w:rPr>
              <w:t>6.13.3.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_Toc69948117 \h </w:instrText>
            </w:r>
            <w:r w:rsidR="00C054EE">
              <w:rPr>
                <w:noProof/>
                <w:webHidden/>
              </w:rPr>
            </w:r>
            <w:r w:rsidR="00C054EE">
              <w:rPr>
                <w:noProof/>
                <w:webHidden/>
              </w:rPr>
              <w:fldChar w:fldCharType="separate"/>
            </w:r>
            <w:r w:rsidR="004C2E01">
              <w:rPr>
                <w:noProof/>
                <w:webHidden/>
              </w:rPr>
              <w:t>275</w:t>
            </w:r>
            <w:r w:rsidR="00C054EE">
              <w:rPr>
                <w:noProof/>
                <w:webHidden/>
              </w:rPr>
              <w:fldChar w:fldCharType="end"/>
            </w:r>
          </w:hyperlink>
        </w:p>
        <w:p w:rsidR="00C054EE" w:rsidRDefault="000D5832" w14:paraId="519BD26F" w14:textId="6D89B531">
          <w:pPr>
            <w:pStyle w:val="TOC3"/>
            <w:tabs>
              <w:tab w:val="left" w:pos="1728"/>
              <w:tab w:val="right" w:leader="dot" w:pos="9350"/>
            </w:tabs>
            <w:rPr>
              <w:rFonts w:asciiTheme="minorHAnsi" w:hAnsiTheme="minorHAnsi" w:cstheme="minorBidi"/>
              <w:noProof/>
              <w:sz w:val="22"/>
              <w:szCs w:val="22"/>
            </w:rPr>
          </w:pPr>
          <w:hyperlink w:history="1" w:anchor="_Toc69948118">
            <w:r w:rsidRPr="00FD24A9" w:rsidR="00C054EE">
              <w:rPr>
                <w:rStyle w:val="Hyperlink"/>
                <w:noProof/>
              </w:rPr>
              <w:t>6.13.4.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_Toc69948118 \h </w:instrText>
            </w:r>
            <w:r w:rsidR="00C054EE">
              <w:rPr>
                <w:noProof/>
                <w:webHidden/>
              </w:rPr>
            </w:r>
            <w:r w:rsidR="00C054EE">
              <w:rPr>
                <w:noProof/>
                <w:webHidden/>
              </w:rPr>
              <w:fldChar w:fldCharType="separate"/>
            </w:r>
            <w:r w:rsidR="004C2E01">
              <w:rPr>
                <w:noProof/>
                <w:webHidden/>
              </w:rPr>
              <w:t>276</w:t>
            </w:r>
            <w:r w:rsidR="00C054EE">
              <w:rPr>
                <w:noProof/>
                <w:webHidden/>
              </w:rPr>
              <w:fldChar w:fldCharType="end"/>
            </w:r>
          </w:hyperlink>
        </w:p>
        <w:p w:rsidR="00C054EE" w:rsidRDefault="000D5832" w14:paraId="61E4BDFF" w14:textId="2B38C498">
          <w:pPr>
            <w:pStyle w:val="TOC3"/>
            <w:tabs>
              <w:tab w:val="left" w:pos="1728"/>
              <w:tab w:val="right" w:leader="dot" w:pos="9350"/>
            </w:tabs>
            <w:rPr>
              <w:rFonts w:asciiTheme="minorHAnsi" w:hAnsiTheme="minorHAnsi" w:cstheme="minorBidi"/>
              <w:noProof/>
              <w:sz w:val="22"/>
              <w:szCs w:val="22"/>
            </w:rPr>
          </w:pPr>
          <w:hyperlink w:history="1" w:anchor="_Toc69948119">
            <w:r w:rsidRPr="00FD24A9" w:rsidR="00C054EE">
              <w:rPr>
                <w:rStyle w:val="Hyperlink"/>
                <w:noProof/>
              </w:rPr>
              <w:t>6.13.5.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_Toc69948119 \h </w:instrText>
            </w:r>
            <w:r w:rsidR="00C054EE">
              <w:rPr>
                <w:noProof/>
                <w:webHidden/>
              </w:rPr>
            </w:r>
            <w:r w:rsidR="00C054EE">
              <w:rPr>
                <w:noProof/>
                <w:webHidden/>
              </w:rPr>
              <w:fldChar w:fldCharType="separate"/>
            </w:r>
            <w:r w:rsidR="004C2E01">
              <w:rPr>
                <w:noProof/>
                <w:webHidden/>
              </w:rPr>
              <w:t>277</w:t>
            </w:r>
            <w:r w:rsidR="00C054EE">
              <w:rPr>
                <w:noProof/>
                <w:webHidden/>
              </w:rPr>
              <w:fldChar w:fldCharType="end"/>
            </w:r>
          </w:hyperlink>
        </w:p>
        <w:p w:rsidR="00C054EE" w:rsidRDefault="000D5832" w14:paraId="1F59B907" w14:textId="53FE9FB3">
          <w:pPr>
            <w:pStyle w:val="TOC3"/>
            <w:tabs>
              <w:tab w:val="left" w:pos="1728"/>
              <w:tab w:val="right" w:leader="dot" w:pos="9350"/>
            </w:tabs>
            <w:rPr>
              <w:rFonts w:asciiTheme="minorHAnsi" w:hAnsiTheme="minorHAnsi" w:cstheme="minorBidi"/>
              <w:noProof/>
              <w:sz w:val="22"/>
              <w:szCs w:val="22"/>
            </w:rPr>
          </w:pPr>
          <w:hyperlink w:history="1" w:anchor="_Toc69948120">
            <w:r w:rsidRPr="00FD24A9" w:rsidR="00C054EE">
              <w:rPr>
                <w:rStyle w:val="Hyperlink"/>
                <w:noProof/>
              </w:rPr>
              <w:t>6.13.6.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_Toc69948120 \h </w:instrText>
            </w:r>
            <w:r w:rsidR="00C054EE">
              <w:rPr>
                <w:noProof/>
                <w:webHidden/>
              </w:rPr>
            </w:r>
            <w:r w:rsidR="00C054EE">
              <w:rPr>
                <w:noProof/>
                <w:webHidden/>
              </w:rPr>
              <w:fldChar w:fldCharType="separate"/>
            </w:r>
            <w:r w:rsidR="004C2E01">
              <w:rPr>
                <w:noProof/>
                <w:webHidden/>
              </w:rPr>
              <w:t>279</w:t>
            </w:r>
            <w:r w:rsidR="00C054EE">
              <w:rPr>
                <w:noProof/>
                <w:webHidden/>
              </w:rPr>
              <w:fldChar w:fldCharType="end"/>
            </w:r>
          </w:hyperlink>
        </w:p>
        <w:p w:rsidR="00C054EE" w:rsidRDefault="000D5832" w14:paraId="501C0FC4" w14:textId="6CF7379A">
          <w:pPr>
            <w:pStyle w:val="TOC4"/>
            <w:tabs>
              <w:tab w:val="left" w:pos="2160"/>
              <w:tab w:val="right" w:leader="dot" w:pos="9350"/>
            </w:tabs>
            <w:rPr>
              <w:rFonts w:asciiTheme="minorHAnsi" w:hAnsiTheme="minorHAnsi" w:eastAsiaTheme="minorEastAsia" w:cstheme="minorBidi"/>
              <w:noProof/>
              <w:sz w:val="22"/>
              <w:szCs w:val="22"/>
            </w:rPr>
          </w:pPr>
          <w:hyperlink w:history="1" w:anchor="_Toc69948121">
            <w:r w:rsidRPr="00FD24A9" w:rsidR="00C054EE">
              <w:rPr>
                <w:rStyle w:val="Hyperlink"/>
                <w:noProof/>
              </w:rPr>
              <w:t>6.13.6.1.</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_Toc69948121 \h </w:instrText>
            </w:r>
            <w:r w:rsidR="00C054EE">
              <w:rPr>
                <w:noProof/>
                <w:webHidden/>
              </w:rPr>
            </w:r>
            <w:r w:rsidR="00C054EE">
              <w:rPr>
                <w:noProof/>
                <w:webHidden/>
              </w:rPr>
              <w:fldChar w:fldCharType="separate"/>
            </w:r>
            <w:r w:rsidR="004C2E01">
              <w:rPr>
                <w:noProof/>
                <w:webHidden/>
              </w:rPr>
              <w:t>279</w:t>
            </w:r>
            <w:r w:rsidR="00C054EE">
              <w:rPr>
                <w:noProof/>
                <w:webHidden/>
              </w:rPr>
              <w:fldChar w:fldCharType="end"/>
            </w:r>
          </w:hyperlink>
        </w:p>
        <w:p w:rsidR="00C054EE" w:rsidRDefault="000D5832" w14:paraId="5F95C451" w14:textId="68AAC6DD">
          <w:pPr>
            <w:pStyle w:val="TOC4"/>
            <w:tabs>
              <w:tab w:val="left" w:pos="2160"/>
              <w:tab w:val="right" w:leader="dot" w:pos="9350"/>
            </w:tabs>
            <w:rPr>
              <w:rFonts w:asciiTheme="minorHAnsi" w:hAnsiTheme="minorHAnsi" w:eastAsiaTheme="minorEastAsia" w:cstheme="minorBidi"/>
              <w:noProof/>
              <w:sz w:val="22"/>
              <w:szCs w:val="22"/>
            </w:rPr>
          </w:pPr>
          <w:hyperlink w:history="1" w:anchor="_Toc69948122">
            <w:r w:rsidRPr="00FD24A9" w:rsidR="00C054EE">
              <w:rPr>
                <w:rStyle w:val="Hyperlink"/>
                <w:noProof/>
              </w:rPr>
              <w:t>6.13.6.2.</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_Toc69948122 \h </w:instrText>
            </w:r>
            <w:r w:rsidR="00C054EE">
              <w:rPr>
                <w:noProof/>
                <w:webHidden/>
              </w:rPr>
            </w:r>
            <w:r w:rsidR="00C054EE">
              <w:rPr>
                <w:noProof/>
                <w:webHidden/>
              </w:rPr>
              <w:fldChar w:fldCharType="separate"/>
            </w:r>
            <w:r w:rsidR="004C2E01">
              <w:rPr>
                <w:noProof/>
                <w:webHidden/>
              </w:rPr>
              <w:t>280</w:t>
            </w:r>
            <w:r w:rsidR="00C054EE">
              <w:rPr>
                <w:noProof/>
                <w:webHidden/>
              </w:rPr>
              <w:fldChar w:fldCharType="end"/>
            </w:r>
          </w:hyperlink>
        </w:p>
        <w:p w:rsidR="00C054EE" w:rsidRDefault="000D5832" w14:paraId="0F9949C5" w14:textId="4C422F7E">
          <w:pPr>
            <w:pStyle w:val="TOC4"/>
            <w:tabs>
              <w:tab w:val="left" w:pos="2160"/>
              <w:tab w:val="right" w:leader="dot" w:pos="9350"/>
            </w:tabs>
            <w:rPr>
              <w:rFonts w:asciiTheme="minorHAnsi" w:hAnsiTheme="minorHAnsi" w:eastAsiaTheme="minorEastAsia" w:cstheme="minorBidi"/>
              <w:noProof/>
              <w:sz w:val="22"/>
              <w:szCs w:val="22"/>
            </w:rPr>
          </w:pPr>
          <w:hyperlink w:history="1" w:anchor="_Toc69948123">
            <w:r w:rsidRPr="00FD24A9" w:rsidR="00C054EE">
              <w:rPr>
                <w:rStyle w:val="Hyperlink"/>
                <w:noProof/>
              </w:rPr>
              <w:t>6.13.6.3.</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_Toc69948123 \h </w:instrText>
            </w:r>
            <w:r w:rsidR="00C054EE">
              <w:rPr>
                <w:noProof/>
                <w:webHidden/>
              </w:rPr>
            </w:r>
            <w:r w:rsidR="00C054EE">
              <w:rPr>
                <w:noProof/>
                <w:webHidden/>
              </w:rPr>
              <w:fldChar w:fldCharType="separate"/>
            </w:r>
            <w:r w:rsidR="004C2E01">
              <w:rPr>
                <w:noProof/>
                <w:webHidden/>
              </w:rPr>
              <w:t>280</w:t>
            </w:r>
            <w:r w:rsidR="00C054EE">
              <w:rPr>
                <w:noProof/>
                <w:webHidden/>
              </w:rPr>
              <w:fldChar w:fldCharType="end"/>
            </w:r>
          </w:hyperlink>
        </w:p>
        <w:p w:rsidR="00C054EE" w:rsidRDefault="000D5832" w14:paraId="06AFC517" w14:textId="787BF5B0">
          <w:pPr>
            <w:pStyle w:val="TOC4"/>
            <w:tabs>
              <w:tab w:val="left" w:pos="2160"/>
              <w:tab w:val="right" w:leader="dot" w:pos="9350"/>
            </w:tabs>
            <w:rPr>
              <w:rFonts w:asciiTheme="minorHAnsi" w:hAnsiTheme="minorHAnsi" w:eastAsiaTheme="minorEastAsia" w:cstheme="minorBidi"/>
              <w:noProof/>
              <w:sz w:val="22"/>
              <w:szCs w:val="22"/>
            </w:rPr>
          </w:pPr>
          <w:hyperlink w:history="1" w:anchor="_Toc69948124">
            <w:r w:rsidRPr="00FD24A9" w:rsidR="00C054EE">
              <w:rPr>
                <w:rStyle w:val="Hyperlink"/>
                <w:noProof/>
              </w:rPr>
              <w:t>6.13.6.4.</w:t>
            </w:r>
            <w:r w:rsidR="00C054EE">
              <w:rPr>
                <w:rFonts w:asciiTheme="minorHAnsi" w:hAnsiTheme="minorHAnsi" w:eastAsiaTheme="minorEastAsia" w:cstheme="minorBidi"/>
                <w:noProof/>
                <w:sz w:val="22"/>
                <w:szCs w:val="22"/>
              </w:rPr>
              <w:tab/>
            </w:r>
            <w:r w:rsidRPr="00FD24A9" w:rsidR="00C054EE">
              <w:rPr>
                <w:rStyle w:val="Hyperlink"/>
                <w:noProof/>
              </w:rPr>
              <w:t>Free Energy Savings Company</w:t>
            </w:r>
            <w:r w:rsidR="00C054EE">
              <w:rPr>
                <w:noProof/>
                <w:webHidden/>
              </w:rPr>
              <w:tab/>
            </w:r>
            <w:r w:rsidR="00C054EE">
              <w:rPr>
                <w:noProof/>
                <w:webHidden/>
              </w:rPr>
              <w:fldChar w:fldCharType="begin"/>
            </w:r>
            <w:r w:rsidR="00C054EE">
              <w:rPr>
                <w:noProof/>
                <w:webHidden/>
              </w:rPr>
              <w:instrText xml:space="preserve"> PAGEREF _Toc69948124 \h </w:instrText>
            </w:r>
            <w:r w:rsidR="00C054EE">
              <w:rPr>
                <w:noProof/>
                <w:webHidden/>
              </w:rPr>
            </w:r>
            <w:r w:rsidR="00C054EE">
              <w:rPr>
                <w:noProof/>
                <w:webHidden/>
              </w:rPr>
              <w:fldChar w:fldCharType="separate"/>
            </w:r>
            <w:r w:rsidR="004C2E01">
              <w:rPr>
                <w:noProof/>
                <w:webHidden/>
              </w:rPr>
              <w:t>281</w:t>
            </w:r>
            <w:r w:rsidR="00C054EE">
              <w:rPr>
                <w:noProof/>
                <w:webHidden/>
              </w:rPr>
              <w:fldChar w:fldCharType="end"/>
            </w:r>
          </w:hyperlink>
        </w:p>
        <w:p w:rsidR="00C054EE" w:rsidRDefault="000D5832" w14:paraId="2028B183" w14:textId="379E01CB">
          <w:pPr>
            <w:pStyle w:val="TOC4"/>
            <w:tabs>
              <w:tab w:val="left" w:pos="2160"/>
              <w:tab w:val="right" w:leader="dot" w:pos="9350"/>
            </w:tabs>
            <w:rPr>
              <w:rFonts w:asciiTheme="minorHAnsi" w:hAnsiTheme="minorHAnsi" w:eastAsiaTheme="minorEastAsia" w:cstheme="minorBidi"/>
              <w:noProof/>
              <w:sz w:val="22"/>
              <w:szCs w:val="22"/>
            </w:rPr>
          </w:pPr>
          <w:hyperlink w:history="1" w:anchor="_Toc69948125">
            <w:r w:rsidRPr="00FD24A9" w:rsidR="00C054EE">
              <w:rPr>
                <w:rStyle w:val="Hyperlink"/>
                <w:noProof/>
              </w:rPr>
              <w:t>6.13.6.5.</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_Toc69948125 \h </w:instrText>
            </w:r>
            <w:r w:rsidR="00C054EE">
              <w:rPr>
                <w:noProof/>
                <w:webHidden/>
              </w:rPr>
            </w:r>
            <w:r w:rsidR="00C054EE">
              <w:rPr>
                <w:noProof/>
                <w:webHidden/>
              </w:rPr>
              <w:fldChar w:fldCharType="separate"/>
            </w:r>
            <w:r w:rsidR="004C2E01">
              <w:rPr>
                <w:noProof/>
                <w:webHidden/>
              </w:rPr>
              <w:t>282</w:t>
            </w:r>
            <w:r w:rsidR="00C054EE">
              <w:rPr>
                <w:noProof/>
                <w:webHidden/>
              </w:rPr>
              <w:fldChar w:fldCharType="end"/>
            </w:r>
          </w:hyperlink>
        </w:p>
        <w:p w:rsidR="00C054EE" w:rsidRDefault="000D5832" w14:paraId="542EC43B" w14:textId="7594D54B">
          <w:pPr>
            <w:pStyle w:val="TOC3"/>
            <w:tabs>
              <w:tab w:val="left" w:pos="1728"/>
              <w:tab w:val="right" w:leader="dot" w:pos="9350"/>
            </w:tabs>
            <w:rPr>
              <w:rFonts w:asciiTheme="minorHAnsi" w:hAnsiTheme="minorHAnsi" w:cstheme="minorBidi"/>
              <w:noProof/>
              <w:sz w:val="22"/>
              <w:szCs w:val="22"/>
            </w:rPr>
          </w:pPr>
          <w:hyperlink w:history="1" w:anchor="_Toc69948126">
            <w:r w:rsidRPr="00FD24A9" w:rsidR="00C054EE">
              <w:rPr>
                <w:rStyle w:val="Hyperlink"/>
                <w:noProof/>
              </w:rPr>
              <w:t>6.13.7.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_Toc69948126 \h </w:instrText>
            </w:r>
            <w:r w:rsidR="00C054EE">
              <w:rPr>
                <w:noProof/>
                <w:webHidden/>
              </w:rPr>
            </w:r>
            <w:r w:rsidR="00C054EE">
              <w:rPr>
                <w:noProof/>
                <w:webHidden/>
              </w:rPr>
              <w:fldChar w:fldCharType="separate"/>
            </w:r>
            <w:r w:rsidR="004C2E01">
              <w:rPr>
                <w:noProof/>
                <w:webHidden/>
              </w:rPr>
              <w:t>282</w:t>
            </w:r>
            <w:r w:rsidR="00C054EE">
              <w:rPr>
                <w:noProof/>
                <w:webHidden/>
              </w:rPr>
              <w:fldChar w:fldCharType="end"/>
            </w:r>
          </w:hyperlink>
        </w:p>
        <w:p w:rsidR="00C054EE" w:rsidRDefault="000D5832" w14:paraId="212AFCE1" w14:textId="2789F0CF">
          <w:pPr>
            <w:pStyle w:val="TOC4"/>
            <w:tabs>
              <w:tab w:val="left" w:pos="2160"/>
              <w:tab w:val="right" w:leader="dot" w:pos="9350"/>
            </w:tabs>
            <w:rPr>
              <w:rFonts w:asciiTheme="minorHAnsi" w:hAnsiTheme="minorHAnsi" w:eastAsiaTheme="minorEastAsia" w:cstheme="minorBidi"/>
              <w:noProof/>
              <w:sz w:val="22"/>
              <w:szCs w:val="22"/>
            </w:rPr>
          </w:pPr>
          <w:hyperlink w:history="1" w:anchor="_Toc69948127">
            <w:r w:rsidRPr="00FD24A9" w:rsidR="00C054EE">
              <w:rPr>
                <w:rStyle w:val="Hyperlink"/>
                <w:noProof/>
              </w:rPr>
              <w:t>6.13.7.1.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_Toc69948127 \h </w:instrText>
            </w:r>
            <w:r w:rsidR="00C054EE">
              <w:rPr>
                <w:noProof/>
                <w:webHidden/>
              </w:rPr>
            </w:r>
            <w:r w:rsidR="00C054EE">
              <w:rPr>
                <w:noProof/>
                <w:webHidden/>
              </w:rPr>
              <w:fldChar w:fldCharType="separate"/>
            </w:r>
            <w:r w:rsidR="004C2E01">
              <w:rPr>
                <w:noProof/>
                <w:webHidden/>
              </w:rPr>
              <w:t>282</w:t>
            </w:r>
            <w:r w:rsidR="00C054EE">
              <w:rPr>
                <w:noProof/>
                <w:webHidden/>
              </w:rPr>
              <w:fldChar w:fldCharType="end"/>
            </w:r>
          </w:hyperlink>
        </w:p>
        <w:p w:rsidR="00C054EE" w:rsidRDefault="000D5832" w14:paraId="0933F75E" w14:textId="6AFB0DD1">
          <w:pPr>
            <w:pStyle w:val="TOC4"/>
            <w:tabs>
              <w:tab w:val="left" w:pos="2160"/>
              <w:tab w:val="right" w:leader="dot" w:pos="9350"/>
            </w:tabs>
            <w:rPr>
              <w:rFonts w:asciiTheme="minorHAnsi" w:hAnsiTheme="minorHAnsi" w:eastAsiaTheme="minorEastAsia" w:cstheme="minorBidi"/>
              <w:noProof/>
              <w:sz w:val="22"/>
              <w:szCs w:val="22"/>
            </w:rPr>
          </w:pPr>
          <w:hyperlink w:history="1" w:anchor="_Toc69948128">
            <w:r w:rsidRPr="00FD24A9" w:rsidR="00C054EE">
              <w:rPr>
                <w:rStyle w:val="Hyperlink"/>
                <w:noProof/>
              </w:rPr>
              <w:t>6.13.7.2.</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_Toc69948128 \h </w:instrText>
            </w:r>
            <w:r w:rsidR="00C054EE">
              <w:rPr>
                <w:noProof/>
                <w:webHidden/>
              </w:rPr>
            </w:r>
            <w:r w:rsidR="00C054EE">
              <w:rPr>
                <w:noProof/>
                <w:webHidden/>
              </w:rPr>
              <w:fldChar w:fldCharType="separate"/>
            </w:r>
            <w:r w:rsidR="004C2E01">
              <w:rPr>
                <w:noProof/>
                <w:webHidden/>
              </w:rPr>
              <w:t>283</w:t>
            </w:r>
            <w:r w:rsidR="00C054EE">
              <w:rPr>
                <w:noProof/>
                <w:webHidden/>
              </w:rPr>
              <w:fldChar w:fldCharType="end"/>
            </w:r>
          </w:hyperlink>
        </w:p>
        <w:p w:rsidR="00C054EE" w:rsidRDefault="000D5832" w14:paraId="29A58A65" w14:textId="1605A5A8">
          <w:pPr>
            <w:pStyle w:val="TOC3"/>
            <w:tabs>
              <w:tab w:val="left" w:pos="1728"/>
              <w:tab w:val="right" w:leader="dot" w:pos="9350"/>
            </w:tabs>
            <w:rPr>
              <w:rFonts w:asciiTheme="minorHAnsi" w:hAnsiTheme="minorHAnsi" w:cstheme="minorBidi"/>
              <w:noProof/>
              <w:sz w:val="22"/>
              <w:szCs w:val="22"/>
            </w:rPr>
          </w:pPr>
          <w:hyperlink w:history="1" w:anchor="_Toc69948129">
            <w:r w:rsidRPr="00FD24A9" w:rsidR="00C054EE">
              <w:rPr>
                <w:rStyle w:val="Hyperlink"/>
                <w:noProof/>
              </w:rPr>
              <w:t>6.13.8.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_Toc69948129 \h </w:instrText>
            </w:r>
            <w:r w:rsidR="00C054EE">
              <w:rPr>
                <w:noProof/>
                <w:webHidden/>
              </w:rPr>
            </w:r>
            <w:r w:rsidR="00C054EE">
              <w:rPr>
                <w:noProof/>
                <w:webHidden/>
              </w:rPr>
              <w:fldChar w:fldCharType="separate"/>
            </w:r>
            <w:r w:rsidR="004C2E01">
              <w:rPr>
                <w:noProof/>
                <w:webHidden/>
              </w:rPr>
              <w:t>284</w:t>
            </w:r>
            <w:r w:rsidR="00C054EE">
              <w:rPr>
                <w:noProof/>
                <w:webHidden/>
              </w:rPr>
              <w:fldChar w:fldCharType="end"/>
            </w:r>
          </w:hyperlink>
        </w:p>
        <w:p w:rsidR="00C054EE" w:rsidRDefault="000D5832" w14:paraId="4EBB15D7" w14:textId="28620E64">
          <w:pPr>
            <w:pStyle w:val="TOC4"/>
            <w:tabs>
              <w:tab w:val="left" w:pos="2160"/>
              <w:tab w:val="right" w:leader="dot" w:pos="9350"/>
            </w:tabs>
            <w:rPr>
              <w:rFonts w:asciiTheme="minorHAnsi" w:hAnsiTheme="minorHAnsi" w:eastAsiaTheme="minorEastAsia" w:cstheme="minorBidi"/>
              <w:noProof/>
              <w:sz w:val="22"/>
              <w:szCs w:val="22"/>
            </w:rPr>
          </w:pPr>
          <w:hyperlink w:history="1" w:anchor="_Toc69948130">
            <w:r w:rsidRPr="00FD24A9" w:rsidR="00C054EE">
              <w:rPr>
                <w:rStyle w:val="Hyperlink"/>
                <w:noProof/>
              </w:rPr>
              <w:t>6.13.8.1.</w:t>
            </w:r>
            <w:r w:rsidR="00C054EE">
              <w:rPr>
                <w:rFonts w:asciiTheme="minorHAnsi" w:hAnsiTheme="minorHAnsi" w:eastAsiaTheme="minorEastAsia" w:cstheme="minorBidi"/>
                <w:noProof/>
                <w:sz w:val="22"/>
                <w:szCs w:val="22"/>
              </w:rPr>
              <w:tab/>
            </w:r>
            <w:r w:rsidRPr="00FD24A9" w:rsidR="00C054EE">
              <w:rPr>
                <w:rStyle w:val="Hyperlink"/>
                <w:noProof/>
              </w:rPr>
              <w:t>IOUs’ WE&amp;T Programs: Approved with Modifications</w:t>
            </w:r>
            <w:r w:rsidR="00C054EE">
              <w:rPr>
                <w:noProof/>
                <w:webHidden/>
              </w:rPr>
              <w:tab/>
            </w:r>
            <w:r w:rsidR="00C054EE">
              <w:rPr>
                <w:noProof/>
                <w:webHidden/>
              </w:rPr>
              <w:fldChar w:fldCharType="begin"/>
            </w:r>
            <w:r w:rsidR="00C054EE">
              <w:rPr>
                <w:noProof/>
                <w:webHidden/>
              </w:rPr>
              <w:instrText xml:space="preserve"> PAGEREF _Toc69948130 \h </w:instrText>
            </w:r>
            <w:r w:rsidR="00C054EE">
              <w:rPr>
                <w:noProof/>
                <w:webHidden/>
              </w:rPr>
            </w:r>
            <w:r w:rsidR="00C054EE">
              <w:rPr>
                <w:noProof/>
                <w:webHidden/>
              </w:rPr>
              <w:fldChar w:fldCharType="separate"/>
            </w:r>
            <w:r w:rsidR="004C2E01">
              <w:rPr>
                <w:noProof/>
                <w:webHidden/>
              </w:rPr>
              <w:t>284</w:t>
            </w:r>
            <w:r w:rsidR="00C054EE">
              <w:rPr>
                <w:noProof/>
                <w:webHidden/>
              </w:rPr>
              <w:fldChar w:fldCharType="end"/>
            </w:r>
          </w:hyperlink>
        </w:p>
        <w:p w:rsidR="00C054EE" w:rsidRDefault="000D5832" w14:paraId="7A41A814" w14:textId="1DFFA50F">
          <w:pPr>
            <w:pStyle w:val="TOC4"/>
            <w:tabs>
              <w:tab w:val="left" w:pos="2160"/>
              <w:tab w:val="right" w:leader="dot" w:pos="9350"/>
            </w:tabs>
            <w:rPr>
              <w:rFonts w:asciiTheme="minorHAnsi" w:hAnsiTheme="minorHAnsi" w:eastAsiaTheme="minorEastAsia" w:cstheme="minorBidi"/>
              <w:noProof/>
              <w:sz w:val="22"/>
              <w:szCs w:val="22"/>
            </w:rPr>
          </w:pPr>
          <w:hyperlink w:history="1" w:anchor="_Toc69948131">
            <w:r w:rsidRPr="00FD24A9" w:rsidR="00C054EE">
              <w:rPr>
                <w:rStyle w:val="Hyperlink"/>
                <w:noProof/>
              </w:rPr>
              <w:t>6.13.8.2.</w:t>
            </w:r>
            <w:r w:rsidR="00C054EE">
              <w:rPr>
                <w:rFonts w:asciiTheme="minorHAnsi" w:hAnsiTheme="minorHAnsi" w:eastAsiaTheme="minorEastAsia" w:cstheme="minorBidi"/>
                <w:noProof/>
                <w:sz w:val="22"/>
                <w:szCs w:val="22"/>
              </w:rPr>
              <w:tab/>
            </w:r>
            <w:r w:rsidRPr="00FD24A9" w:rsidR="00C054EE">
              <w:rPr>
                <w:rStyle w:val="Hyperlink"/>
                <w:noProof/>
              </w:rPr>
              <w:t>WE&amp;T Funding Source: Denied for SCE and SoCalGas</w:t>
            </w:r>
            <w:r w:rsidR="00C054EE">
              <w:rPr>
                <w:noProof/>
                <w:webHidden/>
              </w:rPr>
              <w:tab/>
            </w:r>
            <w:r w:rsidR="00C054EE">
              <w:rPr>
                <w:noProof/>
                <w:webHidden/>
              </w:rPr>
              <w:fldChar w:fldCharType="begin"/>
            </w:r>
            <w:r w:rsidR="00C054EE">
              <w:rPr>
                <w:noProof/>
                <w:webHidden/>
              </w:rPr>
              <w:instrText xml:space="preserve"> PAGEREF _Toc69948131 \h </w:instrText>
            </w:r>
            <w:r w:rsidR="00C054EE">
              <w:rPr>
                <w:noProof/>
                <w:webHidden/>
              </w:rPr>
            </w:r>
            <w:r w:rsidR="00C054EE">
              <w:rPr>
                <w:noProof/>
                <w:webHidden/>
              </w:rPr>
              <w:fldChar w:fldCharType="separate"/>
            </w:r>
            <w:r w:rsidR="004C2E01">
              <w:rPr>
                <w:noProof/>
                <w:webHidden/>
              </w:rPr>
              <w:t>286</w:t>
            </w:r>
            <w:r w:rsidR="00C054EE">
              <w:rPr>
                <w:noProof/>
                <w:webHidden/>
              </w:rPr>
              <w:fldChar w:fldCharType="end"/>
            </w:r>
          </w:hyperlink>
        </w:p>
        <w:p w:rsidR="00C054EE" w:rsidRDefault="000D5832" w14:paraId="43D9F257" w14:textId="0F1EF53C">
          <w:pPr>
            <w:pStyle w:val="TOC4"/>
            <w:tabs>
              <w:tab w:val="left" w:pos="2160"/>
              <w:tab w:val="right" w:leader="dot" w:pos="9350"/>
            </w:tabs>
            <w:rPr>
              <w:rFonts w:asciiTheme="minorHAnsi" w:hAnsiTheme="minorHAnsi" w:eastAsiaTheme="minorEastAsia" w:cstheme="minorBidi"/>
              <w:noProof/>
              <w:sz w:val="22"/>
              <w:szCs w:val="22"/>
            </w:rPr>
          </w:pPr>
          <w:hyperlink w:history="1" w:anchor="_Toc69948132">
            <w:r w:rsidRPr="00FD24A9" w:rsidR="00C054EE">
              <w:rPr>
                <w:rStyle w:val="Hyperlink"/>
                <w:noProof/>
              </w:rPr>
              <w:t>6.13.8.3.</w:t>
            </w:r>
            <w:r w:rsidR="00C054EE">
              <w:rPr>
                <w:rFonts w:asciiTheme="minorHAnsi" w:hAnsiTheme="minorHAnsi" w:eastAsiaTheme="minorEastAsia" w:cstheme="minorBidi"/>
                <w:noProof/>
                <w:sz w:val="22"/>
                <w:szCs w:val="22"/>
              </w:rPr>
              <w:tab/>
            </w:r>
            <w:r w:rsidRPr="00FD24A9" w:rsidR="00C054EE">
              <w:rPr>
                <w:rStyle w:val="Hyperlink"/>
                <w:noProof/>
              </w:rPr>
              <w:t>Joint Parties’ Proposals: Approved in Part</w:t>
            </w:r>
            <w:r w:rsidR="00C054EE">
              <w:rPr>
                <w:noProof/>
                <w:webHidden/>
              </w:rPr>
              <w:tab/>
            </w:r>
            <w:r w:rsidR="00C054EE">
              <w:rPr>
                <w:noProof/>
                <w:webHidden/>
              </w:rPr>
              <w:fldChar w:fldCharType="begin"/>
            </w:r>
            <w:r w:rsidR="00C054EE">
              <w:rPr>
                <w:noProof/>
                <w:webHidden/>
              </w:rPr>
              <w:instrText xml:space="preserve"> PAGEREF _Toc69948132 \h </w:instrText>
            </w:r>
            <w:r w:rsidR="00C054EE">
              <w:rPr>
                <w:noProof/>
                <w:webHidden/>
              </w:rPr>
            </w:r>
            <w:r w:rsidR="00C054EE">
              <w:rPr>
                <w:noProof/>
                <w:webHidden/>
              </w:rPr>
              <w:fldChar w:fldCharType="separate"/>
            </w:r>
            <w:r w:rsidR="004C2E01">
              <w:rPr>
                <w:noProof/>
                <w:webHidden/>
              </w:rPr>
              <w:t>287</w:t>
            </w:r>
            <w:r w:rsidR="00C054EE">
              <w:rPr>
                <w:noProof/>
                <w:webHidden/>
              </w:rPr>
              <w:fldChar w:fldCharType="end"/>
            </w:r>
          </w:hyperlink>
        </w:p>
        <w:p w:rsidR="00C054EE" w:rsidRDefault="000D5832" w14:paraId="1B32BCD0" w14:textId="31F1DC22">
          <w:pPr>
            <w:pStyle w:val="TOC4"/>
            <w:tabs>
              <w:tab w:val="left" w:pos="2160"/>
              <w:tab w:val="right" w:leader="dot" w:pos="9350"/>
            </w:tabs>
            <w:rPr>
              <w:rFonts w:asciiTheme="minorHAnsi" w:hAnsiTheme="minorHAnsi" w:eastAsiaTheme="minorEastAsia" w:cstheme="minorBidi"/>
              <w:noProof/>
              <w:sz w:val="22"/>
              <w:szCs w:val="22"/>
            </w:rPr>
          </w:pPr>
          <w:hyperlink w:history="1" w:anchor="_Toc69948133">
            <w:r w:rsidRPr="00FD24A9" w:rsidR="00C054EE">
              <w:rPr>
                <w:rStyle w:val="Hyperlink"/>
                <w:noProof/>
              </w:rPr>
              <w:t>6.13.8.4.</w:t>
            </w:r>
            <w:r w:rsidR="00C054EE">
              <w:rPr>
                <w:rFonts w:asciiTheme="minorHAnsi" w:hAnsiTheme="minorHAnsi" w:eastAsiaTheme="minorEastAsia" w:cstheme="minorBidi"/>
                <w:noProof/>
                <w:sz w:val="22"/>
                <w:szCs w:val="22"/>
              </w:rPr>
              <w:tab/>
            </w:r>
            <w:r w:rsidRPr="00FD24A9" w:rsidR="00C054EE">
              <w:rPr>
                <w:rStyle w:val="Hyperlink"/>
                <w:noProof/>
              </w:rPr>
              <w:t>Ensuring Adequate Wages: Denied</w:t>
            </w:r>
            <w:r w:rsidR="00C054EE">
              <w:rPr>
                <w:noProof/>
                <w:webHidden/>
              </w:rPr>
              <w:tab/>
            </w:r>
            <w:r w:rsidR="00C054EE">
              <w:rPr>
                <w:noProof/>
                <w:webHidden/>
              </w:rPr>
              <w:fldChar w:fldCharType="begin"/>
            </w:r>
            <w:r w:rsidR="00C054EE">
              <w:rPr>
                <w:noProof/>
                <w:webHidden/>
              </w:rPr>
              <w:instrText xml:space="preserve"> PAGEREF _Toc69948133 \h </w:instrText>
            </w:r>
            <w:r w:rsidR="00C054EE">
              <w:rPr>
                <w:noProof/>
                <w:webHidden/>
              </w:rPr>
            </w:r>
            <w:r w:rsidR="00C054EE">
              <w:rPr>
                <w:noProof/>
                <w:webHidden/>
              </w:rPr>
              <w:fldChar w:fldCharType="separate"/>
            </w:r>
            <w:r w:rsidR="004C2E01">
              <w:rPr>
                <w:noProof/>
                <w:webHidden/>
              </w:rPr>
              <w:t>288</w:t>
            </w:r>
            <w:r w:rsidR="00C054EE">
              <w:rPr>
                <w:noProof/>
                <w:webHidden/>
              </w:rPr>
              <w:fldChar w:fldCharType="end"/>
            </w:r>
          </w:hyperlink>
        </w:p>
        <w:p w:rsidR="00C054EE" w:rsidRDefault="000D5832" w14:paraId="04823CCD" w14:textId="04699464">
          <w:pPr>
            <w:pStyle w:val="TOC4"/>
            <w:tabs>
              <w:tab w:val="left" w:pos="2160"/>
              <w:tab w:val="right" w:leader="dot" w:pos="9350"/>
            </w:tabs>
            <w:rPr>
              <w:rFonts w:asciiTheme="minorHAnsi" w:hAnsiTheme="minorHAnsi" w:eastAsiaTheme="minorEastAsia" w:cstheme="minorBidi"/>
              <w:noProof/>
              <w:sz w:val="22"/>
              <w:szCs w:val="22"/>
            </w:rPr>
          </w:pPr>
          <w:hyperlink w:history="1" w:anchor="_Toc69948134">
            <w:r w:rsidRPr="00FD24A9" w:rsidR="00C054EE">
              <w:rPr>
                <w:rStyle w:val="Hyperlink"/>
                <w:noProof/>
              </w:rPr>
              <w:t>6.13.8.5.</w:t>
            </w:r>
            <w:r w:rsidR="00C054EE">
              <w:rPr>
                <w:rFonts w:asciiTheme="minorHAnsi" w:hAnsiTheme="minorHAnsi" w:eastAsiaTheme="minorEastAsia" w:cstheme="minorBidi"/>
                <w:noProof/>
                <w:sz w:val="22"/>
                <w:szCs w:val="22"/>
              </w:rPr>
              <w:tab/>
            </w:r>
            <w:r w:rsidRPr="00FD24A9" w:rsidR="00C054EE">
              <w:rPr>
                <w:rStyle w:val="Hyperlink"/>
                <w:noProof/>
              </w:rPr>
              <w:t>Aid Prior to Hiring: Denied</w:t>
            </w:r>
            <w:r w:rsidR="00C054EE">
              <w:rPr>
                <w:noProof/>
                <w:webHidden/>
              </w:rPr>
              <w:tab/>
            </w:r>
            <w:r w:rsidR="00C054EE">
              <w:rPr>
                <w:noProof/>
                <w:webHidden/>
              </w:rPr>
              <w:fldChar w:fldCharType="begin"/>
            </w:r>
            <w:r w:rsidR="00C054EE">
              <w:rPr>
                <w:noProof/>
                <w:webHidden/>
              </w:rPr>
              <w:instrText xml:space="preserve"> PAGEREF _Toc69948134 \h </w:instrText>
            </w:r>
            <w:r w:rsidR="00C054EE">
              <w:rPr>
                <w:noProof/>
                <w:webHidden/>
              </w:rPr>
            </w:r>
            <w:r w:rsidR="00C054EE">
              <w:rPr>
                <w:noProof/>
                <w:webHidden/>
              </w:rPr>
              <w:fldChar w:fldCharType="separate"/>
            </w:r>
            <w:r w:rsidR="004C2E01">
              <w:rPr>
                <w:noProof/>
                <w:webHidden/>
              </w:rPr>
              <w:t>288</w:t>
            </w:r>
            <w:r w:rsidR="00C054EE">
              <w:rPr>
                <w:noProof/>
                <w:webHidden/>
              </w:rPr>
              <w:fldChar w:fldCharType="end"/>
            </w:r>
          </w:hyperlink>
        </w:p>
        <w:p w:rsidR="00C054EE" w:rsidRDefault="000D5832" w14:paraId="136331A8" w14:textId="65C4F2DA">
          <w:pPr>
            <w:pStyle w:val="TOC4"/>
            <w:tabs>
              <w:tab w:val="left" w:pos="2160"/>
              <w:tab w:val="right" w:leader="dot" w:pos="9350"/>
            </w:tabs>
            <w:rPr>
              <w:rFonts w:asciiTheme="minorHAnsi" w:hAnsiTheme="minorHAnsi" w:eastAsiaTheme="minorEastAsia" w:cstheme="minorBidi"/>
              <w:noProof/>
              <w:sz w:val="22"/>
              <w:szCs w:val="22"/>
            </w:rPr>
          </w:pPr>
          <w:hyperlink w:history="1" w:anchor="_Toc69948135">
            <w:r w:rsidRPr="00FD24A9" w:rsidR="00C054EE">
              <w:rPr>
                <w:rStyle w:val="Hyperlink"/>
                <w:noProof/>
              </w:rPr>
              <w:t>6.13.8.6.</w:t>
            </w:r>
            <w:r w:rsidR="00C054EE">
              <w:rPr>
                <w:rFonts w:asciiTheme="minorHAnsi" w:hAnsiTheme="minorHAnsi" w:eastAsiaTheme="minorEastAsia" w:cstheme="minorBidi"/>
                <w:noProof/>
                <w:sz w:val="22"/>
                <w:szCs w:val="22"/>
              </w:rPr>
              <w:tab/>
            </w:r>
            <w:r w:rsidRPr="00FD24A9" w:rsidR="00C054EE">
              <w:rPr>
                <w:rStyle w:val="Hyperlink"/>
                <w:noProof/>
              </w:rPr>
              <w:t>Reimbursing Training/ Certification Fees: Denied</w:t>
            </w:r>
            <w:r w:rsidR="00C054EE">
              <w:rPr>
                <w:noProof/>
                <w:webHidden/>
              </w:rPr>
              <w:tab/>
            </w:r>
            <w:r w:rsidR="00C054EE">
              <w:rPr>
                <w:noProof/>
                <w:webHidden/>
              </w:rPr>
              <w:fldChar w:fldCharType="begin"/>
            </w:r>
            <w:r w:rsidR="00C054EE">
              <w:rPr>
                <w:noProof/>
                <w:webHidden/>
              </w:rPr>
              <w:instrText xml:space="preserve"> PAGEREF _Toc69948135 \h </w:instrText>
            </w:r>
            <w:r w:rsidR="00C054EE">
              <w:rPr>
                <w:noProof/>
                <w:webHidden/>
              </w:rPr>
            </w:r>
            <w:r w:rsidR="00C054EE">
              <w:rPr>
                <w:noProof/>
                <w:webHidden/>
              </w:rPr>
              <w:fldChar w:fldCharType="separate"/>
            </w:r>
            <w:r w:rsidR="004C2E01">
              <w:rPr>
                <w:noProof/>
                <w:webHidden/>
              </w:rPr>
              <w:t>288</w:t>
            </w:r>
            <w:r w:rsidR="00C054EE">
              <w:rPr>
                <w:noProof/>
                <w:webHidden/>
              </w:rPr>
              <w:fldChar w:fldCharType="end"/>
            </w:r>
          </w:hyperlink>
        </w:p>
        <w:p w:rsidR="00C054EE" w:rsidRDefault="000D5832" w14:paraId="5F74C1D0" w14:textId="1953B5ED">
          <w:pPr>
            <w:pStyle w:val="TOC4"/>
            <w:tabs>
              <w:tab w:val="left" w:pos="2160"/>
              <w:tab w:val="right" w:leader="dot" w:pos="9350"/>
            </w:tabs>
            <w:rPr>
              <w:rFonts w:asciiTheme="minorHAnsi" w:hAnsiTheme="minorHAnsi" w:eastAsiaTheme="minorEastAsia" w:cstheme="minorBidi"/>
              <w:noProof/>
              <w:sz w:val="22"/>
              <w:szCs w:val="22"/>
            </w:rPr>
          </w:pPr>
          <w:hyperlink w:history="1" w:anchor="_Toc69948136">
            <w:r w:rsidRPr="00FD24A9" w:rsidR="00C054EE">
              <w:rPr>
                <w:rStyle w:val="Hyperlink"/>
                <w:noProof/>
              </w:rPr>
              <w:t>6.13.8.7.</w:t>
            </w:r>
            <w:r w:rsidR="00C054EE">
              <w:rPr>
                <w:rFonts w:asciiTheme="minorHAnsi" w:hAnsiTheme="minorHAnsi" w:eastAsiaTheme="minorEastAsia" w:cstheme="minorBidi"/>
                <w:noProof/>
                <w:sz w:val="22"/>
                <w:szCs w:val="22"/>
              </w:rPr>
              <w:tab/>
            </w:r>
            <w:r w:rsidRPr="00FD24A9" w:rsidR="00C054EE">
              <w:rPr>
                <w:rStyle w:val="Hyperlink"/>
                <w:noProof/>
              </w:rPr>
              <w:t>Modifying Background Checks: Approved with Modifications</w:t>
            </w:r>
            <w:r w:rsidR="00C054EE">
              <w:rPr>
                <w:noProof/>
                <w:webHidden/>
              </w:rPr>
              <w:tab/>
            </w:r>
            <w:r w:rsidR="00C054EE">
              <w:rPr>
                <w:noProof/>
                <w:webHidden/>
              </w:rPr>
              <w:fldChar w:fldCharType="begin"/>
            </w:r>
            <w:r w:rsidR="00C054EE">
              <w:rPr>
                <w:noProof/>
                <w:webHidden/>
              </w:rPr>
              <w:instrText xml:space="preserve"> PAGEREF _Toc69948136 \h </w:instrText>
            </w:r>
            <w:r w:rsidR="00C054EE">
              <w:rPr>
                <w:noProof/>
                <w:webHidden/>
              </w:rPr>
            </w:r>
            <w:r w:rsidR="00C054EE">
              <w:rPr>
                <w:noProof/>
                <w:webHidden/>
              </w:rPr>
              <w:fldChar w:fldCharType="separate"/>
            </w:r>
            <w:r w:rsidR="004C2E01">
              <w:rPr>
                <w:noProof/>
                <w:webHidden/>
              </w:rPr>
              <w:t>288</w:t>
            </w:r>
            <w:r w:rsidR="00C054EE">
              <w:rPr>
                <w:noProof/>
                <w:webHidden/>
              </w:rPr>
              <w:fldChar w:fldCharType="end"/>
            </w:r>
          </w:hyperlink>
        </w:p>
        <w:p w:rsidR="00C054EE" w:rsidRDefault="000D5832" w14:paraId="1D3C22DB" w14:textId="600DDB59">
          <w:pPr>
            <w:pStyle w:val="TOC2"/>
            <w:tabs>
              <w:tab w:val="left" w:pos="1296"/>
              <w:tab w:val="right" w:leader="dot" w:pos="9350"/>
            </w:tabs>
            <w:rPr>
              <w:rFonts w:asciiTheme="minorHAnsi" w:hAnsiTheme="minorHAnsi" w:cstheme="minorBidi"/>
              <w:noProof/>
              <w:sz w:val="22"/>
              <w:szCs w:val="22"/>
            </w:rPr>
          </w:pPr>
          <w:hyperlink w:history="1" w:anchor="_Toc69948137">
            <w:r w:rsidRPr="00FD24A9" w:rsidR="00C054EE">
              <w:rPr>
                <w:rStyle w:val="Hyperlink"/>
                <w:noProof/>
              </w:rPr>
              <w:t>6.14.</w:t>
            </w:r>
            <w:r w:rsidR="00C054EE">
              <w:rPr>
                <w:rFonts w:asciiTheme="minorHAnsi" w:hAnsiTheme="minorHAnsi" w:cstheme="minorBidi"/>
                <w:noProof/>
                <w:sz w:val="22"/>
                <w:szCs w:val="22"/>
              </w:rPr>
              <w:tab/>
            </w:r>
            <w:r w:rsidRPr="00FD24A9" w:rsidR="00C054EE">
              <w:rPr>
                <w:rStyle w:val="Hyperlink"/>
                <w:noProof/>
              </w:rPr>
              <w:t>ESA Program Solicitation/Contracting</w:t>
            </w:r>
            <w:r w:rsidR="00C054EE">
              <w:rPr>
                <w:noProof/>
                <w:webHidden/>
              </w:rPr>
              <w:tab/>
            </w:r>
            <w:r w:rsidR="00C054EE">
              <w:rPr>
                <w:noProof/>
                <w:webHidden/>
              </w:rPr>
              <w:fldChar w:fldCharType="begin"/>
            </w:r>
            <w:r w:rsidR="00C054EE">
              <w:rPr>
                <w:noProof/>
                <w:webHidden/>
              </w:rPr>
              <w:instrText xml:space="preserve"> PAGEREF _Toc69948137 \h </w:instrText>
            </w:r>
            <w:r w:rsidR="00C054EE">
              <w:rPr>
                <w:noProof/>
                <w:webHidden/>
              </w:rPr>
            </w:r>
            <w:r w:rsidR="00C054EE">
              <w:rPr>
                <w:noProof/>
                <w:webHidden/>
              </w:rPr>
              <w:fldChar w:fldCharType="separate"/>
            </w:r>
            <w:r w:rsidR="004C2E01">
              <w:rPr>
                <w:noProof/>
                <w:webHidden/>
              </w:rPr>
              <w:t>289</w:t>
            </w:r>
            <w:r w:rsidR="00C054EE">
              <w:rPr>
                <w:noProof/>
                <w:webHidden/>
              </w:rPr>
              <w:fldChar w:fldCharType="end"/>
            </w:r>
          </w:hyperlink>
        </w:p>
        <w:p w:rsidR="00C054EE" w:rsidRDefault="000D5832" w14:paraId="2711DA51" w14:textId="60F09089">
          <w:pPr>
            <w:pStyle w:val="TOC3"/>
            <w:tabs>
              <w:tab w:val="left" w:pos="1728"/>
              <w:tab w:val="right" w:leader="dot" w:pos="9350"/>
            </w:tabs>
            <w:rPr>
              <w:rFonts w:asciiTheme="minorHAnsi" w:hAnsiTheme="minorHAnsi" w:cstheme="minorBidi"/>
              <w:noProof/>
              <w:sz w:val="22"/>
              <w:szCs w:val="22"/>
            </w:rPr>
          </w:pPr>
          <w:hyperlink w:history="1" w:anchor="_Toc69948138">
            <w:r w:rsidRPr="00FD24A9" w:rsidR="00C054EE">
              <w:rPr>
                <w:rStyle w:val="Hyperlink"/>
                <w:noProof/>
              </w:rPr>
              <w:t>6.14.1.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_Toc69948138 \h </w:instrText>
            </w:r>
            <w:r w:rsidR="00C054EE">
              <w:rPr>
                <w:noProof/>
                <w:webHidden/>
              </w:rPr>
            </w:r>
            <w:r w:rsidR="00C054EE">
              <w:rPr>
                <w:noProof/>
                <w:webHidden/>
              </w:rPr>
              <w:fldChar w:fldCharType="separate"/>
            </w:r>
            <w:r w:rsidR="004C2E01">
              <w:rPr>
                <w:noProof/>
                <w:webHidden/>
              </w:rPr>
              <w:t>289</w:t>
            </w:r>
            <w:r w:rsidR="00C054EE">
              <w:rPr>
                <w:noProof/>
                <w:webHidden/>
              </w:rPr>
              <w:fldChar w:fldCharType="end"/>
            </w:r>
          </w:hyperlink>
        </w:p>
        <w:p w:rsidR="00C054EE" w:rsidRDefault="000D5832" w14:paraId="72F11616" w14:textId="1311F161">
          <w:pPr>
            <w:pStyle w:val="TOC3"/>
            <w:tabs>
              <w:tab w:val="left" w:pos="1728"/>
              <w:tab w:val="right" w:leader="dot" w:pos="9350"/>
            </w:tabs>
            <w:rPr>
              <w:rFonts w:asciiTheme="minorHAnsi" w:hAnsiTheme="minorHAnsi" w:cstheme="minorBidi"/>
              <w:noProof/>
              <w:sz w:val="22"/>
              <w:szCs w:val="22"/>
            </w:rPr>
          </w:pPr>
          <w:hyperlink w:history="1" w:anchor="_Toc69948139">
            <w:r w:rsidRPr="00FD24A9" w:rsidR="00C054EE">
              <w:rPr>
                <w:rStyle w:val="Hyperlink"/>
                <w:noProof/>
              </w:rPr>
              <w:t>6.14.2.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_Toc69948139 \h </w:instrText>
            </w:r>
            <w:r w:rsidR="00C054EE">
              <w:rPr>
                <w:noProof/>
                <w:webHidden/>
              </w:rPr>
            </w:r>
            <w:r w:rsidR="00C054EE">
              <w:rPr>
                <w:noProof/>
                <w:webHidden/>
              </w:rPr>
              <w:fldChar w:fldCharType="separate"/>
            </w:r>
            <w:r w:rsidR="004C2E01">
              <w:rPr>
                <w:noProof/>
                <w:webHidden/>
              </w:rPr>
              <w:t>289</w:t>
            </w:r>
            <w:r w:rsidR="00C054EE">
              <w:rPr>
                <w:noProof/>
                <w:webHidden/>
              </w:rPr>
              <w:fldChar w:fldCharType="end"/>
            </w:r>
          </w:hyperlink>
        </w:p>
        <w:p w:rsidR="00C054EE" w:rsidRDefault="000D5832" w14:paraId="25E940D5" w14:textId="0831698D">
          <w:pPr>
            <w:pStyle w:val="TOC3"/>
            <w:tabs>
              <w:tab w:val="left" w:pos="1728"/>
              <w:tab w:val="right" w:leader="dot" w:pos="9350"/>
            </w:tabs>
            <w:rPr>
              <w:rFonts w:asciiTheme="minorHAnsi" w:hAnsiTheme="minorHAnsi" w:cstheme="minorBidi"/>
              <w:noProof/>
              <w:sz w:val="22"/>
              <w:szCs w:val="22"/>
            </w:rPr>
          </w:pPr>
          <w:hyperlink w:history="1" w:anchor="_Toc69948140">
            <w:r w:rsidRPr="00FD24A9" w:rsidR="00C054EE">
              <w:rPr>
                <w:rStyle w:val="Hyperlink"/>
                <w:noProof/>
              </w:rPr>
              <w:t>6.14.3.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_Toc69948140 \h </w:instrText>
            </w:r>
            <w:r w:rsidR="00C054EE">
              <w:rPr>
                <w:noProof/>
                <w:webHidden/>
              </w:rPr>
            </w:r>
            <w:r w:rsidR="00C054EE">
              <w:rPr>
                <w:noProof/>
                <w:webHidden/>
              </w:rPr>
              <w:fldChar w:fldCharType="separate"/>
            </w:r>
            <w:r w:rsidR="004C2E01">
              <w:rPr>
                <w:noProof/>
                <w:webHidden/>
              </w:rPr>
              <w:t>290</w:t>
            </w:r>
            <w:r w:rsidR="00C054EE">
              <w:rPr>
                <w:noProof/>
                <w:webHidden/>
              </w:rPr>
              <w:fldChar w:fldCharType="end"/>
            </w:r>
          </w:hyperlink>
        </w:p>
        <w:p w:rsidR="00C054EE" w:rsidRDefault="000D5832" w14:paraId="0068E228" w14:textId="3A9C2C53">
          <w:pPr>
            <w:pStyle w:val="TOC3"/>
            <w:tabs>
              <w:tab w:val="left" w:pos="1728"/>
              <w:tab w:val="right" w:leader="dot" w:pos="9350"/>
            </w:tabs>
            <w:rPr>
              <w:rFonts w:asciiTheme="minorHAnsi" w:hAnsiTheme="minorHAnsi" w:cstheme="minorBidi"/>
              <w:noProof/>
              <w:sz w:val="22"/>
              <w:szCs w:val="22"/>
            </w:rPr>
          </w:pPr>
          <w:hyperlink w:history="1" w:anchor="_Toc69948141">
            <w:r w:rsidRPr="00FD24A9" w:rsidR="00C054EE">
              <w:rPr>
                <w:rStyle w:val="Hyperlink"/>
                <w:noProof/>
              </w:rPr>
              <w:t>6.14.4.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_Toc69948141 \h </w:instrText>
            </w:r>
            <w:r w:rsidR="00C054EE">
              <w:rPr>
                <w:noProof/>
                <w:webHidden/>
              </w:rPr>
            </w:r>
            <w:r w:rsidR="00C054EE">
              <w:rPr>
                <w:noProof/>
                <w:webHidden/>
              </w:rPr>
              <w:fldChar w:fldCharType="separate"/>
            </w:r>
            <w:r w:rsidR="004C2E01">
              <w:rPr>
                <w:noProof/>
                <w:webHidden/>
              </w:rPr>
              <w:t>290</w:t>
            </w:r>
            <w:r w:rsidR="00C054EE">
              <w:rPr>
                <w:noProof/>
                <w:webHidden/>
              </w:rPr>
              <w:fldChar w:fldCharType="end"/>
            </w:r>
          </w:hyperlink>
        </w:p>
        <w:p w:rsidR="00C054EE" w:rsidRDefault="000D5832" w14:paraId="52B8C38A" w14:textId="5633D6E6">
          <w:pPr>
            <w:pStyle w:val="TOC3"/>
            <w:tabs>
              <w:tab w:val="left" w:pos="1728"/>
              <w:tab w:val="right" w:leader="dot" w:pos="9350"/>
            </w:tabs>
            <w:rPr>
              <w:rFonts w:asciiTheme="minorHAnsi" w:hAnsiTheme="minorHAnsi" w:cstheme="minorBidi"/>
              <w:noProof/>
              <w:sz w:val="22"/>
              <w:szCs w:val="22"/>
            </w:rPr>
          </w:pPr>
          <w:hyperlink w:history="1" w:anchor="_Toc69948142">
            <w:r w:rsidRPr="00FD24A9" w:rsidR="00C054EE">
              <w:rPr>
                <w:rStyle w:val="Hyperlink"/>
                <w:noProof/>
              </w:rPr>
              <w:t>6.14.5.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_Toc69948142 \h </w:instrText>
            </w:r>
            <w:r w:rsidR="00C054EE">
              <w:rPr>
                <w:noProof/>
                <w:webHidden/>
              </w:rPr>
            </w:r>
            <w:r w:rsidR="00C054EE">
              <w:rPr>
                <w:noProof/>
                <w:webHidden/>
              </w:rPr>
              <w:fldChar w:fldCharType="separate"/>
            </w:r>
            <w:r w:rsidR="004C2E01">
              <w:rPr>
                <w:noProof/>
                <w:webHidden/>
              </w:rPr>
              <w:t>290</w:t>
            </w:r>
            <w:r w:rsidR="00C054EE">
              <w:rPr>
                <w:noProof/>
                <w:webHidden/>
              </w:rPr>
              <w:fldChar w:fldCharType="end"/>
            </w:r>
          </w:hyperlink>
        </w:p>
        <w:p w:rsidR="00C054EE" w:rsidRDefault="000D5832" w14:paraId="15326904" w14:textId="1E28F132">
          <w:pPr>
            <w:pStyle w:val="TOC3"/>
            <w:tabs>
              <w:tab w:val="left" w:pos="1728"/>
              <w:tab w:val="right" w:leader="dot" w:pos="9350"/>
            </w:tabs>
            <w:rPr>
              <w:rFonts w:asciiTheme="minorHAnsi" w:hAnsiTheme="minorHAnsi" w:cstheme="minorBidi"/>
              <w:noProof/>
              <w:sz w:val="22"/>
              <w:szCs w:val="22"/>
            </w:rPr>
          </w:pPr>
          <w:hyperlink w:history="1" w:anchor="_Toc69948143">
            <w:r w:rsidRPr="00FD24A9" w:rsidR="00C054EE">
              <w:rPr>
                <w:rStyle w:val="Hyperlink"/>
                <w:noProof/>
              </w:rPr>
              <w:t>6.14.6.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_Toc69948143 \h </w:instrText>
            </w:r>
            <w:r w:rsidR="00C054EE">
              <w:rPr>
                <w:noProof/>
                <w:webHidden/>
              </w:rPr>
            </w:r>
            <w:r w:rsidR="00C054EE">
              <w:rPr>
                <w:noProof/>
                <w:webHidden/>
              </w:rPr>
              <w:fldChar w:fldCharType="separate"/>
            </w:r>
            <w:r w:rsidR="004C2E01">
              <w:rPr>
                <w:noProof/>
                <w:webHidden/>
              </w:rPr>
              <w:t>291</w:t>
            </w:r>
            <w:r w:rsidR="00C054EE">
              <w:rPr>
                <w:noProof/>
                <w:webHidden/>
              </w:rPr>
              <w:fldChar w:fldCharType="end"/>
            </w:r>
          </w:hyperlink>
        </w:p>
        <w:p w:rsidR="00C054EE" w:rsidRDefault="000D5832" w14:paraId="49F3852F" w14:textId="28B3A12A">
          <w:pPr>
            <w:pStyle w:val="TOC4"/>
            <w:tabs>
              <w:tab w:val="left" w:pos="2160"/>
              <w:tab w:val="right" w:leader="dot" w:pos="9350"/>
            </w:tabs>
            <w:rPr>
              <w:rFonts w:asciiTheme="minorHAnsi" w:hAnsiTheme="minorHAnsi" w:eastAsiaTheme="minorEastAsia" w:cstheme="minorBidi"/>
              <w:noProof/>
              <w:sz w:val="22"/>
              <w:szCs w:val="22"/>
            </w:rPr>
          </w:pPr>
          <w:hyperlink w:history="1" w:anchor="_Toc69948144">
            <w:r w:rsidRPr="00FD24A9" w:rsidR="00C054EE">
              <w:rPr>
                <w:rStyle w:val="Hyperlink"/>
                <w:noProof/>
              </w:rPr>
              <w:t>6.14.6.1.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_Toc69948144 \h </w:instrText>
            </w:r>
            <w:r w:rsidR="00C054EE">
              <w:rPr>
                <w:noProof/>
                <w:webHidden/>
              </w:rPr>
            </w:r>
            <w:r w:rsidR="00C054EE">
              <w:rPr>
                <w:noProof/>
                <w:webHidden/>
              </w:rPr>
              <w:fldChar w:fldCharType="separate"/>
            </w:r>
            <w:r w:rsidR="004C2E01">
              <w:rPr>
                <w:noProof/>
                <w:webHidden/>
              </w:rPr>
              <w:t>291</w:t>
            </w:r>
            <w:r w:rsidR="00C054EE">
              <w:rPr>
                <w:noProof/>
                <w:webHidden/>
              </w:rPr>
              <w:fldChar w:fldCharType="end"/>
            </w:r>
          </w:hyperlink>
        </w:p>
        <w:p w:rsidR="00C054EE" w:rsidRDefault="000D5832" w14:paraId="1E4947E6" w14:textId="782A849E">
          <w:pPr>
            <w:pStyle w:val="TOC4"/>
            <w:tabs>
              <w:tab w:val="left" w:pos="2160"/>
              <w:tab w:val="right" w:leader="dot" w:pos="9350"/>
            </w:tabs>
            <w:rPr>
              <w:rFonts w:asciiTheme="minorHAnsi" w:hAnsiTheme="minorHAnsi" w:eastAsiaTheme="minorEastAsia" w:cstheme="minorBidi"/>
              <w:noProof/>
              <w:sz w:val="22"/>
              <w:szCs w:val="22"/>
            </w:rPr>
          </w:pPr>
          <w:hyperlink w:history="1" w:anchor="_Toc69948145">
            <w:r w:rsidRPr="00FD24A9" w:rsidR="00C054EE">
              <w:rPr>
                <w:rStyle w:val="Hyperlink"/>
                <w:noProof/>
              </w:rPr>
              <w:t>6.14.6.2.</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_Toc69948145 \h </w:instrText>
            </w:r>
            <w:r w:rsidR="00C054EE">
              <w:rPr>
                <w:noProof/>
                <w:webHidden/>
              </w:rPr>
            </w:r>
            <w:r w:rsidR="00C054EE">
              <w:rPr>
                <w:noProof/>
                <w:webHidden/>
              </w:rPr>
              <w:fldChar w:fldCharType="separate"/>
            </w:r>
            <w:r w:rsidR="004C2E01">
              <w:rPr>
                <w:noProof/>
                <w:webHidden/>
              </w:rPr>
              <w:t>292</w:t>
            </w:r>
            <w:r w:rsidR="00C054EE">
              <w:rPr>
                <w:noProof/>
                <w:webHidden/>
              </w:rPr>
              <w:fldChar w:fldCharType="end"/>
            </w:r>
          </w:hyperlink>
        </w:p>
        <w:p w:rsidR="00C054EE" w:rsidRDefault="000D5832" w14:paraId="7C5804A3" w14:textId="1EF2459D">
          <w:pPr>
            <w:pStyle w:val="TOC3"/>
            <w:tabs>
              <w:tab w:val="left" w:pos="1728"/>
              <w:tab w:val="right" w:leader="dot" w:pos="9350"/>
            </w:tabs>
            <w:rPr>
              <w:rFonts w:asciiTheme="minorHAnsi" w:hAnsiTheme="minorHAnsi" w:cstheme="minorBidi"/>
              <w:noProof/>
              <w:sz w:val="22"/>
              <w:szCs w:val="22"/>
            </w:rPr>
          </w:pPr>
          <w:hyperlink w:history="1" w:anchor="_Toc69948146">
            <w:r w:rsidRPr="00FD24A9" w:rsidR="00C054EE">
              <w:rPr>
                <w:rStyle w:val="Hyperlink"/>
                <w:noProof/>
              </w:rPr>
              <w:t>6.14.7.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_Toc69948146 \h </w:instrText>
            </w:r>
            <w:r w:rsidR="00C054EE">
              <w:rPr>
                <w:noProof/>
                <w:webHidden/>
              </w:rPr>
            </w:r>
            <w:r w:rsidR="00C054EE">
              <w:rPr>
                <w:noProof/>
                <w:webHidden/>
              </w:rPr>
              <w:fldChar w:fldCharType="separate"/>
            </w:r>
            <w:r w:rsidR="004C2E01">
              <w:rPr>
                <w:noProof/>
                <w:webHidden/>
              </w:rPr>
              <w:t>293</w:t>
            </w:r>
            <w:r w:rsidR="00C054EE">
              <w:rPr>
                <w:noProof/>
                <w:webHidden/>
              </w:rPr>
              <w:fldChar w:fldCharType="end"/>
            </w:r>
          </w:hyperlink>
        </w:p>
        <w:p w:rsidR="00C054EE" w:rsidRDefault="000D5832" w14:paraId="57B6E95C" w14:textId="7D0E86C0">
          <w:pPr>
            <w:pStyle w:val="TOC4"/>
            <w:tabs>
              <w:tab w:val="left" w:pos="2160"/>
              <w:tab w:val="right" w:leader="dot" w:pos="9350"/>
            </w:tabs>
            <w:rPr>
              <w:rFonts w:asciiTheme="minorHAnsi" w:hAnsiTheme="minorHAnsi" w:eastAsiaTheme="minorEastAsia" w:cstheme="minorBidi"/>
              <w:noProof/>
              <w:sz w:val="22"/>
              <w:szCs w:val="22"/>
            </w:rPr>
          </w:pPr>
          <w:hyperlink w:history="1" w:anchor="_Toc69948147">
            <w:r w:rsidRPr="00FD24A9" w:rsidR="00C054EE">
              <w:rPr>
                <w:rStyle w:val="Hyperlink"/>
                <w:noProof/>
              </w:rPr>
              <w:t>6.14.7.1.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_Toc69948147 \h </w:instrText>
            </w:r>
            <w:r w:rsidR="00C054EE">
              <w:rPr>
                <w:noProof/>
                <w:webHidden/>
              </w:rPr>
            </w:r>
            <w:r w:rsidR="00C054EE">
              <w:rPr>
                <w:noProof/>
                <w:webHidden/>
              </w:rPr>
              <w:fldChar w:fldCharType="separate"/>
            </w:r>
            <w:r w:rsidR="004C2E01">
              <w:rPr>
                <w:noProof/>
                <w:webHidden/>
              </w:rPr>
              <w:t>293</w:t>
            </w:r>
            <w:r w:rsidR="00C054EE">
              <w:rPr>
                <w:noProof/>
                <w:webHidden/>
              </w:rPr>
              <w:fldChar w:fldCharType="end"/>
            </w:r>
          </w:hyperlink>
        </w:p>
        <w:p w:rsidR="00C054EE" w:rsidRDefault="000D5832" w14:paraId="1F2349E9" w14:textId="0CA6EF5C">
          <w:pPr>
            <w:pStyle w:val="TOC4"/>
            <w:tabs>
              <w:tab w:val="left" w:pos="2160"/>
              <w:tab w:val="right" w:leader="dot" w:pos="9350"/>
            </w:tabs>
            <w:rPr>
              <w:rFonts w:asciiTheme="minorHAnsi" w:hAnsiTheme="minorHAnsi" w:eastAsiaTheme="minorEastAsia" w:cstheme="minorBidi"/>
              <w:noProof/>
              <w:sz w:val="22"/>
              <w:szCs w:val="22"/>
            </w:rPr>
          </w:pPr>
          <w:hyperlink w:history="1" w:anchor="_Toc69948148">
            <w:r w:rsidRPr="00FD24A9" w:rsidR="00C054EE">
              <w:rPr>
                <w:rStyle w:val="Hyperlink"/>
                <w:noProof/>
              </w:rPr>
              <w:t>6.14.7.2.</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_Toc69948148 \h </w:instrText>
            </w:r>
            <w:r w:rsidR="00C054EE">
              <w:rPr>
                <w:noProof/>
                <w:webHidden/>
              </w:rPr>
            </w:r>
            <w:r w:rsidR="00C054EE">
              <w:rPr>
                <w:noProof/>
                <w:webHidden/>
              </w:rPr>
              <w:fldChar w:fldCharType="separate"/>
            </w:r>
            <w:r w:rsidR="004C2E01">
              <w:rPr>
                <w:noProof/>
                <w:webHidden/>
              </w:rPr>
              <w:t>293</w:t>
            </w:r>
            <w:r w:rsidR="00C054EE">
              <w:rPr>
                <w:noProof/>
                <w:webHidden/>
              </w:rPr>
              <w:fldChar w:fldCharType="end"/>
            </w:r>
          </w:hyperlink>
        </w:p>
        <w:p w:rsidR="00C054EE" w:rsidRDefault="000D5832" w14:paraId="27D7412B" w14:textId="5FBB27BC">
          <w:pPr>
            <w:pStyle w:val="TOC3"/>
            <w:tabs>
              <w:tab w:val="left" w:pos="1728"/>
              <w:tab w:val="right" w:leader="dot" w:pos="9350"/>
            </w:tabs>
            <w:rPr>
              <w:rFonts w:asciiTheme="minorHAnsi" w:hAnsiTheme="minorHAnsi" w:cstheme="minorBidi"/>
              <w:noProof/>
              <w:sz w:val="22"/>
              <w:szCs w:val="22"/>
            </w:rPr>
          </w:pPr>
          <w:hyperlink w:history="1" w:anchor="_Toc69948149">
            <w:r w:rsidRPr="00FD24A9" w:rsidR="00C054EE">
              <w:rPr>
                <w:rStyle w:val="Hyperlink"/>
                <w:noProof/>
              </w:rPr>
              <w:t>6.14.8.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_Toc69948149 \h </w:instrText>
            </w:r>
            <w:r w:rsidR="00C054EE">
              <w:rPr>
                <w:noProof/>
                <w:webHidden/>
              </w:rPr>
            </w:r>
            <w:r w:rsidR="00C054EE">
              <w:rPr>
                <w:noProof/>
                <w:webHidden/>
              </w:rPr>
              <w:fldChar w:fldCharType="separate"/>
            </w:r>
            <w:r w:rsidR="004C2E01">
              <w:rPr>
                <w:noProof/>
                <w:webHidden/>
              </w:rPr>
              <w:t>294</w:t>
            </w:r>
            <w:r w:rsidR="00C054EE">
              <w:rPr>
                <w:noProof/>
                <w:webHidden/>
              </w:rPr>
              <w:fldChar w:fldCharType="end"/>
            </w:r>
          </w:hyperlink>
        </w:p>
        <w:p w:rsidR="00C054EE" w:rsidRDefault="000D5832" w14:paraId="07EBDA14" w14:textId="01C478EC">
          <w:pPr>
            <w:pStyle w:val="TOC4"/>
            <w:tabs>
              <w:tab w:val="left" w:pos="2160"/>
              <w:tab w:val="right" w:leader="dot" w:pos="9350"/>
            </w:tabs>
            <w:rPr>
              <w:rFonts w:asciiTheme="minorHAnsi" w:hAnsiTheme="minorHAnsi" w:eastAsiaTheme="minorEastAsia" w:cstheme="minorBidi"/>
              <w:noProof/>
              <w:sz w:val="22"/>
              <w:szCs w:val="22"/>
            </w:rPr>
          </w:pPr>
          <w:hyperlink w:history="1" w:anchor="_Toc69948150">
            <w:r w:rsidRPr="00FD24A9" w:rsidR="00C054EE">
              <w:rPr>
                <w:rStyle w:val="Hyperlink"/>
                <w:noProof/>
              </w:rPr>
              <w:t>6.14.8.1.</w:t>
            </w:r>
            <w:r w:rsidR="00C054EE">
              <w:rPr>
                <w:rFonts w:asciiTheme="minorHAnsi" w:hAnsiTheme="minorHAnsi" w:eastAsiaTheme="minorEastAsia" w:cstheme="minorBidi"/>
                <w:noProof/>
                <w:sz w:val="22"/>
                <w:szCs w:val="22"/>
              </w:rPr>
              <w:tab/>
            </w:r>
            <w:r w:rsidRPr="00FD24A9" w:rsidR="00C054EE">
              <w:rPr>
                <w:rStyle w:val="Hyperlink"/>
                <w:noProof/>
              </w:rPr>
              <w:t>Open Competitive Bidding: Approved with Modification</w:t>
            </w:r>
            <w:r w:rsidR="00C054EE">
              <w:rPr>
                <w:noProof/>
                <w:webHidden/>
              </w:rPr>
              <w:tab/>
            </w:r>
            <w:r w:rsidR="00C054EE">
              <w:rPr>
                <w:noProof/>
                <w:webHidden/>
              </w:rPr>
              <w:fldChar w:fldCharType="begin"/>
            </w:r>
            <w:r w:rsidR="00C054EE">
              <w:rPr>
                <w:noProof/>
                <w:webHidden/>
              </w:rPr>
              <w:instrText xml:space="preserve"> PAGEREF _Toc69948150 \h </w:instrText>
            </w:r>
            <w:r w:rsidR="00C054EE">
              <w:rPr>
                <w:noProof/>
                <w:webHidden/>
              </w:rPr>
            </w:r>
            <w:r w:rsidR="00C054EE">
              <w:rPr>
                <w:noProof/>
                <w:webHidden/>
              </w:rPr>
              <w:fldChar w:fldCharType="separate"/>
            </w:r>
            <w:r w:rsidR="004C2E01">
              <w:rPr>
                <w:noProof/>
                <w:webHidden/>
              </w:rPr>
              <w:t>294</w:t>
            </w:r>
            <w:r w:rsidR="00C054EE">
              <w:rPr>
                <w:noProof/>
                <w:webHidden/>
              </w:rPr>
              <w:fldChar w:fldCharType="end"/>
            </w:r>
          </w:hyperlink>
        </w:p>
        <w:p w:rsidR="00C054EE" w:rsidRDefault="000D5832" w14:paraId="7E19E15E" w14:textId="142AE278">
          <w:pPr>
            <w:pStyle w:val="TOC4"/>
            <w:tabs>
              <w:tab w:val="left" w:pos="2160"/>
              <w:tab w:val="right" w:leader="dot" w:pos="9350"/>
            </w:tabs>
            <w:rPr>
              <w:rFonts w:asciiTheme="minorHAnsi" w:hAnsiTheme="minorHAnsi" w:eastAsiaTheme="minorEastAsia" w:cstheme="minorBidi"/>
              <w:noProof/>
              <w:sz w:val="22"/>
              <w:szCs w:val="22"/>
            </w:rPr>
          </w:pPr>
          <w:hyperlink w:history="1" w:anchor="_Toc69948151">
            <w:r w:rsidRPr="00FD24A9" w:rsidR="00C054EE">
              <w:rPr>
                <w:rStyle w:val="Hyperlink"/>
                <w:noProof/>
              </w:rPr>
              <w:t>6.14.8.2.</w:t>
            </w:r>
            <w:r w:rsidR="00C054EE">
              <w:rPr>
                <w:rFonts w:asciiTheme="minorHAnsi" w:hAnsiTheme="minorHAnsi" w:eastAsiaTheme="minorEastAsia" w:cstheme="minorBidi"/>
                <w:noProof/>
                <w:sz w:val="22"/>
                <w:szCs w:val="22"/>
              </w:rPr>
              <w:tab/>
            </w:r>
            <w:r w:rsidRPr="00FD24A9" w:rsidR="00C054EE">
              <w:rPr>
                <w:rStyle w:val="Hyperlink"/>
                <w:noProof/>
              </w:rPr>
              <w:t>Third Party Solicitation: Denied</w:t>
            </w:r>
            <w:r w:rsidR="00C054EE">
              <w:rPr>
                <w:noProof/>
                <w:webHidden/>
              </w:rPr>
              <w:tab/>
            </w:r>
            <w:r w:rsidR="00C054EE">
              <w:rPr>
                <w:noProof/>
                <w:webHidden/>
              </w:rPr>
              <w:fldChar w:fldCharType="begin"/>
            </w:r>
            <w:r w:rsidR="00C054EE">
              <w:rPr>
                <w:noProof/>
                <w:webHidden/>
              </w:rPr>
              <w:instrText xml:space="preserve"> PAGEREF _Toc69948151 \h </w:instrText>
            </w:r>
            <w:r w:rsidR="00C054EE">
              <w:rPr>
                <w:noProof/>
                <w:webHidden/>
              </w:rPr>
            </w:r>
            <w:r w:rsidR="00C054EE">
              <w:rPr>
                <w:noProof/>
                <w:webHidden/>
              </w:rPr>
              <w:fldChar w:fldCharType="separate"/>
            </w:r>
            <w:r w:rsidR="004C2E01">
              <w:rPr>
                <w:noProof/>
                <w:webHidden/>
              </w:rPr>
              <w:t>295</w:t>
            </w:r>
            <w:r w:rsidR="00C054EE">
              <w:rPr>
                <w:noProof/>
                <w:webHidden/>
              </w:rPr>
              <w:fldChar w:fldCharType="end"/>
            </w:r>
          </w:hyperlink>
        </w:p>
        <w:p w:rsidR="00C054EE" w:rsidRDefault="000D5832" w14:paraId="41E7C484" w14:textId="21B15253">
          <w:pPr>
            <w:pStyle w:val="TOC4"/>
            <w:tabs>
              <w:tab w:val="left" w:pos="2160"/>
              <w:tab w:val="right" w:leader="dot" w:pos="9350"/>
            </w:tabs>
            <w:rPr>
              <w:rFonts w:asciiTheme="minorHAnsi" w:hAnsiTheme="minorHAnsi" w:eastAsiaTheme="minorEastAsia" w:cstheme="minorBidi"/>
              <w:noProof/>
              <w:sz w:val="22"/>
              <w:szCs w:val="22"/>
            </w:rPr>
          </w:pPr>
          <w:hyperlink w:history="1" w:anchor="_Toc69948152">
            <w:r w:rsidRPr="00FD24A9" w:rsidR="00C054EE">
              <w:rPr>
                <w:rStyle w:val="Hyperlink"/>
                <w:noProof/>
              </w:rPr>
              <w:t>6.14.8.3.</w:t>
            </w:r>
            <w:r w:rsidR="00C054EE">
              <w:rPr>
                <w:rFonts w:asciiTheme="minorHAnsi" w:hAnsiTheme="minorHAnsi" w:eastAsiaTheme="minorEastAsia" w:cstheme="minorBidi"/>
                <w:noProof/>
                <w:sz w:val="22"/>
                <w:szCs w:val="22"/>
              </w:rPr>
              <w:tab/>
            </w:r>
            <w:r w:rsidRPr="00FD24A9" w:rsidR="00C054EE">
              <w:rPr>
                <w:rStyle w:val="Hyperlink"/>
                <w:noProof/>
              </w:rPr>
              <w:t>Requirements for All Solicitation Processes: New</w:t>
            </w:r>
            <w:r w:rsidR="00C054EE">
              <w:rPr>
                <w:noProof/>
                <w:webHidden/>
              </w:rPr>
              <w:tab/>
            </w:r>
            <w:r w:rsidR="00C054EE">
              <w:rPr>
                <w:noProof/>
                <w:webHidden/>
              </w:rPr>
              <w:fldChar w:fldCharType="begin"/>
            </w:r>
            <w:r w:rsidR="00C054EE">
              <w:rPr>
                <w:noProof/>
                <w:webHidden/>
              </w:rPr>
              <w:instrText xml:space="preserve"> PAGEREF _Toc69948152 \h </w:instrText>
            </w:r>
            <w:r w:rsidR="00C054EE">
              <w:rPr>
                <w:noProof/>
                <w:webHidden/>
              </w:rPr>
            </w:r>
            <w:r w:rsidR="00C054EE">
              <w:rPr>
                <w:noProof/>
                <w:webHidden/>
              </w:rPr>
              <w:fldChar w:fldCharType="separate"/>
            </w:r>
            <w:r w:rsidR="004C2E01">
              <w:rPr>
                <w:noProof/>
                <w:webHidden/>
              </w:rPr>
              <w:t>296</w:t>
            </w:r>
            <w:r w:rsidR="00C054EE">
              <w:rPr>
                <w:noProof/>
                <w:webHidden/>
              </w:rPr>
              <w:fldChar w:fldCharType="end"/>
            </w:r>
          </w:hyperlink>
        </w:p>
        <w:p w:rsidR="00C054EE" w:rsidRDefault="000D5832" w14:paraId="736ACF0C" w14:textId="3A16ACD8">
          <w:pPr>
            <w:pStyle w:val="TOC2"/>
            <w:tabs>
              <w:tab w:val="left" w:pos="1296"/>
              <w:tab w:val="right" w:leader="dot" w:pos="9350"/>
            </w:tabs>
            <w:rPr>
              <w:rFonts w:asciiTheme="minorHAnsi" w:hAnsiTheme="minorHAnsi" w:cstheme="minorBidi"/>
              <w:noProof/>
              <w:sz w:val="22"/>
              <w:szCs w:val="22"/>
            </w:rPr>
          </w:pPr>
          <w:hyperlink w:history="1" w:anchor="_Toc69948153">
            <w:r w:rsidRPr="00FD24A9" w:rsidR="00C054EE">
              <w:rPr>
                <w:rStyle w:val="Hyperlink"/>
                <w:noProof/>
              </w:rPr>
              <w:t>6.15.</w:t>
            </w:r>
            <w:r w:rsidR="00C054EE">
              <w:rPr>
                <w:rFonts w:asciiTheme="minorHAnsi" w:hAnsiTheme="minorHAnsi" w:cstheme="minorBidi"/>
                <w:noProof/>
                <w:sz w:val="22"/>
                <w:szCs w:val="22"/>
              </w:rPr>
              <w:tab/>
            </w:r>
            <w:r w:rsidRPr="00FD24A9" w:rsidR="00C054EE">
              <w:rPr>
                <w:rStyle w:val="Hyperlink"/>
                <w:noProof/>
              </w:rPr>
              <w:t>ESA Budgets</w:t>
            </w:r>
            <w:r w:rsidR="00C054EE">
              <w:rPr>
                <w:noProof/>
                <w:webHidden/>
              </w:rPr>
              <w:tab/>
            </w:r>
            <w:r w:rsidR="00C054EE">
              <w:rPr>
                <w:noProof/>
                <w:webHidden/>
              </w:rPr>
              <w:fldChar w:fldCharType="begin"/>
            </w:r>
            <w:r w:rsidR="00C054EE">
              <w:rPr>
                <w:noProof/>
                <w:webHidden/>
              </w:rPr>
              <w:instrText xml:space="preserve"> PAGEREF _Toc69948153 \h </w:instrText>
            </w:r>
            <w:r w:rsidR="00C054EE">
              <w:rPr>
                <w:noProof/>
                <w:webHidden/>
              </w:rPr>
            </w:r>
            <w:r w:rsidR="00C054EE">
              <w:rPr>
                <w:noProof/>
                <w:webHidden/>
              </w:rPr>
              <w:fldChar w:fldCharType="separate"/>
            </w:r>
            <w:r w:rsidR="004C2E01">
              <w:rPr>
                <w:noProof/>
                <w:webHidden/>
              </w:rPr>
              <w:t>298</w:t>
            </w:r>
            <w:r w:rsidR="00C054EE">
              <w:rPr>
                <w:noProof/>
                <w:webHidden/>
              </w:rPr>
              <w:fldChar w:fldCharType="end"/>
            </w:r>
          </w:hyperlink>
        </w:p>
        <w:p w:rsidR="00C054EE" w:rsidRDefault="000D5832" w14:paraId="6395EA0E" w14:textId="5A15951C">
          <w:pPr>
            <w:pStyle w:val="TOC3"/>
            <w:tabs>
              <w:tab w:val="left" w:pos="1728"/>
              <w:tab w:val="right" w:leader="dot" w:pos="9350"/>
            </w:tabs>
            <w:rPr>
              <w:rFonts w:asciiTheme="minorHAnsi" w:hAnsiTheme="minorHAnsi" w:cstheme="minorBidi"/>
              <w:noProof/>
              <w:sz w:val="22"/>
              <w:szCs w:val="22"/>
            </w:rPr>
          </w:pPr>
          <w:hyperlink w:history="1" w:anchor="_Toc69948154">
            <w:r w:rsidRPr="00FD24A9" w:rsidR="00C054EE">
              <w:rPr>
                <w:rStyle w:val="Hyperlink"/>
                <w:noProof/>
              </w:rPr>
              <w:t>6.15.1.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_Toc69948154 \h </w:instrText>
            </w:r>
            <w:r w:rsidR="00C054EE">
              <w:rPr>
                <w:noProof/>
                <w:webHidden/>
              </w:rPr>
            </w:r>
            <w:r w:rsidR="00C054EE">
              <w:rPr>
                <w:noProof/>
                <w:webHidden/>
              </w:rPr>
              <w:fldChar w:fldCharType="separate"/>
            </w:r>
            <w:r w:rsidR="004C2E01">
              <w:rPr>
                <w:noProof/>
                <w:webHidden/>
              </w:rPr>
              <w:t>298</w:t>
            </w:r>
            <w:r w:rsidR="00C054EE">
              <w:rPr>
                <w:noProof/>
                <w:webHidden/>
              </w:rPr>
              <w:fldChar w:fldCharType="end"/>
            </w:r>
          </w:hyperlink>
        </w:p>
        <w:p w:rsidR="00C054EE" w:rsidRDefault="000D5832" w14:paraId="09410E1B" w14:textId="4BF9C945">
          <w:pPr>
            <w:pStyle w:val="TOC3"/>
            <w:tabs>
              <w:tab w:val="left" w:pos="1728"/>
              <w:tab w:val="right" w:leader="dot" w:pos="9350"/>
            </w:tabs>
            <w:rPr>
              <w:rFonts w:asciiTheme="minorHAnsi" w:hAnsiTheme="minorHAnsi" w:cstheme="minorBidi"/>
              <w:noProof/>
              <w:sz w:val="22"/>
              <w:szCs w:val="22"/>
            </w:rPr>
          </w:pPr>
          <w:hyperlink w:history="1" w:anchor="_Toc69948155">
            <w:r w:rsidRPr="00FD24A9" w:rsidR="00C054EE">
              <w:rPr>
                <w:rStyle w:val="Hyperlink"/>
                <w:noProof/>
              </w:rPr>
              <w:t>6.15.2.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_Toc69948155 \h </w:instrText>
            </w:r>
            <w:r w:rsidR="00C054EE">
              <w:rPr>
                <w:noProof/>
                <w:webHidden/>
              </w:rPr>
            </w:r>
            <w:r w:rsidR="00C054EE">
              <w:rPr>
                <w:noProof/>
                <w:webHidden/>
              </w:rPr>
              <w:fldChar w:fldCharType="separate"/>
            </w:r>
            <w:r w:rsidR="004C2E01">
              <w:rPr>
                <w:noProof/>
                <w:webHidden/>
              </w:rPr>
              <w:t>298</w:t>
            </w:r>
            <w:r w:rsidR="00C054EE">
              <w:rPr>
                <w:noProof/>
                <w:webHidden/>
              </w:rPr>
              <w:fldChar w:fldCharType="end"/>
            </w:r>
          </w:hyperlink>
        </w:p>
        <w:p w:rsidR="00C054EE" w:rsidRDefault="000D5832" w14:paraId="1FC6CE51" w14:textId="6E67929C">
          <w:pPr>
            <w:pStyle w:val="TOC3"/>
            <w:tabs>
              <w:tab w:val="left" w:pos="1728"/>
              <w:tab w:val="right" w:leader="dot" w:pos="9350"/>
            </w:tabs>
            <w:rPr>
              <w:rFonts w:asciiTheme="minorHAnsi" w:hAnsiTheme="minorHAnsi" w:cstheme="minorBidi"/>
              <w:noProof/>
              <w:sz w:val="22"/>
              <w:szCs w:val="22"/>
            </w:rPr>
          </w:pPr>
          <w:hyperlink w:history="1" w:anchor="_Toc69948156">
            <w:r w:rsidRPr="00FD24A9" w:rsidR="00C054EE">
              <w:rPr>
                <w:rStyle w:val="Hyperlink"/>
                <w:noProof/>
              </w:rPr>
              <w:t>6.15.3.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_Toc69948156 \h </w:instrText>
            </w:r>
            <w:r w:rsidR="00C054EE">
              <w:rPr>
                <w:noProof/>
                <w:webHidden/>
              </w:rPr>
            </w:r>
            <w:r w:rsidR="00C054EE">
              <w:rPr>
                <w:noProof/>
                <w:webHidden/>
              </w:rPr>
              <w:fldChar w:fldCharType="separate"/>
            </w:r>
            <w:r w:rsidR="004C2E01">
              <w:rPr>
                <w:noProof/>
                <w:webHidden/>
              </w:rPr>
              <w:t>299</w:t>
            </w:r>
            <w:r w:rsidR="00C054EE">
              <w:rPr>
                <w:noProof/>
                <w:webHidden/>
              </w:rPr>
              <w:fldChar w:fldCharType="end"/>
            </w:r>
          </w:hyperlink>
        </w:p>
        <w:p w:rsidR="00C054EE" w:rsidRDefault="000D5832" w14:paraId="28E5CF38" w14:textId="709E9242">
          <w:pPr>
            <w:pStyle w:val="TOC3"/>
            <w:tabs>
              <w:tab w:val="left" w:pos="1728"/>
              <w:tab w:val="right" w:leader="dot" w:pos="9350"/>
            </w:tabs>
            <w:rPr>
              <w:rFonts w:asciiTheme="minorHAnsi" w:hAnsiTheme="minorHAnsi" w:cstheme="minorBidi"/>
              <w:noProof/>
              <w:sz w:val="22"/>
              <w:szCs w:val="22"/>
            </w:rPr>
          </w:pPr>
          <w:hyperlink w:history="1" w:anchor="_Toc69948157">
            <w:r w:rsidRPr="00FD24A9" w:rsidR="00C054EE">
              <w:rPr>
                <w:rStyle w:val="Hyperlink"/>
                <w:noProof/>
              </w:rPr>
              <w:t>6.15.4.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_Toc69948157 \h </w:instrText>
            </w:r>
            <w:r w:rsidR="00C054EE">
              <w:rPr>
                <w:noProof/>
                <w:webHidden/>
              </w:rPr>
            </w:r>
            <w:r w:rsidR="00C054EE">
              <w:rPr>
                <w:noProof/>
                <w:webHidden/>
              </w:rPr>
              <w:fldChar w:fldCharType="separate"/>
            </w:r>
            <w:r w:rsidR="004C2E01">
              <w:rPr>
                <w:noProof/>
                <w:webHidden/>
              </w:rPr>
              <w:t>300</w:t>
            </w:r>
            <w:r w:rsidR="00C054EE">
              <w:rPr>
                <w:noProof/>
                <w:webHidden/>
              </w:rPr>
              <w:fldChar w:fldCharType="end"/>
            </w:r>
          </w:hyperlink>
        </w:p>
        <w:p w:rsidR="00C054EE" w:rsidRDefault="000D5832" w14:paraId="134B705D" w14:textId="3FEF816D">
          <w:pPr>
            <w:pStyle w:val="TOC3"/>
            <w:tabs>
              <w:tab w:val="left" w:pos="1728"/>
              <w:tab w:val="right" w:leader="dot" w:pos="9350"/>
            </w:tabs>
            <w:rPr>
              <w:rFonts w:asciiTheme="minorHAnsi" w:hAnsiTheme="minorHAnsi" w:cstheme="minorBidi"/>
              <w:noProof/>
              <w:sz w:val="22"/>
              <w:szCs w:val="22"/>
            </w:rPr>
          </w:pPr>
          <w:hyperlink w:history="1" w:anchor="_Toc69948158">
            <w:r w:rsidRPr="00FD24A9" w:rsidR="00C054EE">
              <w:rPr>
                <w:rStyle w:val="Hyperlink"/>
                <w:noProof/>
              </w:rPr>
              <w:t>6.15.5.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_Toc69948158 \h </w:instrText>
            </w:r>
            <w:r w:rsidR="00C054EE">
              <w:rPr>
                <w:noProof/>
                <w:webHidden/>
              </w:rPr>
            </w:r>
            <w:r w:rsidR="00C054EE">
              <w:rPr>
                <w:noProof/>
                <w:webHidden/>
              </w:rPr>
              <w:fldChar w:fldCharType="separate"/>
            </w:r>
            <w:r w:rsidR="004C2E01">
              <w:rPr>
                <w:noProof/>
                <w:webHidden/>
              </w:rPr>
              <w:t>300</w:t>
            </w:r>
            <w:r w:rsidR="00C054EE">
              <w:rPr>
                <w:noProof/>
                <w:webHidden/>
              </w:rPr>
              <w:fldChar w:fldCharType="end"/>
            </w:r>
          </w:hyperlink>
        </w:p>
        <w:p w:rsidR="00C054EE" w:rsidRDefault="000D5832" w14:paraId="50224B2B" w14:textId="0FA1835A">
          <w:pPr>
            <w:pStyle w:val="TOC3"/>
            <w:tabs>
              <w:tab w:val="left" w:pos="1728"/>
              <w:tab w:val="right" w:leader="dot" w:pos="9350"/>
            </w:tabs>
            <w:rPr>
              <w:rFonts w:asciiTheme="minorHAnsi" w:hAnsiTheme="minorHAnsi" w:cstheme="minorBidi"/>
              <w:noProof/>
              <w:sz w:val="22"/>
              <w:szCs w:val="22"/>
            </w:rPr>
          </w:pPr>
          <w:hyperlink w:history="1" w:anchor="_Toc69948159">
            <w:r w:rsidRPr="00FD24A9" w:rsidR="00C054EE">
              <w:rPr>
                <w:rStyle w:val="Hyperlink"/>
                <w:noProof/>
              </w:rPr>
              <w:t>6.15.6.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_Toc69948159 \h </w:instrText>
            </w:r>
            <w:r w:rsidR="00C054EE">
              <w:rPr>
                <w:noProof/>
                <w:webHidden/>
              </w:rPr>
            </w:r>
            <w:r w:rsidR="00C054EE">
              <w:rPr>
                <w:noProof/>
                <w:webHidden/>
              </w:rPr>
              <w:fldChar w:fldCharType="separate"/>
            </w:r>
            <w:r w:rsidR="004C2E01">
              <w:rPr>
                <w:noProof/>
                <w:webHidden/>
              </w:rPr>
              <w:t>301</w:t>
            </w:r>
            <w:r w:rsidR="00C054EE">
              <w:rPr>
                <w:noProof/>
                <w:webHidden/>
              </w:rPr>
              <w:fldChar w:fldCharType="end"/>
            </w:r>
          </w:hyperlink>
        </w:p>
        <w:p w:rsidR="00C054EE" w:rsidRDefault="000D5832" w14:paraId="4EAA90FA" w14:textId="18600799">
          <w:pPr>
            <w:pStyle w:val="TOC4"/>
            <w:tabs>
              <w:tab w:val="left" w:pos="2160"/>
              <w:tab w:val="right" w:leader="dot" w:pos="9350"/>
            </w:tabs>
            <w:rPr>
              <w:rFonts w:asciiTheme="minorHAnsi" w:hAnsiTheme="minorHAnsi" w:eastAsiaTheme="minorEastAsia" w:cstheme="minorBidi"/>
              <w:noProof/>
              <w:sz w:val="22"/>
              <w:szCs w:val="22"/>
            </w:rPr>
          </w:pPr>
          <w:hyperlink w:history="1" w:anchor="_Toc69948160">
            <w:r w:rsidRPr="00FD24A9" w:rsidR="00C054EE">
              <w:rPr>
                <w:rStyle w:val="Hyperlink"/>
                <w:noProof/>
              </w:rPr>
              <w:t>6.15.6.1.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_Toc69948160 \h </w:instrText>
            </w:r>
            <w:r w:rsidR="00C054EE">
              <w:rPr>
                <w:noProof/>
                <w:webHidden/>
              </w:rPr>
            </w:r>
            <w:r w:rsidR="00C054EE">
              <w:rPr>
                <w:noProof/>
                <w:webHidden/>
              </w:rPr>
              <w:fldChar w:fldCharType="separate"/>
            </w:r>
            <w:r w:rsidR="004C2E01">
              <w:rPr>
                <w:noProof/>
                <w:webHidden/>
              </w:rPr>
              <w:t>301</w:t>
            </w:r>
            <w:r w:rsidR="00C054EE">
              <w:rPr>
                <w:noProof/>
                <w:webHidden/>
              </w:rPr>
              <w:fldChar w:fldCharType="end"/>
            </w:r>
          </w:hyperlink>
        </w:p>
        <w:p w:rsidR="00C054EE" w:rsidRDefault="000D5832" w14:paraId="0088B74B" w14:textId="034323F1">
          <w:pPr>
            <w:pStyle w:val="TOC4"/>
            <w:tabs>
              <w:tab w:val="left" w:pos="2160"/>
              <w:tab w:val="right" w:leader="dot" w:pos="9350"/>
            </w:tabs>
            <w:rPr>
              <w:rFonts w:asciiTheme="minorHAnsi" w:hAnsiTheme="minorHAnsi" w:eastAsiaTheme="minorEastAsia" w:cstheme="minorBidi"/>
              <w:noProof/>
              <w:sz w:val="22"/>
              <w:szCs w:val="22"/>
            </w:rPr>
          </w:pPr>
          <w:hyperlink w:history="1" w:anchor="_Toc69948161">
            <w:r w:rsidRPr="00FD24A9" w:rsidR="00C054EE">
              <w:rPr>
                <w:rStyle w:val="Hyperlink"/>
                <w:noProof/>
              </w:rPr>
              <w:t>6.15.6.2.</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_Toc69948161 \h </w:instrText>
            </w:r>
            <w:r w:rsidR="00C054EE">
              <w:rPr>
                <w:noProof/>
                <w:webHidden/>
              </w:rPr>
            </w:r>
            <w:r w:rsidR="00C054EE">
              <w:rPr>
                <w:noProof/>
                <w:webHidden/>
              </w:rPr>
              <w:fldChar w:fldCharType="separate"/>
            </w:r>
            <w:r w:rsidR="004C2E01">
              <w:rPr>
                <w:noProof/>
                <w:webHidden/>
              </w:rPr>
              <w:t>304</w:t>
            </w:r>
            <w:r w:rsidR="00C054EE">
              <w:rPr>
                <w:noProof/>
                <w:webHidden/>
              </w:rPr>
              <w:fldChar w:fldCharType="end"/>
            </w:r>
          </w:hyperlink>
        </w:p>
        <w:p w:rsidR="00C054EE" w:rsidRDefault="000D5832" w14:paraId="17EC5E03" w14:textId="7A710E4A">
          <w:pPr>
            <w:pStyle w:val="TOC4"/>
            <w:tabs>
              <w:tab w:val="left" w:pos="2160"/>
              <w:tab w:val="right" w:leader="dot" w:pos="9350"/>
            </w:tabs>
            <w:rPr>
              <w:rFonts w:asciiTheme="minorHAnsi" w:hAnsiTheme="minorHAnsi" w:eastAsiaTheme="minorEastAsia" w:cstheme="minorBidi"/>
              <w:noProof/>
              <w:sz w:val="22"/>
              <w:szCs w:val="22"/>
            </w:rPr>
          </w:pPr>
          <w:hyperlink w:history="1" w:anchor="_Toc69948162">
            <w:r w:rsidRPr="00FD24A9" w:rsidR="00C054EE">
              <w:rPr>
                <w:rStyle w:val="Hyperlink"/>
                <w:noProof/>
              </w:rPr>
              <w:t>6.15.6.3.</w:t>
            </w:r>
            <w:r w:rsidR="00C054EE">
              <w:rPr>
                <w:rFonts w:asciiTheme="minorHAnsi" w:hAnsiTheme="minorHAnsi" w:eastAsiaTheme="minorEastAsia" w:cstheme="minorBidi"/>
                <w:noProof/>
                <w:sz w:val="22"/>
                <w:szCs w:val="22"/>
              </w:rPr>
              <w:tab/>
            </w:r>
            <w:r w:rsidRPr="00FD24A9" w:rsidR="00C054EE">
              <w:rPr>
                <w:rStyle w:val="Hyperlink"/>
                <w:noProof/>
              </w:rPr>
              <w:t>CETF</w:t>
            </w:r>
            <w:r w:rsidR="00C054EE">
              <w:rPr>
                <w:noProof/>
                <w:webHidden/>
              </w:rPr>
              <w:tab/>
            </w:r>
            <w:r w:rsidR="00C054EE">
              <w:rPr>
                <w:noProof/>
                <w:webHidden/>
              </w:rPr>
              <w:fldChar w:fldCharType="begin"/>
            </w:r>
            <w:r w:rsidR="00C054EE">
              <w:rPr>
                <w:noProof/>
                <w:webHidden/>
              </w:rPr>
              <w:instrText xml:space="preserve"> PAGEREF _Toc69948162 \h </w:instrText>
            </w:r>
            <w:r w:rsidR="00C054EE">
              <w:rPr>
                <w:noProof/>
                <w:webHidden/>
              </w:rPr>
            </w:r>
            <w:r w:rsidR="00C054EE">
              <w:rPr>
                <w:noProof/>
                <w:webHidden/>
              </w:rPr>
              <w:fldChar w:fldCharType="separate"/>
            </w:r>
            <w:r w:rsidR="004C2E01">
              <w:rPr>
                <w:noProof/>
                <w:webHidden/>
              </w:rPr>
              <w:t>305</w:t>
            </w:r>
            <w:r w:rsidR="00C054EE">
              <w:rPr>
                <w:noProof/>
                <w:webHidden/>
              </w:rPr>
              <w:fldChar w:fldCharType="end"/>
            </w:r>
          </w:hyperlink>
        </w:p>
        <w:p w:rsidR="00C054EE" w:rsidRDefault="000D5832" w14:paraId="61DF618C" w14:textId="10B0C9A0">
          <w:pPr>
            <w:pStyle w:val="TOC4"/>
            <w:tabs>
              <w:tab w:val="left" w:pos="2160"/>
              <w:tab w:val="right" w:leader="dot" w:pos="9350"/>
            </w:tabs>
            <w:rPr>
              <w:rFonts w:asciiTheme="minorHAnsi" w:hAnsiTheme="minorHAnsi" w:eastAsiaTheme="minorEastAsia" w:cstheme="minorBidi"/>
              <w:noProof/>
              <w:sz w:val="22"/>
              <w:szCs w:val="22"/>
            </w:rPr>
          </w:pPr>
          <w:hyperlink w:history="1" w:anchor="_Toc69948163">
            <w:r w:rsidRPr="00FD24A9" w:rsidR="00C054EE">
              <w:rPr>
                <w:rStyle w:val="Hyperlink"/>
                <w:noProof/>
              </w:rPr>
              <w:t>6.15.6.4.</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_Toc69948163 \h </w:instrText>
            </w:r>
            <w:r w:rsidR="00C054EE">
              <w:rPr>
                <w:noProof/>
                <w:webHidden/>
              </w:rPr>
            </w:r>
            <w:r w:rsidR="00C054EE">
              <w:rPr>
                <w:noProof/>
                <w:webHidden/>
              </w:rPr>
              <w:fldChar w:fldCharType="separate"/>
            </w:r>
            <w:r w:rsidR="004C2E01">
              <w:rPr>
                <w:noProof/>
                <w:webHidden/>
              </w:rPr>
              <w:t>305</w:t>
            </w:r>
            <w:r w:rsidR="00C054EE">
              <w:rPr>
                <w:noProof/>
                <w:webHidden/>
              </w:rPr>
              <w:fldChar w:fldCharType="end"/>
            </w:r>
          </w:hyperlink>
        </w:p>
        <w:p w:rsidR="00C054EE" w:rsidRDefault="000D5832" w14:paraId="51AE0FA3" w14:textId="7E7FF950">
          <w:pPr>
            <w:pStyle w:val="TOC4"/>
            <w:tabs>
              <w:tab w:val="left" w:pos="2160"/>
              <w:tab w:val="right" w:leader="dot" w:pos="9350"/>
            </w:tabs>
            <w:rPr>
              <w:rFonts w:asciiTheme="minorHAnsi" w:hAnsiTheme="minorHAnsi" w:eastAsiaTheme="minorEastAsia" w:cstheme="minorBidi"/>
              <w:noProof/>
              <w:sz w:val="22"/>
              <w:szCs w:val="22"/>
            </w:rPr>
          </w:pPr>
          <w:hyperlink w:history="1" w:anchor="_Toc69948164">
            <w:r w:rsidRPr="00FD24A9" w:rsidR="00C054EE">
              <w:rPr>
                <w:rStyle w:val="Hyperlink"/>
                <w:noProof/>
              </w:rPr>
              <w:t>6.15.6.5.</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_Toc69948164 \h </w:instrText>
            </w:r>
            <w:r w:rsidR="00C054EE">
              <w:rPr>
                <w:noProof/>
                <w:webHidden/>
              </w:rPr>
            </w:r>
            <w:r w:rsidR="00C054EE">
              <w:rPr>
                <w:noProof/>
                <w:webHidden/>
              </w:rPr>
              <w:fldChar w:fldCharType="separate"/>
            </w:r>
            <w:r w:rsidR="004C2E01">
              <w:rPr>
                <w:noProof/>
                <w:webHidden/>
              </w:rPr>
              <w:t>306</w:t>
            </w:r>
            <w:r w:rsidR="00C054EE">
              <w:rPr>
                <w:noProof/>
                <w:webHidden/>
              </w:rPr>
              <w:fldChar w:fldCharType="end"/>
            </w:r>
          </w:hyperlink>
        </w:p>
        <w:p w:rsidR="00C054EE" w:rsidRDefault="000D5832" w14:paraId="1D9AC538" w14:textId="3D4A898D">
          <w:pPr>
            <w:pStyle w:val="TOC3"/>
            <w:tabs>
              <w:tab w:val="left" w:pos="1728"/>
              <w:tab w:val="right" w:leader="dot" w:pos="9350"/>
            </w:tabs>
            <w:rPr>
              <w:rFonts w:asciiTheme="minorHAnsi" w:hAnsiTheme="minorHAnsi" w:cstheme="minorBidi"/>
              <w:noProof/>
              <w:sz w:val="22"/>
              <w:szCs w:val="22"/>
            </w:rPr>
          </w:pPr>
          <w:hyperlink w:history="1" w:anchor="_Toc69948165">
            <w:r w:rsidRPr="00FD24A9" w:rsidR="00C054EE">
              <w:rPr>
                <w:rStyle w:val="Hyperlink"/>
                <w:noProof/>
              </w:rPr>
              <w:t>6.15.7.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_Toc69948165 \h </w:instrText>
            </w:r>
            <w:r w:rsidR="00C054EE">
              <w:rPr>
                <w:noProof/>
                <w:webHidden/>
              </w:rPr>
            </w:r>
            <w:r w:rsidR="00C054EE">
              <w:rPr>
                <w:noProof/>
                <w:webHidden/>
              </w:rPr>
              <w:fldChar w:fldCharType="separate"/>
            </w:r>
            <w:r w:rsidR="004C2E01">
              <w:rPr>
                <w:noProof/>
                <w:webHidden/>
              </w:rPr>
              <w:t>306</w:t>
            </w:r>
            <w:r w:rsidR="00C054EE">
              <w:rPr>
                <w:noProof/>
                <w:webHidden/>
              </w:rPr>
              <w:fldChar w:fldCharType="end"/>
            </w:r>
          </w:hyperlink>
        </w:p>
        <w:p w:rsidR="00C054EE" w:rsidRDefault="000D5832" w14:paraId="558CC97D" w14:textId="5EA49F5F">
          <w:pPr>
            <w:pStyle w:val="TOC4"/>
            <w:tabs>
              <w:tab w:val="left" w:pos="2160"/>
              <w:tab w:val="right" w:leader="dot" w:pos="9350"/>
            </w:tabs>
            <w:rPr>
              <w:rFonts w:asciiTheme="minorHAnsi" w:hAnsiTheme="minorHAnsi" w:eastAsiaTheme="minorEastAsia" w:cstheme="minorBidi"/>
              <w:noProof/>
              <w:sz w:val="22"/>
              <w:szCs w:val="22"/>
            </w:rPr>
          </w:pPr>
          <w:hyperlink w:history="1" w:anchor="_Toc69948166">
            <w:r w:rsidRPr="00FD24A9" w:rsidR="00C054EE">
              <w:rPr>
                <w:rStyle w:val="Hyperlink"/>
                <w:noProof/>
              </w:rPr>
              <w:t>6.15.7.1.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_Toc69948166 \h </w:instrText>
            </w:r>
            <w:r w:rsidR="00C054EE">
              <w:rPr>
                <w:noProof/>
                <w:webHidden/>
              </w:rPr>
            </w:r>
            <w:r w:rsidR="00C054EE">
              <w:rPr>
                <w:noProof/>
                <w:webHidden/>
              </w:rPr>
              <w:fldChar w:fldCharType="separate"/>
            </w:r>
            <w:r w:rsidR="004C2E01">
              <w:rPr>
                <w:noProof/>
                <w:webHidden/>
              </w:rPr>
              <w:t>307</w:t>
            </w:r>
            <w:r w:rsidR="00C054EE">
              <w:rPr>
                <w:noProof/>
                <w:webHidden/>
              </w:rPr>
              <w:fldChar w:fldCharType="end"/>
            </w:r>
          </w:hyperlink>
        </w:p>
        <w:p w:rsidR="00C054EE" w:rsidRDefault="000D5832" w14:paraId="151A9994" w14:textId="75F83F69">
          <w:pPr>
            <w:pStyle w:val="TOC4"/>
            <w:tabs>
              <w:tab w:val="left" w:pos="2160"/>
              <w:tab w:val="right" w:leader="dot" w:pos="9350"/>
            </w:tabs>
            <w:rPr>
              <w:rFonts w:asciiTheme="minorHAnsi" w:hAnsiTheme="minorHAnsi" w:eastAsiaTheme="minorEastAsia" w:cstheme="minorBidi"/>
              <w:noProof/>
              <w:sz w:val="22"/>
              <w:szCs w:val="22"/>
            </w:rPr>
          </w:pPr>
          <w:hyperlink w:history="1" w:anchor="_Toc69948167">
            <w:r w:rsidRPr="00FD24A9" w:rsidR="00C054EE">
              <w:rPr>
                <w:rStyle w:val="Hyperlink"/>
                <w:noProof/>
              </w:rPr>
              <w:t>6.15.7.2.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_Toc69948167 \h </w:instrText>
            </w:r>
            <w:r w:rsidR="00C054EE">
              <w:rPr>
                <w:noProof/>
                <w:webHidden/>
              </w:rPr>
            </w:r>
            <w:r w:rsidR="00C054EE">
              <w:rPr>
                <w:noProof/>
                <w:webHidden/>
              </w:rPr>
              <w:fldChar w:fldCharType="separate"/>
            </w:r>
            <w:r w:rsidR="004C2E01">
              <w:rPr>
                <w:noProof/>
                <w:webHidden/>
              </w:rPr>
              <w:t>308</w:t>
            </w:r>
            <w:r w:rsidR="00C054EE">
              <w:rPr>
                <w:noProof/>
                <w:webHidden/>
              </w:rPr>
              <w:fldChar w:fldCharType="end"/>
            </w:r>
          </w:hyperlink>
        </w:p>
        <w:p w:rsidR="00C054EE" w:rsidRDefault="000D5832" w14:paraId="38827C16" w14:textId="2096E2CE">
          <w:pPr>
            <w:pStyle w:val="TOC4"/>
            <w:tabs>
              <w:tab w:val="left" w:pos="2160"/>
              <w:tab w:val="right" w:leader="dot" w:pos="9350"/>
            </w:tabs>
            <w:rPr>
              <w:rFonts w:asciiTheme="minorHAnsi" w:hAnsiTheme="minorHAnsi" w:eastAsiaTheme="minorEastAsia" w:cstheme="minorBidi"/>
              <w:noProof/>
              <w:sz w:val="22"/>
              <w:szCs w:val="22"/>
            </w:rPr>
          </w:pPr>
          <w:hyperlink w:history="1" w:anchor="_Toc69948168">
            <w:r w:rsidRPr="00FD24A9" w:rsidR="00C054EE">
              <w:rPr>
                <w:rStyle w:val="Hyperlink"/>
                <w:noProof/>
              </w:rPr>
              <w:t>6.15.7.3.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_Toc69948168 \h </w:instrText>
            </w:r>
            <w:r w:rsidR="00C054EE">
              <w:rPr>
                <w:noProof/>
                <w:webHidden/>
              </w:rPr>
            </w:r>
            <w:r w:rsidR="00C054EE">
              <w:rPr>
                <w:noProof/>
                <w:webHidden/>
              </w:rPr>
              <w:fldChar w:fldCharType="separate"/>
            </w:r>
            <w:r w:rsidR="004C2E01">
              <w:rPr>
                <w:noProof/>
                <w:webHidden/>
              </w:rPr>
              <w:t>309</w:t>
            </w:r>
            <w:r w:rsidR="00C054EE">
              <w:rPr>
                <w:noProof/>
                <w:webHidden/>
              </w:rPr>
              <w:fldChar w:fldCharType="end"/>
            </w:r>
          </w:hyperlink>
        </w:p>
        <w:p w:rsidR="00C054EE" w:rsidRDefault="000D5832" w14:paraId="00DF301D" w14:textId="0C9C5736">
          <w:pPr>
            <w:pStyle w:val="TOC4"/>
            <w:tabs>
              <w:tab w:val="left" w:pos="2160"/>
              <w:tab w:val="right" w:leader="dot" w:pos="9350"/>
            </w:tabs>
            <w:rPr>
              <w:rFonts w:asciiTheme="minorHAnsi" w:hAnsiTheme="minorHAnsi" w:eastAsiaTheme="minorEastAsia" w:cstheme="minorBidi"/>
              <w:noProof/>
              <w:sz w:val="22"/>
              <w:szCs w:val="22"/>
            </w:rPr>
          </w:pPr>
          <w:hyperlink w:history="1" w:anchor="_Toc69948169">
            <w:r w:rsidRPr="00FD24A9" w:rsidR="00C054EE">
              <w:rPr>
                <w:rStyle w:val="Hyperlink"/>
                <w:noProof/>
              </w:rPr>
              <w:t>6.15.7.4.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_Toc69948169 \h </w:instrText>
            </w:r>
            <w:r w:rsidR="00C054EE">
              <w:rPr>
                <w:noProof/>
                <w:webHidden/>
              </w:rPr>
            </w:r>
            <w:r w:rsidR="00C054EE">
              <w:rPr>
                <w:noProof/>
                <w:webHidden/>
              </w:rPr>
              <w:fldChar w:fldCharType="separate"/>
            </w:r>
            <w:r w:rsidR="004C2E01">
              <w:rPr>
                <w:noProof/>
                <w:webHidden/>
              </w:rPr>
              <w:t>309</w:t>
            </w:r>
            <w:r w:rsidR="00C054EE">
              <w:rPr>
                <w:noProof/>
                <w:webHidden/>
              </w:rPr>
              <w:fldChar w:fldCharType="end"/>
            </w:r>
          </w:hyperlink>
        </w:p>
        <w:p w:rsidR="00C054EE" w:rsidRDefault="000D5832" w14:paraId="0D456D07" w14:textId="426567C8">
          <w:pPr>
            <w:pStyle w:val="TOC3"/>
            <w:tabs>
              <w:tab w:val="left" w:pos="1728"/>
              <w:tab w:val="right" w:leader="dot" w:pos="9350"/>
            </w:tabs>
            <w:rPr>
              <w:rFonts w:asciiTheme="minorHAnsi" w:hAnsiTheme="minorHAnsi" w:cstheme="minorBidi"/>
              <w:noProof/>
              <w:sz w:val="22"/>
              <w:szCs w:val="22"/>
            </w:rPr>
          </w:pPr>
          <w:hyperlink w:history="1" w:anchor="_Toc69948170">
            <w:r w:rsidRPr="00FD24A9" w:rsidR="00C054EE">
              <w:rPr>
                <w:rStyle w:val="Hyperlink"/>
                <w:noProof/>
              </w:rPr>
              <w:t>6.15.8.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_Toc69948170 \h </w:instrText>
            </w:r>
            <w:r w:rsidR="00C054EE">
              <w:rPr>
                <w:noProof/>
                <w:webHidden/>
              </w:rPr>
            </w:r>
            <w:r w:rsidR="00C054EE">
              <w:rPr>
                <w:noProof/>
                <w:webHidden/>
              </w:rPr>
              <w:fldChar w:fldCharType="separate"/>
            </w:r>
            <w:r w:rsidR="004C2E01">
              <w:rPr>
                <w:noProof/>
                <w:webHidden/>
              </w:rPr>
              <w:t>310</w:t>
            </w:r>
            <w:r w:rsidR="00C054EE">
              <w:rPr>
                <w:noProof/>
                <w:webHidden/>
              </w:rPr>
              <w:fldChar w:fldCharType="end"/>
            </w:r>
          </w:hyperlink>
        </w:p>
        <w:p w:rsidR="00C054EE" w:rsidRDefault="000D5832" w14:paraId="3B746AA1" w14:textId="2B32B1F1">
          <w:pPr>
            <w:pStyle w:val="TOC4"/>
            <w:tabs>
              <w:tab w:val="left" w:pos="2160"/>
              <w:tab w:val="right" w:leader="dot" w:pos="9350"/>
            </w:tabs>
            <w:rPr>
              <w:rFonts w:asciiTheme="minorHAnsi" w:hAnsiTheme="minorHAnsi" w:eastAsiaTheme="minorEastAsia" w:cstheme="minorBidi"/>
              <w:noProof/>
              <w:sz w:val="22"/>
              <w:szCs w:val="22"/>
            </w:rPr>
          </w:pPr>
          <w:hyperlink w:history="1" w:anchor="_Toc69948171">
            <w:r w:rsidRPr="00FD24A9" w:rsidR="00C054EE">
              <w:rPr>
                <w:rStyle w:val="Hyperlink"/>
                <w:noProof/>
              </w:rPr>
              <w:t>6.15.8.1.</w:t>
            </w:r>
            <w:r w:rsidR="00C054EE">
              <w:rPr>
                <w:rFonts w:asciiTheme="minorHAnsi" w:hAnsiTheme="minorHAnsi" w:eastAsiaTheme="minorEastAsia" w:cstheme="minorBidi"/>
                <w:noProof/>
                <w:sz w:val="22"/>
                <w:szCs w:val="22"/>
              </w:rPr>
              <w:tab/>
            </w:r>
            <w:r w:rsidRPr="00FD24A9" w:rsidR="00C054EE">
              <w:rPr>
                <w:rStyle w:val="Hyperlink"/>
                <w:noProof/>
              </w:rPr>
              <w:t>IOUs’ Budgets: Approved with Modifications</w:t>
            </w:r>
            <w:r w:rsidR="00C054EE">
              <w:rPr>
                <w:noProof/>
                <w:webHidden/>
              </w:rPr>
              <w:tab/>
            </w:r>
            <w:r w:rsidR="00C054EE">
              <w:rPr>
                <w:noProof/>
                <w:webHidden/>
              </w:rPr>
              <w:fldChar w:fldCharType="begin"/>
            </w:r>
            <w:r w:rsidR="00C054EE">
              <w:rPr>
                <w:noProof/>
                <w:webHidden/>
              </w:rPr>
              <w:instrText xml:space="preserve"> PAGEREF _Toc69948171 \h </w:instrText>
            </w:r>
            <w:r w:rsidR="00C054EE">
              <w:rPr>
                <w:noProof/>
                <w:webHidden/>
              </w:rPr>
            </w:r>
            <w:r w:rsidR="00C054EE">
              <w:rPr>
                <w:noProof/>
                <w:webHidden/>
              </w:rPr>
              <w:fldChar w:fldCharType="separate"/>
            </w:r>
            <w:r w:rsidR="004C2E01">
              <w:rPr>
                <w:noProof/>
                <w:webHidden/>
              </w:rPr>
              <w:t>310</w:t>
            </w:r>
            <w:r w:rsidR="00C054EE">
              <w:rPr>
                <w:noProof/>
                <w:webHidden/>
              </w:rPr>
              <w:fldChar w:fldCharType="end"/>
            </w:r>
          </w:hyperlink>
        </w:p>
        <w:p w:rsidR="00C054EE" w:rsidRDefault="000D5832" w14:paraId="7C2B7398" w14:textId="247CFF5C">
          <w:pPr>
            <w:pStyle w:val="TOC4"/>
            <w:tabs>
              <w:tab w:val="left" w:pos="2160"/>
              <w:tab w:val="right" w:leader="dot" w:pos="9350"/>
            </w:tabs>
            <w:rPr>
              <w:rFonts w:asciiTheme="minorHAnsi" w:hAnsiTheme="minorHAnsi" w:eastAsiaTheme="minorEastAsia" w:cstheme="minorBidi"/>
              <w:noProof/>
              <w:sz w:val="22"/>
              <w:szCs w:val="22"/>
            </w:rPr>
          </w:pPr>
          <w:hyperlink w:history="1" w:anchor="_Toc69948172">
            <w:r w:rsidRPr="00FD24A9" w:rsidR="00C054EE">
              <w:rPr>
                <w:rStyle w:val="Hyperlink"/>
                <w:noProof/>
              </w:rPr>
              <w:t>6.15.8.2.</w:t>
            </w:r>
            <w:r w:rsidR="00C054EE">
              <w:rPr>
                <w:rFonts w:asciiTheme="minorHAnsi" w:hAnsiTheme="minorHAnsi" w:eastAsiaTheme="minorEastAsia" w:cstheme="minorBidi"/>
                <w:noProof/>
                <w:sz w:val="22"/>
                <w:szCs w:val="22"/>
              </w:rPr>
              <w:tab/>
            </w:r>
            <w:r w:rsidRPr="00FD24A9" w:rsidR="00C054EE">
              <w:rPr>
                <w:rStyle w:val="Hyperlink"/>
                <w:noProof/>
              </w:rPr>
              <w:t>PG&amp;E Budgets: Approved with Modifications</w:t>
            </w:r>
            <w:r w:rsidR="00C054EE">
              <w:rPr>
                <w:noProof/>
                <w:webHidden/>
              </w:rPr>
              <w:tab/>
            </w:r>
            <w:r w:rsidR="00C054EE">
              <w:rPr>
                <w:noProof/>
                <w:webHidden/>
              </w:rPr>
              <w:fldChar w:fldCharType="begin"/>
            </w:r>
            <w:r w:rsidR="00C054EE">
              <w:rPr>
                <w:noProof/>
                <w:webHidden/>
              </w:rPr>
              <w:instrText xml:space="preserve"> PAGEREF _Toc69948172 \h </w:instrText>
            </w:r>
            <w:r w:rsidR="00C054EE">
              <w:rPr>
                <w:noProof/>
                <w:webHidden/>
              </w:rPr>
            </w:r>
            <w:r w:rsidR="00C054EE">
              <w:rPr>
                <w:noProof/>
                <w:webHidden/>
              </w:rPr>
              <w:fldChar w:fldCharType="separate"/>
            </w:r>
            <w:r w:rsidR="004C2E01">
              <w:rPr>
                <w:noProof/>
                <w:webHidden/>
              </w:rPr>
              <w:t>313</w:t>
            </w:r>
            <w:r w:rsidR="00C054EE">
              <w:rPr>
                <w:noProof/>
                <w:webHidden/>
              </w:rPr>
              <w:fldChar w:fldCharType="end"/>
            </w:r>
          </w:hyperlink>
        </w:p>
        <w:p w:rsidR="00C054EE" w:rsidRDefault="000D5832" w14:paraId="29FE934B" w14:textId="13C29387">
          <w:pPr>
            <w:pStyle w:val="TOC4"/>
            <w:tabs>
              <w:tab w:val="left" w:pos="2160"/>
              <w:tab w:val="right" w:leader="dot" w:pos="9350"/>
            </w:tabs>
            <w:rPr>
              <w:rFonts w:asciiTheme="minorHAnsi" w:hAnsiTheme="minorHAnsi" w:eastAsiaTheme="minorEastAsia" w:cstheme="minorBidi"/>
              <w:noProof/>
              <w:sz w:val="22"/>
              <w:szCs w:val="22"/>
            </w:rPr>
          </w:pPr>
          <w:hyperlink w:history="1" w:anchor="_Toc69948173">
            <w:r w:rsidRPr="00FD24A9" w:rsidR="00C054EE">
              <w:rPr>
                <w:rStyle w:val="Hyperlink"/>
                <w:noProof/>
              </w:rPr>
              <w:t>6.15.8.3.</w:t>
            </w:r>
            <w:r w:rsidR="00C054EE">
              <w:rPr>
                <w:rFonts w:asciiTheme="minorHAnsi" w:hAnsiTheme="minorHAnsi" w:eastAsiaTheme="minorEastAsia" w:cstheme="minorBidi"/>
                <w:noProof/>
                <w:sz w:val="22"/>
                <w:szCs w:val="22"/>
              </w:rPr>
              <w:tab/>
            </w:r>
            <w:r w:rsidRPr="00FD24A9" w:rsidR="00C054EE">
              <w:rPr>
                <w:rStyle w:val="Hyperlink"/>
                <w:noProof/>
              </w:rPr>
              <w:t>SCE Budgets: Approved with Modifications</w:t>
            </w:r>
            <w:r w:rsidR="00C054EE">
              <w:rPr>
                <w:noProof/>
                <w:webHidden/>
              </w:rPr>
              <w:tab/>
            </w:r>
            <w:r w:rsidR="00C054EE">
              <w:rPr>
                <w:noProof/>
                <w:webHidden/>
              </w:rPr>
              <w:fldChar w:fldCharType="begin"/>
            </w:r>
            <w:r w:rsidR="00C054EE">
              <w:rPr>
                <w:noProof/>
                <w:webHidden/>
              </w:rPr>
              <w:instrText xml:space="preserve"> PAGEREF _Toc69948173 \h </w:instrText>
            </w:r>
            <w:r w:rsidR="00C054EE">
              <w:rPr>
                <w:noProof/>
                <w:webHidden/>
              </w:rPr>
            </w:r>
            <w:r w:rsidR="00C054EE">
              <w:rPr>
                <w:noProof/>
                <w:webHidden/>
              </w:rPr>
              <w:fldChar w:fldCharType="separate"/>
            </w:r>
            <w:r w:rsidR="004C2E01">
              <w:rPr>
                <w:noProof/>
                <w:webHidden/>
              </w:rPr>
              <w:t>314</w:t>
            </w:r>
            <w:r w:rsidR="00C054EE">
              <w:rPr>
                <w:noProof/>
                <w:webHidden/>
              </w:rPr>
              <w:fldChar w:fldCharType="end"/>
            </w:r>
          </w:hyperlink>
        </w:p>
        <w:p w:rsidR="00C054EE" w:rsidRDefault="000D5832" w14:paraId="26656E80" w14:textId="336C61D2">
          <w:pPr>
            <w:pStyle w:val="TOC4"/>
            <w:tabs>
              <w:tab w:val="left" w:pos="2160"/>
              <w:tab w:val="right" w:leader="dot" w:pos="9350"/>
            </w:tabs>
            <w:rPr>
              <w:rFonts w:asciiTheme="minorHAnsi" w:hAnsiTheme="minorHAnsi" w:eastAsiaTheme="minorEastAsia" w:cstheme="minorBidi"/>
              <w:noProof/>
              <w:sz w:val="22"/>
              <w:szCs w:val="22"/>
            </w:rPr>
          </w:pPr>
          <w:hyperlink w:history="1" w:anchor="_Toc69948174">
            <w:r w:rsidRPr="00FD24A9" w:rsidR="00C054EE">
              <w:rPr>
                <w:rStyle w:val="Hyperlink"/>
                <w:noProof/>
              </w:rPr>
              <w:t>6.15.8.4.</w:t>
            </w:r>
            <w:r w:rsidR="00C054EE">
              <w:rPr>
                <w:rFonts w:asciiTheme="minorHAnsi" w:hAnsiTheme="minorHAnsi" w:eastAsiaTheme="minorEastAsia" w:cstheme="minorBidi"/>
                <w:noProof/>
                <w:sz w:val="22"/>
                <w:szCs w:val="22"/>
              </w:rPr>
              <w:tab/>
            </w:r>
            <w:r w:rsidRPr="00FD24A9" w:rsidR="00C054EE">
              <w:rPr>
                <w:rStyle w:val="Hyperlink"/>
                <w:noProof/>
              </w:rPr>
              <w:t>SoCalGas Budgets: Approved with Modifications</w:t>
            </w:r>
            <w:r w:rsidR="00C054EE">
              <w:rPr>
                <w:noProof/>
                <w:webHidden/>
              </w:rPr>
              <w:tab/>
            </w:r>
            <w:r w:rsidR="00C054EE">
              <w:rPr>
                <w:noProof/>
                <w:webHidden/>
              </w:rPr>
              <w:fldChar w:fldCharType="begin"/>
            </w:r>
            <w:r w:rsidR="00C054EE">
              <w:rPr>
                <w:noProof/>
                <w:webHidden/>
              </w:rPr>
              <w:instrText xml:space="preserve"> PAGEREF _Toc69948174 \h </w:instrText>
            </w:r>
            <w:r w:rsidR="00C054EE">
              <w:rPr>
                <w:noProof/>
                <w:webHidden/>
              </w:rPr>
            </w:r>
            <w:r w:rsidR="00C054EE">
              <w:rPr>
                <w:noProof/>
                <w:webHidden/>
              </w:rPr>
              <w:fldChar w:fldCharType="separate"/>
            </w:r>
            <w:r w:rsidR="004C2E01">
              <w:rPr>
                <w:noProof/>
                <w:webHidden/>
              </w:rPr>
              <w:t>315</w:t>
            </w:r>
            <w:r w:rsidR="00C054EE">
              <w:rPr>
                <w:noProof/>
                <w:webHidden/>
              </w:rPr>
              <w:fldChar w:fldCharType="end"/>
            </w:r>
          </w:hyperlink>
        </w:p>
        <w:p w:rsidR="00C054EE" w:rsidRDefault="000D5832" w14:paraId="1C4CFE91" w14:textId="519F5010">
          <w:pPr>
            <w:pStyle w:val="TOC4"/>
            <w:tabs>
              <w:tab w:val="left" w:pos="2160"/>
              <w:tab w:val="right" w:leader="dot" w:pos="9350"/>
            </w:tabs>
            <w:rPr>
              <w:rFonts w:asciiTheme="minorHAnsi" w:hAnsiTheme="minorHAnsi" w:eastAsiaTheme="minorEastAsia" w:cstheme="minorBidi"/>
              <w:noProof/>
              <w:sz w:val="22"/>
              <w:szCs w:val="22"/>
            </w:rPr>
          </w:pPr>
          <w:hyperlink w:history="1" w:anchor="_Toc69948175">
            <w:r w:rsidRPr="00FD24A9" w:rsidR="00C054EE">
              <w:rPr>
                <w:rStyle w:val="Hyperlink"/>
                <w:noProof/>
              </w:rPr>
              <w:t>6.15.8.5.</w:t>
            </w:r>
            <w:r w:rsidR="00C054EE">
              <w:rPr>
                <w:rFonts w:asciiTheme="minorHAnsi" w:hAnsiTheme="minorHAnsi" w:eastAsiaTheme="minorEastAsia" w:cstheme="minorBidi"/>
                <w:noProof/>
                <w:sz w:val="22"/>
                <w:szCs w:val="22"/>
              </w:rPr>
              <w:tab/>
            </w:r>
            <w:r w:rsidRPr="00FD24A9" w:rsidR="00C054EE">
              <w:rPr>
                <w:rStyle w:val="Hyperlink"/>
                <w:noProof/>
              </w:rPr>
              <w:t>SDG&amp;E Budgets: Approved with Modifications</w:t>
            </w:r>
            <w:r w:rsidR="00C054EE">
              <w:rPr>
                <w:noProof/>
                <w:webHidden/>
              </w:rPr>
              <w:tab/>
            </w:r>
            <w:r w:rsidR="00C054EE">
              <w:rPr>
                <w:noProof/>
                <w:webHidden/>
              </w:rPr>
              <w:fldChar w:fldCharType="begin"/>
            </w:r>
            <w:r w:rsidR="00C054EE">
              <w:rPr>
                <w:noProof/>
                <w:webHidden/>
              </w:rPr>
              <w:instrText xml:space="preserve"> PAGEREF _Toc69948175 \h </w:instrText>
            </w:r>
            <w:r w:rsidR="00C054EE">
              <w:rPr>
                <w:noProof/>
                <w:webHidden/>
              </w:rPr>
            </w:r>
            <w:r w:rsidR="00C054EE">
              <w:rPr>
                <w:noProof/>
                <w:webHidden/>
              </w:rPr>
              <w:fldChar w:fldCharType="separate"/>
            </w:r>
            <w:r w:rsidR="004C2E01">
              <w:rPr>
                <w:noProof/>
                <w:webHidden/>
              </w:rPr>
              <w:t>315</w:t>
            </w:r>
            <w:r w:rsidR="00C054EE">
              <w:rPr>
                <w:noProof/>
                <w:webHidden/>
              </w:rPr>
              <w:fldChar w:fldCharType="end"/>
            </w:r>
          </w:hyperlink>
        </w:p>
        <w:p w:rsidR="00C054EE" w:rsidRDefault="000D5832" w14:paraId="50CEC0E3" w14:textId="1A1DC997">
          <w:pPr>
            <w:pStyle w:val="TOC4"/>
            <w:tabs>
              <w:tab w:val="left" w:pos="2160"/>
              <w:tab w:val="right" w:leader="dot" w:pos="9350"/>
            </w:tabs>
            <w:rPr>
              <w:rFonts w:asciiTheme="minorHAnsi" w:hAnsiTheme="minorHAnsi" w:eastAsiaTheme="minorEastAsia" w:cstheme="minorBidi"/>
              <w:noProof/>
              <w:sz w:val="22"/>
              <w:szCs w:val="22"/>
            </w:rPr>
          </w:pPr>
          <w:hyperlink w:history="1" w:anchor="_Toc69948176">
            <w:r w:rsidRPr="00FD24A9" w:rsidR="00C054EE">
              <w:rPr>
                <w:rStyle w:val="Hyperlink"/>
                <w:noProof/>
              </w:rPr>
              <w:t>6.15.8.6.</w:t>
            </w:r>
            <w:r w:rsidR="00C054EE">
              <w:rPr>
                <w:rFonts w:asciiTheme="minorHAnsi" w:hAnsiTheme="minorHAnsi" w:eastAsiaTheme="minorEastAsia" w:cstheme="minorBidi"/>
                <w:noProof/>
                <w:sz w:val="22"/>
                <w:szCs w:val="22"/>
              </w:rPr>
              <w:tab/>
            </w:r>
            <w:r w:rsidRPr="00FD24A9" w:rsidR="00C054EE">
              <w:rPr>
                <w:rStyle w:val="Hyperlink"/>
                <w:noProof/>
              </w:rPr>
              <w:t>10 percent Administrative Cap: Approved with Modifications</w:t>
            </w:r>
            <w:r w:rsidR="00C054EE">
              <w:rPr>
                <w:noProof/>
                <w:webHidden/>
              </w:rPr>
              <w:tab/>
            </w:r>
            <w:r w:rsidR="00C054EE">
              <w:rPr>
                <w:noProof/>
                <w:webHidden/>
              </w:rPr>
              <w:fldChar w:fldCharType="begin"/>
            </w:r>
            <w:r w:rsidR="00C054EE">
              <w:rPr>
                <w:noProof/>
                <w:webHidden/>
              </w:rPr>
              <w:instrText xml:space="preserve"> PAGEREF _Toc69948176 \h </w:instrText>
            </w:r>
            <w:r w:rsidR="00C054EE">
              <w:rPr>
                <w:noProof/>
                <w:webHidden/>
              </w:rPr>
            </w:r>
            <w:r w:rsidR="00C054EE">
              <w:rPr>
                <w:noProof/>
                <w:webHidden/>
              </w:rPr>
              <w:fldChar w:fldCharType="separate"/>
            </w:r>
            <w:r w:rsidR="004C2E01">
              <w:rPr>
                <w:noProof/>
                <w:webHidden/>
              </w:rPr>
              <w:t>316</w:t>
            </w:r>
            <w:r w:rsidR="00C054EE">
              <w:rPr>
                <w:noProof/>
                <w:webHidden/>
              </w:rPr>
              <w:fldChar w:fldCharType="end"/>
            </w:r>
          </w:hyperlink>
        </w:p>
        <w:p w:rsidR="00C054EE" w:rsidRDefault="000D5832" w14:paraId="26CAB7DB" w14:textId="2AE706C9">
          <w:pPr>
            <w:pStyle w:val="TOC4"/>
            <w:tabs>
              <w:tab w:val="left" w:pos="2160"/>
              <w:tab w:val="right" w:leader="dot" w:pos="9350"/>
            </w:tabs>
            <w:rPr>
              <w:rFonts w:asciiTheme="minorHAnsi" w:hAnsiTheme="minorHAnsi" w:eastAsiaTheme="minorEastAsia" w:cstheme="minorBidi"/>
              <w:noProof/>
              <w:sz w:val="22"/>
              <w:szCs w:val="22"/>
            </w:rPr>
          </w:pPr>
          <w:hyperlink w:history="1" w:anchor="_Toc69948177">
            <w:r w:rsidRPr="00FD24A9" w:rsidR="00C054EE">
              <w:rPr>
                <w:rStyle w:val="Hyperlink"/>
                <w:noProof/>
              </w:rPr>
              <w:t>6.15.8.7.</w:t>
            </w:r>
            <w:r w:rsidR="00C054EE">
              <w:rPr>
                <w:rFonts w:asciiTheme="minorHAnsi" w:hAnsiTheme="minorHAnsi" w:eastAsiaTheme="minorEastAsia" w:cstheme="minorBidi"/>
                <w:noProof/>
                <w:sz w:val="22"/>
                <w:szCs w:val="22"/>
              </w:rPr>
              <w:tab/>
            </w:r>
            <w:r w:rsidRPr="00FD24A9" w:rsidR="00C054EE">
              <w:rPr>
                <w:rStyle w:val="Hyperlink"/>
                <w:noProof/>
              </w:rPr>
              <w:t>Assessment of Administrative Cost Categories: Denied</w:t>
            </w:r>
            <w:r w:rsidR="00C054EE">
              <w:rPr>
                <w:noProof/>
                <w:webHidden/>
              </w:rPr>
              <w:tab/>
            </w:r>
            <w:r w:rsidR="00C054EE">
              <w:rPr>
                <w:noProof/>
                <w:webHidden/>
              </w:rPr>
              <w:fldChar w:fldCharType="begin"/>
            </w:r>
            <w:r w:rsidR="00C054EE">
              <w:rPr>
                <w:noProof/>
                <w:webHidden/>
              </w:rPr>
              <w:instrText xml:space="preserve"> PAGEREF _Toc69948177 \h </w:instrText>
            </w:r>
            <w:r w:rsidR="00C054EE">
              <w:rPr>
                <w:noProof/>
                <w:webHidden/>
              </w:rPr>
            </w:r>
            <w:r w:rsidR="00C054EE">
              <w:rPr>
                <w:noProof/>
                <w:webHidden/>
              </w:rPr>
              <w:fldChar w:fldCharType="separate"/>
            </w:r>
            <w:r w:rsidR="004C2E01">
              <w:rPr>
                <w:noProof/>
                <w:webHidden/>
              </w:rPr>
              <w:t>317</w:t>
            </w:r>
            <w:r w:rsidR="00C054EE">
              <w:rPr>
                <w:noProof/>
                <w:webHidden/>
              </w:rPr>
              <w:fldChar w:fldCharType="end"/>
            </w:r>
          </w:hyperlink>
        </w:p>
        <w:p w:rsidR="00C054EE" w:rsidRDefault="000D5832" w14:paraId="49FC1BE8" w14:textId="118B8D32">
          <w:pPr>
            <w:pStyle w:val="TOC4"/>
            <w:tabs>
              <w:tab w:val="left" w:pos="2160"/>
              <w:tab w:val="right" w:leader="dot" w:pos="9350"/>
            </w:tabs>
            <w:rPr>
              <w:rFonts w:asciiTheme="minorHAnsi" w:hAnsiTheme="minorHAnsi" w:eastAsiaTheme="minorEastAsia" w:cstheme="minorBidi"/>
              <w:noProof/>
              <w:sz w:val="22"/>
              <w:szCs w:val="22"/>
            </w:rPr>
          </w:pPr>
          <w:hyperlink w:history="1" w:anchor="_Toc69948178">
            <w:r w:rsidRPr="00FD24A9" w:rsidR="00C054EE">
              <w:rPr>
                <w:rStyle w:val="Hyperlink"/>
                <w:noProof/>
              </w:rPr>
              <w:t>6.15.8.8.</w:t>
            </w:r>
            <w:r w:rsidR="00C054EE">
              <w:rPr>
                <w:rFonts w:asciiTheme="minorHAnsi" w:hAnsiTheme="minorHAnsi" w:eastAsiaTheme="minorEastAsia" w:cstheme="minorBidi"/>
                <w:noProof/>
                <w:sz w:val="22"/>
                <w:szCs w:val="22"/>
              </w:rPr>
              <w:tab/>
            </w:r>
            <w:r w:rsidRPr="00FD24A9" w:rsidR="00C054EE">
              <w:rPr>
                <w:rStyle w:val="Hyperlink"/>
                <w:noProof/>
              </w:rPr>
              <w:t>Audit of SDG&amp;E’s Administrative Costs: Denied</w:t>
            </w:r>
            <w:r w:rsidR="00C054EE">
              <w:rPr>
                <w:noProof/>
                <w:webHidden/>
              </w:rPr>
              <w:tab/>
            </w:r>
            <w:r w:rsidR="00C054EE">
              <w:rPr>
                <w:noProof/>
                <w:webHidden/>
              </w:rPr>
              <w:fldChar w:fldCharType="begin"/>
            </w:r>
            <w:r w:rsidR="00C054EE">
              <w:rPr>
                <w:noProof/>
                <w:webHidden/>
              </w:rPr>
              <w:instrText xml:space="preserve"> PAGEREF _Toc69948178 \h </w:instrText>
            </w:r>
            <w:r w:rsidR="00C054EE">
              <w:rPr>
                <w:noProof/>
                <w:webHidden/>
              </w:rPr>
            </w:r>
            <w:r w:rsidR="00C054EE">
              <w:rPr>
                <w:noProof/>
                <w:webHidden/>
              </w:rPr>
              <w:fldChar w:fldCharType="separate"/>
            </w:r>
            <w:r w:rsidR="004C2E01">
              <w:rPr>
                <w:noProof/>
                <w:webHidden/>
              </w:rPr>
              <w:t>317</w:t>
            </w:r>
            <w:r w:rsidR="00C054EE">
              <w:rPr>
                <w:noProof/>
                <w:webHidden/>
              </w:rPr>
              <w:fldChar w:fldCharType="end"/>
            </w:r>
          </w:hyperlink>
        </w:p>
        <w:p w:rsidR="00C054EE" w:rsidRDefault="000D5832" w14:paraId="67C77AD4" w14:textId="71046BE7">
          <w:pPr>
            <w:pStyle w:val="TOC4"/>
            <w:tabs>
              <w:tab w:val="left" w:pos="2160"/>
              <w:tab w:val="right" w:leader="dot" w:pos="9350"/>
            </w:tabs>
            <w:rPr>
              <w:rFonts w:asciiTheme="minorHAnsi" w:hAnsiTheme="minorHAnsi" w:eastAsiaTheme="minorEastAsia" w:cstheme="minorBidi"/>
              <w:noProof/>
              <w:sz w:val="22"/>
              <w:szCs w:val="22"/>
            </w:rPr>
          </w:pPr>
          <w:hyperlink w:history="1" w:anchor="_Toc69948179">
            <w:r w:rsidRPr="00FD24A9" w:rsidR="00C054EE">
              <w:rPr>
                <w:rStyle w:val="Hyperlink"/>
                <w:noProof/>
              </w:rPr>
              <w:t>6.15.8.9.</w:t>
            </w:r>
            <w:r w:rsidR="00C054EE">
              <w:rPr>
                <w:rFonts w:asciiTheme="minorHAnsi" w:hAnsiTheme="minorHAnsi" w:eastAsiaTheme="minorEastAsia" w:cstheme="minorBidi"/>
                <w:noProof/>
                <w:sz w:val="22"/>
                <w:szCs w:val="22"/>
              </w:rPr>
              <w:tab/>
            </w:r>
            <w:r w:rsidRPr="00FD24A9" w:rsidR="00C054EE">
              <w:rPr>
                <w:rStyle w:val="Hyperlink"/>
                <w:noProof/>
              </w:rPr>
              <w:t>Requirement of Lowest Cost for Measures: Denied</w:t>
            </w:r>
            <w:r w:rsidR="00C054EE">
              <w:rPr>
                <w:noProof/>
                <w:webHidden/>
              </w:rPr>
              <w:tab/>
            </w:r>
            <w:r w:rsidR="00C054EE">
              <w:rPr>
                <w:noProof/>
                <w:webHidden/>
              </w:rPr>
              <w:fldChar w:fldCharType="begin"/>
            </w:r>
            <w:r w:rsidR="00C054EE">
              <w:rPr>
                <w:noProof/>
                <w:webHidden/>
              </w:rPr>
              <w:instrText xml:space="preserve"> PAGEREF _Toc69948179 \h </w:instrText>
            </w:r>
            <w:r w:rsidR="00C054EE">
              <w:rPr>
                <w:noProof/>
                <w:webHidden/>
              </w:rPr>
            </w:r>
            <w:r w:rsidR="00C054EE">
              <w:rPr>
                <w:noProof/>
                <w:webHidden/>
              </w:rPr>
              <w:fldChar w:fldCharType="separate"/>
            </w:r>
            <w:r w:rsidR="004C2E01">
              <w:rPr>
                <w:noProof/>
                <w:webHidden/>
              </w:rPr>
              <w:t>317</w:t>
            </w:r>
            <w:r w:rsidR="00C054EE">
              <w:rPr>
                <w:noProof/>
                <w:webHidden/>
              </w:rPr>
              <w:fldChar w:fldCharType="end"/>
            </w:r>
          </w:hyperlink>
        </w:p>
        <w:p w:rsidR="00C054EE" w:rsidRDefault="000D5832" w14:paraId="6AC01844" w14:textId="60742994">
          <w:pPr>
            <w:pStyle w:val="TOC4"/>
            <w:tabs>
              <w:tab w:val="left" w:pos="2160"/>
              <w:tab w:val="right" w:leader="dot" w:pos="9350"/>
            </w:tabs>
            <w:rPr>
              <w:rFonts w:asciiTheme="minorHAnsi" w:hAnsiTheme="minorHAnsi" w:eastAsiaTheme="minorEastAsia" w:cstheme="minorBidi"/>
              <w:noProof/>
              <w:sz w:val="22"/>
              <w:szCs w:val="22"/>
            </w:rPr>
          </w:pPr>
          <w:hyperlink w:history="1" w:anchor="_Toc69948180">
            <w:r w:rsidRPr="00FD24A9" w:rsidR="00C054EE">
              <w:rPr>
                <w:rStyle w:val="Hyperlink"/>
                <w:noProof/>
              </w:rPr>
              <w:t>6.15.8.10.</w:t>
            </w:r>
            <w:r w:rsidR="00C054EE">
              <w:rPr>
                <w:rFonts w:asciiTheme="minorHAnsi" w:hAnsiTheme="minorHAnsi" w:eastAsiaTheme="minorEastAsia" w:cstheme="minorBidi"/>
                <w:noProof/>
                <w:sz w:val="22"/>
                <w:szCs w:val="22"/>
              </w:rPr>
              <w:tab/>
            </w:r>
            <w:r w:rsidRPr="00FD24A9" w:rsidR="00C054EE">
              <w:rPr>
                <w:rStyle w:val="Hyperlink"/>
                <w:noProof/>
              </w:rPr>
              <w:t>Funding for Broadband Efforts: Approved per Joint Stipulation</w:t>
            </w:r>
            <w:r w:rsidR="00C054EE">
              <w:rPr>
                <w:noProof/>
                <w:webHidden/>
              </w:rPr>
              <w:tab/>
            </w:r>
            <w:r w:rsidR="00C054EE">
              <w:rPr>
                <w:noProof/>
                <w:webHidden/>
              </w:rPr>
              <w:fldChar w:fldCharType="begin"/>
            </w:r>
            <w:r w:rsidR="00C054EE">
              <w:rPr>
                <w:noProof/>
                <w:webHidden/>
              </w:rPr>
              <w:instrText xml:space="preserve"> PAGEREF _Toc69948180 \h </w:instrText>
            </w:r>
            <w:r w:rsidR="00C054EE">
              <w:rPr>
                <w:noProof/>
                <w:webHidden/>
              </w:rPr>
            </w:r>
            <w:r w:rsidR="00C054EE">
              <w:rPr>
                <w:noProof/>
                <w:webHidden/>
              </w:rPr>
              <w:fldChar w:fldCharType="separate"/>
            </w:r>
            <w:r w:rsidR="004C2E01">
              <w:rPr>
                <w:noProof/>
                <w:webHidden/>
              </w:rPr>
              <w:t>318</w:t>
            </w:r>
            <w:r w:rsidR="00C054EE">
              <w:rPr>
                <w:noProof/>
                <w:webHidden/>
              </w:rPr>
              <w:fldChar w:fldCharType="end"/>
            </w:r>
          </w:hyperlink>
        </w:p>
        <w:p w:rsidR="00C054EE" w:rsidRDefault="000D5832" w14:paraId="666FCF34" w14:textId="3F102018">
          <w:pPr>
            <w:pStyle w:val="TOC4"/>
            <w:tabs>
              <w:tab w:val="left" w:pos="2160"/>
              <w:tab w:val="right" w:leader="dot" w:pos="9350"/>
            </w:tabs>
            <w:rPr>
              <w:rFonts w:asciiTheme="minorHAnsi" w:hAnsiTheme="minorHAnsi" w:eastAsiaTheme="minorEastAsia" w:cstheme="minorBidi"/>
              <w:noProof/>
              <w:sz w:val="22"/>
              <w:szCs w:val="22"/>
            </w:rPr>
          </w:pPr>
          <w:hyperlink w:history="1" w:anchor="_Toc69948181">
            <w:r w:rsidRPr="00FD24A9" w:rsidR="00C054EE">
              <w:rPr>
                <w:rStyle w:val="Hyperlink"/>
                <w:noProof/>
              </w:rPr>
              <w:t>6.15.8.11.</w:t>
            </w:r>
            <w:r w:rsidR="00C054EE">
              <w:rPr>
                <w:rFonts w:asciiTheme="minorHAnsi" w:hAnsiTheme="minorHAnsi" w:eastAsiaTheme="minorEastAsia" w:cstheme="minorBidi"/>
                <w:noProof/>
                <w:sz w:val="22"/>
                <w:szCs w:val="22"/>
              </w:rPr>
              <w:tab/>
            </w:r>
            <w:r w:rsidRPr="00FD24A9" w:rsidR="00C054EE">
              <w:rPr>
                <w:rStyle w:val="Hyperlink"/>
                <w:noProof/>
              </w:rPr>
              <w:t>Use of Unspent Funds to Offset Future Collections: Approved with Modifications</w:t>
            </w:r>
            <w:r w:rsidR="00C054EE">
              <w:rPr>
                <w:noProof/>
                <w:webHidden/>
              </w:rPr>
              <w:tab/>
            </w:r>
            <w:r w:rsidR="00C054EE">
              <w:rPr>
                <w:noProof/>
                <w:webHidden/>
              </w:rPr>
              <w:fldChar w:fldCharType="begin"/>
            </w:r>
            <w:r w:rsidR="00C054EE">
              <w:rPr>
                <w:noProof/>
                <w:webHidden/>
              </w:rPr>
              <w:instrText xml:space="preserve"> PAGEREF _Toc69948181 \h </w:instrText>
            </w:r>
            <w:r w:rsidR="00C054EE">
              <w:rPr>
                <w:noProof/>
                <w:webHidden/>
              </w:rPr>
            </w:r>
            <w:r w:rsidR="00C054EE">
              <w:rPr>
                <w:noProof/>
                <w:webHidden/>
              </w:rPr>
              <w:fldChar w:fldCharType="separate"/>
            </w:r>
            <w:r w:rsidR="004C2E01">
              <w:rPr>
                <w:noProof/>
                <w:webHidden/>
              </w:rPr>
              <w:t>318</w:t>
            </w:r>
            <w:r w:rsidR="00C054EE">
              <w:rPr>
                <w:noProof/>
                <w:webHidden/>
              </w:rPr>
              <w:fldChar w:fldCharType="end"/>
            </w:r>
          </w:hyperlink>
        </w:p>
        <w:p w:rsidR="00C054EE" w:rsidRDefault="000D5832" w14:paraId="6A6CEA4F" w14:textId="29120EFF">
          <w:pPr>
            <w:pStyle w:val="TOC2"/>
            <w:tabs>
              <w:tab w:val="left" w:pos="1296"/>
              <w:tab w:val="right" w:leader="dot" w:pos="9350"/>
            </w:tabs>
            <w:rPr>
              <w:rFonts w:asciiTheme="minorHAnsi" w:hAnsiTheme="minorHAnsi" w:cstheme="minorBidi"/>
              <w:noProof/>
              <w:sz w:val="22"/>
              <w:szCs w:val="22"/>
            </w:rPr>
          </w:pPr>
          <w:hyperlink w:history="1" w:anchor="_Toc69948182">
            <w:r w:rsidRPr="00FD24A9" w:rsidR="00C054EE">
              <w:rPr>
                <w:rStyle w:val="Hyperlink"/>
                <w:noProof/>
              </w:rPr>
              <w:t>6.16.</w:t>
            </w:r>
            <w:r w:rsidR="00C054EE">
              <w:rPr>
                <w:rFonts w:asciiTheme="minorHAnsi" w:hAnsiTheme="minorHAnsi" w:cstheme="minorBidi"/>
                <w:noProof/>
                <w:sz w:val="22"/>
                <w:szCs w:val="22"/>
              </w:rPr>
              <w:tab/>
            </w:r>
            <w:r w:rsidRPr="00FD24A9" w:rsidR="00C054EE">
              <w:rPr>
                <w:rStyle w:val="Hyperlink"/>
                <w:noProof/>
              </w:rPr>
              <w:t>ESA Compliance Filing</w:t>
            </w:r>
            <w:r w:rsidR="00C054EE">
              <w:rPr>
                <w:noProof/>
                <w:webHidden/>
              </w:rPr>
              <w:tab/>
            </w:r>
            <w:r w:rsidR="00C054EE">
              <w:rPr>
                <w:noProof/>
                <w:webHidden/>
              </w:rPr>
              <w:fldChar w:fldCharType="begin"/>
            </w:r>
            <w:r w:rsidR="00C054EE">
              <w:rPr>
                <w:noProof/>
                <w:webHidden/>
              </w:rPr>
              <w:instrText xml:space="preserve"> PAGEREF _Toc69948182 \h </w:instrText>
            </w:r>
            <w:r w:rsidR="00C054EE">
              <w:rPr>
                <w:noProof/>
                <w:webHidden/>
              </w:rPr>
            </w:r>
            <w:r w:rsidR="00C054EE">
              <w:rPr>
                <w:noProof/>
                <w:webHidden/>
              </w:rPr>
              <w:fldChar w:fldCharType="separate"/>
            </w:r>
            <w:r w:rsidR="004C2E01">
              <w:rPr>
                <w:noProof/>
                <w:webHidden/>
              </w:rPr>
              <w:t>318</w:t>
            </w:r>
            <w:r w:rsidR="00C054EE">
              <w:rPr>
                <w:noProof/>
                <w:webHidden/>
              </w:rPr>
              <w:fldChar w:fldCharType="end"/>
            </w:r>
          </w:hyperlink>
        </w:p>
        <w:p w:rsidR="00C054EE" w:rsidRDefault="000D5832" w14:paraId="6F65D288" w14:textId="16BFC5CC">
          <w:pPr>
            <w:pStyle w:val="TOC1"/>
            <w:tabs>
              <w:tab w:val="right" w:leader="dot" w:pos="9350"/>
            </w:tabs>
            <w:rPr>
              <w:rFonts w:asciiTheme="minorHAnsi" w:hAnsiTheme="minorHAnsi" w:cstheme="minorBidi"/>
              <w:noProof/>
              <w:sz w:val="22"/>
              <w:szCs w:val="22"/>
            </w:rPr>
          </w:pPr>
          <w:hyperlink w:history="1" w:anchor="_Toc69948183">
            <w:r w:rsidRPr="00FD24A9" w:rsidR="00C054EE">
              <w:rPr>
                <w:rStyle w:val="Hyperlink"/>
                <w:noProof/>
              </w:rPr>
              <w:t>7.</w:t>
            </w:r>
            <w:r w:rsidR="00C054EE">
              <w:rPr>
                <w:rFonts w:asciiTheme="minorHAnsi" w:hAnsiTheme="minorHAnsi" w:cstheme="minorBidi"/>
                <w:noProof/>
                <w:sz w:val="22"/>
                <w:szCs w:val="22"/>
              </w:rPr>
              <w:tab/>
            </w:r>
            <w:r w:rsidRPr="00FD24A9" w:rsidR="00C054EE">
              <w:rPr>
                <w:rStyle w:val="Hyperlink"/>
                <w:noProof/>
              </w:rPr>
              <w:t>Multifamily Program</w:t>
            </w:r>
            <w:r w:rsidR="00C054EE">
              <w:rPr>
                <w:noProof/>
                <w:webHidden/>
              </w:rPr>
              <w:tab/>
            </w:r>
            <w:r w:rsidR="00C054EE">
              <w:rPr>
                <w:noProof/>
                <w:webHidden/>
              </w:rPr>
              <w:fldChar w:fldCharType="begin"/>
            </w:r>
            <w:r w:rsidR="00C054EE">
              <w:rPr>
                <w:noProof/>
                <w:webHidden/>
              </w:rPr>
              <w:instrText xml:space="preserve"> PAGEREF _Toc69948183 \h </w:instrText>
            </w:r>
            <w:r w:rsidR="00C054EE">
              <w:rPr>
                <w:noProof/>
                <w:webHidden/>
              </w:rPr>
            </w:r>
            <w:r w:rsidR="00C054EE">
              <w:rPr>
                <w:noProof/>
                <w:webHidden/>
              </w:rPr>
              <w:fldChar w:fldCharType="separate"/>
            </w:r>
            <w:r w:rsidR="004C2E01">
              <w:rPr>
                <w:noProof/>
                <w:webHidden/>
              </w:rPr>
              <w:t>319</w:t>
            </w:r>
            <w:r w:rsidR="00C054EE">
              <w:rPr>
                <w:noProof/>
                <w:webHidden/>
              </w:rPr>
              <w:fldChar w:fldCharType="end"/>
            </w:r>
          </w:hyperlink>
        </w:p>
        <w:p w:rsidR="00C054EE" w:rsidRDefault="000D5832" w14:paraId="304A9295" w14:textId="530A9F6E">
          <w:pPr>
            <w:pStyle w:val="TOC2"/>
            <w:tabs>
              <w:tab w:val="right" w:leader="dot" w:pos="9350"/>
            </w:tabs>
            <w:rPr>
              <w:rFonts w:asciiTheme="minorHAnsi" w:hAnsiTheme="minorHAnsi" w:cstheme="minorBidi"/>
              <w:noProof/>
              <w:sz w:val="22"/>
              <w:szCs w:val="22"/>
            </w:rPr>
          </w:pPr>
          <w:hyperlink w:history="1" w:anchor="_Toc69948184">
            <w:r w:rsidRPr="00FD24A9" w:rsidR="00C054EE">
              <w:rPr>
                <w:rStyle w:val="Hyperlink"/>
                <w:noProof/>
              </w:rPr>
              <w:t>7.1.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_Toc69948184 \h </w:instrText>
            </w:r>
            <w:r w:rsidR="00C054EE">
              <w:rPr>
                <w:noProof/>
                <w:webHidden/>
              </w:rPr>
            </w:r>
            <w:r w:rsidR="00C054EE">
              <w:rPr>
                <w:noProof/>
                <w:webHidden/>
              </w:rPr>
              <w:fldChar w:fldCharType="separate"/>
            </w:r>
            <w:r w:rsidR="004C2E01">
              <w:rPr>
                <w:noProof/>
                <w:webHidden/>
              </w:rPr>
              <w:t>319</w:t>
            </w:r>
            <w:r w:rsidR="00C054EE">
              <w:rPr>
                <w:noProof/>
                <w:webHidden/>
              </w:rPr>
              <w:fldChar w:fldCharType="end"/>
            </w:r>
          </w:hyperlink>
        </w:p>
        <w:p w:rsidR="00C054EE" w:rsidRDefault="000D5832" w14:paraId="37E63C9D" w14:textId="7B959D5B">
          <w:pPr>
            <w:pStyle w:val="TOC2"/>
            <w:tabs>
              <w:tab w:val="right" w:leader="dot" w:pos="9350"/>
            </w:tabs>
            <w:rPr>
              <w:rFonts w:asciiTheme="minorHAnsi" w:hAnsiTheme="minorHAnsi" w:cstheme="minorBidi"/>
              <w:noProof/>
              <w:sz w:val="22"/>
              <w:szCs w:val="22"/>
            </w:rPr>
          </w:pPr>
          <w:hyperlink w:history="1" w:anchor="_Toc69948185">
            <w:r w:rsidRPr="00FD24A9" w:rsidR="00C054EE">
              <w:rPr>
                <w:rStyle w:val="Hyperlink"/>
                <w:noProof/>
              </w:rPr>
              <w:t>7.2.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_Toc69948185 \h </w:instrText>
            </w:r>
            <w:r w:rsidR="00C054EE">
              <w:rPr>
                <w:noProof/>
                <w:webHidden/>
              </w:rPr>
            </w:r>
            <w:r w:rsidR="00C054EE">
              <w:rPr>
                <w:noProof/>
                <w:webHidden/>
              </w:rPr>
              <w:fldChar w:fldCharType="separate"/>
            </w:r>
            <w:r w:rsidR="004C2E01">
              <w:rPr>
                <w:noProof/>
                <w:webHidden/>
              </w:rPr>
              <w:t>322</w:t>
            </w:r>
            <w:r w:rsidR="00C054EE">
              <w:rPr>
                <w:noProof/>
                <w:webHidden/>
              </w:rPr>
              <w:fldChar w:fldCharType="end"/>
            </w:r>
          </w:hyperlink>
        </w:p>
        <w:p w:rsidR="00C054EE" w:rsidRDefault="000D5832" w14:paraId="16B02EC0" w14:textId="086B7743">
          <w:pPr>
            <w:pStyle w:val="TOC2"/>
            <w:tabs>
              <w:tab w:val="right" w:leader="dot" w:pos="9350"/>
            </w:tabs>
            <w:rPr>
              <w:rFonts w:asciiTheme="minorHAnsi" w:hAnsiTheme="minorHAnsi" w:cstheme="minorBidi"/>
              <w:noProof/>
              <w:sz w:val="22"/>
              <w:szCs w:val="22"/>
            </w:rPr>
          </w:pPr>
          <w:hyperlink w:history="1" w:anchor="_Toc69948186">
            <w:r w:rsidRPr="00FD24A9" w:rsidR="00C054EE">
              <w:rPr>
                <w:rStyle w:val="Hyperlink"/>
                <w:noProof/>
              </w:rPr>
              <w:t>7.3.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_Toc69948186 \h </w:instrText>
            </w:r>
            <w:r w:rsidR="00C054EE">
              <w:rPr>
                <w:noProof/>
                <w:webHidden/>
              </w:rPr>
            </w:r>
            <w:r w:rsidR="00C054EE">
              <w:rPr>
                <w:noProof/>
                <w:webHidden/>
              </w:rPr>
              <w:fldChar w:fldCharType="separate"/>
            </w:r>
            <w:r w:rsidR="004C2E01">
              <w:rPr>
                <w:noProof/>
                <w:webHidden/>
              </w:rPr>
              <w:t>326</w:t>
            </w:r>
            <w:r w:rsidR="00C054EE">
              <w:rPr>
                <w:noProof/>
                <w:webHidden/>
              </w:rPr>
              <w:fldChar w:fldCharType="end"/>
            </w:r>
          </w:hyperlink>
        </w:p>
        <w:p w:rsidR="00C054EE" w:rsidRDefault="000D5832" w14:paraId="7FFE3BCF" w14:textId="0C6AF61D">
          <w:pPr>
            <w:pStyle w:val="TOC2"/>
            <w:tabs>
              <w:tab w:val="right" w:leader="dot" w:pos="9350"/>
            </w:tabs>
            <w:rPr>
              <w:rFonts w:asciiTheme="minorHAnsi" w:hAnsiTheme="minorHAnsi" w:cstheme="minorBidi"/>
              <w:noProof/>
              <w:sz w:val="22"/>
              <w:szCs w:val="22"/>
            </w:rPr>
          </w:pPr>
          <w:hyperlink w:history="1" w:anchor="_Toc69948187">
            <w:r w:rsidRPr="00FD24A9" w:rsidR="00C054EE">
              <w:rPr>
                <w:rStyle w:val="Hyperlink"/>
                <w:noProof/>
              </w:rPr>
              <w:t>7.4.</w:t>
            </w:r>
            <w:r w:rsidR="00C054EE">
              <w:rPr>
                <w:rFonts w:asciiTheme="minorHAnsi" w:hAnsiTheme="minorHAnsi"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_Toc69948187 \h </w:instrText>
            </w:r>
            <w:r w:rsidR="00C054EE">
              <w:rPr>
                <w:noProof/>
                <w:webHidden/>
              </w:rPr>
            </w:r>
            <w:r w:rsidR="00C054EE">
              <w:rPr>
                <w:noProof/>
                <w:webHidden/>
              </w:rPr>
              <w:fldChar w:fldCharType="separate"/>
            </w:r>
            <w:r w:rsidR="004C2E01">
              <w:rPr>
                <w:noProof/>
                <w:webHidden/>
              </w:rPr>
              <w:t>329</w:t>
            </w:r>
            <w:r w:rsidR="00C054EE">
              <w:rPr>
                <w:noProof/>
                <w:webHidden/>
              </w:rPr>
              <w:fldChar w:fldCharType="end"/>
            </w:r>
          </w:hyperlink>
        </w:p>
        <w:p w:rsidR="00C054EE" w:rsidRDefault="000D5832" w14:paraId="57498004" w14:textId="39AE261E">
          <w:pPr>
            <w:pStyle w:val="TOC2"/>
            <w:tabs>
              <w:tab w:val="right" w:leader="dot" w:pos="9350"/>
            </w:tabs>
            <w:rPr>
              <w:rFonts w:asciiTheme="minorHAnsi" w:hAnsiTheme="minorHAnsi" w:cstheme="minorBidi"/>
              <w:noProof/>
              <w:sz w:val="22"/>
              <w:szCs w:val="22"/>
            </w:rPr>
          </w:pPr>
          <w:hyperlink w:history="1" w:anchor="_Toc69948188">
            <w:r w:rsidRPr="00FD24A9" w:rsidR="00C054EE">
              <w:rPr>
                <w:rStyle w:val="Hyperlink"/>
                <w:noProof/>
              </w:rPr>
              <w:t>7.5.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_Toc69948188 \h </w:instrText>
            </w:r>
            <w:r w:rsidR="00C054EE">
              <w:rPr>
                <w:noProof/>
                <w:webHidden/>
              </w:rPr>
            </w:r>
            <w:r w:rsidR="00C054EE">
              <w:rPr>
                <w:noProof/>
                <w:webHidden/>
              </w:rPr>
              <w:fldChar w:fldCharType="separate"/>
            </w:r>
            <w:r w:rsidR="004C2E01">
              <w:rPr>
                <w:noProof/>
                <w:webHidden/>
              </w:rPr>
              <w:t>332</w:t>
            </w:r>
            <w:r w:rsidR="00C054EE">
              <w:rPr>
                <w:noProof/>
                <w:webHidden/>
              </w:rPr>
              <w:fldChar w:fldCharType="end"/>
            </w:r>
          </w:hyperlink>
        </w:p>
        <w:p w:rsidR="00C054EE" w:rsidRDefault="000D5832" w14:paraId="39C0F132" w14:textId="362B168B">
          <w:pPr>
            <w:pStyle w:val="TOC2"/>
            <w:tabs>
              <w:tab w:val="right" w:leader="dot" w:pos="9350"/>
            </w:tabs>
            <w:rPr>
              <w:rFonts w:asciiTheme="minorHAnsi" w:hAnsiTheme="minorHAnsi" w:cstheme="minorBidi"/>
              <w:noProof/>
              <w:sz w:val="22"/>
              <w:szCs w:val="22"/>
            </w:rPr>
          </w:pPr>
          <w:hyperlink w:history="1" w:anchor="_Toc69948189">
            <w:r w:rsidRPr="00FD24A9" w:rsidR="00C054EE">
              <w:rPr>
                <w:rStyle w:val="Hyperlink"/>
                <w:noProof/>
              </w:rPr>
              <w:t>7.6.</w:t>
            </w:r>
            <w:r w:rsidR="00C054EE">
              <w:rPr>
                <w:rFonts w:asciiTheme="minorHAnsi" w:hAnsiTheme="minorHAnsi" w:cstheme="minorBidi"/>
                <w:noProof/>
                <w:sz w:val="22"/>
                <w:szCs w:val="22"/>
              </w:rPr>
              <w:tab/>
            </w:r>
            <w:r w:rsidRPr="00FD24A9" w:rsidR="00C054EE">
              <w:rPr>
                <w:rStyle w:val="Hyperlink"/>
                <w:noProof/>
              </w:rPr>
              <w:t>MCE Proposal</w:t>
            </w:r>
            <w:r w:rsidR="00C054EE">
              <w:rPr>
                <w:noProof/>
                <w:webHidden/>
              </w:rPr>
              <w:tab/>
            </w:r>
            <w:r w:rsidR="00C054EE">
              <w:rPr>
                <w:noProof/>
                <w:webHidden/>
              </w:rPr>
              <w:fldChar w:fldCharType="begin"/>
            </w:r>
            <w:r w:rsidR="00C054EE">
              <w:rPr>
                <w:noProof/>
                <w:webHidden/>
              </w:rPr>
              <w:instrText xml:space="preserve"> PAGEREF _Toc69948189 \h </w:instrText>
            </w:r>
            <w:r w:rsidR="00C054EE">
              <w:rPr>
                <w:noProof/>
                <w:webHidden/>
              </w:rPr>
            </w:r>
            <w:r w:rsidR="00C054EE">
              <w:rPr>
                <w:noProof/>
                <w:webHidden/>
              </w:rPr>
              <w:fldChar w:fldCharType="separate"/>
            </w:r>
            <w:r w:rsidR="004C2E01">
              <w:rPr>
                <w:noProof/>
                <w:webHidden/>
              </w:rPr>
              <w:t>335</w:t>
            </w:r>
            <w:r w:rsidR="00C054EE">
              <w:rPr>
                <w:noProof/>
                <w:webHidden/>
              </w:rPr>
              <w:fldChar w:fldCharType="end"/>
            </w:r>
          </w:hyperlink>
        </w:p>
        <w:p w:rsidR="00C054EE" w:rsidRDefault="000D5832" w14:paraId="39F1D98A" w14:textId="379DEC85">
          <w:pPr>
            <w:pStyle w:val="TOC2"/>
            <w:tabs>
              <w:tab w:val="right" w:leader="dot" w:pos="9350"/>
            </w:tabs>
            <w:rPr>
              <w:rFonts w:asciiTheme="minorHAnsi" w:hAnsiTheme="minorHAnsi" w:cstheme="minorBidi"/>
              <w:noProof/>
              <w:sz w:val="22"/>
              <w:szCs w:val="22"/>
            </w:rPr>
          </w:pPr>
          <w:hyperlink w:history="1" w:anchor="_Toc69948190">
            <w:r w:rsidRPr="00FD24A9" w:rsidR="00C054EE">
              <w:rPr>
                <w:rStyle w:val="Hyperlink"/>
                <w:noProof/>
              </w:rPr>
              <w:t>7.7.</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_Toc69948190 \h </w:instrText>
            </w:r>
            <w:r w:rsidR="00C054EE">
              <w:rPr>
                <w:noProof/>
                <w:webHidden/>
              </w:rPr>
            </w:r>
            <w:r w:rsidR="00C054EE">
              <w:rPr>
                <w:noProof/>
                <w:webHidden/>
              </w:rPr>
              <w:fldChar w:fldCharType="separate"/>
            </w:r>
            <w:r w:rsidR="004C2E01">
              <w:rPr>
                <w:noProof/>
                <w:webHidden/>
              </w:rPr>
              <w:t>337</w:t>
            </w:r>
            <w:r w:rsidR="00C054EE">
              <w:rPr>
                <w:noProof/>
                <w:webHidden/>
              </w:rPr>
              <w:fldChar w:fldCharType="end"/>
            </w:r>
          </w:hyperlink>
        </w:p>
        <w:p w:rsidR="00C054EE" w:rsidRDefault="000D5832" w14:paraId="0E335CD3" w14:textId="2614702D">
          <w:pPr>
            <w:pStyle w:val="TOC3"/>
            <w:tabs>
              <w:tab w:val="left" w:pos="1296"/>
              <w:tab w:val="right" w:leader="dot" w:pos="9350"/>
            </w:tabs>
            <w:rPr>
              <w:rFonts w:asciiTheme="minorHAnsi" w:hAnsiTheme="minorHAnsi" w:cstheme="minorBidi"/>
              <w:noProof/>
              <w:sz w:val="22"/>
              <w:szCs w:val="22"/>
            </w:rPr>
          </w:pPr>
          <w:hyperlink w:history="1" w:anchor="_Toc69948191">
            <w:r w:rsidRPr="00FD24A9" w:rsidR="00C054EE">
              <w:rPr>
                <w:rStyle w:val="Hyperlink"/>
                <w:noProof/>
              </w:rPr>
              <w:t>7.7.1.</w:t>
            </w:r>
            <w:r w:rsidR="00C054EE">
              <w:rPr>
                <w:rFonts w:asciiTheme="minorHAnsi" w:hAnsiTheme="minorHAnsi"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_Toc69948191 \h </w:instrText>
            </w:r>
            <w:r w:rsidR="00C054EE">
              <w:rPr>
                <w:noProof/>
                <w:webHidden/>
              </w:rPr>
            </w:r>
            <w:r w:rsidR="00C054EE">
              <w:rPr>
                <w:noProof/>
                <w:webHidden/>
              </w:rPr>
              <w:fldChar w:fldCharType="separate"/>
            </w:r>
            <w:r w:rsidR="004C2E01">
              <w:rPr>
                <w:noProof/>
                <w:webHidden/>
              </w:rPr>
              <w:t>337</w:t>
            </w:r>
            <w:r w:rsidR="00C054EE">
              <w:rPr>
                <w:noProof/>
                <w:webHidden/>
              </w:rPr>
              <w:fldChar w:fldCharType="end"/>
            </w:r>
          </w:hyperlink>
        </w:p>
        <w:p w:rsidR="00C054EE" w:rsidRDefault="000D5832" w14:paraId="637CCE63" w14:textId="63AF8B70">
          <w:pPr>
            <w:pStyle w:val="TOC3"/>
            <w:tabs>
              <w:tab w:val="left" w:pos="1296"/>
              <w:tab w:val="right" w:leader="dot" w:pos="9350"/>
            </w:tabs>
            <w:rPr>
              <w:rFonts w:asciiTheme="minorHAnsi" w:hAnsiTheme="minorHAnsi" w:cstheme="minorBidi"/>
              <w:noProof/>
              <w:sz w:val="22"/>
              <w:szCs w:val="22"/>
            </w:rPr>
          </w:pPr>
          <w:hyperlink w:history="1" w:anchor="_Toc69948192">
            <w:r w:rsidRPr="00FD24A9" w:rsidR="00C054EE">
              <w:rPr>
                <w:rStyle w:val="Hyperlink"/>
                <w:noProof/>
              </w:rPr>
              <w:t>7.7.2.</w:t>
            </w:r>
            <w:r w:rsidR="00C054EE">
              <w:rPr>
                <w:rFonts w:asciiTheme="minorHAnsi" w:hAnsiTheme="minorHAnsi"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_Toc69948192 \h </w:instrText>
            </w:r>
            <w:r w:rsidR="00C054EE">
              <w:rPr>
                <w:noProof/>
                <w:webHidden/>
              </w:rPr>
            </w:r>
            <w:r w:rsidR="00C054EE">
              <w:rPr>
                <w:noProof/>
                <w:webHidden/>
              </w:rPr>
              <w:fldChar w:fldCharType="separate"/>
            </w:r>
            <w:r w:rsidR="004C2E01">
              <w:rPr>
                <w:noProof/>
                <w:webHidden/>
              </w:rPr>
              <w:t>341</w:t>
            </w:r>
            <w:r w:rsidR="00C054EE">
              <w:rPr>
                <w:noProof/>
                <w:webHidden/>
              </w:rPr>
              <w:fldChar w:fldCharType="end"/>
            </w:r>
          </w:hyperlink>
        </w:p>
        <w:p w:rsidR="00C054EE" w:rsidRDefault="000D5832" w14:paraId="46068D99" w14:textId="733DD1D8">
          <w:pPr>
            <w:pStyle w:val="TOC3"/>
            <w:tabs>
              <w:tab w:val="left" w:pos="1296"/>
              <w:tab w:val="right" w:leader="dot" w:pos="9350"/>
            </w:tabs>
            <w:rPr>
              <w:rFonts w:asciiTheme="minorHAnsi" w:hAnsiTheme="minorHAnsi" w:cstheme="minorBidi"/>
              <w:noProof/>
              <w:sz w:val="22"/>
              <w:szCs w:val="22"/>
            </w:rPr>
          </w:pPr>
          <w:hyperlink w:history="1" w:anchor="_Toc69948193">
            <w:r w:rsidRPr="00FD24A9" w:rsidR="00C054EE">
              <w:rPr>
                <w:rStyle w:val="Hyperlink"/>
                <w:noProof/>
              </w:rPr>
              <w:t>7.7.3.</w:t>
            </w:r>
            <w:r w:rsidR="00C054EE">
              <w:rPr>
                <w:rFonts w:asciiTheme="minorHAnsi" w:hAnsiTheme="minorHAnsi"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_Toc69948193 \h </w:instrText>
            </w:r>
            <w:r w:rsidR="00C054EE">
              <w:rPr>
                <w:noProof/>
                <w:webHidden/>
              </w:rPr>
            </w:r>
            <w:r w:rsidR="00C054EE">
              <w:rPr>
                <w:noProof/>
                <w:webHidden/>
              </w:rPr>
              <w:fldChar w:fldCharType="separate"/>
            </w:r>
            <w:r w:rsidR="004C2E01">
              <w:rPr>
                <w:noProof/>
                <w:webHidden/>
              </w:rPr>
              <w:t>344</w:t>
            </w:r>
            <w:r w:rsidR="00C054EE">
              <w:rPr>
                <w:noProof/>
                <w:webHidden/>
              </w:rPr>
              <w:fldChar w:fldCharType="end"/>
            </w:r>
          </w:hyperlink>
        </w:p>
        <w:p w:rsidR="00C054EE" w:rsidRDefault="000D5832" w14:paraId="0472F410" w14:textId="4204B2E8">
          <w:pPr>
            <w:pStyle w:val="TOC3"/>
            <w:tabs>
              <w:tab w:val="left" w:pos="1296"/>
              <w:tab w:val="right" w:leader="dot" w:pos="9350"/>
            </w:tabs>
            <w:rPr>
              <w:rFonts w:asciiTheme="minorHAnsi" w:hAnsiTheme="minorHAnsi" w:cstheme="minorBidi"/>
              <w:noProof/>
              <w:sz w:val="22"/>
              <w:szCs w:val="22"/>
            </w:rPr>
          </w:pPr>
          <w:hyperlink w:history="1" w:anchor="_Toc69948194">
            <w:r w:rsidRPr="00FD24A9" w:rsidR="00C054EE">
              <w:rPr>
                <w:rStyle w:val="Hyperlink"/>
                <w:noProof/>
              </w:rPr>
              <w:t>7.7.4.</w:t>
            </w:r>
            <w:r w:rsidR="00C054EE">
              <w:rPr>
                <w:rFonts w:asciiTheme="minorHAnsi" w:hAnsiTheme="minorHAnsi"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_Toc69948194 \h </w:instrText>
            </w:r>
            <w:r w:rsidR="00C054EE">
              <w:rPr>
                <w:noProof/>
                <w:webHidden/>
              </w:rPr>
            </w:r>
            <w:r w:rsidR="00C054EE">
              <w:rPr>
                <w:noProof/>
                <w:webHidden/>
              </w:rPr>
              <w:fldChar w:fldCharType="separate"/>
            </w:r>
            <w:r w:rsidR="004C2E01">
              <w:rPr>
                <w:noProof/>
                <w:webHidden/>
              </w:rPr>
              <w:t>345</w:t>
            </w:r>
            <w:r w:rsidR="00C054EE">
              <w:rPr>
                <w:noProof/>
                <w:webHidden/>
              </w:rPr>
              <w:fldChar w:fldCharType="end"/>
            </w:r>
          </w:hyperlink>
        </w:p>
        <w:p w:rsidR="00C054EE" w:rsidRDefault="000D5832" w14:paraId="4909B63F" w14:textId="28D47476">
          <w:pPr>
            <w:pStyle w:val="TOC3"/>
            <w:tabs>
              <w:tab w:val="left" w:pos="1296"/>
              <w:tab w:val="right" w:leader="dot" w:pos="9350"/>
            </w:tabs>
            <w:rPr>
              <w:rFonts w:asciiTheme="minorHAnsi" w:hAnsiTheme="minorHAnsi" w:cstheme="minorBidi"/>
              <w:noProof/>
              <w:sz w:val="22"/>
              <w:szCs w:val="22"/>
            </w:rPr>
          </w:pPr>
          <w:hyperlink w:history="1" w:anchor="_Toc69948195">
            <w:r w:rsidRPr="00FD24A9" w:rsidR="00C054EE">
              <w:rPr>
                <w:rStyle w:val="Hyperlink"/>
                <w:noProof/>
              </w:rPr>
              <w:t>7.7.5.</w:t>
            </w:r>
            <w:r w:rsidR="00C054EE">
              <w:rPr>
                <w:rFonts w:asciiTheme="minorHAnsi" w:hAnsiTheme="minorHAnsi" w:cstheme="minorBidi"/>
                <w:noProof/>
                <w:sz w:val="22"/>
                <w:szCs w:val="22"/>
              </w:rPr>
              <w:tab/>
            </w:r>
            <w:r w:rsidRPr="00FD24A9" w:rsidR="00C054EE">
              <w:rPr>
                <w:rStyle w:val="Hyperlink"/>
                <w:noProof/>
              </w:rPr>
              <w:t>PG&amp;E (Comments to MCE’s LIFT 2.0 Proposal)</w:t>
            </w:r>
            <w:r w:rsidR="00C054EE">
              <w:rPr>
                <w:noProof/>
                <w:webHidden/>
              </w:rPr>
              <w:tab/>
            </w:r>
            <w:r w:rsidR="00C054EE">
              <w:rPr>
                <w:noProof/>
                <w:webHidden/>
              </w:rPr>
              <w:fldChar w:fldCharType="begin"/>
            </w:r>
            <w:r w:rsidR="00C054EE">
              <w:rPr>
                <w:noProof/>
                <w:webHidden/>
              </w:rPr>
              <w:instrText xml:space="preserve"> PAGEREF _Toc69948195 \h </w:instrText>
            </w:r>
            <w:r w:rsidR="00C054EE">
              <w:rPr>
                <w:noProof/>
                <w:webHidden/>
              </w:rPr>
            </w:r>
            <w:r w:rsidR="00C054EE">
              <w:rPr>
                <w:noProof/>
                <w:webHidden/>
              </w:rPr>
              <w:fldChar w:fldCharType="separate"/>
            </w:r>
            <w:r w:rsidR="004C2E01">
              <w:rPr>
                <w:noProof/>
                <w:webHidden/>
              </w:rPr>
              <w:t>346</w:t>
            </w:r>
            <w:r w:rsidR="00C054EE">
              <w:rPr>
                <w:noProof/>
                <w:webHidden/>
              </w:rPr>
              <w:fldChar w:fldCharType="end"/>
            </w:r>
          </w:hyperlink>
        </w:p>
        <w:p w:rsidR="00C054EE" w:rsidRDefault="000D5832" w14:paraId="14A15DB7" w14:textId="6DC93CA1">
          <w:pPr>
            <w:pStyle w:val="TOC2"/>
            <w:tabs>
              <w:tab w:val="right" w:leader="dot" w:pos="9350"/>
            </w:tabs>
            <w:rPr>
              <w:rFonts w:asciiTheme="minorHAnsi" w:hAnsiTheme="minorHAnsi" w:cstheme="minorBidi"/>
              <w:noProof/>
              <w:sz w:val="22"/>
              <w:szCs w:val="22"/>
            </w:rPr>
          </w:pPr>
          <w:hyperlink w:history="1" w:anchor="_Toc69948196">
            <w:r w:rsidRPr="00FD24A9" w:rsidR="00C054EE">
              <w:rPr>
                <w:rStyle w:val="Hyperlink"/>
                <w:noProof/>
              </w:rPr>
              <w:t>7.8.</w:t>
            </w:r>
            <w:r w:rsidR="00C054EE">
              <w:rPr>
                <w:rFonts w:asciiTheme="minorHAnsi" w:hAnsiTheme="minorHAnsi" w:cstheme="minorBidi"/>
                <w:noProof/>
                <w:sz w:val="22"/>
                <w:szCs w:val="22"/>
              </w:rPr>
              <w:tab/>
            </w:r>
            <w:r w:rsidRPr="00FD24A9" w:rsidR="00C054EE">
              <w:rPr>
                <w:rStyle w:val="Hyperlink"/>
                <w:noProof/>
              </w:rPr>
              <w:t>IOU/MCE Responses</w:t>
            </w:r>
            <w:r w:rsidR="00C054EE">
              <w:rPr>
                <w:noProof/>
                <w:webHidden/>
              </w:rPr>
              <w:tab/>
            </w:r>
            <w:r w:rsidR="00C054EE">
              <w:rPr>
                <w:noProof/>
                <w:webHidden/>
              </w:rPr>
              <w:fldChar w:fldCharType="begin"/>
            </w:r>
            <w:r w:rsidR="00C054EE">
              <w:rPr>
                <w:noProof/>
                <w:webHidden/>
              </w:rPr>
              <w:instrText xml:space="preserve"> PAGEREF _Toc69948196 \h </w:instrText>
            </w:r>
            <w:r w:rsidR="00C054EE">
              <w:rPr>
                <w:noProof/>
                <w:webHidden/>
              </w:rPr>
            </w:r>
            <w:r w:rsidR="00C054EE">
              <w:rPr>
                <w:noProof/>
                <w:webHidden/>
              </w:rPr>
              <w:fldChar w:fldCharType="separate"/>
            </w:r>
            <w:r w:rsidR="004C2E01">
              <w:rPr>
                <w:noProof/>
                <w:webHidden/>
              </w:rPr>
              <w:t>347</w:t>
            </w:r>
            <w:r w:rsidR="00C054EE">
              <w:rPr>
                <w:noProof/>
                <w:webHidden/>
              </w:rPr>
              <w:fldChar w:fldCharType="end"/>
            </w:r>
          </w:hyperlink>
        </w:p>
        <w:p w:rsidR="00C054EE" w:rsidRDefault="000D5832" w14:paraId="0D94EC42" w14:textId="7E158911">
          <w:pPr>
            <w:pStyle w:val="TOC3"/>
            <w:tabs>
              <w:tab w:val="left" w:pos="1296"/>
              <w:tab w:val="right" w:leader="dot" w:pos="9350"/>
            </w:tabs>
            <w:rPr>
              <w:rFonts w:asciiTheme="minorHAnsi" w:hAnsiTheme="minorHAnsi" w:cstheme="minorBidi"/>
              <w:noProof/>
              <w:sz w:val="22"/>
              <w:szCs w:val="22"/>
            </w:rPr>
          </w:pPr>
          <w:hyperlink w:history="1" w:anchor="_Toc69948197">
            <w:r w:rsidRPr="00FD24A9" w:rsidR="00C054EE">
              <w:rPr>
                <w:rStyle w:val="Hyperlink"/>
                <w:noProof/>
              </w:rPr>
              <w:t>7.8.1.</w:t>
            </w:r>
            <w:r w:rsidR="00C054EE">
              <w:rPr>
                <w:rFonts w:asciiTheme="minorHAnsi" w:hAnsiTheme="minorHAnsi"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_Toc69948197 \h </w:instrText>
            </w:r>
            <w:r w:rsidR="00C054EE">
              <w:rPr>
                <w:noProof/>
                <w:webHidden/>
              </w:rPr>
            </w:r>
            <w:r w:rsidR="00C054EE">
              <w:rPr>
                <w:noProof/>
                <w:webHidden/>
              </w:rPr>
              <w:fldChar w:fldCharType="separate"/>
            </w:r>
            <w:r w:rsidR="004C2E01">
              <w:rPr>
                <w:noProof/>
                <w:webHidden/>
              </w:rPr>
              <w:t>347</w:t>
            </w:r>
            <w:r w:rsidR="00C054EE">
              <w:rPr>
                <w:noProof/>
                <w:webHidden/>
              </w:rPr>
              <w:fldChar w:fldCharType="end"/>
            </w:r>
          </w:hyperlink>
        </w:p>
        <w:p w:rsidR="00C054EE" w:rsidRDefault="000D5832" w14:paraId="25384AFD" w14:textId="5BD019D0">
          <w:pPr>
            <w:pStyle w:val="TOC3"/>
            <w:tabs>
              <w:tab w:val="left" w:pos="1296"/>
              <w:tab w:val="right" w:leader="dot" w:pos="9350"/>
            </w:tabs>
            <w:rPr>
              <w:rFonts w:asciiTheme="minorHAnsi" w:hAnsiTheme="minorHAnsi" w:cstheme="minorBidi"/>
              <w:noProof/>
              <w:sz w:val="22"/>
              <w:szCs w:val="22"/>
            </w:rPr>
          </w:pPr>
          <w:hyperlink w:history="1" w:anchor="_Toc69948198">
            <w:r w:rsidRPr="00FD24A9" w:rsidR="00C054EE">
              <w:rPr>
                <w:rStyle w:val="Hyperlink"/>
                <w:noProof/>
              </w:rPr>
              <w:t>7.8.2.</w:t>
            </w:r>
            <w:r w:rsidR="00C054EE">
              <w:rPr>
                <w:rFonts w:asciiTheme="minorHAnsi" w:hAnsiTheme="minorHAnsi"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_Toc69948198 \h </w:instrText>
            </w:r>
            <w:r w:rsidR="00C054EE">
              <w:rPr>
                <w:noProof/>
                <w:webHidden/>
              </w:rPr>
            </w:r>
            <w:r w:rsidR="00C054EE">
              <w:rPr>
                <w:noProof/>
                <w:webHidden/>
              </w:rPr>
              <w:fldChar w:fldCharType="separate"/>
            </w:r>
            <w:r w:rsidR="004C2E01">
              <w:rPr>
                <w:noProof/>
                <w:webHidden/>
              </w:rPr>
              <w:t>349</w:t>
            </w:r>
            <w:r w:rsidR="00C054EE">
              <w:rPr>
                <w:noProof/>
                <w:webHidden/>
              </w:rPr>
              <w:fldChar w:fldCharType="end"/>
            </w:r>
          </w:hyperlink>
        </w:p>
        <w:p w:rsidR="00C054EE" w:rsidRDefault="000D5832" w14:paraId="7BA1896C" w14:textId="644BC098">
          <w:pPr>
            <w:pStyle w:val="TOC3"/>
            <w:tabs>
              <w:tab w:val="left" w:pos="1296"/>
              <w:tab w:val="right" w:leader="dot" w:pos="9350"/>
            </w:tabs>
            <w:rPr>
              <w:rFonts w:asciiTheme="minorHAnsi" w:hAnsiTheme="minorHAnsi" w:cstheme="minorBidi"/>
              <w:noProof/>
              <w:sz w:val="22"/>
              <w:szCs w:val="22"/>
            </w:rPr>
          </w:pPr>
          <w:hyperlink w:history="1" w:anchor="_Toc69948199">
            <w:r w:rsidRPr="00FD24A9" w:rsidR="00C054EE">
              <w:rPr>
                <w:rStyle w:val="Hyperlink"/>
                <w:noProof/>
              </w:rPr>
              <w:t>7.8.3.</w:t>
            </w:r>
            <w:r w:rsidR="00C054EE">
              <w:rPr>
                <w:rFonts w:asciiTheme="minorHAnsi" w:hAnsiTheme="minorHAnsi" w:cstheme="minorBidi"/>
                <w:noProof/>
                <w:sz w:val="22"/>
                <w:szCs w:val="22"/>
              </w:rPr>
              <w:tab/>
            </w:r>
            <w:r w:rsidRPr="00FD24A9" w:rsidR="00C054EE">
              <w:rPr>
                <w:rStyle w:val="Hyperlink"/>
                <w:noProof/>
              </w:rPr>
              <w:t>SoCal Gas</w:t>
            </w:r>
            <w:r w:rsidR="00C054EE">
              <w:rPr>
                <w:noProof/>
                <w:webHidden/>
              </w:rPr>
              <w:tab/>
            </w:r>
            <w:r w:rsidR="00C054EE">
              <w:rPr>
                <w:noProof/>
                <w:webHidden/>
              </w:rPr>
              <w:fldChar w:fldCharType="begin"/>
            </w:r>
            <w:r w:rsidR="00C054EE">
              <w:rPr>
                <w:noProof/>
                <w:webHidden/>
              </w:rPr>
              <w:instrText xml:space="preserve"> PAGEREF _Toc69948199 \h </w:instrText>
            </w:r>
            <w:r w:rsidR="00C054EE">
              <w:rPr>
                <w:noProof/>
                <w:webHidden/>
              </w:rPr>
            </w:r>
            <w:r w:rsidR="00C054EE">
              <w:rPr>
                <w:noProof/>
                <w:webHidden/>
              </w:rPr>
              <w:fldChar w:fldCharType="separate"/>
            </w:r>
            <w:r w:rsidR="004C2E01">
              <w:rPr>
                <w:noProof/>
                <w:webHidden/>
              </w:rPr>
              <w:t>350</w:t>
            </w:r>
            <w:r w:rsidR="00C054EE">
              <w:rPr>
                <w:noProof/>
                <w:webHidden/>
              </w:rPr>
              <w:fldChar w:fldCharType="end"/>
            </w:r>
          </w:hyperlink>
        </w:p>
        <w:p w:rsidR="00C054EE" w:rsidRDefault="000D5832" w14:paraId="7F21F94E" w14:textId="30BB049C">
          <w:pPr>
            <w:pStyle w:val="TOC3"/>
            <w:tabs>
              <w:tab w:val="left" w:pos="1296"/>
              <w:tab w:val="right" w:leader="dot" w:pos="9350"/>
            </w:tabs>
            <w:rPr>
              <w:rFonts w:asciiTheme="minorHAnsi" w:hAnsiTheme="minorHAnsi" w:cstheme="minorBidi"/>
              <w:noProof/>
              <w:sz w:val="22"/>
              <w:szCs w:val="22"/>
            </w:rPr>
          </w:pPr>
          <w:hyperlink w:history="1" w:anchor="_Toc69948200">
            <w:r w:rsidRPr="00FD24A9" w:rsidR="00C054EE">
              <w:rPr>
                <w:rStyle w:val="Hyperlink"/>
                <w:noProof/>
              </w:rPr>
              <w:t>7.8.4.</w:t>
            </w:r>
            <w:r w:rsidR="00C054EE">
              <w:rPr>
                <w:rFonts w:asciiTheme="minorHAnsi" w:hAnsiTheme="minorHAnsi"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_Toc69948200 \h </w:instrText>
            </w:r>
            <w:r w:rsidR="00C054EE">
              <w:rPr>
                <w:noProof/>
                <w:webHidden/>
              </w:rPr>
            </w:r>
            <w:r w:rsidR="00C054EE">
              <w:rPr>
                <w:noProof/>
                <w:webHidden/>
              </w:rPr>
              <w:fldChar w:fldCharType="separate"/>
            </w:r>
            <w:r w:rsidR="004C2E01">
              <w:rPr>
                <w:noProof/>
                <w:webHidden/>
              </w:rPr>
              <w:t>351</w:t>
            </w:r>
            <w:r w:rsidR="00C054EE">
              <w:rPr>
                <w:noProof/>
                <w:webHidden/>
              </w:rPr>
              <w:fldChar w:fldCharType="end"/>
            </w:r>
          </w:hyperlink>
        </w:p>
        <w:p w:rsidR="00C054EE" w:rsidRDefault="000D5832" w14:paraId="556615F4" w14:textId="25D869FC">
          <w:pPr>
            <w:pStyle w:val="TOC3"/>
            <w:tabs>
              <w:tab w:val="left" w:pos="1296"/>
              <w:tab w:val="right" w:leader="dot" w:pos="9350"/>
            </w:tabs>
            <w:rPr>
              <w:rFonts w:asciiTheme="minorHAnsi" w:hAnsiTheme="minorHAnsi" w:cstheme="minorBidi"/>
              <w:noProof/>
              <w:sz w:val="22"/>
              <w:szCs w:val="22"/>
            </w:rPr>
          </w:pPr>
          <w:hyperlink w:history="1" w:anchor="_Toc69948201">
            <w:r w:rsidRPr="00FD24A9" w:rsidR="00C054EE">
              <w:rPr>
                <w:rStyle w:val="Hyperlink"/>
                <w:noProof/>
              </w:rPr>
              <w:t>7.8.5.</w:t>
            </w:r>
            <w:r w:rsidR="00C054EE">
              <w:rPr>
                <w:rFonts w:asciiTheme="minorHAnsi" w:hAnsiTheme="minorHAnsi" w:cstheme="minorBidi"/>
                <w:noProof/>
                <w:sz w:val="22"/>
                <w:szCs w:val="22"/>
              </w:rPr>
              <w:tab/>
            </w:r>
            <w:r w:rsidRPr="00FD24A9" w:rsidR="00C054EE">
              <w:rPr>
                <w:rStyle w:val="Hyperlink"/>
                <w:noProof/>
              </w:rPr>
              <w:t>MCE</w:t>
            </w:r>
            <w:r w:rsidR="00C054EE">
              <w:rPr>
                <w:noProof/>
                <w:webHidden/>
              </w:rPr>
              <w:tab/>
            </w:r>
            <w:r w:rsidR="00C054EE">
              <w:rPr>
                <w:noProof/>
                <w:webHidden/>
              </w:rPr>
              <w:fldChar w:fldCharType="begin"/>
            </w:r>
            <w:r w:rsidR="00C054EE">
              <w:rPr>
                <w:noProof/>
                <w:webHidden/>
              </w:rPr>
              <w:instrText xml:space="preserve"> PAGEREF _Toc69948201 \h </w:instrText>
            </w:r>
            <w:r w:rsidR="00C054EE">
              <w:rPr>
                <w:noProof/>
                <w:webHidden/>
              </w:rPr>
            </w:r>
            <w:r w:rsidR="00C054EE">
              <w:rPr>
                <w:noProof/>
                <w:webHidden/>
              </w:rPr>
              <w:fldChar w:fldCharType="separate"/>
            </w:r>
            <w:r w:rsidR="004C2E01">
              <w:rPr>
                <w:noProof/>
                <w:webHidden/>
              </w:rPr>
              <w:t>352</w:t>
            </w:r>
            <w:r w:rsidR="00C054EE">
              <w:rPr>
                <w:noProof/>
                <w:webHidden/>
              </w:rPr>
              <w:fldChar w:fldCharType="end"/>
            </w:r>
          </w:hyperlink>
        </w:p>
        <w:p w:rsidR="00C054EE" w:rsidRDefault="000D5832" w14:paraId="48650BC7" w14:textId="4E70B8DC">
          <w:pPr>
            <w:pStyle w:val="TOC2"/>
            <w:tabs>
              <w:tab w:val="right" w:leader="dot" w:pos="9350"/>
            </w:tabs>
            <w:rPr>
              <w:rFonts w:asciiTheme="minorHAnsi" w:hAnsiTheme="minorHAnsi" w:cstheme="minorBidi"/>
              <w:noProof/>
              <w:sz w:val="22"/>
              <w:szCs w:val="22"/>
            </w:rPr>
          </w:pPr>
          <w:hyperlink w:history="1" w:anchor="_Toc69948202">
            <w:r w:rsidRPr="00FD24A9" w:rsidR="00C054EE">
              <w:rPr>
                <w:rStyle w:val="Hyperlink"/>
                <w:noProof/>
              </w:rPr>
              <w:t>7.9.</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_Toc69948202 \h </w:instrText>
            </w:r>
            <w:r w:rsidR="00C054EE">
              <w:rPr>
                <w:noProof/>
                <w:webHidden/>
              </w:rPr>
            </w:r>
            <w:r w:rsidR="00C054EE">
              <w:rPr>
                <w:noProof/>
                <w:webHidden/>
              </w:rPr>
              <w:fldChar w:fldCharType="separate"/>
            </w:r>
            <w:r w:rsidR="004C2E01">
              <w:rPr>
                <w:noProof/>
                <w:webHidden/>
              </w:rPr>
              <w:t>354</w:t>
            </w:r>
            <w:r w:rsidR="00C054EE">
              <w:rPr>
                <w:noProof/>
                <w:webHidden/>
              </w:rPr>
              <w:fldChar w:fldCharType="end"/>
            </w:r>
          </w:hyperlink>
        </w:p>
        <w:p w:rsidR="00C054EE" w:rsidRDefault="000D5832" w14:paraId="6781BED6" w14:textId="5D5E78D2">
          <w:pPr>
            <w:pStyle w:val="TOC3"/>
            <w:tabs>
              <w:tab w:val="left" w:pos="1296"/>
              <w:tab w:val="right" w:leader="dot" w:pos="9350"/>
            </w:tabs>
            <w:rPr>
              <w:rFonts w:asciiTheme="minorHAnsi" w:hAnsiTheme="minorHAnsi" w:cstheme="minorBidi"/>
              <w:noProof/>
              <w:sz w:val="22"/>
              <w:szCs w:val="22"/>
            </w:rPr>
          </w:pPr>
          <w:hyperlink w:history="1" w:anchor="_Toc69948203">
            <w:r w:rsidRPr="00FD24A9" w:rsidR="00C054EE">
              <w:rPr>
                <w:rStyle w:val="Hyperlink"/>
                <w:noProof/>
              </w:rPr>
              <w:t>7.9.1.</w:t>
            </w:r>
            <w:r w:rsidR="00C054EE">
              <w:rPr>
                <w:rFonts w:asciiTheme="minorHAnsi" w:hAnsiTheme="minorHAnsi" w:cstheme="minorBidi"/>
                <w:noProof/>
                <w:sz w:val="22"/>
                <w:szCs w:val="22"/>
              </w:rPr>
              <w:tab/>
            </w:r>
            <w:r w:rsidRPr="00FD24A9" w:rsidR="00C054EE">
              <w:rPr>
                <w:rStyle w:val="Hyperlink"/>
                <w:noProof/>
              </w:rPr>
              <w:t>Third Party Solicitation and Administration: Approved with Modifications</w:t>
            </w:r>
            <w:r w:rsidR="00C054EE">
              <w:rPr>
                <w:noProof/>
                <w:webHidden/>
              </w:rPr>
              <w:tab/>
            </w:r>
            <w:r w:rsidR="00C054EE">
              <w:rPr>
                <w:noProof/>
                <w:webHidden/>
              </w:rPr>
              <w:fldChar w:fldCharType="begin"/>
            </w:r>
            <w:r w:rsidR="00C054EE">
              <w:rPr>
                <w:noProof/>
                <w:webHidden/>
              </w:rPr>
              <w:instrText xml:space="preserve"> PAGEREF _Toc69948203 \h </w:instrText>
            </w:r>
            <w:r w:rsidR="00C054EE">
              <w:rPr>
                <w:noProof/>
                <w:webHidden/>
              </w:rPr>
            </w:r>
            <w:r w:rsidR="00C054EE">
              <w:rPr>
                <w:noProof/>
                <w:webHidden/>
              </w:rPr>
              <w:fldChar w:fldCharType="separate"/>
            </w:r>
            <w:r w:rsidR="004C2E01">
              <w:rPr>
                <w:noProof/>
                <w:webHidden/>
              </w:rPr>
              <w:t>354</w:t>
            </w:r>
            <w:r w:rsidR="00C054EE">
              <w:rPr>
                <w:noProof/>
                <w:webHidden/>
              </w:rPr>
              <w:fldChar w:fldCharType="end"/>
            </w:r>
          </w:hyperlink>
        </w:p>
        <w:p w:rsidR="00C054EE" w:rsidRDefault="000D5832" w14:paraId="77830702" w14:textId="284355D0">
          <w:pPr>
            <w:pStyle w:val="TOC3"/>
            <w:tabs>
              <w:tab w:val="left" w:pos="1296"/>
              <w:tab w:val="right" w:leader="dot" w:pos="9350"/>
            </w:tabs>
            <w:rPr>
              <w:rFonts w:asciiTheme="minorHAnsi" w:hAnsiTheme="minorHAnsi" w:cstheme="minorBidi"/>
              <w:noProof/>
              <w:sz w:val="22"/>
              <w:szCs w:val="22"/>
            </w:rPr>
          </w:pPr>
          <w:hyperlink w:history="1" w:anchor="_Toc69948204">
            <w:r w:rsidRPr="00FD24A9" w:rsidR="00C054EE">
              <w:rPr>
                <w:rStyle w:val="Hyperlink"/>
                <w:noProof/>
              </w:rPr>
              <w:t>7.9.2.</w:t>
            </w:r>
            <w:r w:rsidR="00C054EE">
              <w:rPr>
                <w:rFonts w:asciiTheme="minorHAnsi" w:hAnsiTheme="minorHAnsi" w:cstheme="minorBidi"/>
                <w:noProof/>
                <w:sz w:val="22"/>
                <w:szCs w:val="22"/>
              </w:rPr>
              <w:tab/>
            </w:r>
            <w:r w:rsidRPr="00FD24A9" w:rsidR="00C054EE">
              <w:rPr>
                <w:rStyle w:val="Hyperlink"/>
                <w:noProof/>
              </w:rPr>
              <w:t>Third Party Design and Delivery: Approved in Part</w:t>
            </w:r>
            <w:r w:rsidR="00C054EE">
              <w:rPr>
                <w:noProof/>
                <w:webHidden/>
              </w:rPr>
              <w:tab/>
            </w:r>
            <w:r w:rsidR="00C054EE">
              <w:rPr>
                <w:noProof/>
                <w:webHidden/>
              </w:rPr>
              <w:fldChar w:fldCharType="begin"/>
            </w:r>
            <w:r w:rsidR="00C054EE">
              <w:rPr>
                <w:noProof/>
                <w:webHidden/>
              </w:rPr>
              <w:instrText xml:space="preserve"> PAGEREF _Toc69948204 \h </w:instrText>
            </w:r>
            <w:r w:rsidR="00C054EE">
              <w:rPr>
                <w:noProof/>
                <w:webHidden/>
              </w:rPr>
            </w:r>
            <w:r w:rsidR="00C054EE">
              <w:rPr>
                <w:noProof/>
                <w:webHidden/>
              </w:rPr>
              <w:fldChar w:fldCharType="separate"/>
            </w:r>
            <w:r w:rsidR="004C2E01">
              <w:rPr>
                <w:noProof/>
                <w:webHidden/>
              </w:rPr>
              <w:t>359</w:t>
            </w:r>
            <w:r w:rsidR="00C054EE">
              <w:rPr>
                <w:noProof/>
                <w:webHidden/>
              </w:rPr>
              <w:fldChar w:fldCharType="end"/>
            </w:r>
          </w:hyperlink>
        </w:p>
        <w:p w:rsidR="00C054EE" w:rsidRDefault="000D5832" w14:paraId="78B0CDCF" w14:textId="3C1B8145">
          <w:pPr>
            <w:pStyle w:val="TOC3"/>
            <w:tabs>
              <w:tab w:val="left" w:pos="1296"/>
              <w:tab w:val="right" w:leader="dot" w:pos="9350"/>
            </w:tabs>
            <w:rPr>
              <w:rFonts w:asciiTheme="minorHAnsi" w:hAnsiTheme="minorHAnsi" w:cstheme="minorBidi"/>
              <w:noProof/>
              <w:sz w:val="22"/>
              <w:szCs w:val="22"/>
            </w:rPr>
          </w:pPr>
          <w:hyperlink w:history="1" w:anchor="_Toc69948205">
            <w:r w:rsidRPr="00FD24A9" w:rsidR="00C054EE">
              <w:rPr>
                <w:rStyle w:val="Hyperlink"/>
                <w:noProof/>
              </w:rPr>
              <w:t>7.9.3.</w:t>
            </w:r>
            <w:r w:rsidR="00C054EE">
              <w:rPr>
                <w:rFonts w:asciiTheme="minorHAnsi" w:hAnsiTheme="minorHAnsi" w:cstheme="minorBidi"/>
                <w:noProof/>
                <w:sz w:val="22"/>
                <w:szCs w:val="22"/>
              </w:rPr>
              <w:tab/>
            </w:r>
            <w:r w:rsidRPr="00FD24A9" w:rsidR="00C054EE">
              <w:rPr>
                <w:rStyle w:val="Hyperlink"/>
                <w:noProof/>
              </w:rPr>
              <w:t>SPOC Proposals: Approved with Modifications</w:t>
            </w:r>
            <w:r w:rsidR="00C054EE">
              <w:rPr>
                <w:noProof/>
                <w:webHidden/>
              </w:rPr>
              <w:tab/>
            </w:r>
            <w:r w:rsidR="00C054EE">
              <w:rPr>
                <w:noProof/>
                <w:webHidden/>
              </w:rPr>
              <w:fldChar w:fldCharType="begin"/>
            </w:r>
            <w:r w:rsidR="00C054EE">
              <w:rPr>
                <w:noProof/>
                <w:webHidden/>
              </w:rPr>
              <w:instrText xml:space="preserve"> PAGEREF _Toc69948205 \h </w:instrText>
            </w:r>
            <w:r w:rsidR="00C054EE">
              <w:rPr>
                <w:noProof/>
                <w:webHidden/>
              </w:rPr>
            </w:r>
            <w:r w:rsidR="00C054EE">
              <w:rPr>
                <w:noProof/>
                <w:webHidden/>
              </w:rPr>
              <w:fldChar w:fldCharType="separate"/>
            </w:r>
            <w:r w:rsidR="004C2E01">
              <w:rPr>
                <w:noProof/>
                <w:webHidden/>
              </w:rPr>
              <w:t>361</w:t>
            </w:r>
            <w:r w:rsidR="00C054EE">
              <w:rPr>
                <w:noProof/>
                <w:webHidden/>
              </w:rPr>
              <w:fldChar w:fldCharType="end"/>
            </w:r>
          </w:hyperlink>
        </w:p>
        <w:p w:rsidR="00C054EE" w:rsidRDefault="000D5832" w14:paraId="31D48898" w14:textId="20A8A4F1">
          <w:pPr>
            <w:pStyle w:val="TOC3"/>
            <w:tabs>
              <w:tab w:val="left" w:pos="1296"/>
              <w:tab w:val="right" w:leader="dot" w:pos="9350"/>
            </w:tabs>
            <w:rPr>
              <w:rFonts w:asciiTheme="minorHAnsi" w:hAnsiTheme="minorHAnsi" w:cstheme="minorBidi"/>
              <w:noProof/>
              <w:sz w:val="22"/>
              <w:szCs w:val="22"/>
            </w:rPr>
          </w:pPr>
          <w:hyperlink w:history="1" w:anchor="_Toc69948206">
            <w:r w:rsidRPr="00FD24A9" w:rsidR="00C054EE">
              <w:rPr>
                <w:rStyle w:val="Hyperlink"/>
                <w:noProof/>
              </w:rPr>
              <w:t>7.9.4.</w:t>
            </w:r>
            <w:r w:rsidR="00C054EE">
              <w:rPr>
                <w:rFonts w:asciiTheme="minorHAnsi" w:hAnsiTheme="minorHAnsi" w:cstheme="minorBidi"/>
                <w:noProof/>
                <w:sz w:val="22"/>
                <w:szCs w:val="22"/>
              </w:rPr>
              <w:tab/>
            </w:r>
            <w:r w:rsidRPr="00FD24A9" w:rsidR="00C054EE">
              <w:rPr>
                <w:rStyle w:val="Hyperlink"/>
                <w:noProof/>
              </w:rPr>
              <w:t>Treatment of Non Deed Restricted Properties: Approved</w:t>
            </w:r>
            <w:r w:rsidR="00C054EE">
              <w:rPr>
                <w:noProof/>
                <w:webHidden/>
              </w:rPr>
              <w:tab/>
            </w:r>
            <w:r w:rsidR="00C054EE">
              <w:rPr>
                <w:noProof/>
                <w:webHidden/>
              </w:rPr>
              <w:fldChar w:fldCharType="begin"/>
            </w:r>
            <w:r w:rsidR="00C054EE">
              <w:rPr>
                <w:noProof/>
                <w:webHidden/>
              </w:rPr>
              <w:instrText xml:space="preserve"> PAGEREF _Toc69948206 \h </w:instrText>
            </w:r>
            <w:r w:rsidR="00C054EE">
              <w:rPr>
                <w:noProof/>
                <w:webHidden/>
              </w:rPr>
            </w:r>
            <w:r w:rsidR="00C054EE">
              <w:rPr>
                <w:noProof/>
                <w:webHidden/>
              </w:rPr>
              <w:fldChar w:fldCharType="separate"/>
            </w:r>
            <w:r w:rsidR="004C2E01">
              <w:rPr>
                <w:noProof/>
                <w:webHidden/>
              </w:rPr>
              <w:t>362</w:t>
            </w:r>
            <w:r w:rsidR="00C054EE">
              <w:rPr>
                <w:noProof/>
                <w:webHidden/>
              </w:rPr>
              <w:fldChar w:fldCharType="end"/>
            </w:r>
          </w:hyperlink>
        </w:p>
        <w:p w:rsidR="00C054EE" w:rsidRDefault="000D5832" w14:paraId="4188F594" w14:textId="3DBC7EA9">
          <w:pPr>
            <w:pStyle w:val="TOC3"/>
            <w:tabs>
              <w:tab w:val="left" w:pos="1296"/>
              <w:tab w:val="right" w:leader="dot" w:pos="9350"/>
            </w:tabs>
            <w:rPr>
              <w:rFonts w:asciiTheme="minorHAnsi" w:hAnsiTheme="minorHAnsi" w:cstheme="minorBidi"/>
              <w:noProof/>
              <w:sz w:val="22"/>
              <w:szCs w:val="22"/>
            </w:rPr>
          </w:pPr>
          <w:hyperlink w:history="1" w:anchor="_Toc69948207">
            <w:r w:rsidRPr="00FD24A9" w:rsidR="00C054EE">
              <w:rPr>
                <w:rStyle w:val="Hyperlink"/>
                <w:noProof/>
              </w:rPr>
              <w:t>7.9.5.</w:t>
            </w:r>
            <w:r w:rsidR="00C054EE">
              <w:rPr>
                <w:rFonts w:asciiTheme="minorHAnsi" w:hAnsiTheme="minorHAnsi" w:cstheme="minorBidi"/>
                <w:noProof/>
                <w:sz w:val="22"/>
                <w:szCs w:val="22"/>
              </w:rPr>
              <w:tab/>
            </w:r>
            <w:r w:rsidRPr="00FD24A9" w:rsidR="00C054EE">
              <w:rPr>
                <w:rStyle w:val="Hyperlink"/>
                <w:noProof/>
              </w:rPr>
              <w:t>Lowering the Eligibility Threshold for Deed Restricted Properties: Approved</w:t>
            </w:r>
            <w:r w:rsidR="00C054EE">
              <w:rPr>
                <w:noProof/>
                <w:webHidden/>
              </w:rPr>
              <w:tab/>
            </w:r>
            <w:r w:rsidR="00C054EE">
              <w:rPr>
                <w:noProof/>
                <w:webHidden/>
              </w:rPr>
              <w:fldChar w:fldCharType="begin"/>
            </w:r>
            <w:r w:rsidR="00C054EE">
              <w:rPr>
                <w:noProof/>
                <w:webHidden/>
              </w:rPr>
              <w:instrText xml:space="preserve"> PAGEREF _Toc69948207 \h </w:instrText>
            </w:r>
            <w:r w:rsidR="00C054EE">
              <w:rPr>
                <w:noProof/>
                <w:webHidden/>
              </w:rPr>
            </w:r>
            <w:r w:rsidR="00C054EE">
              <w:rPr>
                <w:noProof/>
                <w:webHidden/>
              </w:rPr>
              <w:fldChar w:fldCharType="separate"/>
            </w:r>
            <w:r w:rsidR="004C2E01">
              <w:rPr>
                <w:noProof/>
                <w:webHidden/>
              </w:rPr>
              <w:t>362</w:t>
            </w:r>
            <w:r w:rsidR="00C054EE">
              <w:rPr>
                <w:noProof/>
                <w:webHidden/>
              </w:rPr>
              <w:fldChar w:fldCharType="end"/>
            </w:r>
          </w:hyperlink>
        </w:p>
        <w:p w:rsidR="00C054EE" w:rsidRDefault="000D5832" w14:paraId="3E41F7BF" w14:textId="4805D228">
          <w:pPr>
            <w:pStyle w:val="TOC3"/>
            <w:tabs>
              <w:tab w:val="left" w:pos="1296"/>
              <w:tab w:val="right" w:leader="dot" w:pos="9350"/>
            </w:tabs>
            <w:rPr>
              <w:rFonts w:asciiTheme="minorHAnsi" w:hAnsiTheme="minorHAnsi" w:cstheme="minorBidi"/>
              <w:noProof/>
              <w:sz w:val="22"/>
              <w:szCs w:val="22"/>
            </w:rPr>
          </w:pPr>
          <w:hyperlink w:history="1" w:anchor="_Toc69948208">
            <w:r w:rsidRPr="00FD24A9" w:rsidR="00C054EE">
              <w:rPr>
                <w:rStyle w:val="Hyperlink"/>
                <w:noProof/>
              </w:rPr>
              <w:t>7.9.6.</w:t>
            </w:r>
            <w:r w:rsidR="00C054EE">
              <w:rPr>
                <w:rFonts w:asciiTheme="minorHAnsi" w:hAnsiTheme="minorHAnsi" w:cstheme="minorBidi"/>
                <w:noProof/>
                <w:sz w:val="22"/>
                <w:szCs w:val="22"/>
              </w:rPr>
              <w:tab/>
            </w:r>
            <w:r w:rsidRPr="00FD24A9" w:rsidR="00C054EE">
              <w:rPr>
                <w:rStyle w:val="Hyperlink"/>
                <w:noProof/>
              </w:rPr>
              <w:t>Lowering the Eligibility Threshold for Non Deed Restricted Properties: Denied</w:t>
            </w:r>
            <w:r w:rsidR="00C054EE">
              <w:rPr>
                <w:noProof/>
                <w:webHidden/>
              </w:rPr>
              <w:tab/>
            </w:r>
            <w:r w:rsidR="00C054EE">
              <w:rPr>
                <w:noProof/>
                <w:webHidden/>
              </w:rPr>
              <w:fldChar w:fldCharType="begin"/>
            </w:r>
            <w:r w:rsidR="00C054EE">
              <w:rPr>
                <w:noProof/>
                <w:webHidden/>
              </w:rPr>
              <w:instrText xml:space="preserve"> PAGEREF _Toc69948208 \h </w:instrText>
            </w:r>
            <w:r w:rsidR="00C054EE">
              <w:rPr>
                <w:noProof/>
                <w:webHidden/>
              </w:rPr>
            </w:r>
            <w:r w:rsidR="00C054EE">
              <w:rPr>
                <w:noProof/>
                <w:webHidden/>
              </w:rPr>
              <w:fldChar w:fldCharType="separate"/>
            </w:r>
            <w:r w:rsidR="004C2E01">
              <w:rPr>
                <w:noProof/>
                <w:webHidden/>
              </w:rPr>
              <w:t>363</w:t>
            </w:r>
            <w:r w:rsidR="00C054EE">
              <w:rPr>
                <w:noProof/>
                <w:webHidden/>
              </w:rPr>
              <w:fldChar w:fldCharType="end"/>
            </w:r>
          </w:hyperlink>
        </w:p>
        <w:p w:rsidR="00C054EE" w:rsidRDefault="000D5832" w14:paraId="03CA3115" w14:textId="41BF74C9">
          <w:pPr>
            <w:pStyle w:val="TOC3"/>
            <w:tabs>
              <w:tab w:val="left" w:pos="1296"/>
              <w:tab w:val="right" w:leader="dot" w:pos="9350"/>
            </w:tabs>
            <w:rPr>
              <w:rFonts w:asciiTheme="minorHAnsi" w:hAnsiTheme="minorHAnsi" w:cstheme="minorBidi"/>
              <w:noProof/>
              <w:sz w:val="22"/>
              <w:szCs w:val="22"/>
            </w:rPr>
          </w:pPr>
          <w:hyperlink w:history="1" w:anchor="_Toc69948209">
            <w:r w:rsidRPr="00FD24A9" w:rsidR="00C054EE">
              <w:rPr>
                <w:rStyle w:val="Hyperlink"/>
                <w:noProof/>
              </w:rPr>
              <w:t>7.9.7.</w:t>
            </w:r>
            <w:r w:rsidR="00C054EE">
              <w:rPr>
                <w:rFonts w:asciiTheme="minorHAnsi" w:hAnsiTheme="minorHAnsi" w:cstheme="minorBidi"/>
                <w:noProof/>
                <w:sz w:val="22"/>
                <w:szCs w:val="22"/>
              </w:rPr>
              <w:tab/>
            </w:r>
            <w:r w:rsidRPr="00FD24A9" w:rsidR="00C054EE">
              <w:rPr>
                <w:rStyle w:val="Hyperlink"/>
                <w:noProof/>
              </w:rPr>
              <w:t>Allowing Property Owner Enrollment and Certification: Approved</w:t>
            </w:r>
            <w:r w:rsidR="00C054EE">
              <w:rPr>
                <w:noProof/>
                <w:webHidden/>
              </w:rPr>
              <w:tab/>
            </w:r>
            <w:r w:rsidR="00C054EE">
              <w:rPr>
                <w:noProof/>
                <w:webHidden/>
              </w:rPr>
              <w:fldChar w:fldCharType="begin"/>
            </w:r>
            <w:r w:rsidR="00C054EE">
              <w:rPr>
                <w:noProof/>
                <w:webHidden/>
              </w:rPr>
              <w:instrText xml:space="preserve"> PAGEREF _Toc69948209 \h </w:instrText>
            </w:r>
            <w:r w:rsidR="00C054EE">
              <w:rPr>
                <w:noProof/>
                <w:webHidden/>
              </w:rPr>
            </w:r>
            <w:r w:rsidR="00C054EE">
              <w:rPr>
                <w:noProof/>
                <w:webHidden/>
              </w:rPr>
              <w:fldChar w:fldCharType="separate"/>
            </w:r>
            <w:r w:rsidR="004C2E01">
              <w:rPr>
                <w:noProof/>
                <w:webHidden/>
              </w:rPr>
              <w:t>363</w:t>
            </w:r>
            <w:r w:rsidR="00C054EE">
              <w:rPr>
                <w:noProof/>
                <w:webHidden/>
              </w:rPr>
              <w:fldChar w:fldCharType="end"/>
            </w:r>
          </w:hyperlink>
        </w:p>
        <w:p w:rsidR="00C054EE" w:rsidRDefault="000D5832" w14:paraId="7EC9AC2C" w14:textId="5CC9CA07">
          <w:pPr>
            <w:pStyle w:val="TOC3"/>
            <w:tabs>
              <w:tab w:val="left" w:pos="1296"/>
              <w:tab w:val="right" w:leader="dot" w:pos="9350"/>
            </w:tabs>
            <w:rPr>
              <w:rFonts w:asciiTheme="minorHAnsi" w:hAnsiTheme="minorHAnsi" w:cstheme="minorBidi"/>
              <w:noProof/>
              <w:sz w:val="22"/>
              <w:szCs w:val="22"/>
            </w:rPr>
          </w:pPr>
          <w:hyperlink w:history="1" w:anchor="_Toc69948210">
            <w:r w:rsidRPr="00FD24A9" w:rsidR="00C054EE">
              <w:rPr>
                <w:rStyle w:val="Hyperlink"/>
                <w:noProof/>
              </w:rPr>
              <w:t>7.9.8.</w:t>
            </w:r>
            <w:r w:rsidR="00C054EE">
              <w:rPr>
                <w:rFonts w:asciiTheme="minorHAnsi" w:hAnsiTheme="minorHAnsi" w:cstheme="minorBidi"/>
                <w:noProof/>
                <w:sz w:val="22"/>
                <w:szCs w:val="22"/>
              </w:rPr>
              <w:tab/>
            </w:r>
            <w:r w:rsidRPr="00FD24A9" w:rsidR="00C054EE">
              <w:rPr>
                <w:rStyle w:val="Hyperlink"/>
                <w:noProof/>
              </w:rPr>
              <w:t>Changing the Income Eligibility Requirement: Denied</w:t>
            </w:r>
            <w:r w:rsidR="00C054EE">
              <w:rPr>
                <w:noProof/>
                <w:webHidden/>
              </w:rPr>
              <w:tab/>
            </w:r>
            <w:r w:rsidR="00C054EE">
              <w:rPr>
                <w:noProof/>
                <w:webHidden/>
              </w:rPr>
              <w:fldChar w:fldCharType="begin"/>
            </w:r>
            <w:r w:rsidR="00C054EE">
              <w:rPr>
                <w:noProof/>
                <w:webHidden/>
              </w:rPr>
              <w:instrText xml:space="preserve"> PAGEREF _Toc69948210 \h </w:instrText>
            </w:r>
            <w:r w:rsidR="00C054EE">
              <w:rPr>
                <w:noProof/>
                <w:webHidden/>
              </w:rPr>
            </w:r>
            <w:r w:rsidR="00C054EE">
              <w:rPr>
                <w:noProof/>
                <w:webHidden/>
              </w:rPr>
              <w:fldChar w:fldCharType="separate"/>
            </w:r>
            <w:r w:rsidR="004C2E01">
              <w:rPr>
                <w:noProof/>
                <w:webHidden/>
              </w:rPr>
              <w:t>364</w:t>
            </w:r>
            <w:r w:rsidR="00C054EE">
              <w:rPr>
                <w:noProof/>
                <w:webHidden/>
              </w:rPr>
              <w:fldChar w:fldCharType="end"/>
            </w:r>
          </w:hyperlink>
        </w:p>
        <w:p w:rsidR="00C054EE" w:rsidRDefault="000D5832" w14:paraId="19DF0102" w14:textId="09A42BDD">
          <w:pPr>
            <w:pStyle w:val="TOC3"/>
            <w:tabs>
              <w:tab w:val="left" w:pos="1296"/>
              <w:tab w:val="right" w:leader="dot" w:pos="9350"/>
            </w:tabs>
            <w:rPr>
              <w:rFonts w:asciiTheme="minorHAnsi" w:hAnsiTheme="minorHAnsi" w:cstheme="minorBidi"/>
              <w:noProof/>
              <w:sz w:val="22"/>
              <w:szCs w:val="22"/>
            </w:rPr>
          </w:pPr>
          <w:hyperlink w:history="1" w:anchor="_Toc69948211">
            <w:r w:rsidRPr="00FD24A9" w:rsidR="00C054EE">
              <w:rPr>
                <w:rStyle w:val="Hyperlink"/>
                <w:noProof/>
              </w:rPr>
              <w:t>7.9.9.</w:t>
            </w:r>
            <w:r w:rsidR="00C054EE">
              <w:rPr>
                <w:rFonts w:asciiTheme="minorHAnsi" w:hAnsiTheme="minorHAnsi" w:cstheme="minorBidi"/>
                <w:noProof/>
                <w:sz w:val="22"/>
                <w:szCs w:val="22"/>
              </w:rPr>
              <w:tab/>
            </w:r>
            <w:r w:rsidRPr="00FD24A9" w:rsidR="00C054EE">
              <w:rPr>
                <w:rStyle w:val="Hyperlink"/>
                <w:noProof/>
              </w:rPr>
              <w:t>Waiving Property Owner Consent: Denied</w:t>
            </w:r>
            <w:r w:rsidR="00C054EE">
              <w:rPr>
                <w:noProof/>
                <w:webHidden/>
              </w:rPr>
              <w:tab/>
            </w:r>
            <w:r w:rsidR="00C054EE">
              <w:rPr>
                <w:noProof/>
                <w:webHidden/>
              </w:rPr>
              <w:fldChar w:fldCharType="begin"/>
            </w:r>
            <w:r w:rsidR="00C054EE">
              <w:rPr>
                <w:noProof/>
                <w:webHidden/>
              </w:rPr>
              <w:instrText xml:space="preserve"> PAGEREF _Toc69948211 \h </w:instrText>
            </w:r>
            <w:r w:rsidR="00C054EE">
              <w:rPr>
                <w:noProof/>
                <w:webHidden/>
              </w:rPr>
            </w:r>
            <w:r w:rsidR="00C054EE">
              <w:rPr>
                <w:noProof/>
                <w:webHidden/>
              </w:rPr>
              <w:fldChar w:fldCharType="separate"/>
            </w:r>
            <w:r w:rsidR="004C2E01">
              <w:rPr>
                <w:noProof/>
                <w:webHidden/>
              </w:rPr>
              <w:t>364</w:t>
            </w:r>
            <w:r w:rsidR="00C054EE">
              <w:rPr>
                <w:noProof/>
                <w:webHidden/>
              </w:rPr>
              <w:fldChar w:fldCharType="end"/>
            </w:r>
          </w:hyperlink>
        </w:p>
        <w:p w:rsidR="00C054EE" w:rsidRDefault="000D5832" w14:paraId="1B36684B" w14:textId="2342F176">
          <w:pPr>
            <w:pStyle w:val="TOC3"/>
            <w:tabs>
              <w:tab w:val="left" w:pos="1728"/>
              <w:tab w:val="right" w:leader="dot" w:pos="9350"/>
            </w:tabs>
            <w:rPr>
              <w:rFonts w:asciiTheme="minorHAnsi" w:hAnsiTheme="minorHAnsi" w:cstheme="minorBidi"/>
              <w:noProof/>
              <w:sz w:val="22"/>
              <w:szCs w:val="22"/>
            </w:rPr>
          </w:pPr>
          <w:hyperlink w:history="1" w:anchor="_Toc69948212">
            <w:r w:rsidRPr="00FD24A9" w:rsidR="00C054EE">
              <w:rPr>
                <w:rStyle w:val="Hyperlink"/>
                <w:noProof/>
              </w:rPr>
              <w:t>7.9.10.</w:t>
            </w:r>
            <w:r w:rsidR="00C054EE">
              <w:rPr>
                <w:rFonts w:asciiTheme="minorHAnsi" w:hAnsiTheme="minorHAnsi" w:cstheme="minorBidi"/>
                <w:noProof/>
                <w:sz w:val="22"/>
                <w:szCs w:val="22"/>
              </w:rPr>
              <w:tab/>
            </w:r>
            <w:r w:rsidRPr="00FD24A9" w:rsidR="00C054EE">
              <w:rPr>
                <w:rStyle w:val="Hyperlink"/>
                <w:noProof/>
              </w:rPr>
              <w:t>Third Party Proposed Measures and Co-Pays: Approved with Modifications</w:t>
            </w:r>
            <w:r w:rsidR="00C054EE">
              <w:rPr>
                <w:noProof/>
                <w:webHidden/>
              </w:rPr>
              <w:tab/>
            </w:r>
            <w:r w:rsidR="00C054EE">
              <w:rPr>
                <w:noProof/>
                <w:webHidden/>
              </w:rPr>
              <w:fldChar w:fldCharType="begin"/>
            </w:r>
            <w:r w:rsidR="00C054EE">
              <w:rPr>
                <w:noProof/>
                <w:webHidden/>
              </w:rPr>
              <w:instrText xml:space="preserve"> PAGEREF _Toc69948212 \h </w:instrText>
            </w:r>
            <w:r w:rsidR="00C054EE">
              <w:rPr>
                <w:noProof/>
                <w:webHidden/>
              </w:rPr>
            </w:r>
            <w:r w:rsidR="00C054EE">
              <w:rPr>
                <w:noProof/>
                <w:webHidden/>
              </w:rPr>
              <w:fldChar w:fldCharType="separate"/>
            </w:r>
            <w:r w:rsidR="004C2E01">
              <w:rPr>
                <w:noProof/>
                <w:webHidden/>
              </w:rPr>
              <w:t>364</w:t>
            </w:r>
            <w:r w:rsidR="00C054EE">
              <w:rPr>
                <w:noProof/>
                <w:webHidden/>
              </w:rPr>
              <w:fldChar w:fldCharType="end"/>
            </w:r>
          </w:hyperlink>
        </w:p>
        <w:p w:rsidR="00C054EE" w:rsidRDefault="000D5832" w14:paraId="114BD26D" w14:textId="64DDB59A">
          <w:pPr>
            <w:pStyle w:val="TOC3"/>
            <w:tabs>
              <w:tab w:val="left" w:pos="1728"/>
              <w:tab w:val="right" w:leader="dot" w:pos="9350"/>
            </w:tabs>
            <w:rPr>
              <w:rFonts w:asciiTheme="minorHAnsi" w:hAnsiTheme="minorHAnsi" w:cstheme="minorBidi"/>
              <w:noProof/>
              <w:sz w:val="22"/>
              <w:szCs w:val="22"/>
            </w:rPr>
          </w:pPr>
          <w:hyperlink w:history="1" w:anchor="_Toc69948213">
            <w:r w:rsidRPr="00FD24A9" w:rsidR="00C054EE">
              <w:rPr>
                <w:rStyle w:val="Hyperlink"/>
                <w:noProof/>
              </w:rPr>
              <w:t>7.9.11.</w:t>
            </w:r>
            <w:r w:rsidR="00C054EE">
              <w:rPr>
                <w:rFonts w:asciiTheme="minorHAnsi" w:hAnsiTheme="minorHAnsi" w:cstheme="minorBidi"/>
                <w:noProof/>
                <w:sz w:val="22"/>
                <w:szCs w:val="22"/>
              </w:rPr>
              <w:tab/>
            </w:r>
            <w:r w:rsidRPr="00FD24A9" w:rsidR="00C054EE">
              <w:rPr>
                <w:rStyle w:val="Hyperlink"/>
                <w:noProof/>
              </w:rPr>
              <w:t>Rent Protections: New</w:t>
            </w:r>
            <w:r w:rsidR="00C054EE">
              <w:rPr>
                <w:noProof/>
                <w:webHidden/>
              </w:rPr>
              <w:tab/>
            </w:r>
            <w:r w:rsidR="00C054EE">
              <w:rPr>
                <w:noProof/>
                <w:webHidden/>
              </w:rPr>
              <w:fldChar w:fldCharType="begin"/>
            </w:r>
            <w:r w:rsidR="00C054EE">
              <w:rPr>
                <w:noProof/>
                <w:webHidden/>
              </w:rPr>
              <w:instrText xml:space="preserve"> PAGEREF _Toc69948213 \h </w:instrText>
            </w:r>
            <w:r w:rsidR="00C054EE">
              <w:rPr>
                <w:noProof/>
                <w:webHidden/>
              </w:rPr>
            </w:r>
            <w:r w:rsidR="00C054EE">
              <w:rPr>
                <w:noProof/>
                <w:webHidden/>
              </w:rPr>
              <w:fldChar w:fldCharType="separate"/>
            </w:r>
            <w:r w:rsidR="004C2E01">
              <w:rPr>
                <w:noProof/>
                <w:webHidden/>
              </w:rPr>
              <w:t>364</w:t>
            </w:r>
            <w:r w:rsidR="00C054EE">
              <w:rPr>
                <w:noProof/>
                <w:webHidden/>
              </w:rPr>
              <w:fldChar w:fldCharType="end"/>
            </w:r>
          </w:hyperlink>
        </w:p>
        <w:p w:rsidR="00C054EE" w:rsidRDefault="000D5832" w14:paraId="24D45686" w14:textId="394AD8FC">
          <w:pPr>
            <w:pStyle w:val="TOC3"/>
            <w:tabs>
              <w:tab w:val="left" w:pos="1728"/>
              <w:tab w:val="right" w:leader="dot" w:pos="9350"/>
            </w:tabs>
            <w:rPr>
              <w:rFonts w:asciiTheme="minorHAnsi" w:hAnsiTheme="minorHAnsi" w:cstheme="minorBidi"/>
              <w:noProof/>
              <w:sz w:val="22"/>
              <w:szCs w:val="22"/>
            </w:rPr>
          </w:pPr>
          <w:hyperlink w:history="1" w:anchor="_Toc69948214">
            <w:r w:rsidRPr="00FD24A9" w:rsidR="00C054EE">
              <w:rPr>
                <w:rStyle w:val="Hyperlink"/>
                <w:noProof/>
              </w:rPr>
              <w:t>7.9.12.</w:t>
            </w:r>
            <w:r w:rsidR="00C054EE">
              <w:rPr>
                <w:rFonts w:asciiTheme="minorHAnsi" w:hAnsiTheme="minorHAnsi" w:cstheme="minorBidi"/>
                <w:noProof/>
                <w:sz w:val="22"/>
                <w:szCs w:val="22"/>
              </w:rPr>
              <w:tab/>
            </w:r>
            <w:r w:rsidRPr="00FD24A9" w:rsidR="00C054EE">
              <w:rPr>
                <w:rStyle w:val="Hyperlink"/>
                <w:noProof/>
              </w:rPr>
              <w:t>Treatment Goals: Approved with Modifications</w:t>
            </w:r>
            <w:r w:rsidR="00C054EE">
              <w:rPr>
                <w:noProof/>
                <w:webHidden/>
              </w:rPr>
              <w:tab/>
            </w:r>
            <w:r w:rsidR="00C054EE">
              <w:rPr>
                <w:noProof/>
                <w:webHidden/>
              </w:rPr>
              <w:fldChar w:fldCharType="begin"/>
            </w:r>
            <w:r w:rsidR="00C054EE">
              <w:rPr>
                <w:noProof/>
                <w:webHidden/>
              </w:rPr>
              <w:instrText xml:space="preserve"> PAGEREF _Toc69948214 \h </w:instrText>
            </w:r>
            <w:r w:rsidR="00C054EE">
              <w:rPr>
                <w:noProof/>
                <w:webHidden/>
              </w:rPr>
            </w:r>
            <w:r w:rsidR="00C054EE">
              <w:rPr>
                <w:noProof/>
                <w:webHidden/>
              </w:rPr>
              <w:fldChar w:fldCharType="separate"/>
            </w:r>
            <w:r w:rsidR="004C2E01">
              <w:rPr>
                <w:noProof/>
                <w:webHidden/>
              </w:rPr>
              <w:t>365</w:t>
            </w:r>
            <w:r w:rsidR="00C054EE">
              <w:rPr>
                <w:noProof/>
                <w:webHidden/>
              </w:rPr>
              <w:fldChar w:fldCharType="end"/>
            </w:r>
          </w:hyperlink>
        </w:p>
        <w:p w:rsidR="00C054EE" w:rsidRDefault="000D5832" w14:paraId="01080BA1" w14:textId="62BDE304">
          <w:pPr>
            <w:pStyle w:val="TOC3"/>
            <w:tabs>
              <w:tab w:val="left" w:pos="1728"/>
              <w:tab w:val="right" w:leader="dot" w:pos="9350"/>
            </w:tabs>
            <w:rPr>
              <w:rFonts w:asciiTheme="minorHAnsi" w:hAnsiTheme="minorHAnsi" w:cstheme="minorBidi"/>
              <w:noProof/>
              <w:sz w:val="22"/>
              <w:szCs w:val="22"/>
            </w:rPr>
          </w:pPr>
          <w:hyperlink w:history="1" w:anchor="_Toc69948215">
            <w:r w:rsidRPr="00FD24A9" w:rsidR="00C054EE">
              <w:rPr>
                <w:rStyle w:val="Hyperlink"/>
                <w:noProof/>
              </w:rPr>
              <w:t>7.9.13.</w:t>
            </w:r>
            <w:r w:rsidR="00C054EE">
              <w:rPr>
                <w:rFonts w:asciiTheme="minorHAnsi" w:hAnsiTheme="minorHAnsi" w:cstheme="minorBidi"/>
                <w:noProof/>
                <w:sz w:val="22"/>
                <w:szCs w:val="22"/>
              </w:rPr>
              <w:tab/>
            </w:r>
            <w:r w:rsidRPr="00FD24A9" w:rsidR="00C054EE">
              <w:rPr>
                <w:rStyle w:val="Hyperlink"/>
                <w:noProof/>
              </w:rPr>
              <w:t>Energy Savings Goals: Approved with Modifications</w:t>
            </w:r>
            <w:r w:rsidR="00C054EE">
              <w:rPr>
                <w:noProof/>
                <w:webHidden/>
              </w:rPr>
              <w:tab/>
            </w:r>
            <w:r w:rsidR="00C054EE">
              <w:rPr>
                <w:noProof/>
                <w:webHidden/>
              </w:rPr>
              <w:fldChar w:fldCharType="begin"/>
            </w:r>
            <w:r w:rsidR="00C054EE">
              <w:rPr>
                <w:noProof/>
                <w:webHidden/>
              </w:rPr>
              <w:instrText xml:space="preserve"> PAGEREF _Toc69948215 \h </w:instrText>
            </w:r>
            <w:r w:rsidR="00C054EE">
              <w:rPr>
                <w:noProof/>
                <w:webHidden/>
              </w:rPr>
            </w:r>
            <w:r w:rsidR="00C054EE">
              <w:rPr>
                <w:noProof/>
                <w:webHidden/>
              </w:rPr>
              <w:fldChar w:fldCharType="separate"/>
            </w:r>
            <w:r w:rsidR="004C2E01">
              <w:rPr>
                <w:noProof/>
                <w:webHidden/>
              </w:rPr>
              <w:t>367</w:t>
            </w:r>
            <w:r w:rsidR="00C054EE">
              <w:rPr>
                <w:noProof/>
                <w:webHidden/>
              </w:rPr>
              <w:fldChar w:fldCharType="end"/>
            </w:r>
          </w:hyperlink>
        </w:p>
        <w:p w:rsidR="00C054EE" w:rsidRDefault="000D5832" w14:paraId="2CB2D4C4" w14:textId="07EB152C">
          <w:pPr>
            <w:pStyle w:val="TOC3"/>
            <w:tabs>
              <w:tab w:val="left" w:pos="1728"/>
              <w:tab w:val="right" w:leader="dot" w:pos="9350"/>
            </w:tabs>
            <w:rPr>
              <w:rFonts w:asciiTheme="minorHAnsi" w:hAnsiTheme="minorHAnsi" w:cstheme="minorBidi"/>
              <w:noProof/>
              <w:sz w:val="22"/>
              <w:szCs w:val="22"/>
            </w:rPr>
          </w:pPr>
          <w:hyperlink w:history="1" w:anchor="_Toc69948216">
            <w:r w:rsidRPr="00FD24A9" w:rsidR="00C054EE">
              <w:rPr>
                <w:rStyle w:val="Hyperlink"/>
                <w:noProof/>
              </w:rPr>
              <w:t>7.9.14.</w:t>
            </w:r>
            <w:r w:rsidR="00C054EE">
              <w:rPr>
                <w:rFonts w:asciiTheme="minorHAnsi" w:hAnsiTheme="minorHAnsi" w:cstheme="minorBidi"/>
                <w:noProof/>
                <w:sz w:val="22"/>
                <w:szCs w:val="22"/>
              </w:rPr>
              <w:tab/>
            </w:r>
            <w:r w:rsidRPr="00FD24A9" w:rsidR="00C054EE">
              <w:rPr>
                <w:rStyle w:val="Hyperlink"/>
                <w:noProof/>
              </w:rPr>
              <w:t>Multifamily Program Budgets, PYs 2021-2022 (ESA In Unit, CAM, SPOC): Approved with Modifications</w:t>
            </w:r>
            <w:r w:rsidR="00C054EE">
              <w:rPr>
                <w:noProof/>
                <w:webHidden/>
              </w:rPr>
              <w:tab/>
            </w:r>
            <w:r w:rsidR="00C054EE">
              <w:rPr>
                <w:noProof/>
                <w:webHidden/>
              </w:rPr>
              <w:fldChar w:fldCharType="begin"/>
            </w:r>
            <w:r w:rsidR="00C054EE">
              <w:rPr>
                <w:noProof/>
                <w:webHidden/>
              </w:rPr>
              <w:instrText xml:space="preserve"> PAGEREF _Toc69948216 \h </w:instrText>
            </w:r>
            <w:r w:rsidR="00C054EE">
              <w:rPr>
                <w:noProof/>
                <w:webHidden/>
              </w:rPr>
            </w:r>
            <w:r w:rsidR="00C054EE">
              <w:rPr>
                <w:noProof/>
                <w:webHidden/>
              </w:rPr>
              <w:fldChar w:fldCharType="separate"/>
            </w:r>
            <w:r w:rsidR="004C2E01">
              <w:rPr>
                <w:noProof/>
                <w:webHidden/>
              </w:rPr>
              <w:t>368</w:t>
            </w:r>
            <w:r w:rsidR="00C054EE">
              <w:rPr>
                <w:noProof/>
                <w:webHidden/>
              </w:rPr>
              <w:fldChar w:fldCharType="end"/>
            </w:r>
          </w:hyperlink>
        </w:p>
        <w:p w:rsidR="00C054EE" w:rsidRDefault="000D5832" w14:paraId="63991C4C" w14:textId="416824BE">
          <w:pPr>
            <w:pStyle w:val="TOC3"/>
            <w:tabs>
              <w:tab w:val="left" w:pos="1728"/>
              <w:tab w:val="right" w:leader="dot" w:pos="9350"/>
            </w:tabs>
            <w:rPr>
              <w:rFonts w:asciiTheme="minorHAnsi" w:hAnsiTheme="minorHAnsi" w:cstheme="minorBidi"/>
              <w:noProof/>
              <w:sz w:val="22"/>
              <w:szCs w:val="22"/>
            </w:rPr>
          </w:pPr>
          <w:hyperlink w:history="1" w:anchor="_Toc69948217">
            <w:r w:rsidRPr="00FD24A9" w:rsidR="00C054EE">
              <w:rPr>
                <w:rStyle w:val="Hyperlink"/>
                <w:noProof/>
              </w:rPr>
              <w:t>7.9.15.</w:t>
            </w:r>
            <w:r w:rsidR="00C054EE">
              <w:rPr>
                <w:rFonts w:asciiTheme="minorHAnsi" w:hAnsiTheme="minorHAnsi" w:cstheme="minorBidi"/>
                <w:noProof/>
                <w:sz w:val="22"/>
                <w:szCs w:val="22"/>
              </w:rPr>
              <w:tab/>
            </w:r>
            <w:r w:rsidRPr="00FD24A9" w:rsidR="00C054EE">
              <w:rPr>
                <w:rStyle w:val="Hyperlink"/>
                <w:noProof/>
              </w:rPr>
              <w:t>Multifamily Program Budgets, PYs 2023-2026 (MFWB): Approved with Modifications</w:t>
            </w:r>
            <w:r w:rsidR="00C054EE">
              <w:rPr>
                <w:noProof/>
                <w:webHidden/>
              </w:rPr>
              <w:tab/>
            </w:r>
            <w:r w:rsidR="00C054EE">
              <w:rPr>
                <w:noProof/>
                <w:webHidden/>
              </w:rPr>
              <w:fldChar w:fldCharType="begin"/>
            </w:r>
            <w:r w:rsidR="00C054EE">
              <w:rPr>
                <w:noProof/>
                <w:webHidden/>
              </w:rPr>
              <w:instrText xml:space="preserve"> PAGEREF _Toc69948217 \h </w:instrText>
            </w:r>
            <w:r w:rsidR="00C054EE">
              <w:rPr>
                <w:noProof/>
                <w:webHidden/>
              </w:rPr>
            </w:r>
            <w:r w:rsidR="00C054EE">
              <w:rPr>
                <w:noProof/>
                <w:webHidden/>
              </w:rPr>
              <w:fldChar w:fldCharType="separate"/>
            </w:r>
            <w:r w:rsidR="004C2E01">
              <w:rPr>
                <w:noProof/>
                <w:webHidden/>
              </w:rPr>
              <w:t>370</w:t>
            </w:r>
            <w:r w:rsidR="00C054EE">
              <w:rPr>
                <w:noProof/>
                <w:webHidden/>
              </w:rPr>
              <w:fldChar w:fldCharType="end"/>
            </w:r>
          </w:hyperlink>
        </w:p>
        <w:p w:rsidR="00C054EE" w:rsidRDefault="000D5832" w14:paraId="03DF84B0" w14:textId="35FCAF37">
          <w:pPr>
            <w:pStyle w:val="TOC3"/>
            <w:tabs>
              <w:tab w:val="left" w:pos="1728"/>
              <w:tab w:val="right" w:leader="dot" w:pos="9350"/>
            </w:tabs>
            <w:rPr>
              <w:rFonts w:asciiTheme="minorHAnsi" w:hAnsiTheme="minorHAnsi" w:cstheme="minorBidi"/>
              <w:noProof/>
              <w:sz w:val="22"/>
              <w:szCs w:val="22"/>
            </w:rPr>
          </w:pPr>
          <w:hyperlink w:history="1" w:anchor="_Toc69948218">
            <w:r w:rsidRPr="00FD24A9" w:rsidR="00C054EE">
              <w:rPr>
                <w:rStyle w:val="Hyperlink"/>
                <w:noProof/>
              </w:rPr>
              <w:t>7.9.16.</w:t>
            </w:r>
            <w:r w:rsidR="00C054EE">
              <w:rPr>
                <w:rFonts w:asciiTheme="minorHAnsi" w:hAnsiTheme="minorHAnsi" w:cstheme="minorBidi"/>
                <w:noProof/>
                <w:sz w:val="22"/>
                <w:szCs w:val="22"/>
              </w:rPr>
              <w:tab/>
            </w:r>
            <w:r w:rsidRPr="00FD24A9" w:rsidR="00C054EE">
              <w:rPr>
                <w:rStyle w:val="Hyperlink"/>
                <w:noProof/>
              </w:rPr>
              <w:t>Reporting: New</w:t>
            </w:r>
            <w:r w:rsidR="00C054EE">
              <w:rPr>
                <w:noProof/>
                <w:webHidden/>
              </w:rPr>
              <w:tab/>
            </w:r>
            <w:r w:rsidR="00C054EE">
              <w:rPr>
                <w:noProof/>
                <w:webHidden/>
              </w:rPr>
              <w:fldChar w:fldCharType="begin"/>
            </w:r>
            <w:r w:rsidR="00C054EE">
              <w:rPr>
                <w:noProof/>
                <w:webHidden/>
              </w:rPr>
              <w:instrText xml:space="preserve"> PAGEREF _Toc69948218 \h </w:instrText>
            </w:r>
            <w:r w:rsidR="00C054EE">
              <w:rPr>
                <w:noProof/>
                <w:webHidden/>
              </w:rPr>
            </w:r>
            <w:r w:rsidR="00C054EE">
              <w:rPr>
                <w:noProof/>
                <w:webHidden/>
              </w:rPr>
              <w:fldChar w:fldCharType="separate"/>
            </w:r>
            <w:r w:rsidR="004C2E01">
              <w:rPr>
                <w:noProof/>
                <w:webHidden/>
              </w:rPr>
              <w:t>371</w:t>
            </w:r>
            <w:r w:rsidR="00C054EE">
              <w:rPr>
                <w:noProof/>
                <w:webHidden/>
              </w:rPr>
              <w:fldChar w:fldCharType="end"/>
            </w:r>
          </w:hyperlink>
        </w:p>
        <w:p w:rsidR="00C054EE" w:rsidRDefault="000D5832" w14:paraId="30F2137A" w14:textId="135C9D09">
          <w:pPr>
            <w:pStyle w:val="TOC3"/>
            <w:tabs>
              <w:tab w:val="left" w:pos="1728"/>
              <w:tab w:val="right" w:leader="dot" w:pos="9350"/>
            </w:tabs>
            <w:rPr>
              <w:rFonts w:asciiTheme="minorHAnsi" w:hAnsiTheme="minorHAnsi" w:cstheme="minorBidi"/>
              <w:noProof/>
              <w:sz w:val="22"/>
              <w:szCs w:val="22"/>
            </w:rPr>
          </w:pPr>
          <w:hyperlink w:history="1" w:anchor="_Toc69948219">
            <w:r w:rsidRPr="00FD24A9" w:rsidR="00C054EE">
              <w:rPr>
                <w:rStyle w:val="Hyperlink"/>
                <w:noProof/>
              </w:rPr>
              <w:t>7.9.17.</w:t>
            </w:r>
            <w:r w:rsidR="00C054EE">
              <w:rPr>
                <w:rFonts w:asciiTheme="minorHAnsi" w:hAnsiTheme="minorHAnsi" w:cstheme="minorBidi"/>
                <w:noProof/>
                <w:sz w:val="22"/>
                <w:szCs w:val="22"/>
              </w:rPr>
              <w:tab/>
            </w:r>
            <w:r w:rsidRPr="00FD24A9" w:rsidR="00C054EE">
              <w:rPr>
                <w:rStyle w:val="Hyperlink"/>
                <w:noProof/>
              </w:rPr>
              <w:t>Post Decision Updates: Denied</w:t>
            </w:r>
            <w:r w:rsidR="00C054EE">
              <w:rPr>
                <w:noProof/>
                <w:webHidden/>
              </w:rPr>
              <w:tab/>
            </w:r>
            <w:r w:rsidR="00C054EE">
              <w:rPr>
                <w:noProof/>
                <w:webHidden/>
              </w:rPr>
              <w:fldChar w:fldCharType="begin"/>
            </w:r>
            <w:r w:rsidR="00C054EE">
              <w:rPr>
                <w:noProof/>
                <w:webHidden/>
              </w:rPr>
              <w:instrText xml:space="preserve"> PAGEREF _Toc69948219 \h </w:instrText>
            </w:r>
            <w:r w:rsidR="00C054EE">
              <w:rPr>
                <w:noProof/>
                <w:webHidden/>
              </w:rPr>
            </w:r>
            <w:r w:rsidR="00C054EE">
              <w:rPr>
                <w:noProof/>
                <w:webHidden/>
              </w:rPr>
              <w:fldChar w:fldCharType="separate"/>
            </w:r>
            <w:r w:rsidR="004C2E01">
              <w:rPr>
                <w:noProof/>
                <w:webHidden/>
              </w:rPr>
              <w:t>371</w:t>
            </w:r>
            <w:r w:rsidR="00C054EE">
              <w:rPr>
                <w:noProof/>
                <w:webHidden/>
              </w:rPr>
              <w:fldChar w:fldCharType="end"/>
            </w:r>
          </w:hyperlink>
        </w:p>
        <w:p w:rsidR="00C054EE" w:rsidRDefault="000D5832" w14:paraId="51E20A5B" w14:textId="3CA346F0">
          <w:pPr>
            <w:pStyle w:val="TOC3"/>
            <w:tabs>
              <w:tab w:val="left" w:pos="1728"/>
              <w:tab w:val="right" w:leader="dot" w:pos="9350"/>
            </w:tabs>
            <w:rPr>
              <w:rFonts w:asciiTheme="minorHAnsi" w:hAnsiTheme="minorHAnsi" w:cstheme="minorBidi"/>
              <w:noProof/>
              <w:sz w:val="22"/>
              <w:szCs w:val="22"/>
            </w:rPr>
          </w:pPr>
          <w:hyperlink w:history="1" w:anchor="_Toc69948220">
            <w:r w:rsidRPr="00FD24A9" w:rsidR="00C054EE">
              <w:rPr>
                <w:rStyle w:val="Hyperlink"/>
                <w:noProof/>
              </w:rPr>
              <w:t>7.9.18.</w:t>
            </w:r>
            <w:r w:rsidR="00C054EE">
              <w:rPr>
                <w:rFonts w:asciiTheme="minorHAnsi" w:hAnsiTheme="minorHAnsi" w:cstheme="minorBidi"/>
                <w:noProof/>
                <w:sz w:val="22"/>
                <w:szCs w:val="22"/>
              </w:rPr>
              <w:tab/>
            </w:r>
            <w:r w:rsidRPr="00FD24A9" w:rsidR="00C054EE">
              <w:rPr>
                <w:rStyle w:val="Hyperlink"/>
                <w:noProof/>
              </w:rPr>
              <w:t>Definitions and Other Clarifications</w:t>
            </w:r>
            <w:r w:rsidR="00C054EE">
              <w:rPr>
                <w:noProof/>
                <w:webHidden/>
              </w:rPr>
              <w:tab/>
            </w:r>
            <w:r w:rsidR="00C054EE">
              <w:rPr>
                <w:noProof/>
                <w:webHidden/>
              </w:rPr>
              <w:fldChar w:fldCharType="begin"/>
            </w:r>
            <w:r w:rsidR="00C054EE">
              <w:rPr>
                <w:noProof/>
                <w:webHidden/>
              </w:rPr>
              <w:instrText xml:space="preserve"> PAGEREF _Toc69948220 \h </w:instrText>
            </w:r>
            <w:r w:rsidR="00C054EE">
              <w:rPr>
                <w:noProof/>
                <w:webHidden/>
              </w:rPr>
            </w:r>
            <w:r w:rsidR="00C054EE">
              <w:rPr>
                <w:noProof/>
                <w:webHidden/>
              </w:rPr>
              <w:fldChar w:fldCharType="separate"/>
            </w:r>
            <w:r w:rsidR="004C2E01">
              <w:rPr>
                <w:noProof/>
                <w:webHidden/>
              </w:rPr>
              <w:t>372</w:t>
            </w:r>
            <w:r w:rsidR="00C054EE">
              <w:rPr>
                <w:noProof/>
                <w:webHidden/>
              </w:rPr>
              <w:fldChar w:fldCharType="end"/>
            </w:r>
          </w:hyperlink>
        </w:p>
        <w:p w:rsidR="00C054EE" w:rsidRDefault="000D5832" w14:paraId="67B4397F" w14:textId="1A3FD1C5">
          <w:pPr>
            <w:pStyle w:val="TOC3"/>
            <w:tabs>
              <w:tab w:val="left" w:pos="1728"/>
              <w:tab w:val="right" w:leader="dot" w:pos="9350"/>
            </w:tabs>
            <w:rPr>
              <w:rFonts w:asciiTheme="minorHAnsi" w:hAnsiTheme="minorHAnsi" w:cstheme="minorBidi"/>
              <w:noProof/>
              <w:sz w:val="22"/>
              <w:szCs w:val="22"/>
            </w:rPr>
          </w:pPr>
          <w:hyperlink w:history="1" w:anchor="_Toc69948221">
            <w:r w:rsidRPr="00FD24A9" w:rsidR="00C054EE">
              <w:rPr>
                <w:rStyle w:val="Hyperlink"/>
                <w:noProof/>
              </w:rPr>
              <w:t>7.9.19.</w:t>
            </w:r>
            <w:r w:rsidR="00C054EE">
              <w:rPr>
                <w:rFonts w:asciiTheme="minorHAnsi" w:hAnsiTheme="minorHAnsi" w:cstheme="minorBidi"/>
                <w:noProof/>
                <w:sz w:val="22"/>
                <w:szCs w:val="22"/>
              </w:rPr>
              <w:tab/>
            </w:r>
            <w:r w:rsidRPr="00FD24A9" w:rsidR="00C054EE">
              <w:rPr>
                <w:rStyle w:val="Hyperlink"/>
                <w:noProof/>
              </w:rPr>
              <w:t>MCE’s Multifamily Program: Approved to be Continued as a Pilot</w:t>
            </w:r>
            <w:r w:rsidR="00C054EE">
              <w:rPr>
                <w:noProof/>
                <w:webHidden/>
              </w:rPr>
              <w:tab/>
            </w:r>
            <w:r w:rsidR="00C054EE">
              <w:rPr>
                <w:noProof/>
                <w:webHidden/>
              </w:rPr>
              <w:fldChar w:fldCharType="begin"/>
            </w:r>
            <w:r w:rsidR="00C054EE">
              <w:rPr>
                <w:noProof/>
                <w:webHidden/>
              </w:rPr>
              <w:instrText xml:space="preserve"> PAGEREF _Toc69948221 \h </w:instrText>
            </w:r>
            <w:r w:rsidR="00C054EE">
              <w:rPr>
                <w:noProof/>
                <w:webHidden/>
              </w:rPr>
            </w:r>
            <w:r w:rsidR="00C054EE">
              <w:rPr>
                <w:noProof/>
                <w:webHidden/>
              </w:rPr>
              <w:fldChar w:fldCharType="separate"/>
            </w:r>
            <w:r w:rsidR="004C2E01">
              <w:rPr>
                <w:noProof/>
                <w:webHidden/>
              </w:rPr>
              <w:t>373</w:t>
            </w:r>
            <w:r w:rsidR="00C054EE">
              <w:rPr>
                <w:noProof/>
                <w:webHidden/>
              </w:rPr>
              <w:fldChar w:fldCharType="end"/>
            </w:r>
          </w:hyperlink>
        </w:p>
        <w:p w:rsidR="00C054EE" w:rsidRDefault="000D5832" w14:paraId="080EA152" w14:textId="6A81D4C8">
          <w:pPr>
            <w:pStyle w:val="TOC1"/>
            <w:tabs>
              <w:tab w:val="right" w:leader="dot" w:pos="9350"/>
            </w:tabs>
            <w:rPr>
              <w:rFonts w:asciiTheme="minorHAnsi" w:hAnsiTheme="minorHAnsi" w:cstheme="minorBidi"/>
              <w:noProof/>
              <w:sz w:val="22"/>
              <w:szCs w:val="22"/>
            </w:rPr>
          </w:pPr>
          <w:hyperlink w:history="1" w:anchor="_Toc69948222">
            <w:r w:rsidRPr="00FD24A9" w:rsidR="00C054EE">
              <w:rPr>
                <w:rStyle w:val="Hyperlink"/>
                <w:noProof/>
              </w:rPr>
              <w:t>8.</w:t>
            </w:r>
            <w:r w:rsidR="00C054EE">
              <w:rPr>
                <w:rFonts w:asciiTheme="minorHAnsi" w:hAnsiTheme="minorHAnsi" w:cstheme="minorBidi"/>
                <w:noProof/>
                <w:sz w:val="22"/>
                <w:szCs w:val="22"/>
              </w:rPr>
              <w:tab/>
            </w:r>
            <w:r w:rsidRPr="00FD24A9" w:rsidR="00C054EE">
              <w:rPr>
                <w:rStyle w:val="Hyperlink"/>
                <w:noProof/>
              </w:rPr>
              <w:t>Studies and Pilots</w:t>
            </w:r>
            <w:r w:rsidR="00C054EE">
              <w:rPr>
                <w:noProof/>
                <w:webHidden/>
              </w:rPr>
              <w:tab/>
            </w:r>
            <w:r w:rsidR="00C054EE">
              <w:rPr>
                <w:noProof/>
                <w:webHidden/>
              </w:rPr>
              <w:fldChar w:fldCharType="begin"/>
            </w:r>
            <w:r w:rsidR="00C054EE">
              <w:rPr>
                <w:noProof/>
                <w:webHidden/>
              </w:rPr>
              <w:instrText xml:space="preserve"> PAGEREF _Toc69948222 \h </w:instrText>
            </w:r>
            <w:r w:rsidR="00C054EE">
              <w:rPr>
                <w:noProof/>
                <w:webHidden/>
              </w:rPr>
            </w:r>
            <w:r w:rsidR="00C054EE">
              <w:rPr>
                <w:noProof/>
                <w:webHidden/>
              </w:rPr>
              <w:fldChar w:fldCharType="separate"/>
            </w:r>
            <w:r w:rsidR="004C2E01">
              <w:rPr>
                <w:noProof/>
                <w:webHidden/>
              </w:rPr>
              <w:t>376</w:t>
            </w:r>
            <w:r w:rsidR="00C054EE">
              <w:rPr>
                <w:noProof/>
                <w:webHidden/>
              </w:rPr>
              <w:fldChar w:fldCharType="end"/>
            </w:r>
          </w:hyperlink>
        </w:p>
        <w:p w:rsidR="00C054EE" w:rsidRDefault="000D5832" w14:paraId="344F74A5" w14:textId="7C80FE75">
          <w:pPr>
            <w:pStyle w:val="TOC2"/>
            <w:tabs>
              <w:tab w:val="right" w:leader="dot" w:pos="9350"/>
            </w:tabs>
            <w:rPr>
              <w:rFonts w:asciiTheme="minorHAnsi" w:hAnsiTheme="minorHAnsi" w:cstheme="minorBidi"/>
              <w:noProof/>
              <w:sz w:val="22"/>
              <w:szCs w:val="22"/>
            </w:rPr>
          </w:pPr>
          <w:hyperlink w:history="1" w:anchor="_Toc69948223">
            <w:r w:rsidRPr="00FD24A9" w:rsidR="00C054EE">
              <w:rPr>
                <w:rStyle w:val="Hyperlink"/>
                <w:noProof/>
              </w:rPr>
              <w:t>8.1.</w:t>
            </w:r>
            <w:r w:rsidR="00C054EE">
              <w:rPr>
                <w:rFonts w:asciiTheme="minorHAnsi" w:hAnsiTheme="minorHAnsi" w:cstheme="minorBidi"/>
                <w:noProof/>
                <w:sz w:val="22"/>
                <w:szCs w:val="22"/>
              </w:rPr>
              <w:tab/>
            </w:r>
            <w:r w:rsidRPr="00FD24A9" w:rsidR="00C054EE">
              <w:rPr>
                <w:rStyle w:val="Hyperlink"/>
                <w:noProof/>
              </w:rPr>
              <w:t>Consistent Pilot Standards</w:t>
            </w:r>
            <w:r w:rsidR="00C054EE">
              <w:rPr>
                <w:noProof/>
                <w:webHidden/>
              </w:rPr>
              <w:tab/>
            </w:r>
            <w:r w:rsidR="00C054EE">
              <w:rPr>
                <w:noProof/>
                <w:webHidden/>
              </w:rPr>
              <w:fldChar w:fldCharType="begin"/>
            </w:r>
            <w:r w:rsidR="00C054EE">
              <w:rPr>
                <w:noProof/>
                <w:webHidden/>
              </w:rPr>
              <w:instrText xml:space="preserve"> PAGEREF _Toc69948223 \h </w:instrText>
            </w:r>
            <w:r w:rsidR="00C054EE">
              <w:rPr>
                <w:noProof/>
                <w:webHidden/>
              </w:rPr>
            </w:r>
            <w:r w:rsidR="00C054EE">
              <w:rPr>
                <w:noProof/>
                <w:webHidden/>
              </w:rPr>
              <w:fldChar w:fldCharType="separate"/>
            </w:r>
            <w:r w:rsidR="004C2E01">
              <w:rPr>
                <w:noProof/>
                <w:webHidden/>
              </w:rPr>
              <w:t>376</w:t>
            </w:r>
            <w:r w:rsidR="00C054EE">
              <w:rPr>
                <w:noProof/>
                <w:webHidden/>
              </w:rPr>
              <w:fldChar w:fldCharType="end"/>
            </w:r>
          </w:hyperlink>
        </w:p>
        <w:p w:rsidR="00C054EE" w:rsidRDefault="000D5832" w14:paraId="673ABE13" w14:textId="7BDB0BE5">
          <w:pPr>
            <w:pStyle w:val="TOC3"/>
            <w:tabs>
              <w:tab w:val="left" w:pos="1296"/>
              <w:tab w:val="right" w:leader="dot" w:pos="9350"/>
            </w:tabs>
            <w:rPr>
              <w:rFonts w:asciiTheme="minorHAnsi" w:hAnsiTheme="minorHAnsi" w:cstheme="minorBidi"/>
              <w:noProof/>
              <w:sz w:val="22"/>
              <w:szCs w:val="22"/>
            </w:rPr>
          </w:pPr>
          <w:hyperlink w:history="1" w:anchor="_Toc69948224">
            <w:r w:rsidRPr="00FD24A9" w:rsidR="00C054EE">
              <w:rPr>
                <w:rStyle w:val="Hyperlink"/>
                <w:noProof/>
              </w:rPr>
              <w:t>8.1.1.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_Toc69948224 \h </w:instrText>
            </w:r>
            <w:r w:rsidR="00C054EE">
              <w:rPr>
                <w:noProof/>
                <w:webHidden/>
              </w:rPr>
            </w:r>
            <w:r w:rsidR="00C054EE">
              <w:rPr>
                <w:noProof/>
                <w:webHidden/>
              </w:rPr>
              <w:fldChar w:fldCharType="separate"/>
            </w:r>
            <w:r w:rsidR="004C2E01">
              <w:rPr>
                <w:noProof/>
                <w:webHidden/>
              </w:rPr>
              <w:t>377</w:t>
            </w:r>
            <w:r w:rsidR="00C054EE">
              <w:rPr>
                <w:noProof/>
                <w:webHidden/>
              </w:rPr>
              <w:fldChar w:fldCharType="end"/>
            </w:r>
          </w:hyperlink>
        </w:p>
        <w:p w:rsidR="00C054EE" w:rsidRDefault="000D5832" w14:paraId="539ABA77" w14:textId="2B6A5014">
          <w:pPr>
            <w:pStyle w:val="TOC3"/>
            <w:tabs>
              <w:tab w:val="left" w:pos="1296"/>
              <w:tab w:val="right" w:leader="dot" w:pos="9350"/>
            </w:tabs>
            <w:rPr>
              <w:rFonts w:asciiTheme="minorHAnsi" w:hAnsiTheme="minorHAnsi" w:cstheme="minorBidi"/>
              <w:noProof/>
              <w:sz w:val="22"/>
              <w:szCs w:val="22"/>
            </w:rPr>
          </w:pPr>
          <w:hyperlink w:history="1" w:anchor="_Toc69948225">
            <w:r w:rsidRPr="00FD24A9" w:rsidR="00C054EE">
              <w:rPr>
                <w:rStyle w:val="Hyperlink"/>
                <w:noProof/>
              </w:rPr>
              <w:t>8.1.2.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_Toc69948225 \h </w:instrText>
            </w:r>
            <w:r w:rsidR="00C054EE">
              <w:rPr>
                <w:noProof/>
                <w:webHidden/>
              </w:rPr>
            </w:r>
            <w:r w:rsidR="00C054EE">
              <w:rPr>
                <w:noProof/>
                <w:webHidden/>
              </w:rPr>
              <w:fldChar w:fldCharType="separate"/>
            </w:r>
            <w:r w:rsidR="004C2E01">
              <w:rPr>
                <w:noProof/>
                <w:webHidden/>
              </w:rPr>
              <w:t>378</w:t>
            </w:r>
            <w:r w:rsidR="00C054EE">
              <w:rPr>
                <w:noProof/>
                <w:webHidden/>
              </w:rPr>
              <w:fldChar w:fldCharType="end"/>
            </w:r>
          </w:hyperlink>
        </w:p>
        <w:p w:rsidR="00C054EE" w:rsidRDefault="000D5832" w14:paraId="71F03FB8" w14:textId="0CA2ED38">
          <w:pPr>
            <w:pStyle w:val="TOC4"/>
            <w:tabs>
              <w:tab w:val="left" w:pos="1728"/>
              <w:tab w:val="right" w:leader="dot" w:pos="9350"/>
            </w:tabs>
            <w:rPr>
              <w:rFonts w:asciiTheme="minorHAnsi" w:hAnsiTheme="minorHAnsi" w:eastAsiaTheme="minorEastAsia" w:cstheme="minorBidi"/>
              <w:noProof/>
              <w:sz w:val="22"/>
              <w:szCs w:val="22"/>
            </w:rPr>
          </w:pPr>
          <w:hyperlink w:history="1" w:anchor="_Toc69948226">
            <w:r w:rsidRPr="00FD24A9" w:rsidR="00C054EE">
              <w:rPr>
                <w:rStyle w:val="Hyperlink"/>
                <w:noProof/>
              </w:rPr>
              <w:t>8.1.2.1.</w:t>
            </w:r>
            <w:r w:rsidR="00C054EE">
              <w:rPr>
                <w:rFonts w:asciiTheme="minorHAnsi" w:hAnsiTheme="minorHAnsi" w:eastAsiaTheme="minorEastAsia" w:cstheme="minorBidi"/>
                <w:noProof/>
                <w:sz w:val="22"/>
                <w:szCs w:val="22"/>
              </w:rPr>
              <w:tab/>
            </w:r>
            <w:r w:rsidRPr="00FD24A9" w:rsidR="00C054EE">
              <w:rPr>
                <w:rStyle w:val="Hyperlink"/>
                <w:noProof/>
              </w:rPr>
              <w:t>Consistent Pilot Standards: Approved with Modifications</w:t>
            </w:r>
            <w:r w:rsidR="00C054EE">
              <w:rPr>
                <w:noProof/>
                <w:webHidden/>
              </w:rPr>
              <w:tab/>
            </w:r>
            <w:r w:rsidR="00C054EE">
              <w:rPr>
                <w:noProof/>
                <w:webHidden/>
              </w:rPr>
              <w:fldChar w:fldCharType="begin"/>
            </w:r>
            <w:r w:rsidR="00C054EE">
              <w:rPr>
                <w:noProof/>
                <w:webHidden/>
              </w:rPr>
              <w:instrText xml:space="preserve"> PAGEREF _Toc69948226 \h </w:instrText>
            </w:r>
            <w:r w:rsidR="00C054EE">
              <w:rPr>
                <w:noProof/>
                <w:webHidden/>
              </w:rPr>
            </w:r>
            <w:r w:rsidR="00C054EE">
              <w:rPr>
                <w:noProof/>
                <w:webHidden/>
              </w:rPr>
              <w:fldChar w:fldCharType="separate"/>
            </w:r>
            <w:r w:rsidR="004C2E01">
              <w:rPr>
                <w:noProof/>
                <w:webHidden/>
              </w:rPr>
              <w:t>378</w:t>
            </w:r>
            <w:r w:rsidR="00C054EE">
              <w:rPr>
                <w:noProof/>
                <w:webHidden/>
              </w:rPr>
              <w:fldChar w:fldCharType="end"/>
            </w:r>
          </w:hyperlink>
        </w:p>
        <w:p w:rsidR="00C054EE" w:rsidRDefault="000D5832" w14:paraId="28C9638A" w14:textId="1A97E04D">
          <w:pPr>
            <w:pStyle w:val="TOC2"/>
            <w:tabs>
              <w:tab w:val="right" w:leader="dot" w:pos="9350"/>
            </w:tabs>
            <w:rPr>
              <w:rFonts w:asciiTheme="minorHAnsi" w:hAnsiTheme="minorHAnsi" w:cstheme="minorBidi"/>
              <w:noProof/>
              <w:sz w:val="22"/>
              <w:szCs w:val="22"/>
            </w:rPr>
          </w:pPr>
          <w:hyperlink w:history="1" w:anchor="_Toc69948227">
            <w:r w:rsidRPr="00FD24A9" w:rsidR="00C054EE">
              <w:rPr>
                <w:rStyle w:val="Hyperlink"/>
                <w:noProof/>
              </w:rPr>
              <w:t>8.2.</w:t>
            </w:r>
            <w:r w:rsidR="00C054EE">
              <w:rPr>
                <w:rFonts w:asciiTheme="minorHAnsi" w:hAnsiTheme="minorHAnsi" w:cstheme="minorBidi"/>
                <w:noProof/>
                <w:sz w:val="22"/>
                <w:szCs w:val="22"/>
              </w:rPr>
              <w:tab/>
            </w:r>
            <w:r w:rsidRPr="00FD24A9" w:rsidR="00C054EE">
              <w:rPr>
                <w:rStyle w:val="Hyperlink"/>
                <w:noProof/>
              </w:rPr>
              <w:t>Studies Funding Approach</w:t>
            </w:r>
            <w:r w:rsidR="00C054EE">
              <w:rPr>
                <w:noProof/>
                <w:webHidden/>
              </w:rPr>
              <w:tab/>
            </w:r>
            <w:r w:rsidR="00C054EE">
              <w:rPr>
                <w:noProof/>
                <w:webHidden/>
              </w:rPr>
              <w:fldChar w:fldCharType="begin"/>
            </w:r>
            <w:r w:rsidR="00C054EE">
              <w:rPr>
                <w:noProof/>
                <w:webHidden/>
              </w:rPr>
              <w:instrText xml:space="preserve"> PAGEREF _Toc69948227 \h </w:instrText>
            </w:r>
            <w:r w:rsidR="00C054EE">
              <w:rPr>
                <w:noProof/>
                <w:webHidden/>
              </w:rPr>
            </w:r>
            <w:r w:rsidR="00C054EE">
              <w:rPr>
                <w:noProof/>
                <w:webHidden/>
              </w:rPr>
              <w:fldChar w:fldCharType="separate"/>
            </w:r>
            <w:r w:rsidR="004C2E01">
              <w:rPr>
                <w:noProof/>
                <w:webHidden/>
              </w:rPr>
              <w:t>378</w:t>
            </w:r>
            <w:r w:rsidR="00C054EE">
              <w:rPr>
                <w:noProof/>
                <w:webHidden/>
              </w:rPr>
              <w:fldChar w:fldCharType="end"/>
            </w:r>
          </w:hyperlink>
        </w:p>
        <w:p w:rsidR="00C054EE" w:rsidRDefault="000D5832" w14:paraId="50FC7BF9" w14:textId="2F0BE5C4">
          <w:pPr>
            <w:pStyle w:val="TOC3"/>
            <w:tabs>
              <w:tab w:val="left" w:pos="1296"/>
              <w:tab w:val="right" w:leader="dot" w:pos="9350"/>
            </w:tabs>
            <w:rPr>
              <w:rFonts w:asciiTheme="minorHAnsi" w:hAnsiTheme="minorHAnsi" w:cstheme="minorBidi"/>
              <w:noProof/>
              <w:sz w:val="22"/>
              <w:szCs w:val="22"/>
            </w:rPr>
          </w:pPr>
          <w:hyperlink w:history="1" w:anchor="_Toc69948228">
            <w:r w:rsidRPr="00FD24A9" w:rsidR="00C054EE">
              <w:rPr>
                <w:rStyle w:val="Hyperlink"/>
                <w:noProof/>
              </w:rPr>
              <w:t>8.2.1.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_Toc69948228 \h </w:instrText>
            </w:r>
            <w:r w:rsidR="00C054EE">
              <w:rPr>
                <w:noProof/>
                <w:webHidden/>
              </w:rPr>
            </w:r>
            <w:r w:rsidR="00C054EE">
              <w:rPr>
                <w:noProof/>
                <w:webHidden/>
              </w:rPr>
              <w:fldChar w:fldCharType="separate"/>
            </w:r>
            <w:r w:rsidR="004C2E01">
              <w:rPr>
                <w:noProof/>
                <w:webHidden/>
              </w:rPr>
              <w:t>378</w:t>
            </w:r>
            <w:r w:rsidR="00C054EE">
              <w:rPr>
                <w:noProof/>
                <w:webHidden/>
              </w:rPr>
              <w:fldChar w:fldCharType="end"/>
            </w:r>
          </w:hyperlink>
        </w:p>
        <w:p w:rsidR="00C054EE" w:rsidRDefault="000D5832" w14:paraId="012CED4E" w14:textId="52039101">
          <w:pPr>
            <w:pStyle w:val="TOC3"/>
            <w:tabs>
              <w:tab w:val="left" w:pos="1296"/>
              <w:tab w:val="right" w:leader="dot" w:pos="9350"/>
            </w:tabs>
            <w:rPr>
              <w:rFonts w:asciiTheme="minorHAnsi" w:hAnsiTheme="minorHAnsi" w:cstheme="minorBidi"/>
              <w:noProof/>
              <w:sz w:val="22"/>
              <w:szCs w:val="22"/>
            </w:rPr>
          </w:pPr>
          <w:hyperlink w:history="1" w:anchor="_Toc69948229">
            <w:r w:rsidRPr="00FD24A9" w:rsidR="00C054EE">
              <w:rPr>
                <w:rStyle w:val="Hyperlink"/>
                <w:noProof/>
              </w:rPr>
              <w:t>8.2.2.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_Toc69948229 \h </w:instrText>
            </w:r>
            <w:r w:rsidR="00C054EE">
              <w:rPr>
                <w:noProof/>
                <w:webHidden/>
              </w:rPr>
            </w:r>
            <w:r w:rsidR="00C054EE">
              <w:rPr>
                <w:noProof/>
                <w:webHidden/>
              </w:rPr>
              <w:fldChar w:fldCharType="separate"/>
            </w:r>
            <w:r w:rsidR="004C2E01">
              <w:rPr>
                <w:noProof/>
                <w:webHidden/>
              </w:rPr>
              <w:t>379</w:t>
            </w:r>
            <w:r w:rsidR="00C054EE">
              <w:rPr>
                <w:noProof/>
                <w:webHidden/>
              </w:rPr>
              <w:fldChar w:fldCharType="end"/>
            </w:r>
          </w:hyperlink>
        </w:p>
        <w:p w:rsidR="00C054EE" w:rsidRDefault="000D5832" w14:paraId="339887C1" w14:textId="1176C346">
          <w:pPr>
            <w:pStyle w:val="TOC4"/>
            <w:tabs>
              <w:tab w:val="left" w:pos="1728"/>
              <w:tab w:val="right" w:leader="dot" w:pos="9350"/>
            </w:tabs>
            <w:rPr>
              <w:rFonts w:asciiTheme="minorHAnsi" w:hAnsiTheme="minorHAnsi" w:eastAsiaTheme="minorEastAsia" w:cstheme="minorBidi"/>
              <w:noProof/>
              <w:sz w:val="22"/>
              <w:szCs w:val="22"/>
            </w:rPr>
          </w:pPr>
          <w:hyperlink w:history="1" w:anchor="_Toc69948230">
            <w:r w:rsidRPr="00FD24A9" w:rsidR="00C054EE">
              <w:rPr>
                <w:rStyle w:val="Hyperlink"/>
                <w:noProof/>
              </w:rPr>
              <w:t>8.2.2.1.</w:t>
            </w:r>
            <w:r w:rsidR="00C054EE">
              <w:rPr>
                <w:rFonts w:asciiTheme="minorHAnsi" w:hAnsiTheme="minorHAnsi" w:eastAsiaTheme="minorEastAsia" w:cstheme="minorBidi"/>
                <w:noProof/>
                <w:sz w:val="22"/>
                <w:szCs w:val="22"/>
              </w:rPr>
              <w:tab/>
            </w:r>
            <w:r w:rsidRPr="00FD24A9" w:rsidR="00C054EE">
              <w:rPr>
                <w:rStyle w:val="Hyperlink"/>
                <w:noProof/>
              </w:rPr>
              <w:t>Studies Funding Approach: Approved</w:t>
            </w:r>
            <w:r w:rsidR="00C054EE">
              <w:rPr>
                <w:noProof/>
                <w:webHidden/>
              </w:rPr>
              <w:tab/>
            </w:r>
            <w:r w:rsidR="00C054EE">
              <w:rPr>
                <w:noProof/>
                <w:webHidden/>
              </w:rPr>
              <w:fldChar w:fldCharType="begin"/>
            </w:r>
            <w:r w:rsidR="00C054EE">
              <w:rPr>
                <w:noProof/>
                <w:webHidden/>
              </w:rPr>
              <w:instrText xml:space="preserve"> PAGEREF _Toc69948230 \h </w:instrText>
            </w:r>
            <w:r w:rsidR="00C054EE">
              <w:rPr>
                <w:noProof/>
                <w:webHidden/>
              </w:rPr>
            </w:r>
            <w:r w:rsidR="00C054EE">
              <w:rPr>
                <w:noProof/>
                <w:webHidden/>
              </w:rPr>
              <w:fldChar w:fldCharType="separate"/>
            </w:r>
            <w:r w:rsidR="004C2E01">
              <w:rPr>
                <w:noProof/>
                <w:webHidden/>
              </w:rPr>
              <w:t>379</w:t>
            </w:r>
            <w:r w:rsidR="00C054EE">
              <w:rPr>
                <w:noProof/>
                <w:webHidden/>
              </w:rPr>
              <w:fldChar w:fldCharType="end"/>
            </w:r>
          </w:hyperlink>
        </w:p>
        <w:p w:rsidR="00C054EE" w:rsidRDefault="000D5832" w14:paraId="7D9CB65A" w14:textId="471A081F">
          <w:pPr>
            <w:pStyle w:val="TOC2"/>
            <w:tabs>
              <w:tab w:val="right" w:leader="dot" w:pos="9350"/>
            </w:tabs>
            <w:rPr>
              <w:rFonts w:asciiTheme="minorHAnsi" w:hAnsiTheme="minorHAnsi" w:cstheme="minorBidi"/>
              <w:noProof/>
              <w:sz w:val="22"/>
              <w:szCs w:val="22"/>
            </w:rPr>
          </w:pPr>
          <w:hyperlink w:history="1" w:anchor="_Toc69948231">
            <w:r w:rsidRPr="00FD24A9" w:rsidR="00C054EE">
              <w:rPr>
                <w:rStyle w:val="Hyperlink"/>
                <w:noProof/>
              </w:rPr>
              <w:t>8.3.</w:t>
            </w:r>
            <w:r w:rsidR="00C054EE">
              <w:rPr>
                <w:rFonts w:asciiTheme="minorHAnsi" w:hAnsiTheme="minorHAnsi" w:cstheme="minorBidi"/>
                <w:noProof/>
                <w:sz w:val="22"/>
                <w:szCs w:val="22"/>
              </w:rPr>
              <w:tab/>
            </w:r>
            <w:r w:rsidRPr="00FD24A9" w:rsidR="00C054EE">
              <w:rPr>
                <w:rStyle w:val="Hyperlink"/>
                <w:noProof/>
              </w:rPr>
              <w:t>PG&amp;E Long-Term CARE Customer Pilot/ Research Plan</w:t>
            </w:r>
            <w:r w:rsidR="00C054EE">
              <w:rPr>
                <w:noProof/>
                <w:webHidden/>
              </w:rPr>
              <w:tab/>
            </w:r>
            <w:r w:rsidR="00C054EE">
              <w:rPr>
                <w:noProof/>
                <w:webHidden/>
              </w:rPr>
              <w:fldChar w:fldCharType="begin"/>
            </w:r>
            <w:r w:rsidR="00C054EE">
              <w:rPr>
                <w:noProof/>
                <w:webHidden/>
              </w:rPr>
              <w:instrText xml:space="preserve"> PAGEREF _Toc69948231 \h </w:instrText>
            </w:r>
            <w:r w:rsidR="00C054EE">
              <w:rPr>
                <w:noProof/>
                <w:webHidden/>
              </w:rPr>
            </w:r>
            <w:r w:rsidR="00C054EE">
              <w:rPr>
                <w:noProof/>
                <w:webHidden/>
              </w:rPr>
              <w:fldChar w:fldCharType="separate"/>
            </w:r>
            <w:r w:rsidR="004C2E01">
              <w:rPr>
                <w:noProof/>
                <w:webHidden/>
              </w:rPr>
              <w:t>379</w:t>
            </w:r>
            <w:r w:rsidR="00C054EE">
              <w:rPr>
                <w:noProof/>
                <w:webHidden/>
              </w:rPr>
              <w:fldChar w:fldCharType="end"/>
            </w:r>
          </w:hyperlink>
        </w:p>
        <w:p w:rsidR="00C054EE" w:rsidRDefault="000D5832" w14:paraId="000C8BBB" w14:textId="0EB4CA11">
          <w:pPr>
            <w:pStyle w:val="TOC3"/>
            <w:tabs>
              <w:tab w:val="left" w:pos="1296"/>
              <w:tab w:val="right" w:leader="dot" w:pos="9350"/>
            </w:tabs>
            <w:rPr>
              <w:rFonts w:asciiTheme="minorHAnsi" w:hAnsiTheme="minorHAnsi" w:cstheme="minorBidi"/>
              <w:noProof/>
              <w:sz w:val="22"/>
              <w:szCs w:val="22"/>
            </w:rPr>
          </w:pPr>
          <w:hyperlink w:history="1" w:anchor="_Toc69948232">
            <w:r w:rsidRPr="00FD24A9" w:rsidR="00C054EE">
              <w:rPr>
                <w:rStyle w:val="Hyperlink"/>
                <w:noProof/>
              </w:rPr>
              <w:t>8.3.1.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_Toc69948232 \h </w:instrText>
            </w:r>
            <w:r w:rsidR="00C054EE">
              <w:rPr>
                <w:noProof/>
                <w:webHidden/>
              </w:rPr>
            </w:r>
            <w:r w:rsidR="00C054EE">
              <w:rPr>
                <w:noProof/>
                <w:webHidden/>
              </w:rPr>
              <w:fldChar w:fldCharType="separate"/>
            </w:r>
            <w:r w:rsidR="004C2E01">
              <w:rPr>
                <w:noProof/>
                <w:webHidden/>
              </w:rPr>
              <w:t>380</w:t>
            </w:r>
            <w:r w:rsidR="00C054EE">
              <w:rPr>
                <w:noProof/>
                <w:webHidden/>
              </w:rPr>
              <w:fldChar w:fldCharType="end"/>
            </w:r>
          </w:hyperlink>
        </w:p>
        <w:p w:rsidR="00C054EE" w:rsidRDefault="000D5832" w14:paraId="7C592586" w14:textId="6E29D4D2">
          <w:pPr>
            <w:pStyle w:val="TOC3"/>
            <w:tabs>
              <w:tab w:val="left" w:pos="1296"/>
              <w:tab w:val="right" w:leader="dot" w:pos="9350"/>
            </w:tabs>
            <w:rPr>
              <w:rFonts w:asciiTheme="minorHAnsi" w:hAnsiTheme="minorHAnsi" w:cstheme="minorBidi"/>
              <w:noProof/>
              <w:sz w:val="22"/>
              <w:szCs w:val="22"/>
            </w:rPr>
          </w:pPr>
          <w:hyperlink w:history="1" w:anchor="_Toc69948233">
            <w:r w:rsidRPr="00FD24A9" w:rsidR="00C054EE">
              <w:rPr>
                <w:rStyle w:val="Hyperlink"/>
                <w:noProof/>
              </w:rPr>
              <w:t>8.3.2.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_Toc69948233 \h </w:instrText>
            </w:r>
            <w:r w:rsidR="00C054EE">
              <w:rPr>
                <w:noProof/>
                <w:webHidden/>
              </w:rPr>
            </w:r>
            <w:r w:rsidR="00C054EE">
              <w:rPr>
                <w:noProof/>
                <w:webHidden/>
              </w:rPr>
              <w:fldChar w:fldCharType="separate"/>
            </w:r>
            <w:r w:rsidR="004C2E01">
              <w:rPr>
                <w:noProof/>
                <w:webHidden/>
              </w:rPr>
              <w:t>380</w:t>
            </w:r>
            <w:r w:rsidR="00C054EE">
              <w:rPr>
                <w:noProof/>
                <w:webHidden/>
              </w:rPr>
              <w:fldChar w:fldCharType="end"/>
            </w:r>
          </w:hyperlink>
        </w:p>
        <w:p w:rsidR="00C054EE" w:rsidRDefault="000D5832" w14:paraId="03018669" w14:textId="1DE91CC0">
          <w:pPr>
            <w:pStyle w:val="TOC4"/>
            <w:tabs>
              <w:tab w:val="left" w:pos="1728"/>
              <w:tab w:val="right" w:leader="dot" w:pos="9350"/>
            </w:tabs>
            <w:rPr>
              <w:rFonts w:asciiTheme="minorHAnsi" w:hAnsiTheme="minorHAnsi" w:eastAsiaTheme="minorEastAsia" w:cstheme="minorBidi"/>
              <w:noProof/>
              <w:sz w:val="22"/>
              <w:szCs w:val="22"/>
            </w:rPr>
          </w:pPr>
          <w:hyperlink w:history="1" w:anchor="_Toc69948234">
            <w:r w:rsidRPr="00FD24A9" w:rsidR="00C054EE">
              <w:rPr>
                <w:rStyle w:val="Hyperlink"/>
                <w:noProof/>
              </w:rPr>
              <w:t>8.3.2.1.</w:t>
            </w:r>
            <w:r w:rsidR="00C054EE">
              <w:rPr>
                <w:rFonts w:asciiTheme="minorHAnsi" w:hAnsiTheme="minorHAnsi" w:eastAsiaTheme="minorEastAsia" w:cstheme="minorBidi"/>
                <w:noProof/>
                <w:sz w:val="22"/>
                <w:szCs w:val="22"/>
              </w:rPr>
              <w:tab/>
            </w:r>
            <w:r w:rsidRPr="00FD24A9" w:rsidR="00C054EE">
              <w:rPr>
                <w:rStyle w:val="Hyperlink"/>
                <w:noProof/>
              </w:rPr>
              <w:t>Long-Term CARE Customer Research Plan: Approved with Modifications</w:t>
            </w:r>
            <w:r w:rsidR="00C054EE">
              <w:rPr>
                <w:noProof/>
                <w:webHidden/>
              </w:rPr>
              <w:tab/>
            </w:r>
            <w:r w:rsidR="00C054EE">
              <w:rPr>
                <w:noProof/>
                <w:webHidden/>
              </w:rPr>
              <w:fldChar w:fldCharType="begin"/>
            </w:r>
            <w:r w:rsidR="00C054EE">
              <w:rPr>
                <w:noProof/>
                <w:webHidden/>
              </w:rPr>
              <w:instrText xml:space="preserve"> PAGEREF _Toc69948234 \h </w:instrText>
            </w:r>
            <w:r w:rsidR="00C054EE">
              <w:rPr>
                <w:noProof/>
                <w:webHidden/>
              </w:rPr>
            </w:r>
            <w:r w:rsidR="00C054EE">
              <w:rPr>
                <w:noProof/>
                <w:webHidden/>
              </w:rPr>
              <w:fldChar w:fldCharType="separate"/>
            </w:r>
            <w:r w:rsidR="004C2E01">
              <w:rPr>
                <w:noProof/>
                <w:webHidden/>
              </w:rPr>
              <w:t>380</w:t>
            </w:r>
            <w:r w:rsidR="00C054EE">
              <w:rPr>
                <w:noProof/>
                <w:webHidden/>
              </w:rPr>
              <w:fldChar w:fldCharType="end"/>
            </w:r>
          </w:hyperlink>
        </w:p>
        <w:p w:rsidR="00C054EE" w:rsidRDefault="000D5832" w14:paraId="6C8E2DA7" w14:textId="1D61B621">
          <w:pPr>
            <w:pStyle w:val="TOC2"/>
            <w:tabs>
              <w:tab w:val="right" w:leader="dot" w:pos="9350"/>
            </w:tabs>
            <w:rPr>
              <w:rFonts w:asciiTheme="minorHAnsi" w:hAnsiTheme="minorHAnsi" w:cstheme="minorBidi"/>
              <w:noProof/>
              <w:sz w:val="22"/>
              <w:szCs w:val="22"/>
            </w:rPr>
          </w:pPr>
          <w:hyperlink w:history="1" w:anchor="_Toc69948235">
            <w:r w:rsidRPr="00FD24A9" w:rsidR="00C054EE">
              <w:rPr>
                <w:rStyle w:val="Hyperlink"/>
                <w:noProof/>
              </w:rPr>
              <w:t>8.4.</w:t>
            </w:r>
            <w:r w:rsidR="00C054EE">
              <w:rPr>
                <w:rFonts w:asciiTheme="minorHAnsi" w:hAnsiTheme="minorHAnsi" w:cstheme="minorBidi"/>
                <w:noProof/>
                <w:sz w:val="22"/>
                <w:szCs w:val="22"/>
              </w:rPr>
              <w:tab/>
            </w:r>
            <w:r w:rsidRPr="00FD24A9" w:rsidR="00C054EE">
              <w:rPr>
                <w:rStyle w:val="Hyperlink"/>
                <w:noProof/>
              </w:rPr>
              <w:t>PG&amp;E Virtual Energy Coach Pilot</w:t>
            </w:r>
            <w:r w:rsidR="00C054EE">
              <w:rPr>
                <w:noProof/>
                <w:webHidden/>
              </w:rPr>
              <w:tab/>
            </w:r>
            <w:r w:rsidR="00C054EE">
              <w:rPr>
                <w:noProof/>
                <w:webHidden/>
              </w:rPr>
              <w:fldChar w:fldCharType="begin"/>
            </w:r>
            <w:r w:rsidR="00C054EE">
              <w:rPr>
                <w:noProof/>
                <w:webHidden/>
              </w:rPr>
              <w:instrText xml:space="preserve"> PAGEREF _Toc69948235 \h </w:instrText>
            </w:r>
            <w:r w:rsidR="00C054EE">
              <w:rPr>
                <w:noProof/>
                <w:webHidden/>
              </w:rPr>
            </w:r>
            <w:r w:rsidR="00C054EE">
              <w:rPr>
                <w:noProof/>
                <w:webHidden/>
              </w:rPr>
              <w:fldChar w:fldCharType="separate"/>
            </w:r>
            <w:r w:rsidR="004C2E01">
              <w:rPr>
                <w:noProof/>
                <w:webHidden/>
              </w:rPr>
              <w:t>381</w:t>
            </w:r>
            <w:r w:rsidR="00C054EE">
              <w:rPr>
                <w:noProof/>
                <w:webHidden/>
              </w:rPr>
              <w:fldChar w:fldCharType="end"/>
            </w:r>
          </w:hyperlink>
        </w:p>
        <w:p w:rsidR="00C054EE" w:rsidRDefault="000D5832" w14:paraId="257A52C3" w14:textId="1057842B">
          <w:pPr>
            <w:pStyle w:val="TOC3"/>
            <w:tabs>
              <w:tab w:val="left" w:pos="1296"/>
              <w:tab w:val="right" w:leader="dot" w:pos="9350"/>
            </w:tabs>
            <w:rPr>
              <w:rFonts w:asciiTheme="minorHAnsi" w:hAnsiTheme="minorHAnsi" w:cstheme="minorBidi"/>
              <w:noProof/>
              <w:sz w:val="22"/>
              <w:szCs w:val="22"/>
            </w:rPr>
          </w:pPr>
          <w:hyperlink w:history="1" w:anchor="_Toc69948236">
            <w:r w:rsidRPr="00FD24A9" w:rsidR="00C054EE">
              <w:rPr>
                <w:rStyle w:val="Hyperlink"/>
                <w:noProof/>
              </w:rPr>
              <w:t>8.4.1.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_Toc69948236 \h </w:instrText>
            </w:r>
            <w:r w:rsidR="00C054EE">
              <w:rPr>
                <w:noProof/>
                <w:webHidden/>
              </w:rPr>
            </w:r>
            <w:r w:rsidR="00C054EE">
              <w:rPr>
                <w:noProof/>
                <w:webHidden/>
              </w:rPr>
              <w:fldChar w:fldCharType="separate"/>
            </w:r>
            <w:r w:rsidR="004C2E01">
              <w:rPr>
                <w:noProof/>
                <w:webHidden/>
              </w:rPr>
              <w:t>381</w:t>
            </w:r>
            <w:r w:rsidR="00C054EE">
              <w:rPr>
                <w:noProof/>
                <w:webHidden/>
              </w:rPr>
              <w:fldChar w:fldCharType="end"/>
            </w:r>
          </w:hyperlink>
        </w:p>
        <w:p w:rsidR="00C054EE" w:rsidRDefault="000D5832" w14:paraId="60C5CD64" w14:textId="39315D47">
          <w:pPr>
            <w:pStyle w:val="TOC3"/>
            <w:tabs>
              <w:tab w:val="left" w:pos="1296"/>
              <w:tab w:val="right" w:leader="dot" w:pos="9350"/>
            </w:tabs>
            <w:rPr>
              <w:rFonts w:asciiTheme="minorHAnsi" w:hAnsiTheme="minorHAnsi" w:cstheme="minorBidi"/>
              <w:noProof/>
              <w:sz w:val="22"/>
              <w:szCs w:val="22"/>
            </w:rPr>
          </w:pPr>
          <w:hyperlink w:history="1" w:anchor="_Toc69948237">
            <w:r w:rsidRPr="00FD24A9" w:rsidR="00C054EE">
              <w:rPr>
                <w:rStyle w:val="Hyperlink"/>
                <w:noProof/>
              </w:rPr>
              <w:t>8.4.2.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_Toc69948237 \h </w:instrText>
            </w:r>
            <w:r w:rsidR="00C054EE">
              <w:rPr>
                <w:noProof/>
                <w:webHidden/>
              </w:rPr>
            </w:r>
            <w:r w:rsidR="00C054EE">
              <w:rPr>
                <w:noProof/>
                <w:webHidden/>
              </w:rPr>
              <w:fldChar w:fldCharType="separate"/>
            </w:r>
            <w:r w:rsidR="004C2E01">
              <w:rPr>
                <w:noProof/>
                <w:webHidden/>
              </w:rPr>
              <w:t>381</w:t>
            </w:r>
            <w:r w:rsidR="00C054EE">
              <w:rPr>
                <w:noProof/>
                <w:webHidden/>
              </w:rPr>
              <w:fldChar w:fldCharType="end"/>
            </w:r>
          </w:hyperlink>
        </w:p>
        <w:p w:rsidR="00C054EE" w:rsidRDefault="000D5832" w14:paraId="1F656B44" w14:textId="2800508E">
          <w:pPr>
            <w:pStyle w:val="TOC4"/>
            <w:tabs>
              <w:tab w:val="left" w:pos="1728"/>
              <w:tab w:val="right" w:leader="dot" w:pos="9350"/>
            </w:tabs>
            <w:rPr>
              <w:rFonts w:asciiTheme="minorHAnsi" w:hAnsiTheme="minorHAnsi" w:eastAsiaTheme="minorEastAsia" w:cstheme="minorBidi"/>
              <w:noProof/>
              <w:sz w:val="22"/>
              <w:szCs w:val="22"/>
            </w:rPr>
          </w:pPr>
          <w:hyperlink w:history="1" w:anchor="_Toc69948238">
            <w:r w:rsidRPr="00FD24A9" w:rsidR="00C054EE">
              <w:rPr>
                <w:rStyle w:val="Hyperlink"/>
                <w:noProof/>
              </w:rPr>
              <w:t>8.4.2.1.</w:t>
            </w:r>
            <w:r w:rsidR="00C054EE">
              <w:rPr>
                <w:rFonts w:asciiTheme="minorHAnsi" w:hAnsiTheme="minorHAnsi" w:eastAsiaTheme="minorEastAsia" w:cstheme="minorBidi"/>
                <w:noProof/>
                <w:sz w:val="22"/>
                <w:szCs w:val="22"/>
              </w:rPr>
              <w:tab/>
            </w:r>
            <w:r w:rsidRPr="00FD24A9" w:rsidR="00C054EE">
              <w:rPr>
                <w:rStyle w:val="Hyperlink"/>
                <w:noProof/>
              </w:rPr>
              <w:t>PG&amp;E’s Virtual Energy Coach Pilot: Approved</w:t>
            </w:r>
            <w:r w:rsidR="00C054EE">
              <w:rPr>
                <w:noProof/>
                <w:webHidden/>
              </w:rPr>
              <w:tab/>
            </w:r>
            <w:r w:rsidR="00C054EE">
              <w:rPr>
                <w:noProof/>
                <w:webHidden/>
              </w:rPr>
              <w:fldChar w:fldCharType="begin"/>
            </w:r>
            <w:r w:rsidR="00C054EE">
              <w:rPr>
                <w:noProof/>
                <w:webHidden/>
              </w:rPr>
              <w:instrText xml:space="preserve"> PAGEREF _Toc69948238 \h </w:instrText>
            </w:r>
            <w:r w:rsidR="00C054EE">
              <w:rPr>
                <w:noProof/>
                <w:webHidden/>
              </w:rPr>
            </w:r>
            <w:r w:rsidR="00C054EE">
              <w:rPr>
                <w:noProof/>
                <w:webHidden/>
              </w:rPr>
              <w:fldChar w:fldCharType="separate"/>
            </w:r>
            <w:r w:rsidR="004C2E01">
              <w:rPr>
                <w:noProof/>
                <w:webHidden/>
              </w:rPr>
              <w:t>381</w:t>
            </w:r>
            <w:r w:rsidR="00C054EE">
              <w:rPr>
                <w:noProof/>
                <w:webHidden/>
              </w:rPr>
              <w:fldChar w:fldCharType="end"/>
            </w:r>
          </w:hyperlink>
        </w:p>
        <w:p w:rsidR="00C054EE" w:rsidRDefault="000D5832" w14:paraId="10D0E5CD" w14:textId="5A255ADD">
          <w:pPr>
            <w:pStyle w:val="TOC2"/>
            <w:tabs>
              <w:tab w:val="right" w:leader="dot" w:pos="9350"/>
            </w:tabs>
            <w:rPr>
              <w:rFonts w:asciiTheme="minorHAnsi" w:hAnsiTheme="minorHAnsi" w:cstheme="minorBidi"/>
              <w:noProof/>
              <w:sz w:val="22"/>
              <w:szCs w:val="22"/>
            </w:rPr>
          </w:pPr>
          <w:hyperlink w:history="1" w:anchor="_Toc69948239">
            <w:r w:rsidRPr="00FD24A9" w:rsidR="00C054EE">
              <w:rPr>
                <w:rStyle w:val="Hyperlink"/>
                <w:noProof/>
              </w:rPr>
              <w:t>8.5.</w:t>
            </w:r>
            <w:r w:rsidR="00C054EE">
              <w:rPr>
                <w:rFonts w:asciiTheme="minorHAnsi" w:hAnsiTheme="minorHAnsi" w:cstheme="minorBidi"/>
                <w:noProof/>
                <w:sz w:val="22"/>
                <w:szCs w:val="22"/>
              </w:rPr>
              <w:tab/>
            </w:r>
            <w:r w:rsidRPr="00FD24A9" w:rsidR="00C054EE">
              <w:rPr>
                <w:rStyle w:val="Hyperlink"/>
                <w:noProof/>
              </w:rPr>
              <w:t>SCE Building Electrification Pilot</w:t>
            </w:r>
            <w:r w:rsidR="00C054EE">
              <w:rPr>
                <w:noProof/>
                <w:webHidden/>
              </w:rPr>
              <w:tab/>
            </w:r>
            <w:r w:rsidR="00C054EE">
              <w:rPr>
                <w:noProof/>
                <w:webHidden/>
              </w:rPr>
              <w:fldChar w:fldCharType="begin"/>
            </w:r>
            <w:r w:rsidR="00C054EE">
              <w:rPr>
                <w:noProof/>
                <w:webHidden/>
              </w:rPr>
              <w:instrText xml:space="preserve"> PAGEREF _Toc69948239 \h </w:instrText>
            </w:r>
            <w:r w:rsidR="00C054EE">
              <w:rPr>
                <w:noProof/>
                <w:webHidden/>
              </w:rPr>
            </w:r>
            <w:r w:rsidR="00C054EE">
              <w:rPr>
                <w:noProof/>
                <w:webHidden/>
              </w:rPr>
              <w:fldChar w:fldCharType="separate"/>
            </w:r>
            <w:r w:rsidR="004C2E01">
              <w:rPr>
                <w:noProof/>
                <w:webHidden/>
              </w:rPr>
              <w:t>382</w:t>
            </w:r>
            <w:r w:rsidR="00C054EE">
              <w:rPr>
                <w:noProof/>
                <w:webHidden/>
              </w:rPr>
              <w:fldChar w:fldCharType="end"/>
            </w:r>
          </w:hyperlink>
        </w:p>
        <w:p w:rsidR="00C054EE" w:rsidRDefault="000D5832" w14:paraId="390C91A3" w14:textId="51096063">
          <w:pPr>
            <w:pStyle w:val="TOC3"/>
            <w:tabs>
              <w:tab w:val="left" w:pos="1296"/>
              <w:tab w:val="right" w:leader="dot" w:pos="9350"/>
            </w:tabs>
            <w:rPr>
              <w:rFonts w:asciiTheme="minorHAnsi" w:hAnsiTheme="minorHAnsi" w:cstheme="minorBidi"/>
              <w:noProof/>
              <w:sz w:val="22"/>
              <w:szCs w:val="22"/>
            </w:rPr>
          </w:pPr>
          <w:hyperlink w:history="1" w:anchor="_Toc69948240">
            <w:r w:rsidRPr="00FD24A9" w:rsidR="00C054EE">
              <w:rPr>
                <w:rStyle w:val="Hyperlink"/>
                <w:noProof/>
              </w:rPr>
              <w:t>8.5.1.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_Toc69948240 \h </w:instrText>
            </w:r>
            <w:r w:rsidR="00C054EE">
              <w:rPr>
                <w:noProof/>
                <w:webHidden/>
              </w:rPr>
            </w:r>
            <w:r w:rsidR="00C054EE">
              <w:rPr>
                <w:noProof/>
                <w:webHidden/>
              </w:rPr>
              <w:fldChar w:fldCharType="separate"/>
            </w:r>
            <w:r w:rsidR="004C2E01">
              <w:rPr>
                <w:noProof/>
                <w:webHidden/>
              </w:rPr>
              <w:t>384</w:t>
            </w:r>
            <w:r w:rsidR="00C054EE">
              <w:rPr>
                <w:noProof/>
                <w:webHidden/>
              </w:rPr>
              <w:fldChar w:fldCharType="end"/>
            </w:r>
          </w:hyperlink>
        </w:p>
        <w:p w:rsidR="00C054EE" w:rsidRDefault="000D5832" w14:paraId="323BDB7B" w14:textId="3E3F6EB0">
          <w:pPr>
            <w:pStyle w:val="TOC4"/>
            <w:tabs>
              <w:tab w:val="left" w:pos="1728"/>
              <w:tab w:val="right" w:leader="dot" w:pos="9350"/>
            </w:tabs>
            <w:rPr>
              <w:rFonts w:asciiTheme="minorHAnsi" w:hAnsiTheme="minorHAnsi" w:eastAsiaTheme="minorEastAsia" w:cstheme="minorBidi"/>
              <w:noProof/>
              <w:sz w:val="22"/>
              <w:szCs w:val="22"/>
            </w:rPr>
          </w:pPr>
          <w:hyperlink w:history="1" w:anchor="_Toc69948241">
            <w:r w:rsidRPr="00FD24A9" w:rsidR="00C054EE">
              <w:rPr>
                <w:rStyle w:val="Hyperlink"/>
                <w:noProof/>
              </w:rPr>
              <w:t>8.5.1.1.</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_Toc69948241 \h </w:instrText>
            </w:r>
            <w:r w:rsidR="00C054EE">
              <w:rPr>
                <w:noProof/>
                <w:webHidden/>
              </w:rPr>
            </w:r>
            <w:r w:rsidR="00C054EE">
              <w:rPr>
                <w:noProof/>
                <w:webHidden/>
              </w:rPr>
              <w:fldChar w:fldCharType="separate"/>
            </w:r>
            <w:r w:rsidR="004C2E01">
              <w:rPr>
                <w:noProof/>
                <w:webHidden/>
              </w:rPr>
              <w:t>384</w:t>
            </w:r>
            <w:r w:rsidR="00C054EE">
              <w:rPr>
                <w:noProof/>
                <w:webHidden/>
              </w:rPr>
              <w:fldChar w:fldCharType="end"/>
            </w:r>
          </w:hyperlink>
        </w:p>
        <w:p w:rsidR="00C054EE" w:rsidRDefault="000D5832" w14:paraId="3D5FB92D" w14:textId="0F234B25">
          <w:pPr>
            <w:pStyle w:val="TOC4"/>
            <w:tabs>
              <w:tab w:val="left" w:pos="1728"/>
              <w:tab w:val="right" w:leader="dot" w:pos="9350"/>
            </w:tabs>
            <w:rPr>
              <w:rFonts w:asciiTheme="minorHAnsi" w:hAnsiTheme="minorHAnsi" w:eastAsiaTheme="minorEastAsia" w:cstheme="minorBidi"/>
              <w:noProof/>
              <w:sz w:val="22"/>
              <w:szCs w:val="22"/>
            </w:rPr>
          </w:pPr>
          <w:hyperlink w:history="1" w:anchor="_Toc69948242">
            <w:r w:rsidRPr="00FD24A9" w:rsidR="00C054EE">
              <w:rPr>
                <w:rStyle w:val="Hyperlink"/>
                <w:noProof/>
              </w:rPr>
              <w:t>8.5.1.2.</w:t>
            </w:r>
            <w:r w:rsidR="00C054EE">
              <w:rPr>
                <w:rFonts w:asciiTheme="minorHAnsi" w:hAnsiTheme="minorHAnsi" w:eastAsiaTheme="minorEastAsia" w:cstheme="minorBidi"/>
                <w:noProof/>
                <w:sz w:val="22"/>
                <w:szCs w:val="22"/>
              </w:rPr>
              <w:tab/>
            </w:r>
            <w:r w:rsidRPr="00FD24A9" w:rsidR="00C054EE">
              <w:rPr>
                <w:rStyle w:val="Hyperlink"/>
                <w:noProof/>
              </w:rPr>
              <w:t>La Cooperativa et al.</w:t>
            </w:r>
            <w:r w:rsidR="00C054EE">
              <w:rPr>
                <w:noProof/>
                <w:webHidden/>
              </w:rPr>
              <w:tab/>
            </w:r>
            <w:r w:rsidR="00C054EE">
              <w:rPr>
                <w:noProof/>
                <w:webHidden/>
              </w:rPr>
              <w:fldChar w:fldCharType="begin"/>
            </w:r>
            <w:r w:rsidR="00C054EE">
              <w:rPr>
                <w:noProof/>
                <w:webHidden/>
              </w:rPr>
              <w:instrText xml:space="preserve"> PAGEREF _Toc69948242 \h </w:instrText>
            </w:r>
            <w:r w:rsidR="00C054EE">
              <w:rPr>
                <w:noProof/>
                <w:webHidden/>
              </w:rPr>
            </w:r>
            <w:r w:rsidR="00C054EE">
              <w:rPr>
                <w:noProof/>
                <w:webHidden/>
              </w:rPr>
              <w:fldChar w:fldCharType="separate"/>
            </w:r>
            <w:r w:rsidR="004C2E01">
              <w:rPr>
                <w:noProof/>
                <w:webHidden/>
              </w:rPr>
              <w:t>384</w:t>
            </w:r>
            <w:r w:rsidR="00C054EE">
              <w:rPr>
                <w:noProof/>
                <w:webHidden/>
              </w:rPr>
              <w:fldChar w:fldCharType="end"/>
            </w:r>
          </w:hyperlink>
        </w:p>
        <w:p w:rsidR="00C054EE" w:rsidRDefault="000D5832" w14:paraId="1C4FD5BB" w14:textId="0AA3C2DC">
          <w:pPr>
            <w:pStyle w:val="TOC3"/>
            <w:tabs>
              <w:tab w:val="left" w:pos="1296"/>
              <w:tab w:val="right" w:leader="dot" w:pos="9350"/>
            </w:tabs>
            <w:rPr>
              <w:rFonts w:asciiTheme="minorHAnsi" w:hAnsiTheme="minorHAnsi" w:cstheme="minorBidi"/>
              <w:noProof/>
              <w:sz w:val="22"/>
              <w:szCs w:val="22"/>
            </w:rPr>
          </w:pPr>
          <w:hyperlink w:history="1" w:anchor="_Toc69948243">
            <w:r w:rsidRPr="00FD24A9" w:rsidR="00C054EE">
              <w:rPr>
                <w:rStyle w:val="Hyperlink"/>
                <w:noProof/>
              </w:rPr>
              <w:t>8.5.2.</w:t>
            </w:r>
            <w:r w:rsidR="00C054EE">
              <w:rPr>
                <w:rFonts w:asciiTheme="minorHAnsi" w:hAnsiTheme="minorHAnsi" w:cstheme="minorBidi"/>
                <w:noProof/>
                <w:sz w:val="22"/>
                <w:szCs w:val="22"/>
              </w:rPr>
              <w:tab/>
            </w:r>
            <w:r w:rsidRPr="00FD24A9" w:rsidR="00C054EE">
              <w:rPr>
                <w:rStyle w:val="Hyperlink"/>
                <w:noProof/>
              </w:rPr>
              <w:t>IOU Response</w:t>
            </w:r>
            <w:r w:rsidR="00C054EE">
              <w:rPr>
                <w:noProof/>
                <w:webHidden/>
              </w:rPr>
              <w:tab/>
            </w:r>
            <w:r w:rsidR="00C054EE">
              <w:rPr>
                <w:noProof/>
                <w:webHidden/>
              </w:rPr>
              <w:fldChar w:fldCharType="begin"/>
            </w:r>
            <w:r w:rsidR="00C054EE">
              <w:rPr>
                <w:noProof/>
                <w:webHidden/>
              </w:rPr>
              <w:instrText xml:space="preserve"> PAGEREF _Toc69948243 \h </w:instrText>
            </w:r>
            <w:r w:rsidR="00C054EE">
              <w:rPr>
                <w:noProof/>
                <w:webHidden/>
              </w:rPr>
            </w:r>
            <w:r w:rsidR="00C054EE">
              <w:rPr>
                <w:noProof/>
                <w:webHidden/>
              </w:rPr>
              <w:fldChar w:fldCharType="separate"/>
            </w:r>
            <w:r w:rsidR="004C2E01">
              <w:rPr>
                <w:noProof/>
                <w:webHidden/>
              </w:rPr>
              <w:t>385</w:t>
            </w:r>
            <w:r w:rsidR="00C054EE">
              <w:rPr>
                <w:noProof/>
                <w:webHidden/>
              </w:rPr>
              <w:fldChar w:fldCharType="end"/>
            </w:r>
          </w:hyperlink>
        </w:p>
        <w:p w:rsidR="00C054EE" w:rsidRDefault="000D5832" w14:paraId="3DC72D5E" w14:textId="409D8ED5">
          <w:pPr>
            <w:pStyle w:val="TOC4"/>
            <w:tabs>
              <w:tab w:val="left" w:pos="1728"/>
              <w:tab w:val="right" w:leader="dot" w:pos="9350"/>
            </w:tabs>
            <w:rPr>
              <w:rFonts w:asciiTheme="minorHAnsi" w:hAnsiTheme="minorHAnsi" w:eastAsiaTheme="minorEastAsia" w:cstheme="minorBidi"/>
              <w:noProof/>
              <w:sz w:val="22"/>
              <w:szCs w:val="22"/>
            </w:rPr>
          </w:pPr>
          <w:hyperlink w:history="1" w:anchor="_Toc69948244">
            <w:r w:rsidRPr="00FD24A9" w:rsidR="00C054EE">
              <w:rPr>
                <w:rStyle w:val="Hyperlink"/>
                <w:noProof/>
              </w:rPr>
              <w:t>8.5.2.1.</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_Toc69948244 \h </w:instrText>
            </w:r>
            <w:r w:rsidR="00C054EE">
              <w:rPr>
                <w:noProof/>
                <w:webHidden/>
              </w:rPr>
            </w:r>
            <w:r w:rsidR="00C054EE">
              <w:rPr>
                <w:noProof/>
                <w:webHidden/>
              </w:rPr>
              <w:fldChar w:fldCharType="separate"/>
            </w:r>
            <w:r w:rsidR="004C2E01">
              <w:rPr>
                <w:noProof/>
                <w:webHidden/>
              </w:rPr>
              <w:t>385</w:t>
            </w:r>
            <w:r w:rsidR="00C054EE">
              <w:rPr>
                <w:noProof/>
                <w:webHidden/>
              </w:rPr>
              <w:fldChar w:fldCharType="end"/>
            </w:r>
          </w:hyperlink>
        </w:p>
        <w:p w:rsidR="00C054EE" w:rsidRDefault="000D5832" w14:paraId="1D243F19" w14:textId="1CA321BA">
          <w:pPr>
            <w:pStyle w:val="TOC3"/>
            <w:tabs>
              <w:tab w:val="left" w:pos="1296"/>
              <w:tab w:val="right" w:leader="dot" w:pos="9350"/>
            </w:tabs>
            <w:rPr>
              <w:rFonts w:asciiTheme="minorHAnsi" w:hAnsiTheme="minorHAnsi" w:cstheme="minorBidi"/>
              <w:noProof/>
              <w:sz w:val="22"/>
              <w:szCs w:val="22"/>
            </w:rPr>
          </w:pPr>
          <w:hyperlink w:history="1" w:anchor="_Toc69948245">
            <w:r w:rsidRPr="00FD24A9" w:rsidR="00C054EE">
              <w:rPr>
                <w:rStyle w:val="Hyperlink"/>
                <w:noProof/>
              </w:rPr>
              <w:t>8.5.3.</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_Toc69948245 \h </w:instrText>
            </w:r>
            <w:r w:rsidR="00C054EE">
              <w:rPr>
                <w:noProof/>
                <w:webHidden/>
              </w:rPr>
            </w:r>
            <w:r w:rsidR="00C054EE">
              <w:rPr>
                <w:noProof/>
                <w:webHidden/>
              </w:rPr>
              <w:fldChar w:fldCharType="separate"/>
            </w:r>
            <w:r w:rsidR="004C2E01">
              <w:rPr>
                <w:noProof/>
                <w:webHidden/>
              </w:rPr>
              <w:t>386</w:t>
            </w:r>
            <w:r w:rsidR="00C054EE">
              <w:rPr>
                <w:noProof/>
                <w:webHidden/>
              </w:rPr>
              <w:fldChar w:fldCharType="end"/>
            </w:r>
          </w:hyperlink>
        </w:p>
        <w:p w:rsidR="00C054EE" w:rsidRDefault="000D5832" w14:paraId="129574A8" w14:textId="0DDE36AF">
          <w:pPr>
            <w:pStyle w:val="TOC4"/>
            <w:tabs>
              <w:tab w:val="left" w:pos="1728"/>
              <w:tab w:val="right" w:leader="dot" w:pos="9350"/>
            </w:tabs>
            <w:rPr>
              <w:rFonts w:asciiTheme="minorHAnsi" w:hAnsiTheme="minorHAnsi" w:eastAsiaTheme="minorEastAsia" w:cstheme="minorBidi"/>
              <w:noProof/>
              <w:sz w:val="22"/>
              <w:szCs w:val="22"/>
            </w:rPr>
          </w:pPr>
          <w:hyperlink w:history="1" w:anchor="_Toc69948246">
            <w:r w:rsidRPr="00FD24A9" w:rsidR="00C054EE">
              <w:rPr>
                <w:rStyle w:val="Hyperlink"/>
                <w:noProof/>
              </w:rPr>
              <w:t>8.5.3.1.</w:t>
            </w:r>
            <w:r w:rsidR="00C054EE">
              <w:rPr>
                <w:rFonts w:asciiTheme="minorHAnsi" w:hAnsiTheme="minorHAnsi" w:eastAsiaTheme="minorEastAsia" w:cstheme="minorBidi"/>
                <w:noProof/>
                <w:sz w:val="22"/>
                <w:szCs w:val="22"/>
              </w:rPr>
              <w:tab/>
            </w:r>
            <w:r w:rsidRPr="00FD24A9" w:rsidR="00C054EE">
              <w:rPr>
                <w:rStyle w:val="Hyperlink"/>
                <w:noProof/>
              </w:rPr>
              <w:t>BE Pilot: Approved with Modifications</w:t>
            </w:r>
            <w:r w:rsidR="00C054EE">
              <w:rPr>
                <w:noProof/>
                <w:webHidden/>
              </w:rPr>
              <w:tab/>
            </w:r>
            <w:r w:rsidR="00C054EE">
              <w:rPr>
                <w:noProof/>
                <w:webHidden/>
              </w:rPr>
              <w:fldChar w:fldCharType="begin"/>
            </w:r>
            <w:r w:rsidR="00C054EE">
              <w:rPr>
                <w:noProof/>
                <w:webHidden/>
              </w:rPr>
              <w:instrText xml:space="preserve"> PAGEREF _Toc69948246 \h </w:instrText>
            </w:r>
            <w:r w:rsidR="00C054EE">
              <w:rPr>
                <w:noProof/>
                <w:webHidden/>
              </w:rPr>
            </w:r>
            <w:r w:rsidR="00C054EE">
              <w:rPr>
                <w:noProof/>
                <w:webHidden/>
              </w:rPr>
              <w:fldChar w:fldCharType="separate"/>
            </w:r>
            <w:r w:rsidR="004C2E01">
              <w:rPr>
                <w:noProof/>
                <w:webHidden/>
              </w:rPr>
              <w:t>386</w:t>
            </w:r>
            <w:r w:rsidR="00C054EE">
              <w:rPr>
                <w:noProof/>
                <w:webHidden/>
              </w:rPr>
              <w:fldChar w:fldCharType="end"/>
            </w:r>
          </w:hyperlink>
        </w:p>
        <w:p w:rsidR="00C054EE" w:rsidRDefault="000D5832" w14:paraId="0AA90AF4" w14:textId="7AC8829E">
          <w:pPr>
            <w:pStyle w:val="TOC2"/>
            <w:tabs>
              <w:tab w:val="right" w:leader="dot" w:pos="9350"/>
            </w:tabs>
            <w:rPr>
              <w:rFonts w:asciiTheme="minorHAnsi" w:hAnsiTheme="minorHAnsi" w:cstheme="minorBidi"/>
              <w:noProof/>
              <w:sz w:val="22"/>
              <w:szCs w:val="22"/>
            </w:rPr>
          </w:pPr>
          <w:hyperlink w:history="1" w:anchor="_Toc69948247">
            <w:r w:rsidRPr="00FD24A9" w:rsidR="00C054EE">
              <w:rPr>
                <w:rStyle w:val="Hyperlink"/>
                <w:noProof/>
              </w:rPr>
              <w:t>8.6.</w:t>
            </w:r>
            <w:r w:rsidR="00C054EE">
              <w:rPr>
                <w:rFonts w:asciiTheme="minorHAnsi" w:hAnsiTheme="minorHAnsi" w:cstheme="minorBidi"/>
                <w:noProof/>
                <w:sz w:val="22"/>
                <w:szCs w:val="22"/>
              </w:rPr>
              <w:tab/>
            </w:r>
            <w:r w:rsidRPr="00FD24A9" w:rsidR="00C054EE">
              <w:rPr>
                <w:rStyle w:val="Hyperlink"/>
                <w:noProof/>
              </w:rPr>
              <w:t>SCE Clean Energy Homes Pilot</w:t>
            </w:r>
            <w:r w:rsidR="00C054EE">
              <w:rPr>
                <w:noProof/>
                <w:webHidden/>
              </w:rPr>
              <w:tab/>
            </w:r>
            <w:r w:rsidR="00C054EE">
              <w:rPr>
                <w:noProof/>
                <w:webHidden/>
              </w:rPr>
              <w:fldChar w:fldCharType="begin"/>
            </w:r>
            <w:r w:rsidR="00C054EE">
              <w:rPr>
                <w:noProof/>
                <w:webHidden/>
              </w:rPr>
              <w:instrText xml:space="preserve"> PAGEREF _Toc69948247 \h </w:instrText>
            </w:r>
            <w:r w:rsidR="00C054EE">
              <w:rPr>
                <w:noProof/>
                <w:webHidden/>
              </w:rPr>
            </w:r>
            <w:r w:rsidR="00C054EE">
              <w:rPr>
                <w:noProof/>
                <w:webHidden/>
              </w:rPr>
              <w:fldChar w:fldCharType="separate"/>
            </w:r>
            <w:r w:rsidR="004C2E01">
              <w:rPr>
                <w:noProof/>
                <w:webHidden/>
              </w:rPr>
              <w:t>387</w:t>
            </w:r>
            <w:r w:rsidR="00C054EE">
              <w:rPr>
                <w:noProof/>
                <w:webHidden/>
              </w:rPr>
              <w:fldChar w:fldCharType="end"/>
            </w:r>
          </w:hyperlink>
        </w:p>
        <w:p w:rsidR="00C054EE" w:rsidRDefault="000D5832" w14:paraId="1215F5C8" w14:textId="52C6FC25">
          <w:pPr>
            <w:pStyle w:val="TOC3"/>
            <w:tabs>
              <w:tab w:val="left" w:pos="1296"/>
              <w:tab w:val="right" w:leader="dot" w:pos="9350"/>
            </w:tabs>
            <w:rPr>
              <w:rFonts w:asciiTheme="minorHAnsi" w:hAnsiTheme="minorHAnsi" w:cstheme="minorBidi"/>
              <w:noProof/>
              <w:sz w:val="22"/>
              <w:szCs w:val="22"/>
            </w:rPr>
          </w:pPr>
          <w:hyperlink w:history="1" w:anchor="_Toc69948248">
            <w:r w:rsidRPr="00FD24A9" w:rsidR="00C054EE">
              <w:rPr>
                <w:rStyle w:val="Hyperlink"/>
                <w:noProof/>
              </w:rPr>
              <w:t>8.6.1.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_Toc69948248 \h </w:instrText>
            </w:r>
            <w:r w:rsidR="00C054EE">
              <w:rPr>
                <w:noProof/>
                <w:webHidden/>
              </w:rPr>
            </w:r>
            <w:r w:rsidR="00C054EE">
              <w:rPr>
                <w:noProof/>
                <w:webHidden/>
              </w:rPr>
              <w:fldChar w:fldCharType="separate"/>
            </w:r>
            <w:r w:rsidR="004C2E01">
              <w:rPr>
                <w:noProof/>
                <w:webHidden/>
              </w:rPr>
              <w:t>388</w:t>
            </w:r>
            <w:r w:rsidR="00C054EE">
              <w:rPr>
                <w:noProof/>
                <w:webHidden/>
              </w:rPr>
              <w:fldChar w:fldCharType="end"/>
            </w:r>
          </w:hyperlink>
        </w:p>
        <w:p w:rsidR="00C054EE" w:rsidRDefault="000D5832" w14:paraId="6F82A38A" w14:textId="1793173E">
          <w:pPr>
            <w:pStyle w:val="TOC4"/>
            <w:tabs>
              <w:tab w:val="left" w:pos="1728"/>
              <w:tab w:val="right" w:leader="dot" w:pos="9350"/>
            </w:tabs>
            <w:rPr>
              <w:rFonts w:asciiTheme="minorHAnsi" w:hAnsiTheme="minorHAnsi" w:eastAsiaTheme="minorEastAsia" w:cstheme="minorBidi"/>
              <w:noProof/>
              <w:sz w:val="22"/>
              <w:szCs w:val="22"/>
            </w:rPr>
          </w:pPr>
          <w:hyperlink w:history="1" w:anchor="_Toc69948249">
            <w:r w:rsidRPr="00FD24A9" w:rsidR="00C054EE">
              <w:rPr>
                <w:rStyle w:val="Hyperlink"/>
                <w:noProof/>
              </w:rPr>
              <w:t>8.6.1.1.</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_Toc69948249 \h </w:instrText>
            </w:r>
            <w:r w:rsidR="00C054EE">
              <w:rPr>
                <w:noProof/>
                <w:webHidden/>
              </w:rPr>
            </w:r>
            <w:r w:rsidR="00C054EE">
              <w:rPr>
                <w:noProof/>
                <w:webHidden/>
              </w:rPr>
              <w:fldChar w:fldCharType="separate"/>
            </w:r>
            <w:r w:rsidR="004C2E01">
              <w:rPr>
                <w:noProof/>
                <w:webHidden/>
              </w:rPr>
              <w:t>388</w:t>
            </w:r>
            <w:r w:rsidR="00C054EE">
              <w:rPr>
                <w:noProof/>
                <w:webHidden/>
              </w:rPr>
              <w:fldChar w:fldCharType="end"/>
            </w:r>
          </w:hyperlink>
        </w:p>
        <w:p w:rsidR="00C054EE" w:rsidRDefault="000D5832" w14:paraId="01C8D395" w14:textId="7B63CD94">
          <w:pPr>
            <w:pStyle w:val="TOC4"/>
            <w:tabs>
              <w:tab w:val="left" w:pos="1728"/>
              <w:tab w:val="right" w:leader="dot" w:pos="9350"/>
            </w:tabs>
            <w:rPr>
              <w:rFonts w:asciiTheme="minorHAnsi" w:hAnsiTheme="minorHAnsi" w:eastAsiaTheme="minorEastAsia" w:cstheme="minorBidi"/>
              <w:noProof/>
              <w:sz w:val="22"/>
              <w:szCs w:val="22"/>
            </w:rPr>
          </w:pPr>
          <w:hyperlink w:history="1" w:anchor="_Toc69948250">
            <w:r w:rsidRPr="00FD24A9" w:rsidR="00C054EE">
              <w:rPr>
                <w:rStyle w:val="Hyperlink"/>
                <w:noProof/>
              </w:rPr>
              <w:t>8.6.1.2.</w:t>
            </w:r>
            <w:r w:rsidR="00C054EE">
              <w:rPr>
                <w:rFonts w:asciiTheme="minorHAnsi" w:hAnsiTheme="minorHAnsi" w:eastAsiaTheme="minorEastAsia" w:cstheme="minorBidi"/>
                <w:noProof/>
                <w:sz w:val="22"/>
                <w:szCs w:val="22"/>
              </w:rPr>
              <w:tab/>
            </w:r>
            <w:r w:rsidRPr="00FD24A9" w:rsidR="00C054EE">
              <w:rPr>
                <w:rStyle w:val="Hyperlink"/>
                <w:noProof/>
              </w:rPr>
              <w:t>TELACU et al.</w:t>
            </w:r>
            <w:r w:rsidR="00C054EE">
              <w:rPr>
                <w:noProof/>
                <w:webHidden/>
              </w:rPr>
              <w:tab/>
            </w:r>
            <w:r w:rsidR="00C054EE">
              <w:rPr>
                <w:noProof/>
                <w:webHidden/>
              </w:rPr>
              <w:fldChar w:fldCharType="begin"/>
            </w:r>
            <w:r w:rsidR="00C054EE">
              <w:rPr>
                <w:noProof/>
                <w:webHidden/>
              </w:rPr>
              <w:instrText xml:space="preserve"> PAGEREF _Toc69948250 \h </w:instrText>
            </w:r>
            <w:r w:rsidR="00C054EE">
              <w:rPr>
                <w:noProof/>
                <w:webHidden/>
              </w:rPr>
            </w:r>
            <w:r w:rsidR="00C054EE">
              <w:rPr>
                <w:noProof/>
                <w:webHidden/>
              </w:rPr>
              <w:fldChar w:fldCharType="separate"/>
            </w:r>
            <w:r w:rsidR="004C2E01">
              <w:rPr>
                <w:noProof/>
                <w:webHidden/>
              </w:rPr>
              <w:t>388</w:t>
            </w:r>
            <w:r w:rsidR="00C054EE">
              <w:rPr>
                <w:noProof/>
                <w:webHidden/>
              </w:rPr>
              <w:fldChar w:fldCharType="end"/>
            </w:r>
          </w:hyperlink>
        </w:p>
        <w:p w:rsidR="00C054EE" w:rsidRDefault="000D5832" w14:paraId="1069A4B8" w14:textId="3336CB8D">
          <w:pPr>
            <w:pStyle w:val="TOC3"/>
            <w:tabs>
              <w:tab w:val="left" w:pos="1296"/>
              <w:tab w:val="right" w:leader="dot" w:pos="9350"/>
            </w:tabs>
            <w:rPr>
              <w:rFonts w:asciiTheme="minorHAnsi" w:hAnsiTheme="minorHAnsi" w:cstheme="minorBidi"/>
              <w:noProof/>
              <w:sz w:val="22"/>
              <w:szCs w:val="22"/>
            </w:rPr>
          </w:pPr>
          <w:hyperlink w:history="1" w:anchor="_Toc69948251">
            <w:r w:rsidRPr="00FD24A9" w:rsidR="00C054EE">
              <w:rPr>
                <w:rStyle w:val="Hyperlink"/>
                <w:noProof/>
              </w:rPr>
              <w:t>8.6.2.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_Toc69948251 \h </w:instrText>
            </w:r>
            <w:r w:rsidR="00C054EE">
              <w:rPr>
                <w:noProof/>
                <w:webHidden/>
              </w:rPr>
            </w:r>
            <w:r w:rsidR="00C054EE">
              <w:rPr>
                <w:noProof/>
                <w:webHidden/>
              </w:rPr>
              <w:fldChar w:fldCharType="separate"/>
            </w:r>
            <w:r w:rsidR="004C2E01">
              <w:rPr>
                <w:noProof/>
                <w:webHidden/>
              </w:rPr>
              <w:t>389</w:t>
            </w:r>
            <w:r w:rsidR="00C054EE">
              <w:rPr>
                <w:noProof/>
                <w:webHidden/>
              </w:rPr>
              <w:fldChar w:fldCharType="end"/>
            </w:r>
          </w:hyperlink>
        </w:p>
        <w:p w:rsidR="00C054EE" w:rsidRDefault="000D5832" w14:paraId="3FE0D30E" w14:textId="206E2AE9">
          <w:pPr>
            <w:pStyle w:val="TOC4"/>
            <w:tabs>
              <w:tab w:val="left" w:pos="1728"/>
              <w:tab w:val="right" w:leader="dot" w:pos="9350"/>
            </w:tabs>
            <w:rPr>
              <w:rFonts w:asciiTheme="minorHAnsi" w:hAnsiTheme="minorHAnsi" w:eastAsiaTheme="minorEastAsia" w:cstheme="minorBidi"/>
              <w:noProof/>
              <w:sz w:val="22"/>
              <w:szCs w:val="22"/>
            </w:rPr>
          </w:pPr>
          <w:hyperlink w:history="1" w:anchor="_Toc69948252">
            <w:r w:rsidRPr="00FD24A9" w:rsidR="00C054EE">
              <w:rPr>
                <w:rStyle w:val="Hyperlink"/>
                <w:noProof/>
              </w:rPr>
              <w:t>8.6.2.1.</w:t>
            </w:r>
            <w:r w:rsidR="00C054EE">
              <w:rPr>
                <w:rFonts w:asciiTheme="minorHAnsi" w:hAnsiTheme="minorHAnsi" w:eastAsiaTheme="minorEastAsia" w:cstheme="minorBidi"/>
                <w:noProof/>
                <w:sz w:val="22"/>
                <w:szCs w:val="22"/>
              </w:rPr>
              <w:tab/>
            </w:r>
            <w:r w:rsidRPr="00FD24A9" w:rsidR="00C054EE">
              <w:rPr>
                <w:rStyle w:val="Hyperlink"/>
                <w:noProof/>
              </w:rPr>
              <w:t>Clean Energy Homes Pilot: Approved with Modifications</w:t>
            </w:r>
            <w:r w:rsidR="00C054EE">
              <w:rPr>
                <w:noProof/>
                <w:webHidden/>
              </w:rPr>
              <w:tab/>
            </w:r>
            <w:r w:rsidR="00C054EE">
              <w:rPr>
                <w:noProof/>
                <w:webHidden/>
              </w:rPr>
              <w:fldChar w:fldCharType="begin"/>
            </w:r>
            <w:r w:rsidR="00C054EE">
              <w:rPr>
                <w:noProof/>
                <w:webHidden/>
              </w:rPr>
              <w:instrText xml:space="preserve"> PAGEREF _Toc69948252 \h </w:instrText>
            </w:r>
            <w:r w:rsidR="00C054EE">
              <w:rPr>
                <w:noProof/>
                <w:webHidden/>
              </w:rPr>
            </w:r>
            <w:r w:rsidR="00C054EE">
              <w:rPr>
                <w:noProof/>
                <w:webHidden/>
              </w:rPr>
              <w:fldChar w:fldCharType="separate"/>
            </w:r>
            <w:r w:rsidR="004C2E01">
              <w:rPr>
                <w:noProof/>
                <w:webHidden/>
              </w:rPr>
              <w:t>389</w:t>
            </w:r>
            <w:r w:rsidR="00C054EE">
              <w:rPr>
                <w:noProof/>
                <w:webHidden/>
              </w:rPr>
              <w:fldChar w:fldCharType="end"/>
            </w:r>
          </w:hyperlink>
        </w:p>
        <w:p w:rsidR="00C054EE" w:rsidRDefault="000D5832" w14:paraId="2F0D9103" w14:textId="2F4CEBAF">
          <w:pPr>
            <w:pStyle w:val="TOC2"/>
            <w:tabs>
              <w:tab w:val="right" w:leader="dot" w:pos="9350"/>
            </w:tabs>
            <w:rPr>
              <w:rFonts w:asciiTheme="minorHAnsi" w:hAnsiTheme="minorHAnsi" w:cstheme="minorBidi"/>
              <w:noProof/>
              <w:sz w:val="22"/>
              <w:szCs w:val="22"/>
            </w:rPr>
          </w:pPr>
          <w:hyperlink w:history="1" w:anchor="_Toc69948253">
            <w:r w:rsidRPr="00FD24A9" w:rsidR="00C054EE">
              <w:rPr>
                <w:rStyle w:val="Hyperlink"/>
                <w:noProof/>
              </w:rPr>
              <w:t>8.7.</w:t>
            </w:r>
            <w:r w:rsidR="00C054EE">
              <w:rPr>
                <w:rFonts w:asciiTheme="minorHAnsi" w:hAnsiTheme="minorHAnsi" w:cstheme="minorBidi"/>
                <w:noProof/>
                <w:sz w:val="22"/>
                <w:szCs w:val="22"/>
              </w:rPr>
              <w:tab/>
            </w:r>
            <w:r w:rsidRPr="00FD24A9" w:rsidR="00C054EE">
              <w:rPr>
                <w:rStyle w:val="Hyperlink"/>
                <w:noProof/>
              </w:rPr>
              <w:t>SCE Telemarketing “Nurture” Pilot</w:t>
            </w:r>
            <w:r w:rsidR="00C054EE">
              <w:rPr>
                <w:noProof/>
                <w:webHidden/>
              </w:rPr>
              <w:tab/>
            </w:r>
            <w:r w:rsidR="00C054EE">
              <w:rPr>
                <w:noProof/>
                <w:webHidden/>
              </w:rPr>
              <w:fldChar w:fldCharType="begin"/>
            </w:r>
            <w:r w:rsidR="00C054EE">
              <w:rPr>
                <w:noProof/>
                <w:webHidden/>
              </w:rPr>
              <w:instrText xml:space="preserve"> PAGEREF _Toc69948253 \h </w:instrText>
            </w:r>
            <w:r w:rsidR="00C054EE">
              <w:rPr>
                <w:noProof/>
                <w:webHidden/>
              </w:rPr>
            </w:r>
            <w:r w:rsidR="00C054EE">
              <w:rPr>
                <w:noProof/>
                <w:webHidden/>
              </w:rPr>
              <w:fldChar w:fldCharType="separate"/>
            </w:r>
            <w:r w:rsidR="004C2E01">
              <w:rPr>
                <w:noProof/>
                <w:webHidden/>
              </w:rPr>
              <w:t>390</w:t>
            </w:r>
            <w:r w:rsidR="00C054EE">
              <w:rPr>
                <w:noProof/>
                <w:webHidden/>
              </w:rPr>
              <w:fldChar w:fldCharType="end"/>
            </w:r>
          </w:hyperlink>
        </w:p>
        <w:p w:rsidR="00C054EE" w:rsidRDefault="000D5832" w14:paraId="3680DA29" w14:textId="04F615DA">
          <w:pPr>
            <w:pStyle w:val="TOC3"/>
            <w:tabs>
              <w:tab w:val="left" w:pos="1296"/>
              <w:tab w:val="right" w:leader="dot" w:pos="9350"/>
            </w:tabs>
            <w:rPr>
              <w:rFonts w:asciiTheme="minorHAnsi" w:hAnsiTheme="minorHAnsi" w:cstheme="minorBidi"/>
              <w:noProof/>
              <w:sz w:val="22"/>
              <w:szCs w:val="22"/>
            </w:rPr>
          </w:pPr>
          <w:hyperlink w:history="1" w:anchor="_Toc69948254">
            <w:r w:rsidRPr="00FD24A9" w:rsidR="00C054EE">
              <w:rPr>
                <w:rStyle w:val="Hyperlink"/>
                <w:noProof/>
              </w:rPr>
              <w:t>8.7.1.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_Toc69948254 \h </w:instrText>
            </w:r>
            <w:r w:rsidR="00C054EE">
              <w:rPr>
                <w:noProof/>
                <w:webHidden/>
              </w:rPr>
            </w:r>
            <w:r w:rsidR="00C054EE">
              <w:rPr>
                <w:noProof/>
                <w:webHidden/>
              </w:rPr>
              <w:fldChar w:fldCharType="separate"/>
            </w:r>
            <w:r w:rsidR="004C2E01">
              <w:rPr>
                <w:noProof/>
                <w:webHidden/>
              </w:rPr>
              <w:t>390</w:t>
            </w:r>
            <w:r w:rsidR="00C054EE">
              <w:rPr>
                <w:noProof/>
                <w:webHidden/>
              </w:rPr>
              <w:fldChar w:fldCharType="end"/>
            </w:r>
          </w:hyperlink>
        </w:p>
        <w:p w:rsidR="00C054EE" w:rsidRDefault="000D5832" w14:paraId="083E27F8" w14:textId="7244F290">
          <w:pPr>
            <w:pStyle w:val="TOC3"/>
            <w:tabs>
              <w:tab w:val="left" w:pos="1296"/>
              <w:tab w:val="right" w:leader="dot" w:pos="9350"/>
            </w:tabs>
            <w:rPr>
              <w:rFonts w:asciiTheme="minorHAnsi" w:hAnsiTheme="minorHAnsi" w:cstheme="minorBidi"/>
              <w:noProof/>
              <w:sz w:val="22"/>
              <w:szCs w:val="22"/>
            </w:rPr>
          </w:pPr>
          <w:hyperlink w:history="1" w:anchor="_Toc69948255">
            <w:r w:rsidRPr="00FD24A9" w:rsidR="00C054EE">
              <w:rPr>
                <w:rStyle w:val="Hyperlink"/>
                <w:noProof/>
              </w:rPr>
              <w:t>8.7.2.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_Toc69948255 \h </w:instrText>
            </w:r>
            <w:r w:rsidR="00C054EE">
              <w:rPr>
                <w:noProof/>
                <w:webHidden/>
              </w:rPr>
            </w:r>
            <w:r w:rsidR="00C054EE">
              <w:rPr>
                <w:noProof/>
                <w:webHidden/>
              </w:rPr>
              <w:fldChar w:fldCharType="separate"/>
            </w:r>
            <w:r w:rsidR="004C2E01">
              <w:rPr>
                <w:noProof/>
                <w:webHidden/>
              </w:rPr>
              <w:t>390</w:t>
            </w:r>
            <w:r w:rsidR="00C054EE">
              <w:rPr>
                <w:noProof/>
                <w:webHidden/>
              </w:rPr>
              <w:fldChar w:fldCharType="end"/>
            </w:r>
          </w:hyperlink>
        </w:p>
        <w:p w:rsidR="00C054EE" w:rsidRDefault="000D5832" w14:paraId="53901D19" w14:textId="4232C534">
          <w:pPr>
            <w:pStyle w:val="TOC4"/>
            <w:tabs>
              <w:tab w:val="left" w:pos="1728"/>
              <w:tab w:val="right" w:leader="dot" w:pos="9350"/>
            </w:tabs>
            <w:rPr>
              <w:rFonts w:asciiTheme="minorHAnsi" w:hAnsiTheme="minorHAnsi" w:eastAsiaTheme="minorEastAsia" w:cstheme="minorBidi"/>
              <w:noProof/>
              <w:sz w:val="22"/>
              <w:szCs w:val="22"/>
            </w:rPr>
          </w:pPr>
          <w:hyperlink w:history="1" w:anchor="_Toc69948256">
            <w:r w:rsidRPr="00FD24A9" w:rsidR="00C054EE">
              <w:rPr>
                <w:rStyle w:val="Hyperlink"/>
                <w:noProof/>
              </w:rPr>
              <w:t>8.7.2.1.</w:t>
            </w:r>
            <w:r w:rsidR="00C054EE">
              <w:rPr>
                <w:rFonts w:asciiTheme="minorHAnsi" w:hAnsiTheme="minorHAnsi" w:eastAsiaTheme="minorEastAsia" w:cstheme="minorBidi"/>
                <w:noProof/>
                <w:sz w:val="22"/>
                <w:szCs w:val="22"/>
              </w:rPr>
              <w:tab/>
            </w:r>
            <w:r w:rsidRPr="00FD24A9" w:rsidR="00C054EE">
              <w:rPr>
                <w:rStyle w:val="Hyperlink"/>
                <w:noProof/>
              </w:rPr>
              <w:t>SCE Telemarketing “Nurture” Pilot: Approved</w:t>
            </w:r>
            <w:r w:rsidR="00C054EE">
              <w:rPr>
                <w:noProof/>
                <w:webHidden/>
              </w:rPr>
              <w:tab/>
            </w:r>
            <w:r w:rsidR="00C054EE">
              <w:rPr>
                <w:noProof/>
                <w:webHidden/>
              </w:rPr>
              <w:fldChar w:fldCharType="begin"/>
            </w:r>
            <w:r w:rsidR="00C054EE">
              <w:rPr>
                <w:noProof/>
                <w:webHidden/>
              </w:rPr>
              <w:instrText xml:space="preserve"> PAGEREF _Toc69948256 \h </w:instrText>
            </w:r>
            <w:r w:rsidR="00C054EE">
              <w:rPr>
                <w:noProof/>
                <w:webHidden/>
              </w:rPr>
            </w:r>
            <w:r w:rsidR="00C054EE">
              <w:rPr>
                <w:noProof/>
                <w:webHidden/>
              </w:rPr>
              <w:fldChar w:fldCharType="separate"/>
            </w:r>
            <w:r w:rsidR="004C2E01">
              <w:rPr>
                <w:noProof/>
                <w:webHidden/>
              </w:rPr>
              <w:t>390</w:t>
            </w:r>
            <w:r w:rsidR="00C054EE">
              <w:rPr>
                <w:noProof/>
                <w:webHidden/>
              </w:rPr>
              <w:fldChar w:fldCharType="end"/>
            </w:r>
          </w:hyperlink>
        </w:p>
        <w:p w:rsidR="00C054EE" w:rsidRDefault="000D5832" w14:paraId="5AB93746" w14:textId="74286344">
          <w:pPr>
            <w:pStyle w:val="TOC2"/>
            <w:tabs>
              <w:tab w:val="right" w:leader="dot" w:pos="9350"/>
            </w:tabs>
            <w:rPr>
              <w:rFonts w:asciiTheme="minorHAnsi" w:hAnsiTheme="minorHAnsi" w:cstheme="minorBidi"/>
              <w:noProof/>
              <w:sz w:val="22"/>
              <w:szCs w:val="22"/>
            </w:rPr>
          </w:pPr>
          <w:hyperlink w:history="1" w:anchor="_Toc69948257">
            <w:r w:rsidRPr="00FD24A9" w:rsidR="00C054EE">
              <w:rPr>
                <w:rStyle w:val="Hyperlink"/>
                <w:noProof/>
              </w:rPr>
              <w:t>8.8.</w:t>
            </w:r>
            <w:r w:rsidR="00C054EE">
              <w:rPr>
                <w:rFonts w:asciiTheme="minorHAnsi" w:hAnsiTheme="minorHAnsi" w:cstheme="minorBidi"/>
                <w:noProof/>
                <w:sz w:val="22"/>
                <w:szCs w:val="22"/>
              </w:rPr>
              <w:tab/>
            </w:r>
            <w:r w:rsidRPr="00FD24A9" w:rsidR="00C054EE">
              <w:rPr>
                <w:rStyle w:val="Hyperlink"/>
                <w:noProof/>
              </w:rPr>
              <w:t>Impact Evaluations</w:t>
            </w:r>
            <w:r w:rsidR="00C054EE">
              <w:rPr>
                <w:noProof/>
                <w:webHidden/>
              </w:rPr>
              <w:tab/>
            </w:r>
            <w:r w:rsidR="00C054EE">
              <w:rPr>
                <w:noProof/>
                <w:webHidden/>
              </w:rPr>
              <w:fldChar w:fldCharType="begin"/>
            </w:r>
            <w:r w:rsidR="00C054EE">
              <w:rPr>
                <w:noProof/>
                <w:webHidden/>
              </w:rPr>
              <w:instrText xml:space="preserve"> PAGEREF _Toc69948257 \h </w:instrText>
            </w:r>
            <w:r w:rsidR="00C054EE">
              <w:rPr>
                <w:noProof/>
                <w:webHidden/>
              </w:rPr>
            </w:r>
            <w:r w:rsidR="00C054EE">
              <w:rPr>
                <w:noProof/>
                <w:webHidden/>
              </w:rPr>
              <w:fldChar w:fldCharType="separate"/>
            </w:r>
            <w:r w:rsidR="004C2E01">
              <w:rPr>
                <w:noProof/>
                <w:webHidden/>
              </w:rPr>
              <w:t>391</w:t>
            </w:r>
            <w:r w:rsidR="00C054EE">
              <w:rPr>
                <w:noProof/>
                <w:webHidden/>
              </w:rPr>
              <w:fldChar w:fldCharType="end"/>
            </w:r>
          </w:hyperlink>
        </w:p>
        <w:p w:rsidR="00C054EE" w:rsidRDefault="000D5832" w14:paraId="0E8A678D" w14:textId="414D11DC">
          <w:pPr>
            <w:pStyle w:val="TOC3"/>
            <w:tabs>
              <w:tab w:val="left" w:pos="1296"/>
              <w:tab w:val="right" w:leader="dot" w:pos="9350"/>
            </w:tabs>
            <w:rPr>
              <w:rFonts w:asciiTheme="minorHAnsi" w:hAnsiTheme="minorHAnsi" w:cstheme="minorBidi"/>
              <w:noProof/>
              <w:sz w:val="22"/>
              <w:szCs w:val="22"/>
            </w:rPr>
          </w:pPr>
          <w:hyperlink w:history="1" w:anchor="_Toc69948258">
            <w:r w:rsidRPr="00FD24A9" w:rsidR="00C054EE">
              <w:rPr>
                <w:rStyle w:val="Hyperlink"/>
                <w:noProof/>
              </w:rPr>
              <w:t>8.8.1.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_Toc69948258 \h </w:instrText>
            </w:r>
            <w:r w:rsidR="00C054EE">
              <w:rPr>
                <w:noProof/>
                <w:webHidden/>
              </w:rPr>
            </w:r>
            <w:r w:rsidR="00C054EE">
              <w:rPr>
                <w:noProof/>
                <w:webHidden/>
              </w:rPr>
              <w:fldChar w:fldCharType="separate"/>
            </w:r>
            <w:r w:rsidR="004C2E01">
              <w:rPr>
                <w:noProof/>
                <w:webHidden/>
              </w:rPr>
              <w:t>392</w:t>
            </w:r>
            <w:r w:rsidR="00C054EE">
              <w:rPr>
                <w:noProof/>
                <w:webHidden/>
              </w:rPr>
              <w:fldChar w:fldCharType="end"/>
            </w:r>
          </w:hyperlink>
        </w:p>
        <w:p w:rsidR="00C054EE" w:rsidRDefault="000D5832" w14:paraId="6EB34E02" w14:textId="2106FA79">
          <w:pPr>
            <w:pStyle w:val="TOC3"/>
            <w:tabs>
              <w:tab w:val="left" w:pos="1296"/>
              <w:tab w:val="right" w:leader="dot" w:pos="9350"/>
            </w:tabs>
            <w:rPr>
              <w:rFonts w:asciiTheme="minorHAnsi" w:hAnsiTheme="minorHAnsi" w:cstheme="minorBidi"/>
              <w:noProof/>
              <w:sz w:val="22"/>
              <w:szCs w:val="22"/>
            </w:rPr>
          </w:pPr>
          <w:hyperlink w:history="1" w:anchor="_Toc69948259">
            <w:r w:rsidRPr="00FD24A9" w:rsidR="00C054EE">
              <w:rPr>
                <w:rStyle w:val="Hyperlink"/>
                <w:noProof/>
              </w:rPr>
              <w:t>8.8.2.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_Toc69948259 \h </w:instrText>
            </w:r>
            <w:r w:rsidR="00C054EE">
              <w:rPr>
                <w:noProof/>
                <w:webHidden/>
              </w:rPr>
            </w:r>
            <w:r w:rsidR="00C054EE">
              <w:rPr>
                <w:noProof/>
                <w:webHidden/>
              </w:rPr>
              <w:fldChar w:fldCharType="separate"/>
            </w:r>
            <w:r w:rsidR="004C2E01">
              <w:rPr>
                <w:noProof/>
                <w:webHidden/>
              </w:rPr>
              <w:t>392</w:t>
            </w:r>
            <w:r w:rsidR="00C054EE">
              <w:rPr>
                <w:noProof/>
                <w:webHidden/>
              </w:rPr>
              <w:fldChar w:fldCharType="end"/>
            </w:r>
          </w:hyperlink>
        </w:p>
        <w:p w:rsidR="00C054EE" w:rsidRDefault="000D5832" w14:paraId="6FC48EFF" w14:textId="25796DCC">
          <w:pPr>
            <w:pStyle w:val="TOC4"/>
            <w:tabs>
              <w:tab w:val="left" w:pos="1728"/>
              <w:tab w:val="right" w:leader="dot" w:pos="9350"/>
            </w:tabs>
            <w:rPr>
              <w:rFonts w:asciiTheme="minorHAnsi" w:hAnsiTheme="minorHAnsi" w:eastAsiaTheme="minorEastAsia" w:cstheme="minorBidi"/>
              <w:noProof/>
              <w:sz w:val="22"/>
              <w:szCs w:val="22"/>
            </w:rPr>
          </w:pPr>
          <w:hyperlink w:history="1" w:anchor="_Toc69948260">
            <w:r w:rsidRPr="00FD24A9" w:rsidR="00C054EE">
              <w:rPr>
                <w:rStyle w:val="Hyperlink"/>
                <w:noProof/>
              </w:rPr>
              <w:t>8.8.2.1.</w:t>
            </w:r>
            <w:r w:rsidR="00C054EE">
              <w:rPr>
                <w:rFonts w:asciiTheme="minorHAnsi" w:hAnsiTheme="minorHAnsi" w:eastAsiaTheme="minorEastAsia" w:cstheme="minorBidi"/>
                <w:noProof/>
                <w:sz w:val="22"/>
                <w:szCs w:val="22"/>
              </w:rPr>
              <w:tab/>
            </w:r>
            <w:r w:rsidRPr="00FD24A9" w:rsidR="00C054EE">
              <w:rPr>
                <w:rStyle w:val="Hyperlink"/>
                <w:noProof/>
              </w:rPr>
              <w:t>Impact Evaluations: Approved</w:t>
            </w:r>
            <w:r w:rsidR="00C054EE">
              <w:rPr>
                <w:noProof/>
                <w:webHidden/>
              </w:rPr>
              <w:tab/>
            </w:r>
            <w:r w:rsidR="00C054EE">
              <w:rPr>
                <w:noProof/>
                <w:webHidden/>
              </w:rPr>
              <w:fldChar w:fldCharType="begin"/>
            </w:r>
            <w:r w:rsidR="00C054EE">
              <w:rPr>
                <w:noProof/>
                <w:webHidden/>
              </w:rPr>
              <w:instrText xml:space="preserve"> PAGEREF _Toc69948260 \h </w:instrText>
            </w:r>
            <w:r w:rsidR="00C054EE">
              <w:rPr>
                <w:noProof/>
                <w:webHidden/>
              </w:rPr>
            </w:r>
            <w:r w:rsidR="00C054EE">
              <w:rPr>
                <w:noProof/>
                <w:webHidden/>
              </w:rPr>
              <w:fldChar w:fldCharType="separate"/>
            </w:r>
            <w:r w:rsidR="004C2E01">
              <w:rPr>
                <w:noProof/>
                <w:webHidden/>
              </w:rPr>
              <w:t>392</w:t>
            </w:r>
            <w:r w:rsidR="00C054EE">
              <w:rPr>
                <w:noProof/>
                <w:webHidden/>
              </w:rPr>
              <w:fldChar w:fldCharType="end"/>
            </w:r>
          </w:hyperlink>
        </w:p>
        <w:p w:rsidR="00C054EE" w:rsidRDefault="000D5832" w14:paraId="62AEB89B" w14:textId="4EF0E3BC">
          <w:pPr>
            <w:pStyle w:val="TOC2"/>
            <w:tabs>
              <w:tab w:val="right" w:leader="dot" w:pos="9350"/>
            </w:tabs>
            <w:rPr>
              <w:rFonts w:asciiTheme="minorHAnsi" w:hAnsiTheme="minorHAnsi" w:cstheme="minorBidi"/>
              <w:noProof/>
              <w:sz w:val="22"/>
              <w:szCs w:val="22"/>
            </w:rPr>
          </w:pPr>
          <w:hyperlink w:history="1" w:anchor="_Toc69948261">
            <w:r w:rsidRPr="00FD24A9" w:rsidR="00C054EE">
              <w:rPr>
                <w:rStyle w:val="Hyperlink"/>
                <w:noProof/>
              </w:rPr>
              <w:t>8.9.</w:t>
            </w:r>
            <w:r w:rsidR="00C054EE">
              <w:rPr>
                <w:rFonts w:asciiTheme="minorHAnsi" w:hAnsiTheme="minorHAnsi" w:cstheme="minorBidi"/>
                <w:noProof/>
                <w:sz w:val="22"/>
                <w:szCs w:val="22"/>
              </w:rPr>
              <w:tab/>
            </w:r>
            <w:r w:rsidRPr="00FD24A9" w:rsidR="00C054EE">
              <w:rPr>
                <w:rStyle w:val="Hyperlink"/>
                <w:noProof/>
              </w:rPr>
              <w:t>Low Income Needs Assessment (LINA)</w:t>
            </w:r>
            <w:r w:rsidR="00C054EE">
              <w:rPr>
                <w:noProof/>
                <w:webHidden/>
              </w:rPr>
              <w:tab/>
            </w:r>
            <w:r w:rsidR="00C054EE">
              <w:rPr>
                <w:noProof/>
                <w:webHidden/>
              </w:rPr>
              <w:fldChar w:fldCharType="begin"/>
            </w:r>
            <w:r w:rsidR="00C054EE">
              <w:rPr>
                <w:noProof/>
                <w:webHidden/>
              </w:rPr>
              <w:instrText xml:space="preserve"> PAGEREF _Toc69948261 \h </w:instrText>
            </w:r>
            <w:r w:rsidR="00C054EE">
              <w:rPr>
                <w:noProof/>
                <w:webHidden/>
              </w:rPr>
            </w:r>
            <w:r w:rsidR="00C054EE">
              <w:rPr>
                <w:noProof/>
                <w:webHidden/>
              </w:rPr>
              <w:fldChar w:fldCharType="separate"/>
            </w:r>
            <w:r w:rsidR="004C2E01">
              <w:rPr>
                <w:noProof/>
                <w:webHidden/>
              </w:rPr>
              <w:t>392</w:t>
            </w:r>
            <w:r w:rsidR="00C054EE">
              <w:rPr>
                <w:noProof/>
                <w:webHidden/>
              </w:rPr>
              <w:fldChar w:fldCharType="end"/>
            </w:r>
          </w:hyperlink>
        </w:p>
        <w:p w:rsidR="00C054EE" w:rsidRDefault="000D5832" w14:paraId="63ED08C5" w14:textId="42063D53">
          <w:pPr>
            <w:pStyle w:val="TOC3"/>
            <w:tabs>
              <w:tab w:val="left" w:pos="1296"/>
              <w:tab w:val="right" w:leader="dot" w:pos="9350"/>
            </w:tabs>
            <w:rPr>
              <w:rFonts w:asciiTheme="minorHAnsi" w:hAnsiTheme="minorHAnsi" w:cstheme="minorBidi"/>
              <w:noProof/>
              <w:sz w:val="22"/>
              <w:szCs w:val="22"/>
            </w:rPr>
          </w:pPr>
          <w:hyperlink w:history="1" w:anchor="_Toc69948262">
            <w:r w:rsidRPr="00FD24A9" w:rsidR="00C054EE">
              <w:rPr>
                <w:rStyle w:val="Hyperlink"/>
                <w:noProof/>
              </w:rPr>
              <w:t>8.9.1.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_Toc69948262 \h </w:instrText>
            </w:r>
            <w:r w:rsidR="00C054EE">
              <w:rPr>
                <w:noProof/>
                <w:webHidden/>
              </w:rPr>
            </w:r>
            <w:r w:rsidR="00C054EE">
              <w:rPr>
                <w:noProof/>
                <w:webHidden/>
              </w:rPr>
              <w:fldChar w:fldCharType="separate"/>
            </w:r>
            <w:r w:rsidR="004C2E01">
              <w:rPr>
                <w:noProof/>
                <w:webHidden/>
              </w:rPr>
              <w:t>393</w:t>
            </w:r>
            <w:r w:rsidR="00C054EE">
              <w:rPr>
                <w:noProof/>
                <w:webHidden/>
              </w:rPr>
              <w:fldChar w:fldCharType="end"/>
            </w:r>
          </w:hyperlink>
        </w:p>
        <w:p w:rsidR="00C054EE" w:rsidRDefault="000D5832" w14:paraId="17764E14" w14:textId="274D0149">
          <w:pPr>
            <w:pStyle w:val="TOC4"/>
            <w:tabs>
              <w:tab w:val="left" w:pos="1728"/>
              <w:tab w:val="right" w:leader="dot" w:pos="9350"/>
            </w:tabs>
            <w:rPr>
              <w:rFonts w:asciiTheme="minorHAnsi" w:hAnsiTheme="minorHAnsi" w:eastAsiaTheme="minorEastAsia" w:cstheme="minorBidi"/>
              <w:noProof/>
              <w:sz w:val="22"/>
              <w:szCs w:val="22"/>
            </w:rPr>
          </w:pPr>
          <w:hyperlink w:history="1" w:anchor="_Toc69948263">
            <w:r w:rsidRPr="00FD24A9" w:rsidR="00C054EE">
              <w:rPr>
                <w:rStyle w:val="Hyperlink"/>
                <w:noProof/>
              </w:rPr>
              <w:t>8.9.1.1.</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_Toc69948263 \h </w:instrText>
            </w:r>
            <w:r w:rsidR="00C054EE">
              <w:rPr>
                <w:noProof/>
                <w:webHidden/>
              </w:rPr>
            </w:r>
            <w:r w:rsidR="00C054EE">
              <w:rPr>
                <w:noProof/>
                <w:webHidden/>
              </w:rPr>
              <w:fldChar w:fldCharType="separate"/>
            </w:r>
            <w:r w:rsidR="004C2E01">
              <w:rPr>
                <w:noProof/>
                <w:webHidden/>
              </w:rPr>
              <w:t>393</w:t>
            </w:r>
            <w:r w:rsidR="00C054EE">
              <w:rPr>
                <w:noProof/>
                <w:webHidden/>
              </w:rPr>
              <w:fldChar w:fldCharType="end"/>
            </w:r>
          </w:hyperlink>
        </w:p>
        <w:p w:rsidR="00C054EE" w:rsidRDefault="000D5832" w14:paraId="309E06F2" w14:textId="6D47391A">
          <w:pPr>
            <w:pStyle w:val="TOC3"/>
            <w:tabs>
              <w:tab w:val="left" w:pos="1296"/>
              <w:tab w:val="right" w:leader="dot" w:pos="9350"/>
            </w:tabs>
            <w:rPr>
              <w:rFonts w:asciiTheme="minorHAnsi" w:hAnsiTheme="minorHAnsi" w:cstheme="minorBidi"/>
              <w:noProof/>
              <w:sz w:val="22"/>
              <w:szCs w:val="22"/>
            </w:rPr>
          </w:pPr>
          <w:hyperlink w:history="1" w:anchor="_Toc69948264">
            <w:r w:rsidRPr="00FD24A9" w:rsidR="00C054EE">
              <w:rPr>
                <w:rStyle w:val="Hyperlink"/>
                <w:noProof/>
              </w:rPr>
              <w:t>8.9.2.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_Toc69948264 \h </w:instrText>
            </w:r>
            <w:r w:rsidR="00C054EE">
              <w:rPr>
                <w:noProof/>
                <w:webHidden/>
              </w:rPr>
            </w:r>
            <w:r w:rsidR="00C054EE">
              <w:rPr>
                <w:noProof/>
                <w:webHidden/>
              </w:rPr>
              <w:fldChar w:fldCharType="separate"/>
            </w:r>
            <w:r w:rsidR="004C2E01">
              <w:rPr>
                <w:noProof/>
                <w:webHidden/>
              </w:rPr>
              <w:t>393</w:t>
            </w:r>
            <w:r w:rsidR="00C054EE">
              <w:rPr>
                <w:noProof/>
                <w:webHidden/>
              </w:rPr>
              <w:fldChar w:fldCharType="end"/>
            </w:r>
          </w:hyperlink>
        </w:p>
        <w:p w:rsidR="00C054EE" w:rsidRDefault="000D5832" w14:paraId="397D35CD" w14:textId="5A02D2BD">
          <w:pPr>
            <w:pStyle w:val="TOC4"/>
            <w:tabs>
              <w:tab w:val="left" w:pos="1728"/>
              <w:tab w:val="right" w:leader="dot" w:pos="9350"/>
            </w:tabs>
            <w:rPr>
              <w:rFonts w:asciiTheme="minorHAnsi" w:hAnsiTheme="minorHAnsi" w:eastAsiaTheme="minorEastAsia" w:cstheme="minorBidi"/>
              <w:noProof/>
              <w:sz w:val="22"/>
              <w:szCs w:val="22"/>
            </w:rPr>
          </w:pPr>
          <w:hyperlink w:history="1" w:anchor="_Toc69948265">
            <w:r w:rsidRPr="00FD24A9" w:rsidR="00C054EE">
              <w:rPr>
                <w:rStyle w:val="Hyperlink"/>
                <w:noProof/>
              </w:rPr>
              <w:t>8.9.2.1.</w:t>
            </w:r>
            <w:r w:rsidR="00C054EE">
              <w:rPr>
                <w:rFonts w:asciiTheme="minorHAnsi" w:hAnsiTheme="minorHAnsi" w:eastAsiaTheme="minorEastAsia" w:cstheme="minorBidi"/>
                <w:noProof/>
                <w:sz w:val="22"/>
                <w:szCs w:val="22"/>
              </w:rPr>
              <w:tab/>
            </w:r>
            <w:r w:rsidRPr="00FD24A9" w:rsidR="00C054EE">
              <w:rPr>
                <w:rStyle w:val="Hyperlink"/>
                <w:noProof/>
              </w:rPr>
              <w:t>2025 and 2028 LINA Studies: Approved with Modifications</w:t>
            </w:r>
            <w:r w:rsidR="00C054EE">
              <w:rPr>
                <w:noProof/>
                <w:webHidden/>
              </w:rPr>
              <w:tab/>
            </w:r>
            <w:r w:rsidR="00C054EE">
              <w:rPr>
                <w:noProof/>
                <w:webHidden/>
              </w:rPr>
              <w:fldChar w:fldCharType="begin"/>
            </w:r>
            <w:r w:rsidR="00C054EE">
              <w:rPr>
                <w:noProof/>
                <w:webHidden/>
              </w:rPr>
              <w:instrText xml:space="preserve"> PAGEREF _Toc69948265 \h </w:instrText>
            </w:r>
            <w:r w:rsidR="00C054EE">
              <w:rPr>
                <w:noProof/>
                <w:webHidden/>
              </w:rPr>
            </w:r>
            <w:r w:rsidR="00C054EE">
              <w:rPr>
                <w:noProof/>
                <w:webHidden/>
              </w:rPr>
              <w:fldChar w:fldCharType="separate"/>
            </w:r>
            <w:r w:rsidR="004C2E01">
              <w:rPr>
                <w:noProof/>
                <w:webHidden/>
              </w:rPr>
              <w:t>393</w:t>
            </w:r>
            <w:r w:rsidR="00C054EE">
              <w:rPr>
                <w:noProof/>
                <w:webHidden/>
              </w:rPr>
              <w:fldChar w:fldCharType="end"/>
            </w:r>
          </w:hyperlink>
        </w:p>
        <w:p w:rsidR="00C054EE" w:rsidRDefault="000D5832" w14:paraId="1385C2AE" w14:textId="07AF5DB7">
          <w:pPr>
            <w:pStyle w:val="TOC2"/>
            <w:tabs>
              <w:tab w:val="left" w:pos="1296"/>
              <w:tab w:val="right" w:leader="dot" w:pos="9350"/>
            </w:tabs>
            <w:rPr>
              <w:rFonts w:asciiTheme="minorHAnsi" w:hAnsiTheme="minorHAnsi" w:cstheme="minorBidi"/>
              <w:noProof/>
              <w:sz w:val="22"/>
              <w:szCs w:val="22"/>
            </w:rPr>
          </w:pPr>
          <w:hyperlink w:history="1" w:anchor="_Toc69948266">
            <w:r w:rsidRPr="00FD24A9" w:rsidR="00C054EE">
              <w:rPr>
                <w:rStyle w:val="Hyperlink"/>
                <w:noProof/>
              </w:rPr>
              <w:t>8.10.</w:t>
            </w:r>
            <w:r w:rsidR="00C054EE">
              <w:rPr>
                <w:rFonts w:asciiTheme="minorHAnsi" w:hAnsiTheme="minorHAnsi" w:cstheme="minorBidi"/>
                <w:noProof/>
                <w:sz w:val="22"/>
                <w:szCs w:val="22"/>
              </w:rPr>
              <w:tab/>
            </w:r>
            <w:r w:rsidRPr="00FD24A9" w:rsidR="00C054EE">
              <w:rPr>
                <w:rStyle w:val="Hyperlink"/>
                <w:noProof/>
              </w:rPr>
              <w:t>ESA Process Evaluations</w:t>
            </w:r>
            <w:r w:rsidR="00C054EE">
              <w:rPr>
                <w:noProof/>
                <w:webHidden/>
              </w:rPr>
              <w:tab/>
            </w:r>
            <w:r w:rsidR="00C054EE">
              <w:rPr>
                <w:noProof/>
                <w:webHidden/>
              </w:rPr>
              <w:fldChar w:fldCharType="begin"/>
            </w:r>
            <w:r w:rsidR="00C054EE">
              <w:rPr>
                <w:noProof/>
                <w:webHidden/>
              </w:rPr>
              <w:instrText xml:space="preserve"> PAGEREF _Toc69948266 \h </w:instrText>
            </w:r>
            <w:r w:rsidR="00C054EE">
              <w:rPr>
                <w:noProof/>
                <w:webHidden/>
              </w:rPr>
            </w:r>
            <w:r w:rsidR="00C054EE">
              <w:rPr>
                <w:noProof/>
                <w:webHidden/>
              </w:rPr>
              <w:fldChar w:fldCharType="separate"/>
            </w:r>
            <w:r w:rsidR="004C2E01">
              <w:rPr>
                <w:noProof/>
                <w:webHidden/>
              </w:rPr>
              <w:t>395</w:t>
            </w:r>
            <w:r w:rsidR="00C054EE">
              <w:rPr>
                <w:noProof/>
                <w:webHidden/>
              </w:rPr>
              <w:fldChar w:fldCharType="end"/>
            </w:r>
          </w:hyperlink>
        </w:p>
        <w:p w:rsidR="00C054EE" w:rsidRDefault="000D5832" w14:paraId="0D8A5273" w14:textId="50DD2EFE">
          <w:pPr>
            <w:pStyle w:val="TOC3"/>
            <w:tabs>
              <w:tab w:val="left" w:pos="1728"/>
              <w:tab w:val="right" w:leader="dot" w:pos="9350"/>
            </w:tabs>
            <w:rPr>
              <w:rFonts w:asciiTheme="minorHAnsi" w:hAnsiTheme="minorHAnsi" w:cstheme="minorBidi"/>
              <w:noProof/>
              <w:sz w:val="22"/>
              <w:szCs w:val="22"/>
            </w:rPr>
          </w:pPr>
          <w:hyperlink w:history="1" w:anchor="_Toc69948267">
            <w:r w:rsidRPr="00FD24A9" w:rsidR="00C054EE">
              <w:rPr>
                <w:rStyle w:val="Hyperlink"/>
                <w:noProof/>
              </w:rPr>
              <w:t>8.10.1.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_Toc69948267 \h </w:instrText>
            </w:r>
            <w:r w:rsidR="00C054EE">
              <w:rPr>
                <w:noProof/>
                <w:webHidden/>
              </w:rPr>
            </w:r>
            <w:r w:rsidR="00C054EE">
              <w:rPr>
                <w:noProof/>
                <w:webHidden/>
              </w:rPr>
              <w:fldChar w:fldCharType="separate"/>
            </w:r>
            <w:r w:rsidR="004C2E01">
              <w:rPr>
                <w:noProof/>
                <w:webHidden/>
              </w:rPr>
              <w:t>396</w:t>
            </w:r>
            <w:r w:rsidR="00C054EE">
              <w:rPr>
                <w:noProof/>
                <w:webHidden/>
              </w:rPr>
              <w:fldChar w:fldCharType="end"/>
            </w:r>
          </w:hyperlink>
        </w:p>
        <w:p w:rsidR="00C054EE" w:rsidRDefault="000D5832" w14:paraId="0E89B2F6" w14:textId="295522E5">
          <w:pPr>
            <w:pStyle w:val="TOC3"/>
            <w:tabs>
              <w:tab w:val="left" w:pos="1728"/>
              <w:tab w:val="right" w:leader="dot" w:pos="9350"/>
            </w:tabs>
            <w:rPr>
              <w:rFonts w:asciiTheme="minorHAnsi" w:hAnsiTheme="minorHAnsi" w:cstheme="minorBidi"/>
              <w:noProof/>
              <w:sz w:val="22"/>
              <w:szCs w:val="22"/>
            </w:rPr>
          </w:pPr>
          <w:hyperlink w:history="1" w:anchor="_Toc69948268">
            <w:r w:rsidRPr="00FD24A9" w:rsidR="00C054EE">
              <w:rPr>
                <w:rStyle w:val="Hyperlink"/>
                <w:noProof/>
              </w:rPr>
              <w:t>8.10.2.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_Toc69948268 \h </w:instrText>
            </w:r>
            <w:r w:rsidR="00C054EE">
              <w:rPr>
                <w:noProof/>
                <w:webHidden/>
              </w:rPr>
            </w:r>
            <w:r w:rsidR="00C054EE">
              <w:rPr>
                <w:noProof/>
                <w:webHidden/>
              </w:rPr>
              <w:fldChar w:fldCharType="separate"/>
            </w:r>
            <w:r w:rsidR="004C2E01">
              <w:rPr>
                <w:noProof/>
                <w:webHidden/>
              </w:rPr>
              <w:t>396</w:t>
            </w:r>
            <w:r w:rsidR="00C054EE">
              <w:rPr>
                <w:noProof/>
                <w:webHidden/>
              </w:rPr>
              <w:fldChar w:fldCharType="end"/>
            </w:r>
          </w:hyperlink>
        </w:p>
        <w:p w:rsidR="00C054EE" w:rsidRDefault="000D5832" w14:paraId="53A34F26" w14:textId="23AD41CF">
          <w:pPr>
            <w:pStyle w:val="TOC4"/>
            <w:tabs>
              <w:tab w:val="left" w:pos="2160"/>
              <w:tab w:val="right" w:leader="dot" w:pos="9350"/>
            </w:tabs>
            <w:rPr>
              <w:rFonts w:asciiTheme="minorHAnsi" w:hAnsiTheme="minorHAnsi" w:eastAsiaTheme="minorEastAsia" w:cstheme="minorBidi"/>
              <w:noProof/>
              <w:sz w:val="22"/>
              <w:szCs w:val="22"/>
            </w:rPr>
          </w:pPr>
          <w:hyperlink w:history="1" w:anchor="_Toc69948269">
            <w:r w:rsidRPr="00FD24A9" w:rsidR="00C054EE">
              <w:rPr>
                <w:rStyle w:val="Hyperlink"/>
                <w:noProof/>
              </w:rPr>
              <w:t>8.10.2.1.</w:t>
            </w:r>
            <w:r w:rsidR="00C054EE">
              <w:rPr>
                <w:rFonts w:asciiTheme="minorHAnsi" w:hAnsiTheme="minorHAnsi" w:eastAsiaTheme="minorEastAsia" w:cstheme="minorBidi"/>
                <w:noProof/>
                <w:sz w:val="22"/>
                <w:szCs w:val="22"/>
              </w:rPr>
              <w:tab/>
            </w:r>
            <w:r w:rsidRPr="00FD24A9" w:rsidR="00C054EE">
              <w:rPr>
                <w:rStyle w:val="Hyperlink"/>
                <w:noProof/>
              </w:rPr>
              <w:t>ESA Process Evaluations: Approved</w:t>
            </w:r>
            <w:r w:rsidR="00C054EE">
              <w:rPr>
                <w:noProof/>
                <w:webHidden/>
              </w:rPr>
              <w:tab/>
            </w:r>
            <w:r w:rsidR="00C054EE">
              <w:rPr>
                <w:noProof/>
                <w:webHidden/>
              </w:rPr>
              <w:fldChar w:fldCharType="begin"/>
            </w:r>
            <w:r w:rsidR="00C054EE">
              <w:rPr>
                <w:noProof/>
                <w:webHidden/>
              </w:rPr>
              <w:instrText xml:space="preserve"> PAGEREF _Toc69948269 \h </w:instrText>
            </w:r>
            <w:r w:rsidR="00C054EE">
              <w:rPr>
                <w:noProof/>
                <w:webHidden/>
              </w:rPr>
            </w:r>
            <w:r w:rsidR="00C054EE">
              <w:rPr>
                <w:noProof/>
                <w:webHidden/>
              </w:rPr>
              <w:fldChar w:fldCharType="separate"/>
            </w:r>
            <w:r w:rsidR="004C2E01">
              <w:rPr>
                <w:noProof/>
                <w:webHidden/>
              </w:rPr>
              <w:t>396</w:t>
            </w:r>
            <w:r w:rsidR="00C054EE">
              <w:rPr>
                <w:noProof/>
                <w:webHidden/>
              </w:rPr>
              <w:fldChar w:fldCharType="end"/>
            </w:r>
          </w:hyperlink>
        </w:p>
        <w:p w:rsidR="00C054EE" w:rsidRDefault="000D5832" w14:paraId="3B203F18" w14:textId="668AEF69">
          <w:pPr>
            <w:pStyle w:val="TOC2"/>
            <w:tabs>
              <w:tab w:val="left" w:pos="1296"/>
              <w:tab w:val="right" w:leader="dot" w:pos="9350"/>
            </w:tabs>
            <w:rPr>
              <w:rFonts w:asciiTheme="minorHAnsi" w:hAnsiTheme="minorHAnsi" w:cstheme="minorBidi"/>
              <w:noProof/>
              <w:sz w:val="22"/>
              <w:szCs w:val="22"/>
            </w:rPr>
          </w:pPr>
          <w:hyperlink w:history="1" w:anchor="_Toc69948270">
            <w:r w:rsidRPr="00FD24A9" w:rsidR="00C054EE">
              <w:rPr>
                <w:rStyle w:val="Hyperlink"/>
                <w:noProof/>
              </w:rPr>
              <w:t>8.11.</w:t>
            </w:r>
            <w:r w:rsidR="00C054EE">
              <w:rPr>
                <w:rFonts w:asciiTheme="minorHAnsi" w:hAnsiTheme="minorHAnsi" w:cstheme="minorBidi"/>
                <w:noProof/>
                <w:sz w:val="22"/>
                <w:szCs w:val="22"/>
              </w:rPr>
              <w:tab/>
            </w:r>
            <w:r w:rsidRPr="00FD24A9" w:rsidR="00C054EE">
              <w:rPr>
                <w:rStyle w:val="Hyperlink"/>
                <w:noProof/>
              </w:rPr>
              <w:t>Categorical Eligible Program Update Study</w:t>
            </w:r>
            <w:r w:rsidR="00C054EE">
              <w:rPr>
                <w:noProof/>
                <w:webHidden/>
              </w:rPr>
              <w:tab/>
            </w:r>
            <w:r w:rsidR="00C054EE">
              <w:rPr>
                <w:noProof/>
                <w:webHidden/>
              </w:rPr>
              <w:fldChar w:fldCharType="begin"/>
            </w:r>
            <w:r w:rsidR="00C054EE">
              <w:rPr>
                <w:noProof/>
                <w:webHidden/>
              </w:rPr>
              <w:instrText xml:space="preserve"> PAGEREF _Toc69948270 \h </w:instrText>
            </w:r>
            <w:r w:rsidR="00C054EE">
              <w:rPr>
                <w:noProof/>
                <w:webHidden/>
              </w:rPr>
            </w:r>
            <w:r w:rsidR="00C054EE">
              <w:rPr>
                <w:noProof/>
                <w:webHidden/>
              </w:rPr>
              <w:fldChar w:fldCharType="separate"/>
            </w:r>
            <w:r w:rsidR="004C2E01">
              <w:rPr>
                <w:noProof/>
                <w:webHidden/>
              </w:rPr>
              <w:t>396</w:t>
            </w:r>
            <w:r w:rsidR="00C054EE">
              <w:rPr>
                <w:noProof/>
                <w:webHidden/>
              </w:rPr>
              <w:fldChar w:fldCharType="end"/>
            </w:r>
          </w:hyperlink>
        </w:p>
        <w:p w:rsidR="00C054EE" w:rsidRDefault="000D5832" w14:paraId="5F2150D6" w14:textId="19639B69">
          <w:pPr>
            <w:pStyle w:val="TOC3"/>
            <w:tabs>
              <w:tab w:val="left" w:pos="1728"/>
              <w:tab w:val="right" w:leader="dot" w:pos="9350"/>
            </w:tabs>
            <w:rPr>
              <w:rFonts w:asciiTheme="minorHAnsi" w:hAnsiTheme="minorHAnsi" w:cstheme="minorBidi"/>
              <w:noProof/>
              <w:sz w:val="22"/>
              <w:szCs w:val="22"/>
            </w:rPr>
          </w:pPr>
          <w:hyperlink w:history="1" w:anchor="_Toc69948271">
            <w:r w:rsidRPr="00FD24A9" w:rsidR="00C054EE">
              <w:rPr>
                <w:rStyle w:val="Hyperlink"/>
                <w:noProof/>
              </w:rPr>
              <w:t>8.11.1.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_Toc69948271 \h </w:instrText>
            </w:r>
            <w:r w:rsidR="00C054EE">
              <w:rPr>
                <w:noProof/>
                <w:webHidden/>
              </w:rPr>
            </w:r>
            <w:r w:rsidR="00C054EE">
              <w:rPr>
                <w:noProof/>
                <w:webHidden/>
              </w:rPr>
              <w:fldChar w:fldCharType="separate"/>
            </w:r>
            <w:r w:rsidR="004C2E01">
              <w:rPr>
                <w:noProof/>
                <w:webHidden/>
              </w:rPr>
              <w:t>397</w:t>
            </w:r>
            <w:r w:rsidR="00C054EE">
              <w:rPr>
                <w:noProof/>
                <w:webHidden/>
              </w:rPr>
              <w:fldChar w:fldCharType="end"/>
            </w:r>
          </w:hyperlink>
        </w:p>
        <w:p w:rsidR="00C054EE" w:rsidRDefault="000D5832" w14:paraId="1C2708C5" w14:textId="4D5F8B5C">
          <w:pPr>
            <w:pStyle w:val="TOC4"/>
            <w:tabs>
              <w:tab w:val="left" w:pos="2160"/>
              <w:tab w:val="right" w:leader="dot" w:pos="9350"/>
            </w:tabs>
            <w:rPr>
              <w:rFonts w:asciiTheme="minorHAnsi" w:hAnsiTheme="minorHAnsi" w:eastAsiaTheme="minorEastAsia" w:cstheme="minorBidi"/>
              <w:noProof/>
              <w:sz w:val="22"/>
              <w:szCs w:val="22"/>
            </w:rPr>
          </w:pPr>
          <w:hyperlink w:history="1" w:anchor="_Toc69948272">
            <w:r w:rsidRPr="00FD24A9" w:rsidR="00C054EE">
              <w:rPr>
                <w:rStyle w:val="Hyperlink"/>
                <w:noProof/>
              </w:rPr>
              <w:t>8.11.1.1.</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_Toc69948272 \h </w:instrText>
            </w:r>
            <w:r w:rsidR="00C054EE">
              <w:rPr>
                <w:noProof/>
                <w:webHidden/>
              </w:rPr>
            </w:r>
            <w:r w:rsidR="00C054EE">
              <w:rPr>
                <w:noProof/>
                <w:webHidden/>
              </w:rPr>
              <w:fldChar w:fldCharType="separate"/>
            </w:r>
            <w:r w:rsidR="004C2E01">
              <w:rPr>
                <w:noProof/>
                <w:webHidden/>
              </w:rPr>
              <w:t>397</w:t>
            </w:r>
            <w:r w:rsidR="00C054EE">
              <w:rPr>
                <w:noProof/>
                <w:webHidden/>
              </w:rPr>
              <w:fldChar w:fldCharType="end"/>
            </w:r>
          </w:hyperlink>
        </w:p>
        <w:p w:rsidR="00C054EE" w:rsidRDefault="000D5832" w14:paraId="20883E0B" w14:textId="6898DEFD">
          <w:pPr>
            <w:pStyle w:val="TOC3"/>
            <w:tabs>
              <w:tab w:val="left" w:pos="1728"/>
              <w:tab w:val="right" w:leader="dot" w:pos="9350"/>
            </w:tabs>
            <w:rPr>
              <w:rFonts w:asciiTheme="minorHAnsi" w:hAnsiTheme="minorHAnsi" w:cstheme="minorBidi"/>
              <w:noProof/>
              <w:sz w:val="22"/>
              <w:szCs w:val="22"/>
            </w:rPr>
          </w:pPr>
          <w:hyperlink w:history="1" w:anchor="_Toc69948273">
            <w:r w:rsidRPr="00FD24A9" w:rsidR="00C054EE">
              <w:rPr>
                <w:rStyle w:val="Hyperlink"/>
                <w:noProof/>
              </w:rPr>
              <w:t>8.11.2.</w:t>
            </w:r>
            <w:r w:rsidR="00C054EE">
              <w:rPr>
                <w:rFonts w:asciiTheme="minorHAnsi" w:hAnsiTheme="minorHAnsi" w:cstheme="minorBidi"/>
                <w:noProof/>
                <w:sz w:val="22"/>
                <w:szCs w:val="22"/>
              </w:rPr>
              <w:tab/>
            </w:r>
            <w:r w:rsidRPr="00FD24A9" w:rsidR="00C054EE">
              <w:rPr>
                <w:rStyle w:val="Hyperlink"/>
                <w:noProof/>
              </w:rPr>
              <w:t>IOU Response</w:t>
            </w:r>
            <w:r w:rsidR="00C054EE">
              <w:rPr>
                <w:noProof/>
                <w:webHidden/>
              </w:rPr>
              <w:tab/>
            </w:r>
            <w:r w:rsidR="00C054EE">
              <w:rPr>
                <w:noProof/>
                <w:webHidden/>
              </w:rPr>
              <w:fldChar w:fldCharType="begin"/>
            </w:r>
            <w:r w:rsidR="00C054EE">
              <w:rPr>
                <w:noProof/>
                <w:webHidden/>
              </w:rPr>
              <w:instrText xml:space="preserve"> PAGEREF _Toc69948273 \h </w:instrText>
            </w:r>
            <w:r w:rsidR="00C054EE">
              <w:rPr>
                <w:noProof/>
                <w:webHidden/>
              </w:rPr>
            </w:r>
            <w:r w:rsidR="00C054EE">
              <w:rPr>
                <w:noProof/>
                <w:webHidden/>
              </w:rPr>
              <w:fldChar w:fldCharType="separate"/>
            </w:r>
            <w:r w:rsidR="004C2E01">
              <w:rPr>
                <w:noProof/>
                <w:webHidden/>
              </w:rPr>
              <w:t>398</w:t>
            </w:r>
            <w:r w:rsidR="00C054EE">
              <w:rPr>
                <w:noProof/>
                <w:webHidden/>
              </w:rPr>
              <w:fldChar w:fldCharType="end"/>
            </w:r>
          </w:hyperlink>
        </w:p>
        <w:p w:rsidR="00C054EE" w:rsidRDefault="000D5832" w14:paraId="25C0E29F" w14:textId="28750301">
          <w:pPr>
            <w:pStyle w:val="TOC4"/>
            <w:tabs>
              <w:tab w:val="left" w:pos="2160"/>
              <w:tab w:val="right" w:leader="dot" w:pos="9350"/>
            </w:tabs>
            <w:rPr>
              <w:rFonts w:asciiTheme="minorHAnsi" w:hAnsiTheme="minorHAnsi" w:eastAsiaTheme="minorEastAsia" w:cstheme="minorBidi"/>
              <w:noProof/>
              <w:sz w:val="22"/>
              <w:szCs w:val="22"/>
            </w:rPr>
          </w:pPr>
          <w:hyperlink w:history="1" w:anchor="_Toc69948274">
            <w:r w:rsidRPr="00FD24A9" w:rsidR="00C054EE">
              <w:rPr>
                <w:rStyle w:val="Hyperlink"/>
                <w:noProof/>
              </w:rPr>
              <w:t>8.11.2.1.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_Toc69948274 \h </w:instrText>
            </w:r>
            <w:r w:rsidR="00C054EE">
              <w:rPr>
                <w:noProof/>
                <w:webHidden/>
              </w:rPr>
            </w:r>
            <w:r w:rsidR="00C054EE">
              <w:rPr>
                <w:noProof/>
                <w:webHidden/>
              </w:rPr>
              <w:fldChar w:fldCharType="separate"/>
            </w:r>
            <w:r w:rsidR="004C2E01">
              <w:rPr>
                <w:noProof/>
                <w:webHidden/>
              </w:rPr>
              <w:t>398</w:t>
            </w:r>
            <w:r w:rsidR="00C054EE">
              <w:rPr>
                <w:noProof/>
                <w:webHidden/>
              </w:rPr>
              <w:fldChar w:fldCharType="end"/>
            </w:r>
          </w:hyperlink>
        </w:p>
        <w:p w:rsidR="00C054EE" w:rsidRDefault="000D5832" w14:paraId="73C2B132" w14:textId="3CD36661">
          <w:pPr>
            <w:pStyle w:val="TOC4"/>
            <w:tabs>
              <w:tab w:val="left" w:pos="2160"/>
              <w:tab w:val="right" w:leader="dot" w:pos="9350"/>
            </w:tabs>
            <w:rPr>
              <w:rFonts w:asciiTheme="minorHAnsi" w:hAnsiTheme="minorHAnsi" w:eastAsiaTheme="minorEastAsia" w:cstheme="minorBidi"/>
              <w:noProof/>
              <w:sz w:val="22"/>
              <w:szCs w:val="22"/>
            </w:rPr>
          </w:pPr>
          <w:hyperlink w:history="1" w:anchor="_Toc69948275">
            <w:r w:rsidRPr="00FD24A9" w:rsidR="00C054EE">
              <w:rPr>
                <w:rStyle w:val="Hyperlink"/>
                <w:noProof/>
              </w:rPr>
              <w:t>8.11.2.2.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_Toc69948275 \h </w:instrText>
            </w:r>
            <w:r w:rsidR="00C054EE">
              <w:rPr>
                <w:noProof/>
                <w:webHidden/>
              </w:rPr>
            </w:r>
            <w:r w:rsidR="00C054EE">
              <w:rPr>
                <w:noProof/>
                <w:webHidden/>
              </w:rPr>
              <w:fldChar w:fldCharType="separate"/>
            </w:r>
            <w:r w:rsidR="004C2E01">
              <w:rPr>
                <w:noProof/>
                <w:webHidden/>
              </w:rPr>
              <w:t>398</w:t>
            </w:r>
            <w:r w:rsidR="00C054EE">
              <w:rPr>
                <w:noProof/>
                <w:webHidden/>
              </w:rPr>
              <w:fldChar w:fldCharType="end"/>
            </w:r>
          </w:hyperlink>
        </w:p>
        <w:p w:rsidR="00C054EE" w:rsidRDefault="000D5832" w14:paraId="0F14B74A" w14:textId="7245E636">
          <w:pPr>
            <w:pStyle w:val="TOC4"/>
            <w:tabs>
              <w:tab w:val="left" w:pos="2160"/>
              <w:tab w:val="right" w:leader="dot" w:pos="9350"/>
            </w:tabs>
            <w:rPr>
              <w:rFonts w:asciiTheme="minorHAnsi" w:hAnsiTheme="minorHAnsi" w:eastAsiaTheme="minorEastAsia" w:cstheme="minorBidi"/>
              <w:noProof/>
              <w:sz w:val="22"/>
              <w:szCs w:val="22"/>
            </w:rPr>
          </w:pPr>
          <w:hyperlink w:history="1" w:anchor="_Toc69948276">
            <w:r w:rsidRPr="00FD24A9" w:rsidR="00C054EE">
              <w:rPr>
                <w:rStyle w:val="Hyperlink"/>
                <w:noProof/>
              </w:rPr>
              <w:t>8.11.2.3.</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_Toc69948276 \h </w:instrText>
            </w:r>
            <w:r w:rsidR="00C054EE">
              <w:rPr>
                <w:noProof/>
                <w:webHidden/>
              </w:rPr>
            </w:r>
            <w:r w:rsidR="00C054EE">
              <w:rPr>
                <w:noProof/>
                <w:webHidden/>
              </w:rPr>
              <w:fldChar w:fldCharType="separate"/>
            </w:r>
            <w:r w:rsidR="004C2E01">
              <w:rPr>
                <w:noProof/>
                <w:webHidden/>
              </w:rPr>
              <w:t>398</w:t>
            </w:r>
            <w:r w:rsidR="00C054EE">
              <w:rPr>
                <w:noProof/>
                <w:webHidden/>
              </w:rPr>
              <w:fldChar w:fldCharType="end"/>
            </w:r>
          </w:hyperlink>
        </w:p>
        <w:p w:rsidR="00C054EE" w:rsidRDefault="000D5832" w14:paraId="28C8498E" w14:textId="00260418">
          <w:pPr>
            <w:pStyle w:val="TOC3"/>
            <w:tabs>
              <w:tab w:val="left" w:pos="1728"/>
              <w:tab w:val="right" w:leader="dot" w:pos="9350"/>
            </w:tabs>
            <w:rPr>
              <w:rFonts w:asciiTheme="minorHAnsi" w:hAnsiTheme="minorHAnsi" w:cstheme="minorBidi"/>
              <w:noProof/>
              <w:sz w:val="22"/>
              <w:szCs w:val="22"/>
            </w:rPr>
          </w:pPr>
          <w:hyperlink w:history="1" w:anchor="_Toc69948277">
            <w:r w:rsidRPr="00FD24A9" w:rsidR="00C054EE">
              <w:rPr>
                <w:rStyle w:val="Hyperlink"/>
                <w:noProof/>
              </w:rPr>
              <w:t>8.11.3.</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_Toc69948277 \h </w:instrText>
            </w:r>
            <w:r w:rsidR="00C054EE">
              <w:rPr>
                <w:noProof/>
                <w:webHidden/>
              </w:rPr>
            </w:r>
            <w:r w:rsidR="00C054EE">
              <w:rPr>
                <w:noProof/>
                <w:webHidden/>
              </w:rPr>
              <w:fldChar w:fldCharType="separate"/>
            </w:r>
            <w:r w:rsidR="004C2E01">
              <w:rPr>
                <w:noProof/>
                <w:webHidden/>
              </w:rPr>
              <w:t>399</w:t>
            </w:r>
            <w:r w:rsidR="00C054EE">
              <w:rPr>
                <w:noProof/>
                <w:webHidden/>
              </w:rPr>
              <w:fldChar w:fldCharType="end"/>
            </w:r>
          </w:hyperlink>
        </w:p>
        <w:p w:rsidR="00C054EE" w:rsidRDefault="000D5832" w14:paraId="26BAA4DA" w14:textId="044EE446">
          <w:pPr>
            <w:pStyle w:val="TOC4"/>
            <w:tabs>
              <w:tab w:val="left" w:pos="2160"/>
              <w:tab w:val="right" w:leader="dot" w:pos="9350"/>
            </w:tabs>
            <w:rPr>
              <w:rFonts w:asciiTheme="minorHAnsi" w:hAnsiTheme="minorHAnsi" w:eastAsiaTheme="minorEastAsia" w:cstheme="minorBidi"/>
              <w:noProof/>
              <w:sz w:val="22"/>
              <w:szCs w:val="22"/>
            </w:rPr>
          </w:pPr>
          <w:hyperlink w:history="1" w:anchor="_Toc69948278">
            <w:r w:rsidRPr="00FD24A9" w:rsidR="00C054EE">
              <w:rPr>
                <w:rStyle w:val="Hyperlink"/>
                <w:noProof/>
              </w:rPr>
              <w:t>8.11.3.1.</w:t>
            </w:r>
            <w:r w:rsidR="00C054EE">
              <w:rPr>
                <w:rFonts w:asciiTheme="minorHAnsi" w:hAnsiTheme="minorHAnsi" w:eastAsiaTheme="minorEastAsia" w:cstheme="minorBidi"/>
                <w:noProof/>
                <w:sz w:val="22"/>
                <w:szCs w:val="22"/>
              </w:rPr>
              <w:tab/>
            </w:r>
            <w:r w:rsidRPr="00FD24A9" w:rsidR="00C054EE">
              <w:rPr>
                <w:rStyle w:val="Hyperlink"/>
                <w:noProof/>
              </w:rPr>
              <w:t>Categorical Eligibility Study: Approved with Modifications</w:t>
            </w:r>
            <w:r w:rsidR="00C054EE">
              <w:rPr>
                <w:noProof/>
                <w:webHidden/>
              </w:rPr>
              <w:tab/>
            </w:r>
            <w:r w:rsidR="00C054EE">
              <w:rPr>
                <w:noProof/>
                <w:webHidden/>
              </w:rPr>
              <w:fldChar w:fldCharType="begin"/>
            </w:r>
            <w:r w:rsidR="00C054EE">
              <w:rPr>
                <w:noProof/>
                <w:webHidden/>
              </w:rPr>
              <w:instrText xml:space="preserve"> PAGEREF _Toc69948278 \h </w:instrText>
            </w:r>
            <w:r w:rsidR="00C054EE">
              <w:rPr>
                <w:noProof/>
                <w:webHidden/>
              </w:rPr>
            </w:r>
            <w:r w:rsidR="00C054EE">
              <w:rPr>
                <w:noProof/>
                <w:webHidden/>
              </w:rPr>
              <w:fldChar w:fldCharType="separate"/>
            </w:r>
            <w:r w:rsidR="004C2E01">
              <w:rPr>
                <w:noProof/>
                <w:webHidden/>
              </w:rPr>
              <w:t>399</w:t>
            </w:r>
            <w:r w:rsidR="00C054EE">
              <w:rPr>
                <w:noProof/>
                <w:webHidden/>
              </w:rPr>
              <w:fldChar w:fldCharType="end"/>
            </w:r>
          </w:hyperlink>
        </w:p>
        <w:p w:rsidR="00C054EE" w:rsidRDefault="000D5832" w14:paraId="615317FC" w14:textId="21EF73B6">
          <w:pPr>
            <w:pStyle w:val="TOC2"/>
            <w:tabs>
              <w:tab w:val="left" w:pos="1296"/>
              <w:tab w:val="right" w:leader="dot" w:pos="9350"/>
            </w:tabs>
            <w:rPr>
              <w:rFonts w:asciiTheme="minorHAnsi" w:hAnsiTheme="minorHAnsi" w:cstheme="minorBidi"/>
              <w:noProof/>
              <w:sz w:val="22"/>
              <w:szCs w:val="22"/>
            </w:rPr>
          </w:pPr>
          <w:hyperlink w:history="1" w:anchor="_Toc69948279">
            <w:r w:rsidRPr="00FD24A9" w:rsidR="00C054EE">
              <w:rPr>
                <w:rStyle w:val="Hyperlink"/>
                <w:noProof/>
              </w:rPr>
              <w:t>8.12.</w:t>
            </w:r>
            <w:r w:rsidR="00C054EE">
              <w:rPr>
                <w:rFonts w:asciiTheme="minorHAnsi" w:hAnsiTheme="minorHAnsi" w:cstheme="minorBidi"/>
                <w:noProof/>
                <w:sz w:val="22"/>
                <w:szCs w:val="22"/>
              </w:rPr>
              <w:tab/>
            </w:r>
            <w:r w:rsidRPr="00FD24A9" w:rsidR="00C054EE">
              <w:rPr>
                <w:rStyle w:val="Hyperlink"/>
                <w:noProof/>
              </w:rPr>
              <w:t>Non-Energy Benefits Study (NEBs)</w:t>
            </w:r>
            <w:r w:rsidR="00C054EE">
              <w:rPr>
                <w:noProof/>
                <w:webHidden/>
              </w:rPr>
              <w:tab/>
            </w:r>
            <w:r w:rsidR="00C054EE">
              <w:rPr>
                <w:noProof/>
                <w:webHidden/>
              </w:rPr>
              <w:fldChar w:fldCharType="begin"/>
            </w:r>
            <w:r w:rsidR="00C054EE">
              <w:rPr>
                <w:noProof/>
                <w:webHidden/>
              </w:rPr>
              <w:instrText xml:space="preserve"> PAGEREF _Toc69948279 \h </w:instrText>
            </w:r>
            <w:r w:rsidR="00C054EE">
              <w:rPr>
                <w:noProof/>
                <w:webHidden/>
              </w:rPr>
            </w:r>
            <w:r w:rsidR="00C054EE">
              <w:rPr>
                <w:noProof/>
                <w:webHidden/>
              </w:rPr>
              <w:fldChar w:fldCharType="separate"/>
            </w:r>
            <w:r w:rsidR="004C2E01">
              <w:rPr>
                <w:noProof/>
                <w:webHidden/>
              </w:rPr>
              <w:t>401</w:t>
            </w:r>
            <w:r w:rsidR="00C054EE">
              <w:rPr>
                <w:noProof/>
                <w:webHidden/>
              </w:rPr>
              <w:fldChar w:fldCharType="end"/>
            </w:r>
          </w:hyperlink>
        </w:p>
        <w:p w:rsidR="00C054EE" w:rsidRDefault="000D5832" w14:paraId="4BCC01C0" w14:textId="24787702">
          <w:pPr>
            <w:pStyle w:val="TOC3"/>
            <w:tabs>
              <w:tab w:val="left" w:pos="1728"/>
              <w:tab w:val="right" w:leader="dot" w:pos="9350"/>
            </w:tabs>
            <w:rPr>
              <w:rFonts w:asciiTheme="minorHAnsi" w:hAnsiTheme="minorHAnsi" w:cstheme="minorBidi"/>
              <w:noProof/>
              <w:sz w:val="22"/>
              <w:szCs w:val="22"/>
            </w:rPr>
          </w:pPr>
          <w:hyperlink w:history="1" w:anchor="_Toc69948280">
            <w:r w:rsidRPr="00FD24A9" w:rsidR="00C054EE">
              <w:rPr>
                <w:rStyle w:val="Hyperlink"/>
                <w:noProof/>
              </w:rPr>
              <w:t>8.12.1.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_Toc69948280 \h </w:instrText>
            </w:r>
            <w:r w:rsidR="00C054EE">
              <w:rPr>
                <w:noProof/>
                <w:webHidden/>
              </w:rPr>
            </w:r>
            <w:r w:rsidR="00C054EE">
              <w:rPr>
                <w:noProof/>
                <w:webHidden/>
              </w:rPr>
              <w:fldChar w:fldCharType="separate"/>
            </w:r>
            <w:r w:rsidR="004C2E01">
              <w:rPr>
                <w:noProof/>
                <w:webHidden/>
              </w:rPr>
              <w:t>401</w:t>
            </w:r>
            <w:r w:rsidR="00C054EE">
              <w:rPr>
                <w:noProof/>
                <w:webHidden/>
              </w:rPr>
              <w:fldChar w:fldCharType="end"/>
            </w:r>
          </w:hyperlink>
        </w:p>
        <w:p w:rsidR="00C054EE" w:rsidRDefault="000D5832" w14:paraId="6C6C0F78" w14:textId="3D17D3B2">
          <w:pPr>
            <w:pStyle w:val="TOC3"/>
            <w:tabs>
              <w:tab w:val="left" w:pos="1728"/>
              <w:tab w:val="right" w:leader="dot" w:pos="9350"/>
            </w:tabs>
            <w:rPr>
              <w:rFonts w:asciiTheme="minorHAnsi" w:hAnsiTheme="minorHAnsi" w:cstheme="minorBidi"/>
              <w:noProof/>
              <w:sz w:val="22"/>
              <w:szCs w:val="22"/>
            </w:rPr>
          </w:pPr>
          <w:hyperlink w:history="1" w:anchor="_Toc69948281">
            <w:r w:rsidRPr="00FD24A9" w:rsidR="00C054EE">
              <w:rPr>
                <w:rStyle w:val="Hyperlink"/>
                <w:noProof/>
              </w:rPr>
              <w:t>8.12.2.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_Toc69948281 \h </w:instrText>
            </w:r>
            <w:r w:rsidR="00C054EE">
              <w:rPr>
                <w:noProof/>
                <w:webHidden/>
              </w:rPr>
            </w:r>
            <w:r w:rsidR="00C054EE">
              <w:rPr>
                <w:noProof/>
                <w:webHidden/>
              </w:rPr>
              <w:fldChar w:fldCharType="separate"/>
            </w:r>
            <w:r w:rsidR="004C2E01">
              <w:rPr>
                <w:noProof/>
                <w:webHidden/>
              </w:rPr>
              <w:t>402</w:t>
            </w:r>
            <w:r w:rsidR="00C054EE">
              <w:rPr>
                <w:noProof/>
                <w:webHidden/>
              </w:rPr>
              <w:fldChar w:fldCharType="end"/>
            </w:r>
          </w:hyperlink>
        </w:p>
        <w:p w:rsidR="00C054EE" w:rsidRDefault="000D5832" w14:paraId="089A5DF1" w14:textId="4F745B36">
          <w:pPr>
            <w:pStyle w:val="TOC4"/>
            <w:tabs>
              <w:tab w:val="left" w:pos="2160"/>
              <w:tab w:val="right" w:leader="dot" w:pos="9350"/>
            </w:tabs>
            <w:rPr>
              <w:rFonts w:asciiTheme="minorHAnsi" w:hAnsiTheme="minorHAnsi" w:eastAsiaTheme="minorEastAsia" w:cstheme="minorBidi"/>
              <w:noProof/>
              <w:sz w:val="22"/>
              <w:szCs w:val="22"/>
            </w:rPr>
          </w:pPr>
          <w:hyperlink w:history="1" w:anchor="_Toc69948282">
            <w:r w:rsidRPr="00FD24A9" w:rsidR="00C054EE">
              <w:rPr>
                <w:rStyle w:val="Hyperlink"/>
                <w:noProof/>
              </w:rPr>
              <w:t>8.12.2.1.</w:t>
            </w:r>
            <w:r w:rsidR="00C054EE">
              <w:rPr>
                <w:rFonts w:asciiTheme="minorHAnsi" w:hAnsiTheme="minorHAnsi" w:eastAsiaTheme="minorEastAsia" w:cstheme="minorBidi"/>
                <w:noProof/>
                <w:sz w:val="22"/>
                <w:szCs w:val="22"/>
              </w:rPr>
              <w:tab/>
            </w:r>
            <w:r w:rsidRPr="00FD24A9" w:rsidR="00C054EE">
              <w:rPr>
                <w:rStyle w:val="Hyperlink"/>
                <w:noProof/>
              </w:rPr>
              <w:t>NEBs Study: Approved</w:t>
            </w:r>
            <w:r w:rsidR="00C054EE">
              <w:rPr>
                <w:noProof/>
                <w:webHidden/>
              </w:rPr>
              <w:tab/>
            </w:r>
            <w:r w:rsidR="00C054EE">
              <w:rPr>
                <w:noProof/>
                <w:webHidden/>
              </w:rPr>
              <w:fldChar w:fldCharType="begin"/>
            </w:r>
            <w:r w:rsidR="00C054EE">
              <w:rPr>
                <w:noProof/>
                <w:webHidden/>
              </w:rPr>
              <w:instrText xml:space="preserve"> PAGEREF _Toc69948282 \h </w:instrText>
            </w:r>
            <w:r w:rsidR="00C054EE">
              <w:rPr>
                <w:noProof/>
                <w:webHidden/>
              </w:rPr>
            </w:r>
            <w:r w:rsidR="00C054EE">
              <w:rPr>
                <w:noProof/>
                <w:webHidden/>
              </w:rPr>
              <w:fldChar w:fldCharType="separate"/>
            </w:r>
            <w:r w:rsidR="004C2E01">
              <w:rPr>
                <w:noProof/>
                <w:webHidden/>
              </w:rPr>
              <w:t>402</w:t>
            </w:r>
            <w:r w:rsidR="00C054EE">
              <w:rPr>
                <w:noProof/>
                <w:webHidden/>
              </w:rPr>
              <w:fldChar w:fldCharType="end"/>
            </w:r>
          </w:hyperlink>
        </w:p>
        <w:p w:rsidR="00C054EE" w:rsidRDefault="000D5832" w14:paraId="25129708" w14:textId="3BE7DBBA">
          <w:pPr>
            <w:pStyle w:val="TOC2"/>
            <w:tabs>
              <w:tab w:val="left" w:pos="1296"/>
              <w:tab w:val="right" w:leader="dot" w:pos="9350"/>
            </w:tabs>
            <w:rPr>
              <w:rFonts w:asciiTheme="minorHAnsi" w:hAnsiTheme="minorHAnsi" w:cstheme="minorBidi"/>
              <w:noProof/>
              <w:sz w:val="22"/>
              <w:szCs w:val="22"/>
            </w:rPr>
          </w:pPr>
          <w:hyperlink w:history="1" w:anchor="_Toc69948283">
            <w:r w:rsidRPr="00FD24A9" w:rsidR="00C054EE">
              <w:rPr>
                <w:rStyle w:val="Hyperlink"/>
                <w:noProof/>
              </w:rPr>
              <w:t>8.13.</w:t>
            </w:r>
            <w:r w:rsidR="00C054EE">
              <w:rPr>
                <w:rFonts w:asciiTheme="minorHAnsi" w:hAnsiTheme="minorHAnsi" w:cstheme="minorBidi"/>
                <w:noProof/>
                <w:sz w:val="22"/>
                <w:szCs w:val="22"/>
              </w:rPr>
              <w:tab/>
            </w:r>
            <w:r w:rsidRPr="00FD24A9" w:rsidR="00C054EE">
              <w:rPr>
                <w:rStyle w:val="Hyperlink"/>
                <w:noProof/>
              </w:rPr>
              <w:t>IOU Evolving Study and Data Needs</w:t>
            </w:r>
            <w:r w:rsidR="00C054EE">
              <w:rPr>
                <w:noProof/>
                <w:webHidden/>
              </w:rPr>
              <w:tab/>
            </w:r>
            <w:r w:rsidR="00C054EE">
              <w:rPr>
                <w:noProof/>
                <w:webHidden/>
              </w:rPr>
              <w:fldChar w:fldCharType="begin"/>
            </w:r>
            <w:r w:rsidR="00C054EE">
              <w:rPr>
                <w:noProof/>
                <w:webHidden/>
              </w:rPr>
              <w:instrText xml:space="preserve"> PAGEREF _Toc69948283 \h </w:instrText>
            </w:r>
            <w:r w:rsidR="00C054EE">
              <w:rPr>
                <w:noProof/>
                <w:webHidden/>
              </w:rPr>
            </w:r>
            <w:r w:rsidR="00C054EE">
              <w:rPr>
                <w:noProof/>
                <w:webHidden/>
              </w:rPr>
              <w:fldChar w:fldCharType="separate"/>
            </w:r>
            <w:r w:rsidR="004C2E01">
              <w:rPr>
                <w:noProof/>
                <w:webHidden/>
              </w:rPr>
              <w:t>402</w:t>
            </w:r>
            <w:r w:rsidR="00C054EE">
              <w:rPr>
                <w:noProof/>
                <w:webHidden/>
              </w:rPr>
              <w:fldChar w:fldCharType="end"/>
            </w:r>
          </w:hyperlink>
        </w:p>
        <w:p w:rsidR="00C054EE" w:rsidRDefault="000D5832" w14:paraId="5538D563" w14:textId="20AFE374">
          <w:pPr>
            <w:pStyle w:val="TOC3"/>
            <w:tabs>
              <w:tab w:val="left" w:pos="1728"/>
              <w:tab w:val="right" w:leader="dot" w:pos="9350"/>
            </w:tabs>
            <w:rPr>
              <w:rFonts w:asciiTheme="minorHAnsi" w:hAnsiTheme="minorHAnsi" w:cstheme="minorBidi"/>
              <w:noProof/>
              <w:sz w:val="22"/>
              <w:szCs w:val="22"/>
            </w:rPr>
          </w:pPr>
          <w:hyperlink w:history="1" w:anchor="_Toc69948284">
            <w:r w:rsidRPr="00FD24A9" w:rsidR="00C054EE">
              <w:rPr>
                <w:rStyle w:val="Hyperlink"/>
                <w:noProof/>
              </w:rPr>
              <w:t>8.13.1.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_Toc69948284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005F1BBF" w14:textId="52192A71">
          <w:pPr>
            <w:pStyle w:val="TOC3"/>
            <w:tabs>
              <w:tab w:val="left" w:pos="1728"/>
              <w:tab w:val="right" w:leader="dot" w:pos="9350"/>
            </w:tabs>
            <w:rPr>
              <w:rFonts w:asciiTheme="minorHAnsi" w:hAnsiTheme="minorHAnsi" w:cstheme="minorBidi"/>
              <w:noProof/>
              <w:sz w:val="22"/>
              <w:szCs w:val="22"/>
            </w:rPr>
          </w:pPr>
          <w:hyperlink w:history="1" w:anchor="_Toc69948285">
            <w:r w:rsidRPr="00FD24A9" w:rsidR="00C054EE">
              <w:rPr>
                <w:rStyle w:val="Hyperlink"/>
                <w:noProof/>
              </w:rPr>
              <w:t>8.13.2.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_Toc69948285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5BB82DA0" w14:textId="43E436ED">
          <w:pPr>
            <w:pStyle w:val="TOC4"/>
            <w:tabs>
              <w:tab w:val="left" w:pos="2160"/>
              <w:tab w:val="right" w:leader="dot" w:pos="9350"/>
            </w:tabs>
            <w:rPr>
              <w:rFonts w:asciiTheme="minorHAnsi" w:hAnsiTheme="minorHAnsi" w:eastAsiaTheme="minorEastAsia" w:cstheme="minorBidi"/>
              <w:noProof/>
              <w:sz w:val="22"/>
              <w:szCs w:val="22"/>
            </w:rPr>
          </w:pPr>
          <w:hyperlink w:history="1" w:anchor="_Toc69948286">
            <w:r w:rsidRPr="00FD24A9" w:rsidR="00C054EE">
              <w:rPr>
                <w:rStyle w:val="Hyperlink"/>
                <w:noProof/>
              </w:rPr>
              <w:t>8.13.2.1.</w:t>
            </w:r>
            <w:r w:rsidR="00C054EE">
              <w:rPr>
                <w:rFonts w:asciiTheme="minorHAnsi" w:hAnsiTheme="minorHAnsi" w:eastAsiaTheme="minorEastAsia" w:cstheme="minorBidi"/>
                <w:noProof/>
                <w:sz w:val="22"/>
                <w:szCs w:val="22"/>
              </w:rPr>
              <w:tab/>
            </w:r>
            <w:r w:rsidRPr="00FD24A9" w:rsidR="00C054EE">
              <w:rPr>
                <w:rStyle w:val="Hyperlink"/>
                <w:noProof/>
              </w:rPr>
              <w:t>IOU Evolving Study and Data Needs: Approved</w:t>
            </w:r>
            <w:r w:rsidR="00C054EE">
              <w:rPr>
                <w:noProof/>
                <w:webHidden/>
              </w:rPr>
              <w:tab/>
            </w:r>
            <w:r w:rsidR="00C054EE">
              <w:rPr>
                <w:noProof/>
                <w:webHidden/>
              </w:rPr>
              <w:fldChar w:fldCharType="begin"/>
            </w:r>
            <w:r w:rsidR="00C054EE">
              <w:rPr>
                <w:noProof/>
                <w:webHidden/>
              </w:rPr>
              <w:instrText xml:space="preserve"> PAGEREF _Toc69948286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43BB38A8" w14:textId="3E49701A">
          <w:pPr>
            <w:pStyle w:val="TOC2"/>
            <w:tabs>
              <w:tab w:val="left" w:pos="1296"/>
              <w:tab w:val="right" w:leader="dot" w:pos="9350"/>
            </w:tabs>
            <w:rPr>
              <w:rFonts w:asciiTheme="minorHAnsi" w:hAnsiTheme="minorHAnsi" w:cstheme="minorBidi"/>
              <w:noProof/>
              <w:sz w:val="22"/>
              <w:szCs w:val="22"/>
            </w:rPr>
          </w:pPr>
          <w:hyperlink w:history="1" w:anchor="_Toc69948287">
            <w:r w:rsidRPr="00FD24A9" w:rsidR="00C054EE">
              <w:rPr>
                <w:rStyle w:val="Hyperlink"/>
                <w:noProof/>
              </w:rPr>
              <w:t>8.14.</w:t>
            </w:r>
            <w:r w:rsidR="00C054EE">
              <w:rPr>
                <w:rFonts w:asciiTheme="minorHAnsi" w:hAnsiTheme="minorHAnsi" w:cstheme="minorBidi"/>
                <w:noProof/>
                <w:sz w:val="22"/>
                <w:szCs w:val="22"/>
              </w:rPr>
              <w:tab/>
            </w:r>
            <w:r w:rsidRPr="00FD24A9" w:rsidR="00C054EE">
              <w:rPr>
                <w:rStyle w:val="Hyperlink"/>
                <w:noProof/>
              </w:rPr>
              <w:t>SoCalGas Customer Feedback Study</w:t>
            </w:r>
            <w:r w:rsidR="00C054EE">
              <w:rPr>
                <w:noProof/>
                <w:webHidden/>
              </w:rPr>
              <w:tab/>
            </w:r>
            <w:r w:rsidR="00C054EE">
              <w:rPr>
                <w:noProof/>
                <w:webHidden/>
              </w:rPr>
              <w:fldChar w:fldCharType="begin"/>
            </w:r>
            <w:r w:rsidR="00C054EE">
              <w:rPr>
                <w:noProof/>
                <w:webHidden/>
              </w:rPr>
              <w:instrText xml:space="preserve"> PAGEREF _Toc69948287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00794B9E" w14:textId="193F7375">
          <w:pPr>
            <w:pStyle w:val="TOC3"/>
            <w:tabs>
              <w:tab w:val="left" w:pos="1728"/>
              <w:tab w:val="right" w:leader="dot" w:pos="9350"/>
            </w:tabs>
            <w:rPr>
              <w:rFonts w:asciiTheme="minorHAnsi" w:hAnsiTheme="minorHAnsi" w:cstheme="minorBidi"/>
              <w:noProof/>
              <w:sz w:val="22"/>
              <w:szCs w:val="22"/>
            </w:rPr>
          </w:pPr>
          <w:hyperlink w:history="1" w:anchor="_Toc69948288">
            <w:r w:rsidRPr="00FD24A9" w:rsidR="00C054EE">
              <w:rPr>
                <w:rStyle w:val="Hyperlink"/>
                <w:noProof/>
              </w:rPr>
              <w:t>8.14.1.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_Toc69948288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4856A3EC" w14:textId="6A602094">
          <w:pPr>
            <w:pStyle w:val="TOC3"/>
            <w:tabs>
              <w:tab w:val="left" w:pos="1728"/>
              <w:tab w:val="right" w:leader="dot" w:pos="9350"/>
            </w:tabs>
            <w:rPr>
              <w:rFonts w:asciiTheme="minorHAnsi" w:hAnsiTheme="minorHAnsi" w:cstheme="minorBidi"/>
              <w:noProof/>
              <w:sz w:val="22"/>
              <w:szCs w:val="22"/>
            </w:rPr>
          </w:pPr>
          <w:hyperlink w:history="1" w:anchor="_Toc69948289">
            <w:r w:rsidRPr="00FD24A9" w:rsidR="00C054EE">
              <w:rPr>
                <w:rStyle w:val="Hyperlink"/>
                <w:noProof/>
              </w:rPr>
              <w:t>8.14.2.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_Toc69948289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3EDB5F11" w14:textId="07A76F7C">
          <w:pPr>
            <w:pStyle w:val="TOC4"/>
            <w:tabs>
              <w:tab w:val="left" w:pos="2160"/>
              <w:tab w:val="right" w:leader="dot" w:pos="9350"/>
            </w:tabs>
            <w:rPr>
              <w:rFonts w:asciiTheme="minorHAnsi" w:hAnsiTheme="minorHAnsi" w:eastAsiaTheme="minorEastAsia" w:cstheme="minorBidi"/>
              <w:noProof/>
              <w:sz w:val="22"/>
              <w:szCs w:val="22"/>
            </w:rPr>
          </w:pPr>
          <w:hyperlink w:history="1" w:anchor="_Toc69948290">
            <w:r w:rsidRPr="00FD24A9" w:rsidR="00C054EE">
              <w:rPr>
                <w:rStyle w:val="Hyperlink"/>
                <w:noProof/>
              </w:rPr>
              <w:t>8.14.2.1.</w:t>
            </w:r>
            <w:r w:rsidR="00C054EE">
              <w:rPr>
                <w:rFonts w:asciiTheme="minorHAnsi" w:hAnsiTheme="minorHAnsi" w:eastAsiaTheme="minorEastAsia" w:cstheme="minorBidi"/>
                <w:noProof/>
                <w:sz w:val="22"/>
                <w:szCs w:val="22"/>
              </w:rPr>
              <w:tab/>
            </w:r>
            <w:r w:rsidRPr="00FD24A9" w:rsidR="00C054EE">
              <w:rPr>
                <w:rStyle w:val="Hyperlink"/>
                <w:noProof/>
              </w:rPr>
              <w:t>SoCalGas Customer Feedback Study: Approved</w:t>
            </w:r>
            <w:r w:rsidR="00C054EE">
              <w:rPr>
                <w:noProof/>
                <w:webHidden/>
              </w:rPr>
              <w:tab/>
            </w:r>
            <w:r w:rsidR="00C054EE">
              <w:rPr>
                <w:noProof/>
                <w:webHidden/>
              </w:rPr>
              <w:fldChar w:fldCharType="begin"/>
            </w:r>
            <w:r w:rsidR="00C054EE">
              <w:rPr>
                <w:noProof/>
                <w:webHidden/>
              </w:rPr>
              <w:instrText xml:space="preserve"> PAGEREF _Toc69948290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00DAD550" w14:textId="0932C564">
          <w:pPr>
            <w:pStyle w:val="TOC2"/>
            <w:tabs>
              <w:tab w:val="left" w:pos="1296"/>
              <w:tab w:val="right" w:leader="dot" w:pos="9350"/>
            </w:tabs>
            <w:rPr>
              <w:rFonts w:asciiTheme="minorHAnsi" w:hAnsiTheme="minorHAnsi" w:cstheme="minorBidi"/>
              <w:noProof/>
              <w:sz w:val="22"/>
              <w:szCs w:val="22"/>
            </w:rPr>
          </w:pPr>
          <w:hyperlink w:history="1" w:anchor="_Toc69948291">
            <w:r w:rsidRPr="00FD24A9" w:rsidR="00C054EE">
              <w:rPr>
                <w:rStyle w:val="Hyperlink"/>
                <w:noProof/>
              </w:rPr>
              <w:t>8.15.</w:t>
            </w:r>
            <w:r w:rsidR="00C054EE">
              <w:rPr>
                <w:rFonts w:asciiTheme="minorHAnsi" w:hAnsiTheme="minorHAnsi" w:cstheme="minorBidi"/>
                <w:noProof/>
                <w:sz w:val="22"/>
                <w:szCs w:val="22"/>
              </w:rPr>
              <w:tab/>
            </w:r>
            <w:r w:rsidRPr="00FD24A9" w:rsidR="00C054EE">
              <w:rPr>
                <w:rStyle w:val="Hyperlink"/>
                <w:noProof/>
              </w:rPr>
              <w:t>PEV “Outbound Call Pilot”</w:t>
            </w:r>
            <w:r w:rsidR="00C054EE">
              <w:rPr>
                <w:noProof/>
                <w:webHidden/>
              </w:rPr>
              <w:tab/>
            </w:r>
            <w:r w:rsidR="00C054EE">
              <w:rPr>
                <w:noProof/>
                <w:webHidden/>
              </w:rPr>
              <w:fldChar w:fldCharType="begin"/>
            </w:r>
            <w:r w:rsidR="00C054EE">
              <w:rPr>
                <w:noProof/>
                <w:webHidden/>
              </w:rPr>
              <w:instrText xml:space="preserve"> PAGEREF _Toc69948291 \h </w:instrText>
            </w:r>
            <w:r w:rsidR="00C054EE">
              <w:rPr>
                <w:noProof/>
                <w:webHidden/>
              </w:rPr>
            </w:r>
            <w:r w:rsidR="00C054EE">
              <w:rPr>
                <w:noProof/>
                <w:webHidden/>
              </w:rPr>
              <w:fldChar w:fldCharType="separate"/>
            </w:r>
            <w:r w:rsidR="004C2E01">
              <w:rPr>
                <w:noProof/>
                <w:webHidden/>
              </w:rPr>
              <w:t>403</w:t>
            </w:r>
            <w:r w:rsidR="00C054EE">
              <w:rPr>
                <w:noProof/>
                <w:webHidden/>
              </w:rPr>
              <w:fldChar w:fldCharType="end"/>
            </w:r>
          </w:hyperlink>
        </w:p>
        <w:p w:rsidR="00C054EE" w:rsidRDefault="000D5832" w14:paraId="66361223" w14:textId="41481C13">
          <w:pPr>
            <w:pStyle w:val="TOC2"/>
            <w:tabs>
              <w:tab w:val="left" w:pos="1296"/>
              <w:tab w:val="right" w:leader="dot" w:pos="9350"/>
            </w:tabs>
            <w:rPr>
              <w:rFonts w:asciiTheme="minorHAnsi" w:hAnsiTheme="minorHAnsi" w:cstheme="minorBidi"/>
              <w:noProof/>
              <w:sz w:val="22"/>
              <w:szCs w:val="22"/>
            </w:rPr>
          </w:pPr>
          <w:hyperlink w:history="1" w:anchor="_Toc69948292">
            <w:r w:rsidRPr="00FD24A9" w:rsidR="00C054EE">
              <w:rPr>
                <w:rStyle w:val="Hyperlink"/>
                <w:noProof/>
              </w:rPr>
              <w:t>8.16.</w:t>
            </w:r>
            <w:r w:rsidR="00C054EE">
              <w:rPr>
                <w:rFonts w:asciiTheme="minorHAnsi" w:hAnsiTheme="minorHAnsi" w:cstheme="minorBidi"/>
                <w:noProof/>
                <w:sz w:val="22"/>
                <w:szCs w:val="22"/>
              </w:rPr>
              <w:tab/>
            </w:r>
            <w:r w:rsidRPr="00FD24A9" w:rsidR="00C054EE">
              <w:rPr>
                <w:rStyle w:val="Hyperlink"/>
                <w:noProof/>
              </w:rPr>
              <w:t>PCF On Bill Financing Pilot</w:t>
            </w:r>
            <w:r w:rsidR="00C054EE">
              <w:rPr>
                <w:noProof/>
                <w:webHidden/>
              </w:rPr>
              <w:tab/>
            </w:r>
            <w:r w:rsidR="00C054EE">
              <w:rPr>
                <w:noProof/>
                <w:webHidden/>
              </w:rPr>
              <w:fldChar w:fldCharType="begin"/>
            </w:r>
            <w:r w:rsidR="00C054EE">
              <w:rPr>
                <w:noProof/>
                <w:webHidden/>
              </w:rPr>
              <w:instrText xml:space="preserve"> PAGEREF _Toc69948292 \h </w:instrText>
            </w:r>
            <w:r w:rsidR="00C054EE">
              <w:rPr>
                <w:noProof/>
                <w:webHidden/>
              </w:rPr>
            </w:r>
            <w:r w:rsidR="00C054EE">
              <w:rPr>
                <w:noProof/>
                <w:webHidden/>
              </w:rPr>
              <w:fldChar w:fldCharType="separate"/>
            </w:r>
            <w:r w:rsidR="004C2E01">
              <w:rPr>
                <w:noProof/>
                <w:webHidden/>
              </w:rPr>
              <w:t>404</w:t>
            </w:r>
            <w:r w:rsidR="00C054EE">
              <w:rPr>
                <w:noProof/>
                <w:webHidden/>
              </w:rPr>
              <w:fldChar w:fldCharType="end"/>
            </w:r>
          </w:hyperlink>
        </w:p>
        <w:p w:rsidR="00C054EE" w:rsidRDefault="000D5832" w14:paraId="4362ABC5" w14:textId="26A9EFAA">
          <w:pPr>
            <w:pStyle w:val="TOC3"/>
            <w:tabs>
              <w:tab w:val="left" w:pos="1728"/>
              <w:tab w:val="right" w:leader="dot" w:pos="9350"/>
            </w:tabs>
            <w:rPr>
              <w:rFonts w:asciiTheme="minorHAnsi" w:hAnsiTheme="minorHAnsi" w:cstheme="minorBidi"/>
              <w:noProof/>
              <w:sz w:val="22"/>
              <w:szCs w:val="22"/>
            </w:rPr>
          </w:pPr>
          <w:hyperlink w:history="1" w:anchor="_Toc69948293">
            <w:r w:rsidRPr="00FD24A9" w:rsidR="00C054EE">
              <w:rPr>
                <w:rStyle w:val="Hyperlink"/>
                <w:noProof/>
              </w:rPr>
              <w:t>8.16.1.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_Toc69948293 \h </w:instrText>
            </w:r>
            <w:r w:rsidR="00C054EE">
              <w:rPr>
                <w:noProof/>
                <w:webHidden/>
              </w:rPr>
            </w:r>
            <w:r w:rsidR="00C054EE">
              <w:rPr>
                <w:noProof/>
                <w:webHidden/>
              </w:rPr>
              <w:fldChar w:fldCharType="separate"/>
            </w:r>
            <w:r w:rsidR="004C2E01">
              <w:rPr>
                <w:noProof/>
                <w:webHidden/>
              </w:rPr>
              <w:t>404</w:t>
            </w:r>
            <w:r w:rsidR="00C054EE">
              <w:rPr>
                <w:noProof/>
                <w:webHidden/>
              </w:rPr>
              <w:fldChar w:fldCharType="end"/>
            </w:r>
          </w:hyperlink>
        </w:p>
        <w:p w:rsidR="00C054EE" w:rsidRDefault="000D5832" w14:paraId="3B648ED1" w14:textId="453F86EF">
          <w:pPr>
            <w:pStyle w:val="TOC4"/>
            <w:tabs>
              <w:tab w:val="left" w:pos="2160"/>
              <w:tab w:val="right" w:leader="dot" w:pos="9350"/>
            </w:tabs>
            <w:rPr>
              <w:rFonts w:asciiTheme="minorHAnsi" w:hAnsiTheme="minorHAnsi" w:eastAsiaTheme="minorEastAsia" w:cstheme="minorBidi"/>
              <w:noProof/>
              <w:sz w:val="22"/>
              <w:szCs w:val="22"/>
            </w:rPr>
          </w:pPr>
          <w:hyperlink w:history="1" w:anchor="_Toc69948294">
            <w:r w:rsidRPr="00FD24A9" w:rsidR="00C054EE">
              <w:rPr>
                <w:rStyle w:val="Hyperlink"/>
                <w:noProof/>
              </w:rPr>
              <w:t>8.16.1.1.</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_Toc69948294 \h </w:instrText>
            </w:r>
            <w:r w:rsidR="00C054EE">
              <w:rPr>
                <w:noProof/>
                <w:webHidden/>
              </w:rPr>
            </w:r>
            <w:r w:rsidR="00C054EE">
              <w:rPr>
                <w:noProof/>
                <w:webHidden/>
              </w:rPr>
              <w:fldChar w:fldCharType="separate"/>
            </w:r>
            <w:r w:rsidR="004C2E01">
              <w:rPr>
                <w:noProof/>
                <w:webHidden/>
              </w:rPr>
              <w:t>404</w:t>
            </w:r>
            <w:r w:rsidR="00C054EE">
              <w:rPr>
                <w:noProof/>
                <w:webHidden/>
              </w:rPr>
              <w:fldChar w:fldCharType="end"/>
            </w:r>
          </w:hyperlink>
        </w:p>
        <w:p w:rsidR="00C054EE" w:rsidRDefault="000D5832" w14:paraId="1BC7B122" w14:textId="7348CA27">
          <w:pPr>
            <w:pStyle w:val="TOC3"/>
            <w:tabs>
              <w:tab w:val="left" w:pos="1728"/>
              <w:tab w:val="right" w:leader="dot" w:pos="9350"/>
            </w:tabs>
            <w:rPr>
              <w:rFonts w:asciiTheme="minorHAnsi" w:hAnsiTheme="minorHAnsi" w:cstheme="minorBidi"/>
              <w:noProof/>
              <w:sz w:val="22"/>
              <w:szCs w:val="22"/>
            </w:rPr>
          </w:pPr>
          <w:hyperlink w:history="1" w:anchor="_Toc69948295">
            <w:r w:rsidRPr="00FD24A9" w:rsidR="00C054EE">
              <w:rPr>
                <w:rStyle w:val="Hyperlink"/>
                <w:noProof/>
              </w:rPr>
              <w:t>8.16.2.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_Toc69948295 \h </w:instrText>
            </w:r>
            <w:r w:rsidR="00C054EE">
              <w:rPr>
                <w:noProof/>
                <w:webHidden/>
              </w:rPr>
            </w:r>
            <w:r w:rsidR="00C054EE">
              <w:rPr>
                <w:noProof/>
                <w:webHidden/>
              </w:rPr>
              <w:fldChar w:fldCharType="separate"/>
            </w:r>
            <w:r w:rsidR="004C2E01">
              <w:rPr>
                <w:noProof/>
                <w:webHidden/>
              </w:rPr>
              <w:t>405</w:t>
            </w:r>
            <w:r w:rsidR="00C054EE">
              <w:rPr>
                <w:noProof/>
                <w:webHidden/>
              </w:rPr>
              <w:fldChar w:fldCharType="end"/>
            </w:r>
          </w:hyperlink>
        </w:p>
        <w:p w:rsidR="00C054EE" w:rsidRDefault="000D5832" w14:paraId="56E32A96" w14:textId="31D97C74">
          <w:pPr>
            <w:pStyle w:val="TOC4"/>
            <w:tabs>
              <w:tab w:val="left" w:pos="2160"/>
              <w:tab w:val="right" w:leader="dot" w:pos="9350"/>
            </w:tabs>
            <w:rPr>
              <w:rFonts w:asciiTheme="minorHAnsi" w:hAnsiTheme="minorHAnsi" w:eastAsiaTheme="minorEastAsia" w:cstheme="minorBidi"/>
              <w:noProof/>
              <w:sz w:val="22"/>
              <w:szCs w:val="22"/>
            </w:rPr>
          </w:pPr>
          <w:hyperlink w:history="1" w:anchor="_Toc69948296">
            <w:r w:rsidRPr="00FD24A9" w:rsidR="00C054EE">
              <w:rPr>
                <w:rStyle w:val="Hyperlink"/>
                <w:noProof/>
              </w:rPr>
              <w:t>8.16.2.1.</w:t>
            </w:r>
            <w:r w:rsidR="00C054EE">
              <w:rPr>
                <w:rFonts w:asciiTheme="minorHAnsi" w:hAnsiTheme="minorHAnsi" w:eastAsiaTheme="minorEastAsia" w:cstheme="minorBidi"/>
                <w:noProof/>
                <w:sz w:val="22"/>
                <w:szCs w:val="22"/>
              </w:rPr>
              <w:tab/>
            </w:r>
            <w:r w:rsidRPr="00FD24A9" w:rsidR="00C054EE">
              <w:rPr>
                <w:rStyle w:val="Hyperlink"/>
                <w:noProof/>
              </w:rPr>
              <w:t>PCF On Bill Financing Pilot: Denied</w:t>
            </w:r>
            <w:r w:rsidR="00C054EE">
              <w:rPr>
                <w:noProof/>
                <w:webHidden/>
              </w:rPr>
              <w:tab/>
            </w:r>
            <w:r w:rsidR="00C054EE">
              <w:rPr>
                <w:noProof/>
                <w:webHidden/>
              </w:rPr>
              <w:fldChar w:fldCharType="begin"/>
            </w:r>
            <w:r w:rsidR="00C054EE">
              <w:rPr>
                <w:noProof/>
                <w:webHidden/>
              </w:rPr>
              <w:instrText xml:space="preserve"> PAGEREF _Toc69948296 \h </w:instrText>
            </w:r>
            <w:r w:rsidR="00C054EE">
              <w:rPr>
                <w:noProof/>
                <w:webHidden/>
              </w:rPr>
            </w:r>
            <w:r w:rsidR="00C054EE">
              <w:rPr>
                <w:noProof/>
                <w:webHidden/>
              </w:rPr>
              <w:fldChar w:fldCharType="separate"/>
            </w:r>
            <w:r w:rsidR="004C2E01">
              <w:rPr>
                <w:noProof/>
                <w:webHidden/>
              </w:rPr>
              <w:t>405</w:t>
            </w:r>
            <w:r w:rsidR="00C054EE">
              <w:rPr>
                <w:noProof/>
                <w:webHidden/>
              </w:rPr>
              <w:fldChar w:fldCharType="end"/>
            </w:r>
          </w:hyperlink>
        </w:p>
        <w:p w:rsidR="00C054EE" w:rsidRDefault="000D5832" w14:paraId="63E59009" w14:textId="27DFB525">
          <w:pPr>
            <w:pStyle w:val="TOC1"/>
            <w:tabs>
              <w:tab w:val="right" w:leader="dot" w:pos="9350"/>
            </w:tabs>
            <w:rPr>
              <w:rFonts w:asciiTheme="minorHAnsi" w:hAnsiTheme="minorHAnsi" w:cstheme="minorBidi"/>
              <w:noProof/>
              <w:sz w:val="22"/>
              <w:szCs w:val="22"/>
            </w:rPr>
          </w:pPr>
          <w:hyperlink w:history="1" w:anchor="_Toc69948297">
            <w:r w:rsidRPr="00FD24A9" w:rsidR="00C054EE">
              <w:rPr>
                <w:rStyle w:val="Hyperlink"/>
                <w:noProof/>
              </w:rPr>
              <w:t>9.</w:t>
            </w:r>
            <w:r w:rsidR="00C054EE">
              <w:rPr>
                <w:rFonts w:asciiTheme="minorHAnsi" w:hAnsiTheme="minorHAnsi" w:cstheme="minorBidi"/>
                <w:noProof/>
                <w:sz w:val="22"/>
                <w:szCs w:val="22"/>
              </w:rPr>
              <w:tab/>
            </w:r>
            <w:r w:rsidRPr="00FD24A9" w:rsidR="00C054EE">
              <w:rPr>
                <w:rStyle w:val="Hyperlink"/>
                <w:noProof/>
              </w:rPr>
              <w:t>Environmental and Social Justice</w:t>
            </w:r>
            <w:r w:rsidR="00C054EE">
              <w:rPr>
                <w:noProof/>
                <w:webHidden/>
              </w:rPr>
              <w:tab/>
            </w:r>
            <w:r w:rsidR="00C054EE">
              <w:rPr>
                <w:noProof/>
                <w:webHidden/>
              </w:rPr>
              <w:fldChar w:fldCharType="begin"/>
            </w:r>
            <w:r w:rsidR="00C054EE">
              <w:rPr>
                <w:noProof/>
                <w:webHidden/>
              </w:rPr>
              <w:instrText xml:space="preserve"> PAGEREF _Toc69948297 \h </w:instrText>
            </w:r>
            <w:r w:rsidR="00C054EE">
              <w:rPr>
                <w:noProof/>
                <w:webHidden/>
              </w:rPr>
            </w:r>
            <w:r w:rsidR="00C054EE">
              <w:rPr>
                <w:noProof/>
                <w:webHidden/>
              </w:rPr>
              <w:fldChar w:fldCharType="separate"/>
            </w:r>
            <w:r w:rsidR="004C2E01">
              <w:rPr>
                <w:noProof/>
                <w:webHidden/>
              </w:rPr>
              <w:t>405</w:t>
            </w:r>
            <w:r w:rsidR="00C054EE">
              <w:rPr>
                <w:noProof/>
                <w:webHidden/>
              </w:rPr>
              <w:fldChar w:fldCharType="end"/>
            </w:r>
          </w:hyperlink>
        </w:p>
        <w:p w:rsidR="00C054EE" w:rsidRDefault="000D5832" w14:paraId="78D39769" w14:textId="2C108097">
          <w:pPr>
            <w:pStyle w:val="TOC2"/>
            <w:tabs>
              <w:tab w:val="right" w:leader="dot" w:pos="9350"/>
            </w:tabs>
            <w:rPr>
              <w:rFonts w:asciiTheme="minorHAnsi" w:hAnsiTheme="minorHAnsi" w:cstheme="minorBidi"/>
              <w:noProof/>
              <w:sz w:val="22"/>
              <w:szCs w:val="22"/>
            </w:rPr>
          </w:pPr>
          <w:hyperlink w:history="1" w:anchor="_Toc69948298">
            <w:r w:rsidRPr="00FD24A9" w:rsidR="00C054EE">
              <w:rPr>
                <w:rStyle w:val="Hyperlink"/>
                <w:noProof/>
              </w:rPr>
              <w:t>9.1.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_Toc69948298 \h </w:instrText>
            </w:r>
            <w:r w:rsidR="00C054EE">
              <w:rPr>
                <w:noProof/>
                <w:webHidden/>
              </w:rPr>
            </w:r>
            <w:r w:rsidR="00C054EE">
              <w:rPr>
                <w:noProof/>
                <w:webHidden/>
              </w:rPr>
              <w:fldChar w:fldCharType="separate"/>
            </w:r>
            <w:r w:rsidR="004C2E01">
              <w:rPr>
                <w:noProof/>
                <w:webHidden/>
              </w:rPr>
              <w:t>405</w:t>
            </w:r>
            <w:r w:rsidR="00C054EE">
              <w:rPr>
                <w:noProof/>
                <w:webHidden/>
              </w:rPr>
              <w:fldChar w:fldCharType="end"/>
            </w:r>
          </w:hyperlink>
        </w:p>
        <w:p w:rsidR="00C054EE" w:rsidRDefault="000D5832" w14:paraId="686497CB" w14:textId="02001753">
          <w:pPr>
            <w:pStyle w:val="TOC2"/>
            <w:tabs>
              <w:tab w:val="right" w:leader="dot" w:pos="9350"/>
            </w:tabs>
            <w:rPr>
              <w:rFonts w:asciiTheme="minorHAnsi" w:hAnsiTheme="minorHAnsi" w:cstheme="minorBidi"/>
              <w:noProof/>
              <w:sz w:val="22"/>
              <w:szCs w:val="22"/>
            </w:rPr>
          </w:pPr>
          <w:hyperlink w:history="1" w:anchor="_Toc69948299">
            <w:r w:rsidRPr="00FD24A9" w:rsidR="00C054EE">
              <w:rPr>
                <w:rStyle w:val="Hyperlink"/>
                <w:noProof/>
              </w:rPr>
              <w:t>9.2.</w:t>
            </w:r>
            <w:r w:rsidR="00C054EE">
              <w:rPr>
                <w:rFonts w:asciiTheme="minorHAnsi" w:hAnsiTheme="minorHAnsi" w:cstheme="minorBidi"/>
                <w:noProof/>
                <w:sz w:val="22"/>
                <w:szCs w:val="22"/>
              </w:rPr>
              <w:tab/>
            </w:r>
            <w:r w:rsidRPr="00FD24A9" w:rsidR="00C054EE">
              <w:rPr>
                <w:rStyle w:val="Hyperlink"/>
                <w:noProof/>
              </w:rPr>
              <w:t>Incorporating ESJ Goals and Efforts into CARE and ESA</w:t>
            </w:r>
            <w:r w:rsidR="00C054EE">
              <w:rPr>
                <w:noProof/>
                <w:webHidden/>
              </w:rPr>
              <w:tab/>
            </w:r>
            <w:r w:rsidR="00C054EE">
              <w:rPr>
                <w:noProof/>
                <w:webHidden/>
              </w:rPr>
              <w:fldChar w:fldCharType="begin"/>
            </w:r>
            <w:r w:rsidR="00C054EE">
              <w:rPr>
                <w:noProof/>
                <w:webHidden/>
              </w:rPr>
              <w:instrText xml:space="preserve"> PAGEREF _Toc69948299 \h </w:instrText>
            </w:r>
            <w:r w:rsidR="00C054EE">
              <w:rPr>
                <w:noProof/>
                <w:webHidden/>
              </w:rPr>
            </w:r>
            <w:r w:rsidR="00C054EE">
              <w:rPr>
                <w:noProof/>
                <w:webHidden/>
              </w:rPr>
              <w:fldChar w:fldCharType="separate"/>
            </w:r>
            <w:r w:rsidR="004C2E01">
              <w:rPr>
                <w:noProof/>
                <w:webHidden/>
              </w:rPr>
              <w:t>407</w:t>
            </w:r>
            <w:r w:rsidR="00C054EE">
              <w:rPr>
                <w:noProof/>
                <w:webHidden/>
              </w:rPr>
              <w:fldChar w:fldCharType="end"/>
            </w:r>
          </w:hyperlink>
        </w:p>
        <w:p w:rsidR="00C054EE" w:rsidRDefault="000D5832" w14:paraId="7620424D" w14:textId="794F4620">
          <w:pPr>
            <w:pStyle w:val="TOC1"/>
            <w:tabs>
              <w:tab w:val="right" w:leader="dot" w:pos="9350"/>
            </w:tabs>
            <w:rPr>
              <w:rFonts w:asciiTheme="minorHAnsi" w:hAnsiTheme="minorHAnsi" w:cstheme="minorBidi"/>
              <w:noProof/>
              <w:sz w:val="22"/>
              <w:szCs w:val="22"/>
            </w:rPr>
          </w:pPr>
          <w:hyperlink w:history="1" w:anchor="_Toc69948300">
            <w:r w:rsidRPr="00FD24A9" w:rsidR="00C054EE">
              <w:rPr>
                <w:rStyle w:val="Hyperlink"/>
                <w:noProof/>
              </w:rPr>
              <w:t>10.</w:t>
            </w:r>
            <w:r w:rsidR="00C054EE">
              <w:rPr>
                <w:rFonts w:asciiTheme="minorHAnsi" w:hAnsiTheme="minorHAnsi" w:cstheme="minorBidi"/>
                <w:noProof/>
                <w:sz w:val="22"/>
                <w:szCs w:val="22"/>
              </w:rPr>
              <w:tab/>
            </w:r>
            <w:r w:rsidRPr="00FD24A9" w:rsidR="00C054EE">
              <w:rPr>
                <w:rStyle w:val="Hyperlink"/>
                <w:noProof/>
              </w:rPr>
              <w:t>Miscellaneous Issues</w:t>
            </w:r>
            <w:r w:rsidR="00C054EE">
              <w:rPr>
                <w:noProof/>
                <w:webHidden/>
              </w:rPr>
              <w:tab/>
            </w:r>
            <w:r w:rsidR="00C054EE">
              <w:rPr>
                <w:noProof/>
                <w:webHidden/>
              </w:rPr>
              <w:fldChar w:fldCharType="begin"/>
            </w:r>
            <w:r w:rsidR="00C054EE">
              <w:rPr>
                <w:noProof/>
                <w:webHidden/>
              </w:rPr>
              <w:instrText xml:space="preserve"> PAGEREF _Toc69948300 \h </w:instrText>
            </w:r>
            <w:r w:rsidR="00C054EE">
              <w:rPr>
                <w:noProof/>
                <w:webHidden/>
              </w:rPr>
            </w:r>
            <w:r w:rsidR="00C054EE">
              <w:rPr>
                <w:noProof/>
                <w:webHidden/>
              </w:rPr>
              <w:fldChar w:fldCharType="separate"/>
            </w:r>
            <w:r w:rsidR="004C2E01">
              <w:rPr>
                <w:noProof/>
                <w:webHidden/>
              </w:rPr>
              <w:t>409</w:t>
            </w:r>
            <w:r w:rsidR="00C054EE">
              <w:rPr>
                <w:noProof/>
                <w:webHidden/>
              </w:rPr>
              <w:fldChar w:fldCharType="end"/>
            </w:r>
          </w:hyperlink>
        </w:p>
        <w:p w:rsidR="00C054EE" w:rsidRDefault="000D5832" w14:paraId="4E9C71F8" w14:textId="15C81F25">
          <w:pPr>
            <w:pStyle w:val="TOC2"/>
            <w:tabs>
              <w:tab w:val="left" w:pos="1296"/>
              <w:tab w:val="right" w:leader="dot" w:pos="9350"/>
            </w:tabs>
            <w:rPr>
              <w:rFonts w:asciiTheme="minorHAnsi" w:hAnsiTheme="minorHAnsi" w:cstheme="minorBidi"/>
              <w:noProof/>
              <w:sz w:val="22"/>
              <w:szCs w:val="22"/>
            </w:rPr>
          </w:pPr>
          <w:hyperlink w:history="1" w:anchor="_Toc69948301">
            <w:r w:rsidRPr="00FD24A9" w:rsidR="00C054EE">
              <w:rPr>
                <w:rStyle w:val="Hyperlink"/>
                <w:noProof/>
              </w:rPr>
              <w:t>10.1.</w:t>
            </w:r>
            <w:r w:rsidR="00C054EE">
              <w:rPr>
                <w:rFonts w:asciiTheme="minorHAnsi" w:hAnsiTheme="minorHAnsi" w:cstheme="minorBidi"/>
                <w:noProof/>
                <w:sz w:val="22"/>
                <w:szCs w:val="22"/>
              </w:rPr>
              <w:tab/>
            </w:r>
            <w:r w:rsidRPr="00FD24A9" w:rsidR="00C054EE">
              <w:rPr>
                <w:rStyle w:val="Hyperlink"/>
                <w:noProof/>
              </w:rPr>
              <w:t>ESA/CARE Study Working Group</w:t>
            </w:r>
            <w:r w:rsidR="00C054EE">
              <w:rPr>
                <w:noProof/>
                <w:webHidden/>
              </w:rPr>
              <w:tab/>
            </w:r>
            <w:r w:rsidR="00C054EE">
              <w:rPr>
                <w:noProof/>
                <w:webHidden/>
              </w:rPr>
              <w:fldChar w:fldCharType="begin"/>
            </w:r>
            <w:r w:rsidR="00C054EE">
              <w:rPr>
                <w:noProof/>
                <w:webHidden/>
              </w:rPr>
              <w:instrText xml:space="preserve"> PAGEREF _Toc69948301 \h </w:instrText>
            </w:r>
            <w:r w:rsidR="00C054EE">
              <w:rPr>
                <w:noProof/>
                <w:webHidden/>
              </w:rPr>
            </w:r>
            <w:r w:rsidR="00C054EE">
              <w:rPr>
                <w:noProof/>
                <w:webHidden/>
              </w:rPr>
              <w:fldChar w:fldCharType="separate"/>
            </w:r>
            <w:r w:rsidR="004C2E01">
              <w:rPr>
                <w:noProof/>
                <w:webHidden/>
              </w:rPr>
              <w:t>409</w:t>
            </w:r>
            <w:r w:rsidR="00C054EE">
              <w:rPr>
                <w:noProof/>
                <w:webHidden/>
              </w:rPr>
              <w:fldChar w:fldCharType="end"/>
            </w:r>
          </w:hyperlink>
        </w:p>
        <w:p w:rsidR="00C054EE" w:rsidRDefault="000D5832" w14:paraId="62CD0372" w14:textId="234F4048">
          <w:pPr>
            <w:pStyle w:val="TOC3"/>
            <w:tabs>
              <w:tab w:val="left" w:pos="1728"/>
              <w:tab w:val="right" w:leader="dot" w:pos="9350"/>
            </w:tabs>
            <w:rPr>
              <w:rFonts w:asciiTheme="minorHAnsi" w:hAnsiTheme="minorHAnsi" w:cstheme="minorBidi"/>
              <w:noProof/>
              <w:sz w:val="22"/>
              <w:szCs w:val="22"/>
            </w:rPr>
          </w:pPr>
          <w:hyperlink w:history="1" w:anchor="_Toc69948302">
            <w:r w:rsidRPr="00FD24A9" w:rsidR="00C054EE">
              <w:rPr>
                <w:rStyle w:val="Hyperlink"/>
                <w:noProof/>
              </w:rPr>
              <w:t>10.1.1.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_Toc69948302 \h </w:instrText>
            </w:r>
            <w:r w:rsidR="00C054EE">
              <w:rPr>
                <w:noProof/>
                <w:webHidden/>
              </w:rPr>
            </w:r>
            <w:r w:rsidR="00C054EE">
              <w:rPr>
                <w:noProof/>
                <w:webHidden/>
              </w:rPr>
              <w:fldChar w:fldCharType="separate"/>
            </w:r>
            <w:r w:rsidR="004C2E01">
              <w:rPr>
                <w:noProof/>
                <w:webHidden/>
              </w:rPr>
              <w:t>410</w:t>
            </w:r>
            <w:r w:rsidR="00C054EE">
              <w:rPr>
                <w:noProof/>
                <w:webHidden/>
              </w:rPr>
              <w:fldChar w:fldCharType="end"/>
            </w:r>
          </w:hyperlink>
        </w:p>
        <w:p w:rsidR="00C054EE" w:rsidRDefault="000D5832" w14:paraId="6E0A09C6" w14:textId="6E46D865">
          <w:pPr>
            <w:pStyle w:val="TOC3"/>
            <w:tabs>
              <w:tab w:val="left" w:pos="1728"/>
              <w:tab w:val="right" w:leader="dot" w:pos="9350"/>
            </w:tabs>
            <w:rPr>
              <w:rFonts w:asciiTheme="minorHAnsi" w:hAnsiTheme="minorHAnsi" w:cstheme="minorBidi"/>
              <w:noProof/>
              <w:sz w:val="22"/>
              <w:szCs w:val="22"/>
            </w:rPr>
          </w:pPr>
          <w:hyperlink w:history="1" w:anchor="_Toc69948303">
            <w:r w:rsidRPr="00FD24A9" w:rsidR="00C054EE">
              <w:rPr>
                <w:rStyle w:val="Hyperlink"/>
                <w:noProof/>
              </w:rPr>
              <w:t>10.1.2.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_Toc69948303 \h </w:instrText>
            </w:r>
            <w:r w:rsidR="00C054EE">
              <w:rPr>
                <w:noProof/>
                <w:webHidden/>
              </w:rPr>
            </w:r>
            <w:r w:rsidR="00C054EE">
              <w:rPr>
                <w:noProof/>
                <w:webHidden/>
              </w:rPr>
              <w:fldChar w:fldCharType="separate"/>
            </w:r>
            <w:r w:rsidR="004C2E01">
              <w:rPr>
                <w:noProof/>
                <w:webHidden/>
              </w:rPr>
              <w:t>410</w:t>
            </w:r>
            <w:r w:rsidR="00C054EE">
              <w:rPr>
                <w:noProof/>
                <w:webHidden/>
              </w:rPr>
              <w:fldChar w:fldCharType="end"/>
            </w:r>
          </w:hyperlink>
        </w:p>
        <w:p w:rsidR="00C054EE" w:rsidRDefault="000D5832" w14:paraId="1225D736" w14:textId="2B8E2052">
          <w:pPr>
            <w:pStyle w:val="TOC4"/>
            <w:tabs>
              <w:tab w:val="left" w:pos="2160"/>
              <w:tab w:val="right" w:leader="dot" w:pos="9350"/>
            </w:tabs>
            <w:rPr>
              <w:rFonts w:asciiTheme="minorHAnsi" w:hAnsiTheme="minorHAnsi" w:eastAsiaTheme="minorEastAsia" w:cstheme="minorBidi"/>
              <w:noProof/>
              <w:sz w:val="22"/>
              <w:szCs w:val="22"/>
            </w:rPr>
          </w:pPr>
          <w:hyperlink w:history="1" w:anchor="_Toc69948304">
            <w:r w:rsidRPr="00FD24A9" w:rsidR="00C054EE">
              <w:rPr>
                <w:rStyle w:val="Hyperlink"/>
                <w:noProof/>
              </w:rPr>
              <w:t>10.1.2.1.</w:t>
            </w:r>
            <w:r w:rsidR="00C054EE">
              <w:rPr>
                <w:rFonts w:asciiTheme="minorHAnsi" w:hAnsiTheme="minorHAnsi" w:eastAsiaTheme="minorEastAsia" w:cstheme="minorBidi"/>
                <w:noProof/>
                <w:sz w:val="22"/>
                <w:szCs w:val="22"/>
              </w:rPr>
              <w:tab/>
            </w:r>
            <w:r w:rsidRPr="00FD24A9" w:rsidR="00C054EE">
              <w:rPr>
                <w:rStyle w:val="Hyperlink"/>
                <w:noProof/>
              </w:rPr>
              <w:t>ESA/CARE Study Working Group: Approved with Modifications</w:t>
            </w:r>
            <w:r w:rsidR="00C054EE">
              <w:rPr>
                <w:noProof/>
                <w:webHidden/>
              </w:rPr>
              <w:tab/>
            </w:r>
            <w:r w:rsidR="00C054EE">
              <w:rPr>
                <w:noProof/>
                <w:webHidden/>
              </w:rPr>
              <w:fldChar w:fldCharType="begin"/>
            </w:r>
            <w:r w:rsidR="00C054EE">
              <w:rPr>
                <w:noProof/>
                <w:webHidden/>
              </w:rPr>
              <w:instrText xml:space="preserve"> PAGEREF _Toc69948304 \h </w:instrText>
            </w:r>
            <w:r w:rsidR="00C054EE">
              <w:rPr>
                <w:noProof/>
                <w:webHidden/>
              </w:rPr>
            </w:r>
            <w:r w:rsidR="00C054EE">
              <w:rPr>
                <w:noProof/>
                <w:webHidden/>
              </w:rPr>
              <w:fldChar w:fldCharType="separate"/>
            </w:r>
            <w:r w:rsidR="004C2E01">
              <w:rPr>
                <w:noProof/>
                <w:webHidden/>
              </w:rPr>
              <w:t>410</w:t>
            </w:r>
            <w:r w:rsidR="00C054EE">
              <w:rPr>
                <w:noProof/>
                <w:webHidden/>
              </w:rPr>
              <w:fldChar w:fldCharType="end"/>
            </w:r>
          </w:hyperlink>
        </w:p>
        <w:p w:rsidR="00C054EE" w:rsidRDefault="000D5832" w14:paraId="50BDE3D8" w14:textId="2C85021F">
          <w:pPr>
            <w:pStyle w:val="TOC2"/>
            <w:tabs>
              <w:tab w:val="left" w:pos="1296"/>
              <w:tab w:val="right" w:leader="dot" w:pos="9350"/>
            </w:tabs>
            <w:rPr>
              <w:rFonts w:asciiTheme="minorHAnsi" w:hAnsiTheme="minorHAnsi" w:cstheme="minorBidi"/>
              <w:noProof/>
              <w:sz w:val="22"/>
              <w:szCs w:val="22"/>
            </w:rPr>
          </w:pPr>
          <w:hyperlink w:history="1" w:anchor="_Toc69948305">
            <w:r w:rsidRPr="00FD24A9" w:rsidR="00C054EE">
              <w:rPr>
                <w:rStyle w:val="Hyperlink"/>
                <w:noProof/>
              </w:rPr>
              <w:t>10.2.</w:t>
            </w:r>
            <w:r w:rsidR="00C054EE">
              <w:rPr>
                <w:rFonts w:asciiTheme="minorHAnsi" w:hAnsiTheme="minorHAnsi" w:cstheme="minorBidi"/>
                <w:noProof/>
                <w:sz w:val="22"/>
                <w:szCs w:val="22"/>
              </w:rPr>
              <w:tab/>
            </w:r>
            <w:r w:rsidRPr="00FD24A9" w:rsidR="00C054EE">
              <w:rPr>
                <w:rStyle w:val="Hyperlink"/>
                <w:noProof/>
              </w:rPr>
              <w:t>ESA Program Working Group</w:t>
            </w:r>
            <w:r w:rsidR="00C054EE">
              <w:rPr>
                <w:noProof/>
                <w:webHidden/>
              </w:rPr>
              <w:tab/>
            </w:r>
            <w:r w:rsidR="00C054EE">
              <w:rPr>
                <w:noProof/>
                <w:webHidden/>
              </w:rPr>
              <w:fldChar w:fldCharType="begin"/>
            </w:r>
            <w:r w:rsidR="00C054EE">
              <w:rPr>
                <w:noProof/>
                <w:webHidden/>
              </w:rPr>
              <w:instrText xml:space="preserve"> PAGEREF _Toc69948305 \h </w:instrText>
            </w:r>
            <w:r w:rsidR="00C054EE">
              <w:rPr>
                <w:noProof/>
                <w:webHidden/>
              </w:rPr>
            </w:r>
            <w:r w:rsidR="00C054EE">
              <w:rPr>
                <w:noProof/>
                <w:webHidden/>
              </w:rPr>
              <w:fldChar w:fldCharType="separate"/>
            </w:r>
            <w:r w:rsidR="004C2E01">
              <w:rPr>
                <w:noProof/>
                <w:webHidden/>
              </w:rPr>
              <w:t>412</w:t>
            </w:r>
            <w:r w:rsidR="00C054EE">
              <w:rPr>
                <w:noProof/>
                <w:webHidden/>
              </w:rPr>
              <w:fldChar w:fldCharType="end"/>
            </w:r>
          </w:hyperlink>
        </w:p>
        <w:p w:rsidR="00C054EE" w:rsidRDefault="000D5832" w14:paraId="1FDABC46" w14:textId="2C935E9D">
          <w:pPr>
            <w:pStyle w:val="TOC3"/>
            <w:tabs>
              <w:tab w:val="left" w:pos="1728"/>
              <w:tab w:val="right" w:leader="dot" w:pos="9350"/>
            </w:tabs>
            <w:rPr>
              <w:rFonts w:asciiTheme="minorHAnsi" w:hAnsiTheme="minorHAnsi" w:cstheme="minorBidi"/>
              <w:noProof/>
              <w:sz w:val="22"/>
              <w:szCs w:val="22"/>
            </w:rPr>
          </w:pPr>
          <w:hyperlink w:history="1" w:anchor="_Toc69948306">
            <w:r w:rsidRPr="00FD24A9" w:rsidR="00C054EE">
              <w:rPr>
                <w:rStyle w:val="Hyperlink"/>
                <w:noProof/>
              </w:rPr>
              <w:t>10.2.1.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_Toc69948306 \h </w:instrText>
            </w:r>
            <w:r w:rsidR="00C054EE">
              <w:rPr>
                <w:noProof/>
                <w:webHidden/>
              </w:rPr>
            </w:r>
            <w:r w:rsidR="00C054EE">
              <w:rPr>
                <w:noProof/>
                <w:webHidden/>
              </w:rPr>
              <w:fldChar w:fldCharType="separate"/>
            </w:r>
            <w:r w:rsidR="004C2E01">
              <w:rPr>
                <w:noProof/>
                <w:webHidden/>
              </w:rPr>
              <w:t>412</w:t>
            </w:r>
            <w:r w:rsidR="00C054EE">
              <w:rPr>
                <w:noProof/>
                <w:webHidden/>
              </w:rPr>
              <w:fldChar w:fldCharType="end"/>
            </w:r>
          </w:hyperlink>
        </w:p>
        <w:p w:rsidR="00C054EE" w:rsidRDefault="000D5832" w14:paraId="25758500" w14:textId="4802DC1D">
          <w:pPr>
            <w:pStyle w:val="TOC3"/>
            <w:tabs>
              <w:tab w:val="left" w:pos="1728"/>
              <w:tab w:val="right" w:leader="dot" w:pos="9350"/>
            </w:tabs>
            <w:rPr>
              <w:rFonts w:asciiTheme="minorHAnsi" w:hAnsiTheme="minorHAnsi" w:cstheme="minorBidi"/>
              <w:noProof/>
              <w:sz w:val="22"/>
              <w:szCs w:val="22"/>
            </w:rPr>
          </w:pPr>
          <w:hyperlink w:history="1" w:anchor="_Toc69948307">
            <w:r w:rsidRPr="00FD24A9" w:rsidR="00C054EE">
              <w:rPr>
                <w:rStyle w:val="Hyperlink"/>
                <w:noProof/>
              </w:rPr>
              <w:t>10.2.2.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_Toc69948307 \h </w:instrText>
            </w:r>
            <w:r w:rsidR="00C054EE">
              <w:rPr>
                <w:noProof/>
                <w:webHidden/>
              </w:rPr>
            </w:r>
            <w:r w:rsidR="00C054EE">
              <w:rPr>
                <w:noProof/>
                <w:webHidden/>
              </w:rPr>
              <w:fldChar w:fldCharType="separate"/>
            </w:r>
            <w:r w:rsidR="004C2E01">
              <w:rPr>
                <w:noProof/>
                <w:webHidden/>
              </w:rPr>
              <w:t>413</w:t>
            </w:r>
            <w:r w:rsidR="00C054EE">
              <w:rPr>
                <w:noProof/>
                <w:webHidden/>
              </w:rPr>
              <w:fldChar w:fldCharType="end"/>
            </w:r>
          </w:hyperlink>
        </w:p>
        <w:p w:rsidR="00C054EE" w:rsidRDefault="000D5832" w14:paraId="287C13FD" w14:textId="470F8A74">
          <w:pPr>
            <w:pStyle w:val="TOC4"/>
            <w:tabs>
              <w:tab w:val="left" w:pos="2160"/>
              <w:tab w:val="right" w:leader="dot" w:pos="9350"/>
            </w:tabs>
            <w:rPr>
              <w:rFonts w:asciiTheme="minorHAnsi" w:hAnsiTheme="minorHAnsi" w:eastAsiaTheme="minorEastAsia" w:cstheme="minorBidi"/>
              <w:noProof/>
              <w:sz w:val="22"/>
              <w:szCs w:val="22"/>
            </w:rPr>
          </w:pPr>
          <w:hyperlink w:history="1" w:anchor="_Toc69948308">
            <w:r w:rsidRPr="00FD24A9" w:rsidR="00C054EE">
              <w:rPr>
                <w:rStyle w:val="Hyperlink"/>
                <w:noProof/>
              </w:rPr>
              <w:t>10.2.2.1.</w:t>
            </w:r>
            <w:r w:rsidR="00C054EE">
              <w:rPr>
                <w:rFonts w:asciiTheme="minorHAnsi" w:hAnsiTheme="minorHAnsi" w:eastAsiaTheme="minorEastAsia" w:cstheme="minorBidi"/>
                <w:noProof/>
                <w:sz w:val="22"/>
                <w:szCs w:val="22"/>
              </w:rPr>
              <w:tab/>
            </w:r>
            <w:r w:rsidRPr="00FD24A9" w:rsidR="00C054EE">
              <w:rPr>
                <w:rStyle w:val="Hyperlink"/>
                <w:noProof/>
              </w:rPr>
              <w:t>ESA Program Working Group: Approved with Modifications</w:t>
            </w:r>
            <w:r w:rsidR="00C054EE">
              <w:rPr>
                <w:noProof/>
                <w:webHidden/>
              </w:rPr>
              <w:tab/>
            </w:r>
            <w:r w:rsidR="00C054EE">
              <w:rPr>
                <w:noProof/>
                <w:webHidden/>
              </w:rPr>
              <w:fldChar w:fldCharType="begin"/>
            </w:r>
            <w:r w:rsidR="00C054EE">
              <w:rPr>
                <w:noProof/>
                <w:webHidden/>
              </w:rPr>
              <w:instrText xml:space="preserve"> PAGEREF _Toc69948308 \h </w:instrText>
            </w:r>
            <w:r w:rsidR="00C054EE">
              <w:rPr>
                <w:noProof/>
                <w:webHidden/>
              </w:rPr>
            </w:r>
            <w:r w:rsidR="00C054EE">
              <w:rPr>
                <w:noProof/>
                <w:webHidden/>
              </w:rPr>
              <w:fldChar w:fldCharType="separate"/>
            </w:r>
            <w:r w:rsidR="004C2E01">
              <w:rPr>
                <w:noProof/>
                <w:webHidden/>
              </w:rPr>
              <w:t>413</w:t>
            </w:r>
            <w:r w:rsidR="00C054EE">
              <w:rPr>
                <w:noProof/>
                <w:webHidden/>
              </w:rPr>
              <w:fldChar w:fldCharType="end"/>
            </w:r>
          </w:hyperlink>
        </w:p>
        <w:p w:rsidR="00C054EE" w:rsidRDefault="000D5832" w14:paraId="3B179339" w14:textId="2D2D4A89">
          <w:pPr>
            <w:pStyle w:val="TOC2"/>
            <w:tabs>
              <w:tab w:val="left" w:pos="1296"/>
              <w:tab w:val="right" w:leader="dot" w:pos="9350"/>
            </w:tabs>
            <w:rPr>
              <w:rFonts w:asciiTheme="minorHAnsi" w:hAnsiTheme="minorHAnsi" w:cstheme="minorBidi"/>
              <w:noProof/>
              <w:sz w:val="22"/>
              <w:szCs w:val="22"/>
            </w:rPr>
          </w:pPr>
          <w:hyperlink w:history="1" w:anchor="_Toc69948309">
            <w:r w:rsidRPr="00FD24A9" w:rsidR="00C054EE">
              <w:rPr>
                <w:rStyle w:val="Hyperlink"/>
                <w:noProof/>
              </w:rPr>
              <w:t>10.3.</w:t>
            </w:r>
            <w:r w:rsidR="00C054EE">
              <w:rPr>
                <w:rFonts w:asciiTheme="minorHAnsi" w:hAnsiTheme="minorHAnsi" w:cstheme="minorBidi"/>
                <w:noProof/>
                <w:sz w:val="22"/>
                <w:szCs w:val="22"/>
              </w:rPr>
              <w:tab/>
            </w:r>
            <w:r w:rsidRPr="00FD24A9" w:rsidR="00C054EE">
              <w:rPr>
                <w:rStyle w:val="Hyperlink"/>
                <w:noProof/>
              </w:rPr>
              <w:t>Mid Cycle Issues, Advice Letters, Monthly/Annual Reports</w:t>
            </w:r>
            <w:r w:rsidR="00C054EE">
              <w:rPr>
                <w:noProof/>
                <w:webHidden/>
              </w:rPr>
              <w:tab/>
            </w:r>
            <w:r w:rsidR="00C054EE">
              <w:rPr>
                <w:noProof/>
                <w:webHidden/>
              </w:rPr>
              <w:fldChar w:fldCharType="begin"/>
            </w:r>
            <w:r w:rsidR="00C054EE">
              <w:rPr>
                <w:noProof/>
                <w:webHidden/>
              </w:rPr>
              <w:instrText xml:space="preserve"> PAGEREF _Toc69948309 \h </w:instrText>
            </w:r>
            <w:r w:rsidR="00C054EE">
              <w:rPr>
                <w:noProof/>
                <w:webHidden/>
              </w:rPr>
            </w:r>
            <w:r w:rsidR="00C054EE">
              <w:rPr>
                <w:noProof/>
                <w:webHidden/>
              </w:rPr>
              <w:fldChar w:fldCharType="separate"/>
            </w:r>
            <w:r w:rsidR="004C2E01">
              <w:rPr>
                <w:noProof/>
                <w:webHidden/>
              </w:rPr>
              <w:t>415</w:t>
            </w:r>
            <w:r w:rsidR="00C054EE">
              <w:rPr>
                <w:noProof/>
                <w:webHidden/>
              </w:rPr>
              <w:fldChar w:fldCharType="end"/>
            </w:r>
          </w:hyperlink>
        </w:p>
        <w:p w:rsidR="00C054EE" w:rsidRDefault="000D5832" w14:paraId="1277C209" w14:textId="086B6E64">
          <w:pPr>
            <w:pStyle w:val="TOC3"/>
            <w:tabs>
              <w:tab w:val="left" w:pos="1728"/>
              <w:tab w:val="right" w:leader="dot" w:pos="9350"/>
            </w:tabs>
            <w:rPr>
              <w:rFonts w:asciiTheme="minorHAnsi" w:hAnsiTheme="minorHAnsi" w:cstheme="minorBidi"/>
              <w:noProof/>
              <w:sz w:val="22"/>
              <w:szCs w:val="22"/>
            </w:rPr>
          </w:pPr>
          <w:hyperlink w:history="1" w:anchor="_Toc69948310">
            <w:r w:rsidRPr="00FD24A9" w:rsidR="00C054EE">
              <w:rPr>
                <w:rStyle w:val="Hyperlink"/>
                <w:noProof/>
              </w:rPr>
              <w:t>10.3.1.</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_Toc69948310 \h </w:instrText>
            </w:r>
            <w:r w:rsidR="00C054EE">
              <w:rPr>
                <w:noProof/>
                <w:webHidden/>
              </w:rPr>
            </w:r>
            <w:r w:rsidR="00C054EE">
              <w:rPr>
                <w:noProof/>
                <w:webHidden/>
              </w:rPr>
              <w:fldChar w:fldCharType="separate"/>
            </w:r>
            <w:r w:rsidR="004C2E01">
              <w:rPr>
                <w:noProof/>
                <w:webHidden/>
              </w:rPr>
              <w:t>415</w:t>
            </w:r>
            <w:r w:rsidR="00C054EE">
              <w:rPr>
                <w:noProof/>
                <w:webHidden/>
              </w:rPr>
              <w:fldChar w:fldCharType="end"/>
            </w:r>
          </w:hyperlink>
        </w:p>
        <w:p w:rsidR="00C054EE" w:rsidRDefault="000D5832" w14:paraId="175B7BF5" w14:textId="0FC935BE">
          <w:pPr>
            <w:pStyle w:val="TOC3"/>
            <w:tabs>
              <w:tab w:val="left" w:pos="1728"/>
              <w:tab w:val="right" w:leader="dot" w:pos="9350"/>
            </w:tabs>
            <w:rPr>
              <w:rFonts w:asciiTheme="minorHAnsi" w:hAnsiTheme="minorHAnsi" w:cstheme="minorBidi"/>
              <w:noProof/>
              <w:sz w:val="22"/>
              <w:szCs w:val="22"/>
            </w:rPr>
          </w:pPr>
          <w:hyperlink w:history="1" w:anchor="_Toc69948311">
            <w:r w:rsidRPr="00FD24A9" w:rsidR="00C054EE">
              <w:rPr>
                <w:rStyle w:val="Hyperlink"/>
                <w:noProof/>
              </w:rPr>
              <w:t>10.3.2.</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_Toc69948311 \h </w:instrText>
            </w:r>
            <w:r w:rsidR="00C054EE">
              <w:rPr>
                <w:noProof/>
                <w:webHidden/>
              </w:rPr>
            </w:r>
            <w:r w:rsidR="00C054EE">
              <w:rPr>
                <w:noProof/>
                <w:webHidden/>
              </w:rPr>
              <w:fldChar w:fldCharType="separate"/>
            </w:r>
            <w:r w:rsidR="004C2E01">
              <w:rPr>
                <w:noProof/>
                <w:webHidden/>
              </w:rPr>
              <w:t>416</w:t>
            </w:r>
            <w:r w:rsidR="00C054EE">
              <w:rPr>
                <w:noProof/>
                <w:webHidden/>
              </w:rPr>
              <w:fldChar w:fldCharType="end"/>
            </w:r>
          </w:hyperlink>
        </w:p>
        <w:p w:rsidR="00C054EE" w:rsidRDefault="000D5832" w14:paraId="2BAF31AF" w14:textId="12F1EB14">
          <w:pPr>
            <w:pStyle w:val="TOC3"/>
            <w:tabs>
              <w:tab w:val="left" w:pos="1728"/>
              <w:tab w:val="right" w:leader="dot" w:pos="9350"/>
            </w:tabs>
            <w:rPr>
              <w:rFonts w:asciiTheme="minorHAnsi" w:hAnsiTheme="minorHAnsi" w:cstheme="minorBidi"/>
              <w:noProof/>
              <w:sz w:val="22"/>
              <w:szCs w:val="22"/>
            </w:rPr>
          </w:pPr>
          <w:hyperlink w:history="1" w:anchor="_Toc69948312">
            <w:r w:rsidRPr="00FD24A9" w:rsidR="00C054EE">
              <w:rPr>
                <w:rStyle w:val="Hyperlink"/>
                <w:noProof/>
              </w:rPr>
              <w:t>10.3.3.</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_Toc69948312 \h </w:instrText>
            </w:r>
            <w:r w:rsidR="00C054EE">
              <w:rPr>
                <w:noProof/>
                <w:webHidden/>
              </w:rPr>
            </w:r>
            <w:r w:rsidR="00C054EE">
              <w:rPr>
                <w:noProof/>
                <w:webHidden/>
              </w:rPr>
              <w:fldChar w:fldCharType="separate"/>
            </w:r>
            <w:r w:rsidR="004C2E01">
              <w:rPr>
                <w:noProof/>
                <w:webHidden/>
              </w:rPr>
              <w:t>417</w:t>
            </w:r>
            <w:r w:rsidR="00C054EE">
              <w:rPr>
                <w:noProof/>
                <w:webHidden/>
              </w:rPr>
              <w:fldChar w:fldCharType="end"/>
            </w:r>
          </w:hyperlink>
        </w:p>
        <w:p w:rsidR="00C054EE" w:rsidRDefault="000D5832" w14:paraId="7B11CB94" w14:textId="15548534">
          <w:pPr>
            <w:pStyle w:val="TOC3"/>
            <w:tabs>
              <w:tab w:val="left" w:pos="1728"/>
              <w:tab w:val="right" w:leader="dot" w:pos="9350"/>
            </w:tabs>
            <w:rPr>
              <w:rFonts w:asciiTheme="minorHAnsi" w:hAnsiTheme="minorHAnsi" w:cstheme="minorBidi"/>
              <w:noProof/>
              <w:sz w:val="22"/>
              <w:szCs w:val="22"/>
            </w:rPr>
          </w:pPr>
          <w:hyperlink w:history="1" w:anchor="_Toc69948313">
            <w:r w:rsidRPr="00FD24A9" w:rsidR="00C054EE">
              <w:rPr>
                <w:rStyle w:val="Hyperlink"/>
                <w:noProof/>
              </w:rPr>
              <w:t>10.3.4.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_Toc69948313 \h </w:instrText>
            </w:r>
            <w:r w:rsidR="00C054EE">
              <w:rPr>
                <w:noProof/>
                <w:webHidden/>
              </w:rPr>
            </w:r>
            <w:r w:rsidR="00C054EE">
              <w:rPr>
                <w:noProof/>
                <w:webHidden/>
              </w:rPr>
              <w:fldChar w:fldCharType="separate"/>
            </w:r>
            <w:r w:rsidR="004C2E01">
              <w:rPr>
                <w:noProof/>
                <w:webHidden/>
              </w:rPr>
              <w:t>417</w:t>
            </w:r>
            <w:r w:rsidR="00C054EE">
              <w:rPr>
                <w:noProof/>
                <w:webHidden/>
              </w:rPr>
              <w:fldChar w:fldCharType="end"/>
            </w:r>
          </w:hyperlink>
        </w:p>
        <w:p w:rsidR="00C054EE" w:rsidRDefault="000D5832" w14:paraId="74BBF821" w14:textId="6068D14E">
          <w:pPr>
            <w:pStyle w:val="TOC3"/>
            <w:tabs>
              <w:tab w:val="left" w:pos="1728"/>
              <w:tab w:val="right" w:leader="dot" w:pos="9350"/>
            </w:tabs>
            <w:rPr>
              <w:rFonts w:asciiTheme="minorHAnsi" w:hAnsiTheme="minorHAnsi" w:cstheme="minorBidi"/>
              <w:noProof/>
              <w:sz w:val="22"/>
              <w:szCs w:val="22"/>
            </w:rPr>
          </w:pPr>
          <w:hyperlink w:history="1" w:anchor="_Toc69948314">
            <w:r w:rsidRPr="00FD24A9" w:rsidR="00C054EE">
              <w:rPr>
                <w:rStyle w:val="Hyperlink"/>
                <w:noProof/>
              </w:rPr>
              <w:t>10.3.5.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_Toc69948314 \h </w:instrText>
            </w:r>
            <w:r w:rsidR="00C054EE">
              <w:rPr>
                <w:noProof/>
                <w:webHidden/>
              </w:rPr>
            </w:r>
            <w:r w:rsidR="00C054EE">
              <w:rPr>
                <w:noProof/>
                <w:webHidden/>
              </w:rPr>
              <w:fldChar w:fldCharType="separate"/>
            </w:r>
            <w:r w:rsidR="004C2E01">
              <w:rPr>
                <w:noProof/>
                <w:webHidden/>
              </w:rPr>
              <w:t>418</w:t>
            </w:r>
            <w:r w:rsidR="00C054EE">
              <w:rPr>
                <w:noProof/>
                <w:webHidden/>
              </w:rPr>
              <w:fldChar w:fldCharType="end"/>
            </w:r>
          </w:hyperlink>
        </w:p>
        <w:p w:rsidR="00C054EE" w:rsidRDefault="000D5832" w14:paraId="6A2B047E" w14:textId="1DFB4987">
          <w:pPr>
            <w:pStyle w:val="TOC4"/>
            <w:tabs>
              <w:tab w:val="left" w:pos="2160"/>
              <w:tab w:val="right" w:leader="dot" w:pos="9350"/>
            </w:tabs>
            <w:rPr>
              <w:rFonts w:asciiTheme="minorHAnsi" w:hAnsiTheme="minorHAnsi" w:eastAsiaTheme="minorEastAsia" w:cstheme="minorBidi"/>
              <w:noProof/>
              <w:sz w:val="22"/>
              <w:szCs w:val="22"/>
            </w:rPr>
          </w:pPr>
          <w:hyperlink w:history="1" w:anchor="_Toc69948315">
            <w:r w:rsidRPr="00FD24A9" w:rsidR="00C054EE">
              <w:rPr>
                <w:rStyle w:val="Hyperlink"/>
                <w:noProof/>
              </w:rPr>
              <w:t>10.3.5.1.</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_Toc69948315 \h </w:instrText>
            </w:r>
            <w:r w:rsidR="00C054EE">
              <w:rPr>
                <w:noProof/>
                <w:webHidden/>
              </w:rPr>
            </w:r>
            <w:r w:rsidR="00C054EE">
              <w:rPr>
                <w:noProof/>
                <w:webHidden/>
              </w:rPr>
              <w:fldChar w:fldCharType="separate"/>
            </w:r>
            <w:r w:rsidR="004C2E01">
              <w:rPr>
                <w:noProof/>
                <w:webHidden/>
              </w:rPr>
              <w:t>418</w:t>
            </w:r>
            <w:r w:rsidR="00C054EE">
              <w:rPr>
                <w:noProof/>
                <w:webHidden/>
              </w:rPr>
              <w:fldChar w:fldCharType="end"/>
            </w:r>
          </w:hyperlink>
        </w:p>
        <w:p w:rsidR="00C054EE" w:rsidRDefault="000D5832" w14:paraId="0F585561" w14:textId="6090DBFE">
          <w:pPr>
            <w:pStyle w:val="TOC3"/>
            <w:tabs>
              <w:tab w:val="left" w:pos="1728"/>
              <w:tab w:val="right" w:leader="dot" w:pos="9350"/>
            </w:tabs>
            <w:rPr>
              <w:rFonts w:asciiTheme="minorHAnsi" w:hAnsiTheme="minorHAnsi" w:cstheme="minorBidi"/>
              <w:noProof/>
              <w:sz w:val="22"/>
              <w:szCs w:val="22"/>
            </w:rPr>
          </w:pPr>
          <w:hyperlink w:history="1" w:anchor="_Toc69948316">
            <w:r w:rsidRPr="00FD24A9" w:rsidR="00C054EE">
              <w:rPr>
                <w:rStyle w:val="Hyperlink"/>
                <w:noProof/>
              </w:rPr>
              <w:t>10.3.6.</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_Toc69948316 \h </w:instrText>
            </w:r>
            <w:r w:rsidR="00C054EE">
              <w:rPr>
                <w:noProof/>
                <w:webHidden/>
              </w:rPr>
            </w:r>
            <w:r w:rsidR="00C054EE">
              <w:rPr>
                <w:noProof/>
                <w:webHidden/>
              </w:rPr>
              <w:fldChar w:fldCharType="separate"/>
            </w:r>
            <w:r w:rsidR="004C2E01">
              <w:rPr>
                <w:noProof/>
                <w:webHidden/>
              </w:rPr>
              <w:t>419</w:t>
            </w:r>
            <w:r w:rsidR="00C054EE">
              <w:rPr>
                <w:noProof/>
                <w:webHidden/>
              </w:rPr>
              <w:fldChar w:fldCharType="end"/>
            </w:r>
          </w:hyperlink>
        </w:p>
        <w:p w:rsidR="00C054EE" w:rsidRDefault="000D5832" w14:paraId="4AD02A87" w14:textId="38A5066F">
          <w:pPr>
            <w:pStyle w:val="TOC4"/>
            <w:tabs>
              <w:tab w:val="left" w:pos="2160"/>
              <w:tab w:val="right" w:leader="dot" w:pos="9350"/>
            </w:tabs>
            <w:rPr>
              <w:rFonts w:asciiTheme="minorHAnsi" w:hAnsiTheme="minorHAnsi" w:eastAsiaTheme="minorEastAsia" w:cstheme="minorBidi"/>
              <w:noProof/>
              <w:sz w:val="22"/>
              <w:szCs w:val="22"/>
            </w:rPr>
          </w:pPr>
          <w:hyperlink w:history="1" w:anchor="_Toc69948317">
            <w:r w:rsidRPr="00FD24A9" w:rsidR="00C054EE">
              <w:rPr>
                <w:rStyle w:val="Hyperlink"/>
                <w:noProof/>
              </w:rPr>
              <w:t>10.3.6.1.</w:t>
            </w:r>
            <w:r w:rsidR="00C054EE">
              <w:rPr>
                <w:rFonts w:asciiTheme="minorHAnsi" w:hAnsiTheme="minorHAnsi" w:eastAsiaTheme="minorEastAsia" w:cstheme="minorBidi"/>
                <w:noProof/>
                <w:sz w:val="22"/>
                <w:szCs w:val="22"/>
              </w:rPr>
              <w:tab/>
            </w:r>
            <w:r w:rsidRPr="00FD24A9" w:rsidR="00C054EE">
              <w:rPr>
                <w:rStyle w:val="Hyperlink"/>
                <w:noProof/>
              </w:rPr>
              <w:t>Use of Advice Letters and Reports: Approved with Modifications</w:t>
            </w:r>
            <w:r w:rsidR="00C054EE">
              <w:rPr>
                <w:noProof/>
                <w:webHidden/>
              </w:rPr>
              <w:tab/>
            </w:r>
            <w:r w:rsidR="00C054EE">
              <w:rPr>
                <w:noProof/>
                <w:webHidden/>
              </w:rPr>
              <w:fldChar w:fldCharType="begin"/>
            </w:r>
            <w:r w:rsidR="00C054EE">
              <w:rPr>
                <w:noProof/>
                <w:webHidden/>
              </w:rPr>
              <w:instrText xml:space="preserve"> PAGEREF _Toc69948317 \h </w:instrText>
            </w:r>
            <w:r w:rsidR="00C054EE">
              <w:rPr>
                <w:noProof/>
                <w:webHidden/>
              </w:rPr>
            </w:r>
            <w:r w:rsidR="00C054EE">
              <w:rPr>
                <w:noProof/>
                <w:webHidden/>
              </w:rPr>
              <w:fldChar w:fldCharType="separate"/>
            </w:r>
            <w:r w:rsidR="004C2E01">
              <w:rPr>
                <w:noProof/>
                <w:webHidden/>
              </w:rPr>
              <w:t>419</w:t>
            </w:r>
            <w:r w:rsidR="00C054EE">
              <w:rPr>
                <w:noProof/>
                <w:webHidden/>
              </w:rPr>
              <w:fldChar w:fldCharType="end"/>
            </w:r>
          </w:hyperlink>
        </w:p>
        <w:p w:rsidR="00C054EE" w:rsidRDefault="000D5832" w14:paraId="2EFC510A" w14:textId="1D36CA2F">
          <w:pPr>
            <w:pStyle w:val="TOC4"/>
            <w:tabs>
              <w:tab w:val="left" w:pos="2160"/>
              <w:tab w:val="right" w:leader="dot" w:pos="9350"/>
            </w:tabs>
            <w:rPr>
              <w:rFonts w:asciiTheme="minorHAnsi" w:hAnsiTheme="minorHAnsi" w:eastAsiaTheme="minorEastAsia" w:cstheme="minorBidi"/>
              <w:noProof/>
              <w:sz w:val="22"/>
              <w:szCs w:val="22"/>
            </w:rPr>
          </w:pPr>
          <w:hyperlink w:history="1" w:anchor="_Toc69948318">
            <w:r w:rsidRPr="00FD24A9" w:rsidR="00C054EE">
              <w:rPr>
                <w:rStyle w:val="Hyperlink"/>
                <w:noProof/>
              </w:rPr>
              <w:t>10.3.6.2.</w:t>
            </w:r>
            <w:r w:rsidR="00C054EE">
              <w:rPr>
                <w:rFonts w:asciiTheme="minorHAnsi" w:hAnsiTheme="minorHAnsi" w:eastAsiaTheme="minorEastAsia" w:cstheme="minorBidi"/>
                <w:noProof/>
                <w:sz w:val="22"/>
                <w:szCs w:val="22"/>
              </w:rPr>
              <w:tab/>
            </w:r>
            <w:r w:rsidRPr="00FD24A9" w:rsidR="00C054EE">
              <w:rPr>
                <w:rStyle w:val="Hyperlink"/>
                <w:noProof/>
              </w:rPr>
              <w:t>Mid Cycle Working Group: Denied</w:t>
            </w:r>
            <w:r w:rsidR="00C054EE">
              <w:rPr>
                <w:noProof/>
                <w:webHidden/>
              </w:rPr>
              <w:tab/>
            </w:r>
            <w:r w:rsidR="00C054EE">
              <w:rPr>
                <w:noProof/>
                <w:webHidden/>
              </w:rPr>
              <w:fldChar w:fldCharType="begin"/>
            </w:r>
            <w:r w:rsidR="00C054EE">
              <w:rPr>
                <w:noProof/>
                <w:webHidden/>
              </w:rPr>
              <w:instrText xml:space="preserve"> PAGEREF _Toc69948318 \h </w:instrText>
            </w:r>
            <w:r w:rsidR="00C054EE">
              <w:rPr>
                <w:noProof/>
                <w:webHidden/>
              </w:rPr>
            </w:r>
            <w:r w:rsidR="00C054EE">
              <w:rPr>
                <w:noProof/>
                <w:webHidden/>
              </w:rPr>
              <w:fldChar w:fldCharType="separate"/>
            </w:r>
            <w:r w:rsidR="004C2E01">
              <w:rPr>
                <w:noProof/>
                <w:webHidden/>
              </w:rPr>
              <w:t>420</w:t>
            </w:r>
            <w:r w:rsidR="00C054EE">
              <w:rPr>
                <w:noProof/>
                <w:webHidden/>
              </w:rPr>
              <w:fldChar w:fldCharType="end"/>
            </w:r>
          </w:hyperlink>
        </w:p>
        <w:p w:rsidR="00C054EE" w:rsidRDefault="000D5832" w14:paraId="20BDB7DD" w14:textId="7A941CC7">
          <w:pPr>
            <w:pStyle w:val="TOC4"/>
            <w:tabs>
              <w:tab w:val="left" w:pos="2160"/>
              <w:tab w:val="right" w:leader="dot" w:pos="9350"/>
            </w:tabs>
            <w:rPr>
              <w:rFonts w:asciiTheme="minorHAnsi" w:hAnsiTheme="minorHAnsi" w:eastAsiaTheme="minorEastAsia" w:cstheme="minorBidi"/>
              <w:noProof/>
              <w:sz w:val="22"/>
              <w:szCs w:val="22"/>
            </w:rPr>
          </w:pPr>
          <w:hyperlink w:history="1" w:anchor="_Toc69948319">
            <w:r w:rsidRPr="00FD24A9" w:rsidR="00C054EE">
              <w:rPr>
                <w:rStyle w:val="Hyperlink"/>
                <w:noProof/>
              </w:rPr>
              <w:t>10.3.6.3.</w:t>
            </w:r>
            <w:r w:rsidR="00C054EE">
              <w:rPr>
                <w:rFonts w:asciiTheme="minorHAnsi" w:hAnsiTheme="minorHAnsi" w:eastAsiaTheme="minorEastAsia" w:cstheme="minorBidi"/>
                <w:noProof/>
                <w:sz w:val="22"/>
                <w:szCs w:val="22"/>
              </w:rPr>
              <w:tab/>
            </w:r>
            <w:r w:rsidRPr="00FD24A9" w:rsidR="00C054EE">
              <w:rPr>
                <w:rStyle w:val="Hyperlink"/>
                <w:noProof/>
              </w:rPr>
              <w:t>Mid Cycle Assessment and Progress Report: New</w:t>
            </w:r>
            <w:r w:rsidR="00C054EE">
              <w:rPr>
                <w:noProof/>
                <w:webHidden/>
              </w:rPr>
              <w:tab/>
            </w:r>
            <w:r w:rsidR="00C054EE">
              <w:rPr>
                <w:noProof/>
                <w:webHidden/>
              </w:rPr>
              <w:fldChar w:fldCharType="begin"/>
            </w:r>
            <w:r w:rsidR="00C054EE">
              <w:rPr>
                <w:noProof/>
                <w:webHidden/>
              </w:rPr>
              <w:instrText xml:space="preserve"> PAGEREF _Toc69948319 \h </w:instrText>
            </w:r>
            <w:r w:rsidR="00C054EE">
              <w:rPr>
                <w:noProof/>
                <w:webHidden/>
              </w:rPr>
            </w:r>
            <w:r w:rsidR="00C054EE">
              <w:rPr>
                <w:noProof/>
                <w:webHidden/>
              </w:rPr>
              <w:fldChar w:fldCharType="separate"/>
            </w:r>
            <w:r w:rsidR="004C2E01">
              <w:rPr>
                <w:noProof/>
                <w:webHidden/>
              </w:rPr>
              <w:t>420</w:t>
            </w:r>
            <w:r w:rsidR="00C054EE">
              <w:rPr>
                <w:noProof/>
                <w:webHidden/>
              </w:rPr>
              <w:fldChar w:fldCharType="end"/>
            </w:r>
          </w:hyperlink>
        </w:p>
        <w:p w:rsidR="00C054EE" w:rsidRDefault="000D5832" w14:paraId="29435AD9" w14:textId="4D9F9907">
          <w:pPr>
            <w:pStyle w:val="TOC2"/>
            <w:tabs>
              <w:tab w:val="left" w:pos="1296"/>
              <w:tab w:val="right" w:leader="dot" w:pos="9350"/>
            </w:tabs>
            <w:rPr>
              <w:rFonts w:asciiTheme="minorHAnsi" w:hAnsiTheme="minorHAnsi" w:cstheme="minorBidi"/>
              <w:noProof/>
              <w:sz w:val="22"/>
              <w:szCs w:val="22"/>
            </w:rPr>
          </w:pPr>
          <w:hyperlink w:history="1" w:anchor="_Toc69948320">
            <w:r w:rsidRPr="00FD24A9" w:rsidR="00C054EE">
              <w:rPr>
                <w:rStyle w:val="Hyperlink"/>
                <w:noProof/>
              </w:rPr>
              <w:t>10.4.</w:t>
            </w:r>
            <w:r w:rsidR="00C054EE">
              <w:rPr>
                <w:rFonts w:asciiTheme="minorHAnsi" w:hAnsiTheme="minorHAnsi" w:cstheme="minorBidi"/>
                <w:noProof/>
                <w:sz w:val="22"/>
                <w:szCs w:val="22"/>
              </w:rPr>
              <w:tab/>
            </w:r>
            <w:r w:rsidRPr="00FD24A9" w:rsidR="00C054EE">
              <w:rPr>
                <w:rStyle w:val="Hyperlink"/>
                <w:noProof/>
              </w:rPr>
              <w:t>Audits</w:t>
            </w:r>
            <w:r w:rsidR="00C054EE">
              <w:rPr>
                <w:noProof/>
                <w:webHidden/>
              </w:rPr>
              <w:tab/>
            </w:r>
            <w:r w:rsidR="00C054EE">
              <w:rPr>
                <w:noProof/>
                <w:webHidden/>
              </w:rPr>
              <w:fldChar w:fldCharType="begin"/>
            </w:r>
            <w:r w:rsidR="00C054EE">
              <w:rPr>
                <w:noProof/>
                <w:webHidden/>
              </w:rPr>
              <w:instrText xml:space="preserve"> PAGEREF _Toc69948320 \h </w:instrText>
            </w:r>
            <w:r w:rsidR="00C054EE">
              <w:rPr>
                <w:noProof/>
                <w:webHidden/>
              </w:rPr>
            </w:r>
            <w:r w:rsidR="00C054EE">
              <w:rPr>
                <w:noProof/>
                <w:webHidden/>
              </w:rPr>
              <w:fldChar w:fldCharType="separate"/>
            </w:r>
            <w:r w:rsidR="004C2E01">
              <w:rPr>
                <w:noProof/>
                <w:webHidden/>
              </w:rPr>
              <w:t>421</w:t>
            </w:r>
            <w:r w:rsidR="00C054EE">
              <w:rPr>
                <w:noProof/>
                <w:webHidden/>
              </w:rPr>
              <w:fldChar w:fldCharType="end"/>
            </w:r>
          </w:hyperlink>
        </w:p>
        <w:p w:rsidR="00C054EE" w:rsidRDefault="000D5832" w14:paraId="18010E34" w14:textId="6C31548A">
          <w:pPr>
            <w:pStyle w:val="TOC3"/>
            <w:tabs>
              <w:tab w:val="left" w:pos="1728"/>
              <w:tab w:val="right" w:leader="dot" w:pos="9350"/>
            </w:tabs>
            <w:rPr>
              <w:rFonts w:asciiTheme="minorHAnsi" w:hAnsiTheme="minorHAnsi" w:cstheme="minorBidi"/>
              <w:noProof/>
              <w:sz w:val="22"/>
              <w:szCs w:val="22"/>
            </w:rPr>
          </w:pPr>
          <w:hyperlink w:history="1" w:anchor="_Toc69948321">
            <w:r w:rsidRPr="00FD24A9" w:rsidR="00C054EE">
              <w:rPr>
                <w:rStyle w:val="Hyperlink"/>
                <w:noProof/>
              </w:rPr>
              <w:t>10.4.1.</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_Toc69948321 \h </w:instrText>
            </w:r>
            <w:r w:rsidR="00C054EE">
              <w:rPr>
                <w:noProof/>
                <w:webHidden/>
              </w:rPr>
            </w:r>
            <w:r w:rsidR="00C054EE">
              <w:rPr>
                <w:noProof/>
                <w:webHidden/>
              </w:rPr>
              <w:fldChar w:fldCharType="separate"/>
            </w:r>
            <w:r w:rsidR="004C2E01">
              <w:rPr>
                <w:noProof/>
                <w:webHidden/>
              </w:rPr>
              <w:t>421</w:t>
            </w:r>
            <w:r w:rsidR="00C054EE">
              <w:rPr>
                <w:noProof/>
                <w:webHidden/>
              </w:rPr>
              <w:fldChar w:fldCharType="end"/>
            </w:r>
          </w:hyperlink>
        </w:p>
        <w:p w:rsidR="00C054EE" w:rsidRDefault="000D5832" w14:paraId="7B8A8C6C" w14:textId="7D3CBDC4">
          <w:pPr>
            <w:pStyle w:val="TOC3"/>
            <w:tabs>
              <w:tab w:val="left" w:pos="1728"/>
              <w:tab w:val="right" w:leader="dot" w:pos="9350"/>
            </w:tabs>
            <w:rPr>
              <w:rFonts w:asciiTheme="minorHAnsi" w:hAnsiTheme="minorHAnsi" w:cstheme="minorBidi"/>
              <w:noProof/>
              <w:sz w:val="22"/>
              <w:szCs w:val="22"/>
            </w:rPr>
          </w:pPr>
          <w:hyperlink w:history="1" w:anchor="_Toc69948322">
            <w:r w:rsidRPr="00FD24A9" w:rsidR="00C054EE">
              <w:rPr>
                <w:rStyle w:val="Hyperlink"/>
                <w:noProof/>
              </w:rPr>
              <w:t>10.4.2.</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_Toc69948322 \h </w:instrText>
            </w:r>
            <w:r w:rsidR="00C054EE">
              <w:rPr>
                <w:noProof/>
                <w:webHidden/>
              </w:rPr>
            </w:r>
            <w:r w:rsidR="00C054EE">
              <w:rPr>
                <w:noProof/>
                <w:webHidden/>
              </w:rPr>
              <w:fldChar w:fldCharType="separate"/>
            </w:r>
            <w:r w:rsidR="004C2E01">
              <w:rPr>
                <w:noProof/>
                <w:webHidden/>
              </w:rPr>
              <w:t>421</w:t>
            </w:r>
            <w:r w:rsidR="00C054EE">
              <w:rPr>
                <w:noProof/>
                <w:webHidden/>
              </w:rPr>
              <w:fldChar w:fldCharType="end"/>
            </w:r>
          </w:hyperlink>
        </w:p>
        <w:p w:rsidR="00C054EE" w:rsidRDefault="000D5832" w14:paraId="0D39F988" w14:textId="715040E9">
          <w:pPr>
            <w:pStyle w:val="TOC3"/>
            <w:tabs>
              <w:tab w:val="left" w:pos="1728"/>
              <w:tab w:val="right" w:leader="dot" w:pos="9350"/>
            </w:tabs>
            <w:rPr>
              <w:rFonts w:asciiTheme="minorHAnsi" w:hAnsiTheme="minorHAnsi" w:cstheme="minorBidi"/>
              <w:noProof/>
              <w:sz w:val="22"/>
              <w:szCs w:val="22"/>
            </w:rPr>
          </w:pPr>
          <w:hyperlink w:history="1" w:anchor="_Toc69948323">
            <w:r w:rsidRPr="00FD24A9" w:rsidR="00C054EE">
              <w:rPr>
                <w:rStyle w:val="Hyperlink"/>
                <w:noProof/>
              </w:rPr>
              <w:t>10.4.3.</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_Toc69948323 \h </w:instrText>
            </w:r>
            <w:r w:rsidR="00C054EE">
              <w:rPr>
                <w:noProof/>
                <w:webHidden/>
              </w:rPr>
            </w:r>
            <w:r w:rsidR="00C054EE">
              <w:rPr>
                <w:noProof/>
                <w:webHidden/>
              </w:rPr>
              <w:fldChar w:fldCharType="separate"/>
            </w:r>
            <w:r w:rsidR="004C2E01">
              <w:rPr>
                <w:noProof/>
                <w:webHidden/>
              </w:rPr>
              <w:t>422</w:t>
            </w:r>
            <w:r w:rsidR="00C054EE">
              <w:rPr>
                <w:noProof/>
                <w:webHidden/>
              </w:rPr>
              <w:fldChar w:fldCharType="end"/>
            </w:r>
          </w:hyperlink>
        </w:p>
        <w:p w:rsidR="00C054EE" w:rsidRDefault="000D5832" w14:paraId="04269846" w14:textId="0CA55A69">
          <w:pPr>
            <w:pStyle w:val="TOC3"/>
            <w:tabs>
              <w:tab w:val="left" w:pos="1728"/>
              <w:tab w:val="right" w:leader="dot" w:pos="9350"/>
            </w:tabs>
            <w:rPr>
              <w:rFonts w:asciiTheme="minorHAnsi" w:hAnsiTheme="minorHAnsi" w:cstheme="minorBidi"/>
              <w:noProof/>
              <w:sz w:val="22"/>
              <w:szCs w:val="22"/>
            </w:rPr>
          </w:pPr>
          <w:hyperlink w:history="1" w:anchor="_Toc69948324">
            <w:r w:rsidRPr="00FD24A9" w:rsidR="00C054EE">
              <w:rPr>
                <w:rStyle w:val="Hyperlink"/>
                <w:noProof/>
              </w:rPr>
              <w:t>10.4.4.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_Toc69948324 \h </w:instrText>
            </w:r>
            <w:r w:rsidR="00C054EE">
              <w:rPr>
                <w:noProof/>
                <w:webHidden/>
              </w:rPr>
            </w:r>
            <w:r w:rsidR="00C054EE">
              <w:rPr>
                <w:noProof/>
                <w:webHidden/>
              </w:rPr>
              <w:fldChar w:fldCharType="separate"/>
            </w:r>
            <w:r w:rsidR="004C2E01">
              <w:rPr>
                <w:noProof/>
                <w:webHidden/>
              </w:rPr>
              <w:t>422</w:t>
            </w:r>
            <w:r w:rsidR="00C054EE">
              <w:rPr>
                <w:noProof/>
                <w:webHidden/>
              </w:rPr>
              <w:fldChar w:fldCharType="end"/>
            </w:r>
          </w:hyperlink>
        </w:p>
        <w:p w:rsidR="00C054EE" w:rsidRDefault="000D5832" w14:paraId="57AC5BF1" w14:textId="5674A8B2">
          <w:pPr>
            <w:pStyle w:val="TOC3"/>
            <w:tabs>
              <w:tab w:val="left" w:pos="1728"/>
              <w:tab w:val="right" w:leader="dot" w:pos="9350"/>
            </w:tabs>
            <w:rPr>
              <w:rFonts w:asciiTheme="minorHAnsi" w:hAnsiTheme="minorHAnsi" w:cstheme="minorBidi"/>
              <w:noProof/>
              <w:sz w:val="22"/>
              <w:szCs w:val="22"/>
            </w:rPr>
          </w:pPr>
          <w:hyperlink w:history="1" w:anchor="_Toc69948325">
            <w:r w:rsidRPr="00FD24A9" w:rsidR="00C054EE">
              <w:rPr>
                <w:rStyle w:val="Hyperlink"/>
                <w:noProof/>
              </w:rPr>
              <w:t>10.4.5.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_Toc69948325 \h </w:instrText>
            </w:r>
            <w:r w:rsidR="00C054EE">
              <w:rPr>
                <w:noProof/>
                <w:webHidden/>
              </w:rPr>
            </w:r>
            <w:r w:rsidR="00C054EE">
              <w:rPr>
                <w:noProof/>
                <w:webHidden/>
              </w:rPr>
              <w:fldChar w:fldCharType="separate"/>
            </w:r>
            <w:r w:rsidR="004C2E01">
              <w:rPr>
                <w:noProof/>
                <w:webHidden/>
              </w:rPr>
              <w:t>422</w:t>
            </w:r>
            <w:r w:rsidR="00C054EE">
              <w:rPr>
                <w:noProof/>
                <w:webHidden/>
              </w:rPr>
              <w:fldChar w:fldCharType="end"/>
            </w:r>
          </w:hyperlink>
        </w:p>
        <w:p w:rsidR="00C054EE" w:rsidRDefault="000D5832" w14:paraId="0A501454" w14:textId="3383740F">
          <w:pPr>
            <w:pStyle w:val="TOC3"/>
            <w:tabs>
              <w:tab w:val="left" w:pos="1728"/>
              <w:tab w:val="right" w:leader="dot" w:pos="9350"/>
            </w:tabs>
            <w:rPr>
              <w:rFonts w:asciiTheme="minorHAnsi" w:hAnsiTheme="minorHAnsi" w:cstheme="minorBidi"/>
              <w:noProof/>
              <w:sz w:val="22"/>
              <w:szCs w:val="22"/>
            </w:rPr>
          </w:pPr>
          <w:hyperlink w:history="1" w:anchor="_Toc69948326">
            <w:r w:rsidRPr="00FD24A9" w:rsidR="00C054EE">
              <w:rPr>
                <w:rStyle w:val="Hyperlink"/>
                <w:noProof/>
              </w:rPr>
              <w:t>10.4.6.</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_Toc69948326 \h </w:instrText>
            </w:r>
            <w:r w:rsidR="00C054EE">
              <w:rPr>
                <w:noProof/>
                <w:webHidden/>
              </w:rPr>
            </w:r>
            <w:r w:rsidR="00C054EE">
              <w:rPr>
                <w:noProof/>
                <w:webHidden/>
              </w:rPr>
              <w:fldChar w:fldCharType="separate"/>
            </w:r>
            <w:r w:rsidR="004C2E01">
              <w:rPr>
                <w:noProof/>
                <w:webHidden/>
              </w:rPr>
              <w:t>422</w:t>
            </w:r>
            <w:r w:rsidR="00C054EE">
              <w:rPr>
                <w:noProof/>
                <w:webHidden/>
              </w:rPr>
              <w:fldChar w:fldCharType="end"/>
            </w:r>
          </w:hyperlink>
        </w:p>
        <w:p w:rsidR="00C054EE" w:rsidRDefault="000D5832" w14:paraId="3D28A3F2" w14:textId="347DDB96">
          <w:pPr>
            <w:pStyle w:val="TOC2"/>
            <w:tabs>
              <w:tab w:val="left" w:pos="1296"/>
              <w:tab w:val="right" w:leader="dot" w:pos="9350"/>
            </w:tabs>
            <w:rPr>
              <w:rFonts w:asciiTheme="minorHAnsi" w:hAnsiTheme="minorHAnsi" w:cstheme="minorBidi"/>
              <w:noProof/>
              <w:sz w:val="22"/>
              <w:szCs w:val="22"/>
            </w:rPr>
          </w:pPr>
          <w:hyperlink w:history="1" w:anchor="_Toc69948327">
            <w:r w:rsidRPr="00FD24A9" w:rsidR="00C054EE">
              <w:rPr>
                <w:rStyle w:val="Hyperlink"/>
                <w:noProof/>
              </w:rPr>
              <w:t>10.5.</w:t>
            </w:r>
            <w:r w:rsidR="00C054EE">
              <w:rPr>
                <w:rFonts w:asciiTheme="minorHAnsi" w:hAnsiTheme="minorHAnsi" w:cstheme="minorBidi"/>
                <w:noProof/>
                <w:sz w:val="22"/>
                <w:szCs w:val="22"/>
              </w:rPr>
              <w:tab/>
            </w:r>
            <w:r w:rsidRPr="00FD24A9" w:rsidR="00C054EE">
              <w:rPr>
                <w:rStyle w:val="Hyperlink"/>
                <w:noProof/>
              </w:rPr>
              <w:t>Fund Shifting and Unspent Funds</w:t>
            </w:r>
            <w:r w:rsidR="00C054EE">
              <w:rPr>
                <w:noProof/>
                <w:webHidden/>
              </w:rPr>
              <w:tab/>
            </w:r>
            <w:r w:rsidR="00C054EE">
              <w:rPr>
                <w:noProof/>
                <w:webHidden/>
              </w:rPr>
              <w:fldChar w:fldCharType="begin"/>
            </w:r>
            <w:r w:rsidR="00C054EE">
              <w:rPr>
                <w:noProof/>
                <w:webHidden/>
              </w:rPr>
              <w:instrText xml:space="preserve"> PAGEREF _Toc69948327 \h </w:instrText>
            </w:r>
            <w:r w:rsidR="00C054EE">
              <w:rPr>
                <w:noProof/>
                <w:webHidden/>
              </w:rPr>
            </w:r>
            <w:r w:rsidR="00C054EE">
              <w:rPr>
                <w:noProof/>
                <w:webHidden/>
              </w:rPr>
              <w:fldChar w:fldCharType="separate"/>
            </w:r>
            <w:r w:rsidR="004C2E01">
              <w:rPr>
                <w:noProof/>
                <w:webHidden/>
              </w:rPr>
              <w:t>422</w:t>
            </w:r>
            <w:r w:rsidR="00C054EE">
              <w:rPr>
                <w:noProof/>
                <w:webHidden/>
              </w:rPr>
              <w:fldChar w:fldCharType="end"/>
            </w:r>
          </w:hyperlink>
        </w:p>
        <w:p w:rsidR="00C054EE" w:rsidRDefault="000D5832" w14:paraId="5B26550D" w14:textId="3B546C26">
          <w:pPr>
            <w:pStyle w:val="TOC3"/>
            <w:tabs>
              <w:tab w:val="left" w:pos="1728"/>
              <w:tab w:val="right" w:leader="dot" w:pos="9350"/>
            </w:tabs>
            <w:rPr>
              <w:rFonts w:asciiTheme="minorHAnsi" w:hAnsiTheme="minorHAnsi" w:cstheme="minorBidi"/>
              <w:noProof/>
              <w:sz w:val="22"/>
              <w:szCs w:val="22"/>
            </w:rPr>
          </w:pPr>
          <w:hyperlink w:history="1" w:anchor="_Toc69948328">
            <w:r w:rsidRPr="00FD24A9" w:rsidR="00C054EE">
              <w:rPr>
                <w:rStyle w:val="Hyperlink"/>
                <w:noProof/>
              </w:rPr>
              <w:t>10.5.1.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_Toc69948328 \h </w:instrText>
            </w:r>
            <w:r w:rsidR="00C054EE">
              <w:rPr>
                <w:noProof/>
                <w:webHidden/>
              </w:rPr>
            </w:r>
            <w:r w:rsidR="00C054EE">
              <w:rPr>
                <w:noProof/>
                <w:webHidden/>
              </w:rPr>
              <w:fldChar w:fldCharType="separate"/>
            </w:r>
            <w:r w:rsidR="004C2E01">
              <w:rPr>
                <w:noProof/>
                <w:webHidden/>
              </w:rPr>
              <w:t>422</w:t>
            </w:r>
            <w:r w:rsidR="00C054EE">
              <w:rPr>
                <w:noProof/>
                <w:webHidden/>
              </w:rPr>
              <w:fldChar w:fldCharType="end"/>
            </w:r>
          </w:hyperlink>
        </w:p>
        <w:p w:rsidR="00C054EE" w:rsidRDefault="000D5832" w14:paraId="6899C144" w14:textId="2B7819EC">
          <w:pPr>
            <w:pStyle w:val="TOC3"/>
            <w:tabs>
              <w:tab w:val="left" w:pos="1728"/>
              <w:tab w:val="right" w:leader="dot" w:pos="9350"/>
            </w:tabs>
            <w:rPr>
              <w:rFonts w:asciiTheme="minorHAnsi" w:hAnsiTheme="minorHAnsi" w:cstheme="minorBidi"/>
              <w:noProof/>
              <w:sz w:val="22"/>
              <w:szCs w:val="22"/>
            </w:rPr>
          </w:pPr>
          <w:hyperlink w:history="1" w:anchor="_Toc69948329">
            <w:r w:rsidRPr="00FD24A9" w:rsidR="00C054EE">
              <w:rPr>
                <w:rStyle w:val="Hyperlink"/>
                <w:noProof/>
              </w:rPr>
              <w:t>10.5.2.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_Toc69948329 \h </w:instrText>
            </w:r>
            <w:r w:rsidR="00C054EE">
              <w:rPr>
                <w:noProof/>
                <w:webHidden/>
              </w:rPr>
            </w:r>
            <w:r w:rsidR="00C054EE">
              <w:rPr>
                <w:noProof/>
                <w:webHidden/>
              </w:rPr>
              <w:fldChar w:fldCharType="separate"/>
            </w:r>
            <w:r w:rsidR="004C2E01">
              <w:rPr>
                <w:noProof/>
                <w:webHidden/>
              </w:rPr>
              <w:t>423</w:t>
            </w:r>
            <w:r w:rsidR="00C054EE">
              <w:rPr>
                <w:noProof/>
                <w:webHidden/>
              </w:rPr>
              <w:fldChar w:fldCharType="end"/>
            </w:r>
          </w:hyperlink>
        </w:p>
        <w:p w:rsidR="00C054EE" w:rsidRDefault="000D5832" w14:paraId="6D983CF8" w14:textId="12A08278">
          <w:pPr>
            <w:pStyle w:val="TOC3"/>
            <w:tabs>
              <w:tab w:val="left" w:pos="1728"/>
              <w:tab w:val="right" w:leader="dot" w:pos="9350"/>
            </w:tabs>
            <w:rPr>
              <w:rFonts w:asciiTheme="minorHAnsi" w:hAnsiTheme="minorHAnsi" w:cstheme="minorBidi"/>
              <w:noProof/>
              <w:sz w:val="22"/>
              <w:szCs w:val="22"/>
            </w:rPr>
          </w:pPr>
          <w:hyperlink w:history="1" w:anchor="_Toc69948330">
            <w:r w:rsidRPr="00FD24A9" w:rsidR="00C054EE">
              <w:rPr>
                <w:rStyle w:val="Hyperlink"/>
                <w:noProof/>
              </w:rPr>
              <w:t>10.5.3.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_Toc69948330 \h </w:instrText>
            </w:r>
            <w:r w:rsidR="00C054EE">
              <w:rPr>
                <w:noProof/>
                <w:webHidden/>
              </w:rPr>
            </w:r>
            <w:r w:rsidR="00C054EE">
              <w:rPr>
                <w:noProof/>
                <w:webHidden/>
              </w:rPr>
              <w:fldChar w:fldCharType="separate"/>
            </w:r>
            <w:r w:rsidR="004C2E01">
              <w:rPr>
                <w:noProof/>
                <w:webHidden/>
              </w:rPr>
              <w:t>424</w:t>
            </w:r>
            <w:r w:rsidR="00C054EE">
              <w:rPr>
                <w:noProof/>
                <w:webHidden/>
              </w:rPr>
              <w:fldChar w:fldCharType="end"/>
            </w:r>
          </w:hyperlink>
        </w:p>
        <w:p w:rsidR="00C054EE" w:rsidRDefault="000D5832" w14:paraId="0467EC2F" w14:textId="252B9B4D">
          <w:pPr>
            <w:pStyle w:val="TOC3"/>
            <w:tabs>
              <w:tab w:val="left" w:pos="1728"/>
              <w:tab w:val="right" w:leader="dot" w:pos="9350"/>
            </w:tabs>
            <w:rPr>
              <w:rFonts w:asciiTheme="minorHAnsi" w:hAnsiTheme="minorHAnsi" w:cstheme="minorBidi"/>
              <w:noProof/>
              <w:sz w:val="22"/>
              <w:szCs w:val="22"/>
            </w:rPr>
          </w:pPr>
          <w:hyperlink w:history="1" w:anchor="_Toc69948331">
            <w:r w:rsidRPr="00FD24A9" w:rsidR="00C054EE">
              <w:rPr>
                <w:rStyle w:val="Hyperlink"/>
                <w:noProof/>
              </w:rPr>
              <w:t>10.5.4.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_Toc69948331 \h </w:instrText>
            </w:r>
            <w:r w:rsidR="00C054EE">
              <w:rPr>
                <w:noProof/>
                <w:webHidden/>
              </w:rPr>
            </w:r>
            <w:r w:rsidR="00C054EE">
              <w:rPr>
                <w:noProof/>
                <w:webHidden/>
              </w:rPr>
              <w:fldChar w:fldCharType="separate"/>
            </w:r>
            <w:r w:rsidR="004C2E01">
              <w:rPr>
                <w:noProof/>
                <w:webHidden/>
              </w:rPr>
              <w:t>424</w:t>
            </w:r>
            <w:r w:rsidR="00C054EE">
              <w:rPr>
                <w:noProof/>
                <w:webHidden/>
              </w:rPr>
              <w:fldChar w:fldCharType="end"/>
            </w:r>
          </w:hyperlink>
        </w:p>
        <w:p w:rsidR="00C054EE" w:rsidRDefault="000D5832" w14:paraId="21DC84BE" w14:textId="168E10F0">
          <w:pPr>
            <w:pStyle w:val="TOC3"/>
            <w:tabs>
              <w:tab w:val="left" w:pos="1728"/>
              <w:tab w:val="right" w:leader="dot" w:pos="9350"/>
            </w:tabs>
            <w:rPr>
              <w:rFonts w:asciiTheme="minorHAnsi" w:hAnsiTheme="minorHAnsi" w:cstheme="minorBidi"/>
              <w:noProof/>
              <w:sz w:val="22"/>
              <w:szCs w:val="22"/>
            </w:rPr>
          </w:pPr>
          <w:hyperlink w:history="1" w:anchor="_Toc69948332">
            <w:r w:rsidRPr="00FD24A9" w:rsidR="00C054EE">
              <w:rPr>
                <w:rStyle w:val="Hyperlink"/>
                <w:noProof/>
              </w:rPr>
              <w:t>10.5.5.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_Toc69948332 \h </w:instrText>
            </w:r>
            <w:r w:rsidR="00C054EE">
              <w:rPr>
                <w:noProof/>
                <w:webHidden/>
              </w:rPr>
            </w:r>
            <w:r w:rsidR="00C054EE">
              <w:rPr>
                <w:noProof/>
                <w:webHidden/>
              </w:rPr>
              <w:fldChar w:fldCharType="separate"/>
            </w:r>
            <w:r w:rsidR="004C2E01">
              <w:rPr>
                <w:noProof/>
                <w:webHidden/>
              </w:rPr>
              <w:t>425</w:t>
            </w:r>
            <w:r w:rsidR="00C054EE">
              <w:rPr>
                <w:noProof/>
                <w:webHidden/>
              </w:rPr>
              <w:fldChar w:fldCharType="end"/>
            </w:r>
          </w:hyperlink>
        </w:p>
        <w:p w:rsidR="00C054EE" w:rsidRDefault="000D5832" w14:paraId="23DD334F" w14:textId="3CACBA75">
          <w:pPr>
            <w:pStyle w:val="TOC3"/>
            <w:tabs>
              <w:tab w:val="left" w:pos="1728"/>
              <w:tab w:val="right" w:leader="dot" w:pos="9350"/>
            </w:tabs>
            <w:rPr>
              <w:rFonts w:asciiTheme="minorHAnsi" w:hAnsiTheme="minorHAnsi" w:cstheme="minorBidi"/>
              <w:noProof/>
              <w:sz w:val="22"/>
              <w:szCs w:val="22"/>
            </w:rPr>
          </w:pPr>
          <w:hyperlink w:history="1" w:anchor="_Toc69948333">
            <w:r w:rsidRPr="00FD24A9" w:rsidR="00C054EE">
              <w:rPr>
                <w:rStyle w:val="Hyperlink"/>
                <w:noProof/>
              </w:rPr>
              <w:t>10.5.6.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_Toc69948333 \h </w:instrText>
            </w:r>
            <w:r w:rsidR="00C054EE">
              <w:rPr>
                <w:noProof/>
                <w:webHidden/>
              </w:rPr>
            </w:r>
            <w:r w:rsidR="00C054EE">
              <w:rPr>
                <w:noProof/>
                <w:webHidden/>
              </w:rPr>
              <w:fldChar w:fldCharType="separate"/>
            </w:r>
            <w:r w:rsidR="004C2E01">
              <w:rPr>
                <w:noProof/>
                <w:webHidden/>
              </w:rPr>
              <w:t>426</w:t>
            </w:r>
            <w:r w:rsidR="00C054EE">
              <w:rPr>
                <w:noProof/>
                <w:webHidden/>
              </w:rPr>
              <w:fldChar w:fldCharType="end"/>
            </w:r>
          </w:hyperlink>
        </w:p>
        <w:p w:rsidR="00C054EE" w:rsidRDefault="000D5832" w14:paraId="78061FB5" w14:textId="63D9A595">
          <w:pPr>
            <w:pStyle w:val="TOC4"/>
            <w:tabs>
              <w:tab w:val="left" w:pos="2160"/>
              <w:tab w:val="right" w:leader="dot" w:pos="9350"/>
            </w:tabs>
            <w:rPr>
              <w:rFonts w:asciiTheme="minorHAnsi" w:hAnsiTheme="minorHAnsi" w:eastAsiaTheme="minorEastAsia" w:cstheme="minorBidi"/>
              <w:noProof/>
              <w:sz w:val="22"/>
              <w:szCs w:val="22"/>
            </w:rPr>
          </w:pPr>
          <w:hyperlink w:history="1" w:anchor="_Toc69948334">
            <w:r w:rsidRPr="00FD24A9" w:rsidR="00C054EE">
              <w:rPr>
                <w:rStyle w:val="Hyperlink"/>
                <w:noProof/>
              </w:rPr>
              <w:t>10.5.6.1.</w:t>
            </w:r>
            <w:r w:rsidR="00C054EE">
              <w:rPr>
                <w:rFonts w:asciiTheme="minorHAnsi" w:hAnsiTheme="minorHAnsi" w:eastAsiaTheme="minorEastAsia" w:cstheme="minorBidi"/>
                <w:noProof/>
                <w:sz w:val="22"/>
                <w:szCs w:val="22"/>
              </w:rPr>
              <w:tab/>
            </w:r>
            <w:r w:rsidRPr="00FD24A9" w:rsidR="00C054EE">
              <w:rPr>
                <w:rStyle w:val="Hyperlink"/>
                <w:noProof/>
              </w:rPr>
              <w:t>PCF</w:t>
            </w:r>
            <w:r w:rsidR="00C054EE">
              <w:rPr>
                <w:noProof/>
                <w:webHidden/>
              </w:rPr>
              <w:tab/>
            </w:r>
            <w:r w:rsidR="00C054EE">
              <w:rPr>
                <w:noProof/>
                <w:webHidden/>
              </w:rPr>
              <w:fldChar w:fldCharType="begin"/>
            </w:r>
            <w:r w:rsidR="00C054EE">
              <w:rPr>
                <w:noProof/>
                <w:webHidden/>
              </w:rPr>
              <w:instrText xml:space="preserve"> PAGEREF _Toc69948334 \h </w:instrText>
            </w:r>
            <w:r w:rsidR="00C054EE">
              <w:rPr>
                <w:noProof/>
                <w:webHidden/>
              </w:rPr>
            </w:r>
            <w:r w:rsidR="00C054EE">
              <w:rPr>
                <w:noProof/>
                <w:webHidden/>
              </w:rPr>
              <w:fldChar w:fldCharType="separate"/>
            </w:r>
            <w:r w:rsidR="004C2E01">
              <w:rPr>
                <w:noProof/>
                <w:webHidden/>
              </w:rPr>
              <w:t>426</w:t>
            </w:r>
            <w:r w:rsidR="00C054EE">
              <w:rPr>
                <w:noProof/>
                <w:webHidden/>
              </w:rPr>
              <w:fldChar w:fldCharType="end"/>
            </w:r>
          </w:hyperlink>
        </w:p>
        <w:p w:rsidR="00C054EE" w:rsidRDefault="000D5832" w14:paraId="1DFB63EF" w14:textId="625A5F3C">
          <w:pPr>
            <w:pStyle w:val="TOC4"/>
            <w:tabs>
              <w:tab w:val="left" w:pos="2160"/>
              <w:tab w:val="right" w:leader="dot" w:pos="9350"/>
            </w:tabs>
            <w:rPr>
              <w:rFonts w:asciiTheme="minorHAnsi" w:hAnsiTheme="minorHAnsi" w:eastAsiaTheme="minorEastAsia" w:cstheme="minorBidi"/>
              <w:noProof/>
              <w:sz w:val="22"/>
              <w:szCs w:val="22"/>
            </w:rPr>
          </w:pPr>
          <w:hyperlink w:history="1" w:anchor="_Toc69948335">
            <w:r w:rsidRPr="00FD24A9" w:rsidR="00C054EE">
              <w:rPr>
                <w:rStyle w:val="Hyperlink"/>
                <w:noProof/>
              </w:rPr>
              <w:t>10.5.6.2.</w:t>
            </w:r>
            <w:r w:rsidR="00C054EE">
              <w:rPr>
                <w:rFonts w:asciiTheme="minorHAnsi" w:hAnsiTheme="minorHAnsi" w:eastAsiaTheme="minorEastAsia" w:cstheme="minorBidi"/>
                <w:noProof/>
                <w:sz w:val="22"/>
                <w:szCs w:val="22"/>
              </w:rPr>
              <w:tab/>
            </w:r>
            <w:r w:rsidRPr="00FD24A9" w:rsidR="00C054EE">
              <w:rPr>
                <w:rStyle w:val="Hyperlink"/>
                <w:noProof/>
              </w:rPr>
              <w:t>EEC</w:t>
            </w:r>
            <w:r w:rsidR="00C054EE">
              <w:rPr>
                <w:noProof/>
                <w:webHidden/>
              </w:rPr>
              <w:tab/>
            </w:r>
            <w:r w:rsidR="00C054EE">
              <w:rPr>
                <w:noProof/>
                <w:webHidden/>
              </w:rPr>
              <w:fldChar w:fldCharType="begin"/>
            </w:r>
            <w:r w:rsidR="00C054EE">
              <w:rPr>
                <w:noProof/>
                <w:webHidden/>
              </w:rPr>
              <w:instrText xml:space="preserve"> PAGEREF _Toc69948335 \h </w:instrText>
            </w:r>
            <w:r w:rsidR="00C054EE">
              <w:rPr>
                <w:noProof/>
                <w:webHidden/>
              </w:rPr>
            </w:r>
            <w:r w:rsidR="00C054EE">
              <w:rPr>
                <w:noProof/>
                <w:webHidden/>
              </w:rPr>
              <w:fldChar w:fldCharType="separate"/>
            </w:r>
            <w:r w:rsidR="004C2E01">
              <w:rPr>
                <w:noProof/>
                <w:webHidden/>
              </w:rPr>
              <w:t>427</w:t>
            </w:r>
            <w:r w:rsidR="00C054EE">
              <w:rPr>
                <w:noProof/>
                <w:webHidden/>
              </w:rPr>
              <w:fldChar w:fldCharType="end"/>
            </w:r>
          </w:hyperlink>
        </w:p>
        <w:p w:rsidR="00C054EE" w:rsidRDefault="000D5832" w14:paraId="503580FE" w14:textId="03D93C96">
          <w:pPr>
            <w:pStyle w:val="TOC3"/>
            <w:tabs>
              <w:tab w:val="left" w:pos="1728"/>
              <w:tab w:val="right" w:leader="dot" w:pos="9350"/>
            </w:tabs>
            <w:rPr>
              <w:rFonts w:asciiTheme="minorHAnsi" w:hAnsiTheme="minorHAnsi" w:cstheme="minorBidi"/>
              <w:noProof/>
              <w:sz w:val="22"/>
              <w:szCs w:val="22"/>
            </w:rPr>
          </w:pPr>
          <w:hyperlink w:history="1" w:anchor="_Toc69948336">
            <w:r w:rsidRPr="00FD24A9" w:rsidR="00C054EE">
              <w:rPr>
                <w:rStyle w:val="Hyperlink"/>
                <w:noProof/>
              </w:rPr>
              <w:t>10.5.7.</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_Toc69948336 \h </w:instrText>
            </w:r>
            <w:r w:rsidR="00C054EE">
              <w:rPr>
                <w:noProof/>
                <w:webHidden/>
              </w:rPr>
            </w:r>
            <w:r w:rsidR="00C054EE">
              <w:rPr>
                <w:noProof/>
                <w:webHidden/>
              </w:rPr>
              <w:fldChar w:fldCharType="separate"/>
            </w:r>
            <w:r w:rsidR="004C2E01">
              <w:rPr>
                <w:noProof/>
                <w:webHidden/>
              </w:rPr>
              <w:t>427</w:t>
            </w:r>
            <w:r w:rsidR="00C054EE">
              <w:rPr>
                <w:noProof/>
                <w:webHidden/>
              </w:rPr>
              <w:fldChar w:fldCharType="end"/>
            </w:r>
          </w:hyperlink>
        </w:p>
        <w:p w:rsidR="00C054EE" w:rsidRDefault="000D5832" w14:paraId="2FA280D1" w14:textId="5B38889E">
          <w:pPr>
            <w:pStyle w:val="TOC4"/>
            <w:tabs>
              <w:tab w:val="left" w:pos="2160"/>
              <w:tab w:val="right" w:leader="dot" w:pos="9350"/>
            </w:tabs>
            <w:rPr>
              <w:rFonts w:asciiTheme="minorHAnsi" w:hAnsiTheme="minorHAnsi" w:eastAsiaTheme="minorEastAsia" w:cstheme="minorBidi"/>
              <w:noProof/>
              <w:sz w:val="22"/>
              <w:szCs w:val="22"/>
            </w:rPr>
          </w:pPr>
          <w:hyperlink w:history="1" w:anchor="_Toc69948337">
            <w:r w:rsidRPr="00FD24A9" w:rsidR="00C054EE">
              <w:rPr>
                <w:rStyle w:val="Hyperlink"/>
                <w:noProof/>
              </w:rPr>
              <w:t>10.5.7.1.</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_Toc69948337 \h </w:instrText>
            </w:r>
            <w:r w:rsidR="00C054EE">
              <w:rPr>
                <w:noProof/>
                <w:webHidden/>
              </w:rPr>
            </w:r>
            <w:r w:rsidR="00C054EE">
              <w:rPr>
                <w:noProof/>
                <w:webHidden/>
              </w:rPr>
              <w:fldChar w:fldCharType="separate"/>
            </w:r>
            <w:r w:rsidR="004C2E01">
              <w:rPr>
                <w:noProof/>
                <w:webHidden/>
              </w:rPr>
              <w:t>427</w:t>
            </w:r>
            <w:r w:rsidR="00C054EE">
              <w:rPr>
                <w:noProof/>
                <w:webHidden/>
              </w:rPr>
              <w:fldChar w:fldCharType="end"/>
            </w:r>
          </w:hyperlink>
        </w:p>
        <w:p w:rsidR="00C054EE" w:rsidRDefault="000D5832" w14:paraId="0834A506" w14:textId="38749A38">
          <w:pPr>
            <w:pStyle w:val="TOC3"/>
            <w:tabs>
              <w:tab w:val="left" w:pos="1728"/>
              <w:tab w:val="right" w:leader="dot" w:pos="9350"/>
            </w:tabs>
            <w:rPr>
              <w:rFonts w:asciiTheme="minorHAnsi" w:hAnsiTheme="minorHAnsi" w:cstheme="minorBidi"/>
              <w:noProof/>
              <w:sz w:val="22"/>
              <w:szCs w:val="22"/>
            </w:rPr>
          </w:pPr>
          <w:hyperlink w:history="1" w:anchor="_Toc69948338">
            <w:r w:rsidRPr="00FD24A9" w:rsidR="00C054EE">
              <w:rPr>
                <w:rStyle w:val="Hyperlink"/>
                <w:noProof/>
              </w:rPr>
              <w:t>10.5.8.</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_Toc69948338 \h </w:instrText>
            </w:r>
            <w:r w:rsidR="00C054EE">
              <w:rPr>
                <w:noProof/>
                <w:webHidden/>
              </w:rPr>
            </w:r>
            <w:r w:rsidR="00C054EE">
              <w:rPr>
                <w:noProof/>
                <w:webHidden/>
              </w:rPr>
              <w:fldChar w:fldCharType="separate"/>
            </w:r>
            <w:r w:rsidR="004C2E01">
              <w:rPr>
                <w:noProof/>
                <w:webHidden/>
              </w:rPr>
              <w:t>428</w:t>
            </w:r>
            <w:r w:rsidR="00C054EE">
              <w:rPr>
                <w:noProof/>
                <w:webHidden/>
              </w:rPr>
              <w:fldChar w:fldCharType="end"/>
            </w:r>
          </w:hyperlink>
        </w:p>
        <w:p w:rsidR="00C054EE" w:rsidRDefault="000D5832" w14:paraId="66AB9B83" w14:textId="6760F6B4">
          <w:pPr>
            <w:pStyle w:val="TOC4"/>
            <w:tabs>
              <w:tab w:val="left" w:pos="2160"/>
              <w:tab w:val="right" w:leader="dot" w:pos="9350"/>
            </w:tabs>
            <w:rPr>
              <w:rFonts w:asciiTheme="minorHAnsi" w:hAnsiTheme="minorHAnsi" w:eastAsiaTheme="minorEastAsia" w:cstheme="minorBidi"/>
              <w:noProof/>
              <w:sz w:val="22"/>
              <w:szCs w:val="22"/>
            </w:rPr>
          </w:pPr>
          <w:hyperlink w:history="1" w:anchor="_Toc69948339">
            <w:r w:rsidRPr="00FD24A9" w:rsidR="00C054EE">
              <w:rPr>
                <w:rStyle w:val="Hyperlink"/>
                <w:noProof/>
              </w:rPr>
              <w:t>10.5.8.1.</w:t>
            </w:r>
            <w:r w:rsidR="00C054EE">
              <w:rPr>
                <w:rFonts w:asciiTheme="minorHAnsi" w:hAnsiTheme="minorHAnsi" w:eastAsiaTheme="minorEastAsia" w:cstheme="minorBidi"/>
                <w:noProof/>
                <w:sz w:val="22"/>
                <w:szCs w:val="22"/>
              </w:rPr>
              <w:tab/>
            </w:r>
            <w:r w:rsidRPr="00FD24A9" w:rsidR="00C054EE">
              <w:rPr>
                <w:rStyle w:val="Hyperlink"/>
                <w:noProof/>
              </w:rPr>
              <w:t>Unspent Funds: Approved with Modifications</w:t>
            </w:r>
            <w:r w:rsidR="00C054EE">
              <w:rPr>
                <w:noProof/>
                <w:webHidden/>
              </w:rPr>
              <w:tab/>
            </w:r>
            <w:r w:rsidR="00C054EE">
              <w:rPr>
                <w:noProof/>
                <w:webHidden/>
              </w:rPr>
              <w:fldChar w:fldCharType="begin"/>
            </w:r>
            <w:r w:rsidR="00C054EE">
              <w:rPr>
                <w:noProof/>
                <w:webHidden/>
              </w:rPr>
              <w:instrText xml:space="preserve"> PAGEREF _Toc69948339 \h </w:instrText>
            </w:r>
            <w:r w:rsidR="00C054EE">
              <w:rPr>
                <w:noProof/>
                <w:webHidden/>
              </w:rPr>
            </w:r>
            <w:r w:rsidR="00C054EE">
              <w:rPr>
                <w:noProof/>
                <w:webHidden/>
              </w:rPr>
              <w:fldChar w:fldCharType="separate"/>
            </w:r>
            <w:r w:rsidR="004C2E01">
              <w:rPr>
                <w:noProof/>
                <w:webHidden/>
              </w:rPr>
              <w:t>428</w:t>
            </w:r>
            <w:r w:rsidR="00C054EE">
              <w:rPr>
                <w:noProof/>
                <w:webHidden/>
              </w:rPr>
              <w:fldChar w:fldCharType="end"/>
            </w:r>
          </w:hyperlink>
        </w:p>
        <w:p w:rsidR="00C054EE" w:rsidRDefault="000D5832" w14:paraId="6079E39A" w14:textId="2E1FA4C7">
          <w:pPr>
            <w:pStyle w:val="TOC4"/>
            <w:tabs>
              <w:tab w:val="left" w:pos="2160"/>
              <w:tab w:val="right" w:leader="dot" w:pos="9350"/>
            </w:tabs>
            <w:rPr>
              <w:rFonts w:asciiTheme="minorHAnsi" w:hAnsiTheme="minorHAnsi" w:eastAsiaTheme="minorEastAsia" w:cstheme="minorBidi"/>
              <w:noProof/>
              <w:sz w:val="22"/>
              <w:szCs w:val="22"/>
            </w:rPr>
          </w:pPr>
          <w:hyperlink w:history="1" w:anchor="_Toc69948340">
            <w:r w:rsidRPr="00FD24A9" w:rsidR="00C054EE">
              <w:rPr>
                <w:rStyle w:val="Hyperlink"/>
                <w:noProof/>
              </w:rPr>
              <w:t>10.5.8.2.</w:t>
            </w:r>
            <w:r w:rsidR="00C054EE">
              <w:rPr>
                <w:rFonts w:asciiTheme="minorHAnsi" w:hAnsiTheme="minorHAnsi" w:eastAsiaTheme="minorEastAsia" w:cstheme="minorBidi"/>
                <w:noProof/>
                <w:sz w:val="22"/>
                <w:szCs w:val="22"/>
              </w:rPr>
              <w:tab/>
            </w:r>
            <w:r w:rsidRPr="00FD24A9" w:rsidR="00C054EE">
              <w:rPr>
                <w:rStyle w:val="Hyperlink"/>
                <w:noProof/>
              </w:rPr>
              <w:t>Fund Shifting: Approved with Modifications</w:t>
            </w:r>
            <w:r w:rsidR="00C054EE">
              <w:rPr>
                <w:noProof/>
                <w:webHidden/>
              </w:rPr>
              <w:tab/>
            </w:r>
            <w:r w:rsidR="00C054EE">
              <w:rPr>
                <w:noProof/>
                <w:webHidden/>
              </w:rPr>
              <w:fldChar w:fldCharType="begin"/>
            </w:r>
            <w:r w:rsidR="00C054EE">
              <w:rPr>
                <w:noProof/>
                <w:webHidden/>
              </w:rPr>
              <w:instrText xml:space="preserve"> PAGEREF _Toc69948340 \h </w:instrText>
            </w:r>
            <w:r w:rsidR="00C054EE">
              <w:rPr>
                <w:noProof/>
                <w:webHidden/>
              </w:rPr>
            </w:r>
            <w:r w:rsidR="00C054EE">
              <w:rPr>
                <w:noProof/>
                <w:webHidden/>
              </w:rPr>
              <w:fldChar w:fldCharType="separate"/>
            </w:r>
            <w:r w:rsidR="004C2E01">
              <w:rPr>
                <w:noProof/>
                <w:webHidden/>
              </w:rPr>
              <w:t>428</w:t>
            </w:r>
            <w:r w:rsidR="00C054EE">
              <w:rPr>
                <w:noProof/>
                <w:webHidden/>
              </w:rPr>
              <w:fldChar w:fldCharType="end"/>
            </w:r>
          </w:hyperlink>
        </w:p>
        <w:p w:rsidR="00C054EE" w:rsidRDefault="000D5832" w14:paraId="3F1D842E" w14:textId="3BB044EC">
          <w:pPr>
            <w:pStyle w:val="TOC2"/>
            <w:tabs>
              <w:tab w:val="left" w:pos="1296"/>
              <w:tab w:val="right" w:leader="dot" w:pos="9350"/>
            </w:tabs>
            <w:rPr>
              <w:rFonts w:asciiTheme="minorHAnsi" w:hAnsiTheme="minorHAnsi" w:cstheme="minorBidi"/>
              <w:noProof/>
              <w:sz w:val="22"/>
              <w:szCs w:val="22"/>
            </w:rPr>
          </w:pPr>
          <w:hyperlink w:history="1" w:anchor="_Toc69948341">
            <w:r w:rsidRPr="00FD24A9" w:rsidR="00C054EE">
              <w:rPr>
                <w:rStyle w:val="Hyperlink"/>
                <w:noProof/>
              </w:rPr>
              <w:t>10.6.</w:t>
            </w:r>
            <w:r w:rsidR="00C054EE">
              <w:rPr>
                <w:rFonts w:asciiTheme="minorHAnsi" w:hAnsiTheme="minorHAnsi" w:cstheme="minorBidi"/>
                <w:noProof/>
                <w:sz w:val="22"/>
                <w:szCs w:val="22"/>
              </w:rPr>
              <w:tab/>
            </w:r>
            <w:r w:rsidRPr="00FD24A9" w:rsidR="00C054EE">
              <w:rPr>
                <w:rStyle w:val="Hyperlink"/>
                <w:noProof/>
              </w:rPr>
              <w:t>Gas/Electric Splits</w:t>
            </w:r>
            <w:r w:rsidR="00C054EE">
              <w:rPr>
                <w:noProof/>
                <w:webHidden/>
              </w:rPr>
              <w:tab/>
            </w:r>
            <w:r w:rsidR="00C054EE">
              <w:rPr>
                <w:noProof/>
                <w:webHidden/>
              </w:rPr>
              <w:fldChar w:fldCharType="begin"/>
            </w:r>
            <w:r w:rsidR="00C054EE">
              <w:rPr>
                <w:noProof/>
                <w:webHidden/>
              </w:rPr>
              <w:instrText xml:space="preserve"> PAGEREF _Toc69948341 \h </w:instrText>
            </w:r>
            <w:r w:rsidR="00C054EE">
              <w:rPr>
                <w:noProof/>
                <w:webHidden/>
              </w:rPr>
            </w:r>
            <w:r w:rsidR="00C054EE">
              <w:rPr>
                <w:noProof/>
                <w:webHidden/>
              </w:rPr>
              <w:fldChar w:fldCharType="separate"/>
            </w:r>
            <w:r w:rsidR="004C2E01">
              <w:rPr>
                <w:noProof/>
                <w:webHidden/>
              </w:rPr>
              <w:t>429</w:t>
            </w:r>
            <w:r w:rsidR="00C054EE">
              <w:rPr>
                <w:noProof/>
                <w:webHidden/>
              </w:rPr>
              <w:fldChar w:fldCharType="end"/>
            </w:r>
          </w:hyperlink>
        </w:p>
        <w:p w:rsidR="00C054EE" w:rsidRDefault="000D5832" w14:paraId="6A64AE80" w14:textId="6152E216">
          <w:pPr>
            <w:pStyle w:val="TOC3"/>
            <w:tabs>
              <w:tab w:val="left" w:pos="1728"/>
              <w:tab w:val="right" w:leader="dot" w:pos="9350"/>
            </w:tabs>
            <w:rPr>
              <w:rFonts w:asciiTheme="minorHAnsi" w:hAnsiTheme="minorHAnsi" w:cstheme="minorBidi"/>
              <w:noProof/>
              <w:sz w:val="22"/>
              <w:szCs w:val="22"/>
            </w:rPr>
          </w:pPr>
          <w:hyperlink w:history="1" w:anchor="_Toc69948342">
            <w:r w:rsidRPr="00FD24A9" w:rsidR="00C054EE">
              <w:rPr>
                <w:rStyle w:val="Hyperlink"/>
                <w:noProof/>
              </w:rPr>
              <w:t>10.6.1.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_Toc69948342 \h </w:instrText>
            </w:r>
            <w:r w:rsidR="00C054EE">
              <w:rPr>
                <w:noProof/>
                <w:webHidden/>
              </w:rPr>
            </w:r>
            <w:r w:rsidR="00C054EE">
              <w:rPr>
                <w:noProof/>
                <w:webHidden/>
              </w:rPr>
              <w:fldChar w:fldCharType="separate"/>
            </w:r>
            <w:r w:rsidR="004C2E01">
              <w:rPr>
                <w:noProof/>
                <w:webHidden/>
              </w:rPr>
              <w:t>430</w:t>
            </w:r>
            <w:r w:rsidR="00C054EE">
              <w:rPr>
                <w:noProof/>
                <w:webHidden/>
              </w:rPr>
              <w:fldChar w:fldCharType="end"/>
            </w:r>
          </w:hyperlink>
        </w:p>
        <w:p w:rsidR="00C054EE" w:rsidRDefault="000D5832" w14:paraId="338763E1" w14:textId="12A2EFF2">
          <w:pPr>
            <w:pStyle w:val="TOC3"/>
            <w:tabs>
              <w:tab w:val="left" w:pos="1728"/>
              <w:tab w:val="right" w:leader="dot" w:pos="9350"/>
            </w:tabs>
            <w:rPr>
              <w:rFonts w:asciiTheme="minorHAnsi" w:hAnsiTheme="minorHAnsi" w:cstheme="minorBidi"/>
              <w:noProof/>
              <w:sz w:val="22"/>
              <w:szCs w:val="22"/>
            </w:rPr>
          </w:pPr>
          <w:hyperlink w:history="1" w:anchor="_Toc69948343">
            <w:r w:rsidRPr="00FD24A9" w:rsidR="00C054EE">
              <w:rPr>
                <w:rStyle w:val="Hyperlink"/>
                <w:noProof/>
              </w:rPr>
              <w:t>10.6.2.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_Toc69948343 \h </w:instrText>
            </w:r>
            <w:r w:rsidR="00C054EE">
              <w:rPr>
                <w:noProof/>
                <w:webHidden/>
              </w:rPr>
            </w:r>
            <w:r w:rsidR="00C054EE">
              <w:rPr>
                <w:noProof/>
                <w:webHidden/>
              </w:rPr>
              <w:fldChar w:fldCharType="separate"/>
            </w:r>
            <w:r w:rsidR="004C2E01">
              <w:rPr>
                <w:noProof/>
                <w:webHidden/>
              </w:rPr>
              <w:t>430</w:t>
            </w:r>
            <w:r w:rsidR="00C054EE">
              <w:rPr>
                <w:noProof/>
                <w:webHidden/>
              </w:rPr>
              <w:fldChar w:fldCharType="end"/>
            </w:r>
          </w:hyperlink>
        </w:p>
        <w:p w:rsidR="00C054EE" w:rsidRDefault="000D5832" w14:paraId="6C0F807C" w14:textId="7E186E30">
          <w:pPr>
            <w:pStyle w:val="TOC4"/>
            <w:tabs>
              <w:tab w:val="left" w:pos="2160"/>
              <w:tab w:val="right" w:leader="dot" w:pos="9350"/>
            </w:tabs>
            <w:rPr>
              <w:rFonts w:asciiTheme="minorHAnsi" w:hAnsiTheme="minorHAnsi" w:eastAsiaTheme="minorEastAsia" w:cstheme="minorBidi"/>
              <w:noProof/>
              <w:sz w:val="22"/>
              <w:szCs w:val="22"/>
            </w:rPr>
          </w:pPr>
          <w:hyperlink w:history="1" w:anchor="_Toc69948344">
            <w:r w:rsidRPr="00FD24A9" w:rsidR="00C054EE">
              <w:rPr>
                <w:rStyle w:val="Hyperlink"/>
                <w:noProof/>
              </w:rPr>
              <w:t>10.6.2.1.</w:t>
            </w:r>
            <w:r w:rsidR="00C054EE">
              <w:rPr>
                <w:rFonts w:asciiTheme="minorHAnsi" w:hAnsiTheme="minorHAnsi" w:eastAsiaTheme="minorEastAsia" w:cstheme="minorBidi"/>
                <w:noProof/>
                <w:sz w:val="22"/>
                <w:szCs w:val="22"/>
              </w:rPr>
              <w:tab/>
            </w:r>
            <w:r w:rsidRPr="00FD24A9" w:rsidR="00C054EE">
              <w:rPr>
                <w:rStyle w:val="Hyperlink"/>
                <w:noProof/>
              </w:rPr>
              <w:t>Gas/Electric Splits: Approved</w:t>
            </w:r>
            <w:r w:rsidR="00C054EE">
              <w:rPr>
                <w:noProof/>
                <w:webHidden/>
              </w:rPr>
              <w:tab/>
            </w:r>
            <w:r w:rsidR="00C054EE">
              <w:rPr>
                <w:noProof/>
                <w:webHidden/>
              </w:rPr>
              <w:fldChar w:fldCharType="begin"/>
            </w:r>
            <w:r w:rsidR="00C054EE">
              <w:rPr>
                <w:noProof/>
                <w:webHidden/>
              </w:rPr>
              <w:instrText xml:space="preserve"> PAGEREF _Toc69948344 \h </w:instrText>
            </w:r>
            <w:r w:rsidR="00C054EE">
              <w:rPr>
                <w:noProof/>
                <w:webHidden/>
              </w:rPr>
            </w:r>
            <w:r w:rsidR="00C054EE">
              <w:rPr>
                <w:noProof/>
                <w:webHidden/>
              </w:rPr>
              <w:fldChar w:fldCharType="separate"/>
            </w:r>
            <w:r w:rsidR="004C2E01">
              <w:rPr>
                <w:noProof/>
                <w:webHidden/>
              </w:rPr>
              <w:t>430</w:t>
            </w:r>
            <w:r w:rsidR="00C054EE">
              <w:rPr>
                <w:noProof/>
                <w:webHidden/>
              </w:rPr>
              <w:fldChar w:fldCharType="end"/>
            </w:r>
          </w:hyperlink>
        </w:p>
        <w:p w:rsidR="00C054EE" w:rsidRDefault="000D5832" w14:paraId="29C0F568" w14:textId="0A2EB278">
          <w:pPr>
            <w:pStyle w:val="TOC2"/>
            <w:tabs>
              <w:tab w:val="left" w:pos="1296"/>
              <w:tab w:val="right" w:leader="dot" w:pos="9350"/>
            </w:tabs>
            <w:rPr>
              <w:rFonts w:asciiTheme="minorHAnsi" w:hAnsiTheme="minorHAnsi" w:cstheme="minorBidi"/>
              <w:noProof/>
              <w:sz w:val="22"/>
              <w:szCs w:val="22"/>
            </w:rPr>
          </w:pPr>
          <w:hyperlink w:history="1" w:anchor="_Toc69948345">
            <w:r w:rsidRPr="00FD24A9" w:rsidR="00C054EE">
              <w:rPr>
                <w:rStyle w:val="Hyperlink"/>
                <w:noProof/>
              </w:rPr>
              <w:t>10.7.</w:t>
            </w:r>
            <w:r w:rsidR="00C054EE">
              <w:rPr>
                <w:rFonts w:asciiTheme="minorHAnsi" w:hAnsiTheme="minorHAnsi" w:cstheme="minorBidi"/>
                <w:noProof/>
                <w:sz w:val="22"/>
                <w:szCs w:val="22"/>
              </w:rPr>
              <w:tab/>
            </w:r>
            <w:r w:rsidRPr="00FD24A9" w:rsidR="00C054EE">
              <w:rPr>
                <w:rStyle w:val="Hyperlink"/>
                <w:noProof/>
              </w:rPr>
              <w:t>Low Income Oversight Board</w:t>
            </w:r>
            <w:r w:rsidR="00C054EE">
              <w:rPr>
                <w:noProof/>
                <w:webHidden/>
              </w:rPr>
              <w:tab/>
            </w:r>
            <w:r w:rsidR="00C054EE">
              <w:rPr>
                <w:noProof/>
                <w:webHidden/>
              </w:rPr>
              <w:fldChar w:fldCharType="begin"/>
            </w:r>
            <w:r w:rsidR="00C054EE">
              <w:rPr>
                <w:noProof/>
                <w:webHidden/>
              </w:rPr>
              <w:instrText xml:space="preserve"> PAGEREF _Toc69948345 \h </w:instrText>
            </w:r>
            <w:r w:rsidR="00C054EE">
              <w:rPr>
                <w:noProof/>
                <w:webHidden/>
              </w:rPr>
            </w:r>
            <w:r w:rsidR="00C054EE">
              <w:rPr>
                <w:noProof/>
                <w:webHidden/>
              </w:rPr>
              <w:fldChar w:fldCharType="separate"/>
            </w:r>
            <w:r w:rsidR="004C2E01">
              <w:rPr>
                <w:noProof/>
                <w:webHidden/>
              </w:rPr>
              <w:t>430</w:t>
            </w:r>
            <w:r w:rsidR="00C054EE">
              <w:rPr>
                <w:noProof/>
                <w:webHidden/>
              </w:rPr>
              <w:fldChar w:fldCharType="end"/>
            </w:r>
          </w:hyperlink>
        </w:p>
        <w:p w:rsidR="00C054EE" w:rsidRDefault="000D5832" w14:paraId="6A936108" w14:textId="4C4DD62A">
          <w:pPr>
            <w:pStyle w:val="TOC3"/>
            <w:tabs>
              <w:tab w:val="left" w:pos="1728"/>
              <w:tab w:val="right" w:leader="dot" w:pos="9350"/>
            </w:tabs>
            <w:rPr>
              <w:rFonts w:asciiTheme="minorHAnsi" w:hAnsiTheme="minorHAnsi" w:cstheme="minorBidi"/>
              <w:noProof/>
              <w:sz w:val="22"/>
              <w:szCs w:val="22"/>
            </w:rPr>
          </w:pPr>
          <w:hyperlink w:history="1" w:anchor="_Toc69948346">
            <w:r w:rsidRPr="00FD24A9" w:rsidR="00C054EE">
              <w:rPr>
                <w:rStyle w:val="Hyperlink"/>
                <w:noProof/>
              </w:rPr>
              <w:t>10.7.1.</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_Toc69948346 \h </w:instrText>
            </w:r>
            <w:r w:rsidR="00C054EE">
              <w:rPr>
                <w:noProof/>
                <w:webHidden/>
              </w:rPr>
            </w:r>
            <w:r w:rsidR="00C054EE">
              <w:rPr>
                <w:noProof/>
                <w:webHidden/>
              </w:rPr>
              <w:fldChar w:fldCharType="separate"/>
            </w:r>
            <w:r w:rsidR="004C2E01">
              <w:rPr>
                <w:noProof/>
                <w:webHidden/>
              </w:rPr>
              <w:t>431</w:t>
            </w:r>
            <w:r w:rsidR="00C054EE">
              <w:rPr>
                <w:noProof/>
                <w:webHidden/>
              </w:rPr>
              <w:fldChar w:fldCharType="end"/>
            </w:r>
          </w:hyperlink>
        </w:p>
        <w:p w:rsidR="00C054EE" w:rsidRDefault="000D5832" w14:paraId="32FE7056" w14:textId="51E8EFE7">
          <w:pPr>
            <w:pStyle w:val="TOC3"/>
            <w:tabs>
              <w:tab w:val="left" w:pos="1728"/>
              <w:tab w:val="right" w:leader="dot" w:pos="9350"/>
            </w:tabs>
            <w:rPr>
              <w:rFonts w:asciiTheme="minorHAnsi" w:hAnsiTheme="minorHAnsi" w:cstheme="minorBidi"/>
              <w:noProof/>
              <w:sz w:val="22"/>
              <w:szCs w:val="22"/>
            </w:rPr>
          </w:pPr>
          <w:hyperlink w:history="1" w:anchor="_Toc69948347">
            <w:r w:rsidRPr="00FD24A9" w:rsidR="00C054EE">
              <w:rPr>
                <w:rStyle w:val="Hyperlink"/>
                <w:noProof/>
              </w:rPr>
              <w:t>10.7.2.</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_Toc69948347 \h </w:instrText>
            </w:r>
            <w:r w:rsidR="00C054EE">
              <w:rPr>
                <w:noProof/>
                <w:webHidden/>
              </w:rPr>
            </w:r>
            <w:r w:rsidR="00C054EE">
              <w:rPr>
                <w:noProof/>
                <w:webHidden/>
              </w:rPr>
              <w:fldChar w:fldCharType="separate"/>
            </w:r>
            <w:r w:rsidR="004C2E01">
              <w:rPr>
                <w:noProof/>
                <w:webHidden/>
              </w:rPr>
              <w:t>431</w:t>
            </w:r>
            <w:r w:rsidR="00C054EE">
              <w:rPr>
                <w:noProof/>
                <w:webHidden/>
              </w:rPr>
              <w:fldChar w:fldCharType="end"/>
            </w:r>
          </w:hyperlink>
        </w:p>
        <w:p w:rsidR="00C054EE" w:rsidRDefault="000D5832" w14:paraId="66285374" w14:textId="1F017651">
          <w:pPr>
            <w:pStyle w:val="TOC4"/>
            <w:tabs>
              <w:tab w:val="left" w:pos="2160"/>
              <w:tab w:val="right" w:leader="dot" w:pos="9350"/>
            </w:tabs>
            <w:rPr>
              <w:rFonts w:asciiTheme="minorHAnsi" w:hAnsiTheme="minorHAnsi" w:eastAsiaTheme="minorEastAsia" w:cstheme="minorBidi"/>
              <w:noProof/>
              <w:sz w:val="22"/>
              <w:szCs w:val="22"/>
            </w:rPr>
          </w:pPr>
          <w:hyperlink w:history="1" w:anchor="_Toc69948348">
            <w:r w:rsidRPr="00FD24A9" w:rsidR="00C054EE">
              <w:rPr>
                <w:rStyle w:val="Hyperlink"/>
                <w:noProof/>
              </w:rPr>
              <w:t>10.7.2.1.</w:t>
            </w:r>
            <w:r w:rsidR="00C054EE">
              <w:rPr>
                <w:rFonts w:asciiTheme="minorHAnsi" w:hAnsiTheme="minorHAnsi" w:eastAsiaTheme="minorEastAsia" w:cstheme="minorBidi"/>
                <w:noProof/>
                <w:sz w:val="22"/>
                <w:szCs w:val="22"/>
              </w:rPr>
              <w:tab/>
            </w:r>
            <w:r w:rsidRPr="00FD24A9" w:rsidR="00C054EE">
              <w:rPr>
                <w:rStyle w:val="Hyperlink"/>
                <w:noProof/>
              </w:rPr>
              <w:t>Two Year IOU LIOB Rotations: Approved</w:t>
            </w:r>
            <w:r w:rsidR="00C054EE">
              <w:rPr>
                <w:noProof/>
                <w:webHidden/>
              </w:rPr>
              <w:tab/>
            </w:r>
            <w:r w:rsidR="00C054EE">
              <w:rPr>
                <w:noProof/>
                <w:webHidden/>
              </w:rPr>
              <w:fldChar w:fldCharType="begin"/>
            </w:r>
            <w:r w:rsidR="00C054EE">
              <w:rPr>
                <w:noProof/>
                <w:webHidden/>
              </w:rPr>
              <w:instrText xml:space="preserve"> PAGEREF _Toc69948348 \h </w:instrText>
            </w:r>
            <w:r w:rsidR="00C054EE">
              <w:rPr>
                <w:noProof/>
                <w:webHidden/>
              </w:rPr>
            </w:r>
            <w:r w:rsidR="00C054EE">
              <w:rPr>
                <w:noProof/>
                <w:webHidden/>
              </w:rPr>
              <w:fldChar w:fldCharType="separate"/>
            </w:r>
            <w:r w:rsidR="004C2E01">
              <w:rPr>
                <w:noProof/>
                <w:webHidden/>
              </w:rPr>
              <w:t>431</w:t>
            </w:r>
            <w:r w:rsidR="00C054EE">
              <w:rPr>
                <w:noProof/>
                <w:webHidden/>
              </w:rPr>
              <w:fldChar w:fldCharType="end"/>
            </w:r>
          </w:hyperlink>
        </w:p>
        <w:p w:rsidR="00C054EE" w:rsidRDefault="000D5832" w14:paraId="34167C88" w14:textId="1BA3F7EB">
          <w:pPr>
            <w:pStyle w:val="TOC2"/>
            <w:tabs>
              <w:tab w:val="left" w:pos="1296"/>
              <w:tab w:val="right" w:leader="dot" w:pos="9350"/>
            </w:tabs>
            <w:rPr>
              <w:rFonts w:asciiTheme="minorHAnsi" w:hAnsiTheme="minorHAnsi" w:cstheme="minorBidi"/>
              <w:noProof/>
              <w:sz w:val="22"/>
              <w:szCs w:val="22"/>
            </w:rPr>
          </w:pPr>
          <w:hyperlink w:history="1" w:anchor="_Toc69948349">
            <w:r w:rsidRPr="00FD24A9" w:rsidR="00C054EE">
              <w:rPr>
                <w:rStyle w:val="Hyperlink"/>
                <w:noProof/>
              </w:rPr>
              <w:t>10.8.</w:t>
            </w:r>
            <w:r w:rsidR="00C054EE">
              <w:rPr>
                <w:rFonts w:asciiTheme="minorHAnsi" w:hAnsiTheme="minorHAnsi" w:cstheme="minorBidi"/>
                <w:noProof/>
                <w:sz w:val="22"/>
                <w:szCs w:val="22"/>
              </w:rPr>
              <w:tab/>
            </w:r>
            <w:r w:rsidRPr="00FD24A9" w:rsidR="00C054EE">
              <w:rPr>
                <w:rStyle w:val="Hyperlink"/>
                <w:noProof/>
              </w:rPr>
              <w:t>Meetings &amp; Reporting</w:t>
            </w:r>
            <w:r w:rsidR="00C054EE">
              <w:rPr>
                <w:noProof/>
                <w:webHidden/>
              </w:rPr>
              <w:tab/>
            </w:r>
            <w:r w:rsidR="00C054EE">
              <w:rPr>
                <w:noProof/>
                <w:webHidden/>
              </w:rPr>
              <w:fldChar w:fldCharType="begin"/>
            </w:r>
            <w:r w:rsidR="00C054EE">
              <w:rPr>
                <w:noProof/>
                <w:webHidden/>
              </w:rPr>
              <w:instrText xml:space="preserve"> PAGEREF _Toc69948349 \h </w:instrText>
            </w:r>
            <w:r w:rsidR="00C054EE">
              <w:rPr>
                <w:noProof/>
                <w:webHidden/>
              </w:rPr>
            </w:r>
            <w:r w:rsidR="00C054EE">
              <w:rPr>
                <w:noProof/>
                <w:webHidden/>
              </w:rPr>
              <w:fldChar w:fldCharType="separate"/>
            </w:r>
            <w:r w:rsidR="004C2E01">
              <w:rPr>
                <w:noProof/>
                <w:webHidden/>
              </w:rPr>
              <w:t>431</w:t>
            </w:r>
            <w:r w:rsidR="00C054EE">
              <w:rPr>
                <w:noProof/>
                <w:webHidden/>
              </w:rPr>
              <w:fldChar w:fldCharType="end"/>
            </w:r>
          </w:hyperlink>
        </w:p>
        <w:p w:rsidR="00C054EE" w:rsidRDefault="000D5832" w14:paraId="5DB43CC1" w14:textId="22694782">
          <w:pPr>
            <w:pStyle w:val="TOC3"/>
            <w:tabs>
              <w:tab w:val="left" w:pos="1728"/>
              <w:tab w:val="right" w:leader="dot" w:pos="9350"/>
            </w:tabs>
            <w:rPr>
              <w:rFonts w:asciiTheme="minorHAnsi" w:hAnsiTheme="minorHAnsi" w:cstheme="minorBidi"/>
              <w:noProof/>
              <w:sz w:val="22"/>
              <w:szCs w:val="22"/>
            </w:rPr>
          </w:pPr>
          <w:hyperlink w:history="1" w:anchor="_Toc69948350">
            <w:r w:rsidRPr="00FD24A9" w:rsidR="00C054EE">
              <w:rPr>
                <w:rStyle w:val="Hyperlink"/>
                <w:noProof/>
              </w:rPr>
              <w:t>10.8.1.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_Toc69948350 \h </w:instrText>
            </w:r>
            <w:r w:rsidR="00C054EE">
              <w:rPr>
                <w:noProof/>
                <w:webHidden/>
              </w:rPr>
            </w:r>
            <w:r w:rsidR="00C054EE">
              <w:rPr>
                <w:noProof/>
                <w:webHidden/>
              </w:rPr>
              <w:fldChar w:fldCharType="separate"/>
            </w:r>
            <w:r w:rsidR="004C2E01">
              <w:rPr>
                <w:noProof/>
                <w:webHidden/>
              </w:rPr>
              <w:t>431</w:t>
            </w:r>
            <w:r w:rsidR="00C054EE">
              <w:rPr>
                <w:noProof/>
                <w:webHidden/>
              </w:rPr>
              <w:fldChar w:fldCharType="end"/>
            </w:r>
          </w:hyperlink>
        </w:p>
        <w:p w:rsidR="00C054EE" w:rsidRDefault="000D5832" w14:paraId="668B9FAA" w14:textId="73B4C094">
          <w:pPr>
            <w:pStyle w:val="TOC3"/>
            <w:tabs>
              <w:tab w:val="left" w:pos="1728"/>
              <w:tab w:val="right" w:leader="dot" w:pos="9350"/>
            </w:tabs>
            <w:rPr>
              <w:rFonts w:asciiTheme="minorHAnsi" w:hAnsiTheme="minorHAnsi" w:cstheme="minorBidi"/>
              <w:noProof/>
              <w:sz w:val="22"/>
              <w:szCs w:val="22"/>
            </w:rPr>
          </w:pPr>
          <w:hyperlink w:history="1" w:anchor="_Toc69948351">
            <w:r w:rsidRPr="00FD24A9" w:rsidR="00C054EE">
              <w:rPr>
                <w:rStyle w:val="Hyperlink"/>
                <w:noProof/>
              </w:rPr>
              <w:t>10.8.2.</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_Toc69948351 \h </w:instrText>
            </w:r>
            <w:r w:rsidR="00C054EE">
              <w:rPr>
                <w:noProof/>
                <w:webHidden/>
              </w:rPr>
            </w:r>
            <w:r w:rsidR="00C054EE">
              <w:rPr>
                <w:noProof/>
                <w:webHidden/>
              </w:rPr>
              <w:fldChar w:fldCharType="separate"/>
            </w:r>
            <w:r w:rsidR="004C2E01">
              <w:rPr>
                <w:noProof/>
                <w:webHidden/>
              </w:rPr>
              <w:t>432</w:t>
            </w:r>
            <w:r w:rsidR="00C054EE">
              <w:rPr>
                <w:noProof/>
                <w:webHidden/>
              </w:rPr>
              <w:fldChar w:fldCharType="end"/>
            </w:r>
          </w:hyperlink>
        </w:p>
        <w:p w:rsidR="00C054EE" w:rsidRDefault="000D5832" w14:paraId="157917A6" w14:textId="36F97B61">
          <w:pPr>
            <w:pStyle w:val="TOC3"/>
            <w:tabs>
              <w:tab w:val="left" w:pos="1728"/>
              <w:tab w:val="right" w:leader="dot" w:pos="9350"/>
            </w:tabs>
            <w:rPr>
              <w:rFonts w:asciiTheme="minorHAnsi" w:hAnsiTheme="minorHAnsi" w:cstheme="minorBidi"/>
              <w:noProof/>
              <w:sz w:val="22"/>
              <w:szCs w:val="22"/>
            </w:rPr>
          </w:pPr>
          <w:hyperlink w:history="1" w:anchor="_Toc69948352">
            <w:r w:rsidRPr="00FD24A9" w:rsidR="00C054EE">
              <w:rPr>
                <w:rStyle w:val="Hyperlink"/>
                <w:noProof/>
              </w:rPr>
              <w:t>10.8.3.</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_Toc69948352 \h </w:instrText>
            </w:r>
            <w:r w:rsidR="00C054EE">
              <w:rPr>
                <w:noProof/>
                <w:webHidden/>
              </w:rPr>
            </w:r>
            <w:r w:rsidR="00C054EE">
              <w:rPr>
                <w:noProof/>
                <w:webHidden/>
              </w:rPr>
              <w:fldChar w:fldCharType="separate"/>
            </w:r>
            <w:r w:rsidR="004C2E01">
              <w:rPr>
                <w:noProof/>
                <w:webHidden/>
              </w:rPr>
              <w:t>432</w:t>
            </w:r>
            <w:r w:rsidR="00C054EE">
              <w:rPr>
                <w:noProof/>
                <w:webHidden/>
              </w:rPr>
              <w:fldChar w:fldCharType="end"/>
            </w:r>
          </w:hyperlink>
        </w:p>
        <w:p w:rsidR="00C054EE" w:rsidRDefault="000D5832" w14:paraId="618CFB71" w14:textId="24738EC8">
          <w:pPr>
            <w:pStyle w:val="TOC3"/>
            <w:tabs>
              <w:tab w:val="left" w:pos="1728"/>
              <w:tab w:val="right" w:leader="dot" w:pos="9350"/>
            </w:tabs>
            <w:rPr>
              <w:rFonts w:asciiTheme="minorHAnsi" w:hAnsiTheme="minorHAnsi" w:cstheme="minorBidi"/>
              <w:noProof/>
              <w:sz w:val="22"/>
              <w:szCs w:val="22"/>
            </w:rPr>
          </w:pPr>
          <w:hyperlink w:history="1" w:anchor="_Toc69948353">
            <w:r w:rsidRPr="00FD24A9" w:rsidR="00C054EE">
              <w:rPr>
                <w:rStyle w:val="Hyperlink"/>
                <w:noProof/>
              </w:rPr>
              <w:t>10.8.4.</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_Toc69948353 \h </w:instrText>
            </w:r>
            <w:r w:rsidR="00C054EE">
              <w:rPr>
                <w:noProof/>
                <w:webHidden/>
              </w:rPr>
            </w:r>
            <w:r w:rsidR="00C054EE">
              <w:rPr>
                <w:noProof/>
                <w:webHidden/>
              </w:rPr>
              <w:fldChar w:fldCharType="separate"/>
            </w:r>
            <w:r w:rsidR="004C2E01">
              <w:rPr>
                <w:noProof/>
                <w:webHidden/>
              </w:rPr>
              <w:t>432</w:t>
            </w:r>
            <w:r w:rsidR="00C054EE">
              <w:rPr>
                <w:noProof/>
                <w:webHidden/>
              </w:rPr>
              <w:fldChar w:fldCharType="end"/>
            </w:r>
          </w:hyperlink>
        </w:p>
        <w:p w:rsidR="00C054EE" w:rsidRDefault="000D5832" w14:paraId="78970A78" w14:textId="34C9A90D">
          <w:pPr>
            <w:pStyle w:val="TOC3"/>
            <w:tabs>
              <w:tab w:val="left" w:pos="1728"/>
              <w:tab w:val="right" w:leader="dot" w:pos="9350"/>
            </w:tabs>
            <w:rPr>
              <w:rFonts w:asciiTheme="minorHAnsi" w:hAnsiTheme="minorHAnsi" w:cstheme="minorBidi"/>
              <w:noProof/>
              <w:sz w:val="22"/>
              <w:szCs w:val="22"/>
            </w:rPr>
          </w:pPr>
          <w:hyperlink w:history="1" w:anchor="_Toc69948354">
            <w:r w:rsidRPr="00FD24A9" w:rsidR="00C054EE">
              <w:rPr>
                <w:rStyle w:val="Hyperlink"/>
                <w:noProof/>
              </w:rPr>
              <w:t>10.8.5.</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_Toc69948354 \h </w:instrText>
            </w:r>
            <w:r w:rsidR="00C054EE">
              <w:rPr>
                <w:noProof/>
                <w:webHidden/>
              </w:rPr>
            </w:r>
            <w:r w:rsidR="00C054EE">
              <w:rPr>
                <w:noProof/>
                <w:webHidden/>
              </w:rPr>
              <w:fldChar w:fldCharType="separate"/>
            </w:r>
            <w:r w:rsidR="004C2E01">
              <w:rPr>
                <w:noProof/>
                <w:webHidden/>
              </w:rPr>
              <w:t>433</w:t>
            </w:r>
            <w:r w:rsidR="00C054EE">
              <w:rPr>
                <w:noProof/>
                <w:webHidden/>
              </w:rPr>
              <w:fldChar w:fldCharType="end"/>
            </w:r>
          </w:hyperlink>
        </w:p>
        <w:p w:rsidR="00C054EE" w:rsidRDefault="000D5832" w14:paraId="5579976D" w14:textId="0CEB011E">
          <w:pPr>
            <w:pStyle w:val="TOC3"/>
            <w:tabs>
              <w:tab w:val="left" w:pos="1728"/>
              <w:tab w:val="right" w:leader="dot" w:pos="9350"/>
            </w:tabs>
            <w:rPr>
              <w:rFonts w:asciiTheme="minorHAnsi" w:hAnsiTheme="minorHAnsi" w:cstheme="minorBidi"/>
              <w:noProof/>
              <w:sz w:val="22"/>
              <w:szCs w:val="22"/>
            </w:rPr>
          </w:pPr>
          <w:hyperlink w:history="1" w:anchor="_Toc69948355">
            <w:r w:rsidRPr="00FD24A9" w:rsidR="00C054EE">
              <w:rPr>
                <w:rStyle w:val="Hyperlink"/>
                <w:noProof/>
              </w:rPr>
              <w:t>10.8.6.</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_Toc69948355 \h </w:instrText>
            </w:r>
            <w:r w:rsidR="00C054EE">
              <w:rPr>
                <w:noProof/>
                <w:webHidden/>
              </w:rPr>
            </w:r>
            <w:r w:rsidR="00C054EE">
              <w:rPr>
                <w:noProof/>
                <w:webHidden/>
              </w:rPr>
              <w:fldChar w:fldCharType="separate"/>
            </w:r>
            <w:r w:rsidR="004C2E01">
              <w:rPr>
                <w:noProof/>
                <w:webHidden/>
              </w:rPr>
              <w:t>433</w:t>
            </w:r>
            <w:r w:rsidR="00C054EE">
              <w:rPr>
                <w:noProof/>
                <w:webHidden/>
              </w:rPr>
              <w:fldChar w:fldCharType="end"/>
            </w:r>
          </w:hyperlink>
        </w:p>
        <w:p w:rsidR="00C054EE" w:rsidRDefault="000D5832" w14:paraId="34B317ED" w14:textId="5F01BED3">
          <w:pPr>
            <w:pStyle w:val="TOC4"/>
            <w:tabs>
              <w:tab w:val="left" w:pos="2160"/>
              <w:tab w:val="right" w:leader="dot" w:pos="9350"/>
            </w:tabs>
            <w:rPr>
              <w:rFonts w:asciiTheme="minorHAnsi" w:hAnsiTheme="minorHAnsi" w:eastAsiaTheme="minorEastAsia" w:cstheme="minorBidi"/>
              <w:noProof/>
              <w:sz w:val="22"/>
              <w:szCs w:val="22"/>
            </w:rPr>
          </w:pPr>
          <w:hyperlink w:history="1" w:anchor="_Toc69948356">
            <w:r w:rsidRPr="00FD24A9" w:rsidR="00C054EE">
              <w:rPr>
                <w:rStyle w:val="Hyperlink"/>
                <w:noProof/>
              </w:rPr>
              <w:t>10.8.6.1.</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_Toc69948356 \h </w:instrText>
            </w:r>
            <w:r w:rsidR="00C054EE">
              <w:rPr>
                <w:noProof/>
                <w:webHidden/>
              </w:rPr>
            </w:r>
            <w:r w:rsidR="00C054EE">
              <w:rPr>
                <w:noProof/>
                <w:webHidden/>
              </w:rPr>
              <w:fldChar w:fldCharType="separate"/>
            </w:r>
            <w:r w:rsidR="004C2E01">
              <w:rPr>
                <w:noProof/>
                <w:webHidden/>
              </w:rPr>
              <w:t>433</w:t>
            </w:r>
            <w:r w:rsidR="00C054EE">
              <w:rPr>
                <w:noProof/>
                <w:webHidden/>
              </w:rPr>
              <w:fldChar w:fldCharType="end"/>
            </w:r>
          </w:hyperlink>
        </w:p>
        <w:p w:rsidR="00C054EE" w:rsidRDefault="000D5832" w14:paraId="55A9A514" w14:textId="3998A3FA">
          <w:pPr>
            <w:pStyle w:val="TOC3"/>
            <w:tabs>
              <w:tab w:val="left" w:pos="1728"/>
              <w:tab w:val="right" w:leader="dot" w:pos="9350"/>
            </w:tabs>
            <w:rPr>
              <w:rFonts w:asciiTheme="minorHAnsi" w:hAnsiTheme="minorHAnsi" w:cstheme="minorBidi"/>
              <w:noProof/>
              <w:sz w:val="22"/>
              <w:szCs w:val="22"/>
            </w:rPr>
          </w:pPr>
          <w:hyperlink w:history="1" w:anchor="_Toc69948357">
            <w:r w:rsidRPr="00FD24A9" w:rsidR="00C054EE">
              <w:rPr>
                <w:rStyle w:val="Hyperlink"/>
                <w:noProof/>
              </w:rPr>
              <w:t>10.8.7.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_Toc69948357 \h </w:instrText>
            </w:r>
            <w:r w:rsidR="00C054EE">
              <w:rPr>
                <w:noProof/>
                <w:webHidden/>
              </w:rPr>
            </w:r>
            <w:r w:rsidR="00C054EE">
              <w:rPr>
                <w:noProof/>
                <w:webHidden/>
              </w:rPr>
              <w:fldChar w:fldCharType="separate"/>
            </w:r>
            <w:r w:rsidR="004C2E01">
              <w:rPr>
                <w:noProof/>
                <w:webHidden/>
              </w:rPr>
              <w:t>434</w:t>
            </w:r>
            <w:r w:rsidR="00C054EE">
              <w:rPr>
                <w:noProof/>
                <w:webHidden/>
              </w:rPr>
              <w:fldChar w:fldCharType="end"/>
            </w:r>
          </w:hyperlink>
        </w:p>
        <w:p w:rsidR="00C054EE" w:rsidRDefault="000D5832" w14:paraId="682EE321" w14:textId="7B6225B8">
          <w:pPr>
            <w:pStyle w:val="TOC4"/>
            <w:tabs>
              <w:tab w:val="left" w:pos="2160"/>
              <w:tab w:val="right" w:leader="dot" w:pos="9350"/>
            </w:tabs>
            <w:rPr>
              <w:rFonts w:asciiTheme="minorHAnsi" w:hAnsiTheme="minorHAnsi" w:eastAsiaTheme="minorEastAsia" w:cstheme="minorBidi"/>
              <w:noProof/>
              <w:sz w:val="22"/>
              <w:szCs w:val="22"/>
            </w:rPr>
          </w:pPr>
          <w:hyperlink w:history="1" w:anchor="_Toc69948358">
            <w:r w:rsidRPr="00FD24A9" w:rsidR="00C054EE">
              <w:rPr>
                <w:rStyle w:val="Hyperlink"/>
                <w:noProof/>
              </w:rPr>
              <w:t>10.8.7.1.</w:t>
            </w:r>
            <w:r w:rsidR="00C054EE">
              <w:rPr>
                <w:rFonts w:asciiTheme="minorHAnsi" w:hAnsiTheme="minorHAnsi" w:eastAsiaTheme="minorEastAsia" w:cstheme="minorBidi"/>
                <w:noProof/>
                <w:sz w:val="22"/>
                <w:szCs w:val="22"/>
              </w:rPr>
              <w:tab/>
            </w:r>
            <w:r w:rsidRPr="00FD24A9" w:rsidR="00C054EE">
              <w:rPr>
                <w:rStyle w:val="Hyperlink"/>
                <w:noProof/>
              </w:rPr>
              <w:t>Replacing Annual Meeting with Biennial Meeting: Denied</w:t>
            </w:r>
            <w:r w:rsidR="00C054EE">
              <w:rPr>
                <w:noProof/>
                <w:webHidden/>
              </w:rPr>
              <w:tab/>
            </w:r>
            <w:r w:rsidR="00C054EE">
              <w:rPr>
                <w:noProof/>
                <w:webHidden/>
              </w:rPr>
              <w:fldChar w:fldCharType="begin"/>
            </w:r>
            <w:r w:rsidR="00C054EE">
              <w:rPr>
                <w:noProof/>
                <w:webHidden/>
              </w:rPr>
              <w:instrText xml:space="preserve"> PAGEREF _Toc69948358 \h </w:instrText>
            </w:r>
            <w:r w:rsidR="00C054EE">
              <w:rPr>
                <w:noProof/>
                <w:webHidden/>
              </w:rPr>
            </w:r>
            <w:r w:rsidR="00C054EE">
              <w:rPr>
                <w:noProof/>
                <w:webHidden/>
              </w:rPr>
              <w:fldChar w:fldCharType="separate"/>
            </w:r>
            <w:r w:rsidR="004C2E01">
              <w:rPr>
                <w:noProof/>
                <w:webHidden/>
              </w:rPr>
              <w:t>434</w:t>
            </w:r>
            <w:r w:rsidR="00C054EE">
              <w:rPr>
                <w:noProof/>
                <w:webHidden/>
              </w:rPr>
              <w:fldChar w:fldCharType="end"/>
            </w:r>
          </w:hyperlink>
        </w:p>
        <w:p w:rsidR="00C054EE" w:rsidRDefault="000D5832" w14:paraId="69CC5449" w14:textId="6B82FA32">
          <w:pPr>
            <w:pStyle w:val="TOC4"/>
            <w:tabs>
              <w:tab w:val="left" w:pos="2160"/>
              <w:tab w:val="right" w:leader="dot" w:pos="9350"/>
            </w:tabs>
            <w:rPr>
              <w:rFonts w:asciiTheme="minorHAnsi" w:hAnsiTheme="minorHAnsi" w:eastAsiaTheme="minorEastAsia" w:cstheme="minorBidi"/>
              <w:noProof/>
              <w:sz w:val="22"/>
              <w:szCs w:val="22"/>
            </w:rPr>
          </w:pPr>
          <w:hyperlink w:history="1" w:anchor="_Toc69948359">
            <w:r w:rsidRPr="00FD24A9" w:rsidR="00C054EE">
              <w:rPr>
                <w:rStyle w:val="Hyperlink"/>
                <w:noProof/>
              </w:rPr>
              <w:t>10.8.7.2.</w:t>
            </w:r>
            <w:r w:rsidR="00C054EE">
              <w:rPr>
                <w:rFonts w:asciiTheme="minorHAnsi" w:hAnsiTheme="minorHAnsi" w:eastAsiaTheme="minorEastAsia" w:cstheme="minorBidi"/>
                <w:noProof/>
                <w:sz w:val="22"/>
                <w:szCs w:val="22"/>
              </w:rPr>
              <w:tab/>
            </w:r>
            <w:r w:rsidRPr="00FD24A9" w:rsidR="00C054EE">
              <w:rPr>
                <w:rStyle w:val="Hyperlink"/>
                <w:noProof/>
              </w:rPr>
              <w:t>Combining FERA Reporting with CARE-ESA Annual Reporting: Approved with Modifications</w:t>
            </w:r>
            <w:r w:rsidR="00C054EE">
              <w:rPr>
                <w:noProof/>
                <w:webHidden/>
              </w:rPr>
              <w:tab/>
            </w:r>
            <w:r w:rsidR="00C054EE">
              <w:rPr>
                <w:noProof/>
                <w:webHidden/>
              </w:rPr>
              <w:fldChar w:fldCharType="begin"/>
            </w:r>
            <w:r w:rsidR="00C054EE">
              <w:rPr>
                <w:noProof/>
                <w:webHidden/>
              </w:rPr>
              <w:instrText xml:space="preserve"> PAGEREF _Toc69948359 \h </w:instrText>
            </w:r>
            <w:r w:rsidR="00C054EE">
              <w:rPr>
                <w:noProof/>
                <w:webHidden/>
              </w:rPr>
            </w:r>
            <w:r w:rsidR="00C054EE">
              <w:rPr>
                <w:noProof/>
                <w:webHidden/>
              </w:rPr>
              <w:fldChar w:fldCharType="separate"/>
            </w:r>
            <w:r w:rsidR="004C2E01">
              <w:rPr>
                <w:noProof/>
                <w:webHidden/>
              </w:rPr>
              <w:t>435</w:t>
            </w:r>
            <w:r w:rsidR="00C054EE">
              <w:rPr>
                <w:noProof/>
                <w:webHidden/>
              </w:rPr>
              <w:fldChar w:fldCharType="end"/>
            </w:r>
          </w:hyperlink>
        </w:p>
        <w:p w:rsidR="00C054EE" w:rsidRDefault="000D5832" w14:paraId="5ECA528E" w14:textId="1BA0DAD1">
          <w:pPr>
            <w:pStyle w:val="TOC4"/>
            <w:tabs>
              <w:tab w:val="left" w:pos="2160"/>
              <w:tab w:val="right" w:leader="dot" w:pos="9350"/>
            </w:tabs>
            <w:rPr>
              <w:rFonts w:asciiTheme="minorHAnsi" w:hAnsiTheme="minorHAnsi" w:eastAsiaTheme="minorEastAsia" w:cstheme="minorBidi"/>
              <w:noProof/>
              <w:sz w:val="22"/>
              <w:szCs w:val="22"/>
            </w:rPr>
          </w:pPr>
          <w:hyperlink w:history="1" w:anchor="_Toc69948360">
            <w:r w:rsidRPr="00FD24A9" w:rsidR="00C054EE">
              <w:rPr>
                <w:rStyle w:val="Hyperlink"/>
                <w:noProof/>
              </w:rPr>
              <w:t>10.8.7.3.</w:t>
            </w:r>
            <w:r w:rsidR="00C054EE">
              <w:rPr>
                <w:rFonts w:asciiTheme="minorHAnsi" w:hAnsiTheme="minorHAnsi" w:eastAsiaTheme="minorEastAsia" w:cstheme="minorBidi"/>
                <w:noProof/>
                <w:sz w:val="22"/>
                <w:szCs w:val="22"/>
              </w:rPr>
              <w:tab/>
            </w:r>
            <w:r w:rsidRPr="00FD24A9" w:rsidR="00C054EE">
              <w:rPr>
                <w:rStyle w:val="Hyperlink"/>
                <w:noProof/>
              </w:rPr>
              <w:t>Interactive Dashboard: New</w:t>
            </w:r>
            <w:r w:rsidR="00C054EE">
              <w:rPr>
                <w:noProof/>
                <w:webHidden/>
              </w:rPr>
              <w:tab/>
            </w:r>
            <w:r w:rsidR="00C054EE">
              <w:rPr>
                <w:noProof/>
                <w:webHidden/>
              </w:rPr>
              <w:fldChar w:fldCharType="begin"/>
            </w:r>
            <w:r w:rsidR="00C054EE">
              <w:rPr>
                <w:noProof/>
                <w:webHidden/>
              </w:rPr>
              <w:instrText xml:space="preserve"> PAGEREF _Toc69948360 \h </w:instrText>
            </w:r>
            <w:r w:rsidR="00C054EE">
              <w:rPr>
                <w:noProof/>
                <w:webHidden/>
              </w:rPr>
            </w:r>
            <w:r w:rsidR="00C054EE">
              <w:rPr>
                <w:noProof/>
                <w:webHidden/>
              </w:rPr>
              <w:fldChar w:fldCharType="separate"/>
            </w:r>
            <w:r w:rsidR="004C2E01">
              <w:rPr>
                <w:noProof/>
                <w:webHidden/>
              </w:rPr>
              <w:t>435</w:t>
            </w:r>
            <w:r w:rsidR="00C054EE">
              <w:rPr>
                <w:noProof/>
                <w:webHidden/>
              </w:rPr>
              <w:fldChar w:fldCharType="end"/>
            </w:r>
          </w:hyperlink>
        </w:p>
        <w:p w:rsidR="00C054EE" w:rsidRDefault="000D5832" w14:paraId="12CDE9DB" w14:textId="1C151095">
          <w:pPr>
            <w:pStyle w:val="TOC4"/>
            <w:tabs>
              <w:tab w:val="left" w:pos="2160"/>
              <w:tab w:val="right" w:leader="dot" w:pos="9350"/>
            </w:tabs>
            <w:rPr>
              <w:rFonts w:asciiTheme="minorHAnsi" w:hAnsiTheme="minorHAnsi" w:eastAsiaTheme="minorEastAsia" w:cstheme="minorBidi"/>
              <w:noProof/>
              <w:sz w:val="22"/>
              <w:szCs w:val="22"/>
            </w:rPr>
          </w:pPr>
          <w:hyperlink w:history="1" w:anchor="_Toc69948361">
            <w:r w:rsidRPr="00FD24A9" w:rsidR="00C054EE">
              <w:rPr>
                <w:rStyle w:val="Hyperlink"/>
                <w:noProof/>
              </w:rPr>
              <w:t>10.8.7.4.</w:t>
            </w:r>
            <w:r w:rsidR="00C054EE">
              <w:rPr>
                <w:rFonts w:asciiTheme="minorHAnsi" w:hAnsiTheme="minorHAnsi" w:eastAsiaTheme="minorEastAsia" w:cstheme="minorBidi"/>
                <w:noProof/>
                <w:sz w:val="22"/>
                <w:szCs w:val="22"/>
              </w:rPr>
              <w:tab/>
            </w:r>
            <w:r w:rsidRPr="00FD24A9" w:rsidR="00C054EE">
              <w:rPr>
                <w:rStyle w:val="Hyperlink"/>
                <w:noProof/>
              </w:rPr>
              <w:t>Additional Reporting Requirements Proposed by TURN: Approved in Part</w:t>
            </w:r>
            <w:r w:rsidR="00C054EE">
              <w:rPr>
                <w:noProof/>
                <w:webHidden/>
              </w:rPr>
              <w:tab/>
            </w:r>
            <w:r w:rsidR="00C054EE">
              <w:rPr>
                <w:noProof/>
                <w:webHidden/>
              </w:rPr>
              <w:fldChar w:fldCharType="begin"/>
            </w:r>
            <w:r w:rsidR="00C054EE">
              <w:rPr>
                <w:noProof/>
                <w:webHidden/>
              </w:rPr>
              <w:instrText xml:space="preserve"> PAGEREF _Toc69948361 \h </w:instrText>
            </w:r>
            <w:r w:rsidR="00C054EE">
              <w:rPr>
                <w:noProof/>
                <w:webHidden/>
              </w:rPr>
            </w:r>
            <w:r w:rsidR="00C054EE">
              <w:rPr>
                <w:noProof/>
                <w:webHidden/>
              </w:rPr>
              <w:fldChar w:fldCharType="separate"/>
            </w:r>
            <w:r w:rsidR="004C2E01">
              <w:rPr>
                <w:noProof/>
                <w:webHidden/>
              </w:rPr>
              <w:t>437</w:t>
            </w:r>
            <w:r w:rsidR="00C054EE">
              <w:rPr>
                <w:noProof/>
                <w:webHidden/>
              </w:rPr>
              <w:fldChar w:fldCharType="end"/>
            </w:r>
          </w:hyperlink>
        </w:p>
        <w:p w:rsidR="00C054EE" w:rsidRDefault="000D5832" w14:paraId="009128FD" w14:textId="35B6AAA9">
          <w:pPr>
            <w:pStyle w:val="TOC2"/>
            <w:tabs>
              <w:tab w:val="left" w:pos="1296"/>
              <w:tab w:val="right" w:leader="dot" w:pos="9350"/>
            </w:tabs>
            <w:rPr>
              <w:rFonts w:asciiTheme="minorHAnsi" w:hAnsiTheme="minorHAnsi" w:cstheme="minorBidi"/>
              <w:noProof/>
              <w:sz w:val="22"/>
              <w:szCs w:val="22"/>
            </w:rPr>
          </w:pPr>
          <w:hyperlink w:history="1" w:anchor="_Toc69948362">
            <w:r w:rsidRPr="00FD24A9" w:rsidR="00C054EE">
              <w:rPr>
                <w:rStyle w:val="Hyperlink"/>
                <w:noProof/>
              </w:rPr>
              <w:t>10.9.</w:t>
            </w:r>
            <w:r w:rsidR="00C054EE">
              <w:rPr>
                <w:rFonts w:asciiTheme="minorHAnsi" w:hAnsiTheme="minorHAnsi" w:cstheme="minorBidi"/>
                <w:noProof/>
                <w:sz w:val="22"/>
                <w:szCs w:val="22"/>
              </w:rPr>
              <w:tab/>
            </w:r>
            <w:r w:rsidRPr="00FD24A9" w:rsidR="00C054EE">
              <w:rPr>
                <w:rStyle w:val="Hyperlink"/>
                <w:noProof/>
              </w:rPr>
              <w:t>Annual CARE Eligibility Report Filing Date</w:t>
            </w:r>
            <w:r w:rsidR="00C054EE">
              <w:rPr>
                <w:noProof/>
                <w:webHidden/>
              </w:rPr>
              <w:tab/>
            </w:r>
            <w:r w:rsidR="00C054EE">
              <w:rPr>
                <w:noProof/>
                <w:webHidden/>
              </w:rPr>
              <w:fldChar w:fldCharType="begin"/>
            </w:r>
            <w:r w:rsidR="00C054EE">
              <w:rPr>
                <w:noProof/>
                <w:webHidden/>
              </w:rPr>
              <w:instrText xml:space="preserve"> PAGEREF _Toc69948362 \h </w:instrText>
            </w:r>
            <w:r w:rsidR="00C054EE">
              <w:rPr>
                <w:noProof/>
                <w:webHidden/>
              </w:rPr>
            </w:r>
            <w:r w:rsidR="00C054EE">
              <w:rPr>
                <w:noProof/>
                <w:webHidden/>
              </w:rPr>
              <w:fldChar w:fldCharType="separate"/>
            </w:r>
            <w:r w:rsidR="004C2E01">
              <w:rPr>
                <w:noProof/>
                <w:webHidden/>
              </w:rPr>
              <w:t>438</w:t>
            </w:r>
            <w:r w:rsidR="00C054EE">
              <w:rPr>
                <w:noProof/>
                <w:webHidden/>
              </w:rPr>
              <w:fldChar w:fldCharType="end"/>
            </w:r>
          </w:hyperlink>
        </w:p>
        <w:p w:rsidR="00C054EE" w:rsidRDefault="000D5832" w14:paraId="5BDE2EC0" w14:textId="7D7C05E7">
          <w:pPr>
            <w:pStyle w:val="TOC3"/>
            <w:tabs>
              <w:tab w:val="left" w:pos="1728"/>
              <w:tab w:val="right" w:leader="dot" w:pos="9350"/>
            </w:tabs>
            <w:rPr>
              <w:rFonts w:asciiTheme="minorHAnsi" w:hAnsiTheme="minorHAnsi" w:cstheme="minorBidi"/>
              <w:noProof/>
              <w:sz w:val="22"/>
              <w:szCs w:val="22"/>
            </w:rPr>
          </w:pPr>
          <w:hyperlink w:history="1" w:anchor="_Toc69948363">
            <w:r w:rsidRPr="00FD24A9" w:rsidR="00C054EE">
              <w:rPr>
                <w:rStyle w:val="Hyperlink"/>
                <w:noProof/>
              </w:rPr>
              <w:t>10.9.1.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_Toc69948363 \h </w:instrText>
            </w:r>
            <w:r w:rsidR="00C054EE">
              <w:rPr>
                <w:noProof/>
                <w:webHidden/>
              </w:rPr>
            </w:r>
            <w:r w:rsidR="00C054EE">
              <w:rPr>
                <w:noProof/>
                <w:webHidden/>
              </w:rPr>
              <w:fldChar w:fldCharType="separate"/>
            </w:r>
            <w:r w:rsidR="004C2E01">
              <w:rPr>
                <w:noProof/>
                <w:webHidden/>
              </w:rPr>
              <w:t>438</w:t>
            </w:r>
            <w:r w:rsidR="00C054EE">
              <w:rPr>
                <w:noProof/>
                <w:webHidden/>
              </w:rPr>
              <w:fldChar w:fldCharType="end"/>
            </w:r>
          </w:hyperlink>
        </w:p>
        <w:p w:rsidR="00C054EE" w:rsidRDefault="000D5832" w14:paraId="75B46878" w14:textId="5A8FF04A">
          <w:pPr>
            <w:pStyle w:val="TOC3"/>
            <w:tabs>
              <w:tab w:val="left" w:pos="1728"/>
              <w:tab w:val="right" w:leader="dot" w:pos="9350"/>
            </w:tabs>
            <w:rPr>
              <w:rFonts w:asciiTheme="minorHAnsi" w:hAnsiTheme="minorHAnsi" w:cstheme="minorBidi"/>
              <w:noProof/>
              <w:sz w:val="22"/>
              <w:szCs w:val="22"/>
            </w:rPr>
          </w:pPr>
          <w:hyperlink w:history="1" w:anchor="_Toc69948364">
            <w:r w:rsidRPr="00FD24A9" w:rsidR="00C054EE">
              <w:rPr>
                <w:rStyle w:val="Hyperlink"/>
                <w:noProof/>
              </w:rPr>
              <w:t>10.9.2.</w:t>
            </w:r>
            <w:r w:rsidR="00C054EE">
              <w:rPr>
                <w:rFonts w:asciiTheme="minorHAnsi" w:hAnsiTheme="minorHAnsi" w:cstheme="minorBidi"/>
                <w:noProof/>
                <w:sz w:val="22"/>
                <w:szCs w:val="22"/>
              </w:rPr>
              <w:tab/>
            </w:r>
            <w:r w:rsidRPr="00FD24A9" w:rsidR="00C054EE">
              <w:rPr>
                <w:rStyle w:val="Hyperlink"/>
                <w:noProof/>
              </w:rPr>
              <w:t>IOU Proposals</w:t>
            </w:r>
            <w:r w:rsidR="00C054EE">
              <w:rPr>
                <w:noProof/>
                <w:webHidden/>
              </w:rPr>
              <w:tab/>
            </w:r>
            <w:r w:rsidR="00C054EE">
              <w:rPr>
                <w:noProof/>
                <w:webHidden/>
              </w:rPr>
              <w:fldChar w:fldCharType="begin"/>
            </w:r>
            <w:r w:rsidR="00C054EE">
              <w:rPr>
                <w:noProof/>
                <w:webHidden/>
              </w:rPr>
              <w:instrText xml:space="preserve"> PAGEREF _Toc69948364 \h </w:instrText>
            </w:r>
            <w:r w:rsidR="00C054EE">
              <w:rPr>
                <w:noProof/>
                <w:webHidden/>
              </w:rPr>
            </w:r>
            <w:r w:rsidR="00C054EE">
              <w:rPr>
                <w:noProof/>
                <w:webHidden/>
              </w:rPr>
              <w:fldChar w:fldCharType="separate"/>
            </w:r>
            <w:r w:rsidR="004C2E01">
              <w:rPr>
                <w:noProof/>
                <w:webHidden/>
              </w:rPr>
              <w:t>438</w:t>
            </w:r>
            <w:r w:rsidR="00C054EE">
              <w:rPr>
                <w:noProof/>
                <w:webHidden/>
              </w:rPr>
              <w:fldChar w:fldCharType="end"/>
            </w:r>
          </w:hyperlink>
        </w:p>
        <w:p w:rsidR="00C054EE" w:rsidRDefault="000D5832" w14:paraId="2518BE67" w14:textId="6F7D4D13">
          <w:pPr>
            <w:pStyle w:val="TOC3"/>
            <w:tabs>
              <w:tab w:val="left" w:pos="1728"/>
              <w:tab w:val="right" w:leader="dot" w:pos="9350"/>
            </w:tabs>
            <w:rPr>
              <w:rFonts w:asciiTheme="minorHAnsi" w:hAnsiTheme="minorHAnsi" w:cstheme="minorBidi"/>
              <w:noProof/>
              <w:sz w:val="22"/>
              <w:szCs w:val="22"/>
            </w:rPr>
          </w:pPr>
          <w:hyperlink w:history="1" w:anchor="_Toc69948365">
            <w:r w:rsidRPr="00FD24A9" w:rsidR="00C054EE">
              <w:rPr>
                <w:rStyle w:val="Hyperlink"/>
                <w:noProof/>
              </w:rPr>
              <w:t>10.9.3.</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_Toc69948365 \h </w:instrText>
            </w:r>
            <w:r w:rsidR="00C054EE">
              <w:rPr>
                <w:noProof/>
                <w:webHidden/>
              </w:rPr>
            </w:r>
            <w:r w:rsidR="00C054EE">
              <w:rPr>
                <w:noProof/>
                <w:webHidden/>
              </w:rPr>
              <w:fldChar w:fldCharType="separate"/>
            </w:r>
            <w:r w:rsidR="004C2E01">
              <w:rPr>
                <w:noProof/>
                <w:webHidden/>
              </w:rPr>
              <w:t>439</w:t>
            </w:r>
            <w:r w:rsidR="00C054EE">
              <w:rPr>
                <w:noProof/>
                <w:webHidden/>
              </w:rPr>
              <w:fldChar w:fldCharType="end"/>
            </w:r>
          </w:hyperlink>
        </w:p>
        <w:p w:rsidR="00C054EE" w:rsidRDefault="000D5832" w14:paraId="414D442B" w14:textId="473213C4">
          <w:pPr>
            <w:pStyle w:val="TOC3"/>
            <w:tabs>
              <w:tab w:val="left" w:pos="1728"/>
              <w:tab w:val="right" w:leader="dot" w:pos="9350"/>
            </w:tabs>
            <w:rPr>
              <w:rFonts w:asciiTheme="minorHAnsi" w:hAnsiTheme="minorHAnsi" w:cstheme="minorBidi"/>
              <w:noProof/>
              <w:sz w:val="22"/>
              <w:szCs w:val="22"/>
            </w:rPr>
          </w:pPr>
          <w:hyperlink w:history="1" w:anchor="_Toc69948366">
            <w:r w:rsidRPr="00FD24A9" w:rsidR="00C054EE">
              <w:rPr>
                <w:rStyle w:val="Hyperlink"/>
                <w:noProof/>
              </w:rPr>
              <w:t>10.9.4.</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_Toc69948366 \h </w:instrText>
            </w:r>
            <w:r w:rsidR="00C054EE">
              <w:rPr>
                <w:noProof/>
                <w:webHidden/>
              </w:rPr>
            </w:r>
            <w:r w:rsidR="00C054EE">
              <w:rPr>
                <w:noProof/>
                <w:webHidden/>
              </w:rPr>
              <w:fldChar w:fldCharType="separate"/>
            </w:r>
            <w:r w:rsidR="004C2E01">
              <w:rPr>
                <w:noProof/>
                <w:webHidden/>
              </w:rPr>
              <w:t>439</w:t>
            </w:r>
            <w:r w:rsidR="00C054EE">
              <w:rPr>
                <w:noProof/>
                <w:webHidden/>
              </w:rPr>
              <w:fldChar w:fldCharType="end"/>
            </w:r>
          </w:hyperlink>
        </w:p>
        <w:p w:rsidR="00C054EE" w:rsidRDefault="000D5832" w14:paraId="4C3CFBCA" w14:textId="4A4FAADD">
          <w:pPr>
            <w:pStyle w:val="TOC4"/>
            <w:tabs>
              <w:tab w:val="left" w:pos="2160"/>
              <w:tab w:val="right" w:leader="dot" w:pos="9350"/>
            </w:tabs>
            <w:rPr>
              <w:rFonts w:asciiTheme="minorHAnsi" w:hAnsiTheme="minorHAnsi" w:eastAsiaTheme="minorEastAsia" w:cstheme="minorBidi"/>
              <w:noProof/>
              <w:sz w:val="22"/>
              <w:szCs w:val="22"/>
            </w:rPr>
          </w:pPr>
          <w:hyperlink w:history="1" w:anchor="_Toc69948367">
            <w:r w:rsidRPr="00FD24A9" w:rsidR="00C054EE">
              <w:rPr>
                <w:rStyle w:val="Hyperlink"/>
                <w:noProof/>
              </w:rPr>
              <w:t>10.9.4.1.</w:t>
            </w:r>
            <w:r w:rsidR="00C054EE">
              <w:rPr>
                <w:rFonts w:asciiTheme="minorHAnsi" w:hAnsiTheme="minorHAnsi" w:eastAsiaTheme="minorEastAsia" w:cstheme="minorBidi"/>
                <w:noProof/>
                <w:sz w:val="22"/>
                <w:szCs w:val="22"/>
              </w:rPr>
              <w:tab/>
            </w:r>
            <w:r w:rsidRPr="00FD24A9" w:rsidR="00C054EE">
              <w:rPr>
                <w:rStyle w:val="Hyperlink"/>
                <w:noProof/>
              </w:rPr>
              <w:t>Extending the Annual CARE Eligibility Report Filing Date: Approved</w:t>
            </w:r>
            <w:r w:rsidR="00C054EE">
              <w:rPr>
                <w:noProof/>
                <w:webHidden/>
              </w:rPr>
              <w:tab/>
            </w:r>
            <w:r w:rsidR="00C054EE">
              <w:rPr>
                <w:noProof/>
                <w:webHidden/>
              </w:rPr>
              <w:fldChar w:fldCharType="begin"/>
            </w:r>
            <w:r w:rsidR="00C054EE">
              <w:rPr>
                <w:noProof/>
                <w:webHidden/>
              </w:rPr>
              <w:instrText xml:space="preserve"> PAGEREF _Toc69948367 \h </w:instrText>
            </w:r>
            <w:r w:rsidR="00C054EE">
              <w:rPr>
                <w:noProof/>
                <w:webHidden/>
              </w:rPr>
            </w:r>
            <w:r w:rsidR="00C054EE">
              <w:rPr>
                <w:noProof/>
                <w:webHidden/>
              </w:rPr>
              <w:fldChar w:fldCharType="separate"/>
            </w:r>
            <w:r w:rsidR="004C2E01">
              <w:rPr>
                <w:noProof/>
                <w:webHidden/>
              </w:rPr>
              <w:t>439</w:t>
            </w:r>
            <w:r w:rsidR="00C054EE">
              <w:rPr>
                <w:noProof/>
                <w:webHidden/>
              </w:rPr>
              <w:fldChar w:fldCharType="end"/>
            </w:r>
          </w:hyperlink>
        </w:p>
        <w:p w:rsidR="00C054EE" w:rsidRDefault="000D5832" w14:paraId="5A9449E0" w14:textId="4EAB77E3">
          <w:pPr>
            <w:pStyle w:val="TOC2"/>
            <w:tabs>
              <w:tab w:val="left" w:pos="1296"/>
              <w:tab w:val="right" w:leader="dot" w:pos="9350"/>
            </w:tabs>
            <w:rPr>
              <w:rFonts w:asciiTheme="minorHAnsi" w:hAnsiTheme="minorHAnsi" w:cstheme="minorBidi"/>
              <w:noProof/>
              <w:sz w:val="22"/>
              <w:szCs w:val="22"/>
            </w:rPr>
          </w:pPr>
          <w:hyperlink w:history="1" w:anchor="_Toc69948368">
            <w:r w:rsidRPr="00FD24A9" w:rsidR="00C054EE">
              <w:rPr>
                <w:rStyle w:val="Hyperlink"/>
                <w:noProof/>
              </w:rPr>
              <w:t>10.10.</w:t>
            </w:r>
            <w:r w:rsidR="00C054EE">
              <w:rPr>
                <w:rFonts w:asciiTheme="minorHAnsi" w:hAnsiTheme="minorHAnsi" w:cstheme="minorBidi"/>
                <w:noProof/>
                <w:sz w:val="22"/>
                <w:szCs w:val="22"/>
              </w:rPr>
              <w:tab/>
            </w:r>
            <w:r w:rsidRPr="00FD24A9" w:rsidR="00C054EE">
              <w:rPr>
                <w:rStyle w:val="Hyperlink"/>
                <w:noProof/>
              </w:rPr>
              <w:t>Water- Energy Nexus</w:t>
            </w:r>
            <w:r w:rsidR="00C054EE">
              <w:rPr>
                <w:noProof/>
                <w:webHidden/>
              </w:rPr>
              <w:tab/>
            </w:r>
            <w:r w:rsidR="00C054EE">
              <w:rPr>
                <w:noProof/>
                <w:webHidden/>
              </w:rPr>
              <w:fldChar w:fldCharType="begin"/>
            </w:r>
            <w:r w:rsidR="00C054EE">
              <w:rPr>
                <w:noProof/>
                <w:webHidden/>
              </w:rPr>
              <w:instrText xml:space="preserve"> PAGEREF _Toc69948368 \h </w:instrText>
            </w:r>
            <w:r w:rsidR="00C054EE">
              <w:rPr>
                <w:noProof/>
                <w:webHidden/>
              </w:rPr>
            </w:r>
            <w:r w:rsidR="00C054EE">
              <w:rPr>
                <w:noProof/>
                <w:webHidden/>
              </w:rPr>
              <w:fldChar w:fldCharType="separate"/>
            </w:r>
            <w:r w:rsidR="004C2E01">
              <w:rPr>
                <w:noProof/>
                <w:webHidden/>
              </w:rPr>
              <w:t>440</w:t>
            </w:r>
            <w:r w:rsidR="00C054EE">
              <w:rPr>
                <w:noProof/>
                <w:webHidden/>
              </w:rPr>
              <w:fldChar w:fldCharType="end"/>
            </w:r>
          </w:hyperlink>
        </w:p>
        <w:p w:rsidR="00C054EE" w:rsidRDefault="000D5832" w14:paraId="05E2F9E2" w14:textId="17B372CD">
          <w:pPr>
            <w:pStyle w:val="TOC3"/>
            <w:tabs>
              <w:tab w:val="left" w:pos="1728"/>
              <w:tab w:val="right" w:leader="dot" w:pos="9350"/>
            </w:tabs>
            <w:rPr>
              <w:rFonts w:asciiTheme="minorHAnsi" w:hAnsiTheme="minorHAnsi" w:cstheme="minorBidi"/>
              <w:noProof/>
              <w:sz w:val="22"/>
              <w:szCs w:val="22"/>
            </w:rPr>
          </w:pPr>
          <w:hyperlink w:history="1" w:anchor="_Toc69948369">
            <w:r w:rsidRPr="00FD24A9" w:rsidR="00C054EE">
              <w:rPr>
                <w:rStyle w:val="Hyperlink"/>
                <w:noProof/>
              </w:rPr>
              <w:t>10.10.1.</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_Toc69948369 \h </w:instrText>
            </w:r>
            <w:r w:rsidR="00C054EE">
              <w:rPr>
                <w:noProof/>
                <w:webHidden/>
              </w:rPr>
            </w:r>
            <w:r w:rsidR="00C054EE">
              <w:rPr>
                <w:noProof/>
                <w:webHidden/>
              </w:rPr>
              <w:fldChar w:fldCharType="separate"/>
            </w:r>
            <w:r w:rsidR="004C2E01">
              <w:rPr>
                <w:noProof/>
                <w:webHidden/>
              </w:rPr>
              <w:t>440</w:t>
            </w:r>
            <w:r w:rsidR="00C054EE">
              <w:rPr>
                <w:noProof/>
                <w:webHidden/>
              </w:rPr>
              <w:fldChar w:fldCharType="end"/>
            </w:r>
          </w:hyperlink>
        </w:p>
        <w:p w:rsidR="00C054EE" w:rsidRDefault="000D5832" w14:paraId="6F990EF7" w14:textId="106362E7">
          <w:pPr>
            <w:pStyle w:val="TOC3"/>
            <w:tabs>
              <w:tab w:val="left" w:pos="1728"/>
              <w:tab w:val="right" w:leader="dot" w:pos="9350"/>
            </w:tabs>
            <w:rPr>
              <w:rFonts w:asciiTheme="minorHAnsi" w:hAnsiTheme="minorHAnsi" w:cstheme="minorBidi"/>
              <w:noProof/>
              <w:sz w:val="22"/>
              <w:szCs w:val="22"/>
            </w:rPr>
          </w:pPr>
          <w:hyperlink w:history="1" w:anchor="_Toc69948370">
            <w:r w:rsidRPr="00FD24A9" w:rsidR="00C054EE">
              <w:rPr>
                <w:rStyle w:val="Hyperlink"/>
                <w:noProof/>
              </w:rPr>
              <w:t>10.10.2.</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_Toc69948370 \h </w:instrText>
            </w:r>
            <w:r w:rsidR="00C054EE">
              <w:rPr>
                <w:noProof/>
                <w:webHidden/>
              </w:rPr>
            </w:r>
            <w:r w:rsidR="00C054EE">
              <w:rPr>
                <w:noProof/>
                <w:webHidden/>
              </w:rPr>
              <w:fldChar w:fldCharType="separate"/>
            </w:r>
            <w:r w:rsidR="004C2E01">
              <w:rPr>
                <w:noProof/>
                <w:webHidden/>
              </w:rPr>
              <w:t>440</w:t>
            </w:r>
            <w:r w:rsidR="00C054EE">
              <w:rPr>
                <w:noProof/>
                <w:webHidden/>
              </w:rPr>
              <w:fldChar w:fldCharType="end"/>
            </w:r>
          </w:hyperlink>
        </w:p>
        <w:p w:rsidR="00C054EE" w:rsidRDefault="000D5832" w14:paraId="5DE01EF4" w14:textId="5C4CD804">
          <w:pPr>
            <w:pStyle w:val="TOC3"/>
            <w:tabs>
              <w:tab w:val="left" w:pos="1728"/>
              <w:tab w:val="right" w:leader="dot" w:pos="9350"/>
            </w:tabs>
            <w:rPr>
              <w:rFonts w:asciiTheme="minorHAnsi" w:hAnsiTheme="minorHAnsi" w:cstheme="minorBidi"/>
              <w:noProof/>
              <w:sz w:val="22"/>
              <w:szCs w:val="22"/>
            </w:rPr>
          </w:pPr>
          <w:hyperlink w:history="1" w:anchor="_Toc69948371">
            <w:r w:rsidRPr="00FD24A9" w:rsidR="00C054EE">
              <w:rPr>
                <w:rStyle w:val="Hyperlink"/>
                <w:noProof/>
              </w:rPr>
              <w:t>10.10.3.</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_Toc69948371 \h </w:instrText>
            </w:r>
            <w:r w:rsidR="00C054EE">
              <w:rPr>
                <w:noProof/>
                <w:webHidden/>
              </w:rPr>
            </w:r>
            <w:r w:rsidR="00C054EE">
              <w:rPr>
                <w:noProof/>
                <w:webHidden/>
              </w:rPr>
              <w:fldChar w:fldCharType="separate"/>
            </w:r>
            <w:r w:rsidR="004C2E01">
              <w:rPr>
                <w:noProof/>
                <w:webHidden/>
              </w:rPr>
              <w:t>440</w:t>
            </w:r>
            <w:r w:rsidR="00C054EE">
              <w:rPr>
                <w:noProof/>
                <w:webHidden/>
              </w:rPr>
              <w:fldChar w:fldCharType="end"/>
            </w:r>
          </w:hyperlink>
        </w:p>
        <w:p w:rsidR="00C054EE" w:rsidRDefault="000D5832" w14:paraId="7A104EFA" w14:textId="4EC57546">
          <w:pPr>
            <w:pStyle w:val="TOC3"/>
            <w:tabs>
              <w:tab w:val="left" w:pos="1728"/>
              <w:tab w:val="right" w:leader="dot" w:pos="9350"/>
            </w:tabs>
            <w:rPr>
              <w:rFonts w:asciiTheme="minorHAnsi" w:hAnsiTheme="minorHAnsi" w:cstheme="minorBidi"/>
              <w:noProof/>
              <w:sz w:val="22"/>
              <w:szCs w:val="22"/>
            </w:rPr>
          </w:pPr>
          <w:hyperlink w:history="1" w:anchor="_Toc69948372">
            <w:r w:rsidRPr="00FD24A9" w:rsidR="00C054EE">
              <w:rPr>
                <w:rStyle w:val="Hyperlink"/>
                <w:noProof/>
              </w:rPr>
              <w:t>10.10.4.</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_Toc69948372 \h </w:instrText>
            </w:r>
            <w:r w:rsidR="00C054EE">
              <w:rPr>
                <w:noProof/>
                <w:webHidden/>
              </w:rPr>
            </w:r>
            <w:r w:rsidR="00C054EE">
              <w:rPr>
                <w:noProof/>
                <w:webHidden/>
              </w:rPr>
              <w:fldChar w:fldCharType="separate"/>
            </w:r>
            <w:r w:rsidR="004C2E01">
              <w:rPr>
                <w:noProof/>
                <w:webHidden/>
              </w:rPr>
              <w:t>441</w:t>
            </w:r>
            <w:r w:rsidR="00C054EE">
              <w:rPr>
                <w:noProof/>
                <w:webHidden/>
              </w:rPr>
              <w:fldChar w:fldCharType="end"/>
            </w:r>
          </w:hyperlink>
        </w:p>
        <w:p w:rsidR="00C054EE" w:rsidRDefault="000D5832" w14:paraId="5EB2D2F1" w14:textId="5489A4E0">
          <w:pPr>
            <w:pStyle w:val="TOC4"/>
            <w:tabs>
              <w:tab w:val="left" w:pos="2160"/>
              <w:tab w:val="right" w:leader="dot" w:pos="9350"/>
            </w:tabs>
            <w:rPr>
              <w:rFonts w:asciiTheme="minorHAnsi" w:hAnsiTheme="minorHAnsi" w:eastAsiaTheme="minorEastAsia" w:cstheme="minorBidi"/>
              <w:noProof/>
              <w:sz w:val="22"/>
              <w:szCs w:val="22"/>
            </w:rPr>
          </w:pPr>
          <w:hyperlink w:history="1" w:anchor="_Toc69948373">
            <w:r w:rsidRPr="00FD24A9" w:rsidR="00C054EE">
              <w:rPr>
                <w:rStyle w:val="Hyperlink"/>
                <w:noProof/>
              </w:rPr>
              <w:t>10.10.4.1.</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_Toc69948373 \h </w:instrText>
            </w:r>
            <w:r w:rsidR="00C054EE">
              <w:rPr>
                <w:noProof/>
                <w:webHidden/>
              </w:rPr>
            </w:r>
            <w:r w:rsidR="00C054EE">
              <w:rPr>
                <w:noProof/>
                <w:webHidden/>
              </w:rPr>
              <w:fldChar w:fldCharType="separate"/>
            </w:r>
            <w:r w:rsidR="004C2E01">
              <w:rPr>
                <w:noProof/>
                <w:webHidden/>
              </w:rPr>
              <w:t>441</w:t>
            </w:r>
            <w:r w:rsidR="00C054EE">
              <w:rPr>
                <w:noProof/>
                <w:webHidden/>
              </w:rPr>
              <w:fldChar w:fldCharType="end"/>
            </w:r>
          </w:hyperlink>
        </w:p>
        <w:p w:rsidR="00C054EE" w:rsidRDefault="000D5832" w14:paraId="0D5346CA" w14:textId="3B6C5676">
          <w:pPr>
            <w:pStyle w:val="TOC3"/>
            <w:tabs>
              <w:tab w:val="left" w:pos="1728"/>
              <w:tab w:val="right" w:leader="dot" w:pos="9350"/>
            </w:tabs>
            <w:rPr>
              <w:rFonts w:asciiTheme="minorHAnsi" w:hAnsiTheme="minorHAnsi" w:cstheme="minorBidi"/>
              <w:noProof/>
              <w:sz w:val="22"/>
              <w:szCs w:val="22"/>
            </w:rPr>
          </w:pPr>
          <w:hyperlink w:history="1" w:anchor="_Toc69948374">
            <w:r w:rsidRPr="00FD24A9" w:rsidR="00C054EE">
              <w:rPr>
                <w:rStyle w:val="Hyperlink"/>
                <w:noProof/>
              </w:rPr>
              <w:t>10.10.5.</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_Toc69948374 \h </w:instrText>
            </w:r>
            <w:r w:rsidR="00C054EE">
              <w:rPr>
                <w:noProof/>
                <w:webHidden/>
              </w:rPr>
            </w:r>
            <w:r w:rsidR="00C054EE">
              <w:rPr>
                <w:noProof/>
                <w:webHidden/>
              </w:rPr>
              <w:fldChar w:fldCharType="separate"/>
            </w:r>
            <w:r w:rsidR="004C2E01">
              <w:rPr>
                <w:noProof/>
                <w:webHidden/>
              </w:rPr>
              <w:t>441</w:t>
            </w:r>
            <w:r w:rsidR="00C054EE">
              <w:rPr>
                <w:noProof/>
                <w:webHidden/>
              </w:rPr>
              <w:fldChar w:fldCharType="end"/>
            </w:r>
          </w:hyperlink>
        </w:p>
        <w:p w:rsidR="00C054EE" w:rsidRDefault="000D5832" w14:paraId="4ECF61B0" w14:textId="48847BE1">
          <w:pPr>
            <w:pStyle w:val="TOC4"/>
            <w:tabs>
              <w:tab w:val="left" w:pos="2160"/>
              <w:tab w:val="right" w:leader="dot" w:pos="9350"/>
            </w:tabs>
            <w:rPr>
              <w:rFonts w:asciiTheme="minorHAnsi" w:hAnsiTheme="minorHAnsi" w:eastAsiaTheme="minorEastAsia" w:cstheme="minorBidi"/>
              <w:noProof/>
              <w:sz w:val="22"/>
              <w:szCs w:val="22"/>
            </w:rPr>
          </w:pPr>
          <w:hyperlink w:history="1" w:anchor="_Toc69948375">
            <w:r w:rsidRPr="00FD24A9" w:rsidR="00C054EE">
              <w:rPr>
                <w:rStyle w:val="Hyperlink"/>
                <w:noProof/>
              </w:rPr>
              <w:t>10.10.5.1.</w:t>
            </w:r>
            <w:r w:rsidR="00C054EE">
              <w:rPr>
                <w:rFonts w:asciiTheme="minorHAnsi" w:hAnsiTheme="minorHAnsi" w:eastAsiaTheme="minorEastAsia" w:cstheme="minorBidi"/>
                <w:noProof/>
                <w:sz w:val="22"/>
                <w:szCs w:val="22"/>
              </w:rPr>
              <w:tab/>
            </w:r>
            <w:r w:rsidRPr="00FD24A9" w:rsidR="00C054EE">
              <w:rPr>
                <w:rStyle w:val="Hyperlink"/>
                <w:noProof/>
              </w:rPr>
              <w:t>Water-Energy Partnerships:  Approved</w:t>
            </w:r>
            <w:r w:rsidR="00C054EE">
              <w:rPr>
                <w:noProof/>
                <w:webHidden/>
              </w:rPr>
              <w:tab/>
            </w:r>
            <w:r w:rsidR="00C054EE">
              <w:rPr>
                <w:noProof/>
                <w:webHidden/>
              </w:rPr>
              <w:fldChar w:fldCharType="begin"/>
            </w:r>
            <w:r w:rsidR="00C054EE">
              <w:rPr>
                <w:noProof/>
                <w:webHidden/>
              </w:rPr>
              <w:instrText xml:space="preserve"> PAGEREF _Toc69948375 \h </w:instrText>
            </w:r>
            <w:r w:rsidR="00C054EE">
              <w:rPr>
                <w:noProof/>
                <w:webHidden/>
              </w:rPr>
            </w:r>
            <w:r w:rsidR="00C054EE">
              <w:rPr>
                <w:noProof/>
                <w:webHidden/>
              </w:rPr>
              <w:fldChar w:fldCharType="separate"/>
            </w:r>
            <w:r w:rsidR="004C2E01">
              <w:rPr>
                <w:noProof/>
                <w:webHidden/>
              </w:rPr>
              <w:t>441</w:t>
            </w:r>
            <w:r w:rsidR="00C054EE">
              <w:rPr>
                <w:noProof/>
                <w:webHidden/>
              </w:rPr>
              <w:fldChar w:fldCharType="end"/>
            </w:r>
          </w:hyperlink>
        </w:p>
        <w:p w:rsidR="00C054EE" w:rsidRDefault="000D5832" w14:paraId="04E38085" w14:textId="66399886">
          <w:pPr>
            <w:pStyle w:val="TOC2"/>
            <w:tabs>
              <w:tab w:val="left" w:pos="1296"/>
              <w:tab w:val="right" w:leader="dot" w:pos="9350"/>
            </w:tabs>
            <w:rPr>
              <w:rFonts w:asciiTheme="minorHAnsi" w:hAnsiTheme="minorHAnsi" w:cstheme="minorBidi"/>
              <w:noProof/>
              <w:sz w:val="22"/>
              <w:szCs w:val="22"/>
            </w:rPr>
          </w:pPr>
          <w:hyperlink w:history="1" w:anchor="_Toc69948376">
            <w:r w:rsidRPr="00FD24A9" w:rsidR="00C054EE">
              <w:rPr>
                <w:rStyle w:val="Hyperlink"/>
                <w:noProof/>
              </w:rPr>
              <w:t>10.11.</w:t>
            </w:r>
            <w:r w:rsidR="00C054EE">
              <w:rPr>
                <w:rFonts w:asciiTheme="minorHAnsi" w:hAnsiTheme="minorHAnsi" w:cstheme="minorBidi"/>
                <w:noProof/>
                <w:sz w:val="22"/>
                <w:szCs w:val="22"/>
              </w:rPr>
              <w:tab/>
            </w:r>
            <w:r w:rsidRPr="00FD24A9" w:rsidR="00C054EE">
              <w:rPr>
                <w:rStyle w:val="Hyperlink"/>
                <w:noProof/>
              </w:rPr>
              <w:t>Telco- Energy Nexus</w:t>
            </w:r>
            <w:r w:rsidR="00C054EE">
              <w:rPr>
                <w:noProof/>
                <w:webHidden/>
              </w:rPr>
              <w:tab/>
            </w:r>
            <w:r w:rsidR="00C054EE">
              <w:rPr>
                <w:noProof/>
                <w:webHidden/>
              </w:rPr>
              <w:fldChar w:fldCharType="begin"/>
            </w:r>
            <w:r w:rsidR="00C054EE">
              <w:rPr>
                <w:noProof/>
                <w:webHidden/>
              </w:rPr>
              <w:instrText xml:space="preserve"> PAGEREF _Toc69948376 \h </w:instrText>
            </w:r>
            <w:r w:rsidR="00C054EE">
              <w:rPr>
                <w:noProof/>
                <w:webHidden/>
              </w:rPr>
            </w:r>
            <w:r w:rsidR="00C054EE">
              <w:rPr>
                <w:noProof/>
                <w:webHidden/>
              </w:rPr>
              <w:fldChar w:fldCharType="separate"/>
            </w:r>
            <w:r w:rsidR="004C2E01">
              <w:rPr>
                <w:noProof/>
                <w:webHidden/>
              </w:rPr>
              <w:t>441</w:t>
            </w:r>
            <w:r w:rsidR="00C054EE">
              <w:rPr>
                <w:noProof/>
                <w:webHidden/>
              </w:rPr>
              <w:fldChar w:fldCharType="end"/>
            </w:r>
          </w:hyperlink>
        </w:p>
        <w:p w:rsidR="00C054EE" w:rsidRDefault="000D5832" w14:paraId="26C63128" w14:textId="0E9E5728">
          <w:pPr>
            <w:pStyle w:val="TOC3"/>
            <w:tabs>
              <w:tab w:val="left" w:pos="1728"/>
              <w:tab w:val="right" w:leader="dot" w:pos="9350"/>
            </w:tabs>
            <w:rPr>
              <w:rFonts w:asciiTheme="minorHAnsi" w:hAnsiTheme="minorHAnsi" w:cstheme="minorBidi"/>
              <w:noProof/>
              <w:sz w:val="22"/>
              <w:szCs w:val="22"/>
            </w:rPr>
          </w:pPr>
          <w:hyperlink w:history="1" w:anchor="_Toc69948377">
            <w:r w:rsidRPr="00FD24A9" w:rsidR="00C054EE">
              <w:rPr>
                <w:rStyle w:val="Hyperlink"/>
                <w:noProof/>
              </w:rPr>
              <w:t>10.11.1.</w:t>
            </w:r>
            <w:r w:rsidR="00C054EE">
              <w:rPr>
                <w:rFonts w:asciiTheme="minorHAnsi" w:hAnsiTheme="minorHAnsi" w:cstheme="minorBidi"/>
                <w:noProof/>
                <w:sz w:val="22"/>
                <w:szCs w:val="22"/>
              </w:rPr>
              <w:tab/>
            </w:r>
            <w:r w:rsidRPr="00FD24A9" w:rsidR="00C054EE">
              <w:rPr>
                <w:rStyle w:val="Hyperlink"/>
                <w:noProof/>
              </w:rPr>
              <w:t>PG&amp;E Proposal</w:t>
            </w:r>
            <w:r w:rsidR="00C054EE">
              <w:rPr>
                <w:noProof/>
                <w:webHidden/>
              </w:rPr>
              <w:tab/>
            </w:r>
            <w:r w:rsidR="00C054EE">
              <w:rPr>
                <w:noProof/>
                <w:webHidden/>
              </w:rPr>
              <w:fldChar w:fldCharType="begin"/>
            </w:r>
            <w:r w:rsidR="00C054EE">
              <w:rPr>
                <w:noProof/>
                <w:webHidden/>
              </w:rPr>
              <w:instrText xml:space="preserve"> PAGEREF _Toc69948377 \h </w:instrText>
            </w:r>
            <w:r w:rsidR="00C054EE">
              <w:rPr>
                <w:noProof/>
                <w:webHidden/>
              </w:rPr>
            </w:r>
            <w:r w:rsidR="00C054EE">
              <w:rPr>
                <w:noProof/>
                <w:webHidden/>
              </w:rPr>
              <w:fldChar w:fldCharType="separate"/>
            </w:r>
            <w:r w:rsidR="004C2E01">
              <w:rPr>
                <w:noProof/>
                <w:webHidden/>
              </w:rPr>
              <w:t>441</w:t>
            </w:r>
            <w:r w:rsidR="00C054EE">
              <w:rPr>
                <w:noProof/>
                <w:webHidden/>
              </w:rPr>
              <w:fldChar w:fldCharType="end"/>
            </w:r>
          </w:hyperlink>
        </w:p>
        <w:p w:rsidR="00C054EE" w:rsidRDefault="000D5832" w14:paraId="1C587FE9" w14:textId="035ABA2D">
          <w:pPr>
            <w:pStyle w:val="TOC3"/>
            <w:tabs>
              <w:tab w:val="left" w:pos="1728"/>
              <w:tab w:val="right" w:leader="dot" w:pos="9350"/>
            </w:tabs>
            <w:rPr>
              <w:rFonts w:asciiTheme="minorHAnsi" w:hAnsiTheme="minorHAnsi" w:cstheme="minorBidi"/>
              <w:noProof/>
              <w:sz w:val="22"/>
              <w:szCs w:val="22"/>
            </w:rPr>
          </w:pPr>
          <w:hyperlink w:history="1" w:anchor="_Toc69948378">
            <w:r w:rsidRPr="00FD24A9" w:rsidR="00C054EE">
              <w:rPr>
                <w:rStyle w:val="Hyperlink"/>
                <w:noProof/>
              </w:rPr>
              <w:t>10.11.2.</w:t>
            </w:r>
            <w:r w:rsidR="00C054EE">
              <w:rPr>
                <w:rFonts w:asciiTheme="minorHAnsi" w:hAnsiTheme="minorHAnsi" w:cstheme="minorBidi"/>
                <w:noProof/>
                <w:sz w:val="22"/>
                <w:szCs w:val="22"/>
              </w:rPr>
              <w:tab/>
            </w:r>
            <w:r w:rsidRPr="00FD24A9" w:rsidR="00C054EE">
              <w:rPr>
                <w:rStyle w:val="Hyperlink"/>
                <w:noProof/>
              </w:rPr>
              <w:t>SCE Proposal</w:t>
            </w:r>
            <w:r w:rsidR="00C054EE">
              <w:rPr>
                <w:noProof/>
                <w:webHidden/>
              </w:rPr>
              <w:tab/>
            </w:r>
            <w:r w:rsidR="00C054EE">
              <w:rPr>
                <w:noProof/>
                <w:webHidden/>
              </w:rPr>
              <w:fldChar w:fldCharType="begin"/>
            </w:r>
            <w:r w:rsidR="00C054EE">
              <w:rPr>
                <w:noProof/>
                <w:webHidden/>
              </w:rPr>
              <w:instrText xml:space="preserve"> PAGEREF _Toc69948378 \h </w:instrText>
            </w:r>
            <w:r w:rsidR="00C054EE">
              <w:rPr>
                <w:noProof/>
                <w:webHidden/>
              </w:rPr>
            </w:r>
            <w:r w:rsidR="00C054EE">
              <w:rPr>
                <w:noProof/>
                <w:webHidden/>
              </w:rPr>
              <w:fldChar w:fldCharType="separate"/>
            </w:r>
            <w:r w:rsidR="004C2E01">
              <w:rPr>
                <w:noProof/>
                <w:webHidden/>
              </w:rPr>
              <w:t>442</w:t>
            </w:r>
            <w:r w:rsidR="00C054EE">
              <w:rPr>
                <w:noProof/>
                <w:webHidden/>
              </w:rPr>
              <w:fldChar w:fldCharType="end"/>
            </w:r>
          </w:hyperlink>
        </w:p>
        <w:p w:rsidR="00C054EE" w:rsidRDefault="000D5832" w14:paraId="0A2FBFDA" w14:textId="35E71A77">
          <w:pPr>
            <w:pStyle w:val="TOC3"/>
            <w:tabs>
              <w:tab w:val="left" w:pos="1728"/>
              <w:tab w:val="right" w:leader="dot" w:pos="9350"/>
            </w:tabs>
            <w:rPr>
              <w:rFonts w:asciiTheme="minorHAnsi" w:hAnsiTheme="minorHAnsi" w:cstheme="minorBidi"/>
              <w:noProof/>
              <w:sz w:val="22"/>
              <w:szCs w:val="22"/>
            </w:rPr>
          </w:pPr>
          <w:hyperlink w:history="1" w:anchor="_Toc69948379">
            <w:r w:rsidRPr="00FD24A9" w:rsidR="00C054EE">
              <w:rPr>
                <w:rStyle w:val="Hyperlink"/>
                <w:noProof/>
              </w:rPr>
              <w:t>10.11.3.</w:t>
            </w:r>
            <w:r w:rsidR="00C054EE">
              <w:rPr>
                <w:rFonts w:asciiTheme="minorHAnsi" w:hAnsiTheme="minorHAnsi" w:cstheme="minorBidi"/>
                <w:noProof/>
                <w:sz w:val="22"/>
                <w:szCs w:val="22"/>
              </w:rPr>
              <w:tab/>
            </w:r>
            <w:r w:rsidRPr="00FD24A9" w:rsidR="00C054EE">
              <w:rPr>
                <w:rStyle w:val="Hyperlink"/>
                <w:noProof/>
              </w:rPr>
              <w:t>SoCalGas Proposal</w:t>
            </w:r>
            <w:r w:rsidR="00C054EE">
              <w:rPr>
                <w:noProof/>
                <w:webHidden/>
              </w:rPr>
              <w:tab/>
            </w:r>
            <w:r w:rsidR="00C054EE">
              <w:rPr>
                <w:noProof/>
                <w:webHidden/>
              </w:rPr>
              <w:fldChar w:fldCharType="begin"/>
            </w:r>
            <w:r w:rsidR="00C054EE">
              <w:rPr>
                <w:noProof/>
                <w:webHidden/>
              </w:rPr>
              <w:instrText xml:space="preserve"> PAGEREF _Toc69948379 \h </w:instrText>
            </w:r>
            <w:r w:rsidR="00C054EE">
              <w:rPr>
                <w:noProof/>
                <w:webHidden/>
              </w:rPr>
            </w:r>
            <w:r w:rsidR="00C054EE">
              <w:rPr>
                <w:noProof/>
                <w:webHidden/>
              </w:rPr>
              <w:fldChar w:fldCharType="separate"/>
            </w:r>
            <w:r w:rsidR="004C2E01">
              <w:rPr>
                <w:noProof/>
                <w:webHidden/>
              </w:rPr>
              <w:t>442</w:t>
            </w:r>
            <w:r w:rsidR="00C054EE">
              <w:rPr>
                <w:noProof/>
                <w:webHidden/>
              </w:rPr>
              <w:fldChar w:fldCharType="end"/>
            </w:r>
          </w:hyperlink>
        </w:p>
        <w:p w:rsidR="00C054EE" w:rsidRDefault="000D5832" w14:paraId="64DFB621" w14:textId="592DC8B6">
          <w:pPr>
            <w:pStyle w:val="TOC3"/>
            <w:tabs>
              <w:tab w:val="left" w:pos="1728"/>
              <w:tab w:val="right" w:leader="dot" w:pos="9350"/>
            </w:tabs>
            <w:rPr>
              <w:rFonts w:asciiTheme="minorHAnsi" w:hAnsiTheme="minorHAnsi" w:cstheme="minorBidi"/>
              <w:noProof/>
              <w:sz w:val="22"/>
              <w:szCs w:val="22"/>
            </w:rPr>
          </w:pPr>
          <w:hyperlink w:history="1" w:anchor="_Toc69948380">
            <w:r w:rsidRPr="00FD24A9" w:rsidR="00C054EE">
              <w:rPr>
                <w:rStyle w:val="Hyperlink"/>
                <w:noProof/>
              </w:rPr>
              <w:t>10.11.4.</w:t>
            </w:r>
            <w:r w:rsidR="00C054EE">
              <w:rPr>
                <w:rFonts w:asciiTheme="minorHAnsi" w:hAnsiTheme="minorHAnsi" w:cstheme="minorBidi"/>
                <w:noProof/>
                <w:sz w:val="22"/>
                <w:szCs w:val="22"/>
              </w:rPr>
              <w:tab/>
            </w:r>
            <w:r w:rsidRPr="00FD24A9" w:rsidR="00C054EE">
              <w:rPr>
                <w:rStyle w:val="Hyperlink"/>
                <w:noProof/>
              </w:rPr>
              <w:t>SDG&amp;E Proposal</w:t>
            </w:r>
            <w:r w:rsidR="00C054EE">
              <w:rPr>
                <w:noProof/>
                <w:webHidden/>
              </w:rPr>
              <w:tab/>
            </w:r>
            <w:r w:rsidR="00C054EE">
              <w:rPr>
                <w:noProof/>
                <w:webHidden/>
              </w:rPr>
              <w:fldChar w:fldCharType="begin"/>
            </w:r>
            <w:r w:rsidR="00C054EE">
              <w:rPr>
                <w:noProof/>
                <w:webHidden/>
              </w:rPr>
              <w:instrText xml:space="preserve"> PAGEREF _Toc69948380 \h </w:instrText>
            </w:r>
            <w:r w:rsidR="00C054EE">
              <w:rPr>
                <w:noProof/>
                <w:webHidden/>
              </w:rPr>
            </w:r>
            <w:r w:rsidR="00C054EE">
              <w:rPr>
                <w:noProof/>
                <w:webHidden/>
              </w:rPr>
              <w:fldChar w:fldCharType="separate"/>
            </w:r>
            <w:r w:rsidR="004C2E01">
              <w:rPr>
                <w:noProof/>
                <w:webHidden/>
              </w:rPr>
              <w:t>443</w:t>
            </w:r>
            <w:r w:rsidR="00C054EE">
              <w:rPr>
                <w:noProof/>
                <w:webHidden/>
              </w:rPr>
              <w:fldChar w:fldCharType="end"/>
            </w:r>
          </w:hyperlink>
        </w:p>
        <w:p w:rsidR="00C054EE" w:rsidRDefault="000D5832" w14:paraId="755B0912" w14:textId="783AC530">
          <w:pPr>
            <w:pStyle w:val="TOC3"/>
            <w:tabs>
              <w:tab w:val="left" w:pos="1728"/>
              <w:tab w:val="right" w:leader="dot" w:pos="9350"/>
            </w:tabs>
            <w:rPr>
              <w:rFonts w:asciiTheme="minorHAnsi" w:hAnsiTheme="minorHAnsi" w:cstheme="minorBidi"/>
              <w:noProof/>
              <w:sz w:val="22"/>
              <w:szCs w:val="22"/>
            </w:rPr>
          </w:pPr>
          <w:hyperlink w:history="1" w:anchor="_Toc69948381">
            <w:r w:rsidRPr="00FD24A9" w:rsidR="00C054EE">
              <w:rPr>
                <w:rStyle w:val="Hyperlink"/>
                <w:noProof/>
              </w:rPr>
              <w:t>10.11.5.</w:t>
            </w:r>
            <w:r w:rsidR="00C054EE">
              <w:rPr>
                <w:rFonts w:asciiTheme="minorHAnsi" w:hAnsiTheme="minorHAnsi" w:cstheme="minorBidi"/>
                <w:noProof/>
                <w:sz w:val="22"/>
                <w:szCs w:val="22"/>
              </w:rPr>
              <w:tab/>
            </w:r>
            <w:r w:rsidRPr="00FD24A9" w:rsidR="00C054EE">
              <w:rPr>
                <w:rStyle w:val="Hyperlink"/>
                <w:noProof/>
              </w:rPr>
              <w:t>Party Positions</w:t>
            </w:r>
            <w:r w:rsidR="00C054EE">
              <w:rPr>
                <w:noProof/>
                <w:webHidden/>
              </w:rPr>
              <w:tab/>
            </w:r>
            <w:r w:rsidR="00C054EE">
              <w:rPr>
                <w:noProof/>
                <w:webHidden/>
              </w:rPr>
              <w:fldChar w:fldCharType="begin"/>
            </w:r>
            <w:r w:rsidR="00C054EE">
              <w:rPr>
                <w:noProof/>
                <w:webHidden/>
              </w:rPr>
              <w:instrText xml:space="preserve"> PAGEREF _Toc69948381 \h </w:instrText>
            </w:r>
            <w:r w:rsidR="00C054EE">
              <w:rPr>
                <w:noProof/>
                <w:webHidden/>
              </w:rPr>
            </w:r>
            <w:r w:rsidR="00C054EE">
              <w:rPr>
                <w:noProof/>
                <w:webHidden/>
              </w:rPr>
              <w:fldChar w:fldCharType="separate"/>
            </w:r>
            <w:r w:rsidR="004C2E01">
              <w:rPr>
                <w:noProof/>
                <w:webHidden/>
              </w:rPr>
              <w:t>443</w:t>
            </w:r>
            <w:r w:rsidR="00C054EE">
              <w:rPr>
                <w:noProof/>
                <w:webHidden/>
              </w:rPr>
              <w:fldChar w:fldCharType="end"/>
            </w:r>
          </w:hyperlink>
        </w:p>
        <w:p w:rsidR="00C054EE" w:rsidRDefault="000D5832" w14:paraId="4077E5C2" w14:textId="3517A22C">
          <w:pPr>
            <w:pStyle w:val="TOC4"/>
            <w:tabs>
              <w:tab w:val="left" w:pos="2160"/>
              <w:tab w:val="right" w:leader="dot" w:pos="9350"/>
            </w:tabs>
            <w:rPr>
              <w:rFonts w:asciiTheme="minorHAnsi" w:hAnsiTheme="minorHAnsi" w:eastAsiaTheme="minorEastAsia" w:cstheme="minorBidi"/>
              <w:noProof/>
              <w:sz w:val="22"/>
              <w:szCs w:val="22"/>
            </w:rPr>
          </w:pPr>
          <w:hyperlink w:history="1" w:anchor="_Toc69948382">
            <w:r w:rsidRPr="00FD24A9" w:rsidR="00C054EE">
              <w:rPr>
                <w:rStyle w:val="Hyperlink"/>
                <w:noProof/>
              </w:rPr>
              <w:t>10.11.5.1.</w:t>
            </w:r>
            <w:r w:rsidR="00C054EE">
              <w:rPr>
                <w:rFonts w:asciiTheme="minorHAnsi" w:hAnsiTheme="minorHAnsi" w:eastAsiaTheme="minorEastAsia" w:cstheme="minorBidi"/>
                <w:noProof/>
                <w:sz w:val="22"/>
                <w:szCs w:val="22"/>
              </w:rPr>
              <w:tab/>
            </w:r>
            <w:r w:rsidRPr="00FD24A9" w:rsidR="00C054EE">
              <w:rPr>
                <w:rStyle w:val="Hyperlink"/>
                <w:noProof/>
              </w:rPr>
              <w:t>CETF</w:t>
            </w:r>
            <w:r w:rsidR="00C054EE">
              <w:rPr>
                <w:noProof/>
                <w:webHidden/>
              </w:rPr>
              <w:tab/>
            </w:r>
            <w:r w:rsidR="00C054EE">
              <w:rPr>
                <w:noProof/>
                <w:webHidden/>
              </w:rPr>
              <w:fldChar w:fldCharType="begin"/>
            </w:r>
            <w:r w:rsidR="00C054EE">
              <w:rPr>
                <w:noProof/>
                <w:webHidden/>
              </w:rPr>
              <w:instrText xml:space="preserve"> PAGEREF _Toc69948382 \h </w:instrText>
            </w:r>
            <w:r w:rsidR="00C054EE">
              <w:rPr>
                <w:noProof/>
                <w:webHidden/>
              </w:rPr>
            </w:r>
            <w:r w:rsidR="00C054EE">
              <w:rPr>
                <w:noProof/>
                <w:webHidden/>
              </w:rPr>
              <w:fldChar w:fldCharType="separate"/>
            </w:r>
            <w:r w:rsidR="004C2E01">
              <w:rPr>
                <w:noProof/>
                <w:webHidden/>
              </w:rPr>
              <w:t>443</w:t>
            </w:r>
            <w:r w:rsidR="00C054EE">
              <w:rPr>
                <w:noProof/>
                <w:webHidden/>
              </w:rPr>
              <w:fldChar w:fldCharType="end"/>
            </w:r>
          </w:hyperlink>
        </w:p>
        <w:p w:rsidR="00C054EE" w:rsidRDefault="000D5832" w14:paraId="52B624CF" w14:textId="517BC53C">
          <w:pPr>
            <w:pStyle w:val="TOC4"/>
            <w:tabs>
              <w:tab w:val="left" w:pos="2160"/>
              <w:tab w:val="right" w:leader="dot" w:pos="9350"/>
            </w:tabs>
            <w:rPr>
              <w:rFonts w:asciiTheme="minorHAnsi" w:hAnsiTheme="minorHAnsi" w:eastAsiaTheme="minorEastAsia" w:cstheme="minorBidi"/>
              <w:noProof/>
              <w:sz w:val="22"/>
              <w:szCs w:val="22"/>
            </w:rPr>
          </w:pPr>
          <w:hyperlink w:history="1" w:anchor="_Toc69948383">
            <w:r w:rsidRPr="00FD24A9" w:rsidR="00C054EE">
              <w:rPr>
                <w:rStyle w:val="Hyperlink"/>
                <w:noProof/>
              </w:rPr>
              <w:t>10.11.5.2.</w:t>
            </w:r>
            <w:r w:rsidR="00C054EE">
              <w:rPr>
                <w:rFonts w:asciiTheme="minorHAnsi" w:hAnsiTheme="minorHAnsi" w:eastAsiaTheme="minorEastAsia" w:cstheme="minorBidi"/>
                <w:noProof/>
                <w:sz w:val="22"/>
                <w:szCs w:val="22"/>
              </w:rPr>
              <w:tab/>
            </w:r>
            <w:r w:rsidRPr="00FD24A9" w:rsidR="00C054EE">
              <w:rPr>
                <w:rStyle w:val="Hyperlink"/>
                <w:noProof/>
              </w:rPr>
              <w:t>CforAT</w:t>
            </w:r>
            <w:r w:rsidR="00C054EE">
              <w:rPr>
                <w:noProof/>
                <w:webHidden/>
              </w:rPr>
              <w:tab/>
            </w:r>
            <w:r w:rsidR="00C054EE">
              <w:rPr>
                <w:noProof/>
                <w:webHidden/>
              </w:rPr>
              <w:fldChar w:fldCharType="begin"/>
            </w:r>
            <w:r w:rsidR="00C054EE">
              <w:rPr>
                <w:noProof/>
                <w:webHidden/>
              </w:rPr>
              <w:instrText xml:space="preserve"> PAGEREF _Toc69948383 \h </w:instrText>
            </w:r>
            <w:r w:rsidR="00C054EE">
              <w:rPr>
                <w:noProof/>
                <w:webHidden/>
              </w:rPr>
            </w:r>
            <w:r w:rsidR="00C054EE">
              <w:rPr>
                <w:noProof/>
                <w:webHidden/>
              </w:rPr>
              <w:fldChar w:fldCharType="separate"/>
            </w:r>
            <w:r w:rsidR="004C2E01">
              <w:rPr>
                <w:noProof/>
                <w:webHidden/>
              </w:rPr>
              <w:t>444</w:t>
            </w:r>
            <w:r w:rsidR="00C054EE">
              <w:rPr>
                <w:noProof/>
                <w:webHidden/>
              </w:rPr>
              <w:fldChar w:fldCharType="end"/>
            </w:r>
          </w:hyperlink>
        </w:p>
        <w:p w:rsidR="00C054EE" w:rsidRDefault="000D5832" w14:paraId="30AEF12B" w14:textId="080FAAB3">
          <w:pPr>
            <w:pStyle w:val="TOC4"/>
            <w:tabs>
              <w:tab w:val="left" w:pos="2160"/>
              <w:tab w:val="right" w:leader="dot" w:pos="9350"/>
            </w:tabs>
            <w:rPr>
              <w:rFonts w:asciiTheme="minorHAnsi" w:hAnsiTheme="minorHAnsi" w:eastAsiaTheme="minorEastAsia" w:cstheme="minorBidi"/>
              <w:noProof/>
              <w:sz w:val="22"/>
              <w:szCs w:val="22"/>
            </w:rPr>
          </w:pPr>
          <w:hyperlink w:history="1" w:anchor="_Toc69948384">
            <w:r w:rsidRPr="00FD24A9" w:rsidR="00C054EE">
              <w:rPr>
                <w:rStyle w:val="Hyperlink"/>
                <w:noProof/>
              </w:rPr>
              <w:t>10.11.5.3.</w:t>
            </w:r>
            <w:r w:rsidR="00C054EE">
              <w:rPr>
                <w:rFonts w:asciiTheme="minorHAnsi" w:hAnsiTheme="minorHAnsi" w:eastAsiaTheme="minorEastAsia" w:cstheme="minorBidi"/>
                <w:noProof/>
                <w:sz w:val="22"/>
                <w:szCs w:val="22"/>
              </w:rPr>
              <w:tab/>
            </w:r>
            <w:r w:rsidRPr="00FD24A9" w:rsidR="00C054EE">
              <w:rPr>
                <w:rStyle w:val="Hyperlink"/>
                <w:noProof/>
              </w:rPr>
              <w:t>TURN</w:t>
            </w:r>
            <w:r w:rsidR="00C054EE">
              <w:rPr>
                <w:noProof/>
                <w:webHidden/>
              </w:rPr>
              <w:tab/>
            </w:r>
            <w:r w:rsidR="00C054EE">
              <w:rPr>
                <w:noProof/>
                <w:webHidden/>
              </w:rPr>
              <w:fldChar w:fldCharType="begin"/>
            </w:r>
            <w:r w:rsidR="00C054EE">
              <w:rPr>
                <w:noProof/>
                <w:webHidden/>
              </w:rPr>
              <w:instrText xml:space="preserve"> PAGEREF _Toc69948384 \h </w:instrText>
            </w:r>
            <w:r w:rsidR="00C054EE">
              <w:rPr>
                <w:noProof/>
                <w:webHidden/>
              </w:rPr>
            </w:r>
            <w:r w:rsidR="00C054EE">
              <w:rPr>
                <w:noProof/>
                <w:webHidden/>
              </w:rPr>
              <w:fldChar w:fldCharType="separate"/>
            </w:r>
            <w:r w:rsidR="004C2E01">
              <w:rPr>
                <w:noProof/>
                <w:webHidden/>
              </w:rPr>
              <w:t>445</w:t>
            </w:r>
            <w:r w:rsidR="00C054EE">
              <w:rPr>
                <w:noProof/>
                <w:webHidden/>
              </w:rPr>
              <w:fldChar w:fldCharType="end"/>
            </w:r>
          </w:hyperlink>
        </w:p>
        <w:p w:rsidR="00C054EE" w:rsidRDefault="000D5832" w14:paraId="4266BB8A" w14:textId="0EB5EAFD">
          <w:pPr>
            <w:pStyle w:val="TOC4"/>
            <w:tabs>
              <w:tab w:val="left" w:pos="2160"/>
              <w:tab w:val="right" w:leader="dot" w:pos="9350"/>
            </w:tabs>
            <w:rPr>
              <w:rFonts w:asciiTheme="minorHAnsi" w:hAnsiTheme="minorHAnsi" w:eastAsiaTheme="minorEastAsia" w:cstheme="minorBidi"/>
              <w:noProof/>
              <w:sz w:val="22"/>
              <w:szCs w:val="22"/>
            </w:rPr>
          </w:pPr>
          <w:hyperlink w:history="1" w:anchor="_Toc69948385">
            <w:r w:rsidRPr="00FD24A9" w:rsidR="00C054EE">
              <w:rPr>
                <w:rStyle w:val="Hyperlink"/>
                <w:noProof/>
              </w:rPr>
              <w:t>10.11.5.4.</w:t>
            </w:r>
            <w:r w:rsidR="00C054EE">
              <w:rPr>
                <w:rFonts w:asciiTheme="minorHAnsi" w:hAnsiTheme="minorHAnsi" w:eastAsiaTheme="minorEastAsia" w:cstheme="minorBidi"/>
                <w:noProof/>
                <w:sz w:val="22"/>
                <w:szCs w:val="22"/>
              </w:rPr>
              <w:tab/>
            </w:r>
            <w:r w:rsidRPr="00FD24A9" w:rsidR="00C054EE">
              <w:rPr>
                <w:rStyle w:val="Hyperlink"/>
                <w:noProof/>
              </w:rPr>
              <w:t>Joint Parties</w:t>
            </w:r>
            <w:r w:rsidR="00C054EE">
              <w:rPr>
                <w:noProof/>
                <w:webHidden/>
              </w:rPr>
              <w:tab/>
            </w:r>
            <w:r w:rsidR="00C054EE">
              <w:rPr>
                <w:noProof/>
                <w:webHidden/>
              </w:rPr>
              <w:fldChar w:fldCharType="begin"/>
            </w:r>
            <w:r w:rsidR="00C054EE">
              <w:rPr>
                <w:noProof/>
                <w:webHidden/>
              </w:rPr>
              <w:instrText xml:space="preserve"> PAGEREF _Toc69948385 \h </w:instrText>
            </w:r>
            <w:r w:rsidR="00C054EE">
              <w:rPr>
                <w:noProof/>
                <w:webHidden/>
              </w:rPr>
            </w:r>
            <w:r w:rsidR="00C054EE">
              <w:rPr>
                <w:noProof/>
                <w:webHidden/>
              </w:rPr>
              <w:fldChar w:fldCharType="separate"/>
            </w:r>
            <w:r w:rsidR="004C2E01">
              <w:rPr>
                <w:noProof/>
                <w:webHidden/>
              </w:rPr>
              <w:t>446</w:t>
            </w:r>
            <w:r w:rsidR="00C054EE">
              <w:rPr>
                <w:noProof/>
                <w:webHidden/>
              </w:rPr>
              <w:fldChar w:fldCharType="end"/>
            </w:r>
          </w:hyperlink>
        </w:p>
        <w:p w:rsidR="00C054EE" w:rsidRDefault="000D5832" w14:paraId="7A356A75" w14:textId="73F58182">
          <w:pPr>
            <w:pStyle w:val="TOC4"/>
            <w:tabs>
              <w:tab w:val="left" w:pos="2160"/>
              <w:tab w:val="right" w:leader="dot" w:pos="9350"/>
            </w:tabs>
            <w:rPr>
              <w:rFonts w:asciiTheme="minorHAnsi" w:hAnsiTheme="minorHAnsi" w:eastAsiaTheme="minorEastAsia" w:cstheme="minorBidi"/>
              <w:noProof/>
              <w:sz w:val="22"/>
              <w:szCs w:val="22"/>
            </w:rPr>
          </w:pPr>
          <w:hyperlink w:history="1" w:anchor="_Toc69948386">
            <w:r w:rsidRPr="00FD24A9" w:rsidR="00C054EE">
              <w:rPr>
                <w:rStyle w:val="Hyperlink"/>
                <w:noProof/>
              </w:rPr>
              <w:t>10.11.5.5.</w:t>
            </w:r>
            <w:r w:rsidR="00C054EE">
              <w:rPr>
                <w:rFonts w:asciiTheme="minorHAnsi" w:hAnsiTheme="minorHAnsi" w:eastAsiaTheme="minorEastAsia" w:cstheme="minorBidi"/>
                <w:noProof/>
                <w:sz w:val="22"/>
                <w:szCs w:val="22"/>
              </w:rPr>
              <w:tab/>
            </w:r>
            <w:r w:rsidRPr="00FD24A9" w:rsidR="00C054EE">
              <w:rPr>
                <w:rStyle w:val="Hyperlink"/>
                <w:noProof/>
              </w:rPr>
              <w:t>EEC, TELACU et al.</w:t>
            </w:r>
            <w:r w:rsidR="00C054EE">
              <w:rPr>
                <w:noProof/>
                <w:webHidden/>
              </w:rPr>
              <w:tab/>
            </w:r>
            <w:r w:rsidR="00C054EE">
              <w:rPr>
                <w:noProof/>
                <w:webHidden/>
              </w:rPr>
              <w:fldChar w:fldCharType="begin"/>
            </w:r>
            <w:r w:rsidR="00C054EE">
              <w:rPr>
                <w:noProof/>
                <w:webHidden/>
              </w:rPr>
              <w:instrText xml:space="preserve"> PAGEREF _Toc69948386 \h </w:instrText>
            </w:r>
            <w:r w:rsidR="00C054EE">
              <w:rPr>
                <w:noProof/>
                <w:webHidden/>
              </w:rPr>
            </w:r>
            <w:r w:rsidR="00C054EE">
              <w:rPr>
                <w:noProof/>
                <w:webHidden/>
              </w:rPr>
              <w:fldChar w:fldCharType="separate"/>
            </w:r>
            <w:r w:rsidR="004C2E01">
              <w:rPr>
                <w:noProof/>
                <w:webHidden/>
              </w:rPr>
              <w:t>447</w:t>
            </w:r>
            <w:r w:rsidR="00C054EE">
              <w:rPr>
                <w:noProof/>
                <w:webHidden/>
              </w:rPr>
              <w:fldChar w:fldCharType="end"/>
            </w:r>
          </w:hyperlink>
        </w:p>
        <w:p w:rsidR="00C054EE" w:rsidRDefault="000D5832" w14:paraId="6E41F5B9" w14:textId="522E5116">
          <w:pPr>
            <w:pStyle w:val="TOC3"/>
            <w:tabs>
              <w:tab w:val="left" w:pos="1728"/>
              <w:tab w:val="right" w:leader="dot" w:pos="9350"/>
            </w:tabs>
            <w:rPr>
              <w:rFonts w:asciiTheme="minorHAnsi" w:hAnsiTheme="minorHAnsi" w:cstheme="minorBidi"/>
              <w:noProof/>
              <w:sz w:val="22"/>
              <w:szCs w:val="22"/>
            </w:rPr>
          </w:pPr>
          <w:hyperlink w:history="1" w:anchor="_Toc69948387">
            <w:r w:rsidRPr="00FD24A9" w:rsidR="00C054EE">
              <w:rPr>
                <w:rStyle w:val="Hyperlink"/>
                <w:noProof/>
              </w:rPr>
              <w:t>10.11.6.</w:t>
            </w:r>
            <w:r w:rsidR="00C054EE">
              <w:rPr>
                <w:rFonts w:asciiTheme="minorHAnsi" w:hAnsiTheme="minorHAnsi" w:cstheme="minorBidi"/>
                <w:noProof/>
                <w:sz w:val="22"/>
                <w:szCs w:val="22"/>
              </w:rPr>
              <w:tab/>
            </w:r>
            <w:r w:rsidRPr="00FD24A9" w:rsidR="00C054EE">
              <w:rPr>
                <w:rStyle w:val="Hyperlink"/>
                <w:noProof/>
              </w:rPr>
              <w:t>IOU Responses</w:t>
            </w:r>
            <w:r w:rsidR="00C054EE">
              <w:rPr>
                <w:noProof/>
                <w:webHidden/>
              </w:rPr>
              <w:tab/>
            </w:r>
            <w:r w:rsidR="00C054EE">
              <w:rPr>
                <w:noProof/>
                <w:webHidden/>
              </w:rPr>
              <w:fldChar w:fldCharType="begin"/>
            </w:r>
            <w:r w:rsidR="00C054EE">
              <w:rPr>
                <w:noProof/>
                <w:webHidden/>
              </w:rPr>
              <w:instrText xml:space="preserve"> PAGEREF _Toc69948387 \h </w:instrText>
            </w:r>
            <w:r w:rsidR="00C054EE">
              <w:rPr>
                <w:noProof/>
                <w:webHidden/>
              </w:rPr>
            </w:r>
            <w:r w:rsidR="00C054EE">
              <w:rPr>
                <w:noProof/>
                <w:webHidden/>
              </w:rPr>
              <w:fldChar w:fldCharType="separate"/>
            </w:r>
            <w:r w:rsidR="004C2E01">
              <w:rPr>
                <w:noProof/>
                <w:webHidden/>
              </w:rPr>
              <w:t>447</w:t>
            </w:r>
            <w:r w:rsidR="00C054EE">
              <w:rPr>
                <w:noProof/>
                <w:webHidden/>
              </w:rPr>
              <w:fldChar w:fldCharType="end"/>
            </w:r>
          </w:hyperlink>
        </w:p>
        <w:p w:rsidR="00C054EE" w:rsidRDefault="000D5832" w14:paraId="737CB7B6" w14:textId="0047BDCD">
          <w:pPr>
            <w:pStyle w:val="TOC4"/>
            <w:tabs>
              <w:tab w:val="left" w:pos="2160"/>
              <w:tab w:val="right" w:leader="dot" w:pos="9350"/>
            </w:tabs>
            <w:rPr>
              <w:rFonts w:asciiTheme="minorHAnsi" w:hAnsiTheme="minorHAnsi" w:eastAsiaTheme="minorEastAsia" w:cstheme="minorBidi"/>
              <w:noProof/>
              <w:sz w:val="22"/>
              <w:szCs w:val="22"/>
            </w:rPr>
          </w:pPr>
          <w:hyperlink w:history="1" w:anchor="_Toc69948388">
            <w:r w:rsidRPr="00FD24A9" w:rsidR="00C054EE">
              <w:rPr>
                <w:rStyle w:val="Hyperlink"/>
                <w:noProof/>
              </w:rPr>
              <w:t>10.11.6.1.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_Toc69948388 \h </w:instrText>
            </w:r>
            <w:r w:rsidR="00C054EE">
              <w:rPr>
                <w:noProof/>
                <w:webHidden/>
              </w:rPr>
            </w:r>
            <w:r w:rsidR="00C054EE">
              <w:rPr>
                <w:noProof/>
                <w:webHidden/>
              </w:rPr>
              <w:fldChar w:fldCharType="separate"/>
            </w:r>
            <w:r w:rsidR="004C2E01">
              <w:rPr>
                <w:noProof/>
                <w:webHidden/>
              </w:rPr>
              <w:t>447</w:t>
            </w:r>
            <w:r w:rsidR="00C054EE">
              <w:rPr>
                <w:noProof/>
                <w:webHidden/>
              </w:rPr>
              <w:fldChar w:fldCharType="end"/>
            </w:r>
          </w:hyperlink>
        </w:p>
        <w:p w:rsidR="00C054EE" w:rsidRDefault="000D5832" w14:paraId="12A0A48D" w14:textId="1C1A7272">
          <w:pPr>
            <w:pStyle w:val="TOC4"/>
            <w:tabs>
              <w:tab w:val="left" w:pos="2160"/>
              <w:tab w:val="right" w:leader="dot" w:pos="9350"/>
            </w:tabs>
            <w:rPr>
              <w:rFonts w:asciiTheme="minorHAnsi" w:hAnsiTheme="minorHAnsi" w:eastAsiaTheme="minorEastAsia" w:cstheme="minorBidi"/>
              <w:noProof/>
              <w:sz w:val="22"/>
              <w:szCs w:val="22"/>
            </w:rPr>
          </w:pPr>
          <w:hyperlink w:history="1" w:anchor="_Toc69948389">
            <w:r w:rsidRPr="00FD24A9" w:rsidR="00C054EE">
              <w:rPr>
                <w:rStyle w:val="Hyperlink"/>
                <w:noProof/>
              </w:rPr>
              <w:t>10.11.6.2.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_Toc69948389 \h </w:instrText>
            </w:r>
            <w:r w:rsidR="00C054EE">
              <w:rPr>
                <w:noProof/>
                <w:webHidden/>
              </w:rPr>
            </w:r>
            <w:r w:rsidR="00C054EE">
              <w:rPr>
                <w:noProof/>
                <w:webHidden/>
              </w:rPr>
              <w:fldChar w:fldCharType="separate"/>
            </w:r>
            <w:r w:rsidR="004C2E01">
              <w:rPr>
                <w:noProof/>
                <w:webHidden/>
              </w:rPr>
              <w:t>448</w:t>
            </w:r>
            <w:r w:rsidR="00C054EE">
              <w:rPr>
                <w:noProof/>
                <w:webHidden/>
              </w:rPr>
              <w:fldChar w:fldCharType="end"/>
            </w:r>
          </w:hyperlink>
        </w:p>
        <w:p w:rsidR="00C054EE" w:rsidRDefault="000D5832" w14:paraId="37D56A33" w14:textId="09C89686">
          <w:pPr>
            <w:pStyle w:val="TOC4"/>
            <w:tabs>
              <w:tab w:val="left" w:pos="2160"/>
              <w:tab w:val="right" w:leader="dot" w:pos="9350"/>
            </w:tabs>
            <w:rPr>
              <w:rFonts w:asciiTheme="minorHAnsi" w:hAnsiTheme="minorHAnsi" w:eastAsiaTheme="minorEastAsia" w:cstheme="minorBidi"/>
              <w:noProof/>
              <w:sz w:val="22"/>
              <w:szCs w:val="22"/>
            </w:rPr>
          </w:pPr>
          <w:hyperlink w:history="1" w:anchor="_Toc69948390">
            <w:r w:rsidRPr="00FD24A9" w:rsidR="00C054EE">
              <w:rPr>
                <w:rStyle w:val="Hyperlink"/>
                <w:noProof/>
              </w:rPr>
              <w:t>10.11.6.3.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_Toc69948390 \h </w:instrText>
            </w:r>
            <w:r w:rsidR="00C054EE">
              <w:rPr>
                <w:noProof/>
                <w:webHidden/>
              </w:rPr>
            </w:r>
            <w:r w:rsidR="00C054EE">
              <w:rPr>
                <w:noProof/>
                <w:webHidden/>
              </w:rPr>
              <w:fldChar w:fldCharType="separate"/>
            </w:r>
            <w:r w:rsidR="004C2E01">
              <w:rPr>
                <w:noProof/>
                <w:webHidden/>
              </w:rPr>
              <w:t>448</w:t>
            </w:r>
            <w:r w:rsidR="00C054EE">
              <w:rPr>
                <w:noProof/>
                <w:webHidden/>
              </w:rPr>
              <w:fldChar w:fldCharType="end"/>
            </w:r>
          </w:hyperlink>
        </w:p>
        <w:p w:rsidR="00C054EE" w:rsidRDefault="000D5832" w14:paraId="1157EA1E" w14:textId="03AD9549">
          <w:pPr>
            <w:pStyle w:val="TOC4"/>
            <w:tabs>
              <w:tab w:val="left" w:pos="2160"/>
              <w:tab w:val="right" w:leader="dot" w:pos="9350"/>
            </w:tabs>
            <w:rPr>
              <w:rFonts w:asciiTheme="minorHAnsi" w:hAnsiTheme="minorHAnsi" w:eastAsiaTheme="minorEastAsia" w:cstheme="minorBidi"/>
              <w:noProof/>
              <w:sz w:val="22"/>
              <w:szCs w:val="22"/>
            </w:rPr>
          </w:pPr>
          <w:hyperlink w:history="1" w:anchor="_Toc69948391">
            <w:r w:rsidRPr="00FD24A9" w:rsidR="00C054EE">
              <w:rPr>
                <w:rStyle w:val="Hyperlink"/>
                <w:noProof/>
              </w:rPr>
              <w:t>10.11.6.4.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_Toc69948391 \h </w:instrText>
            </w:r>
            <w:r w:rsidR="00C054EE">
              <w:rPr>
                <w:noProof/>
                <w:webHidden/>
              </w:rPr>
            </w:r>
            <w:r w:rsidR="00C054EE">
              <w:rPr>
                <w:noProof/>
                <w:webHidden/>
              </w:rPr>
              <w:fldChar w:fldCharType="separate"/>
            </w:r>
            <w:r w:rsidR="004C2E01">
              <w:rPr>
                <w:noProof/>
                <w:webHidden/>
              </w:rPr>
              <w:t>448</w:t>
            </w:r>
            <w:r w:rsidR="00C054EE">
              <w:rPr>
                <w:noProof/>
                <w:webHidden/>
              </w:rPr>
              <w:fldChar w:fldCharType="end"/>
            </w:r>
          </w:hyperlink>
        </w:p>
        <w:p w:rsidR="00C054EE" w:rsidRDefault="000D5832" w14:paraId="74BD2E3A" w14:textId="27D9583F">
          <w:pPr>
            <w:pStyle w:val="TOC3"/>
            <w:tabs>
              <w:tab w:val="left" w:pos="1728"/>
              <w:tab w:val="right" w:leader="dot" w:pos="9350"/>
            </w:tabs>
            <w:rPr>
              <w:rFonts w:asciiTheme="minorHAnsi" w:hAnsiTheme="minorHAnsi" w:cstheme="minorBidi"/>
              <w:noProof/>
              <w:sz w:val="22"/>
              <w:szCs w:val="22"/>
            </w:rPr>
          </w:pPr>
          <w:hyperlink w:history="1" w:anchor="_Toc69948392">
            <w:r w:rsidRPr="00FD24A9" w:rsidR="00C054EE">
              <w:rPr>
                <w:rStyle w:val="Hyperlink"/>
                <w:noProof/>
              </w:rPr>
              <w:t>10.11.7.</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_Toc69948392 \h </w:instrText>
            </w:r>
            <w:r w:rsidR="00C054EE">
              <w:rPr>
                <w:noProof/>
                <w:webHidden/>
              </w:rPr>
            </w:r>
            <w:r w:rsidR="00C054EE">
              <w:rPr>
                <w:noProof/>
                <w:webHidden/>
              </w:rPr>
              <w:fldChar w:fldCharType="separate"/>
            </w:r>
            <w:r w:rsidR="004C2E01">
              <w:rPr>
                <w:noProof/>
                <w:webHidden/>
              </w:rPr>
              <w:t>449</w:t>
            </w:r>
            <w:r w:rsidR="00C054EE">
              <w:rPr>
                <w:noProof/>
                <w:webHidden/>
              </w:rPr>
              <w:fldChar w:fldCharType="end"/>
            </w:r>
          </w:hyperlink>
        </w:p>
        <w:p w:rsidR="00C054EE" w:rsidRDefault="000D5832" w14:paraId="18A36327" w14:textId="2435A0C9">
          <w:pPr>
            <w:pStyle w:val="TOC4"/>
            <w:tabs>
              <w:tab w:val="left" w:pos="2160"/>
              <w:tab w:val="right" w:leader="dot" w:pos="9350"/>
            </w:tabs>
            <w:rPr>
              <w:rFonts w:asciiTheme="minorHAnsi" w:hAnsiTheme="minorHAnsi" w:eastAsiaTheme="minorEastAsia" w:cstheme="minorBidi"/>
              <w:noProof/>
              <w:sz w:val="22"/>
              <w:szCs w:val="22"/>
            </w:rPr>
          </w:pPr>
          <w:hyperlink w:history="1" w:anchor="_Toc69948393">
            <w:r w:rsidRPr="00FD24A9" w:rsidR="00C054EE">
              <w:rPr>
                <w:rStyle w:val="Hyperlink"/>
                <w:noProof/>
              </w:rPr>
              <w:t>10.11.7.1.</w:t>
            </w:r>
            <w:r w:rsidR="00C054EE">
              <w:rPr>
                <w:rFonts w:asciiTheme="minorHAnsi" w:hAnsiTheme="minorHAnsi" w:eastAsiaTheme="minorEastAsia" w:cstheme="minorBidi"/>
                <w:noProof/>
                <w:sz w:val="22"/>
                <w:szCs w:val="22"/>
              </w:rPr>
              <w:tab/>
            </w:r>
            <w:r w:rsidRPr="00FD24A9" w:rsidR="00C054EE">
              <w:rPr>
                <w:rStyle w:val="Hyperlink"/>
                <w:noProof/>
              </w:rPr>
              <w:t>Coordination with LifeLine and Other Broadband Services: Approved per Joint Stipulation</w:t>
            </w:r>
            <w:r w:rsidR="00C054EE">
              <w:rPr>
                <w:noProof/>
                <w:webHidden/>
              </w:rPr>
              <w:tab/>
            </w:r>
            <w:r w:rsidR="00C054EE">
              <w:rPr>
                <w:noProof/>
                <w:webHidden/>
              </w:rPr>
              <w:fldChar w:fldCharType="begin"/>
            </w:r>
            <w:r w:rsidR="00C054EE">
              <w:rPr>
                <w:noProof/>
                <w:webHidden/>
              </w:rPr>
              <w:instrText xml:space="preserve"> PAGEREF _Toc69948393 \h </w:instrText>
            </w:r>
            <w:r w:rsidR="00C054EE">
              <w:rPr>
                <w:noProof/>
                <w:webHidden/>
              </w:rPr>
            </w:r>
            <w:r w:rsidR="00C054EE">
              <w:rPr>
                <w:noProof/>
                <w:webHidden/>
              </w:rPr>
              <w:fldChar w:fldCharType="separate"/>
            </w:r>
            <w:r w:rsidR="004C2E01">
              <w:rPr>
                <w:noProof/>
                <w:webHidden/>
              </w:rPr>
              <w:t>449</w:t>
            </w:r>
            <w:r w:rsidR="00C054EE">
              <w:rPr>
                <w:noProof/>
                <w:webHidden/>
              </w:rPr>
              <w:fldChar w:fldCharType="end"/>
            </w:r>
          </w:hyperlink>
        </w:p>
        <w:p w:rsidR="00C054EE" w:rsidRDefault="000D5832" w14:paraId="4F1FA137" w14:textId="3CBB254A">
          <w:pPr>
            <w:pStyle w:val="TOC2"/>
            <w:tabs>
              <w:tab w:val="left" w:pos="1296"/>
              <w:tab w:val="right" w:leader="dot" w:pos="9350"/>
            </w:tabs>
            <w:rPr>
              <w:rFonts w:asciiTheme="minorHAnsi" w:hAnsiTheme="minorHAnsi" w:cstheme="minorBidi"/>
              <w:noProof/>
              <w:sz w:val="22"/>
              <w:szCs w:val="22"/>
            </w:rPr>
          </w:pPr>
          <w:hyperlink w:history="1" w:anchor="_Toc69948394">
            <w:r w:rsidRPr="00FD24A9" w:rsidR="00C054EE">
              <w:rPr>
                <w:rStyle w:val="Hyperlink"/>
                <w:noProof/>
              </w:rPr>
              <w:t>10.12.</w:t>
            </w:r>
            <w:r w:rsidR="00C054EE">
              <w:rPr>
                <w:rFonts w:asciiTheme="minorHAnsi" w:hAnsiTheme="minorHAnsi" w:cstheme="minorBidi"/>
                <w:noProof/>
                <w:sz w:val="22"/>
                <w:szCs w:val="22"/>
              </w:rPr>
              <w:tab/>
            </w:r>
            <w:r w:rsidRPr="00FD24A9" w:rsidR="00C054EE">
              <w:rPr>
                <w:rStyle w:val="Hyperlink"/>
                <w:noProof/>
              </w:rPr>
              <w:t>Tribal Outreach Efforts</w:t>
            </w:r>
            <w:r w:rsidR="00C054EE">
              <w:rPr>
                <w:noProof/>
                <w:webHidden/>
              </w:rPr>
              <w:tab/>
            </w:r>
            <w:r w:rsidR="00C054EE">
              <w:rPr>
                <w:noProof/>
                <w:webHidden/>
              </w:rPr>
              <w:fldChar w:fldCharType="begin"/>
            </w:r>
            <w:r w:rsidR="00C054EE">
              <w:rPr>
                <w:noProof/>
                <w:webHidden/>
              </w:rPr>
              <w:instrText xml:space="preserve"> PAGEREF _Toc69948394 \h </w:instrText>
            </w:r>
            <w:r w:rsidR="00C054EE">
              <w:rPr>
                <w:noProof/>
                <w:webHidden/>
              </w:rPr>
            </w:r>
            <w:r w:rsidR="00C054EE">
              <w:rPr>
                <w:noProof/>
                <w:webHidden/>
              </w:rPr>
              <w:fldChar w:fldCharType="separate"/>
            </w:r>
            <w:r w:rsidR="004C2E01">
              <w:rPr>
                <w:noProof/>
                <w:webHidden/>
              </w:rPr>
              <w:t>449</w:t>
            </w:r>
            <w:r w:rsidR="00C054EE">
              <w:rPr>
                <w:noProof/>
                <w:webHidden/>
              </w:rPr>
              <w:fldChar w:fldCharType="end"/>
            </w:r>
          </w:hyperlink>
        </w:p>
        <w:p w:rsidR="00C054EE" w:rsidRDefault="000D5832" w14:paraId="0B7890DA" w14:textId="72A51FEE">
          <w:pPr>
            <w:pStyle w:val="TOC3"/>
            <w:tabs>
              <w:tab w:val="left" w:pos="1728"/>
              <w:tab w:val="right" w:leader="dot" w:pos="9350"/>
            </w:tabs>
            <w:rPr>
              <w:rFonts w:asciiTheme="minorHAnsi" w:hAnsiTheme="minorHAnsi" w:cstheme="minorBidi"/>
              <w:noProof/>
              <w:sz w:val="22"/>
              <w:szCs w:val="22"/>
            </w:rPr>
          </w:pPr>
          <w:hyperlink w:history="1" w:anchor="_Toc69948395">
            <w:r w:rsidRPr="00FD24A9" w:rsidR="00C054EE">
              <w:rPr>
                <w:rStyle w:val="Hyperlink"/>
                <w:noProof/>
              </w:rPr>
              <w:t>10.12.1.</w:t>
            </w:r>
            <w:r w:rsidR="00C054EE">
              <w:rPr>
                <w:rFonts w:asciiTheme="minorHAnsi" w:hAnsiTheme="minorHAnsi" w:cstheme="minorBidi"/>
                <w:noProof/>
                <w:sz w:val="22"/>
                <w:szCs w:val="22"/>
              </w:rPr>
              <w:tab/>
            </w:r>
            <w:r w:rsidRPr="00FD24A9" w:rsidR="00C054EE">
              <w:rPr>
                <w:rStyle w:val="Hyperlink"/>
                <w:noProof/>
              </w:rPr>
              <w:t>Background</w:t>
            </w:r>
            <w:r w:rsidR="00C054EE">
              <w:rPr>
                <w:noProof/>
                <w:webHidden/>
              </w:rPr>
              <w:tab/>
            </w:r>
            <w:r w:rsidR="00C054EE">
              <w:rPr>
                <w:noProof/>
                <w:webHidden/>
              </w:rPr>
              <w:fldChar w:fldCharType="begin"/>
            </w:r>
            <w:r w:rsidR="00C054EE">
              <w:rPr>
                <w:noProof/>
                <w:webHidden/>
              </w:rPr>
              <w:instrText xml:space="preserve"> PAGEREF _Toc69948395 \h </w:instrText>
            </w:r>
            <w:r w:rsidR="00C054EE">
              <w:rPr>
                <w:noProof/>
                <w:webHidden/>
              </w:rPr>
            </w:r>
            <w:r w:rsidR="00C054EE">
              <w:rPr>
                <w:noProof/>
                <w:webHidden/>
              </w:rPr>
              <w:fldChar w:fldCharType="separate"/>
            </w:r>
            <w:r w:rsidR="004C2E01">
              <w:rPr>
                <w:noProof/>
                <w:webHidden/>
              </w:rPr>
              <w:t>449</w:t>
            </w:r>
            <w:r w:rsidR="00C054EE">
              <w:rPr>
                <w:noProof/>
                <w:webHidden/>
              </w:rPr>
              <w:fldChar w:fldCharType="end"/>
            </w:r>
          </w:hyperlink>
        </w:p>
        <w:p w:rsidR="00C054EE" w:rsidRDefault="000D5832" w14:paraId="2B59B4D1" w14:textId="416A6693">
          <w:pPr>
            <w:pStyle w:val="TOC3"/>
            <w:tabs>
              <w:tab w:val="left" w:pos="1728"/>
              <w:tab w:val="right" w:leader="dot" w:pos="9350"/>
            </w:tabs>
            <w:rPr>
              <w:rFonts w:asciiTheme="minorHAnsi" w:hAnsiTheme="minorHAnsi" w:cstheme="minorBidi"/>
              <w:noProof/>
              <w:sz w:val="22"/>
              <w:szCs w:val="22"/>
            </w:rPr>
          </w:pPr>
          <w:hyperlink w:history="1" w:anchor="_Toc69948396">
            <w:r w:rsidRPr="00FD24A9" w:rsidR="00C054EE">
              <w:rPr>
                <w:rStyle w:val="Hyperlink"/>
                <w:noProof/>
              </w:rPr>
              <w:t>10.12.2.</w:t>
            </w:r>
            <w:r w:rsidR="00C054EE">
              <w:rPr>
                <w:rFonts w:asciiTheme="minorHAnsi" w:hAnsiTheme="minorHAnsi" w:cstheme="minorBidi"/>
                <w:noProof/>
                <w:sz w:val="22"/>
                <w:szCs w:val="22"/>
              </w:rPr>
              <w:tab/>
            </w:r>
            <w:r w:rsidRPr="00FD24A9" w:rsidR="00C054EE">
              <w:rPr>
                <w:rStyle w:val="Hyperlink"/>
                <w:noProof/>
              </w:rPr>
              <w:t>Party Comments</w:t>
            </w:r>
            <w:r w:rsidR="00C054EE">
              <w:rPr>
                <w:noProof/>
                <w:webHidden/>
              </w:rPr>
              <w:tab/>
            </w:r>
            <w:r w:rsidR="00C054EE">
              <w:rPr>
                <w:noProof/>
                <w:webHidden/>
              </w:rPr>
              <w:fldChar w:fldCharType="begin"/>
            </w:r>
            <w:r w:rsidR="00C054EE">
              <w:rPr>
                <w:noProof/>
                <w:webHidden/>
              </w:rPr>
              <w:instrText xml:space="preserve"> PAGEREF _Toc69948396 \h </w:instrText>
            </w:r>
            <w:r w:rsidR="00C054EE">
              <w:rPr>
                <w:noProof/>
                <w:webHidden/>
              </w:rPr>
            </w:r>
            <w:r w:rsidR="00C054EE">
              <w:rPr>
                <w:noProof/>
                <w:webHidden/>
              </w:rPr>
              <w:fldChar w:fldCharType="separate"/>
            </w:r>
            <w:r w:rsidR="004C2E01">
              <w:rPr>
                <w:noProof/>
                <w:webHidden/>
              </w:rPr>
              <w:t>451</w:t>
            </w:r>
            <w:r w:rsidR="00C054EE">
              <w:rPr>
                <w:noProof/>
                <w:webHidden/>
              </w:rPr>
              <w:fldChar w:fldCharType="end"/>
            </w:r>
          </w:hyperlink>
        </w:p>
        <w:p w:rsidR="00C054EE" w:rsidRDefault="000D5832" w14:paraId="2B7A838E" w14:textId="275C1692">
          <w:pPr>
            <w:pStyle w:val="TOC4"/>
            <w:tabs>
              <w:tab w:val="left" w:pos="2160"/>
              <w:tab w:val="right" w:leader="dot" w:pos="9350"/>
            </w:tabs>
            <w:rPr>
              <w:rFonts w:asciiTheme="minorHAnsi" w:hAnsiTheme="minorHAnsi" w:eastAsiaTheme="minorEastAsia" w:cstheme="minorBidi"/>
              <w:noProof/>
              <w:sz w:val="22"/>
              <w:szCs w:val="22"/>
            </w:rPr>
          </w:pPr>
          <w:hyperlink w:history="1" w:anchor="_Toc69948397">
            <w:r w:rsidRPr="00FD24A9" w:rsidR="00C054EE">
              <w:rPr>
                <w:rStyle w:val="Hyperlink"/>
                <w:noProof/>
              </w:rPr>
              <w:t>10.12.2.1.</w:t>
            </w:r>
            <w:r w:rsidR="00C054EE">
              <w:rPr>
                <w:rFonts w:asciiTheme="minorHAnsi" w:hAnsiTheme="minorHAnsi" w:eastAsiaTheme="minorEastAsia" w:cstheme="minorBidi"/>
                <w:noProof/>
                <w:sz w:val="22"/>
                <w:szCs w:val="22"/>
              </w:rPr>
              <w:tab/>
            </w:r>
            <w:r w:rsidRPr="00FD24A9" w:rsidR="00C054EE">
              <w:rPr>
                <w:rStyle w:val="Hyperlink"/>
                <w:noProof/>
              </w:rPr>
              <w:t>PG&amp;E</w:t>
            </w:r>
            <w:r w:rsidR="00C054EE">
              <w:rPr>
                <w:noProof/>
                <w:webHidden/>
              </w:rPr>
              <w:tab/>
            </w:r>
            <w:r w:rsidR="00C054EE">
              <w:rPr>
                <w:noProof/>
                <w:webHidden/>
              </w:rPr>
              <w:fldChar w:fldCharType="begin"/>
            </w:r>
            <w:r w:rsidR="00C054EE">
              <w:rPr>
                <w:noProof/>
                <w:webHidden/>
              </w:rPr>
              <w:instrText xml:space="preserve"> PAGEREF _Toc69948397 \h </w:instrText>
            </w:r>
            <w:r w:rsidR="00C054EE">
              <w:rPr>
                <w:noProof/>
                <w:webHidden/>
              </w:rPr>
            </w:r>
            <w:r w:rsidR="00C054EE">
              <w:rPr>
                <w:noProof/>
                <w:webHidden/>
              </w:rPr>
              <w:fldChar w:fldCharType="separate"/>
            </w:r>
            <w:r w:rsidR="004C2E01">
              <w:rPr>
                <w:noProof/>
                <w:webHidden/>
              </w:rPr>
              <w:t>451</w:t>
            </w:r>
            <w:r w:rsidR="00C054EE">
              <w:rPr>
                <w:noProof/>
                <w:webHidden/>
              </w:rPr>
              <w:fldChar w:fldCharType="end"/>
            </w:r>
          </w:hyperlink>
        </w:p>
        <w:p w:rsidR="00C054EE" w:rsidRDefault="000D5832" w14:paraId="161598F5" w14:textId="66D77C40">
          <w:pPr>
            <w:pStyle w:val="TOC4"/>
            <w:tabs>
              <w:tab w:val="left" w:pos="2160"/>
              <w:tab w:val="right" w:leader="dot" w:pos="9350"/>
            </w:tabs>
            <w:rPr>
              <w:rFonts w:asciiTheme="minorHAnsi" w:hAnsiTheme="minorHAnsi" w:eastAsiaTheme="minorEastAsia" w:cstheme="minorBidi"/>
              <w:noProof/>
              <w:sz w:val="22"/>
              <w:szCs w:val="22"/>
            </w:rPr>
          </w:pPr>
          <w:hyperlink w:history="1" w:anchor="_Toc69948398">
            <w:r w:rsidRPr="00FD24A9" w:rsidR="00C054EE">
              <w:rPr>
                <w:rStyle w:val="Hyperlink"/>
                <w:noProof/>
              </w:rPr>
              <w:t>10.12.2.2.</w:t>
            </w:r>
            <w:r w:rsidR="00C054EE">
              <w:rPr>
                <w:rFonts w:asciiTheme="minorHAnsi" w:hAnsiTheme="minorHAnsi" w:eastAsiaTheme="minorEastAsia" w:cstheme="minorBidi"/>
                <w:noProof/>
                <w:sz w:val="22"/>
                <w:szCs w:val="22"/>
              </w:rPr>
              <w:tab/>
            </w:r>
            <w:r w:rsidRPr="00FD24A9" w:rsidR="00C054EE">
              <w:rPr>
                <w:rStyle w:val="Hyperlink"/>
                <w:noProof/>
              </w:rPr>
              <w:t>SCE</w:t>
            </w:r>
            <w:r w:rsidR="00C054EE">
              <w:rPr>
                <w:noProof/>
                <w:webHidden/>
              </w:rPr>
              <w:tab/>
            </w:r>
            <w:r w:rsidR="00C054EE">
              <w:rPr>
                <w:noProof/>
                <w:webHidden/>
              </w:rPr>
              <w:fldChar w:fldCharType="begin"/>
            </w:r>
            <w:r w:rsidR="00C054EE">
              <w:rPr>
                <w:noProof/>
                <w:webHidden/>
              </w:rPr>
              <w:instrText xml:space="preserve"> PAGEREF _Toc69948398 \h </w:instrText>
            </w:r>
            <w:r w:rsidR="00C054EE">
              <w:rPr>
                <w:noProof/>
                <w:webHidden/>
              </w:rPr>
            </w:r>
            <w:r w:rsidR="00C054EE">
              <w:rPr>
                <w:noProof/>
                <w:webHidden/>
              </w:rPr>
              <w:fldChar w:fldCharType="separate"/>
            </w:r>
            <w:r w:rsidR="004C2E01">
              <w:rPr>
                <w:noProof/>
                <w:webHidden/>
              </w:rPr>
              <w:t>452</w:t>
            </w:r>
            <w:r w:rsidR="00C054EE">
              <w:rPr>
                <w:noProof/>
                <w:webHidden/>
              </w:rPr>
              <w:fldChar w:fldCharType="end"/>
            </w:r>
          </w:hyperlink>
        </w:p>
        <w:p w:rsidR="00C054EE" w:rsidRDefault="000D5832" w14:paraId="5599B596" w14:textId="25B313BD">
          <w:pPr>
            <w:pStyle w:val="TOC4"/>
            <w:tabs>
              <w:tab w:val="left" w:pos="2160"/>
              <w:tab w:val="right" w:leader="dot" w:pos="9350"/>
            </w:tabs>
            <w:rPr>
              <w:rFonts w:asciiTheme="minorHAnsi" w:hAnsiTheme="minorHAnsi" w:eastAsiaTheme="minorEastAsia" w:cstheme="minorBidi"/>
              <w:noProof/>
              <w:sz w:val="22"/>
              <w:szCs w:val="22"/>
            </w:rPr>
          </w:pPr>
          <w:hyperlink w:history="1" w:anchor="_Toc69948399">
            <w:r w:rsidRPr="00FD24A9" w:rsidR="00C054EE">
              <w:rPr>
                <w:rStyle w:val="Hyperlink"/>
                <w:noProof/>
              </w:rPr>
              <w:t>10.12.2.3.</w:t>
            </w:r>
            <w:r w:rsidR="00C054EE">
              <w:rPr>
                <w:rFonts w:asciiTheme="minorHAnsi" w:hAnsiTheme="minorHAnsi" w:eastAsiaTheme="minorEastAsia" w:cstheme="minorBidi"/>
                <w:noProof/>
                <w:sz w:val="22"/>
                <w:szCs w:val="22"/>
              </w:rPr>
              <w:tab/>
            </w:r>
            <w:r w:rsidRPr="00FD24A9" w:rsidR="00C054EE">
              <w:rPr>
                <w:rStyle w:val="Hyperlink"/>
                <w:noProof/>
              </w:rPr>
              <w:t>SoCalGas</w:t>
            </w:r>
            <w:r w:rsidR="00C054EE">
              <w:rPr>
                <w:noProof/>
                <w:webHidden/>
              </w:rPr>
              <w:tab/>
            </w:r>
            <w:r w:rsidR="00C054EE">
              <w:rPr>
                <w:noProof/>
                <w:webHidden/>
              </w:rPr>
              <w:fldChar w:fldCharType="begin"/>
            </w:r>
            <w:r w:rsidR="00C054EE">
              <w:rPr>
                <w:noProof/>
                <w:webHidden/>
              </w:rPr>
              <w:instrText xml:space="preserve"> PAGEREF _Toc69948399 \h </w:instrText>
            </w:r>
            <w:r w:rsidR="00C054EE">
              <w:rPr>
                <w:noProof/>
                <w:webHidden/>
              </w:rPr>
            </w:r>
            <w:r w:rsidR="00C054EE">
              <w:rPr>
                <w:noProof/>
                <w:webHidden/>
              </w:rPr>
              <w:fldChar w:fldCharType="separate"/>
            </w:r>
            <w:r w:rsidR="004C2E01">
              <w:rPr>
                <w:noProof/>
                <w:webHidden/>
              </w:rPr>
              <w:t>453</w:t>
            </w:r>
            <w:r w:rsidR="00C054EE">
              <w:rPr>
                <w:noProof/>
                <w:webHidden/>
              </w:rPr>
              <w:fldChar w:fldCharType="end"/>
            </w:r>
          </w:hyperlink>
        </w:p>
        <w:p w:rsidR="00C054EE" w:rsidRDefault="000D5832" w14:paraId="04D81962" w14:textId="0DCE4EC0">
          <w:pPr>
            <w:pStyle w:val="TOC4"/>
            <w:tabs>
              <w:tab w:val="left" w:pos="2160"/>
              <w:tab w:val="right" w:leader="dot" w:pos="9350"/>
            </w:tabs>
            <w:rPr>
              <w:rFonts w:asciiTheme="minorHAnsi" w:hAnsiTheme="minorHAnsi" w:eastAsiaTheme="minorEastAsia" w:cstheme="minorBidi"/>
              <w:noProof/>
              <w:sz w:val="22"/>
              <w:szCs w:val="22"/>
            </w:rPr>
          </w:pPr>
          <w:hyperlink w:history="1" w:anchor="_Toc69948400">
            <w:r w:rsidRPr="00FD24A9" w:rsidR="00C054EE">
              <w:rPr>
                <w:rStyle w:val="Hyperlink"/>
                <w:noProof/>
              </w:rPr>
              <w:t>10.12.2.4.</w:t>
            </w:r>
            <w:r w:rsidR="00C054EE">
              <w:rPr>
                <w:rFonts w:asciiTheme="minorHAnsi" w:hAnsiTheme="minorHAnsi" w:eastAsiaTheme="minorEastAsia" w:cstheme="minorBidi"/>
                <w:noProof/>
                <w:sz w:val="22"/>
                <w:szCs w:val="22"/>
              </w:rPr>
              <w:tab/>
            </w:r>
            <w:r w:rsidRPr="00FD24A9" w:rsidR="00C054EE">
              <w:rPr>
                <w:rStyle w:val="Hyperlink"/>
                <w:noProof/>
              </w:rPr>
              <w:t>SDG&amp;E</w:t>
            </w:r>
            <w:r w:rsidR="00C054EE">
              <w:rPr>
                <w:noProof/>
                <w:webHidden/>
              </w:rPr>
              <w:tab/>
            </w:r>
            <w:r w:rsidR="00C054EE">
              <w:rPr>
                <w:noProof/>
                <w:webHidden/>
              </w:rPr>
              <w:fldChar w:fldCharType="begin"/>
            </w:r>
            <w:r w:rsidR="00C054EE">
              <w:rPr>
                <w:noProof/>
                <w:webHidden/>
              </w:rPr>
              <w:instrText xml:space="preserve"> PAGEREF _Toc69948400 \h </w:instrText>
            </w:r>
            <w:r w:rsidR="00C054EE">
              <w:rPr>
                <w:noProof/>
                <w:webHidden/>
              </w:rPr>
            </w:r>
            <w:r w:rsidR="00C054EE">
              <w:rPr>
                <w:noProof/>
                <w:webHidden/>
              </w:rPr>
              <w:fldChar w:fldCharType="separate"/>
            </w:r>
            <w:r w:rsidR="004C2E01">
              <w:rPr>
                <w:noProof/>
                <w:webHidden/>
              </w:rPr>
              <w:t>453</w:t>
            </w:r>
            <w:r w:rsidR="00C054EE">
              <w:rPr>
                <w:noProof/>
                <w:webHidden/>
              </w:rPr>
              <w:fldChar w:fldCharType="end"/>
            </w:r>
          </w:hyperlink>
        </w:p>
        <w:p w:rsidR="00C054EE" w:rsidRDefault="000D5832" w14:paraId="71526891" w14:textId="78DEBF0D">
          <w:pPr>
            <w:pStyle w:val="TOC4"/>
            <w:tabs>
              <w:tab w:val="left" w:pos="2160"/>
              <w:tab w:val="right" w:leader="dot" w:pos="9350"/>
            </w:tabs>
            <w:rPr>
              <w:rFonts w:asciiTheme="minorHAnsi" w:hAnsiTheme="minorHAnsi" w:eastAsiaTheme="minorEastAsia" w:cstheme="minorBidi"/>
              <w:noProof/>
              <w:sz w:val="22"/>
              <w:szCs w:val="22"/>
            </w:rPr>
          </w:pPr>
          <w:hyperlink w:history="1" w:anchor="_Toc69948401">
            <w:r w:rsidRPr="00FD24A9" w:rsidR="00C054EE">
              <w:rPr>
                <w:rStyle w:val="Hyperlink"/>
                <w:noProof/>
              </w:rPr>
              <w:t>10.12.2.5.</w:t>
            </w:r>
            <w:r w:rsidR="00C054EE">
              <w:rPr>
                <w:rFonts w:asciiTheme="minorHAnsi" w:hAnsiTheme="minorHAnsi" w:eastAsiaTheme="minorEastAsia" w:cstheme="minorBidi"/>
                <w:noProof/>
                <w:sz w:val="22"/>
                <w:szCs w:val="22"/>
              </w:rPr>
              <w:tab/>
            </w:r>
            <w:r w:rsidRPr="00FD24A9" w:rsidR="00C054EE">
              <w:rPr>
                <w:rStyle w:val="Hyperlink"/>
                <w:noProof/>
              </w:rPr>
              <w:t>Cal Advocates</w:t>
            </w:r>
            <w:r w:rsidR="00C054EE">
              <w:rPr>
                <w:noProof/>
                <w:webHidden/>
              </w:rPr>
              <w:tab/>
            </w:r>
            <w:r w:rsidR="00C054EE">
              <w:rPr>
                <w:noProof/>
                <w:webHidden/>
              </w:rPr>
              <w:fldChar w:fldCharType="begin"/>
            </w:r>
            <w:r w:rsidR="00C054EE">
              <w:rPr>
                <w:noProof/>
                <w:webHidden/>
              </w:rPr>
              <w:instrText xml:space="preserve"> PAGEREF _Toc69948401 \h </w:instrText>
            </w:r>
            <w:r w:rsidR="00C054EE">
              <w:rPr>
                <w:noProof/>
                <w:webHidden/>
              </w:rPr>
            </w:r>
            <w:r w:rsidR="00C054EE">
              <w:rPr>
                <w:noProof/>
                <w:webHidden/>
              </w:rPr>
              <w:fldChar w:fldCharType="separate"/>
            </w:r>
            <w:r w:rsidR="004C2E01">
              <w:rPr>
                <w:noProof/>
                <w:webHidden/>
              </w:rPr>
              <w:t>454</w:t>
            </w:r>
            <w:r w:rsidR="00C054EE">
              <w:rPr>
                <w:noProof/>
                <w:webHidden/>
              </w:rPr>
              <w:fldChar w:fldCharType="end"/>
            </w:r>
          </w:hyperlink>
        </w:p>
        <w:p w:rsidR="00C054EE" w:rsidRDefault="000D5832" w14:paraId="018263B6" w14:textId="00D90936">
          <w:pPr>
            <w:pStyle w:val="TOC3"/>
            <w:tabs>
              <w:tab w:val="left" w:pos="1728"/>
              <w:tab w:val="right" w:leader="dot" w:pos="9350"/>
            </w:tabs>
            <w:rPr>
              <w:rFonts w:asciiTheme="minorHAnsi" w:hAnsiTheme="minorHAnsi" w:cstheme="minorBidi"/>
              <w:noProof/>
              <w:sz w:val="22"/>
              <w:szCs w:val="22"/>
            </w:rPr>
          </w:pPr>
          <w:hyperlink w:history="1" w:anchor="_Toc69948402">
            <w:r w:rsidRPr="00FD24A9" w:rsidR="00C054EE">
              <w:rPr>
                <w:rStyle w:val="Hyperlink"/>
                <w:noProof/>
              </w:rPr>
              <w:t>10.12.3.</w:t>
            </w:r>
            <w:r w:rsidR="00C054EE">
              <w:rPr>
                <w:rFonts w:asciiTheme="minorHAnsi" w:hAnsiTheme="minorHAnsi" w:cstheme="minorBidi"/>
                <w:noProof/>
                <w:sz w:val="22"/>
                <w:szCs w:val="22"/>
              </w:rPr>
              <w:tab/>
            </w:r>
            <w:r w:rsidRPr="00FD24A9" w:rsidR="00C054EE">
              <w:rPr>
                <w:rStyle w:val="Hyperlink"/>
                <w:noProof/>
              </w:rPr>
              <w:t>Discussion</w:t>
            </w:r>
            <w:r w:rsidR="00C054EE">
              <w:rPr>
                <w:noProof/>
                <w:webHidden/>
              </w:rPr>
              <w:tab/>
            </w:r>
            <w:r w:rsidR="00C054EE">
              <w:rPr>
                <w:noProof/>
                <w:webHidden/>
              </w:rPr>
              <w:fldChar w:fldCharType="begin"/>
            </w:r>
            <w:r w:rsidR="00C054EE">
              <w:rPr>
                <w:noProof/>
                <w:webHidden/>
              </w:rPr>
              <w:instrText xml:space="preserve"> PAGEREF _Toc69948402 \h </w:instrText>
            </w:r>
            <w:r w:rsidR="00C054EE">
              <w:rPr>
                <w:noProof/>
                <w:webHidden/>
              </w:rPr>
            </w:r>
            <w:r w:rsidR="00C054EE">
              <w:rPr>
                <w:noProof/>
                <w:webHidden/>
              </w:rPr>
              <w:fldChar w:fldCharType="separate"/>
            </w:r>
            <w:r w:rsidR="004C2E01">
              <w:rPr>
                <w:noProof/>
                <w:webHidden/>
              </w:rPr>
              <w:t>454</w:t>
            </w:r>
            <w:r w:rsidR="00C054EE">
              <w:rPr>
                <w:noProof/>
                <w:webHidden/>
              </w:rPr>
              <w:fldChar w:fldCharType="end"/>
            </w:r>
          </w:hyperlink>
        </w:p>
        <w:p w:rsidR="00C054EE" w:rsidRDefault="000D5832" w14:paraId="0237F94A" w14:textId="273CFE54">
          <w:pPr>
            <w:pStyle w:val="TOC4"/>
            <w:tabs>
              <w:tab w:val="left" w:pos="2160"/>
              <w:tab w:val="right" w:leader="dot" w:pos="9350"/>
            </w:tabs>
            <w:rPr>
              <w:rFonts w:asciiTheme="minorHAnsi" w:hAnsiTheme="minorHAnsi" w:eastAsiaTheme="minorEastAsia" w:cstheme="minorBidi"/>
              <w:noProof/>
              <w:sz w:val="22"/>
              <w:szCs w:val="22"/>
            </w:rPr>
          </w:pPr>
          <w:hyperlink w:history="1" w:anchor="_Toc69948403">
            <w:r w:rsidRPr="00FD24A9" w:rsidR="00C054EE">
              <w:rPr>
                <w:rStyle w:val="Hyperlink"/>
                <w:noProof/>
              </w:rPr>
              <w:t>10.12.3.1.</w:t>
            </w:r>
            <w:r w:rsidR="00C054EE">
              <w:rPr>
                <w:rFonts w:asciiTheme="minorHAnsi" w:hAnsiTheme="minorHAnsi" w:eastAsiaTheme="minorEastAsia" w:cstheme="minorBidi"/>
                <w:noProof/>
                <w:sz w:val="22"/>
                <w:szCs w:val="22"/>
              </w:rPr>
              <w:tab/>
            </w:r>
            <w:r w:rsidRPr="00FD24A9" w:rsidR="00C054EE">
              <w:rPr>
                <w:rStyle w:val="Hyperlink"/>
                <w:noProof/>
              </w:rPr>
              <w:t>Compliance with Decision 16-11-022 and Decision 17-12-009</w:t>
            </w:r>
            <w:r w:rsidR="00C054EE">
              <w:rPr>
                <w:noProof/>
                <w:webHidden/>
              </w:rPr>
              <w:tab/>
            </w:r>
            <w:r w:rsidR="00C054EE">
              <w:rPr>
                <w:noProof/>
                <w:webHidden/>
              </w:rPr>
              <w:fldChar w:fldCharType="begin"/>
            </w:r>
            <w:r w:rsidR="00C054EE">
              <w:rPr>
                <w:noProof/>
                <w:webHidden/>
              </w:rPr>
              <w:instrText xml:space="preserve"> PAGEREF _Toc69948403 \h </w:instrText>
            </w:r>
            <w:r w:rsidR="00C054EE">
              <w:rPr>
                <w:noProof/>
                <w:webHidden/>
              </w:rPr>
            </w:r>
            <w:r w:rsidR="00C054EE">
              <w:rPr>
                <w:noProof/>
                <w:webHidden/>
              </w:rPr>
              <w:fldChar w:fldCharType="separate"/>
            </w:r>
            <w:r w:rsidR="004C2E01">
              <w:rPr>
                <w:noProof/>
                <w:webHidden/>
              </w:rPr>
              <w:t>454</w:t>
            </w:r>
            <w:r w:rsidR="00C054EE">
              <w:rPr>
                <w:noProof/>
                <w:webHidden/>
              </w:rPr>
              <w:fldChar w:fldCharType="end"/>
            </w:r>
          </w:hyperlink>
        </w:p>
        <w:p w:rsidR="00C054EE" w:rsidRDefault="000D5832" w14:paraId="386339E4" w14:textId="12408439">
          <w:pPr>
            <w:pStyle w:val="TOC4"/>
            <w:tabs>
              <w:tab w:val="left" w:pos="2160"/>
              <w:tab w:val="right" w:leader="dot" w:pos="9350"/>
            </w:tabs>
            <w:rPr>
              <w:rFonts w:asciiTheme="minorHAnsi" w:hAnsiTheme="minorHAnsi" w:eastAsiaTheme="minorEastAsia" w:cstheme="minorBidi"/>
              <w:noProof/>
              <w:sz w:val="22"/>
              <w:szCs w:val="22"/>
            </w:rPr>
          </w:pPr>
          <w:hyperlink w:history="1" w:anchor="_Toc69948404">
            <w:r w:rsidRPr="00FD24A9" w:rsidR="00C054EE">
              <w:rPr>
                <w:rStyle w:val="Hyperlink"/>
                <w:noProof/>
              </w:rPr>
              <w:t>10.12.3.2.</w:t>
            </w:r>
            <w:r w:rsidR="00C054EE">
              <w:rPr>
                <w:rFonts w:asciiTheme="minorHAnsi" w:hAnsiTheme="minorHAnsi" w:eastAsiaTheme="minorEastAsia" w:cstheme="minorBidi"/>
                <w:noProof/>
                <w:sz w:val="22"/>
                <w:szCs w:val="22"/>
              </w:rPr>
              <w:tab/>
            </w:r>
            <w:r w:rsidRPr="00FD24A9" w:rsidR="00C054EE">
              <w:rPr>
                <w:rStyle w:val="Hyperlink"/>
                <w:noProof/>
              </w:rPr>
              <w:t>Additional Outreach: Initial Phase</w:t>
            </w:r>
            <w:r w:rsidR="00C054EE">
              <w:rPr>
                <w:noProof/>
                <w:webHidden/>
              </w:rPr>
              <w:tab/>
            </w:r>
            <w:r w:rsidR="00C054EE">
              <w:rPr>
                <w:noProof/>
                <w:webHidden/>
              </w:rPr>
              <w:fldChar w:fldCharType="begin"/>
            </w:r>
            <w:r w:rsidR="00C054EE">
              <w:rPr>
                <w:noProof/>
                <w:webHidden/>
              </w:rPr>
              <w:instrText xml:space="preserve"> PAGEREF _Toc69948404 \h </w:instrText>
            </w:r>
            <w:r w:rsidR="00C054EE">
              <w:rPr>
                <w:noProof/>
                <w:webHidden/>
              </w:rPr>
            </w:r>
            <w:r w:rsidR="00C054EE">
              <w:rPr>
                <w:noProof/>
                <w:webHidden/>
              </w:rPr>
              <w:fldChar w:fldCharType="separate"/>
            </w:r>
            <w:r w:rsidR="004C2E01">
              <w:rPr>
                <w:noProof/>
                <w:webHidden/>
              </w:rPr>
              <w:t>455</w:t>
            </w:r>
            <w:r w:rsidR="00C054EE">
              <w:rPr>
                <w:noProof/>
                <w:webHidden/>
              </w:rPr>
              <w:fldChar w:fldCharType="end"/>
            </w:r>
          </w:hyperlink>
        </w:p>
        <w:p w:rsidR="00C054EE" w:rsidRDefault="000D5832" w14:paraId="51B0B308" w14:textId="0985B8FC">
          <w:pPr>
            <w:pStyle w:val="TOC4"/>
            <w:tabs>
              <w:tab w:val="left" w:pos="2160"/>
              <w:tab w:val="right" w:leader="dot" w:pos="9350"/>
            </w:tabs>
            <w:rPr>
              <w:rFonts w:asciiTheme="minorHAnsi" w:hAnsiTheme="minorHAnsi" w:eastAsiaTheme="minorEastAsia" w:cstheme="minorBidi"/>
              <w:noProof/>
              <w:sz w:val="22"/>
              <w:szCs w:val="22"/>
            </w:rPr>
          </w:pPr>
          <w:hyperlink w:history="1" w:anchor="_Toc69948405">
            <w:r w:rsidRPr="00FD24A9" w:rsidR="00C054EE">
              <w:rPr>
                <w:rStyle w:val="Hyperlink"/>
                <w:noProof/>
              </w:rPr>
              <w:t>10.12.3.3.</w:t>
            </w:r>
            <w:r w:rsidR="00C054EE">
              <w:rPr>
                <w:rFonts w:asciiTheme="minorHAnsi" w:hAnsiTheme="minorHAnsi" w:eastAsiaTheme="minorEastAsia" w:cstheme="minorBidi"/>
                <w:noProof/>
                <w:sz w:val="22"/>
                <w:szCs w:val="22"/>
              </w:rPr>
              <w:tab/>
            </w:r>
            <w:r w:rsidRPr="00FD24A9" w:rsidR="00C054EE">
              <w:rPr>
                <w:rStyle w:val="Hyperlink"/>
                <w:noProof/>
              </w:rPr>
              <w:t>Additional Outreach: No Less Than Two Main Contacts</w:t>
            </w:r>
            <w:r w:rsidR="00C054EE">
              <w:rPr>
                <w:noProof/>
                <w:webHidden/>
              </w:rPr>
              <w:tab/>
            </w:r>
            <w:r w:rsidR="00C054EE">
              <w:rPr>
                <w:noProof/>
                <w:webHidden/>
              </w:rPr>
              <w:fldChar w:fldCharType="begin"/>
            </w:r>
            <w:r w:rsidR="00C054EE">
              <w:rPr>
                <w:noProof/>
                <w:webHidden/>
              </w:rPr>
              <w:instrText xml:space="preserve"> PAGEREF _Toc69948405 \h </w:instrText>
            </w:r>
            <w:r w:rsidR="00C054EE">
              <w:rPr>
                <w:noProof/>
                <w:webHidden/>
              </w:rPr>
            </w:r>
            <w:r w:rsidR="00C054EE">
              <w:rPr>
                <w:noProof/>
                <w:webHidden/>
              </w:rPr>
              <w:fldChar w:fldCharType="separate"/>
            </w:r>
            <w:r w:rsidR="004C2E01">
              <w:rPr>
                <w:noProof/>
                <w:webHidden/>
              </w:rPr>
              <w:t>455</w:t>
            </w:r>
            <w:r w:rsidR="00C054EE">
              <w:rPr>
                <w:noProof/>
                <w:webHidden/>
              </w:rPr>
              <w:fldChar w:fldCharType="end"/>
            </w:r>
          </w:hyperlink>
        </w:p>
        <w:p w:rsidR="00C054EE" w:rsidRDefault="000D5832" w14:paraId="02D12B47" w14:textId="75A8C1ED">
          <w:pPr>
            <w:pStyle w:val="TOC4"/>
            <w:tabs>
              <w:tab w:val="left" w:pos="2160"/>
              <w:tab w:val="right" w:leader="dot" w:pos="9350"/>
            </w:tabs>
            <w:rPr>
              <w:rFonts w:asciiTheme="minorHAnsi" w:hAnsiTheme="minorHAnsi" w:eastAsiaTheme="minorEastAsia" w:cstheme="minorBidi"/>
              <w:noProof/>
              <w:sz w:val="22"/>
              <w:szCs w:val="22"/>
            </w:rPr>
          </w:pPr>
          <w:hyperlink w:history="1" w:anchor="_Toc69948406">
            <w:r w:rsidRPr="00FD24A9" w:rsidR="00C054EE">
              <w:rPr>
                <w:rStyle w:val="Hyperlink"/>
                <w:noProof/>
              </w:rPr>
              <w:t>10.12.3.4.</w:t>
            </w:r>
            <w:r w:rsidR="00C054EE">
              <w:rPr>
                <w:rFonts w:asciiTheme="minorHAnsi" w:hAnsiTheme="minorHAnsi" w:eastAsiaTheme="minorEastAsia" w:cstheme="minorBidi"/>
                <w:noProof/>
                <w:sz w:val="22"/>
                <w:szCs w:val="22"/>
              </w:rPr>
              <w:tab/>
            </w:r>
            <w:r w:rsidRPr="00FD24A9" w:rsidR="00C054EE">
              <w:rPr>
                <w:rStyle w:val="Hyperlink"/>
                <w:noProof/>
              </w:rPr>
              <w:t>Additional Outreach: Mini-Grants</w:t>
            </w:r>
            <w:r w:rsidR="00C054EE">
              <w:rPr>
                <w:noProof/>
                <w:webHidden/>
              </w:rPr>
              <w:tab/>
            </w:r>
            <w:r w:rsidR="00C054EE">
              <w:rPr>
                <w:noProof/>
                <w:webHidden/>
              </w:rPr>
              <w:fldChar w:fldCharType="begin"/>
            </w:r>
            <w:r w:rsidR="00C054EE">
              <w:rPr>
                <w:noProof/>
                <w:webHidden/>
              </w:rPr>
              <w:instrText xml:space="preserve"> PAGEREF _Toc69948406 \h </w:instrText>
            </w:r>
            <w:r w:rsidR="00C054EE">
              <w:rPr>
                <w:noProof/>
                <w:webHidden/>
              </w:rPr>
            </w:r>
            <w:r w:rsidR="00C054EE">
              <w:rPr>
                <w:noProof/>
                <w:webHidden/>
              </w:rPr>
              <w:fldChar w:fldCharType="separate"/>
            </w:r>
            <w:r w:rsidR="004C2E01">
              <w:rPr>
                <w:noProof/>
                <w:webHidden/>
              </w:rPr>
              <w:t>456</w:t>
            </w:r>
            <w:r w:rsidR="00C054EE">
              <w:rPr>
                <w:noProof/>
                <w:webHidden/>
              </w:rPr>
              <w:fldChar w:fldCharType="end"/>
            </w:r>
          </w:hyperlink>
        </w:p>
        <w:p w:rsidR="00C054EE" w:rsidRDefault="000D5832" w14:paraId="2D75EF74" w14:textId="23DD14DC">
          <w:pPr>
            <w:pStyle w:val="TOC4"/>
            <w:tabs>
              <w:tab w:val="left" w:pos="2160"/>
              <w:tab w:val="right" w:leader="dot" w:pos="9350"/>
            </w:tabs>
            <w:rPr>
              <w:rFonts w:asciiTheme="minorHAnsi" w:hAnsiTheme="minorHAnsi" w:eastAsiaTheme="minorEastAsia" w:cstheme="minorBidi"/>
              <w:noProof/>
              <w:sz w:val="22"/>
              <w:szCs w:val="22"/>
            </w:rPr>
          </w:pPr>
          <w:hyperlink w:history="1" w:anchor="_Toc69948407">
            <w:r w:rsidRPr="00FD24A9" w:rsidR="00C054EE">
              <w:rPr>
                <w:rStyle w:val="Hyperlink"/>
                <w:noProof/>
              </w:rPr>
              <w:t>10.12.3.5.</w:t>
            </w:r>
            <w:r w:rsidR="00C054EE">
              <w:rPr>
                <w:rFonts w:asciiTheme="minorHAnsi" w:hAnsiTheme="minorHAnsi" w:eastAsiaTheme="minorEastAsia" w:cstheme="minorBidi"/>
                <w:noProof/>
                <w:sz w:val="22"/>
                <w:szCs w:val="22"/>
              </w:rPr>
              <w:tab/>
            </w:r>
            <w:r w:rsidRPr="00FD24A9" w:rsidR="00C054EE">
              <w:rPr>
                <w:rStyle w:val="Hyperlink"/>
                <w:noProof/>
              </w:rPr>
              <w:t>Consistent Definition for Tribal Communities</w:t>
            </w:r>
            <w:r w:rsidR="00C054EE">
              <w:rPr>
                <w:noProof/>
                <w:webHidden/>
              </w:rPr>
              <w:tab/>
            </w:r>
            <w:r w:rsidR="00C054EE">
              <w:rPr>
                <w:noProof/>
                <w:webHidden/>
              </w:rPr>
              <w:fldChar w:fldCharType="begin"/>
            </w:r>
            <w:r w:rsidR="00C054EE">
              <w:rPr>
                <w:noProof/>
                <w:webHidden/>
              </w:rPr>
              <w:instrText xml:space="preserve"> PAGEREF _Toc69948407 \h </w:instrText>
            </w:r>
            <w:r w:rsidR="00C054EE">
              <w:rPr>
                <w:noProof/>
                <w:webHidden/>
              </w:rPr>
            </w:r>
            <w:r w:rsidR="00C054EE">
              <w:rPr>
                <w:noProof/>
                <w:webHidden/>
              </w:rPr>
              <w:fldChar w:fldCharType="separate"/>
            </w:r>
            <w:r w:rsidR="004C2E01">
              <w:rPr>
                <w:noProof/>
                <w:webHidden/>
              </w:rPr>
              <w:t>456</w:t>
            </w:r>
            <w:r w:rsidR="00C054EE">
              <w:rPr>
                <w:noProof/>
                <w:webHidden/>
              </w:rPr>
              <w:fldChar w:fldCharType="end"/>
            </w:r>
          </w:hyperlink>
        </w:p>
        <w:p w:rsidR="00C054EE" w:rsidRDefault="000D5832" w14:paraId="206FF283" w14:textId="123C61E3">
          <w:pPr>
            <w:pStyle w:val="TOC4"/>
            <w:tabs>
              <w:tab w:val="left" w:pos="2160"/>
              <w:tab w:val="right" w:leader="dot" w:pos="9350"/>
            </w:tabs>
            <w:rPr>
              <w:rFonts w:asciiTheme="minorHAnsi" w:hAnsiTheme="minorHAnsi" w:eastAsiaTheme="minorEastAsia" w:cstheme="minorBidi"/>
              <w:noProof/>
              <w:sz w:val="22"/>
              <w:szCs w:val="22"/>
            </w:rPr>
          </w:pPr>
          <w:hyperlink w:history="1" w:anchor="_Toc69948408">
            <w:r w:rsidRPr="00FD24A9" w:rsidR="00C054EE">
              <w:rPr>
                <w:rStyle w:val="Hyperlink"/>
                <w:noProof/>
              </w:rPr>
              <w:t>10.12.3.6.</w:t>
            </w:r>
            <w:r w:rsidR="00C054EE">
              <w:rPr>
                <w:rFonts w:asciiTheme="minorHAnsi" w:hAnsiTheme="minorHAnsi" w:eastAsiaTheme="minorEastAsia" w:cstheme="minorBidi"/>
                <w:noProof/>
                <w:sz w:val="22"/>
                <w:szCs w:val="22"/>
              </w:rPr>
              <w:tab/>
            </w:r>
            <w:r w:rsidRPr="00FD24A9" w:rsidR="00C054EE">
              <w:rPr>
                <w:rStyle w:val="Hyperlink"/>
                <w:noProof/>
              </w:rPr>
              <w:t>Quarterly Updates and Reporting</w:t>
            </w:r>
            <w:r w:rsidR="00C054EE">
              <w:rPr>
                <w:noProof/>
                <w:webHidden/>
              </w:rPr>
              <w:tab/>
            </w:r>
            <w:r w:rsidR="00C054EE">
              <w:rPr>
                <w:noProof/>
                <w:webHidden/>
              </w:rPr>
              <w:fldChar w:fldCharType="begin"/>
            </w:r>
            <w:r w:rsidR="00C054EE">
              <w:rPr>
                <w:noProof/>
                <w:webHidden/>
              </w:rPr>
              <w:instrText xml:space="preserve"> PAGEREF _Toc69948408 \h </w:instrText>
            </w:r>
            <w:r w:rsidR="00C054EE">
              <w:rPr>
                <w:noProof/>
                <w:webHidden/>
              </w:rPr>
            </w:r>
            <w:r w:rsidR="00C054EE">
              <w:rPr>
                <w:noProof/>
                <w:webHidden/>
              </w:rPr>
              <w:fldChar w:fldCharType="separate"/>
            </w:r>
            <w:r w:rsidR="004C2E01">
              <w:rPr>
                <w:noProof/>
                <w:webHidden/>
              </w:rPr>
              <w:t>457</w:t>
            </w:r>
            <w:r w:rsidR="00C054EE">
              <w:rPr>
                <w:noProof/>
                <w:webHidden/>
              </w:rPr>
              <w:fldChar w:fldCharType="end"/>
            </w:r>
          </w:hyperlink>
        </w:p>
        <w:p w:rsidR="00C054EE" w:rsidRDefault="000D5832" w14:paraId="01B74D02" w14:textId="31A5AD34">
          <w:pPr>
            <w:pStyle w:val="TOC1"/>
            <w:tabs>
              <w:tab w:val="right" w:leader="dot" w:pos="9350"/>
            </w:tabs>
            <w:rPr>
              <w:rFonts w:asciiTheme="minorHAnsi" w:hAnsiTheme="minorHAnsi" w:cstheme="minorBidi"/>
              <w:noProof/>
              <w:sz w:val="22"/>
              <w:szCs w:val="22"/>
            </w:rPr>
          </w:pPr>
          <w:hyperlink w:history="1" w:anchor="_Toc69948409">
            <w:r w:rsidRPr="00FD24A9" w:rsidR="00C054EE">
              <w:rPr>
                <w:rStyle w:val="Hyperlink"/>
                <w:noProof/>
              </w:rPr>
              <w:t>11.</w:t>
            </w:r>
            <w:r w:rsidR="00C054EE">
              <w:rPr>
                <w:rFonts w:asciiTheme="minorHAnsi" w:hAnsiTheme="minorHAnsi" w:cstheme="minorBidi"/>
                <w:noProof/>
                <w:sz w:val="22"/>
                <w:szCs w:val="22"/>
              </w:rPr>
              <w:tab/>
            </w:r>
            <w:r w:rsidRPr="00FD24A9" w:rsidR="00C054EE">
              <w:rPr>
                <w:rStyle w:val="Hyperlink"/>
                <w:noProof/>
              </w:rPr>
              <w:t>Comments on Proposed Decision</w:t>
            </w:r>
            <w:r w:rsidR="00C054EE">
              <w:rPr>
                <w:noProof/>
                <w:webHidden/>
              </w:rPr>
              <w:tab/>
            </w:r>
            <w:r w:rsidR="00C054EE">
              <w:rPr>
                <w:noProof/>
                <w:webHidden/>
              </w:rPr>
              <w:fldChar w:fldCharType="begin"/>
            </w:r>
            <w:r w:rsidR="00C054EE">
              <w:rPr>
                <w:noProof/>
                <w:webHidden/>
              </w:rPr>
              <w:instrText xml:space="preserve"> PAGEREF _Toc69948409 \h </w:instrText>
            </w:r>
            <w:r w:rsidR="00C054EE">
              <w:rPr>
                <w:noProof/>
                <w:webHidden/>
              </w:rPr>
            </w:r>
            <w:r w:rsidR="00C054EE">
              <w:rPr>
                <w:noProof/>
                <w:webHidden/>
              </w:rPr>
              <w:fldChar w:fldCharType="separate"/>
            </w:r>
            <w:r w:rsidR="004C2E01">
              <w:rPr>
                <w:noProof/>
                <w:webHidden/>
              </w:rPr>
              <w:t>457</w:t>
            </w:r>
            <w:r w:rsidR="00C054EE">
              <w:rPr>
                <w:noProof/>
                <w:webHidden/>
              </w:rPr>
              <w:fldChar w:fldCharType="end"/>
            </w:r>
          </w:hyperlink>
        </w:p>
        <w:p w:rsidR="00C054EE" w:rsidRDefault="000D5832" w14:paraId="7011E8CA" w14:textId="5D6467EB">
          <w:pPr>
            <w:pStyle w:val="TOC1"/>
            <w:tabs>
              <w:tab w:val="right" w:leader="dot" w:pos="9350"/>
            </w:tabs>
            <w:rPr>
              <w:rFonts w:asciiTheme="minorHAnsi" w:hAnsiTheme="minorHAnsi" w:cstheme="minorBidi"/>
              <w:noProof/>
              <w:sz w:val="22"/>
              <w:szCs w:val="22"/>
            </w:rPr>
          </w:pPr>
          <w:hyperlink w:history="1" w:anchor="_Toc69948410">
            <w:r w:rsidRPr="00FD24A9" w:rsidR="00C054EE">
              <w:rPr>
                <w:rStyle w:val="Hyperlink"/>
                <w:noProof/>
              </w:rPr>
              <w:t>12.</w:t>
            </w:r>
            <w:r w:rsidR="00C054EE">
              <w:rPr>
                <w:rFonts w:asciiTheme="minorHAnsi" w:hAnsiTheme="minorHAnsi" w:cstheme="minorBidi"/>
                <w:noProof/>
                <w:sz w:val="22"/>
                <w:szCs w:val="22"/>
              </w:rPr>
              <w:tab/>
            </w:r>
            <w:r w:rsidRPr="00FD24A9" w:rsidR="00C054EE">
              <w:rPr>
                <w:rStyle w:val="Hyperlink"/>
                <w:noProof/>
              </w:rPr>
              <w:t>Assignment of Proceeding</w:t>
            </w:r>
            <w:r w:rsidR="00C054EE">
              <w:rPr>
                <w:noProof/>
                <w:webHidden/>
              </w:rPr>
              <w:tab/>
            </w:r>
            <w:r w:rsidR="00C054EE">
              <w:rPr>
                <w:noProof/>
                <w:webHidden/>
              </w:rPr>
              <w:fldChar w:fldCharType="begin"/>
            </w:r>
            <w:r w:rsidR="00C054EE">
              <w:rPr>
                <w:noProof/>
                <w:webHidden/>
              </w:rPr>
              <w:instrText xml:space="preserve"> PAGEREF _Toc69948410 \h </w:instrText>
            </w:r>
            <w:r w:rsidR="00C054EE">
              <w:rPr>
                <w:noProof/>
                <w:webHidden/>
              </w:rPr>
            </w:r>
            <w:r w:rsidR="00C054EE">
              <w:rPr>
                <w:noProof/>
                <w:webHidden/>
              </w:rPr>
              <w:fldChar w:fldCharType="separate"/>
            </w:r>
            <w:r w:rsidR="004C2E01">
              <w:rPr>
                <w:noProof/>
                <w:webHidden/>
              </w:rPr>
              <w:t>458</w:t>
            </w:r>
            <w:r w:rsidR="00C054EE">
              <w:rPr>
                <w:noProof/>
                <w:webHidden/>
              </w:rPr>
              <w:fldChar w:fldCharType="end"/>
            </w:r>
          </w:hyperlink>
        </w:p>
        <w:p w:rsidR="00C054EE" w:rsidRDefault="000D5832" w14:paraId="7A1C8DE2" w14:textId="6EA58A9C">
          <w:pPr>
            <w:pStyle w:val="TOC1"/>
            <w:tabs>
              <w:tab w:val="right" w:leader="dot" w:pos="9350"/>
            </w:tabs>
            <w:rPr>
              <w:rFonts w:asciiTheme="minorHAnsi" w:hAnsiTheme="minorHAnsi" w:cstheme="minorBidi"/>
              <w:noProof/>
              <w:sz w:val="22"/>
              <w:szCs w:val="22"/>
            </w:rPr>
          </w:pPr>
          <w:hyperlink w:history="1" w:anchor="_Toc69948411">
            <w:r w:rsidRPr="00FD24A9" w:rsidR="00C054EE">
              <w:rPr>
                <w:rStyle w:val="Hyperlink"/>
                <w:noProof/>
              </w:rPr>
              <w:t>Findings of Fact</w:t>
            </w:r>
            <w:r w:rsidR="00C054EE">
              <w:rPr>
                <w:noProof/>
                <w:webHidden/>
              </w:rPr>
              <w:tab/>
            </w:r>
            <w:r w:rsidR="00C054EE">
              <w:rPr>
                <w:noProof/>
                <w:webHidden/>
              </w:rPr>
              <w:fldChar w:fldCharType="begin"/>
            </w:r>
            <w:r w:rsidR="00C054EE">
              <w:rPr>
                <w:noProof/>
                <w:webHidden/>
              </w:rPr>
              <w:instrText xml:space="preserve"> PAGEREF _Toc69948411 \h </w:instrText>
            </w:r>
            <w:r w:rsidR="00C054EE">
              <w:rPr>
                <w:noProof/>
                <w:webHidden/>
              </w:rPr>
            </w:r>
            <w:r w:rsidR="00C054EE">
              <w:rPr>
                <w:noProof/>
                <w:webHidden/>
              </w:rPr>
              <w:fldChar w:fldCharType="separate"/>
            </w:r>
            <w:r w:rsidR="004C2E01">
              <w:rPr>
                <w:noProof/>
                <w:webHidden/>
              </w:rPr>
              <w:t>458</w:t>
            </w:r>
            <w:r w:rsidR="00C054EE">
              <w:rPr>
                <w:noProof/>
                <w:webHidden/>
              </w:rPr>
              <w:fldChar w:fldCharType="end"/>
            </w:r>
          </w:hyperlink>
        </w:p>
        <w:p w:rsidR="00C054EE" w:rsidRDefault="000D5832" w14:paraId="347C1BA7" w14:textId="67DA3BA4">
          <w:pPr>
            <w:pStyle w:val="TOC1"/>
            <w:tabs>
              <w:tab w:val="right" w:leader="dot" w:pos="9350"/>
            </w:tabs>
            <w:rPr>
              <w:rFonts w:asciiTheme="minorHAnsi" w:hAnsiTheme="minorHAnsi" w:cstheme="minorBidi"/>
              <w:noProof/>
              <w:sz w:val="22"/>
              <w:szCs w:val="22"/>
            </w:rPr>
          </w:pPr>
          <w:hyperlink w:history="1" w:anchor="_Toc69948412">
            <w:r w:rsidRPr="00FD24A9" w:rsidR="00C054EE">
              <w:rPr>
                <w:rStyle w:val="Hyperlink"/>
                <w:noProof/>
              </w:rPr>
              <w:t>Conclusions of Law</w:t>
            </w:r>
            <w:r w:rsidR="00C054EE">
              <w:rPr>
                <w:noProof/>
                <w:webHidden/>
              </w:rPr>
              <w:tab/>
            </w:r>
            <w:r w:rsidR="00C054EE">
              <w:rPr>
                <w:noProof/>
                <w:webHidden/>
              </w:rPr>
              <w:fldChar w:fldCharType="begin"/>
            </w:r>
            <w:r w:rsidR="00C054EE">
              <w:rPr>
                <w:noProof/>
                <w:webHidden/>
              </w:rPr>
              <w:instrText xml:space="preserve"> PAGEREF _Toc69948412 \h </w:instrText>
            </w:r>
            <w:r w:rsidR="00C054EE">
              <w:rPr>
                <w:noProof/>
                <w:webHidden/>
              </w:rPr>
            </w:r>
            <w:r w:rsidR="00C054EE">
              <w:rPr>
                <w:noProof/>
                <w:webHidden/>
              </w:rPr>
              <w:fldChar w:fldCharType="separate"/>
            </w:r>
            <w:r w:rsidR="004C2E01">
              <w:rPr>
                <w:noProof/>
                <w:webHidden/>
              </w:rPr>
              <w:t>465</w:t>
            </w:r>
            <w:r w:rsidR="00C054EE">
              <w:rPr>
                <w:noProof/>
                <w:webHidden/>
              </w:rPr>
              <w:fldChar w:fldCharType="end"/>
            </w:r>
          </w:hyperlink>
        </w:p>
        <w:p w:rsidR="00C054EE" w:rsidRDefault="000D5832" w14:paraId="183D9596" w14:textId="35CA4404">
          <w:pPr>
            <w:pStyle w:val="TOC1"/>
            <w:tabs>
              <w:tab w:val="right" w:leader="dot" w:pos="9350"/>
            </w:tabs>
            <w:rPr>
              <w:rFonts w:asciiTheme="minorHAnsi" w:hAnsiTheme="minorHAnsi" w:cstheme="minorBidi"/>
              <w:noProof/>
              <w:sz w:val="22"/>
              <w:szCs w:val="22"/>
            </w:rPr>
          </w:pPr>
          <w:hyperlink w:history="1" w:anchor="_Toc69948413">
            <w:r w:rsidRPr="00FD24A9" w:rsidR="00C054EE">
              <w:rPr>
                <w:rStyle w:val="Hyperlink"/>
                <w:noProof/>
              </w:rPr>
              <w:t>ORDER</w:t>
            </w:r>
            <w:r w:rsidR="00C054EE">
              <w:rPr>
                <w:noProof/>
                <w:webHidden/>
              </w:rPr>
              <w:tab/>
            </w:r>
            <w:r w:rsidR="00C054EE">
              <w:rPr>
                <w:noProof/>
                <w:webHidden/>
              </w:rPr>
              <w:fldChar w:fldCharType="begin"/>
            </w:r>
            <w:r w:rsidR="00C054EE">
              <w:rPr>
                <w:noProof/>
                <w:webHidden/>
              </w:rPr>
              <w:instrText xml:space="preserve"> PAGEREF _Toc69948413 \h </w:instrText>
            </w:r>
            <w:r w:rsidR="00C054EE">
              <w:rPr>
                <w:noProof/>
                <w:webHidden/>
              </w:rPr>
            </w:r>
            <w:r w:rsidR="00C054EE">
              <w:rPr>
                <w:noProof/>
                <w:webHidden/>
              </w:rPr>
              <w:fldChar w:fldCharType="separate"/>
            </w:r>
            <w:r w:rsidR="004C2E01">
              <w:rPr>
                <w:noProof/>
                <w:webHidden/>
              </w:rPr>
              <w:t>472</w:t>
            </w:r>
            <w:r w:rsidR="00C054EE">
              <w:rPr>
                <w:noProof/>
                <w:webHidden/>
              </w:rPr>
              <w:fldChar w:fldCharType="end"/>
            </w:r>
          </w:hyperlink>
        </w:p>
        <w:p w:rsidR="000C1980" w:rsidP="001968DC" w:rsidRDefault="00257E90" w14:paraId="1D7283EE" w14:textId="0DA04CA6">
          <w:pPr>
            <w:ind w:left="720"/>
          </w:pPr>
          <w:r>
            <w:rPr>
              <w:rFonts w:eastAsiaTheme="minorEastAsia"/>
            </w:rPr>
            <w:fldChar w:fldCharType="end"/>
          </w:r>
        </w:p>
      </w:sdtContent>
    </w:sdt>
    <w:p w:rsidRPr="000E2065" w:rsidR="000C1980" w:rsidP="0023091F" w:rsidRDefault="000C1980" w14:paraId="4D3C062B" w14:textId="77777777">
      <w:pPr>
        <w:pStyle w:val="ALJBodyText"/>
      </w:pPr>
      <w:r w:rsidRPr="009B118D">
        <w:rPr>
          <w:b/>
          <w:bCs/>
        </w:rPr>
        <w:t>Attachment 1</w:t>
      </w:r>
      <w:r w:rsidRPr="000E2065">
        <w:t>- Approved Budgets, Goals, and Targets for CARE, FERA, and ESA</w:t>
      </w:r>
    </w:p>
    <w:p w:rsidRPr="000E2065" w:rsidR="000C1980" w:rsidP="0023091F" w:rsidRDefault="000C1980" w14:paraId="12C58F1E" w14:textId="7AC3B29F">
      <w:pPr>
        <w:pStyle w:val="ALJBodyText"/>
      </w:pPr>
      <w:r w:rsidRPr="009B118D">
        <w:rPr>
          <w:b/>
          <w:bCs/>
        </w:rPr>
        <w:t>Attachment 2</w:t>
      </w:r>
      <w:r w:rsidRPr="000E2065">
        <w:t xml:space="preserve">- </w:t>
      </w:r>
      <w:r w:rsidRPr="000E2065" w:rsidR="00DB3C0A">
        <w:t xml:space="preserve">Guidance of </w:t>
      </w:r>
      <w:r w:rsidRPr="000E2065" w:rsidR="009A1784">
        <w:t xml:space="preserve">the Energy Savings Assistance Program’s </w:t>
      </w:r>
      <w:r w:rsidRPr="000E2065" w:rsidR="00DB3C0A">
        <w:t>Pilot</w:t>
      </w:r>
      <w:r w:rsidRPr="000E2065" w:rsidR="00790B2A">
        <w:t xml:space="preserve"> </w:t>
      </w:r>
      <w:r w:rsidRPr="000E2065">
        <w:t xml:space="preserve">Plus and </w:t>
      </w:r>
      <w:r w:rsidRPr="000E2065" w:rsidR="00790B2A">
        <w:t xml:space="preserve">Pilot </w:t>
      </w:r>
      <w:r w:rsidRPr="000E2065">
        <w:t xml:space="preserve">Deep </w:t>
      </w:r>
      <w:r w:rsidRPr="000E2065" w:rsidR="00790B2A">
        <w:t>Program</w:t>
      </w:r>
    </w:p>
    <w:p w:rsidRPr="000E2065" w:rsidR="000C1980" w:rsidP="0023091F" w:rsidRDefault="000C1980" w14:paraId="4010302A" w14:textId="67D37422">
      <w:pPr>
        <w:pStyle w:val="ALJBodyText"/>
      </w:pPr>
      <w:r w:rsidRPr="009B118D">
        <w:rPr>
          <w:b/>
          <w:bCs/>
        </w:rPr>
        <w:lastRenderedPageBreak/>
        <w:t>Attachment</w:t>
      </w:r>
      <w:r w:rsidRPr="009B118D" w:rsidR="009B118D">
        <w:rPr>
          <w:b/>
          <w:bCs/>
        </w:rPr>
        <w:t xml:space="preserve"> </w:t>
      </w:r>
      <w:r w:rsidRPr="009B118D">
        <w:rPr>
          <w:b/>
          <w:bCs/>
        </w:rPr>
        <w:t>3</w:t>
      </w:r>
      <w:r w:rsidRPr="000E2065">
        <w:t>-</w:t>
      </w:r>
      <w:r w:rsidRPr="000E2065" w:rsidR="000E2065">
        <w:t xml:space="preserve"> </w:t>
      </w:r>
      <w:r w:rsidRPr="000E2065" w:rsidR="003A6D6B">
        <w:t xml:space="preserve">Energy Savings Assistance Program’s </w:t>
      </w:r>
      <w:r w:rsidRPr="000E2065">
        <w:t>Compliance Filing Requirements</w:t>
      </w:r>
    </w:p>
    <w:p w:rsidRPr="000E2065" w:rsidR="000C1980" w:rsidP="0023091F" w:rsidRDefault="000C1980" w14:paraId="481492EC" w14:textId="07775A9E">
      <w:pPr>
        <w:pStyle w:val="ALJBodyText"/>
      </w:pPr>
      <w:r w:rsidRPr="009B118D">
        <w:rPr>
          <w:b/>
          <w:bCs/>
        </w:rPr>
        <w:t>Attachment 4</w:t>
      </w:r>
      <w:r w:rsidRPr="000E2065">
        <w:t xml:space="preserve">- </w:t>
      </w:r>
      <w:r w:rsidRPr="000E2065" w:rsidR="00876C47">
        <w:t xml:space="preserve">Energy Savings Assistance Program’s </w:t>
      </w:r>
      <w:r w:rsidRPr="000E2065">
        <w:t>Multifamily Whole Building Solicitation Process</w:t>
      </w:r>
    </w:p>
    <w:p w:rsidRPr="000E2065" w:rsidR="000C1980" w:rsidP="0023091F" w:rsidRDefault="000C1980" w14:paraId="58555581" w14:textId="40C0D56E">
      <w:pPr>
        <w:pStyle w:val="ALJBodyText"/>
      </w:pPr>
      <w:r w:rsidRPr="009B118D">
        <w:rPr>
          <w:b/>
          <w:bCs/>
        </w:rPr>
        <w:t>Attachment 5</w:t>
      </w:r>
      <w:r w:rsidRPr="000E2065">
        <w:t>- Acronyms</w:t>
      </w:r>
      <w:r w:rsidRPr="000E2065" w:rsidR="004A3A46">
        <w:t xml:space="preserve"> Referred in </w:t>
      </w:r>
      <w:proofErr w:type="gramStart"/>
      <w:r w:rsidRPr="000E2065" w:rsidR="004A3A46">
        <w:t>Decision</w:t>
      </w:r>
      <w:proofErr w:type="gramEnd"/>
    </w:p>
    <w:p w:rsidRPr="000E2065" w:rsidR="000C1980" w:rsidP="0023091F" w:rsidRDefault="000C1980" w14:paraId="5CBE13AC" w14:textId="5A5B11B9">
      <w:pPr>
        <w:pStyle w:val="ALJBodyText"/>
      </w:pPr>
      <w:r w:rsidRPr="009B118D">
        <w:rPr>
          <w:b/>
          <w:bCs/>
        </w:rPr>
        <w:t>Attachment 6</w:t>
      </w:r>
      <w:r w:rsidRPr="000E2065">
        <w:t>- Joint Stipulation</w:t>
      </w:r>
      <w:r w:rsidRPr="000E2065" w:rsidR="003102B1">
        <w:t>-</w:t>
      </w:r>
      <w:r w:rsidRPr="000E2065">
        <w:t xml:space="preserve">Affordable Broadband </w:t>
      </w:r>
      <w:r w:rsidRPr="000E2065" w:rsidR="003102B1">
        <w:t>Internet Education and Outreach</w:t>
      </w:r>
    </w:p>
    <w:p w:rsidRPr="000E2065" w:rsidR="000C1980" w:rsidP="0023091F" w:rsidRDefault="000C1980" w14:paraId="03059736" w14:textId="77777777">
      <w:pPr>
        <w:pStyle w:val="ALJBodyText"/>
      </w:pPr>
      <w:r w:rsidRPr="009B118D">
        <w:rPr>
          <w:b/>
          <w:bCs/>
        </w:rPr>
        <w:t>Attachment 7</w:t>
      </w:r>
      <w:r w:rsidRPr="000E2065">
        <w:t>- Exhibit List</w:t>
      </w:r>
    </w:p>
    <w:p w:rsidR="000C1980" w:rsidP="0023091F" w:rsidRDefault="000C1980" w14:paraId="3250C4DE" w14:textId="77777777">
      <w:pPr>
        <w:pStyle w:val="ALJBodyText"/>
      </w:pPr>
    </w:p>
    <w:p w:rsidR="000C1980" w:rsidP="0023091F" w:rsidRDefault="000C1980" w14:paraId="5F9D3A33" w14:textId="77777777">
      <w:pPr>
        <w:pStyle w:val="ALJBodyText"/>
        <w:sectPr w:rsidR="000C1980" w:rsidSect="000C1980">
          <w:headerReference w:type="even" r:id="rId13"/>
          <w:headerReference w:type="default"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titlePg/>
          <w:docGrid w:linePitch="360"/>
        </w:sectPr>
      </w:pPr>
    </w:p>
    <w:p w:rsidRPr="00207479" w:rsidR="000C1980" w:rsidP="001968DC" w:rsidRDefault="000C1980" w14:paraId="2DCEA503" w14:textId="5D26A173">
      <w:pPr>
        <w:pStyle w:val="Dummy"/>
        <w:ind w:left="720"/>
        <w:jc w:val="center"/>
      </w:pPr>
      <w:bookmarkStart w:name="_Toc10793451" w:id="15"/>
      <w:bookmarkStart w:name="_Toc45616408" w:id="16"/>
      <w:bookmarkStart w:name="_Toc69947733" w:id="17"/>
      <w:r>
        <w:lastRenderedPageBreak/>
        <w:t xml:space="preserve">DECISION </w:t>
      </w:r>
      <w:bookmarkEnd w:id="15"/>
      <w:r w:rsidRPr="00784C42">
        <w:t xml:space="preserve">ON </w:t>
      </w:r>
      <w:bookmarkEnd w:id="16"/>
      <w:r w:rsidRPr="00207479">
        <w:t>LARGE INVESTOR</w:t>
      </w:r>
      <w:r w:rsidRPr="00207479">
        <w:noBreakHyphen/>
        <w:t>OWNED UTILITIES’ AND MARIN CLEAN ENERGY’S CALIFORNIA ALTERNATE RATES FOR ENERGY (CARE)</w:t>
      </w:r>
      <w:r w:rsidR="002824D3">
        <w:t>,</w:t>
      </w:r>
      <w:r w:rsidRPr="00207479">
        <w:t xml:space="preserve"> ENERGY SAVINGS ASSISTANCE (ESA)</w:t>
      </w:r>
      <w:r w:rsidR="002824D3">
        <w:t>, AND</w:t>
      </w:r>
      <w:r w:rsidRPr="002824D3" w:rsidR="002824D3">
        <w:t xml:space="preserve">FAMILY ELECTRIC RATE ASSISTANCE (FERA) </w:t>
      </w:r>
      <w:r w:rsidRPr="00207479">
        <w:t>PROGRAM APPLICATIONS FOR PROGRAM YEARS 2021-2026</w:t>
      </w:r>
      <w:bookmarkEnd w:id="17"/>
    </w:p>
    <w:p w:rsidRPr="00B14D70" w:rsidR="000C1980" w:rsidP="0023091F" w:rsidRDefault="000C1980" w14:paraId="6B9D243A" w14:textId="77777777">
      <w:pPr>
        <w:pStyle w:val="ALJTitle"/>
      </w:pPr>
    </w:p>
    <w:p w:rsidRPr="003871CE" w:rsidR="000C1980" w:rsidP="001968DC" w:rsidRDefault="000C1980" w14:paraId="0683B17F" w14:textId="4D8D5504">
      <w:pPr>
        <w:pStyle w:val="Dummy"/>
        <w:ind w:left="720"/>
      </w:pPr>
      <w:bookmarkStart w:name="_Toc45616409" w:id="18"/>
      <w:bookmarkStart w:name="_Toc69947734" w:id="19"/>
      <w:r>
        <w:t>Summary</w:t>
      </w:r>
      <w:bookmarkEnd w:id="14"/>
      <w:bookmarkEnd w:id="18"/>
      <w:bookmarkEnd w:id="19"/>
    </w:p>
    <w:p w:rsidRPr="0085520A" w:rsidR="000C1980" w:rsidP="000E5251" w:rsidRDefault="000C1980" w14:paraId="053D0253" w14:textId="2BB5F719">
      <w:pPr>
        <w:pStyle w:val="Standard"/>
      </w:pPr>
      <w:r>
        <w:t xml:space="preserve">This </w:t>
      </w:r>
      <w:r w:rsidRPr="0085520A">
        <w:t xml:space="preserve">decision approves the applications of the four major California </w:t>
      </w:r>
      <w:r>
        <w:t>Investor Owned</w:t>
      </w:r>
      <w:r w:rsidRPr="0085520A">
        <w:t xml:space="preserve"> Utilities</w:t>
      </w:r>
      <w:r w:rsidR="00BC4A61">
        <w:t>:</w:t>
      </w:r>
      <w:r w:rsidRPr="0085520A">
        <w:t xml:space="preserve"> Pacific Gas and Electric Company</w:t>
      </w:r>
      <w:r>
        <w:t xml:space="preserve"> (PG&amp;E)</w:t>
      </w:r>
      <w:r w:rsidRPr="0085520A">
        <w:t>, Southern California Edison Company</w:t>
      </w:r>
      <w:r>
        <w:t xml:space="preserve"> (SCE)</w:t>
      </w:r>
      <w:r w:rsidRPr="0085520A">
        <w:t xml:space="preserve">, </w:t>
      </w:r>
      <w:r w:rsidRPr="0085520A" w:rsidR="00BC4A61">
        <w:t>Southern California Gas Company</w:t>
      </w:r>
      <w:r w:rsidR="00BC4A61">
        <w:t xml:space="preserve"> (SoCalGas), and </w:t>
      </w:r>
      <w:r w:rsidRPr="0085520A">
        <w:t>San Diego Gas &amp; Electric Company</w:t>
      </w:r>
      <w:r>
        <w:t xml:space="preserve"> (SDG&amp;E)</w:t>
      </w:r>
      <w:r w:rsidRPr="0085520A">
        <w:t xml:space="preserve">, (collectively IOUs or Utilities) and sets forth the parameters for the administration </w:t>
      </w:r>
      <w:r>
        <w:t>of</w:t>
      </w:r>
      <w:r w:rsidRPr="0085520A">
        <w:t xml:space="preserve"> the California Alternate Rates for Energy (CARE)</w:t>
      </w:r>
      <w:r>
        <w:t xml:space="preserve">, the Family Electric Rate Assistance (FERA) </w:t>
      </w:r>
      <w:r w:rsidRPr="000E5251">
        <w:t>and</w:t>
      </w:r>
      <w:r w:rsidRPr="0085520A">
        <w:t xml:space="preserve"> the Energy Savings Assistance (ESA) </w:t>
      </w:r>
      <w:r>
        <w:t>p</w:t>
      </w:r>
      <w:r w:rsidRPr="0085520A">
        <w:t>rogram</w:t>
      </w:r>
      <w:r>
        <w:t>s</w:t>
      </w:r>
      <w:r w:rsidRPr="0085520A">
        <w:t xml:space="preserve">.  </w:t>
      </w:r>
      <w:r>
        <w:t xml:space="preserve">This decision </w:t>
      </w:r>
      <w:r w:rsidRPr="0085520A">
        <w:t xml:space="preserve">approves budgets for, and directs the IOUs’ administration of, the </w:t>
      </w:r>
      <w:r>
        <w:t xml:space="preserve">CARE, FERA and </w:t>
      </w:r>
      <w:r w:rsidRPr="0085520A">
        <w:t xml:space="preserve">ESA </w:t>
      </w:r>
      <w:r>
        <w:t>p</w:t>
      </w:r>
      <w:r w:rsidRPr="0085520A">
        <w:t xml:space="preserve">rograms for </w:t>
      </w:r>
      <w:r w:rsidRPr="00CA0348">
        <w:t>the 2021-2026 program</w:t>
      </w:r>
      <w:r>
        <w:t xml:space="preserve"> cycle</w:t>
      </w:r>
      <w:r w:rsidRPr="0085520A">
        <w:t xml:space="preserve">.  </w:t>
      </w:r>
    </w:p>
    <w:p w:rsidR="000C1980" w:rsidP="000E5251" w:rsidRDefault="000C1980" w14:paraId="51247A54" w14:textId="1057C4AF">
      <w:pPr>
        <w:pStyle w:val="Standard"/>
      </w:pPr>
      <w:r>
        <w:t xml:space="preserve">Commission Decision (D.) </w:t>
      </w:r>
      <w:r w:rsidRPr="00341463">
        <w:t>19-06-022</w:t>
      </w:r>
      <w:r w:rsidRPr="0085520A">
        <w:t xml:space="preserve">, the guidance document for these </w:t>
      </w:r>
      <w:r>
        <w:t>a</w:t>
      </w:r>
      <w:r w:rsidRPr="0085520A">
        <w:t xml:space="preserve">pplications, </w:t>
      </w:r>
      <w:r>
        <w:t xml:space="preserve">directed the IOUs to present </w:t>
      </w:r>
      <w:r w:rsidRPr="00341463">
        <w:t xml:space="preserve">innovative design approaches taking into consideration the current </w:t>
      </w:r>
      <w:r>
        <w:t xml:space="preserve">environmental, financial and </w:t>
      </w:r>
      <w:r w:rsidRPr="00341463">
        <w:t>policy landscape</w:t>
      </w:r>
      <w:r>
        <w:t xml:space="preserve">.  After reviewing the </w:t>
      </w:r>
      <w:r w:rsidRPr="000E5251" w:rsidR="00795AD0">
        <w:t>applications</w:t>
      </w:r>
      <w:r>
        <w:t xml:space="preserve">, </w:t>
      </w:r>
      <w:r w:rsidRPr="0085520A">
        <w:t xml:space="preserve">reflecting </w:t>
      </w:r>
      <w:r>
        <w:t>on lessons learned</w:t>
      </w:r>
      <w:r w:rsidRPr="0085520A">
        <w:t xml:space="preserve"> from experience, and weighing </w:t>
      </w:r>
      <w:r w:rsidR="00795AD0">
        <w:t>the</w:t>
      </w:r>
      <w:r>
        <w:t xml:space="preserve"> Energy Division staff proposal,</w:t>
      </w:r>
      <w:r w:rsidRPr="0085520A">
        <w:t xml:space="preserve"> part</w:t>
      </w:r>
      <w:r>
        <w:t>y</w:t>
      </w:r>
      <w:r w:rsidRPr="0085520A">
        <w:t xml:space="preserve"> arguments, testimony, and comments</w:t>
      </w:r>
      <w:r>
        <w:t>, this d</w:t>
      </w:r>
      <w:r w:rsidRPr="0085520A">
        <w:t xml:space="preserve">ecision </w:t>
      </w:r>
      <w:r w:rsidRPr="0013539D">
        <w:t>authorizes $</w:t>
      </w:r>
      <w:r w:rsidR="00D4778D">
        <w:t>11</w:t>
      </w:r>
      <w:r w:rsidRPr="0013539D">
        <w:t xml:space="preserve"> billion</w:t>
      </w:r>
      <w:r>
        <w:t xml:space="preserve"> in funding for the CARE, FERA and </w:t>
      </w:r>
      <w:r w:rsidRPr="0085520A">
        <w:t>ESA program</w:t>
      </w:r>
      <w:r>
        <w:t>s</w:t>
      </w:r>
      <w:r w:rsidRPr="0085520A">
        <w:t xml:space="preserve"> </w:t>
      </w:r>
      <w:r>
        <w:t xml:space="preserve">for program years </w:t>
      </w:r>
      <w:r w:rsidRPr="00CA0348">
        <w:t xml:space="preserve">2021- 2026 and is consistent with the statutory directive </w:t>
      </w:r>
      <w:r>
        <w:t xml:space="preserve">to </w:t>
      </w:r>
      <w:r w:rsidRPr="00997013">
        <w:t xml:space="preserve">reduce hardships </w:t>
      </w:r>
      <w:r w:rsidRPr="005E5313">
        <w:t xml:space="preserve">on </w:t>
      </w:r>
      <w:proofErr w:type="gramStart"/>
      <w:r w:rsidRPr="005E5313">
        <w:t>low</w:t>
      </w:r>
      <w:r>
        <w:t xml:space="preserve"> </w:t>
      </w:r>
      <w:r w:rsidRPr="005E5313">
        <w:t>income</w:t>
      </w:r>
      <w:proofErr w:type="gramEnd"/>
      <w:r w:rsidRPr="005E5313">
        <w:t xml:space="preserve"> Californians.  </w:t>
      </w:r>
    </w:p>
    <w:p w:rsidRPr="00D057EC" w:rsidR="004703AB" w:rsidP="001968DC" w:rsidRDefault="004703AB" w14:paraId="4C1D2BE6" w14:textId="77777777">
      <w:pPr>
        <w:pStyle w:val="Standard"/>
        <w:ind w:left="720"/>
      </w:pPr>
      <w:r w:rsidRPr="00D057EC">
        <w:t>For the CARE program, this decision:</w:t>
      </w:r>
    </w:p>
    <w:p w:rsidRPr="00D057EC" w:rsidR="004703AB" w:rsidP="00402362" w:rsidRDefault="004703AB" w14:paraId="1629EFB9" w14:textId="77777777">
      <w:pPr>
        <w:pStyle w:val="ListBullet"/>
      </w:pPr>
      <w:r>
        <w:t xml:space="preserve">Maintains the enrollment goal of 90 percent for the 2021-2026 cycle. </w:t>
      </w:r>
    </w:p>
    <w:p w:rsidRPr="00D057EC" w:rsidR="004703AB" w:rsidP="00402362" w:rsidRDefault="004703AB" w14:paraId="61DE4587" w14:textId="2E80E8AD">
      <w:pPr>
        <w:pStyle w:val="ListBullet"/>
      </w:pPr>
      <w:proofErr w:type="gramStart"/>
      <w:r>
        <w:lastRenderedPageBreak/>
        <w:t>Eases</w:t>
      </w:r>
      <w:proofErr w:type="gramEnd"/>
      <w:r>
        <w:t xml:space="preserve"> recertification and verification rules for certain groups of CARE customers (fixed income households, CARE expansion program households, households identified as “highly CARE eligible,” and high usage households) to </w:t>
      </w:r>
      <w:r w:rsidR="00860290">
        <w:t>decrease barriers to participation</w:t>
      </w:r>
      <w:r>
        <w:t xml:space="preserve">.  </w:t>
      </w:r>
    </w:p>
    <w:p w:rsidRPr="00D057EC" w:rsidR="004703AB" w:rsidP="00402362" w:rsidRDefault="004703AB" w14:paraId="271E2429" w14:textId="6A906192">
      <w:pPr>
        <w:pStyle w:val="ListBullet"/>
      </w:pPr>
      <w:r>
        <w:t xml:space="preserve">Increases the CARE capitation reimbursement rate to community organizations assisting </w:t>
      </w:r>
      <w:r w:rsidR="00860290">
        <w:t>with</w:t>
      </w:r>
      <w:r>
        <w:t xml:space="preserve"> CARE enrollments to $30 per enrollment. </w:t>
      </w:r>
    </w:p>
    <w:p w:rsidR="004703AB" w:rsidP="00402362" w:rsidRDefault="004703AB" w14:paraId="4A5E03BF" w14:textId="77777777">
      <w:pPr>
        <w:pStyle w:val="ListBullet"/>
      </w:pPr>
      <w:r>
        <w:t>Approves and directs tailored marketing and outreach efforts to reach the program enrollment goals, including broadband outreach.</w:t>
      </w:r>
    </w:p>
    <w:p w:rsidR="004703AB" w:rsidP="00402362" w:rsidRDefault="004703AB" w14:paraId="13C2A1D6" w14:textId="543550B7">
      <w:pPr>
        <w:pStyle w:val="ListBullet"/>
      </w:pPr>
      <w:r>
        <w:t xml:space="preserve">Approves continuation and funding of the </w:t>
      </w:r>
      <w:r w:rsidRPr="007C1DF3" w:rsidR="007C1DF3">
        <w:t xml:space="preserve">Community Help and Awareness of Natural Gas and Electricity Services </w:t>
      </w:r>
      <w:r>
        <w:t>program.</w:t>
      </w:r>
    </w:p>
    <w:p w:rsidRPr="00D057EC" w:rsidR="004703AB" w:rsidP="00402362" w:rsidRDefault="004703AB" w14:paraId="2CC7545A" w14:textId="77777777">
      <w:pPr>
        <w:pStyle w:val="ListBullet"/>
      </w:pPr>
      <w:r>
        <w:t>Approves $8.5 billion in funding for the 2021-2026 cycle.</w:t>
      </w:r>
    </w:p>
    <w:p w:rsidRPr="00D057EC" w:rsidR="000C1980" w:rsidP="001968DC" w:rsidRDefault="000C1980" w14:paraId="7F75BDA1" w14:textId="77777777">
      <w:pPr>
        <w:pStyle w:val="Standard"/>
        <w:ind w:left="360"/>
      </w:pPr>
      <w:r w:rsidRPr="00D057EC">
        <w:t>For the FERA program, this decision:</w:t>
      </w:r>
    </w:p>
    <w:p w:rsidRPr="001A4C9C" w:rsidR="000C1980" w:rsidP="00402362" w:rsidRDefault="000C1980" w14:paraId="62F8D6E0" w14:textId="7C83047A">
      <w:pPr>
        <w:pStyle w:val="ListBullet"/>
      </w:pPr>
      <w:r w:rsidRPr="001A4C9C">
        <w:t xml:space="preserve">Establishes a 50 percent enrollment goal by 2023 and </w:t>
      </w:r>
      <w:r w:rsidR="0088118A">
        <w:t xml:space="preserve">a </w:t>
      </w:r>
      <w:r w:rsidRPr="001A4C9C">
        <w:t xml:space="preserve">70 percent enrollment goal by 2026. </w:t>
      </w:r>
    </w:p>
    <w:p w:rsidRPr="001A4C9C" w:rsidR="000C1980" w:rsidP="00402362" w:rsidRDefault="000C1980" w14:paraId="7F584648" w14:textId="77777777">
      <w:pPr>
        <w:pStyle w:val="ListBullet"/>
      </w:pPr>
      <w:r w:rsidRPr="001A4C9C">
        <w:t>Aligns the enrollment, eligibility, and verification rules of the program with that of the CARE program (except for income limits).</w:t>
      </w:r>
    </w:p>
    <w:p w:rsidRPr="001A4C9C" w:rsidR="000C1980" w:rsidP="00402362" w:rsidRDefault="000C1980" w14:paraId="788D4279" w14:textId="77777777">
      <w:pPr>
        <w:pStyle w:val="ListBullet"/>
      </w:pPr>
      <w:r w:rsidRPr="001A4C9C">
        <w:t xml:space="preserve">Approves and directs tailored marketing and outreach efforts to reach the program enrollment goals.  </w:t>
      </w:r>
    </w:p>
    <w:p w:rsidRPr="001A4C9C" w:rsidR="000C1980" w:rsidP="00402362" w:rsidRDefault="000C1980" w14:paraId="5E3C01C8" w14:textId="2D03C499">
      <w:pPr>
        <w:pStyle w:val="ListBullet"/>
      </w:pPr>
      <w:r w:rsidRPr="001A4C9C">
        <w:t xml:space="preserve">Establishes a FERA capitation program to reimburse community organizations assisting </w:t>
      </w:r>
      <w:r w:rsidR="00B172B4">
        <w:t>with</w:t>
      </w:r>
      <w:r w:rsidRPr="001A4C9C">
        <w:t xml:space="preserve"> FERA enrollments</w:t>
      </w:r>
      <w:r w:rsidR="000C72C0">
        <w:t xml:space="preserve"> at a reimbursement rate of up to $30 per enrollment</w:t>
      </w:r>
      <w:r w:rsidRPr="001A4C9C">
        <w:t xml:space="preserve">. </w:t>
      </w:r>
    </w:p>
    <w:p w:rsidRPr="001A4C9C" w:rsidR="000C1980" w:rsidP="00402362" w:rsidRDefault="000C1980" w14:paraId="3F1D502A" w14:textId="77777777">
      <w:pPr>
        <w:pStyle w:val="ListBullet"/>
      </w:pPr>
      <w:r w:rsidRPr="001A4C9C">
        <w:t xml:space="preserve">Approves a telemarketing pilot aimed at FERA eligible customers to better understand barriers to participation. </w:t>
      </w:r>
    </w:p>
    <w:p w:rsidRPr="001A4C9C" w:rsidR="000C1980" w:rsidP="00402362" w:rsidRDefault="000C1980" w14:paraId="6299346C" w14:textId="77777777">
      <w:pPr>
        <w:pStyle w:val="ListBullet"/>
      </w:pPr>
      <w:r w:rsidRPr="001A4C9C">
        <w:t xml:space="preserve">Approves $394 million in funding for the 2021-2026 cycle. </w:t>
      </w:r>
    </w:p>
    <w:p w:rsidRPr="00D057EC" w:rsidR="000C1980" w:rsidP="001968DC" w:rsidRDefault="000C1980" w14:paraId="569F2D0A" w14:textId="77777777">
      <w:pPr>
        <w:pStyle w:val="Standard"/>
        <w:ind w:left="360"/>
      </w:pPr>
      <w:r w:rsidRPr="00D057EC">
        <w:t>For the ESA program, this decision:</w:t>
      </w:r>
    </w:p>
    <w:p w:rsidRPr="00D057EC" w:rsidR="000C1980" w:rsidP="00402362" w:rsidRDefault="000C1980" w14:paraId="338FC97A" w14:textId="04C168F7">
      <w:pPr>
        <w:pStyle w:val="ListBullet"/>
      </w:pPr>
      <w:r w:rsidRPr="00D057EC">
        <w:t>A</w:t>
      </w:r>
      <w:r>
        <w:t xml:space="preserve">pproves the Energy Division’s ESA program redesign concept on a pilot basis (ESA </w:t>
      </w:r>
      <w:r w:rsidRPr="4C8F0DC3">
        <w:rPr>
          <w:rFonts w:eastAsia="Garamond" w:cs="Garamond"/>
        </w:rPr>
        <w:t>Pilot Plus and Pilot Deep</w:t>
      </w:r>
      <w:r>
        <w:rPr>
          <w:rFonts w:eastAsia="Garamond" w:cs="Garamond"/>
        </w:rPr>
        <w:t xml:space="preserve"> </w:t>
      </w:r>
      <w:r w:rsidR="00B05115">
        <w:rPr>
          <w:rFonts w:eastAsia="Garamond" w:cs="Garamond"/>
        </w:rPr>
        <w:t>program</w:t>
      </w:r>
      <w:r>
        <w:rPr>
          <w:rFonts w:eastAsia="Garamond" w:cs="Garamond"/>
        </w:rPr>
        <w:t>)</w:t>
      </w:r>
      <w:r>
        <w:t xml:space="preserve">. </w:t>
      </w:r>
    </w:p>
    <w:p w:rsidR="000C1980" w:rsidP="00402362" w:rsidRDefault="000C1980" w14:paraId="2E3115ED" w14:textId="77777777">
      <w:pPr>
        <w:pStyle w:val="ListBullet"/>
      </w:pPr>
      <w:r>
        <w:t xml:space="preserve">Requires the IOUs to </w:t>
      </w:r>
      <w:r w:rsidRPr="006F36C3">
        <w:t>establish effective coordination efforts among low</w:t>
      </w:r>
      <w:r>
        <w:t xml:space="preserve"> </w:t>
      </w:r>
      <w:r w:rsidRPr="006F36C3">
        <w:t>income and clean energy programs</w:t>
      </w:r>
      <w:r>
        <w:t>.</w:t>
      </w:r>
    </w:p>
    <w:p w:rsidR="000C1980" w:rsidP="00402362" w:rsidRDefault="000C1980" w14:paraId="2C22FF50" w14:textId="77777777">
      <w:pPr>
        <w:pStyle w:val="ListBullet"/>
      </w:pPr>
      <w:r>
        <w:lastRenderedPageBreak/>
        <w:t xml:space="preserve">Directs research into the development of a Universal Application System. </w:t>
      </w:r>
    </w:p>
    <w:p w:rsidR="000C1980" w:rsidP="00402362" w:rsidRDefault="000C1980" w14:paraId="55A96E36" w14:textId="1A182C2F">
      <w:pPr>
        <w:pStyle w:val="ListBullet"/>
      </w:pPr>
      <w:r>
        <w:t xml:space="preserve">Allows for </w:t>
      </w:r>
      <w:r w:rsidR="00BE5238">
        <w:t xml:space="preserve">customer </w:t>
      </w:r>
      <w:r>
        <w:t xml:space="preserve">self-certification to receive treatment of basic measures without income qualification </w:t>
      </w:r>
      <w:r w:rsidR="000B51C6">
        <w:t>or</w:t>
      </w:r>
      <w:r w:rsidR="001133AA">
        <w:t xml:space="preserve"> a </w:t>
      </w:r>
      <w:r>
        <w:t>waiver of property owner forms.</w:t>
      </w:r>
    </w:p>
    <w:p w:rsidR="000C1980" w:rsidP="00402362" w:rsidRDefault="000C1980" w14:paraId="7A55474C" w14:textId="4613AF02">
      <w:pPr>
        <w:pStyle w:val="ListBullet"/>
      </w:pPr>
      <w:r>
        <w:t xml:space="preserve">Shifts the program </w:t>
      </w:r>
      <w:r w:rsidR="00A70012">
        <w:t>towards</w:t>
      </w:r>
      <w:r w:rsidRPr="008B26CF">
        <w:t xml:space="preserve"> a customer-centered prioritization model based on </w:t>
      </w:r>
      <w:r w:rsidR="00A70012">
        <w:t xml:space="preserve">treating </w:t>
      </w:r>
      <w:r w:rsidRPr="008B26CF">
        <w:t>household</w:t>
      </w:r>
      <w:r w:rsidR="00A70012">
        <w:t>s based on</w:t>
      </w:r>
      <w:r w:rsidRPr="008B26CF">
        <w:t xml:space="preserve"> need and customer profile</w:t>
      </w:r>
      <w:r>
        <w:t>.</w:t>
      </w:r>
    </w:p>
    <w:p w:rsidR="000C1980" w:rsidP="00402362" w:rsidRDefault="000C1980" w14:paraId="349D357B" w14:textId="77777777">
      <w:pPr>
        <w:pStyle w:val="ListBullet"/>
      </w:pPr>
      <w:r>
        <w:t xml:space="preserve">Approves new measures for the program that focus on deeper energy savings, while allowing the IOUs flexibility in managing the portfolio by updating the measure mixes through monthly reports. </w:t>
      </w:r>
    </w:p>
    <w:p w:rsidR="000C1980" w:rsidP="00402362" w:rsidRDefault="000C1980" w14:paraId="0E1987BA" w14:textId="77777777">
      <w:pPr>
        <w:pStyle w:val="ListBullet"/>
      </w:pPr>
      <w:r>
        <w:t xml:space="preserve">Approves customer prioritizations and treatments </w:t>
      </w:r>
      <w:r w:rsidRPr="00374327">
        <w:t>based on need</w:t>
      </w:r>
      <w:r>
        <w:t>.</w:t>
      </w:r>
    </w:p>
    <w:p w:rsidR="000C1980" w:rsidP="00402362" w:rsidRDefault="000C1980" w14:paraId="0478AE76" w14:textId="77777777">
      <w:pPr>
        <w:pStyle w:val="ListBullet"/>
      </w:pPr>
      <w:r>
        <w:t>Establishes energy saving goals, with additional metrics to be tracked.</w:t>
      </w:r>
    </w:p>
    <w:p w:rsidR="000C1980" w:rsidP="00402362" w:rsidRDefault="000C1980" w14:paraId="24C987B6" w14:textId="77777777">
      <w:pPr>
        <w:pStyle w:val="ListBullet"/>
      </w:pPr>
      <w:r>
        <w:t>Establishes non-energy benefit targets, with additional metrics to be tracked.</w:t>
      </w:r>
    </w:p>
    <w:p w:rsidR="000C1980" w:rsidP="00402362" w:rsidRDefault="000C1980" w14:paraId="62681659" w14:textId="77777777">
      <w:pPr>
        <w:pStyle w:val="ListBullet"/>
      </w:pPr>
      <w:r>
        <w:t>Establishes household treatment targets, with additional metrics to be tracked.</w:t>
      </w:r>
    </w:p>
    <w:p w:rsidR="000C1980" w:rsidP="00402362" w:rsidRDefault="000C1980" w14:paraId="4E2E4E3D" w14:textId="77777777">
      <w:pPr>
        <w:pStyle w:val="ListBullet"/>
      </w:pPr>
      <w:r>
        <w:t>Establishes cost effectiveness guidelines.</w:t>
      </w:r>
    </w:p>
    <w:p w:rsidR="000C1980" w:rsidP="00402362" w:rsidRDefault="000C1980" w14:paraId="617C684E" w14:textId="77777777">
      <w:pPr>
        <w:pStyle w:val="ListBullet"/>
      </w:pPr>
      <w:r>
        <w:t>Approves and directs tailored marketing and outreach efforts to reach the program goals,</w:t>
      </w:r>
      <w:r w:rsidRPr="008F06E0">
        <w:t xml:space="preserve"> </w:t>
      </w:r>
      <w:r>
        <w:t>including broadband outreach.</w:t>
      </w:r>
    </w:p>
    <w:p w:rsidR="000C1980" w:rsidP="00402362" w:rsidRDefault="000C1980" w14:paraId="7CBA529F" w14:textId="77777777">
      <w:pPr>
        <w:pStyle w:val="ListBullet"/>
      </w:pPr>
      <w:r>
        <w:t>Approves and directs targeted leveraging efforts to reach the program goals,</w:t>
      </w:r>
      <w:r w:rsidRPr="008F06E0">
        <w:t xml:space="preserve"> </w:t>
      </w:r>
      <w:r>
        <w:t xml:space="preserve">including with local, state, and federal agencies, water and telecommunication agencies, and other </w:t>
      </w:r>
      <w:proofErr w:type="gramStart"/>
      <w:r>
        <w:t>low income</w:t>
      </w:r>
      <w:proofErr w:type="gramEnd"/>
      <w:r>
        <w:t xml:space="preserve"> programs.</w:t>
      </w:r>
    </w:p>
    <w:p w:rsidR="000C1980" w:rsidP="00402362" w:rsidRDefault="000C1980" w14:paraId="1300993F" w14:textId="77777777">
      <w:pPr>
        <w:pStyle w:val="ListBullet"/>
      </w:pPr>
      <w:r>
        <w:t xml:space="preserve">Approves and directs targeted workforce, education, and training efforts to reach the program goals, specifically targeting local and disadvantaged communities. </w:t>
      </w:r>
    </w:p>
    <w:p w:rsidR="000C1980" w:rsidP="00402362" w:rsidRDefault="000C1980" w14:paraId="1903C68D" w14:textId="260661F1">
      <w:pPr>
        <w:pStyle w:val="ListBullet"/>
      </w:pPr>
      <w:r>
        <w:t xml:space="preserve">Establishes a new multifamily </w:t>
      </w:r>
      <w:r w:rsidR="00F9296B">
        <w:t>w</w:t>
      </w:r>
      <w:r>
        <w:t>hole building program.</w:t>
      </w:r>
    </w:p>
    <w:p w:rsidR="000C1980" w:rsidP="00402362" w:rsidRDefault="000C1980" w14:paraId="40E4DFB2" w14:textId="00A6AD52">
      <w:pPr>
        <w:pStyle w:val="ListBullet"/>
      </w:pPr>
      <w:r>
        <w:t>Approves various pilots and studies, includ</w:t>
      </w:r>
      <w:r w:rsidR="00B77496">
        <w:t>ing</w:t>
      </w:r>
      <w:r>
        <w:t xml:space="preserve"> two electrification pilots.</w:t>
      </w:r>
    </w:p>
    <w:p w:rsidR="000C1980" w:rsidP="00402362" w:rsidRDefault="000C1980" w14:paraId="27668CA7" w14:textId="3C495E7C">
      <w:pPr>
        <w:pStyle w:val="ListBullet"/>
      </w:pPr>
      <w:r>
        <w:lastRenderedPageBreak/>
        <w:t>Establishes an ESA working group to continuously monitor program progress and make recommendations.</w:t>
      </w:r>
    </w:p>
    <w:p w:rsidR="00E32F87" w:rsidP="00402362" w:rsidRDefault="00E00910" w14:paraId="65BA7F61" w14:textId="086FFC97">
      <w:pPr>
        <w:pStyle w:val="ListBullet"/>
      </w:pPr>
      <w:r w:rsidRPr="00E00910">
        <w:t>Manage</w:t>
      </w:r>
      <w:r w:rsidR="00B87DE9">
        <w:t>s</w:t>
      </w:r>
      <w:r w:rsidRPr="00E00910">
        <w:t xml:space="preserve"> </w:t>
      </w:r>
      <w:r w:rsidR="00B87DE9">
        <w:t xml:space="preserve">impacts to </w:t>
      </w:r>
      <w:r w:rsidRPr="00E00910">
        <w:t>ratepayers’ bills by carrying over unspent funds to offset revenue collection and avoid</w:t>
      </w:r>
      <w:r w:rsidR="00B87DE9">
        <w:t>s</w:t>
      </w:r>
      <w:r w:rsidRPr="00E00910">
        <w:t xml:space="preserve"> large accumulati</w:t>
      </w:r>
      <w:r w:rsidR="00B87DE9">
        <w:t>o</w:t>
      </w:r>
      <w:r w:rsidRPr="00E00910">
        <w:t>n</w:t>
      </w:r>
      <w:r w:rsidR="00B87DE9">
        <w:t>s of</w:t>
      </w:r>
      <w:r w:rsidRPr="00E00910">
        <w:t xml:space="preserve"> unspent funds balances</w:t>
      </w:r>
      <w:r>
        <w:t>.</w:t>
      </w:r>
    </w:p>
    <w:p w:rsidR="000C1980" w:rsidP="00402362" w:rsidRDefault="000C1980" w14:paraId="242EA61B" w14:textId="10B58D0B">
      <w:pPr>
        <w:pStyle w:val="ListBullet"/>
      </w:pPr>
      <w:r>
        <w:t xml:space="preserve">Prioritizes environmental and social justice issues and implements various efforts aimed at </w:t>
      </w:r>
      <w:r w:rsidR="00B87DE9">
        <w:t>furthering</w:t>
      </w:r>
      <w:r>
        <w:t xml:space="preserve"> the </w:t>
      </w:r>
      <w:r w:rsidR="00A02FCF">
        <w:t xml:space="preserve">Environmental and Social Justice </w:t>
      </w:r>
      <w:r>
        <w:t xml:space="preserve">Action Plan goals. </w:t>
      </w:r>
    </w:p>
    <w:p w:rsidR="007B07DE" w:rsidP="00402362" w:rsidRDefault="007B07DE" w14:paraId="1FF09A44" w14:textId="1269CB1B">
      <w:pPr>
        <w:pStyle w:val="ListBullet"/>
      </w:pPr>
      <w:r>
        <w:t xml:space="preserve">Denies Marin Clean Energy’s multifamily whole building </w:t>
      </w:r>
      <w:r w:rsidR="00D54FBE">
        <w:t>proposal.</w:t>
      </w:r>
      <w:r>
        <w:t xml:space="preserve"> </w:t>
      </w:r>
    </w:p>
    <w:p w:rsidRPr="00D61385" w:rsidR="000C1980" w:rsidP="00402362" w:rsidRDefault="000C1980" w14:paraId="2CA71F91" w14:textId="1C6651E7">
      <w:pPr>
        <w:pStyle w:val="ListBullet"/>
      </w:pPr>
      <w:r>
        <w:t>Approves $</w:t>
      </w:r>
      <w:r w:rsidR="00E00910">
        <w:t>2.</w:t>
      </w:r>
      <w:r w:rsidR="008E1956">
        <w:t xml:space="preserve">2 </w:t>
      </w:r>
      <w:r w:rsidR="00E00910">
        <w:t>b</w:t>
      </w:r>
      <w:r>
        <w:t>illion in funding for the 2021-2026 cycle.</w:t>
      </w:r>
    </w:p>
    <w:p w:rsidRPr="00333D0D" w:rsidR="000C1980" w:rsidP="000E5251" w:rsidRDefault="000C1980" w14:paraId="2272DBA3" w14:textId="05841833">
      <w:pPr>
        <w:pStyle w:val="Standard"/>
        <w:rPr>
          <w:highlight w:val="yellow"/>
        </w:rPr>
      </w:pPr>
      <w:r w:rsidRPr="005E5313">
        <w:t>In authorizing this funding</w:t>
      </w:r>
      <w:r w:rsidR="00B53259">
        <w:t xml:space="preserve"> for the three programs</w:t>
      </w:r>
      <w:r w:rsidRPr="005E5313">
        <w:t xml:space="preserve">, we affirm the important role that the CARE, FERA and ESA programs continue to play in the lives of </w:t>
      </w:r>
      <w:proofErr w:type="gramStart"/>
      <w:r w:rsidRPr="005E5313">
        <w:t>low</w:t>
      </w:r>
      <w:r>
        <w:t xml:space="preserve"> </w:t>
      </w:r>
      <w:r w:rsidRPr="005E5313">
        <w:t>income</w:t>
      </w:r>
      <w:proofErr w:type="gramEnd"/>
      <w:r w:rsidRPr="005E5313">
        <w:t xml:space="preserve"> Californians and </w:t>
      </w:r>
      <w:r w:rsidRPr="000E5251">
        <w:t>communities</w:t>
      </w:r>
      <w:r w:rsidRPr="00EF63D4">
        <w:t xml:space="preserve">.  These programs will continue to </w:t>
      </w:r>
      <w:r w:rsidRPr="00EF63D4">
        <w:rPr>
          <w:rFonts w:ascii="Palatino" w:hAnsi="Palatino" w:eastAsia="Times New Roman"/>
          <w:szCs w:val="26"/>
        </w:rPr>
        <w:t xml:space="preserve">directly benefit </w:t>
      </w:r>
      <w:proofErr w:type="gramStart"/>
      <w:r w:rsidRPr="00EF63D4">
        <w:rPr>
          <w:rFonts w:ascii="Palatino" w:hAnsi="Palatino" w:eastAsia="Times New Roman"/>
          <w:szCs w:val="26"/>
        </w:rPr>
        <w:t>low income</w:t>
      </w:r>
      <w:proofErr w:type="gramEnd"/>
      <w:r w:rsidRPr="00EF63D4">
        <w:rPr>
          <w:rFonts w:ascii="Palatino" w:hAnsi="Palatino" w:eastAsia="Times New Roman"/>
          <w:szCs w:val="26"/>
        </w:rPr>
        <w:t xml:space="preserve"> customers by </w:t>
      </w:r>
      <w:r w:rsidRPr="00EF63D4">
        <w:t>reducing their energy bills, increasing the comfort and safety of the</w:t>
      </w:r>
      <w:r>
        <w:t>ir</w:t>
      </w:r>
      <w:r w:rsidRPr="00EF63D4">
        <w:t xml:space="preserve"> home, and promoting energy education and efficiency practices which lead to resource adequacy and a lower carbon footprint. </w:t>
      </w:r>
    </w:p>
    <w:p w:rsidRPr="00E93625" w:rsidR="000C1980" w:rsidP="001968DC" w:rsidRDefault="000C1980" w14:paraId="2B60CD83" w14:textId="77777777">
      <w:pPr>
        <w:pStyle w:val="Heading1"/>
        <w:ind w:left="720"/>
      </w:pPr>
      <w:bookmarkStart w:name="_Toc2517038" w:id="20"/>
      <w:bookmarkStart w:name="_Toc2523436" w:id="21"/>
      <w:bookmarkStart w:name="_Toc45616410" w:id="22"/>
      <w:bookmarkStart w:name="_Toc69947735" w:id="23"/>
      <w:r w:rsidRPr="00E93625">
        <w:t>Background</w:t>
      </w:r>
      <w:bookmarkEnd w:id="20"/>
      <w:bookmarkEnd w:id="21"/>
      <w:bookmarkEnd w:id="22"/>
      <w:bookmarkEnd w:id="23"/>
    </w:p>
    <w:p w:rsidR="000C1980" w:rsidP="001968DC" w:rsidRDefault="000C1980" w14:paraId="3BB8F780" w14:textId="245FCADE">
      <w:pPr>
        <w:pStyle w:val="Heading2"/>
        <w:tabs>
          <w:tab w:val="clear" w:pos="720"/>
          <w:tab w:val="num" w:pos="1080"/>
        </w:tabs>
        <w:ind w:left="1728"/>
      </w:pPr>
      <w:bookmarkStart w:name="_Toc69947736" w:id="24"/>
      <w:bookmarkStart w:name="_Toc45616411" w:id="25"/>
      <w:r>
        <w:t xml:space="preserve">The California Alternate Rates for Energy </w:t>
      </w:r>
      <w:r w:rsidR="007C629A">
        <w:t xml:space="preserve">(CARE) </w:t>
      </w:r>
      <w:r>
        <w:t>Program</w:t>
      </w:r>
      <w:bookmarkEnd w:id="24"/>
      <w:r>
        <w:t xml:space="preserve"> </w:t>
      </w:r>
    </w:p>
    <w:p w:rsidRPr="00537BBC" w:rsidR="000C1980" w:rsidP="0023091F" w:rsidRDefault="000C1980" w14:paraId="41FBCC55" w14:textId="1C60C118">
      <w:pPr>
        <w:pStyle w:val="ALJBodyText"/>
      </w:pPr>
      <w:bookmarkStart w:name="_Hlk52894999" w:id="26"/>
      <w:r w:rsidRPr="008F1EE5">
        <w:t xml:space="preserve">The CARE </w:t>
      </w:r>
      <w:r>
        <w:t>p</w:t>
      </w:r>
      <w:r w:rsidRPr="008F1EE5">
        <w:t xml:space="preserve">rogram is a </w:t>
      </w:r>
      <w:proofErr w:type="gramStart"/>
      <w:r w:rsidRPr="008F1EE5">
        <w:t>low</w:t>
      </w:r>
      <w:r>
        <w:t xml:space="preserve"> </w:t>
      </w:r>
      <w:r w:rsidRPr="008F1EE5">
        <w:t>income</w:t>
      </w:r>
      <w:proofErr w:type="gramEnd"/>
      <w:r w:rsidRPr="008F1EE5">
        <w:t xml:space="preserve"> energy rate assistance program </w:t>
      </w:r>
      <w:r>
        <w:t xml:space="preserve">established in 1989 to </w:t>
      </w:r>
      <w:r w:rsidRPr="008F1EE5">
        <w:t>provid</w:t>
      </w:r>
      <w:r>
        <w:t>e</w:t>
      </w:r>
      <w:r w:rsidRPr="008F1EE5">
        <w:t xml:space="preserve"> a</w:t>
      </w:r>
      <w:r>
        <w:t xml:space="preserve"> </w:t>
      </w:r>
      <w:r w:rsidRPr="008F1EE5">
        <w:t>discount on energy rates to low</w:t>
      </w:r>
      <w:r>
        <w:t xml:space="preserve"> </w:t>
      </w:r>
      <w:r w:rsidRPr="008F1EE5">
        <w:t xml:space="preserve">income households with incomes at or below 200 percent of the </w:t>
      </w:r>
      <w:r>
        <w:t>f</w:t>
      </w:r>
      <w:r w:rsidRPr="008F1EE5">
        <w:t xml:space="preserve">ederal </w:t>
      </w:r>
      <w:r>
        <w:t>p</w:t>
      </w:r>
      <w:r w:rsidRPr="008F1EE5">
        <w:t xml:space="preserve">overty </w:t>
      </w:r>
      <w:r>
        <w:t>g</w:t>
      </w:r>
      <w:r w:rsidRPr="008F1EE5">
        <w:t>uideline</w:t>
      </w:r>
      <w:r>
        <w:t xml:space="preserve"> (FPG)</w:t>
      </w:r>
      <w:r w:rsidRPr="008F1EE5">
        <w:t>.</w:t>
      </w:r>
      <w:r w:rsidRPr="008F1EE5">
        <w:rPr>
          <w:vertAlign w:val="superscript"/>
        </w:rPr>
        <w:footnoteReference w:id="2"/>
      </w:r>
      <w:r w:rsidRPr="008F1EE5">
        <w:t xml:space="preserve">  </w:t>
      </w:r>
      <w:r w:rsidRPr="00537BBC">
        <w:t xml:space="preserve">The </w:t>
      </w:r>
      <w:r>
        <w:t>p</w:t>
      </w:r>
      <w:r w:rsidRPr="00537BBC">
        <w:t xml:space="preserve">rogram is authorized by </w:t>
      </w:r>
      <w:r w:rsidRPr="008F1EE5">
        <w:t>Public Utilities (Pub.</w:t>
      </w:r>
      <w:r>
        <w:t> </w:t>
      </w:r>
      <w:r w:rsidRPr="008F1EE5">
        <w:t xml:space="preserve">Util.) </w:t>
      </w:r>
      <w:r w:rsidRPr="00537BBC">
        <w:t>Code</w:t>
      </w:r>
      <w:r>
        <w:t xml:space="preserve"> </w:t>
      </w:r>
      <w:r w:rsidRPr="00537BBC">
        <w:t>Section 739.1, which provides that:</w:t>
      </w:r>
    </w:p>
    <w:p w:rsidRPr="000A3DEC" w:rsidR="000C1980" w:rsidP="001968DC" w:rsidRDefault="000C1980" w14:paraId="73DAA2C1" w14:textId="77777777">
      <w:pPr>
        <w:pStyle w:val="BlockQuote"/>
        <w:ind w:left="1080"/>
      </w:pPr>
      <w:r w:rsidRPr="000A3DEC">
        <w:t xml:space="preserve">[T]he commission shall ensure that the level of CARE discount for low-income electric and gas customers correctly reflects the level of need…subject to both of the following: (1) that the </w:t>
      </w:r>
      <w:r w:rsidRPr="000A3DEC">
        <w:lastRenderedPageBreak/>
        <w:t>commission ensure that low-income ratepayers are not jeopardized or overburdened by monthly energy expenditures, pursuant to subdivision (b) of Section 382; and (2) That the level of the discount for low-income electricity and gas ratepayers correctly reflects the level of need as determined by the needs assessment conducted pursuant to subdivision (d) of Section 382.</w:t>
      </w:r>
      <w:r w:rsidRPr="000E5251">
        <w:rPr>
          <w:rStyle w:val="FootnoteReference"/>
        </w:rPr>
        <w:footnoteReference w:id="3"/>
      </w:r>
      <w:r w:rsidRPr="000A3DEC">
        <w:t xml:space="preserve"> The entire discount shall be provided in the form of a reduction in the overall bill for the eligible CARE customer.</w:t>
      </w:r>
      <w:r w:rsidRPr="000E5251">
        <w:rPr>
          <w:rStyle w:val="FootnoteReference"/>
        </w:rPr>
        <w:footnoteReference w:id="4"/>
      </w:r>
    </w:p>
    <w:p w:rsidRPr="00006BB6" w:rsidR="000C1980" w:rsidP="000E5251" w:rsidRDefault="000C1980" w14:paraId="25A2CA10" w14:textId="11AF0071">
      <w:pPr>
        <w:pStyle w:val="Standard"/>
      </w:pPr>
      <w:r w:rsidRPr="00531B98">
        <w:t xml:space="preserve">The CARE </w:t>
      </w:r>
      <w:r>
        <w:t>p</w:t>
      </w:r>
      <w:r w:rsidRPr="00531B98">
        <w:t xml:space="preserve">rogram </w:t>
      </w:r>
      <w:r w:rsidR="002E3612">
        <w:t>initially</w:t>
      </w:r>
      <w:r w:rsidRPr="00531B98">
        <w:t xml:space="preserve"> provid</w:t>
      </w:r>
      <w:r w:rsidR="002E3612">
        <w:t>ed</w:t>
      </w:r>
      <w:r>
        <w:t xml:space="preserve"> </w:t>
      </w:r>
      <w:r w:rsidRPr="00531B98">
        <w:t xml:space="preserve">a 15 percent discount on </w:t>
      </w:r>
      <w:r>
        <w:t xml:space="preserve">natural gas and electric </w:t>
      </w:r>
      <w:r w:rsidRPr="00531B98">
        <w:t>rates to residential households with</w:t>
      </w:r>
      <w:r>
        <w:t xml:space="preserve"> </w:t>
      </w:r>
      <w:r w:rsidRPr="00531B98">
        <w:t>income at or below 150</w:t>
      </w:r>
      <w:r>
        <w:t> </w:t>
      </w:r>
      <w:r w:rsidRPr="00531B98">
        <w:t xml:space="preserve">percent of the </w:t>
      </w:r>
      <w:r>
        <w:t>FPG</w:t>
      </w:r>
      <w:r w:rsidRPr="00531B98">
        <w:t>.</w:t>
      </w:r>
      <w:r>
        <w:t xml:space="preserve">  Today, the program provides a </w:t>
      </w:r>
      <w:r w:rsidRPr="00C25C88">
        <w:t>20 percent discount on</w:t>
      </w:r>
      <w:r>
        <w:t xml:space="preserve"> n</w:t>
      </w:r>
      <w:r w:rsidRPr="00C25C88">
        <w:t>atural gas charges</w:t>
      </w:r>
      <w:r>
        <w:t xml:space="preserve"> and a 30 to 35</w:t>
      </w:r>
      <w:r>
        <w:rPr>
          <w:rStyle w:val="FootnoteReference"/>
        </w:rPr>
        <w:footnoteReference w:id="5"/>
      </w:r>
      <w:r>
        <w:t xml:space="preserve"> percent discount on electric rates to </w:t>
      </w:r>
      <w:bookmarkStart w:name="_Hlk55820577" w:id="27"/>
      <w:r>
        <w:t xml:space="preserve">households with an </w:t>
      </w:r>
      <w:r w:rsidRPr="00531B98">
        <w:t>annual</w:t>
      </w:r>
      <w:r>
        <w:t xml:space="preserve"> </w:t>
      </w:r>
      <w:r w:rsidRPr="00531B98">
        <w:t xml:space="preserve">income no greater than 200 percent of </w:t>
      </w:r>
      <w:r>
        <w:t>FPG.  C</w:t>
      </w:r>
      <w:r w:rsidRPr="00AA5334">
        <w:t xml:space="preserve">ustomers must self-certify that their income meets the program eligibility requirement or that they are enrolled in a </w:t>
      </w:r>
      <w:r w:rsidRPr="003E142D">
        <w:t>categorical qualifying income-based program</w:t>
      </w:r>
      <w:r w:rsidRPr="00006BB6">
        <w:t xml:space="preserve"> </w:t>
      </w:r>
      <w:r>
        <w:t>to enroll into CARE.</w:t>
      </w:r>
      <w:r>
        <w:rPr>
          <w:rStyle w:val="FootnoteReference"/>
        </w:rPr>
        <w:footnoteReference w:id="6"/>
      </w:r>
      <w:r>
        <w:t xml:space="preserve">  </w:t>
      </w:r>
      <w:r w:rsidRPr="00EE5CEA">
        <w:t>To protect the integrity of the self-certification</w:t>
      </w:r>
      <w:r>
        <w:t xml:space="preserve"> </w:t>
      </w:r>
      <w:r w:rsidRPr="00EE5CEA">
        <w:t>option, the IOUs use a random sampling income</w:t>
      </w:r>
      <w:r w:rsidR="00C73E56">
        <w:noBreakHyphen/>
      </w:r>
      <w:r w:rsidRPr="00EE5CEA">
        <w:t>verification process</w:t>
      </w:r>
      <w:r>
        <w:t xml:space="preserve">, also known as post enrollment verification or PEV, </w:t>
      </w:r>
      <w:r w:rsidRPr="00EE5CEA">
        <w:t>that balances the desire for the maximum number of eligible customers to participate with the need to verify</w:t>
      </w:r>
      <w:r>
        <w:t xml:space="preserve"> </w:t>
      </w:r>
      <w:r w:rsidRPr="00EE5CEA">
        <w:t xml:space="preserve">participant eligibility. </w:t>
      </w:r>
      <w:r w:rsidR="00C73E56">
        <w:t xml:space="preserve"> </w:t>
      </w:r>
      <w:r>
        <w:t xml:space="preserve">Eligible customers </w:t>
      </w:r>
      <w:r w:rsidRPr="00C10DFF">
        <w:t>consist of</w:t>
      </w:r>
      <w:r>
        <w:t xml:space="preserve"> those living in</w:t>
      </w:r>
      <w:r w:rsidRPr="00C10DFF">
        <w:t xml:space="preserve"> residential single-family households, tenants of sub-</w:t>
      </w:r>
      <w:r w:rsidRPr="00C10DFF">
        <w:lastRenderedPageBreak/>
        <w:t>metered</w:t>
      </w:r>
      <w:r>
        <w:t xml:space="preserve"> </w:t>
      </w:r>
      <w:r w:rsidRPr="00C10DFF">
        <w:t>residential facilities, non-profit group living facilities, agricultural employee housing facilities,</w:t>
      </w:r>
      <w:r>
        <w:t xml:space="preserve"> </w:t>
      </w:r>
      <w:r w:rsidRPr="00C10DFF">
        <w:t>and migrant farm worker housing centers</w:t>
      </w:r>
      <w:r w:rsidRPr="008F1EE5">
        <w:t>.</w:t>
      </w:r>
      <w:r w:rsidRPr="008F1EE5">
        <w:rPr>
          <w:vertAlign w:val="superscript"/>
        </w:rPr>
        <w:footnoteReference w:id="7"/>
      </w:r>
      <w:r w:rsidRPr="008F1EE5">
        <w:t xml:space="preserve">  </w:t>
      </w:r>
    </w:p>
    <w:bookmarkEnd w:id="27"/>
    <w:p w:rsidRPr="00E02F6E" w:rsidR="000C1980" w:rsidP="0023091F" w:rsidRDefault="000C1980" w14:paraId="712E9CB4" w14:textId="77777777">
      <w:pPr>
        <w:pStyle w:val="ALJBodyText"/>
      </w:pPr>
      <w:r w:rsidRPr="00C24413">
        <w:t>The CARE program is funded by non</w:t>
      </w:r>
      <w:r w:rsidRPr="00C24413">
        <w:noBreakHyphen/>
        <w:t>participating ratepayers as part of a statutory public purpose program surcharge that appears on their monthly utility bills.</w:t>
      </w:r>
      <w:r w:rsidRPr="00C24413">
        <w:rPr>
          <w:vertAlign w:val="superscript"/>
        </w:rPr>
        <w:footnoteReference w:id="8"/>
      </w:r>
      <w:r w:rsidRPr="00C24413">
        <w:t xml:space="preserve">  </w:t>
      </w:r>
    </w:p>
    <w:p w:rsidR="000C1980" w:rsidP="001968DC" w:rsidRDefault="000C1980" w14:paraId="243E9DE1" w14:textId="2AE9920A">
      <w:pPr>
        <w:pStyle w:val="Heading2"/>
        <w:tabs>
          <w:tab w:val="clear" w:pos="720"/>
          <w:tab w:val="num" w:pos="1080"/>
        </w:tabs>
        <w:ind w:left="1728"/>
      </w:pPr>
      <w:bookmarkStart w:name="_Toc69947737" w:id="28"/>
      <w:bookmarkEnd w:id="26"/>
      <w:r>
        <w:t xml:space="preserve">The Family </w:t>
      </w:r>
      <w:r w:rsidRPr="00D0227B" w:rsidR="00D0227B">
        <w:t xml:space="preserve">Electric </w:t>
      </w:r>
      <w:r>
        <w:t xml:space="preserve">Rate Assistance </w:t>
      </w:r>
      <w:r w:rsidR="007C629A">
        <w:t xml:space="preserve">(FERA) </w:t>
      </w:r>
      <w:r>
        <w:t>Program</w:t>
      </w:r>
      <w:bookmarkEnd w:id="28"/>
      <w:r>
        <w:t xml:space="preserve"> </w:t>
      </w:r>
    </w:p>
    <w:p w:rsidR="000C1980" w:rsidP="0023091F" w:rsidRDefault="000C1980" w14:paraId="113B7737" w14:textId="46DC75B5">
      <w:pPr>
        <w:pStyle w:val="ALJBodyText"/>
      </w:pPr>
      <w:r w:rsidRPr="0007082E">
        <w:t xml:space="preserve">The FERA program is another </w:t>
      </w:r>
      <w:proofErr w:type="gramStart"/>
      <w:r w:rsidRPr="0007082E">
        <w:t>low</w:t>
      </w:r>
      <w:r>
        <w:t xml:space="preserve"> </w:t>
      </w:r>
      <w:r w:rsidRPr="0007082E">
        <w:t>income</w:t>
      </w:r>
      <w:proofErr w:type="gramEnd"/>
      <w:r w:rsidRPr="0007082E">
        <w:t xml:space="preserve"> energy rate assistance program</w:t>
      </w:r>
      <w:r w:rsidR="00F445AA">
        <w:t>. It was</w:t>
      </w:r>
      <w:r w:rsidRPr="0007082E">
        <w:t xml:space="preserve"> established in 2004 to provide a discount on energy rates </w:t>
      </w:r>
      <w:proofErr w:type="spellStart"/>
      <w:r w:rsidRPr="0007082E">
        <w:t>to</w:t>
      </w:r>
      <w:proofErr w:type="spellEnd"/>
      <w:r w:rsidRPr="0007082E">
        <w:t xml:space="preserve"> low</w:t>
      </w:r>
      <w:r>
        <w:t xml:space="preserve"> to middle </w:t>
      </w:r>
      <w:r w:rsidRPr="0007082E">
        <w:t xml:space="preserve">income households with incomes between 200 percent and 250 percent of </w:t>
      </w:r>
      <w:r>
        <w:t>FPG</w:t>
      </w:r>
      <w:r w:rsidRPr="0007082E">
        <w:t xml:space="preserve">.  </w:t>
      </w:r>
      <w:r w:rsidRPr="001F7F7A" w:rsidR="001F7F7A">
        <w:t>FERA was designed to assist larger households that are ineligible for the CARE program because their income level falls slightly above the CARE income eligibility limits.</w:t>
      </w:r>
      <w:r w:rsidRPr="001F7F7A" w:rsidR="001F7F7A">
        <w:rPr>
          <w:vertAlign w:val="superscript"/>
        </w:rPr>
        <w:footnoteReference w:id="9"/>
      </w:r>
      <w:r w:rsidRPr="001F7F7A" w:rsidR="001F7F7A">
        <w:t xml:space="preserve">  Eligible customers consist of households of three or more individuals, with the income threshold increasing with each additional individual living in the household.</w:t>
      </w:r>
      <w:r w:rsidRPr="001F7F7A" w:rsidR="001F7F7A">
        <w:rPr>
          <w:vertAlign w:val="superscript"/>
        </w:rPr>
        <w:footnoteReference w:id="10"/>
      </w:r>
      <w:r w:rsidRPr="001F7F7A" w:rsidR="001F7F7A">
        <w:t xml:space="preserve">  </w:t>
      </w:r>
      <w:r w:rsidRPr="00537BBC">
        <w:t xml:space="preserve">The </w:t>
      </w:r>
      <w:r>
        <w:t>p</w:t>
      </w:r>
      <w:r w:rsidRPr="00537BBC">
        <w:t>rogram is authorized by Pub. Util. Code</w:t>
      </w:r>
      <w:r>
        <w:t xml:space="preserve"> </w:t>
      </w:r>
      <w:r w:rsidRPr="00537BBC">
        <w:t xml:space="preserve">Section </w:t>
      </w:r>
      <w:r w:rsidRPr="008C75A5">
        <w:t>739.12</w:t>
      </w:r>
      <w:r>
        <w:t xml:space="preserve"> which provides that:</w:t>
      </w:r>
    </w:p>
    <w:p w:rsidRPr="000D776E" w:rsidR="000C1980" w:rsidP="001968DC" w:rsidRDefault="000C1980" w14:paraId="31592E7B" w14:textId="77777777">
      <w:pPr>
        <w:pStyle w:val="Quote"/>
        <w:ind w:left="1080"/>
      </w:pPr>
      <w:r w:rsidRPr="000D776E">
        <w:t>(a) The commission shall continue a program of assistance to residential customers of the state’s three largest electrical corporations consisting of households of three or more persons with total household annual gross income levels between 200 percent and 250 percent of the federal poverty guideline level. The program shall continue to be referred to as the Family Electric Rate Assistance or FERA program.</w:t>
      </w:r>
    </w:p>
    <w:p w:rsidRPr="000D776E" w:rsidR="000C1980" w:rsidP="001968DC" w:rsidRDefault="000C1980" w14:paraId="4558F2AF" w14:textId="77777777">
      <w:pPr>
        <w:pStyle w:val="Quote"/>
        <w:ind w:left="1080"/>
      </w:pPr>
      <w:r w:rsidRPr="000D776E">
        <w:lastRenderedPageBreak/>
        <w:t>(b) The FERA program discount shall be an 18 percent line-item discount applied to an eligible customer’s bill calculated at the applicable rate for the billing period.</w:t>
      </w:r>
    </w:p>
    <w:p w:rsidRPr="000D776E" w:rsidR="000C1980" w:rsidP="001968DC" w:rsidRDefault="000C1980" w14:paraId="006300CA" w14:textId="77777777">
      <w:pPr>
        <w:pStyle w:val="Quote"/>
        <w:ind w:left="1080"/>
      </w:pPr>
      <w:r w:rsidRPr="000D776E">
        <w:t>(c) The commission shall authorize the state’s three largest electrical corporations to increase or expand marketing and outreach efforts beyond those in effect as of December 31, 2018, to increase eligible customer participation in the FERA program.</w:t>
      </w:r>
    </w:p>
    <w:p w:rsidR="000C1980" w:rsidP="0023091F" w:rsidRDefault="000C1980" w14:paraId="3F1B642F" w14:textId="77777777">
      <w:pPr>
        <w:pStyle w:val="ALJBodyText"/>
      </w:pPr>
      <w:r>
        <w:t>The FERA program is funded by b</w:t>
      </w:r>
      <w:r w:rsidRPr="00374DD3">
        <w:t>oth participating and non</w:t>
      </w:r>
      <w:r w:rsidRPr="00374DD3">
        <w:noBreakHyphen/>
        <w:t>participating ratepayers</w:t>
      </w:r>
      <w:r>
        <w:t xml:space="preserve"> through either customer distribution rates or statutory public purpose program surcharges </w:t>
      </w:r>
      <w:r w:rsidRPr="00C24413">
        <w:t>that appears on their monthly utility bills</w:t>
      </w:r>
      <w:r>
        <w:t>.</w:t>
      </w:r>
    </w:p>
    <w:p w:rsidRPr="00E93625" w:rsidR="000C1980" w:rsidP="001968DC" w:rsidRDefault="000C1980" w14:paraId="18DF262F" w14:textId="442C79C8">
      <w:pPr>
        <w:pStyle w:val="Heading2"/>
        <w:tabs>
          <w:tab w:val="clear" w:pos="720"/>
          <w:tab w:val="num" w:pos="1080"/>
        </w:tabs>
        <w:ind w:left="1728"/>
      </w:pPr>
      <w:bookmarkStart w:name="_Toc69947738" w:id="29"/>
      <w:r w:rsidRPr="00E93625">
        <w:t xml:space="preserve">The Energy Savings Assistance </w:t>
      </w:r>
      <w:r w:rsidR="00C73E56">
        <w:t xml:space="preserve">(ESA) </w:t>
      </w:r>
      <w:r w:rsidRPr="00E93625">
        <w:t>Program</w:t>
      </w:r>
      <w:bookmarkEnd w:id="25"/>
      <w:bookmarkEnd w:id="29"/>
      <w:r>
        <w:t xml:space="preserve"> </w:t>
      </w:r>
    </w:p>
    <w:p w:rsidR="000C1980" w:rsidP="00494671" w:rsidRDefault="000C1980" w14:paraId="43C89B03" w14:textId="77777777">
      <w:pPr>
        <w:pStyle w:val="Standard"/>
      </w:pPr>
      <w:r w:rsidRPr="008F1EE5">
        <w:t xml:space="preserve">The ESA </w:t>
      </w:r>
      <w:r>
        <w:t>p</w:t>
      </w:r>
      <w:r w:rsidRPr="008F1EE5">
        <w:t xml:space="preserve">rogram </w:t>
      </w:r>
      <w:r>
        <w:t xml:space="preserve">is a no-cost energy efficiency program that </w:t>
      </w:r>
      <w:r w:rsidRPr="002E45CC">
        <w:t xml:space="preserve">provides home weatherization services and energy efficiency measures to help </w:t>
      </w:r>
      <w:proofErr w:type="gramStart"/>
      <w:r w:rsidRPr="002E45CC">
        <w:t>low</w:t>
      </w:r>
      <w:r>
        <w:t xml:space="preserve"> </w:t>
      </w:r>
      <w:r w:rsidRPr="002E45CC">
        <w:t>income</w:t>
      </w:r>
      <w:proofErr w:type="gramEnd"/>
      <w:r w:rsidRPr="002E45CC">
        <w:t xml:space="preserve"> households conserve energy</w:t>
      </w:r>
      <w:r>
        <w:t xml:space="preserve">, </w:t>
      </w:r>
      <w:r w:rsidRPr="002E45CC">
        <w:t xml:space="preserve">reduce </w:t>
      </w:r>
      <w:r>
        <w:t xml:space="preserve">their </w:t>
      </w:r>
      <w:r w:rsidRPr="002E45CC">
        <w:t>energy costs</w:t>
      </w:r>
      <w:r>
        <w:t xml:space="preserve">/utility bills, </w:t>
      </w:r>
      <w:r w:rsidRPr="002E45CC">
        <w:t xml:space="preserve">and improve </w:t>
      </w:r>
      <w:r>
        <w:t xml:space="preserve">the </w:t>
      </w:r>
      <w:r w:rsidRPr="002E45CC">
        <w:t>health, comfort, and safety</w:t>
      </w:r>
      <w:r>
        <w:t xml:space="preserve"> (HCS) of the home</w:t>
      </w:r>
      <w:r w:rsidRPr="002E45CC">
        <w:t xml:space="preserve">.  The program also provides information and education to promote energy efficient practices in </w:t>
      </w:r>
      <w:proofErr w:type="gramStart"/>
      <w:r w:rsidRPr="002E45CC">
        <w:t>low</w:t>
      </w:r>
      <w:r>
        <w:t xml:space="preserve"> </w:t>
      </w:r>
      <w:r w:rsidRPr="002E45CC">
        <w:t>income</w:t>
      </w:r>
      <w:proofErr w:type="gramEnd"/>
      <w:r w:rsidRPr="002E45CC">
        <w:t xml:space="preserve"> communities.</w:t>
      </w:r>
      <w:r>
        <w:rPr>
          <w:vertAlign w:val="superscript"/>
        </w:rPr>
        <w:t xml:space="preserve"> </w:t>
      </w:r>
    </w:p>
    <w:p w:rsidRPr="009E23C1" w:rsidR="000C1980" w:rsidP="00494671" w:rsidRDefault="000C1980" w14:paraId="01EF95F0" w14:textId="522A8415">
      <w:pPr>
        <w:pStyle w:val="Standard"/>
      </w:pPr>
      <w:r>
        <w:t>Initially</w:t>
      </w:r>
      <w:r w:rsidRPr="008F1EE5">
        <w:t xml:space="preserve"> offered as an assistance program directly from a few IOUs in the 1980s</w:t>
      </w:r>
      <w:r>
        <w:t>, the ESA program was</w:t>
      </w:r>
      <w:r w:rsidRPr="00A13C66">
        <w:t xml:space="preserve"> </w:t>
      </w:r>
      <w:r>
        <w:t xml:space="preserve">later </w:t>
      </w:r>
      <w:r w:rsidRPr="008F1EE5">
        <w:t>adopted and codified</w:t>
      </w:r>
      <w:r>
        <w:t xml:space="preserve"> into statute in </w:t>
      </w:r>
      <w:r w:rsidRPr="008F1EE5">
        <w:t>1990</w:t>
      </w:r>
      <w:r>
        <w:t xml:space="preserve">.  </w:t>
      </w:r>
      <w:r w:rsidRPr="008F1EE5">
        <w:t xml:space="preserve">Pub. Util. Code Section 2790(a) </w:t>
      </w:r>
      <w:r w:rsidRPr="00494671">
        <w:t>provides</w:t>
      </w:r>
      <w:r w:rsidRPr="009E23C1">
        <w:t>:</w:t>
      </w:r>
    </w:p>
    <w:p w:rsidR="000C1980" w:rsidP="001968DC" w:rsidRDefault="000C1980" w14:paraId="5F57D57A" w14:textId="4419F5FA">
      <w:pPr>
        <w:pStyle w:val="BlockQuote"/>
        <w:ind w:left="1080"/>
      </w:pPr>
      <w:r w:rsidRPr="008F1EE5">
        <w:t xml:space="preserve">The commission shall require an electrical or gas corporation to perform home weatherization services for low-income customers, as determined by the commission under Section 739, if the commission determines that a significant need for those services exists in the </w:t>
      </w:r>
      <w:r w:rsidRPr="001A4C9C">
        <w:t>corporation's</w:t>
      </w:r>
      <w:r w:rsidRPr="008F1EE5">
        <w:t xml:space="preserve"> service territory, taking into consideration both the cost-effectiveness of the services and the policy of reducing the hardships facing low-income households</w:t>
      </w:r>
      <w:r w:rsidRPr="00B14D70">
        <w:t>.</w:t>
      </w:r>
      <w:r w:rsidRPr="001A0D09">
        <w:rPr>
          <w:rStyle w:val="FootnoteReference"/>
        </w:rPr>
        <w:t xml:space="preserve"> </w:t>
      </w:r>
      <w:bookmarkStart w:name="_Hlk52894612" w:id="30"/>
      <w:r>
        <w:t xml:space="preserve"> </w:t>
      </w:r>
    </w:p>
    <w:p w:rsidR="000C1980" w:rsidP="00494671" w:rsidRDefault="000C1980" w14:paraId="47A5997D" w14:textId="77777777">
      <w:pPr>
        <w:pStyle w:val="Standard"/>
      </w:pPr>
      <w:r w:rsidRPr="008A3CF6">
        <w:lastRenderedPageBreak/>
        <w:t xml:space="preserve">Income </w:t>
      </w:r>
      <w:r>
        <w:t>limits</w:t>
      </w:r>
      <w:r w:rsidRPr="008A3CF6">
        <w:t xml:space="preserve"> for program participation is set at 200 percent at or below </w:t>
      </w:r>
      <w:r>
        <w:t>FPG,</w:t>
      </w:r>
      <w:r w:rsidRPr="008A3CF6">
        <w:rPr>
          <w:vertAlign w:val="superscript"/>
        </w:rPr>
        <w:footnoteReference w:id="11"/>
      </w:r>
      <w:r w:rsidRPr="008A3CF6">
        <w:t xml:space="preserve"> </w:t>
      </w:r>
      <w:r>
        <w:t>and households eligible</w:t>
      </w:r>
      <w:r w:rsidRPr="00F77BDD">
        <w:t xml:space="preserve"> </w:t>
      </w:r>
      <w:r w:rsidRPr="008A3CF6">
        <w:t>for program participation</w:t>
      </w:r>
      <w:r>
        <w:t xml:space="preserve"> include residential </w:t>
      </w:r>
      <w:r w:rsidRPr="002D3A66">
        <w:t xml:space="preserve">single-family households, </w:t>
      </w:r>
      <w:r w:rsidRPr="00494671">
        <w:t>multifamily</w:t>
      </w:r>
      <w:r w:rsidRPr="002D3A66">
        <w:t xml:space="preserve"> households, mobile homes, renters, </w:t>
      </w:r>
      <w:r>
        <w:t>and</w:t>
      </w:r>
      <w:r w:rsidRPr="002D3A66">
        <w:t xml:space="preserve"> owners.  </w:t>
      </w:r>
    </w:p>
    <w:p w:rsidR="000C1980" w:rsidP="0023091F" w:rsidRDefault="000C1980" w14:paraId="36FE3E08" w14:textId="77777777">
      <w:pPr>
        <w:pStyle w:val="ALJBodyText"/>
      </w:pPr>
      <w:r>
        <w:t>The ESA program is funded by b</w:t>
      </w:r>
      <w:r w:rsidRPr="00374DD3">
        <w:t>oth participating and non</w:t>
      </w:r>
      <w:r w:rsidRPr="00374DD3">
        <w:noBreakHyphen/>
        <w:t xml:space="preserve">participating ratepayers </w:t>
      </w:r>
      <w:r w:rsidRPr="00C24413">
        <w:t>as part of a statutory public purpose program surcharge that appears on their monthly utility bills</w:t>
      </w:r>
      <w:r>
        <w:t>.</w:t>
      </w:r>
    </w:p>
    <w:p w:rsidR="000C1980" w:rsidP="001968DC" w:rsidRDefault="000C1980" w14:paraId="529E88C7" w14:textId="77777777">
      <w:pPr>
        <w:pStyle w:val="Heading1"/>
        <w:ind w:left="720"/>
      </w:pPr>
      <w:bookmarkStart w:name="_Toc69947739" w:id="31"/>
      <w:bookmarkEnd w:id="30"/>
      <w:r>
        <w:t>History</w:t>
      </w:r>
      <w:bookmarkStart w:name="_Toc45616413" w:id="32"/>
      <w:bookmarkStart w:name="_Hlk42693950" w:id="33"/>
      <w:r>
        <w:t xml:space="preserve"> and Procedural Issues</w:t>
      </w:r>
      <w:bookmarkEnd w:id="31"/>
    </w:p>
    <w:p w:rsidRPr="009E23C1" w:rsidR="000C1980" w:rsidP="001968DC" w:rsidRDefault="000C1980" w14:paraId="26F22C43" w14:textId="254EE46C">
      <w:pPr>
        <w:pStyle w:val="Heading2"/>
        <w:tabs>
          <w:tab w:val="clear" w:pos="720"/>
          <w:tab w:val="num" w:pos="1080"/>
        </w:tabs>
        <w:ind w:left="1728"/>
      </w:pPr>
      <w:bookmarkStart w:name="_Toc69947740" w:id="34"/>
      <w:r>
        <w:t>Commission D</w:t>
      </w:r>
      <w:r w:rsidR="00C73E56">
        <w:t>.</w:t>
      </w:r>
      <w:r>
        <w:t>19-06-022</w:t>
      </w:r>
      <w:bookmarkEnd w:id="32"/>
      <w:bookmarkEnd w:id="34"/>
      <w:r>
        <w:t xml:space="preserve"> </w:t>
      </w:r>
    </w:p>
    <w:p w:rsidRPr="00341463" w:rsidR="000C1980" w:rsidP="00494671" w:rsidRDefault="000C1980" w14:paraId="3398C462" w14:textId="226C70AF">
      <w:pPr>
        <w:pStyle w:val="Standard"/>
      </w:pPr>
      <w:r w:rsidRPr="009E23C1">
        <w:t xml:space="preserve">On </w:t>
      </w:r>
      <w:r w:rsidRPr="00C91043">
        <w:t xml:space="preserve">June 28, 2019, D.19-06-022 </w:t>
      </w:r>
      <w:r w:rsidRPr="00BB4E00">
        <w:t>provide</w:t>
      </w:r>
      <w:r>
        <w:t>d</w:t>
      </w:r>
      <w:r w:rsidRPr="00BB4E00">
        <w:t xml:space="preserve"> guidance to the </w:t>
      </w:r>
      <w:r>
        <w:t xml:space="preserve">utilities </w:t>
      </w:r>
      <w:r w:rsidRPr="00BB4E00">
        <w:t>for their CARE</w:t>
      </w:r>
      <w:r>
        <w:t>, FERA and ESA p</w:t>
      </w:r>
      <w:r w:rsidRPr="00BB4E00">
        <w:t xml:space="preserve">rogram </w:t>
      </w:r>
      <w:r>
        <w:t>ap</w:t>
      </w:r>
      <w:r w:rsidRPr="00BB4E00">
        <w:t xml:space="preserve">plications for post-2020. </w:t>
      </w:r>
      <w:r>
        <w:t xml:space="preserve"> </w:t>
      </w:r>
      <w:r w:rsidR="00B11AAF">
        <w:t xml:space="preserve">The IOUs were directed to present </w:t>
      </w:r>
      <w:r w:rsidRPr="00341463" w:rsidR="00B11AAF">
        <w:t xml:space="preserve">innovative design approaches taking into consideration the current </w:t>
      </w:r>
      <w:r w:rsidR="00B11AAF">
        <w:t xml:space="preserve">environmental, financial and </w:t>
      </w:r>
      <w:r w:rsidRPr="00341463" w:rsidR="00B11AAF">
        <w:t>policy landscape</w:t>
      </w:r>
      <w:r w:rsidR="00B11AAF">
        <w:t>.  In designing the programs, the IOUs were to consider a</w:t>
      </w:r>
      <w:r w:rsidRPr="00341463" w:rsidR="00B11AAF">
        <w:t xml:space="preserve"> number of statewide policies</w:t>
      </w:r>
      <w:r w:rsidR="00B11AAF">
        <w:t xml:space="preserve">, </w:t>
      </w:r>
      <w:r w:rsidRPr="00341463" w:rsidR="00B11AAF">
        <w:t xml:space="preserve">environmental and social justice </w:t>
      </w:r>
      <w:r w:rsidR="00B11AAF">
        <w:t>goals,</w:t>
      </w:r>
      <w:r w:rsidRPr="00341463" w:rsidR="00B11AAF">
        <w:t xml:space="preserve"> </w:t>
      </w:r>
      <w:r w:rsidR="00B11AAF">
        <w:t xml:space="preserve">best practices from other </w:t>
      </w:r>
      <w:r w:rsidRPr="00341463" w:rsidR="00B11AAF">
        <w:t>low</w:t>
      </w:r>
      <w:r w:rsidR="00B11AAF">
        <w:t xml:space="preserve"> </w:t>
      </w:r>
      <w:r w:rsidRPr="00341463" w:rsidR="00B11AAF">
        <w:t>income program models</w:t>
      </w:r>
      <w:r w:rsidR="00B11AAF">
        <w:t xml:space="preserve">, </w:t>
      </w:r>
      <w:r w:rsidRPr="00341463" w:rsidR="00B11AAF">
        <w:t>appropriate opportunities for job training</w:t>
      </w:r>
      <w:r w:rsidR="00B11AAF">
        <w:t>/</w:t>
      </w:r>
      <w:r w:rsidRPr="00341463" w:rsidR="00B11AAF">
        <w:t>creation</w:t>
      </w:r>
      <w:r w:rsidR="00B11AAF">
        <w:t xml:space="preserve"> or employment p</w:t>
      </w:r>
      <w:r w:rsidRPr="00341463" w:rsidR="00B11AAF">
        <w:t xml:space="preserve">athways </w:t>
      </w:r>
      <w:r w:rsidR="00B11AAF">
        <w:t xml:space="preserve">for </w:t>
      </w:r>
      <w:r w:rsidRPr="00341463" w:rsidR="00B11AAF">
        <w:t>members of low income or disadvantaged communities</w:t>
      </w:r>
      <w:r w:rsidR="00B11AAF">
        <w:t xml:space="preserve"> (DACs), the 2016</w:t>
      </w:r>
      <w:r w:rsidRPr="00341463" w:rsidR="00B11AAF">
        <w:t xml:space="preserve"> Low Income Needs Assessment (LINA)</w:t>
      </w:r>
      <w:r w:rsidR="00B11AAF">
        <w:t xml:space="preserve"> findings, as well as t</w:t>
      </w:r>
      <w:r w:rsidRPr="00341463" w:rsidR="00B11AAF">
        <w:t>he 2019 Potential and Goals Study</w:t>
      </w:r>
      <w:r w:rsidR="00B11AAF">
        <w:t xml:space="preserve"> results.</w:t>
      </w:r>
      <w:r w:rsidR="00B11AAF">
        <w:rPr>
          <w:rStyle w:val="FootnoteReference"/>
        </w:rPr>
        <w:footnoteReference w:id="12"/>
      </w:r>
      <w:r w:rsidR="00B11AAF">
        <w:t xml:space="preserve">  The intent was to design programs that focused on </w:t>
      </w:r>
      <w:r w:rsidRPr="00341463" w:rsidR="00B11AAF">
        <w:t>deeper energy savings and innovative program designs</w:t>
      </w:r>
      <w:r w:rsidR="00B11AAF">
        <w:t>, while delivering health, comfort and safety benefits to low income households.</w:t>
      </w:r>
      <w:r w:rsidRPr="00341463" w:rsidR="00B11AAF">
        <w:t xml:space="preserve"> </w:t>
      </w:r>
      <w:r w:rsidR="00970E5A">
        <w:t xml:space="preserve"> </w:t>
      </w:r>
      <w:r w:rsidR="00707090">
        <w:t xml:space="preserve">We </w:t>
      </w:r>
      <w:r w:rsidRPr="00494671" w:rsidR="00707090">
        <w:t>also</w:t>
      </w:r>
      <w:r w:rsidRPr="00C91043">
        <w:t xml:space="preserve"> </w:t>
      </w:r>
      <w:r>
        <w:t xml:space="preserve">directed the IOUs </w:t>
      </w:r>
      <w:r w:rsidRPr="00C91043">
        <w:t>to file applications and budgets for the 2021</w:t>
      </w:r>
      <w:r w:rsidRPr="00C91043">
        <w:noBreakHyphen/>
        <w:t xml:space="preserve">2026 </w:t>
      </w:r>
      <w:r>
        <w:t xml:space="preserve">CARE, FERA and ESA </w:t>
      </w:r>
      <w:r w:rsidRPr="00C91043">
        <w:t>programs no sooner than November 4, 2019</w:t>
      </w:r>
      <w:r>
        <w:t>,</w:t>
      </w:r>
      <w:r w:rsidRPr="00BD0A0E">
        <w:t xml:space="preserve"> </w:t>
      </w:r>
      <w:proofErr w:type="gramStart"/>
      <w:r>
        <w:lastRenderedPageBreak/>
        <w:t>and also</w:t>
      </w:r>
      <w:proofErr w:type="gramEnd"/>
      <w:r>
        <w:t xml:space="preserve"> </w:t>
      </w:r>
      <w:r w:rsidRPr="00BB4E00">
        <w:t>adopt</w:t>
      </w:r>
      <w:r>
        <w:t>ed</w:t>
      </w:r>
      <w:r w:rsidRPr="00BB4E00">
        <w:t xml:space="preserve"> a funding level</w:t>
      </w:r>
      <w:r>
        <w:t xml:space="preserve"> for bridge funding in 2021, </w:t>
      </w:r>
      <w:r w:rsidRPr="00BB4E00">
        <w:t>should funding be required</w:t>
      </w:r>
      <w:r w:rsidRPr="00C91043">
        <w:t>.</w:t>
      </w:r>
      <w:r w:rsidRPr="00C91043">
        <w:rPr>
          <w:vertAlign w:val="superscript"/>
        </w:rPr>
        <w:footnoteReference w:id="13"/>
      </w:r>
      <w:r w:rsidRPr="00C91043">
        <w:t xml:space="preserve">  </w:t>
      </w:r>
      <w:r w:rsidRPr="00341463">
        <w:t xml:space="preserve"> </w:t>
      </w:r>
    </w:p>
    <w:p w:rsidRPr="009E23C1" w:rsidR="000C1980" w:rsidP="001968DC" w:rsidRDefault="000C1980" w14:paraId="06B2A65E" w14:textId="77777777">
      <w:pPr>
        <w:pStyle w:val="Heading2"/>
        <w:tabs>
          <w:tab w:val="clear" w:pos="720"/>
          <w:tab w:val="num" w:pos="1080"/>
        </w:tabs>
        <w:ind w:left="1728"/>
      </w:pPr>
      <w:bookmarkStart w:name="_Toc69947741" w:id="35"/>
      <w:r>
        <w:t>IOU and MCE Applications</w:t>
      </w:r>
      <w:bookmarkEnd w:id="35"/>
    </w:p>
    <w:p w:rsidRPr="001A4C9C" w:rsidR="000C1980" w:rsidP="00494671" w:rsidRDefault="000C1980" w14:paraId="0EA5118F" w14:textId="6E7D3D9C">
      <w:pPr>
        <w:pStyle w:val="Standard"/>
      </w:pPr>
      <w:r w:rsidRPr="001A4C9C">
        <w:t>On November 4, 2019, the IOUs and MCE filed applications for the approval of the CARE, FERA and ESA programs and budgets for program years 2021</w:t>
      </w:r>
      <w:r w:rsidRPr="001A4C9C">
        <w:noBreakHyphen/>
        <w:t>2026.  These applications reflected proposals for new program budgets, delivery models, targets and goals, measures offerings, and marketing, outreach, and enrollment practices, among other program and policy changes.  The IOUs filed these applications in compliance with D.19</w:t>
      </w:r>
      <w:r w:rsidRPr="001A4C9C">
        <w:noBreakHyphen/>
        <w:t>06</w:t>
      </w:r>
      <w:r w:rsidRPr="001A4C9C">
        <w:noBreakHyphen/>
        <w:t>022,</w:t>
      </w:r>
      <w:r w:rsidRPr="001A4C9C">
        <w:rPr>
          <w:rStyle w:val="FootnoteReference"/>
        </w:rPr>
        <w:footnoteReference w:id="14"/>
      </w:r>
      <w:r w:rsidRPr="001A4C9C">
        <w:t xml:space="preserve"> while MCE filed its application in compliance with D.16-11-022 which approved MCE’s multifamily </w:t>
      </w:r>
      <w:proofErr w:type="gramStart"/>
      <w:r w:rsidRPr="001A4C9C">
        <w:t>Low Income</w:t>
      </w:r>
      <w:proofErr w:type="gramEnd"/>
      <w:r w:rsidRPr="001A4C9C">
        <w:t xml:space="preserve"> Families and Tenants (LIFT) pilot and directed MCE to “use the application process if it elects to extend the LIFT pilot on a more permanent basis."</w:t>
      </w:r>
      <w:r w:rsidRPr="001A4C9C">
        <w:rPr>
          <w:rStyle w:val="FootnoteReference"/>
        </w:rPr>
        <w:footnoteReference w:id="15"/>
      </w:r>
      <w:r w:rsidRPr="001A4C9C">
        <w:t xml:space="preserve">  </w:t>
      </w:r>
    </w:p>
    <w:p w:rsidRPr="001A4C9C" w:rsidR="000C1980" w:rsidP="00494671" w:rsidRDefault="000C1980" w14:paraId="6D9F5145" w14:textId="55B1696E">
      <w:pPr>
        <w:pStyle w:val="Standard"/>
      </w:pPr>
      <w:r w:rsidRPr="001A4C9C">
        <w:t>Protests, comments and responses to one or more of the IOUs or MCE applications were received from PG&amp;E, the California Emerging Technology Fund (CETF), the Public Advocates Office at the Commission (Cal</w:t>
      </w:r>
      <w:r>
        <w:t> </w:t>
      </w:r>
      <w:r w:rsidRPr="001A4C9C">
        <w:t>Advocates), the Center for Accessible Technology (</w:t>
      </w:r>
      <w:proofErr w:type="spellStart"/>
      <w:r w:rsidRPr="001A4C9C">
        <w:t>CforAT</w:t>
      </w:r>
      <w:proofErr w:type="spellEnd"/>
      <w:r w:rsidRPr="001A4C9C">
        <w:t xml:space="preserve">), the Energy Efficiency Council (EEC), the California Housing Partnership/National Consumer Law Center/Natural Resources Defense Council (collectively Joint Parties), </w:t>
      </w:r>
      <w:proofErr w:type="spellStart"/>
      <w:r w:rsidRPr="001A4C9C">
        <w:t>Enervee</w:t>
      </w:r>
      <w:proofErr w:type="spellEnd"/>
      <w:r w:rsidRPr="001A4C9C">
        <w:t xml:space="preserve">, </w:t>
      </w:r>
      <w:r w:rsidRPr="001A4C9C">
        <w:rPr>
          <w:shd w:val="clear" w:color="auto" w:fill="FFFFFF" w:themeFill="background1"/>
        </w:rPr>
        <w:t xml:space="preserve">The East Los Angeles Community Union/the Maravilla Foundation/The Association of California Community and Energy Services (collectively TELACU et al.), and </w:t>
      </w:r>
      <w:r w:rsidRPr="001A4C9C">
        <w:t xml:space="preserve">La </w:t>
      </w:r>
      <w:proofErr w:type="spellStart"/>
      <w:r w:rsidRPr="001A4C9C">
        <w:t>Cooperativa</w:t>
      </w:r>
      <w:proofErr w:type="spellEnd"/>
      <w:r w:rsidRPr="001A4C9C">
        <w:t xml:space="preserve"> </w:t>
      </w:r>
      <w:proofErr w:type="spellStart"/>
      <w:r w:rsidRPr="001A4C9C">
        <w:t>Campesina</w:t>
      </w:r>
      <w:proofErr w:type="spellEnd"/>
      <w:r w:rsidRPr="001A4C9C">
        <w:t xml:space="preserve"> de California/</w:t>
      </w:r>
      <w:proofErr w:type="spellStart"/>
      <w:r w:rsidRPr="001A4C9C">
        <w:t>Maroma</w:t>
      </w:r>
      <w:proofErr w:type="spellEnd"/>
      <w:r w:rsidRPr="001A4C9C">
        <w:t xml:space="preserve"> Energy Services INC.,/Proteus Inc. (collectively La</w:t>
      </w:r>
      <w:r>
        <w:t> </w:t>
      </w:r>
      <w:proofErr w:type="spellStart"/>
      <w:r w:rsidRPr="001A4C9C">
        <w:t>Cooperativa</w:t>
      </w:r>
      <w:proofErr w:type="spellEnd"/>
      <w:r w:rsidRPr="001A4C9C">
        <w:t xml:space="preserve"> et al.).</w:t>
      </w:r>
      <w:r w:rsidRPr="001A4C9C">
        <w:rPr>
          <w:vertAlign w:val="superscript"/>
        </w:rPr>
        <w:t xml:space="preserve"> </w:t>
      </w:r>
    </w:p>
    <w:p w:rsidRPr="006A6449" w:rsidR="000C1980" w:rsidP="00494671" w:rsidRDefault="000C1980" w14:paraId="13FDB85C" w14:textId="77777777">
      <w:pPr>
        <w:pStyle w:val="Standard"/>
      </w:pPr>
      <w:r>
        <w:lastRenderedPageBreak/>
        <w:t xml:space="preserve">In response to the protests, </w:t>
      </w:r>
      <w:proofErr w:type="gramStart"/>
      <w:r>
        <w:t>comments</w:t>
      </w:r>
      <w:proofErr w:type="gramEnd"/>
      <w:r>
        <w:t xml:space="preserve"> and responses, </w:t>
      </w:r>
      <w:r w:rsidRPr="00BB2D93">
        <w:t>S</w:t>
      </w:r>
      <w:r>
        <w:t>o</w:t>
      </w:r>
      <w:r w:rsidRPr="00BB2D93">
        <w:t>C</w:t>
      </w:r>
      <w:r>
        <w:t>al</w:t>
      </w:r>
      <w:r w:rsidRPr="00BB2D93">
        <w:t>G</w:t>
      </w:r>
      <w:r>
        <w:t>as</w:t>
      </w:r>
      <w:r w:rsidRPr="00BB2D93">
        <w:t xml:space="preserve"> filed a reply on December 20, 2019, </w:t>
      </w:r>
      <w:r w:rsidRPr="00494671">
        <w:t>and</w:t>
      </w:r>
      <w:r w:rsidRPr="006A6449">
        <w:t xml:space="preserve"> PG&amp;E, SCE, SDG&amp;E and MCE filed replies on December 23, 2019.  </w:t>
      </w:r>
    </w:p>
    <w:p w:rsidRPr="009E23C1" w:rsidR="000C1980" w:rsidP="001968DC" w:rsidRDefault="000C1980" w14:paraId="0796514E" w14:textId="77777777">
      <w:pPr>
        <w:pStyle w:val="Heading2"/>
        <w:tabs>
          <w:tab w:val="clear" w:pos="720"/>
          <w:tab w:val="num" w:pos="1080"/>
        </w:tabs>
        <w:ind w:left="1728"/>
      </w:pPr>
      <w:bookmarkStart w:name="_Toc69947742" w:id="36"/>
      <w:r w:rsidRPr="001A4C9C">
        <w:t>Hearings</w:t>
      </w:r>
      <w:r>
        <w:t>, Rulings and Workshops</w:t>
      </w:r>
      <w:bookmarkEnd w:id="36"/>
    </w:p>
    <w:p w:rsidR="000C1980" w:rsidP="00494671" w:rsidRDefault="000C1980" w14:paraId="2CB9D370" w14:textId="352BB2A1">
      <w:pPr>
        <w:pStyle w:val="Standard"/>
        <w:rPr>
          <w:rFonts w:cs="Palatino"/>
          <w:vertAlign w:val="superscript"/>
        </w:rPr>
      </w:pPr>
      <w:r>
        <w:t>On December 24, 2019,</w:t>
      </w:r>
      <w:r w:rsidR="000305DE">
        <w:t xml:space="preserve"> the</w:t>
      </w:r>
      <w:r>
        <w:t xml:space="preserve"> assigned Administrative Law Judge (ALJ) Ava Tran issued a ruling to consolidate the </w:t>
      </w:r>
      <w:r w:rsidRPr="00712A3C">
        <w:t>above captioned proceedings</w:t>
      </w:r>
      <w:r w:rsidRPr="006B5531">
        <w:rPr>
          <w:rFonts w:cs="Palatino"/>
        </w:rPr>
        <w:t xml:space="preserve"> </w:t>
      </w:r>
      <w:r w:rsidRPr="00B26D2F">
        <w:rPr>
          <w:rFonts w:cs="Palatino"/>
        </w:rPr>
        <w:t>from which this consolidated proceeding follows as A.</w:t>
      </w:r>
      <w:r w:rsidRPr="006B5531">
        <w:rPr>
          <w:rFonts w:cs="Palatino"/>
        </w:rPr>
        <w:t>19-11-003</w:t>
      </w:r>
      <w:r w:rsidRPr="00B26D2F">
        <w:rPr>
          <w:rFonts w:cs="Palatino"/>
        </w:rPr>
        <w:t xml:space="preserve"> et al.</w:t>
      </w:r>
      <w:r>
        <w:rPr>
          <w:rFonts w:cs="Palatino"/>
        </w:rPr>
        <w:t>,</w:t>
      </w:r>
      <w:r w:rsidRPr="00712A3C">
        <w:t xml:space="preserve"> set a date and time for </w:t>
      </w:r>
      <w:r>
        <w:t>the</w:t>
      </w:r>
      <w:r w:rsidRPr="00712A3C">
        <w:t xml:space="preserve"> joint prehearing conference </w:t>
      </w:r>
      <w:r>
        <w:t xml:space="preserve">(PHC) </w:t>
      </w:r>
      <w:r w:rsidRPr="00712A3C">
        <w:t xml:space="preserve">and set a preliminary proceeding scope and schedule </w:t>
      </w:r>
      <w:r>
        <w:t xml:space="preserve">for </w:t>
      </w:r>
      <w:r w:rsidRPr="00712A3C">
        <w:t xml:space="preserve">the </w:t>
      </w:r>
      <w:r>
        <w:t>c</w:t>
      </w:r>
      <w:r w:rsidRPr="00712A3C">
        <w:t xml:space="preserve">onsolidated proceeding.  </w:t>
      </w:r>
      <w:r>
        <w:t xml:space="preserve">Parties were also directed to </w:t>
      </w:r>
      <w:r w:rsidRPr="00D32041">
        <w:t xml:space="preserve">prepare, </w:t>
      </w:r>
      <w:proofErr w:type="gramStart"/>
      <w:r w:rsidRPr="00D32041">
        <w:t>file</w:t>
      </w:r>
      <w:proofErr w:type="gramEnd"/>
      <w:r w:rsidRPr="00D32041">
        <w:t xml:space="preserve"> and serve </w:t>
      </w:r>
      <w:r>
        <w:t>P</w:t>
      </w:r>
      <w:r w:rsidRPr="00D32041">
        <w:t>HC statement</w:t>
      </w:r>
      <w:r>
        <w:t>s</w:t>
      </w:r>
      <w:r w:rsidRPr="00D32041">
        <w:t xml:space="preserve"> </w:t>
      </w:r>
      <w:r>
        <w:t xml:space="preserve">to </w:t>
      </w:r>
      <w:r w:rsidRPr="00D32041">
        <w:t>address the party’s (person’s or entity’s) respective position</w:t>
      </w:r>
      <w:r>
        <w:t xml:space="preserve"> </w:t>
      </w:r>
      <w:r w:rsidRPr="00D32041">
        <w:t xml:space="preserve">on the </w:t>
      </w:r>
      <w:r>
        <w:t xml:space="preserve">preliminary </w:t>
      </w:r>
      <w:r w:rsidRPr="00D32041">
        <w:t xml:space="preserve">scope of issues </w:t>
      </w:r>
      <w:r>
        <w:t xml:space="preserve">and the recommended schedule </w:t>
      </w:r>
      <w:r w:rsidRPr="00D32041">
        <w:t>set</w:t>
      </w:r>
      <w:r>
        <w:t xml:space="preserve"> </w:t>
      </w:r>
      <w:r w:rsidRPr="00D32041">
        <w:t xml:space="preserve">forth in </w:t>
      </w:r>
      <w:r>
        <w:t>the</w:t>
      </w:r>
      <w:r w:rsidRPr="00D32041">
        <w:t xml:space="preserve"> ruling</w:t>
      </w:r>
      <w:r>
        <w:t xml:space="preserve">, as well as any </w:t>
      </w:r>
      <w:r w:rsidRPr="00D32041">
        <w:t>other issues, including pending protests and filings,</w:t>
      </w:r>
      <w:r>
        <w:t xml:space="preserve"> </w:t>
      </w:r>
      <w:r w:rsidRPr="00D32041">
        <w:t xml:space="preserve">relating to the scope and schedule of the </w:t>
      </w:r>
      <w:r>
        <w:t>c</w:t>
      </w:r>
      <w:r w:rsidRPr="00D32041">
        <w:t>onsolidated</w:t>
      </w:r>
      <w:r>
        <w:t xml:space="preserve"> p</w:t>
      </w:r>
      <w:r w:rsidRPr="00D32041">
        <w:t>roceeding.</w:t>
      </w:r>
      <w:r w:rsidRPr="00B26D2F">
        <w:rPr>
          <w:rFonts w:cs="Palatino"/>
          <w:vertAlign w:val="superscript"/>
        </w:rPr>
        <w:footnoteReference w:id="16"/>
      </w:r>
      <w:r>
        <w:rPr>
          <w:rFonts w:cs="Palatino"/>
          <w:vertAlign w:val="superscript"/>
        </w:rPr>
        <w:t xml:space="preserve">  </w:t>
      </w:r>
    </w:p>
    <w:p w:rsidRPr="00F95936" w:rsidR="000C1980" w:rsidP="00494671" w:rsidRDefault="000C1980" w14:paraId="6FF128B5" w14:textId="77777777">
      <w:pPr>
        <w:pStyle w:val="Standard"/>
      </w:pPr>
      <w:r w:rsidRPr="0034508C">
        <w:rPr>
          <w:shd w:val="clear" w:color="auto" w:fill="FFFFFF" w:themeFill="background1"/>
        </w:rPr>
        <w:t xml:space="preserve">On January 8, 2020, PHC statements were received from the </w:t>
      </w:r>
      <w:r>
        <w:rPr>
          <w:shd w:val="clear" w:color="auto" w:fill="FFFFFF" w:themeFill="background1"/>
        </w:rPr>
        <w:t xml:space="preserve">four </w:t>
      </w:r>
      <w:r w:rsidRPr="0034508C">
        <w:rPr>
          <w:shd w:val="clear" w:color="auto" w:fill="FFFFFF" w:themeFill="background1"/>
        </w:rPr>
        <w:t xml:space="preserve">IOUs, </w:t>
      </w:r>
      <w:proofErr w:type="spellStart"/>
      <w:r w:rsidRPr="0034508C">
        <w:rPr>
          <w:shd w:val="clear" w:color="auto" w:fill="FFFFFF" w:themeFill="background1"/>
        </w:rPr>
        <w:t>CforAT</w:t>
      </w:r>
      <w:proofErr w:type="spellEnd"/>
      <w:r w:rsidRPr="0034508C">
        <w:rPr>
          <w:shd w:val="clear" w:color="auto" w:fill="FFFFFF" w:themeFill="background1"/>
        </w:rPr>
        <w:t xml:space="preserve">, EEC, CETF, </w:t>
      </w:r>
      <w:r w:rsidRPr="00494671">
        <w:t>Joint</w:t>
      </w:r>
      <w:r w:rsidRPr="0034508C">
        <w:rPr>
          <w:shd w:val="clear" w:color="auto" w:fill="FFFFFF" w:themeFill="background1"/>
        </w:rPr>
        <w:t xml:space="preserve"> Parties, Cal Advocates, The Utility Reform Network (TURN), </w:t>
      </w:r>
      <w:r>
        <w:rPr>
          <w:shd w:val="clear" w:color="auto" w:fill="FFFFFF" w:themeFill="background1"/>
        </w:rPr>
        <w:t>and TELACU et al</w:t>
      </w:r>
      <w:r w:rsidRPr="0034508C">
        <w:rPr>
          <w:shd w:val="clear" w:color="auto" w:fill="FFFFFF" w:themeFill="background1"/>
        </w:rPr>
        <w:t>.  In</w:t>
      </w:r>
      <w:r w:rsidRPr="00F95936">
        <w:t xml:space="preserve"> their PHC</w:t>
      </w:r>
      <w:r>
        <w:t xml:space="preserve"> </w:t>
      </w:r>
      <w:r w:rsidRPr="00F95936">
        <w:t>statements, parties generally supported the preliminary scope.</w:t>
      </w:r>
    </w:p>
    <w:p w:rsidR="000C1980" w:rsidP="00494671" w:rsidRDefault="000C1980" w14:paraId="11B38A5D" w14:textId="77777777">
      <w:pPr>
        <w:pStyle w:val="Standard"/>
      </w:pPr>
      <w:r>
        <w:t>O</w:t>
      </w:r>
      <w:r w:rsidRPr="00F95936">
        <w:t xml:space="preserve">n January 17, </w:t>
      </w:r>
      <w:r w:rsidRPr="00494671">
        <w:t>2020</w:t>
      </w:r>
      <w:r>
        <w:t xml:space="preserve">, a </w:t>
      </w:r>
      <w:r w:rsidRPr="00F95936">
        <w:t>PHC was held to discuss the issues of law and fact</w:t>
      </w:r>
      <w:r>
        <w:t xml:space="preserve"> </w:t>
      </w:r>
      <w:r w:rsidRPr="00F95936">
        <w:t>and to determine the need for hearings and schedule for the proceeding.</w:t>
      </w:r>
    </w:p>
    <w:p w:rsidRPr="00633055" w:rsidR="000C1980" w:rsidP="00494671" w:rsidRDefault="000C1980" w14:paraId="2FCFC6C3" w14:textId="77777777">
      <w:pPr>
        <w:pStyle w:val="Standard"/>
      </w:pPr>
      <w:r>
        <w:t xml:space="preserve">On February 18, 2020, a scoping memo and ruling was issued </w:t>
      </w:r>
      <w:r w:rsidRPr="00B26D2F">
        <w:t>set</w:t>
      </w:r>
      <w:r>
        <w:t>ting</w:t>
      </w:r>
      <w:r w:rsidRPr="00B26D2F">
        <w:t xml:space="preserve"> forth the </w:t>
      </w:r>
      <w:r>
        <w:t>proceeding scope and sche</w:t>
      </w:r>
      <w:r w:rsidRPr="00B26D2F">
        <w:t>dule, as well as other procedural matters.</w:t>
      </w:r>
      <w:r>
        <w:rPr>
          <w:rStyle w:val="FootnoteReference"/>
          <w:rFonts w:cs="Palatino"/>
        </w:rPr>
        <w:footnoteReference w:id="17"/>
      </w:r>
      <w:r w:rsidRPr="00B26D2F">
        <w:t xml:space="preserve"> </w:t>
      </w:r>
      <w:r>
        <w:t xml:space="preserve"> </w:t>
      </w:r>
    </w:p>
    <w:p w:rsidR="000C1980" w:rsidP="00494671" w:rsidRDefault="000C1980" w14:paraId="5108EA6D" w14:textId="30FF290C">
      <w:pPr>
        <w:pStyle w:val="Standard"/>
      </w:pPr>
      <w:r>
        <w:lastRenderedPageBreak/>
        <w:t xml:space="preserve">On May 11, 2020, the proceeding schedule was revised via an </w:t>
      </w:r>
      <w:r w:rsidR="00176043">
        <w:t xml:space="preserve">assigned </w:t>
      </w:r>
      <w:r>
        <w:t>ALJ email ruling in response</w:t>
      </w:r>
      <w:r w:rsidR="00E9459C">
        <w:t xml:space="preserve"> to</w:t>
      </w:r>
      <w:r>
        <w:t xml:space="preserve"> the Cal Advocates' </w:t>
      </w:r>
      <w:r w:rsidRPr="00485C4D">
        <w:t>request</w:t>
      </w:r>
      <w:r>
        <w:t xml:space="preserve"> for a</w:t>
      </w:r>
      <w:r w:rsidRPr="00485C4D">
        <w:t xml:space="preserve"> status conference to discuss the procedural schedule considering </w:t>
      </w:r>
      <w:r>
        <w:t>the p</w:t>
      </w:r>
      <w:r w:rsidRPr="00485C4D">
        <w:t xml:space="preserve">ostponement of one of the ESA </w:t>
      </w:r>
      <w:r w:rsidRPr="00494671">
        <w:t>workshops</w:t>
      </w:r>
      <w:r w:rsidRPr="00485C4D">
        <w:t xml:space="preserve"> and potential work delays related to COVID</w:t>
      </w:r>
      <w:r w:rsidR="00494671">
        <w:noBreakHyphen/>
      </w:r>
      <w:r w:rsidRPr="00485C4D">
        <w:t>19.</w:t>
      </w:r>
      <w:r>
        <w:rPr>
          <w:rStyle w:val="FootnoteReference"/>
          <w:rFonts w:cs="Palatino"/>
        </w:rPr>
        <w:footnoteReference w:id="18"/>
      </w:r>
      <w:r>
        <w:t xml:space="preserve">  </w:t>
      </w:r>
    </w:p>
    <w:p w:rsidRPr="00494671" w:rsidR="000C1980" w:rsidP="00494671" w:rsidRDefault="000C1980" w14:paraId="5E162B4B" w14:textId="77777777">
      <w:pPr>
        <w:pStyle w:val="Standard"/>
      </w:pPr>
      <w:r w:rsidRPr="00494671">
        <w:t xml:space="preserve">On May 22, 2020, the Commission held an all-party meeting to discuss CARE and the education and outreach being conducted during the COVID-19 pandemic.  As a result, an assigned commissioner ruling was issued on June 15, 2020, urging the IOUs and all Class A and B water utilities with </w:t>
      </w:r>
      <w:proofErr w:type="gramStart"/>
      <w:r w:rsidRPr="00494671">
        <w:t>low income</w:t>
      </w:r>
      <w:proofErr w:type="gramEnd"/>
      <w:r w:rsidRPr="00494671">
        <w:t xml:space="preserve"> assistance programs to share low income customer information, and directed the IOUs to address additional CARE outreach related questions in their testimony. </w:t>
      </w:r>
    </w:p>
    <w:p w:rsidRPr="00494671" w:rsidR="000C1980" w:rsidP="00494671" w:rsidRDefault="000C1980" w14:paraId="1387B1F8" w14:textId="100C328A">
      <w:pPr>
        <w:pStyle w:val="Standard"/>
      </w:pPr>
      <w:r w:rsidRPr="00494671">
        <w:t xml:space="preserve">On March 23, April 1, April 22, May 20-21 and June 3, 2020, Energy Division </w:t>
      </w:r>
      <w:r w:rsidRPr="00494671" w:rsidR="00303A03">
        <w:t>s</w:t>
      </w:r>
      <w:r w:rsidRPr="00494671">
        <w:t xml:space="preserve">taff held a series of webinars and workshops to address specific elements of the IOU and MCE applications. </w:t>
      </w:r>
    </w:p>
    <w:p w:rsidRPr="00494671" w:rsidR="000C1980" w:rsidP="00494671" w:rsidRDefault="000C1980" w14:paraId="57C322C7" w14:textId="77777777">
      <w:pPr>
        <w:pStyle w:val="Standard"/>
        <w:rPr>
          <w:highlight w:val="yellow"/>
        </w:rPr>
      </w:pPr>
      <w:bookmarkStart w:name="_Hlk53078117" w:id="38"/>
      <w:r w:rsidRPr="00494671">
        <w:t xml:space="preserve">On June 25, 2020, the assigned ALJ issued a ruling to obtain further clarification and information regarding aspects of the IOU and MCE applications.  The ruling also contained the Energy Division staff’s proposed ESA program redesign (Staff Proposal).  </w:t>
      </w:r>
    </w:p>
    <w:bookmarkEnd w:id="38"/>
    <w:p w:rsidRPr="00494671" w:rsidR="000C1980" w:rsidP="00494671" w:rsidRDefault="000C1980" w14:paraId="741A0228" w14:textId="77777777">
      <w:pPr>
        <w:pStyle w:val="Standard"/>
      </w:pPr>
      <w:r w:rsidRPr="00494671">
        <w:t xml:space="preserve">On August 13, 2020, the IOUs, MCE, EEC, </w:t>
      </w:r>
      <w:proofErr w:type="spellStart"/>
      <w:r w:rsidRPr="00494671">
        <w:t>Enervee</w:t>
      </w:r>
      <w:proofErr w:type="spellEnd"/>
      <w:r w:rsidRPr="00494671">
        <w:t xml:space="preserve">, The Protect Our Communities Foundation (PCF), and TELACU et al., filed a joint motion seeking a status conference to discuss: (1) the possibility of remote evidentiary hearings, (2) the Energy Division Staff Proposal; and (3) impacts of the COVID-19 pandemic. </w:t>
      </w:r>
    </w:p>
    <w:p w:rsidRPr="00494671" w:rsidR="000C1980" w:rsidP="00494671" w:rsidRDefault="000C1980" w14:paraId="24D1BEE1" w14:textId="44EF9598">
      <w:pPr>
        <w:pStyle w:val="Standard"/>
      </w:pPr>
      <w:r w:rsidRPr="00494671">
        <w:lastRenderedPageBreak/>
        <w:t>On August 18, 2020, Cal Advocates requested a one-week extension to file intervenor and rebuttal testimony</w:t>
      </w:r>
      <w:r w:rsidRPr="00494671" w:rsidR="00AA76C0">
        <w:t xml:space="preserve"> to</w:t>
      </w:r>
      <w:r w:rsidRPr="00494671">
        <w:t xml:space="preserve"> allow time to respond to recent amendments to the testimony of PG&amp;E and SCE.  </w:t>
      </w:r>
    </w:p>
    <w:p w:rsidRPr="00494671" w:rsidR="000C1980" w:rsidP="00494671" w:rsidRDefault="000C1980" w14:paraId="1D948B71" w14:textId="20D6B251">
      <w:pPr>
        <w:pStyle w:val="Standard"/>
      </w:pPr>
      <w:r w:rsidRPr="00494671">
        <w:t xml:space="preserve">On August 19, 2020, the assigned ALJ issued a ruling denying the August 13, </w:t>
      </w:r>
      <w:proofErr w:type="gramStart"/>
      <w:r w:rsidRPr="00494671">
        <w:t>2020</w:t>
      </w:r>
      <w:proofErr w:type="gramEnd"/>
      <w:r w:rsidRPr="00494671">
        <w:t xml:space="preserve"> request for a status conference, and instead provided guidance to the parties and directed parties to comment on the issues impacting the proceeding schedule.  Comments to the August 19, </w:t>
      </w:r>
      <w:proofErr w:type="gramStart"/>
      <w:r w:rsidRPr="00494671">
        <w:t>2020</w:t>
      </w:r>
      <w:proofErr w:type="gramEnd"/>
      <w:r w:rsidRPr="00494671">
        <w:t xml:space="preserve"> ruling were received from the IOUs, MCE, Cal Advocates, TURN, PCF, CETF, EEC, and </w:t>
      </w:r>
      <w:r w:rsidRPr="00494671" w:rsidR="00863902">
        <w:t xml:space="preserve">the </w:t>
      </w:r>
      <w:r w:rsidRPr="00494671">
        <w:t>Joint Parties.  In response, the proceeding schedule was further revised via an ALJ email ruling on August 26, 2020.</w:t>
      </w:r>
      <w:r w:rsidRPr="00494671">
        <w:rPr>
          <w:rStyle w:val="FootnoteReference"/>
          <w:vertAlign w:val="baseline"/>
        </w:rPr>
        <w:footnoteReference w:id="19"/>
      </w:r>
    </w:p>
    <w:p w:rsidRPr="00494671" w:rsidR="000C1980" w:rsidP="00494671" w:rsidRDefault="000C1980" w14:paraId="66B62F63" w14:textId="121BDC14">
      <w:pPr>
        <w:pStyle w:val="Standard"/>
      </w:pPr>
      <w:r w:rsidRPr="00494671">
        <w:t xml:space="preserve">On October 12, 2020, PCF filed a motion to request evidentiary hearings to 1) consider implementing whole house solar plus battery storage upgrades as proposed by PCF, 2) ascertain the extent to which the utilities are misapplying </w:t>
      </w:r>
      <w:r w:rsidRPr="00494671" w:rsidR="00EB0CA9">
        <w:t xml:space="preserve">the </w:t>
      </w:r>
      <w:r w:rsidRPr="00494671" w:rsidR="007C2D8D">
        <w:t>Energy Savings Assistance Program Cost Effectiveness Test (</w:t>
      </w:r>
      <w:r w:rsidRPr="00494671">
        <w:t>ESACET</w:t>
      </w:r>
      <w:r w:rsidRPr="00494671" w:rsidR="007C2D8D">
        <w:t>)</w:t>
      </w:r>
      <w:r w:rsidRPr="00494671">
        <w:t>, 3) consider adopting the Staff Proposal as an alternative to the utilities’ applications, 4) discuss whether certain ESA program elements or pilots should be designed and implemented by a third party, and how that solicitation process should be structured, 5) consider directing CARE and ESA Funds to Whole House Solar Plus Battery Storage Upgrades, and 6) address disputes regarding barriers to CARE enrollment.  Also, on October 12, 2020, the IOUs filed a joint statement indicating that no material issues of fact in dispute have been identified and submitted that evidentiary hearings would be</w:t>
      </w:r>
      <w:r w:rsidRPr="00494671" w:rsidR="00D150A9">
        <w:t xml:space="preserve"> </w:t>
      </w:r>
      <w:r w:rsidRPr="00494671">
        <w:t>unnecessary.</w:t>
      </w:r>
      <w:r w:rsidRPr="00494671" w:rsidR="00D150A9">
        <w:t xml:space="preserve"> </w:t>
      </w:r>
      <w:r w:rsidRPr="00494671">
        <w:t xml:space="preserve">TURN also issued a statement to the service list stating that it did not intend to move for </w:t>
      </w:r>
      <w:r w:rsidRPr="00494671">
        <w:lastRenderedPageBreak/>
        <w:t xml:space="preserve">evidentiary hearings. No other parties to this proceeding filed a motion for evidentiary hearings. </w:t>
      </w:r>
    </w:p>
    <w:p w:rsidRPr="00494671" w:rsidR="000C1980" w:rsidP="00494671" w:rsidRDefault="000C1980" w14:paraId="7644D1C9" w14:textId="77777777">
      <w:pPr>
        <w:pStyle w:val="Standard"/>
      </w:pPr>
      <w:r w:rsidRPr="00494671">
        <w:t>On October 14, 2020, the IOUs filed a joint response</w:t>
      </w:r>
      <w:r w:rsidRPr="00494671">
        <w:rPr>
          <w:rStyle w:val="FootnoteReference"/>
          <w:vertAlign w:val="baseline"/>
        </w:rPr>
        <w:footnoteReference w:id="20"/>
      </w:r>
      <w:r w:rsidRPr="00494671">
        <w:t xml:space="preserve"> to PCF’s motion stating that PCF failed to identify a single material fact in dispute that needed to be resolved via evidentiary hearings, and instead only presented legal and policy arguments.  The Commission agreed, and on October 15, 2020, PCF’s motion for evidentiary hearings was denied.</w:t>
      </w:r>
      <w:r w:rsidRPr="00494671">
        <w:rPr>
          <w:rStyle w:val="FootnoteReference"/>
          <w:vertAlign w:val="baseline"/>
        </w:rPr>
        <w:footnoteReference w:id="21"/>
      </w:r>
    </w:p>
    <w:p w:rsidRPr="009E23C1" w:rsidR="000C1980" w:rsidP="001968DC" w:rsidRDefault="000C1980" w14:paraId="493110A4" w14:textId="77777777">
      <w:pPr>
        <w:pStyle w:val="Heading2"/>
        <w:tabs>
          <w:tab w:val="clear" w:pos="720"/>
          <w:tab w:val="num" w:pos="1080"/>
        </w:tabs>
        <w:ind w:left="1728"/>
      </w:pPr>
      <w:bookmarkStart w:name="_Toc69947743" w:id="39"/>
      <w:r>
        <w:t>Testimony and Briefs</w:t>
      </w:r>
      <w:bookmarkEnd w:id="39"/>
      <w:r>
        <w:t xml:space="preserve"> </w:t>
      </w:r>
    </w:p>
    <w:p w:rsidRPr="00B655C0" w:rsidR="000C1980" w:rsidP="00494671" w:rsidRDefault="000C1980" w14:paraId="7A5850E5" w14:textId="77777777">
      <w:pPr>
        <w:pStyle w:val="Standard"/>
      </w:pPr>
      <w:r w:rsidRPr="00121F2D">
        <w:t xml:space="preserve">On </w:t>
      </w:r>
      <w:r>
        <w:t>October 26, 2020, parties filed a joint motion to offer testimony and exhibits into the evidentiary record.  T</w:t>
      </w:r>
      <w:r w:rsidRPr="00121F2D">
        <w:t xml:space="preserve">estimony was served by the </w:t>
      </w:r>
      <w:r>
        <w:t xml:space="preserve">four </w:t>
      </w:r>
      <w:r w:rsidRPr="00121F2D">
        <w:t xml:space="preserve">IOUs, </w:t>
      </w:r>
      <w:r>
        <w:t xml:space="preserve">MCE, </w:t>
      </w:r>
      <w:r w:rsidRPr="00121F2D">
        <w:t xml:space="preserve">Joint Parties, Cal </w:t>
      </w:r>
      <w:r w:rsidRPr="00494671">
        <w:t>Advocates</w:t>
      </w:r>
      <w:r w:rsidRPr="00121F2D">
        <w:t xml:space="preserve">, CETF, </w:t>
      </w:r>
      <w:proofErr w:type="spellStart"/>
      <w:r w:rsidRPr="00121F2D">
        <w:t>Enervee</w:t>
      </w:r>
      <w:proofErr w:type="spellEnd"/>
      <w:r w:rsidRPr="00121F2D">
        <w:t xml:space="preserve">, EEC, TELACU et al., Free Energy Savings Company, TURN, PCF, </w:t>
      </w:r>
      <w:r>
        <w:t xml:space="preserve">and </w:t>
      </w:r>
      <w:r w:rsidRPr="00121F2D">
        <w:t xml:space="preserve">La </w:t>
      </w:r>
      <w:proofErr w:type="spellStart"/>
      <w:r w:rsidRPr="00121F2D">
        <w:t>Cooperativa</w:t>
      </w:r>
      <w:proofErr w:type="spellEnd"/>
      <w:r w:rsidRPr="00121F2D">
        <w:t xml:space="preserve"> et al. </w:t>
      </w:r>
      <w:r>
        <w:t xml:space="preserve"> R</w:t>
      </w:r>
      <w:r w:rsidRPr="002D5BB0">
        <w:t>ebuttal testimony was</w:t>
      </w:r>
      <w:r>
        <w:t xml:space="preserve"> also</w:t>
      </w:r>
      <w:r w:rsidRPr="002D5BB0">
        <w:t xml:space="preserve"> served by </w:t>
      </w:r>
      <w:r>
        <w:t xml:space="preserve">the four </w:t>
      </w:r>
      <w:r w:rsidRPr="009225FE">
        <w:t xml:space="preserve">IOUs, MCE, </w:t>
      </w:r>
      <w:proofErr w:type="spellStart"/>
      <w:r>
        <w:t>E</w:t>
      </w:r>
      <w:r w:rsidRPr="009225FE">
        <w:t>nervee</w:t>
      </w:r>
      <w:proofErr w:type="spellEnd"/>
      <w:r w:rsidRPr="009225FE">
        <w:t>, TURN, Joint Parties, EEC, and Cal Advocates.</w:t>
      </w:r>
      <w:r>
        <w:t xml:space="preserve"> </w:t>
      </w:r>
    </w:p>
    <w:p w:rsidRPr="000A21D0" w:rsidR="000C1980" w:rsidP="00494671" w:rsidRDefault="000C1980" w14:paraId="292461EC" w14:textId="391D9C54">
      <w:pPr>
        <w:pStyle w:val="Standard"/>
      </w:pPr>
      <w:r>
        <w:t>Also, o</w:t>
      </w:r>
      <w:r w:rsidRPr="00121F2D">
        <w:t xml:space="preserve">n </w:t>
      </w:r>
      <w:r>
        <w:t xml:space="preserve">October 26, 2020, </w:t>
      </w:r>
      <w:r w:rsidRPr="00B92D91">
        <w:t>PG&amp;E</w:t>
      </w:r>
      <w:r>
        <w:t xml:space="preserve"> and</w:t>
      </w:r>
      <w:r w:rsidRPr="00A93566">
        <w:t xml:space="preserve"> SDG&amp;E </w:t>
      </w:r>
      <w:r w:rsidRPr="00B92D91">
        <w:t xml:space="preserve">filed </w:t>
      </w:r>
      <w:r>
        <w:t xml:space="preserve">separate </w:t>
      </w:r>
      <w:r w:rsidRPr="00B92D91">
        <w:t xml:space="preserve">motions </w:t>
      </w:r>
      <w:r w:rsidRPr="00A93566">
        <w:t>to seal portions of the evidentiary record</w:t>
      </w:r>
      <w:r>
        <w:t>.</w:t>
      </w:r>
      <w:r>
        <w:rPr>
          <w:rStyle w:val="FootnoteReference"/>
          <w:rFonts w:cs="Palatino"/>
        </w:rPr>
        <w:footnoteReference w:id="22"/>
      </w:r>
      <w:r w:rsidRPr="00A93566">
        <w:t xml:space="preserve"> </w:t>
      </w:r>
      <w:r>
        <w:t xml:space="preserve"> PG&amp;E stated that </w:t>
      </w:r>
      <w:r w:rsidRPr="00A93566">
        <w:t>information</w:t>
      </w:r>
      <w:r w:rsidRPr="00B92D91">
        <w:t xml:space="preserve"> </w:t>
      </w:r>
      <w:r>
        <w:t xml:space="preserve">it sought to protect either </w:t>
      </w:r>
      <w:r w:rsidRPr="00A93566">
        <w:t>pertain</w:t>
      </w:r>
      <w:r>
        <w:t>ed</w:t>
      </w:r>
      <w:r w:rsidRPr="00A93566">
        <w:t xml:space="preserve"> to customer specific data which may</w:t>
      </w:r>
      <w:r>
        <w:t xml:space="preserve"> have</w:t>
      </w:r>
      <w:r w:rsidRPr="00A93566">
        <w:t xml:space="preserve"> include</w:t>
      </w:r>
      <w:r>
        <w:t>d</w:t>
      </w:r>
      <w:r w:rsidRPr="00A93566">
        <w:t xml:space="preserve"> demand, loads, names, addresses, and billing data, and/or</w:t>
      </w:r>
      <w:r>
        <w:t xml:space="preserve"> was</w:t>
      </w:r>
      <w:r w:rsidRPr="00A93566">
        <w:t xml:space="preserve"> proprietary and trade secret information</w:t>
      </w:r>
      <w:r>
        <w:t xml:space="preserve">, </w:t>
      </w:r>
      <w:r w:rsidRPr="00A93566">
        <w:t>or other intellectual property and protected market sensitive/competitive data.  SDG&amp;E state</w:t>
      </w:r>
      <w:r>
        <w:t>d</w:t>
      </w:r>
      <w:r w:rsidRPr="00A93566">
        <w:t xml:space="preserve"> that the information</w:t>
      </w:r>
      <w:r>
        <w:t xml:space="preserve"> it</w:t>
      </w:r>
      <w:r w:rsidRPr="00A93566">
        <w:t xml:space="preserve"> </w:t>
      </w:r>
      <w:r>
        <w:t>sought</w:t>
      </w:r>
      <w:r w:rsidRPr="00A93566">
        <w:t xml:space="preserve"> to protect contain</w:t>
      </w:r>
      <w:r>
        <w:t>ed</w:t>
      </w:r>
      <w:r w:rsidRPr="00A93566">
        <w:t xml:space="preserve"> confidential </w:t>
      </w:r>
      <w:r w:rsidRPr="00DF3BC3">
        <w:t xml:space="preserve">contractor and incentive data protected from disclosure under General Order 66-D. </w:t>
      </w:r>
      <w:r w:rsidRPr="00B92D91">
        <w:t xml:space="preserve"> No party commented on </w:t>
      </w:r>
      <w:r w:rsidRPr="00DF3BC3">
        <w:t>the</w:t>
      </w:r>
      <w:r w:rsidRPr="00B92D91">
        <w:t xml:space="preserve"> requests.</w:t>
      </w:r>
      <w:r w:rsidRPr="00DF3BC3">
        <w:t xml:space="preserve"> </w:t>
      </w:r>
      <w:r>
        <w:t xml:space="preserve"> </w:t>
      </w:r>
      <w:r w:rsidRPr="00B92D91">
        <w:t xml:space="preserve">We </w:t>
      </w:r>
      <w:r w:rsidR="001E07AD">
        <w:lastRenderedPageBreak/>
        <w:t>grant</w:t>
      </w:r>
      <w:r w:rsidRPr="00DF3BC3">
        <w:t xml:space="preserve"> </w:t>
      </w:r>
      <w:r w:rsidRPr="00B92D91">
        <w:t xml:space="preserve">PG&amp;E </w:t>
      </w:r>
      <w:r w:rsidRPr="00DF3BC3">
        <w:t xml:space="preserve">and SDG&amp;E’s </w:t>
      </w:r>
      <w:r w:rsidRPr="00B92D91">
        <w:t xml:space="preserve">requests to treat </w:t>
      </w:r>
      <w:r w:rsidRPr="00DF3BC3">
        <w:t xml:space="preserve">portions of the </w:t>
      </w:r>
      <w:r w:rsidRPr="00494671">
        <w:t>evidentiary</w:t>
      </w:r>
      <w:r w:rsidRPr="00DF3BC3">
        <w:t xml:space="preserve"> record </w:t>
      </w:r>
      <w:r w:rsidRPr="00B92D91">
        <w:t>as confidential</w:t>
      </w:r>
      <w:r w:rsidRPr="000A21D0">
        <w:t>.</w:t>
      </w:r>
    </w:p>
    <w:p w:rsidRPr="000A21D0" w:rsidR="000C1980" w:rsidP="00494671" w:rsidRDefault="000C1980" w14:paraId="73CD509B" w14:textId="77777777">
      <w:pPr>
        <w:pStyle w:val="Standard"/>
      </w:pPr>
      <w:r w:rsidRPr="000A21D0">
        <w:t xml:space="preserve">We also grant the parties’ joint motion to </w:t>
      </w:r>
      <w:r w:rsidRPr="00494671">
        <w:t>offer</w:t>
      </w:r>
      <w:r w:rsidRPr="000A21D0">
        <w:t xml:space="preserve"> testimony and exhibits into the evidentiary record consisting of the following documents in Attachment </w:t>
      </w:r>
      <w:r>
        <w:t xml:space="preserve">7. </w:t>
      </w:r>
      <w:r w:rsidRPr="000A21D0">
        <w:t xml:space="preserve">Furthermore, we grant the requests to treat </w:t>
      </w:r>
      <w:r>
        <w:t xml:space="preserve">certain </w:t>
      </w:r>
      <w:r w:rsidRPr="000A21D0">
        <w:t>exhibits as confidential</w:t>
      </w:r>
      <w:r>
        <w:t xml:space="preserve"> as noted consistent with the treatment discussed above</w:t>
      </w:r>
      <w:r w:rsidRPr="000A21D0">
        <w:t xml:space="preserve">. </w:t>
      </w:r>
    </w:p>
    <w:p w:rsidRPr="000A21D0" w:rsidR="000C1980" w:rsidP="00494671" w:rsidRDefault="000C1980" w14:paraId="269A3B27" w14:textId="77777777">
      <w:pPr>
        <w:pStyle w:val="Standard"/>
      </w:pPr>
      <w:r w:rsidRPr="000A21D0">
        <w:t xml:space="preserve">On November 20, 2020, opening briefs were filed and served by </w:t>
      </w:r>
      <w:r>
        <w:t xml:space="preserve">the four IOUs, </w:t>
      </w:r>
      <w:r w:rsidRPr="00202DF3">
        <w:t xml:space="preserve">MCE, TURN, Cal Advocates, PCF, </w:t>
      </w:r>
      <w:proofErr w:type="spellStart"/>
      <w:r w:rsidRPr="00202DF3">
        <w:t>Enervee</w:t>
      </w:r>
      <w:proofErr w:type="spellEnd"/>
      <w:r w:rsidRPr="00202DF3">
        <w:t xml:space="preserve">, Joint Parties, EEC and TELACU et al., and reply briefs were filed and served on December 18, </w:t>
      </w:r>
      <w:proofErr w:type="gramStart"/>
      <w:r w:rsidRPr="00202DF3">
        <w:t>2020</w:t>
      </w:r>
      <w:proofErr w:type="gramEnd"/>
      <w:r w:rsidRPr="00202DF3">
        <w:t xml:space="preserve"> by </w:t>
      </w:r>
      <w:r>
        <w:t xml:space="preserve">the four </w:t>
      </w:r>
      <w:r w:rsidRPr="00202DF3">
        <w:t xml:space="preserve">IOUs, MCE, TURN, Cal Advocates, CETF, PCF, </w:t>
      </w:r>
      <w:proofErr w:type="spellStart"/>
      <w:r w:rsidRPr="00202DF3">
        <w:t>Enervee</w:t>
      </w:r>
      <w:proofErr w:type="spellEnd"/>
      <w:r w:rsidRPr="00202DF3">
        <w:t>, Joint Parties, EEC and TELACU et al.</w:t>
      </w:r>
      <w:r w:rsidRPr="000A21D0">
        <w:t xml:space="preserve">  </w:t>
      </w:r>
    </w:p>
    <w:p w:rsidRPr="00A67B13" w:rsidR="000C1980" w:rsidP="001968DC" w:rsidRDefault="000C1980" w14:paraId="05DC0FED" w14:textId="480C01E6">
      <w:pPr>
        <w:pStyle w:val="Heading1"/>
        <w:ind w:left="720"/>
      </w:pPr>
      <w:bookmarkStart w:name="_Toc69947744" w:id="40"/>
      <w:bookmarkStart w:name="_Toc45616419" w:id="41"/>
      <w:bookmarkEnd w:id="33"/>
      <w:r w:rsidRPr="00A67B13">
        <w:t>Issues and Scope</w:t>
      </w:r>
      <w:bookmarkEnd w:id="40"/>
      <w:r w:rsidRPr="00A67B13">
        <w:t xml:space="preserve"> </w:t>
      </w:r>
      <w:bookmarkEnd w:id="41"/>
    </w:p>
    <w:p w:rsidRPr="009119D6" w:rsidR="000C1980" w:rsidP="00494671" w:rsidRDefault="000C1980" w14:paraId="665BB8E2" w14:textId="77777777">
      <w:pPr>
        <w:pStyle w:val="Standard"/>
      </w:pPr>
      <w:r w:rsidRPr="00B26D2F">
        <w:t xml:space="preserve">The Scoping Memo identified </w:t>
      </w:r>
      <w:r>
        <w:t>the following</w:t>
      </w:r>
      <w:r w:rsidRPr="00B26D2F">
        <w:t xml:space="preserve"> issues</w:t>
      </w:r>
      <w:r>
        <w:t xml:space="preserve"> </w:t>
      </w:r>
      <w:r w:rsidRPr="009119D6">
        <w:t>to be resolved:</w:t>
      </w:r>
      <w:r>
        <w:rPr>
          <w:rStyle w:val="FootnoteReference"/>
        </w:rPr>
        <w:footnoteReference w:id="23"/>
      </w:r>
    </w:p>
    <w:p w:rsidRPr="001A4C9C" w:rsidR="000C1980" w:rsidP="00494671" w:rsidRDefault="000C1980" w14:paraId="67D0A25F" w14:textId="77777777">
      <w:pPr>
        <w:pStyle w:val="ListAlpha"/>
        <w:numPr>
          <w:ilvl w:val="0"/>
          <w:numId w:val="19"/>
        </w:numPr>
        <w:ind w:left="1080" w:right="1440"/>
      </w:pPr>
      <w:r w:rsidRPr="001A4C9C">
        <w:t xml:space="preserve">Whether the proposed CARE program budgets are reasonable and should be </w:t>
      </w:r>
      <w:proofErr w:type="gramStart"/>
      <w:r w:rsidRPr="001A4C9C">
        <w:t>established;</w:t>
      </w:r>
      <w:proofErr w:type="gramEnd"/>
    </w:p>
    <w:p w:rsidRPr="001A4C9C" w:rsidR="000C1980" w:rsidP="00494671" w:rsidRDefault="000C1980" w14:paraId="49F20268" w14:textId="77777777">
      <w:pPr>
        <w:pStyle w:val="ListAlpha"/>
        <w:numPr>
          <w:ilvl w:val="0"/>
          <w:numId w:val="19"/>
        </w:numPr>
        <w:ind w:left="1080" w:right="1440"/>
      </w:pPr>
      <w:r w:rsidRPr="001A4C9C">
        <w:t xml:space="preserve">Whether the proposed CARE program goals are reasonable and should be </w:t>
      </w:r>
      <w:proofErr w:type="gramStart"/>
      <w:r w:rsidRPr="001A4C9C">
        <w:t>established;</w:t>
      </w:r>
      <w:proofErr w:type="gramEnd"/>
      <w:r w:rsidRPr="001A4C9C">
        <w:t xml:space="preserve">  </w:t>
      </w:r>
    </w:p>
    <w:p w:rsidRPr="001A4C9C" w:rsidR="000C1980" w:rsidP="00494671" w:rsidRDefault="000C1980" w14:paraId="64533F33" w14:textId="77777777">
      <w:pPr>
        <w:pStyle w:val="ListAlpha"/>
        <w:numPr>
          <w:ilvl w:val="0"/>
          <w:numId w:val="19"/>
        </w:numPr>
        <w:ind w:left="1080" w:right="1440"/>
      </w:pPr>
      <w:r w:rsidRPr="001A4C9C">
        <w:t xml:space="preserve">Whether the proposed CARE program design (including, but not limited to, eligibility, enrollment, recertification, verification, capitation fees, reporting, marketing, education and outreach) is reasonable and should be </w:t>
      </w:r>
      <w:proofErr w:type="gramStart"/>
      <w:r w:rsidRPr="001A4C9C">
        <w:t>established;</w:t>
      </w:r>
      <w:proofErr w:type="gramEnd"/>
    </w:p>
    <w:p w:rsidRPr="001A4C9C" w:rsidR="000C1980" w:rsidP="00494671" w:rsidRDefault="000C1980" w14:paraId="68AC6530" w14:textId="77777777">
      <w:pPr>
        <w:pStyle w:val="ListAlpha"/>
        <w:numPr>
          <w:ilvl w:val="0"/>
          <w:numId w:val="19"/>
        </w:numPr>
        <w:ind w:left="1080" w:right="1440"/>
      </w:pPr>
      <w:r w:rsidRPr="001A4C9C">
        <w:t xml:space="preserve">Whether the annual CARE eligibility filing should be changed from December 31 to February 12 each </w:t>
      </w:r>
      <w:proofErr w:type="gramStart"/>
      <w:r w:rsidRPr="001A4C9C">
        <w:t>year;</w:t>
      </w:r>
      <w:proofErr w:type="gramEnd"/>
    </w:p>
    <w:p w:rsidRPr="001A4C9C" w:rsidR="000C1980" w:rsidP="00494671" w:rsidRDefault="000C1980" w14:paraId="38B2BE3A" w14:textId="77777777">
      <w:pPr>
        <w:pStyle w:val="ListAlpha"/>
        <w:numPr>
          <w:ilvl w:val="0"/>
          <w:numId w:val="19"/>
        </w:numPr>
        <w:ind w:left="1080" w:right="1440"/>
      </w:pPr>
      <w:r w:rsidRPr="001A4C9C">
        <w:t xml:space="preserve">Whether the Community Help and Awareness of Natural Gas and Electric Services (CHANGES) program should continue to be funded from the CARE balancing account or </w:t>
      </w:r>
      <w:r w:rsidRPr="001A4C9C">
        <w:lastRenderedPageBreak/>
        <w:t xml:space="preserve">from another funding source as well as the appropriate funding </w:t>
      </w:r>
      <w:proofErr w:type="gramStart"/>
      <w:r w:rsidRPr="001A4C9C">
        <w:t>levels;</w:t>
      </w:r>
      <w:proofErr w:type="gramEnd"/>
    </w:p>
    <w:p w:rsidRPr="001A4C9C" w:rsidR="000C1980" w:rsidP="00494671" w:rsidRDefault="000C1980" w14:paraId="3C387E1A" w14:textId="77777777">
      <w:pPr>
        <w:pStyle w:val="ListAlpha"/>
        <w:numPr>
          <w:ilvl w:val="0"/>
          <w:numId w:val="19"/>
        </w:numPr>
        <w:ind w:left="1080" w:right="1440"/>
      </w:pPr>
      <w:r w:rsidRPr="001A4C9C">
        <w:t xml:space="preserve">Whether the proposed FERA program budgets are reasonable and should be </w:t>
      </w:r>
      <w:proofErr w:type="gramStart"/>
      <w:r w:rsidRPr="001A4C9C">
        <w:t>established;</w:t>
      </w:r>
      <w:proofErr w:type="gramEnd"/>
    </w:p>
    <w:p w:rsidRPr="001A4C9C" w:rsidR="000C1980" w:rsidP="00494671" w:rsidRDefault="000C1980" w14:paraId="5E4A8CC7" w14:textId="77777777">
      <w:pPr>
        <w:pStyle w:val="ListAlpha"/>
        <w:numPr>
          <w:ilvl w:val="0"/>
          <w:numId w:val="19"/>
        </w:numPr>
        <w:ind w:left="1080" w:right="1440"/>
      </w:pPr>
      <w:r w:rsidRPr="001A4C9C">
        <w:t xml:space="preserve">Whether the proposed FERA program goals are reasonable and should be </w:t>
      </w:r>
      <w:proofErr w:type="gramStart"/>
      <w:r w:rsidRPr="001A4C9C">
        <w:t>established;</w:t>
      </w:r>
      <w:proofErr w:type="gramEnd"/>
      <w:r w:rsidRPr="001A4C9C">
        <w:t xml:space="preserve">  </w:t>
      </w:r>
    </w:p>
    <w:p w:rsidRPr="001A4C9C" w:rsidR="000C1980" w:rsidP="00494671" w:rsidRDefault="000C1980" w14:paraId="6D078642" w14:textId="77777777">
      <w:pPr>
        <w:pStyle w:val="ListAlpha"/>
        <w:numPr>
          <w:ilvl w:val="0"/>
          <w:numId w:val="19"/>
        </w:numPr>
        <w:ind w:left="1080" w:right="1440"/>
      </w:pPr>
      <w:r w:rsidRPr="001A4C9C">
        <w:t xml:space="preserve">Whether consideration of the FERA program should be moved entirely into the low income </w:t>
      </w:r>
      <w:proofErr w:type="gramStart"/>
      <w:r w:rsidRPr="001A4C9C">
        <w:t>proceeding;</w:t>
      </w:r>
      <w:proofErr w:type="gramEnd"/>
      <w:r w:rsidRPr="001A4C9C">
        <w:t xml:space="preserve"> </w:t>
      </w:r>
    </w:p>
    <w:p w:rsidRPr="001A4C9C" w:rsidR="000C1980" w:rsidP="00494671" w:rsidRDefault="000C1980" w14:paraId="54B67541" w14:textId="77777777">
      <w:pPr>
        <w:pStyle w:val="ListAlpha"/>
        <w:numPr>
          <w:ilvl w:val="0"/>
          <w:numId w:val="19"/>
        </w:numPr>
        <w:ind w:left="1080" w:right="1440"/>
      </w:pPr>
      <w:r w:rsidRPr="001A4C9C">
        <w:t xml:space="preserve">Whether the proposed FERA program design (including, but not limited to, eligibility, enrollment, verification, capitation fees, reporting, marketing, education and outreach) is reasonable and should be </w:t>
      </w:r>
      <w:proofErr w:type="gramStart"/>
      <w:r w:rsidRPr="001A4C9C">
        <w:t>established;</w:t>
      </w:r>
      <w:proofErr w:type="gramEnd"/>
    </w:p>
    <w:p w:rsidRPr="001A4C9C" w:rsidR="000C1980" w:rsidP="00494671" w:rsidRDefault="000C1980" w14:paraId="76BD3260" w14:textId="77777777">
      <w:pPr>
        <w:pStyle w:val="ListAlpha"/>
        <w:numPr>
          <w:ilvl w:val="0"/>
          <w:numId w:val="19"/>
        </w:numPr>
        <w:ind w:left="1080" w:right="1440"/>
      </w:pPr>
      <w:r w:rsidRPr="001A4C9C">
        <w:t xml:space="preserve">Whether the proposed ESA program budgets are reasonable and should be </w:t>
      </w:r>
      <w:proofErr w:type="gramStart"/>
      <w:r w:rsidRPr="001A4C9C">
        <w:t>established;</w:t>
      </w:r>
      <w:proofErr w:type="gramEnd"/>
    </w:p>
    <w:p w:rsidRPr="001A4C9C" w:rsidR="000C1980" w:rsidP="00494671" w:rsidRDefault="000C1980" w14:paraId="53427F11" w14:textId="77777777">
      <w:pPr>
        <w:pStyle w:val="ListAlpha"/>
        <w:numPr>
          <w:ilvl w:val="0"/>
          <w:numId w:val="19"/>
        </w:numPr>
        <w:ind w:left="1080" w:right="1440"/>
      </w:pPr>
      <w:r w:rsidRPr="001A4C9C">
        <w:t xml:space="preserve">Whether the proposed ESA program goals are reasonable and should be </w:t>
      </w:r>
      <w:proofErr w:type="gramStart"/>
      <w:r w:rsidRPr="001A4C9C">
        <w:t>established;</w:t>
      </w:r>
      <w:proofErr w:type="gramEnd"/>
      <w:r w:rsidRPr="001A4C9C">
        <w:t xml:space="preserve">  </w:t>
      </w:r>
    </w:p>
    <w:p w:rsidRPr="001A4C9C" w:rsidR="000C1980" w:rsidP="00494671" w:rsidRDefault="000C1980" w14:paraId="3911821F" w14:textId="77777777">
      <w:pPr>
        <w:pStyle w:val="ListAlpha"/>
        <w:numPr>
          <w:ilvl w:val="0"/>
          <w:numId w:val="19"/>
        </w:numPr>
        <w:ind w:left="1080" w:right="1440"/>
      </w:pPr>
      <w:r w:rsidRPr="001A4C9C">
        <w:t xml:space="preserve">Whether the proposed ESA program design (including, but not limited to, eligibility, application and enrollment practices, focus on prioritized/targeted populations, measure mix, program delivery, marketing, outreach, reporting, and the workforce, education and training efforts/programs) is reasonable and should be </w:t>
      </w:r>
      <w:proofErr w:type="gramStart"/>
      <w:r w:rsidRPr="001A4C9C">
        <w:t>established;</w:t>
      </w:r>
      <w:proofErr w:type="gramEnd"/>
    </w:p>
    <w:p w:rsidRPr="001A4C9C" w:rsidR="000C1980" w:rsidP="00494671" w:rsidRDefault="000C1980" w14:paraId="6FB9BC05" w14:textId="77777777">
      <w:pPr>
        <w:pStyle w:val="ListAlpha"/>
        <w:numPr>
          <w:ilvl w:val="0"/>
          <w:numId w:val="19"/>
        </w:numPr>
        <w:ind w:left="1080" w:right="1440"/>
      </w:pPr>
      <w:r w:rsidRPr="001A4C9C">
        <w:t xml:space="preserve">Whether the proposed multifamily program designs are reasonable and should be </w:t>
      </w:r>
      <w:proofErr w:type="gramStart"/>
      <w:r w:rsidRPr="001A4C9C">
        <w:t>established;</w:t>
      </w:r>
      <w:proofErr w:type="gramEnd"/>
    </w:p>
    <w:p w:rsidRPr="001A4C9C" w:rsidR="000C1980" w:rsidP="00494671" w:rsidRDefault="000C1980" w14:paraId="436F0713" w14:textId="77777777">
      <w:pPr>
        <w:pStyle w:val="ListAlpha"/>
        <w:numPr>
          <w:ilvl w:val="0"/>
          <w:numId w:val="19"/>
        </w:numPr>
        <w:ind w:left="1080" w:right="1440"/>
      </w:pPr>
      <w:r w:rsidRPr="001A4C9C">
        <w:t xml:space="preserve">Whether certain ESA program elements or pilots should be designed and implemented by a third party, and how that solicitation process should be </w:t>
      </w:r>
      <w:proofErr w:type="gramStart"/>
      <w:r w:rsidRPr="001A4C9C">
        <w:t>structured;</w:t>
      </w:r>
      <w:proofErr w:type="gramEnd"/>
    </w:p>
    <w:p w:rsidRPr="001A4C9C" w:rsidR="000C1980" w:rsidP="00494671" w:rsidRDefault="000C1980" w14:paraId="156F361A" w14:textId="77777777">
      <w:pPr>
        <w:pStyle w:val="ListAlpha"/>
        <w:numPr>
          <w:ilvl w:val="0"/>
          <w:numId w:val="19"/>
        </w:numPr>
        <w:ind w:left="1080" w:right="1440"/>
      </w:pPr>
      <w:r w:rsidRPr="001A4C9C">
        <w:t xml:space="preserve">Whether the IOUs should be granted flexibility to make ESA program adjustments (including fund shifting and measure modifications) via advice letters and regulatory </w:t>
      </w:r>
      <w:proofErr w:type="gramStart"/>
      <w:r w:rsidRPr="001A4C9C">
        <w:t>reports;</w:t>
      </w:r>
      <w:proofErr w:type="gramEnd"/>
    </w:p>
    <w:p w:rsidRPr="001A4C9C" w:rsidR="000C1980" w:rsidP="00494671" w:rsidRDefault="000C1980" w14:paraId="667B40E2" w14:textId="77777777">
      <w:pPr>
        <w:pStyle w:val="ListAlpha"/>
        <w:numPr>
          <w:ilvl w:val="0"/>
          <w:numId w:val="19"/>
        </w:numPr>
        <w:ind w:left="1080" w:right="1440"/>
      </w:pPr>
      <w:r w:rsidRPr="001A4C9C">
        <w:t xml:space="preserve">Whether the ESA fund shifting rules should be </w:t>
      </w:r>
      <w:proofErr w:type="gramStart"/>
      <w:r w:rsidRPr="001A4C9C">
        <w:t>modified;</w:t>
      </w:r>
      <w:proofErr w:type="gramEnd"/>
    </w:p>
    <w:p w:rsidRPr="001A4C9C" w:rsidR="000C1980" w:rsidP="00494671" w:rsidRDefault="000C1980" w14:paraId="21751C35" w14:textId="77777777">
      <w:pPr>
        <w:pStyle w:val="ListAlpha"/>
        <w:numPr>
          <w:ilvl w:val="0"/>
          <w:numId w:val="19"/>
        </w:numPr>
        <w:ind w:left="1080" w:right="1440"/>
      </w:pPr>
      <w:r w:rsidRPr="001A4C9C">
        <w:t xml:space="preserve">Whether the treatment of unspent and uncommitted funds should be modified or </w:t>
      </w:r>
      <w:proofErr w:type="gramStart"/>
      <w:r w:rsidRPr="001A4C9C">
        <w:t>clarified;</w:t>
      </w:r>
      <w:proofErr w:type="gramEnd"/>
      <w:r w:rsidRPr="001A4C9C">
        <w:t xml:space="preserve"> </w:t>
      </w:r>
    </w:p>
    <w:p w:rsidRPr="001A4C9C" w:rsidR="000C1980" w:rsidP="00494671" w:rsidRDefault="000C1980" w14:paraId="24C7EBA2" w14:textId="77777777">
      <w:pPr>
        <w:pStyle w:val="ListAlpha"/>
        <w:numPr>
          <w:ilvl w:val="0"/>
          <w:numId w:val="19"/>
        </w:numPr>
        <w:ind w:left="1080" w:right="1440"/>
      </w:pPr>
      <w:r w:rsidRPr="001A4C9C">
        <w:lastRenderedPageBreak/>
        <w:t xml:space="preserve">Whether an ESA Working Group should be established, including the convening of a public meeting every two years to replace the annual report public </w:t>
      </w:r>
      <w:proofErr w:type="gramStart"/>
      <w:r w:rsidRPr="001A4C9C">
        <w:t>meeting;</w:t>
      </w:r>
      <w:proofErr w:type="gramEnd"/>
    </w:p>
    <w:p w:rsidRPr="001A4C9C" w:rsidR="000C1980" w:rsidP="00494671" w:rsidRDefault="000C1980" w14:paraId="24A7592E" w14:textId="77777777">
      <w:pPr>
        <w:pStyle w:val="ListAlpha"/>
        <w:numPr>
          <w:ilvl w:val="0"/>
          <w:numId w:val="19"/>
        </w:numPr>
        <w:ind w:left="1080" w:right="1440"/>
      </w:pPr>
      <w:r w:rsidRPr="001A4C9C">
        <w:t xml:space="preserve">Whether the ESA programs are sufficiently cost effective, and whether any of the cost effectiveness tools or tests should be modified to better estimate program benefits and </w:t>
      </w:r>
      <w:proofErr w:type="gramStart"/>
      <w:r w:rsidRPr="001A4C9C">
        <w:t>costs;</w:t>
      </w:r>
      <w:proofErr w:type="gramEnd"/>
      <w:r w:rsidRPr="001A4C9C">
        <w:t xml:space="preserve"> </w:t>
      </w:r>
    </w:p>
    <w:p w:rsidRPr="001A4C9C" w:rsidR="000C1980" w:rsidP="00494671" w:rsidRDefault="000C1980" w14:paraId="4314FD72" w14:textId="77777777">
      <w:pPr>
        <w:pStyle w:val="ListAlpha"/>
        <w:numPr>
          <w:ilvl w:val="0"/>
          <w:numId w:val="19"/>
        </w:numPr>
        <w:ind w:left="1080" w:right="1440"/>
      </w:pPr>
      <w:r w:rsidRPr="001A4C9C">
        <w:t xml:space="preserve">Whether mechanisms to hold the IOUs accountable to timely spend program budgets and meet program goals should be </w:t>
      </w:r>
      <w:proofErr w:type="gramStart"/>
      <w:r w:rsidRPr="001A4C9C">
        <w:t>established;</w:t>
      </w:r>
      <w:proofErr w:type="gramEnd"/>
      <w:r w:rsidRPr="001A4C9C">
        <w:t xml:space="preserve"> </w:t>
      </w:r>
    </w:p>
    <w:p w:rsidRPr="001A4C9C" w:rsidR="000C1980" w:rsidP="00494671" w:rsidRDefault="000C1980" w14:paraId="174BE00C" w14:textId="77777777">
      <w:pPr>
        <w:pStyle w:val="ListAlpha"/>
        <w:numPr>
          <w:ilvl w:val="0"/>
          <w:numId w:val="19"/>
        </w:numPr>
        <w:ind w:left="1080" w:right="1440"/>
      </w:pPr>
      <w:r w:rsidRPr="001A4C9C">
        <w:t>Whether an ESA</w:t>
      </w:r>
      <w:r w:rsidRPr="001A4C9C">
        <w:noBreakHyphen/>
        <w:t xml:space="preserve">CARE Study Working Group should be established to scope and approve specific ESA and CARE </w:t>
      </w:r>
      <w:proofErr w:type="gramStart"/>
      <w:r w:rsidRPr="001A4C9C">
        <w:t>studies;</w:t>
      </w:r>
      <w:proofErr w:type="gramEnd"/>
    </w:p>
    <w:p w:rsidRPr="001A4C9C" w:rsidR="000C1980" w:rsidP="00494671" w:rsidRDefault="000C1980" w14:paraId="54DEF9D6" w14:textId="77777777">
      <w:pPr>
        <w:pStyle w:val="ListAlpha"/>
        <w:numPr>
          <w:ilvl w:val="0"/>
          <w:numId w:val="19"/>
        </w:numPr>
        <w:ind w:left="1080" w:right="1440"/>
      </w:pPr>
      <w:r w:rsidRPr="001A4C9C">
        <w:t xml:space="preserve">Whether the term for the IOUs’ Low Income Oversight Board member should increase from one year to two </w:t>
      </w:r>
      <w:proofErr w:type="gramStart"/>
      <w:r w:rsidRPr="001A4C9C">
        <w:t>years;</w:t>
      </w:r>
      <w:proofErr w:type="gramEnd"/>
      <w:r w:rsidRPr="001A4C9C">
        <w:t xml:space="preserve"> </w:t>
      </w:r>
    </w:p>
    <w:p w:rsidRPr="001A4C9C" w:rsidR="000C1980" w:rsidP="00494671" w:rsidRDefault="000C1980" w14:paraId="0923598B" w14:textId="77777777">
      <w:pPr>
        <w:pStyle w:val="ListAlpha"/>
        <w:numPr>
          <w:ilvl w:val="0"/>
          <w:numId w:val="19"/>
        </w:numPr>
        <w:ind w:left="1080" w:right="1440"/>
      </w:pPr>
      <w:r w:rsidRPr="001A4C9C">
        <w:t xml:space="preserve">Whether the proposed pilots and studies are reasonable and should be </w:t>
      </w:r>
      <w:proofErr w:type="gramStart"/>
      <w:r w:rsidRPr="001A4C9C">
        <w:t>approved;</w:t>
      </w:r>
      <w:proofErr w:type="gramEnd"/>
    </w:p>
    <w:p w:rsidRPr="001A4C9C" w:rsidR="000C1980" w:rsidP="00494671" w:rsidRDefault="000C1980" w14:paraId="2C2ED1F5" w14:textId="77777777">
      <w:pPr>
        <w:pStyle w:val="ListAlpha"/>
        <w:numPr>
          <w:ilvl w:val="0"/>
          <w:numId w:val="19"/>
        </w:numPr>
        <w:ind w:left="1080" w:right="1440"/>
      </w:pPr>
      <w:r w:rsidRPr="001A4C9C">
        <w:t>Whether the proposed programs take into consideration the Environmental and Social Justice Action Plan; and</w:t>
      </w:r>
    </w:p>
    <w:p w:rsidRPr="001A4C9C" w:rsidR="000C1980" w:rsidP="00494671" w:rsidRDefault="000C1980" w14:paraId="1B398124" w14:textId="77777777">
      <w:pPr>
        <w:pStyle w:val="ListAlpha"/>
        <w:numPr>
          <w:ilvl w:val="0"/>
          <w:numId w:val="19"/>
        </w:numPr>
        <w:ind w:left="1080" w:right="1440"/>
      </w:pPr>
      <w:r w:rsidRPr="001A4C9C">
        <w:t>Whether the proposal to fund education and outreach regarding affordable internet options out of the ESA</w:t>
      </w:r>
      <w:r w:rsidRPr="001A4C9C">
        <w:noBreakHyphen/>
        <w:t xml:space="preserve">CARE program budgets is reasonable and should be established. </w:t>
      </w:r>
    </w:p>
    <w:p w:rsidR="000C1980" w:rsidP="00494671" w:rsidRDefault="000C1980" w14:paraId="081C1374" w14:textId="77777777">
      <w:pPr>
        <w:pStyle w:val="Standard"/>
      </w:pPr>
      <w:r w:rsidRPr="00B26D2F">
        <w:t xml:space="preserve">This decision addresses all the issues raised in the scoping </w:t>
      </w:r>
      <w:r>
        <w:t xml:space="preserve">memo and </w:t>
      </w:r>
      <w:r w:rsidRPr="00B26D2F">
        <w:t>ruling.  In total, these issues encompass the totality of the CARE</w:t>
      </w:r>
      <w:r>
        <w:t>, FERA</w:t>
      </w:r>
      <w:r w:rsidRPr="00B26D2F">
        <w:t xml:space="preserve"> and ESA </w:t>
      </w:r>
      <w:r>
        <w:t>p</w:t>
      </w:r>
      <w:r w:rsidRPr="00B26D2F">
        <w:t xml:space="preserve">rograms and </w:t>
      </w:r>
      <w:r>
        <w:t xml:space="preserve">all </w:t>
      </w:r>
      <w:r w:rsidRPr="00494671">
        <w:t>the</w:t>
      </w:r>
      <w:r w:rsidRPr="00B26D2F">
        <w:t xml:space="preserve"> proposals set forth in the </w:t>
      </w:r>
      <w:r>
        <w:t>record of this proceeding</w:t>
      </w:r>
      <w:r w:rsidRPr="00B26D2F">
        <w:t xml:space="preserve">.  In approving the </w:t>
      </w:r>
      <w:r>
        <w:t>a</w:t>
      </w:r>
      <w:r w:rsidRPr="00B26D2F">
        <w:t xml:space="preserve">pplications for the </w:t>
      </w:r>
      <w:r>
        <w:t>2021</w:t>
      </w:r>
      <w:r w:rsidRPr="00B26D2F">
        <w:noBreakHyphen/>
        <w:t>20</w:t>
      </w:r>
      <w:r>
        <w:t>26</w:t>
      </w:r>
      <w:r w:rsidRPr="00B26D2F">
        <w:t xml:space="preserve"> CARE</w:t>
      </w:r>
      <w:r>
        <w:t>, FERA</w:t>
      </w:r>
      <w:r w:rsidRPr="00B26D2F">
        <w:t xml:space="preserve"> and ESA program cycle, we will discuss how we have modified the </w:t>
      </w:r>
      <w:r>
        <w:t>p</w:t>
      </w:r>
      <w:r w:rsidRPr="00B26D2F">
        <w:t xml:space="preserve">rograms as set forth in the </w:t>
      </w:r>
      <w:r>
        <w:t>a</w:t>
      </w:r>
      <w:r w:rsidRPr="00B26D2F">
        <w:t>pplications and in response to the testimony, comments, and briefs</w:t>
      </w:r>
      <w:r>
        <w:t xml:space="preserve">.  </w:t>
      </w:r>
    </w:p>
    <w:p w:rsidR="000C1980" w:rsidP="001968DC" w:rsidRDefault="000C1980" w14:paraId="382306A8" w14:textId="77777777">
      <w:pPr>
        <w:pStyle w:val="Heading1"/>
        <w:ind w:left="720"/>
      </w:pPr>
      <w:bookmarkStart w:name="_Toc69947745" w:id="42"/>
      <w:r>
        <w:lastRenderedPageBreak/>
        <w:t>CARE Program</w:t>
      </w:r>
      <w:bookmarkEnd w:id="42"/>
      <w:r>
        <w:t xml:space="preserve"> </w:t>
      </w:r>
    </w:p>
    <w:p w:rsidR="000C1980" w:rsidP="001968DC" w:rsidRDefault="000C1980" w14:paraId="32C339BE" w14:textId="77777777">
      <w:pPr>
        <w:pStyle w:val="Heading2"/>
        <w:tabs>
          <w:tab w:val="clear" w:pos="720"/>
          <w:tab w:val="num" w:pos="1080"/>
        </w:tabs>
        <w:ind w:left="1728"/>
      </w:pPr>
      <w:bookmarkStart w:name="_Toc69947746" w:id="43"/>
      <w:r>
        <w:t>CARE Goals</w:t>
      </w:r>
      <w:bookmarkEnd w:id="43"/>
      <w:r>
        <w:t xml:space="preserve"> </w:t>
      </w:r>
    </w:p>
    <w:p w:rsidRPr="00A35E15" w:rsidR="000C1980" w:rsidP="001968DC" w:rsidRDefault="000C1980" w14:paraId="068AF848" w14:textId="77777777">
      <w:pPr>
        <w:pStyle w:val="Heading3"/>
        <w:tabs>
          <w:tab w:val="clear" w:pos="1440"/>
          <w:tab w:val="num" w:pos="1800"/>
        </w:tabs>
        <w:ind w:left="2664"/>
      </w:pPr>
      <w:bookmarkStart w:name="_Toc69947747" w:id="44"/>
      <w:r w:rsidRPr="001A4C9C">
        <w:t>Background</w:t>
      </w:r>
      <w:bookmarkEnd w:id="44"/>
    </w:p>
    <w:p w:rsidRPr="0026503D" w:rsidR="000C1980" w:rsidP="00494671" w:rsidRDefault="000C1980" w14:paraId="1C6395DC" w14:textId="77777777">
      <w:pPr>
        <w:pStyle w:val="Standard"/>
      </w:pPr>
      <w:r w:rsidRPr="00EB6008">
        <w:rPr>
          <w:b/>
          <w:bCs/>
          <w:i/>
          <w:iCs/>
          <w:u w:val="single"/>
        </w:rPr>
        <w:t>90</w:t>
      </w:r>
      <w:r>
        <w:rPr>
          <w:b/>
          <w:bCs/>
          <w:i/>
          <w:iCs/>
          <w:u w:val="single"/>
        </w:rPr>
        <w:t xml:space="preserve"> Percent</w:t>
      </w:r>
      <w:r w:rsidRPr="00EB6008">
        <w:rPr>
          <w:b/>
          <w:bCs/>
          <w:i/>
          <w:iCs/>
          <w:u w:val="single"/>
        </w:rPr>
        <w:t xml:space="preserve"> </w:t>
      </w:r>
      <w:r>
        <w:rPr>
          <w:b/>
          <w:bCs/>
          <w:i/>
          <w:iCs/>
          <w:u w:val="single"/>
        </w:rPr>
        <w:t>Enrollment Goal</w:t>
      </w:r>
      <w:r w:rsidRPr="00EB6008">
        <w:rPr>
          <w:b/>
          <w:bCs/>
          <w:i/>
          <w:iCs/>
          <w:u w:val="single"/>
        </w:rPr>
        <w:t>:</w:t>
      </w:r>
      <w:r>
        <w:t xml:space="preserve"> </w:t>
      </w:r>
      <w:r w:rsidRPr="0026503D">
        <w:t xml:space="preserve">In D.08-11-031, the Commission established a CARE enrollment </w:t>
      </w:r>
      <w:r w:rsidRPr="00B60844">
        <w:t xml:space="preserve">goal </w:t>
      </w:r>
      <w:r>
        <w:t xml:space="preserve">of </w:t>
      </w:r>
      <w:r w:rsidRPr="0026503D">
        <w:t>90 percent</w:t>
      </w:r>
      <w:r>
        <w:t xml:space="preserve"> of </w:t>
      </w:r>
      <w:r w:rsidRPr="003F27C1">
        <w:t>all eligible customers</w:t>
      </w:r>
      <w:r w:rsidRPr="0026503D">
        <w:t xml:space="preserve">. This goal was based on the results of the initial LINA study completed in 2007 which estimated that 90 percent of the eligible </w:t>
      </w:r>
      <w:r w:rsidRPr="001A4C9C">
        <w:t>customers</w:t>
      </w:r>
      <w:r w:rsidRPr="0026503D">
        <w:t xml:space="preserve"> were willing or likely to participate in </w:t>
      </w:r>
      <w:r>
        <w:t xml:space="preserve">the </w:t>
      </w:r>
      <w:r w:rsidRPr="0026503D">
        <w:t>CARE</w:t>
      </w:r>
      <w:r>
        <w:t xml:space="preserve"> program</w:t>
      </w:r>
      <w:r w:rsidRPr="0026503D">
        <w:t>.</w:t>
      </w:r>
      <w:r w:rsidRPr="0026503D">
        <w:rPr>
          <w:vertAlign w:val="superscript"/>
        </w:rPr>
        <w:footnoteReference w:id="24"/>
      </w:r>
      <w:r w:rsidRPr="0026503D">
        <w:t xml:space="preserve"> As a result, the Commission has consistently required the </w:t>
      </w:r>
      <w:r w:rsidRPr="00494671">
        <w:t>IOUs</w:t>
      </w:r>
      <w:r w:rsidRPr="0026503D">
        <w:t xml:space="preserve"> to strive to meet the 90 percent enrollment goal. </w:t>
      </w:r>
    </w:p>
    <w:p w:rsidRPr="00B60844" w:rsidR="000C1980" w:rsidP="00494671" w:rsidRDefault="000C1980" w14:paraId="3378D923" w14:textId="77777777">
      <w:pPr>
        <w:pStyle w:val="Standard"/>
      </w:pPr>
      <w:bookmarkStart w:name="_Hlk55819010" w:id="45"/>
      <w:r>
        <w:rPr>
          <w:b/>
          <w:bCs/>
          <w:i/>
          <w:iCs/>
          <w:u w:val="single"/>
        </w:rPr>
        <w:t>Enrollment Calculation</w:t>
      </w:r>
      <w:r w:rsidRPr="00EB6008">
        <w:rPr>
          <w:b/>
          <w:bCs/>
          <w:i/>
          <w:iCs/>
          <w:u w:val="single"/>
        </w:rPr>
        <w:t>:</w:t>
      </w:r>
      <w:r>
        <w:t xml:space="preserve"> The </w:t>
      </w:r>
      <w:r w:rsidRPr="0026503D">
        <w:t>CARE enrollment</w:t>
      </w:r>
      <w:r>
        <w:t xml:space="preserve"> rate</w:t>
      </w:r>
      <w:r w:rsidRPr="0026503D">
        <w:t>, also known as “penetration</w:t>
      </w:r>
      <w:r>
        <w:t xml:space="preserve"> rate,</w:t>
      </w:r>
      <w:r w:rsidRPr="0026503D">
        <w:t>”</w:t>
      </w:r>
      <w:r>
        <w:t xml:space="preserve"> </w:t>
      </w:r>
      <w:r w:rsidRPr="0026503D">
        <w:t xml:space="preserve">is calculated for each IOU </w:t>
      </w:r>
      <w:r w:rsidRPr="001A4C9C">
        <w:t>using</w:t>
      </w:r>
      <w:r w:rsidRPr="0026503D">
        <w:t xml:space="preserve"> the total enrolled CARE households as the numerator </w:t>
      </w:r>
      <w:r w:rsidRPr="00494671">
        <w:t>divided</w:t>
      </w:r>
      <w:r w:rsidRPr="0026503D">
        <w:t xml:space="preserve"> by the total eligible CARE households as the denominator. T</w:t>
      </w:r>
      <w:r>
        <w:t xml:space="preserve">he </w:t>
      </w:r>
      <w:r w:rsidRPr="0026503D">
        <w:t>total eligible CARE population</w:t>
      </w:r>
      <w:r>
        <w:t xml:space="preserve"> for the state, as well as by IOU service territory, is calculated annually by an independent economic consultant and is</w:t>
      </w:r>
      <w:r w:rsidRPr="0026503D">
        <w:t xml:space="preserve"> required to be submitted jointly by the IOUs on December 31 of each year.</w:t>
      </w:r>
      <w:r w:rsidRPr="0026503D">
        <w:rPr>
          <w:vertAlign w:val="superscript"/>
        </w:rPr>
        <w:t xml:space="preserve"> </w:t>
      </w:r>
      <w:r w:rsidRPr="0026503D">
        <w:rPr>
          <w:vertAlign w:val="superscript"/>
        </w:rPr>
        <w:footnoteReference w:id="25"/>
      </w:r>
    </w:p>
    <w:p w:rsidR="000C1980" w:rsidP="001968DC" w:rsidRDefault="000C1980" w14:paraId="3E2EE0BE" w14:textId="77777777">
      <w:pPr>
        <w:pStyle w:val="Heading3"/>
        <w:tabs>
          <w:tab w:val="clear" w:pos="1440"/>
          <w:tab w:val="num" w:pos="1800"/>
        </w:tabs>
        <w:ind w:left="2664"/>
      </w:pPr>
      <w:bookmarkStart w:name="_Toc69947748" w:id="46"/>
      <w:bookmarkEnd w:id="45"/>
      <w:r>
        <w:t xml:space="preserve">PG&amp;E </w:t>
      </w:r>
      <w:r w:rsidRPr="001A4C9C">
        <w:t>Proposal</w:t>
      </w:r>
      <w:bookmarkEnd w:id="46"/>
    </w:p>
    <w:p w:rsidR="000C1980" w:rsidP="00494671" w:rsidRDefault="000C1980" w14:paraId="2770A860" w14:textId="77777777">
      <w:pPr>
        <w:pStyle w:val="Standard"/>
      </w:pPr>
      <w:r w:rsidRPr="00EB6008">
        <w:rPr>
          <w:b/>
          <w:bCs/>
          <w:i/>
          <w:iCs/>
          <w:u w:val="single"/>
        </w:rPr>
        <w:t>90</w:t>
      </w:r>
      <w:r>
        <w:rPr>
          <w:b/>
          <w:bCs/>
          <w:i/>
          <w:iCs/>
          <w:u w:val="single"/>
        </w:rPr>
        <w:t xml:space="preserve"> Percent</w:t>
      </w:r>
      <w:r w:rsidRPr="00EB6008">
        <w:rPr>
          <w:b/>
          <w:bCs/>
          <w:i/>
          <w:iCs/>
          <w:u w:val="single"/>
        </w:rPr>
        <w:t xml:space="preserve"> </w:t>
      </w:r>
      <w:r w:rsidRPr="00494671">
        <w:t>Enrollment</w:t>
      </w:r>
      <w:r>
        <w:rPr>
          <w:b/>
          <w:bCs/>
          <w:i/>
          <w:iCs/>
          <w:u w:val="single"/>
        </w:rPr>
        <w:t xml:space="preserve"> Goal</w:t>
      </w:r>
      <w:r w:rsidRPr="00EB6008">
        <w:rPr>
          <w:b/>
          <w:bCs/>
          <w:i/>
          <w:iCs/>
          <w:u w:val="single"/>
        </w:rPr>
        <w:t>:</w:t>
      </w:r>
      <w:r>
        <w:t xml:space="preserve"> </w:t>
      </w:r>
      <w:r w:rsidRPr="00592917">
        <w:t xml:space="preserve">PG&amp;E </w:t>
      </w:r>
      <w:r>
        <w:t xml:space="preserve">states that it </w:t>
      </w:r>
      <w:r w:rsidRPr="00592917">
        <w:t>currently meets the 90</w:t>
      </w:r>
      <w:r>
        <w:t> percent</w:t>
      </w:r>
      <w:r w:rsidRPr="00592917">
        <w:t xml:space="preserve"> </w:t>
      </w:r>
      <w:r>
        <w:t>enrollment</w:t>
      </w:r>
      <w:r w:rsidRPr="00592917">
        <w:t xml:space="preserve"> rate goal</w:t>
      </w:r>
      <w:r>
        <w:t>, with an estimated 2019 CARE enrollment rate of 95</w:t>
      </w:r>
      <w:r w:rsidRPr="00AD3890">
        <w:t xml:space="preserve"> </w:t>
      </w:r>
      <w:r w:rsidRPr="0026503D">
        <w:t>percent</w:t>
      </w:r>
      <w:r>
        <w:t>.</w:t>
      </w:r>
      <w:r>
        <w:rPr>
          <w:rStyle w:val="FootnoteReference"/>
        </w:rPr>
        <w:footnoteReference w:id="26"/>
      </w:r>
      <w:r>
        <w:t xml:space="preserve">  PG&amp;E’s application</w:t>
      </w:r>
      <w:r w:rsidRPr="00592917">
        <w:t xml:space="preserve"> </w:t>
      </w:r>
      <w:r>
        <w:t>does not</w:t>
      </w:r>
      <w:r w:rsidRPr="00592917">
        <w:t xml:space="preserve"> </w:t>
      </w:r>
      <w:r>
        <w:t xml:space="preserve">propose any additional </w:t>
      </w:r>
      <w:r w:rsidRPr="00592917">
        <w:t xml:space="preserve">goals for </w:t>
      </w:r>
      <w:r>
        <w:t>CARE p</w:t>
      </w:r>
      <w:r w:rsidRPr="00592917">
        <w:t>articipation.</w:t>
      </w:r>
      <w:r w:rsidRPr="00592917">
        <w:rPr>
          <w:vertAlign w:val="superscript"/>
        </w:rPr>
        <w:footnoteReference w:id="27"/>
      </w:r>
      <w:r w:rsidRPr="00592917">
        <w:t xml:space="preserve"> </w:t>
      </w:r>
      <w:r>
        <w:t xml:space="preserve"> </w:t>
      </w:r>
    </w:p>
    <w:p w:rsidR="000C1980" w:rsidP="00494671" w:rsidRDefault="000C1980" w14:paraId="27F82C10" w14:textId="09FA02CA">
      <w:pPr>
        <w:pStyle w:val="Standard"/>
      </w:pPr>
      <w:r w:rsidRPr="00592917">
        <w:lastRenderedPageBreak/>
        <w:t xml:space="preserve">PG&amp;E expects approximately 255,000 new households to be enrolled in CARE annually, and 537,000 households to be recertified annually in </w:t>
      </w:r>
      <w:r w:rsidR="008D3ED9">
        <w:t>program years (</w:t>
      </w:r>
      <w:r>
        <w:t>PYs</w:t>
      </w:r>
      <w:r w:rsidR="008D3ED9">
        <w:t>)</w:t>
      </w:r>
      <w:r>
        <w:t xml:space="preserve"> </w:t>
      </w:r>
      <w:r w:rsidRPr="00592917">
        <w:t>2021-2026.</w:t>
      </w:r>
      <w:r w:rsidRPr="00592917">
        <w:rPr>
          <w:vertAlign w:val="superscript"/>
        </w:rPr>
        <w:footnoteReference w:id="28"/>
      </w:r>
      <w:r w:rsidRPr="00592917">
        <w:t xml:space="preserve"> </w:t>
      </w:r>
      <w:r>
        <w:t xml:space="preserve"> PG&amp;E expects r</w:t>
      </w:r>
      <w:r w:rsidRPr="00592917">
        <w:t xml:space="preserve">oughly 1,530,000 households </w:t>
      </w:r>
      <w:r>
        <w:t>to</w:t>
      </w:r>
      <w:r w:rsidRPr="00592917">
        <w:t xml:space="preserve"> be enrolled in CARE </w:t>
      </w:r>
      <w:r>
        <w:t>in PYs</w:t>
      </w:r>
      <w:r w:rsidRPr="00592917">
        <w:t xml:space="preserve"> 2021</w:t>
      </w:r>
      <w:r>
        <w:noBreakHyphen/>
      </w:r>
      <w:r w:rsidRPr="00592917">
        <w:t>2026, based on historical program performance and newly eligible population estimates.</w:t>
      </w:r>
      <w:r w:rsidRPr="00592917">
        <w:rPr>
          <w:vertAlign w:val="superscript"/>
        </w:rPr>
        <w:footnoteReference w:id="29"/>
      </w:r>
      <w:r>
        <w:t xml:space="preserve"> </w:t>
      </w:r>
    </w:p>
    <w:p w:rsidR="000C1980" w:rsidP="001968DC" w:rsidRDefault="000C1980" w14:paraId="76BF3CB3" w14:textId="10EEB370">
      <w:pPr>
        <w:pStyle w:val="Heading3"/>
        <w:tabs>
          <w:tab w:val="clear" w:pos="1440"/>
          <w:tab w:val="num" w:pos="1800"/>
        </w:tabs>
        <w:ind w:left="2664"/>
      </w:pPr>
      <w:bookmarkStart w:name="_Toc69947749" w:id="47"/>
      <w:r w:rsidRPr="001A4C9C">
        <w:t>SCE</w:t>
      </w:r>
      <w:r>
        <w:t xml:space="preserve"> Proposal</w:t>
      </w:r>
      <w:bookmarkEnd w:id="47"/>
    </w:p>
    <w:p w:rsidRPr="00592917" w:rsidR="000C1980" w:rsidP="00494671" w:rsidRDefault="000C1980" w14:paraId="21888588" w14:textId="77777777">
      <w:pPr>
        <w:pStyle w:val="Standard"/>
      </w:pPr>
      <w:r w:rsidRPr="00EB6008">
        <w:rPr>
          <w:b/>
          <w:bCs/>
          <w:i/>
          <w:iCs/>
          <w:u w:val="single"/>
        </w:rPr>
        <w:t>90</w:t>
      </w:r>
      <w:r>
        <w:rPr>
          <w:b/>
          <w:bCs/>
          <w:i/>
          <w:iCs/>
          <w:u w:val="single"/>
        </w:rPr>
        <w:t xml:space="preserve"> Percent</w:t>
      </w:r>
      <w:r w:rsidRPr="00EB6008">
        <w:rPr>
          <w:b/>
          <w:bCs/>
          <w:i/>
          <w:iCs/>
          <w:u w:val="single"/>
        </w:rPr>
        <w:t xml:space="preserve"> Enrollment</w:t>
      </w:r>
      <w:r>
        <w:rPr>
          <w:b/>
          <w:bCs/>
          <w:i/>
          <w:iCs/>
          <w:u w:val="single"/>
        </w:rPr>
        <w:t xml:space="preserve"> Goal</w:t>
      </w:r>
      <w:r w:rsidRPr="00EB6008">
        <w:rPr>
          <w:b/>
          <w:bCs/>
          <w:i/>
          <w:iCs/>
          <w:u w:val="single"/>
        </w:rPr>
        <w:t>:</w:t>
      </w:r>
      <w:r>
        <w:t xml:space="preserve"> SCE states that its CARE enrollment</w:t>
      </w:r>
      <w:r w:rsidRPr="00592917">
        <w:t xml:space="preserve"> </w:t>
      </w:r>
      <w:r>
        <w:t>rate, at the time of application submission, was 88</w:t>
      </w:r>
      <w:r w:rsidRPr="00AD3890">
        <w:t xml:space="preserve"> </w:t>
      </w:r>
      <w:r w:rsidRPr="0026503D">
        <w:t>percent</w:t>
      </w:r>
      <w:r>
        <w:t>.</w:t>
      </w:r>
      <w:r>
        <w:rPr>
          <w:rStyle w:val="FootnoteReference"/>
        </w:rPr>
        <w:footnoteReference w:id="30"/>
      </w:r>
      <w:r>
        <w:t xml:space="preserve">  SCE states that they </w:t>
      </w:r>
      <w:r w:rsidRPr="00592917">
        <w:t xml:space="preserve">will continue trying to meet </w:t>
      </w:r>
      <w:r w:rsidRPr="00494671">
        <w:t>the</w:t>
      </w:r>
      <w:r w:rsidRPr="00592917">
        <w:t xml:space="preserve"> 90</w:t>
      </w:r>
      <w:r>
        <w:t xml:space="preserve"> percent</w:t>
      </w:r>
      <w:r w:rsidRPr="00592917">
        <w:t xml:space="preserve"> </w:t>
      </w:r>
      <w:r>
        <w:t>enrollment</w:t>
      </w:r>
      <w:r w:rsidRPr="00592917">
        <w:t xml:space="preserve"> goal</w:t>
      </w:r>
      <w:r>
        <w:t xml:space="preserve"> and does not</w:t>
      </w:r>
      <w:r w:rsidRPr="00592917">
        <w:t xml:space="preserve"> </w:t>
      </w:r>
      <w:r>
        <w:t xml:space="preserve">propose any additional </w:t>
      </w:r>
      <w:r w:rsidRPr="00592917">
        <w:t xml:space="preserve">goals for </w:t>
      </w:r>
      <w:r>
        <w:t>p</w:t>
      </w:r>
      <w:r w:rsidRPr="00592917">
        <w:t>articipation</w:t>
      </w:r>
      <w:r>
        <w:t>.  SCE expects that an</w:t>
      </w:r>
      <w:r w:rsidRPr="00592917">
        <w:t xml:space="preserve"> increase in marketing efforts </w:t>
      </w:r>
      <w:r>
        <w:t xml:space="preserve">will help </w:t>
      </w:r>
      <w:r w:rsidRPr="00592917">
        <w:t>overcome the barriers that keep hard to reach customers from enrolling and combat historical attrition rates</w:t>
      </w:r>
      <w:r>
        <w:t>,</w:t>
      </w:r>
      <w:r w:rsidRPr="00592917">
        <w:rPr>
          <w:vertAlign w:val="superscript"/>
        </w:rPr>
        <w:footnoteReference w:id="31"/>
      </w:r>
      <w:r w:rsidRPr="00592917">
        <w:t xml:space="preserve"> </w:t>
      </w:r>
      <w:r>
        <w:t xml:space="preserve"> and </w:t>
      </w:r>
      <w:r w:rsidRPr="00592917">
        <w:t xml:space="preserve">proposes between 302,000 and 308,000 new enrollments each year for </w:t>
      </w:r>
      <w:r>
        <w:t>PYs</w:t>
      </w:r>
      <w:r w:rsidRPr="00592917">
        <w:t xml:space="preserve"> 2021-2026.</w:t>
      </w:r>
      <w:r w:rsidRPr="00592917">
        <w:rPr>
          <w:vertAlign w:val="superscript"/>
        </w:rPr>
        <w:footnoteReference w:id="32"/>
      </w:r>
      <w:r w:rsidRPr="00592917">
        <w:t xml:space="preserve"> </w:t>
      </w:r>
    </w:p>
    <w:p w:rsidR="000C1980" w:rsidP="001968DC" w:rsidRDefault="000C1980" w14:paraId="0D777878" w14:textId="77777777">
      <w:pPr>
        <w:pStyle w:val="Heading3"/>
        <w:tabs>
          <w:tab w:val="clear" w:pos="1440"/>
          <w:tab w:val="num" w:pos="1800"/>
        </w:tabs>
        <w:ind w:left="2664"/>
      </w:pPr>
      <w:bookmarkStart w:name="_Toc69947750" w:id="48"/>
      <w:r>
        <w:t xml:space="preserve">SoCalGas </w:t>
      </w:r>
      <w:r w:rsidRPr="001A4C9C">
        <w:t>Proposal</w:t>
      </w:r>
      <w:bookmarkEnd w:id="48"/>
    </w:p>
    <w:p w:rsidR="000C1980" w:rsidP="00494671" w:rsidRDefault="000C1980" w14:paraId="3B5540B4" w14:textId="77777777">
      <w:pPr>
        <w:pStyle w:val="Standard"/>
      </w:pPr>
      <w:r w:rsidRPr="00EB6008">
        <w:rPr>
          <w:b/>
          <w:bCs/>
          <w:i/>
          <w:iCs/>
          <w:u w:val="single"/>
        </w:rPr>
        <w:t>90</w:t>
      </w:r>
      <w:r>
        <w:rPr>
          <w:b/>
          <w:bCs/>
          <w:i/>
          <w:iCs/>
          <w:u w:val="single"/>
        </w:rPr>
        <w:t xml:space="preserve"> Percent</w:t>
      </w:r>
      <w:r w:rsidRPr="00EB6008">
        <w:rPr>
          <w:b/>
          <w:bCs/>
          <w:i/>
          <w:iCs/>
          <w:u w:val="single"/>
        </w:rPr>
        <w:t xml:space="preserve"> </w:t>
      </w:r>
      <w:r>
        <w:rPr>
          <w:b/>
          <w:bCs/>
          <w:i/>
          <w:iCs/>
          <w:u w:val="single"/>
        </w:rPr>
        <w:t>Enrollment Goal</w:t>
      </w:r>
      <w:r w:rsidRPr="00EB6008">
        <w:rPr>
          <w:b/>
          <w:bCs/>
          <w:i/>
          <w:iCs/>
          <w:u w:val="single"/>
        </w:rPr>
        <w:t>:</w:t>
      </w:r>
      <w:r>
        <w:t xml:space="preserve"> SoCalGas</w:t>
      </w:r>
      <w:r w:rsidRPr="00592917">
        <w:t xml:space="preserve"> </w:t>
      </w:r>
      <w:r>
        <w:t xml:space="preserve">states that it </w:t>
      </w:r>
      <w:r w:rsidRPr="00592917">
        <w:t xml:space="preserve">currently </w:t>
      </w:r>
      <w:r>
        <w:t>exceeds</w:t>
      </w:r>
      <w:r w:rsidRPr="00592917">
        <w:t xml:space="preserve"> the 90</w:t>
      </w:r>
      <w:r>
        <w:t xml:space="preserve"> percent</w:t>
      </w:r>
      <w:r w:rsidRPr="00592917">
        <w:t xml:space="preserve"> </w:t>
      </w:r>
      <w:r>
        <w:t xml:space="preserve">CARE enrollment </w:t>
      </w:r>
      <w:r w:rsidRPr="00592917">
        <w:t>goal</w:t>
      </w:r>
      <w:r>
        <w:t xml:space="preserve">, having reached 95 </w:t>
      </w:r>
      <w:r w:rsidRPr="001A4C9C">
        <w:t>percent</w:t>
      </w:r>
      <w:r>
        <w:t xml:space="preserve"> in August 2019.</w:t>
      </w:r>
      <w:r>
        <w:rPr>
          <w:rStyle w:val="FootnoteReference"/>
        </w:rPr>
        <w:footnoteReference w:id="33"/>
      </w:r>
      <w:r w:rsidRPr="00592917">
        <w:t xml:space="preserve"> </w:t>
      </w:r>
      <w:r>
        <w:t xml:space="preserve"> </w:t>
      </w:r>
      <w:r w:rsidRPr="00592917">
        <w:t xml:space="preserve">SoCalGas aims to maintain or exceed </w:t>
      </w:r>
      <w:r w:rsidRPr="00494671">
        <w:t>the</w:t>
      </w:r>
      <w:r>
        <w:t xml:space="preserve"> </w:t>
      </w:r>
      <w:r w:rsidRPr="00592917">
        <w:t>90</w:t>
      </w:r>
      <w:r>
        <w:t xml:space="preserve"> percent</w:t>
      </w:r>
      <w:r w:rsidRPr="00592917">
        <w:t xml:space="preserve"> participation</w:t>
      </w:r>
      <w:r>
        <w:t xml:space="preserve"> goal </w:t>
      </w:r>
      <w:r w:rsidRPr="00592917">
        <w:t xml:space="preserve">and </w:t>
      </w:r>
      <w:r>
        <w:t>does not</w:t>
      </w:r>
      <w:r w:rsidRPr="00592917">
        <w:t xml:space="preserve"> </w:t>
      </w:r>
      <w:r>
        <w:t xml:space="preserve">propose any additional </w:t>
      </w:r>
      <w:r w:rsidRPr="00592917">
        <w:t xml:space="preserve">goals for </w:t>
      </w:r>
      <w:r>
        <w:t>p</w:t>
      </w:r>
      <w:r w:rsidRPr="00592917">
        <w:t>articipation</w:t>
      </w:r>
      <w:r>
        <w:t xml:space="preserve">.  </w:t>
      </w:r>
      <w:r w:rsidRPr="00592917">
        <w:t>It hopes to obtain a net gain of nearly 86,000 customers during PY</w:t>
      </w:r>
      <w:r>
        <w:t xml:space="preserve"> </w:t>
      </w:r>
      <w:r w:rsidRPr="00592917">
        <w:t xml:space="preserve">2021-2026 and expects to maintain </w:t>
      </w:r>
      <w:r>
        <w:t xml:space="preserve">the </w:t>
      </w:r>
      <w:r w:rsidRPr="00592917">
        <w:lastRenderedPageBreak/>
        <w:t xml:space="preserve">current </w:t>
      </w:r>
      <w:r>
        <w:t>enrollment</w:t>
      </w:r>
      <w:r w:rsidRPr="00592917">
        <w:t xml:space="preserve"> rate of 95</w:t>
      </w:r>
      <w:r>
        <w:t xml:space="preserve"> percent</w:t>
      </w:r>
      <w:r w:rsidRPr="00592917">
        <w:t>.</w:t>
      </w:r>
      <w:r w:rsidRPr="00592917">
        <w:rPr>
          <w:vertAlign w:val="superscript"/>
        </w:rPr>
        <w:footnoteReference w:id="34"/>
      </w:r>
      <w:r w:rsidRPr="00592917">
        <w:t xml:space="preserve"> </w:t>
      </w:r>
      <w:r>
        <w:t xml:space="preserve"> </w:t>
      </w:r>
      <w:r w:rsidRPr="00592917">
        <w:t>These goals will be furthered by utilizing strategic marketing and outreach efforts to maximize enrollment opportunities.</w:t>
      </w:r>
      <w:r w:rsidRPr="00592917">
        <w:rPr>
          <w:vertAlign w:val="superscript"/>
        </w:rPr>
        <w:footnoteReference w:id="35"/>
      </w:r>
    </w:p>
    <w:p w:rsidRPr="00592917" w:rsidR="000C1980" w:rsidP="001968DC" w:rsidRDefault="000C1980" w14:paraId="509FFA34" w14:textId="77777777">
      <w:pPr>
        <w:pStyle w:val="Heading3"/>
        <w:tabs>
          <w:tab w:val="clear" w:pos="1440"/>
          <w:tab w:val="num" w:pos="1800"/>
        </w:tabs>
        <w:ind w:left="2664"/>
      </w:pPr>
      <w:bookmarkStart w:name="_Toc69947751" w:id="49"/>
      <w:r>
        <w:t>SDG&amp;E Proposal</w:t>
      </w:r>
      <w:bookmarkEnd w:id="49"/>
    </w:p>
    <w:p w:rsidRPr="00C84639" w:rsidR="000C1980" w:rsidP="00494671" w:rsidRDefault="000C1980" w14:paraId="244E7B4D" w14:textId="4B8CB273">
      <w:pPr>
        <w:pStyle w:val="Standard"/>
      </w:pPr>
      <w:r w:rsidRPr="00EB6008">
        <w:rPr>
          <w:b/>
          <w:bCs/>
          <w:i/>
          <w:iCs/>
          <w:u w:val="single"/>
        </w:rPr>
        <w:t>90</w:t>
      </w:r>
      <w:r>
        <w:rPr>
          <w:b/>
          <w:bCs/>
          <w:i/>
          <w:iCs/>
          <w:u w:val="single"/>
        </w:rPr>
        <w:t xml:space="preserve"> Percent</w:t>
      </w:r>
      <w:r w:rsidRPr="00EB6008">
        <w:rPr>
          <w:b/>
          <w:bCs/>
          <w:i/>
          <w:iCs/>
          <w:u w:val="single"/>
        </w:rPr>
        <w:t xml:space="preserve"> </w:t>
      </w:r>
      <w:r>
        <w:rPr>
          <w:b/>
          <w:bCs/>
          <w:i/>
          <w:iCs/>
          <w:u w:val="single"/>
        </w:rPr>
        <w:t>Enrollment Goal</w:t>
      </w:r>
      <w:r w:rsidRPr="00EB6008">
        <w:rPr>
          <w:b/>
          <w:bCs/>
          <w:i/>
          <w:iCs/>
          <w:u w:val="single"/>
        </w:rPr>
        <w:t>:</w:t>
      </w:r>
      <w:r>
        <w:t xml:space="preserve"> SDG&amp;E</w:t>
      </w:r>
      <w:r w:rsidRPr="00592917">
        <w:t xml:space="preserve"> </w:t>
      </w:r>
      <w:r>
        <w:t xml:space="preserve">states that it </w:t>
      </w:r>
      <w:r w:rsidRPr="00592917">
        <w:t xml:space="preserve">currently </w:t>
      </w:r>
      <w:r>
        <w:t>exceeds</w:t>
      </w:r>
      <w:r w:rsidRPr="00592917">
        <w:t xml:space="preserve"> the 90</w:t>
      </w:r>
      <w:r>
        <w:t> percent</w:t>
      </w:r>
      <w:r w:rsidRPr="00592917">
        <w:t xml:space="preserve"> </w:t>
      </w:r>
      <w:r>
        <w:t xml:space="preserve">CARE enrollment </w:t>
      </w:r>
      <w:r w:rsidRPr="00592917">
        <w:t>goal</w:t>
      </w:r>
      <w:r>
        <w:t>, having reached 93 percent in August 2019.</w:t>
      </w:r>
      <w:r>
        <w:rPr>
          <w:rStyle w:val="FootnoteReference"/>
        </w:rPr>
        <w:footnoteReference w:id="36"/>
      </w:r>
      <w:r>
        <w:t xml:space="preserve"> </w:t>
      </w:r>
      <w:r w:rsidRPr="00592917">
        <w:t>SDG&amp;E propos</w:t>
      </w:r>
      <w:r>
        <w:t xml:space="preserve">es to </w:t>
      </w:r>
      <w:r w:rsidRPr="001A4C9C">
        <w:t>maintain</w:t>
      </w:r>
      <w:r w:rsidRPr="00592917">
        <w:t xml:space="preserve"> the 90</w:t>
      </w:r>
      <w:r>
        <w:t xml:space="preserve"> percent</w:t>
      </w:r>
      <w:r w:rsidRPr="00592917">
        <w:t xml:space="preserve"> </w:t>
      </w:r>
      <w:r>
        <w:t>enrollment</w:t>
      </w:r>
      <w:r w:rsidRPr="00592917">
        <w:t xml:space="preserve"> </w:t>
      </w:r>
      <w:r>
        <w:t xml:space="preserve">goal </w:t>
      </w:r>
      <w:r w:rsidRPr="00592917">
        <w:t xml:space="preserve">and </w:t>
      </w:r>
      <w:r>
        <w:t>does not</w:t>
      </w:r>
      <w:r w:rsidRPr="00592917">
        <w:t xml:space="preserve"> </w:t>
      </w:r>
      <w:r>
        <w:t xml:space="preserve">propose any additional </w:t>
      </w:r>
      <w:r w:rsidRPr="00592917">
        <w:t xml:space="preserve">goals for </w:t>
      </w:r>
      <w:r>
        <w:t>p</w:t>
      </w:r>
      <w:r w:rsidRPr="00592917">
        <w:t>articipation</w:t>
      </w:r>
      <w:r>
        <w:t xml:space="preserve">.  </w:t>
      </w:r>
      <w:r w:rsidRPr="00592917">
        <w:t>SDG&amp;E proposes increasing enrollment in the CARE Program to approximately 308,000 households by PY</w:t>
      </w:r>
      <w:r>
        <w:t> </w:t>
      </w:r>
      <w:r w:rsidRPr="00592917">
        <w:t>2026.</w:t>
      </w:r>
      <w:r w:rsidRPr="00592917">
        <w:rPr>
          <w:vertAlign w:val="superscript"/>
        </w:rPr>
        <w:footnoteReference w:id="37"/>
      </w:r>
    </w:p>
    <w:p w:rsidR="000C1980" w:rsidP="001968DC" w:rsidRDefault="000C1980" w14:paraId="71DD0DB7" w14:textId="77777777">
      <w:pPr>
        <w:pStyle w:val="Heading3"/>
        <w:tabs>
          <w:tab w:val="clear" w:pos="1440"/>
          <w:tab w:val="num" w:pos="1800"/>
        </w:tabs>
        <w:ind w:left="2664"/>
      </w:pPr>
      <w:bookmarkStart w:name="_Toc69947752" w:id="50"/>
      <w:r>
        <w:t>Party Positions</w:t>
      </w:r>
      <w:bookmarkEnd w:id="50"/>
      <w:r>
        <w:t xml:space="preserve"> </w:t>
      </w:r>
    </w:p>
    <w:p w:rsidRPr="00DB2A22" w:rsidR="000C1980" w:rsidP="00494671" w:rsidRDefault="000C1980" w14:paraId="48641007" w14:textId="77777777">
      <w:pPr>
        <w:pStyle w:val="Standard"/>
        <w:rPr>
          <w:i/>
          <w:iCs/>
        </w:rPr>
      </w:pPr>
      <w:bookmarkStart w:name="_Hlk54102196" w:id="51"/>
      <w:r>
        <w:t>No</w:t>
      </w:r>
      <w:r w:rsidRPr="00195C3E">
        <w:t xml:space="preserve"> </w:t>
      </w:r>
      <w:r>
        <w:t xml:space="preserve">substantive </w:t>
      </w:r>
      <w:r w:rsidRPr="00195C3E">
        <w:t xml:space="preserve">party comments </w:t>
      </w:r>
      <w:r>
        <w:t xml:space="preserve">were </w:t>
      </w:r>
      <w:r w:rsidRPr="00494671">
        <w:t>received</w:t>
      </w:r>
      <w:r>
        <w:t xml:space="preserve"> on this topic.</w:t>
      </w:r>
    </w:p>
    <w:p w:rsidR="000C1980" w:rsidP="001968DC" w:rsidRDefault="000C1980" w14:paraId="41C7C1C5" w14:textId="77777777">
      <w:pPr>
        <w:pStyle w:val="Heading3"/>
        <w:tabs>
          <w:tab w:val="clear" w:pos="1440"/>
          <w:tab w:val="num" w:pos="1800"/>
        </w:tabs>
        <w:ind w:left="2664"/>
      </w:pPr>
      <w:bookmarkStart w:name="_Toc69947753" w:id="52"/>
      <w:bookmarkEnd w:id="51"/>
      <w:r w:rsidRPr="001A4C9C">
        <w:t>Discussion</w:t>
      </w:r>
      <w:bookmarkEnd w:id="52"/>
    </w:p>
    <w:p w:rsidRPr="00260620" w:rsidR="000C1980" w:rsidP="001968DC" w:rsidRDefault="000C1980" w14:paraId="27618B9E" w14:textId="77777777">
      <w:pPr>
        <w:pStyle w:val="Heading4"/>
        <w:tabs>
          <w:tab w:val="clear" w:pos="2160"/>
          <w:tab w:val="num" w:pos="2520"/>
        </w:tabs>
        <w:ind w:left="3600"/>
      </w:pPr>
      <w:bookmarkStart w:name="_Toc69947754" w:id="53"/>
      <w:r w:rsidRPr="001A4C9C">
        <w:t>Percent</w:t>
      </w:r>
      <w:r w:rsidRPr="00260620">
        <w:t xml:space="preserve"> </w:t>
      </w:r>
      <w:r w:rsidRPr="001A4C9C">
        <w:t>Enrollment</w:t>
      </w:r>
      <w:r w:rsidRPr="00260620">
        <w:t xml:space="preserve"> Goal: </w:t>
      </w:r>
      <w:r w:rsidRPr="001A4C9C">
        <w:rPr>
          <w:u w:val="single"/>
        </w:rPr>
        <w:t>Approved</w:t>
      </w:r>
      <w:bookmarkEnd w:id="53"/>
    </w:p>
    <w:p w:rsidR="000C1980" w:rsidP="00494671" w:rsidRDefault="000C1980" w14:paraId="6435F933" w14:textId="23101A5B">
      <w:pPr>
        <w:pStyle w:val="Standard"/>
      </w:pPr>
      <w:r w:rsidRPr="00624550">
        <w:t>The Commission approves the IOU</w:t>
      </w:r>
      <w:r>
        <w:t xml:space="preserve">s’ </w:t>
      </w:r>
      <w:r w:rsidRPr="00624550">
        <w:t xml:space="preserve">CARE goals to keep </w:t>
      </w:r>
      <w:r>
        <w:t>its</w:t>
      </w:r>
      <w:r w:rsidRPr="00624550">
        <w:t xml:space="preserve"> CARE </w:t>
      </w:r>
      <w:r>
        <w:t>enrollment</w:t>
      </w:r>
      <w:r w:rsidRPr="00592917">
        <w:t xml:space="preserve"> </w:t>
      </w:r>
      <w:r>
        <w:t xml:space="preserve">rate </w:t>
      </w:r>
      <w:r w:rsidRPr="00624550">
        <w:t xml:space="preserve">at or above 90 percent during </w:t>
      </w:r>
      <w:r>
        <w:t xml:space="preserve">PYs </w:t>
      </w:r>
      <w:r w:rsidRPr="00624550">
        <w:t>2021</w:t>
      </w:r>
      <w:r>
        <w:t>-</w:t>
      </w:r>
      <w:r w:rsidRPr="00624550">
        <w:t xml:space="preserve">2026, which aligns with historical decisions which </w:t>
      </w:r>
      <w:r w:rsidRPr="00494671">
        <w:t>require</w:t>
      </w:r>
      <w:r w:rsidRPr="00624550">
        <w:t xml:space="preserve"> the IOUs to meet a 90 percent CARE enrollment goal. </w:t>
      </w:r>
      <w:r>
        <w:t xml:space="preserve">Below are the approved goals. </w:t>
      </w:r>
    </w:p>
    <w:p w:rsidR="000C1980" w:rsidP="00467CC0" w:rsidRDefault="000C1980" w14:paraId="4B8182CB" w14:textId="2D2D62DE">
      <w:pPr>
        <w:jc w:val="center"/>
        <w:rPr>
          <w:b/>
          <w:bCs/>
        </w:rPr>
      </w:pPr>
      <w:bookmarkStart w:name="_Ref54887789" w:id="54"/>
      <w:r w:rsidRPr="00467CC0">
        <w:rPr>
          <w:b/>
          <w:bCs/>
        </w:rPr>
        <w:t xml:space="preserve">Table </w:t>
      </w:r>
      <w:r w:rsidRPr="00467CC0">
        <w:rPr>
          <w:b/>
          <w:bCs/>
        </w:rPr>
        <w:fldChar w:fldCharType="begin"/>
      </w:r>
      <w:r w:rsidRPr="00467CC0">
        <w:rPr>
          <w:b/>
          <w:bCs/>
        </w:rPr>
        <w:instrText>SEQ Table \* ARABIC</w:instrText>
      </w:r>
      <w:r w:rsidRPr="00467CC0">
        <w:rPr>
          <w:b/>
          <w:bCs/>
        </w:rPr>
        <w:fldChar w:fldCharType="separate"/>
      </w:r>
      <w:r w:rsidR="004C2E01">
        <w:rPr>
          <w:b/>
          <w:bCs/>
          <w:noProof/>
        </w:rPr>
        <w:t>1</w:t>
      </w:r>
      <w:r w:rsidRPr="00467CC0">
        <w:rPr>
          <w:b/>
          <w:bCs/>
        </w:rPr>
        <w:fldChar w:fldCharType="end"/>
      </w:r>
      <w:bookmarkEnd w:id="54"/>
      <w:r w:rsidRPr="00467CC0">
        <w:rPr>
          <w:b/>
          <w:bCs/>
        </w:rPr>
        <w:t xml:space="preserve">: </w:t>
      </w:r>
      <w:r w:rsidRPr="00467CC0" w:rsidR="008802EE">
        <w:rPr>
          <w:b/>
          <w:bCs/>
        </w:rPr>
        <w:t xml:space="preserve">PY </w:t>
      </w:r>
      <w:r w:rsidRPr="00467CC0" w:rsidR="002559E2">
        <w:rPr>
          <w:b/>
          <w:bCs/>
        </w:rPr>
        <w:t xml:space="preserve">2021-2026 </w:t>
      </w:r>
      <w:r w:rsidRPr="00467CC0">
        <w:rPr>
          <w:b/>
          <w:bCs/>
        </w:rPr>
        <w:t xml:space="preserve">CARE Participation </w:t>
      </w:r>
      <w:r w:rsidRPr="00467CC0" w:rsidR="0064210C">
        <w:rPr>
          <w:b/>
          <w:bCs/>
        </w:rPr>
        <w:t xml:space="preserve">/ </w:t>
      </w:r>
      <w:r w:rsidRPr="00467CC0">
        <w:rPr>
          <w:b/>
          <w:bCs/>
        </w:rPr>
        <w:t xml:space="preserve">Enrollment </w:t>
      </w:r>
      <w:r w:rsidRPr="00467CC0" w:rsidR="00687443">
        <w:rPr>
          <w:b/>
          <w:bCs/>
        </w:rPr>
        <w:t xml:space="preserve">Percentage </w:t>
      </w:r>
      <w:r w:rsidRPr="00467CC0">
        <w:rPr>
          <w:b/>
          <w:bCs/>
        </w:rPr>
        <w:t>Goals</w:t>
      </w:r>
    </w:p>
    <w:p w:rsidRPr="00467CC0" w:rsidR="00467CC0" w:rsidP="00467CC0" w:rsidRDefault="00467CC0" w14:paraId="3CD358CA" w14:textId="77777777">
      <w:pPr>
        <w:rPr>
          <w:b/>
          <w:bCs/>
        </w:rPr>
      </w:pPr>
    </w:p>
    <w:tbl>
      <w:tblPr>
        <w:tblStyle w:val="TableTheme"/>
        <w:tblW w:w="9805" w:type="dxa"/>
        <w:tblLayout w:type="fixed"/>
        <w:tblLook w:val="04A0" w:firstRow="1" w:lastRow="0" w:firstColumn="1" w:lastColumn="0" w:noHBand="0" w:noVBand="1"/>
      </w:tblPr>
      <w:tblGrid>
        <w:gridCol w:w="914"/>
        <w:gridCol w:w="2231"/>
        <w:gridCol w:w="2160"/>
        <w:gridCol w:w="2340"/>
        <w:gridCol w:w="2160"/>
      </w:tblGrid>
      <w:tr w:rsidRPr="00887251" w:rsidR="002342A5" w:rsidTr="00481B2D" w14:paraId="7C84545D" w14:textId="77777777">
        <w:trPr>
          <w:trHeight w:val="130"/>
        </w:trPr>
        <w:tc>
          <w:tcPr>
            <w:tcW w:w="9805" w:type="dxa"/>
            <w:gridSpan w:val="5"/>
            <w:noWrap/>
            <w:vAlign w:val="bottom"/>
          </w:tcPr>
          <w:p w:rsidRPr="00887251" w:rsidR="002342A5" w:rsidP="00481B2D" w:rsidRDefault="002342A5" w14:paraId="56A7C02D" w14:textId="77777777">
            <w:pPr>
              <w:keepNext/>
              <w:keepLines/>
              <w:jc w:val="center"/>
              <w:rPr>
                <w:rFonts w:eastAsia="Times New Roman" w:cs="Calibri"/>
                <w:b/>
                <w:bCs/>
                <w:color w:val="000000" w:themeColor="text1"/>
                <w:szCs w:val="26"/>
              </w:rPr>
            </w:pPr>
            <w:r>
              <w:rPr>
                <w:rFonts w:eastAsia="Times New Roman" w:cs="Calibri"/>
                <w:b/>
                <w:bCs/>
                <w:color w:val="000000" w:themeColor="text1"/>
                <w:szCs w:val="26"/>
              </w:rPr>
              <w:t xml:space="preserve">PY 2021-2026 Approved </w:t>
            </w:r>
            <w:r w:rsidRPr="00887251">
              <w:rPr>
                <w:rFonts w:eastAsia="Times New Roman" w:cs="Calibri"/>
                <w:b/>
                <w:bCs/>
                <w:color w:val="000000" w:themeColor="text1"/>
                <w:szCs w:val="26"/>
              </w:rPr>
              <w:t>CARE Goals</w:t>
            </w:r>
          </w:p>
        </w:tc>
      </w:tr>
      <w:tr w:rsidRPr="00887251" w:rsidR="002342A5" w:rsidTr="00481B2D" w14:paraId="7227445E" w14:textId="77777777">
        <w:trPr>
          <w:trHeight w:val="130"/>
        </w:trPr>
        <w:tc>
          <w:tcPr>
            <w:tcW w:w="914" w:type="dxa"/>
            <w:vMerge w:val="restart"/>
            <w:noWrap/>
            <w:vAlign w:val="bottom"/>
            <w:hideMark/>
          </w:tcPr>
          <w:p w:rsidRPr="00887251" w:rsidR="002342A5" w:rsidP="00481B2D" w:rsidRDefault="002342A5" w14:paraId="7BA561B4" w14:textId="77777777">
            <w:pPr>
              <w:keepNext/>
              <w:keepLines/>
              <w:jc w:val="center"/>
              <w:rPr>
                <w:rFonts w:eastAsia="Times New Roman" w:cs="Calibri"/>
                <w:b/>
                <w:bCs/>
                <w:color w:val="000000" w:themeColor="text1"/>
                <w:szCs w:val="26"/>
              </w:rPr>
            </w:pPr>
            <w:r w:rsidRPr="00887251">
              <w:rPr>
                <w:rFonts w:eastAsia="Times New Roman" w:cs="Calibri"/>
                <w:color w:val="000000" w:themeColor="text1"/>
                <w:szCs w:val="26"/>
              </w:rPr>
              <w:t>PY</w:t>
            </w:r>
          </w:p>
        </w:tc>
        <w:tc>
          <w:tcPr>
            <w:tcW w:w="2231" w:type="dxa"/>
            <w:noWrap/>
            <w:vAlign w:val="bottom"/>
            <w:hideMark/>
          </w:tcPr>
          <w:p w:rsidRPr="00887251" w:rsidR="002342A5" w:rsidP="00481B2D" w:rsidRDefault="002342A5" w14:paraId="12A22237" w14:textId="77777777">
            <w:pPr>
              <w:keepNext/>
              <w:keepLines/>
              <w:jc w:val="center"/>
              <w:rPr>
                <w:rFonts w:eastAsia="Times New Roman" w:cs="Calibri"/>
                <w:b/>
                <w:bCs/>
                <w:color w:val="000000" w:themeColor="text1"/>
                <w:szCs w:val="26"/>
              </w:rPr>
            </w:pPr>
            <w:r w:rsidRPr="00887251">
              <w:rPr>
                <w:rFonts w:eastAsia="Times New Roman" w:cs="Calibri"/>
                <w:b/>
                <w:bCs/>
                <w:color w:val="000000" w:themeColor="text1"/>
                <w:szCs w:val="26"/>
              </w:rPr>
              <w:t>PG&amp;E</w:t>
            </w:r>
          </w:p>
        </w:tc>
        <w:tc>
          <w:tcPr>
            <w:tcW w:w="2160" w:type="dxa"/>
            <w:noWrap/>
            <w:vAlign w:val="bottom"/>
            <w:hideMark/>
          </w:tcPr>
          <w:p w:rsidRPr="00887251" w:rsidR="002342A5" w:rsidP="00481B2D" w:rsidRDefault="002342A5" w14:paraId="71075A24" w14:textId="77777777">
            <w:pPr>
              <w:keepNext/>
              <w:keepLines/>
              <w:jc w:val="center"/>
              <w:rPr>
                <w:rFonts w:eastAsia="Times New Roman" w:cs="Calibri"/>
                <w:b/>
                <w:bCs/>
                <w:color w:val="000000" w:themeColor="text1"/>
                <w:szCs w:val="26"/>
              </w:rPr>
            </w:pPr>
            <w:r w:rsidRPr="00887251">
              <w:rPr>
                <w:rFonts w:eastAsia="Times New Roman" w:cs="Calibri"/>
                <w:b/>
                <w:bCs/>
                <w:color w:val="000000" w:themeColor="text1"/>
                <w:szCs w:val="26"/>
              </w:rPr>
              <w:t>SCE</w:t>
            </w:r>
          </w:p>
        </w:tc>
        <w:tc>
          <w:tcPr>
            <w:tcW w:w="2340" w:type="dxa"/>
            <w:noWrap/>
            <w:vAlign w:val="bottom"/>
            <w:hideMark/>
          </w:tcPr>
          <w:p w:rsidRPr="00887251" w:rsidR="002342A5" w:rsidP="00481B2D" w:rsidRDefault="002342A5" w14:paraId="4219FFD4" w14:textId="77777777">
            <w:pPr>
              <w:keepNext/>
              <w:keepLines/>
              <w:jc w:val="center"/>
              <w:rPr>
                <w:rFonts w:eastAsia="Times New Roman" w:cs="Calibri"/>
                <w:b/>
                <w:bCs/>
                <w:color w:val="000000" w:themeColor="text1"/>
                <w:szCs w:val="26"/>
              </w:rPr>
            </w:pPr>
            <w:r w:rsidRPr="00887251">
              <w:rPr>
                <w:rFonts w:eastAsia="Times New Roman" w:cs="Calibri"/>
                <w:b/>
                <w:bCs/>
                <w:color w:val="000000" w:themeColor="text1"/>
                <w:szCs w:val="26"/>
              </w:rPr>
              <w:t>SoCalGas</w:t>
            </w:r>
          </w:p>
        </w:tc>
        <w:tc>
          <w:tcPr>
            <w:tcW w:w="2160" w:type="dxa"/>
            <w:noWrap/>
            <w:vAlign w:val="bottom"/>
            <w:hideMark/>
          </w:tcPr>
          <w:p w:rsidRPr="00887251" w:rsidR="002342A5" w:rsidP="00481B2D" w:rsidRDefault="002342A5" w14:paraId="7A783F74" w14:textId="77777777">
            <w:pPr>
              <w:keepNext/>
              <w:keepLines/>
              <w:jc w:val="center"/>
              <w:rPr>
                <w:rFonts w:eastAsia="Times New Roman" w:cs="Calibri"/>
                <w:b/>
                <w:bCs/>
                <w:color w:val="000000" w:themeColor="text1"/>
                <w:szCs w:val="26"/>
              </w:rPr>
            </w:pPr>
            <w:r w:rsidRPr="00887251">
              <w:rPr>
                <w:rFonts w:eastAsia="Times New Roman" w:cs="Calibri"/>
                <w:b/>
                <w:bCs/>
                <w:color w:val="000000" w:themeColor="text1"/>
                <w:szCs w:val="26"/>
              </w:rPr>
              <w:t>SDG&amp;E</w:t>
            </w:r>
          </w:p>
        </w:tc>
      </w:tr>
      <w:tr w:rsidRPr="00887251" w:rsidR="002342A5" w:rsidTr="00481B2D" w14:paraId="6C4A3D99" w14:textId="77777777">
        <w:trPr>
          <w:trHeight w:val="280"/>
        </w:trPr>
        <w:tc>
          <w:tcPr>
            <w:tcW w:w="914" w:type="dxa"/>
            <w:vMerge/>
            <w:vAlign w:val="bottom"/>
            <w:hideMark/>
          </w:tcPr>
          <w:p w:rsidRPr="00887251" w:rsidR="002342A5" w:rsidP="00481B2D" w:rsidRDefault="002342A5" w14:paraId="6776B478" w14:textId="77777777">
            <w:pPr>
              <w:jc w:val="center"/>
              <w:rPr>
                <w:rFonts w:eastAsia="Times New Roman" w:cs="Calibri"/>
                <w:color w:val="000000" w:themeColor="text1"/>
                <w:szCs w:val="26"/>
              </w:rPr>
            </w:pPr>
          </w:p>
        </w:tc>
        <w:tc>
          <w:tcPr>
            <w:tcW w:w="2231" w:type="dxa"/>
            <w:vAlign w:val="bottom"/>
            <w:hideMark/>
          </w:tcPr>
          <w:p w:rsidRPr="00887251" w:rsidR="002342A5" w:rsidP="00481B2D" w:rsidRDefault="002342A5" w14:paraId="4FF65634" w14:textId="77777777">
            <w:pPr>
              <w:jc w:val="center"/>
              <w:rPr>
                <w:rFonts w:eastAsia="Times New Roman" w:cs="Calibri"/>
                <w:color w:val="000000" w:themeColor="text1"/>
                <w:szCs w:val="26"/>
              </w:rPr>
            </w:pPr>
            <w:r w:rsidRPr="00887251">
              <w:rPr>
                <w:rFonts w:eastAsia="Times New Roman" w:cs="Calibri"/>
                <w:color w:val="000000" w:themeColor="text1"/>
                <w:szCs w:val="26"/>
              </w:rPr>
              <w:t>Participation/</w:t>
            </w:r>
          </w:p>
          <w:p w:rsidRPr="00887251" w:rsidR="002342A5" w:rsidP="00481B2D" w:rsidRDefault="002342A5" w14:paraId="3855F756" w14:textId="77777777">
            <w:pPr>
              <w:jc w:val="center"/>
              <w:rPr>
                <w:rFonts w:eastAsia="Times New Roman" w:cs="Calibri"/>
                <w:color w:val="000000" w:themeColor="text1"/>
                <w:szCs w:val="26"/>
              </w:rPr>
            </w:pPr>
            <w:r>
              <w:t>Enrollment</w:t>
            </w:r>
            <w:r w:rsidRPr="00592917">
              <w:t xml:space="preserve"> </w:t>
            </w:r>
            <w:r w:rsidRPr="00887251">
              <w:rPr>
                <w:rFonts w:eastAsia="Times New Roman" w:cs="Calibri"/>
                <w:color w:val="000000" w:themeColor="text1"/>
                <w:szCs w:val="26"/>
              </w:rPr>
              <w:t>Goal</w:t>
            </w:r>
          </w:p>
        </w:tc>
        <w:tc>
          <w:tcPr>
            <w:tcW w:w="2160" w:type="dxa"/>
            <w:vAlign w:val="bottom"/>
            <w:hideMark/>
          </w:tcPr>
          <w:p w:rsidRPr="00887251" w:rsidR="002342A5" w:rsidP="00481B2D" w:rsidRDefault="002342A5" w14:paraId="54FE6E0A" w14:textId="77777777">
            <w:pPr>
              <w:jc w:val="center"/>
              <w:rPr>
                <w:rFonts w:eastAsia="Times New Roman" w:cs="Calibri"/>
                <w:color w:val="000000" w:themeColor="text1"/>
                <w:szCs w:val="26"/>
              </w:rPr>
            </w:pPr>
            <w:r w:rsidRPr="00887251">
              <w:rPr>
                <w:rFonts w:eastAsia="Times New Roman" w:cs="Calibri"/>
                <w:color w:val="000000" w:themeColor="text1"/>
                <w:szCs w:val="26"/>
              </w:rPr>
              <w:t>Participation/</w:t>
            </w:r>
          </w:p>
          <w:p w:rsidRPr="00887251" w:rsidR="002342A5" w:rsidP="00481B2D" w:rsidRDefault="002342A5" w14:paraId="3FD060A1" w14:textId="77777777">
            <w:pPr>
              <w:jc w:val="center"/>
              <w:rPr>
                <w:rFonts w:eastAsia="Times New Roman" w:cs="Calibri"/>
                <w:color w:val="000000" w:themeColor="text1"/>
                <w:szCs w:val="26"/>
              </w:rPr>
            </w:pPr>
            <w:r>
              <w:t>Enrollment</w:t>
            </w:r>
            <w:r w:rsidRPr="00592917">
              <w:t xml:space="preserve"> </w:t>
            </w:r>
            <w:r w:rsidRPr="00887251">
              <w:rPr>
                <w:rFonts w:eastAsia="Times New Roman" w:cs="Calibri"/>
                <w:color w:val="000000" w:themeColor="text1"/>
                <w:szCs w:val="26"/>
              </w:rPr>
              <w:t>Goal</w:t>
            </w:r>
          </w:p>
        </w:tc>
        <w:tc>
          <w:tcPr>
            <w:tcW w:w="2340" w:type="dxa"/>
            <w:vAlign w:val="bottom"/>
            <w:hideMark/>
          </w:tcPr>
          <w:p w:rsidRPr="00887251" w:rsidR="002342A5" w:rsidP="00481B2D" w:rsidRDefault="002342A5" w14:paraId="3817E904" w14:textId="77777777">
            <w:pPr>
              <w:jc w:val="center"/>
              <w:rPr>
                <w:rFonts w:eastAsia="Times New Roman" w:cs="Calibri"/>
                <w:color w:val="000000" w:themeColor="text1"/>
                <w:szCs w:val="26"/>
              </w:rPr>
            </w:pPr>
            <w:r w:rsidRPr="00887251">
              <w:rPr>
                <w:rFonts w:eastAsia="Times New Roman" w:cs="Calibri"/>
                <w:color w:val="000000" w:themeColor="text1"/>
                <w:szCs w:val="26"/>
              </w:rPr>
              <w:t>Participation/</w:t>
            </w:r>
          </w:p>
          <w:p w:rsidRPr="00887251" w:rsidR="002342A5" w:rsidP="00481B2D" w:rsidRDefault="002342A5" w14:paraId="085300D8" w14:textId="77777777">
            <w:pPr>
              <w:jc w:val="center"/>
              <w:rPr>
                <w:rFonts w:eastAsia="Times New Roman" w:cs="Calibri"/>
                <w:color w:val="000000" w:themeColor="text1"/>
                <w:szCs w:val="26"/>
              </w:rPr>
            </w:pPr>
            <w:r>
              <w:t>Enrollment</w:t>
            </w:r>
            <w:r w:rsidRPr="00592917">
              <w:t xml:space="preserve"> </w:t>
            </w:r>
            <w:r w:rsidRPr="00887251">
              <w:rPr>
                <w:rFonts w:eastAsia="Times New Roman" w:cs="Calibri"/>
                <w:color w:val="000000" w:themeColor="text1"/>
                <w:szCs w:val="26"/>
              </w:rPr>
              <w:t>Goal</w:t>
            </w:r>
          </w:p>
        </w:tc>
        <w:tc>
          <w:tcPr>
            <w:tcW w:w="2160" w:type="dxa"/>
            <w:vAlign w:val="bottom"/>
            <w:hideMark/>
          </w:tcPr>
          <w:p w:rsidRPr="00887251" w:rsidR="002342A5" w:rsidP="00481B2D" w:rsidRDefault="002342A5" w14:paraId="73540F65" w14:textId="77777777">
            <w:pPr>
              <w:jc w:val="center"/>
              <w:rPr>
                <w:rFonts w:eastAsia="Times New Roman" w:cs="Calibri"/>
                <w:color w:val="000000" w:themeColor="text1"/>
                <w:szCs w:val="26"/>
              </w:rPr>
            </w:pPr>
            <w:r w:rsidRPr="00887251">
              <w:rPr>
                <w:rFonts w:eastAsia="Times New Roman" w:cs="Calibri"/>
                <w:color w:val="000000" w:themeColor="text1"/>
                <w:szCs w:val="26"/>
              </w:rPr>
              <w:t>Participation/</w:t>
            </w:r>
          </w:p>
          <w:p w:rsidRPr="00887251" w:rsidR="002342A5" w:rsidP="00481B2D" w:rsidRDefault="002342A5" w14:paraId="7ADF86FB" w14:textId="77777777">
            <w:pPr>
              <w:jc w:val="center"/>
              <w:rPr>
                <w:rFonts w:eastAsia="Times New Roman" w:cs="Calibri"/>
                <w:color w:val="000000" w:themeColor="text1"/>
                <w:szCs w:val="26"/>
              </w:rPr>
            </w:pPr>
            <w:r>
              <w:t>Enrollment</w:t>
            </w:r>
            <w:r w:rsidRPr="00592917">
              <w:t xml:space="preserve"> </w:t>
            </w:r>
            <w:r w:rsidRPr="00887251">
              <w:rPr>
                <w:rFonts w:eastAsia="Times New Roman" w:cs="Calibri"/>
                <w:color w:val="000000" w:themeColor="text1"/>
                <w:szCs w:val="26"/>
              </w:rPr>
              <w:t>Goal</w:t>
            </w:r>
          </w:p>
        </w:tc>
      </w:tr>
      <w:tr w:rsidRPr="00887251" w:rsidR="002342A5" w:rsidTr="00B245D4" w14:paraId="2ABBD4D0" w14:textId="77777777">
        <w:trPr>
          <w:trHeight w:val="130"/>
        </w:trPr>
        <w:tc>
          <w:tcPr>
            <w:tcW w:w="914" w:type="dxa"/>
            <w:noWrap/>
            <w:vAlign w:val="bottom"/>
            <w:hideMark/>
          </w:tcPr>
          <w:p w:rsidRPr="00887251" w:rsidR="002342A5" w:rsidP="00481B2D" w:rsidRDefault="002342A5" w14:paraId="7729FE81" w14:textId="77777777">
            <w:pPr>
              <w:jc w:val="right"/>
              <w:rPr>
                <w:rFonts w:eastAsia="Times New Roman" w:cs="Calibri"/>
                <w:b/>
                <w:bCs/>
                <w:color w:val="000000" w:themeColor="text1"/>
                <w:szCs w:val="26"/>
              </w:rPr>
            </w:pPr>
            <w:r w:rsidRPr="00887251">
              <w:rPr>
                <w:rFonts w:eastAsia="Times New Roman" w:cs="Calibri"/>
                <w:b/>
                <w:bCs/>
                <w:color w:val="000000" w:themeColor="text1"/>
                <w:szCs w:val="26"/>
              </w:rPr>
              <w:t>2021</w:t>
            </w:r>
          </w:p>
        </w:tc>
        <w:tc>
          <w:tcPr>
            <w:tcW w:w="2231" w:type="dxa"/>
            <w:vMerge w:val="restart"/>
            <w:noWrap/>
            <w:vAlign w:val="bottom"/>
          </w:tcPr>
          <w:p w:rsidRPr="00887251" w:rsidR="002342A5" w:rsidP="002342A5" w:rsidRDefault="002342A5" w14:paraId="5AD90465" w14:textId="77777777">
            <w:pPr>
              <w:jc w:val="center"/>
              <w:rPr>
                <w:rFonts w:eastAsia="Times New Roman" w:cs="Calibri"/>
                <w:color w:val="000000" w:themeColor="text1"/>
                <w:szCs w:val="26"/>
              </w:rPr>
            </w:pPr>
            <w:r w:rsidRPr="00887251">
              <w:rPr>
                <w:rFonts w:eastAsia="Times New Roman" w:cs="Calibri"/>
                <w:color w:val="000000" w:themeColor="text1"/>
                <w:szCs w:val="26"/>
              </w:rPr>
              <w:t>93%</w:t>
            </w:r>
          </w:p>
          <w:p w:rsidRPr="00887251" w:rsidR="002342A5" w:rsidP="002342A5" w:rsidRDefault="002342A5" w14:paraId="0076A6DF" w14:textId="77777777">
            <w:pPr>
              <w:jc w:val="center"/>
              <w:rPr>
                <w:rFonts w:eastAsia="Times New Roman" w:cs="Calibri"/>
                <w:color w:val="000000" w:themeColor="text1"/>
                <w:szCs w:val="26"/>
              </w:rPr>
            </w:pPr>
            <w:r w:rsidRPr="00887251">
              <w:rPr>
                <w:rFonts w:eastAsia="Times New Roman" w:cs="Calibri"/>
                <w:color w:val="000000" w:themeColor="text1"/>
                <w:szCs w:val="26"/>
              </w:rPr>
              <w:lastRenderedPageBreak/>
              <w:t>93%</w:t>
            </w:r>
          </w:p>
          <w:p w:rsidRPr="00887251" w:rsidR="002342A5" w:rsidP="002342A5" w:rsidRDefault="002342A5" w14:paraId="62EC6FEF" w14:textId="77777777">
            <w:pPr>
              <w:jc w:val="center"/>
              <w:rPr>
                <w:rFonts w:eastAsia="Times New Roman" w:cs="Calibri"/>
                <w:color w:val="000000" w:themeColor="text1"/>
                <w:szCs w:val="26"/>
              </w:rPr>
            </w:pPr>
            <w:r w:rsidRPr="00887251">
              <w:rPr>
                <w:rFonts w:eastAsia="Times New Roman" w:cs="Calibri"/>
                <w:color w:val="000000" w:themeColor="text1"/>
                <w:szCs w:val="26"/>
              </w:rPr>
              <w:t>93%</w:t>
            </w:r>
          </w:p>
          <w:p w:rsidRPr="00887251" w:rsidR="002342A5" w:rsidP="002342A5" w:rsidRDefault="002342A5" w14:paraId="238F0323" w14:textId="77777777">
            <w:pPr>
              <w:jc w:val="center"/>
              <w:rPr>
                <w:rFonts w:eastAsia="Times New Roman" w:cs="Calibri"/>
                <w:color w:val="000000" w:themeColor="text1"/>
                <w:szCs w:val="26"/>
              </w:rPr>
            </w:pPr>
            <w:r w:rsidRPr="00887251">
              <w:rPr>
                <w:rFonts w:eastAsia="Times New Roman" w:cs="Calibri"/>
                <w:color w:val="000000" w:themeColor="text1"/>
                <w:szCs w:val="26"/>
              </w:rPr>
              <w:t>93%</w:t>
            </w:r>
          </w:p>
          <w:p w:rsidRPr="00887251" w:rsidR="002342A5" w:rsidP="002342A5" w:rsidRDefault="002342A5" w14:paraId="40781674" w14:textId="77777777">
            <w:pPr>
              <w:jc w:val="center"/>
              <w:rPr>
                <w:rFonts w:eastAsia="Times New Roman" w:cs="Calibri"/>
                <w:color w:val="000000" w:themeColor="text1"/>
                <w:szCs w:val="26"/>
              </w:rPr>
            </w:pPr>
            <w:r w:rsidRPr="00887251">
              <w:rPr>
                <w:rFonts w:eastAsia="Times New Roman" w:cs="Calibri"/>
                <w:color w:val="000000" w:themeColor="text1"/>
                <w:szCs w:val="26"/>
              </w:rPr>
              <w:t>93%</w:t>
            </w:r>
          </w:p>
          <w:p w:rsidRPr="00887251" w:rsidR="002342A5" w:rsidP="002342A5" w:rsidRDefault="002342A5" w14:paraId="548EB10F" w14:textId="5A023795">
            <w:pPr>
              <w:jc w:val="center"/>
              <w:rPr>
                <w:rFonts w:eastAsia="Times New Roman" w:cs="Calibri"/>
                <w:color w:val="000000" w:themeColor="text1"/>
                <w:szCs w:val="26"/>
              </w:rPr>
            </w:pPr>
            <w:r w:rsidRPr="00887251">
              <w:rPr>
                <w:rFonts w:eastAsia="Times New Roman" w:cs="Calibri"/>
                <w:color w:val="000000" w:themeColor="text1"/>
                <w:szCs w:val="26"/>
              </w:rPr>
              <w:t>93%</w:t>
            </w:r>
          </w:p>
        </w:tc>
        <w:tc>
          <w:tcPr>
            <w:tcW w:w="2160" w:type="dxa"/>
            <w:vMerge w:val="restart"/>
            <w:noWrap/>
            <w:vAlign w:val="bottom"/>
          </w:tcPr>
          <w:p w:rsidRPr="00887251" w:rsidR="002342A5" w:rsidP="002342A5" w:rsidRDefault="002342A5" w14:paraId="73B338C6" w14:textId="77777777">
            <w:pPr>
              <w:jc w:val="center"/>
              <w:rPr>
                <w:rFonts w:eastAsia="Times New Roman" w:cs="Calibri"/>
                <w:color w:val="000000" w:themeColor="text1"/>
                <w:szCs w:val="26"/>
              </w:rPr>
            </w:pPr>
            <w:r w:rsidRPr="00887251">
              <w:rPr>
                <w:rFonts w:eastAsia="Times New Roman" w:cs="Calibri"/>
                <w:color w:val="000000" w:themeColor="text1"/>
                <w:szCs w:val="26"/>
              </w:rPr>
              <w:lastRenderedPageBreak/>
              <w:t>90%</w:t>
            </w:r>
          </w:p>
          <w:p w:rsidRPr="00887251" w:rsidR="002342A5" w:rsidP="002342A5" w:rsidRDefault="002342A5" w14:paraId="15B09DE8" w14:textId="77777777">
            <w:pPr>
              <w:jc w:val="center"/>
              <w:rPr>
                <w:rFonts w:eastAsia="Times New Roman" w:cs="Calibri"/>
                <w:color w:val="000000" w:themeColor="text1"/>
                <w:szCs w:val="26"/>
              </w:rPr>
            </w:pPr>
            <w:r w:rsidRPr="00887251">
              <w:rPr>
                <w:rFonts w:eastAsia="Times New Roman" w:cs="Calibri"/>
                <w:color w:val="000000" w:themeColor="text1"/>
                <w:szCs w:val="26"/>
              </w:rPr>
              <w:lastRenderedPageBreak/>
              <w:t>91%</w:t>
            </w:r>
          </w:p>
          <w:p w:rsidRPr="00887251" w:rsidR="002342A5" w:rsidP="002342A5" w:rsidRDefault="002342A5" w14:paraId="33A6930A" w14:textId="77777777">
            <w:pPr>
              <w:jc w:val="center"/>
              <w:rPr>
                <w:rFonts w:eastAsia="Times New Roman" w:cs="Calibri"/>
                <w:color w:val="000000" w:themeColor="text1"/>
                <w:szCs w:val="26"/>
              </w:rPr>
            </w:pPr>
            <w:r w:rsidRPr="00887251">
              <w:rPr>
                <w:rFonts w:eastAsia="Times New Roman" w:cs="Calibri"/>
                <w:color w:val="000000" w:themeColor="text1"/>
                <w:szCs w:val="26"/>
              </w:rPr>
              <w:t>91%</w:t>
            </w:r>
          </w:p>
          <w:p w:rsidRPr="00887251" w:rsidR="002342A5" w:rsidP="002342A5" w:rsidRDefault="002342A5" w14:paraId="1863C498" w14:textId="77777777">
            <w:pPr>
              <w:jc w:val="center"/>
              <w:rPr>
                <w:rFonts w:eastAsia="Times New Roman" w:cs="Calibri"/>
                <w:color w:val="000000" w:themeColor="text1"/>
                <w:szCs w:val="26"/>
              </w:rPr>
            </w:pPr>
            <w:r w:rsidRPr="00887251">
              <w:rPr>
                <w:rFonts w:eastAsia="Times New Roman" w:cs="Calibri"/>
                <w:color w:val="000000" w:themeColor="text1"/>
                <w:szCs w:val="26"/>
              </w:rPr>
              <w:t>91%</w:t>
            </w:r>
          </w:p>
          <w:p w:rsidRPr="00887251" w:rsidR="002342A5" w:rsidP="002342A5" w:rsidRDefault="002342A5" w14:paraId="4679CC84" w14:textId="77777777">
            <w:pPr>
              <w:jc w:val="center"/>
              <w:rPr>
                <w:rFonts w:eastAsia="Times New Roman" w:cs="Calibri"/>
                <w:color w:val="000000" w:themeColor="text1"/>
                <w:szCs w:val="26"/>
              </w:rPr>
            </w:pPr>
            <w:r w:rsidRPr="00FA7826">
              <w:rPr>
                <w:rFonts w:eastAsia="Times New Roman" w:cs="Calibri"/>
                <w:color w:val="000000" w:themeColor="text1"/>
                <w:szCs w:val="26"/>
              </w:rPr>
              <w:t>91%</w:t>
            </w:r>
          </w:p>
          <w:p w:rsidRPr="00887251" w:rsidR="002342A5" w:rsidP="002342A5" w:rsidRDefault="002342A5" w14:paraId="7C7DEE55" w14:textId="49A7C0DD">
            <w:pPr>
              <w:jc w:val="center"/>
              <w:rPr>
                <w:rFonts w:eastAsia="Times New Roman" w:cs="Calibri"/>
                <w:color w:val="000000" w:themeColor="text1"/>
                <w:szCs w:val="26"/>
              </w:rPr>
            </w:pPr>
            <w:r w:rsidRPr="00FA7826">
              <w:rPr>
                <w:rFonts w:eastAsia="Times New Roman" w:cs="Calibri"/>
                <w:color w:val="000000" w:themeColor="text1"/>
                <w:szCs w:val="26"/>
              </w:rPr>
              <w:t>92%</w:t>
            </w:r>
          </w:p>
        </w:tc>
        <w:tc>
          <w:tcPr>
            <w:tcW w:w="2340" w:type="dxa"/>
            <w:vMerge w:val="restart"/>
            <w:noWrap/>
            <w:vAlign w:val="bottom"/>
          </w:tcPr>
          <w:p w:rsidRPr="00887251" w:rsidR="002342A5" w:rsidP="002342A5" w:rsidRDefault="002342A5" w14:paraId="7F4D4F0C" w14:textId="77777777">
            <w:pPr>
              <w:jc w:val="center"/>
              <w:rPr>
                <w:rFonts w:eastAsia="Times New Roman" w:cs="Calibri"/>
                <w:color w:val="000000" w:themeColor="text1"/>
                <w:szCs w:val="26"/>
              </w:rPr>
            </w:pPr>
            <w:r w:rsidRPr="00887251">
              <w:rPr>
                <w:rFonts w:eastAsia="Times New Roman" w:cs="Calibri"/>
                <w:color w:val="000000" w:themeColor="text1"/>
                <w:szCs w:val="26"/>
              </w:rPr>
              <w:lastRenderedPageBreak/>
              <w:t>95%</w:t>
            </w:r>
          </w:p>
          <w:p w:rsidRPr="00887251" w:rsidR="002342A5" w:rsidP="002342A5" w:rsidRDefault="002342A5" w14:paraId="03CA3EDB" w14:textId="77777777">
            <w:pPr>
              <w:jc w:val="center"/>
              <w:rPr>
                <w:rFonts w:eastAsia="Times New Roman" w:cs="Calibri"/>
                <w:color w:val="000000" w:themeColor="text1"/>
                <w:szCs w:val="26"/>
              </w:rPr>
            </w:pPr>
            <w:r w:rsidRPr="00887251">
              <w:rPr>
                <w:rFonts w:eastAsia="Times New Roman" w:cs="Calibri"/>
                <w:color w:val="000000" w:themeColor="text1"/>
                <w:szCs w:val="26"/>
              </w:rPr>
              <w:lastRenderedPageBreak/>
              <w:t>95%</w:t>
            </w:r>
          </w:p>
          <w:p w:rsidRPr="00887251" w:rsidR="002342A5" w:rsidP="002342A5" w:rsidRDefault="002342A5" w14:paraId="00DA044C" w14:textId="77777777">
            <w:pPr>
              <w:jc w:val="center"/>
              <w:rPr>
                <w:rFonts w:eastAsia="Times New Roman" w:cs="Calibri"/>
                <w:color w:val="000000" w:themeColor="text1"/>
                <w:szCs w:val="26"/>
              </w:rPr>
            </w:pPr>
            <w:r w:rsidRPr="00887251">
              <w:rPr>
                <w:rFonts w:eastAsia="Times New Roman" w:cs="Calibri"/>
                <w:color w:val="000000" w:themeColor="text1"/>
                <w:szCs w:val="26"/>
              </w:rPr>
              <w:t>95%</w:t>
            </w:r>
          </w:p>
          <w:p w:rsidRPr="00887251" w:rsidR="002342A5" w:rsidP="002342A5" w:rsidRDefault="002342A5" w14:paraId="46E37595" w14:textId="77777777">
            <w:pPr>
              <w:jc w:val="center"/>
              <w:rPr>
                <w:rFonts w:eastAsia="Times New Roman" w:cs="Calibri"/>
                <w:color w:val="000000" w:themeColor="text1"/>
                <w:szCs w:val="26"/>
              </w:rPr>
            </w:pPr>
            <w:r w:rsidRPr="00887251">
              <w:rPr>
                <w:rFonts w:eastAsia="Times New Roman" w:cs="Calibri"/>
                <w:color w:val="000000" w:themeColor="text1"/>
                <w:szCs w:val="26"/>
              </w:rPr>
              <w:t>95%</w:t>
            </w:r>
          </w:p>
          <w:p w:rsidRPr="00887251" w:rsidR="002342A5" w:rsidP="002342A5" w:rsidRDefault="002342A5" w14:paraId="1F22A1C9" w14:textId="77777777">
            <w:pPr>
              <w:jc w:val="center"/>
              <w:rPr>
                <w:rFonts w:eastAsia="Times New Roman" w:cs="Calibri"/>
                <w:color w:val="000000" w:themeColor="text1"/>
                <w:szCs w:val="26"/>
              </w:rPr>
            </w:pPr>
            <w:r w:rsidRPr="00887251">
              <w:rPr>
                <w:rFonts w:eastAsia="Times New Roman" w:cs="Calibri"/>
                <w:color w:val="000000" w:themeColor="text1"/>
                <w:szCs w:val="26"/>
              </w:rPr>
              <w:t>95%</w:t>
            </w:r>
          </w:p>
          <w:p w:rsidRPr="00887251" w:rsidR="002342A5" w:rsidP="002342A5" w:rsidRDefault="002342A5" w14:paraId="0CA385A6" w14:textId="0EA553FF">
            <w:pPr>
              <w:jc w:val="center"/>
              <w:rPr>
                <w:rFonts w:eastAsia="Times New Roman" w:cs="Calibri"/>
                <w:color w:val="000000" w:themeColor="text1"/>
                <w:szCs w:val="26"/>
              </w:rPr>
            </w:pPr>
            <w:r w:rsidRPr="00887251">
              <w:rPr>
                <w:rFonts w:eastAsia="Times New Roman" w:cs="Calibri"/>
                <w:color w:val="000000" w:themeColor="text1"/>
                <w:szCs w:val="26"/>
              </w:rPr>
              <w:t>95%</w:t>
            </w:r>
          </w:p>
        </w:tc>
        <w:tc>
          <w:tcPr>
            <w:tcW w:w="2160" w:type="dxa"/>
            <w:vMerge w:val="restart"/>
            <w:noWrap/>
            <w:vAlign w:val="bottom"/>
          </w:tcPr>
          <w:p w:rsidRPr="002342A5" w:rsidR="002342A5" w:rsidP="002342A5" w:rsidRDefault="002342A5" w14:paraId="351B76E2" w14:textId="77777777">
            <w:pPr>
              <w:jc w:val="center"/>
              <w:rPr>
                <w:rFonts w:eastAsia="Times New Roman" w:cs="Calibri"/>
                <w:color w:val="000000" w:themeColor="text1"/>
                <w:szCs w:val="26"/>
              </w:rPr>
            </w:pPr>
            <w:r w:rsidRPr="002342A5">
              <w:rPr>
                <w:rFonts w:eastAsia="Times New Roman" w:cs="Calibri"/>
                <w:color w:val="000000" w:themeColor="text1"/>
                <w:szCs w:val="26"/>
              </w:rPr>
              <w:lastRenderedPageBreak/>
              <w:t>90%</w:t>
            </w:r>
          </w:p>
          <w:p w:rsidRPr="002342A5" w:rsidR="002342A5" w:rsidP="002342A5" w:rsidRDefault="002342A5" w14:paraId="41DA63F5" w14:textId="77777777">
            <w:pPr>
              <w:jc w:val="center"/>
              <w:rPr>
                <w:rFonts w:eastAsia="Times New Roman" w:cs="Calibri"/>
                <w:color w:val="000000" w:themeColor="text1"/>
                <w:szCs w:val="26"/>
              </w:rPr>
            </w:pPr>
            <w:r w:rsidRPr="002342A5">
              <w:rPr>
                <w:rFonts w:eastAsia="Times New Roman" w:cs="Calibri"/>
                <w:color w:val="000000" w:themeColor="text1"/>
                <w:szCs w:val="26"/>
              </w:rPr>
              <w:lastRenderedPageBreak/>
              <w:t>90%</w:t>
            </w:r>
          </w:p>
          <w:p w:rsidRPr="002342A5" w:rsidR="002342A5" w:rsidP="002342A5" w:rsidRDefault="002342A5" w14:paraId="72398285" w14:textId="77777777">
            <w:pPr>
              <w:jc w:val="center"/>
              <w:rPr>
                <w:rFonts w:eastAsia="Times New Roman" w:cs="Calibri"/>
                <w:color w:val="000000" w:themeColor="text1"/>
                <w:szCs w:val="26"/>
              </w:rPr>
            </w:pPr>
            <w:r w:rsidRPr="002342A5">
              <w:rPr>
                <w:rFonts w:eastAsia="Times New Roman" w:cs="Calibri"/>
                <w:color w:val="000000" w:themeColor="text1"/>
                <w:szCs w:val="26"/>
              </w:rPr>
              <w:t>90%</w:t>
            </w:r>
          </w:p>
          <w:p w:rsidRPr="002342A5" w:rsidR="002342A5" w:rsidP="002342A5" w:rsidRDefault="002342A5" w14:paraId="23512453" w14:textId="77777777">
            <w:pPr>
              <w:jc w:val="center"/>
              <w:rPr>
                <w:rFonts w:eastAsia="Times New Roman" w:cs="Calibri"/>
                <w:color w:val="000000" w:themeColor="text1"/>
                <w:szCs w:val="26"/>
              </w:rPr>
            </w:pPr>
            <w:r w:rsidRPr="002342A5">
              <w:rPr>
                <w:rFonts w:eastAsia="Times New Roman" w:cs="Calibri"/>
                <w:color w:val="000000" w:themeColor="text1"/>
                <w:szCs w:val="26"/>
              </w:rPr>
              <w:t>90%</w:t>
            </w:r>
          </w:p>
          <w:p w:rsidRPr="002342A5" w:rsidR="002342A5" w:rsidP="002342A5" w:rsidRDefault="002342A5" w14:paraId="7AEB4F4D" w14:textId="77777777">
            <w:pPr>
              <w:jc w:val="center"/>
              <w:rPr>
                <w:rFonts w:eastAsia="Times New Roman" w:cs="Calibri"/>
                <w:color w:val="000000" w:themeColor="text1"/>
                <w:szCs w:val="26"/>
              </w:rPr>
            </w:pPr>
            <w:r w:rsidRPr="002342A5">
              <w:rPr>
                <w:rFonts w:eastAsia="Times New Roman" w:cs="Calibri"/>
                <w:color w:val="000000" w:themeColor="text1"/>
                <w:szCs w:val="26"/>
              </w:rPr>
              <w:t>90%</w:t>
            </w:r>
          </w:p>
          <w:p w:rsidRPr="002342A5" w:rsidR="002342A5" w:rsidP="002342A5" w:rsidRDefault="002342A5" w14:paraId="6C8AFA93" w14:textId="304E444B">
            <w:pPr>
              <w:jc w:val="center"/>
              <w:rPr>
                <w:rFonts w:eastAsia="Times New Roman" w:cs="Calibri"/>
                <w:color w:val="000000" w:themeColor="text1"/>
                <w:szCs w:val="26"/>
              </w:rPr>
            </w:pPr>
            <w:r w:rsidRPr="002342A5">
              <w:rPr>
                <w:rFonts w:eastAsia="Times New Roman" w:cs="Calibri"/>
                <w:color w:val="000000" w:themeColor="text1"/>
                <w:szCs w:val="26"/>
              </w:rPr>
              <w:t>90%</w:t>
            </w:r>
          </w:p>
        </w:tc>
      </w:tr>
      <w:tr w:rsidRPr="00887251" w:rsidR="002342A5" w:rsidTr="00B245D4" w14:paraId="326F56A7" w14:textId="77777777">
        <w:trPr>
          <w:trHeight w:val="130"/>
        </w:trPr>
        <w:tc>
          <w:tcPr>
            <w:tcW w:w="914" w:type="dxa"/>
            <w:noWrap/>
            <w:vAlign w:val="bottom"/>
            <w:hideMark/>
          </w:tcPr>
          <w:p w:rsidRPr="00887251" w:rsidR="002342A5" w:rsidP="00481B2D" w:rsidRDefault="002342A5" w14:paraId="02DFE956" w14:textId="77777777">
            <w:pPr>
              <w:jc w:val="right"/>
              <w:rPr>
                <w:rFonts w:eastAsia="Times New Roman" w:cs="Calibri"/>
                <w:b/>
                <w:bCs/>
                <w:color w:val="000000" w:themeColor="text1"/>
                <w:szCs w:val="26"/>
              </w:rPr>
            </w:pPr>
            <w:r w:rsidRPr="00887251">
              <w:rPr>
                <w:rFonts w:eastAsia="Times New Roman" w:cs="Calibri"/>
                <w:b/>
                <w:bCs/>
                <w:color w:val="000000" w:themeColor="text1"/>
                <w:szCs w:val="26"/>
              </w:rPr>
              <w:t>2022</w:t>
            </w:r>
          </w:p>
        </w:tc>
        <w:tc>
          <w:tcPr>
            <w:tcW w:w="2231" w:type="dxa"/>
            <w:vMerge/>
            <w:noWrap/>
            <w:vAlign w:val="bottom"/>
          </w:tcPr>
          <w:p w:rsidRPr="00887251" w:rsidR="002342A5" w:rsidP="00481B2D" w:rsidRDefault="002342A5" w14:paraId="27CCF08C" w14:textId="329BD57E">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13EED328" w14:textId="1564B27B">
            <w:pPr>
              <w:jc w:val="right"/>
              <w:rPr>
                <w:rFonts w:eastAsia="Times New Roman" w:cs="Calibri"/>
                <w:color w:val="000000" w:themeColor="text1"/>
                <w:szCs w:val="26"/>
              </w:rPr>
            </w:pPr>
          </w:p>
        </w:tc>
        <w:tc>
          <w:tcPr>
            <w:tcW w:w="2340" w:type="dxa"/>
            <w:vMerge/>
            <w:noWrap/>
            <w:vAlign w:val="bottom"/>
          </w:tcPr>
          <w:p w:rsidRPr="00887251" w:rsidR="002342A5" w:rsidP="00481B2D" w:rsidRDefault="002342A5" w14:paraId="1FB34F31" w14:textId="436E2962">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2099416B" w14:textId="51E30DA5">
            <w:pPr>
              <w:jc w:val="right"/>
              <w:rPr>
                <w:rFonts w:eastAsia="Times New Roman" w:cs="Calibri"/>
                <w:color w:val="000000" w:themeColor="text1"/>
                <w:szCs w:val="26"/>
              </w:rPr>
            </w:pPr>
          </w:p>
        </w:tc>
      </w:tr>
      <w:tr w:rsidRPr="00887251" w:rsidR="002342A5" w:rsidTr="00B245D4" w14:paraId="31CD940B" w14:textId="77777777">
        <w:trPr>
          <w:trHeight w:val="130"/>
        </w:trPr>
        <w:tc>
          <w:tcPr>
            <w:tcW w:w="914" w:type="dxa"/>
            <w:noWrap/>
            <w:vAlign w:val="bottom"/>
            <w:hideMark/>
          </w:tcPr>
          <w:p w:rsidRPr="00887251" w:rsidR="002342A5" w:rsidP="00481B2D" w:rsidRDefault="002342A5" w14:paraId="745C01A8" w14:textId="77777777">
            <w:pPr>
              <w:jc w:val="right"/>
              <w:rPr>
                <w:rFonts w:eastAsia="Times New Roman" w:cs="Calibri"/>
                <w:b/>
                <w:bCs/>
                <w:color w:val="000000" w:themeColor="text1"/>
                <w:szCs w:val="26"/>
              </w:rPr>
            </w:pPr>
            <w:r w:rsidRPr="00887251">
              <w:rPr>
                <w:rFonts w:eastAsia="Times New Roman" w:cs="Calibri"/>
                <w:b/>
                <w:bCs/>
                <w:color w:val="000000" w:themeColor="text1"/>
                <w:szCs w:val="26"/>
              </w:rPr>
              <w:lastRenderedPageBreak/>
              <w:t>2023</w:t>
            </w:r>
          </w:p>
        </w:tc>
        <w:tc>
          <w:tcPr>
            <w:tcW w:w="2231" w:type="dxa"/>
            <w:vMerge/>
            <w:noWrap/>
            <w:vAlign w:val="bottom"/>
          </w:tcPr>
          <w:p w:rsidRPr="00887251" w:rsidR="002342A5" w:rsidP="00481B2D" w:rsidRDefault="002342A5" w14:paraId="29C73B1E" w14:textId="09295CE4">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677209A8" w14:textId="7ED4437E">
            <w:pPr>
              <w:jc w:val="right"/>
              <w:rPr>
                <w:rFonts w:eastAsia="Times New Roman" w:cs="Calibri"/>
                <w:color w:val="000000" w:themeColor="text1"/>
                <w:szCs w:val="26"/>
              </w:rPr>
            </w:pPr>
          </w:p>
        </w:tc>
        <w:tc>
          <w:tcPr>
            <w:tcW w:w="2340" w:type="dxa"/>
            <w:vMerge/>
            <w:noWrap/>
            <w:vAlign w:val="bottom"/>
          </w:tcPr>
          <w:p w:rsidRPr="00887251" w:rsidR="002342A5" w:rsidP="00481B2D" w:rsidRDefault="002342A5" w14:paraId="3F917ED8" w14:textId="77FCD000">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0648CC2D" w14:textId="0974F9A1">
            <w:pPr>
              <w:jc w:val="right"/>
              <w:rPr>
                <w:rFonts w:eastAsia="Times New Roman" w:cs="Calibri"/>
                <w:color w:val="000000" w:themeColor="text1"/>
                <w:szCs w:val="26"/>
              </w:rPr>
            </w:pPr>
          </w:p>
        </w:tc>
      </w:tr>
      <w:tr w:rsidRPr="00887251" w:rsidR="002342A5" w:rsidTr="00B245D4" w14:paraId="277F9AF7" w14:textId="77777777">
        <w:trPr>
          <w:trHeight w:val="130"/>
        </w:trPr>
        <w:tc>
          <w:tcPr>
            <w:tcW w:w="914" w:type="dxa"/>
            <w:noWrap/>
            <w:vAlign w:val="bottom"/>
            <w:hideMark/>
          </w:tcPr>
          <w:p w:rsidRPr="00887251" w:rsidR="002342A5" w:rsidP="00481B2D" w:rsidRDefault="002342A5" w14:paraId="36B53E97" w14:textId="77777777">
            <w:pPr>
              <w:jc w:val="right"/>
              <w:rPr>
                <w:rFonts w:eastAsia="Times New Roman" w:cs="Calibri"/>
                <w:b/>
                <w:bCs/>
                <w:color w:val="000000" w:themeColor="text1"/>
                <w:szCs w:val="26"/>
              </w:rPr>
            </w:pPr>
            <w:r w:rsidRPr="00887251">
              <w:rPr>
                <w:rFonts w:eastAsia="Times New Roman" w:cs="Calibri"/>
                <w:b/>
                <w:bCs/>
                <w:color w:val="000000" w:themeColor="text1"/>
                <w:szCs w:val="26"/>
              </w:rPr>
              <w:t>2024</w:t>
            </w:r>
          </w:p>
        </w:tc>
        <w:tc>
          <w:tcPr>
            <w:tcW w:w="2231" w:type="dxa"/>
            <w:vMerge/>
            <w:noWrap/>
            <w:vAlign w:val="bottom"/>
          </w:tcPr>
          <w:p w:rsidRPr="00887251" w:rsidR="002342A5" w:rsidP="00481B2D" w:rsidRDefault="002342A5" w14:paraId="40A4D98D" w14:textId="726F3D25">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5E60E694" w14:textId="2A95CC72">
            <w:pPr>
              <w:jc w:val="right"/>
              <w:rPr>
                <w:rFonts w:eastAsia="Times New Roman" w:cs="Calibri"/>
                <w:color w:val="000000" w:themeColor="text1"/>
                <w:szCs w:val="26"/>
              </w:rPr>
            </w:pPr>
          </w:p>
        </w:tc>
        <w:tc>
          <w:tcPr>
            <w:tcW w:w="2340" w:type="dxa"/>
            <w:vMerge/>
            <w:noWrap/>
            <w:vAlign w:val="bottom"/>
          </w:tcPr>
          <w:p w:rsidRPr="00887251" w:rsidR="002342A5" w:rsidP="00481B2D" w:rsidRDefault="002342A5" w14:paraId="6925FD54" w14:textId="550151A3">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1D46282A" w14:textId="2ADFBFDA">
            <w:pPr>
              <w:jc w:val="right"/>
              <w:rPr>
                <w:rFonts w:eastAsia="Times New Roman" w:cs="Calibri"/>
                <w:color w:val="000000" w:themeColor="text1"/>
                <w:szCs w:val="26"/>
              </w:rPr>
            </w:pPr>
          </w:p>
        </w:tc>
      </w:tr>
      <w:tr w:rsidRPr="00887251" w:rsidR="002342A5" w:rsidTr="00B245D4" w14:paraId="434B902A" w14:textId="77777777">
        <w:trPr>
          <w:trHeight w:val="130"/>
        </w:trPr>
        <w:tc>
          <w:tcPr>
            <w:tcW w:w="914" w:type="dxa"/>
            <w:noWrap/>
            <w:vAlign w:val="bottom"/>
            <w:hideMark/>
          </w:tcPr>
          <w:p w:rsidRPr="00887251" w:rsidR="002342A5" w:rsidP="00481B2D" w:rsidRDefault="002342A5" w14:paraId="6568C90C" w14:textId="77777777">
            <w:pPr>
              <w:jc w:val="right"/>
              <w:rPr>
                <w:rFonts w:eastAsia="Times New Roman" w:cs="Calibri"/>
                <w:b/>
                <w:bCs/>
                <w:color w:val="000000" w:themeColor="text1"/>
                <w:szCs w:val="26"/>
              </w:rPr>
            </w:pPr>
            <w:r w:rsidRPr="00887251">
              <w:rPr>
                <w:rFonts w:eastAsia="Times New Roman" w:cs="Calibri"/>
                <w:b/>
                <w:bCs/>
                <w:color w:val="000000" w:themeColor="text1"/>
                <w:szCs w:val="26"/>
              </w:rPr>
              <w:t>2025</w:t>
            </w:r>
          </w:p>
        </w:tc>
        <w:tc>
          <w:tcPr>
            <w:tcW w:w="2231" w:type="dxa"/>
            <w:vMerge/>
            <w:noWrap/>
            <w:vAlign w:val="bottom"/>
          </w:tcPr>
          <w:p w:rsidRPr="00887251" w:rsidR="002342A5" w:rsidP="00481B2D" w:rsidRDefault="002342A5" w14:paraId="145E5406" w14:textId="68CA8886">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41061188" w14:textId="784177FF">
            <w:pPr>
              <w:jc w:val="right"/>
              <w:rPr>
                <w:rFonts w:eastAsia="Times New Roman" w:cs="Calibri"/>
                <w:color w:val="000000" w:themeColor="text1"/>
                <w:szCs w:val="26"/>
              </w:rPr>
            </w:pPr>
          </w:p>
        </w:tc>
        <w:tc>
          <w:tcPr>
            <w:tcW w:w="2340" w:type="dxa"/>
            <w:vMerge/>
            <w:noWrap/>
            <w:vAlign w:val="bottom"/>
          </w:tcPr>
          <w:p w:rsidRPr="00887251" w:rsidR="002342A5" w:rsidP="00481B2D" w:rsidRDefault="002342A5" w14:paraId="1D1B577A" w14:textId="103362AE">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0385E916" w14:textId="569FDFD2">
            <w:pPr>
              <w:jc w:val="right"/>
              <w:rPr>
                <w:rFonts w:eastAsia="Times New Roman" w:cs="Calibri"/>
                <w:color w:val="000000" w:themeColor="text1"/>
                <w:szCs w:val="26"/>
              </w:rPr>
            </w:pPr>
          </w:p>
        </w:tc>
      </w:tr>
      <w:tr w:rsidRPr="00887251" w:rsidR="002342A5" w:rsidTr="00B245D4" w14:paraId="21F2D949" w14:textId="77777777">
        <w:trPr>
          <w:trHeight w:val="130"/>
        </w:trPr>
        <w:tc>
          <w:tcPr>
            <w:tcW w:w="914" w:type="dxa"/>
            <w:noWrap/>
            <w:vAlign w:val="bottom"/>
            <w:hideMark/>
          </w:tcPr>
          <w:p w:rsidRPr="00887251" w:rsidR="002342A5" w:rsidP="00481B2D" w:rsidRDefault="002342A5" w14:paraId="44E66450" w14:textId="77777777">
            <w:pPr>
              <w:jc w:val="right"/>
              <w:rPr>
                <w:rFonts w:eastAsia="Times New Roman" w:cs="Calibri"/>
                <w:b/>
                <w:bCs/>
                <w:color w:val="000000" w:themeColor="text1"/>
                <w:szCs w:val="26"/>
              </w:rPr>
            </w:pPr>
            <w:r w:rsidRPr="00887251">
              <w:rPr>
                <w:rFonts w:eastAsia="Times New Roman" w:cs="Calibri"/>
                <w:b/>
                <w:bCs/>
                <w:color w:val="000000" w:themeColor="text1"/>
                <w:szCs w:val="26"/>
              </w:rPr>
              <w:t>2026</w:t>
            </w:r>
          </w:p>
        </w:tc>
        <w:tc>
          <w:tcPr>
            <w:tcW w:w="2231" w:type="dxa"/>
            <w:vMerge/>
            <w:noWrap/>
            <w:vAlign w:val="bottom"/>
          </w:tcPr>
          <w:p w:rsidRPr="00887251" w:rsidR="002342A5" w:rsidP="00481B2D" w:rsidRDefault="002342A5" w14:paraId="70444AFE" w14:textId="05C720EF">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547A8474" w14:textId="629CF60D">
            <w:pPr>
              <w:jc w:val="right"/>
              <w:rPr>
                <w:rFonts w:eastAsia="Times New Roman" w:cs="Calibri"/>
                <w:color w:val="000000" w:themeColor="text1"/>
                <w:szCs w:val="26"/>
              </w:rPr>
            </w:pPr>
          </w:p>
        </w:tc>
        <w:tc>
          <w:tcPr>
            <w:tcW w:w="2340" w:type="dxa"/>
            <w:vMerge/>
            <w:noWrap/>
            <w:vAlign w:val="bottom"/>
          </w:tcPr>
          <w:p w:rsidRPr="00887251" w:rsidR="002342A5" w:rsidP="00481B2D" w:rsidRDefault="002342A5" w14:paraId="354DA517" w14:textId="1CFB2B9C">
            <w:pPr>
              <w:jc w:val="right"/>
              <w:rPr>
                <w:rFonts w:eastAsia="Times New Roman" w:cs="Calibri"/>
                <w:color w:val="000000" w:themeColor="text1"/>
                <w:szCs w:val="26"/>
              </w:rPr>
            </w:pPr>
          </w:p>
        </w:tc>
        <w:tc>
          <w:tcPr>
            <w:tcW w:w="2160" w:type="dxa"/>
            <w:vMerge/>
            <w:noWrap/>
            <w:vAlign w:val="bottom"/>
          </w:tcPr>
          <w:p w:rsidRPr="00887251" w:rsidR="002342A5" w:rsidP="00481B2D" w:rsidRDefault="002342A5" w14:paraId="21324E4E" w14:textId="4322E979">
            <w:pPr>
              <w:jc w:val="right"/>
              <w:rPr>
                <w:rFonts w:eastAsia="Times New Roman" w:cs="Calibri"/>
                <w:color w:val="000000" w:themeColor="text1"/>
                <w:szCs w:val="26"/>
              </w:rPr>
            </w:pPr>
          </w:p>
        </w:tc>
      </w:tr>
    </w:tbl>
    <w:p w:rsidRPr="00467CC0" w:rsidR="000C1980" w:rsidP="0023091F" w:rsidRDefault="000C1980" w14:paraId="2A0FEF85" w14:textId="77777777">
      <w:pPr>
        <w:pStyle w:val="ALJBodyText"/>
        <w:rPr>
          <w:sz w:val="10"/>
          <w:szCs w:val="10"/>
        </w:rPr>
      </w:pPr>
    </w:p>
    <w:p w:rsidR="000C1980" w:rsidP="001968DC" w:rsidRDefault="000C1980" w14:paraId="4064807B" w14:textId="5E06EAD3">
      <w:pPr>
        <w:pStyle w:val="Heading2"/>
        <w:tabs>
          <w:tab w:val="clear" w:pos="720"/>
          <w:tab w:val="num" w:pos="1080"/>
        </w:tabs>
        <w:ind w:left="1728"/>
      </w:pPr>
      <w:bookmarkStart w:name="_Toc69947755" w:id="55"/>
      <w:r w:rsidRPr="000C5ACF">
        <w:t xml:space="preserve">CARE </w:t>
      </w:r>
      <w:r w:rsidRPr="00A95072">
        <w:t>Enrollment</w:t>
      </w:r>
      <w:r>
        <w:t xml:space="preserve"> </w:t>
      </w:r>
      <w:r w:rsidRPr="00AB30E6">
        <w:t>and Eligibility</w:t>
      </w:r>
      <w:bookmarkEnd w:id="55"/>
    </w:p>
    <w:p w:rsidRPr="00705BFA" w:rsidR="000C1980" w:rsidP="001968DC" w:rsidRDefault="000C1980" w14:paraId="6AA1CD3E" w14:textId="77777777">
      <w:pPr>
        <w:pStyle w:val="Heading3"/>
        <w:tabs>
          <w:tab w:val="clear" w:pos="1440"/>
          <w:tab w:val="num" w:pos="1800"/>
        </w:tabs>
        <w:ind w:left="2664"/>
      </w:pPr>
      <w:bookmarkStart w:name="_Toc69947756" w:id="56"/>
      <w:r>
        <w:t>Background</w:t>
      </w:r>
      <w:bookmarkEnd w:id="56"/>
    </w:p>
    <w:p w:rsidRPr="00FA7BF7" w:rsidR="000C1980" w:rsidP="00494671" w:rsidRDefault="000C1980" w14:paraId="5C4BA634" w14:textId="0CB8FD3E">
      <w:pPr>
        <w:pStyle w:val="Standard"/>
      </w:pPr>
      <w:bookmarkStart w:name="_Hlk55819820" w:id="57"/>
      <w:r>
        <w:t>To enroll into the CARE program, c</w:t>
      </w:r>
      <w:r w:rsidRPr="00612062">
        <w:t xml:space="preserve">urrent program rules </w:t>
      </w:r>
      <w:r>
        <w:t>allow households to self-</w:t>
      </w:r>
      <w:r w:rsidRPr="00494671">
        <w:t>certify</w:t>
      </w:r>
      <w:r>
        <w:t xml:space="preserve"> </w:t>
      </w:r>
      <w:r w:rsidRPr="00EF504A">
        <w:t xml:space="preserve">that their income </w:t>
      </w:r>
      <w:r w:rsidRPr="001A4C9C">
        <w:t>meets</w:t>
      </w:r>
      <w:r w:rsidRPr="00EF504A">
        <w:t xml:space="preserve"> the program</w:t>
      </w:r>
      <w:r w:rsidR="00E178EF">
        <w:t>’s</w:t>
      </w:r>
      <w:r w:rsidRPr="00EF504A">
        <w:t xml:space="preserve"> eligibility requirement</w:t>
      </w:r>
      <w:r>
        <w:t xml:space="preserve"> without requiring income documentation, or </w:t>
      </w:r>
      <w:r w:rsidRPr="00EF504A">
        <w:t>categorical</w:t>
      </w:r>
      <w:r>
        <w:t>ly enroll (automatically qualifying the household) i</w:t>
      </w:r>
      <w:r w:rsidRPr="00EF504A">
        <w:t>f the customer is already enrolled in one of the Commission-approved means-tested low</w:t>
      </w:r>
      <w:r>
        <w:t xml:space="preserve"> </w:t>
      </w:r>
      <w:r w:rsidRPr="00EF504A">
        <w:t>income public assistance programs.</w:t>
      </w:r>
      <w:r w:rsidRPr="00A42A32">
        <w:rPr>
          <w:vertAlign w:val="superscript"/>
        </w:rPr>
        <w:footnoteReference w:id="38"/>
      </w:r>
      <w:r w:rsidRPr="00A42A32">
        <w:t xml:space="preserve">  </w:t>
      </w:r>
      <w:r>
        <w:t xml:space="preserve"> Households can also enroll into the program with the help of various community agencies that the IOUs partner with.  These </w:t>
      </w:r>
      <w:proofErr w:type="gramStart"/>
      <w:r>
        <w:t>community based</w:t>
      </w:r>
      <w:proofErr w:type="gramEnd"/>
      <w:r>
        <w:t xml:space="preserve"> organizations (CBOs) or partners are reimbursed a “capitation fee” which vary by organization based on the efforts required by each organization to enroll households, with the maximum amount reimbursed set at $20 per enrollment. </w:t>
      </w:r>
    </w:p>
    <w:p w:rsidR="000C1980" w:rsidP="00494671" w:rsidRDefault="000C1980" w14:paraId="5D33FB32" w14:textId="77777777">
      <w:pPr>
        <w:pStyle w:val="Standard"/>
      </w:pPr>
      <w:r>
        <w:t xml:space="preserve">Once enrolled, </w:t>
      </w:r>
      <w:r w:rsidRPr="00612062">
        <w:t xml:space="preserve">CARE </w:t>
      </w:r>
      <w:r w:rsidRPr="00494671">
        <w:t>customers</w:t>
      </w:r>
      <w:r w:rsidRPr="00612062">
        <w:t xml:space="preserve"> </w:t>
      </w:r>
      <w:r>
        <w:t xml:space="preserve">are required to </w:t>
      </w:r>
      <w:r w:rsidRPr="00612062">
        <w:t>recertify their CARE eligibility every two years, except for</w:t>
      </w:r>
      <w:r>
        <w:t xml:space="preserve"> those </w:t>
      </w:r>
      <w:proofErr w:type="gramStart"/>
      <w:r w:rsidRPr="00612062">
        <w:t>low income</w:t>
      </w:r>
      <w:proofErr w:type="gramEnd"/>
      <w:r w:rsidRPr="00612062">
        <w:t xml:space="preserve"> customers on a fixed income who </w:t>
      </w:r>
      <w:r>
        <w:t>would</w:t>
      </w:r>
      <w:r w:rsidRPr="00612062">
        <w:t xml:space="preserve"> recertify every four years</w:t>
      </w:r>
      <w:r w:rsidRPr="00797CC9">
        <w:t>.</w:t>
      </w:r>
      <w:r w:rsidRPr="00797CC9">
        <w:rPr>
          <w:vertAlign w:val="superscript"/>
        </w:rPr>
        <w:footnoteReference w:id="39"/>
      </w:r>
      <w:r w:rsidRPr="00797CC9">
        <w:t xml:space="preserve">  For certain households that are also identified by PG&amp;E, SDG&amp;E and SoCalGas’ CARE probability models as having a “high likelihood” of being CARE eligible, the recertification requirement is extended from two years to four.</w:t>
      </w:r>
      <w:r w:rsidRPr="00BD74A9">
        <w:t xml:space="preserve">    </w:t>
      </w:r>
    </w:p>
    <w:p w:rsidR="000C1980" w:rsidP="00494671" w:rsidRDefault="000C1980" w14:paraId="2E3892FE" w14:textId="77777777">
      <w:pPr>
        <w:pStyle w:val="Standard"/>
      </w:pPr>
      <w:r>
        <w:lastRenderedPageBreak/>
        <w:t>T</w:t>
      </w:r>
      <w:r w:rsidRPr="00DE32D7">
        <w:t xml:space="preserve">o protect the integrity of the self-certification option, the IOUs currently use a random sampling income-verification process, also known as post enrollment verification </w:t>
      </w:r>
      <w:r>
        <w:t>(</w:t>
      </w:r>
      <w:r w:rsidRPr="00494671">
        <w:t>PEV</w:t>
      </w:r>
      <w:r>
        <w:t>)</w:t>
      </w:r>
      <w:r w:rsidRPr="00DE32D7">
        <w:t xml:space="preserve">, that balances the desire for the maximum number of eligible customers to participate with the need to verify participant eligibility. </w:t>
      </w:r>
      <w:r>
        <w:t>Additionally</w:t>
      </w:r>
      <w:r w:rsidRPr="00DE32D7">
        <w:t xml:space="preserve">, if a CARE customer’s electricity consumption goes over 400 percent of baseline in any monthly or billing period, they are automatically flagged for PEV. This is called </w:t>
      </w:r>
      <w:r>
        <w:t xml:space="preserve">the </w:t>
      </w:r>
      <w:r w:rsidRPr="00DE32D7">
        <w:t xml:space="preserve">high usage </w:t>
      </w:r>
      <w:r>
        <w:t xml:space="preserve">(HU) </w:t>
      </w:r>
      <w:r w:rsidRPr="00DE32D7">
        <w:t>PEV process.</w:t>
      </w:r>
    </w:p>
    <w:p w:rsidRPr="00612062" w:rsidR="000C1980" w:rsidP="00494671" w:rsidRDefault="000C1980" w14:paraId="4B6BEE58" w14:textId="77777777">
      <w:pPr>
        <w:pStyle w:val="Standard"/>
      </w:pPr>
      <w:r>
        <w:t xml:space="preserve">Lastly, </w:t>
      </w:r>
      <w:r w:rsidRPr="00DB072A">
        <w:t xml:space="preserve">Pub. Util. Code Section </w:t>
      </w:r>
      <w:r w:rsidRPr="00612062">
        <w:t xml:space="preserve">(§) 739.2 </w:t>
      </w:r>
      <w:r>
        <w:t>allows for</w:t>
      </w:r>
      <w:r w:rsidRPr="00612062">
        <w:t xml:space="preserve"> non-profit group living facilities, agricultural employee housing facilities and migrant farm worker housing centers</w:t>
      </w:r>
      <w:r>
        <w:t xml:space="preserve"> to qualify for CARE in addition to residential households</w:t>
      </w:r>
      <w:r w:rsidRPr="00612062">
        <w:t xml:space="preserve">. This is known as the CARE Expansion program, and these customers are held to </w:t>
      </w:r>
      <w:r>
        <w:t xml:space="preserve">the </w:t>
      </w:r>
      <w:r w:rsidRPr="00612062">
        <w:t xml:space="preserve">same CARE requirement that they recertify CARE eligibility every two years. </w:t>
      </w:r>
      <w:r>
        <w:t xml:space="preserve"> </w:t>
      </w:r>
    </w:p>
    <w:p w:rsidR="000C1980" w:rsidP="001968DC" w:rsidRDefault="000C1980" w14:paraId="06A3782B" w14:textId="77777777">
      <w:pPr>
        <w:pStyle w:val="Heading3"/>
        <w:tabs>
          <w:tab w:val="clear" w:pos="1440"/>
          <w:tab w:val="num" w:pos="1800"/>
        </w:tabs>
        <w:ind w:left="2664"/>
      </w:pPr>
      <w:bookmarkStart w:name="_Toc69947757" w:id="58"/>
      <w:bookmarkEnd w:id="57"/>
      <w:r>
        <w:t>PG&amp;E Proposal</w:t>
      </w:r>
      <w:bookmarkEnd w:id="58"/>
    </w:p>
    <w:p w:rsidRPr="003806F9" w:rsidR="000C1980" w:rsidP="00494671" w:rsidRDefault="000C1980" w14:paraId="4845C710" w14:textId="77777777">
      <w:pPr>
        <w:pStyle w:val="Standard"/>
        <w:rPr>
          <w:b/>
          <w:bCs/>
          <w:i/>
          <w:iCs/>
          <w:u w:val="single"/>
        </w:rPr>
      </w:pPr>
      <w:r w:rsidRPr="0073161F">
        <w:t xml:space="preserve">PG&amp;E proposes </w:t>
      </w:r>
      <w:r>
        <w:t xml:space="preserve">no changes to the current self-certification, categorical eligibility, PEV or the income </w:t>
      </w:r>
      <w:r w:rsidRPr="00494671">
        <w:t>documentation</w:t>
      </w:r>
      <w:r>
        <w:t xml:space="preserve"> processes and requirements. </w:t>
      </w:r>
    </w:p>
    <w:p w:rsidR="000C1980" w:rsidP="00494671" w:rsidRDefault="000C1980" w14:paraId="37F2888E" w14:textId="77777777">
      <w:pPr>
        <w:pStyle w:val="Standard"/>
      </w:pPr>
      <w:r>
        <w:rPr>
          <w:b/>
          <w:bCs/>
          <w:i/>
          <w:iCs/>
          <w:u w:val="single"/>
        </w:rPr>
        <w:t xml:space="preserve">Extending Recertification for the </w:t>
      </w:r>
      <w:r w:rsidRPr="00A83534">
        <w:rPr>
          <w:b/>
          <w:bCs/>
          <w:i/>
          <w:iCs/>
          <w:u w:val="single"/>
        </w:rPr>
        <w:t>C</w:t>
      </w:r>
      <w:r>
        <w:rPr>
          <w:b/>
          <w:bCs/>
          <w:i/>
          <w:iCs/>
          <w:u w:val="single"/>
        </w:rPr>
        <w:t>ARE</w:t>
      </w:r>
      <w:r w:rsidRPr="00A83534">
        <w:rPr>
          <w:b/>
          <w:bCs/>
          <w:i/>
          <w:iCs/>
          <w:u w:val="single"/>
        </w:rPr>
        <w:t xml:space="preserve"> Expansion</w:t>
      </w:r>
      <w:r>
        <w:rPr>
          <w:b/>
          <w:bCs/>
          <w:i/>
          <w:iCs/>
          <w:u w:val="single"/>
        </w:rPr>
        <w:t xml:space="preserve"> Program</w:t>
      </w:r>
      <w:r w:rsidRPr="003806F9">
        <w:rPr>
          <w:b/>
          <w:bCs/>
          <w:i/>
          <w:iCs/>
          <w:u w:val="single"/>
        </w:rPr>
        <w:t>:</w:t>
      </w:r>
      <w:r w:rsidRPr="00CA71FC">
        <w:t xml:space="preserve"> </w:t>
      </w:r>
      <w:r w:rsidRPr="0073161F">
        <w:t>PG&amp;E propose</w:t>
      </w:r>
      <w:r>
        <w:t xml:space="preserve">s to extend </w:t>
      </w:r>
      <w:r w:rsidRPr="0073161F">
        <w:t xml:space="preserve">the CARE </w:t>
      </w:r>
      <w:r>
        <w:t>E</w:t>
      </w:r>
      <w:r w:rsidRPr="0073161F">
        <w:t xml:space="preserve">xpansion program certification </w:t>
      </w:r>
      <w:r>
        <w:t xml:space="preserve">period from two years </w:t>
      </w:r>
      <w:r w:rsidRPr="0073161F">
        <w:t>to four years</w:t>
      </w:r>
      <w:r>
        <w:t>, stating that this c</w:t>
      </w:r>
      <w:r w:rsidRPr="00875EBC">
        <w:t>hang</w:t>
      </w:r>
      <w:r>
        <w:t xml:space="preserve">e </w:t>
      </w:r>
      <w:r w:rsidRPr="00875EBC">
        <w:t>will reduce the administrative burden for resource</w:t>
      </w:r>
      <w:r>
        <w:t>-</w:t>
      </w:r>
      <w:r w:rsidRPr="00494671">
        <w:t>constrained</w:t>
      </w:r>
      <w:r w:rsidRPr="00875EBC">
        <w:t xml:space="preserve"> benefitting organizations whose status </w:t>
      </w:r>
      <w:r>
        <w:t>remains</w:t>
      </w:r>
      <w:r w:rsidRPr="00875EBC">
        <w:t xml:space="preserve"> unchanged. </w:t>
      </w:r>
      <w:r>
        <w:t xml:space="preserve">PG&amp;E states that extending the certification period </w:t>
      </w:r>
      <w:r w:rsidRPr="00875EBC">
        <w:t xml:space="preserve">would also help increase the program enrollment rate and mitigate the possibility of eligible organizations </w:t>
      </w:r>
      <w:r>
        <w:t xml:space="preserve">falling off CARE and </w:t>
      </w:r>
      <w:r w:rsidRPr="00875EBC">
        <w:t>losing the valuable discount</w:t>
      </w:r>
      <w:r w:rsidRPr="0073161F">
        <w:t>.</w:t>
      </w:r>
      <w:r w:rsidRPr="0073161F">
        <w:rPr>
          <w:vertAlign w:val="superscript"/>
        </w:rPr>
        <w:footnoteReference w:id="40"/>
      </w:r>
      <w:r w:rsidRPr="0073161F">
        <w:t xml:space="preserve"> </w:t>
      </w:r>
      <w:r>
        <w:t xml:space="preserve"> </w:t>
      </w:r>
    </w:p>
    <w:p w:rsidR="000C1980" w:rsidP="00494671" w:rsidRDefault="000C1980" w14:paraId="6E6D7DF5" w14:textId="77777777">
      <w:pPr>
        <w:pStyle w:val="Standard"/>
      </w:pPr>
      <w:r>
        <w:rPr>
          <w:b/>
          <w:bCs/>
          <w:i/>
          <w:iCs/>
          <w:u w:val="single"/>
        </w:rPr>
        <w:t xml:space="preserve">Increasing </w:t>
      </w:r>
      <w:r w:rsidRPr="0041454D">
        <w:rPr>
          <w:b/>
          <w:bCs/>
          <w:i/>
          <w:iCs/>
          <w:u w:val="single"/>
        </w:rPr>
        <w:t>Capitation Fees:</w:t>
      </w:r>
      <w:r>
        <w:t xml:space="preserve"> </w:t>
      </w:r>
      <w:r w:rsidRPr="00F85D43">
        <w:t>PG&amp;E proposes to increase the capitation fee from $20 to $30</w:t>
      </w:r>
      <w:r>
        <w:t xml:space="preserve"> </w:t>
      </w:r>
      <w:r w:rsidRPr="00F85D43">
        <w:t>stat</w:t>
      </w:r>
      <w:r>
        <w:t xml:space="preserve">ing that </w:t>
      </w:r>
      <w:r w:rsidRPr="00494671">
        <w:t>this</w:t>
      </w:r>
      <w:r>
        <w:t xml:space="preserve"> reimbursement</w:t>
      </w:r>
      <w:r w:rsidRPr="00F85D43">
        <w:t xml:space="preserve"> </w:t>
      </w:r>
      <w:r>
        <w:t xml:space="preserve">rate </w:t>
      </w:r>
      <w:r w:rsidRPr="00F85D43">
        <w:t xml:space="preserve">has not been </w:t>
      </w:r>
      <w:r>
        <w:t xml:space="preserve">updated since </w:t>
      </w:r>
      <w:r>
        <w:lastRenderedPageBreak/>
        <w:t xml:space="preserve">2013 to </w:t>
      </w:r>
      <w:r w:rsidRPr="00F85D43">
        <w:t xml:space="preserve">account for </w:t>
      </w:r>
      <w:proofErr w:type="gramStart"/>
      <w:r w:rsidRPr="00F85D43">
        <w:t>cost of living</w:t>
      </w:r>
      <w:proofErr w:type="gramEnd"/>
      <w:r w:rsidRPr="00F85D43">
        <w:t xml:space="preserve"> increases</w:t>
      </w:r>
      <w:r>
        <w:t>.  Additionally, PG&amp;E argues that t</w:t>
      </w:r>
      <w:r w:rsidRPr="00F85D43">
        <w:t xml:space="preserve">his increase is needed to encourage </w:t>
      </w:r>
      <w:r>
        <w:t xml:space="preserve">CBOs </w:t>
      </w:r>
      <w:r w:rsidRPr="00F85D43">
        <w:t xml:space="preserve">to keep searching for eligible households to enroll in CARE. </w:t>
      </w:r>
      <w:r>
        <w:t>Given</w:t>
      </w:r>
      <w:r w:rsidRPr="00F85D43">
        <w:t xml:space="preserve"> the high CARE </w:t>
      </w:r>
      <w:r w:rsidRPr="00494671">
        <w:t>penetration</w:t>
      </w:r>
      <w:r w:rsidRPr="00F85D43">
        <w:t xml:space="preserve"> rate, outreach and enrollment of the last remaining </w:t>
      </w:r>
      <w:r>
        <w:t>households that are</w:t>
      </w:r>
      <w:r w:rsidRPr="00F85D43">
        <w:t xml:space="preserve"> CARE-eligible but not enrolled is more difficult, and requires additional touches and effort, especially those in </w:t>
      </w:r>
      <w:proofErr w:type="gramStart"/>
      <w:r w:rsidRPr="00F85D43">
        <w:t>hard to reach</w:t>
      </w:r>
      <w:proofErr w:type="gramEnd"/>
      <w:r w:rsidRPr="00F85D43">
        <w:t xml:space="preserve"> populations.</w:t>
      </w:r>
      <w:r>
        <w:t xml:space="preserve">  </w:t>
      </w:r>
      <w:r w:rsidRPr="00F85D43">
        <w:t xml:space="preserve">PG&amp;E would </w:t>
      </w:r>
      <w:r>
        <w:t xml:space="preserve">also </w:t>
      </w:r>
      <w:r w:rsidRPr="00F85D43">
        <w:t xml:space="preserve">use this increase in capitation fee to encourage </w:t>
      </w:r>
      <w:r>
        <w:t>CBOs</w:t>
      </w:r>
      <w:r w:rsidRPr="00F85D43">
        <w:t xml:space="preserve"> to adopt a more holistic approach to educating customers not only on the CARE and FERA discounts, but also assist customers in enrolling in the</w:t>
      </w:r>
      <w:r>
        <w:t>ir proposed</w:t>
      </w:r>
      <w:r w:rsidRPr="00F85D43">
        <w:t xml:space="preserve"> ESA </w:t>
      </w:r>
      <w:r>
        <w:t>p</w:t>
      </w:r>
      <w:r w:rsidRPr="00F85D43">
        <w:t>rogram, as well as educating them on better rate options and energy management tools</w:t>
      </w:r>
      <w:r>
        <w:t>.</w:t>
      </w:r>
    </w:p>
    <w:p w:rsidR="000C1980" w:rsidP="001968DC" w:rsidRDefault="000C1980" w14:paraId="7986200E" w14:textId="77777777">
      <w:pPr>
        <w:pStyle w:val="Heading3"/>
        <w:tabs>
          <w:tab w:val="clear" w:pos="1440"/>
          <w:tab w:val="num" w:pos="1800"/>
        </w:tabs>
        <w:ind w:left="2664"/>
      </w:pPr>
      <w:bookmarkStart w:name="_Toc69947758" w:id="59"/>
      <w:r>
        <w:t>SCE Proposal</w:t>
      </w:r>
      <w:bookmarkEnd w:id="59"/>
    </w:p>
    <w:p w:rsidRPr="003806F9" w:rsidR="000C1980" w:rsidP="00494671" w:rsidRDefault="000C1980" w14:paraId="2988A343" w14:textId="77777777">
      <w:pPr>
        <w:pStyle w:val="Standard"/>
        <w:rPr>
          <w:b/>
          <w:bCs/>
          <w:i/>
          <w:iCs/>
          <w:u w:val="single"/>
        </w:rPr>
      </w:pPr>
      <w:r>
        <w:t>SC</w:t>
      </w:r>
      <w:r w:rsidRPr="0073161F">
        <w:t xml:space="preserve">E proposes </w:t>
      </w:r>
      <w:r>
        <w:t xml:space="preserve">no changes to the </w:t>
      </w:r>
      <w:r w:rsidRPr="00494671">
        <w:t>current</w:t>
      </w:r>
      <w:r>
        <w:t xml:space="preserve"> self-certification, categorical eligibility, income documentation or rece</w:t>
      </w:r>
      <w:r w:rsidRPr="00494671">
        <w:t>rti</w:t>
      </w:r>
      <w:r>
        <w:t xml:space="preserve">fication processes and requirements. </w:t>
      </w:r>
    </w:p>
    <w:p w:rsidRPr="00FD43E5" w:rsidR="000C1980" w:rsidP="00494671" w:rsidRDefault="000C1980" w14:paraId="79EC03A6" w14:textId="77777777">
      <w:pPr>
        <w:pStyle w:val="Standard"/>
      </w:pPr>
      <w:r>
        <w:rPr>
          <w:b/>
          <w:bCs/>
          <w:i/>
          <w:iCs/>
          <w:u w:val="single"/>
        </w:rPr>
        <w:t xml:space="preserve">Increasing the HU </w:t>
      </w:r>
      <w:r w:rsidRPr="003806F9">
        <w:rPr>
          <w:b/>
          <w:bCs/>
          <w:i/>
          <w:iCs/>
          <w:u w:val="single"/>
        </w:rPr>
        <w:t>PEV</w:t>
      </w:r>
      <w:r>
        <w:rPr>
          <w:b/>
          <w:bCs/>
          <w:i/>
          <w:iCs/>
          <w:u w:val="single"/>
        </w:rPr>
        <w:t xml:space="preserve"> Threshold</w:t>
      </w:r>
      <w:r w:rsidRPr="003806F9">
        <w:rPr>
          <w:b/>
          <w:bCs/>
          <w:i/>
          <w:iCs/>
          <w:u w:val="single"/>
        </w:rPr>
        <w:t>:</w:t>
      </w:r>
      <w:r w:rsidRPr="003914AD">
        <w:t xml:space="preserve"> </w:t>
      </w:r>
      <w:r w:rsidRPr="00FD43E5">
        <w:t xml:space="preserve">SCE proposes to increase the threshold for </w:t>
      </w:r>
      <w:r>
        <w:t>triggering HU</w:t>
      </w:r>
      <w:r w:rsidRPr="00FD43E5">
        <w:t xml:space="preserve"> PEV from reaching 400</w:t>
      </w:r>
      <w:r w:rsidRPr="00AD3890">
        <w:t xml:space="preserve"> </w:t>
      </w:r>
      <w:r w:rsidRPr="0026503D">
        <w:t>percent</w:t>
      </w:r>
      <w:r w:rsidRPr="00FD43E5">
        <w:t xml:space="preserve"> of baseline usage one time in a 12-month period, to reaching that same level three times in a 12-month period.</w:t>
      </w:r>
      <w:r w:rsidRPr="00FD43E5">
        <w:rPr>
          <w:vertAlign w:val="superscript"/>
        </w:rPr>
        <w:footnoteReference w:id="41"/>
      </w:r>
      <w:r w:rsidRPr="00FD43E5">
        <w:t xml:space="preserve">  SCE has seen </w:t>
      </w:r>
      <w:r w:rsidRPr="00494671">
        <w:t>an</w:t>
      </w:r>
      <w:r w:rsidRPr="00FD43E5">
        <w:t xml:space="preserve"> increase in both the rate of random verifications and d</w:t>
      </w:r>
      <w:r>
        <w:t>e</w:t>
      </w:r>
      <w:r>
        <w:noBreakHyphen/>
      </w:r>
      <w:r w:rsidRPr="00FD43E5">
        <w:t xml:space="preserve">enrollments resulting from </w:t>
      </w:r>
      <w:r>
        <w:t>the PEV and HU</w:t>
      </w:r>
      <w:r w:rsidRPr="00FD43E5">
        <w:t xml:space="preserve"> </w:t>
      </w:r>
      <w:r>
        <w:t>PEV</w:t>
      </w:r>
      <w:r w:rsidRPr="00FD43E5">
        <w:t xml:space="preserve"> processes between 2011 and 2018. </w:t>
      </w:r>
      <w:r>
        <w:t xml:space="preserve"> </w:t>
      </w:r>
      <w:r w:rsidRPr="00FD43E5">
        <w:t>Specifically, d</w:t>
      </w:r>
      <w:r>
        <w:t>e-</w:t>
      </w:r>
      <w:r w:rsidRPr="00FD43E5">
        <w:t xml:space="preserve">enrollment rates </w:t>
      </w:r>
      <w:r>
        <w:t>from PEV</w:t>
      </w:r>
      <w:r w:rsidRPr="00FD43E5">
        <w:t xml:space="preserve"> increased from 39</w:t>
      </w:r>
      <w:r w:rsidRPr="00084782">
        <w:t xml:space="preserve"> </w:t>
      </w:r>
      <w:r w:rsidRPr="0026503D">
        <w:t>percent</w:t>
      </w:r>
      <w:r w:rsidRPr="00FD43E5">
        <w:t xml:space="preserve"> in 2011 to 73</w:t>
      </w:r>
      <w:r w:rsidRPr="00084782">
        <w:t xml:space="preserve"> </w:t>
      </w:r>
      <w:r w:rsidRPr="0026503D">
        <w:t>percent</w:t>
      </w:r>
      <w:r w:rsidRPr="00FD43E5">
        <w:t xml:space="preserve"> in 2018.</w:t>
      </w:r>
      <w:r w:rsidRPr="00FD43E5">
        <w:rPr>
          <w:vertAlign w:val="superscript"/>
        </w:rPr>
        <w:footnoteReference w:id="42"/>
      </w:r>
      <w:r w:rsidRPr="00FD43E5">
        <w:t xml:space="preserve"> </w:t>
      </w:r>
      <w:r>
        <w:t xml:space="preserve"> </w:t>
      </w:r>
      <w:r w:rsidRPr="00FD43E5">
        <w:t xml:space="preserve">SCE suggests that while the increase in </w:t>
      </w:r>
      <w:r>
        <w:t>the PEV</w:t>
      </w:r>
      <w:r w:rsidRPr="00FD43E5">
        <w:t xml:space="preserve"> improved the integrity of the program, it also led to high non-response rates to verify eligibility, potentially resulting in the removal of eligible customers from the program.</w:t>
      </w:r>
      <w:r w:rsidRPr="00FD43E5">
        <w:rPr>
          <w:vertAlign w:val="superscript"/>
        </w:rPr>
        <w:footnoteReference w:id="43"/>
      </w:r>
      <w:r w:rsidRPr="00FD43E5">
        <w:t xml:space="preserve"> </w:t>
      </w:r>
      <w:r>
        <w:t xml:space="preserve"> </w:t>
      </w:r>
      <w:r w:rsidRPr="00FD43E5">
        <w:t xml:space="preserve">Some of these customers may have been removed even though </w:t>
      </w:r>
      <w:r w:rsidRPr="00FD43E5">
        <w:lastRenderedPageBreak/>
        <w:t xml:space="preserve">they were eligible because they did not respond to the verification request, they were unsure of how the verification process works, or they did not know what was necessary to provide to remain on the program.  SCE argues that this change will maintain the goal of verifying eligibility from high-use customers while allowing flexibility for </w:t>
      </w:r>
      <w:proofErr w:type="gramStart"/>
      <w:r w:rsidRPr="00FD43E5">
        <w:t>low</w:t>
      </w:r>
      <w:r>
        <w:t xml:space="preserve"> </w:t>
      </w:r>
      <w:r w:rsidRPr="00FD43E5">
        <w:t>income</w:t>
      </w:r>
      <w:proofErr w:type="gramEnd"/>
      <w:r w:rsidRPr="00FD43E5">
        <w:t xml:space="preserve"> customers to exceed the 400</w:t>
      </w:r>
      <w:r w:rsidRPr="00084782">
        <w:t xml:space="preserve"> </w:t>
      </w:r>
      <w:r w:rsidRPr="0026503D">
        <w:t>percent</w:t>
      </w:r>
      <w:r w:rsidRPr="00FD43E5">
        <w:t xml:space="preserve"> usage baseline due to unforeseen issues without triggering the </w:t>
      </w:r>
      <w:r>
        <w:t>HU</w:t>
      </w:r>
      <w:r w:rsidRPr="00FD43E5">
        <w:t xml:space="preserve"> PEV requirements.</w:t>
      </w:r>
      <w:r w:rsidRPr="00FD43E5">
        <w:rPr>
          <w:vertAlign w:val="superscript"/>
        </w:rPr>
        <w:footnoteReference w:id="44"/>
      </w:r>
      <w:r w:rsidRPr="00FD43E5">
        <w:t xml:space="preserve"> </w:t>
      </w:r>
    </w:p>
    <w:p w:rsidR="000C1980" w:rsidP="00494671" w:rsidRDefault="000C1980" w14:paraId="6E54EDFD" w14:textId="77777777">
      <w:pPr>
        <w:pStyle w:val="Standard"/>
      </w:pPr>
      <w:r>
        <w:rPr>
          <w:b/>
          <w:bCs/>
          <w:i/>
          <w:iCs/>
          <w:u w:val="single"/>
        </w:rPr>
        <w:t>Increasing Capitation Fees:</w:t>
      </w:r>
      <w:bookmarkStart w:name="_Hlk56433412" w:id="60"/>
      <w:r>
        <w:t xml:space="preserve"> </w:t>
      </w:r>
      <w:r w:rsidRPr="00642143">
        <w:t xml:space="preserve">SCE proposes to expand its CARE </w:t>
      </w:r>
      <w:r>
        <w:t>c</w:t>
      </w:r>
      <w:r w:rsidRPr="00642143">
        <w:t xml:space="preserve">apitation agency network and increase </w:t>
      </w:r>
      <w:r w:rsidRPr="00494671">
        <w:t>the</w:t>
      </w:r>
      <w:r w:rsidRPr="00642143">
        <w:t xml:space="preserve"> capitation fee from $20 to $30 per enrolled customer to continue SCE’s high penetration rate in rural areas and improve penetration in high poverty areas.</w:t>
      </w:r>
      <w:r w:rsidRPr="00642143">
        <w:rPr>
          <w:vertAlign w:val="superscript"/>
        </w:rPr>
        <w:footnoteReference w:id="45"/>
      </w:r>
      <w:r w:rsidRPr="00642143">
        <w:t xml:space="preserve">  To recruit more capitation agencies SCE will recruit in areas with low participation by presenting at town hall meetings or community- or faith-based events, and by contacting more capitation agencies directly through phone calls, letters, and email.</w:t>
      </w:r>
      <w:r w:rsidRPr="00642143">
        <w:rPr>
          <w:vertAlign w:val="superscript"/>
        </w:rPr>
        <w:footnoteReference w:id="46"/>
      </w:r>
      <w:r w:rsidRPr="00642143">
        <w:t xml:space="preserve">  SCE will also use monthly email, quarterly newsletters, progress reports, face-to-face communications and training sessions to keep CARE enrollment a top priority for capitation agencies already engaged. </w:t>
      </w:r>
      <w:r>
        <w:t xml:space="preserve"> SCE argues that t</w:t>
      </w:r>
      <w:r w:rsidRPr="00642143">
        <w:t>he increase in the capitation fee can help provide necessary incentives to increase CARE enrollment efforts initiated by capitation agencies and encourage non-profits to participate.</w:t>
      </w:r>
      <w:r w:rsidRPr="00642143">
        <w:rPr>
          <w:vertAlign w:val="superscript"/>
        </w:rPr>
        <w:footnoteReference w:id="47"/>
      </w:r>
      <w:r w:rsidRPr="00642143">
        <w:t xml:space="preserve">  </w:t>
      </w:r>
    </w:p>
    <w:p w:rsidRPr="00930B42" w:rsidR="000C1980" w:rsidP="00494671" w:rsidRDefault="000C1980" w14:paraId="4B3AF853" w14:textId="41AFF6E9">
      <w:pPr>
        <w:pStyle w:val="Standard"/>
      </w:pPr>
      <w:r w:rsidRPr="00012CC3">
        <w:rPr>
          <w:b/>
          <w:bCs/>
          <w:i/>
          <w:iCs/>
          <w:u w:val="single"/>
        </w:rPr>
        <w:t>Funding ENA Training and CARE Hotline</w:t>
      </w:r>
      <w:r w:rsidRPr="00731FF7">
        <w:rPr>
          <w:b/>
          <w:bCs/>
          <w:i/>
          <w:iCs/>
          <w:u w:val="single"/>
        </w:rPr>
        <w:t>:</w:t>
      </w:r>
      <w:r>
        <w:t xml:space="preserve"> SCE is requesting additional funding to </w:t>
      </w:r>
      <w:r w:rsidRPr="00F12FE5">
        <w:t>support efficient customer acquisition, retention, and satisfaction</w:t>
      </w:r>
      <w:r>
        <w:t xml:space="preserve"> through enhancements </w:t>
      </w:r>
      <w:r w:rsidRPr="00F12FE5">
        <w:t xml:space="preserve">to its </w:t>
      </w:r>
      <w:r w:rsidRPr="00494671">
        <w:t>Customer</w:t>
      </w:r>
      <w:r w:rsidRPr="00F12FE5">
        <w:t xml:space="preserve"> Contact Center (CCC), including </w:t>
      </w:r>
      <w:r w:rsidRPr="00F12FE5">
        <w:lastRenderedPageBreak/>
        <w:t>expanding training and engagement activities with Energy Advisors (ENAs).</w:t>
      </w:r>
      <w:r w:rsidRPr="00F12FE5">
        <w:rPr>
          <w:vertAlign w:val="superscript"/>
        </w:rPr>
        <w:footnoteReference w:id="48"/>
      </w:r>
      <w:r w:rsidRPr="00F12FE5">
        <w:t xml:space="preserve">  </w:t>
      </w:r>
      <w:r>
        <w:t xml:space="preserve">Specifically, </w:t>
      </w:r>
      <w:r w:rsidRPr="00F12FE5">
        <w:t xml:space="preserve">SCE requests additional funding </w:t>
      </w:r>
      <w:r>
        <w:t xml:space="preserve">to </w:t>
      </w:r>
      <w:r w:rsidRPr="00F12FE5">
        <w:t>train ENAs to answer general CARE questions during incom</w:t>
      </w:r>
      <w:r w:rsidR="002B2B4A">
        <w:t>ing</w:t>
      </w:r>
      <w:r w:rsidRPr="00F12FE5">
        <w:t xml:space="preserve"> calls to the CCC.  SCE also proposes creating a CARE Hotline, staffed by a group of ENAs specializing in CARE and who can answer more complex inquiries.</w:t>
      </w:r>
      <w:r w:rsidRPr="00F12FE5">
        <w:rPr>
          <w:vertAlign w:val="superscript"/>
        </w:rPr>
        <w:footnoteReference w:id="49"/>
      </w:r>
      <w:r w:rsidRPr="00F12FE5">
        <w:t xml:space="preserve"> </w:t>
      </w:r>
      <w:r>
        <w:t xml:space="preserve"> </w:t>
      </w:r>
      <w:r w:rsidRPr="00F12FE5">
        <w:t>SCE is requesting a total of $21,615 for the CARE hotline</w:t>
      </w:r>
      <w:r>
        <w:t xml:space="preserve"> and </w:t>
      </w:r>
      <w:r w:rsidRPr="00F12FE5">
        <w:t>claims that these efforts should combat the increase in de</w:t>
      </w:r>
      <w:r>
        <w:noBreakHyphen/>
      </w:r>
      <w:r w:rsidRPr="00F12FE5">
        <w:t>enrollments and higher PEV rates.</w:t>
      </w:r>
      <w:r w:rsidRPr="00F12FE5">
        <w:rPr>
          <w:vertAlign w:val="superscript"/>
        </w:rPr>
        <w:footnoteReference w:id="50"/>
      </w:r>
    </w:p>
    <w:p w:rsidRPr="00930B42" w:rsidR="000C1980" w:rsidP="00494671" w:rsidRDefault="000C1980" w14:paraId="305553E8" w14:textId="77777777">
      <w:pPr>
        <w:pStyle w:val="Standard"/>
      </w:pPr>
      <w:r w:rsidRPr="00012CC3">
        <w:rPr>
          <w:b/>
          <w:bCs/>
          <w:i/>
          <w:iCs/>
          <w:u w:val="single"/>
        </w:rPr>
        <w:t xml:space="preserve">Funding </w:t>
      </w:r>
      <w:r w:rsidRPr="00373604">
        <w:rPr>
          <w:b/>
          <w:bCs/>
          <w:i/>
          <w:iCs/>
          <w:u w:val="single"/>
        </w:rPr>
        <w:t>PEV Outbound Cal</w:t>
      </w:r>
      <w:r>
        <w:rPr>
          <w:b/>
          <w:bCs/>
          <w:i/>
          <w:iCs/>
          <w:u w:val="single"/>
        </w:rPr>
        <w:t>l Efforts</w:t>
      </w:r>
      <w:r>
        <w:t>:</w:t>
      </w:r>
      <w:r w:rsidRPr="00F12FE5">
        <w:t xml:space="preserve"> SCE </w:t>
      </w:r>
      <w:r>
        <w:t xml:space="preserve">is </w:t>
      </w:r>
      <w:r w:rsidRPr="00F12FE5">
        <w:t>request</w:t>
      </w:r>
      <w:r>
        <w:t>ing</w:t>
      </w:r>
      <w:r w:rsidRPr="00F12FE5">
        <w:t xml:space="preserve"> $1,732,090 to continue an outbound call effort to customers having difficulty with the PEV process. Currently, calls </w:t>
      </w:r>
      <w:r w:rsidRPr="00494671">
        <w:t>go</w:t>
      </w:r>
      <w:r w:rsidRPr="00F12FE5">
        <w:t xml:space="preserve"> to customers who have incorrectly completed documentation twice, to discuss what is needed to properly complete the application and answer questions to facilitate the verification process.</w:t>
      </w:r>
      <w:r w:rsidRPr="00F12FE5">
        <w:rPr>
          <w:vertAlign w:val="superscript"/>
        </w:rPr>
        <w:footnoteReference w:id="51"/>
      </w:r>
      <w:r w:rsidRPr="00F12FE5">
        <w:t xml:space="preserve"> </w:t>
      </w:r>
      <w:r>
        <w:t xml:space="preserve"> </w:t>
      </w:r>
      <w:r w:rsidRPr="00F12FE5">
        <w:t xml:space="preserve">To support these efforts, SCE proposes the addition of four new employees dedicated to CARE </w:t>
      </w:r>
      <w:r>
        <w:t>(</w:t>
      </w:r>
      <w:r w:rsidRPr="00F12FE5">
        <w:t>funded through the CARE balancing account</w:t>
      </w:r>
      <w:r>
        <w:t>),</w:t>
      </w:r>
      <w:r w:rsidRPr="00F12FE5">
        <w:t xml:space="preserve"> so </w:t>
      </w:r>
      <w:r>
        <w:t xml:space="preserve">that </w:t>
      </w:r>
      <w:r w:rsidRPr="00F12FE5">
        <w:t>the CCC can provide a more holistic approach to serving low</w:t>
      </w:r>
      <w:r>
        <w:t xml:space="preserve"> </w:t>
      </w:r>
      <w:r w:rsidRPr="00F12FE5">
        <w:t>income customers.</w:t>
      </w:r>
      <w:r w:rsidRPr="00F12FE5">
        <w:rPr>
          <w:vertAlign w:val="superscript"/>
        </w:rPr>
        <w:footnoteReference w:id="52"/>
      </w:r>
      <w:r w:rsidRPr="00F12FE5">
        <w:t xml:space="preserve">  SCE </w:t>
      </w:r>
      <w:r>
        <w:t xml:space="preserve">claims </w:t>
      </w:r>
      <w:r w:rsidRPr="00F12FE5">
        <w:t>that these efforts should combat the increase in de-enrollments and higher PEV rates.</w:t>
      </w:r>
      <w:r w:rsidRPr="00F12FE5">
        <w:rPr>
          <w:vertAlign w:val="superscript"/>
        </w:rPr>
        <w:footnoteReference w:id="53"/>
      </w:r>
    </w:p>
    <w:p w:rsidR="000C1980" w:rsidP="001968DC" w:rsidRDefault="000C1980" w14:paraId="5480B742" w14:textId="77777777">
      <w:pPr>
        <w:pStyle w:val="Heading3"/>
        <w:tabs>
          <w:tab w:val="clear" w:pos="1440"/>
          <w:tab w:val="num" w:pos="1800"/>
        </w:tabs>
        <w:ind w:left="2664"/>
      </w:pPr>
      <w:bookmarkStart w:name="_Toc69947759" w:id="61"/>
      <w:bookmarkEnd w:id="60"/>
      <w:r>
        <w:t>SoCalGas Proposal</w:t>
      </w:r>
      <w:bookmarkEnd w:id="61"/>
    </w:p>
    <w:p w:rsidRPr="003806F9" w:rsidR="000C1980" w:rsidP="00494671" w:rsidRDefault="000C1980" w14:paraId="69033FDB" w14:textId="77777777">
      <w:pPr>
        <w:pStyle w:val="Standard"/>
        <w:rPr>
          <w:b/>
          <w:bCs/>
          <w:i/>
          <w:iCs/>
          <w:u w:val="single"/>
        </w:rPr>
      </w:pPr>
      <w:bookmarkStart w:name="_Hlk55821619" w:id="62"/>
      <w:r>
        <w:t>SoCal</w:t>
      </w:r>
      <w:r w:rsidRPr="0073161F">
        <w:t>G</w:t>
      </w:r>
      <w:r>
        <w:t>as</w:t>
      </w:r>
      <w:r w:rsidRPr="0073161F">
        <w:t xml:space="preserve"> proposes </w:t>
      </w:r>
      <w:r>
        <w:t xml:space="preserve">no changes to the current self-certification, categorical eligibility, </w:t>
      </w:r>
      <w:r w:rsidRPr="00494671">
        <w:t>capitation</w:t>
      </w:r>
      <w:r>
        <w:t xml:space="preserve"> fee or income documentation processes and requirements. </w:t>
      </w:r>
    </w:p>
    <w:p w:rsidRPr="00A307ED" w:rsidR="000C1980" w:rsidP="00494671" w:rsidRDefault="000C1980" w14:paraId="3CB5AF71" w14:textId="77777777">
      <w:pPr>
        <w:pStyle w:val="Standard"/>
      </w:pPr>
      <w:r>
        <w:rPr>
          <w:b/>
          <w:bCs/>
          <w:i/>
          <w:iCs/>
          <w:u w:val="single"/>
        </w:rPr>
        <w:lastRenderedPageBreak/>
        <w:t xml:space="preserve">Extending Recertification for the </w:t>
      </w:r>
      <w:r w:rsidRPr="00A83534">
        <w:rPr>
          <w:b/>
          <w:bCs/>
          <w:i/>
          <w:iCs/>
          <w:u w:val="single"/>
        </w:rPr>
        <w:t>C</w:t>
      </w:r>
      <w:r>
        <w:rPr>
          <w:b/>
          <w:bCs/>
          <w:i/>
          <w:iCs/>
          <w:u w:val="single"/>
        </w:rPr>
        <w:t>ARE</w:t>
      </w:r>
      <w:r w:rsidRPr="00A83534">
        <w:rPr>
          <w:b/>
          <w:bCs/>
          <w:i/>
          <w:iCs/>
          <w:u w:val="single"/>
        </w:rPr>
        <w:t xml:space="preserve"> Expansion</w:t>
      </w:r>
      <w:r>
        <w:rPr>
          <w:b/>
          <w:bCs/>
          <w:i/>
          <w:iCs/>
          <w:u w:val="single"/>
        </w:rPr>
        <w:t xml:space="preserve"> Program</w:t>
      </w:r>
      <w:r w:rsidRPr="003806F9">
        <w:rPr>
          <w:b/>
          <w:bCs/>
          <w:i/>
          <w:iCs/>
          <w:u w:val="single"/>
        </w:rPr>
        <w:t>:</w:t>
      </w:r>
      <w:r w:rsidRPr="00746D4E">
        <w:t xml:space="preserve"> </w:t>
      </w:r>
      <w:r w:rsidRPr="00BA5209">
        <w:t xml:space="preserve">SoCalGas </w:t>
      </w:r>
      <w:r>
        <w:t xml:space="preserve">proposes to </w:t>
      </w:r>
      <w:r w:rsidRPr="00A307ED">
        <w:t>chang</w:t>
      </w:r>
      <w:r>
        <w:t>e</w:t>
      </w:r>
      <w:r w:rsidRPr="00A307ED">
        <w:t xml:space="preserve"> the recertification frequency </w:t>
      </w:r>
      <w:r w:rsidRPr="00705CAA">
        <w:t xml:space="preserve">for the CARE Expansion program </w:t>
      </w:r>
      <w:r w:rsidRPr="00A307ED">
        <w:t xml:space="preserve">from two to four years </w:t>
      </w:r>
      <w:r>
        <w:t xml:space="preserve">stating that it </w:t>
      </w:r>
      <w:r w:rsidRPr="00A307ED">
        <w:t>will reduce the administrative burden on these customers</w:t>
      </w:r>
      <w:r>
        <w:t xml:space="preserve"> and </w:t>
      </w:r>
      <w:r w:rsidRPr="00A307ED">
        <w:t>proposes to automate the mailing of the recertification application to these customers, with an estimated budget of $130,000 in 2021.</w:t>
      </w:r>
      <w:r w:rsidRPr="00A307ED">
        <w:rPr>
          <w:vertAlign w:val="superscript"/>
        </w:rPr>
        <w:footnoteReference w:id="54"/>
      </w:r>
    </w:p>
    <w:p w:rsidR="000C1980" w:rsidP="00494671" w:rsidRDefault="000C1980" w14:paraId="211857B2" w14:textId="77777777">
      <w:pPr>
        <w:pStyle w:val="Standard"/>
      </w:pPr>
      <w:r>
        <w:rPr>
          <w:b/>
          <w:bCs/>
          <w:i/>
          <w:iCs/>
          <w:u w:val="single"/>
        </w:rPr>
        <w:t>Exempting Recertification for Fixed Income</w:t>
      </w:r>
      <w:r w:rsidRPr="003806F9">
        <w:rPr>
          <w:b/>
          <w:bCs/>
          <w:i/>
          <w:iCs/>
          <w:u w:val="single"/>
        </w:rPr>
        <w:t>:</w:t>
      </w:r>
      <w:r w:rsidRPr="00746D4E">
        <w:t xml:space="preserve"> </w:t>
      </w:r>
      <w:r>
        <w:t xml:space="preserve">SoCalGas also </w:t>
      </w:r>
      <w:r w:rsidRPr="00BA5209">
        <w:t xml:space="preserve">proposes </w:t>
      </w:r>
      <w:r w:rsidRPr="00324C8E">
        <w:t xml:space="preserve">to exempt certain fixed-income customers, specifically, </w:t>
      </w:r>
      <w:r>
        <w:t xml:space="preserve">those </w:t>
      </w:r>
      <w:r w:rsidRPr="00324C8E">
        <w:t xml:space="preserve">with only one or two persons living in the </w:t>
      </w:r>
      <w:r w:rsidRPr="00494671">
        <w:t>household</w:t>
      </w:r>
      <w:r w:rsidRPr="00324C8E">
        <w:t xml:space="preserve">, from future recertification and verification requests after they have been verified through program eligibility documentation. </w:t>
      </w:r>
      <w:r>
        <w:t xml:space="preserve"> </w:t>
      </w:r>
      <w:r w:rsidRPr="00324C8E">
        <w:t xml:space="preserve">The exemption would be valid until their account is closed or customer-of-record name is altered. </w:t>
      </w:r>
      <w:r>
        <w:t xml:space="preserve"> </w:t>
      </w:r>
      <w:r w:rsidRPr="00324C8E">
        <w:t>Customer groups targeted with this program enhancement are seniors and customers with a permanent disability who are receiving Supplemental Security Income benefits.</w:t>
      </w:r>
      <w:r w:rsidRPr="00324C8E">
        <w:rPr>
          <w:vertAlign w:val="superscript"/>
        </w:rPr>
        <w:footnoteReference w:id="55"/>
      </w:r>
    </w:p>
    <w:p w:rsidR="000C1980" w:rsidP="00494671" w:rsidRDefault="000C1980" w14:paraId="3DE912BE" w14:textId="16A0245C">
      <w:pPr>
        <w:pStyle w:val="Standard"/>
        <w:rPr>
          <w:b/>
          <w:bCs/>
          <w:i/>
          <w:iCs/>
          <w:u w:val="single"/>
        </w:rPr>
      </w:pPr>
      <w:r>
        <w:rPr>
          <w:b/>
          <w:bCs/>
          <w:i/>
          <w:iCs/>
          <w:u w:val="single"/>
        </w:rPr>
        <w:t>Updating Probability Models</w:t>
      </w:r>
      <w:r w:rsidRPr="003806F9">
        <w:rPr>
          <w:b/>
          <w:bCs/>
          <w:i/>
          <w:iCs/>
          <w:u w:val="single"/>
        </w:rPr>
        <w:t>:</w:t>
      </w:r>
      <w:r>
        <w:t xml:space="preserve"> </w:t>
      </w:r>
      <w:r w:rsidRPr="00DF6ECB">
        <w:t xml:space="preserve">SoCalGas proposes updating its 2013 PEV probability model </w:t>
      </w:r>
      <w:r>
        <w:t>because the</w:t>
      </w:r>
      <w:r w:rsidRPr="00DF6ECB">
        <w:t xml:space="preserve"> current model has remained unchanged since 2013, </w:t>
      </w:r>
      <w:r w:rsidR="00BF5D71">
        <w:t xml:space="preserve">while </w:t>
      </w:r>
      <w:r w:rsidRPr="00DF6ECB">
        <w:t xml:space="preserve">CARE customer </w:t>
      </w:r>
      <w:r w:rsidRPr="00494671">
        <w:t>demographics</w:t>
      </w:r>
      <w:r w:rsidRPr="00DF6ECB">
        <w:t xml:space="preserve"> and behaviors have changed rapidly since.</w:t>
      </w:r>
      <w:r w:rsidRPr="00DF6ECB">
        <w:rPr>
          <w:vertAlign w:val="superscript"/>
        </w:rPr>
        <w:footnoteReference w:id="56"/>
      </w:r>
      <w:r w:rsidRPr="00DF6ECB">
        <w:t xml:space="preserve"> </w:t>
      </w:r>
      <w:r>
        <w:t xml:space="preserve"> </w:t>
      </w:r>
      <w:r w:rsidRPr="00DF6ECB">
        <w:t xml:space="preserve">SoCalGas </w:t>
      </w:r>
      <w:r>
        <w:t>plans</w:t>
      </w:r>
      <w:r w:rsidRPr="00DF6ECB">
        <w:t xml:space="preserve"> to update the 2013 model with more powerful, accurate, and self-learning tools, which will help automate tracking and monitoring, capture complex relationships between different variables, and update the best</w:t>
      </w:r>
      <w:r>
        <w:noBreakHyphen/>
      </w:r>
      <w:r w:rsidRPr="00DF6ECB">
        <w:t>fitting parameters of the model automatically.</w:t>
      </w:r>
      <w:r w:rsidRPr="00DF6ECB">
        <w:rPr>
          <w:vertAlign w:val="superscript"/>
        </w:rPr>
        <w:footnoteReference w:id="57"/>
      </w:r>
      <w:r w:rsidRPr="00DF6ECB">
        <w:t xml:space="preserve">  </w:t>
      </w:r>
    </w:p>
    <w:p w:rsidR="000C1980" w:rsidP="001968DC" w:rsidRDefault="000C1980" w14:paraId="3180DD03" w14:textId="77777777">
      <w:pPr>
        <w:pStyle w:val="Heading3"/>
        <w:tabs>
          <w:tab w:val="clear" w:pos="1440"/>
          <w:tab w:val="num" w:pos="1800"/>
        </w:tabs>
        <w:ind w:left="2664"/>
      </w:pPr>
      <w:bookmarkStart w:name="_Toc69947760" w:id="63"/>
      <w:bookmarkEnd w:id="62"/>
      <w:r>
        <w:lastRenderedPageBreak/>
        <w:t>SDG&amp;E Proposal</w:t>
      </w:r>
      <w:bookmarkEnd w:id="63"/>
    </w:p>
    <w:p w:rsidRPr="003806F9" w:rsidR="000C1980" w:rsidP="00494671" w:rsidRDefault="000C1980" w14:paraId="37AB9BB3" w14:textId="77777777">
      <w:pPr>
        <w:pStyle w:val="Standard"/>
        <w:rPr>
          <w:b/>
          <w:bCs/>
          <w:i/>
          <w:iCs/>
          <w:u w:val="single"/>
        </w:rPr>
      </w:pPr>
      <w:r>
        <w:t>SD</w:t>
      </w:r>
      <w:r w:rsidRPr="000C2303">
        <w:t xml:space="preserve">G&amp;E </w:t>
      </w:r>
      <w:r w:rsidRPr="00AD4F3C">
        <w:t xml:space="preserve">proposes </w:t>
      </w:r>
      <w:r>
        <w:t xml:space="preserve">no changes to the current self-certification, categorical eligibility, capitation fee or income documentation processes and requirements. </w:t>
      </w:r>
    </w:p>
    <w:p w:rsidRPr="003806F9" w:rsidR="000C1980" w:rsidP="00494671" w:rsidRDefault="000C1980" w14:paraId="4D80F32D" w14:textId="77777777">
      <w:pPr>
        <w:pStyle w:val="Standard"/>
        <w:rPr>
          <w:b/>
          <w:bCs/>
          <w:i/>
          <w:iCs/>
          <w:u w:val="single"/>
        </w:rPr>
      </w:pPr>
      <w:r>
        <w:rPr>
          <w:b/>
          <w:bCs/>
          <w:i/>
          <w:iCs/>
          <w:u w:val="single"/>
        </w:rPr>
        <w:t xml:space="preserve">Extending Recertification for the </w:t>
      </w:r>
      <w:r w:rsidRPr="00A83534">
        <w:rPr>
          <w:b/>
          <w:bCs/>
          <w:i/>
          <w:iCs/>
          <w:u w:val="single"/>
        </w:rPr>
        <w:t>C</w:t>
      </w:r>
      <w:r>
        <w:rPr>
          <w:b/>
          <w:bCs/>
          <w:i/>
          <w:iCs/>
          <w:u w:val="single"/>
        </w:rPr>
        <w:t>ARE</w:t>
      </w:r>
      <w:r w:rsidRPr="00A83534">
        <w:rPr>
          <w:b/>
          <w:bCs/>
          <w:i/>
          <w:iCs/>
          <w:u w:val="single"/>
        </w:rPr>
        <w:t xml:space="preserve"> Expansion</w:t>
      </w:r>
      <w:r>
        <w:rPr>
          <w:b/>
          <w:bCs/>
          <w:i/>
          <w:iCs/>
          <w:u w:val="single"/>
        </w:rPr>
        <w:t xml:space="preserve"> Program</w:t>
      </w:r>
      <w:r w:rsidRPr="003806F9">
        <w:rPr>
          <w:b/>
          <w:bCs/>
          <w:i/>
          <w:iCs/>
          <w:u w:val="single"/>
        </w:rPr>
        <w:t>:</w:t>
      </w:r>
      <w:r w:rsidRPr="000C6231">
        <w:t xml:space="preserve"> </w:t>
      </w:r>
      <w:r w:rsidRPr="00426CC2">
        <w:t xml:space="preserve">SDG&amp;E proposes </w:t>
      </w:r>
      <w:r>
        <w:t xml:space="preserve">to </w:t>
      </w:r>
      <w:r w:rsidRPr="00A307ED">
        <w:t>chang</w:t>
      </w:r>
      <w:r>
        <w:t>e</w:t>
      </w:r>
      <w:r w:rsidRPr="00A307ED">
        <w:t xml:space="preserve"> the recertification frequency </w:t>
      </w:r>
      <w:r w:rsidRPr="00705CAA">
        <w:t xml:space="preserve">for the CARE Expansion </w:t>
      </w:r>
      <w:r>
        <w:t>P</w:t>
      </w:r>
      <w:r w:rsidRPr="00705CAA">
        <w:t>rogram</w:t>
      </w:r>
      <w:r>
        <w:t xml:space="preserve"> </w:t>
      </w:r>
      <w:r w:rsidRPr="00426CC2">
        <w:t>from two years to four years</w:t>
      </w:r>
      <w:r>
        <w:t xml:space="preserve"> given that</w:t>
      </w:r>
      <w:r w:rsidRPr="00426CC2">
        <w:t xml:space="preserve"> eligibility for facilities that qualify for the CARE Expansion Program </w:t>
      </w:r>
      <w:r w:rsidRPr="00494671">
        <w:t>remain</w:t>
      </w:r>
      <w:r w:rsidRPr="00426CC2">
        <w:t xml:space="preserve"> relatively steady</w:t>
      </w:r>
      <w:r>
        <w:t xml:space="preserve">. </w:t>
      </w:r>
      <w:r w:rsidRPr="00426CC2">
        <w:t xml:space="preserve"> </w:t>
      </w:r>
      <w:r>
        <w:t>SDG&amp;E asserts that this change would</w:t>
      </w:r>
      <w:r w:rsidRPr="00555E63">
        <w:t xml:space="preserve"> decrease administrative costs for the program since the CARE Expansion customers currently have to have their recertifications processed manually.</w:t>
      </w:r>
      <w:r w:rsidRPr="00555E63">
        <w:rPr>
          <w:vertAlign w:val="superscript"/>
        </w:rPr>
        <w:footnoteReference w:id="58"/>
      </w:r>
      <w:r>
        <w:t xml:space="preserve">  </w:t>
      </w:r>
    </w:p>
    <w:p w:rsidR="000C1980" w:rsidP="00494671" w:rsidRDefault="000C1980" w14:paraId="66FDD452" w14:textId="0694D462">
      <w:pPr>
        <w:pStyle w:val="Standard"/>
      </w:pPr>
      <w:r>
        <w:rPr>
          <w:b/>
          <w:bCs/>
          <w:i/>
          <w:iCs/>
          <w:u w:val="single"/>
        </w:rPr>
        <w:t xml:space="preserve">Increasing the HU </w:t>
      </w:r>
      <w:r w:rsidRPr="003806F9">
        <w:rPr>
          <w:b/>
          <w:bCs/>
          <w:i/>
          <w:iCs/>
          <w:u w:val="single"/>
        </w:rPr>
        <w:t>PEV</w:t>
      </w:r>
      <w:r>
        <w:rPr>
          <w:b/>
          <w:bCs/>
          <w:i/>
          <w:iCs/>
          <w:u w:val="single"/>
        </w:rPr>
        <w:t xml:space="preserve"> Threshold</w:t>
      </w:r>
      <w:r w:rsidRPr="003806F9">
        <w:rPr>
          <w:b/>
          <w:bCs/>
          <w:i/>
          <w:iCs/>
          <w:u w:val="single"/>
        </w:rPr>
        <w:t>:</w:t>
      </w:r>
      <w:r w:rsidRPr="000C6231">
        <w:t xml:space="preserve"> </w:t>
      </w:r>
      <w:r w:rsidRPr="00EB0C09">
        <w:t xml:space="preserve">SDG&amp;E also proposes to modify the </w:t>
      </w:r>
      <w:r>
        <w:t>threshold for triggering HU</w:t>
      </w:r>
      <w:r w:rsidRPr="00EB0C09">
        <w:t xml:space="preserve"> PEV from </w:t>
      </w:r>
      <w:r w:rsidRPr="00FD43E5">
        <w:t>reaching 400</w:t>
      </w:r>
      <w:r w:rsidRPr="00084782">
        <w:t xml:space="preserve"> </w:t>
      </w:r>
      <w:r w:rsidRPr="0026503D">
        <w:t>percent</w:t>
      </w:r>
      <w:r w:rsidRPr="00FD43E5">
        <w:t xml:space="preserve"> of baseline usage one time in a </w:t>
      </w:r>
      <w:r>
        <w:t>billing</w:t>
      </w:r>
      <w:r w:rsidRPr="00FD43E5">
        <w:t xml:space="preserve"> period to reaching that same level three times in a 12-month period</w:t>
      </w:r>
      <w:r>
        <w:t>,</w:t>
      </w:r>
      <w:r w:rsidRPr="00EB0C09">
        <w:t xml:space="preserve"> to increase program </w:t>
      </w:r>
      <w:r w:rsidRPr="00494671">
        <w:t>retention</w:t>
      </w:r>
      <w:r w:rsidRPr="00EB0C09">
        <w:t xml:space="preserve">.  SDG&amp;E </w:t>
      </w:r>
      <w:r>
        <w:t>claims that the</w:t>
      </w:r>
      <w:r w:rsidRPr="00EB0C09">
        <w:t xml:space="preserve"> primary challenge to maintaining and achieving </w:t>
      </w:r>
      <w:r>
        <w:t xml:space="preserve">its </w:t>
      </w:r>
      <w:r w:rsidRPr="00EB0C09">
        <w:t xml:space="preserve">enrollment goals </w:t>
      </w:r>
      <w:r>
        <w:t>is due to the HU</w:t>
      </w:r>
      <w:r w:rsidRPr="00EB0C09">
        <w:t xml:space="preserve"> PEV </w:t>
      </w:r>
      <w:r>
        <w:t xml:space="preserve">requirement and </w:t>
      </w:r>
      <w:r w:rsidRPr="00EB0C09">
        <w:t xml:space="preserve">the </w:t>
      </w:r>
      <w:r>
        <w:t xml:space="preserve">resulting </w:t>
      </w:r>
      <w:r w:rsidRPr="00EB0C09">
        <w:t xml:space="preserve">number of customers </w:t>
      </w:r>
      <w:r>
        <w:t>dropped.  SDG&amp;E states that t</w:t>
      </w:r>
      <w:r w:rsidRPr="00EB0C09">
        <w:t>he one-time threshold currently in place imposes a verification burden on customers and excessively penalizes customers for seasonal temperature spikes.</w:t>
      </w:r>
      <w:r w:rsidRPr="00EB0C09">
        <w:rPr>
          <w:vertAlign w:val="superscript"/>
        </w:rPr>
        <w:footnoteReference w:id="59"/>
      </w:r>
      <w:r w:rsidRPr="00EB0C09">
        <w:t xml:space="preserve"> </w:t>
      </w:r>
      <w:r>
        <w:t xml:space="preserve">Six percent of SDG&amp;E CARE </w:t>
      </w:r>
      <w:r w:rsidRPr="00EB0C09">
        <w:t xml:space="preserve">customers in 2018 </w:t>
      </w:r>
      <w:r>
        <w:t>triggered</w:t>
      </w:r>
      <w:r w:rsidRPr="00EB0C09">
        <w:t xml:space="preserve"> the </w:t>
      </w:r>
      <w:r>
        <w:t>HU PEV</w:t>
      </w:r>
      <w:r w:rsidRPr="00EB0C09">
        <w:t xml:space="preserve"> threshold at least once during the summer season of that year, and of those </w:t>
      </w:r>
      <w:r>
        <w:t xml:space="preserve">that were </w:t>
      </w:r>
      <w:proofErr w:type="spellStart"/>
      <w:r>
        <w:t>PEV’d</w:t>
      </w:r>
      <w:proofErr w:type="spellEnd"/>
      <w:r w:rsidRPr="00EB0C09">
        <w:t>, 62 percent were removed from the program because they did not respond to inquiries for verification.</w:t>
      </w:r>
      <w:r w:rsidRPr="00EB0C09">
        <w:rPr>
          <w:vertAlign w:val="superscript"/>
        </w:rPr>
        <w:footnoteReference w:id="60"/>
      </w:r>
      <w:r w:rsidRPr="00EB0C09">
        <w:t xml:space="preserve"> </w:t>
      </w:r>
      <w:r>
        <w:t xml:space="preserve"> </w:t>
      </w:r>
      <w:r w:rsidRPr="00EB0C09">
        <w:t xml:space="preserve">SDG&amp;E argues that increasing the threshold from one time per billing period to three times per rolling 12 month period will </w:t>
      </w:r>
      <w:r w:rsidRPr="00EB0C09">
        <w:lastRenderedPageBreak/>
        <w:t>remove this undue burden on customers while still preventing potential abuse of the CARE program.</w:t>
      </w:r>
      <w:r w:rsidRPr="00EB0C09">
        <w:rPr>
          <w:vertAlign w:val="superscript"/>
        </w:rPr>
        <w:footnoteReference w:id="61"/>
      </w:r>
      <w:r w:rsidRPr="00EB0C09">
        <w:t xml:space="preserve"> SDG&amp;E advocates for the </w:t>
      </w:r>
      <w:r w:rsidRPr="001A4C9C">
        <w:t>modification</w:t>
      </w:r>
      <w:r w:rsidRPr="00EB0C09">
        <w:t xml:space="preserve"> of the </w:t>
      </w:r>
      <w:r>
        <w:t>HU</w:t>
      </w:r>
      <w:r w:rsidRPr="00EB0C09">
        <w:t xml:space="preserve"> PEV threshold regardless of whether “high-usage” is 400</w:t>
      </w:r>
      <w:r w:rsidRPr="00084782">
        <w:t xml:space="preserve"> </w:t>
      </w:r>
      <w:r w:rsidRPr="0026503D">
        <w:t>percent</w:t>
      </w:r>
      <w:r w:rsidRPr="00EB0C09">
        <w:t xml:space="preserve"> or 600</w:t>
      </w:r>
      <w:r w:rsidRPr="00084782">
        <w:t xml:space="preserve"> </w:t>
      </w:r>
      <w:r w:rsidRPr="0026503D">
        <w:t>percent</w:t>
      </w:r>
      <w:r w:rsidRPr="00EB0C09">
        <w:t xml:space="preserve"> of energy use baseline</w:t>
      </w:r>
      <w:r>
        <w:t xml:space="preserve">, which are the two high usage thresholds identified in </w:t>
      </w:r>
      <w:r w:rsidRPr="008F1EE5">
        <w:t>Pub.</w:t>
      </w:r>
      <w:r>
        <w:t> </w:t>
      </w:r>
      <w:r w:rsidRPr="008F1EE5">
        <w:t>Util.</w:t>
      </w:r>
      <w:r>
        <w:t xml:space="preserve"> Code </w:t>
      </w:r>
      <w:r w:rsidR="00E27439">
        <w:t>Section</w:t>
      </w:r>
      <w:r w:rsidR="009E1206">
        <w:t> </w:t>
      </w:r>
      <w:r>
        <w:t>739.1</w:t>
      </w:r>
      <w:r w:rsidRPr="00EB0C09">
        <w:t>.</w:t>
      </w:r>
      <w:r w:rsidRPr="00EB0C09">
        <w:rPr>
          <w:vertAlign w:val="superscript"/>
        </w:rPr>
        <w:footnoteReference w:id="62"/>
      </w:r>
      <w:r w:rsidRPr="00EB0C09">
        <w:t xml:space="preserve">  SDG&amp;E also proposes to modify th</w:t>
      </w:r>
      <w:r>
        <w:t>e</w:t>
      </w:r>
      <w:r w:rsidRPr="00EB0C09">
        <w:t xml:space="preserve"> IRS transcript requirement </w:t>
      </w:r>
      <w:r>
        <w:t>for HU</w:t>
      </w:r>
      <w:r w:rsidRPr="00EB0C09">
        <w:t xml:space="preserve"> PEV to align with accepted documentation for regular PEV requirement, such as W-2 forms and paystubs.</w:t>
      </w:r>
      <w:r w:rsidRPr="00EB0C09">
        <w:rPr>
          <w:vertAlign w:val="superscript"/>
        </w:rPr>
        <w:footnoteReference w:id="63"/>
      </w:r>
      <w:r w:rsidRPr="00EB0C09">
        <w:t xml:space="preserve"> </w:t>
      </w:r>
    </w:p>
    <w:p w:rsidRPr="002D5D1C" w:rsidR="000C1980" w:rsidP="00494671" w:rsidRDefault="000C1980" w14:paraId="32C738DD" w14:textId="77777777">
      <w:pPr>
        <w:pStyle w:val="Standard"/>
      </w:pPr>
      <w:r>
        <w:rPr>
          <w:b/>
          <w:bCs/>
          <w:i/>
          <w:iCs/>
          <w:u w:val="single"/>
        </w:rPr>
        <w:t>Funding CIS and IVR:</w:t>
      </w:r>
      <w:r>
        <w:t xml:space="preserve">  </w:t>
      </w:r>
      <w:r w:rsidRPr="002B692E">
        <w:t xml:space="preserve">SDG&amp;E is also requesting funding to upgrade </w:t>
      </w:r>
      <w:r>
        <w:t>its</w:t>
      </w:r>
      <w:r w:rsidRPr="002B692E">
        <w:t xml:space="preserve"> Customer Information </w:t>
      </w:r>
      <w:r>
        <w:t>S</w:t>
      </w:r>
      <w:r w:rsidRPr="002B692E">
        <w:t>ystem</w:t>
      </w:r>
      <w:r w:rsidRPr="002B692E">
        <w:rPr>
          <w:vertAlign w:val="superscript"/>
        </w:rPr>
        <w:footnoteReference w:id="64"/>
      </w:r>
      <w:r w:rsidRPr="002B692E">
        <w:rPr>
          <w:vertAlign w:val="superscript"/>
        </w:rPr>
        <w:t xml:space="preserve"> </w:t>
      </w:r>
      <w:r>
        <w:t>(CIS) a</w:t>
      </w:r>
      <w:r w:rsidRPr="002B692E">
        <w:t xml:space="preserve">nd Integrated Voice Response </w:t>
      </w:r>
      <w:r>
        <w:t xml:space="preserve">(IVR) </w:t>
      </w:r>
      <w:r w:rsidRPr="002B692E">
        <w:t>system</w:t>
      </w:r>
      <w:r>
        <w:t xml:space="preserve"> to</w:t>
      </w:r>
      <w:r w:rsidRPr="002B692E">
        <w:t xml:space="preserve"> streamline enrollment automation, enhance capabilities related to delivery of documents via text and email, and recertify CARE customer</w:t>
      </w:r>
      <w:r>
        <w:t>s.</w:t>
      </w:r>
      <w:r w:rsidRPr="002B692E">
        <w:t xml:space="preserve"> </w:t>
      </w:r>
    </w:p>
    <w:p w:rsidR="000C1980" w:rsidP="001968DC" w:rsidRDefault="000C1980" w14:paraId="1FDD3F6B" w14:textId="75371890">
      <w:pPr>
        <w:pStyle w:val="Heading3"/>
        <w:tabs>
          <w:tab w:val="clear" w:pos="1440"/>
          <w:tab w:val="num" w:pos="1800"/>
        </w:tabs>
        <w:ind w:left="2664"/>
      </w:pPr>
      <w:bookmarkStart w:name="_Toc69947761" w:id="64"/>
      <w:r>
        <w:t xml:space="preserve">Party </w:t>
      </w:r>
      <w:r w:rsidRPr="001A4C9C">
        <w:t>Positions</w:t>
      </w:r>
      <w:bookmarkEnd w:id="64"/>
      <w:r>
        <w:t xml:space="preserve"> </w:t>
      </w:r>
    </w:p>
    <w:p w:rsidR="000C1980" w:rsidP="001968DC" w:rsidRDefault="000C1980" w14:paraId="05D6AA24" w14:textId="77777777">
      <w:pPr>
        <w:pStyle w:val="Heading4"/>
        <w:tabs>
          <w:tab w:val="clear" w:pos="2160"/>
          <w:tab w:val="num" w:pos="2520"/>
        </w:tabs>
        <w:ind w:left="3600"/>
      </w:pPr>
      <w:bookmarkStart w:name="_Toc69947762" w:id="65"/>
      <w:r>
        <w:t>Cal Advocates</w:t>
      </w:r>
      <w:bookmarkEnd w:id="65"/>
    </w:p>
    <w:p w:rsidR="000C1980" w:rsidP="00494671" w:rsidRDefault="000C1980" w14:paraId="1749D862" w14:textId="77777777">
      <w:pPr>
        <w:pStyle w:val="Standard"/>
      </w:pPr>
      <w:r>
        <w:rPr>
          <w:b/>
          <w:bCs/>
          <w:i/>
          <w:iCs/>
          <w:u w:val="single"/>
        </w:rPr>
        <w:t>Creating D</w:t>
      </w:r>
      <w:r w:rsidRPr="009C25B1">
        <w:rPr>
          <w:b/>
          <w:bCs/>
          <w:i/>
          <w:iCs/>
          <w:u w:val="single"/>
        </w:rPr>
        <w:t xml:space="preserve">ata </w:t>
      </w:r>
      <w:r>
        <w:rPr>
          <w:b/>
          <w:bCs/>
          <w:i/>
          <w:iCs/>
          <w:u w:val="single"/>
        </w:rPr>
        <w:t>S</w:t>
      </w:r>
      <w:r w:rsidRPr="009C25B1">
        <w:rPr>
          <w:b/>
          <w:bCs/>
          <w:i/>
          <w:iCs/>
          <w:u w:val="single"/>
        </w:rPr>
        <w:t>haring</w:t>
      </w:r>
      <w:r>
        <w:rPr>
          <w:b/>
          <w:bCs/>
          <w:i/>
          <w:iCs/>
          <w:u w:val="single"/>
        </w:rPr>
        <w:t xml:space="preserve"> Partnerships</w:t>
      </w:r>
      <w:r w:rsidRPr="00731FF7">
        <w:rPr>
          <w:b/>
          <w:bCs/>
          <w:i/>
          <w:iCs/>
          <w:u w:val="single"/>
        </w:rPr>
        <w:t>:</w:t>
      </w:r>
      <w:r>
        <w:t xml:space="preserve"> Cal Advocates</w:t>
      </w:r>
      <w:r w:rsidRPr="000E4888">
        <w:t xml:space="preserve"> </w:t>
      </w:r>
      <w:r>
        <w:t xml:space="preserve">recommend </w:t>
      </w:r>
      <w:r w:rsidRPr="000E4888">
        <w:t xml:space="preserve">that the IOUs establish two-way data sharing partnerships with state and federal government agencies to help </w:t>
      </w:r>
      <w:r w:rsidRPr="00494671">
        <w:t>customers</w:t>
      </w:r>
      <w:r w:rsidRPr="000E4888">
        <w:t xml:space="preserve"> with the CARE recertification process. By training the employees at government agencies to provide CARE recertification services, </w:t>
      </w:r>
      <w:r>
        <w:t>Cal Advocates</w:t>
      </w:r>
      <w:r w:rsidRPr="000E4888">
        <w:t xml:space="preserve"> suggest that non-response attrition rates could be decreased. </w:t>
      </w:r>
      <w:r>
        <w:t xml:space="preserve"> </w:t>
      </w:r>
      <w:r w:rsidRPr="000E4888">
        <w:t xml:space="preserve">Further, to </w:t>
      </w:r>
      <w:r w:rsidRPr="006F5331">
        <w:t>ensure the federal and state government employees can assist CARE customers, Cal Advocates propose that the IOUs establish an online, two-way data sharing system with the government agencies (</w:t>
      </w:r>
      <w:r w:rsidRPr="001A4C9C">
        <w:rPr>
          <w:i/>
          <w:iCs/>
        </w:rPr>
        <w:t>i.e</w:t>
      </w:r>
      <w:r w:rsidRPr="006F5331">
        <w:t xml:space="preserve">., a mechanism that allows the secure electronic data transfer web portal of a </w:t>
      </w:r>
      <w:r w:rsidRPr="006F5331">
        <w:lastRenderedPageBreak/>
        <w:t>customer’s CARE status between the IOUs and government agencies) to provide recertification assistance.</w:t>
      </w:r>
      <w:r w:rsidRPr="006F5331">
        <w:rPr>
          <w:vertAlign w:val="superscript"/>
        </w:rPr>
        <w:footnoteReference w:id="65"/>
      </w:r>
      <w:r w:rsidRPr="000E4888">
        <w:t xml:space="preserve">  </w:t>
      </w:r>
    </w:p>
    <w:p w:rsidR="000C1980" w:rsidP="00494671" w:rsidRDefault="000C1980" w14:paraId="06FEEF03" w14:textId="77777777">
      <w:pPr>
        <w:pStyle w:val="Standard"/>
      </w:pPr>
      <w:r>
        <w:rPr>
          <w:b/>
          <w:bCs/>
          <w:i/>
          <w:iCs/>
          <w:u w:val="single"/>
        </w:rPr>
        <w:t>Updating Probability Models</w:t>
      </w:r>
      <w:r w:rsidRPr="00731FF7">
        <w:rPr>
          <w:b/>
          <w:bCs/>
          <w:i/>
          <w:iCs/>
          <w:u w:val="single"/>
        </w:rPr>
        <w:t>:</w:t>
      </w:r>
      <w:r>
        <w:t xml:space="preserve"> Cal Advocates recommend that the </w:t>
      </w:r>
      <w:r w:rsidRPr="00027B05">
        <w:t xml:space="preserve">IOUs adopt, </w:t>
      </w:r>
      <w:proofErr w:type="gramStart"/>
      <w:r w:rsidRPr="00027B05">
        <w:t>update</w:t>
      </w:r>
      <w:proofErr w:type="gramEnd"/>
      <w:r w:rsidRPr="00027B05">
        <w:t xml:space="preserve"> and</w:t>
      </w:r>
      <w:r>
        <w:t xml:space="preserve"> </w:t>
      </w:r>
      <w:r w:rsidRPr="00027B05">
        <w:t>incorporate their probability models for selecting participants for income verification, as</w:t>
      </w:r>
      <w:r>
        <w:t xml:space="preserve"> r</w:t>
      </w:r>
      <w:r w:rsidRPr="00027B05">
        <w:t>ecommended in the LINA Study</w:t>
      </w:r>
      <w:r>
        <w:t>.</w:t>
      </w:r>
      <w:r>
        <w:rPr>
          <w:rStyle w:val="FootnoteReference"/>
        </w:rPr>
        <w:footnoteReference w:id="66"/>
      </w:r>
    </w:p>
    <w:p w:rsidRPr="007A2566" w:rsidR="000C1980" w:rsidP="00494671" w:rsidRDefault="000C1980" w14:paraId="7D23FD89" w14:textId="77777777">
      <w:pPr>
        <w:pStyle w:val="Standard"/>
      </w:pPr>
      <w:r>
        <w:rPr>
          <w:b/>
          <w:bCs/>
          <w:i/>
          <w:iCs/>
          <w:u w:val="single"/>
        </w:rPr>
        <w:t>Auto-Recertifying “High Probability” Households:</w:t>
      </w:r>
      <w:r>
        <w:t xml:space="preserve"> Cal Advocates recommend that </w:t>
      </w:r>
      <w:r w:rsidRPr="00027B05">
        <w:t>SCE and SDG&amp;E adopt PG&amp;E’s and</w:t>
      </w:r>
      <w:r>
        <w:t xml:space="preserve"> </w:t>
      </w:r>
      <w:r w:rsidRPr="00027B05">
        <w:t>SoCalGas’ method of reducing attrition of CARE-eligible customers</w:t>
      </w:r>
      <w:r>
        <w:t xml:space="preserve"> </w:t>
      </w:r>
      <w:r w:rsidRPr="002308E0">
        <w:t>by auto-recertifying customers who are high-probability of being CARE-eligible.</w:t>
      </w:r>
      <w:r w:rsidRPr="002308E0">
        <w:rPr>
          <w:vertAlign w:val="superscript"/>
        </w:rPr>
        <w:footnoteReference w:id="67"/>
      </w:r>
    </w:p>
    <w:p w:rsidR="000C1980" w:rsidP="001968DC" w:rsidRDefault="000C1980" w14:paraId="68C25A7E" w14:textId="77777777">
      <w:pPr>
        <w:pStyle w:val="Heading4"/>
        <w:tabs>
          <w:tab w:val="clear" w:pos="2160"/>
          <w:tab w:val="num" w:pos="2520"/>
        </w:tabs>
        <w:ind w:left="3600"/>
      </w:pPr>
      <w:bookmarkStart w:name="_Toc69947763" w:id="66"/>
      <w:r>
        <w:t>TURN</w:t>
      </w:r>
      <w:bookmarkEnd w:id="66"/>
    </w:p>
    <w:p w:rsidRPr="00773B26" w:rsidR="000C1980" w:rsidP="00494671" w:rsidRDefault="000C1980" w14:paraId="03167901" w14:textId="735CE47C">
      <w:pPr>
        <w:pStyle w:val="Standard"/>
      </w:pPr>
      <w:r>
        <w:rPr>
          <w:b/>
          <w:bCs/>
          <w:i/>
          <w:iCs/>
          <w:u w:val="single"/>
        </w:rPr>
        <w:t xml:space="preserve">Funding </w:t>
      </w:r>
      <w:r w:rsidRPr="00341600">
        <w:rPr>
          <w:b/>
          <w:bCs/>
          <w:i/>
          <w:iCs/>
          <w:u w:val="single"/>
        </w:rPr>
        <w:t>PEV Outbound Call</w:t>
      </w:r>
      <w:r>
        <w:rPr>
          <w:b/>
          <w:bCs/>
          <w:i/>
          <w:iCs/>
          <w:u w:val="single"/>
        </w:rPr>
        <w:t xml:space="preserve"> Efforts</w:t>
      </w:r>
      <w:r w:rsidRPr="00341600">
        <w:rPr>
          <w:b/>
          <w:bCs/>
          <w:i/>
          <w:iCs/>
          <w:u w:val="single"/>
        </w:rPr>
        <w:t>:</w:t>
      </w:r>
      <w:r>
        <w:t xml:space="preserve">  </w:t>
      </w:r>
      <w:r w:rsidRPr="00773B26">
        <w:t xml:space="preserve">TURN proposes </w:t>
      </w:r>
      <w:r>
        <w:t xml:space="preserve">that </w:t>
      </w:r>
      <w:r w:rsidRPr="00773B26">
        <w:t xml:space="preserve">PG&amp;E, SDG&amp;E, and SoCalGas test the use of a CARE PEV outbound call system, identical to the one that SCE is proposing, </w:t>
      </w:r>
      <w:r w:rsidRPr="008F467C" w:rsidR="008F467C">
        <w:t xml:space="preserve">within the first year in which PEV resumes after the end of the COVID-19 </w:t>
      </w:r>
      <w:proofErr w:type="gramStart"/>
      <w:r w:rsidRPr="008F467C" w:rsidR="008F467C">
        <w:t>suspension.</w:t>
      </w:r>
      <w:r w:rsidRPr="00773B26">
        <w:t>.</w:t>
      </w:r>
      <w:proofErr w:type="gramEnd"/>
      <w:r w:rsidRPr="00773B26">
        <w:rPr>
          <w:vertAlign w:val="superscript"/>
        </w:rPr>
        <w:t xml:space="preserve"> </w:t>
      </w:r>
      <w:r w:rsidRPr="00773B26">
        <w:rPr>
          <w:vertAlign w:val="superscript"/>
        </w:rPr>
        <w:footnoteReference w:id="68"/>
      </w:r>
      <w:r w:rsidRPr="00773B26">
        <w:t xml:space="preserve"> </w:t>
      </w:r>
      <w:r>
        <w:t>And if the IOUs find that the</w:t>
      </w:r>
      <w:r w:rsidRPr="00773B26">
        <w:t xml:space="preserve"> results of this first-year test of the outbound call system warrant expansion to a full-time program, the IOUs should pursue this </w:t>
      </w:r>
      <w:r>
        <w:t>in the following ways</w:t>
      </w:r>
      <w:r w:rsidRPr="00773B26">
        <w:t xml:space="preserve">. </w:t>
      </w:r>
      <w:r>
        <w:t xml:space="preserve">If the IOUs have sufficient funding </w:t>
      </w:r>
      <w:r w:rsidRPr="00773B26">
        <w:t xml:space="preserve">through </w:t>
      </w:r>
      <w:r>
        <w:t xml:space="preserve">the authorized </w:t>
      </w:r>
      <w:r w:rsidRPr="00773B26">
        <w:t>CARE administrative budget</w:t>
      </w:r>
      <w:r>
        <w:t>, then</w:t>
      </w:r>
      <w:r w:rsidRPr="00773B26">
        <w:t xml:space="preserve"> the IOUs should submit the test results of the outbound call system via</w:t>
      </w:r>
      <w:r>
        <w:t xml:space="preserve"> a</w:t>
      </w:r>
      <w:r w:rsidRPr="00773B26">
        <w:t xml:space="preserve"> Tier 1 Advice Letter, indicating their intention to use existing CARE budgets to expand the effort during the 2021-2026 program cycle. </w:t>
      </w:r>
      <w:r>
        <w:t xml:space="preserve">If additional funding is necessary, then the IOUs </w:t>
      </w:r>
      <w:r w:rsidRPr="00773B26">
        <w:t xml:space="preserve">should file a petition for modification of the 2021-2026 program decision to add funding for </w:t>
      </w:r>
      <w:r>
        <w:t>this</w:t>
      </w:r>
      <w:r w:rsidRPr="00773B26">
        <w:t xml:space="preserve"> incremental PEV effort. </w:t>
      </w:r>
    </w:p>
    <w:p w:rsidRPr="00773B26" w:rsidR="000C1980" w:rsidP="0023091F" w:rsidRDefault="000C1980" w14:paraId="102CDE0D" w14:textId="77777777">
      <w:pPr>
        <w:pStyle w:val="ALJBodyText"/>
      </w:pPr>
      <w:r>
        <w:rPr>
          <w:b/>
          <w:bCs/>
          <w:i/>
          <w:iCs/>
          <w:u w:val="single"/>
        </w:rPr>
        <w:lastRenderedPageBreak/>
        <w:t xml:space="preserve">Modifying </w:t>
      </w:r>
      <w:r w:rsidRPr="003806F9">
        <w:rPr>
          <w:b/>
          <w:bCs/>
          <w:i/>
          <w:iCs/>
          <w:u w:val="single"/>
        </w:rPr>
        <w:t>PEV</w:t>
      </w:r>
      <w:r>
        <w:rPr>
          <w:b/>
          <w:bCs/>
          <w:i/>
          <w:iCs/>
          <w:u w:val="single"/>
        </w:rPr>
        <w:t xml:space="preserve"> Income Documentation</w:t>
      </w:r>
      <w:r w:rsidRPr="00351EFE">
        <w:rPr>
          <w:b/>
          <w:bCs/>
          <w:i/>
          <w:iCs/>
          <w:u w:val="single"/>
        </w:rPr>
        <w:t>:</w:t>
      </w:r>
      <w:r>
        <w:t xml:space="preserve"> </w:t>
      </w:r>
      <w:r w:rsidRPr="00773B26">
        <w:t>TURN</w:t>
      </w:r>
      <w:r>
        <w:t xml:space="preserve"> </w:t>
      </w:r>
      <w:r w:rsidRPr="00773B26">
        <w:t xml:space="preserve">proposes that SDG&amp;E change </w:t>
      </w:r>
      <w:r>
        <w:t>its</w:t>
      </w:r>
      <w:r w:rsidRPr="00773B26">
        <w:t xml:space="preserve"> policy </w:t>
      </w:r>
      <w:r>
        <w:t>of</w:t>
      </w:r>
      <w:r w:rsidRPr="00773B26">
        <w:t xml:space="preserve"> requir</w:t>
      </w:r>
      <w:r>
        <w:t>ing</w:t>
      </w:r>
      <w:r w:rsidRPr="00773B26">
        <w:t xml:space="preserve"> </w:t>
      </w:r>
      <w:r>
        <w:t>HU</w:t>
      </w:r>
      <w:r w:rsidRPr="00773B26">
        <w:t xml:space="preserve"> PEV customers to verify their income using a transcript of IRS tax return or IRS verification of non-filing,</w:t>
      </w:r>
      <w:r w:rsidRPr="00773B26">
        <w:rPr>
          <w:vertAlign w:val="superscript"/>
        </w:rPr>
        <w:footnoteReference w:id="69"/>
      </w:r>
      <w:r w:rsidRPr="00773B26">
        <w:t xml:space="preserve"> </w:t>
      </w:r>
      <w:r>
        <w:t>to allo</w:t>
      </w:r>
      <w:r w:rsidRPr="00773B26">
        <w:t>w</w:t>
      </w:r>
      <w:r>
        <w:t xml:space="preserve">ing </w:t>
      </w:r>
      <w:r w:rsidRPr="00773B26">
        <w:t>verif</w:t>
      </w:r>
      <w:r>
        <w:t xml:space="preserve">ication using </w:t>
      </w:r>
      <w:r w:rsidRPr="00773B26">
        <w:t>the same list of documents as regular PEV customers</w:t>
      </w:r>
      <w:r>
        <w:t xml:space="preserve">, </w:t>
      </w:r>
      <w:proofErr w:type="gramStart"/>
      <w:r>
        <w:t>similar to</w:t>
      </w:r>
      <w:proofErr w:type="gramEnd"/>
      <w:r>
        <w:t xml:space="preserve"> </w:t>
      </w:r>
      <w:r w:rsidRPr="00773B26">
        <w:t>the requirements used by PG&amp;E and SCE. The regular PEV income verification for PG&amp;E and SCE allow documents such as paystubs, W2 and other income documentation besides IRS tax forms.</w:t>
      </w:r>
      <w:r w:rsidRPr="00773B26">
        <w:rPr>
          <w:vertAlign w:val="superscript"/>
        </w:rPr>
        <w:footnoteReference w:id="70"/>
      </w:r>
    </w:p>
    <w:p w:rsidR="000C1980" w:rsidP="001968DC" w:rsidRDefault="000C1980" w14:paraId="244F6587" w14:textId="0D841F40">
      <w:pPr>
        <w:pStyle w:val="Heading4"/>
        <w:tabs>
          <w:tab w:val="clear" w:pos="2160"/>
          <w:tab w:val="num" w:pos="2520"/>
        </w:tabs>
        <w:ind w:left="3600"/>
      </w:pPr>
      <w:bookmarkStart w:name="_Toc69947764" w:id="67"/>
      <w:proofErr w:type="spellStart"/>
      <w:r>
        <w:t>CforAT</w:t>
      </w:r>
      <w:bookmarkEnd w:id="67"/>
      <w:proofErr w:type="spellEnd"/>
    </w:p>
    <w:p w:rsidRPr="00773B26" w:rsidR="000C1980" w:rsidP="0023091F" w:rsidRDefault="000C1980" w14:paraId="14F6BD7E" w14:textId="77777777">
      <w:pPr>
        <w:pStyle w:val="ALJBodyText"/>
      </w:pPr>
      <w:r>
        <w:rPr>
          <w:b/>
          <w:bCs/>
          <w:i/>
          <w:iCs/>
          <w:u w:val="single"/>
        </w:rPr>
        <w:t xml:space="preserve">Increasing the HU </w:t>
      </w:r>
      <w:r w:rsidRPr="003806F9">
        <w:rPr>
          <w:b/>
          <w:bCs/>
          <w:i/>
          <w:iCs/>
          <w:u w:val="single"/>
        </w:rPr>
        <w:t>PEV</w:t>
      </w:r>
      <w:r>
        <w:rPr>
          <w:b/>
          <w:bCs/>
          <w:i/>
          <w:iCs/>
          <w:u w:val="single"/>
        </w:rPr>
        <w:t xml:space="preserve"> Threshold</w:t>
      </w:r>
      <w:r w:rsidRPr="003806F9">
        <w:rPr>
          <w:b/>
          <w:bCs/>
          <w:i/>
          <w:iCs/>
          <w:u w:val="single"/>
        </w:rPr>
        <w:t>:</w:t>
      </w:r>
      <w:r>
        <w:t xml:space="preserve"> </w:t>
      </w:r>
      <w:proofErr w:type="spellStart"/>
      <w:r w:rsidRPr="00773B26">
        <w:t>CforAT</w:t>
      </w:r>
      <w:proofErr w:type="spellEnd"/>
      <w:r w:rsidRPr="00773B26">
        <w:t xml:space="preserve"> supports SCE’s and SDG&amp;E’s proposals to increase the threshold for </w:t>
      </w:r>
      <w:r>
        <w:t>HU</w:t>
      </w:r>
      <w:r w:rsidRPr="00773B26">
        <w:t xml:space="preserve"> PEV from one-time usage above the 400</w:t>
      </w:r>
      <w:r w:rsidRPr="00084782">
        <w:t xml:space="preserve"> </w:t>
      </w:r>
      <w:r w:rsidRPr="0026503D">
        <w:t>percent</w:t>
      </w:r>
      <w:r w:rsidRPr="00773B26">
        <w:t xml:space="preserve"> threshold, to a three-time usage above th</w:t>
      </w:r>
      <w:r>
        <w:t>e</w:t>
      </w:r>
      <w:r w:rsidRPr="00773B26">
        <w:t xml:space="preserve"> </w:t>
      </w:r>
      <w:r>
        <w:t>400</w:t>
      </w:r>
      <w:r w:rsidRPr="00084782">
        <w:t xml:space="preserve"> </w:t>
      </w:r>
      <w:r w:rsidRPr="0026503D">
        <w:t>percent</w:t>
      </w:r>
      <w:r>
        <w:t xml:space="preserve"> of </w:t>
      </w:r>
      <w:r w:rsidRPr="00773B26">
        <w:t xml:space="preserve">the baseline in a twelve-month period because disabled customers are particularly reliant on electricity for independent living and require access to affordable energy. </w:t>
      </w:r>
      <w:proofErr w:type="spellStart"/>
      <w:r w:rsidRPr="00773B26">
        <w:t>CforAT</w:t>
      </w:r>
      <w:proofErr w:type="spellEnd"/>
      <w:r w:rsidRPr="00773B26">
        <w:t xml:space="preserve"> </w:t>
      </w:r>
      <w:r>
        <w:t>states that t</w:t>
      </w:r>
      <w:r w:rsidRPr="00773B26">
        <w:t xml:space="preserve">he current one-time threshold for </w:t>
      </w:r>
      <w:r>
        <w:t>HU</w:t>
      </w:r>
      <w:r w:rsidRPr="00773B26">
        <w:t xml:space="preserve"> PEV results in removal of CARE-eligible customers from the program, even though they are most in need of the program.</w:t>
      </w:r>
      <w:r w:rsidRPr="00773B26">
        <w:rPr>
          <w:vertAlign w:val="superscript"/>
        </w:rPr>
        <w:footnoteReference w:id="71"/>
      </w:r>
    </w:p>
    <w:p w:rsidR="000C1980" w:rsidP="001968DC" w:rsidRDefault="000C1980" w14:paraId="58D04F42" w14:textId="4D53F78D">
      <w:pPr>
        <w:pStyle w:val="Heading3"/>
        <w:tabs>
          <w:tab w:val="clear" w:pos="1440"/>
          <w:tab w:val="num" w:pos="1800"/>
        </w:tabs>
        <w:ind w:left="2664"/>
      </w:pPr>
      <w:bookmarkStart w:name="_Toc69947765" w:id="68"/>
      <w:r>
        <w:t>IOU Responses</w:t>
      </w:r>
      <w:bookmarkEnd w:id="68"/>
    </w:p>
    <w:p w:rsidR="000C1980" w:rsidP="001968DC" w:rsidRDefault="000C1980" w14:paraId="4A7D7191" w14:textId="77777777">
      <w:pPr>
        <w:pStyle w:val="Heading4"/>
        <w:tabs>
          <w:tab w:val="clear" w:pos="2160"/>
          <w:tab w:val="num" w:pos="2520"/>
        </w:tabs>
        <w:ind w:left="3600"/>
      </w:pPr>
      <w:bookmarkStart w:name="_Toc69947766" w:id="69"/>
      <w:r>
        <w:t>PG&amp;E</w:t>
      </w:r>
      <w:bookmarkEnd w:id="69"/>
    </w:p>
    <w:p w:rsidR="000C1980" w:rsidP="0023091F" w:rsidRDefault="000C1980" w14:paraId="497A924E" w14:textId="77777777">
      <w:pPr>
        <w:pStyle w:val="ALJBodyText"/>
        <w:rPr>
          <w:vertAlign w:val="superscript"/>
        </w:rPr>
      </w:pPr>
      <w:r>
        <w:rPr>
          <w:b/>
          <w:bCs/>
          <w:i/>
          <w:iCs/>
          <w:u w:val="single"/>
        </w:rPr>
        <w:t>Creating D</w:t>
      </w:r>
      <w:r w:rsidRPr="009C25B1">
        <w:rPr>
          <w:b/>
          <w:bCs/>
          <w:i/>
          <w:iCs/>
          <w:u w:val="single"/>
        </w:rPr>
        <w:t xml:space="preserve">ata </w:t>
      </w:r>
      <w:r>
        <w:rPr>
          <w:b/>
          <w:bCs/>
          <w:i/>
          <w:iCs/>
          <w:u w:val="single"/>
        </w:rPr>
        <w:t>S</w:t>
      </w:r>
      <w:r w:rsidRPr="009C25B1">
        <w:rPr>
          <w:b/>
          <w:bCs/>
          <w:i/>
          <w:iCs/>
          <w:u w:val="single"/>
        </w:rPr>
        <w:t>haring</w:t>
      </w:r>
      <w:r>
        <w:rPr>
          <w:b/>
          <w:bCs/>
          <w:i/>
          <w:iCs/>
          <w:u w:val="single"/>
        </w:rPr>
        <w:t xml:space="preserve"> Partnerships:</w:t>
      </w:r>
      <w:r w:rsidRPr="001237D4">
        <w:t xml:space="preserve"> </w:t>
      </w:r>
      <w:r w:rsidRPr="005E6A1F">
        <w:t>PG&amp;E</w:t>
      </w:r>
      <w:r>
        <w:t xml:space="preserve"> states that </w:t>
      </w:r>
      <w:r w:rsidRPr="005E6A1F">
        <w:t>Cal</w:t>
      </w:r>
      <w:r>
        <w:t xml:space="preserve"> Advocates’ proposal poses v</w:t>
      </w:r>
      <w:r w:rsidRPr="005E6A1F">
        <w:t>arious challenges</w:t>
      </w:r>
      <w:r>
        <w:t>,</w:t>
      </w:r>
      <w:r w:rsidRPr="005E6A1F">
        <w:rPr>
          <w:vertAlign w:val="superscript"/>
        </w:rPr>
        <w:t xml:space="preserve"> </w:t>
      </w:r>
      <w:r w:rsidRPr="005E6A1F">
        <w:rPr>
          <w:vertAlign w:val="superscript"/>
        </w:rPr>
        <w:footnoteReference w:id="72"/>
      </w:r>
      <w:r w:rsidRPr="005E6A1F">
        <w:t xml:space="preserve"> </w:t>
      </w:r>
      <w:r>
        <w:t xml:space="preserve">including </w:t>
      </w:r>
      <w:r w:rsidRPr="005E6A1F">
        <w:t>training</w:t>
      </w:r>
      <w:r>
        <w:t xml:space="preserve"> </w:t>
      </w:r>
      <w:r w:rsidRPr="005E6A1F">
        <w:t xml:space="preserve">hundreds of government employees to effectively serve CARE customers, </w:t>
      </w:r>
      <w:r>
        <w:t xml:space="preserve">the </w:t>
      </w:r>
      <w:r w:rsidRPr="005E6A1F">
        <w:t xml:space="preserve">costs </w:t>
      </w:r>
      <w:r>
        <w:t xml:space="preserve">incurred </w:t>
      </w:r>
      <w:r w:rsidRPr="005E6A1F">
        <w:t xml:space="preserve">to both PG&amp;E </w:t>
      </w:r>
      <w:r w:rsidRPr="005E6A1F">
        <w:lastRenderedPageBreak/>
        <w:t xml:space="preserve">ratepayers and the participating federal and state agencies of implementing the confidential data sharing, and the need </w:t>
      </w:r>
      <w:r>
        <w:t>for</w:t>
      </w:r>
      <w:r w:rsidRPr="005E6A1F">
        <w:t xml:space="preserve"> numerous data security sharing agreements and information security audits to ensure privacy protections. </w:t>
      </w:r>
      <w:r>
        <w:t xml:space="preserve"> </w:t>
      </w:r>
      <w:r w:rsidRPr="005E6A1F">
        <w:t xml:space="preserve">However, PG&amp;E </w:t>
      </w:r>
      <w:r>
        <w:t xml:space="preserve">would be </w:t>
      </w:r>
      <w:r w:rsidRPr="005E6A1F">
        <w:t>willing to informally collaborate with Cal</w:t>
      </w:r>
      <w:r>
        <w:t xml:space="preserve"> Advocates </w:t>
      </w:r>
      <w:r w:rsidRPr="005E6A1F">
        <w:t>and other stakeholders to discuss limited, targeted opportunities or non-confidential data sharing to improve efficiency and targeting of PG&amp;E programs.</w:t>
      </w:r>
      <w:r w:rsidRPr="005E6A1F">
        <w:rPr>
          <w:vertAlign w:val="superscript"/>
        </w:rPr>
        <w:t xml:space="preserve"> </w:t>
      </w:r>
    </w:p>
    <w:p w:rsidR="000C1980" w:rsidP="0023091F" w:rsidRDefault="000C1980" w14:paraId="7E4B90E0" w14:textId="77777777">
      <w:pPr>
        <w:pStyle w:val="ALJBodyText"/>
      </w:pPr>
      <w:r>
        <w:rPr>
          <w:b/>
          <w:bCs/>
          <w:i/>
          <w:iCs/>
          <w:u w:val="single"/>
        </w:rPr>
        <w:t>Funding PEV Outbound Call Efforts:</w:t>
      </w:r>
      <w:r>
        <w:t xml:space="preserve"> </w:t>
      </w:r>
      <w:r w:rsidRPr="00773B26">
        <w:t xml:space="preserve">PG&amp;E </w:t>
      </w:r>
      <w:r>
        <w:t>w</w:t>
      </w:r>
      <w:r w:rsidRPr="00773B26">
        <w:t>ould be willing to perform a 90-day pilot with a similar scope of SCE’s program.</w:t>
      </w:r>
      <w:r w:rsidRPr="00773B26">
        <w:rPr>
          <w:vertAlign w:val="superscript"/>
        </w:rPr>
        <w:footnoteReference w:id="73"/>
      </w:r>
      <w:r w:rsidRPr="00773B26">
        <w:t xml:space="preserve"> </w:t>
      </w:r>
      <w:r>
        <w:t xml:space="preserve"> </w:t>
      </w:r>
      <w:r w:rsidRPr="00773B26">
        <w:t xml:space="preserve">However, PG&amp;E would only begin this effort after COVID-19 customer protections restricting PEV were no longer in place.  SoCalGas and SDG&amp;E were silent regarding TURN’s proposal.   </w:t>
      </w:r>
    </w:p>
    <w:p w:rsidR="000C1980" w:rsidP="001968DC" w:rsidRDefault="000C1980" w14:paraId="3401D9B6" w14:textId="5A07A154">
      <w:pPr>
        <w:pStyle w:val="Heading4"/>
        <w:tabs>
          <w:tab w:val="clear" w:pos="2160"/>
          <w:tab w:val="num" w:pos="2520"/>
        </w:tabs>
        <w:ind w:left="3600"/>
      </w:pPr>
      <w:bookmarkStart w:name="_Toc69947767" w:id="70"/>
      <w:r>
        <w:t>SCE</w:t>
      </w:r>
      <w:bookmarkEnd w:id="70"/>
    </w:p>
    <w:p w:rsidR="000C1980" w:rsidP="0023091F" w:rsidRDefault="000C1980" w14:paraId="4609EA2B" w14:textId="77777777">
      <w:pPr>
        <w:pStyle w:val="ALJBodyText"/>
      </w:pPr>
      <w:r>
        <w:rPr>
          <w:b/>
          <w:bCs/>
          <w:i/>
          <w:iCs/>
          <w:u w:val="single"/>
        </w:rPr>
        <w:t>Creating D</w:t>
      </w:r>
      <w:r w:rsidRPr="009C25B1">
        <w:rPr>
          <w:b/>
          <w:bCs/>
          <w:i/>
          <w:iCs/>
          <w:u w:val="single"/>
        </w:rPr>
        <w:t xml:space="preserve">ata </w:t>
      </w:r>
      <w:r>
        <w:rPr>
          <w:b/>
          <w:bCs/>
          <w:i/>
          <w:iCs/>
          <w:u w:val="single"/>
        </w:rPr>
        <w:t>S</w:t>
      </w:r>
      <w:r w:rsidRPr="009C25B1">
        <w:rPr>
          <w:b/>
          <w:bCs/>
          <w:i/>
          <w:iCs/>
          <w:u w:val="single"/>
        </w:rPr>
        <w:t>haring</w:t>
      </w:r>
      <w:r>
        <w:rPr>
          <w:b/>
          <w:bCs/>
          <w:i/>
          <w:iCs/>
          <w:u w:val="single"/>
        </w:rPr>
        <w:t xml:space="preserve"> Partnerships:</w:t>
      </w:r>
      <w:r w:rsidRPr="00964C9B">
        <w:t xml:space="preserve"> </w:t>
      </w:r>
      <w:r w:rsidRPr="00741B32">
        <w:t>SCE</w:t>
      </w:r>
      <w:r>
        <w:t xml:space="preserve"> </w:t>
      </w:r>
      <w:r w:rsidRPr="00741B32">
        <w:t xml:space="preserve">asks the Commission to reject </w:t>
      </w:r>
      <w:r>
        <w:t xml:space="preserve">Cal Advocates’ </w:t>
      </w:r>
      <w:r w:rsidRPr="00741B32">
        <w:t>data sharing</w:t>
      </w:r>
      <w:r>
        <w:t xml:space="preserve"> </w:t>
      </w:r>
      <w:r w:rsidRPr="00741B32">
        <w:t xml:space="preserve">recommendation </w:t>
      </w:r>
      <w:r>
        <w:t>stating the same concerns expressed by the other IOUs</w:t>
      </w:r>
      <w:r w:rsidRPr="00741B32">
        <w:t>.</w:t>
      </w:r>
      <w:r w:rsidRPr="00741B32">
        <w:rPr>
          <w:vertAlign w:val="superscript"/>
        </w:rPr>
        <w:footnoteReference w:id="74"/>
      </w:r>
      <w:r w:rsidRPr="00741B32">
        <w:t xml:space="preserve"> </w:t>
      </w:r>
      <w:r>
        <w:t xml:space="preserve"> </w:t>
      </w:r>
      <w:r w:rsidRPr="00741B32">
        <w:t xml:space="preserve">SCE </w:t>
      </w:r>
      <w:r>
        <w:t xml:space="preserve">also </w:t>
      </w:r>
      <w:r w:rsidRPr="00741B32">
        <w:t>states that Cal</w:t>
      </w:r>
      <w:r>
        <w:t xml:space="preserve"> Advocates’</w:t>
      </w:r>
      <w:r w:rsidRPr="00741B32">
        <w:t xml:space="preserve"> recommendation is premature because the IOUs have not yet identified the CARE eligibility requirements across governmental agencies</w:t>
      </w:r>
      <w:r>
        <w:t xml:space="preserve">, and instead </w:t>
      </w:r>
      <w:r w:rsidRPr="00741B32">
        <w:t>suggests that data sharing be done with programs deemed categorically eligible with the CARE program</w:t>
      </w:r>
      <w:r>
        <w:t xml:space="preserve">.  SCE recommends that the </w:t>
      </w:r>
      <w:r w:rsidRPr="00741B32">
        <w:t>Commission should first adopt the IOUs</w:t>
      </w:r>
      <w:r>
        <w:t>’</w:t>
      </w:r>
      <w:r w:rsidRPr="00741B32">
        <w:t xml:space="preserve"> proposal for the Categorical Eligibility study before any data sharing arrangements are explored.</w:t>
      </w:r>
      <w:r>
        <w:t xml:space="preserve"> </w:t>
      </w:r>
    </w:p>
    <w:p w:rsidRPr="00741B32" w:rsidR="000C1980" w:rsidP="0023091F" w:rsidRDefault="000C1980" w14:paraId="05693F4D" w14:textId="77777777">
      <w:pPr>
        <w:pStyle w:val="ALJBodyText"/>
      </w:pPr>
      <w:r>
        <w:rPr>
          <w:b/>
          <w:bCs/>
          <w:i/>
          <w:iCs/>
          <w:u w:val="single"/>
        </w:rPr>
        <w:t>Auto-Recertifying “High Probability” Households:</w:t>
      </w:r>
      <w:r>
        <w:t xml:space="preserve"> S</w:t>
      </w:r>
      <w:r w:rsidRPr="00645B7E">
        <w:t xml:space="preserve">CE </w:t>
      </w:r>
      <w:r>
        <w:t xml:space="preserve">asks the </w:t>
      </w:r>
      <w:r w:rsidRPr="00645B7E">
        <w:t xml:space="preserve">Commission </w:t>
      </w:r>
      <w:r>
        <w:t xml:space="preserve">to </w:t>
      </w:r>
      <w:r w:rsidRPr="00645B7E">
        <w:t xml:space="preserve">reject Cal Advocates’ </w:t>
      </w:r>
      <w:r>
        <w:t xml:space="preserve">proposal to </w:t>
      </w:r>
      <w:r w:rsidRPr="00645B7E">
        <w:t xml:space="preserve">use </w:t>
      </w:r>
      <w:r>
        <w:t>the</w:t>
      </w:r>
      <w:r w:rsidRPr="00645B7E">
        <w:t xml:space="preserve"> probability model to </w:t>
      </w:r>
      <w:r w:rsidRPr="00645B7E">
        <w:lastRenderedPageBreak/>
        <w:t>auto-recertify CARE customers.</w:t>
      </w:r>
      <w:r>
        <w:t xml:space="preserve"> </w:t>
      </w:r>
      <w:r w:rsidRPr="00645B7E">
        <w:t xml:space="preserve"> SCE </w:t>
      </w:r>
      <w:r>
        <w:t>states that its</w:t>
      </w:r>
      <w:r w:rsidRPr="00645B7E">
        <w:t xml:space="preserve"> probability model </w:t>
      </w:r>
      <w:r>
        <w:t xml:space="preserve">is used </w:t>
      </w:r>
      <w:r w:rsidRPr="00645B7E">
        <w:t xml:space="preserve">extensively for </w:t>
      </w:r>
      <w:r>
        <w:t>PEV</w:t>
      </w:r>
      <w:r w:rsidRPr="00645B7E">
        <w:t xml:space="preserve"> purposes, but that it would not </w:t>
      </w:r>
      <w:r>
        <w:t xml:space="preserve">be </w:t>
      </w:r>
      <w:r w:rsidRPr="00645B7E">
        <w:t>appropriate for auto</w:t>
      </w:r>
      <w:r>
        <w:noBreakHyphen/>
      </w:r>
      <w:r w:rsidRPr="00645B7E">
        <w:t xml:space="preserve">recertification. </w:t>
      </w:r>
      <w:r>
        <w:t xml:space="preserve"> </w:t>
      </w:r>
      <w:r w:rsidRPr="00645B7E">
        <w:t>SCE claims that if a percentage of customers were exempted from recertification, there would be no opportunity to confirm whether newly added customers to the CARE program due to the COVID-19 pandemic are still eligible to receive a rate discount for another two years.</w:t>
      </w:r>
      <w:r>
        <w:t xml:space="preserve">  Re</w:t>
      </w:r>
      <w:r w:rsidRPr="00645B7E">
        <w:t>duc</w:t>
      </w:r>
      <w:r>
        <w:t xml:space="preserve">ing </w:t>
      </w:r>
      <w:r w:rsidRPr="00645B7E">
        <w:t xml:space="preserve">attrition from the recertification process </w:t>
      </w:r>
      <w:r>
        <w:t xml:space="preserve">can be done </w:t>
      </w:r>
      <w:r w:rsidRPr="00645B7E">
        <w:t>in other ways, such as outbound call systems and the proposed CARE hotline.</w:t>
      </w:r>
      <w:r w:rsidRPr="00645B7E">
        <w:rPr>
          <w:vertAlign w:val="superscript"/>
        </w:rPr>
        <w:footnoteReference w:id="75"/>
      </w:r>
      <w:r w:rsidRPr="00645B7E">
        <w:t xml:space="preserve"> </w:t>
      </w:r>
    </w:p>
    <w:p w:rsidR="000C1980" w:rsidP="001968DC" w:rsidRDefault="000C1980" w14:paraId="31AE31FC" w14:textId="16C5C02B">
      <w:pPr>
        <w:pStyle w:val="Heading4"/>
        <w:tabs>
          <w:tab w:val="clear" w:pos="2160"/>
          <w:tab w:val="num" w:pos="2520"/>
        </w:tabs>
        <w:ind w:left="3600"/>
      </w:pPr>
      <w:bookmarkStart w:name="_Toc69947768" w:id="71"/>
      <w:r>
        <w:t>SoCalGas</w:t>
      </w:r>
      <w:bookmarkEnd w:id="71"/>
    </w:p>
    <w:p w:rsidR="000C1980" w:rsidP="0023091F" w:rsidRDefault="000C1980" w14:paraId="02C04F31" w14:textId="77777777">
      <w:pPr>
        <w:pStyle w:val="ALJBodyText"/>
      </w:pPr>
      <w:r>
        <w:rPr>
          <w:b/>
          <w:bCs/>
          <w:i/>
          <w:iCs/>
          <w:u w:val="single"/>
        </w:rPr>
        <w:t>Creating D</w:t>
      </w:r>
      <w:r w:rsidRPr="009C25B1">
        <w:rPr>
          <w:b/>
          <w:bCs/>
          <w:i/>
          <w:iCs/>
          <w:u w:val="single"/>
        </w:rPr>
        <w:t xml:space="preserve">ata </w:t>
      </w:r>
      <w:r>
        <w:rPr>
          <w:b/>
          <w:bCs/>
          <w:i/>
          <w:iCs/>
          <w:u w:val="single"/>
        </w:rPr>
        <w:t>S</w:t>
      </w:r>
      <w:r w:rsidRPr="009C25B1">
        <w:rPr>
          <w:b/>
          <w:bCs/>
          <w:i/>
          <w:iCs/>
          <w:u w:val="single"/>
        </w:rPr>
        <w:t>haring</w:t>
      </w:r>
      <w:r>
        <w:rPr>
          <w:b/>
          <w:bCs/>
          <w:i/>
          <w:iCs/>
          <w:u w:val="single"/>
        </w:rPr>
        <w:t xml:space="preserve"> Partnerships</w:t>
      </w:r>
      <w:r w:rsidRPr="00731FF7">
        <w:rPr>
          <w:b/>
          <w:bCs/>
          <w:i/>
          <w:iCs/>
          <w:u w:val="single"/>
        </w:rPr>
        <w:t>:</w:t>
      </w:r>
      <w:r>
        <w:rPr>
          <w:b/>
          <w:bCs/>
          <w:i/>
          <w:iCs/>
          <w:u w:val="single"/>
        </w:rPr>
        <w:t xml:space="preserve"> </w:t>
      </w:r>
      <w:r w:rsidRPr="005E6A1F">
        <w:t>SoCalGas</w:t>
      </w:r>
      <w:r>
        <w:t xml:space="preserve"> cites various concerns with </w:t>
      </w:r>
      <w:r w:rsidRPr="005E6A1F">
        <w:t>Cal</w:t>
      </w:r>
      <w:r>
        <w:t xml:space="preserve"> Advocates’</w:t>
      </w:r>
      <w:r w:rsidRPr="005E6A1F">
        <w:t xml:space="preserve"> </w:t>
      </w:r>
      <w:r>
        <w:t xml:space="preserve">data sharing </w:t>
      </w:r>
      <w:r w:rsidRPr="005E6A1F">
        <w:t>proposal</w:t>
      </w:r>
      <w:r>
        <w:t>,</w:t>
      </w:r>
      <w:r w:rsidRPr="005E6A1F">
        <w:rPr>
          <w:vertAlign w:val="superscript"/>
        </w:rPr>
        <w:footnoteReference w:id="76"/>
      </w:r>
      <w:r w:rsidRPr="005E6A1F">
        <w:t xml:space="preserve"> </w:t>
      </w:r>
      <w:r>
        <w:t xml:space="preserve">including deterring </w:t>
      </w:r>
      <w:r w:rsidRPr="005E6A1F">
        <w:t xml:space="preserve">immigrant households from participating </w:t>
      </w:r>
      <w:r>
        <w:t>because the program</w:t>
      </w:r>
      <w:r w:rsidRPr="005E6A1F">
        <w:t xml:space="preserve"> was sharing data with federal government agencies</w:t>
      </w:r>
      <w:r>
        <w:t xml:space="preserve">, and the lack of </w:t>
      </w:r>
      <w:r w:rsidRPr="005E6A1F">
        <w:t xml:space="preserve">sufficient </w:t>
      </w:r>
      <w:r>
        <w:t xml:space="preserve">resources of </w:t>
      </w:r>
      <w:r w:rsidRPr="005E6A1F">
        <w:t xml:space="preserve">government agencies to allow for an online, two-way data sharing system. </w:t>
      </w:r>
      <w:r>
        <w:t xml:space="preserve"> </w:t>
      </w:r>
      <w:r w:rsidRPr="005E6A1F">
        <w:t xml:space="preserve">SoCalGas </w:t>
      </w:r>
      <w:r>
        <w:t xml:space="preserve">also </w:t>
      </w:r>
      <w:r w:rsidRPr="005E6A1F">
        <w:t xml:space="preserve">believes the </w:t>
      </w:r>
      <w:r>
        <w:t>Commission</w:t>
      </w:r>
      <w:r w:rsidRPr="005E6A1F">
        <w:t xml:space="preserve"> has no jurisdiction to require federal agencies to enter into a data sharing agreement with the IOUs as well as comply with the accompanying Commission oversight. For these reasons, SoCalGas believes that Cal</w:t>
      </w:r>
      <w:r>
        <w:t xml:space="preserve"> Advocates’</w:t>
      </w:r>
      <w:r w:rsidRPr="005E6A1F">
        <w:t xml:space="preserve"> recommendation is not feasible. </w:t>
      </w:r>
    </w:p>
    <w:p w:rsidR="000C1980" w:rsidP="001968DC" w:rsidRDefault="000C1980" w14:paraId="26AAB895" w14:textId="530F8184">
      <w:pPr>
        <w:pStyle w:val="Heading4"/>
        <w:tabs>
          <w:tab w:val="clear" w:pos="2160"/>
          <w:tab w:val="num" w:pos="2520"/>
        </w:tabs>
        <w:ind w:left="3600"/>
      </w:pPr>
      <w:bookmarkStart w:name="_Toc69947769" w:id="72"/>
      <w:r>
        <w:t>SDG&amp;E</w:t>
      </w:r>
      <w:bookmarkEnd w:id="72"/>
    </w:p>
    <w:p w:rsidR="000C1980" w:rsidP="0023091F" w:rsidRDefault="000C1980" w14:paraId="7E78054B" w14:textId="77777777">
      <w:pPr>
        <w:pStyle w:val="ALJBodyText"/>
      </w:pPr>
      <w:r>
        <w:rPr>
          <w:b/>
          <w:bCs/>
          <w:i/>
          <w:iCs/>
          <w:u w:val="single"/>
        </w:rPr>
        <w:t>Creating D</w:t>
      </w:r>
      <w:r w:rsidRPr="009C25B1">
        <w:rPr>
          <w:b/>
          <w:bCs/>
          <w:i/>
          <w:iCs/>
          <w:u w:val="single"/>
        </w:rPr>
        <w:t xml:space="preserve">ata </w:t>
      </w:r>
      <w:r>
        <w:rPr>
          <w:b/>
          <w:bCs/>
          <w:i/>
          <w:iCs/>
          <w:u w:val="single"/>
        </w:rPr>
        <w:t>S</w:t>
      </w:r>
      <w:r w:rsidRPr="009C25B1">
        <w:rPr>
          <w:b/>
          <w:bCs/>
          <w:i/>
          <w:iCs/>
          <w:u w:val="single"/>
        </w:rPr>
        <w:t>haring</w:t>
      </w:r>
      <w:r>
        <w:rPr>
          <w:b/>
          <w:bCs/>
          <w:i/>
          <w:iCs/>
          <w:u w:val="single"/>
        </w:rPr>
        <w:t xml:space="preserve"> Partnerships</w:t>
      </w:r>
      <w:r w:rsidRPr="00731FF7">
        <w:rPr>
          <w:b/>
          <w:bCs/>
          <w:i/>
          <w:iCs/>
          <w:u w:val="single"/>
        </w:rPr>
        <w:t>:</w:t>
      </w:r>
      <w:r>
        <w:rPr>
          <w:b/>
          <w:bCs/>
          <w:i/>
          <w:iCs/>
          <w:u w:val="single"/>
        </w:rPr>
        <w:t xml:space="preserve"> </w:t>
      </w:r>
      <w:r w:rsidRPr="00BF1D7F">
        <w:t xml:space="preserve"> SDG&amp;E states that </w:t>
      </w:r>
      <w:r>
        <w:t>its</w:t>
      </w:r>
      <w:r w:rsidRPr="00BF1D7F">
        <w:t xml:space="preserve"> probability model is already being used to auto-recertify CARE customers.</w:t>
      </w:r>
      <w:r>
        <w:t xml:space="preserve"> </w:t>
      </w:r>
      <w:r w:rsidRPr="00BF1D7F">
        <w:t xml:space="preserve"> Like SoCalGas’ recertification model, SDG&amp;E’s recertification model is configured to allow </w:t>
      </w:r>
      <w:r w:rsidRPr="00BF1D7F">
        <w:lastRenderedPageBreak/>
        <w:t>automatic recertification every other renewal period based on a customer’s probability score.</w:t>
      </w:r>
      <w:r w:rsidRPr="00BF1D7F">
        <w:rPr>
          <w:vertAlign w:val="superscript"/>
        </w:rPr>
        <w:footnoteReference w:id="77"/>
      </w:r>
    </w:p>
    <w:p w:rsidR="000C1980" w:rsidP="0023091F" w:rsidRDefault="000C1980" w14:paraId="5D7004EE" w14:textId="2887053A">
      <w:pPr>
        <w:pStyle w:val="ALJBodyText"/>
      </w:pPr>
      <w:r>
        <w:rPr>
          <w:b/>
          <w:bCs/>
          <w:i/>
          <w:iCs/>
          <w:u w:val="single"/>
        </w:rPr>
        <w:t xml:space="preserve">Modifying </w:t>
      </w:r>
      <w:r w:rsidRPr="003806F9">
        <w:rPr>
          <w:b/>
          <w:bCs/>
          <w:i/>
          <w:iCs/>
          <w:u w:val="single"/>
        </w:rPr>
        <w:t>PEV</w:t>
      </w:r>
      <w:r>
        <w:rPr>
          <w:b/>
          <w:bCs/>
          <w:i/>
          <w:iCs/>
          <w:u w:val="single"/>
        </w:rPr>
        <w:t xml:space="preserve"> Income Documentation</w:t>
      </w:r>
      <w:r w:rsidRPr="005D3A66">
        <w:rPr>
          <w:b/>
          <w:bCs/>
          <w:i/>
          <w:iCs/>
          <w:u w:val="single"/>
        </w:rPr>
        <w:t xml:space="preserve">: </w:t>
      </w:r>
      <w:r>
        <w:t xml:space="preserve">With regards to TURN’s proposal that SDG&amp;E allow other documents to be used during HU PEV, </w:t>
      </w:r>
      <w:r w:rsidRPr="00773B26">
        <w:t xml:space="preserve">SDG&amp;E </w:t>
      </w:r>
      <w:r>
        <w:t xml:space="preserve">confirms that it has already </w:t>
      </w:r>
      <w:r w:rsidRPr="00773B26">
        <w:t xml:space="preserve">modified its income documentation requirements to allow for additional types of income documentation such as W-2 forms and paystubs for CARE </w:t>
      </w:r>
      <w:r>
        <w:t>HU</w:t>
      </w:r>
      <w:r w:rsidRPr="00773B26">
        <w:t xml:space="preserve"> PEV customers, which align with PG&amp;E and SCE.</w:t>
      </w:r>
      <w:r w:rsidRPr="00773B26">
        <w:rPr>
          <w:vertAlign w:val="superscript"/>
        </w:rPr>
        <w:footnoteReference w:id="78"/>
      </w:r>
    </w:p>
    <w:p w:rsidR="00C56983" w:rsidP="0023091F" w:rsidRDefault="00C56983" w14:paraId="5EE056D0" w14:textId="431BD832">
      <w:pPr>
        <w:pStyle w:val="ALJBodyText"/>
      </w:pPr>
      <w:r>
        <w:rPr>
          <w:b/>
          <w:bCs/>
          <w:i/>
          <w:iCs/>
          <w:u w:val="single"/>
        </w:rPr>
        <w:t>Funding PEV Outbound Call Efforts:</w:t>
      </w:r>
      <w:r>
        <w:t xml:space="preserve"> SD</w:t>
      </w:r>
      <w:r w:rsidRPr="00773B26">
        <w:t xml:space="preserve">G&amp;E </w:t>
      </w:r>
      <w:r>
        <w:t>w</w:t>
      </w:r>
      <w:r w:rsidRPr="00773B26">
        <w:t>ould</w:t>
      </w:r>
      <w:r w:rsidR="00F64EF6">
        <w:t xml:space="preserve"> support</w:t>
      </w:r>
      <w:r w:rsidRPr="00F64EF6" w:rsidR="00F64EF6">
        <w:rPr>
          <w:rFonts w:ascii="TimesNewRomanPSMT" w:hAnsi="TimesNewRomanPSMT" w:cs="TimesNewRomanPSMT"/>
          <w:sz w:val="24"/>
          <w:szCs w:val="24"/>
        </w:rPr>
        <w:t xml:space="preserve"> </w:t>
      </w:r>
      <w:r w:rsidRPr="00F64EF6" w:rsidR="00F64EF6">
        <w:t xml:space="preserve">a 90-day test period with a scope like </w:t>
      </w:r>
      <w:proofErr w:type="gramStart"/>
      <w:r w:rsidRPr="00F64EF6" w:rsidR="00F64EF6">
        <w:t>SCE’s</w:t>
      </w:r>
      <w:proofErr w:type="gramEnd"/>
      <w:r w:rsidRPr="00F64EF6" w:rsidR="00F64EF6">
        <w:t xml:space="preserve"> to test outbound PEV calls aimed at reducing</w:t>
      </w:r>
      <w:r w:rsidR="00F64EF6">
        <w:t xml:space="preserve"> </w:t>
      </w:r>
      <w:r w:rsidRPr="00F64EF6" w:rsidR="00F64EF6">
        <w:t>attrition. However, testing outbound calling should occur after the</w:t>
      </w:r>
      <w:r w:rsidR="00F64EF6">
        <w:t xml:space="preserve"> </w:t>
      </w:r>
      <w:r w:rsidRPr="00F64EF6" w:rsidR="00F64EF6">
        <w:t>COVID-19 restrictions on PEV are no longer in place and within the first year in which PEV</w:t>
      </w:r>
      <w:r w:rsidR="00F64EF6">
        <w:t xml:space="preserve"> </w:t>
      </w:r>
      <w:r w:rsidRPr="00F64EF6" w:rsidR="00F64EF6">
        <w:t xml:space="preserve">resumes. </w:t>
      </w:r>
      <w:r w:rsidR="00F64EF6">
        <w:t>SDG&amp;E states that i</w:t>
      </w:r>
      <w:r w:rsidRPr="00F64EF6" w:rsidR="00F64EF6">
        <w:t>f the outbound call effort is successful, and the IOUs would like to continue such</w:t>
      </w:r>
      <w:r w:rsidR="00F64EF6">
        <w:t xml:space="preserve"> </w:t>
      </w:r>
      <w:r w:rsidRPr="00F64EF6" w:rsidR="00F64EF6">
        <w:t xml:space="preserve">efforts, the Commission should </w:t>
      </w:r>
      <w:r w:rsidR="00F64EF6">
        <w:t xml:space="preserve">allow </w:t>
      </w:r>
      <w:r w:rsidRPr="00F64EF6" w:rsidR="00F64EF6">
        <w:t xml:space="preserve">the IOUs to file a </w:t>
      </w:r>
      <w:r w:rsidR="00F64EF6">
        <w:t>T</w:t>
      </w:r>
      <w:r w:rsidRPr="00F64EF6" w:rsidR="00F64EF6">
        <w:t xml:space="preserve">ier 1 </w:t>
      </w:r>
      <w:r w:rsidR="00F64EF6">
        <w:t>advice letter</w:t>
      </w:r>
      <w:r w:rsidRPr="00F64EF6" w:rsidR="00F64EF6">
        <w:t xml:space="preserve"> requesting</w:t>
      </w:r>
      <w:r w:rsidR="00F64EF6">
        <w:t xml:space="preserve"> </w:t>
      </w:r>
      <w:r w:rsidRPr="00F64EF6" w:rsidR="00F64EF6">
        <w:t>such funding be added to their CARE budgets</w:t>
      </w:r>
      <w:r w:rsidR="00F64EF6">
        <w:t>.</w:t>
      </w:r>
      <w:r w:rsidR="00F64EF6">
        <w:rPr>
          <w:rStyle w:val="FootnoteReference"/>
        </w:rPr>
        <w:footnoteReference w:id="79"/>
      </w:r>
    </w:p>
    <w:p w:rsidRPr="00F6154C" w:rsidR="000C1980" w:rsidP="001968DC" w:rsidRDefault="000C1980" w14:paraId="2D7A13E0" w14:textId="30CE930C">
      <w:pPr>
        <w:pStyle w:val="Heading3"/>
        <w:tabs>
          <w:tab w:val="clear" w:pos="1440"/>
          <w:tab w:val="num" w:pos="1800"/>
        </w:tabs>
        <w:ind w:left="2664"/>
      </w:pPr>
      <w:bookmarkStart w:name="_Ref65432790" w:id="73"/>
      <w:bookmarkStart w:name="_Toc69947770" w:id="74"/>
      <w:r w:rsidRPr="00F6154C">
        <w:t>Discussion</w:t>
      </w:r>
      <w:bookmarkEnd w:id="73"/>
      <w:bookmarkEnd w:id="74"/>
    </w:p>
    <w:p w:rsidRPr="000B4971" w:rsidR="000C1980" w:rsidP="001968DC" w:rsidRDefault="000C1980" w14:paraId="3F59440E" w14:textId="77777777">
      <w:pPr>
        <w:pStyle w:val="Heading4"/>
        <w:tabs>
          <w:tab w:val="clear" w:pos="2160"/>
          <w:tab w:val="num" w:pos="2520"/>
        </w:tabs>
        <w:ind w:left="3600"/>
      </w:pPr>
      <w:bookmarkStart w:name="_Toc69947771" w:id="75"/>
      <w:r w:rsidRPr="000B4971">
        <w:t xml:space="preserve">Extending Recertification for the CARE Expansion Program: </w:t>
      </w:r>
      <w:r w:rsidRPr="006A07FE">
        <w:rPr>
          <w:u w:val="single"/>
        </w:rPr>
        <w:t>Approved</w:t>
      </w:r>
      <w:bookmarkEnd w:id="75"/>
    </w:p>
    <w:p w:rsidRPr="00FC1631" w:rsidR="000C1980" w:rsidP="0023091F" w:rsidRDefault="000C1980" w14:paraId="5E949218" w14:textId="77777777">
      <w:pPr>
        <w:pStyle w:val="ALJBodyText"/>
      </w:pPr>
      <w:r>
        <w:t xml:space="preserve">We approve </w:t>
      </w:r>
      <w:r w:rsidRPr="00FC1631">
        <w:t>PG&amp;E, SoCalGas and SDG&amp;E</w:t>
      </w:r>
      <w:r>
        <w:t>’s proposals</w:t>
      </w:r>
      <w:r w:rsidRPr="00FC1631">
        <w:t xml:space="preserve"> to change the </w:t>
      </w:r>
      <w:r>
        <w:t>re</w:t>
      </w:r>
      <w:r w:rsidRPr="00FC1631">
        <w:t xml:space="preserve">certification period for the CARE Expansion program from two years to four years. </w:t>
      </w:r>
      <w:r>
        <w:t xml:space="preserve"> </w:t>
      </w:r>
      <w:r w:rsidRPr="00FC1631">
        <w:t>We agree with the IOUs</w:t>
      </w:r>
      <w:r>
        <w:t>’</w:t>
      </w:r>
      <w:r w:rsidRPr="00FC1631">
        <w:t xml:space="preserve"> assessment </w:t>
      </w:r>
      <w:r>
        <w:t xml:space="preserve">that </w:t>
      </w:r>
      <w:r w:rsidRPr="00FC1631">
        <w:t xml:space="preserve">this change will reduce the administrative burden on these organizations by increasing the time between recertifications, potentially increase the program enrollment rate and mitigate </w:t>
      </w:r>
      <w:r w:rsidRPr="00FC1631">
        <w:lastRenderedPageBreak/>
        <w:t xml:space="preserve">eligible organizations </w:t>
      </w:r>
      <w:r>
        <w:t xml:space="preserve">from </w:t>
      </w:r>
      <w:r w:rsidRPr="00FC1631">
        <w:t xml:space="preserve">losing their CARE discount. </w:t>
      </w:r>
      <w:r>
        <w:t xml:space="preserve"> Organizations enrolled in the CARE expansion program, such as migrant farm workers housing, g</w:t>
      </w:r>
      <w:r w:rsidRPr="00A46EC9">
        <w:t>roup living facilities, homeless shelters, hospices, and women's shelters</w:t>
      </w:r>
      <w:r>
        <w:t xml:space="preserve"> are primarily focused on providing services to income eligible people, and therefore, we conclude that there would be minimal change to their eligibility to participate in this program.  Lastly, we require this change to be implemented statewide by all the IOUs, if not already doing so. </w:t>
      </w:r>
      <w:r w:rsidRPr="00FC1631">
        <w:t xml:space="preserve"> </w:t>
      </w:r>
    </w:p>
    <w:p w:rsidRPr="000B4971" w:rsidR="000C1980" w:rsidP="001968DC" w:rsidRDefault="000C1980" w14:paraId="04B587BA" w14:textId="1CC7DE23">
      <w:pPr>
        <w:pStyle w:val="Heading4"/>
        <w:tabs>
          <w:tab w:val="clear" w:pos="2160"/>
          <w:tab w:val="num" w:pos="2520"/>
        </w:tabs>
        <w:ind w:left="3600"/>
      </w:pPr>
      <w:bookmarkStart w:name="_Toc69947772" w:id="76"/>
      <w:bookmarkStart w:name="_Hlk56690110" w:id="77"/>
      <w:r w:rsidRPr="001A4C9C">
        <w:t>Exempting</w:t>
      </w:r>
      <w:r w:rsidRPr="000B4971">
        <w:t xml:space="preserve"> Recertification for Fixed Income Households: </w:t>
      </w:r>
      <w:r w:rsidRPr="006A07FE">
        <w:rPr>
          <w:u w:val="single"/>
        </w:rPr>
        <w:t>Approved</w:t>
      </w:r>
      <w:bookmarkEnd w:id="76"/>
      <w:r w:rsidR="00CF22D2">
        <w:rPr>
          <w:u w:val="single"/>
        </w:rPr>
        <w:t xml:space="preserve"> with Modifications</w:t>
      </w:r>
    </w:p>
    <w:bookmarkEnd w:id="77"/>
    <w:p w:rsidRPr="00D53216" w:rsidR="000C1980" w:rsidP="0023091F" w:rsidRDefault="000C1980" w14:paraId="4324985A" w14:textId="566B4C4D">
      <w:pPr>
        <w:pStyle w:val="ALJBodyText"/>
      </w:pPr>
      <w:r>
        <w:t xml:space="preserve">We approve </w:t>
      </w:r>
      <w:r w:rsidR="006C6F23">
        <w:t xml:space="preserve">with modifications </w:t>
      </w:r>
      <w:r w:rsidR="0069390A">
        <w:t xml:space="preserve">the </w:t>
      </w:r>
      <w:r>
        <w:t>proposal to exempt certain fixed</w:t>
      </w:r>
      <w:r w:rsidR="009E1206">
        <w:noBreakHyphen/>
      </w:r>
      <w:r>
        <w:t>income CARE customers</w:t>
      </w:r>
      <w:r w:rsidR="00C351FF">
        <w:t xml:space="preserve"> </w:t>
      </w:r>
      <w:r>
        <w:t>from future CARE recertification and verification requests after verifying income using approved documentation.  The exemption would be valid until the customer account is closed</w:t>
      </w:r>
      <w:r w:rsidR="000B02D9">
        <w:t>,</w:t>
      </w:r>
      <w:r>
        <w:t xml:space="preserve"> customer-of-record name is </w:t>
      </w:r>
      <w:r w:rsidRPr="00200CC3">
        <w:t>altered</w:t>
      </w:r>
      <w:r w:rsidR="000B02D9">
        <w:t>,</w:t>
      </w:r>
      <w:r w:rsidRPr="000B02D9" w:rsidR="000B02D9">
        <w:t xml:space="preserve"> </w:t>
      </w:r>
      <w:r w:rsidR="000B02D9">
        <w:t>or a minimum of six years has elapsed since the customer verified income using approved documentation</w:t>
      </w:r>
      <w:r w:rsidRPr="00200CC3">
        <w:t xml:space="preserve">. We agree that this policy change </w:t>
      </w:r>
      <w:r w:rsidR="008D3BA3">
        <w:t>can</w:t>
      </w:r>
      <w:r w:rsidRPr="00200CC3" w:rsidR="008D3BA3">
        <w:t xml:space="preserve"> </w:t>
      </w:r>
      <w:r w:rsidRPr="00200CC3">
        <w:t>reduce the burden on a</w:t>
      </w:r>
      <w:r>
        <w:t xml:space="preserve"> population that </w:t>
      </w:r>
      <w:r w:rsidRPr="0038352A">
        <w:t>tends to have higher energy burden and economic hardship</w:t>
      </w:r>
      <w:r>
        <w:t xml:space="preserve"> </w:t>
      </w:r>
      <w:r w:rsidRPr="0038352A">
        <w:t>with infrequent changes to household income levels.</w:t>
      </w:r>
      <w:r w:rsidRPr="0038352A">
        <w:rPr>
          <w:vertAlign w:val="superscript"/>
        </w:rPr>
        <w:footnoteReference w:id="80"/>
      </w:r>
      <w:r>
        <w:t xml:space="preserve">  Lastly, we require this change to be implemented statewide by all the IOUs, if not already doing so.   </w:t>
      </w:r>
    </w:p>
    <w:p w:rsidRPr="000B4971" w:rsidR="000C1980" w:rsidP="001968DC" w:rsidRDefault="000C1980" w14:paraId="6DF58DDC" w14:textId="77777777">
      <w:pPr>
        <w:pStyle w:val="Heading4"/>
        <w:tabs>
          <w:tab w:val="clear" w:pos="2160"/>
          <w:tab w:val="num" w:pos="2520"/>
        </w:tabs>
        <w:ind w:left="3600"/>
      </w:pPr>
      <w:bookmarkStart w:name="_Toc69947773" w:id="78"/>
      <w:bookmarkStart w:name="_Hlk56609095" w:id="79"/>
      <w:r w:rsidRPr="000B4971">
        <w:t xml:space="preserve">Updating Probability Models: </w:t>
      </w:r>
      <w:r w:rsidRPr="006A07FE">
        <w:rPr>
          <w:u w:val="single"/>
        </w:rPr>
        <w:t>Approved</w:t>
      </w:r>
      <w:bookmarkEnd w:id="78"/>
    </w:p>
    <w:p w:rsidR="000C1980" w:rsidP="0023091F" w:rsidRDefault="000C1980" w14:paraId="0050109C" w14:textId="66D1E3E8">
      <w:pPr>
        <w:pStyle w:val="ALJBodyText"/>
      </w:pPr>
      <w:r>
        <w:t xml:space="preserve">We approve </w:t>
      </w:r>
      <w:r w:rsidRPr="00D53216">
        <w:t>PG&amp;E</w:t>
      </w:r>
      <w:r>
        <w:t xml:space="preserve">, SCE and SoCalGas’ proposals to update </w:t>
      </w:r>
      <w:r w:rsidRPr="00D53216">
        <w:t>its propensity</w:t>
      </w:r>
      <w:r>
        <w:t xml:space="preserve"> and probability</w:t>
      </w:r>
      <w:r w:rsidRPr="00D53216">
        <w:t xml:space="preserve"> model</w:t>
      </w:r>
      <w:r>
        <w:t>s</w:t>
      </w:r>
      <w:r w:rsidRPr="00D53216">
        <w:t>.</w:t>
      </w:r>
      <w:r>
        <w:t xml:space="preserve">  As</w:t>
      </w:r>
      <w:r w:rsidRPr="00E943BE">
        <w:t xml:space="preserve"> </w:t>
      </w:r>
      <w:r w:rsidRPr="00DF6ECB">
        <w:t xml:space="preserve">customer demographics and behaviors </w:t>
      </w:r>
      <w:r>
        <w:t>continue to change, updates to the models will ensure that we are capturing the right audience for the PE</w:t>
      </w:r>
      <w:r w:rsidRPr="00DF6ECB">
        <w:t>V</w:t>
      </w:r>
      <w:r>
        <w:t xml:space="preserve"> process, keeping </w:t>
      </w:r>
      <w:r w:rsidRPr="00DF6ECB">
        <w:t>qualified customers</w:t>
      </w:r>
      <w:r>
        <w:t xml:space="preserve"> on CARE while</w:t>
      </w:r>
      <w:r w:rsidRPr="00DF6ECB">
        <w:t xml:space="preserve"> </w:t>
      </w:r>
      <w:r>
        <w:t xml:space="preserve">removing </w:t>
      </w:r>
      <w:proofErr w:type="gramStart"/>
      <w:r>
        <w:t xml:space="preserve">those </w:t>
      </w:r>
      <w:r w:rsidRPr="00DF6ECB">
        <w:t>ineligible</w:t>
      </w:r>
      <w:proofErr w:type="gramEnd"/>
      <w:r w:rsidRPr="00DF6ECB">
        <w:t xml:space="preserve">. </w:t>
      </w:r>
      <w:r>
        <w:t xml:space="preserve"> Given that it has been years since some of the IOUs </w:t>
      </w:r>
      <w:r>
        <w:lastRenderedPageBreak/>
        <w:t xml:space="preserve">performed updates to the models, this request is not only reasonable, but beyond due.  We also agree with Cal Advocates that the </w:t>
      </w:r>
      <w:r w:rsidRPr="00027B05">
        <w:t xml:space="preserve">LINA </w:t>
      </w:r>
      <w:r w:rsidR="008F3FAA">
        <w:t>s</w:t>
      </w:r>
      <w:r w:rsidRPr="00027B05">
        <w:t>tudy</w:t>
      </w:r>
      <w:r>
        <w:t xml:space="preserve"> r</w:t>
      </w:r>
      <w:r w:rsidRPr="00027B05">
        <w:t>ecommenda</w:t>
      </w:r>
      <w:r>
        <w:t xml:space="preserve">tions made with respect to considerations </w:t>
      </w:r>
      <w:r w:rsidRPr="00027B05">
        <w:t xml:space="preserve">for selecting participants for </w:t>
      </w:r>
      <w:r>
        <w:t xml:space="preserve">PEV be reviewed, and that the </w:t>
      </w:r>
      <w:r w:rsidRPr="00027B05">
        <w:t>IOUs update</w:t>
      </w:r>
      <w:r>
        <w:t xml:space="preserve"> t</w:t>
      </w:r>
      <w:r w:rsidRPr="00027B05">
        <w:t xml:space="preserve">heir probability models </w:t>
      </w:r>
      <w:r>
        <w:t xml:space="preserve">accordingly, if not already done.  Lastly, because the </w:t>
      </w:r>
      <w:proofErr w:type="gramStart"/>
      <w:r>
        <w:t>low income</w:t>
      </w:r>
      <w:proofErr w:type="gramEnd"/>
      <w:r>
        <w:t xml:space="preserve"> customer profile continues to change, and will likely change over the course of this six year cycle, we will allow the IOUs flexibility in making updates to their respective probability/propensity models without having to request authorization from the Commission, as long as these updates do not require budget expenditures beyond what is already approved in this decision. When such updates are made, the IOUs shall report the changes in the monthly and annual compliance reports. </w:t>
      </w:r>
    </w:p>
    <w:p w:rsidRPr="000B4971" w:rsidR="000C1980" w:rsidP="001968DC" w:rsidRDefault="000C1980" w14:paraId="1A99E280" w14:textId="77777777">
      <w:pPr>
        <w:pStyle w:val="Heading4"/>
        <w:tabs>
          <w:tab w:val="clear" w:pos="2160"/>
          <w:tab w:val="num" w:pos="2520"/>
        </w:tabs>
        <w:ind w:left="3600"/>
      </w:pPr>
      <w:bookmarkStart w:name="_Toc69947774" w:id="80"/>
      <w:bookmarkStart w:name="_Hlk56690573" w:id="81"/>
      <w:r w:rsidRPr="000B4971">
        <w:t xml:space="preserve">Auto-Recertifying “High Probability” Households: </w:t>
      </w:r>
      <w:r w:rsidRPr="006A07FE">
        <w:rPr>
          <w:u w:val="single"/>
        </w:rPr>
        <w:t>Approved</w:t>
      </w:r>
      <w:bookmarkEnd w:id="80"/>
    </w:p>
    <w:bookmarkEnd w:id="81"/>
    <w:p w:rsidR="000C1980" w:rsidP="0023091F" w:rsidRDefault="000C1980" w14:paraId="1C931A53" w14:textId="77777777">
      <w:pPr>
        <w:pStyle w:val="ALJBodyText"/>
      </w:pPr>
      <w:r>
        <w:t>We approve Cal Advocates</w:t>
      </w:r>
      <w:r w:rsidRPr="00D53216">
        <w:t>’ proposal to require</w:t>
      </w:r>
      <w:r>
        <w:t xml:space="preserve"> SCE to </w:t>
      </w:r>
      <w:r w:rsidRPr="002308E0">
        <w:t>auto</w:t>
      </w:r>
      <w:r>
        <w:t xml:space="preserve">matically </w:t>
      </w:r>
      <w:r w:rsidRPr="002308E0">
        <w:t>recertify</w:t>
      </w:r>
      <w:r>
        <w:t xml:space="preserve"> </w:t>
      </w:r>
      <w:r w:rsidRPr="002308E0">
        <w:t xml:space="preserve">customers who are </w:t>
      </w:r>
      <w:r>
        <w:t xml:space="preserve">identified through its </w:t>
      </w:r>
      <w:r w:rsidRPr="00D53216">
        <w:t>probability model</w:t>
      </w:r>
      <w:r>
        <w:t xml:space="preserve"> as having a </w:t>
      </w:r>
      <w:r w:rsidRPr="002308E0">
        <w:t>high-probability of being CARE-eligible</w:t>
      </w:r>
      <w:r>
        <w:t xml:space="preserve">.   In past decisions, the Commission had already determined that </w:t>
      </w:r>
      <w:r w:rsidRPr="00D53216">
        <w:t xml:space="preserve">the use of probability modelling in the CARE program </w:t>
      </w:r>
      <w:r>
        <w:t>is</w:t>
      </w:r>
      <w:r w:rsidRPr="00D53216">
        <w:t xml:space="preserve"> a “reasonable alternative to a 100</w:t>
      </w:r>
      <w:r w:rsidRPr="00084782">
        <w:t xml:space="preserve"> </w:t>
      </w:r>
      <w:r w:rsidRPr="0026503D">
        <w:t>percent</w:t>
      </w:r>
      <w:r w:rsidRPr="00D53216">
        <w:t xml:space="preserve"> Post Enrollment Verification and Post Re-certification Income Verification rate in the CARE Program</w:t>
      </w:r>
      <w:r>
        <w:t>.</w:t>
      </w:r>
      <w:r w:rsidRPr="00D53216">
        <w:t>”</w:t>
      </w:r>
      <w:r w:rsidRPr="00D53216">
        <w:rPr>
          <w:vertAlign w:val="superscript"/>
        </w:rPr>
        <w:footnoteReference w:id="81"/>
      </w:r>
      <w:r>
        <w:t xml:space="preserve"> Additionally, this change addresses the extremely high attrition rate of PEV, </w:t>
      </w:r>
      <w:r w:rsidRPr="00107F92">
        <w:t>relax</w:t>
      </w:r>
      <w:r>
        <w:t>es</w:t>
      </w:r>
      <w:r w:rsidRPr="00107F92">
        <w:t xml:space="preserve"> </w:t>
      </w:r>
      <w:r>
        <w:t xml:space="preserve">the </w:t>
      </w:r>
      <w:r w:rsidRPr="00107F92">
        <w:t>income verification and recertification requirements for</w:t>
      </w:r>
      <w:r w:rsidRPr="00AA52CF">
        <w:rPr>
          <w:rFonts w:ascii="TimesNewRomanPSMT" w:hAnsi="TimesNewRomanPSMT" w:cs="TimesNewRomanPSMT"/>
          <w:szCs w:val="26"/>
        </w:rPr>
        <w:t xml:space="preserve"> </w:t>
      </w:r>
      <w:r w:rsidRPr="00AA52CF">
        <w:t>customers who are highly likely to be CARE-eligible</w:t>
      </w:r>
      <w:r>
        <w:t xml:space="preserve">, and directly </w:t>
      </w:r>
      <w:r w:rsidRPr="00107F92">
        <w:t>mitigate</w:t>
      </w:r>
      <w:r>
        <w:t>s</w:t>
      </w:r>
      <w:r w:rsidRPr="00107F92">
        <w:t xml:space="preserve"> </w:t>
      </w:r>
      <w:r w:rsidRPr="002F09D3">
        <w:t>the removal of otherwise CARE-eligible customers.</w:t>
      </w:r>
      <w:r>
        <w:t xml:space="preserve">  We require this change to be implemented statewide by all the IOUs, if not already doing so.</w:t>
      </w:r>
    </w:p>
    <w:p w:rsidRPr="00A320FD" w:rsidR="000C1980" w:rsidP="0023091F" w:rsidRDefault="000C1980" w14:paraId="5265B17B" w14:textId="77777777">
      <w:pPr>
        <w:pStyle w:val="ALJBodyText"/>
      </w:pPr>
      <w:r>
        <w:lastRenderedPageBreak/>
        <w:t>In terms of determining which customers have a “high probability</w:t>
      </w:r>
      <w:r w:rsidRPr="00846C3E">
        <w:t xml:space="preserve"> </w:t>
      </w:r>
      <w:r w:rsidRPr="00A320FD">
        <w:t>of being CARE eligible</w:t>
      </w:r>
      <w:r>
        <w:t xml:space="preserve">,” PG&amp;E, SoCalGas and SDG&amp;E appear to be </w:t>
      </w:r>
      <w:r w:rsidRPr="00A320FD">
        <w:t xml:space="preserve">using similar </w:t>
      </w:r>
      <w:r>
        <w:t>approaches in identifying this population</w:t>
      </w:r>
      <w:r w:rsidRPr="00A320FD">
        <w:t xml:space="preserve"> </w:t>
      </w:r>
      <w:r>
        <w:t>within</w:t>
      </w:r>
      <w:r w:rsidRPr="00A320FD">
        <w:t xml:space="preserve"> </w:t>
      </w:r>
      <w:r w:rsidRPr="00D53216">
        <w:t>its</w:t>
      </w:r>
      <w:r w:rsidRPr="00A320FD">
        <w:t xml:space="preserve"> </w:t>
      </w:r>
      <w:r>
        <w:t xml:space="preserve">own </w:t>
      </w:r>
      <w:r w:rsidRPr="00A320FD">
        <w:t>probability models</w:t>
      </w:r>
      <w:r>
        <w:t xml:space="preserve">.  </w:t>
      </w:r>
      <w:r w:rsidRPr="00A320FD">
        <w:t>PG&amp;E</w:t>
      </w:r>
      <w:r w:rsidRPr="00DA1F1D">
        <w:t>’s probability, or propensity</w:t>
      </w:r>
      <w:r w:rsidRPr="00D53216">
        <w:t xml:space="preserve"> model identifies </w:t>
      </w:r>
      <w:r w:rsidRPr="00A320FD">
        <w:t xml:space="preserve">customers </w:t>
      </w:r>
      <w:r w:rsidRPr="00D53216">
        <w:t xml:space="preserve">that may </w:t>
      </w:r>
      <w:r w:rsidRPr="00A320FD">
        <w:t>appear more likely to be eligible for CARE and assigns each customer a decile score (1</w:t>
      </w:r>
      <w:r>
        <w:noBreakHyphen/>
      </w:r>
      <w:r w:rsidRPr="00A320FD">
        <w:t>10), with Decile 1 being most likely to be eligible for CARE and 10 being least likely to be eligible. Customers who score in Deciles 1 or 2 of the model are automatically recertified given their “extremely high” likelihood of eligibility.</w:t>
      </w:r>
      <w:r w:rsidRPr="00A320FD">
        <w:rPr>
          <w:vertAlign w:val="superscript"/>
        </w:rPr>
        <w:footnoteReference w:id="82"/>
      </w:r>
      <w:r w:rsidRPr="00A320FD">
        <w:t xml:space="preserve"> SoCalGas’ probability model </w:t>
      </w:r>
      <w:r w:rsidRPr="00D53216">
        <w:t xml:space="preserve">identifies customers that are </w:t>
      </w:r>
      <w:r w:rsidRPr="00A320FD">
        <w:t>more than 85</w:t>
      </w:r>
      <w:r w:rsidRPr="00084782">
        <w:t xml:space="preserve"> </w:t>
      </w:r>
      <w:r w:rsidRPr="0026503D">
        <w:t>percent</w:t>
      </w:r>
      <w:r w:rsidRPr="00A320FD">
        <w:t xml:space="preserve"> likely </w:t>
      </w:r>
      <w:r w:rsidRPr="00D53216">
        <w:t xml:space="preserve">to be </w:t>
      </w:r>
      <w:r w:rsidRPr="00A320FD">
        <w:t>CARE-eligible</w:t>
      </w:r>
      <w:r w:rsidRPr="00D53216">
        <w:t xml:space="preserve">, and automatically </w:t>
      </w:r>
      <w:r w:rsidRPr="00A320FD">
        <w:t>extends the recertification requirement from two years to four years.</w:t>
      </w:r>
      <w:r w:rsidRPr="00A320FD">
        <w:rPr>
          <w:vertAlign w:val="superscript"/>
        </w:rPr>
        <w:footnoteReference w:id="83"/>
      </w:r>
      <w:r w:rsidRPr="00A320FD">
        <w:t xml:space="preserve"> </w:t>
      </w:r>
      <w:r>
        <w:t xml:space="preserve"> </w:t>
      </w:r>
      <w:r w:rsidRPr="00A320FD">
        <w:t xml:space="preserve">SDG&amp;E describes </w:t>
      </w:r>
      <w:r>
        <w:t>its</w:t>
      </w:r>
      <w:r w:rsidRPr="00A320FD">
        <w:t xml:space="preserve"> process as being like SoCalGas, which is configured to allow automatic recertification every other renewal period based on a customer’s probability score.</w:t>
      </w:r>
      <w:r w:rsidRPr="00A320FD">
        <w:rPr>
          <w:vertAlign w:val="superscript"/>
        </w:rPr>
        <w:footnoteReference w:id="84"/>
      </w:r>
    </w:p>
    <w:p w:rsidRPr="00A320FD" w:rsidR="000C1980" w:rsidP="0023091F" w:rsidRDefault="000C1980" w14:paraId="2256AB1B" w14:textId="18644D7F">
      <w:pPr>
        <w:pStyle w:val="ALJBodyText"/>
      </w:pPr>
      <w:r w:rsidRPr="00D53216">
        <w:t xml:space="preserve">To create a consistent approach </w:t>
      </w:r>
      <w:r>
        <w:t>to</w:t>
      </w:r>
      <w:r w:rsidRPr="00D53216">
        <w:t xml:space="preserve"> the recertification process across all </w:t>
      </w:r>
      <w:r>
        <w:t>the</w:t>
      </w:r>
      <w:r w:rsidRPr="00D53216">
        <w:t xml:space="preserve"> IOUs, and to move SCE away from the 100</w:t>
      </w:r>
      <w:r>
        <w:t xml:space="preserve"> percent</w:t>
      </w:r>
      <w:r w:rsidRPr="00D53216">
        <w:t xml:space="preserve"> recertification model, SCE shall implement </w:t>
      </w:r>
      <w:r>
        <w:t>a similar</w:t>
      </w:r>
      <w:r w:rsidRPr="00D53216">
        <w:t xml:space="preserve"> auto-recertification process for customers that its probability model identifies as having a high probability of being CARE eligible.  We define “high probability of being CARE eligible” as </w:t>
      </w:r>
      <w:r w:rsidRPr="00A320FD">
        <w:t xml:space="preserve">households </w:t>
      </w:r>
      <w:r>
        <w:t>that</w:t>
      </w:r>
      <w:r w:rsidRPr="00A320FD">
        <w:t xml:space="preserve"> have at least an 8</w:t>
      </w:r>
      <w:r>
        <w:t>0 percent</w:t>
      </w:r>
      <w:r w:rsidRPr="00A320FD">
        <w:t xml:space="preserve"> probability</w:t>
      </w:r>
      <w:r>
        <w:t xml:space="preserve"> (or top two deciles)</w:t>
      </w:r>
      <w:r w:rsidRPr="00A320FD">
        <w:t xml:space="preserve"> of being CARE-eligible</w:t>
      </w:r>
      <w:r>
        <w:t xml:space="preserve"> as identified by each IOUs’ probability model</w:t>
      </w:r>
      <w:r w:rsidRPr="00D53216">
        <w:t xml:space="preserve">. </w:t>
      </w:r>
      <w:r>
        <w:t xml:space="preserve"> This change will align with how all the </w:t>
      </w:r>
      <w:r w:rsidRPr="00A320FD">
        <w:t xml:space="preserve">IOUs </w:t>
      </w:r>
      <w:r>
        <w:t xml:space="preserve">will be </w:t>
      </w:r>
      <w:r w:rsidRPr="00A320FD">
        <w:t xml:space="preserve">using </w:t>
      </w:r>
      <w:r>
        <w:t>its</w:t>
      </w:r>
      <w:r w:rsidRPr="00A320FD">
        <w:t xml:space="preserve"> probability models to reduce </w:t>
      </w:r>
      <w:r>
        <w:t xml:space="preserve">the </w:t>
      </w:r>
      <w:r w:rsidRPr="00A320FD">
        <w:t xml:space="preserve">burden on customers with a high likelihood of being CARE-eligible. </w:t>
      </w:r>
      <w:r w:rsidRPr="00552B9E" w:rsidR="00552B9E">
        <w:t xml:space="preserve">Therefore, all </w:t>
      </w:r>
      <w:r w:rsidR="00552B9E">
        <w:t xml:space="preserve">the </w:t>
      </w:r>
      <w:r w:rsidRPr="00552B9E" w:rsidR="00552B9E">
        <w:t xml:space="preserve">IOUs shall adopt </w:t>
      </w:r>
      <w:r w:rsidRPr="00552B9E" w:rsidR="00552B9E">
        <w:lastRenderedPageBreak/>
        <w:t>a 4-year recertification cycle for customers with a high probability of being CARE eligible.</w:t>
      </w:r>
    </w:p>
    <w:p w:rsidRPr="000B4971" w:rsidR="000C1980" w:rsidP="001968DC" w:rsidRDefault="000C1980" w14:paraId="71EEE21A" w14:textId="55978716">
      <w:pPr>
        <w:pStyle w:val="Heading4"/>
        <w:tabs>
          <w:tab w:val="clear" w:pos="2160"/>
          <w:tab w:val="num" w:pos="2520"/>
        </w:tabs>
        <w:ind w:left="3600"/>
      </w:pPr>
      <w:bookmarkStart w:name="_Toc69947775" w:id="82"/>
      <w:bookmarkEnd w:id="79"/>
      <w:r w:rsidRPr="000B4971">
        <w:t xml:space="preserve">Increasing the High Usage PEV Threshold: </w:t>
      </w:r>
      <w:r w:rsidRPr="006A07FE">
        <w:rPr>
          <w:u w:val="single"/>
        </w:rPr>
        <w:t>Approved</w:t>
      </w:r>
      <w:bookmarkEnd w:id="82"/>
    </w:p>
    <w:p w:rsidR="000C1980" w:rsidP="0023091F" w:rsidRDefault="000C1980" w14:paraId="74650198" w14:textId="2BC676D7">
      <w:pPr>
        <w:pStyle w:val="ALJBodyText"/>
      </w:pPr>
      <w:r>
        <w:t xml:space="preserve">We approve </w:t>
      </w:r>
      <w:r w:rsidRPr="006E1B33">
        <w:t>SCE</w:t>
      </w:r>
      <w:r>
        <w:t>’s</w:t>
      </w:r>
      <w:r w:rsidRPr="006E1B33">
        <w:t xml:space="preserve"> and SDG&amp;E’s proposal to</w:t>
      </w:r>
      <w:r w:rsidRPr="00B17F81">
        <w:t xml:space="preserve"> change the </w:t>
      </w:r>
      <w:r w:rsidRPr="006E1B33">
        <w:t>requirement</w:t>
      </w:r>
      <w:r w:rsidRPr="00B17F81">
        <w:t xml:space="preserve"> </w:t>
      </w:r>
      <w:r w:rsidRPr="006E1B33">
        <w:t xml:space="preserve">to </w:t>
      </w:r>
      <w:r w:rsidRPr="00B17F81">
        <w:t xml:space="preserve">PEV </w:t>
      </w:r>
      <w:r w:rsidRPr="006E1B33">
        <w:t>customers that exceed</w:t>
      </w:r>
      <w:r w:rsidRPr="00B17F81">
        <w:t xml:space="preserve"> 400 percent of baseline </w:t>
      </w:r>
      <w:r w:rsidR="00351ADB">
        <w:t xml:space="preserve">usage </w:t>
      </w:r>
      <w:r>
        <w:t xml:space="preserve">from </w:t>
      </w:r>
      <w:r w:rsidRPr="00B17F81">
        <w:t xml:space="preserve">one time in a </w:t>
      </w:r>
      <w:r>
        <w:t>billing</w:t>
      </w:r>
      <w:r w:rsidRPr="00B17F81">
        <w:t xml:space="preserve"> period to three times in a 12-month period</w:t>
      </w:r>
      <w:r w:rsidRPr="006E1B33">
        <w:t>.</w:t>
      </w:r>
    </w:p>
    <w:p w:rsidRPr="00B17F81" w:rsidR="000C1980" w:rsidP="0023091F" w:rsidRDefault="000C1980" w14:paraId="61FB11B0" w14:textId="77777777">
      <w:pPr>
        <w:pStyle w:val="ALJBodyText"/>
      </w:pPr>
      <w:r w:rsidRPr="000632BA">
        <w:t>Currently the IO</w:t>
      </w:r>
      <w:r w:rsidRPr="00B17F81">
        <w:t xml:space="preserve">Us </w:t>
      </w:r>
      <w:r w:rsidRPr="00B17F81">
        <w:rPr>
          <w:i/>
          <w:iCs/>
        </w:rPr>
        <w:t>may</w:t>
      </w:r>
      <w:r w:rsidRPr="00B17F81">
        <w:t xml:space="preserve"> require proof of income eligibility for those CARE program participants whose electricity usage, in any monthly or other billing period, exceeds 400 percent of baseline usage</w:t>
      </w:r>
      <w:r w:rsidRPr="000632BA">
        <w:t xml:space="preserve"> per </w:t>
      </w:r>
      <w:r w:rsidRPr="00B17F81">
        <w:t>P</w:t>
      </w:r>
      <w:r w:rsidRPr="000632BA">
        <w:t xml:space="preserve">ub. </w:t>
      </w:r>
      <w:r w:rsidRPr="00B17F81">
        <w:t>U</w:t>
      </w:r>
      <w:r w:rsidRPr="000632BA">
        <w:t>til.</w:t>
      </w:r>
      <w:r w:rsidRPr="00B17F81">
        <w:t xml:space="preserve"> Code </w:t>
      </w:r>
      <w:r w:rsidRPr="000632BA">
        <w:t>Section</w:t>
      </w:r>
      <w:r>
        <w:t> </w:t>
      </w:r>
      <w:r w:rsidRPr="00B17F81">
        <w:t>739.1</w:t>
      </w:r>
      <w:r>
        <w:t> </w:t>
      </w:r>
      <w:r w:rsidRPr="00B17F81">
        <w:t>(</w:t>
      </w:r>
      <w:proofErr w:type="spellStart"/>
      <w:r w:rsidRPr="00B17F81">
        <w:t>i</w:t>
      </w:r>
      <w:proofErr w:type="spellEnd"/>
      <w:r w:rsidRPr="00B17F81">
        <w:t>)(1).  While</w:t>
      </w:r>
      <w:r>
        <w:t xml:space="preserve"> the</w:t>
      </w:r>
      <w:r w:rsidRPr="00B17F81">
        <w:t xml:space="preserve"> IOUs </w:t>
      </w:r>
      <w:r w:rsidRPr="000632BA">
        <w:t xml:space="preserve">are not required </w:t>
      </w:r>
      <w:r w:rsidRPr="00B17F81">
        <w:t>to institute a HU PEV after only a single instance of any monthly or other billing period exceeding 400</w:t>
      </w:r>
      <w:r>
        <w:t> </w:t>
      </w:r>
      <w:r w:rsidRPr="00B17F81">
        <w:t>percent of baseline usage</w:t>
      </w:r>
      <w:r>
        <w:t xml:space="preserve"> per statute</w:t>
      </w:r>
      <w:r w:rsidRPr="00B17F81">
        <w:t>, D</w:t>
      </w:r>
      <w:r w:rsidRPr="000632BA">
        <w:t>.</w:t>
      </w:r>
      <w:r w:rsidRPr="00B17F81">
        <w:t xml:space="preserve">12-08-044 </w:t>
      </w:r>
      <w:r>
        <w:t>established</w:t>
      </w:r>
      <w:r w:rsidRPr="00B17F81">
        <w:t xml:space="preserve"> the requirement of the one-time over 400</w:t>
      </w:r>
      <w:r>
        <w:t xml:space="preserve"> percent</w:t>
      </w:r>
      <w:r w:rsidRPr="00B17F81">
        <w:t xml:space="preserve"> baseline HU PEV process to ensure that any misuse, </w:t>
      </w:r>
      <w:proofErr w:type="gramStart"/>
      <w:r w:rsidRPr="00B17F81">
        <w:t>abuse</w:t>
      </w:r>
      <w:proofErr w:type="gramEnd"/>
      <w:r w:rsidRPr="00B17F81">
        <w:t xml:space="preserve"> or potentially fraudulent allocation of CARE funds is carefully monitored and reconciled.  </w:t>
      </w:r>
      <w:r>
        <w:t xml:space="preserve"> </w:t>
      </w:r>
    </w:p>
    <w:p w:rsidR="000C1980" w:rsidP="0023091F" w:rsidRDefault="000C1980" w14:paraId="77E2754F" w14:textId="77777777">
      <w:pPr>
        <w:pStyle w:val="ALJBodyText"/>
      </w:pPr>
      <w:r>
        <w:t>D</w:t>
      </w:r>
      <w:r w:rsidRPr="00993741">
        <w:t>at</w:t>
      </w:r>
      <w:r>
        <w:t>a</w:t>
      </w:r>
      <w:r w:rsidRPr="00993741">
        <w:t xml:space="preserve"> collected from </w:t>
      </w:r>
      <w:r>
        <w:t>PYs</w:t>
      </w:r>
      <w:r w:rsidRPr="00B17F81">
        <w:t xml:space="preserve"> 2016 to 2019</w:t>
      </w:r>
      <w:r>
        <w:t xml:space="preserve"> show that </w:t>
      </w:r>
      <w:r w:rsidRPr="00B17F81">
        <w:t>most HU PEV customers are only crossing the 400</w:t>
      </w:r>
      <w:r w:rsidRPr="00084782">
        <w:t xml:space="preserve"> </w:t>
      </w:r>
      <w:r w:rsidRPr="0026503D">
        <w:t>percent</w:t>
      </w:r>
      <w:r w:rsidRPr="00B17F81">
        <w:t xml:space="preserve"> baseline once or twice a year</w:t>
      </w:r>
      <w:r>
        <w:t>,</w:t>
      </w:r>
      <w:r w:rsidRPr="00993741">
        <w:rPr>
          <w:rStyle w:val="FootnoteReference"/>
        </w:rPr>
        <w:footnoteReference w:id="85"/>
      </w:r>
      <w:r>
        <w:t xml:space="preserve"> and </w:t>
      </w:r>
      <w:r w:rsidRPr="00A24D16">
        <w:t xml:space="preserve">that these instances are generally occurring seasonally (during the winter peak season when customers are running their heaters, or the summer season with extreme heating days), or in instances </w:t>
      </w:r>
      <w:r w:rsidRPr="00D92423">
        <w:t>due to unforeseen and/or weather-related circumstances</w:t>
      </w:r>
      <w:r w:rsidRPr="00A24D16">
        <w:t xml:space="preserve">. For example, in 2018, over 41 percent of PG&amp;E’s HU PEV occurred in August and September, and over 32 percent in January and February. </w:t>
      </w:r>
      <w:r w:rsidRPr="00D92423">
        <w:t xml:space="preserve"> SDG</w:t>
      </w:r>
      <w:r>
        <w:t xml:space="preserve">&amp;E had 49 percent of HU PEV occur in August and September and 32 percent in December 2018.  SCE had 77 percent of HU PEV occur in </w:t>
      </w:r>
      <w:r>
        <w:lastRenderedPageBreak/>
        <w:t>August through September 2018.</w:t>
      </w:r>
      <w:r>
        <w:rPr>
          <w:rStyle w:val="FootnoteReference"/>
        </w:rPr>
        <w:footnoteReference w:id="86"/>
      </w:r>
      <w:r w:rsidRPr="00B17F81">
        <w:t xml:space="preserve"> </w:t>
      </w:r>
      <w:r>
        <w:t xml:space="preserve"> Across all three IOUs, over 73,000 households were de-enrolled from CARE for failing the HU PEV process during these months in 2018.  That aligns with an average IOU statewide attrition rate of over 80 percent during the HU PEV process.</w:t>
      </w:r>
      <w:r>
        <w:rPr>
          <w:rStyle w:val="FootnoteReference"/>
        </w:rPr>
        <w:footnoteReference w:id="87"/>
      </w:r>
      <w:r>
        <w:t xml:space="preserve">  And even if the occurrence is caused by an uncommon/unlikely scenario, the HU PEV process is still triggered, and for most, these customers will likely fall off the CARE rate.   </w:t>
      </w:r>
    </w:p>
    <w:p w:rsidRPr="00B17F81" w:rsidR="000C1980" w:rsidP="0023091F" w:rsidRDefault="000C1980" w14:paraId="45BB58E0" w14:textId="4C8CC9DF">
      <w:pPr>
        <w:pStyle w:val="ALJBodyText"/>
      </w:pPr>
      <w:r>
        <w:t>Given the supporting data provided above, we see that most customers triggering the HU PEV process are only exceeding the threshold once a year, and in most cases, it is due to the circumstances described above, rather than due to normal excessive usage.  We agree that increasing the frequency in which the customer exceeds the threshold which triggers the HU PEV process will</w:t>
      </w:r>
      <w:r w:rsidRPr="00B17F81">
        <w:t xml:space="preserve"> </w:t>
      </w:r>
      <w:r>
        <w:t xml:space="preserve">help </w:t>
      </w:r>
      <w:r w:rsidRPr="00B17F81">
        <w:t xml:space="preserve">maintain the goal of verifying </w:t>
      </w:r>
      <w:r>
        <w:t xml:space="preserve">the </w:t>
      </w:r>
      <w:r w:rsidRPr="00B17F81">
        <w:t xml:space="preserve">eligibility </w:t>
      </w:r>
      <w:r>
        <w:t xml:space="preserve">of </w:t>
      </w:r>
      <w:r w:rsidRPr="00B17F81">
        <w:t xml:space="preserve">high-use customers, while allowing flexibility for </w:t>
      </w:r>
      <w:proofErr w:type="gramStart"/>
      <w:r w:rsidRPr="00B17F81">
        <w:t>low</w:t>
      </w:r>
      <w:r>
        <w:t xml:space="preserve"> </w:t>
      </w:r>
      <w:r w:rsidRPr="00B17F81">
        <w:t>income</w:t>
      </w:r>
      <w:proofErr w:type="gramEnd"/>
      <w:r w:rsidRPr="00B17F81">
        <w:t xml:space="preserve"> customers to exceed </w:t>
      </w:r>
      <w:r>
        <w:t>the threshold</w:t>
      </w:r>
      <w:r w:rsidRPr="00B17F81">
        <w:t xml:space="preserve"> due to </w:t>
      </w:r>
      <w:r>
        <w:t xml:space="preserve">seasonality, extreme and </w:t>
      </w:r>
      <w:r w:rsidRPr="00B17F81">
        <w:t xml:space="preserve">unforeseen </w:t>
      </w:r>
      <w:r>
        <w:t>circumstances, and</w:t>
      </w:r>
      <w:r w:rsidRPr="00B17F81">
        <w:t xml:space="preserve">/or weather-related issues. </w:t>
      </w:r>
      <w:r>
        <w:t xml:space="preserve"> Therefore, the</w:t>
      </w:r>
      <w:r w:rsidRPr="00B17F81">
        <w:t xml:space="preserve"> </w:t>
      </w:r>
      <w:r w:rsidRPr="006E1B33">
        <w:t>requirement</w:t>
      </w:r>
      <w:r w:rsidRPr="00B17F81">
        <w:t xml:space="preserve"> </w:t>
      </w:r>
      <w:r w:rsidRPr="006E1B33">
        <w:t xml:space="preserve">to </w:t>
      </w:r>
      <w:r w:rsidRPr="00B17F81">
        <w:t xml:space="preserve">PEV </w:t>
      </w:r>
      <w:r w:rsidRPr="006E1B33">
        <w:t>all customers that exceed</w:t>
      </w:r>
      <w:r w:rsidRPr="00B17F81">
        <w:t xml:space="preserve"> 400 percent of baseline </w:t>
      </w:r>
      <w:r w:rsidR="0029658A">
        <w:t xml:space="preserve">usage </w:t>
      </w:r>
      <w:r>
        <w:t xml:space="preserve">is modified from </w:t>
      </w:r>
      <w:r w:rsidRPr="00B17F81">
        <w:t>one time in a 12-month period to three times in a 12</w:t>
      </w:r>
      <w:r>
        <w:noBreakHyphen/>
      </w:r>
      <w:r w:rsidRPr="00B17F81">
        <w:t xml:space="preserve">month period </w:t>
      </w:r>
      <w:r>
        <w:t xml:space="preserve">and will be applied to </w:t>
      </w:r>
      <w:r w:rsidRPr="00B17F81">
        <w:t>all electric IOUs.</w:t>
      </w:r>
    </w:p>
    <w:p w:rsidRPr="000B4971" w:rsidR="000C1980" w:rsidP="001968DC" w:rsidRDefault="000C1980" w14:paraId="3F4D68E9" w14:textId="1FA51210">
      <w:pPr>
        <w:pStyle w:val="Heading4"/>
        <w:tabs>
          <w:tab w:val="clear" w:pos="2160"/>
          <w:tab w:val="num" w:pos="2520"/>
        </w:tabs>
        <w:ind w:left="3600"/>
      </w:pPr>
      <w:bookmarkStart w:name="_Toc69947776" w:id="83"/>
      <w:r w:rsidRPr="000B4971">
        <w:t xml:space="preserve">Modifying PEV Income Documentation: </w:t>
      </w:r>
      <w:r w:rsidRPr="006A07FE">
        <w:rPr>
          <w:u w:val="single"/>
        </w:rPr>
        <w:t>Approved</w:t>
      </w:r>
      <w:bookmarkEnd w:id="83"/>
    </w:p>
    <w:p w:rsidRPr="00B17F81" w:rsidR="000C1980" w:rsidP="0023091F" w:rsidRDefault="000C1980" w14:paraId="17BE7CD4" w14:textId="77777777">
      <w:pPr>
        <w:pStyle w:val="ALJBodyText"/>
      </w:pPr>
      <w:r w:rsidRPr="00D7141B">
        <w:t xml:space="preserve">We approve </w:t>
      </w:r>
      <w:r w:rsidRPr="00B17F81">
        <w:t>the change</w:t>
      </w:r>
      <w:r>
        <w:t xml:space="preserve"> to a</w:t>
      </w:r>
      <w:r w:rsidRPr="00D7141B">
        <w:t xml:space="preserve">llow </w:t>
      </w:r>
      <w:r w:rsidRPr="00B17F81">
        <w:t xml:space="preserve">HU PEV customers to verify their income </w:t>
      </w:r>
      <w:r w:rsidRPr="00D7141B">
        <w:t xml:space="preserve">using the </w:t>
      </w:r>
      <w:r w:rsidRPr="00B17F81">
        <w:t>documentation used in the regular PEV process</w:t>
      </w:r>
      <w:r w:rsidRPr="00D7141B">
        <w:t>, rather than requiring a t</w:t>
      </w:r>
      <w:r w:rsidRPr="00B17F81">
        <w:t>ranscript of IRS tax return or IRS verification of non-filing</w:t>
      </w:r>
      <w:r w:rsidRPr="00D7141B">
        <w:t>.</w:t>
      </w:r>
      <w:r w:rsidRPr="00B17F81">
        <w:t xml:space="preserve"> </w:t>
      </w:r>
      <w:r>
        <w:t xml:space="preserve"> </w:t>
      </w:r>
      <w:r w:rsidRPr="00B17F81">
        <w:t xml:space="preserve">This includes, but </w:t>
      </w:r>
      <w:r w:rsidRPr="00D7141B">
        <w:t xml:space="preserve">is </w:t>
      </w:r>
      <w:r w:rsidRPr="00B17F81">
        <w:t>not limited to, documentation such as W-2 forms and paystubs</w:t>
      </w:r>
      <w:r>
        <w:t xml:space="preserve">, or proof of </w:t>
      </w:r>
      <w:r>
        <w:lastRenderedPageBreak/>
        <w:t>household participation in a categorically eligible program</w:t>
      </w:r>
      <w:r w:rsidRPr="00B17F81">
        <w:t xml:space="preserve">. </w:t>
      </w:r>
      <w:r>
        <w:t xml:space="preserve"> The original intent of requiring a </w:t>
      </w:r>
      <w:r w:rsidRPr="00D7141B">
        <w:t>t</w:t>
      </w:r>
      <w:r w:rsidRPr="00B17F81">
        <w:t xml:space="preserve">ranscript of IRS tax return or IRS verification of non-filing </w:t>
      </w:r>
      <w:r>
        <w:t>specifically for high usage customers was to ensure that CARE funds were being used by eligible customers and for lawful purposes only.</w:t>
      </w:r>
      <w:r>
        <w:rPr>
          <w:rStyle w:val="FootnoteReference"/>
        </w:rPr>
        <w:footnoteReference w:id="88"/>
      </w:r>
      <w:r>
        <w:t xml:space="preserve">  While that rationale is still relevant, we find that limiting customers to tax returns or another form of state or federally verified income is an overly burdensome approach for CARE households to verify their eligibility for the program.  The documentation currently required for the regular PEV process should provide the IOUs enough detail and information to ensure that only eligible households are participating in the CARE program.  Therefore, this change will maintain the integrity of the program, while allowing for customer flexibility in how they choose to prove their income.  </w:t>
      </w:r>
      <w:r w:rsidRPr="00B17F81">
        <w:t xml:space="preserve">All three IOUs shall update their HU PEV communication materials to reflect the </w:t>
      </w:r>
      <w:r w:rsidRPr="00D7141B">
        <w:t xml:space="preserve">permanently </w:t>
      </w:r>
      <w:r w:rsidRPr="00B17F81">
        <w:t>approved income documentation list.</w:t>
      </w:r>
    </w:p>
    <w:p w:rsidRPr="000B4971" w:rsidR="000C1980" w:rsidP="001968DC" w:rsidRDefault="000C1980" w14:paraId="01C77DC0" w14:textId="0DDCB273">
      <w:pPr>
        <w:pStyle w:val="Heading4"/>
        <w:tabs>
          <w:tab w:val="clear" w:pos="2160"/>
          <w:tab w:val="num" w:pos="2520"/>
        </w:tabs>
        <w:ind w:left="3600"/>
      </w:pPr>
      <w:bookmarkStart w:name="_Toc69947777" w:id="84"/>
      <w:r w:rsidRPr="000B4971">
        <w:t xml:space="preserve">Funding ENA Training and CARE Hotline: </w:t>
      </w:r>
      <w:r w:rsidRPr="006A07FE">
        <w:rPr>
          <w:u w:val="single"/>
        </w:rPr>
        <w:t>Approved</w:t>
      </w:r>
      <w:bookmarkEnd w:id="84"/>
    </w:p>
    <w:p w:rsidRPr="00097CC2" w:rsidR="000C1980" w:rsidP="0023091F" w:rsidRDefault="000C1980" w14:paraId="5D2FF315" w14:textId="77777777">
      <w:pPr>
        <w:pStyle w:val="ALJBodyText"/>
      </w:pPr>
      <w:r w:rsidRPr="00097CC2">
        <w:t xml:space="preserve">We approve SCE’s request for $21,615 for </w:t>
      </w:r>
      <w:r>
        <w:t>e</w:t>
      </w:r>
      <w:r w:rsidRPr="00097CC2">
        <w:t xml:space="preserve">nhanced ENA training for </w:t>
      </w:r>
      <w:r>
        <w:t>the</w:t>
      </w:r>
      <w:r w:rsidRPr="00097CC2">
        <w:t xml:space="preserve"> CARE Hotline. SCE proposes training </w:t>
      </w:r>
      <w:r>
        <w:t xml:space="preserve">dedicated </w:t>
      </w:r>
      <w:r w:rsidRPr="00097CC2">
        <w:t>ENAs in the details of the CARE program requirements, keeping ENAs abreast of changes within the income</w:t>
      </w:r>
      <w:r>
        <w:noBreakHyphen/>
      </w:r>
      <w:r w:rsidRPr="00097CC2">
        <w:t xml:space="preserve">qualified programs, and having ENAs who can educate customers about other related offerings and complimentary income-qualified programs. </w:t>
      </w:r>
      <w:r>
        <w:t xml:space="preserve"> </w:t>
      </w:r>
      <w:r w:rsidRPr="00097CC2">
        <w:t xml:space="preserve">We feel that this program will benefit SCE CARE customers at a reasonable cost. </w:t>
      </w:r>
    </w:p>
    <w:p w:rsidRPr="000B4971" w:rsidR="000C1980" w:rsidP="001968DC" w:rsidRDefault="000C1980" w14:paraId="138D5FA6" w14:textId="0228B4DC">
      <w:pPr>
        <w:pStyle w:val="Heading4"/>
        <w:tabs>
          <w:tab w:val="clear" w:pos="2160"/>
          <w:tab w:val="num" w:pos="2520"/>
        </w:tabs>
        <w:ind w:left="3600"/>
      </w:pPr>
      <w:bookmarkStart w:name="_Toc69947778" w:id="85"/>
      <w:r w:rsidRPr="000B4971">
        <w:lastRenderedPageBreak/>
        <w:t xml:space="preserve">Funding PEV Outbound Call Efforts: </w:t>
      </w:r>
      <w:r w:rsidRPr="006A07FE">
        <w:rPr>
          <w:u w:val="single"/>
        </w:rPr>
        <w:t xml:space="preserve">Approved </w:t>
      </w:r>
      <w:r>
        <w:rPr>
          <w:u w:val="single"/>
        </w:rPr>
        <w:t>as</w:t>
      </w:r>
      <w:r w:rsidRPr="006A07FE">
        <w:rPr>
          <w:u w:val="single"/>
        </w:rPr>
        <w:t xml:space="preserve"> a Pilot</w:t>
      </w:r>
      <w:bookmarkEnd w:id="85"/>
      <w:r w:rsidRPr="006A07FE">
        <w:rPr>
          <w:u w:val="single"/>
        </w:rPr>
        <w:t xml:space="preserve"> </w:t>
      </w:r>
    </w:p>
    <w:p w:rsidRPr="003D1DB6" w:rsidR="000C1980" w:rsidP="0023091F" w:rsidRDefault="000C1980" w14:paraId="319B26D1" w14:textId="6D5AFFCF">
      <w:pPr>
        <w:pStyle w:val="ALJBodyText"/>
      </w:pPr>
      <w:r w:rsidRPr="003D1DB6">
        <w:t>We reject SCE’s original request for $1.</w:t>
      </w:r>
      <w:r>
        <w:t>7</w:t>
      </w:r>
      <w:r w:rsidRPr="003D1DB6">
        <w:t xml:space="preserve">M </w:t>
      </w:r>
      <w:r>
        <w:t>for the outbound call efforts</w:t>
      </w:r>
      <w:r w:rsidRPr="003D1DB6">
        <w:t xml:space="preserve">.  SCE’s request </w:t>
      </w:r>
      <w:r>
        <w:t>was</w:t>
      </w:r>
      <w:r w:rsidRPr="003D1DB6">
        <w:t xml:space="preserve"> based on a three-month pilot focused on customers who attempted to provide PEV documentation and failed. </w:t>
      </w:r>
      <w:r>
        <w:t xml:space="preserve"> </w:t>
      </w:r>
      <w:r w:rsidRPr="003D1DB6">
        <w:t xml:space="preserve">According to TURN’s intervenor testimony, SCE </w:t>
      </w:r>
      <w:r w:rsidR="000A44EC">
        <w:t>contacted</w:t>
      </w:r>
      <w:r w:rsidRPr="003D1DB6" w:rsidR="000A44EC">
        <w:t xml:space="preserve"> </w:t>
      </w:r>
      <w:r w:rsidRPr="003D1DB6">
        <w:t xml:space="preserve">532 customers who submitted incorrect PEV documentation to SCE. </w:t>
      </w:r>
      <w:r>
        <w:t xml:space="preserve"> </w:t>
      </w:r>
      <w:r w:rsidRPr="003D1DB6">
        <w:t xml:space="preserve">Of those 532 customers, SCE </w:t>
      </w:r>
      <w:r w:rsidR="00B557D7">
        <w:t xml:space="preserve">directly spoke with </w:t>
      </w:r>
      <w:r w:rsidRPr="003D1DB6">
        <w:t>117 customers, and of those 117 customers, 69 customers successfully completed the PEV documentation process.</w:t>
      </w:r>
      <w:r w:rsidRPr="003D1DB6">
        <w:rPr>
          <w:vertAlign w:val="superscript"/>
        </w:rPr>
        <w:footnoteReference w:id="89"/>
      </w:r>
      <w:r w:rsidRPr="003D1DB6">
        <w:t xml:space="preserve"> </w:t>
      </w:r>
      <w:r>
        <w:t xml:space="preserve"> </w:t>
      </w:r>
      <w:r w:rsidRPr="003D1DB6">
        <w:t>From these pilot results, both SCE and TURN support expanding this effort to a full-time initiative using the $1.</w:t>
      </w:r>
      <w:r>
        <w:t>7</w:t>
      </w:r>
      <w:r w:rsidRPr="003D1DB6">
        <w:t xml:space="preserve">M requested. </w:t>
      </w:r>
    </w:p>
    <w:p w:rsidRPr="003D1DB6" w:rsidR="000C1980" w:rsidP="00815B6D" w:rsidRDefault="000C1980" w14:paraId="282CECA7" w14:textId="2A7F051C">
      <w:pPr>
        <w:pStyle w:val="Standard"/>
      </w:pPr>
      <w:r>
        <w:t xml:space="preserve">At this time, </w:t>
      </w:r>
      <w:r w:rsidRPr="003D1DB6">
        <w:t xml:space="preserve">more information is needed before this effort </w:t>
      </w:r>
      <w:r>
        <w:t>is</w:t>
      </w:r>
      <w:r w:rsidRPr="003D1DB6">
        <w:t xml:space="preserve"> fully expanded. Although the pilot demonstrated a 13 percent success rate (69</w:t>
      </w:r>
      <w:r>
        <w:t> </w:t>
      </w:r>
      <w:r w:rsidRPr="003D1DB6">
        <w:t>customers successfully completing the PEV process out of the 532 contacted), SCE does not provide data on the size of the PEV population that would be served by this $</w:t>
      </w:r>
      <w:r>
        <w:t>1.7</w:t>
      </w:r>
      <w:r w:rsidRPr="003D1DB6">
        <w:t>M effort (</w:t>
      </w:r>
      <w:r w:rsidRPr="001A4C9C">
        <w:rPr>
          <w:i/>
          <w:iCs/>
        </w:rPr>
        <w:t>i.e.</w:t>
      </w:r>
      <w:r w:rsidR="00BE5AF7">
        <w:rPr>
          <w:i/>
          <w:iCs/>
        </w:rPr>
        <w:t>,</w:t>
      </w:r>
      <w:r w:rsidRPr="003D1DB6">
        <w:t xml:space="preserve"> </w:t>
      </w:r>
      <w:r>
        <w:t>an average annual</w:t>
      </w:r>
      <w:r w:rsidRPr="003D1DB6">
        <w:t xml:space="preserve"> number of households that fall into the “attempted but failed” PEV category), and whether SCE expects that 13</w:t>
      </w:r>
      <w:r>
        <w:t> </w:t>
      </w:r>
      <w:r w:rsidRPr="003D1DB6">
        <w:t>percent success rate to maintain or improve</w:t>
      </w:r>
      <w:r>
        <w:t xml:space="preserve"> when the program expands</w:t>
      </w:r>
      <w:r w:rsidRPr="003D1DB6">
        <w:t>.  This group of CARE households is the target audience for this type of effort, and because it is unclear whether SCE’s request for $1.</w:t>
      </w:r>
      <w:r>
        <w:t>7</w:t>
      </w:r>
      <w:r w:rsidRPr="003D1DB6">
        <w:t>M is an appropriate figure to meet the needs of this group, this request is rejected.</w:t>
      </w:r>
    </w:p>
    <w:p w:rsidRPr="003D1DB6" w:rsidR="000C1980" w:rsidP="00467CC0" w:rsidRDefault="000C1980" w14:paraId="5E7F9C81" w14:textId="3B723875">
      <w:pPr>
        <w:pStyle w:val="Standard"/>
      </w:pPr>
      <w:r w:rsidRPr="003D1DB6">
        <w:t xml:space="preserve">However, we agree with the spirit of this effort, since the PEV process does lead to a high attrition of CARE-eligible customers, as described in the 2019 </w:t>
      </w:r>
      <w:r w:rsidR="00B97190">
        <w:t>LINA study</w:t>
      </w:r>
      <w:r w:rsidRPr="003D1DB6">
        <w:t>.</w:t>
      </w:r>
      <w:r w:rsidRPr="003D1DB6">
        <w:rPr>
          <w:vertAlign w:val="superscript"/>
        </w:rPr>
        <w:t xml:space="preserve"> </w:t>
      </w:r>
      <w:r w:rsidRPr="003D1DB6">
        <w:rPr>
          <w:vertAlign w:val="superscript"/>
        </w:rPr>
        <w:footnoteReference w:id="90"/>
      </w:r>
      <w:r w:rsidRPr="003D1DB6">
        <w:t xml:space="preserve"> </w:t>
      </w:r>
      <w:r>
        <w:t xml:space="preserve"> </w:t>
      </w:r>
      <w:r w:rsidRPr="003D1DB6">
        <w:t xml:space="preserve">We also agree with TURN’s suggestion that all the IOUs should </w:t>
      </w:r>
      <w:r w:rsidRPr="003D1DB6">
        <w:lastRenderedPageBreak/>
        <w:t xml:space="preserve">explore this type of outbound call effort for CARE customers going through the PEV process who have “attempted but failed” to provide the correct information. </w:t>
      </w:r>
    </w:p>
    <w:p w:rsidR="000C1980" w:rsidP="00815B6D" w:rsidRDefault="000C1980" w14:paraId="60A3F8E6" w14:textId="0E93D5FD">
      <w:pPr>
        <w:pStyle w:val="Standard"/>
      </w:pPr>
      <w:r w:rsidRPr="003D1DB6">
        <w:t xml:space="preserve">Therefore, we </w:t>
      </w:r>
      <w:r>
        <w:t>direct</w:t>
      </w:r>
      <w:r w:rsidRPr="003D1DB6">
        <w:t xml:space="preserve"> the</w:t>
      </w:r>
      <w:r w:rsidRPr="003D1DB6">
        <w:rPr>
          <w:i/>
          <w:iCs/>
        </w:rPr>
        <w:t xml:space="preserve"> </w:t>
      </w:r>
      <w:r w:rsidRPr="003D1DB6">
        <w:t xml:space="preserve">IOUs to further explore whether a service like this would be effective </w:t>
      </w:r>
      <w:r>
        <w:t xml:space="preserve">in </w:t>
      </w:r>
      <w:r w:rsidRPr="003D1DB6">
        <w:t>minimizing the PEV de-enrollments for those households that truly do still qualify</w:t>
      </w:r>
      <w:r>
        <w:t xml:space="preserve"> by </w:t>
      </w:r>
      <w:r w:rsidR="00D6337D">
        <w:t xml:space="preserve">simultaneously </w:t>
      </w:r>
      <w:r>
        <w:t>conducting a</w:t>
      </w:r>
      <w:r w:rsidRPr="003D1DB6">
        <w:t xml:space="preserve"> </w:t>
      </w:r>
      <w:r w:rsidR="00D6337D">
        <w:t xml:space="preserve">coordinated </w:t>
      </w:r>
      <w:r>
        <w:t xml:space="preserve">six month to </w:t>
      </w:r>
      <w:proofErr w:type="gramStart"/>
      <w:r>
        <w:t>one year</w:t>
      </w:r>
      <w:proofErr w:type="gramEnd"/>
      <w:r w:rsidRPr="003D1DB6">
        <w:t xml:space="preserve"> outbound call pilot for “attempted but failed” PEV households.  This pilot will begin at least thirty days after the COVID customer protections end and PEV restarts</w:t>
      </w:r>
      <w:r>
        <w:t xml:space="preserve">, if </w:t>
      </w:r>
      <w:r w:rsidRPr="003D1DB6">
        <w:t>COVID customer protections</w:t>
      </w:r>
      <w:r>
        <w:t xml:space="preserve"> are still in place.  The implementation timeline of six months to one year will allow the IOUs flexibility in determining the appropriate length of time needed for the pilot to collect sufficient data.  </w:t>
      </w:r>
      <w:r w:rsidRPr="003D1DB6">
        <w:t>Funding for the pilot shall not exceed $</w:t>
      </w:r>
      <w:r>
        <w:t>80,000 per IOU and</w:t>
      </w:r>
      <w:r w:rsidRPr="003D1DB6">
        <w:t xml:space="preserve"> will come from each IOU’s existing authorized </w:t>
      </w:r>
      <w:r>
        <w:t>outreach</w:t>
      </w:r>
      <w:r w:rsidRPr="003D1DB6">
        <w:t xml:space="preserve"> budgets for the respective year in which the pilot is being conducted.   </w:t>
      </w:r>
    </w:p>
    <w:p w:rsidR="000C1980" w:rsidP="00467CC0" w:rsidRDefault="000C1980" w14:paraId="0D9068F3" w14:textId="4318AB4B">
      <w:pPr>
        <w:pStyle w:val="Standard"/>
      </w:pPr>
      <w:r w:rsidRPr="003D1DB6">
        <w:t xml:space="preserve">At the end of the pilot, </w:t>
      </w:r>
      <w:r>
        <w:t xml:space="preserve">and within three months of the pilot’s conclusion, </w:t>
      </w:r>
      <w:r w:rsidRPr="003D1DB6">
        <w:t xml:space="preserve">each IOU shall </w:t>
      </w:r>
      <w:r>
        <w:t xml:space="preserve">submit a Tier 2 advice letter with </w:t>
      </w:r>
      <w:r w:rsidR="00266AFC">
        <w:t>all information the IOU believes is relevant to evaluation of the pilot, including</w:t>
      </w:r>
      <w:r>
        <w:t xml:space="preserve">: </w:t>
      </w:r>
    </w:p>
    <w:p w:rsidR="000C1980" w:rsidP="00402362" w:rsidRDefault="000C1980" w14:paraId="7816DA23" w14:textId="77777777">
      <w:pPr>
        <w:pStyle w:val="ListBullet"/>
      </w:pPr>
      <w:r>
        <w:t>Number of CARE h</w:t>
      </w:r>
      <w:r w:rsidRPr="003D1DB6">
        <w:t>ouseholds that submitted incorrect PEV documentation or “attempted but failed” to verify</w:t>
      </w:r>
      <w:r>
        <w:t xml:space="preserve"> during the pilot.</w:t>
      </w:r>
    </w:p>
    <w:p w:rsidR="000C1980" w:rsidP="00402362" w:rsidRDefault="000C1980" w14:paraId="1FBB62D5" w14:textId="77777777">
      <w:pPr>
        <w:pStyle w:val="ListBullet"/>
      </w:pPr>
      <w:r>
        <w:t>Number of these households contacted by the Outbound Call Pilot.</w:t>
      </w:r>
    </w:p>
    <w:p w:rsidRPr="003D1DB6" w:rsidR="000C1980" w:rsidP="00402362" w:rsidRDefault="000C1980" w14:paraId="72CB516E" w14:textId="77777777">
      <w:pPr>
        <w:pStyle w:val="ListBullet"/>
      </w:pPr>
      <w:r>
        <w:t xml:space="preserve">Number of these households </w:t>
      </w:r>
      <w:r w:rsidRPr="003D1DB6">
        <w:t>successfully ushered through PEV</w:t>
      </w:r>
      <w:r>
        <w:t xml:space="preserve"> process by the Outbound Call Pilot.</w:t>
      </w:r>
    </w:p>
    <w:p w:rsidRPr="003D1DB6" w:rsidR="000C1980" w:rsidP="00402362" w:rsidRDefault="000C1980" w14:paraId="7CFFD0CF" w14:textId="77777777">
      <w:pPr>
        <w:pStyle w:val="ListBullet"/>
      </w:pPr>
      <w:r w:rsidRPr="003D1DB6">
        <w:t xml:space="preserve">Success rate (households successfully ushered through PEV process after attempting but failing on their own, divided by total households </w:t>
      </w:r>
      <w:r>
        <w:t>contacted</w:t>
      </w:r>
      <w:r w:rsidRPr="003D1DB6">
        <w:t xml:space="preserve"> through effort)</w:t>
      </w:r>
      <w:r>
        <w:t xml:space="preserve"> broken down by month and for the overall pilot.</w:t>
      </w:r>
    </w:p>
    <w:p w:rsidR="000C1980" w:rsidP="00402362" w:rsidRDefault="000C1980" w14:paraId="7CFA8C1B" w14:textId="77777777">
      <w:pPr>
        <w:pStyle w:val="ListBullet"/>
      </w:pPr>
      <w:r w:rsidRPr="003D1DB6">
        <w:t xml:space="preserve">Cost-benefit analysis of pilot, including the incremental cost associated with the expansion of outbound calls and the </w:t>
      </w:r>
      <w:r w:rsidRPr="003D1DB6">
        <w:lastRenderedPageBreak/>
        <w:t>estimated marketing/ outreach/ admin funds saved from having to avoid recapturing eligible households who failed PEV.</w:t>
      </w:r>
    </w:p>
    <w:p w:rsidR="000C1980" w:rsidP="00402362" w:rsidRDefault="000C1980" w14:paraId="32DDF234" w14:textId="77777777">
      <w:pPr>
        <w:pStyle w:val="ListBullet"/>
      </w:pPr>
      <w:r>
        <w:t>Other benefits customers received by participating in this pilot, if any.</w:t>
      </w:r>
    </w:p>
    <w:p w:rsidRPr="003D1DB6" w:rsidR="000C1980" w:rsidP="00402362" w:rsidRDefault="000C1980" w14:paraId="07A17B41" w14:textId="7FCDC90C">
      <w:pPr>
        <w:pStyle w:val="ListBullet"/>
      </w:pPr>
      <w:r>
        <w:t>Recommendation</w:t>
      </w:r>
      <w:r w:rsidRPr="003D1DB6">
        <w:t xml:space="preserve"> on whether the pilot should conclude, be continued, expanded, or turned into a permanent effort, and the reasons why (</w:t>
      </w:r>
      <w:r w:rsidRPr="001A4C9C">
        <w:rPr>
          <w:i/>
          <w:iCs/>
        </w:rPr>
        <w:t>i.e.</w:t>
      </w:r>
      <w:r w:rsidRPr="003D1DB6">
        <w:t>, low results, not cost effective).  If the IOU</w:t>
      </w:r>
      <w:r>
        <w:t>s</w:t>
      </w:r>
      <w:r w:rsidRPr="003D1DB6">
        <w:t xml:space="preserve"> propose to continue the outbound call center efforts either on a pilot basis or a permanent basis, the IOUs shall </w:t>
      </w:r>
      <w:r>
        <w:t>describe the</w:t>
      </w:r>
      <w:r w:rsidRPr="003D1DB6">
        <w:t xml:space="preserve"> </w:t>
      </w:r>
      <w:proofErr w:type="gramStart"/>
      <w:r w:rsidRPr="003D1DB6">
        <w:t>long term</w:t>
      </w:r>
      <w:proofErr w:type="gramEnd"/>
      <w:r w:rsidRPr="003D1DB6">
        <w:t xml:space="preserve"> plan for the effort including how many households it anticipates targeting, capturing, and re-enrolling back onto CARE</w:t>
      </w:r>
      <w:r>
        <w:t xml:space="preserve"> each year</w:t>
      </w:r>
      <w:r w:rsidRPr="003D1DB6">
        <w:t xml:space="preserve">, </w:t>
      </w:r>
      <w:r>
        <w:t>and the proposed long-term budget.</w:t>
      </w:r>
      <w:r w:rsidRPr="003D1DB6">
        <w:t xml:space="preserve"> </w:t>
      </w:r>
      <w:r w:rsidRPr="003D7F85" w:rsidR="003D7F85">
        <w:t>The recommendation should also include lessons learned and best practices for continuing the pilot</w:t>
      </w:r>
      <w:r w:rsidR="003D7F85">
        <w:t>.</w:t>
      </w:r>
      <w:r w:rsidRPr="003D1DB6">
        <w:t xml:space="preserve">  </w:t>
      </w:r>
    </w:p>
    <w:p w:rsidR="000C1980" w:rsidP="00815B6D" w:rsidRDefault="000C1980" w14:paraId="59020F3B" w14:textId="77777777">
      <w:pPr>
        <w:pStyle w:val="Standard"/>
      </w:pPr>
      <w:r>
        <w:t>Energy Division, via disposition of these Tier 2 advice letters, will have the authority to approve the continuation of the Outbound Call Pilot program, either on a pilot basis or a permanent basis using no more than</w:t>
      </w:r>
      <w:r w:rsidRPr="00A93E3C">
        <w:t xml:space="preserve"> </w:t>
      </w:r>
      <w:r>
        <w:t>six percent</w:t>
      </w:r>
      <w:r w:rsidRPr="00A93E3C">
        <w:t xml:space="preserve"> of</w:t>
      </w:r>
      <w:r>
        <w:t xml:space="preserve"> the IOUs’ total authorized CARE Outreach budget in this decision. Using the data provided above, Energy Division will consider whether the pilot was cost</w:t>
      </w:r>
      <w:r>
        <w:noBreakHyphen/>
        <w:t xml:space="preserve">effective, had an average monthly success rate of at least 10 percent or provided other benefits to customers participating in the pilot that makes the program worth continuing. </w:t>
      </w:r>
    </w:p>
    <w:p w:rsidRPr="000B4971" w:rsidR="000C1980" w:rsidP="001968DC" w:rsidRDefault="000C1980" w14:paraId="3F0F2120" w14:textId="11D3F303">
      <w:pPr>
        <w:pStyle w:val="Heading4"/>
        <w:tabs>
          <w:tab w:val="clear" w:pos="2160"/>
          <w:tab w:val="num" w:pos="2520"/>
        </w:tabs>
        <w:ind w:left="3600"/>
      </w:pPr>
      <w:bookmarkStart w:name="_Toc69947779" w:id="86"/>
      <w:r w:rsidRPr="000B4971">
        <w:t xml:space="preserve">Increasing Capitation Fees: </w:t>
      </w:r>
      <w:r w:rsidRPr="007E6072">
        <w:rPr>
          <w:u w:val="single"/>
        </w:rPr>
        <w:t>Approved</w:t>
      </w:r>
      <w:bookmarkEnd w:id="86"/>
      <w:r w:rsidRPr="000B4971">
        <w:t xml:space="preserve"> </w:t>
      </w:r>
    </w:p>
    <w:p w:rsidRPr="00021DCF" w:rsidR="000C1980" w:rsidP="0023091F" w:rsidRDefault="000C1980" w14:paraId="4276A889" w14:textId="77777777">
      <w:pPr>
        <w:pStyle w:val="ALJBodyText"/>
      </w:pPr>
      <w:r>
        <w:t xml:space="preserve">We approve PG&amp;E and SCE’s request to increase the </w:t>
      </w:r>
      <w:r w:rsidRPr="00021DCF">
        <w:t xml:space="preserve">CARE </w:t>
      </w:r>
      <w:r>
        <w:t xml:space="preserve">capitation fee from $20 </w:t>
      </w:r>
      <w:r w:rsidRPr="003E4E7C">
        <w:t>to up to</w:t>
      </w:r>
      <w:r>
        <w:t xml:space="preserve"> $30 per enrollment.</w:t>
      </w:r>
      <w:r w:rsidRPr="00021DCF">
        <w:t xml:space="preserve">  </w:t>
      </w:r>
      <w:r>
        <w:t xml:space="preserve">We agree that an increase is needed to </w:t>
      </w:r>
      <w:r w:rsidRPr="00021DCF">
        <w:t xml:space="preserve">account for </w:t>
      </w:r>
      <w:proofErr w:type="gramStart"/>
      <w:r w:rsidRPr="00021DCF">
        <w:t>cost of living</w:t>
      </w:r>
      <w:proofErr w:type="gramEnd"/>
      <w:r w:rsidRPr="00021DCF">
        <w:t xml:space="preserve"> increases, as well as incentivize CBO efforts to enroll those in hard to reach populations, which require increased numbers of touches to identify those who have not yet been served. </w:t>
      </w:r>
      <w:r>
        <w:t xml:space="preserve"> </w:t>
      </w:r>
      <w:r w:rsidRPr="00021DCF">
        <w:t xml:space="preserve">The previous Commission decision to raise the capitation fee acknowledged that “there are additional expenses and barriers associated with reaching and enrolling the remaining </w:t>
      </w:r>
      <w:r w:rsidRPr="00021DCF">
        <w:lastRenderedPageBreak/>
        <w:t>eligible customers and that reasonably justifies the reasonable capitation fee increase</w:t>
      </w:r>
      <w:r>
        <w:t>” and is c</w:t>
      </w:r>
      <w:r w:rsidRPr="00021DCF">
        <w:t>onsistent with the prior rate of increases the Commission previously adopted.</w:t>
      </w:r>
      <w:r w:rsidRPr="00021DCF">
        <w:rPr>
          <w:vertAlign w:val="superscript"/>
        </w:rPr>
        <w:footnoteReference w:id="91"/>
      </w:r>
      <w:r w:rsidRPr="00021DCF">
        <w:t xml:space="preserve"> </w:t>
      </w:r>
      <w:r>
        <w:t xml:space="preserve"> </w:t>
      </w:r>
      <w:r w:rsidRPr="00021DCF">
        <w:t>A history of the CARE capitation fees shows that the increase from $20 to $30 after eight years of being at the same rate offers a similar growth rate to past capitation rate increases:</w:t>
      </w:r>
    </w:p>
    <w:p w:rsidRPr="006164F8" w:rsidR="000C1980" w:rsidP="00402362" w:rsidRDefault="000C1980" w14:paraId="5D2C566D" w14:textId="28C4023A">
      <w:pPr>
        <w:pStyle w:val="ListBullet"/>
      </w:pPr>
      <w:r w:rsidRPr="006164F8">
        <w:t>2001: $12 Capitation Fee originally set.</w:t>
      </w:r>
      <w:r w:rsidR="003E4E7C">
        <w:rPr>
          <w:rStyle w:val="FootnoteReference"/>
        </w:rPr>
        <w:footnoteReference w:id="92"/>
      </w:r>
    </w:p>
    <w:p w:rsidRPr="006164F8" w:rsidR="000C1980" w:rsidP="00402362" w:rsidRDefault="000C1980" w14:paraId="08FC7874" w14:textId="5F25BF92">
      <w:pPr>
        <w:pStyle w:val="ListBullet"/>
      </w:pPr>
      <w:r w:rsidRPr="006164F8">
        <w:t>2006: $15 Capitation Fee (25 percent increase after five years, average increase of 5 percent per year).</w:t>
      </w:r>
      <w:r w:rsidR="003E4E7C">
        <w:rPr>
          <w:rStyle w:val="FootnoteReference"/>
        </w:rPr>
        <w:footnoteReference w:id="93"/>
      </w:r>
      <w:r w:rsidRPr="006164F8">
        <w:t xml:space="preserve">  </w:t>
      </w:r>
    </w:p>
    <w:p w:rsidRPr="006164F8" w:rsidR="000C1980" w:rsidP="00402362" w:rsidRDefault="000C1980" w14:paraId="58A5C059" w14:textId="3FA22DDE">
      <w:pPr>
        <w:pStyle w:val="ListBullet"/>
      </w:pPr>
      <w:r w:rsidRPr="006164F8">
        <w:t>2012: $20 Capitation Fee (33 percent increase after six years, average increase of 5.5 percent per year).</w:t>
      </w:r>
      <w:r w:rsidR="003E4E7C">
        <w:rPr>
          <w:rStyle w:val="FootnoteReference"/>
        </w:rPr>
        <w:footnoteReference w:id="94"/>
      </w:r>
      <w:r w:rsidRPr="006164F8">
        <w:t xml:space="preserve">  </w:t>
      </w:r>
    </w:p>
    <w:p w:rsidRPr="006164F8" w:rsidR="000C1980" w:rsidP="00402362" w:rsidRDefault="000C1980" w14:paraId="69D0F7BD" w14:textId="77777777">
      <w:pPr>
        <w:pStyle w:val="ListBullet"/>
      </w:pPr>
      <w:r w:rsidRPr="006164F8">
        <w:t xml:space="preserve">2021: $30 Capitation Fee (50 percent increase after nine years, average increase of 5.5 percent per year). </w:t>
      </w:r>
    </w:p>
    <w:p w:rsidRPr="003D4D6B" w:rsidR="000C1980" w:rsidP="0023091F" w:rsidRDefault="000C1980" w14:paraId="10BCEC99" w14:textId="543662D2">
      <w:pPr>
        <w:pStyle w:val="ALJBodyText"/>
      </w:pPr>
      <w:r w:rsidRPr="00327F37">
        <w:t xml:space="preserve">While not all the IOUs sought </w:t>
      </w:r>
      <w:r>
        <w:t xml:space="preserve">an </w:t>
      </w:r>
      <w:r w:rsidRPr="00327F37">
        <w:t xml:space="preserve">increase, we recognize that the same factors and barriers associated with being at near-full penetration rates are applicable to all the IOUs and their CBOs. Therefore, we </w:t>
      </w:r>
      <w:r w:rsidR="002B617D">
        <w:t>also</w:t>
      </w:r>
      <w:r w:rsidRPr="00327F37" w:rsidR="002B617D">
        <w:t xml:space="preserve"> </w:t>
      </w:r>
      <w:r w:rsidRPr="00327F37">
        <w:t xml:space="preserve">approve an increase in capitation fees </w:t>
      </w:r>
      <w:r>
        <w:t>of</w:t>
      </w:r>
      <w:r w:rsidRPr="00327F37">
        <w:t xml:space="preserve"> </w:t>
      </w:r>
      <w:r w:rsidRPr="00327F37">
        <w:rPr>
          <w:i/>
          <w:iCs/>
        </w:rPr>
        <w:t>up to</w:t>
      </w:r>
      <w:r w:rsidRPr="00327F37">
        <w:t xml:space="preserve"> $30 per enrollment </w:t>
      </w:r>
      <w:r>
        <w:t>for all the IOUs</w:t>
      </w:r>
      <w:r w:rsidRPr="00327F37">
        <w:t xml:space="preserve">. </w:t>
      </w:r>
    </w:p>
    <w:p w:rsidRPr="000B4971" w:rsidR="000C1980" w:rsidP="001968DC" w:rsidRDefault="000C1980" w14:paraId="3ACD6261" w14:textId="158900A2">
      <w:pPr>
        <w:pStyle w:val="Heading4"/>
        <w:tabs>
          <w:tab w:val="clear" w:pos="2160"/>
          <w:tab w:val="num" w:pos="2520"/>
        </w:tabs>
        <w:ind w:left="3600"/>
      </w:pPr>
      <w:bookmarkStart w:name="_Toc69947780" w:id="87"/>
      <w:r w:rsidRPr="000B4971">
        <w:t xml:space="preserve">Creating Data Sharing Partnerships: </w:t>
      </w:r>
      <w:r>
        <w:br/>
      </w:r>
      <w:r w:rsidR="00F91415">
        <w:rPr>
          <w:u w:val="single"/>
        </w:rPr>
        <w:t>Requires</w:t>
      </w:r>
      <w:r w:rsidRPr="007E6072">
        <w:rPr>
          <w:u w:val="single"/>
        </w:rPr>
        <w:t xml:space="preserve"> Further Stud</w:t>
      </w:r>
      <w:r w:rsidR="00F91415">
        <w:rPr>
          <w:u w:val="single"/>
        </w:rPr>
        <w:t>y</w:t>
      </w:r>
      <w:bookmarkEnd w:id="87"/>
    </w:p>
    <w:p w:rsidRPr="00CD3A50" w:rsidR="000C1980" w:rsidP="0023091F" w:rsidRDefault="000C1980" w14:paraId="7443F0F0" w14:textId="3AB31C7D">
      <w:pPr>
        <w:pStyle w:val="ALJBodyText"/>
      </w:pPr>
      <w:r>
        <w:t>We</w:t>
      </w:r>
      <w:r w:rsidRPr="00CD3A50">
        <w:t xml:space="preserve"> </w:t>
      </w:r>
      <w:r w:rsidR="00537FF5">
        <w:t>deny</w:t>
      </w:r>
      <w:r w:rsidRPr="00CD3A50">
        <w:t xml:space="preserve"> Cal</w:t>
      </w:r>
      <w:r>
        <w:t xml:space="preserve"> Advocates’ </w:t>
      </w:r>
      <w:r w:rsidRPr="00CD3A50">
        <w:t>proposal</w:t>
      </w:r>
      <w:r>
        <w:t xml:space="preserve"> to</w:t>
      </w:r>
      <w:r w:rsidRPr="00CD3A50">
        <w:t xml:space="preserve"> </w:t>
      </w:r>
      <w:r>
        <w:t>require the</w:t>
      </w:r>
      <w:r w:rsidRPr="00CD3A50">
        <w:t xml:space="preserve"> IOUs </w:t>
      </w:r>
      <w:r>
        <w:t xml:space="preserve">to </w:t>
      </w:r>
      <w:r w:rsidRPr="00CD3A50">
        <w:t>establish two</w:t>
      </w:r>
      <w:r>
        <w:noBreakHyphen/>
      </w:r>
      <w:r w:rsidRPr="00CD3A50">
        <w:t>way data sharing partnerships with state and federal government agencies to help customers with the CARE recertification process.</w:t>
      </w:r>
      <w:r>
        <w:t xml:space="preserve"> </w:t>
      </w:r>
      <w:r w:rsidRPr="00CD3A50">
        <w:t xml:space="preserve"> </w:t>
      </w:r>
      <w:r>
        <w:t>T</w:t>
      </w:r>
      <w:r w:rsidRPr="00CD3A50">
        <w:t xml:space="preserve">estimony from </w:t>
      </w:r>
      <w:r>
        <w:t xml:space="preserve">the </w:t>
      </w:r>
      <w:r w:rsidRPr="00CD3A50">
        <w:t>IOUs identif</w:t>
      </w:r>
      <w:r>
        <w:t>y</w:t>
      </w:r>
      <w:r w:rsidRPr="00CD3A50">
        <w:t xml:space="preserve"> many barriers and concerns regarding this request, such as unknown costs to ratepayers, data security issues, federal government </w:t>
      </w:r>
      <w:r w:rsidRPr="00CD3A50">
        <w:lastRenderedPageBreak/>
        <w:t xml:space="preserve">bureaucracy, </w:t>
      </w:r>
      <w:r>
        <w:t>and the Commission</w:t>
      </w:r>
      <w:r w:rsidRPr="00CD3A50">
        <w:t xml:space="preserve"> overstepping its authority. </w:t>
      </w:r>
      <w:r>
        <w:t xml:space="preserve"> We find</w:t>
      </w:r>
      <w:r w:rsidRPr="00CD3A50">
        <w:t xml:space="preserve"> the IOU arguments persuasive, as there has not been an established record on the costs and barriers associated with setting up this system. </w:t>
      </w:r>
    </w:p>
    <w:p w:rsidR="000C1980" w:rsidP="00815B6D" w:rsidRDefault="000C1980" w14:paraId="6D7F0EE3" w14:textId="77777777">
      <w:pPr>
        <w:pStyle w:val="Standard"/>
      </w:pPr>
      <w:r w:rsidRPr="00CD3A50">
        <w:t xml:space="preserve">However, the Commission would like to see the topic of data sharing opportunities explored in </w:t>
      </w:r>
      <w:r>
        <w:t xml:space="preserve">the </w:t>
      </w:r>
      <w:r w:rsidRPr="00CD3A50">
        <w:t>Categorical Eligibility study</w:t>
      </w:r>
      <w:r w:rsidRPr="00376B1E">
        <w:t xml:space="preserve"> </w:t>
      </w:r>
      <w:r>
        <w:t>approved in this decision</w:t>
      </w:r>
      <w:r w:rsidRPr="00CD3A50">
        <w:t>.  Specifically, the Commission would like this study to research what potential data sharing opportunities there are between the IOUs and state and federal agencies when it comes to providing a pathway for a customer to auto</w:t>
      </w:r>
      <w:r>
        <w:noBreakHyphen/>
      </w:r>
      <w:r w:rsidRPr="00CD3A50">
        <w:t xml:space="preserve">enroll or auto-recertify in CARE. </w:t>
      </w:r>
      <w:r>
        <w:t xml:space="preserve"> </w:t>
      </w:r>
      <w:r w:rsidRPr="001A4C9C">
        <w:rPr>
          <w:i/>
          <w:iCs/>
        </w:rPr>
        <w:t>See</w:t>
      </w:r>
      <w:r>
        <w:t xml:space="preserve"> Section 8.11 for more details about the study and this effort.  </w:t>
      </w:r>
    </w:p>
    <w:p w:rsidRPr="000B4971" w:rsidR="000C1980" w:rsidP="001968DC" w:rsidRDefault="000C1980" w14:paraId="3E6B034A" w14:textId="0F6A44F0">
      <w:pPr>
        <w:pStyle w:val="Heading4"/>
        <w:tabs>
          <w:tab w:val="clear" w:pos="2160"/>
          <w:tab w:val="num" w:pos="2520"/>
        </w:tabs>
        <w:ind w:left="3600"/>
      </w:pPr>
      <w:bookmarkStart w:name="_Toc69947781" w:id="88"/>
      <w:r w:rsidRPr="000B4971">
        <w:t xml:space="preserve">Funding CIS and IVR: </w:t>
      </w:r>
      <w:r w:rsidRPr="007E6072">
        <w:rPr>
          <w:u w:val="single"/>
        </w:rPr>
        <w:t>Approved in Part</w:t>
      </w:r>
      <w:bookmarkEnd w:id="88"/>
    </w:p>
    <w:p w:rsidRPr="009D59AA" w:rsidR="000C1980" w:rsidP="0023091F" w:rsidRDefault="000C1980" w14:paraId="2A6A0C38" w14:textId="60F97114">
      <w:pPr>
        <w:pStyle w:val="ALJBodyText"/>
      </w:pPr>
      <w:r>
        <w:t xml:space="preserve">We deny </w:t>
      </w:r>
      <w:r w:rsidRPr="009D59AA">
        <w:t xml:space="preserve">SDG&amp;E’s request </w:t>
      </w:r>
      <w:r>
        <w:t>of</w:t>
      </w:r>
      <w:r w:rsidRPr="009D59AA">
        <w:t xml:space="preserve"> $500,000 for CIS enhancements.</w:t>
      </w:r>
      <w:r>
        <w:t xml:space="preserve"> </w:t>
      </w:r>
      <w:r w:rsidRPr="009D59AA">
        <w:t xml:space="preserve"> In SDG&amp;E</w:t>
      </w:r>
      <w:r>
        <w:t>’s</w:t>
      </w:r>
      <w:r w:rsidRPr="009D59AA">
        <w:t xml:space="preserve"> CIS implementation</w:t>
      </w:r>
      <w:r w:rsidR="000D4733">
        <w:t xml:space="preserve"> decision,</w:t>
      </w:r>
      <w:r w:rsidRPr="009D59AA">
        <w:t xml:space="preserve"> </w:t>
      </w:r>
      <w:r w:rsidR="00E103B9">
        <w:t>(</w:t>
      </w:r>
      <w:r>
        <w:t>D.</w:t>
      </w:r>
      <w:r w:rsidRPr="009D59AA">
        <w:t>18-08-008</w:t>
      </w:r>
      <w:r w:rsidR="00E103B9">
        <w:t>)</w:t>
      </w:r>
      <w:r w:rsidRPr="009D59AA">
        <w:t xml:space="preserve">, the Commission stated that “[t]he Settlement Agreement also contemplates ongoing support costs that fall within SDG&amp;E’s current GRC cycle and these are authorized as well. </w:t>
      </w:r>
      <w:r>
        <w:t xml:space="preserve"> </w:t>
      </w:r>
      <w:r w:rsidRPr="009D59AA">
        <w:t>Post-implementation costs that fall outside of the Settlement Agreement are to be included in subsequent GRC applications as applicable."</w:t>
      </w:r>
      <w:r w:rsidRPr="009D59AA">
        <w:rPr>
          <w:vertAlign w:val="superscript"/>
        </w:rPr>
        <w:footnoteReference w:id="95"/>
      </w:r>
      <w:r w:rsidRPr="009D59AA">
        <w:t xml:space="preserve"> </w:t>
      </w:r>
      <w:r>
        <w:t xml:space="preserve"> </w:t>
      </w:r>
      <w:r w:rsidRPr="009D59AA">
        <w:t xml:space="preserve">SDG&amp;E’s application describes the updates requested for </w:t>
      </w:r>
      <w:r>
        <w:t>its</w:t>
      </w:r>
      <w:r w:rsidRPr="009D59AA">
        <w:t xml:space="preserve"> CIS in </w:t>
      </w:r>
      <w:r>
        <w:t>its</w:t>
      </w:r>
      <w:r w:rsidRPr="009D59AA">
        <w:t xml:space="preserve"> CARE application as “Post-go-live” and “requesting funding for </w:t>
      </w:r>
      <w:r w:rsidRPr="009D59AA">
        <w:rPr>
          <w:i/>
          <w:iCs/>
        </w:rPr>
        <w:t>additional system enhancements</w:t>
      </w:r>
      <w:r w:rsidRPr="009D59AA">
        <w:t xml:space="preserve"> necessary to streamline enrollment automation and to enhance capabilities related to delivery of documents via text and email.”(emphasis added)</w:t>
      </w:r>
      <w:r w:rsidRPr="009D59AA">
        <w:rPr>
          <w:vertAlign w:val="superscript"/>
        </w:rPr>
        <w:footnoteReference w:id="96"/>
      </w:r>
      <w:r w:rsidRPr="009D59AA">
        <w:t xml:space="preserve"> </w:t>
      </w:r>
      <w:r>
        <w:t xml:space="preserve"> </w:t>
      </w:r>
      <w:r w:rsidRPr="009D59AA">
        <w:t xml:space="preserve">The Commission </w:t>
      </w:r>
      <w:r w:rsidR="000A54B8">
        <w:t>finds</w:t>
      </w:r>
      <w:r w:rsidRPr="009D59AA" w:rsidR="000A54B8">
        <w:t xml:space="preserve"> </w:t>
      </w:r>
      <w:r w:rsidRPr="009D59AA">
        <w:t xml:space="preserve">that these “post-go-live” expenses being requested would fall under the category of “post-implementation costs” described in D.18-08-008, and therefore these costs </w:t>
      </w:r>
      <w:r w:rsidRPr="009D59AA">
        <w:lastRenderedPageBreak/>
        <w:t xml:space="preserve">should not be requested through the CARE proceeding, but rather subsequent GRC applications as applicable. </w:t>
      </w:r>
    </w:p>
    <w:p w:rsidRPr="00A1654A" w:rsidR="000C1980" w:rsidP="0023091F" w:rsidRDefault="000C1980" w14:paraId="41638E1F" w14:textId="0033AB9A">
      <w:pPr>
        <w:pStyle w:val="ALJBodyText"/>
      </w:pPr>
      <w:r>
        <w:t>We</w:t>
      </w:r>
      <w:r w:rsidRPr="009D59AA">
        <w:t xml:space="preserve"> approve $120,000 </w:t>
      </w:r>
      <w:r>
        <w:t xml:space="preserve">for upgrades to SDG&amp;E’s </w:t>
      </w:r>
      <w:r w:rsidRPr="009D59AA">
        <w:t xml:space="preserve">IVR system upgrade since this system was initially approved within previous CARE proceedings. </w:t>
      </w:r>
      <w:r>
        <w:t xml:space="preserve"> </w:t>
      </w:r>
      <w:r w:rsidRPr="009D59AA">
        <w:t xml:space="preserve">SDG&amp;E’s proposal to enhance functionality, verbiage, and phone tree options will potentially help CARE customers not only with the CARE recertification process but also create the opportunity to provide additional information to the customer regarding other programs (such as </w:t>
      </w:r>
      <w:proofErr w:type="spellStart"/>
      <w:r w:rsidRPr="009D59AA">
        <w:t>Life</w:t>
      </w:r>
      <w:r w:rsidR="00AF6847">
        <w:t>L</w:t>
      </w:r>
      <w:r w:rsidRPr="009D59AA">
        <w:t>ine</w:t>
      </w:r>
      <w:proofErr w:type="spellEnd"/>
      <w:r w:rsidRPr="009D59AA">
        <w:t>, Affordable Broadband, ESA, etc.) as well.</w:t>
      </w:r>
      <w:r w:rsidRPr="009D59AA">
        <w:rPr>
          <w:vertAlign w:val="superscript"/>
        </w:rPr>
        <w:footnoteReference w:id="97"/>
      </w:r>
      <w:r w:rsidRPr="009D59AA">
        <w:t xml:space="preserve"> </w:t>
      </w:r>
    </w:p>
    <w:p w:rsidRPr="00BF416C" w:rsidR="000C1980" w:rsidP="001968DC" w:rsidRDefault="000C1980" w14:paraId="23500392" w14:textId="11D7FC2F">
      <w:pPr>
        <w:pStyle w:val="Heading2"/>
        <w:tabs>
          <w:tab w:val="clear" w:pos="720"/>
          <w:tab w:val="num" w:pos="1080"/>
        </w:tabs>
        <w:ind w:left="1728"/>
      </w:pPr>
      <w:bookmarkStart w:name="_Toc69947782" w:id="89"/>
      <w:r w:rsidRPr="000059D0">
        <w:t xml:space="preserve">CARE Marketing, </w:t>
      </w:r>
      <w:r w:rsidRPr="00A95072">
        <w:t>Education</w:t>
      </w:r>
      <w:r w:rsidRPr="000059D0">
        <w:t>, Outreach</w:t>
      </w:r>
      <w:r w:rsidRPr="00BF416C">
        <w:t>,</w:t>
      </w:r>
      <w:r>
        <w:t xml:space="preserve"> </w:t>
      </w:r>
      <w:r w:rsidRPr="00BF416C">
        <w:t>Leveraging</w:t>
      </w:r>
      <w:bookmarkEnd w:id="89"/>
      <w:r w:rsidRPr="00BF416C">
        <w:t xml:space="preserve"> </w:t>
      </w:r>
    </w:p>
    <w:p w:rsidRPr="00001AD1" w:rsidR="000C1980" w:rsidP="001968DC" w:rsidRDefault="000C1980" w14:paraId="4FA5B661" w14:textId="77777777">
      <w:pPr>
        <w:pStyle w:val="Heading3"/>
        <w:tabs>
          <w:tab w:val="clear" w:pos="1440"/>
          <w:tab w:val="num" w:pos="1800"/>
        </w:tabs>
        <w:ind w:left="2664"/>
      </w:pPr>
      <w:bookmarkStart w:name="_Toc69947783" w:id="90"/>
      <w:r w:rsidRPr="00001AD1">
        <w:t>Background</w:t>
      </w:r>
      <w:bookmarkEnd w:id="90"/>
    </w:p>
    <w:p w:rsidRPr="00081474" w:rsidR="000C1980" w:rsidP="00815B6D" w:rsidRDefault="000C1980" w14:paraId="235285E0" w14:textId="77777777">
      <w:pPr>
        <w:pStyle w:val="Standard"/>
      </w:pPr>
      <w:r w:rsidRPr="000059D0">
        <w:t xml:space="preserve">Currently, each IOU manages </w:t>
      </w:r>
      <w:r>
        <w:t>its own m</w:t>
      </w:r>
      <w:r w:rsidRPr="00AB30E6">
        <w:t xml:space="preserve">arketing, </w:t>
      </w:r>
      <w:r>
        <w:t>e</w:t>
      </w:r>
      <w:r w:rsidRPr="00AB30E6">
        <w:t xml:space="preserve">ducation, </w:t>
      </w:r>
      <w:r>
        <w:t>o</w:t>
      </w:r>
      <w:r w:rsidRPr="00AB30E6">
        <w:t xml:space="preserve">utreach </w:t>
      </w:r>
      <w:r>
        <w:t xml:space="preserve">(ME&amp;O) efforts to meet the goals set out by the Commission.  These efforts include, but are not limited to, direct mail, door-to-door canvasing, social media, targeted efforts in DACs/Rural/Tribal areas, and partnerships with community and </w:t>
      </w:r>
      <w:proofErr w:type="gramStart"/>
      <w:r>
        <w:t>faith based</w:t>
      </w:r>
      <w:proofErr w:type="gramEnd"/>
      <w:r>
        <w:t xml:space="preserve"> organizations, as well as other state, federal and local agencies.  Since every utility </w:t>
      </w:r>
      <w:r w:rsidRPr="00494671">
        <w:t>service</w:t>
      </w:r>
      <w:r>
        <w:t xml:space="preserve"> territory is unique, each IOU has been allowed to seek out efforts that work best for its own service areas. </w:t>
      </w:r>
    </w:p>
    <w:p w:rsidR="000C1980" w:rsidP="001968DC" w:rsidRDefault="000C1980" w14:paraId="2FE6A5A9" w14:textId="77777777">
      <w:pPr>
        <w:pStyle w:val="Heading3"/>
        <w:tabs>
          <w:tab w:val="clear" w:pos="1440"/>
          <w:tab w:val="num" w:pos="1800"/>
        </w:tabs>
        <w:ind w:left="2664"/>
      </w:pPr>
      <w:bookmarkStart w:name="_Toc69947784" w:id="91"/>
      <w:r>
        <w:t>PG&amp;E Proposal</w:t>
      </w:r>
      <w:bookmarkEnd w:id="91"/>
      <w:r>
        <w:t xml:space="preserve"> </w:t>
      </w:r>
    </w:p>
    <w:p w:rsidR="000C1980" w:rsidP="00494671" w:rsidRDefault="000C1980" w14:paraId="3E6E2294" w14:textId="77777777">
      <w:pPr>
        <w:pStyle w:val="Standard"/>
      </w:pPr>
      <w:r>
        <w:t>PG&amp;E proposes to</w:t>
      </w:r>
      <w:r w:rsidRPr="00D2613E">
        <w:t xml:space="preserve"> continue the outreach strategies of prior years</w:t>
      </w:r>
      <w:r>
        <w:t xml:space="preserve"> and </w:t>
      </w:r>
      <w:r w:rsidRPr="00D2613E">
        <w:t>explore broader local partnerships to energize and deepen community engagement</w:t>
      </w:r>
      <w:r w:rsidRPr="003D7B7F">
        <w:t>.</w:t>
      </w:r>
      <w:r>
        <w:t xml:space="preserve">  </w:t>
      </w:r>
    </w:p>
    <w:p w:rsidRPr="007F4A67" w:rsidR="000C1980" w:rsidP="00494671" w:rsidRDefault="000C1980" w14:paraId="22316DF8" w14:textId="77777777">
      <w:pPr>
        <w:pStyle w:val="Standard"/>
      </w:pPr>
      <w:r>
        <w:rPr>
          <w:b/>
          <w:bCs/>
          <w:i/>
          <w:iCs/>
          <w:u w:val="single"/>
        </w:rPr>
        <w:t xml:space="preserve">Using </w:t>
      </w:r>
      <w:r w:rsidRPr="00F55D7F">
        <w:rPr>
          <w:b/>
          <w:bCs/>
          <w:i/>
          <w:iCs/>
          <w:u w:val="single"/>
        </w:rPr>
        <w:t>CARE Propensity Model</w:t>
      </w:r>
      <w:r>
        <w:rPr>
          <w:b/>
          <w:bCs/>
          <w:i/>
          <w:iCs/>
          <w:u w:val="single"/>
        </w:rPr>
        <w:t>s:</w:t>
      </w:r>
      <w:r w:rsidRPr="003D7B7F">
        <w:t xml:space="preserve"> PG&amp;E </w:t>
      </w:r>
      <w:r>
        <w:t>will use</w:t>
      </w:r>
      <w:r w:rsidRPr="003D7B7F">
        <w:t xml:space="preserve"> its CARE </w:t>
      </w:r>
      <w:r>
        <w:t>p</w:t>
      </w:r>
      <w:r w:rsidRPr="003D7B7F">
        <w:t xml:space="preserve">ropensity </w:t>
      </w:r>
      <w:r>
        <w:t>m</w:t>
      </w:r>
      <w:r w:rsidRPr="003D7B7F">
        <w:t>odel to target eligible, non-enrolled, income-qualified customers.</w:t>
      </w:r>
      <w:r w:rsidRPr="003D7B7F">
        <w:rPr>
          <w:vertAlign w:val="superscript"/>
        </w:rPr>
        <w:footnoteReference w:id="98"/>
      </w:r>
      <w:r w:rsidRPr="003D7B7F">
        <w:t xml:space="preserve"> This method </w:t>
      </w:r>
      <w:r w:rsidRPr="003D7B7F">
        <w:lastRenderedPageBreak/>
        <w:t xml:space="preserve">scores and groups customers into tiers of likely eligibility for CARE, so that PG&amp;E can apply direct marketing campaigns to those segments of customers that are most likely to be eligible and enroll in the program. PG&amp;E proposes to rebuild the </w:t>
      </w:r>
      <w:r>
        <w:t>p</w:t>
      </w:r>
      <w:r w:rsidRPr="003D7B7F">
        <w:t xml:space="preserve">ropensity </w:t>
      </w:r>
      <w:r>
        <w:t>m</w:t>
      </w:r>
      <w:r w:rsidRPr="003D7B7F">
        <w:t xml:space="preserve">odel </w:t>
      </w:r>
      <w:r w:rsidRPr="007F4A67">
        <w:t>every three to four years to avoid data decay and ensure accuracy of the predictive model. An annual data refresh is also incorporated into the yearly administrative budget.</w:t>
      </w:r>
      <w:r w:rsidRPr="007F4A67">
        <w:rPr>
          <w:vertAlign w:val="superscript"/>
        </w:rPr>
        <w:footnoteReference w:id="99"/>
      </w:r>
      <w:r w:rsidRPr="007F4A67">
        <w:t xml:space="preserve">  </w:t>
      </w:r>
    </w:p>
    <w:p w:rsidRPr="00AD3BC7" w:rsidR="000C1980" w:rsidP="00494671" w:rsidRDefault="000C1980" w14:paraId="5D5493A4" w14:textId="5A1D1C5A">
      <w:pPr>
        <w:pStyle w:val="Standard"/>
      </w:pPr>
      <w:r w:rsidRPr="00F55D7F">
        <w:rPr>
          <w:b/>
          <w:bCs/>
          <w:i/>
          <w:iCs/>
          <w:u w:val="single"/>
        </w:rPr>
        <w:t xml:space="preserve">Targeting Low CARE Penetration </w:t>
      </w:r>
      <w:r>
        <w:rPr>
          <w:b/>
          <w:bCs/>
          <w:i/>
          <w:iCs/>
          <w:u w:val="single"/>
        </w:rPr>
        <w:t xml:space="preserve">and High Disconnection </w:t>
      </w:r>
      <w:r w:rsidRPr="00F55D7F">
        <w:rPr>
          <w:b/>
          <w:bCs/>
          <w:i/>
          <w:iCs/>
          <w:u w:val="single"/>
        </w:rPr>
        <w:t>Areas:</w:t>
      </w:r>
      <w:r>
        <w:t xml:space="preserve"> </w:t>
      </w:r>
      <w:r w:rsidRPr="007F4A67">
        <w:t>PG&amp;E proposes a targeted outreach approach reaching low CARE penetration areas as well as high disconnection zip codes.</w:t>
      </w:r>
      <w:r w:rsidRPr="007F4A67">
        <w:rPr>
          <w:vertAlign w:val="superscript"/>
        </w:rPr>
        <w:footnoteReference w:id="100"/>
      </w:r>
      <w:r w:rsidRPr="007F4A67">
        <w:t xml:space="preserve"> In April 2020, PG&amp;E and its external consultant evaluated the results of </w:t>
      </w:r>
      <w:r>
        <w:t>its</w:t>
      </w:r>
      <w:r w:rsidRPr="007F4A67">
        <w:t xml:space="preserve"> 2019 zip-code-targeted campaign test.  This campaign used targeted media to identify </w:t>
      </w:r>
      <w:r>
        <w:t>r</w:t>
      </w:r>
      <w:r w:rsidRPr="007F4A67">
        <w:t xml:space="preserve">ural and </w:t>
      </w:r>
      <w:r>
        <w:t>h</w:t>
      </w:r>
      <w:r w:rsidRPr="007F4A67">
        <w:t xml:space="preserve">igh </w:t>
      </w:r>
      <w:r>
        <w:t>p</w:t>
      </w:r>
      <w:r w:rsidRPr="007F4A67">
        <w:t>overty zip codes to evaluate the potential for new tactics to increase penetration within these hard</w:t>
      </w:r>
      <w:r>
        <w:noBreakHyphen/>
      </w:r>
      <w:r w:rsidRPr="007F4A67">
        <w:t xml:space="preserve">to-reach groups. An evaluation of the 2019 zip-code-campaign test showed an improved enrollment in areas with increased </w:t>
      </w:r>
      <w:r>
        <w:t xml:space="preserve">media </w:t>
      </w:r>
      <w:r w:rsidRPr="007F4A67">
        <w:t xml:space="preserve">placement, approximately twice that of areas without additional targeted marketing.  For </w:t>
      </w:r>
      <w:r>
        <w:t>PYs</w:t>
      </w:r>
      <w:r w:rsidRPr="007F4A67">
        <w:t xml:space="preserve"> 2021-2026, PG&amp;E proposes a similar approach to the 2019 campaign</w:t>
      </w:r>
      <w:r w:rsidRPr="00AD3BC7">
        <w:t xml:space="preserve"> to reach and engage with customers </w:t>
      </w:r>
      <w:r>
        <w:t xml:space="preserve">in </w:t>
      </w:r>
      <w:r w:rsidRPr="00AD3BC7">
        <w:t xml:space="preserve">areas with lower CARE penetration or higher rates of disconnections. PG&amp;E further describes how the audiences in the two groups (lower CARE penetration and higher rates of disconnection) and messages are different, and therefore each campaign should account for customer demographics and communication/language preference. </w:t>
      </w:r>
      <w:r w:rsidR="00815B6D">
        <w:t xml:space="preserve"> </w:t>
      </w:r>
      <w:r w:rsidRPr="00AD3BC7">
        <w:t xml:space="preserve">PG&amp;E plans to take a </w:t>
      </w:r>
      <w:r>
        <w:t>z</w:t>
      </w:r>
      <w:r w:rsidRPr="00AD3BC7">
        <w:t>ip-</w:t>
      </w:r>
      <w:r>
        <w:t>c</w:t>
      </w:r>
      <w:r w:rsidRPr="00AD3BC7">
        <w:t xml:space="preserve">ode-focused targeting approach in both campaigns. </w:t>
      </w:r>
    </w:p>
    <w:p w:rsidRPr="003D7B7F" w:rsidR="000C1980" w:rsidP="00494671" w:rsidRDefault="000C1980" w14:paraId="10B0DE89" w14:textId="29D58755">
      <w:pPr>
        <w:pStyle w:val="Standard"/>
      </w:pPr>
      <w:r w:rsidRPr="00AD3BC7">
        <w:lastRenderedPageBreak/>
        <w:t xml:space="preserve">PG&amp;E </w:t>
      </w:r>
      <w:r>
        <w:t xml:space="preserve">has </w:t>
      </w:r>
      <w:r w:rsidRPr="00AD3BC7">
        <w:t>identifie</w:t>
      </w:r>
      <w:r>
        <w:t>d</w:t>
      </w:r>
      <w:r w:rsidRPr="00AD3BC7">
        <w:t xml:space="preserve"> several counties and zip codes with CARE penetration below 60 percent.</w:t>
      </w:r>
      <w:r w:rsidRPr="00AD3BC7">
        <w:rPr>
          <w:vertAlign w:val="superscript"/>
        </w:rPr>
        <w:footnoteReference w:id="101"/>
      </w:r>
      <w:r w:rsidRPr="00AD3BC7">
        <w:t xml:space="preserve"> </w:t>
      </w:r>
      <w:r w:rsidR="00815B6D">
        <w:t xml:space="preserve"> </w:t>
      </w:r>
      <w:r w:rsidRPr="00AD3BC7">
        <w:t xml:space="preserve">To increase CARE penetration in these zip codes </w:t>
      </w:r>
      <w:r>
        <w:t>in PYs</w:t>
      </w:r>
      <w:r w:rsidRPr="00AD3BC7">
        <w:t xml:space="preserve"> 2021-2026, PG&amp;E proposes targeted strategies including: (1) direct marketing campaigns using direct messaging and e-mail targeting rural customers with </w:t>
      </w:r>
      <w:r>
        <w:t>d</w:t>
      </w:r>
      <w:r w:rsidRPr="00AD3BC7">
        <w:t>ecile scores that indicate likely CARE eligibility</w:t>
      </w:r>
      <w:r w:rsidR="008B1514">
        <w:t>,</w:t>
      </w:r>
      <w:r>
        <w:rPr>
          <w:rStyle w:val="FootnoteReference"/>
        </w:rPr>
        <w:footnoteReference w:id="102"/>
      </w:r>
      <w:r w:rsidRPr="00AD3BC7">
        <w:t xml:space="preserve"> (2) digital media buys with heavier spending in rural zip codes with CARE penetration rates below 60 percent</w:t>
      </w:r>
      <w:r w:rsidR="008B1514">
        <w:t>,</w:t>
      </w:r>
      <w:r w:rsidRPr="00AD3BC7">
        <w:t xml:space="preserve"> (3) digital and broadcast radio campaigns in </w:t>
      </w:r>
      <w:r>
        <w:t>d</w:t>
      </w:r>
      <w:r w:rsidRPr="00AD3BC7">
        <w:t xml:space="preserve">esignated </w:t>
      </w:r>
      <w:r>
        <w:t>m</w:t>
      </w:r>
      <w:r w:rsidRPr="00AD3BC7">
        <w:t xml:space="preserve">arket </w:t>
      </w:r>
      <w:r>
        <w:t>a</w:t>
      </w:r>
      <w:r w:rsidRPr="00AD3BC7">
        <w:t>reas that cover rural </w:t>
      </w:r>
      <w:r>
        <w:t>c</w:t>
      </w:r>
      <w:r w:rsidRPr="00AD3BC7">
        <w:t>ounties with CARE penetration rates below 60</w:t>
      </w:r>
      <w:r>
        <w:t> </w:t>
      </w:r>
      <w:r w:rsidRPr="00AD3BC7">
        <w:t>percent</w:t>
      </w:r>
      <w:r w:rsidR="008B1514">
        <w:t>,</w:t>
      </w:r>
      <w:r w:rsidRPr="00AD3BC7">
        <w:t xml:space="preserve"> and (4) zip-targeted home-delivered outreach </w:t>
      </w:r>
      <w:r w:rsidR="00425B58">
        <w:t>through</w:t>
      </w:r>
      <w:r w:rsidRPr="00AD3BC7">
        <w:t xml:space="preserve"> shared mail inserts.  </w:t>
      </w:r>
    </w:p>
    <w:p w:rsidRPr="003D7B7F" w:rsidR="000C1980" w:rsidP="0023091F" w:rsidRDefault="000C1980" w14:paraId="6C55ED15" w14:textId="77777777">
      <w:pPr>
        <w:pStyle w:val="ALJBodyText"/>
      </w:pPr>
      <w:r>
        <w:rPr>
          <w:b/>
          <w:bCs/>
          <w:i/>
          <w:iCs/>
          <w:u w:val="single"/>
        </w:rPr>
        <w:t>Expanding</w:t>
      </w:r>
      <w:r w:rsidRPr="00F55D7F">
        <w:rPr>
          <w:b/>
          <w:bCs/>
          <w:i/>
          <w:iCs/>
          <w:u w:val="single"/>
        </w:rPr>
        <w:t xml:space="preserve"> </w:t>
      </w:r>
      <w:r w:rsidRPr="00737C0B">
        <w:rPr>
          <w:b/>
          <w:bCs/>
          <w:i/>
          <w:iCs/>
          <w:u w:val="single"/>
        </w:rPr>
        <w:t>Outrea</w:t>
      </w:r>
      <w:r>
        <w:rPr>
          <w:b/>
          <w:bCs/>
          <w:i/>
          <w:iCs/>
          <w:u w:val="single"/>
        </w:rPr>
        <w:t>ch Partnerships</w:t>
      </w:r>
      <w:r w:rsidRPr="00F55D7F">
        <w:rPr>
          <w:b/>
          <w:bCs/>
          <w:i/>
          <w:iCs/>
          <w:u w:val="single"/>
        </w:rPr>
        <w:t>:</w:t>
      </w:r>
      <w:r>
        <w:t xml:space="preserve"> </w:t>
      </w:r>
      <w:r w:rsidRPr="003D7B7F">
        <w:t xml:space="preserve">PG&amp;E proposes to expand the current Community Outreach Contractors program which is aimed at increasing the number of new and successful productive partnerships targeting disadvantaged and hard-to-reach populations. </w:t>
      </w:r>
      <w:r>
        <w:t xml:space="preserve"> </w:t>
      </w:r>
      <w:r w:rsidRPr="003D7B7F">
        <w:t xml:space="preserve">Through this program, PG&amp;E will seek out </w:t>
      </w:r>
      <w:r>
        <w:t>CBOs</w:t>
      </w:r>
      <w:r w:rsidRPr="003D7B7F">
        <w:t xml:space="preserve"> to deliver culturally and linguistically specific outreach, and to expand </w:t>
      </w:r>
      <w:r>
        <w:t>CBO</w:t>
      </w:r>
      <w:r w:rsidRPr="003D7B7F">
        <w:t xml:space="preserve"> education across the service territory with high eligible numbers not yet enrolled.  Specifically, PG&amp;E proposes a holistic approach to promote and educate customers in limited income and vulnerable populations about the various income qualified programs and rate options that are available.</w:t>
      </w:r>
      <w:r w:rsidRPr="003D7B7F">
        <w:rPr>
          <w:vertAlign w:val="superscript"/>
        </w:rPr>
        <w:footnoteReference w:id="103"/>
      </w:r>
      <w:r w:rsidRPr="003D7B7F">
        <w:t xml:space="preserve"> </w:t>
      </w:r>
      <w:r>
        <w:t xml:space="preserve"> </w:t>
      </w:r>
      <w:r w:rsidRPr="003D7B7F">
        <w:t xml:space="preserve">In this approach, traditional marketing tactics will be complemented with one on one </w:t>
      </w:r>
      <w:r w:rsidRPr="003D7B7F">
        <w:lastRenderedPageBreak/>
        <w:t xml:space="preserve">direct interactions with rural customers facilitated by </w:t>
      </w:r>
      <w:r>
        <w:t>CBO</w:t>
      </w:r>
      <w:r w:rsidRPr="003D7B7F">
        <w:t>, door to door campaigns, health outreach workers, outreach through churches, faith-based groups, and other emerging opportunities.</w:t>
      </w:r>
      <w:r w:rsidRPr="003D7B7F">
        <w:rPr>
          <w:vertAlign w:val="superscript"/>
        </w:rPr>
        <w:footnoteReference w:id="104"/>
      </w:r>
      <w:r w:rsidRPr="003D7B7F">
        <w:t xml:space="preserve"> </w:t>
      </w:r>
      <w:r>
        <w:t xml:space="preserve"> </w:t>
      </w:r>
      <w:r w:rsidRPr="003D7B7F">
        <w:t xml:space="preserve">Targeted underserved communities include populations with language barriers and residents in rural areas.  </w:t>
      </w:r>
    </w:p>
    <w:p w:rsidRPr="003D7B7F" w:rsidR="000C1980" w:rsidP="0023091F" w:rsidRDefault="000C1980" w14:paraId="37752B20" w14:textId="77777777">
      <w:pPr>
        <w:pStyle w:val="ALJBodyText"/>
      </w:pPr>
      <w:r w:rsidRPr="003D7B7F">
        <w:t xml:space="preserve">PG&amp;E will also leverage the results from the past </w:t>
      </w:r>
      <w:r>
        <w:t>CBO</w:t>
      </w:r>
      <w:r w:rsidRPr="003D7B7F">
        <w:t xml:space="preserve"> Pay for Performance pilot to develop strategies to convert unenrolled eligible customers. The earlier pilot had high reach, but a low number of new enrollments. </w:t>
      </w:r>
      <w:r>
        <w:t xml:space="preserve"> </w:t>
      </w:r>
      <w:r w:rsidRPr="003D7B7F">
        <w:t xml:space="preserve">The </w:t>
      </w:r>
      <w:r>
        <w:t>g</w:t>
      </w:r>
      <w:r w:rsidRPr="003D7B7F">
        <w:t>rassroots approach utilized in the Pay for Performance pilot was successful in helping connect with new customers, but at a very high cost due to reaching many already enrolled customers to find the few who are not.</w:t>
      </w:r>
      <w:r w:rsidRPr="003D7B7F">
        <w:rPr>
          <w:vertAlign w:val="superscript"/>
        </w:rPr>
        <w:footnoteReference w:id="105"/>
      </w:r>
      <w:r w:rsidRPr="003D7B7F">
        <w:t xml:space="preserve"> </w:t>
      </w:r>
      <w:r>
        <w:t xml:space="preserve"> </w:t>
      </w:r>
      <w:r w:rsidRPr="003D7B7F">
        <w:t xml:space="preserve">PG&amp;E proposes to continue testing different grassroots approaches to convert unenrolled eligible customers more effectively.  </w:t>
      </w:r>
    </w:p>
    <w:p w:rsidR="000C1980" w:rsidP="0023091F" w:rsidRDefault="000C1980" w14:paraId="25044511" w14:textId="77777777">
      <w:pPr>
        <w:pStyle w:val="ALJBodyText"/>
      </w:pPr>
      <w:r w:rsidRPr="002053DF">
        <w:rPr>
          <w:b/>
          <w:bCs/>
          <w:i/>
          <w:iCs/>
          <w:u w:val="single"/>
        </w:rPr>
        <w:t xml:space="preserve">Continuing </w:t>
      </w:r>
      <w:r>
        <w:rPr>
          <w:b/>
          <w:bCs/>
          <w:i/>
          <w:iCs/>
          <w:u w:val="single"/>
        </w:rPr>
        <w:t>Traditional Direct</w:t>
      </w:r>
      <w:r w:rsidRPr="002053DF">
        <w:rPr>
          <w:b/>
          <w:bCs/>
          <w:i/>
          <w:iCs/>
          <w:u w:val="single"/>
        </w:rPr>
        <w:t xml:space="preserve"> Marketing:</w:t>
      </w:r>
      <w:r>
        <w:t xml:space="preserve"> </w:t>
      </w:r>
      <w:r w:rsidRPr="003D7B7F">
        <w:t>PG&amp;E will maintain the use of multi-channel direct marketing, paid digital and radio media, outreach</w:t>
      </w:r>
      <w:r>
        <w:t xml:space="preserve"> to n</w:t>
      </w:r>
      <w:r w:rsidRPr="003D7B7F">
        <w:t xml:space="preserve">ew </w:t>
      </w:r>
      <w:r>
        <w:t>m</w:t>
      </w:r>
      <w:r w:rsidRPr="003D7B7F">
        <w:t>over</w:t>
      </w:r>
      <w:r>
        <w:t>s</w:t>
      </w:r>
      <w:r w:rsidRPr="003D7B7F">
        <w:t>, automated recertification emails and Welcome Kit campaigns from the previous cycle to maintain CARE penetration rates.</w:t>
      </w:r>
      <w:r w:rsidRPr="003D7B7F">
        <w:rPr>
          <w:vertAlign w:val="superscript"/>
        </w:rPr>
        <w:footnoteReference w:id="106"/>
      </w:r>
      <w:r w:rsidRPr="003D7B7F">
        <w:t xml:space="preserve">  PG&amp;E argues that repetition of messages is critical to engage customers and incite them to take action, taking up</w:t>
      </w:r>
      <w:r w:rsidRPr="00C42759">
        <w:t xml:space="preserve"> to </w:t>
      </w:r>
      <w:r>
        <w:t xml:space="preserve">three </w:t>
      </w:r>
      <w:r w:rsidRPr="00C42759">
        <w:t xml:space="preserve">to </w:t>
      </w:r>
      <w:r>
        <w:t xml:space="preserve">five </w:t>
      </w:r>
      <w:r w:rsidRPr="00C42759">
        <w:t>messages before an enrollment action occurs.</w:t>
      </w:r>
      <w:r w:rsidRPr="00C42759">
        <w:rPr>
          <w:vertAlign w:val="superscript"/>
        </w:rPr>
        <w:footnoteReference w:id="107"/>
      </w:r>
      <w:r w:rsidRPr="00C42759">
        <w:t xml:space="preserve"> </w:t>
      </w:r>
      <w:r>
        <w:t xml:space="preserve"> </w:t>
      </w:r>
      <w:r w:rsidRPr="00A21633">
        <w:t xml:space="preserve">PG&amp;E </w:t>
      </w:r>
      <w:r>
        <w:t xml:space="preserve">also </w:t>
      </w:r>
      <w:r w:rsidRPr="00A21633">
        <w:t xml:space="preserve">proposes to continue supporting community events hosted by </w:t>
      </w:r>
      <w:r>
        <w:t>CBOs</w:t>
      </w:r>
      <w:r w:rsidRPr="00A21633">
        <w:t xml:space="preserve"> </w:t>
      </w:r>
      <w:r>
        <w:t xml:space="preserve">and continue to </w:t>
      </w:r>
      <w:r w:rsidRPr="00A21633">
        <w:t xml:space="preserve">offer a promotion toolkit to </w:t>
      </w:r>
      <w:r>
        <w:t>CBOs</w:t>
      </w:r>
      <w:r w:rsidRPr="00A21633">
        <w:t xml:space="preserve"> and support event promotion. </w:t>
      </w:r>
      <w:r w:rsidRPr="006015E5">
        <w:t xml:space="preserve">PG&amp;E will use the results from its 2019-2020 marketing tests to inform strategies, </w:t>
      </w:r>
      <w:r w:rsidRPr="006015E5">
        <w:lastRenderedPageBreak/>
        <w:t>and to continue to generate new enrollments to replace customers lost to attrition.</w:t>
      </w:r>
      <w:r w:rsidRPr="006015E5">
        <w:rPr>
          <w:vertAlign w:val="superscript"/>
        </w:rPr>
        <w:footnoteReference w:id="108"/>
      </w:r>
      <w:r w:rsidRPr="006015E5">
        <w:t xml:space="preserve">  </w:t>
      </w:r>
      <w:r>
        <w:t xml:space="preserve">Outreach </w:t>
      </w:r>
      <w:r w:rsidRPr="00207DCB">
        <w:t xml:space="preserve">materials </w:t>
      </w:r>
      <w:r>
        <w:t xml:space="preserve">will continue to be provided </w:t>
      </w:r>
      <w:r w:rsidRPr="00207DCB">
        <w:t>in multiple languages and to serve those customers with</w:t>
      </w:r>
      <w:r>
        <w:t xml:space="preserve"> </w:t>
      </w:r>
      <w:r w:rsidRPr="00207DCB">
        <w:t>accessibility needs</w:t>
      </w:r>
      <w:r>
        <w:t xml:space="preserve"> (large print, braille)</w:t>
      </w:r>
      <w:r w:rsidRPr="00207DCB">
        <w:t>.</w:t>
      </w:r>
      <w:r>
        <w:rPr>
          <w:rStyle w:val="FootnoteReference"/>
        </w:rPr>
        <w:footnoteReference w:id="109"/>
      </w:r>
      <w:r w:rsidRPr="00207DCB">
        <w:t xml:space="preserve"> </w:t>
      </w:r>
    </w:p>
    <w:p w:rsidR="000C1980" w:rsidP="0023091F" w:rsidRDefault="000C1980" w14:paraId="2FDA59DE" w14:textId="28207E4D">
      <w:pPr>
        <w:pStyle w:val="ALJBodyText"/>
      </w:pPr>
      <w:r w:rsidRPr="00CA716A">
        <w:rPr>
          <w:b/>
          <w:bCs/>
          <w:i/>
          <w:iCs/>
          <w:u w:val="single"/>
        </w:rPr>
        <w:t>Leveraging with CSD:</w:t>
      </w:r>
      <w:r>
        <w:t xml:space="preserve"> </w:t>
      </w:r>
      <w:r w:rsidRPr="0021627D">
        <w:t xml:space="preserve">PG&amp;E </w:t>
      </w:r>
      <w:r>
        <w:t xml:space="preserve">will continue to </w:t>
      </w:r>
      <w:r w:rsidRPr="0021627D">
        <w:t>leverag</w:t>
      </w:r>
      <w:r>
        <w:t>e with the</w:t>
      </w:r>
      <w:r w:rsidRPr="0021627D">
        <w:t xml:space="preserve"> Cal</w:t>
      </w:r>
      <w:r>
        <w:t>ifornia</w:t>
      </w:r>
      <w:r w:rsidRPr="0021627D">
        <w:t xml:space="preserve"> Department of Community Services and Development </w:t>
      </w:r>
      <w:r>
        <w:t xml:space="preserve">(CSD) </w:t>
      </w:r>
      <w:r w:rsidRPr="0021627D">
        <w:t>to improve enrollment efforts</w:t>
      </w:r>
      <w:r>
        <w:t xml:space="preserve"> and </w:t>
      </w:r>
      <w:r w:rsidRPr="0021627D">
        <w:t xml:space="preserve">streamline the </w:t>
      </w:r>
      <w:r w:rsidRPr="0049363F">
        <w:t xml:space="preserve">Low Income Home Energy Assistance Program </w:t>
      </w:r>
      <w:r>
        <w:t>(</w:t>
      </w:r>
      <w:r w:rsidRPr="0021627D">
        <w:t>LIHEAP</w:t>
      </w:r>
      <w:r>
        <w:t>)</w:t>
      </w:r>
      <w:r w:rsidRPr="0021627D">
        <w:t xml:space="preserve"> crisis grants for those at risk of disconnection in the following ways: </w:t>
      </w:r>
      <w:r>
        <w:t xml:space="preserve"> </w:t>
      </w:r>
      <w:r w:rsidRPr="0021627D">
        <w:t>quarterly meetings to address and streamline the pledging process; exploring avenues to increase communication with LIHEAP service providers; revising internal systems; increasing the payment window from sixty to ninety days; training; and greater exchange of information.</w:t>
      </w:r>
      <w:r w:rsidRPr="0021627D">
        <w:rPr>
          <w:vertAlign w:val="superscript"/>
        </w:rPr>
        <w:footnoteReference w:id="110"/>
      </w:r>
      <w:r w:rsidRPr="00F00295">
        <w:t xml:space="preserve"> </w:t>
      </w:r>
      <w:r>
        <w:t xml:space="preserve"> </w:t>
      </w:r>
      <w:r w:rsidRPr="00BF35F5">
        <w:t xml:space="preserve">PG&amp;E </w:t>
      </w:r>
      <w:r>
        <w:t>will also continue to</w:t>
      </w:r>
      <w:r w:rsidRPr="00BF35F5">
        <w:t xml:space="preserve"> share data with </w:t>
      </w:r>
      <w:r>
        <w:t>the Commission’s</w:t>
      </w:r>
      <w:r w:rsidRPr="00BF35F5">
        <w:t xml:space="preserve"> Communications Division twice a year to generate leads for enrollment between </w:t>
      </w:r>
      <w:proofErr w:type="spellStart"/>
      <w:r>
        <w:t>Li</w:t>
      </w:r>
      <w:r w:rsidRPr="00BF35F5">
        <w:t>fe</w:t>
      </w:r>
      <w:r w:rsidR="00B873AF">
        <w:t>L</w:t>
      </w:r>
      <w:r w:rsidRPr="00BF35F5">
        <w:t>ine</w:t>
      </w:r>
      <w:proofErr w:type="spellEnd"/>
      <w:r w:rsidRPr="00BF35F5">
        <w:t xml:space="preserve"> and CARE.</w:t>
      </w:r>
      <w:r w:rsidRPr="00BF35F5">
        <w:rPr>
          <w:vertAlign w:val="superscript"/>
        </w:rPr>
        <w:footnoteReference w:id="111"/>
      </w:r>
      <w:r w:rsidRPr="00BF35F5">
        <w:t xml:space="preserve">  </w:t>
      </w:r>
    </w:p>
    <w:p w:rsidRPr="00D7593D" w:rsidR="000C1980" w:rsidP="001968DC" w:rsidRDefault="000C1980" w14:paraId="66B6786E" w14:textId="32D007A6">
      <w:pPr>
        <w:pStyle w:val="Heading3"/>
        <w:tabs>
          <w:tab w:val="clear" w:pos="1440"/>
          <w:tab w:val="num" w:pos="1800"/>
        </w:tabs>
        <w:ind w:left="2664"/>
      </w:pPr>
      <w:bookmarkStart w:name="_Toc69947785" w:id="92"/>
      <w:r w:rsidRPr="00D7593D">
        <w:t>SCE Proposal</w:t>
      </w:r>
      <w:bookmarkEnd w:id="92"/>
      <w:r w:rsidRPr="00D7593D">
        <w:t xml:space="preserve"> </w:t>
      </w:r>
    </w:p>
    <w:p w:rsidR="000C1980" w:rsidP="0023091F" w:rsidRDefault="000C1980" w14:paraId="01370B8D" w14:textId="77777777">
      <w:pPr>
        <w:pStyle w:val="ALJBodyText"/>
      </w:pPr>
      <w:r w:rsidRPr="00D324DB">
        <w:t>SCE proposes several marketing and outreach improvements intended to drive customer engagement and program goal attainment.</w:t>
      </w:r>
      <w:r w:rsidRPr="00D324DB">
        <w:rPr>
          <w:vertAlign w:val="superscript"/>
        </w:rPr>
        <w:footnoteReference w:id="112"/>
      </w:r>
      <w:r w:rsidRPr="00D324DB">
        <w:t xml:space="preserve"> </w:t>
      </w:r>
    </w:p>
    <w:p w:rsidR="000C1980" w:rsidP="0023091F" w:rsidRDefault="000C1980" w14:paraId="37C2CFCE" w14:textId="77777777">
      <w:pPr>
        <w:pStyle w:val="ALJBodyText"/>
      </w:pPr>
      <w:r>
        <w:rPr>
          <w:b/>
          <w:bCs/>
          <w:i/>
          <w:iCs/>
          <w:u w:val="single"/>
        </w:rPr>
        <w:t xml:space="preserve">Utilizing </w:t>
      </w:r>
      <w:r w:rsidRPr="0042410C">
        <w:rPr>
          <w:b/>
          <w:bCs/>
          <w:i/>
          <w:iCs/>
          <w:u w:val="single"/>
        </w:rPr>
        <w:t>Marketing Automation:</w:t>
      </w:r>
      <w:r>
        <w:t xml:space="preserve"> SCE proposes t</w:t>
      </w:r>
      <w:r w:rsidRPr="00D324DB">
        <w:t>o continue marketing automation to drive engagement and goal attainment.</w:t>
      </w:r>
      <w:r w:rsidRPr="00D324DB">
        <w:rPr>
          <w:vertAlign w:val="superscript"/>
        </w:rPr>
        <w:footnoteReference w:id="113"/>
      </w:r>
      <w:r w:rsidRPr="00D324DB">
        <w:t xml:space="preserve"> </w:t>
      </w:r>
      <w:r>
        <w:t xml:space="preserve"> </w:t>
      </w:r>
      <w:r w:rsidRPr="00D324DB">
        <w:t xml:space="preserve">SCE proposes the use of data analytics and technology to develop personalized, sequential messaging </w:t>
      </w:r>
      <w:r w:rsidRPr="00D324DB">
        <w:lastRenderedPageBreak/>
        <w:t>that will help to guide customers to CARE enrollment with messages that resonate with their unique situation</w:t>
      </w:r>
      <w:r>
        <w:t xml:space="preserve"> (based on customer</w:t>
      </w:r>
      <w:r w:rsidRPr="00D324DB">
        <w:t xml:space="preserve"> classifications, including low</w:t>
      </w:r>
      <w:r>
        <w:t xml:space="preserve"> </w:t>
      </w:r>
      <w:r w:rsidRPr="00D324DB">
        <w:t xml:space="preserve">income, hard-to-reach, </w:t>
      </w:r>
      <w:r>
        <w:t>DACs</w:t>
      </w:r>
      <w:r w:rsidRPr="00D324DB">
        <w:t>, single family renters, and hot climate zone customers</w:t>
      </w:r>
      <w:r>
        <w:t>)</w:t>
      </w:r>
      <w:r w:rsidRPr="00D324DB">
        <w:t xml:space="preserve">. </w:t>
      </w:r>
      <w:r>
        <w:t xml:space="preserve"> </w:t>
      </w:r>
      <w:r w:rsidRPr="00D324DB">
        <w:t xml:space="preserve">The utility will use these segmentation schemes to develop customized, relevant, and actionable marketing communications. </w:t>
      </w:r>
      <w:r>
        <w:t xml:space="preserve"> </w:t>
      </w:r>
      <w:r w:rsidRPr="00D324DB">
        <w:t>The hope is that these actions will eliminate the negative association that some customers have with enrolling in income-qualified programs by reframing with positive associations of CARE as “smart money management</w:t>
      </w:r>
      <w:r>
        <w:t>.</w:t>
      </w:r>
      <w:r w:rsidRPr="00D324DB">
        <w:t>”</w:t>
      </w:r>
      <w:r w:rsidRPr="00D324DB">
        <w:rPr>
          <w:vertAlign w:val="superscript"/>
        </w:rPr>
        <w:footnoteReference w:id="114"/>
      </w:r>
      <w:r w:rsidRPr="00D324DB">
        <w:t xml:space="preserve"> </w:t>
      </w:r>
      <w:r>
        <w:t xml:space="preserve"> </w:t>
      </w:r>
      <w:r w:rsidRPr="00D324DB">
        <w:t>SCE will also consider whether certain customer demographics or areas within its service territory exhibit lower enrollment rates than the general population and refine its segmentation approach to be more precise and effective in reaching specific customer segments.</w:t>
      </w:r>
      <w:r w:rsidRPr="00D324DB">
        <w:rPr>
          <w:vertAlign w:val="superscript"/>
        </w:rPr>
        <w:footnoteReference w:id="115"/>
      </w:r>
      <w:r>
        <w:t xml:space="preserve">  </w:t>
      </w:r>
    </w:p>
    <w:p w:rsidRPr="004F74FB" w:rsidR="000C1980" w:rsidP="0023091F" w:rsidRDefault="000C1980" w14:paraId="47AAD26D" w14:textId="77777777">
      <w:pPr>
        <w:pStyle w:val="ALJBodyText"/>
        <w:rPr>
          <w:b/>
          <w:bCs/>
          <w:i/>
          <w:iCs/>
          <w:u w:val="single"/>
        </w:rPr>
      </w:pPr>
      <w:r>
        <w:t>S</w:t>
      </w:r>
      <w:r w:rsidRPr="00D324DB">
        <w:t xml:space="preserve">CE will employ multi-touch vertical marketing communications to deliver customized, sequential messages that speak to the unique concerns of each prioritized customer segment. </w:t>
      </w:r>
      <w:r>
        <w:t xml:space="preserve"> </w:t>
      </w:r>
      <w:r w:rsidRPr="00D324DB">
        <w:t xml:space="preserve">These efforts will include more precise targeting of mass media and social media efforts and selective targeting of ads to specific customer segments. </w:t>
      </w:r>
      <w:r>
        <w:t xml:space="preserve"> </w:t>
      </w:r>
      <w:r w:rsidRPr="00D324DB">
        <w:t xml:space="preserve">SCE will implement no-cost tactics such as on-bill messaging to promote CARE as well, which can reach customers in rural areas where penetration rates are low, as well as in high poverty communities. </w:t>
      </w:r>
      <w:r>
        <w:t xml:space="preserve"> </w:t>
      </w:r>
      <w:r w:rsidRPr="00D324DB">
        <w:t>CBO outreach will follow up on this engagement attempt in rural areas.</w:t>
      </w:r>
      <w:r w:rsidRPr="00D324DB">
        <w:rPr>
          <w:vertAlign w:val="superscript"/>
        </w:rPr>
        <w:footnoteReference w:id="116"/>
      </w:r>
    </w:p>
    <w:p w:rsidRPr="00A1112B" w:rsidR="000C1980" w:rsidP="0023091F" w:rsidRDefault="000C1980" w14:paraId="7F577490" w14:textId="77777777">
      <w:pPr>
        <w:pStyle w:val="ALJBodyText"/>
      </w:pPr>
      <w:r>
        <w:t xml:space="preserve">SCE </w:t>
      </w:r>
      <w:r w:rsidRPr="00D324DB">
        <w:t xml:space="preserve">will also use external agency resources to develop and implement personalized messaging and customer engagement strategies for its 2021-2026 CARE email marketing campaigns. </w:t>
      </w:r>
      <w:r>
        <w:t xml:space="preserve"> </w:t>
      </w:r>
      <w:r w:rsidRPr="00D324DB">
        <w:t xml:space="preserve">This will involve creating a framework that </w:t>
      </w:r>
      <w:r w:rsidRPr="00D324DB">
        <w:lastRenderedPageBreak/>
        <w:t>establishes distinct performance metrics, key performance indicators and other measures of success for all CARE marketing automation campaigns that are implemented.</w:t>
      </w:r>
      <w:r w:rsidRPr="00D324DB">
        <w:rPr>
          <w:vertAlign w:val="superscript"/>
        </w:rPr>
        <w:footnoteReference w:id="117"/>
      </w:r>
      <w:r>
        <w:t xml:space="preserve">  </w:t>
      </w:r>
      <w:r w:rsidRPr="00D324DB">
        <w:t xml:space="preserve">SCE has prioritized some customer classifications, including hard-to-reach, </w:t>
      </w:r>
      <w:r>
        <w:t>DACs</w:t>
      </w:r>
      <w:r w:rsidRPr="00D324DB">
        <w:t>, single family renters, hot climate zone customers</w:t>
      </w:r>
      <w:r>
        <w:t xml:space="preserve">, areas with low CARE </w:t>
      </w:r>
      <w:r w:rsidRPr="00D324DB">
        <w:t xml:space="preserve">penetration rates, as well as in high poverty communities. </w:t>
      </w:r>
    </w:p>
    <w:p w:rsidRPr="00C0358F" w:rsidR="000C1980" w:rsidP="0023091F" w:rsidRDefault="000C1980" w14:paraId="591FB7C4" w14:textId="5B85D6D3">
      <w:pPr>
        <w:pStyle w:val="ALJBodyText"/>
        <w:rPr>
          <w:b/>
          <w:bCs/>
          <w:i/>
          <w:iCs/>
          <w:u w:val="single"/>
        </w:rPr>
      </w:pPr>
      <w:r>
        <w:rPr>
          <w:b/>
          <w:bCs/>
          <w:i/>
          <w:iCs/>
          <w:u w:val="single"/>
        </w:rPr>
        <w:t xml:space="preserve">Updating the </w:t>
      </w:r>
      <w:r w:rsidRPr="00B64AF5">
        <w:rPr>
          <w:b/>
          <w:bCs/>
          <w:i/>
          <w:iCs/>
          <w:u w:val="single"/>
        </w:rPr>
        <w:t>Website:</w:t>
      </w:r>
      <w:r>
        <w:t xml:space="preserve"> </w:t>
      </w:r>
      <w:r w:rsidRPr="00D324DB">
        <w:t>SCE proposes a complete redesign and update of CARE program content on its website, with a focus on providing specific, easy</w:t>
      </w:r>
      <w:r>
        <w:noBreakHyphen/>
      </w:r>
      <w:r w:rsidRPr="00D324DB">
        <w:t>to-understand information on the value of the program, its enrollment capability, income guidelines, and links to SCE and eternal programs and resources.</w:t>
      </w:r>
      <w:r w:rsidRPr="00D324DB">
        <w:rPr>
          <w:vertAlign w:val="superscript"/>
        </w:rPr>
        <w:footnoteReference w:id="118"/>
      </w:r>
      <w:r w:rsidRPr="00D324DB">
        <w:t xml:space="preserve"> </w:t>
      </w:r>
      <w:r>
        <w:t xml:space="preserve"> </w:t>
      </w:r>
      <w:r w:rsidRPr="00D324DB">
        <w:t>SCE will also creat</w:t>
      </w:r>
      <w:r w:rsidR="00537207">
        <w:t>e</w:t>
      </w:r>
      <w:r w:rsidRPr="00D324DB">
        <w:t xml:space="preserve"> “edutainment” style videos developed by an external marketing agency to provide an overview of the program, and customer testimonials to promote the program. </w:t>
      </w:r>
      <w:r>
        <w:t xml:space="preserve"> </w:t>
      </w:r>
      <w:r w:rsidRPr="00D324DB">
        <w:t>SCE believes that these testimonials will positively impact short and long-term goal attainment.</w:t>
      </w:r>
      <w:r w:rsidRPr="00D324DB">
        <w:rPr>
          <w:vertAlign w:val="superscript"/>
        </w:rPr>
        <w:footnoteReference w:id="119"/>
      </w:r>
      <w:r w:rsidRPr="00033725">
        <w:t xml:space="preserve"> </w:t>
      </w:r>
      <w:r w:rsidR="00537207">
        <w:t>They also propose</w:t>
      </w:r>
      <w:r w:rsidRPr="001E0EBB">
        <w:t xml:space="preserve"> explor</w:t>
      </w:r>
      <w:r w:rsidR="00537207">
        <w:t>ing</w:t>
      </w:r>
      <w:r w:rsidRPr="001E0EBB">
        <w:t xml:space="preserve"> the feasibility of Facebook or Skype workshops, and directing customers more often to the CARE page on the SCE website to access program information.</w:t>
      </w:r>
    </w:p>
    <w:p w:rsidR="000C1980" w:rsidP="0023091F" w:rsidRDefault="000C1980" w14:paraId="30D9B2FF" w14:textId="77777777">
      <w:pPr>
        <w:pStyle w:val="ALJBodyText"/>
      </w:pPr>
      <w:r>
        <w:rPr>
          <w:b/>
          <w:bCs/>
          <w:i/>
          <w:iCs/>
          <w:u w:val="single"/>
        </w:rPr>
        <w:t>Expanding</w:t>
      </w:r>
      <w:r w:rsidRPr="00F55D7F">
        <w:rPr>
          <w:b/>
          <w:bCs/>
          <w:i/>
          <w:iCs/>
          <w:u w:val="single"/>
        </w:rPr>
        <w:t xml:space="preserve"> </w:t>
      </w:r>
      <w:r w:rsidRPr="00737C0B">
        <w:rPr>
          <w:b/>
          <w:bCs/>
          <w:i/>
          <w:iCs/>
          <w:u w:val="single"/>
        </w:rPr>
        <w:t xml:space="preserve">Outreach </w:t>
      </w:r>
      <w:r>
        <w:rPr>
          <w:b/>
          <w:bCs/>
          <w:i/>
          <w:iCs/>
          <w:u w:val="single"/>
        </w:rPr>
        <w:t>Partnerships</w:t>
      </w:r>
      <w:r w:rsidRPr="00F55D7F">
        <w:rPr>
          <w:b/>
          <w:bCs/>
          <w:i/>
          <w:iCs/>
          <w:u w:val="single"/>
        </w:rPr>
        <w:t>:</w:t>
      </w:r>
      <w:r w:rsidRPr="00D324DB">
        <w:t xml:space="preserve"> SCE proposes strengthening partnerships with a variety of external organizations to facilitate deeper penetration in targeted communities. </w:t>
      </w:r>
      <w:r>
        <w:t xml:space="preserve"> </w:t>
      </w:r>
      <w:r w:rsidRPr="00D324DB">
        <w:t xml:space="preserve">Relationships with state assistance programs such as WIC, SNAP, and Medi-Cal, will be engaged as front-line partners to provide income qualified program information to customers who are also SCE customers. </w:t>
      </w:r>
      <w:r>
        <w:t xml:space="preserve"> </w:t>
      </w:r>
      <w:r w:rsidRPr="00D324DB">
        <w:t xml:space="preserve">The goal of this partnership would be to reduce the reluctance of certain customers to participate in these types of government </w:t>
      </w:r>
      <w:r w:rsidRPr="00D324DB">
        <w:lastRenderedPageBreak/>
        <w:t xml:space="preserve">assistance programs. </w:t>
      </w:r>
      <w:r>
        <w:t xml:space="preserve"> </w:t>
      </w:r>
      <w:r w:rsidRPr="00D324DB">
        <w:t>SCE also argues that this approach promotes a more holistic view of shared customers’ needs by referring them to SCE programs and service</w:t>
      </w:r>
      <w:r>
        <w:t>s</w:t>
      </w:r>
      <w:r w:rsidRPr="00D324DB">
        <w:t xml:space="preserve"> that can help with economic hardship.</w:t>
      </w:r>
      <w:r w:rsidRPr="00D324DB">
        <w:rPr>
          <w:vertAlign w:val="superscript"/>
        </w:rPr>
        <w:footnoteReference w:id="120"/>
      </w:r>
      <w:r w:rsidRPr="00D324DB">
        <w:t xml:space="preserve"> </w:t>
      </w:r>
    </w:p>
    <w:p w:rsidR="000C1980" w:rsidP="0023091F" w:rsidRDefault="000C1980" w14:paraId="2AB49D7B" w14:textId="77777777">
      <w:pPr>
        <w:pStyle w:val="ALJBodyText"/>
      </w:pPr>
      <w:r w:rsidRPr="00D324DB">
        <w:t xml:space="preserve">SCE plans to explore opportunities to establish affinity partnerships with entities such as AARP, AAA, CVS, Walgreens, and other entities that have existing relationships with CARE eligible customers. </w:t>
      </w:r>
      <w:r>
        <w:t xml:space="preserve"> </w:t>
      </w:r>
      <w:r w:rsidRPr="00D324DB">
        <w:t>SCE will provide these partners with easy-to-implement CARE messaging to include in regionalized communications that brands may already be sending to their existing customer base, and request that links to the CARE program landing page be included on company websites.</w:t>
      </w:r>
      <w:r w:rsidRPr="00D324DB">
        <w:rPr>
          <w:vertAlign w:val="superscript"/>
        </w:rPr>
        <w:footnoteReference w:id="121"/>
      </w:r>
      <w:r w:rsidRPr="00D324DB">
        <w:t xml:space="preserve"> </w:t>
      </w:r>
    </w:p>
    <w:p w:rsidR="000C1980" w:rsidP="0023091F" w:rsidRDefault="000C1980" w14:paraId="6E0A3E0A" w14:textId="019A0912">
      <w:pPr>
        <w:pStyle w:val="ALJBodyText"/>
      </w:pPr>
      <w:r w:rsidRPr="00650215">
        <w:t xml:space="preserve">SCE will </w:t>
      </w:r>
      <w:r>
        <w:t>continue working with CBOs</w:t>
      </w:r>
      <w:r w:rsidRPr="00650215">
        <w:t xml:space="preserve"> to assist with community events in hard-to-reach communities</w:t>
      </w:r>
      <w:r>
        <w:t>,</w:t>
      </w:r>
      <w:r w:rsidRPr="00650215">
        <w:rPr>
          <w:vertAlign w:val="superscript"/>
        </w:rPr>
        <w:footnoteReference w:id="122"/>
      </w:r>
      <w:r w:rsidRPr="00650215">
        <w:t xml:space="preserve">  </w:t>
      </w:r>
      <w:r>
        <w:t>and</w:t>
      </w:r>
      <w:r w:rsidRPr="00650215">
        <w:t xml:space="preserve"> will recruit </w:t>
      </w:r>
      <w:r>
        <w:t>c</w:t>
      </w:r>
      <w:r w:rsidRPr="00650215">
        <w:t xml:space="preserve">apitation agencies in areas with </w:t>
      </w:r>
      <w:r w:rsidR="000D5756">
        <w:t xml:space="preserve">low </w:t>
      </w:r>
      <w:r w:rsidRPr="00650215">
        <w:t>CARE participation by presenting at town hall meetings or community and faith-based events for organizations with established relationships (</w:t>
      </w:r>
      <w:r w:rsidRPr="001A4C9C">
        <w:rPr>
          <w:i/>
          <w:iCs/>
        </w:rPr>
        <w:t>e.g.</w:t>
      </w:r>
      <w:r w:rsidRPr="00650215">
        <w:t>, Hispanic communities, veteran’s groups, LGBTQ communities, immigrant and consumer advocacy groups or environmental groups).</w:t>
      </w:r>
      <w:r w:rsidRPr="00650215">
        <w:rPr>
          <w:vertAlign w:val="superscript"/>
        </w:rPr>
        <w:footnoteReference w:id="123"/>
      </w:r>
      <w:r>
        <w:t xml:space="preserve">  </w:t>
      </w:r>
    </w:p>
    <w:p w:rsidR="000C1980" w:rsidP="0023091F" w:rsidRDefault="000C1980" w14:paraId="19FAF4FB" w14:textId="77777777">
      <w:pPr>
        <w:pStyle w:val="ALJBodyText"/>
      </w:pPr>
      <w:r w:rsidRPr="001E0EBB">
        <w:t xml:space="preserve">SCE proposes partnering with </w:t>
      </w:r>
      <w:proofErr w:type="spellStart"/>
      <w:r w:rsidRPr="001E0EBB">
        <w:t>CforAT</w:t>
      </w:r>
      <w:proofErr w:type="spellEnd"/>
      <w:r w:rsidRPr="001E0EBB">
        <w:t xml:space="preserve"> to provide CARE program literature, webinars, and “edutainment style videos” to facilitate engagement with seniors and customers who are medically vulnerable or disabled.</w:t>
      </w:r>
      <w:r w:rsidRPr="001E0EBB">
        <w:rPr>
          <w:vertAlign w:val="superscript"/>
        </w:rPr>
        <w:footnoteReference w:id="124"/>
      </w:r>
      <w:r w:rsidRPr="001E0EBB">
        <w:t xml:space="preserve"> </w:t>
      </w:r>
    </w:p>
    <w:p w:rsidR="000C1980" w:rsidP="0023091F" w:rsidRDefault="000C1980" w14:paraId="4B94F1A9" w14:textId="77777777">
      <w:pPr>
        <w:pStyle w:val="ALJBodyText"/>
      </w:pPr>
      <w:r w:rsidRPr="00D324DB">
        <w:t xml:space="preserve">SCE will also investigate the potential </w:t>
      </w:r>
      <w:r>
        <w:t>to</w:t>
      </w:r>
      <w:r w:rsidRPr="00D324DB">
        <w:t xml:space="preserve"> include high level, digitized CARE messaging directing customers to the CARE landing page on the SCE </w:t>
      </w:r>
      <w:r w:rsidRPr="00D324DB">
        <w:lastRenderedPageBreak/>
        <w:t xml:space="preserve">website at “high-traffic establishments” such as DMV offices, post offices, municipal buildings, and hospitals. </w:t>
      </w:r>
      <w:r>
        <w:t xml:space="preserve"> </w:t>
      </w:r>
      <w:r w:rsidRPr="00D324DB">
        <w:t>These efforts may involve including CARE program application materials in welcome kits distributed to new parents and in new student registration packets in select K-8 schools in disadvantaged communities.</w:t>
      </w:r>
      <w:r w:rsidRPr="00D324DB">
        <w:rPr>
          <w:vertAlign w:val="superscript"/>
        </w:rPr>
        <w:footnoteReference w:id="125"/>
      </w:r>
      <w:r>
        <w:t xml:space="preserve">  </w:t>
      </w:r>
    </w:p>
    <w:p w:rsidR="000C1980" w:rsidP="0023091F" w:rsidRDefault="000C1980" w14:paraId="2C07CE3E" w14:textId="77777777">
      <w:pPr>
        <w:pStyle w:val="ALJBodyText"/>
      </w:pPr>
      <w:r w:rsidRPr="00CA716A">
        <w:rPr>
          <w:b/>
          <w:bCs/>
          <w:i/>
          <w:iCs/>
          <w:u w:val="single"/>
        </w:rPr>
        <w:t>Leveraging with CSD:</w:t>
      </w:r>
      <w:r>
        <w:t xml:space="preserve"> </w:t>
      </w:r>
      <w:r w:rsidRPr="00775422">
        <w:t xml:space="preserve">SCE proposes limited enhancements to its coordination with LIHEAP, which provides monetary grants to </w:t>
      </w:r>
      <w:proofErr w:type="gramStart"/>
      <w:r w:rsidRPr="00775422">
        <w:t>low</w:t>
      </w:r>
      <w:r>
        <w:t xml:space="preserve"> </w:t>
      </w:r>
      <w:r w:rsidRPr="00775422">
        <w:t>income</w:t>
      </w:r>
      <w:proofErr w:type="gramEnd"/>
      <w:r w:rsidRPr="00775422">
        <w:t xml:space="preserve"> customers who are having trouble paying energy bills and may be at risk of service disconnection for non-payment. </w:t>
      </w:r>
      <w:r>
        <w:t xml:space="preserve"> </w:t>
      </w:r>
      <w:r w:rsidRPr="00775422">
        <w:t xml:space="preserve">While SCE can only implement limited enhancements to LIHEAP because it does not manage the process, SCE proposes several improvements that could be made to LIHEAP including: </w:t>
      </w:r>
      <w:r>
        <w:t xml:space="preserve"> </w:t>
      </w:r>
      <w:r w:rsidRPr="00775422">
        <w:t>providing customer</w:t>
      </w:r>
      <w:r>
        <w:t>s</w:t>
      </w:r>
      <w:r w:rsidRPr="00775422">
        <w:t xml:space="preserve"> the ability to submit final disconnection notice</w:t>
      </w:r>
      <w:r>
        <w:t>s</w:t>
      </w:r>
      <w:r w:rsidRPr="00775422">
        <w:t xml:space="preserve"> electronically to LIHEAP coordinators, creating greater awareness of LIHEAP opportunities through bill notifications and additional promotion on the SCE website, and implementing any process that can facilitate more rapid LIHEAP pledge deliveries to SCE.</w:t>
      </w:r>
      <w:r w:rsidRPr="00775422">
        <w:rPr>
          <w:vertAlign w:val="superscript"/>
        </w:rPr>
        <w:footnoteReference w:id="126"/>
      </w:r>
      <w:r w:rsidRPr="00775422">
        <w:t xml:space="preserve"> </w:t>
      </w:r>
      <w:r>
        <w:t xml:space="preserve"> </w:t>
      </w:r>
      <w:r w:rsidRPr="00775422">
        <w:t>However, these would be changes to LIHEAP and not directly to SCE. SCE claims that it has streamlined the portion of the process that is within its control.</w:t>
      </w:r>
      <w:r w:rsidRPr="00775422">
        <w:rPr>
          <w:vertAlign w:val="superscript"/>
        </w:rPr>
        <w:footnoteReference w:id="127"/>
      </w:r>
      <w:r w:rsidRPr="00775422">
        <w:t xml:space="preserve"> </w:t>
      </w:r>
    </w:p>
    <w:p w:rsidRPr="000E24FC" w:rsidR="000C1980" w:rsidP="0023091F" w:rsidRDefault="000C1980" w14:paraId="427FDEF0" w14:textId="77777777">
      <w:pPr>
        <w:pStyle w:val="ALJBodyText"/>
      </w:pPr>
      <w:r w:rsidRPr="00CA716A">
        <w:rPr>
          <w:b/>
          <w:bCs/>
          <w:i/>
          <w:iCs/>
          <w:u w:val="single"/>
        </w:rPr>
        <w:t>Leveraging</w:t>
      </w:r>
      <w:r>
        <w:rPr>
          <w:b/>
          <w:bCs/>
          <w:i/>
          <w:iCs/>
          <w:u w:val="single"/>
        </w:rPr>
        <w:t xml:space="preserve"> with Other IOU Programs</w:t>
      </w:r>
      <w:r w:rsidRPr="00CA716A">
        <w:rPr>
          <w:b/>
          <w:bCs/>
          <w:i/>
          <w:iCs/>
          <w:u w:val="single"/>
        </w:rPr>
        <w:t>:</w:t>
      </w:r>
      <w:r w:rsidRPr="000E24FC">
        <w:t xml:space="preserve"> SCE proposes stakeholder collaboration with Energy Upgrade California, SoCalGas, and the other IOU </w:t>
      </w:r>
      <w:proofErr w:type="gramStart"/>
      <w:r w:rsidRPr="000E24FC">
        <w:t>low</w:t>
      </w:r>
      <w:r>
        <w:t xml:space="preserve"> </w:t>
      </w:r>
      <w:r w:rsidRPr="000E24FC">
        <w:t>income</w:t>
      </w:r>
      <w:proofErr w:type="gramEnd"/>
      <w:r w:rsidRPr="000E24FC">
        <w:t xml:space="preserve"> leads.</w:t>
      </w:r>
      <w:r w:rsidRPr="000E24FC">
        <w:rPr>
          <w:vertAlign w:val="superscript"/>
        </w:rPr>
        <w:footnoteReference w:id="128"/>
      </w:r>
      <w:r w:rsidRPr="000E24FC">
        <w:t xml:space="preserve">  </w:t>
      </w:r>
    </w:p>
    <w:p w:rsidRPr="00E47D04" w:rsidR="000C1980" w:rsidP="001968DC" w:rsidRDefault="000C1980" w14:paraId="3E9882CA" w14:textId="077102E8">
      <w:pPr>
        <w:pStyle w:val="Heading3"/>
        <w:tabs>
          <w:tab w:val="clear" w:pos="1440"/>
          <w:tab w:val="num" w:pos="1800"/>
        </w:tabs>
        <w:ind w:left="2664"/>
      </w:pPr>
      <w:bookmarkStart w:name="_Toc69947786" w:id="93"/>
      <w:r w:rsidRPr="00E47D04">
        <w:lastRenderedPageBreak/>
        <w:t>SoCalGas Proposal</w:t>
      </w:r>
      <w:bookmarkEnd w:id="93"/>
    </w:p>
    <w:p w:rsidR="000C1980" w:rsidP="0023091F" w:rsidRDefault="000C1980" w14:paraId="7BDE64E8" w14:textId="746F2574">
      <w:pPr>
        <w:pStyle w:val="ALJBodyText"/>
      </w:pPr>
      <w:r w:rsidRPr="00882EF8">
        <w:rPr>
          <w:b/>
          <w:bCs/>
          <w:i/>
          <w:iCs/>
          <w:u w:val="single"/>
        </w:rPr>
        <w:t>Continuing Traditional Direct Marketing:</w:t>
      </w:r>
      <w:r w:rsidRPr="00882EF8">
        <w:t xml:space="preserve"> SoCalGas proposes to continue</w:t>
      </w:r>
      <w:r w:rsidRPr="00C16353">
        <w:t xml:space="preserve"> marketing strategies </w:t>
      </w:r>
      <w:r>
        <w:t xml:space="preserve">including </w:t>
      </w:r>
      <w:r w:rsidRPr="00C16353">
        <w:t>direct marketing</w:t>
      </w:r>
      <w:r>
        <w:t xml:space="preserve"> and </w:t>
      </w:r>
      <w:r w:rsidRPr="00C16353">
        <w:t>mass media to increase program awareness and drive online enrollment, and localized community outreach efforts to target hard-to-reach segments.</w:t>
      </w:r>
      <w:r w:rsidRPr="00C16353">
        <w:rPr>
          <w:vertAlign w:val="superscript"/>
        </w:rPr>
        <w:footnoteReference w:id="129"/>
      </w:r>
      <w:r w:rsidRPr="00C16353">
        <w:t xml:space="preserve"> </w:t>
      </w:r>
      <w:r>
        <w:t xml:space="preserve"> These</w:t>
      </w:r>
      <w:r w:rsidRPr="00C16353">
        <w:t xml:space="preserve"> tactics include bill inserts, direct mail, email, partnerships with </w:t>
      </w:r>
      <w:r>
        <w:t>CBOs</w:t>
      </w:r>
      <w:r w:rsidRPr="00C16353">
        <w:t xml:space="preserve">, door-to-door canvassing, and </w:t>
      </w:r>
      <w:r>
        <w:t>taking</w:t>
      </w:r>
      <w:r w:rsidRPr="00C16353">
        <w:t xml:space="preserve"> enrollment at local community events.</w:t>
      </w:r>
      <w:r w:rsidRPr="00C16353">
        <w:rPr>
          <w:vertAlign w:val="superscript"/>
        </w:rPr>
        <w:footnoteReference w:id="130"/>
      </w:r>
      <w:r w:rsidRPr="00C16353">
        <w:t xml:space="preserve"> </w:t>
      </w:r>
      <w:r w:rsidRPr="0061452B" w:rsidR="0061452B">
        <w:t xml:space="preserve">SoCalGas proposes to no longer fund Home Energy Reports (HERs) through the CARE </w:t>
      </w:r>
      <w:r w:rsidR="00187FA4">
        <w:t>p</w:t>
      </w:r>
      <w:r w:rsidRPr="0061452B" w:rsidR="0061452B">
        <w:t xml:space="preserve">rogram. Instead, </w:t>
      </w:r>
      <w:proofErr w:type="gramStart"/>
      <w:r w:rsidRPr="0061452B" w:rsidR="0061452B">
        <w:t>HERs</w:t>
      </w:r>
      <w:proofErr w:type="gramEnd"/>
      <w:r w:rsidRPr="0061452B" w:rsidR="0061452B">
        <w:t xml:space="preserve"> will continue to be covered by SoCalGas’ </w:t>
      </w:r>
      <w:r w:rsidR="00187FA4">
        <w:t>e</w:t>
      </w:r>
      <w:r w:rsidRPr="0061452B" w:rsidR="0061452B">
        <w:t xml:space="preserve">nergy </w:t>
      </w:r>
      <w:r w:rsidR="00187FA4">
        <w:t>e</w:t>
      </w:r>
      <w:r w:rsidRPr="0061452B" w:rsidR="0061452B">
        <w:t>fficiency program, targeting all customers, including those currently on CARE as well as eligible non-CARE customers.</w:t>
      </w:r>
    </w:p>
    <w:p w:rsidRPr="00E744D5" w:rsidR="000C1980" w:rsidP="0023091F" w:rsidRDefault="000C1980" w14:paraId="1DD21D35" w14:textId="77777777">
      <w:pPr>
        <w:pStyle w:val="ALJBodyText"/>
        <w:rPr>
          <w:b/>
          <w:bCs/>
          <w:i/>
          <w:iCs/>
          <w:u w:val="single"/>
        </w:rPr>
      </w:pPr>
      <w:r w:rsidRPr="00F55D7F">
        <w:rPr>
          <w:b/>
          <w:bCs/>
          <w:i/>
          <w:iCs/>
          <w:u w:val="single"/>
        </w:rPr>
        <w:t>Targeting Low CARE Penetration Areas:</w:t>
      </w:r>
      <w:r w:rsidRPr="001E7BC5">
        <w:t xml:space="preserve"> SoCalGas identifies several cities and zip codes with low CARE penetration that it considers hard-to-reach.</w:t>
      </w:r>
      <w:r w:rsidRPr="001E7BC5">
        <w:rPr>
          <w:vertAlign w:val="superscript"/>
        </w:rPr>
        <w:footnoteReference w:id="131"/>
      </w:r>
      <w:r w:rsidRPr="001E7BC5">
        <w:rPr>
          <w:vertAlign w:val="superscript"/>
        </w:rPr>
        <w:t xml:space="preserve"> </w:t>
      </w:r>
      <w:r>
        <w:t xml:space="preserve">  </w:t>
      </w:r>
      <w:r w:rsidRPr="001E7BC5">
        <w:t>For these zip codes, SoCalGas proposes using smaller, localized campaign efforts by leveraging existing community networks and media, which includes schools, literacy centers, social service delivery groups, food banks, faith-based and non</w:t>
      </w:r>
      <w:r>
        <w:noBreakHyphen/>
      </w:r>
      <w:r w:rsidRPr="001E7BC5">
        <w:t>profit organizations that aim to target these underserved rural areas.</w:t>
      </w:r>
      <w:r w:rsidRPr="001E7BC5">
        <w:rPr>
          <w:vertAlign w:val="superscript"/>
        </w:rPr>
        <w:footnoteReference w:id="132"/>
      </w:r>
      <w:r w:rsidRPr="001E7BC5">
        <w:rPr>
          <w:vertAlign w:val="superscript"/>
        </w:rPr>
        <w:t xml:space="preserve"> </w:t>
      </w:r>
    </w:p>
    <w:p w:rsidR="000C1980" w:rsidP="0023091F" w:rsidRDefault="000C1980" w14:paraId="20B736B9" w14:textId="77777777">
      <w:pPr>
        <w:pStyle w:val="ALJBodyText"/>
      </w:pPr>
      <w:r w:rsidRPr="00101EA0">
        <w:t xml:space="preserve">SoCalGas highlighted its strategy for one </w:t>
      </w:r>
      <w:r>
        <w:t xml:space="preserve">specific </w:t>
      </w:r>
      <w:r w:rsidRPr="00101EA0">
        <w:t>county (San Luis Obispo County) that has CARE penetration below 70</w:t>
      </w:r>
      <w:r w:rsidRPr="00084782">
        <w:t xml:space="preserve"> </w:t>
      </w:r>
      <w:r w:rsidRPr="0026503D">
        <w:t>percent</w:t>
      </w:r>
      <w:r w:rsidRPr="00101EA0">
        <w:t xml:space="preserve">. </w:t>
      </w:r>
      <w:r>
        <w:t xml:space="preserve"> </w:t>
      </w:r>
      <w:r w:rsidRPr="00101EA0">
        <w:t xml:space="preserve">SoCalGas will use local media to help promote the CARE </w:t>
      </w:r>
      <w:r>
        <w:t>p</w:t>
      </w:r>
      <w:r w:rsidRPr="00101EA0">
        <w:t xml:space="preserve">rogram, and established a partnership with a local </w:t>
      </w:r>
      <w:r>
        <w:t>CBO</w:t>
      </w:r>
      <w:r w:rsidRPr="00101EA0">
        <w:t xml:space="preserve">, Center for Family Strengthening – </w:t>
      </w:r>
      <w:proofErr w:type="spellStart"/>
      <w:r w:rsidRPr="00101EA0">
        <w:t>Promotores</w:t>
      </w:r>
      <w:proofErr w:type="spellEnd"/>
      <w:r w:rsidRPr="00101EA0">
        <w:t xml:space="preserve"> Collaborative, focused specifically on promoting equal access to community resources and services </w:t>
      </w:r>
      <w:r w:rsidRPr="00101EA0">
        <w:lastRenderedPageBreak/>
        <w:t xml:space="preserve">among all members of the Hispanic community </w:t>
      </w:r>
      <w:r>
        <w:t xml:space="preserve">in </w:t>
      </w:r>
      <w:r w:rsidRPr="00101EA0">
        <w:t xml:space="preserve">this </w:t>
      </w:r>
      <w:r>
        <w:t>c</w:t>
      </w:r>
      <w:r w:rsidRPr="00101EA0">
        <w:t xml:space="preserve">ounty. </w:t>
      </w:r>
      <w:r>
        <w:t xml:space="preserve"> </w:t>
      </w:r>
      <w:r w:rsidRPr="00101EA0">
        <w:t xml:space="preserve">Additionally, SoCalGas has committed to a </w:t>
      </w:r>
      <w:proofErr w:type="gramStart"/>
      <w:r>
        <w:t xml:space="preserve">six </w:t>
      </w:r>
      <w:r w:rsidRPr="00101EA0">
        <w:t>month</w:t>
      </w:r>
      <w:proofErr w:type="gramEnd"/>
      <w:r w:rsidRPr="00101EA0">
        <w:t xml:space="preserve"> targeted radio campaign in this county which broadcasts Spanish-language programming in high density</w:t>
      </w:r>
      <w:r>
        <w:t xml:space="preserve"> areas</w:t>
      </w:r>
      <w:r w:rsidRPr="00101EA0">
        <w:t xml:space="preserve">. </w:t>
      </w:r>
    </w:p>
    <w:p w:rsidR="000C1980" w:rsidP="0023091F" w:rsidRDefault="000C1980" w14:paraId="2FBB2116" w14:textId="0D5ABAC1">
      <w:pPr>
        <w:pStyle w:val="ALJBodyText"/>
      </w:pPr>
      <w:r>
        <w:t xml:space="preserve">In addition to low CARE penetration areas, </w:t>
      </w:r>
      <w:r w:rsidRPr="00C16353">
        <w:t xml:space="preserve">SoCalGas will </w:t>
      </w:r>
      <w:r>
        <w:t>also u</w:t>
      </w:r>
      <w:r w:rsidRPr="00C16353">
        <w:t xml:space="preserve">se targeted marketing and outreach to specific population segments including seniors, </w:t>
      </w:r>
      <w:r w:rsidRPr="002D5956">
        <w:t>limited English proficient (LEP)</w:t>
      </w:r>
      <w:r>
        <w:t xml:space="preserve"> customers</w:t>
      </w:r>
      <w:r w:rsidRPr="00C16353">
        <w:t>, veterans, undocumented residents, the disabled community</w:t>
      </w:r>
      <w:r>
        <w:t>,</w:t>
      </w:r>
      <w:r w:rsidRPr="00C16353">
        <w:rPr>
          <w:vertAlign w:val="superscript"/>
        </w:rPr>
        <w:footnoteReference w:id="133"/>
      </w:r>
      <w:r>
        <w:t xml:space="preserve"> those </w:t>
      </w:r>
      <w:r w:rsidRPr="00101EA0">
        <w:t>zip codes with high disconnection rates</w:t>
      </w:r>
      <w:r>
        <w:t>,</w:t>
      </w:r>
      <w:r w:rsidRPr="00101EA0">
        <w:rPr>
          <w:vertAlign w:val="superscript"/>
        </w:rPr>
        <w:footnoteReference w:id="134"/>
      </w:r>
      <w:r>
        <w:t xml:space="preserve"> and mobile home parks</w:t>
      </w:r>
      <w:r w:rsidRPr="001E7BC5">
        <w:t>.</w:t>
      </w:r>
      <w:r w:rsidRPr="001E7BC5">
        <w:rPr>
          <w:vertAlign w:val="superscript"/>
        </w:rPr>
        <w:footnoteReference w:id="135"/>
      </w:r>
      <w:r w:rsidRPr="00D650D8">
        <w:t xml:space="preserve"> </w:t>
      </w:r>
    </w:p>
    <w:p w:rsidRPr="00942AFC" w:rsidR="000C1980" w:rsidP="0023091F" w:rsidRDefault="000C1980" w14:paraId="38F12694" w14:textId="77777777">
      <w:pPr>
        <w:pStyle w:val="ALJBodyText"/>
        <w:rPr>
          <w:b/>
          <w:bCs/>
          <w:i/>
          <w:iCs/>
          <w:u w:val="single"/>
        </w:rPr>
      </w:pPr>
      <w:r>
        <w:rPr>
          <w:b/>
          <w:bCs/>
          <w:i/>
          <w:iCs/>
          <w:u w:val="single"/>
        </w:rPr>
        <w:t>Expanding</w:t>
      </w:r>
      <w:r w:rsidRPr="00F55D7F">
        <w:rPr>
          <w:b/>
          <w:bCs/>
          <w:i/>
          <w:iCs/>
          <w:u w:val="single"/>
        </w:rPr>
        <w:t xml:space="preserve"> </w:t>
      </w:r>
      <w:r w:rsidRPr="00737C0B">
        <w:rPr>
          <w:b/>
          <w:bCs/>
          <w:i/>
          <w:iCs/>
          <w:u w:val="single"/>
        </w:rPr>
        <w:t xml:space="preserve">Outreach </w:t>
      </w:r>
      <w:r>
        <w:rPr>
          <w:b/>
          <w:bCs/>
          <w:i/>
          <w:iCs/>
          <w:u w:val="single"/>
        </w:rPr>
        <w:t>Partnerships</w:t>
      </w:r>
      <w:r w:rsidRPr="00F55D7F">
        <w:rPr>
          <w:b/>
          <w:bCs/>
          <w:i/>
          <w:iCs/>
          <w:u w:val="single"/>
        </w:rPr>
        <w:t>:</w:t>
      </w:r>
      <w:r w:rsidRPr="00C16353">
        <w:t xml:space="preserve"> SoCalGas will continue to use third parties to conduct door-to-door canvassing to enroll customers in the CARE program</w:t>
      </w:r>
      <w:r>
        <w:t>,</w:t>
      </w:r>
      <w:r w:rsidRPr="00C16353">
        <w:rPr>
          <w:vertAlign w:val="superscript"/>
        </w:rPr>
        <w:footnoteReference w:id="136"/>
      </w:r>
      <w:r w:rsidRPr="00C16353">
        <w:t xml:space="preserve"> </w:t>
      </w:r>
      <w:r>
        <w:t>stating that t</w:t>
      </w:r>
      <w:r w:rsidRPr="00C16353">
        <w:t>hese efforts have been highly successful in the past, resulting in 21,000 new customer enrollments through visits to customers’ homes.</w:t>
      </w:r>
      <w:r w:rsidRPr="00C16353">
        <w:rPr>
          <w:vertAlign w:val="superscript"/>
        </w:rPr>
        <w:footnoteReference w:id="137"/>
      </w:r>
      <w:r>
        <w:t xml:space="preserve">  </w:t>
      </w:r>
      <w:r w:rsidRPr="00942AFC">
        <w:t xml:space="preserve">SoCalGas </w:t>
      </w:r>
      <w:r>
        <w:t xml:space="preserve">also </w:t>
      </w:r>
      <w:r w:rsidRPr="00942AFC">
        <w:t xml:space="preserve">proposes </w:t>
      </w:r>
      <w:r>
        <w:t>working with its</w:t>
      </w:r>
      <w:r w:rsidRPr="00942AFC">
        <w:t xml:space="preserve"> existing community networks and media, which includes schools, literacy centers, social service delivery groups, food banks, faith-based and non-profit organizations to target underserved rural areas.</w:t>
      </w:r>
      <w:r w:rsidRPr="00942AFC">
        <w:rPr>
          <w:vertAlign w:val="superscript"/>
        </w:rPr>
        <w:footnoteReference w:id="138"/>
      </w:r>
      <w:r w:rsidRPr="00942AFC">
        <w:rPr>
          <w:vertAlign w:val="superscript"/>
        </w:rPr>
        <w:t xml:space="preserve"> </w:t>
      </w:r>
    </w:p>
    <w:p w:rsidRPr="00D650D8" w:rsidR="000C1980" w:rsidP="0023091F" w:rsidRDefault="000C1980" w14:paraId="1661D096" w14:textId="77777777">
      <w:pPr>
        <w:pStyle w:val="ALJBodyText"/>
      </w:pPr>
      <w:r>
        <w:rPr>
          <w:b/>
          <w:bCs/>
          <w:i/>
          <w:iCs/>
          <w:u w:val="single"/>
        </w:rPr>
        <w:t xml:space="preserve">Leveraging with CSD: </w:t>
      </w:r>
      <w:r w:rsidRPr="00D650D8">
        <w:t xml:space="preserve"> SoCalGas proposes to modernize an existing process of receiving pledges from LIHEAP, moving away from a phone-call </w:t>
      </w:r>
      <w:r w:rsidRPr="00D650D8">
        <w:lastRenderedPageBreak/>
        <w:t>based system towards a user-friendly web-based process with the intent of reducing the risk of service reductions by expediting pledges.</w:t>
      </w:r>
      <w:r w:rsidRPr="00D650D8">
        <w:rPr>
          <w:vertAlign w:val="superscript"/>
        </w:rPr>
        <w:footnoteReference w:id="139"/>
      </w:r>
    </w:p>
    <w:p w:rsidRPr="00D650D8" w:rsidR="000C1980" w:rsidP="0023091F" w:rsidRDefault="000C1980" w14:paraId="418BD5A5" w14:textId="6CBB2EF7">
      <w:pPr>
        <w:pStyle w:val="ALJBodyText"/>
      </w:pPr>
      <w:r>
        <w:rPr>
          <w:b/>
          <w:bCs/>
          <w:i/>
          <w:iCs/>
          <w:u w:val="single"/>
        </w:rPr>
        <w:t xml:space="preserve">Leveraging with </w:t>
      </w:r>
      <w:proofErr w:type="spellStart"/>
      <w:r>
        <w:rPr>
          <w:b/>
          <w:bCs/>
          <w:i/>
          <w:iCs/>
          <w:u w:val="single"/>
        </w:rPr>
        <w:t>LifeLine</w:t>
      </w:r>
      <w:proofErr w:type="spellEnd"/>
      <w:r>
        <w:rPr>
          <w:b/>
          <w:bCs/>
          <w:i/>
          <w:iCs/>
          <w:u w:val="single"/>
        </w:rPr>
        <w:t xml:space="preserve">: </w:t>
      </w:r>
      <w:r w:rsidRPr="00D650D8">
        <w:t xml:space="preserve"> SoCalGas states that it will undertake several leveraging efforts to promote marketing and outreach improvements</w:t>
      </w:r>
      <w:r>
        <w:t xml:space="preserve"> including continuing its </w:t>
      </w:r>
      <w:r w:rsidRPr="00D650D8">
        <w:t xml:space="preserve">biannual CARE customer data exchange with California </w:t>
      </w:r>
      <w:proofErr w:type="spellStart"/>
      <w:r w:rsidRPr="00D650D8">
        <w:t>Life</w:t>
      </w:r>
      <w:r w:rsidR="00E52FB1">
        <w:t>L</w:t>
      </w:r>
      <w:r w:rsidRPr="00D650D8">
        <w:t>ine</w:t>
      </w:r>
      <w:proofErr w:type="spellEnd"/>
      <w:r w:rsidRPr="00D650D8">
        <w:t xml:space="preserve"> in SoCalGas territory.</w:t>
      </w:r>
      <w:r w:rsidRPr="00D650D8">
        <w:rPr>
          <w:vertAlign w:val="superscript"/>
        </w:rPr>
        <w:footnoteReference w:id="140"/>
      </w:r>
    </w:p>
    <w:p w:rsidRPr="006C5195" w:rsidR="000C1980" w:rsidP="001968DC" w:rsidRDefault="000C1980" w14:paraId="2C8FFBE6" w14:textId="60703E62">
      <w:pPr>
        <w:pStyle w:val="Heading3"/>
        <w:tabs>
          <w:tab w:val="clear" w:pos="1440"/>
          <w:tab w:val="num" w:pos="1800"/>
        </w:tabs>
        <w:ind w:left="2664"/>
      </w:pPr>
      <w:bookmarkStart w:name="_Toc69947787" w:id="94"/>
      <w:r w:rsidRPr="006C5195">
        <w:t>SDG&amp;E Proposal</w:t>
      </w:r>
      <w:bookmarkEnd w:id="94"/>
      <w:r w:rsidRPr="006C5195">
        <w:t xml:space="preserve"> </w:t>
      </w:r>
    </w:p>
    <w:p w:rsidR="000C1980" w:rsidP="0023091F" w:rsidRDefault="000C1980" w14:paraId="2ABF820B" w14:textId="77777777">
      <w:pPr>
        <w:pStyle w:val="ALJBodyText"/>
      </w:pPr>
      <w:r w:rsidRPr="00B660D5">
        <w:t xml:space="preserve">SDG&amp;E will continue efforts to build customer awareness of the program, driving customer enrollment through targeted marketing, education, and outreach. </w:t>
      </w:r>
    </w:p>
    <w:p w:rsidR="000C1980" w:rsidP="0023091F" w:rsidRDefault="000C1980" w14:paraId="0FECB185" w14:textId="77777777">
      <w:pPr>
        <w:pStyle w:val="ALJBodyText"/>
      </w:pPr>
      <w:r w:rsidRPr="00376CC6">
        <w:rPr>
          <w:b/>
          <w:bCs/>
          <w:i/>
          <w:iCs/>
          <w:u w:val="single"/>
        </w:rPr>
        <w:t>Targeting Rural</w:t>
      </w:r>
      <w:r>
        <w:rPr>
          <w:b/>
          <w:bCs/>
          <w:i/>
          <w:iCs/>
          <w:u w:val="single"/>
        </w:rPr>
        <w:t xml:space="preserve">, </w:t>
      </w:r>
      <w:r w:rsidRPr="00376CC6">
        <w:rPr>
          <w:b/>
          <w:bCs/>
          <w:i/>
          <w:iCs/>
          <w:u w:val="single"/>
        </w:rPr>
        <w:t>Hard to Reach</w:t>
      </w:r>
      <w:r>
        <w:rPr>
          <w:b/>
          <w:bCs/>
          <w:i/>
          <w:iCs/>
          <w:u w:val="single"/>
        </w:rPr>
        <w:t>, Low CARE Penetration Areas</w:t>
      </w:r>
      <w:r w:rsidRPr="00376CC6">
        <w:rPr>
          <w:b/>
          <w:bCs/>
          <w:i/>
          <w:iCs/>
          <w:u w:val="single"/>
        </w:rPr>
        <w:t>:</w:t>
      </w:r>
      <w:r w:rsidRPr="004414C8">
        <w:t xml:space="preserve"> SDG&amp;E will focus on targeting rural and hard-to-reach communities, especially where the current penetration rate is low compared to the estimated population of eligible customers.</w:t>
      </w:r>
      <w:r w:rsidRPr="004414C8">
        <w:rPr>
          <w:vertAlign w:val="superscript"/>
        </w:rPr>
        <w:footnoteReference w:id="141"/>
      </w:r>
      <w:r>
        <w:t xml:space="preserve">  </w:t>
      </w:r>
      <w:r w:rsidRPr="00B660D5">
        <w:t>This will include optimizing recertification communications to retain enrolled customers.</w:t>
      </w:r>
      <w:r w:rsidRPr="00B660D5">
        <w:rPr>
          <w:vertAlign w:val="superscript"/>
        </w:rPr>
        <w:footnoteReference w:id="142"/>
      </w:r>
      <w:r w:rsidRPr="005437A3">
        <w:t xml:space="preserve"> </w:t>
      </w:r>
    </w:p>
    <w:p w:rsidR="000C1980" w:rsidP="0023091F" w:rsidRDefault="000C1980" w14:paraId="066306C6" w14:textId="77777777">
      <w:pPr>
        <w:pStyle w:val="ALJBodyText"/>
      </w:pPr>
      <w:r w:rsidRPr="00672180">
        <w:t>SDG&amp;E</w:t>
      </w:r>
      <w:r>
        <w:t xml:space="preserve"> </w:t>
      </w:r>
      <w:r w:rsidRPr="00672180">
        <w:t>identified five zip codes in the top tenth percentile of disconnections with a CARE penetration rate below 70</w:t>
      </w:r>
      <w:r w:rsidRPr="00084782">
        <w:t xml:space="preserve"> </w:t>
      </w:r>
      <w:r w:rsidRPr="0026503D">
        <w:t>percent</w:t>
      </w:r>
      <w:r>
        <w:t xml:space="preserve">, where it </w:t>
      </w:r>
      <w:r w:rsidRPr="00672180">
        <w:t xml:space="preserve">proposes to reach customers through targeted direct mail, email, and outbound dialing.  SDG&amp;E also describes exploring whether these zip codes can accommodate additional media such as local print publications, community </w:t>
      </w:r>
      <w:r w:rsidRPr="00672180">
        <w:lastRenderedPageBreak/>
        <w:t>newspapers and targeted out-of-home advertising (bus shelters, posters, transit stops, laundromats, and convenience stores).</w:t>
      </w:r>
      <w:r w:rsidRPr="00672180">
        <w:rPr>
          <w:vertAlign w:val="superscript"/>
        </w:rPr>
        <w:footnoteReference w:id="143"/>
      </w:r>
      <w:r w:rsidRPr="00672180">
        <w:t xml:space="preserve"> </w:t>
      </w:r>
    </w:p>
    <w:p w:rsidRPr="00672180" w:rsidR="000C1980" w:rsidP="0023091F" w:rsidRDefault="000C1980" w14:paraId="20078A09" w14:textId="77777777">
      <w:pPr>
        <w:pStyle w:val="ALJBodyText"/>
      </w:pPr>
      <w:r w:rsidRPr="00672180">
        <w:t xml:space="preserve">SDG&amp;E </w:t>
      </w:r>
      <w:r>
        <w:t>proposes</w:t>
      </w:r>
      <w:r w:rsidRPr="00672180">
        <w:t xml:space="preserve"> reaching areas with low CARE enrollment through tactics such as door to door and Live Call campaigns, specifically in areas where population density is high enough. </w:t>
      </w:r>
      <w:r>
        <w:t xml:space="preserve"> </w:t>
      </w:r>
      <w:r w:rsidRPr="00672180">
        <w:t>For customers in areas with lower population density, the Energy Solutions Partners network will continue to be utilized to reach customers via trusted partners in their local neighborhoods.</w:t>
      </w:r>
      <w:r w:rsidRPr="00672180">
        <w:rPr>
          <w:vertAlign w:val="superscript"/>
        </w:rPr>
        <w:footnoteReference w:id="144"/>
      </w:r>
      <w:r>
        <w:t xml:space="preserve">  SDG&amp;E discusses new strategies to identify and partner with additional CBOs where needed, such as refugee agencies or community centers, to spread engagement from trusted voices in the high poverty communities.</w:t>
      </w:r>
      <w:r>
        <w:rPr>
          <w:rStyle w:val="FootnoteReference"/>
        </w:rPr>
        <w:footnoteReference w:id="145"/>
      </w:r>
    </w:p>
    <w:p w:rsidR="000C1980" w:rsidP="001968DC" w:rsidRDefault="000C1980" w14:paraId="5C474645" w14:textId="483E0751">
      <w:pPr>
        <w:pStyle w:val="Heading3"/>
        <w:tabs>
          <w:tab w:val="clear" w:pos="1440"/>
          <w:tab w:val="num" w:pos="1800"/>
        </w:tabs>
        <w:ind w:left="2664"/>
      </w:pPr>
      <w:bookmarkStart w:name="_Toc69947788" w:id="95"/>
      <w:r>
        <w:t>Party Positions</w:t>
      </w:r>
      <w:bookmarkEnd w:id="95"/>
      <w:r>
        <w:t xml:space="preserve"> </w:t>
      </w:r>
    </w:p>
    <w:p w:rsidR="000C1980" w:rsidP="001968DC" w:rsidRDefault="000C1980" w14:paraId="355FBE74" w14:textId="77777777">
      <w:pPr>
        <w:pStyle w:val="Heading4"/>
        <w:tabs>
          <w:tab w:val="clear" w:pos="2160"/>
          <w:tab w:val="num" w:pos="2520"/>
        </w:tabs>
        <w:ind w:left="3600"/>
      </w:pPr>
      <w:bookmarkStart w:name="_Toc69947789" w:id="96"/>
      <w:r>
        <w:t>Cal Advocates</w:t>
      </w:r>
      <w:bookmarkEnd w:id="96"/>
      <w:r>
        <w:t xml:space="preserve"> </w:t>
      </w:r>
    </w:p>
    <w:p w:rsidRPr="003B5D4B" w:rsidR="000C1980" w:rsidP="0023091F" w:rsidRDefault="000C1980" w14:paraId="351A2582" w14:textId="77777777">
      <w:pPr>
        <w:pStyle w:val="ALJBodyText"/>
      </w:pPr>
      <w:r w:rsidRPr="00305AE1">
        <w:rPr>
          <w:b/>
          <w:bCs/>
          <w:i/>
          <w:iCs/>
          <w:u w:val="single"/>
        </w:rPr>
        <w:t>Reasonableness of ME&amp;O:</w:t>
      </w:r>
      <w:r>
        <w:t xml:space="preserve"> </w:t>
      </w:r>
      <w:r w:rsidRPr="003B5D4B">
        <w:t xml:space="preserve">Cal Advocates </w:t>
      </w:r>
      <w:r>
        <w:t xml:space="preserve">questions </w:t>
      </w:r>
      <w:r w:rsidRPr="003B5D4B">
        <w:t xml:space="preserve">whether the proposed CARE marketing and outreach programs and verification procedures reasonably “balance the need to serve the maximum number of eligible households with the need to verify that those enrolled in the program are eligible” in a </w:t>
      </w:r>
      <w:proofErr w:type="gramStart"/>
      <w:r w:rsidRPr="003B5D4B">
        <w:t>cost effective</w:t>
      </w:r>
      <w:proofErr w:type="gramEnd"/>
      <w:r w:rsidRPr="003B5D4B">
        <w:t xml:space="preserve"> manner.</w:t>
      </w:r>
      <w:r w:rsidRPr="003B5D4B">
        <w:rPr>
          <w:vertAlign w:val="superscript"/>
        </w:rPr>
        <w:footnoteReference w:id="146"/>
      </w:r>
      <w:r w:rsidRPr="003B5D4B">
        <w:t xml:space="preserve"> </w:t>
      </w:r>
      <w:r>
        <w:t xml:space="preserve"> </w:t>
      </w:r>
      <w:r w:rsidRPr="003B5D4B">
        <w:t>Cal Advocates also questions whether the proposed marketing and outreach tactics and budgets for identifying and enrolling eligible CARE customers are reasonable.</w:t>
      </w:r>
      <w:r w:rsidRPr="003B5D4B">
        <w:rPr>
          <w:vertAlign w:val="superscript"/>
        </w:rPr>
        <w:footnoteReference w:id="147"/>
      </w:r>
    </w:p>
    <w:p w:rsidR="000C1980" w:rsidP="001968DC" w:rsidRDefault="000C1980" w14:paraId="471DBD00" w14:textId="7849F61A">
      <w:pPr>
        <w:pStyle w:val="Heading4"/>
        <w:tabs>
          <w:tab w:val="clear" w:pos="2160"/>
          <w:tab w:val="num" w:pos="2520"/>
        </w:tabs>
        <w:ind w:left="3600"/>
      </w:pPr>
      <w:bookmarkStart w:name="_Toc69947790" w:id="97"/>
      <w:proofErr w:type="spellStart"/>
      <w:r>
        <w:lastRenderedPageBreak/>
        <w:t>CforAT</w:t>
      </w:r>
      <w:bookmarkEnd w:id="97"/>
      <w:proofErr w:type="spellEnd"/>
      <w:r>
        <w:t xml:space="preserve"> </w:t>
      </w:r>
    </w:p>
    <w:p w:rsidRPr="003B5D4B" w:rsidR="000C1980" w:rsidP="0023091F" w:rsidRDefault="000C1980" w14:paraId="5AE87B7F" w14:textId="77777777">
      <w:pPr>
        <w:pStyle w:val="ALJBodyText"/>
      </w:pPr>
      <w:proofErr w:type="gramStart"/>
      <w:r w:rsidRPr="00305AE1">
        <w:rPr>
          <w:b/>
          <w:bCs/>
          <w:i/>
          <w:iCs/>
          <w:u w:val="single"/>
        </w:rPr>
        <w:t>General</w:t>
      </w:r>
      <w:r>
        <w:rPr>
          <w:b/>
          <w:bCs/>
          <w:i/>
          <w:iCs/>
          <w:u w:val="single"/>
        </w:rPr>
        <w:t>ly</w:t>
      </w:r>
      <w:proofErr w:type="gramEnd"/>
      <w:r w:rsidRPr="00305AE1">
        <w:rPr>
          <w:b/>
          <w:bCs/>
          <w:i/>
          <w:iCs/>
          <w:u w:val="single"/>
        </w:rPr>
        <w:t xml:space="preserve"> Support:</w:t>
      </w:r>
      <w:r>
        <w:t xml:space="preserve"> </w:t>
      </w:r>
      <w:proofErr w:type="spellStart"/>
      <w:r w:rsidRPr="006651BA">
        <w:t>CforAT</w:t>
      </w:r>
      <w:proofErr w:type="spellEnd"/>
      <w:r w:rsidRPr="006651BA">
        <w:t xml:space="preserve"> supports IOU efforts to address education and outreach about the CARE program</w:t>
      </w:r>
      <w:r>
        <w:t>, including the</w:t>
      </w:r>
      <w:r w:rsidRPr="006651BA">
        <w:t xml:space="preserve"> new programs referenced by SCE and others that are intended to improve the CARE enrollment rate by simplifying the customer enrollment process and improving contact with hard</w:t>
      </w:r>
      <w:r>
        <w:noBreakHyphen/>
      </w:r>
      <w:r w:rsidRPr="006651BA">
        <w:t>to-reach and vulnerable customers.</w:t>
      </w:r>
      <w:r w:rsidRPr="006651BA">
        <w:rPr>
          <w:vertAlign w:val="superscript"/>
        </w:rPr>
        <w:footnoteReference w:id="148"/>
      </w:r>
    </w:p>
    <w:p w:rsidR="000C1980" w:rsidP="001968DC" w:rsidRDefault="000C1980" w14:paraId="23D69074" w14:textId="53A19907">
      <w:pPr>
        <w:pStyle w:val="Heading4"/>
        <w:tabs>
          <w:tab w:val="clear" w:pos="2160"/>
          <w:tab w:val="num" w:pos="2520"/>
        </w:tabs>
        <w:ind w:left="3600"/>
      </w:pPr>
      <w:bookmarkStart w:name="_Toc69947791" w:id="98"/>
      <w:proofErr w:type="spellStart"/>
      <w:r>
        <w:t>Enervee</w:t>
      </w:r>
      <w:bookmarkEnd w:id="98"/>
      <w:proofErr w:type="spellEnd"/>
    </w:p>
    <w:p w:rsidR="000C1980" w:rsidP="0023091F" w:rsidRDefault="000C1980" w14:paraId="79707965" w14:textId="68291B39">
      <w:pPr>
        <w:pStyle w:val="ALJBodyText"/>
      </w:pPr>
      <w:r>
        <w:rPr>
          <w:b/>
          <w:bCs/>
          <w:i/>
          <w:iCs/>
          <w:u w:val="single"/>
        </w:rPr>
        <w:t>Establishment of an Online</w:t>
      </w:r>
      <w:r w:rsidRPr="001D112F">
        <w:rPr>
          <w:b/>
          <w:bCs/>
          <w:i/>
          <w:iCs/>
          <w:u w:val="single"/>
        </w:rPr>
        <w:t xml:space="preserve"> Marketplace</w:t>
      </w:r>
      <w:r>
        <w:rPr>
          <w:b/>
          <w:bCs/>
          <w:i/>
          <w:iCs/>
          <w:u w:val="single"/>
        </w:rPr>
        <w:t>:</w:t>
      </w:r>
      <w:r w:rsidRPr="006651BA">
        <w:t xml:space="preserve"> </w:t>
      </w:r>
      <w:proofErr w:type="spellStart"/>
      <w:r w:rsidRPr="006651BA">
        <w:t>Enervee</w:t>
      </w:r>
      <w:proofErr w:type="spellEnd"/>
      <w:r w:rsidRPr="006651BA">
        <w:t xml:space="preserve"> generally supports the </w:t>
      </w:r>
      <w:r>
        <w:t xml:space="preserve">IOU </w:t>
      </w:r>
      <w:r w:rsidR="00F80C6E">
        <w:t>ME&amp;O</w:t>
      </w:r>
      <w:r w:rsidRPr="006651BA">
        <w:t xml:space="preserve"> efforts</w:t>
      </w:r>
      <w:r>
        <w:t xml:space="preserve">, </w:t>
      </w:r>
      <w:r w:rsidRPr="006651BA">
        <w:t>particularly as they relate to energy management technology marketplaces</w:t>
      </w:r>
      <w:r>
        <w:t>,</w:t>
      </w:r>
      <w:r w:rsidRPr="006651BA">
        <w:rPr>
          <w:vertAlign w:val="superscript"/>
        </w:rPr>
        <w:footnoteReference w:id="149"/>
      </w:r>
      <w:r w:rsidRPr="006651BA">
        <w:t xml:space="preserve"> </w:t>
      </w:r>
      <w:r>
        <w:t xml:space="preserve">and </w:t>
      </w:r>
      <w:r w:rsidRPr="006425D0">
        <w:t xml:space="preserve">proposes that the IOUs use the online </w:t>
      </w:r>
      <w:r>
        <w:t>e</w:t>
      </w:r>
      <w:r w:rsidRPr="006425D0">
        <w:t xml:space="preserve">nergy </w:t>
      </w:r>
      <w:r>
        <w:t>e</w:t>
      </w:r>
      <w:r w:rsidRPr="006425D0">
        <w:t xml:space="preserve">fficiency marketplace to promote </w:t>
      </w:r>
      <w:r>
        <w:t xml:space="preserve">the </w:t>
      </w:r>
      <w:r w:rsidRPr="006425D0">
        <w:t>CARE</w:t>
      </w:r>
      <w:r>
        <w:t xml:space="preserve"> and </w:t>
      </w:r>
      <w:r w:rsidRPr="006425D0">
        <w:t>FERA programs.</w:t>
      </w:r>
      <w:r w:rsidRPr="006425D0">
        <w:rPr>
          <w:vertAlign w:val="superscript"/>
        </w:rPr>
        <w:footnoteReference w:id="150"/>
      </w:r>
      <w:r>
        <w:t xml:space="preserve">  </w:t>
      </w:r>
      <w:proofErr w:type="spellStart"/>
      <w:r>
        <w:t>Enervee</w:t>
      </w:r>
      <w:proofErr w:type="spellEnd"/>
      <w:r>
        <w:t xml:space="preserve"> states that m</w:t>
      </w:r>
      <w:r w:rsidRPr="006651BA">
        <w:t>arketplace</w:t>
      </w:r>
      <w:r>
        <w:t>s</w:t>
      </w:r>
      <w:r w:rsidRPr="006651BA">
        <w:t xml:space="preserve"> have demonstrated their ability to drive customer engagement and serve as opportunities to cross-promote ESA programming and CARE and FERA enrollment. </w:t>
      </w:r>
      <w:r>
        <w:t xml:space="preserve"> </w:t>
      </w:r>
      <w:proofErr w:type="spellStart"/>
      <w:r>
        <w:t>Enervee</w:t>
      </w:r>
      <w:proofErr w:type="spellEnd"/>
      <w:r>
        <w:t xml:space="preserve"> asserts that m</w:t>
      </w:r>
      <w:r w:rsidRPr="006651BA">
        <w:t>arketplace</w:t>
      </w:r>
      <w:r>
        <w:t>s</w:t>
      </w:r>
      <w:r w:rsidRPr="006651BA">
        <w:t xml:space="preserve"> ha</w:t>
      </w:r>
      <w:r>
        <w:t>ve</w:t>
      </w:r>
      <w:r w:rsidRPr="006651BA">
        <w:t xml:space="preserve"> hundreds of thousands of unique annual visitors and can offer an additional channel to get customers to enroll in multiple programs, which could maximize the efficiency of the money that IOUs spend on marketing to drive enrollments.</w:t>
      </w:r>
      <w:r w:rsidRPr="006651BA">
        <w:rPr>
          <w:vertAlign w:val="superscript"/>
        </w:rPr>
        <w:footnoteReference w:id="151"/>
      </w:r>
      <w:r w:rsidRPr="006651BA">
        <w:t xml:space="preserve"> </w:t>
      </w:r>
      <w:r>
        <w:t xml:space="preserve"> Lastly, </w:t>
      </w:r>
      <w:proofErr w:type="spellStart"/>
      <w:r>
        <w:t>Enervee</w:t>
      </w:r>
      <w:proofErr w:type="spellEnd"/>
      <w:r>
        <w:t xml:space="preserve"> claims that </w:t>
      </w:r>
      <w:r w:rsidRPr="006651BA">
        <w:t>information provided by the platform in real-time could be used to improve educational materials.</w:t>
      </w:r>
      <w:r w:rsidRPr="006651BA">
        <w:rPr>
          <w:vertAlign w:val="superscript"/>
        </w:rPr>
        <w:footnoteReference w:id="152"/>
      </w:r>
      <w:r>
        <w:t xml:space="preserve">  </w:t>
      </w:r>
      <w:proofErr w:type="spellStart"/>
      <w:r w:rsidRPr="00A52BA5" w:rsidR="00A52BA5">
        <w:t>Enervee</w:t>
      </w:r>
      <w:proofErr w:type="spellEnd"/>
      <w:r w:rsidRPr="00A52BA5" w:rsidR="00A52BA5">
        <w:t xml:space="preserve"> further recommends that </w:t>
      </w:r>
      <w:r w:rsidR="000330CC">
        <w:t>the IOUs</w:t>
      </w:r>
      <w:r w:rsidRPr="00A52BA5" w:rsidR="00A52BA5">
        <w:t xml:space="preserve"> conduct a study to understand how CARE/FERA </w:t>
      </w:r>
      <w:r w:rsidRPr="00244151" w:rsidR="00A52BA5">
        <w:t>customers research, choose and purchase energy-using equipment; the barriers to efficient</w:t>
      </w:r>
      <w:r w:rsidRPr="00A52BA5" w:rsidR="00A52BA5">
        <w:t xml:space="preserve"> </w:t>
      </w:r>
      <w:r w:rsidRPr="00244151" w:rsidR="00A52BA5">
        <w:t xml:space="preserve">purchases they face; and </w:t>
      </w:r>
      <w:r w:rsidRPr="00244151" w:rsidR="00A52BA5">
        <w:lastRenderedPageBreak/>
        <w:t>identify gaps in existing program offerings and recommendations to</w:t>
      </w:r>
      <w:r w:rsidRPr="00A52BA5" w:rsidR="00A52BA5">
        <w:t xml:space="preserve"> </w:t>
      </w:r>
      <w:r w:rsidRPr="00244151" w:rsidR="00A52BA5">
        <w:t xml:space="preserve">provide greater buying support. </w:t>
      </w:r>
      <w:r w:rsidRPr="00A52BA5" w:rsidR="00A52BA5">
        <w:t xml:space="preserve">The study budget would be </w:t>
      </w:r>
      <w:r w:rsidRPr="00244151" w:rsidR="00A52BA5">
        <w:t>authorized via the Advice Letter for proposed online retail pilots, which would also provide</w:t>
      </w:r>
      <w:r w:rsidRPr="00A52BA5" w:rsidR="00A52BA5">
        <w:t xml:space="preserve"> </w:t>
      </w:r>
      <w:r w:rsidRPr="00244151" w:rsidR="00A52BA5">
        <w:t>relevant data and insights.</w:t>
      </w:r>
      <w:r w:rsidRPr="00A52BA5" w:rsidR="00A52BA5">
        <w:rPr>
          <w:vertAlign w:val="superscript"/>
        </w:rPr>
        <w:footnoteReference w:id="153"/>
      </w:r>
    </w:p>
    <w:p w:rsidR="000C1980" w:rsidP="001968DC" w:rsidRDefault="000C1980" w14:paraId="6AEE0DED" w14:textId="2887C785">
      <w:pPr>
        <w:pStyle w:val="Heading4"/>
        <w:ind w:left="3600"/>
      </w:pPr>
      <w:bookmarkStart w:name="_Toc69947792" w:id="99"/>
      <w:r>
        <w:t>EEC</w:t>
      </w:r>
      <w:bookmarkEnd w:id="99"/>
      <w:r>
        <w:t xml:space="preserve"> </w:t>
      </w:r>
    </w:p>
    <w:p w:rsidR="000C1980" w:rsidP="0023091F" w:rsidRDefault="000C1980" w14:paraId="49992F37" w14:textId="77777777">
      <w:pPr>
        <w:pStyle w:val="ALJBodyText"/>
      </w:pPr>
      <w:r>
        <w:rPr>
          <w:b/>
          <w:bCs/>
          <w:i/>
          <w:iCs/>
          <w:u w:val="single"/>
        </w:rPr>
        <w:t>Establishment of an Online</w:t>
      </w:r>
      <w:r w:rsidRPr="001D112F">
        <w:rPr>
          <w:b/>
          <w:bCs/>
          <w:i/>
          <w:iCs/>
          <w:u w:val="single"/>
        </w:rPr>
        <w:t xml:space="preserve"> Marketplace</w:t>
      </w:r>
      <w:r>
        <w:rPr>
          <w:b/>
          <w:bCs/>
          <w:i/>
          <w:iCs/>
          <w:u w:val="single"/>
        </w:rPr>
        <w:t>:</w:t>
      </w:r>
      <w:r>
        <w:t xml:space="preserve"> The </w:t>
      </w:r>
      <w:r w:rsidRPr="00145CEC">
        <w:t xml:space="preserve">EEC agrees that an online marketplace should be able to steer </w:t>
      </w:r>
      <w:proofErr w:type="gramStart"/>
      <w:r w:rsidRPr="00145CEC">
        <w:t>low</w:t>
      </w:r>
      <w:r>
        <w:t xml:space="preserve"> </w:t>
      </w:r>
      <w:r w:rsidRPr="00145CEC">
        <w:t>income</w:t>
      </w:r>
      <w:proofErr w:type="gramEnd"/>
      <w:r w:rsidRPr="00145CEC">
        <w:t xml:space="preserve"> families to ESA, CARE, and other CPUC-approved low</w:t>
      </w:r>
      <w:r>
        <w:t xml:space="preserve"> </w:t>
      </w:r>
      <w:r w:rsidRPr="00145CEC">
        <w:t>income programs.</w:t>
      </w:r>
      <w:r w:rsidRPr="00145CEC">
        <w:rPr>
          <w:vertAlign w:val="superscript"/>
        </w:rPr>
        <w:footnoteReference w:id="154"/>
      </w:r>
      <w:r w:rsidRPr="00145CEC">
        <w:t xml:space="preserve"> </w:t>
      </w:r>
    </w:p>
    <w:p w:rsidR="000C1980" w:rsidP="001968DC" w:rsidRDefault="000C1980" w14:paraId="14B51D09" w14:textId="2136D8E8">
      <w:pPr>
        <w:pStyle w:val="Heading4"/>
        <w:ind w:left="3600"/>
      </w:pPr>
      <w:bookmarkStart w:name="_Toc69947793" w:id="100"/>
      <w:r>
        <w:t>CETF</w:t>
      </w:r>
      <w:bookmarkEnd w:id="100"/>
      <w:r>
        <w:t xml:space="preserve"> </w:t>
      </w:r>
    </w:p>
    <w:p w:rsidR="000C1980" w:rsidP="0023091F" w:rsidRDefault="000C1980" w14:paraId="0327A3C3" w14:textId="77777777">
      <w:pPr>
        <w:pStyle w:val="ALJBodyText"/>
      </w:pPr>
      <w:bookmarkStart w:name="_Hlk54097052" w:id="101"/>
      <w:r>
        <w:rPr>
          <w:b/>
          <w:bCs/>
          <w:i/>
          <w:iCs/>
          <w:u w:val="single"/>
        </w:rPr>
        <w:t>Coordination with Broadband Outreach and Referrals</w:t>
      </w:r>
      <w:r w:rsidRPr="008768A0">
        <w:rPr>
          <w:b/>
          <w:bCs/>
          <w:i/>
          <w:iCs/>
          <w:u w:val="single"/>
        </w:rPr>
        <w:t>:</w:t>
      </w:r>
      <w:r>
        <w:t xml:space="preserve"> </w:t>
      </w:r>
      <w:r w:rsidRPr="003B5D4B">
        <w:t>CETF protests the IOU applications on the grounds that they fail to include outreach to all low</w:t>
      </w:r>
      <w:r>
        <w:t xml:space="preserve"> </w:t>
      </w:r>
      <w:r w:rsidRPr="003B5D4B">
        <w:t>income households to inform them about affordable internet offers.</w:t>
      </w:r>
      <w:r w:rsidRPr="003B5D4B">
        <w:rPr>
          <w:vertAlign w:val="superscript"/>
        </w:rPr>
        <w:footnoteReference w:id="155"/>
      </w:r>
      <w:r>
        <w:t xml:space="preserve"> </w:t>
      </w:r>
      <w:r w:rsidRPr="003B5D4B">
        <w:t xml:space="preserve">Specifically, CETF protests </w:t>
      </w:r>
      <w:r>
        <w:t xml:space="preserve">1) </w:t>
      </w:r>
      <w:r w:rsidRPr="003B5D4B">
        <w:t>the failure to include a commitment to assisting low</w:t>
      </w:r>
      <w:r>
        <w:t xml:space="preserve"> </w:t>
      </w:r>
      <w:r w:rsidRPr="003B5D4B">
        <w:t xml:space="preserve">income households </w:t>
      </w:r>
      <w:r>
        <w:t xml:space="preserve">in getting </w:t>
      </w:r>
      <w:r w:rsidRPr="003B5D4B">
        <w:t>connected to the internet</w:t>
      </w:r>
      <w:r>
        <w:t>,</w:t>
      </w:r>
      <w:r w:rsidRPr="003B5D4B">
        <w:t xml:space="preserve"> </w:t>
      </w:r>
      <w:r>
        <w:t xml:space="preserve">2) </w:t>
      </w:r>
      <w:r w:rsidRPr="003B5D4B">
        <w:t xml:space="preserve">failure to include funding to provide information about affordable home </w:t>
      </w:r>
      <w:r>
        <w:t>i</w:t>
      </w:r>
      <w:r w:rsidRPr="003B5D4B">
        <w:t xml:space="preserve">nternet service offers through CETF and its network of </w:t>
      </w:r>
      <w:r>
        <w:t>CBOs,</w:t>
      </w:r>
      <w:r w:rsidRPr="003B5D4B">
        <w:t xml:space="preserve"> and </w:t>
      </w:r>
      <w:r>
        <w:t xml:space="preserve">3) </w:t>
      </w:r>
      <w:r w:rsidRPr="003B5D4B">
        <w:t xml:space="preserve">consideration of funding </w:t>
      </w:r>
      <w:r>
        <w:t>CBOs</w:t>
      </w:r>
      <w:r w:rsidRPr="003B5D4B">
        <w:t xml:space="preserve"> already working with IOUs on other programs to ask customers about their home internet service and referring them to CETF and its network.</w:t>
      </w:r>
      <w:r w:rsidRPr="003B5D4B">
        <w:rPr>
          <w:vertAlign w:val="superscript"/>
        </w:rPr>
        <w:footnoteReference w:id="156"/>
      </w:r>
      <w:r w:rsidRPr="003B5D4B">
        <w:t xml:space="preserve"> </w:t>
      </w:r>
      <w:r>
        <w:t xml:space="preserve"> </w:t>
      </w:r>
      <w:r w:rsidRPr="003B5D4B">
        <w:t xml:space="preserve">CETF </w:t>
      </w:r>
      <w:r>
        <w:t xml:space="preserve">request </w:t>
      </w:r>
      <w:r w:rsidRPr="003B5D4B">
        <w:t xml:space="preserve">the </w:t>
      </w:r>
      <w:r>
        <w:t>C</w:t>
      </w:r>
      <w:r w:rsidRPr="003B5D4B">
        <w:t xml:space="preserve">ommission </w:t>
      </w:r>
      <w:r>
        <w:t xml:space="preserve">to </w:t>
      </w:r>
      <w:r w:rsidRPr="003B5D4B">
        <w:t xml:space="preserve">order </w:t>
      </w:r>
      <w:r>
        <w:t xml:space="preserve">the </w:t>
      </w:r>
      <w:r w:rsidRPr="003B5D4B">
        <w:t xml:space="preserve">IOUs to partner with </w:t>
      </w:r>
      <w:r>
        <w:t>CBOs</w:t>
      </w:r>
      <w:r w:rsidRPr="003B5D4B">
        <w:t xml:space="preserve"> and CETF to reach out to all CARE customers to inform them of available affordable home </w:t>
      </w:r>
      <w:r>
        <w:lastRenderedPageBreak/>
        <w:t>i</w:t>
      </w:r>
      <w:r w:rsidRPr="003B5D4B">
        <w:t>nternet offers as a way to promote internet access and thereby greater access to CARE and other income-qualified utility programs.</w:t>
      </w:r>
      <w:r w:rsidRPr="003B5D4B">
        <w:rPr>
          <w:vertAlign w:val="superscript"/>
        </w:rPr>
        <w:footnoteReference w:id="157"/>
      </w:r>
      <w:r w:rsidRPr="003B5D4B">
        <w:t xml:space="preserve"> </w:t>
      </w:r>
    </w:p>
    <w:p w:rsidR="000C1980" w:rsidP="001F6BDD" w:rsidRDefault="000C1980" w14:paraId="22C219E0" w14:textId="77777777">
      <w:pPr>
        <w:pStyle w:val="Standard"/>
      </w:pPr>
      <w:r w:rsidRPr="00CA773F">
        <w:t>CETF argue</w:t>
      </w:r>
      <w:r>
        <w:t>s</w:t>
      </w:r>
      <w:r w:rsidRPr="00CA773F">
        <w:t xml:space="preserve"> that </w:t>
      </w:r>
      <w:r>
        <w:t xml:space="preserve">the </w:t>
      </w:r>
      <w:r w:rsidRPr="00CA773F">
        <w:t>IOUs have</w:t>
      </w:r>
      <w:r w:rsidRPr="003B5D4B">
        <w:t xml:space="preserve"> </w:t>
      </w:r>
      <w:r>
        <w:t xml:space="preserve">the </w:t>
      </w:r>
      <w:r w:rsidRPr="003B5D4B">
        <w:t>authority to incorporate innovative strategies to increase enrollment and achieve their CARE goals</w:t>
      </w:r>
      <w:r>
        <w:t xml:space="preserve">, which </w:t>
      </w:r>
      <w:r w:rsidRPr="003B5D4B">
        <w:t>includes online outreach to customers to inform them about affordable home internet offers to achieve various purposes and goals set forth in IOU CARE and ESA proposals.</w:t>
      </w:r>
      <w:r w:rsidRPr="003B5D4B">
        <w:rPr>
          <w:vertAlign w:val="superscript"/>
        </w:rPr>
        <w:footnoteReference w:id="158"/>
      </w:r>
      <w:r w:rsidRPr="003B5D4B">
        <w:t xml:space="preserve"> </w:t>
      </w:r>
      <w:r>
        <w:t xml:space="preserve"> </w:t>
      </w:r>
      <w:r w:rsidRPr="003B5D4B">
        <w:t xml:space="preserve">CETF </w:t>
      </w:r>
      <w:r w:rsidRPr="001F6BDD">
        <w:t>asserts</w:t>
      </w:r>
      <w:r w:rsidRPr="003B5D4B">
        <w:t xml:space="preserve"> that online outreach could assist in getting energy efficiency programs to low</w:t>
      </w:r>
      <w:r>
        <w:t xml:space="preserve"> </w:t>
      </w:r>
      <w:r w:rsidRPr="003B5D4B">
        <w:t>income consumers and increase results in hard</w:t>
      </w:r>
      <w:r>
        <w:noBreakHyphen/>
      </w:r>
      <w:r w:rsidRPr="003B5D4B">
        <w:t>to</w:t>
      </w:r>
      <w:r>
        <w:noBreakHyphen/>
      </w:r>
      <w:r w:rsidRPr="003B5D4B">
        <w:t>reach populations.</w:t>
      </w:r>
      <w:r w:rsidRPr="003B5D4B">
        <w:rPr>
          <w:vertAlign w:val="superscript"/>
        </w:rPr>
        <w:footnoteReference w:id="159"/>
      </w:r>
      <w:r>
        <w:t xml:space="preserve">  </w:t>
      </w:r>
      <w:r w:rsidRPr="003B5D4B">
        <w:t>CETF also specifically recommends that the IOUs ensure that low</w:t>
      </w:r>
      <w:r>
        <w:t xml:space="preserve"> </w:t>
      </w:r>
      <w:r w:rsidRPr="003B5D4B">
        <w:t>income households and medical baseline customers in wildfire risk areas have online connections as part of outreach efforts on SB</w:t>
      </w:r>
      <w:r>
        <w:t xml:space="preserve"> </w:t>
      </w:r>
      <w:r w:rsidRPr="003B5D4B">
        <w:t>1477 programs.</w:t>
      </w:r>
      <w:r w:rsidRPr="003B5D4B">
        <w:rPr>
          <w:vertAlign w:val="superscript"/>
        </w:rPr>
        <w:footnoteReference w:id="160"/>
      </w:r>
      <w:r w:rsidRPr="003B5D4B">
        <w:t xml:space="preserve"> </w:t>
      </w:r>
    </w:p>
    <w:p w:rsidR="000C1980" w:rsidP="0023091F" w:rsidRDefault="000C1980" w14:paraId="0B677C66" w14:textId="77777777">
      <w:pPr>
        <w:pStyle w:val="ALJBodyText"/>
      </w:pPr>
      <w:r>
        <w:t xml:space="preserve">In terms of funding, </w:t>
      </w:r>
      <w:r w:rsidRPr="003B5D4B">
        <w:t xml:space="preserve">CETF argues that unspent </w:t>
      </w:r>
      <w:r>
        <w:t>funds from the C</w:t>
      </w:r>
      <w:r w:rsidRPr="003B5D4B">
        <w:t>ARE and ESA programs could be used to implement internet sign-up outreach.</w:t>
      </w:r>
      <w:r w:rsidRPr="003B5D4B">
        <w:rPr>
          <w:vertAlign w:val="superscript"/>
        </w:rPr>
        <w:footnoteReference w:id="161"/>
      </w:r>
    </w:p>
    <w:p w:rsidR="000C1980" w:rsidP="0023091F" w:rsidRDefault="000C1980" w14:paraId="1C1C0D41" w14:textId="6405AF8E">
      <w:pPr>
        <w:pStyle w:val="ALJBodyText"/>
      </w:pPr>
      <w:r>
        <w:t>Lastly, CETF recommends that a</w:t>
      </w:r>
      <w:r w:rsidRPr="0047638B">
        <w:t xml:space="preserve">t the bottom of the </w:t>
      </w:r>
      <w:r>
        <w:t xml:space="preserve">IOU </w:t>
      </w:r>
      <w:r w:rsidRPr="0047638B">
        <w:t>website page</w:t>
      </w:r>
      <w:r>
        <w:t>s</w:t>
      </w:r>
      <w:r w:rsidRPr="0047638B">
        <w:t xml:space="preserve"> for the CARE/FERA program, there should be a brief</w:t>
      </w:r>
      <w:r>
        <w:t xml:space="preserve"> </w:t>
      </w:r>
      <w:r w:rsidRPr="0047638B">
        <w:t xml:space="preserve">introduction to the California </w:t>
      </w:r>
      <w:proofErr w:type="spellStart"/>
      <w:r w:rsidRPr="0047638B">
        <w:t>LifeLine</w:t>
      </w:r>
      <w:proofErr w:type="spellEnd"/>
      <w:r w:rsidRPr="0047638B">
        <w:t xml:space="preserve"> program and weblinks to</w:t>
      </w:r>
      <w:r>
        <w:t xml:space="preserve"> </w:t>
      </w:r>
      <w:r w:rsidRPr="0047638B">
        <w:t xml:space="preserve">the CPUC’s Do You Qualify for </w:t>
      </w:r>
      <w:proofErr w:type="spellStart"/>
      <w:r w:rsidRPr="0047638B">
        <w:t>Life</w:t>
      </w:r>
      <w:r w:rsidR="00E52FB1">
        <w:t>L</w:t>
      </w:r>
      <w:r w:rsidRPr="0047638B">
        <w:t>ine</w:t>
      </w:r>
      <w:proofErr w:type="spellEnd"/>
      <w:r w:rsidRPr="0047638B">
        <w:t xml:space="preserve"> website page</w:t>
      </w:r>
      <w:r>
        <w:t>.</w:t>
      </w:r>
      <w:r>
        <w:rPr>
          <w:rStyle w:val="FootnoteReference"/>
        </w:rPr>
        <w:footnoteReference w:id="162"/>
      </w:r>
      <w:r>
        <w:t xml:space="preserve">   </w:t>
      </w:r>
    </w:p>
    <w:p w:rsidRPr="005153D4" w:rsidR="000C1980" w:rsidP="001968DC" w:rsidRDefault="000C1980" w14:paraId="7B3532ED" w14:textId="1CAD8403">
      <w:pPr>
        <w:pStyle w:val="Heading4"/>
        <w:ind w:left="3600"/>
      </w:pPr>
      <w:bookmarkStart w:name="_Toc69947794" w:id="102"/>
      <w:bookmarkEnd w:id="101"/>
      <w:r>
        <w:lastRenderedPageBreak/>
        <w:t>TURN</w:t>
      </w:r>
      <w:bookmarkEnd w:id="102"/>
      <w:r w:rsidRPr="005153D4">
        <w:t xml:space="preserve"> </w:t>
      </w:r>
    </w:p>
    <w:p w:rsidRPr="00B02086" w:rsidR="000C1980" w:rsidP="0023091F" w:rsidRDefault="000C1980" w14:paraId="42EFB6C4" w14:textId="388F4687">
      <w:pPr>
        <w:pStyle w:val="ALJBodyText"/>
      </w:pPr>
      <w:r>
        <w:rPr>
          <w:b/>
          <w:bCs/>
          <w:i/>
          <w:iCs/>
          <w:u w:val="single"/>
        </w:rPr>
        <w:t>Coordination with Broadband Outreach and Referrals</w:t>
      </w:r>
      <w:r w:rsidRPr="008768A0">
        <w:rPr>
          <w:b/>
          <w:bCs/>
          <w:i/>
          <w:iCs/>
          <w:u w:val="single"/>
        </w:rPr>
        <w:t>:</w:t>
      </w:r>
      <w:r>
        <w:t xml:space="preserve"> </w:t>
      </w:r>
      <w:r w:rsidRPr="00B02086">
        <w:t xml:space="preserve">TURN </w:t>
      </w:r>
      <w:r>
        <w:t xml:space="preserve">is generally </w:t>
      </w:r>
      <w:r w:rsidRPr="00B02086">
        <w:t>supportive of including affordable broadband marketing in ESA/CARE/FERA marketing material</w:t>
      </w:r>
      <w:r w:rsidR="00221937">
        <w:t>;</w:t>
      </w:r>
      <w:r>
        <w:t xml:space="preserve"> h</w:t>
      </w:r>
      <w:r w:rsidRPr="00B02086">
        <w:t xml:space="preserve">owever, TURN opposes the suggestion by CETF that the IOUs be ordered to refer their </w:t>
      </w:r>
      <w:proofErr w:type="gramStart"/>
      <w:r w:rsidRPr="00B02086">
        <w:t>low</w:t>
      </w:r>
      <w:r>
        <w:t xml:space="preserve"> </w:t>
      </w:r>
      <w:r w:rsidRPr="00B02086">
        <w:t>income</w:t>
      </w:r>
      <w:proofErr w:type="gramEnd"/>
      <w:r w:rsidRPr="00B02086">
        <w:t xml:space="preserve"> customers to CETF-designated </w:t>
      </w:r>
      <w:r>
        <w:t>CBOs</w:t>
      </w:r>
      <w:r w:rsidRPr="00B02086">
        <w:t xml:space="preserve">. TURN recommends that the Commission solicit interest from a broad array of </w:t>
      </w:r>
      <w:r>
        <w:t>CBOs</w:t>
      </w:r>
      <w:r w:rsidRPr="00B02086">
        <w:t xml:space="preserve">, including but not limited to those already providing ratepayer-funded services to utility consumers through the CARE, ESA, </w:t>
      </w:r>
      <w:r w:rsidRPr="009A4BD8">
        <w:t>Telecommunications Education and Assistance in Multiple-Languages (TEAM) Program</w:t>
      </w:r>
      <w:r w:rsidRPr="00B02086">
        <w:t xml:space="preserve">, and </w:t>
      </w:r>
      <w:r>
        <w:t>Community Help and Awareness for Natural Gas and Electric Services (CHANGES)</w:t>
      </w:r>
      <w:r w:rsidRPr="00B02086">
        <w:t xml:space="preserve"> programs.</w:t>
      </w:r>
      <w:r w:rsidRPr="00B02086">
        <w:rPr>
          <w:vertAlign w:val="superscript"/>
        </w:rPr>
        <w:footnoteReference w:id="163"/>
      </w:r>
    </w:p>
    <w:p w:rsidRPr="005153D4" w:rsidR="000C1980" w:rsidP="001968DC" w:rsidRDefault="000C1980" w14:paraId="01436309" w14:textId="22D44358">
      <w:pPr>
        <w:pStyle w:val="Heading4"/>
        <w:ind w:left="3600"/>
      </w:pPr>
      <w:bookmarkStart w:name="_Toc69947795" w:id="103"/>
      <w:r>
        <w:t>EEC, TELACU et al.</w:t>
      </w:r>
      <w:bookmarkEnd w:id="103"/>
      <w:r w:rsidRPr="005153D4">
        <w:t xml:space="preserve"> </w:t>
      </w:r>
    </w:p>
    <w:p w:rsidR="000C1980" w:rsidP="0023091F" w:rsidRDefault="000C1980" w14:paraId="113AFDFB" w14:textId="01E0C5D2">
      <w:pPr>
        <w:pStyle w:val="ALJBodyText"/>
      </w:pPr>
      <w:r>
        <w:rPr>
          <w:b/>
          <w:bCs/>
          <w:i/>
          <w:iCs/>
          <w:u w:val="single"/>
        </w:rPr>
        <w:t>Coordination with Broadband Outreach and Referrals</w:t>
      </w:r>
      <w:r w:rsidRPr="008768A0">
        <w:rPr>
          <w:b/>
          <w:bCs/>
          <w:i/>
          <w:iCs/>
          <w:u w:val="single"/>
        </w:rPr>
        <w:t>:</w:t>
      </w:r>
      <w:r>
        <w:t xml:space="preserve"> </w:t>
      </w:r>
      <w:r w:rsidRPr="00F3356F">
        <w:t>EEC</w:t>
      </w:r>
      <w:r>
        <w:t xml:space="preserve"> and </w:t>
      </w:r>
      <w:r w:rsidRPr="00F3356F">
        <w:t>TELACU</w:t>
      </w:r>
      <w:r>
        <w:t xml:space="preserve"> et al. </w:t>
      </w:r>
      <w:r w:rsidRPr="00F3356F">
        <w:t xml:space="preserve">provide the following suggestions </w:t>
      </w:r>
      <w:r>
        <w:t xml:space="preserve">to </w:t>
      </w:r>
      <w:r w:rsidRPr="00F3356F">
        <w:t>CETF</w:t>
      </w:r>
      <w:r>
        <w:t>’s</w:t>
      </w:r>
      <w:r w:rsidRPr="00F3356F">
        <w:t xml:space="preserve"> proposal</w:t>
      </w:r>
      <w:r>
        <w:t>:</w:t>
      </w:r>
      <w:r w:rsidRPr="00F3356F">
        <w:rPr>
          <w:vertAlign w:val="superscript"/>
        </w:rPr>
        <w:footnoteReference w:id="164"/>
      </w:r>
      <w:r w:rsidRPr="00F3356F">
        <w:t xml:space="preserve"> 1)</w:t>
      </w:r>
      <w:r w:rsidR="009E1206">
        <w:t> </w:t>
      </w:r>
      <w:r w:rsidRPr="00F3356F">
        <w:t xml:space="preserve">CETF and other </w:t>
      </w:r>
      <w:r>
        <w:t>c</w:t>
      </w:r>
      <w:r w:rsidRPr="00F3356F">
        <w:t>ommunications entities should be required to provide information and referrals to ESA and CARE in their marketing materials, 2)</w:t>
      </w:r>
      <w:r w:rsidR="009E1206">
        <w:t> </w:t>
      </w:r>
      <w:r w:rsidRPr="00F3356F">
        <w:t>ETF should use the pre-existing network of ESA outreach specialists to inform and enroll low</w:t>
      </w:r>
      <w:r>
        <w:t xml:space="preserve"> </w:t>
      </w:r>
      <w:r w:rsidRPr="00F3356F">
        <w:t>income families in affordable broadband programs, 3)</w:t>
      </w:r>
      <w:r w:rsidR="009E1206">
        <w:t> </w:t>
      </w:r>
      <w:r w:rsidRPr="00F3356F">
        <w:t xml:space="preserve">the Commission should authorize ESA </w:t>
      </w:r>
      <w:r>
        <w:t>c</w:t>
      </w:r>
      <w:r w:rsidRPr="00F3356F">
        <w:t xml:space="preserve">ontractors to provide the affordable broadband enrollment services directly to CETF or its equivalent during their ESA outreach, regardless of any restrictions in the current ESA contracts, 4) CETF or its equivalent should hire existing ESA </w:t>
      </w:r>
      <w:r>
        <w:t>c</w:t>
      </w:r>
      <w:r w:rsidRPr="00F3356F">
        <w:t>ontractors to perform outreach broadband services similar to those of the CETF</w:t>
      </w:r>
      <w:r>
        <w:t xml:space="preserve"> CBOs</w:t>
      </w:r>
      <w:r w:rsidRPr="00F3356F">
        <w:t>, 5)</w:t>
      </w:r>
      <w:r w:rsidR="009E1206">
        <w:t> </w:t>
      </w:r>
      <w:r w:rsidRPr="00F3356F">
        <w:t xml:space="preserve">the Commission should allow private ESA </w:t>
      </w:r>
      <w:r>
        <w:t>c</w:t>
      </w:r>
      <w:r w:rsidRPr="00F3356F">
        <w:t xml:space="preserve">ontractors to seek the California Advanced Services Fund (CASF) grants, 6) the Commission </w:t>
      </w:r>
      <w:r w:rsidRPr="00F3356F">
        <w:lastRenderedPageBreak/>
        <w:t xml:space="preserve">should allow ESA outreach staff to enroll customers into the </w:t>
      </w:r>
      <w:proofErr w:type="spellStart"/>
      <w:r w:rsidRPr="00F3356F">
        <w:t>LifeLine</w:t>
      </w:r>
      <w:proofErr w:type="spellEnd"/>
      <w:r w:rsidRPr="00F3356F">
        <w:t xml:space="preserve"> program, 7)</w:t>
      </w:r>
      <w:r>
        <w:t> </w:t>
      </w:r>
      <w:r w:rsidRPr="00F3356F">
        <w:t xml:space="preserve">CETF should reimburse the IOUs for the costs of having their ESA </w:t>
      </w:r>
      <w:r>
        <w:t>c</w:t>
      </w:r>
      <w:r w:rsidRPr="00F3356F">
        <w:t xml:space="preserve">ontractors provide such services, or ESA </w:t>
      </w:r>
      <w:r>
        <w:t>c</w:t>
      </w:r>
      <w:r w:rsidRPr="00F3356F">
        <w:t>ontractors should be allowed to contract directly with CETF.</w:t>
      </w:r>
    </w:p>
    <w:p w:rsidR="000C1980" w:rsidP="001968DC" w:rsidRDefault="000C1980" w14:paraId="1F2E3205" w14:textId="6E235212">
      <w:pPr>
        <w:pStyle w:val="Heading3"/>
        <w:ind w:left="2664"/>
      </w:pPr>
      <w:bookmarkStart w:name="_Toc69947796" w:id="104"/>
      <w:r w:rsidRPr="005153D4">
        <w:t>IOU Response</w:t>
      </w:r>
      <w:r>
        <w:t>s</w:t>
      </w:r>
      <w:bookmarkEnd w:id="104"/>
    </w:p>
    <w:p w:rsidR="000C1980" w:rsidP="001968DC" w:rsidRDefault="000C1980" w14:paraId="4A41B2C2" w14:textId="77777777">
      <w:pPr>
        <w:pStyle w:val="Heading4"/>
        <w:ind w:left="3600"/>
      </w:pPr>
      <w:bookmarkStart w:name="_Toc69947797" w:id="105"/>
      <w:r>
        <w:t>PG&amp;E</w:t>
      </w:r>
      <w:bookmarkEnd w:id="105"/>
    </w:p>
    <w:p w:rsidR="000C1980" w:rsidP="0023091F" w:rsidRDefault="000C1980" w14:paraId="5573A2DD" w14:textId="77777777">
      <w:pPr>
        <w:pStyle w:val="ALJBodyText"/>
      </w:pPr>
      <w:r>
        <w:rPr>
          <w:b/>
          <w:bCs/>
          <w:i/>
          <w:iCs/>
          <w:u w:val="single"/>
        </w:rPr>
        <w:t>Coordination with Broadband Outreach and Referrals</w:t>
      </w:r>
      <w:r w:rsidRPr="008768A0">
        <w:rPr>
          <w:b/>
          <w:bCs/>
          <w:i/>
          <w:iCs/>
          <w:u w:val="single"/>
        </w:rPr>
        <w:t>:</w:t>
      </w:r>
      <w:r>
        <w:t xml:space="preserve"> PG&amp;E argues</w:t>
      </w:r>
      <w:r w:rsidRPr="003B5D4B">
        <w:t xml:space="preserve"> that CETF’s protest and suggestions are beyond the scope of this proceeding because they are inconsistent with </w:t>
      </w:r>
      <w:r w:rsidRPr="008F1EE5">
        <w:t>Pub. Util.</w:t>
      </w:r>
      <w:r>
        <w:t xml:space="preserve"> Code </w:t>
      </w:r>
      <w:r w:rsidRPr="003B5D4B">
        <w:t>Sections 739.1 and 2790, which set priorities for use of funds collected to implement CARE and ESA programs.</w:t>
      </w:r>
      <w:r w:rsidRPr="003B5D4B">
        <w:rPr>
          <w:vertAlign w:val="superscript"/>
        </w:rPr>
        <w:footnoteReference w:id="165"/>
      </w:r>
      <w:r w:rsidRPr="003B5D4B">
        <w:t xml:space="preserve"> </w:t>
      </w:r>
      <w:r>
        <w:t xml:space="preserve"> </w:t>
      </w:r>
    </w:p>
    <w:p w:rsidR="000C1980" w:rsidP="001968DC" w:rsidRDefault="000C1980" w14:paraId="503BED79" w14:textId="598BD68E">
      <w:pPr>
        <w:pStyle w:val="Heading4"/>
        <w:ind w:left="3600"/>
      </w:pPr>
      <w:bookmarkStart w:name="_Toc69947798" w:id="106"/>
      <w:r>
        <w:t>SCE</w:t>
      </w:r>
      <w:bookmarkEnd w:id="106"/>
    </w:p>
    <w:p w:rsidRPr="00CE0F71" w:rsidR="000C1980" w:rsidP="0023091F" w:rsidRDefault="000C1980" w14:paraId="26121818" w14:textId="492CB985">
      <w:pPr>
        <w:pStyle w:val="ALJBodyText"/>
      </w:pPr>
      <w:r>
        <w:rPr>
          <w:b/>
          <w:bCs/>
          <w:i/>
          <w:iCs/>
          <w:u w:val="single"/>
        </w:rPr>
        <w:t>Coordination with Broadband Outreach and Referrals</w:t>
      </w:r>
      <w:r w:rsidRPr="008768A0">
        <w:rPr>
          <w:b/>
          <w:bCs/>
          <w:i/>
          <w:iCs/>
          <w:u w:val="single"/>
        </w:rPr>
        <w:t>:</w:t>
      </w:r>
      <w:r>
        <w:t xml:space="preserve"> </w:t>
      </w:r>
      <w:r w:rsidRPr="003B5D4B">
        <w:t>SCE argues that CARE is designed to provide bill assistance to eligible customers</w:t>
      </w:r>
      <w:r w:rsidR="00D92532">
        <w:t xml:space="preserve">. It </w:t>
      </w:r>
      <w:r w:rsidR="00B964D0">
        <w:t xml:space="preserve">contends </w:t>
      </w:r>
      <w:r w:rsidRPr="003B5D4B">
        <w:t>that the program is not designed to inform customers about affordable internet options, and it would be inappropriate for ratepayer funds to be used to this end.</w:t>
      </w:r>
      <w:r w:rsidRPr="003B5D4B">
        <w:rPr>
          <w:vertAlign w:val="superscript"/>
        </w:rPr>
        <w:footnoteReference w:id="166"/>
      </w:r>
      <w:r w:rsidRPr="003B5D4B">
        <w:t xml:space="preserve"> </w:t>
      </w:r>
    </w:p>
    <w:p w:rsidRPr="002E2776" w:rsidR="000C1980" w:rsidP="001968DC" w:rsidRDefault="000C1980" w14:paraId="1F332218" w14:textId="69534F27">
      <w:pPr>
        <w:pStyle w:val="Heading4"/>
        <w:ind w:left="3600"/>
      </w:pPr>
      <w:bookmarkStart w:name="_Toc69947799" w:id="107"/>
      <w:r>
        <w:t>SDG&amp;E</w:t>
      </w:r>
      <w:bookmarkEnd w:id="107"/>
    </w:p>
    <w:p w:rsidR="000C1980" w:rsidP="0023091F" w:rsidRDefault="000C1980" w14:paraId="07AFB03D" w14:textId="77777777">
      <w:pPr>
        <w:pStyle w:val="ALJBodyText"/>
      </w:pPr>
      <w:r>
        <w:rPr>
          <w:b/>
          <w:bCs/>
          <w:i/>
          <w:iCs/>
          <w:u w:val="single"/>
        </w:rPr>
        <w:t>Coordination with Broadband Outreach and Referrals</w:t>
      </w:r>
      <w:r w:rsidRPr="008768A0">
        <w:rPr>
          <w:b/>
          <w:bCs/>
          <w:i/>
          <w:iCs/>
          <w:u w:val="single"/>
        </w:rPr>
        <w:t>:</w:t>
      </w:r>
      <w:r>
        <w:t xml:space="preserve"> </w:t>
      </w:r>
      <w:r w:rsidRPr="003B5D4B">
        <w:t xml:space="preserve">SDG&amp;E </w:t>
      </w:r>
      <w:r>
        <w:t>argues</w:t>
      </w:r>
      <w:r w:rsidRPr="003B5D4B">
        <w:t xml:space="preserve"> that broadband outreach is outside the authority granted to IOUs by the Commission to implement innovative solutions to CARE enrollment.</w:t>
      </w:r>
      <w:r w:rsidRPr="003B5D4B">
        <w:rPr>
          <w:vertAlign w:val="superscript"/>
        </w:rPr>
        <w:footnoteReference w:id="167"/>
      </w:r>
      <w:r w:rsidRPr="003B5D4B">
        <w:t xml:space="preserve"> </w:t>
      </w:r>
      <w:r>
        <w:t xml:space="preserve"> </w:t>
      </w:r>
      <w:r w:rsidRPr="003B5D4B">
        <w:t xml:space="preserve">In addition, unspent balances </w:t>
      </w:r>
      <w:r>
        <w:t xml:space="preserve">cannot be used to fund this effort as they </w:t>
      </w:r>
      <w:r w:rsidRPr="003B5D4B">
        <w:t xml:space="preserve">are </w:t>
      </w:r>
      <w:r w:rsidRPr="003B5D4B">
        <w:lastRenderedPageBreak/>
        <w:t>currently reallocated or earmarked for specific uses within the income qualified programs.</w:t>
      </w:r>
      <w:r w:rsidRPr="003B5D4B">
        <w:rPr>
          <w:vertAlign w:val="superscript"/>
        </w:rPr>
        <w:footnoteReference w:id="168"/>
      </w:r>
      <w:r>
        <w:t xml:space="preserve"> </w:t>
      </w:r>
    </w:p>
    <w:p w:rsidRPr="003B5D4B" w:rsidR="000C1980" w:rsidP="0023091F" w:rsidRDefault="000C1980" w14:paraId="7A08CC81" w14:textId="77777777">
      <w:pPr>
        <w:pStyle w:val="ALJBodyText"/>
      </w:pPr>
      <w:r>
        <w:rPr>
          <w:b/>
          <w:bCs/>
          <w:i/>
          <w:iCs/>
          <w:u w:val="single"/>
        </w:rPr>
        <w:t>Establishment of an Online</w:t>
      </w:r>
      <w:r w:rsidRPr="001D112F">
        <w:rPr>
          <w:b/>
          <w:bCs/>
          <w:i/>
          <w:iCs/>
          <w:u w:val="single"/>
        </w:rPr>
        <w:t xml:space="preserve"> Marketplace</w:t>
      </w:r>
      <w:r>
        <w:rPr>
          <w:b/>
          <w:bCs/>
          <w:i/>
          <w:iCs/>
          <w:u w:val="single"/>
        </w:rPr>
        <w:t>:</w:t>
      </w:r>
      <w:r w:rsidRPr="006651BA">
        <w:t xml:space="preserve"> SDG&amp;E </w:t>
      </w:r>
      <w:r>
        <w:t>opposes</w:t>
      </w:r>
      <w:r w:rsidRPr="006651BA">
        <w:t xml:space="preserve"> includ</w:t>
      </w:r>
      <w:r>
        <w:t>ing</w:t>
      </w:r>
      <w:r w:rsidRPr="006651BA">
        <w:t xml:space="preserve"> </w:t>
      </w:r>
      <w:r>
        <w:t>m</w:t>
      </w:r>
      <w:r w:rsidRPr="006651BA">
        <w:t xml:space="preserve">arketplace technology in the CARE program </w:t>
      </w:r>
      <w:r>
        <w:t>stating that 1) it</w:t>
      </w:r>
      <w:r w:rsidRPr="006651BA">
        <w:t xml:space="preserve"> is premature, and </w:t>
      </w:r>
      <w:r>
        <w:t xml:space="preserve">2) </w:t>
      </w:r>
      <w:r w:rsidRPr="006651BA">
        <w:t xml:space="preserve">SDG&amp;E’s marketplace is already available to all customers including </w:t>
      </w:r>
      <w:proofErr w:type="gramStart"/>
      <w:r w:rsidRPr="006651BA">
        <w:t>low</w:t>
      </w:r>
      <w:r>
        <w:t xml:space="preserve"> </w:t>
      </w:r>
      <w:r w:rsidRPr="006651BA">
        <w:t>income</w:t>
      </w:r>
      <w:proofErr w:type="gramEnd"/>
      <w:r w:rsidRPr="006651BA">
        <w:t xml:space="preserve"> customers on the SDG&amp;E website.</w:t>
      </w:r>
      <w:r w:rsidRPr="006651BA">
        <w:rPr>
          <w:vertAlign w:val="superscript"/>
        </w:rPr>
        <w:footnoteReference w:id="169"/>
      </w:r>
      <w:r w:rsidRPr="006651BA">
        <w:t xml:space="preserve"> SDG&amp;E further suggests that using </w:t>
      </w:r>
      <w:proofErr w:type="spellStart"/>
      <w:r w:rsidRPr="006651BA">
        <w:t>Enervee’s</w:t>
      </w:r>
      <w:proofErr w:type="spellEnd"/>
      <w:r w:rsidRPr="006651BA">
        <w:t xml:space="preserve"> branded marketplace would run contrary to the utility’s commitment to open and transparent third-party solicitations for such services.</w:t>
      </w:r>
      <w:r w:rsidRPr="006651BA">
        <w:rPr>
          <w:vertAlign w:val="superscript"/>
        </w:rPr>
        <w:footnoteReference w:id="170"/>
      </w:r>
    </w:p>
    <w:p w:rsidRPr="00B10F01" w:rsidR="000C1980" w:rsidP="001968DC" w:rsidRDefault="000C1980" w14:paraId="3E9A617B" w14:textId="42460B2C">
      <w:pPr>
        <w:pStyle w:val="Heading3"/>
        <w:ind w:left="2664"/>
      </w:pPr>
      <w:bookmarkStart w:name="_Toc69947800" w:id="108"/>
      <w:r w:rsidRPr="00B10F01">
        <w:t>Discussion</w:t>
      </w:r>
      <w:bookmarkEnd w:id="108"/>
    </w:p>
    <w:p w:rsidRPr="00251F83" w:rsidR="000C1980" w:rsidP="001968DC" w:rsidRDefault="000C1980" w14:paraId="439A85D3" w14:textId="362A6F68">
      <w:pPr>
        <w:pStyle w:val="Heading4"/>
        <w:ind w:left="3600"/>
      </w:pPr>
      <w:bookmarkStart w:name="_Toc69947801" w:id="109"/>
      <w:bookmarkStart w:name="_Hlk57204795" w:id="110"/>
      <w:r w:rsidRPr="00251F83">
        <w:t>General Marketing</w:t>
      </w:r>
      <w:r w:rsidR="00495976">
        <w:t>, Education</w:t>
      </w:r>
      <w:r w:rsidRPr="00251F83">
        <w:t xml:space="preserve"> and Outreach Strategies: </w:t>
      </w:r>
      <w:r w:rsidRPr="00CE3A7A">
        <w:rPr>
          <w:u w:val="single"/>
        </w:rPr>
        <w:t>Approved with Additional Reporting Requirements</w:t>
      </w:r>
      <w:bookmarkEnd w:id="109"/>
    </w:p>
    <w:p w:rsidR="000C1980" w:rsidP="0023091F" w:rsidRDefault="000C1980" w14:paraId="1A0CB6D6" w14:textId="40D1879B">
      <w:pPr>
        <w:pStyle w:val="ALJBodyText"/>
      </w:pPr>
      <w:bookmarkStart w:name="_Hlk57205331" w:id="111"/>
      <w:r>
        <w:t>We</w:t>
      </w:r>
      <w:r w:rsidRPr="00EE53EB">
        <w:t xml:space="preserve"> approve </w:t>
      </w:r>
      <w:r>
        <w:t>the</w:t>
      </w:r>
      <w:r w:rsidRPr="00EE53EB">
        <w:t xml:space="preserve"> IOU</w:t>
      </w:r>
      <w:r>
        <w:t>s’</w:t>
      </w:r>
      <w:r w:rsidRPr="00EE53EB">
        <w:t xml:space="preserve"> CARE </w:t>
      </w:r>
      <w:r w:rsidR="00495976">
        <w:t>ME&amp;O</w:t>
      </w:r>
      <w:r w:rsidRPr="00EE53EB">
        <w:t xml:space="preserve"> strategies </w:t>
      </w:r>
      <w:r>
        <w:t xml:space="preserve">and commend each utility for its creative, and strategic approach to maintaining the 90 plus percent penetration rate and </w:t>
      </w:r>
      <w:r w:rsidR="0080209C">
        <w:t xml:space="preserve">enrolling </w:t>
      </w:r>
      <w:r>
        <w:t>that very last group of hard</w:t>
      </w:r>
      <w:r>
        <w:noBreakHyphen/>
        <w:t>to</w:t>
      </w:r>
      <w:r>
        <w:noBreakHyphen/>
        <w:t>reach customers</w:t>
      </w:r>
      <w:r w:rsidR="00DA7855">
        <w:t xml:space="preserve">, including SoCalGas’ </w:t>
      </w:r>
      <w:r w:rsidR="008235E6">
        <w:t>proposal to fund HERs through</w:t>
      </w:r>
      <w:r w:rsidR="00AD5AFC">
        <w:t xml:space="preserve"> the mainstream e</w:t>
      </w:r>
      <w:r w:rsidRPr="0061452B" w:rsidR="00AD5AFC">
        <w:t xml:space="preserve">nergy </w:t>
      </w:r>
      <w:r w:rsidR="00AD5AFC">
        <w:t>e</w:t>
      </w:r>
      <w:r w:rsidRPr="0061452B" w:rsidR="00AD5AFC">
        <w:t>fficiency program</w:t>
      </w:r>
      <w:r>
        <w:t xml:space="preserve">.  We trust that each IOU has crafted strategies that best tackle their respective service areas’ challenges and will therefore not require a statewide implementation of all marketing, education and outreach efforts being approved in this decision.  However, we </w:t>
      </w:r>
      <w:r w:rsidRPr="00EE53EB">
        <w:t xml:space="preserve">highlight </w:t>
      </w:r>
      <w:r>
        <w:t xml:space="preserve">below </w:t>
      </w:r>
      <w:r w:rsidRPr="00EE53EB">
        <w:t xml:space="preserve">aspects of each IOU strategy that </w:t>
      </w:r>
      <w:r>
        <w:t xml:space="preserve">we find interesting and worthwhile for all </w:t>
      </w:r>
      <w:r w:rsidRPr="00EE53EB">
        <w:t xml:space="preserve">the IOUs to consider integrating </w:t>
      </w:r>
      <w:r>
        <w:t xml:space="preserve">if not already doing so.  We also add additional reporting requirements to better understand and track the effectiveness of these efforts.  </w:t>
      </w:r>
      <w:r w:rsidRPr="00EE53EB">
        <w:t xml:space="preserve"> </w:t>
      </w:r>
    </w:p>
    <w:bookmarkEnd w:id="110"/>
    <w:bookmarkEnd w:id="111"/>
    <w:p w:rsidRPr="001F6BDD" w:rsidR="000C1980" w:rsidP="001F6BDD" w:rsidRDefault="000C1980" w14:paraId="74CEF8A5" w14:textId="77777777">
      <w:pPr>
        <w:keepNext/>
        <w:keepLines/>
        <w:spacing w:after="120"/>
        <w:ind w:left="720"/>
        <w:rPr>
          <w:rFonts w:ascii="Arial" w:hAnsi="Arial" w:cs="Arial"/>
          <w:b/>
          <w:bCs/>
        </w:rPr>
      </w:pPr>
      <w:r w:rsidRPr="001F6BDD">
        <w:rPr>
          <w:rFonts w:ascii="Arial" w:hAnsi="Arial" w:cs="Arial"/>
          <w:b/>
          <w:bCs/>
        </w:rPr>
        <w:lastRenderedPageBreak/>
        <w:t>Using Probability/Propensity Models to Customize Marketing</w:t>
      </w:r>
    </w:p>
    <w:p w:rsidRPr="00EE53EB" w:rsidR="000C1980" w:rsidP="0023091F" w:rsidRDefault="000C1980" w14:paraId="4325C807" w14:textId="77777777">
      <w:pPr>
        <w:pStyle w:val="ALJBodyText"/>
      </w:pPr>
      <w:r w:rsidRPr="00EE53EB">
        <w:t xml:space="preserve">PG&amp;E proposes to use </w:t>
      </w:r>
      <w:r>
        <w:t>its</w:t>
      </w:r>
      <w:r w:rsidRPr="00EE53EB">
        <w:t xml:space="preserve"> probability model to identify and strategically contact hard-to-reach households that have a high probability of being CARE eligibl</w:t>
      </w:r>
      <w:r>
        <w:t>e</w:t>
      </w:r>
      <w:r w:rsidRPr="00EE53EB">
        <w:t xml:space="preserve">. Similarly, SCE proposes using </w:t>
      </w:r>
      <w:r>
        <w:t>its</w:t>
      </w:r>
      <w:r w:rsidRPr="00EE53EB">
        <w:t xml:space="preserve"> probability model to create a segmentation approach to create marketing communications that will be created to deliver customized, sequential messages that speak to the unique and/or shared concerns of each prioritized customer segment. </w:t>
      </w:r>
      <w:r>
        <w:t xml:space="preserve"> </w:t>
      </w:r>
      <w:r w:rsidRPr="00EE53EB">
        <w:t xml:space="preserve">SCE could allow for more precise targeting of its mass media and social media efforts based on customer attributes such as geography or behavior. </w:t>
      </w:r>
      <w:r>
        <w:t xml:space="preserve"> </w:t>
      </w:r>
      <w:r w:rsidRPr="00EE53EB">
        <w:t xml:space="preserve">As a result, ads can be selectively targeted to support the segmentation schemes discussed below. </w:t>
      </w:r>
      <w:r>
        <w:t xml:space="preserve"> </w:t>
      </w:r>
      <w:r w:rsidRPr="00EE53EB">
        <w:t xml:space="preserve">Seeing as all four IOUs use similar CARE probability/propensity models with geographic and demographic granularity, it should be feasible for all IOUs to use </w:t>
      </w:r>
      <w:r>
        <w:t>their</w:t>
      </w:r>
      <w:r w:rsidRPr="00EE53EB">
        <w:t xml:space="preserve"> models to direct</w:t>
      </w:r>
      <w:r>
        <w:t>ly</w:t>
      </w:r>
      <w:r w:rsidRPr="00EE53EB">
        <w:t xml:space="preserve"> tailor CARE marketing and messaging to specific hard-to-reach populations. </w:t>
      </w:r>
    </w:p>
    <w:p w:rsidRPr="001F6BDD" w:rsidR="000C1980" w:rsidP="001F6BDD" w:rsidRDefault="000C1980" w14:paraId="1B779893" w14:textId="77777777">
      <w:pPr>
        <w:spacing w:after="120"/>
        <w:ind w:left="720"/>
        <w:rPr>
          <w:rFonts w:ascii="Arial" w:hAnsi="Arial" w:cs="Arial"/>
          <w:b/>
          <w:bCs/>
        </w:rPr>
      </w:pPr>
      <w:r w:rsidRPr="001F6BDD">
        <w:rPr>
          <w:rFonts w:ascii="Arial" w:hAnsi="Arial" w:cs="Arial"/>
          <w:b/>
          <w:bCs/>
        </w:rPr>
        <w:t>Expanding CBO relationships and Training</w:t>
      </w:r>
    </w:p>
    <w:p w:rsidRPr="00EE53EB" w:rsidR="000C1980" w:rsidP="0023091F" w:rsidRDefault="000C1980" w14:paraId="562505AF" w14:textId="33F89B59">
      <w:pPr>
        <w:pStyle w:val="ALJBodyText"/>
      </w:pPr>
      <w:r w:rsidRPr="00EE53EB">
        <w:t>PG&amp;E’s proposal to expand CBO outreach and education across areas with high</w:t>
      </w:r>
      <w:r>
        <w:t>ly</w:t>
      </w:r>
      <w:r w:rsidRPr="00EE53EB">
        <w:t xml:space="preserve"> eligible CARE households not yet enrolled is </w:t>
      </w:r>
      <w:r w:rsidR="004F20AA">
        <w:t xml:space="preserve">a </w:t>
      </w:r>
      <w:r w:rsidRPr="00EE53EB">
        <w:t>good example to follow. This includes updating the CBO training with targeted modules integrating all equity programs including</w:t>
      </w:r>
      <w:r>
        <w:t xml:space="preserve"> but not limited to</w:t>
      </w:r>
      <w:r w:rsidRPr="00EE53EB">
        <w:t xml:space="preserve"> CARE, FERA, ESA, Medical Baseline, </w:t>
      </w:r>
      <w:r>
        <w:t xml:space="preserve">Arrearage Management Plans (AMP), </w:t>
      </w:r>
      <w:r w:rsidRPr="00EE53EB">
        <w:t>REACH, rate options (DAC Green Tariff), energy management tools</w:t>
      </w:r>
      <w:r>
        <w:t>, Self-Generation Incentive Programs (SGIP)</w:t>
      </w:r>
      <w:r w:rsidRPr="00EE53EB">
        <w:t xml:space="preserve"> and other assistance programs enabling CBOs to be knowledgeable about many program offerings for these households</w:t>
      </w:r>
      <w:r>
        <w:t xml:space="preserve">. </w:t>
      </w:r>
    </w:p>
    <w:p w:rsidRPr="001F6BDD" w:rsidR="000C1980" w:rsidP="001F6BDD" w:rsidRDefault="000C1980" w14:paraId="6557F2F3" w14:textId="77777777">
      <w:pPr>
        <w:spacing w:after="120"/>
        <w:ind w:left="720"/>
        <w:rPr>
          <w:rFonts w:ascii="Arial" w:hAnsi="Arial" w:cs="Arial"/>
          <w:b/>
          <w:bCs/>
        </w:rPr>
      </w:pPr>
      <w:r w:rsidRPr="001F6BDD">
        <w:rPr>
          <w:rFonts w:ascii="Arial" w:hAnsi="Arial" w:cs="Arial"/>
          <w:b/>
          <w:bCs/>
        </w:rPr>
        <w:t>Expanding on the Ground, Localized Marketing</w:t>
      </w:r>
    </w:p>
    <w:p w:rsidRPr="00EE53EB" w:rsidR="000C1980" w:rsidP="0023091F" w:rsidRDefault="000C1980" w14:paraId="7A102F16" w14:textId="77777777">
      <w:pPr>
        <w:pStyle w:val="ALJBodyText"/>
      </w:pPr>
      <w:r w:rsidRPr="00EE53EB">
        <w:t xml:space="preserve"> SoCalGas proposes using smaller, localized campaign efforts by leveraging existing community networks and media, which includes schools, </w:t>
      </w:r>
      <w:r w:rsidRPr="00EE53EB">
        <w:lastRenderedPageBreak/>
        <w:t xml:space="preserve">literacy centers, social service delivery groups, food banks, faith-based and non-profit organizations that target underserved rural areas. </w:t>
      </w:r>
      <w:r>
        <w:t xml:space="preserve"> </w:t>
      </w:r>
      <w:r w:rsidRPr="00EE53EB">
        <w:t xml:space="preserve">This includes targeted radio campaign </w:t>
      </w:r>
      <w:r>
        <w:t>that</w:t>
      </w:r>
      <w:r w:rsidRPr="00EE53EB">
        <w:t xml:space="preserve"> broadcasts Spanish-language programming in high density areas. </w:t>
      </w:r>
      <w:r>
        <w:t xml:space="preserve"> </w:t>
      </w:r>
      <w:r w:rsidRPr="00EE53EB">
        <w:t xml:space="preserve">In areas where population density is high enough, SDG&amp;E intends to implement door to door and Live Call campaigns to enroll more hard-to-reach customers. </w:t>
      </w:r>
      <w:r>
        <w:t xml:space="preserve"> </w:t>
      </w:r>
      <w:r w:rsidRPr="00EE53EB">
        <w:t>In areas with lower population density, the ESP network will continue to be utilized to reach customers via trusted partners in their local neighborhoods.</w:t>
      </w:r>
    </w:p>
    <w:p w:rsidRPr="001F6BDD" w:rsidR="000C1980" w:rsidP="001F6BDD" w:rsidRDefault="000C1980" w14:paraId="59EB64E3" w14:textId="77777777">
      <w:pPr>
        <w:spacing w:after="120"/>
        <w:ind w:left="720"/>
        <w:rPr>
          <w:rFonts w:ascii="Arial" w:hAnsi="Arial" w:cs="Arial"/>
          <w:b/>
          <w:bCs/>
        </w:rPr>
      </w:pPr>
      <w:r w:rsidRPr="001F6BDD">
        <w:rPr>
          <w:rFonts w:ascii="Arial" w:hAnsi="Arial" w:cs="Arial"/>
          <w:b/>
          <w:bCs/>
        </w:rPr>
        <w:t>Increased targeting to Mobile Home Parks</w:t>
      </w:r>
    </w:p>
    <w:p w:rsidRPr="00EE53EB" w:rsidR="000C1980" w:rsidP="0023091F" w:rsidRDefault="000C1980" w14:paraId="368A4915" w14:textId="7F82C6CC">
      <w:pPr>
        <w:pStyle w:val="ALJBodyText"/>
      </w:pPr>
      <w:r>
        <w:t xml:space="preserve">Through </w:t>
      </w:r>
      <w:r w:rsidRPr="00EE53EB">
        <w:t xml:space="preserve">SoCalGas’s Mobile Home Park Utility Upgrade Program (“UUP”) all eligible customers in mobile home parks </w:t>
      </w:r>
      <w:r>
        <w:t>will be made</w:t>
      </w:r>
      <w:r w:rsidRPr="00EE53EB">
        <w:t xml:space="preserve"> aware of </w:t>
      </w:r>
      <w:r>
        <w:t>CARE</w:t>
      </w:r>
      <w:r w:rsidRPr="00EE53EB">
        <w:t xml:space="preserve"> and can sign-up directly with SoCalGas.</w:t>
      </w:r>
      <w:r>
        <w:t xml:space="preserve"> </w:t>
      </w:r>
      <w:r w:rsidRPr="00EE53EB">
        <w:t xml:space="preserve"> </w:t>
      </w:r>
      <w:r w:rsidR="004E2DAA">
        <w:t>T</w:t>
      </w:r>
      <w:r w:rsidRPr="00EE53EB">
        <w:t>he other three IOUs</w:t>
      </w:r>
      <w:r w:rsidR="004E2DAA">
        <w:t xml:space="preserve"> should</w:t>
      </w:r>
      <w:r w:rsidRPr="00EE53EB">
        <w:t xml:space="preserve"> explore </w:t>
      </w:r>
      <w:r>
        <w:t xml:space="preserve">something </w:t>
      </w:r>
      <w:r w:rsidRPr="00EE53EB">
        <w:t>similar with mobile home parks to increase direct marketing and allow homes to sign-up directly for CARE.</w:t>
      </w:r>
      <w:r>
        <w:t xml:space="preserve">  The IOUs shall report the steps they are taking towards marketing CARE to mobile home customers and converting mobile home sub-metering to direct utility served customers</w:t>
      </w:r>
      <w:r w:rsidRPr="00D22EDC">
        <w:t xml:space="preserve"> </w:t>
      </w:r>
      <w:r>
        <w:t xml:space="preserve">in their annual report.  </w:t>
      </w:r>
      <w:r w:rsidRPr="00D22EDC">
        <w:t>The reporting template approved by Energy Division will include the specifics of this reporting criteria</w:t>
      </w:r>
      <w:r>
        <w:t>.</w:t>
      </w:r>
    </w:p>
    <w:p w:rsidRPr="001F6BDD" w:rsidR="000C1980" w:rsidP="001F6BDD" w:rsidRDefault="000C1980" w14:paraId="722284B1" w14:textId="4C702CAB">
      <w:pPr>
        <w:spacing w:after="120"/>
        <w:ind w:left="720"/>
        <w:rPr>
          <w:rFonts w:ascii="Arial" w:hAnsi="Arial" w:cs="Arial"/>
          <w:b/>
          <w:bCs/>
        </w:rPr>
      </w:pPr>
      <w:r w:rsidRPr="001F6BDD">
        <w:rPr>
          <w:rFonts w:ascii="Arial" w:hAnsi="Arial" w:cs="Arial"/>
          <w:b/>
          <w:bCs/>
        </w:rPr>
        <w:t>Additional Reporting in Low CARE Penetration Zip</w:t>
      </w:r>
      <w:r w:rsidRPr="001F6BDD" w:rsidR="0091263A">
        <w:rPr>
          <w:rFonts w:ascii="Arial" w:hAnsi="Arial" w:cs="Arial"/>
          <w:b/>
          <w:bCs/>
        </w:rPr>
        <w:t xml:space="preserve"> Code</w:t>
      </w:r>
      <w:r w:rsidRPr="001F6BDD">
        <w:rPr>
          <w:rFonts w:ascii="Arial" w:hAnsi="Arial" w:cs="Arial"/>
          <w:b/>
          <w:bCs/>
        </w:rPr>
        <w:t>s</w:t>
      </w:r>
    </w:p>
    <w:p w:rsidRPr="00DC6B8E" w:rsidR="000C1980" w:rsidP="0023091F" w:rsidRDefault="000C1980" w14:paraId="314960E1" w14:textId="2711AEAE">
      <w:pPr>
        <w:pStyle w:val="ALJBodyText"/>
      </w:pPr>
      <w:r w:rsidRPr="003541C2">
        <w:t xml:space="preserve">Lastly, in an effort </w:t>
      </w:r>
      <w:r w:rsidR="003C5BF7">
        <w:t>to analyze</w:t>
      </w:r>
      <w:r w:rsidRPr="003541C2" w:rsidR="003C5BF7">
        <w:t xml:space="preserve"> </w:t>
      </w:r>
      <w:r w:rsidRPr="003541C2">
        <w:t xml:space="preserve">if these strategies are effective in targeting and enrolling these hard to reach households, we will require the IOUs to track the following: </w:t>
      </w:r>
      <w:r>
        <w:t xml:space="preserve"> </w:t>
      </w:r>
      <w:r w:rsidRPr="003541C2">
        <w:t>1) CARE penetration data for zip codes that have</w:t>
      </w:r>
      <w:r>
        <w:t xml:space="preserve"> ten percent </w:t>
      </w:r>
      <w:r w:rsidRPr="003541C2">
        <w:t>or more disconnections</w:t>
      </w:r>
      <w:r>
        <w:t>, h</w:t>
      </w:r>
      <w:r w:rsidRPr="00335AF1">
        <w:t xml:space="preserve">igh </w:t>
      </w:r>
      <w:r>
        <w:t>p</w:t>
      </w:r>
      <w:r w:rsidRPr="00335AF1">
        <w:t>overty</w:t>
      </w:r>
      <w:r>
        <w:t xml:space="preserve"> areas </w:t>
      </w:r>
      <w:r w:rsidRPr="00F4340E">
        <w:t>(income less than 100</w:t>
      </w:r>
      <w:r w:rsidRPr="00084782">
        <w:t xml:space="preserve"> </w:t>
      </w:r>
      <w:r w:rsidRPr="0026503D">
        <w:t>percent</w:t>
      </w:r>
      <w:r w:rsidRPr="00F4340E">
        <w:t xml:space="preserve"> of </w:t>
      </w:r>
      <w:r>
        <w:t>FPG</w:t>
      </w:r>
      <w:r w:rsidRPr="00F4340E">
        <w:t>)</w:t>
      </w:r>
      <w:r>
        <w:t>, zip codes</w:t>
      </w:r>
      <w:r w:rsidRPr="00F4340E">
        <w:t xml:space="preserve"> </w:t>
      </w:r>
      <w:r>
        <w:t xml:space="preserve">with </w:t>
      </w:r>
      <w:r w:rsidRPr="003541C2">
        <w:t>70</w:t>
      </w:r>
      <w:r w:rsidRPr="00084782">
        <w:t xml:space="preserve"> </w:t>
      </w:r>
      <w:r w:rsidRPr="0026503D">
        <w:t>percent</w:t>
      </w:r>
      <w:r w:rsidRPr="003541C2">
        <w:t xml:space="preserve"> or less CARE penetration</w:t>
      </w:r>
      <w:r>
        <w:t xml:space="preserve">, and DAC zip codes with </w:t>
      </w:r>
      <w:r w:rsidRPr="003541C2">
        <w:t>70</w:t>
      </w:r>
      <w:r>
        <w:t> </w:t>
      </w:r>
      <w:r w:rsidRPr="0026503D">
        <w:t>percent</w:t>
      </w:r>
      <w:r w:rsidRPr="003541C2">
        <w:t xml:space="preserve"> or less CARE penetration</w:t>
      </w:r>
      <w:r>
        <w:t>, (r</w:t>
      </w:r>
      <w:r w:rsidRPr="003541C2">
        <w:t>eport</w:t>
      </w:r>
      <w:r>
        <w:t>ed</w:t>
      </w:r>
      <w:r w:rsidRPr="003541C2">
        <w:t xml:space="preserve"> </w:t>
      </w:r>
      <w:r>
        <w:t>monthly),</w:t>
      </w:r>
      <w:r w:rsidRPr="003541C2">
        <w:t xml:space="preserve"> and 2) the IOU’s successes, short-comings, and corrective plans in ME&amp;O strategies to enroll </w:t>
      </w:r>
      <w:r w:rsidRPr="003541C2">
        <w:lastRenderedPageBreak/>
        <w:t>customers in zip codes that fall into these categories</w:t>
      </w:r>
      <w:r w:rsidRPr="00B82FAD">
        <w:t xml:space="preserve"> </w:t>
      </w:r>
      <w:r>
        <w:t>(r</w:t>
      </w:r>
      <w:r w:rsidRPr="003541C2">
        <w:t>eport</w:t>
      </w:r>
      <w:r>
        <w:t>ed annually).</w:t>
      </w:r>
      <w:r w:rsidRPr="0095650A">
        <w:t xml:space="preserve"> </w:t>
      </w:r>
      <w:r w:rsidR="009E1206">
        <w:t xml:space="preserve"> </w:t>
      </w:r>
      <w:r w:rsidRPr="00D22EDC">
        <w:t>The reporting template approved by Energy Division will include the specifics of this reporting criteria</w:t>
      </w:r>
      <w:r>
        <w:t>.</w:t>
      </w:r>
    </w:p>
    <w:p w:rsidRPr="00793CBD" w:rsidR="000C1980" w:rsidP="001968DC" w:rsidRDefault="000C1980" w14:paraId="671664D6" w14:textId="101FBEE2">
      <w:pPr>
        <w:pStyle w:val="Heading4"/>
        <w:ind w:left="3600"/>
      </w:pPr>
      <w:bookmarkStart w:name="_Toc69947802" w:id="112"/>
      <w:r w:rsidRPr="00793CBD">
        <w:t xml:space="preserve">Coordination with Broadband Outreach and Referrals: </w:t>
      </w:r>
      <w:r w:rsidRPr="00793CBD">
        <w:rPr>
          <w:u w:val="single"/>
        </w:rPr>
        <w:t>Approved per Joint Stipulation</w:t>
      </w:r>
      <w:bookmarkEnd w:id="112"/>
    </w:p>
    <w:p w:rsidRPr="009D7183" w:rsidR="000C1980" w:rsidP="0023091F" w:rsidRDefault="000C1980" w14:paraId="6127626C" w14:textId="6C671530">
      <w:pPr>
        <w:pStyle w:val="ALJBodyText"/>
      </w:pPr>
      <w:r>
        <w:t xml:space="preserve">Since the time testimony in this proceeding was served, the IOUs and CETF have entered a </w:t>
      </w:r>
      <w:r w:rsidRPr="00646DE5">
        <w:t>Joint Stipulation (Attachment</w:t>
      </w:r>
      <w:r>
        <w:t xml:space="preserve"> 6</w:t>
      </w:r>
      <w:r w:rsidRPr="00646DE5">
        <w:t>)</w:t>
      </w:r>
      <w:r>
        <w:t xml:space="preserve"> </w:t>
      </w:r>
      <w:r w:rsidRPr="00646DE5">
        <w:t>to accomplish affordable broadband offer marketing</w:t>
      </w:r>
      <w:r>
        <w:t xml:space="preserve"> efforts.</w:t>
      </w:r>
      <w:r>
        <w:rPr>
          <w:rStyle w:val="FootnoteReference"/>
        </w:rPr>
        <w:footnoteReference w:id="171"/>
      </w:r>
      <w:r>
        <w:t xml:space="preserve">  The IOUs and CETF request Commission approval of the Joint Stipulation as well as </w:t>
      </w:r>
      <w:r w:rsidRPr="00B56132">
        <w:t xml:space="preserve">authority to use authorized CARE/FERA/ESA dollars to market affordable broadband </w:t>
      </w:r>
      <w:r>
        <w:t>offerings in</w:t>
      </w:r>
      <w:r w:rsidRPr="00B56132">
        <w:t xml:space="preserve"> </w:t>
      </w:r>
      <w:r>
        <w:t>PYs </w:t>
      </w:r>
      <w:r w:rsidRPr="00B56132">
        <w:t>2021</w:t>
      </w:r>
      <w:r>
        <w:t xml:space="preserve">- 2026. </w:t>
      </w:r>
      <w:r w:rsidRPr="00B56132">
        <w:t xml:space="preserve"> </w:t>
      </w:r>
      <w:r w:rsidRPr="00DC0594">
        <w:t xml:space="preserve">Among the agreements </w:t>
      </w:r>
      <w:r>
        <w:t>detailed in</w:t>
      </w:r>
      <w:r w:rsidRPr="00DC0594">
        <w:t xml:space="preserve"> the Joint Stipulation, </w:t>
      </w:r>
      <w:r>
        <w:t>the IOUs</w:t>
      </w:r>
      <w:r w:rsidRPr="00DC0594">
        <w:t xml:space="preserve"> agree to add a telephone and weblink to its website</w:t>
      </w:r>
      <w:r>
        <w:t xml:space="preserve"> and </w:t>
      </w:r>
      <w:r w:rsidRPr="00DC0594">
        <w:t>integrate an affordable broadband offer into select CARE, ESA, and/or FERA direct marketing materials biannually</w:t>
      </w:r>
      <w:r>
        <w:t xml:space="preserve">. </w:t>
      </w:r>
      <w:r w:rsidR="009E1206">
        <w:t xml:space="preserve"> </w:t>
      </w:r>
      <w:r>
        <w:t>C</w:t>
      </w:r>
      <w:r w:rsidRPr="00DC0594">
        <w:t>ETF will also have an opportunity to include affordable broadband offer materials into ESA education kits</w:t>
      </w:r>
      <w:r>
        <w:t xml:space="preserve">, and </w:t>
      </w:r>
      <w:r w:rsidRPr="00DC0594">
        <w:t xml:space="preserve">present affordable broadband opportunities to CBOs and ESA </w:t>
      </w:r>
      <w:r>
        <w:t>c</w:t>
      </w:r>
      <w:r w:rsidRPr="00DC0594">
        <w:t>ontractors during IOUs respective relevant meetings.</w:t>
      </w:r>
      <w:r>
        <w:t xml:space="preserve">  With regards to costs, the </w:t>
      </w:r>
      <w:proofErr w:type="gramStart"/>
      <w:r>
        <w:t>low income</w:t>
      </w:r>
      <w:proofErr w:type="gramEnd"/>
      <w:r>
        <w:t xml:space="preserve"> programs’</w:t>
      </w:r>
      <w:r w:rsidRPr="009D7183">
        <w:t xml:space="preserve"> ME</w:t>
      </w:r>
      <w:r>
        <w:t>&amp;</w:t>
      </w:r>
      <w:r w:rsidRPr="009D7183">
        <w:t xml:space="preserve">O approved budgets </w:t>
      </w:r>
      <w:r>
        <w:t>for</w:t>
      </w:r>
      <w:r w:rsidRPr="009D7183">
        <w:t xml:space="preserve"> </w:t>
      </w:r>
      <w:r>
        <w:t>PYs</w:t>
      </w:r>
      <w:r w:rsidRPr="009D7183">
        <w:t xml:space="preserve"> 2021-2026 </w:t>
      </w:r>
      <w:r>
        <w:t>would be used</w:t>
      </w:r>
      <w:r w:rsidRPr="009D7183">
        <w:t xml:space="preserve"> </w:t>
      </w:r>
      <w:r w:rsidR="00763ED6">
        <w:t xml:space="preserve">to </w:t>
      </w:r>
      <w:r w:rsidRPr="009D7183">
        <w:t xml:space="preserve">subsidize </w:t>
      </w:r>
      <w:r w:rsidRPr="009D7183">
        <w:rPr>
          <w:i/>
          <w:iCs/>
          <w:u w:val="single"/>
        </w:rPr>
        <w:t>minimal</w:t>
      </w:r>
      <w:r w:rsidRPr="009D7183">
        <w:t xml:space="preserve"> costs for certain tasks detailed in </w:t>
      </w:r>
      <w:r>
        <w:t>the</w:t>
      </w:r>
      <w:r w:rsidRPr="009D7183">
        <w:t xml:space="preserve"> Joint Stipulation</w:t>
      </w:r>
      <w:r>
        <w:t xml:space="preserve">, including, </w:t>
      </w:r>
      <w:r w:rsidRPr="009D7183">
        <w:t xml:space="preserve">but not limited to, sorting materials, distribution, postage, internal labor to coordinate marketing and website design, and costs associated with assembling ESA educational kits. </w:t>
      </w:r>
    </w:p>
    <w:p w:rsidR="001F43E5" w:rsidP="0023091F" w:rsidRDefault="004261D5" w14:paraId="25C1DE95" w14:textId="22FEECE0">
      <w:pPr>
        <w:pStyle w:val="ALJBodyText"/>
      </w:pPr>
      <w:r>
        <w:t xml:space="preserve">In response to the Joint Stipulation, </w:t>
      </w:r>
      <w:r w:rsidR="001F43E5">
        <w:t>TURN expresse</w:t>
      </w:r>
      <w:r w:rsidR="00CE0887">
        <w:t>d</w:t>
      </w:r>
      <w:r w:rsidR="00842AE6">
        <w:t xml:space="preserve"> concerns </w:t>
      </w:r>
      <w:r w:rsidR="00EE2622">
        <w:t xml:space="preserve">and </w:t>
      </w:r>
      <w:r w:rsidR="00842AE6">
        <w:t>recommend</w:t>
      </w:r>
      <w:r w:rsidR="00CE0887">
        <w:t>ed</w:t>
      </w:r>
      <w:r w:rsidR="00842AE6">
        <w:t xml:space="preserve"> </w:t>
      </w:r>
      <w:r w:rsidR="00FB41C9">
        <w:t xml:space="preserve">that </w:t>
      </w:r>
      <w:r w:rsidR="00D86D67">
        <w:t xml:space="preserve">it be rejected unless the following modifications are made: </w:t>
      </w:r>
      <w:r w:rsidR="00842AE6">
        <w:t xml:space="preserve">1) </w:t>
      </w:r>
      <w:r w:rsidR="00FB41C9">
        <w:t xml:space="preserve">the IOUs </w:t>
      </w:r>
      <w:r w:rsidR="00EA0C7E">
        <w:t xml:space="preserve">should </w:t>
      </w:r>
      <w:r w:rsidRPr="00FB41C9" w:rsidR="00FB41C9">
        <w:t xml:space="preserve">include a link to a </w:t>
      </w:r>
      <w:r w:rsidRPr="00D63359" w:rsidR="00FB41C9">
        <w:rPr>
          <w:szCs w:val="26"/>
        </w:rPr>
        <w:t>Commission-maintained website with information about affordable internet services,</w:t>
      </w:r>
      <w:r w:rsidRPr="00D63359" w:rsidR="00C02D3B">
        <w:rPr>
          <w:rFonts w:cs="TimesNewRomanPSMT"/>
          <w:szCs w:val="26"/>
        </w:rPr>
        <w:t xml:space="preserve"> where the </w:t>
      </w:r>
      <w:r w:rsidRPr="00D63359" w:rsidR="00C02D3B">
        <w:rPr>
          <w:szCs w:val="26"/>
        </w:rPr>
        <w:t xml:space="preserve">Commission would </w:t>
      </w:r>
      <w:r w:rsidRPr="00D63359" w:rsidR="00C02D3B">
        <w:rPr>
          <w:szCs w:val="26"/>
        </w:rPr>
        <w:lastRenderedPageBreak/>
        <w:t>retain the abilit</w:t>
      </w:r>
      <w:r w:rsidRPr="00991E2B" w:rsidR="00C02D3B">
        <w:rPr>
          <w:szCs w:val="26"/>
        </w:rPr>
        <w:t>y to vet the appropriateness of any website link(s) being provided to low-income customers</w:t>
      </w:r>
      <w:r w:rsidRPr="00684955" w:rsidR="00C02D3B">
        <w:rPr>
          <w:szCs w:val="26"/>
        </w:rPr>
        <w:t xml:space="preserve"> through the </w:t>
      </w:r>
      <w:r w:rsidRPr="00C56353" w:rsidR="00C02D3B">
        <w:rPr>
          <w:szCs w:val="26"/>
        </w:rPr>
        <w:t>IOUs</w:t>
      </w:r>
      <w:r w:rsidRPr="008E1956" w:rsidR="00C02D3B">
        <w:rPr>
          <w:szCs w:val="26"/>
        </w:rPr>
        <w:t>,</w:t>
      </w:r>
      <w:r w:rsidRPr="000B02D9" w:rsidR="00C02D3B">
        <w:rPr>
          <w:szCs w:val="26"/>
        </w:rPr>
        <w:t xml:space="preserve"> 2) </w:t>
      </w:r>
      <w:r w:rsidRPr="000B02D9" w:rsidR="00DF0AE3">
        <w:rPr>
          <w:szCs w:val="26"/>
        </w:rPr>
        <w:t>CETF</w:t>
      </w:r>
      <w:r w:rsidRPr="00D63359" w:rsidR="00DF0AE3">
        <w:rPr>
          <w:rFonts w:cs="TimesNewRomanPSMT"/>
          <w:szCs w:val="26"/>
        </w:rPr>
        <w:t xml:space="preserve"> </w:t>
      </w:r>
      <w:r w:rsidRPr="00D63359" w:rsidR="00DF0AE3">
        <w:rPr>
          <w:szCs w:val="26"/>
        </w:rPr>
        <w:t>would be required to</w:t>
      </w:r>
      <w:r w:rsidRPr="00991E2B" w:rsidR="00DF0AE3">
        <w:rPr>
          <w:szCs w:val="26"/>
        </w:rPr>
        <w:t xml:space="preserve"> obtain Commission approval of materials to be included in ESA education kits</w:t>
      </w:r>
      <w:r w:rsidRPr="00684955" w:rsidR="006500C5">
        <w:rPr>
          <w:szCs w:val="26"/>
        </w:rPr>
        <w:t>, 3)</w:t>
      </w:r>
      <w:r w:rsidRPr="00684955" w:rsidR="00DF0AE3">
        <w:rPr>
          <w:szCs w:val="26"/>
        </w:rPr>
        <w:t xml:space="preserve"> </w:t>
      </w:r>
      <w:r w:rsidRPr="00C56353" w:rsidR="00DB0186">
        <w:rPr>
          <w:szCs w:val="26"/>
        </w:rPr>
        <w:t>the</w:t>
      </w:r>
      <w:r w:rsidRPr="008E1956" w:rsidR="00DB0186">
        <w:rPr>
          <w:szCs w:val="26"/>
        </w:rPr>
        <w:t xml:space="preserve"> Commission should ensure that any trainings</w:t>
      </w:r>
      <w:r w:rsidRPr="000B02D9" w:rsidR="00DB0186">
        <w:rPr>
          <w:szCs w:val="26"/>
        </w:rPr>
        <w:t xml:space="preserve"> by CETF enable participation by a broad array of CBOs, not limit</w:t>
      </w:r>
      <w:r w:rsidRPr="00DB0186" w:rsidR="00DB0186">
        <w:t>ed in any way by CETF, in</w:t>
      </w:r>
      <w:r w:rsidR="00DB0186">
        <w:t xml:space="preserve"> </w:t>
      </w:r>
      <w:r w:rsidRPr="00DB0186" w:rsidR="00DB0186">
        <w:t>promoting affordable internet service</w:t>
      </w:r>
      <w:r w:rsidRPr="00FB41C9" w:rsidR="00FB41C9">
        <w:t>.</w:t>
      </w:r>
      <w:r w:rsidR="00DB0186">
        <w:rPr>
          <w:rStyle w:val="FootnoteReference"/>
        </w:rPr>
        <w:footnoteReference w:id="172"/>
      </w:r>
    </w:p>
    <w:p w:rsidR="00891ADF" w:rsidP="0023091F" w:rsidRDefault="00891ADF" w14:paraId="5950690D" w14:textId="492F5532">
      <w:pPr>
        <w:pStyle w:val="ALJBodyText"/>
      </w:pPr>
      <w:r>
        <w:t xml:space="preserve">PG&amp;E responded by stating that </w:t>
      </w:r>
      <w:r w:rsidR="0032753B">
        <w:t xml:space="preserve">the Joint Stipulation </w:t>
      </w:r>
      <w:r w:rsidRPr="0032753B" w:rsidR="0032753B">
        <w:t>provide</w:t>
      </w:r>
      <w:r w:rsidR="00991E2B">
        <w:t>s</w:t>
      </w:r>
      <w:r w:rsidRPr="0032753B" w:rsidR="0032753B">
        <w:t xml:space="preserve"> the framework to coordinate </w:t>
      </w:r>
      <w:r w:rsidR="00991E2B">
        <w:t>on</w:t>
      </w:r>
      <w:r w:rsidRPr="0032753B" w:rsidR="0032753B">
        <w:t xml:space="preserve"> efforts while limiting incremental costs</w:t>
      </w:r>
      <w:r w:rsidR="00991E2B">
        <w:t xml:space="preserve"> </w:t>
      </w:r>
      <w:r w:rsidRPr="0032753B" w:rsidR="0032753B">
        <w:t>and ensuring income-qualified program marketing and messaging are not diluted</w:t>
      </w:r>
      <w:r w:rsidR="00991E2B">
        <w:t>, and r</w:t>
      </w:r>
      <w:r w:rsidRPr="0032753B" w:rsidR="0032753B">
        <w:t>ecommends the Joint Stipulation be approved without</w:t>
      </w:r>
      <w:r w:rsidR="00991E2B">
        <w:t xml:space="preserve"> </w:t>
      </w:r>
      <w:r w:rsidRPr="00F91614" w:rsidR="00F91614">
        <w:t>modification.</w:t>
      </w:r>
      <w:r w:rsidR="00991E2B">
        <w:rPr>
          <w:rStyle w:val="FootnoteReference"/>
        </w:rPr>
        <w:footnoteReference w:id="173"/>
      </w:r>
    </w:p>
    <w:p w:rsidRPr="00723BF2" w:rsidR="000C1980" w:rsidP="0023091F" w:rsidRDefault="000C1980" w14:paraId="3EF7ACAA" w14:textId="57118D33">
      <w:pPr>
        <w:pStyle w:val="ALJBodyText"/>
      </w:pPr>
      <w:r>
        <w:t xml:space="preserve">Given that </w:t>
      </w:r>
      <w:r w:rsidR="007801C5">
        <w:t xml:space="preserve">most </w:t>
      </w:r>
      <w:r>
        <w:t xml:space="preserve">relevant parties </w:t>
      </w:r>
      <w:r w:rsidR="00EF4792">
        <w:t xml:space="preserve">to the Joint Stipulation </w:t>
      </w:r>
      <w:r>
        <w:t>have agreed to the terms, we approve the Joint Stipulation</w:t>
      </w:r>
      <w:r w:rsidRPr="00D219D8">
        <w:rPr>
          <w:sz w:val="23"/>
          <w:szCs w:val="23"/>
        </w:rPr>
        <w:t xml:space="preserve"> </w:t>
      </w:r>
      <w:r>
        <w:t xml:space="preserve">as it </w:t>
      </w:r>
      <w:r w:rsidRPr="00D219D8">
        <w:t>provides an opportunity for the IOUs and CETF to address the digital divide</w:t>
      </w:r>
      <w:r>
        <w:t>.  We find it</w:t>
      </w:r>
      <w:r w:rsidRPr="00D219D8">
        <w:t xml:space="preserve"> reasonable considering the record and in the interest</w:t>
      </w:r>
      <w:r>
        <w:t xml:space="preserve"> of the </w:t>
      </w:r>
      <w:proofErr w:type="gramStart"/>
      <w:r>
        <w:t>low income</w:t>
      </w:r>
      <w:proofErr w:type="gramEnd"/>
      <w:r>
        <w:t xml:space="preserve"> customers. </w:t>
      </w:r>
      <w:r w:rsidRPr="00D219D8">
        <w:t xml:space="preserve"> </w:t>
      </w:r>
      <w:r>
        <w:t xml:space="preserve">We note that although we approve </w:t>
      </w:r>
      <w:r w:rsidRPr="007838C0">
        <w:rPr>
          <w:i/>
          <w:iCs/>
        </w:rPr>
        <w:t>minimal</w:t>
      </w:r>
      <w:r>
        <w:t xml:space="preserve"> funding for these efforts though the </w:t>
      </w:r>
      <w:proofErr w:type="gramStart"/>
      <w:r>
        <w:t>low income</w:t>
      </w:r>
      <w:proofErr w:type="gramEnd"/>
      <w:r>
        <w:t xml:space="preserve"> program’s authorized ME&amp;O budgets, we expect that </w:t>
      </w:r>
      <w:r w:rsidRPr="009D7183">
        <w:t xml:space="preserve">integrating broadband affordable offer messaging into </w:t>
      </w:r>
      <w:r>
        <w:t>the IOUs’</w:t>
      </w:r>
      <w:r w:rsidRPr="009D7183">
        <w:t xml:space="preserve"> direct marketing materials can be accomplished at minimal or no cost to the ratepayer.</w:t>
      </w:r>
      <w:r>
        <w:t xml:space="preserve"> </w:t>
      </w:r>
      <w:r w:rsidRPr="009D7183">
        <w:t xml:space="preserve">Any incremental costs related to co-marketing tactics (such as standalone CETF materials, production, language translation for standalone materials, distribution, etc.) </w:t>
      </w:r>
      <w:r w:rsidR="003A57A4">
        <w:t>shall</w:t>
      </w:r>
      <w:r>
        <w:t xml:space="preserve"> be</w:t>
      </w:r>
      <w:r w:rsidRPr="009D7183">
        <w:t xml:space="preserve"> funded by CETF and not funded by IOUs ratepayers</w:t>
      </w:r>
      <w:r>
        <w:t xml:space="preserve">, including any </w:t>
      </w:r>
      <w:r w:rsidRPr="009D7183">
        <w:t xml:space="preserve">additional proposed co-marketing or co-promotions outside of </w:t>
      </w:r>
      <w:r>
        <w:t>the</w:t>
      </w:r>
      <w:r w:rsidRPr="009D7183">
        <w:t xml:space="preserve"> Joint Stipulation. </w:t>
      </w:r>
    </w:p>
    <w:p w:rsidRPr="007838C0" w:rsidR="000C1980" w:rsidP="001968DC" w:rsidRDefault="000C1980" w14:paraId="3EA7D105" w14:textId="765E3CBF">
      <w:pPr>
        <w:pStyle w:val="Heading4"/>
        <w:ind w:left="3600"/>
      </w:pPr>
      <w:bookmarkStart w:name="_Toc69947803" w:id="113"/>
      <w:r w:rsidRPr="007838C0">
        <w:lastRenderedPageBreak/>
        <w:t xml:space="preserve">Establishment of an Online Market Place: </w:t>
      </w:r>
      <w:r w:rsidRPr="007838C0">
        <w:rPr>
          <w:u w:val="single"/>
        </w:rPr>
        <w:t>Denied</w:t>
      </w:r>
      <w:bookmarkEnd w:id="113"/>
    </w:p>
    <w:p w:rsidRPr="00BF25EF" w:rsidR="00964900" w:rsidP="0023091F" w:rsidRDefault="00601DBD" w14:paraId="34E2F6FF" w14:textId="639519C6">
      <w:pPr>
        <w:pStyle w:val="ALJBodyText"/>
      </w:pPr>
      <w:r>
        <w:t>We</w:t>
      </w:r>
      <w:r w:rsidRPr="004B4E59" w:rsidR="000C1980">
        <w:t xml:space="preserve"> </w:t>
      </w:r>
      <w:r w:rsidR="000C1980">
        <w:t>den</w:t>
      </w:r>
      <w:r>
        <w:t>y</w:t>
      </w:r>
      <w:r w:rsidRPr="004B4E59" w:rsidR="000C1980">
        <w:t xml:space="preserve"> </w:t>
      </w:r>
      <w:proofErr w:type="spellStart"/>
      <w:r w:rsidRPr="004B4E59" w:rsidR="000C1980">
        <w:t>Enervee</w:t>
      </w:r>
      <w:r w:rsidR="000C1980">
        <w:t>’s</w:t>
      </w:r>
      <w:proofErr w:type="spellEnd"/>
      <w:r w:rsidR="000C1980">
        <w:t xml:space="preserve"> proposal to require the </w:t>
      </w:r>
      <w:r w:rsidRPr="004B4E59" w:rsidR="000C1980">
        <w:t xml:space="preserve">IOUs </w:t>
      </w:r>
      <w:r w:rsidR="003E017B">
        <w:t xml:space="preserve">to </w:t>
      </w:r>
      <w:r w:rsidRPr="004B4E59" w:rsidR="000C1980">
        <w:t xml:space="preserve">co-market its online </w:t>
      </w:r>
      <w:r w:rsidR="000C1980">
        <w:t>en</w:t>
      </w:r>
      <w:r w:rsidRPr="004B4E59" w:rsidR="000C1980">
        <w:t xml:space="preserve">ergy </w:t>
      </w:r>
      <w:r w:rsidR="000C1980">
        <w:t>e</w:t>
      </w:r>
      <w:r w:rsidRPr="004B4E59" w:rsidR="000C1980">
        <w:t xml:space="preserve">fficiency marketplace through CARE/FERA/ESA marketing. </w:t>
      </w:r>
      <w:r w:rsidR="009E1206">
        <w:t xml:space="preserve"> </w:t>
      </w:r>
      <w:r w:rsidRPr="004B4E59" w:rsidR="000C1980">
        <w:t xml:space="preserve">The fact that the online energy efficiency marketplace is not geared towards </w:t>
      </w:r>
      <w:proofErr w:type="gramStart"/>
      <w:r w:rsidRPr="004B4E59" w:rsidR="000C1980">
        <w:t>low</w:t>
      </w:r>
      <w:r w:rsidR="000C1980">
        <w:t xml:space="preserve"> </w:t>
      </w:r>
      <w:r w:rsidRPr="004B4E59" w:rsidR="000C1980">
        <w:t>income</w:t>
      </w:r>
      <w:proofErr w:type="gramEnd"/>
      <w:r w:rsidRPr="004B4E59" w:rsidR="000C1980">
        <w:t xml:space="preserve"> customers could confuse low</w:t>
      </w:r>
      <w:r w:rsidR="000C1980">
        <w:t xml:space="preserve"> </w:t>
      </w:r>
      <w:r w:rsidRPr="004B4E59" w:rsidR="000C1980">
        <w:t xml:space="preserve">income customers on what measures they are eligible to receive for free through ESA, and which ones are not part of the ESA program. </w:t>
      </w:r>
      <w:r w:rsidR="000C1980">
        <w:t xml:space="preserve"> </w:t>
      </w:r>
      <w:r w:rsidR="000330CC">
        <w:t xml:space="preserve">We also deny a separate study as proposed by </w:t>
      </w:r>
      <w:proofErr w:type="spellStart"/>
      <w:r w:rsidR="000330CC">
        <w:t>Enervee</w:t>
      </w:r>
      <w:proofErr w:type="spellEnd"/>
      <w:r w:rsidR="000330CC">
        <w:t xml:space="preserve"> as there already exist various avenues for this type of research.</w:t>
      </w:r>
    </w:p>
    <w:p w:rsidR="000C1980" w:rsidP="001968DC" w:rsidRDefault="000C1980" w14:paraId="7B3B5CEC" w14:textId="669CABFA">
      <w:pPr>
        <w:pStyle w:val="Heading2"/>
        <w:ind w:left="1728"/>
      </w:pPr>
      <w:bookmarkStart w:name="_Toc69947804" w:id="114"/>
      <w:r>
        <w:t xml:space="preserve">Cooling </w:t>
      </w:r>
      <w:r w:rsidRPr="00E5693D">
        <w:t>Centers</w:t>
      </w:r>
      <w:bookmarkEnd w:id="114"/>
    </w:p>
    <w:p w:rsidRPr="00DF7328" w:rsidR="000C1980" w:rsidP="001968DC" w:rsidRDefault="000C1980" w14:paraId="2F68C571" w14:textId="77777777">
      <w:pPr>
        <w:pStyle w:val="Heading3"/>
        <w:ind w:left="2664"/>
      </w:pPr>
      <w:bookmarkStart w:name="_Toc69947805" w:id="115"/>
      <w:r>
        <w:t>Background</w:t>
      </w:r>
      <w:bookmarkEnd w:id="115"/>
    </w:p>
    <w:p w:rsidR="000C1980" w:rsidP="001F6BDD" w:rsidRDefault="000C1980" w14:paraId="616B55B1" w14:textId="77777777">
      <w:pPr>
        <w:pStyle w:val="Standard"/>
      </w:pPr>
      <w:r w:rsidRPr="007E330F">
        <w:t xml:space="preserve">Cooling Centers are facilities where people can go during the summer months to escape the heat and reduce their energy usage. </w:t>
      </w:r>
      <w:r>
        <w:t xml:space="preserve"> </w:t>
      </w:r>
      <w:r w:rsidRPr="007E330F">
        <w:t>D</w:t>
      </w:r>
      <w:r>
        <w:t>.</w:t>
      </w:r>
      <w:r w:rsidRPr="007E330F">
        <w:t>19-06-022 asked the IOUs to discuss whether the utility’s Cooling Center budget was incorporated into their most recent General Rate Case (GRC) as directed in D</w:t>
      </w:r>
      <w:r>
        <w:t>.</w:t>
      </w:r>
      <w:r w:rsidRPr="007E330F">
        <w:t>16-11-022, as modified by D</w:t>
      </w:r>
      <w:r>
        <w:t>.</w:t>
      </w:r>
      <w:r w:rsidRPr="007E330F">
        <w:t xml:space="preserve">17-12-009, and whether it has </w:t>
      </w:r>
      <w:r w:rsidRPr="007E330F" w:rsidDel="002E7EC2">
        <w:t>been updated to reflect possible de-energization events</w:t>
      </w:r>
      <w:r w:rsidRPr="007E330F">
        <w:t>.</w:t>
      </w:r>
      <w:r w:rsidRPr="007E330F">
        <w:rPr>
          <w:vertAlign w:val="superscript"/>
        </w:rPr>
        <w:footnoteReference w:id="174"/>
      </w:r>
      <w:r w:rsidRPr="007E330F">
        <w:t xml:space="preserve"> </w:t>
      </w:r>
      <w:r>
        <w:t xml:space="preserve"> </w:t>
      </w:r>
      <w:r w:rsidRPr="007E330F">
        <w:t xml:space="preserve">If not, the IOUs were to propose annual cooling center budgets </w:t>
      </w:r>
      <w:r w:rsidRPr="001F6BDD">
        <w:t>consistent</w:t>
      </w:r>
      <w:r w:rsidRPr="007E330F">
        <w:t xml:space="preserve"> with the requirements outlined in D.16-11-022, as modified by D.17-12-009, for </w:t>
      </w:r>
      <w:r>
        <w:t xml:space="preserve">PYs </w:t>
      </w:r>
      <w:r w:rsidRPr="007E330F">
        <w:t xml:space="preserve">2021-2026 and discuss the timeline </w:t>
      </w:r>
      <w:r>
        <w:t>of the</w:t>
      </w:r>
      <w:r w:rsidRPr="007E330F">
        <w:t xml:space="preserve"> next GRC and </w:t>
      </w:r>
      <w:r>
        <w:t xml:space="preserve">their </w:t>
      </w:r>
      <w:r w:rsidRPr="007E330F">
        <w:t>plans to incorporate cooling centers.</w:t>
      </w:r>
    </w:p>
    <w:p w:rsidR="000C1980" w:rsidP="001968DC" w:rsidRDefault="000C1980" w14:paraId="6DC358BD" w14:textId="77777777">
      <w:pPr>
        <w:pStyle w:val="Heading3"/>
        <w:ind w:left="2664"/>
      </w:pPr>
      <w:bookmarkStart w:name="_Toc69947806" w:id="116"/>
      <w:r>
        <w:t>PG&amp;E Proposal</w:t>
      </w:r>
      <w:bookmarkEnd w:id="116"/>
      <w:r>
        <w:t xml:space="preserve"> </w:t>
      </w:r>
    </w:p>
    <w:p w:rsidR="000C1980" w:rsidP="001F6BDD" w:rsidRDefault="000C1980" w14:paraId="7A304B02" w14:textId="77777777">
      <w:pPr>
        <w:pStyle w:val="Standard"/>
      </w:pPr>
      <w:r w:rsidRPr="00514932">
        <w:t>PG&amp;E</w:t>
      </w:r>
      <w:r>
        <w:t xml:space="preserve">’s </w:t>
      </w:r>
      <w:r w:rsidRPr="00514932">
        <w:t xml:space="preserve">cooling center </w:t>
      </w:r>
      <w:r>
        <w:t>budget</w:t>
      </w:r>
      <w:r w:rsidRPr="00514932">
        <w:t xml:space="preserve"> </w:t>
      </w:r>
      <w:r>
        <w:t>is included in</w:t>
      </w:r>
      <w:r w:rsidRPr="00514932">
        <w:t xml:space="preserve"> </w:t>
      </w:r>
      <w:r>
        <w:t>its</w:t>
      </w:r>
      <w:r w:rsidRPr="00514932">
        <w:t xml:space="preserve"> 2020 </w:t>
      </w:r>
      <w:r>
        <w:t>GRC</w:t>
      </w:r>
      <w:r w:rsidRPr="00514932">
        <w:t xml:space="preserve"> </w:t>
      </w:r>
      <w:r w:rsidRPr="00F961CD">
        <w:t>and therefore does not request any additional funding from the CARE program</w:t>
      </w:r>
      <w:r>
        <w:t>.</w:t>
      </w:r>
    </w:p>
    <w:p w:rsidR="000C1980" w:rsidP="001968DC" w:rsidRDefault="000C1980" w14:paraId="29BA91C6" w14:textId="65691E25">
      <w:pPr>
        <w:pStyle w:val="Heading3"/>
        <w:ind w:left="2664"/>
      </w:pPr>
      <w:bookmarkStart w:name="_Toc69947807" w:id="117"/>
      <w:r>
        <w:lastRenderedPageBreak/>
        <w:t>SCE Proposal</w:t>
      </w:r>
      <w:bookmarkEnd w:id="117"/>
      <w:r>
        <w:t xml:space="preserve"> </w:t>
      </w:r>
    </w:p>
    <w:p w:rsidR="000C1980" w:rsidP="0023091F" w:rsidRDefault="000C1980" w14:paraId="7577311E" w14:textId="77777777">
      <w:pPr>
        <w:pStyle w:val="ALJBodyText"/>
      </w:pPr>
      <w:r w:rsidRPr="00514932">
        <w:t>SCE</w:t>
      </w:r>
      <w:r>
        <w:t xml:space="preserve">’s </w:t>
      </w:r>
      <w:r w:rsidRPr="00514932">
        <w:t xml:space="preserve">cooling center </w:t>
      </w:r>
      <w:r>
        <w:t>budget</w:t>
      </w:r>
      <w:r w:rsidRPr="00514932">
        <w:t xml:space="preserve"> </w:t>
      </w:r>
      <w:r>
        <w:t xml:space="preserve">is </w:t>
      </w:r>
      <w:r w:rsidRPr="00514932">
        <w:t xml:space="preserve">included in </w:t>
      </w:r>
      <w:r>
        <w:t>its</w:t>
      </w:r>
      <w:r w:rsidRPr="00514932">
        <w:t xml:space="preserve"> 2021 </w:t>
      </w:r>
      <w:r>
        <w:t>GRC</w:t>
      </w:r>
      <w:r w:rsidRPr="00514932">
        <w:t xml:space="preserve"> </w:t>
      </w:r>
      <w:r>
        <w:t>and therefore does not request any additional funding from the CARE program.</w:t>
      </w:r>
      <w:r w:rsidRPr="00514932">
        <w:rPr>
          <w:vertAlign w:val="superscript"/>
        </w:rPr>
        <w:footnoteReference w:id="175"/>
      </w:r>
      <w:r>
        <w:t xml:space="preserve"> </w:t>
      </w:r>
    </w:p>
    <w:p w:rsidR="000C1980" w:rsidP="001968DC" w:rsidRDefault="000C1980" w14:paraId="78A44415" w14:textId="0F21D5F0">
      <w:pPr>
        <w:pStyle w:val="Heading3"/>
        <w:ind w:left="2664"/>
      </w:pPr>
      <w:bookmarkStart w:name="_Toc69947808" w:id="118"/>
      <w:r>
        <w:t>SoCalGas Proposal</w:t>
      </w:r>
      <w:bookmarkEnd w:id="118"/>
      <w:r>
        <w:t xml:space="preserve"> </w:t>
      </w:r>
    </w:p>
    <w:p w:rsidRPr="00514932" w:rsidR="000C1980" w:rsidP="001F6BDD" w:rsidRDefault="000C1980" w14:paraId="50D4C0F4" w14:textId="77777777">
      <w:pPr>
        <w:pStyle w:val="Standard"/>
        <w:rPr>
          <w:i/>
          <w:iCs/>
          <w:u w:val="single"/>
        </w:rPr>
      </w:pPr>
      <w:r w:rsidRPr="00514932">
        <w:t xml:space="preserve">SoCalGas </w:t>
      </w:r>
      <w:r>
        <w:t xml:space="preserve">does not </w:t>
      </w:r>
      <w:r w:rsidRPr="00514932">
        <w:t>include any proposals regarding Cooling Centers.</w:t>
      </w:r>
      <w:r w:rsidRPr="00514932">
        <w:rPr>
          <w:vertAlign w:val="superscript"/>
        </w:rPr>
        <w:footnoteReference w:id="176"/>
      </w:r>
    </w:p>
    <w:p w:rsidR="000C1980" w:rsidP="001968DC" w:rsidRDefault="000C1980" w14:paraId="0CFB3D11" w14:textId="01BEE4A2">
      <w:pPr>
        <w:pStyle w:val="Heading3"/>
        <w:ind w:left="2664"/>
      </w:pPr>
      <w:bookmarkStart w:name="_Toc69947809" w:id="119"/>
      <w:r>
        <w:t>SDG&amp;E Proposal</w:t>
      </w:r>
      <w:bookmarkEnd w:id="119"/>
    </w:p>
    <w:p w:rsidRPr="00514932" w:rsidR="000C1980" w:rsidP="001F6BDD" w:rsidRDefault="000C1980" w14:paraId="1D626249" w14:textId="77777777">
      <w:pPr>
        <w:pStyle w:val="Standard"/>
      </w:pPr>
      <w:r w:rsidRPr="00B50E2C">
        <w:t>SDG&amp;E</w:t>
      </w:r>
      <w:r>
        <w:t xml:space="preserve">’s </w:t>
      </w:r>
      <w:r w:rsidRPr="00B50E2C">
        <w:t xml:space="preserve">Cool Zone </w:t>
      </w:r>
      <w:r>
        <w:t>p</w:t>
      </w:r>
      <w:r w:rsidRPr="00B50E2C">
        <w:t>rogram</w:t>
      </w:r>
      <w:r>
        <w:t xml:space="preserve"> budget</w:t>
      </w:r>
      <w:r w:rsidRPr="00B50E2C">
        <w:t xml:space="preserve"> </w:t>
      </w:r>
      <w:r>
        <w:t xml:space="preserve">is included </w:t>
      </w:r>
      <w:r w:rsidRPr="00B50E2C">
        <w:t xml:space="preserve">in its GRC </w:t>
      </w:r>
      <w:r>
        <w:t>a</w:t>
      </w:r>
      <w:r w:rsidRPr="00B50E2C">
        <w:t xml:space="preserve">pplication </w:t>
      </w:r>
      <w:r>
        <w:t>and therefore does not request any additional funding from the CARE program</w:t>
      </w:r>
      <w:r w:rsidRPr="00B50E2C">
        <w:t>.</w:t>
      </w:r>
      <w:r w:rsidRPr="00B50E2C">
        <w:rPr>
          <w:vertAlign w:val="superscript"/>
        </w:rPr>
        <w:footnoteReference w:id="177"/>
      </w:r>
    </w:p>
    <w:p w:rsidR="000C1980" w:rsidP="001968DC" w:rsidRDefault="000C1980" w14:paraId="62614B55" w14:textId="4AEFF38D">
      <w:pPr>
        <w:pStyle w:val="Heading3"/>
        <w:ind w:left="2664"/>
      </w:pPr>
      <w:bookmarkStart w:name="_Toc69947810" w:id="120"/>
      <w:r>
        <w:t>Party Positions</w:t>
      </w:r>
      <w:bookmarkEnd w:id="120"/>
    </w:p>
    <w:p w:rsidRPr="006B3614" w:rsidR="000C1980" w:rsidP="001F6BDD" w:rsidRDefault="000C1980" w14:paraId="4993DA4A" w14:textId="77777777">
      <w:pPr>
        <w:pStyle w:val="Standard"/>
        <w:rPr>
          <w:i/>
          <w:iCs/>
        </w:rPr>
      </w:pPr>
      <w:r>
        <w:t>No</w:t>
      </w:r>
      <w:r w:rsidRPr="00195C3E">
        <w:t xml:space="preserve"> </w:t>
      </w:r>
      <w:r>
        <w:t xml:space="preserve">substantive </w:t>
      </w:r>
      <w:r w:rsidRPr="00195C3E">
        <w:t xml:space="preserve">party comments </w:t>
      </w:r>
      <w:r>
        <w:t>were received on this topic.</w:t>
      </w:r>
    </w:p>
    <w:p w:rsidRPr="003201C3" w:rsidR="000C1980" w:rsidP="001968DC" w:rsidRDefault="000C1980" w14:paraId="482A1DA0" w14:textId="283141E5">
      <w:pPr>
        <w:pStyle w:val="Heading3"/>
        <w:ind w:left="2664"/>
      </w:pPr>
      <w:bookmarkStart w:name="_Toc69947811" w:id="121"/>
      <w:r w:rsidRPr="003201C3">
        <w:t>Discussion</w:t>
      </w:r>
      <w:bookmarkEnd w:id="121"/>
    </w:p>
    <w:p w:rsidRPr="003B446D" w:rsidR="000C1980" w:rsidP="001968DC" w:rsidRDefault="000C1980" w14:paraId="12BF6DAD" w14:textId="77777777">
      <w:pPr>
        <w:pStyle w:val="Heading4"/>
        <w:ind w:left="3600"/>
      </w:pPr>
      <w:bookmarkStart w:name="_Toc69947812" w:id="122"/>
      <w:r w:rsidRPr="003B446D">
        <w:t xml:space="preserve">Funding Cooling Center via GRC: </w:t>
      </w:r>
      <w:r w:rsidRPr="003B446D">
        <w:rPr>
          <w:u w:val="single"/>
        </w:rPr>
        <w:t>Approved</w:t>
      </w:r>
      <w:bookmarkEnd w:id="122"/>
    </w:p>
    <w:p w:rsidRPr="00CC5DF0" w:rsidR="000C1980" w:rsidP="0023091F" w:rsidRDefault="000C1980" w14:paraId="54DF4490" w14:textId="77777777">
      <w:pPr>
        <w:pStyle w:val="ALJBodyText"/>
      </w:pPr>
      <w:r w:rsidRPr="000300EE">
        <w:t xml:space="preserve">The Commission approves the IOU </w:t>
      </w:r>
      <w:r>
        <w:t xml:space="preserve">proposals to fund </w:t>
      </w:r>
      <w:r w:rsidRPr="000300EE">
        <w:t>Cooling Centers through the GRC</w:t>
      </w:r>
      <w:r>
        <w:t xml:space="preserve"> given that cooling centers benefit all patrons, and not just </w:t>
      </w:r>
      <w:proofErr w:type="gramStart"/>
      <w:r>
        <w:t>low income</w:t>
      </w:r>
      <w:proofErr w:type="gramEnd"/>
      <w:r>
        <w:t xml:space="preserve"> patrons.  </w:t>
      </w:r>
    </w:p>
    <w:p w:rsidR="000C1980" w:rsidP="001968DC" w:rsidRDefault="000C1980" w14:paraId="1456236E" w14:textId="3172AA3A">
      <w:pPr>
        <w:pStyle w:val="Heading2"/>
        <w:ind w:left="1728"/>
      </w:pPr>
      <w:bookmarkStart w:name="_Toc69947813" w:id="123"/>
      <w:r w:rsidRPr="00E5693D">
        <w:t>CHANGES</w:t>
      </w:r>
      <w:bookmarkEnd w:id="123"/>
    </w:p>
    <w:p w:rsidR="000C1980" w:rsidP="001968DC" w:rsidRDefault="000C1980" w14:paraId="4799E1A4" w14:textId="77777777">
      <w:pPr>
        <w:pStyle w:val="Heading3"/>
        <w:ind w:left="2664"/>
      </w:pPr>
      <w:bookmarkStart w:name="_Toc69947814" w:id="124"/>
      <w:r>
        <w:t>Background</w:t>
      </w:r>
      <w:bookmarkEnd w:id="124"/>
    </w:p>
    <w:p w:rsidRPr="0012777D" w:rsidR="000C1980" w:rsidP="001F6BDD" w:rsidRDefault="00BB0113" w14:paraId="757230A2" w14:textId="5CFA4735">
      <w:pPr>
        <w:pStyle w:val="Standard"/>
        <w:rPr>
          <w:rFonts w:eastAsia="Times New Roman"/>
          <w:sz w:val="24"/>
          <w:szCs w:val="24"/>
        </w:rPr>
      </w:pPr>
      <w:r>
        <w:t xml:space="preserve">Commission </w:t>
      </w:r>
      <w:r w:rsidRPr="002D5956" w:rsidR="000C1980">
        <w:t>D</w:t>
      </w:r>
      <w:r>
        <w:t xml:space="preserve">ecision </w:t>
      </w:r>
      <w:r w:rsidRPr="002D5956" w:rsidR="000C1980">
        <w:t xml:space="preserve">15-12-047 approved the Community Help and Awareness of Natural Gas and Electricity Services (CHANGES) </w:t>
      </w:r>
      <w:r w:rsidR="000C1980">
        <w:t>program which</w:t>
      </w:r>
      <w:r w:rsidRPr="002D5956" w:rsidR="000C1980">
        <w:t xml:space="preserve"> provide</w:t>
      </w:r>
      <w:r w:rsidR="000C1980">
        <w:t>s</w:t>
      </w:r>
      <w:r w:rsidRPr="002D5956" w:rsidR="000C1980">
        <w:t xml:space="preserve"> outreach, education, and bill issue assistance on natural gas and </w:t>
      </w:r>
      <w:r w:rsidRPr="002D5956" w:rsidR="000C1980">
        <w:lastRenderedPageBreak/>
        <w:t xml:space="preserve">electricity bills and services to limited English proficient (LEP) consumers through a statewide network of </w:t>
      </w:r>
      <w:r w:rsidR="000C1980">
        <w:t>CBOs</w:t>
      </w:r>
      <w:r w:rsidRPr="002D5956" w:rsidR="000C1980">
        <w:t>.</w:t>
      </w:r>
      <w:r w:rsidR="000C1980">
        <w:t xml:space="preserve"> </w:t>
      </w:r>
      <w:r w:rsidRPr="002D5956" w:rsidR="000C1980">
        <w:t xml:space="preserve"> CHANGES is currently funded from the CARE </w:t>
      </w:r>
      <w:r w:rsidR="000C1980">
        <w:t>p</w:t>
      </w:r>
      <w:r w:rsidRPr="002D5956" w:rsidR="000C1980">
        <w:t xml:space="preserve">rogram and thus provides services in the service territories of the IOUs. </w:t>
      </w:r>
      <w:r w:rsidR="000C1980">
        <w:t xml:space="preserve"> </w:t>
      </w:r>
      <w:r w:rsidRPr="002D5956" w:rsidR="000C1980">
        <w:t xml:space="preserve">In </w:t>
      </w:r>
      <w:r w:rsidR="000C1980">
        <w:t>D.</w:t>
      </w:r>
      <w:r w:rsidRPr="002D5956" w:rsidR="000C1980">
        <w:t xml:space="preserve">16-11-022, as modified by </w:t>
      </w:r>
      <w:r w:rsidR="000C1980">
        <w:t>D.</w:t>
      </w:r>
      <w:r w:rsidRPr="002D5956" w:rsidR="000C1980">
        <w:t xml:space="preserve">17-12-009, the Commission stated that “until a long-term Commission funding source can be established through budgetary and/or legislative channels, </w:t>
      </w:r>
      <w:r w:rsidRPr="001F6BDD" w:rsidR="000C1980">
        <w:t>the</w:t>
      </w:r>
      <w:r w:rsidRPr="002D5956" w:rsidR="000C1980">
        <w:t xml:space="preserve"> ongoing CHANGES program will be funded as a reimbursement from the CARE </w:t>
      </w:r>
      <w:r w:rsidR="000C1980">
        <w:t>p</w:t>
      </w:r>
      <w:r w:rsidRPr="002D5956" w:rsidR="000C1980">
        <w:t>rogram, through the end of the current program cycle, and may be renewed by the Commission, as needed into the next CARE cycle.”</w:t>
      </w:r>
      <w:r w:rsidRPr="002D5956" w:rsidR="000C1980">
        <w:rPr>
          <w:vertAlign w:val="superscript"/>
        </w:rPr>
        <w:footnoteReference w:id="178"/>
      </w:r>
      <w:r w:rsidR="000C1980">
        <w:t xml:space="preserve">  D.</w:t>
      </w:r>
      <w:r w:rsidRPr="002D5956" w:rsidR="000C1980">
        <w:t>19-06-022</w:t>
      </w:r>
      <w:r w:rsidR="000C1980">
        <w:t xml:space="preserve"> </w:t>
      </w:r>
      <w:r w:rsidRPr="002D5956" w:rsidR="000C1980">
        <w:t xml:space="preserve">asked </w:t>
      </w:r>
      <w:r w:rsidR="000C1980">
        <w:t xml:space="preserve">if </w:t>
      </w:r>
      <w:r w:rsidRPr="002D5956" w:rsidR="000C1980">
        <w:t xml:space="preserve">the IOUs </w:t>
      </w:r>
      <w:r w:rsidR="000C1980">
        <w:t>plan</w:t>
      </w:r>
      <w:r w:rsidRPr="002D5956" w:rsidR="000C1980">
        <w:t xml:space="preserve"> to continue funding the CHANGES </w:t>
      </w:r>
      <w:r w:rsidRPr="00663D3F" w:rsidR="000C1980">
        <w:rPr>
          <w:szCs w:val="26"/>
        </w:rPr>
        <w:t>program from CARE, and if so, at what level.</w:t>
      </w:r>
      <w:r w:rsidRPr="00663D3F" w:rsidR="000C1980">
        <w:rPr>
          <w:szCs w:val="26"/>
          <w:vertAlign w:val="superscript"/>
        </w:rPr>
        <w:footnoteReference w:id="179"/>
      </w:r>
      <w:r w:rsidRPr="00663D3F" w:rsidR="000C1980">
        <w:rPr>
          <w:szCs w:val="26"/>
        </w:rPr>
        <w:t xml:space="preserve">  </w:t>
      </w:r>
      <w:r w:rsidRPr="00663D3F" w:rsidR="000C1980">
        <w:rPr>
          <w:rFonts w:eastAsia="Times New Roman"/>
          <w:szCs w:val="26"/>
        </w:rPr>
        <w:t>The table below provides the IOU proposed budgets.</w:t>
      </w:r>
      <w:r w:rsidRPr="0012777D" w:rsidR="000C1980">
        <w:rPr>
          <w:rFonts w:eastAsia="Times New Roman"/>
          <w:sz w:val="24"/>
          <w:szCs w:val="24"/>
        </w:rPr>
        <w:t xml:space="preserve"> </w:t>
      </w:r>
    </w:p>
    <w:p w:rsidRPr="00FC0339" w:rsidR="000C1980" w:rsidP="001968DC" w:rsidRDefault="000C1980" w14:paraId="38C0B1CF" w14:textId="77777777">
      <w:pPr>
        <w:pStyle w:val="Quote"/>
        <w:ind w:left="1080"/>
        <w:jc w:val="center"/>
        <w:rPr>
          <w:b/>
          <w:bCs/>
        </w:rPr>
      </w:pPr>
      <w:r w:rsidRPr="00FC0339">
        <w:rPr>
          <w:b/>
          <w:bCs/>
        </w:rPr>
        <w:t>Table 2</w:t>
      </w:r>
      <w:r>
        <w:rPr>
          <w:b/>
          <w:bCs/>
        </w:rPr>
        <w:t>: P</w:t>
      </w:r>
      <w:r w:rsidRPr="00FC0339">
        <w:rPr>
          <w:b/>
          <w:bCs/>
        </w:rPr>
        <w:t>roposed CHANGES Budget</w:t>
      </w:r>
      <w:r>
        <w:rPr>
          <w:b/>
          <w:bCs/>
        </w:rPr>
        <w:t xml:space="preserve">, </w:t>
      </w:r>
      <w:r w:rsidRPr="00FC0339">
        <w:rPr>
          <w:b/>
          <w:bCs/>
        </w:rPr>
        <w:t>PYs 2021-2026</w:t>
      </w:r>
    </w:p>
    <w:tbl>
      <w:tblPr>
        <w:tblStyle w:val="TableGrid"/>
        <w:tblW w:w="9443" w:type="dxa"/>
        <w:tblInd w:w="-365" w:type="dxa"/>
        <w:tblLook w:val="04A0" w:firstRow="1" w:lastRow="0" w:firstColumn="1" w:lastColumn="0" w:noHBand="0" w:noVBand="1"/>
      </w:tblPr>
      <w:tblGrid>
        <w:gridCol w:w="1153"/>
        <w:gridCol w:w="1206"/>
        <w:gridCol w:w="1206"/>
        <w:gridCol w:w="1206"/>
        <w:gridCol w:w="1206"/>
        <w:gridCol w:w="1206"/>
        <w:gridCol w:w="1206"/>
        <w:gridCol w:w="1316"/>
      </w:tblGrid>
      <w:tr w:rsidRPr="006154CC" w:rsidR="000C1980" w:rsidTr="006154CC" w14:paraId="6491533B" w14:textId="77777777">
        <w:trPr>
          <w:trHeight w:val="483"/>
        </w:trPr>
        <w:tc>
          <w:tcPr>
            <w:tcW w:w="1133" w:type="dxa"/>
            <w:noWrap/>
            <w:hideMark/>
          </w:tcPr>
          <w:p w:rsidRPr="006154CC" w:rsidR="000C1980" w:rsidP="006154CC" w:rsidRDefault="000C1980" w14:paraId="53722EE2" w14:textId="77777777">
            <w:pPr>
              <w:rPr>
                <w:rFonts w:eastAsia="Times New Roman" w:cs="Calibri"/>
                <w:b/>
                <w:bCs/>
                <w:color w:val="000000" w:themeColor="text1"/>
                <w:sz w:val="22"/>
                <w:szCs w:val="22"/>
              </w:rPr>
            </w:pPr>
            <w:r w:rsidRPr="006154CC">
              <w:rPr>
                <w:rFonts w:eastAsia="Times New Roman" w:cs="Calibri"/>
                <w:b/>
                <w:bCs/>
                <w:color w:val="000000" w:themeColor="text1"/>
                <w:sz w:val="22"/>
                <w:szCs w:val="22"/>
              </w:rPr>
              <w:t>IOU</w:t>
            </w:r>
          </w:p>
        </w:tc>
        <w:tc>
          <w:tcPr>
            <w:tcW w:w="1175" w:type="dxa"/>
            <w:noWrap/>
            <w:hideMark/>
          </w:tcPr>
          <w:p w:rsidRPr="006154CC" w:rsidR="000C1980" w:rsidP="001968DC" w:rsidRDefault="000C1980" w14:paraId="5E7D8864"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2021</w:t>
            </w:r>
          </w:p>
        </w:tc>
        <w:tc>
          <w:tcPr>
            <w:tcW w:w="1175" w:type="dxa"/>
            <w:noWrap/>
            <w:hideMark/>
          </w:tcPr>
          <w:p w:rsidRPr="006154CC" w:rsidR="000C1980" w:rsidP="001968DC" w:rsidRDefault="000C1980" w14:paraId="10E63A93"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2022</w:t>
            </w:r>
          </w:p>
        </w:tc>
        <w:tc>
          <w:tcPr>
            <w:tcW w:w="1175" w:type="dxa"/>
            <w:noWrap/>
            <w:hideMark/>
          </w:tcPr>
          <w:p w:rsidRPr="006154CC" w:rsidR="000C1980" w:rsidP="001968DC" w:rsidRDefault="000C1980" w14:paraId="6B61CF80"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2023</w:t>
            </w:r>
          </w:p>
        </w:tc>
        <w:tc>
          <w:tcPr>
            <w:tcW w:w="1175" w:type="dxa"/>
            <w:noWrap/>
            <w:hideMark/>
          </w:tcPr>
          <w:p w:rsidRPr="006154CC" w:rsidR="000C1980" w:rsidP="001968DC" w:rsidRDefault="000C1980" w14:paraId="226240E3"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2024</w:t>
            </w:r>
          </w:p>
        </w:tc>
        <w:tc>
          <w:tcPr>
            <w:tcW w:w="1175" w:type="dxa"/>
            <w:noWrap/>
            <w:hideMark/>
          </w:tcPr>
          <w:p w:rsidRPr="006154CC" w:rsidR="000C1980" w:rsidP="001968DC" w:rsidRDefault="000C1980" w14:paraId="2E6000C9"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2025</w:t>
            </w:r>
          </w:p>
        </w:tc>
        <w:tc>
          <w:tcPr>
            <w:tcW w:w="1175" w:type="dxa"/>
            <w:noWrap/>
            <w:hideMark/>
          </w:tcPr>
          <w:p w:rsidRPr="006154CC" w:rsidR="000C1980" w:rsidP="001968DC" w:rsidRDefault="000C1980" w14:paraId="340ADAF7"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2026</w:t>
            </w:r>
          </w:p>
        </w:tc>
        <w:tc>
          <w:tcPr>
            <w:tcW w:w="1260" w:type="dxa"/>
            <w:noWrap/>
            <w:hideMark/>
          </w:tcPr>
          <w:p w:rsidRPr="006154CC" w:rsidR="000C1980" w:rsidP="001968DC" w:rsidRDefault="000C1980" w14:paraId="1F7EF532" w14:textId="77777777">
            <w:pPr>
              <w:ind w:left="360"/>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Total</w:t>
            </w:r>
          </w:p>
        </w:tc>
      </w:tr>
      <w:tr w:rsidRPr="006154CC" w:rsidR="000C1980" w:rsidTr="006154CC" w14:paraId="1CEA31C3" w14:textId="77777777">
        <w:trPr>
          <w:trHeight w:val="483"/>
        </w:trPr>
        <w:tc>
          <w:tcPr>
            <w:tcW w:w="1133" w:type="dxa"/>
            <w:noWrap/>
            <w:hideMark/>
          </w:tcPr>
          <w:p w:rsidRPr="006154CC" w:rsidR="000C1980" w:rsidP="006154CC" w:rsidRDefault="000C1980" w14:paraId="3632F6FE" w14:textId="77777777">
            <w:pPr>
              <w:rPr>
                <w:rFonts w:eastAsia="Times New Roman" w:cs="Calibri"/>
                <w:color w:val="000000" w:themeColor="text1"/>
                <w:sz w:val="22"/>
                <w:szCs w:val="22"/>
              </w:rPr>
            </w:pPr>
            <w:r w:rsidRPr="006154CC">
              <w:rPr>
                <w:rFonts w:eastAsia="Times New Roman" w:cs="Calibri"/>
                <w:color w:val="000000" w:themeColor="text1"/>
                <w:sz w:val="22"/>
                <w:szCs w:val="22"/>
              </w:rPr>
              <w:t>SCE</w:t>
            </w:r>
          </w:p>
        </w:tc>
        <w:tc>
          <w:tcPr>
            <w:tcW w:w="1175" w:type="dxa"/>
            <w:noWrap/>
            <w:hideMark/>
          </w:tcPr>
          <w:p w:rsidRPr="006154CC" w:rsidR="000C1980" w:rsidP="006154CC" w:rsidRDefault="000C1980" w14:paraId="5C3A5214"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$525,000</w:t>
            </w:r>
          </w:p>
        </w:tc>
        <w:tc>
          <w:tcPr>
            <w:tcW w:w="1175" w:type="dxa"/>
            <w:noWrap/>
            <w:hideMark/>
          </w:tcPr>
          <w:p w:rsidRPr="006154CC" w:rsidR="000C1980" w:rsidP="006154CC" w:rsidRDefault="000C1980" w14:paraId="446BA102"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$525,000</w:t>
            </w:r>
          </w:p>
        </w:tc>
        <w:tc>
          <w:tcPr>
            <w:tcW w:w="1175" w:type="dxa"/>
            <w:noWrap/>
            <w:hideMark/>
          </w:tcPr>
          <w:p w:rsidRPr="006154CC" w:rsidR="000C1980" w:rsidP="006154CC" w:rsidRDefault="000C1980" w14:paraId="700C9819"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$525,000</w:t>
            </w:r>
          </w:p>
        </w:tc>
        <w:tc>
          <w:tcPr>
            <w:tcW w:w="1175" w:type="dxa"/>
            <w:noWrap/>
            <w:hideMark/>
          </w:tcPr>
          <w:p w:rsidRPr="006154CC" w:rsidR="000C1980" w:rsidP="006154CC" w:rsidRDefault="000C1980" w14:paraId="2E33F723"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$525,000</w:t>
            </w:r>
          </w:p>
        </w:tc>
        <w:tc>
          <w:tcPr>
            <w:tcW w:w="1175" w:type="dxa"/>
            <w:noWrap/>
            <w:hideMark/>
          </w:tcPr>
          <w:p w:rsidRPr="006154CC" w:rsidR="000C1980" w:rsidP="006154CC" w:rsidRDefault="000C1980" w14:paraId="1A9CBD87"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$525,000</w:t>
            </w:r>
          </w:p>
        </w:tc>
        <w:tc>
          <w:tcPr>
            <w:tcW w:w="1175" w:type="dxa"/>
            <w:noWrap/>
            <w:hideMark/>
          </w:tcPr>
          <w:p w:rsidRPr="006154CC" w:rsidR="000C1980" w:rsidP="006154CC" w:rsidRDefault="000C1980" w14:paraId="0A1FA648"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$525,000</w:t>
            </w:r>
          </w:p>
        </w:tc>
        <w:tc>
          <w:tcPr>
            <w:tcW w:w="1260" w:type="dxa"/>
            <w:noWrap/>
            <w:hideMark/>
          </w:tcPr>
          <w:p w:rsidRPr="006154CC" w:rsidR="000C1980" w:rsidP="006154CC" w:rsidRDefault="000C1980" w14:paraId="7B3AE182"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$3,150,000</w:t>
            </w:r>
          </w:p>
        </w:tc>
      </w:tr>
      <w:tr w:rsidRPr="006154CC" w:rsidR="000C1980" w:rsidTr="006154CC" w14:paraId="5486E7AC" w14:textId="77777777">
        <w:trPr>
          <w:trHeight w:val="483"/>
        </w:trPr>
        <w:tc>
          <w:tcPr>
            <w:tcW w:w="1133" w:type="dxa"/>
            <w:noWrap/>
            <w:hideMark/>
          </w:tcPr>
          <w:p w:rsidRPr="006154CC" w:rsidR="000C1980" w:rsidP="006154CC" w:rsidRDefault="000C1980" w14:paraId="5F83D14B" w14:textId="77777777">
            <w:pPr>
              <w:rPr>
                <w:rFonts w:eastAsia="Times New Roman" w:cs="Calibri"/>
                <w:color w:val="000000" w:themeColor="text1"/>
                <w:sz w:val="22"/>
                <w:szCs w:val="22"/>
              </w:rPr>
            </w:pPr>
            <w:r w:rsidRPr="006154CC">
              <w:rPr>
                <w:rFonts w:eastAsia="Times New Roman" w:cs="Calibri"/>
                <w:color w:val="000000" w:themeColor="text1"/>
                <w:sz w:val="22"/>
                <w:szCs w:val="22"/>
              </w:rPr>
              <w:t>PG&amp;E</w:t>
            </w:r>
          </w:p>
        </w:tc>
        <w:tc>
          <w:tcPr>
            <w:tcW w:w="1175" w:type="dxa"/>
            <w:noWrap/>
            <w:hideMark/>
          </w:tcPr>
          <w:p w:rsidRPr="006154CC" w:rsidR="000C1980" w:rsidP="006154CC" w:rsidRDefault="000C1980" w14:paraId="5F0100B6"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$535,000</w:t>
            </w:r>
          </w:p>
        </w:tc>
        <w:tc>
          <w:tcPr>
            <w:tcW w:w="1175" w:type="dxa"/>
            <w:noWrap/>
            <w:hideMark/>
          </w:tcPr>
          <w:p w:rsidRPr="006154CC" w:rsidR="000C1980" w:rsidP="006154CC" w:rsidRDefault="000C1980" w14:paraId="4485377C"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$535,000</w:t>
            </w:r>
          </w:p>
        </w:tc>
        <w:tc>
          <w:tcPr>
            <w:tcW w:w="1175" w:type="dxa"/>
            <w:noWrap/>
            <w:hideMark/>
          </w:tcPr>
          <w:p w:rsidRPr="006154CC" w:rsidR="000C1980" w:rsidP="006154CC" w:rsidRDefault="000C1980" w14:paraId="45AE6311"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$535,000</w:t>
            </w:r>
          </w:p>
        </w:tc>
        <w:tc>
          <w:tcPr>
            <w:tcW w:w="1175" w:type="dxa"/>
            <w:noWrap/>
            <w:hideMark/>
          </w:tcPr>
          <w:p w:rsidRPr="006154CC" w:rsidR="000C1980" w:rsidP="006154CC" w:rsidRDefault="000C1980" w14:paraId="4E1B66E8"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$535,000</w:t>
            </w:r>
          </w:p>
        </w:tc>
        <w:tc>
          <w:tcPr>
            <w:tcW w:w="1175" w:type="dxa"/>
            <w:noWrap/>
            <w:hideMark/>
          </w:tcPr>
          <w:p w:rsidRPr="006154CC" w:rsidR="000C1980" w:rsidP="006154CC" w:rsidRDefault="000C1980" w14:paraId="0C47A30F"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$535,000</w:t>
            </w:r>
          </w:p>
        </w:tc>
        <w:tc>
          <w:tcPr>
            <w:tcW w:w="1175" w:type="dxa"/>
            <w:noWrap/>
            <w:hideMark/>
          </w:tcPr>
          <w:p w:rsidRPr="006154CC" w:rsidR="000C1980" w:rsidP="006154CC" w:rsidRDefault="000C1980" w14:paraId="33472295"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$535,000</w:t>
            </w:r>
          </w:p>
        </w:tc>
        <w:tc>
          <w:tcPr>
            <w:tcW w:w="1260" w:type="dxa"/>
            <w:noWrap/>
            <w:hideMark/>
          </w:tcPr>
          <w:p w:rsidRPr="006154CC" w:rsidR="000C1980" w:rsidP="006154CC" w:rsidRDefault="000C1980" w14:paraId="4B068771"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$3,210,000</w:t>
            </w:r>
          </w:p>
        </w:tc>
      </w:tr>
      <w:tr w:rsidRPr="006154CC" w:rsidR="000C1980" w:rsidTr="006154CC" w14:paraId="391C4ECC" w14:textId="77777777">
        <w:trPr>
          <w:trHeight w:val="483"/>
        </w:trPr>
        <w:tc>
          <w:tcPr>
            <w:tcW w:w="1133" w:type="dxa"/>
            <w:noWrap/>
            <w:hideMark/>
          </w:tcPr>
          <w:p w:rsidRPr="006154CC" w:rsidR="000C1980" w:rsidP="006154CC" w:rsidRDefault="000C1980" w14:paraId="5672815B" w14:textId="77777777">
            <w:pPr>
              <w:rPr>
                <w:rFonts w:eastAsia="Times New Roman" w:cs="Calibri"/>
                <w:color w:val="000000" w:themeColor="text1"/>
                <w:sz w:val="22"/>
                <w:szCs w:val="22"/>
              </w:rPr>
            </w:pPr>
            <w:r w:rsidRPr="006154CC">
              <w:rPr>
                <w:rFonts w:eastAsia="Times New Roman" w:cs="Calibri"/>
                <w:color w:val="000000" w:themeColor="text1"/>
                <w:sz w:val="22"/>
                <w:szCs w:val="22"/>
              </w:rPr>
              <w:t>SDG&amp;E</w:t>
            </w:r>
          </w:p>
        </w:tc>
        <w:tc>
          <w:tcPr>
            <w:tcW w:w="1175" w:type="dxa"/>
            <w:noWrap/>
            <w:hideMark/>
          </w:tcPr>
          <w:p w:rsidRPr="006154CC" w:rsidR="000C1980" w:rsidP="006154CC" w:rsidRDefault="000C1980" w14:paraId="01D97207"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$265,000</w:t>
            </w:r>
          </w:p>
        </w:tc>
        <w:tc>
          <w:tcPr>
            <w:tcW w:w="1175" w:type="dxa"/>
            <w:noWrap/>
            <w:hideMark/>
          </w:tcPr>
          <w:p w:rsidRPr="006154CC" w:rsidR="000C1980" w:rsidP="006154CC" w:rsidRDefault="000C1980" w14:paraId="0DF83496"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$265,000</w:t>
            </w:r>
          </w:p>
        </w:tc>
        <w:tc>
          <w:tcPr>
            <w:tcW w:w="1175" w:type="dxa"/>
            <w:noWrap/>
            <w:hideMark/>
          </w:tcPr>
          <w:p w:rsidRPr="006154CC" w:rsidR="000C1980" w:rsidP="006154CC" w:rsidRDefault="000C1980" w14:paraId="06062142"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$265,000</w:t>
            </w:r>
          </w:p>
        </w:tc>
        <w:tc>
          <w:tcPr>
            <w:tcW w:w="1175" w:type="dxa"/>
            <w:noWrap/>
            <w:hideMark/>
          </w:tcPr>
          <w:p w:rsidRPr="006154CC" w:rsidR="000C1980" w:rsidP="006154CC" w:rsidRDefault="000C1980" w14:paraId="3436A563"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$265,000</w:t>
            </w:r>
          </w:p>
        </w:tc>
        <w:tc>
          <w:tcPr>
            <w:tcW w:w="1175" w:type="dxa"/>
            <w:noWrap/>
            <w:hideMark/>
          </w:tcPr>
          <w:p w:rsidRPr="006154CC" w:rsidR="000C1980" w:rsidP="006154CC" w:rsidRDefault="000C1980" w14:paraId="2F739A96"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$265,000</w:t>
            </w:r>
          </w:p>
        </w:tc>
        <w:tc>
          <w:tcPr>
            <w:tcW w:w="1175" w:type="dxa"/>
            <w:noWrap/>
            <w:hideMark/>
          </w:tcPr>
          <w:p w:rsidRPr="006154CC" w:rsidR="000C1980" w:rsidP="006154CC" w:rsidRDefault="000C1980" w14:paraId="00FE3B3F"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$265,000</w:t>
            </w:r>
          </w:p>
        </w:tc>
        <w:tc>
          <w:tcPr>
            <w:tcW w:w="1260" w:type="dxa"/>
            <w:noWrap/>
            <w:hideMark/>
          </w:tcPr>
          <w:p w:rsidRPr="006154CC" w:rsidR="000C1980" w:rsidP="006154CC" w:rsidRDefault="000C1980" w14:paraId="34338FB1"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$1,590,000</w:t>
            </w:r>
          </w:p>
        </w:tc>
      </w:tr>
      <w:tr w:rsidRPr="006154CC" w:rsidR="000C1980" w:rsidTr="006154CC" w14:paraId="6F417992" w14:textId="77777777">
        <w:trPr>
          <w:trHeight w:val="483"/>
        </w:trPr>
        <w:tc>
          <w:tcPr>
            <w:tcW w:w="1133" w:type="dxa"/>
            <w:noWrap/>
            <w:hideMark/>
          </w:tcPr>
          <w:p w:rsidRPr="006154CC" w:rsidR="000C1980" w:rsidP="006154CC" w:rsidRDefault="000C1980" w14:paraId="0E07B0C1" w14:textId="77777777">
            <w:pPr>
              <w:rPr>
                <w:rFonts w:eastAsia="Times New Roman" w:cs="Calibri"/>
                <w:color w:val="000000" w:themeColor="text1"/>
                <w:sz w:val="22"/>
                <w:szCs w:val="22"/>
              </w:rPr>
            </w:pPr>
            <w:r w:rsidRPr="006154CC">
              <w:rPr>
                <w:rFonts w:eastAsia="Times New Roman" w:cs="Calibri"/>
                <w:color w:val="000000" w:themeColor="text1"/>
                <w:sz w:val="22"/>
                <w:szCs w:val="22"/>
              </w:rPr>
              <w:t>SoCalGas</w:t>
            </w:r>
          </w:p>
        </w:tc>
        <w:tc>
          <w:tcPr>
            <w:tcW w:w="1175" w:type="dxa"/>
            <w:noWrap/>
            <w:hideMark/>
          </w:tcPr>
          <w:p w:rsidRPr="006154CC" w:rsidR="000C1980" w:rsidP="006154CC" w:rsidRDefault="000C1980" w14:paraId="5814A697"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$437,502</w:t>
            </w:r>
          </w:p>
        </w:tc>
        <w:tc>
          <w:tcPr>
            <w:tcW w:w="1175" w:type="dxa"/>
            <w:noWrap/>
            <w:hideMark/>
          </w:tcPr>
          <w:p w:rsidRPr="006154CC" w:rsidR="000C1980" w:rsidP="006154CC" w:rsidRDefault="000C1980" w14:paraId="2B47DDD3"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$437,502</w:t>
            </w:r>
          </w:p>
        </w:tc>
        <w:tc>
          <w:tcPr>
            <w:tcW w:w="1175" w:type="dxa"/>
            <w:noWrap/>
            <w:hideMark/>
          </w:tcPr>
          <w:p w:rsidRPr="006154CC" w:rsidR="000C1980" w:rsidP="006154CC" w:rsidRDefault="000C1980" w14:paraId="7F15C1DD"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$437,502</w:t>
            </w:r>
          </w:p>
        </w:tc>
        <w:tc>
          <w:tcPr>
            <w:tcW w:w="1175" w:type="dxa"/>
            <w:noWrap/>
            <w:hideMark/>
          </w:tcPr>
          <w:p w:rsidRPr="006154CC" w:rsidR="000C1980" w:rsidP="006154CC" w:rsidRDefault="000C1980" w14:paraId="00BB2FCE"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$437,502</w:t>
            </w:r>
          </w:p>
        </w:tc>
        <w:tc>
          <w:tcPr>
            <w:tcW w:w="1175" w:type="dxa"/>
            <w:noWrap/>
            <w:hideMark/>
          </w:tcPr>
          <w:p w:rsidRPr="006154CC" w:rsidR="000C1980" w:rsidP="006154CC" w:rsidRDefault="000C1980" w14:paraId="28259055"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$437,502</w:t>
            </w:r>
          </w:p>
        </w:tc>
        <w:tc>
          <w:tcPr>
            <w:tcW w:w="1175" w:type="dxa"/>
            <w:noWrap/>
            <w:hideMark/>
          </w:tcPr>
          <w:p w:rsidRPr="006154CC" w:rsidR="000C1980" w:rsidP="006154CC" w:rsidRDefault="000C1980" w14:paraId="441EE3F2" w14:textId="77777777">
            <w:pPr>
              <w:jc w:val="right"/>
              <w:rPr>
                <w:rFonts w:eastAsia="Times New Roman" w:cs="Calibri"/>
                <w:color w:val="000000" w:themeColor="text1"/>
                <w:sz w:val="22"/>
                <w:szCs w:val="22"/>
              </w:rPr>
            </w:pPr>
            <w:r w:rsidRPr="006154CC">
              <w:rPr>
                <w:rFonts w:eastAsia="Times New Roman" w:cs="Calibri"/>
                <w:color w:val="000000" w:themeColor="text1"/>
                <w:sz w:val="22"/>
                <w:szCs w:val="22"/>
              </w:rPr>
              <w:t>$437,502</w:t>
            </w:r>
          </w:p>
        </w:tc>
        <w:tc>
          <w:tcPr>
            <w:tcW w:w="1260" w:type="dxa"/>
            <w:noWrap/>
            <w:hideMark/>
          </w:tcPr>
          <w:p w:rsidRPr="006154CC" w:rsidR="000C1980" w:rsidP="006154CC" w:rsidRDefault="000C1980" w14:paraId="701BA2CD"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$2,625,012</w:t>
            </w:r>
          </w:p>
        </w:tc>
      </w:tr>
      <w:tr w:rsidRPr="006154CC" w:rsidR="000C1980" w:rsidTr="006154CC" w14:paraId="2CC4EC62" w14:textId="77777777">
        <w:trPr>
          <w:trHeight w:val="483"/>
        </w:trPr>
        <w:tc>
          <w:tcPr>
            <w:tcW w:w="1133" w:type="dxa"/>
            <w:noWrap/>
            <w:hideMark/>
          </w:tcPr>
          <w:p w:rsidRPr="006154CC" w:rsidR="000C1980" w:rsidP="006154CC" w:rsidRDefault="000C1980" w14:paraId="3DE1D3D8" w14:textId="77777777">
            <w:pPr>
              <w:rPr>
                <w:rFonts w:eastAsia="Times New Roman" w:cs="Calibri"/>
                <w:b/>
                <w:bCs/>
                <w:color w:val="000000" w:themeColor="text1"/>
                <w:sz w:val="22"/>
                <w:szCs w:val="22"/>
              </w:rPr>
            </w:pPr>
            <w:r w:rsidRPr="006154CC">
              <w:rPr>
                <w:rFonts w:eastAsia="Times New Roman" w:cs="Calibri"/>
                <w:b/>
                <w:bCs/>
                <w:color w:val="000000" w:themeColor="text1"/>
                <w:sz w:val="22"/>
                <w:szCs w:val="22"/>
              </w:rPr>
              <w:t>Total</w:t>
            </w:r>
          </w:p>
        </w:tc>
        <w:tc>
          <w:tcPr>
            <w:tcW w:w="1175" w:type="dxa"/>
            <w:noWrap/>
            <w:hideMark/>
          </w:tcPr>
          <w:p w:rsidRPr="006154CC" w:rsidR="000C1980" w:rsidP="006154CC" w:rsidRDefault="000C1980" w14:paraId="1B88DE69"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$1,762,502</w:t>
            </w:r>
          </w:p>
        </w:tc>
        <w:tc>
          <w:tcPr>
            <w:tcW w:w="1175" w:type="dxa"/>
            <w:noWrap/>
            <w:hideMark/>
          </w:tcPr>
          <w:p w:rsidRPr="006154CC" w:rsidR="000C1980" w:rsidP="006154CC" w:rsidRDefault="000C1980" w14:paraId="6CC92CEC"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$1,762,502</w:t>
            </w:r>
          </w:p>
        </w:tc>
        <w:tc>
          <w:tcPr>
            <w:tcW w:w="1175" w:type="dxa"/>
            <w:noWrap/>
            <w:hideMark/>
          </w:tcPr>
          <w:p w:rsidRPr="006154CC" w:rsidR="000C1980" w:rsidP="006154CC" w:rsidRDefault="000C1980" w14:paraId="7CCD3E36"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$1,762,502</w:t>
            </w:r>
          </w:p>
        </w:tc>
        <w:tc>
          <w:tcPr>
            <w:tcW w:w="1175" w:type="dxa"/>
            <w:noWrap/>
            <w:hideMark/>
          </w:tcPr>
          <w:p w:rsidRPr="006154CC" w:rsidR="000C1980" w:rsidP="006154CC" w:rsidRDefault="000C1980" w14:paraId="68D88DC8"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$1,762,502</w:t>
            </w:r>
          </w:p>
        </w:tc>
        <w:tc>
          <w:tcPr>
            <w:tcW w:w="1175" w:type="dxa"/>
            <w:noWrap/>
            <w:hideMark/>
          </w:tcPr>
          <w:p w:rsidRPr="006154CC" w:rsidR="000C1980" w:rsidP="006154CC" w:rsidRDefault="000C1980" w14:paraId="56C42EB6"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$1,762,502</w:t>
            </w:r>
          </w:p>
        </w:tc>
        <w:tc>
          <w:tcPr>
            <w:tcW w:w="1175" w:type="dxa"/>
            <w:noWrap/>
            <w:hideMark/>
          </w:tcPr>
          <w:p w:rsidRPr="006154CC" w:rsidR="000C1980" w:rsidP="006154CC" w:rsidRDefault="000C1980" w14:paraId="3F40DC07"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$1,762,502</w:t>
            </w:r>
          </w:p>
        </w:tc>
        <w:tc>
          <w:tcPr>
            <w:tcW w:w="1260" w:type="dxa"/>
            <w:noWrap/>
            <w:hideMark/>
          </w:tcPr>
          <w:p w:rsidRPr="006154CC" w:rsidR="000C1980" w:rsidP="006154CC" w:rsidRDefault="000C1980" w14:paraId="3645BF34" w14:textId="77777777">
            <w:pPr>
              <w:jc w:val="right"/>
              <w:rPr>
                <w:rFonts w:eastAsia="Times New Roman" w:cs="Calibri"/>
                <w:b/>
                <w:bCs/>
                <w:color w:val="000000" w:themeColor="text1"/>
                <w:sz w:val="22"/>
                <w:szCs w:val="22"/>
              </w:rPr>
            </w:pPr>
            <w:r w:rsidRPr="006154CC">
              <w:rPr>
                <w:rFonts w:eastAsia="Times New Roman" w:cs="Calibri"/>
                <w:b/>
                <w:bCs/>
                <w:color w:val="000000" w:themeColor="text1"/>
                <w:sz w:val="22"/>
                <w:szCs w:val="22"/>
              </w:rPr>
              <w:t>$10,575,012</w:t>
            </w:r>
          </w:p>
        </w:tc>
      </w:tr>
    </w:tbl>
    <w:p w:rsidRPr="00663D3F" w:rsidR="000C1980" w:rsidP="001968DC" w:rsidRDefault="000C1980" w14:paraId="19AD31D0" w14:textId="77777777">
      <w:pPr>
        <w:pStyle w:val="Standard"/>
        <w:ind w:left="360"/>
        <w:rPr>
          <w:sz w:val="10"/>
          <w:szCs w:val="10"/>
        </w:rPr>
      </w:pPr>
    </w:p>
    <w:p w:rsidR="000C1980" w:rsidP="001968DC" w:rsidRDefault="000C1980" w14:paraId="245CB39C" w14:textId="77777777">
      <w:pPr>
        <w:pStyle w:val="Heading3"/>
        <w:ind w:left="2664"/>
      </w:pPr>
      <w:bookmarkStart w:name="_Toc69947815" w:id="125"/>
      <w:r>
        <w:t>PG&amp;E Proposal</w:t>
      </w:r>
      <w:bookmarkEnd w:id="125"/>
      <w:r>
        <w:t xml:space="preserve"> </w:t>
      </w:r>
    </w:p>
    <w:p w:rsidRPr="007F1AFC" w:rsidR="000C1980" w:rsidP="0023091F" w:rsidRDefault="000C1980" w14:paraId="1363203F" w14:textId="77777777">
      <w:pPr>
        <w:pStyle w:val="ALJBodyText"/>
      </w:pPr>
      <w:r>
        <w:rPr>
          <w:b/>
          <w:bCs/>
          <w:i/>
          <w:iCs/>
          <w:u w:val="single"/>
        </w:rPr>
        <w:t xml:space="preserve">Alternate </w:t>
      </w:r>
      <w:r w:rsidRPr="007569CE">
        <w:rPr>
          <w:b/>
          <w:bCs/>
          <w:i/>
          <w:iCs/>
          <w:u w:val="single"/>
        </w:rPr>
        <w:t>Funding</w:t>
      </w:r>
      <w:r>
        <w:rPr>
          <w:b/>
          <w:bCs/>
          <w:i/>
          <w:iCs/>
          <w:u w:val="single"/>
        </w:rPr>
        <w:t xml:space="preserve"> Source</w:t>
      </w:r>
      <w:r w:rsidRPr="007569CE">
        <w:rPr>
          <w:i/>
          <w:iCs/>
          <w:u w:val="single"/>
        </w:rPr>
        <w:t>:</w:t>
      </w:r>
      <w:r>
        <w:t xml:space="preserve"> </w:t>
      </w:r>
      <w:r w:rsidRPr="007F1AFC">
        <w:t xml:space="preserve">PG&amp;E </w:t>
      </w:r>
      <w:r>
        <w:t>is</w:t>
      </w:r>
      <w:r w:rsidRPr="007F1AFC">
        <w:t xml:space="preserve"> supportive of alternative funding sources to continue the CHANGES </w:t>
      </w:r>
      <w:r>
        <w:t>p</w:t>
      </w:r>
      <w:r w:rsidRPr="007F1AFC">
        <w:t xml:space="preserve">rogram as alluded to in D.15-12-047, but for the moment is satisfied with funding CHANGES from the CARE balancing </w:t>
      </w:r>
      <w:r w:rsidRPr="007F1AFC">
        <w:lastRenderedPageBreak/>
        <w:t>account.</w:t>
      </w:r>
      <w:r w:rsidRPr="007F1AFC">
        <w:rPr>
          <w:vertAlign w:val="superscript"/>
        </w:rPr>
        <w:footnoteReference w:id="180"/>
      </w:r>
      <w:r>
        <w:t xml:space="preserve">  PG&amp;E proposes </w:t>
      </w:r>
      <w:r w:rsidRPr="00044316">
        <w:t>that if the Commission decides to move the CHANGES funding outside of the CARE proceeding, the Commission should transition CHANGES monthly, annual, and L</w:t>
      </w:r>
      <w:r>
        <w:t xml:space="preserve">ow </w:t>
      </w:r>
      <w:r w:rsidRPr="00044316">
        <w:t>I</w:t>
      </w:r>
      <w:r>
        <w:t xml:space="preserve">ncome </w:t>
      </w:r>
      <w:r w:rsidRPr="00044316">
        <w:t>O</w:t>
      </w:r>
      <w:r>
        <w:t xml:space="preserve">versight </w:t>
      </w:r>
      <w:r w:rsidRPr="00044316">
        <w:t>B</w:t>
      </w:r>
      <w:r>
        <w:t>oard (LIOB)</w:t>
      </w:r>
      <w:r w:rsidRPr="00044316">
        <w:t xml:space="preserve"> reporting to the Commission-selected contractor. </w:t>
      </w:r>
      <w:r>
        <w:t xml:space="preserve"> </w:t>
      </w:r>
      <w:r w:rsidRPr="00044316">
        <w:t xml:space="preserve">This was directed by </w:t>
      </w:r>
      <w:r>
        <w:t>D.</w:t>
      </w:r>
      <w:r w:rsidRPr="00044316">
        <w:t>15</w:t>
      </w:r>
      <w:r>
        <w:noBreakHyphen/>
      </w:r>
      <w:r w:rsidRPr="00044316">
        <w:t>12</w:t>
      </w:r>
      <w:r>
        <w:noBreakHyphen/>
      </w:r>
      <w:r w:rsidRPr="00044316">
        <w:t>047 which states “once an ongoing funding source out of the Commission’s reimbursable budget is authorized, the IOUs’ role will change. They will no longer be required to include CHANGES activities in their CARE monthly reports when the funding no longer comes from the CARE program.”</w:t>
      </w:r>
      <w:r w:rsidRPr="00044316">
        <w:rPr>
          <w:vertAlign w:val="superscript"/>
        </w:rPr>
        <w:footnoteReference w:id="181"/>
      </w:r>
    </w:p>
    <w:p w:rsidR="000C1980" w:rsidP="001968DC" w:rsidRDefault="000C1980" w14:paraId="5CD8C9AE" w14:textId="63C57C15">
      <w:pPr>
        <w:pStyle w:val="Heading3"/>
        <w:ind w:left="2664"/>
      </w:pPr>
      <w:bookmarkStart w:name="_Toc69947816" w:id="126"/>
      <w:r>
        <w:t>SCE Proposal</w:t>
      </w:r>
      <w:bookmarkEnd w:id="126"/>
      <w:r>
        <w:t xml:space="preserve"> </w:t>
      </w:r>
    </w:p>
    <w:p w:rsidRPr="0031353C" w:rsidR="000C1980" w:rsidP="0023091F" w:rsidRDefault="000C1980" w14:paraId="03BE0C47" w14:textId="77777777">
      <w:pPr>
        <w:pStyle w:val="ALJBodyText"/>
        <w:rPr>
          <w:rFonts w:eastAsia="Times New Roman"/>
          <w:szCs w:val="26"/>
        </w:rPr>
      </w:pPr>
      <w:r>
        <w:rPr>
          <w:b/>
          <w:bCs/>
          <w:i/>
          <w:iCs/>
          <w:u w:val="single"/>
        </w:rPr>
        <w:t xml:space="preserve">Alternate </w:t>
      </w:r>
      <w:r w:rsidRPr="007569CE">
        <w:rPr>
          <w:b/>
          <w:bCs/>
          <w:i/>
          <w:iCs/>
          <w:u w:val="single"/>
        </w:rPr>
        <w:t>Funding</w:t>
      </w:r>
      <w:r>
        <w:rPr>
          <w:b/>
          <w:bCs/>
          <w:i/>
          <w:iCs/>
          <w:u w:val="single"/>
        </w:rPr>
        <w:t xml:space="preserve"> Source</w:t>
      </w:r>
      <w:r w:rsidRPr="007569CE">
        <w:rPr>
          <w:i/>
          <w:iCs/>
          <w:u w:val="single"/>
        </w:rPr>
        <w:t>:</w:t>
      </w:r>
      <w:r>
        <w:t xml:space="preserve"> </w:t>
      </w:r>
      <w:r w:rsidRPr="007F1AFC">
        <w:t xml:space="preserve">SCE </w:t>
      </w:r>
      <w:r>
        <w:t xml:space="preserve">proposes </w:t>
      </w:r>
      <w:r w:rsidRPr="007F1AFC">
        <w:t xml:space="preserve">that CHANGES be funded through </w:t>
      </w:r>
      <w:r>
        <w:t xml:space="preserve">a source other than CARE, arguing that </w:t>
      </w:r>
      <w:r w:rsidRPr="007F1AFC">
        <w:t>the program currently provides little direct benefit to CARE customers or towards achieving any of the goals of the CARE program</w:t>
      </w:r>
      <w:r>
        <w:t>.</w:t>
      </w:r>
      <w:r w:rsidRPr="007F1AFC">
        <w:rPr>
          <w:vertAlign w:val="superscript"/>
        </w:rPr>
        <w:footnoteReference w:id="182"/>
      </w:r>
      <w:r>
        <w:t xml:space="preserve">  However, </w:t>
      </w:r>
      <w:r w:rsidRPr="007F1AFC">
        <w:t>SCE states that until the Commission determines another appropriate funding source, SCE will continue to fund CHANGES at the current level of $525,000 per year</w:t>
      </w:r>
      <w:r>
        <w:t xml:space="preserve"> through CARE.</w:t>
      </w:r>
      <w:r w:rsidRPr="007F1AFC">
        <w:rPr>
          <w:vertAlign w:val="superscript"/>
        </w:rPr>
        <w:footnoteReference w:id="183"/>
      </w:r>
      <w:r w:rsidRPr="006D7C33">
        <w:rPr>
          <w:rFonts w:eastAsia="Times New Roman"/>
          <w:sz w:val="24"/>
          <w:szCs w:val="24"/>
        </w:rPr>
        <w:t xml:space="preserve"> </w:t>
      </w:r>
      <w:r>
        <w:rPr>
          <w:rFonts w:eastAsia="Times New Roman"/>
          <w:sz w:val="24"/>
          <w:szCs w:val="24"/>
        </w:rPr>
        <w:t xml:space="preserve"> </w:t>
      </w:r>
      <w:r w:rsidRPr="0031353C">
        <w:rPr>
          <w:rFonts w:eastAsia="Times New Roman"/>
          <w:szCs w:val="26"/>
        </w:rPr>
        <w:t xml:space="preserve">SCE proposes that if the Commission decides to move the CHANGES funding outside of the CARE proceeding, the Commission should transition CHANGES monthly, annual, and LIOB reporting to the Commission-selected contractor. </w:t>
      </w:r>
    </w:p>
    <w:p w:rsidR="000C1980" w:rsidP="001968DC" w:rsidRDefault="000C1980" w14:paraId="2CE9C122" w14:textId="235C26A6">
      <w:pPr>
        <w:pStyle w:val="Heading3"/>
        <w:ind w:left="2664"/>
      </w:pPr>
      <w:bookmarkStart w:name="_Toc69947817" w:id="127"/>
      <w:r>
        <w:t>SoCalGas Proposal</w:t>
      </w:r>
      <w:bookmarkEnd w:id="127"/>
      <w:r>
        <w:t xml:space="preserve"> </w:t>
      </w:r>
    </w:p>
    <w:p w:rsidRPr="00564372" w:rsidR="000C1980" w:rsidP="0023091F" w:rsidRDefault="000C1980" w14:paraId="1EA2F7D1" w14:textId="77777777">
      <w:pPr>
        <w:pStyle w:val="ALJBodyText"/>
      </w:pPr>
      <w:r>
        <w:rPr>
          <w:b/>
          <w:bCs/>
          <w:i/>
          <w:iCs/>
          <w:u w:val="single"/>
        </w:rPr>
        <w:t xml:space="preserve">Alternate </w:t>
      </w:r>
      <w:r w:rsidRPr="007569CE">
        <w:rPr>
          <w:b/>
          <w:bCs/>
          <w:i/>
          <w:iCs/>
          <w:u w:val="single"/>
        </w:rPr>
        <w:t>Funding</w:t>
      </w:r>
      <w:r>
        <w:rPr>
          <w:b/>
          <w:bCs/>
          <w:i/>
          <w:iCs/>
          <w:u w:val="single"/>
        </w:rPr>
        <w:t xml:space="preserve"> Source</w:t>
      </w:r>
      <w:r w:rsidRPr="007569CE">
        <w:rPr>
          <w:i/>
          <w:iCs/>
          <w:u w:val="single"/>
        </w:rPr>
        <w:t>:</w:t>
      </w:r>
      <w:r>
        <w:t xml:space="preserve"> </w:t>
      </w:r>
      <w:r w:rsidRPr="00564372">
        <w:t xml:space="preserve">SoCalGas </w:t>
      </w:r>
      <w:r>
        <w:t xml:space="preserve">proposes </w:t>
      </w:r>
      <w:r w:rsidRPr="007F1AFC">
        <w:t>that CHANGES be funded through a source other than CARE</w:t>
      </w:r>
      <w:r>
        <w:t>, either</w:t>
      </w:r>
      <w:r w:rsidRPr="00564372">
        <w:t xml:space="preserve"> through the Commission’s reimbursable budget or SoCalGas’ next </w:t>
      </w:r>
      <w:r>
        <w:t xml:space="preserve">GRC, stating that CARE is not the </w:t>
      </w:r>
      <w:r>
        <w:lastRenderedPageBreak/>
        <w:t xml:space="preserve">appropriate funding source because </w:t>
      </w:r>
      <w:r w:rsidRPr="007F1AFC">
        <w:t>program currently provides little direct benefit to CARE customers</w:t>
      </w:r>
      <w:r>
        <w:t>.  I</w:t>
      </w:r>
      <w:r w:rsidRPr="00564372">
        <w:t>n 2018, of the 599 services provided, 558 (93</w:t>
      </w:r>
      <w:r>
        <w:t> </w:t>
      </w:r>
      <w:r w:rsidRPr="0026503D">
        <w:t>percent</w:t>
      </w:r>
      <w:r w:rsidRPr="00564372">
        <w:t>) of the services were for non-CARE related assistance such as account set up, account changes, reconnections, bill payment assistance, payment plans and extensions.</w:t>
      </w:r>
      <w:r w:rsidRPr="00564372">
        <w:rPr>
          <w:vertAlign w:val="superscript"/>
        </w:rPr>
        <w:t xml:space="preserve"> </w:t>
      </w:r>
      <w:r w:rsidRPr="00564372">
        <w:rPr>
          <w:vertAlign w:val="superscript"/>
        </w:rPr>
        <w:footnoteReference w:id="184"/>
      </w:r>
      <w:r>
        <w:rPr>
          <w:vertAlign w:val="superscript"/>
        </w:rPr>
        <w:t xml:space="preserve">  </w:t>
      </w:r>
      <w:r>
        <w:t>Also,</w:t>
      </w:r>
      <w:r w:rsidRPr="00044316">
        <w:t xml:space="preserve"> if the Commission decides to move the CHANGES funding outside of the CARE proceeding, the Commission should </w:t>
      </w:r>
      <w:r>
        <w:t xml:space="preserve">also </w:t>
      </w:r>
      <w:r w:rsidRPr="00044316">
        <w:t xml:space="preserve">transition CHANGES monthly, annual, and LIOB reporting to the Commission-selected contractor. </w:t>
      </w:r>
      <w:r>
        <w:t xml:space="preserve"> A</w:t>
      </w:r>
      <w:r w:rsidRPr="007F1AFC">
        <w:t>lternative</w:t>
      </w:r>
      <w:r>
        <w:t>ly</w:t>
      </w:r>
      <w:r w:rsidRPr="007F1AFC">
        <w:t>, if the Commission determines that CHANGE</w:t>
      </w:r>
      <w:r>
        <w:t>S</w:t>
      </w:r>
      <w:r w:rsidRPr="007F1AFC">
        <w:t xml:space="preserve"> should continue to be funded through CARE, SoCalGas proposes that CHANGES continue to be funded at an amount not to exceed $1.75 million per year.</w:t>
      </w:r>
      <w:r w:rsidRPr="007F1AFC">
        <w:rPr>
          <w:vertAlign w:val="superscript"/>
        </w:rPr>
        <w:footnoteReference w:id="185"/>
      </w:r>
    </w:p>
    <w:p w:rsidR="000C1980" w:rsidP="001968DC" w:rsidRDefault="000C1980" w14:paraId="6D09C4D2" w14:textId="6FBA82FD">
      <w:pPr>
        <w:pStyle w:val="Heading3"/>
        <w:ind w:left="2664"/>
      </w:pPr>
      <w:bookmarkStart w:name="_Toc69947818" w:id="128"/>
      <w:r>
        <w:t>SDG&amp;E Proposal</w:t>
      </w:r>
      <w:bookmarkEnd w:id="128"/>
    </w:p>
    <w:p w:rsidRPr="007F1AFC" w:rsidR="000C1980" w:rsidP="0023091F" w:rsidRDefault="000C1980" w14:paraId="2AD09976" w14:textId="08D52359">
      <w:pPr>
        <w:pStyle w:val="ALJBodyText"/>
      </w:pPr>
      <w:r>
        <w:rPr>
          <w:b/>
          <w:bCs/>
          <w:i/>
          <w:iCs/>
          <w:u w:val="single"/>
        </w:rPr>
        <w:t xml:space="preserve">Alternate </w:t>
      </w:r>
      <w:r w:rsidRPr="007569CE">
        <w:rPr>
          <w:b/>
          <w:bCs/>
          <w:i/>
          <w:iCs/>
          <w:u w:val="single"/>
        </w:rPr>
        <w:t>Funding</w:t>
      </w:r>
      <w:r>
        <w:rPr>
          <w:b/>
          <w:bCs/>
          <w:i/>
          <w:iCs/>
          <w:u w:val="single"/>
        </w:rPr>
        <w:t xml:space="preserve"> Source</w:t>
      </w:r>
      <w:r w:rsidRPr="007569CE">
        <w:rPr>
          <w:i/>
          <w:iCs/>
          <w:u w:val="single"/>
        </w:rPr>
        <w:t>:</w:t>
      </w:r>
      <w:r>
        <w:t xml:space="preserve"> </w:t>
      </w:r>
      <w:r w:rsidRPr="007F1AFC">
        <w:t xml:space="preserve">SDG&amp;E </w:t>
      </w:r>
      <w:r>
        <w:t xml:space="preserve">proposes </w:t>
      </w:r>
      <w:r w:rsidRPr="007F1AFC">
        <w:t>that CHANGES be funded through a source other than CARE</w:t>
      </w:r>
      <w:r>
        <w:t>, specifically in the next GRC</w:t>
      </w:r>
      <w:r w:rsidRPr="007F1AFC">
        <w:t xml:space="preserve">, </w:t>
      </w:r>
      <w:r>
        <w:t>because</w:t>
      </w:r>
      <w:r w:rsidRPr="007F1AFC">
        <w:t xml:space="preserve"> CHANGES provides service to all limited English proficient customers, not just </w:t>
      </w:r>
      <w:proofErr w:type="gramStart"/>
      <w:r w:rsidRPr="007F1AFC">
        <w:t>low</w:t>
      </w:r>
      <w:r>
        <w:t xml:space="preserve"> </w:t>
      </w:r>
      <w:r w:rsidRPr="007F1AFC">
        <w:t>income</w:t>
      </w:r>
      <w:proofErr w:type="gramEnd"/>
      <w:r w:rsidRPr="007F1AFC">
        <w:t xml:space="preserve"> customers.</w:t>
      </w:r>
      <w:r w:rsidRPr="007F1AFC">
        <w:rPr>
          <w:vertAlign w:val="superscript"/>
        </w:rPr>
        <w:footnoteReference w:id="186"/>
      </w:r>
      <w:r>
        <w:t xml:space="preserve">  </w:t>
      </w:r>
      <w:r w:rsidRPr="0062069D">
        <w:t xml:space="preserve">“In 2018, </w:t>
      </w:r>
      <w:r>
        <w:t>of</w:t>
      </w:r>
      <w:r w:rsidRPr="0062069D">
        <w:t xml:space="preserve"> the 291 services provided, 280 (96</w:t>
      </w:r>
      <w:r w:rsidR="00E04AD6">
        <w:t> </w:t>
      </w:r>
      <w:r w:rsidRPr="0026503D">
        <w:t>percent</w:t>
      </w:r>
      <w:r w:rsidRPr="0062069D">
        <w:t xml:space="preserve">) of the services were for bill payment assistance, account changes, payment plans, reconnections, and payment extensions. </w:t>
      </w:r>
      <w:r>
        <w:t xml:space="preserve"> </w:t>
      </w:r>
      <w:r w:rsidRPr="0062069D">
        <w:t>Most inquiries appear to be related to general billing issues and not low</w:t>
      </w:r>
      <w:r>
        <w:t xml:space="preserve"> </w:t>
      </w:r>
      <w:r w:rsidRPr="0062069D">
        <w:t>income program administration or enrollment.”</w:t>
      </w:r>
      <w:r w:rsidRPr="0062069D">
        <w:rPr>
          <w:vertAlign w:val="superscript"/>
        </w:rPr>
        <w:footnoteReference w:id="187"/>
      </w:r>
      <w:r w:rsidRPr="0062069D">
        <w:t xml:space="preserve">  </w:t>
      </w:r>
      <w:r>
        <w:t xml:space="preserve">Also </w:t>
      </w:r>
      <w:r w:rsidRPr="0062069D">
        <w:t>D</w:t>
      </w:r>
      <w:r>
        <w:t>.</w:t>
      </w:r>
      <w:r w:rsidRPr="0062069D">
        <w:t>15-12-047 states that alternative funding sources for the CHANG</w:t>
      </w:r>
      <w:r>
        <w:t>E</w:t>
      </w:r>
      <w:r w:rsidRPr="0062069D">
        <w:t>S program should be identified after the 2015-2017 program cycle</w:t>
      </w:r>
      <w:r>
        <w:t xml:space="preserve"> and b</w:t>
      </w:r>
      <w:r w:rsidRPr="0062069D">
        <w:t xml:space="preserve">ased on the evidence provided by the 2018 services data, it would be more </w:t>
      </w:r>
      <w:r w:rsidRPr="0062069D">
        <w:lastRenderedPageBreak/>
        <w:t>prudent to fund the program through the GRC.</w:t>
      </w:r>
      <w:r w:rsidRPr="0062069D">
        <w:rPr>
          <w:vertAlign w:val="superscript"/>
        </w:rPr>
        <w:footnoteReference w:id="188"/>
      </w:r>
      <w:r>
        <w:t xml:space="preserve">  SDG&amp;E also proposes that i</w:t>
      </w:r>
      <w:r w:rsidRPr="00044316">
        <w:t xml:space="preserve">f the Commission decides to move the CHANGES funding outside of the CARE proceeding, the Commission should </w:t>
      </w:r>
      <w:r>
        <w:t xml:space="preserve">also </w:t>
      </w:r>
      <w:r w:rsidRPr="00044316">
        <w:t>transition CHANGES monthly, annual, and LIOB reporting to the Commission-selected contractor.</w:t>
      </w:r>
      <w:r>
        <w:t xml:space="preserve"> </w:t>
      </w:r>
      <w:r w:rsidRPr="0062069D">
        <w:rPr>
          <w:vertAlign w:val="superscript"/>
        </w:rPr>
        <w:footnoteReference w:id="189"/>
      </w:r>
      <w:r>
        <w:t xml:space="preserve">  </w:t>
      </w:r>
      <w:r w:rsidRPr="0062069D">
        <w:t xml:space="preserve"> </w:t>
      </w:r>
    </w:p>
    <w:p w:rsidRPr="00736A82" w:rsidR="000C1980" w:rsidP="001968DC" w:rsidRDefault="000C1980" w14:paraId="1F9C105F" w14:textId="5A881CE5">
      <w:pPr>
        <w:pStyle w:val="Heading3"/>
        <w:ind w:left="2664"/>
      </w:pPr>
      <w:bookmarkStart w:name="_Toc69947819" w:id="129"/>
      <w:r w:rsidRPr="00736A82">
        <w:t>Party Positions</w:t>
      </w:r>
      <w:bookmarkEnd w:id="129"/>
    </w:p>
    <w:p w:rsidR="000C1980" w:rsidP="001968DC" w:rsidRDefault="000C1980" w14:paraId="412CD172" w14:textId="77777777">
      <w:pPr>
        <w:pStyle w:val="Heading4"/>
        <w:ind w:left="3600"/>
      </w:pPr>
      <w:bookmarkStart w:name="_Toc69947820" w:id="130"/>
      <w:r>
        <w:t>TURN</w:t>
      </w:r>
      <w:bookmarkEnd w:id="130"/>
    </w:p>
    <w:p w:rsidRPr="005C79B0" w:rsidR="000C1980" w:rsidP="0023091F" w:rsidRDefault="000C1980" w14:paraId="6F6BE072" w14:textId="0DDB0DBA">
      <w:pPr>
        <w:pStyle w:val="ALJBodyText"/>
      </w:pPr>
      <w:r w:rsidRPr="007B732C">
        <w:rPr>
          <w:b/>
          <w:bCs/>
          <w:i/>
          <w:iCs/>
          <w:u w:val="single"/>
        </w:rPr>
        <w:t>Funding</w:t>
      </w:r>
      <w:r>
        <w:rPr>
          <w:b/>
          <w:bCs/>
          <w:i/>
          <w:iCs/>
          <w:u w:val="single"/>
        </w:rPr>
        <w:t xml:space="preserve"> Request by PG&amp;E</w:t>
      </w:r>
      <w:r w:rsidRPr="007B732C">
        <w:rPr>
          <w:b/>
          <w:bCs/>
          <w:i/>
          <w:iCs/>
          <w:u w:val="single"/>
        </w:rPr>
        <w:t>:</w:t>
      </w:r>
      <w:r>
        <w:t xml:space="preserve"> </w:t>
      </w:r>
      <w:r w:rsidRPr="005C79B0">
        <w:t>TURN states that the Commission should deny PG&amp;E’s request for funding above its allocated share of the statewide budget for the CHANGES program.</w:t>
      </w:r>
      <w:r w:rsidRPr="005C79B0">
        <w:rPr>
          <w:vertAlign w:val="superscript"/>
        </w:rPr>
        <w:footnoteReference w:id="190"/>
      </w:r>
      <w:r w:rsidRPr="005C79B0">
        <w:t xml:space="preserve">  According to TURN, PG&amp;E seeks to recover from customers not only its share of the statewide CHANGES budget but also $10,000 per year for its own labor costs.</w:t>
      </w:r>
      <w:r w:rsidRPr="005C79B0">
        <w:rPr>
          <w:vertAlign w:val="superscript"/>
        </w:rPr>
        <w:footnoteReference w:id="191"/>
      </w:r>
      <w:r w:rsidRPr="005C79B0">
        <w:t xml:space="preserve"> </w:t>
      </w:r>
      <w:r w:rsidR="00E04AD6">
        <w:t xml:space="preserve"> </w:t>
      </w:r>
      <w:r w:rsidRPr="005C79B0">
        <w:t>TURN recommends that the Commission deny PG&amp;E’s request for additional funding for CHANGES, beyond the $525,000 budget authorized in D.15-12-047 and D.16-11-022.</w:t>
      </w:r>
    </w:p>
    <w:p w:rsidR="000C1980" w:rsidP="001968DC" w:rsidRDefault="000C1980" w14:paraId="188E740C" w14:textId="0C48D85B">
      <w:pPr>
        <w:pStyle w:val="Heading3"/>
        <w:ind w:left="2664"/>
      </w:pPr>
      <w:bookmarkStart w:name="_Toc69947821" w:id="131"/>
      <w:r>
        <w:t>IOU Response</w:t>
      </w:r>
      <w:bookmarkEnd w:id="131"/>
    </w:p>
    <w:p w:rsidRPr="0075652F" w:rsidR="000C1980" w:rsidP="001968DC" w:rsidRDefault="000C1980" w14:paraId="2C06A2F0" w14:textId="77777777">
      <w:pPr>
        <w:pStyle w:val="Heading4"/>
        <w:ind w:left="3600"/>
      </w:pPr>
      <w:bookmarkStart w:name="_Toc69947822" w:id="132"/>
      <w:r>
        <w:t>PG&amp;E</w:t>
      </w:r>
      <w:bookmarkEnd w:id="132"/>
    </w:p>
    <w:p w:rsidRPr="00C7577B" w:rsidR="000C1980" w:rsidP="0023091F" w:rsidRDefault="000C1980" w14:paraId="15A59BF8" w14:textId="77777777">
      <w:pPr>
        <w:pStyle w:val="ALJBodyText"/>
      </w:pPr>
      <w:r w:rsidRPr="007B732C">
        <w:rPr>
          <w:b/>
          <w:bCs/>
          <w:i/>
          <w:iCs/>
          <w:u w:val="single"/>
        </w:rPr>
        <w:t>Funding</w:t>
      </w:r>
      <w:r>
        <w:rPr>
          <w:b/>
          <w:bCs/>
          <w:i/>
          <w:iCs/>
          <w:u w:val="single"/>
        </w:rPr>
        <w:t xml:space="preserve"> Request by PG&amp;E</w:t>
      </w:r>
      <w:r w:rsidRPr="007B732C">
        <w:rPr>
          <w:b/>
          <w:bCs/>
          <w:i/>
          <w:iCs/>
          <w:u w:val="single"/>
        </w:rPr>
        <w:t>:</w:t>
      </w:r>
      <w:r>
        <w:t xml:space="preserve"> In response to TURN’s protest, </w:t>
      </w:r>
      <w:r w:rsidRPr="001B466D">
        <w:t>PG&amp;E agreed to reduce its CHANGES program budget request from $535,000 to $525,000 annually.</w:t>
      </w:r>
      <w:r w:rsidRPr="001B466D">
        <w:rPr>
          <w:rStyle w:val="FootnoteReference"/>
        </w:rPr>
        <w:footnoteReference w:id="192"/>
      </w:r>
      <w:r w:rsidRPr="001B466D">
        <w:t xml:space="preserve"> </w:t>
      </w:r>
    </w:p>
    <w:p w:rsidR="000C1980" w:rsidP="001968DC" w:rsidRDefault="000C1980" w14:paraId="0D5D3736" w14:textId="183B22F9">
      <w:pPr>
        <w:pStyle w:val="Heading3"/>
        <w:ind w:left="2664"/>
      </w:pPr>
      <w:bookmarkStart w:name="_Toc69947823" w:id="133"/>
      <w:r w:rsidRPr="00FB1955">
        <w:t>Discussion</w:t>
      </w:r>
      <w:bookmarkEnd w:id="133"/>
    </w:p>
    <w:p w:rsidRPr="002D2E27" w:rsidR="000C1980" w:rsidP="001968DC" w:rsidRDefault="000C1980" w14:paraId="4C1BDC59" w14:textId="77777777">
      <w:pPr>
        <w:pStyle w:val="Heading4"/>
        <w:ind w:left="3600"/>
      </w:pPr>
      <w:bookmarkStart w:name="_Toc69947824" w:id="134"/>
      <w:r w:rsidRPr="002D2E27">
        <w:t xml:space="preserve">Alternate Funding Source: </w:t>
      </w:r>
      <w:r w:rsidRPr="002D2E27">
        <w:rPr>
          <w:u w:val="single"/>
        </w:rPr>
        <w:t>Denied</w:t>
      </w:r>
      <w:bookmarkEnd w:id="134"/>
    </w:p>
    <w:p w:rsidRPr="00354665" w:rsidR="000C1980" w:rsidP="0023091F" w:rsidRDefault="000C1980" w14:paraId="63E111FB" w14:textId="77777777">
      <w:pPr>
        <w:pStyle w:val="ALJBodyText"/>
      </w:pPr>
      <w:r>
        <w:t>We deny</w:t>
      </w:r>
      <w:r w:rsidRPr="00354665">
        <w:t xml:space="preserve"> mov</w:t>
      </w:r>
      <w:r>
        <w:t>ing</w:t>
      </w:r>
      <w:r w:rsidRPr="00354665">
        <w:t xml:space="preserve"> the funding and reporting of CHANGES from the CARE </w:t>
      </w:r>
      <w:r>
        <w:t>p</w:t>
      </w:r>
      <w:r w:rsidRPr="00354665">
        <w:t>rogram to the GRC</w:t>
      </w:r>
      <w:r>
        <w:t xml:space="preserve"> </w:t>
      </w:r>
      <w:proofErr w:type="gramStart"/>
      <w:r>
        <w:t>at this time</w:t>
      </w:r>
      <w:proofErr w:type="gramEnd"/>
      <w:r w:rsidRPr="00354665">
        <w:t xml:space="preserve">. </w:t>
      </w:r>
      <w:r>
        <w:t xml:space="preserve"> Although we agree with the IOUs that the </w:t>
      </w:r>
      <w:r>
        <w:lastRenderedPageBreak/>
        <w:t xml:space="preserve">program may appear to </w:t>
      </w:r>
      <w:r w:rsidRPr="00354665">
        <w:t>provide</w:t>
      </w:r>
      <w:r>
        <w:t xml:space="preserve"> less </w:t>
      </w:r>
      <w:r w:rsidRPr="00354665">
        <w:t>direct benefit</w:t>
      </w:r>
      <w:r>
        <w:t>s</w:t>
      </w:r>
      <w:r w:rsidRPr="00354665">
        <w:t xml:space="preserve"> to the CARE program</w:t>
      </w:r>
      <w:r>
        <w:t xml:space="preserve"> than we would like, CHANGES does provide benefits to the overall</w:t>
      </w:r>
      <w:r w:rsidRPr="00354665">
        <w:t xml:space="preserve"> </w:t>
      </w:r>
      <w:proofErr w:type="gramStart"/>
      <w:r w:rsidRPr="00354665">
        <w:t>low</w:t>
      </w:r>
      <w:r>
        <w:t xml:space="preserve"> </w:t>
      </w:r>
      <w:r w:rsidRPr="00354665">
        <w:t>income</w:t>
      </w:r>
      <w:proofErr w:type="gramEnd"/>
      <w:r w:rsidRPr="00354665">
        <w:t xml:space="preserve"> community.</w:t>
      </w:r>
      <w:r>
        <w:t xml:space="preserve">  These benefits and services include providing information, </w:t>
      </w:r>
      <w:r w:rsidRPr="00354665">
        <w:t xml:space="preserve">consumer outreach and education </w:t>
      </w:r>
      <w:r>
        <w:t xml:space="preserve">on </w:t>
      </w:r>
      <w:r w:rsidRPr="00354665">
        <w:t>income-qualified services</w:t>
      </w:r>
      <w:r>
        <w:t xml:space="preserve">.  Aligning it within the CARE proceedings will also allow more oversight of the program and will be less regulatorily burdensome than deferring it to the overall GRC proceeding. </w:t>
      </w:r>
    </w:p>
    <w:p w:rsidRPr="00354665" w:rsidR="000C1980" w:rsidP="0023091F" w:rsidRDefault="000C1980" w14:paraId="4C7BA73E" w14:textId="048055D0">
      <w:pPr>
        <w:pStyle w:val="ALJBodyText"/>
      </w:pPr>
      <w:r w:rsidRPr="00354665">
        <w:t xml:space="preserve">Therefore, </w:t>
      </w:r>
      <w:r>
        <w:t xml:space="preserve">we approve funding for the </w:t>
      </w:r>
      <w:r w:rsidRPr="00354665">
        <w:t>CHANGES</w:t>
      </w:r>
      <w:r>
        <w:t xml:space="preserve"> program t</w:t>
      </w:r>
      <w:r w:rsidRPr="00354665">
        <w:t xml:space="preserve">hrough CARE for </w:t>
      </w:r>
      <w:r>
        <w:t>PYs</w:t>
      </w:r>
      <w:r w:rsidRPr="00354665">
        <w:t xml:space="preserve"> 2021</w:t>
      </w:r>
      <w:r>
        <w:t>-</w:t>
      </w:r>
      <w:r w:rsidRPr="00354665">
        <w:t>2026</w:t>
      </w:r>
      <w:r>
        <w:t xml:space="preserve"> as proposed by the IOUs with a reduction in </w:t>
      </w:r>
      <w:r w:rsidRPr="00354665">
        <w:t>PG&amp;E’s contributio</w:t>
      </w:r>
      <w:r>
        <w:t xml:space="preserve">n.  We will also require that </w:t>
      </w:r>
      <w:r w:rsidRPr="00354665">
        <w:t>CHANGES be evaluated</w:t>
      </w:r>
      <w:r>
        <w:t xml:space="preserve"> by an independent </w:t>
      </w:r>
      <w:r w:rsidR="000253BC">
        <w:t xml:space="preserve">third party </w:t>
      </w:r>
      <w:r w:rsidRPr="00354665">
        <w:t xml:space="preserve">to detail </w:t>
      </w:r>
      <w:r>
        <w:t xml:space="preserve">the </w:t>
      </w:r>
      <w:r w:rsidRPr="00354665">
        <w:t xml:space="preserve">benefits and cost-effectiveness of services delivered to </w:t>
      </w:r>
      <w:proofErr w:type="gramStart"/>
      <w:r>
        <w:t>low income</w:t>
      </w:r>
      <w:proofErr w:type="gramEnd"/>
      <w:r>
        <w:t xml:space="preserve"> </w:t>
      </w:r>
      <w:r w:rsidRPr="00354665">
        <w:t>customers, including comparisons to similar initiatives nationwide.</w:t>
      </w:r>
      <w:r w:rsidRPr="00354665">
        <w:rPr>
          <w:vertAlign w:val="superscript"/>
        </w:rPr>
        <w:footnoteReference w:id="193"/>
      </w:r>
      <w:r w:rsidRPr="00354665">
        <w:t xml:space="preserve"> </w:t>
      </w:r>
      <w:r>
        <w:t xml:space="preserve"> </w:t>
      </w:r>
      <w:r w:rsidRPr="00354665">
        <w:t xml:space="preserve">Using the same </w:t>
      </w:r>
      <w:r w:rsidR="001E37D1">
        <w:t>reasoning</w:t>
      </w:r>
      <w:r w:rsidRPr="00354665" w:rsidR="001E37D1">
        <w:t xml:space="preserve"> </w:t>
      </w:r>
      <w:r>
        <w:t xml:space="preserve">established in previous decisions </w:t>
      </w:r>
      <w:r w:rsidRPr="00354665">
        <w:t xml:space="preserve">to </w:t>
      </w:r>
      <w:r>
        <w:t>set</w:t>
      </w:r>
      <w:r w:rsidRPr="00354665">
        <w:t xml:space="preserve"> </w:t>
      </w:r>
      <w:r>
        <w:t xml:space="preserve">the </w:t>
      </w:r>
      <w:r w:rsidRPr="00354665">
        <w:t>evaluation budget,</w:t>
      </w:r>
      <w:r>
        <w:rPr>
          <w:rStyle w:val="FootnoteReference"/>
        </w:rPr>
        <w:footnoteReference w:id="194"/>
      </w:r>
      <w:r w:rsidRPr="00354665">
        <w:t xml:space="preserve"> </w:t>
      </w:r>
      <w:r>
        <w:t xml:space="preserve">we allow up </w:t>
      </w:r>
      <w:r w:rsidRPr="00354665">
        <w:t>to 4</w:t>
      </w:r>
      <w:r>
        <w:t xml:space="preserve"> percent</w:t>
      </w:r>
      <w:r w:rsidRPr="00354665">
        <w:t xml:space="preserve"> of the </w:t>
      </w:r>
      <w:r>
        <w:t>combined 2021-2026 authorized</w:t>
      </w:r>
      <w:r w:rsidRPr="00354665">
        <w:t xml:space="preserve"> CHANGES budgets </w:t>
      </w:r>
      <w:r>
        <w:t xml:space="preserve">for at least two </w:t>
      </w:r>
      <w:r w:rsidR="000027AE">
        <w:t>sequential</w:t>
      </w:r>
      <w:r>
        <w:t>, third-party evaluations of the program</w:t>
      </w:r>
      <w:r w:rsidRPr="00354665">
        <w:t xml:space="preserve">. </w:t>
      </w:r>
      <w:r>
        <w:t xml:space="preserve"> </w:t>
      </w:r>
      <w:proofErr w:type="gramStart"/>
      <w:r>
        <w:t xml:space="preserve">The </w:t>
      </w:r>
      <w:r w:rsidR="00477396">
        <w:t xml:space="preserve"> </w:t>
      </w:r>
      <w:r w:rsidR="00B2268C">
        <w:t>contract</w:t>
      </w:r>
      <w:proofErr w:type="gramEnd"/>
      <w:r>
        <w:t xml:space="preserve"> management of the evaluation will be led by PG&amp;E</w:t>
      </w:r>
      <w:r w:rsidRPr="00232C41">
        <w:t xml:space="preserve"> </w:t>
      </w:r>
      <w:r w:rsidR="00537CD7">
        <w:t xml:space="preserve">while the scope will be determined </w:t>
      </w:r>
      <w:r w:rsidR="00E92E7D">
        <w:t>by the IOUs</w:t>
      </w:r>
      <w:r w:rsidR="006C7FB8">
        <w:t>,</w:t>
      </w:r>
      <w:r>
        <w:t xml:space="preserve"> the Commission’s </w:t>
      </w:r>
      <w:r w:rsidRPr="00354665">
        <w:t xml:space="preserve">Consumers Affairs Branch </w:t>
      </w:r>
      <w:r>
        <w:t>and Energy Division staff</w:t>
      </w:r>
      <w:r w:rsidR="00861DE6">
        <w:t>, with final approval by Commission staff</w:t>
      </w:r>
      <w:r>
        <w:t>.  The evaluation</w:t>
      </w:r>
      <w:r w:rsidR="000027AE">
        <w:t>s</w:t>
      </w:r>
      <w:r>
        <w:t xml:space="preserve"> will look at the </w:t>
      </w:r>
      <w:r w:rsidRPr="00354665">
        <w:t xml:space="preserve">benefits and cost-effectiveness of services delivered </w:t>
      </w:r>
      <w:r>
        <w:t xml:space="preserve">but shall also include a determination of the most appropriate funding source for the CHANGES program based on the beneficiaries of the program.  The </w:t>
      </w:r>
      <w:r w:rsidR="00E50D48">
        <w:t xml:space="preserve">first </w:t>
      </w:r>
      <w:r>
        <w:t xml:space="preserve">evaluation shall begin by no later than 12 months after the </w:t>
      </w:r>
      <w:r w:rsidR="00113A19">
        <w:t xml:space="preserve">approval </w:t>
      </w:r>
      <w:r>
        <w:t xml:space="preserve">of this decision and </w:t>
      </w:r>
      <w:r w:rsidR="00EF3D29">
        <w:t xml:space="preserve">the second evaluation </w:t>
      </w:r>
      <w:r>
        <w:t xml:space="preserve">shall deliver </w:t>
      </w:r>
      <w:r>
        <w:lastRenderedPageBreak/>
        <w:t xml:space="preserve">a final report by no later than December 31, </w:t>
      </w:r>
      <w:proofErr w:type="gramStart"/>
      <w:r>
        <w:t>2025</w:t>
      </w:r>
      <w:proofErr w:type="gramEnd"/>
      <w:r>
        <w:t xml:space="preserve"> for the IOUs to take the report recommendations into consideration for the post 2026 application cycle.   </w:t>
      </w:r>
      <w:r w:rsidRPr="00354665">
        <w:t xml:space="preserve"> </w:t>
      </w:r>
    </w:p>
    <w:p w:rsidR="000C1980" w:rsidP="001968DC" w:rsidRDefault="000C1980" w14:paraId="3ECBE64A" w14:textId="77777777">
      <w:pPr>
        <w:pStyle w:val="BlockQuote"/>
        <w:keepNext/>
        <w:keepLines/>
        <w:ind w:left="1080"/>
        <w:jc w:val="center"/>
        <w:rPr>
          <w:b/>
          <w:bCs/>
        </w:rPr>
      </w:pPr>
      <w:r w:rsidRPr="00942924">
        <w:rPr>
          <w:b/>
          <w:bCs/>
        </w:rPr>
        <w:t>Table 3</w:t>
      </w:r>
      <w:r>
        <w:rPr>
          <w:b/>
          <w:bCs/>
        </w:rPr>
        <w:t xml:space="preserve">: </w:t>
      </w:r>
      <w:r w:rsidRPr="00942924">
        <w:rPr>
          <w:b/>
          <w:bCs/>
        </w:rPr>
        <w:t>Approved CHANGES Budget</w:t>
      </w:r>
      <w:r>
        <w:rPr>
          <w:b/>
          <w:bCs/>
        </w:rPr>
        <w:t>, PYs</w:t>
      </w:r>
      <w:r w:rsidRPr="00942924">
        <w:rPr>
          <w:b/>
          <w:bCs/>
        </w:rPr>
        <w:t xml:space="preserve"> 2021-2026</w:t>
      </w:r>
    </w:p>
    <w:tbl>
      <w:tblPr>
        <w:tblStyle w:val="TableGrid"/>
        <w:tblW w:w="9428" w:type="dxa"/>
        <w:tblInd w:w="-365" w:type="dxa"/>
        <w:tblLook w:val="04A0" w:firstRow="1" w:lastRow="0" w:firstColumn="1" w:lastColumn="0" w:noHBand="0" w:noVBand="1"/>
      </w:tblPr>
      <w:tblGrid>
        <w:gridCol w:w="1153"/>
        <w:gridCol w:w="1206"/>
        <w:gridCol w:w="1206"/>
        <w:gridCol w:w="1206"/>
        <w:gridCol w:w="1206"/>
        <w:gridCol w:w="1206"/>
        <w:gridCol w:w="1206"/>
        <w:gridCol w:w="1316"/>
      </w:tblGrid>
      <w:tr w:rsidRPr="00ED6117" w:rsidR="000C1980" w:rsidTr="00ED6117" w14:paraId="5D6D0871" w14:textId="77777777">
        <w:trPr>
          <w:trHeight w:val="515"/>
        </w:trPr>
        <w:tc>
          <w:tcPr>
            <w:tcW w:w="1132" w:type="dxa"/>
            <w:noWrap/>
            <w:hideMark/>
          </w:tcPr>
          <w:p w:rsidRPr="00ED6117" w:rsidR="000C1980" w:rsidP="001968DC" w:rsidRDefault="000C1980" w14:paraId="2F4E8CE2"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IOU</w:t>
            </w:r>
          </w:p>
        </w:tc>
        <w:tc>
          <w:tcPr>
            <w:tcW w:w="1173" w:type="dxa"/>
            <w:noWrap/>
            <w:hideMark/>
          </w:tcPr>
          <w:p w:rsidRPr="00ED6117" w:rsidR="000C1980" w:rsidP="001968DC" w:rsidRDefault="000C1980" w14:paraId="737F986F"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2021</w:t>
            </w:r>
          </w:p>
        </w:tc>
        <w:tc>
          <w:tcPr>
            <w:tcW w:w="1173" w:type="dxa"/>
            <w:noWrap/>
            <w:hideMark/>
          </w:tcPr>
          <w:p w:rsidRPr="00ED6117" w:rsidR="000C1980" w:rsidP="001968DC" w:rsidRDefault="000C1980" w14:paraId="0107CE78"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2022</w:t>
            </w:r>
          </w:p>
        </w:tc>
        <w:tc>
          <w:tcPr>
            <w:tcW w:w="1173" w:type="dxa"/>
            <w:noWrap/>
            <w:hideMark/>
          </w:tcPr>
          <w:p w:rsidRPr="00ED6117" w:rsidR="000C1980" w:rsidP="001968DC" w:rsidRDefault="000C1980" w14:paraId="238873B0"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2023</w:t>
            </w:r>
          </w:p>
        </w:tc>
        <w:tc>
          <w:tcPr>
            <w:tcW w:w="1173" w:type="dxa"/>
            <w:noWrap/>
            <w:hideMark/>
          </w:tcPr>
          <w:p w:rsidRPr="00ED6117" w:rsidR="000C1980" w:rsidP="001968DC" w:rsidRDefault="000C1980" w14:paraId="44CAF337"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2024</w:t>
            </w:r>
          </w:p>
        </w:tc>
        <w:tc>
          <w:tcPr>
            <w:tcW w:w="1173" w:type="dxa"/>
            <w:noWrap/>
            <w:hideMark/>
          </w:tcPr>
          <w:p w:rsidRPr="00ED6117" w:rsidR="000C1980" w:rsidP="001968DC" w:rsidRDefault="000C1980" w14:paraId="38E166E0"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2025</w:t>
            </w:r>
          </w:p>
        </w:tc>
        <w:tc>
          <w:tcPr>
            <w:tcW w:w="1173" w:type="dxa"/>
            <w:noWrap/>
            <w:hideMark/>
          </w:tcPr>
          <w:p w:rsidRPr="00ED6117" w:rsidR="000C1980" w:rsidP="001968DC" w:rsidRDefault="000C1980" w14:paraId="3A347219"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2026</w:t>
            </w:r>
          </w:p>
        </w:tc>
        <w:tc>
          <w:tcPr>
            <w:tcW w:w="1258" w:type="dxa"/>
            <w:noWrap/>
            <w:hideMark/>
          </w:tcPr>
          <w:p w:rsidRPr="00ED6117" w:rsidR="000C1980" w:rsidP="001968DC" w:rsidRDefault="000C1980" w14:paraId="0909F0F1" w14:textId="77777777">
            <w:pPr>
              <w:keepNext/>
              <w:keepLines/>
              <w:ind w:left="360"/>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Total</w:t>
            </w:r>
          </w:p>
        </w:tc>
      </w:tr>
      <w:tr w:rsidRPr="00ED6117" w:rsidR="000C1980" w:rsidTr="00ED6117" w14:paraId="42811029" w14:textId="77777777">
        <w:trPr>
          <w:trHeight w:val="515"/>
        </w:trPr>
        <w:tc>
          <w:tcPr>
            <w:tcW w:w="1132" w:type="dxa"/>
            <w:noWrap/>
            <w:hideMark/>
          </w:tcPr>
          <w:p w:rsidRPr="00ED6117" w:rsidR="000C1980" w:rsidP="00ED6117" w:rsidRDefault="000C1980" w14:paraId="3AE9CE6A" w14:textId="77777777">
            <w:pPr>
              <w:keepNext/>
              <w:keepLines/>
              <w:rPr>
                <w:rFonts w:eastAsia="Times New Roman" w:cs="Calibri"/>
                <w:color w:val="000000" w:themeColor="text1"/>
                <w:sz w:val="22"/>
                <w:szCs w:val="22"/>
              </w:rPr>
            </w:pPr>
            <w:r w:rsidRPr="00ED6117">
              <w:rPr>
                <w:rFonts w:eastAsia="Times New Roman" w:cs="Calibri"/>
                <w:color w:val="000000" w:themeColor="text1"/>
                <w:sz w:val="22"/>
                <w:szCs w:val="22"/>
              </w:rPr>
              <w:t>SCE</w:t>
            </w:r>
          </w:p>
        </w:tc>
        <w:tc>
          <w:tcPr>
            <w:tcW w:w="1173" w:type="dxa"/>
            <w:noWrap/>
            <w:hideMark/>
          </w:tcPr>
          <w:p w:rsidRPr="00ED6117" w:rsidR="000C1980" w:rsidP="00ED6117" w:rsidRDefault="000C1980" w14:paraId="36A0798C"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4563BCD0"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1E4F3FF2"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6154EC39"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11F72139"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50C24B5E"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258" w:type="dxa"/>
            <w:noWrap/>
            <w:hideMark/>
          </w:tcPr>
          <w:p w:rsidRPr="00ED6117" w:rsidR="000C1980" w:rsidP="00ED6117" w:rsidRDefault="000C1980" w14:paraId="48D22FD0" w14:textId="77777777">
            <w:pPr>
              <w:keepNext/>
              <w:keepLines/>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$3,150,000</w:t>
            </w:r>
          </w:p>
        </w:tc>
      </w:tr>
      <w:tr w:rsidRPr="00ED6117" w:rsidR="000C1980" w:rsidTr="00ED6117" w14:paraId="2C409B08" w14:textId="77777777">
        <w:trPr>
          <w:trHeight w:val="515"/>
        </w:trPr>
        <w:tc>
          <w:tcPr>
            <w:tcW w:w="1132" w:type="dxa"/>
            <w:noWrap/>
            <w:hideMark/>
          </w:tcPr>
          <w:p w:rsidRPr="00ED6117" w:rsidR="000C1980" w:rsidP="00ED6117" w:rsidRDefault="000C1980" w14:paraId="6C55C750" w14:textId="77777777">
            <w:pPr>
              <w:keepNext/>
              <w:keepLines/>
              <w:rPr>
                <w:rFonts w:eastAsia="Times New Roman" w:cs="Calibri"/>
                <w:color w:val="000000" w:themeColor="text1"/>
                <w:sz w:val="22"/>
                <w:szCs w:val="22"/>
              </w:rPr>
            </w:pPr>
            <w:r w:rsidRPr="00ED6117">
              <w:rPr>
                <w:rFonts w:eastAsia="Times New Roman" w:cs="Calibri"/>
                <w:color w:val="000000" w:themeColor="text1"/>
                <w:sz w:val="22"/>
                <w:szCs w:val="22"/>
              </w:rPr>
              <w:t>PG&amp;E</w:t>
            </w:r>
          </w:p>
        </w:tc>
        <w:tc>
          <w:tcPr>
            <w:tcW w:w="1173" w:type="dxa"/>
            <w:noWrap/>
            <w:hideMark/>
          </w:tcPr>
          <w:p w:rsidRPr="00ED6117" w:rsidR="000C1980" w:rsidP="00ED6117" w:rsidRDefault="000C1980" w14:paraId="31CC40C6"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03DDB763"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6BD10111"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4C22DA8B"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7026D997"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173" w:type="dxa"/>
            <w:noWrap/>
            <w:hideMark/>
          </w:tcPr>
          <w:p w:rsidRPr="00ED6117" w:rsidR="000C1980" w:rsidP="00ED6117" w:rsidRDefault="000C1980" w14:paraId="1D76608E"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$525,000</w:t>
            </w:r>
          </w:p>
        </w:tc>
        <w:tc>
          <w:tcPr>
            <w:tcW w:w="1258" w:type="dxa"/>
            <w:noWrap/>
            <w:hideMark/>
          </w:tcPr>
          <w:p w:rsidRPr="00ED6117" w:rsidR="000C1980" w:rsidP="00ED6117" w:rsidRDefault="000C1980" w14:paraId="6162F43C" w14:textId="77777777">
            <w:pPr>
              <w:keepNext/>
              <w:keepLines/>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$3,150,000</w:t>
            </w:r>
          </w:p>
        </w:tc>
      </w:tr>
      <w:tr w:rsidRPr="00ED6117" w:rsidR="000C1980" w:rsidTr="00ED6117" w14:paraId="19070656" w14:textId="77777777">
        <w:trPr>
          <w:trHeight w:val="515"/>
        </w:trPr>
        <w:tc>
          <w:tcPr>
            <w:tcW w:w="1132" w:type="dxa"/>
            <w:noWrap/>
            <w:hideMark/>
          </w:tcPr>
          <w:p w:rsidRPr="00ED6117" w:rsidR="000C1980" w:rsidP="00ED6117" w:rsidRDefault="000C1980" w14:paraId="458857B3" w14:textId="77777777">
            <w:pPr>
              <w:keepNext/>
              <w:keepLines/>
              <w:rPr>
                <w:rFonts w:eastAsia="Times New Roman" w:cs="Calibri"/>
                <w:color w:val="000000" w:themeColor="text1"/>
                <w:sz w:val="22"/>
                <w:szCs w:val="22"/>
              </w:rPr>
            </w:pPr>
            <w:r w:rsidRPr="00ED6117">
              <w:rPr>
                <w:rFonts w:eastAsia="Times New Roman" w:cs="Calibri"/>
                <w:color w:val="000000" w:themeColor="text1"/>
                <w:sz w:val="22"/>
                <w:szCs w:val="22"/>
              </w:rPr>
              <w:t>SDG&amp;E</w:t>
            </w:r>
          </w:p>
        </w:tc>
        <w:tc>
          <w:tcPr>
            <w:tcW w:w="1173" w:type="dxa"/>
            <w:noWrap/>
            <w:hideMark/>
          </w:tcPr>
          <w:p w:rsidRPr="00ED6117" w:rsidR="000C1980" w:rsidP="00ED6117" w:rsidRDefault="000C1980" w14:paraId="1A99470B"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$265,000</w:t>
            </w:r>
          </w:p>
        </w:tc>
        <w:tc>
          <w:tcPr>
            <w:tcW w:w="1173" w:type="dxa"/>
            <w:noWrap/>
            <w:hideMark/>
          </w:tcPr>
          <w:p w:rsidRPr="00ED6117" w:rsidR="000C1980" w:rsidP="00ED6117" w:rsidRDefault="000C1980" w14:paraId="054742BF"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$265,000</w:t>
            </w:r>
          </w:p>
        </w:tc>
        <w:tc>
          <w:tcPr>
            <w:tcW w:w="1173" w:type="dxa"/>
            <w:noWrap/>
            <w:hideMark/>
          </w:tcPr>
          <w:p w:rsidRPr="00ED6117" w:rsidR="000C1980" w:rsidP="00ED6117" w:rsidRDefault="000C1980" w14:paraId="19D85362"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$265,000</w:t>
            </w:r>
          </w:p>
        </w:tc>
        <w:tc>
          <w:tcPr>
            <w:tcW w:w="1173" w:type="dxa"/>
            <w:noWrap/>
            <w:hideMark/>
          </w:tcPr>
          <w:p w:rsidRPr="00ED6117" w:rsidR="000C1980" w:rsidP="00ED6117" w:rsidRDefault="000C1980" w14:paraId="1B03A0B5"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$265,000</w:t>
            </w:r>
          </w:p>
        </w:tc>
        <w:tc>
          <w:tcPr>
            <w:tcW w:w="1173" w:type="dxa"/>
            <w:noWrap/>
            <w:hideMark/>
          </w:tcPr>
          <w:p w:rsidRPr="00ED6117" w:rsidR="000C1980" w:rsidP="00ED6117" w:rsidRDefault="000C1980" w14:paraId="75390BE1"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$265,000</w:t>
            </w:r>
          </w:p>
        </w:tc>
        <w:tc>
          <w:tcPr>
            <w:tcW w:w="1173" w:type="dxa"/>
            <w:noWrap/>
            <w:hideMark/>
          </w:tcPr>
          <w:p w:rsidRPr="00ED6117" w:rsidR="000C1980" w:rsidP="00ED6117" w:rsidRDefault="000C1980" w14:paraId="2889A58F"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$265,000</w:t>
            </w:r>
          </w:p>
        </w:tc>
        <w:tc>
          <w:tcPr>
            <w:tcW w:w="1258" w:type="dxa"/>
            <w:noWrap/>
            <w:hideMark/>
          </w:tcPr>
          <w:p w:rsidRPr="00ED6117" w:rsidR="000C1980" w:rsidP="00ED6117" w:rsidRDefault="000C1980" w14:paraId="43A12B4D" w14:textId="77777777">
            <w:pPr>
              <w:keepNext/>
              <w:keepLines/>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$1,590,000</w:t>
            </w:r>
          </w:p>
        </w:tc>
      </w:tr>
      <w:tr w:rsidRPr="00ED6117" w:rsidR="000C1980" w:rsidTr="00ED6117" w14:paraId="3DC26D52" w14:textId="77777777">
        <w:trPr>
          <w:trHeight w:val="515"/>
        </w:trPr>
        <w:tc>
          <w:tcPr>
            <w:tcW w:w="1132" w:type="dxa"/>
            <w:noWrap/>
            <w:hideMark/>
          </w:tcPr>
          <w:p w:rsidRPr="00ED6117" w:rsidR="000C1980" w:rsidP="00ED6117" w:rsidRDefault="000C1980" w14:paraId="3D8AD128" w14:textId="77777777">
            <w:pPr>
              <w:keepNext/>
              <w:keepLines/>
              <w:rPr>
                <w:rFonts w:eastAsia="Times New Roman" w:cs="Calibri"/>
                <w:color w:val="000000" w:themeColor="text1"/>
                <w:sz w:val="22"/>
                <w:szCs w:val="22"/>
              </w:rPr>
            </w:pPr>
            <w:r w:rsidRPr="00ED6117">
              <w:rPr>
                <w:rFonts w:eastAsia="Times New Roman" w:cs="Calibri"/>
                <w:color w:val="000000" w:themeColor="text1"/>
                <w:sz w:val="22"/>
                <w:szCs w:val="22"/>
              </w:rPr>
              <w:t>SoCalGas</w:t>
            </w:r>
          </w:p>
        </w:tc>
        <w:tc>
          <w:tcPr>
            <w:tcW w:w="1173" w:type="dxa"/>
            <w:noWrap/>
            <w:hideMark/>
          </w:tcPr>
          <w:p w:rsidRPr="00ED6117" w:rsidR="000C1980" w:rsidP="00ED6117" w:rsidRDefault="000C1980" w14:paraId="1186C30D"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$437,502</w:t>
            </w:r>
          </w:p>
        </w:tc>
        <w:tc>
          <w:tcPr>
            <w:tcW w:w="1173" w:type="dxa"/>
            <w:noWrap/>
            <w:hideMark/>
          </w:tcPr>
          <w:p w:rsidRPr="00ED6117" w:rsidR="000C1980" w:rsidP="00ED6117" w:rsidRDefault="000C1980" w14:paraId="79F58330"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$437,502</w:t>
            </w:r>
          </w:p>
        </w:tc>
        <w:tc>
          <w:tcPr>
            <w:tcW w:w="1173" w:type="dxa"/>
            <w:noWrap/>
            <w:hideMark/>
          </w:tcPr>
          <w:p w:rsidRPr="00ED6117" w:rsidR="000C1980" w:rsidP="00ED6117" w:rsidRDefault="000C1980" w14:paraId="5AB6D4DA"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$437,502</w:t>
            </w:r>
          </w:p>
        </w:tc>
        <w:tc>
          <w:tcPr>
            <w:tcW w:w="1173" w:type="dxa"/>
            <w:noWrap/>
            <w:hideMark/>
          </w:tcPr>
          <w:p w:rsidRPr="00ED6117" w:rsidR="000C1980" w:rsidP="00ED6117" w:rsidRDefault="000C1980" w14:paraId="33109852"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$437,502</w:t>
            </w:r>
          </w:p>
        </w:tc>
        <w:tc>
          <w:tcPr>
            <w:tcW w:w="1173" w:type="dxa"/>
            <w:noWrap/>
            <w:hideMark/>
          </w:tcPr>
          <w:p w:rsidRPr="00ED6117" w:rsidR="000C1980" w:rsidP="00ED6117" w:rsidRDefault="000C1980" w14:paraId="1EB05590"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$437,502</w:t>
            </w:r>
          </w:p>
        </w:tc>
        <w:tc>
          <w:tcPr>
            <w:tcW w:w="1173" w:type="dxa"/>
            <w:noWrap/>
            <w:hideMark/>
          </w:tcPr>
          <w:p w:rsidRPr="00ED6117" w:rsidR="000C1980" w:rsidP="00ED6117" w:rsidRDefault="000C1980" w14:paraId="6DCF2BA2" w14:textId="77777777">
            <w:pPr>
              <w:keepNext/>
              <w:keepLines/>
              <w:jc w:val="right"/>
              <w:rPr>
                <w:rFonts w:eastAsia="Times New Roman" w:cs="Calibri"/>
                <w:color w:val="000000" w:themeColor="text1"/>
                <w:sz w:val="22"/>
                <w:szCs w:val="22"/>
              </w:rPr>
            </w:pPr>
            <w:r w:rsidRPr="00ED6117">
              <w:rPr>
                <w:rFonts w:eastAsia="Times New Roman" w:cs="Calibri"/>
                <w:color w:val="000000" w:themeColor="text1"/>
                <w:sz w:val="22"/>
                <w:szCs w:val="22"/>
              </w:rPr>
              <w:t>$437,502</w:t>
            </w:r>
          </w:p>
        </w:tc>
        <w:tc>
          <w:tcPr>
            <w:tcW w:w="1258" w:type="dxa"/>
            <w:noWrap/>
            <w:hideMark/>
          </w:tcPr>
          <w:p w:rsidRPr="00ED6117" w:rsidR="000C1980" w:rsidP="00ED6117" w:rsidRDefault="000C1980" w14:paraId="3FC9DA24" w14:textId="77777777">
            <w:pPr>
              <w:keepNext/>
              <w:keepLines/>
              <w:jc w:val="right"/>
              <w:rPr>
                <w:rFonts w:eastAsia="Times New Roman" w:cs="Calibri"/>
                <w:b/>
                <w:bCs/>
                <w:color w:val="000000" w:themeColor="text1"/>
                <w:sz w:val="22"/>
                <w:szCs w:val="22"/>
              </w:rPr>
            </w:pPr>
            <w:r w:rsidRPr="00ED6117">
              <w:rPr>
                <w:rFonts w:eastAsia="Times New Roman" w:cs="Calibri"/>
                <w:b/>
                <w:bCs/>
                <w:color w:val="000000" w:themeColor="text1"/>
                <w:sz w:val="22"/>
                <w:szCs w:val="22"/>
              </w:rPr>
              <w:t>$2,625,012</w:t>
            </w:r>
          </w:p>
        </w:tc>
      </w:tr>
      <w:tr w:rsidRPr="00ED6117" w:rsidR="000C1980" w:rsidTr="006B55B7" w14:paraId="6D3DA8AD" w14:textId="77777777">
        <w:trPr>
          <w:trHeight w:val="515"/>
        </w:trPr>
        <w:tc>
          <w:tcPr>
            <w:tcW w:w="1132" w:type="dxa"/>
            <w:noWrap/>
            <w:vAlign w:val="center"/>
            <w:hideMark/>
          </w:tcPr>
          <w:p w:rsidRPr="00ED6117" w:rsidR="000C1980" w:rsidP="00ED6117" w:rsidRDefault="000C1980" w14:paraId="66E8BF40" w14:textId="77777777">
            <w:pPr>
              <w:keepNext/>
              <w:keepLines/>
              <w:rPr>
                <w:rFonts w:eastAsia="Times New Roman" w:cs="Calibri"/>
                <w:b/>
                <w:bCs/>
                <w:color w:val="000000" w:themeColor="text1"/>
                <w:sz w:val="22"/>
                <w:szCs w:val="22"/>
              </w:rPr>
            </w:pPr>
            <w:r w:rsidRPr="00ED6117">
              <w:rPr>
                <w:rFonts w:eastAsia="Times New Roman" w:cs="Calibri"/>
                <w:b/>
                <w:bCs/>
                <w:color w:val="000000" w:themeColor="text1"/>
                <w:sz w:val="22"/>
                <w:szCs w:val="22"/>
              </w:rPr>
              <w:t>Total</w:t>
            </w:r>
          </w:p>
        </w:tc>
        <w:tc>
          <w:tcPr>
            <w:tcW w:w="1173" w:type="dxa"/>
            <w:noWrap/>
            <w:vAlign w:val="center"/>
            <w:hideMark/>
          </w:tcPr>
          <w:p w:rsidRPr="00ED6117" w:rsidR="000C1980" w:rsidP="00ED6117" w:rsidRDefault="000C1980" w14:paraId="09FDD9A3" w14:textId="77777777">
            <w:pPr>
              <w:keepNext/>
              <w:keepLines/>
              <w:jc w:val="right"/>
              <w:rPr>
                <w:rFonts w:eastAsia="Times New Roman" w:cs="Calibri"/>
                <w:b/>
                <w:bCs/>
                <w:color w:val="000000" w:themeColor="text1"/>
                <w:sz w:val="22"/>
                <w:szCs w:val="22"/>
              </w:rPr>
            </w:pPr>
            <w:r w:rsidRPr="00ED6117">
              <w:rPr>
                <w:rFonts w:cs="Calibri"/>
                <w:b/>
                <w:bCs/>
                <w:sz w:val="22"/>
                <w:szCs w:val="22"/>
              </w:rPr>
              <w:t>$1,752,502</w:t>
            </w:r>
          </w:p>
        </w:tc>
        <w:tc>
          <w:tcPr>
            <w:tcW w:w="1173" w:type="dxa"/>
            <w:noWrap/>
            <w:vAlign w:val="center"/>
            <w:hideMark/>
          </w:tcPr>
          <w:p w:rsidRPr="00ED6117" w:rsidR="000C1980" w:rsidP="00ED6117" w:rsidRDefault="000C1980" w14:paraId="6A92FE74" w14:textId="77777777">
            <w:pPr>
              <w:keepNext/>
              <w:keepLines/>
              <w:jc w:val="right"/>
              <w:rPr>
                <w:rFonts w:eastAsia="Times New Roman" w:cs="Calibri"/>
                <w:b/>
                <w:bCs/>
                <w:color w:val="000000" w:themeColor="text1"/>
                <w:sz w:val="22"/>
                <w:szCs w:val="22"/>
              </w:rPr>
            </w:pPr>
            <w:r w:rsidRPr="00ED6117">
              <w:rPr>
                <w:rFonts w:cs="Calibri"/>
                <w:b/>
                <w:bCs/>
                <w:sz w:val="22"/>
                <w:szCs w:val="22"/>
              </w:rPr>
              <w:t>$1,752,502</w:t>
            </w:r>
          </w:p>
        </w:tc>
        <w:tc>
          <w:tcPr>
            <w:tcW w:w="1173" w:type="dxa"/>
            <w:noWrap/>
            <w:vAlign w:val="center"/>
            <w:hideMark/>
          </w:tcPr>
          <w:p w:rsidRPr="00ED6117" w:rsidR="000C1980" w:rsidP="00ED6117" w:rsidRDefault="000C1980" w14:paraId="2438A9D8" w14:textId="77777777">
            <w:pPr>
              <w:keepNext/>
              <w:keepLines/>
              <w:jc w:val="right"/>
              <w:rPr>
                <w:rFonts w:eastAsia="Times New Roman" w:cs="Calibri"/>
                <w:b/>
                <w:bCs/>
                <w:color w:val="000000" w:themeColor="text1"/>
                <w:sz w:val="22"/>
                <w:szCs w:val="22"/>
              </w:rPr>
            </w:pPr>
            <w:r w:rsidRPr="00ED6117">
              <w:rPr>
                <w:rFonts w:cs="Calibri"/>
                <w:b/>
                <w:bCs/>
                <w:sz w:val="22"/>
                <w:szCs w:val="22"/>
              </w:rPr>
              <w:t>$1,752,502</w:t>
            </w:r>
          </w:p>
        </w:tc>
        <w:tc>
          <w:tcPr>
            <w:tcW w:w="1173" w:type="dxa"/>
            <w:noWrap/>
            <w:vAlign w:val="center"/>
            <w:hideMark/>
          </w:tcPr>
          <w:p w:rsidRPr="00ED6117" w:rsidR="000C1980" w:rsidP="00ED6117" w:rsidRDefault="000C1980" w14:paraId="2CD8870E" w14:textId="77777777">
            <w:pPr>
              <w:keepNext/>
              <w:keepLines/>
              <w:jc w:val="right"/>
              <w:rPr>
                <w:rFonts w:eastAsia="Times New Roman" w:cs="Calibri"/>
                <w:b/>
                <w:bCs/>
                <w:color w:val="000000" w:themeColor="text1"/>
                <w:sz w:val="22"/>
                <w:szCs w:val="22"/>
              </w:rPr>
            </w:pPr>
            <w:r w:rsidRPr="00ED6117">
              <w:rPr>
                <w:rFonts w:cs="Calibri"/>
                <w:b/>
                <w:bCs/>
                <w:sz w:val="22"/>
                <w:szCs w:val="22"/>
              </w:rPr>
              <w:t>$1,752,502</w:t>
            </w:r>
          </w:p>
        </w:tc>
        <w:tc>
          <w:tcPr>
            <w:tcW w:w="1173" w:type="dxa"/>
            <w:noWrap/>
            <w:vAlign w:val="center"/>
            <w:hideMark/>
          </w:tcPr>
          <w:p w:rsidRPr="00ED6117" w:rsidR="000C1980" w:rsidP="00ED6117" w:rsidRDefault="000C1980" w14:paraId="09C1F7C9" w14:textId="77777777">
            <w:pPr>
              <w:keepNext/>
              <w:keepLines/>
              <w:jc w:val="right"/>
              <w:rPr>
                <w:rFonts w:eastAsia="Times New Roman" w:cs="Calibri"/>
                <w:b/>
                <w:bCs/>
                <w:color w:val="000000" w:themeColor="text1"/>
                <w:sz w:val="22"/>
                <w:szCs w:val="22"/>
              </w:rPr>
            </w:pPr>
            <w:r w:rsidRPr="00ED6117">
              <w:rPr>
                <w:rFonts w:cs="Calibri"/>
                <w:b/>
                <w:bCs/>
                <w:sz w:val="22"/>
                <w:szCs w:val="22"/>
              </w:rPr>
              <w:t>$1,752,502</w:t>
            </w:r>
          </w:p>
        </w:tc>
        <w:tc>
          <w:tcPr>
            <w:tcW w:w="1173" w:type="dxa"/>
            <w:noWrap/>
            <w:vAlign w:val="center"/>
            <w:hideMark/>
          </w:tcPr>
          <w:p w:rsidRPr="00ED6117" w:rsidR="000C1980" w:rsidP="00ED6117" w:rsidRDefault="000C1980" w14:paraId="714B895F" w14:textId="77777777">
            <w:pPr>
              <w:keepNext/>
              <w:keepLines/>
              <w:jc w:val="right"/>
              <w:rPr>
                <w:rFonts w:eastAsia="Times New Roman" w:cs="Calibri"/>
                <w:b/>
                <w:bCs/>
                <w:color w:val="000000" w:themeColor="text1"/>
                <w:sz w:val="22"/>
                <w:szCs w:val="22"/>
              </w:rPr>
            </w:pPr>
            <w:r w:rsidRPr="00ED6117">
              <w:rPr>
                <w:rFonts w:cs="Calibri"/>
                <w:b/>
                <w:bCs/>
                <w:sz w:val="22"/>
                <w:szCs w:val="22"/>
              </w:rPr>
              <w:t>$1,752,502</w:t>
            </w:r>
          </w:p>
        </w:tc>
        <w:tc>
          <w:tcPr>
            <w:tcW w:w="1258" w:type="dxa"/>
            <w:noWrap/>
            <w:vAlign w:val="center"/>
            <w:hideMark/>
          </w:tcPr>
          <w:p w:rsidRPr="00ED6117" w:rsidR="000C1980" w:rsidP="00ED6117" w:rsidRDefault="000C1980" w14:paraId="79E1F9EB" w14:textId="77777777">
            <w:pPr>
              <w:keepNext/>
              <w:keepLines/>
              <w:jc w:val="right"/>
              <w:rPr>
                <w:rFonts w:eastAsia="Times New Roman" w:cs="Calibri"/>
                <w:b/>
                <w:bCs/>
                <w:color w:val="000000" w:themeColor="text1"/>
                <w:sz w:val="22"/>
                <w:szCs w:val="22"/>
              </w:rPr>
            </w:pPr>
            <w:r w:rsidRPr="00ED6117">
              <w:rPr>
                <w:rFonts w:cs="Calibri"/>
                <w:b/>
                <w:bCs/>
                <w:sz w:val="22"/>
                <w:szCs w:val="22"/>
              </w:rPr>
              <w:t>$10,515,012</w:t>
            </w:r>
          </w:p>
        </w:tc>
      </w:tr>
    </w:tbl>
    <w:p w:rsidRPr="004915BF" w:rsidR="000C1980" w:rsidP="001968DC" w:rsidRDefault="000C1980" w14:paraId="717CDBDF" w14:textId="77777777">
      <w:pPr>
        <w:pStyle w:val="BlockQuote"/>
        <w:ind w:left="1080"/>
        <w:jc w:val="center"/>
        <w:rPr>
          <w:b/>
          <w:bCs/>
          <w:sz w:val="10"/>
          <w:szCs w:val="10"/>
        </w:rPr>
      </w:pPr>
    </w:p>
    <w:p w:rsidR="000C1980" w:rsidP="001968DC" w:rsidRDefault="000C1980" w14:paraId="5E0BF0EC" w14:textId="77777777">
      <w:pPr>
        <w:pStyle w:val="Heading2"/>
        <w:ind w:left="1728"/>
      </w:pPr>
      <w:bookmarkStart w:name="_Toc69947825" w:id="135"/>
      <w:r>
        <w:t xml:space="preserve">CARE </w:t>
      </w:r>
      <w:r w:rsidRPr="00E5693D">
        <w:t>Budgets</w:t>
      </w:r>
      <w:bookmarkEnd w:id="135"/>
      <w:r>
        <w:t xml:space="preserve"> </w:t>
      </w:r>
    </w:p>
    <w:p w:rsidR="000C1980" w:rsidP="001968DC" w:rsidRDefault="000C1980" w14:paraId="0B2671C4" w14:textId="77777777">
      <w:pPr>
        <w:pStyle w:val="Heading3"/>
        <w:ind w:left="2664"/>
      </w:pPr>
      <w:bookmarkStart w:name="_Toc69947826" w:id="136"/>
      <w:bookmarkStart w:name="_Hlk55563052" w:id="137"/>
      <w:r>
        <w:t>Background</w:t>
      </w:r>
      <w:bookmarkEnd w:id="136"/>
      <w:r>
        <w:t xml:space="preserve"> </w:t>
      </w:r>
    </w:p>
    <w:p w:rsidRPr="009F691F" w:rsidR="000C1980" w:rsidP="001F6BDD" w:rsidRDefault="000C1980" w14:paraId="5CE7327C" w14:textId="77777777">
      <w:pPr>
        <w:pStyle w:val="Standard"/>
      </w:pPr>
      <w:r>
        <w:t>The CARE budget is made up of two components: 1) the CARE subsidy, or discount provided to the customers, and 2) the program management, or administrative costs to implement the program.  The program management</w:t>
      </w:r>
      <w:r w:rsidRPr="00497F15">
        <w:t xml:space="preserve"> budget include</w:t>
      </w:r>
      <w:r>
        <w:t>s</w:t>
      </w:r>
      <w:r w:rsidRPr="00497F15">
        <w:t xml:space="preserve"> categories such as</w:t>
      </w:r>
      <w:r>
        <w:t xml:space="preserve"> o</w:t>
      </w:r>
      <w:r w:rsidRPr="00497F15">
        <w:t>utreach</w:t>
      </w:r>
      <w:r>
        <w:t>, p</w:t>
      </w:r>
      <w:r w:rsidRPr="00497F15">
        <w:t>rocessing,</w:t>
      </w:r>
      <w:r>
        <w:t xml:space="preserve"> c</w:t>
      </w:r>
      <w:r w:rsidRPr="00497F15">
        <w:t xml:space="preserve">ertification, </w:t>
      </w:r>
      <w:r>
        <w:t>r</w:t>
      </w:r>
      <w:r w:rsidRPr="00497F15">
        <w:t>ecertification</w:t>
      </w:r>
      <w:r>
        <w:t xml:space="preserve">, </w:t>
      </w:r>
      <w:r w:rsidRPr="00497F15">
        <w:t>IT programming</w:t>
      </w:r>
      <w:r>
        <w:t xml:space="preserve">, </w:t>
      </w:r>
      <w:r w:rsidRPr="00497F15">
        <w:t xml:space="preserve">Cool </w:t>
      </w:r>
      <w:r w:rsidRPr="009F691F">
        <w:t xml:space="preserve">Centers, </w:t>
      </w:r>
      <w:r>
        <w:t>p</w:t>
      </w:r>
      <w:r w:rsidRPr="009F691F">
        <w:t xml:space="preserve">ilots, </w:t>
      </w:r>
      <w:r>
        <w:t>m</w:t>
      </w:r>
      <w:r w:rsidRPr="009F691F">
        <w:t xml:space="preserve">easurement and </w:t>
      </w:r>
      <w:r>
        <w:t>e</w:t>
      </w:r>
      <w:r w:rsidRPr="009F691F">
        <w:t xml:space="preserve">valuation, </w:t>
      </w:r>
      <w:r w:rsidRPr="001F6BDD">
        <w:t>regulatory</w:t>
      </w:r>
      <w:r w:rsidRPr="009F691F">
        <w:t xml:space="preserve"> </w:t>
      </w:r>
      <w:r>
        <w:t>c</w:t>
      </w:r>
      <w:r w:rsidRPr="009F691F">
        <w:t xml:space="preserve">ompliance, </w:t>
      </w:r>
      <w:r>
        <w:t>g</w:t>
      </w:r>
      <w:r w:rsidRPr="009F691F">
        <w:t xml:space="preserve">eneral </w:t>
      </w:r>
      <w:r>
        <w:t>a</w:t>
      </w:r>
      <w:r w:rsidRPr="009F691F">
        <w:t xml:space="preserve">dministration, and Commission Energy Division </w:t>
      </w:r>
      <w:r>
        <w:t>s</w:t>
      </w:r>
      <w:r w:rsidRPr="009F691F">
        <w:t xml:space="preserve">upport.  </w:t>
      </w:r>
      <w:r>
        <w:t>Program management</w:t>
      </w:r>
      <w:r w:rsidRPr="009F691F">
        <w:t xml:space="preserve"> expenses, like </w:t>
      </w:r>
      <w:r>
        <w:t xml:space="preserve">the </w:t>
      </w:r>
      <w:r w:rsidRPr="009F691F">
        <w:t>CARE subsidy, are based on estimates and are adjusted annually.  The table below summarizes the IOUs’ proposed overall CARE Budgets as presented in their applications.</w:t>
      </w:r>
    </w:p>
    <w:p w:rsidRPr="00644B6B" w:rsidR="000C1980" w:rsidP="001968DC" w:rsidRDefault="000C1980" w14:paraId="2C88A76C" w14:textId="77777777">
      <w:pPr>
        <w:pStyle w:val="BlockQuote"/>
        <w:ind w:left="1080"/>
        <w:jc w:val="center"/>
        <w:rPr>
          <w:b/>
          <w:bCs/>
        </w:rPr>
      </w:pPr>
      <w:bookmarkStart w:name="OLE_LINK2" w:id="138"/>
      <w:r w:rsidRPr="00644B6B">
        <w:rPr>
          <w:b/>
          <w:bCs/>
        </w:rPr>
        <w:t>Table 4</w:t>
      </w:r>
      <w:r>
        <w:rPr>
          <w:b/>
          <w:bCs/>
        </w:rPr>
        <w:t xml:space="preserve">: </w:t>
      </w:r>
      <w:r w:rsidRPr="00644B6B">
        <w:rPr>
          <w:b/>
          <w:bCs/>
        </w:rPr>
        <w:t>Proposed CARE Budgets</w:t>
      </w:r>
      <w:r>
        <w:rPr>
          <w:b/>
          <w:bCs/>
        </w:rPr>
        <w:t>, PYs 2021-2026</w:t>
      </w:r>
    </w:p>
    <w:tbl>
      <w:tblPr>
        <w:tblW w:w="10170" w:type="dxa"/>
        <w:tblInd w:w="-635" w:type="dxa"/>
        <w:tblLook w:val="04A0" w:firstRow="1" w:lastRow="0" w:firstColumn="1" w:lastColumn="0" w:noHBand="0" w:noVBand="1"/>
      </w:tblPr>
      <w:tblGrid>
        <w:gridCol w:w="1026"/>
        <w:gridCol w:w="1401"/>
        <w:gridCol w:w="1341"/>
        <w:gridCol w:w="1341"/>
        <w:gridCol w:w="1341"/>
        <w:gridCol w:w="1341"/>
        <w:gridCol w:w="1341"/>
        <w:gridCol w:w="1627"/>
      </w:tblGrid>
      <w:tr w:rsidRPr="004A5B5A" w:rsidR="000C1980" w:rsidTr="004A5B5A" w14:paraId="13375760" w14:textId="77777777">
        <w:trPr>
          <w:trHeight w:val="248"/>
        </w:trPr>
        <w:tc>
          <w:tcPr>
            <w:tcW w:w="952"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hideMark/>
          </w:tcPr>
          <w:bookmarkEnd w:id="138"/>
          <w:p w:rsidRPr="004A5B5A" w:rsidR="000C1980" w:rsidP="004A5B5A" w:rsidRDefault="000C1980" w14:paraId="118BB50D" w14:textId="77777777">
            <w:pPr>
              <w:rPr>
                <w:rFonts w:eastAsia="Times New Roman" w:cs="Calibri"/>
                <w:b/>
                <w:bCs/>
                <w:color w:val="000000"/>
                <w:sz w:val="18"/>
                <w:szCs w:val="18"/>
              </w:rPr>
            </w:pPr>
            <w:r w:rsidRPr="004A5B5A">
              <w:rPr>
                <w:rFonts w:eastAsia="Times New Roman" w:cs="Calibri"/>
                <w:b/>
                <w:bCs/>
                <w:color w:val="000000"/>
                <w:sz w:val="18"/>
                <w:szCs w:val="18"/>
              </w:rPr>
              <w:t>IOU</w:t>
            </w:r>
          </w:p>
        </w:tc>
        <w:tc>
          <w:tcPr>
            <w:tcW w:w="9218" w:type="dxa"/>
            <w:gridSpan w:val="7"/>
            <w:tcBorders>
              <w:top w:val="single" w:color="auto" w:sz="4" w:space="0"/>
              <w:left w:val="nil"/>
              <w:bottom w:val="single" w:color="auto" w:sz="4" w:space="0"/>
              <w:right w:val="single" w:color="auto" w:sz="4" w:space="0"/>
            </w:tcBorders>
            <w:shd w:val="clear" w:color="auto" w:fill="auto"/>
            <w:noWrap/>
            <w:vAlign w:val="bottom"/>
            <w:hideMark/>
          </w:tcPr>
          <w:p w:rsidRPr="004A5B5A" w:rsidR="000C1980" w:rsidP="001968DC" w:rsidRDefault="000C1980" w14:paraId="37AD6CE5" w14:textId="77777777">
            <w:pPr>
              <w:ind w:left="360"/>
              <w:jc w:val="center"/>
              <w:rPr>
                <w:rFonts w:eastAsia="Times New Roman" w:cs="Calibri"/>
                <w:b/>
                <w:bCs/>
                <w:color w:val="000000"/>
                <w:sz w:val="18"/>
                <w:szCs w:val="18"/>
              </w:rPr>
            </w:pPr>
            <w:r w:rsidRPr="004A5B5A">
              <w:rPr>
                <w:rFonts w:eastAsia="Times New Roman" w:cs="Calibri"/>
                <w:b/>
                <w:bCs/>
                <w:color w:val="000000"/>
                <w:sz w:val="18"/>
                <w:szCs w:val="18"/>
              </w:rPr>
              <w:t>CARE Proposed Administrative Budget</w:t>
            </w:r>
          </w:p>
        </w:tc>
      </w:tr>
      <w:tr w:rsidRPr="004A5B5A" w:rsidR="004A5B5A" w:rsidTr="004A5B5A" w14:paraId="2A415418" w14:textId="77777777">
        <w:trPr>
          <w:trHeight w:val="279"/>
        </w:trPr>
        <w:tc>
          <w:tcPr>
            <w:tcW w:w="952" w:type="dxa"/>
            <w:vMerge/>
            <w:tcBorders>
              <w:top w:val="single" w:color="auto" w:sz="4" w:space="0"/>
              <w:left w:val="single" w:color="auto" w:sz="4" w:space="0"/>
              <w:bottom w:val="single" w:color="auto" w:sz="4" w:space="0"/>
              <w:right w:val="single" w:color="auto" w:sz="4" w:space="0"/>
            </w:tcBorders>
            <w:vAlign w:val="center"/>
            <w:hideMark/>
          </w:tcPr>
          <w:p w:rsidRPr="004A5B5A" w:rsidR="000C1980" w:rsidP="001968DC" w:rsidRDefault="000C1980" w14:paraId="4D1FAA9B" w14:textId="77777777">
            <w:pPr>
              <w:ind w:left="360"/>
              <w:rPr>
                <w:rFonts w:eastAsia="Times New Roman" w:cs="Calibri"/>
                <w:b/>
                <w:bCs/>
                <w:color w:val="000000"/>
                <w:sz w:val="18"/>
                <w:szCs w:val="18"/>
              </w:rPr>
            </w:pP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52E0E701"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190B0462"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56B3D01C"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4B4397F7"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7B29B7BE"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0A7AEC23"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2026</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28C1B4C9"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Total</w:t>
            </w:r>
          </w:p>
        </w:tc>
      </w:tr>
      <w:tr w:rsidRPr="004A5B5A" w:rsidR="004A5B5A" w:rsidTr="004A5B5A" w14:paraId="22911B62"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2743E4BA" w14:textId="77777777">
            <w:pPr>
              <w:rPr>
                <w:rFonts w:eastAsia="Times New Roman" w:cs="Calibri"/>
                <w:b/>
                <w:bCs/>
                <w:color w:val="000000"/>
                <w:sz w:val="18"/>
                <w:szCs w:val="18"/>
              </w:rPr>
            </w:pPr>
            <w:r w:rsidRPr="004A5B5A">
              <w:rPr>
                <w:rFonts w:eastAsia="Times New Roman" w:cs="Calibri"/>
                <w:b/>
                <w:bCs/>
                <w:color w:val="000000"/>
                <w:sz w:val="18"/>
                <w:szCs w:val="18"/>
              </w:rPr>
              <w:t>SCE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2AA7C66" w14:textId="77777777">
            <w:pPr>
              <w:jc w:val="right"/>
              <w:rPr>
                <w:rFonts w:eastAsia="Times New Roman" w:cs="Calibri"/>
                <w:color w:val="000000"/>
                <w:sz w:val="18"/>
                <w:szCs w:val="18"/>
              </w:rPr>
            </w:pPr>
            <w:r w:rsidRPr="004A5B5A">
              <w:rPr>
                <w:rFonts w:eastAsia="Times New Roman" w:cs="Calibri"/>
                <w:color w:val="000000"/>
                <w:sz w:val="18"/>
                <w:szCs w:val="18"/>
              </w:rPr>
              <w:t>$10,503,716</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173442D" w14:textId="77777777">
            <w:pPr>
              <w:jc w:val="right"/>
              <w:rPr>
                <w:rFonts w:eastAsia="Times New Roman" w:cs="Calibri"/>
                <w:color w:val="000000"/>
                <w:sz w:val="18"/>
                <w:szCs w:val="18"/>
              </w:rPr>
            </w:pPr>
            <w:r w:rsidRPr="004A5B5A">
              <w:rPr>
                <w:rFonts w:eastAsia="Times New Roman" w:cs="Calibri"/>
                <w:color w:val="000000"/>
                <w:sz w:val="18"/>
                <w:szCs w:val="18"/>
              </w:rPr>
              <w:t>$10,108,535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E0B3437" w14:textId="77777777">
            <w:pPr>
              <w:jc w:val="right"/>
              <w:rPr>
                <w:rFonts w:eastAsia="Times New Roman" w:cs="Calibri"/>
                <w:color w:val="000000"/>
                <w:sz w:val="18"/>
                <w:szCs w:val="18"/>
              </w:rPr>
            </w:pPr>
            <w:r w:rsidRPr="004A5B5A">
              <w:rPr>
                <w:rFonts w:eastAsia="Times New Roman" w:cs="Calibri"/>
                <w:color w:val="000000"/>
                <w:sz w:val="18"/>
                <w:szCs w:val="18"/>
              </w:rPr>
              <w:t>$10,526,671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EDEC87E" w14:textId="77777777">
            <w:pPr>
              <w:jc w:val="right"/>
              <w:rPr>
                <w:rFonts w:eastAsia="Times New Roman" w:cs="Calibri"/>
                <w:color w:val="000000"/>
                <w:sz w:val="18"/>
                <w:szCs w:val="18"/>
              </w:rPr>
            </w:pPr>
            <w:r w:rsidRPr="004A5B5A">
              <w:rPr>
                <w:rFonts w:eastAsia="Times New Roman" w:cs="Calibri"/>
                <w:color w:val="000000"/>
                <w:sz w:val="18"/>
                <w:szCs w:val="18"/>
              </w:rPr>
              <w:t>$10,454,193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3BE718D" w14:textId="77777777">
            <w:pPr>
              <w:jc w:val="right"/>
              <w:rPr>
                <w:rFonts w:eastAsia="Times New Roman" w:cs="Calibri"/>
                <w:color w:val="000000"/>
                <w:sz w:val="18"/>
                <w:szCs w:val="18"/>
              </w:rPr>
            </w:pPr>
            <w:r w:rsidRPr="004A5B5A">
              <w:rPr>
                <w:rFonts w:eastAsia="Times New Roman" w:cs="Calibri"/>
                <w:color w:val="000000"/>
                <w:sz w:val="18"/>
                <w:szCs w:val="18"/>
              </w:rPr>
              <w:t>$10,850,293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C16F7A7" w14:textId="77777777">
            <w:pPr>
              <w:jc w:val="right"/>
              <w:rPr>
                <w:rFonts w:eastAsia="Times New Roman" w:cs="Calibri"/>
                <w:color w:val="000000"/>
                <w:sz w:val="18"/>
                <w:szCs w:val="18"/>
              </w:rPr>
            </w:pPr>
            <w:r w:rsidRPr="004A5B5A">
              <w:rPr>
                <w:rFonts w:eastAsia="Times New Roman" w:cs="Calibri"/>
                <w:color w:val="000000"/>
                <w:sz w:val="18"/>
                <w:szCs w:val="18"/>
              </w:rPr>
              <w:t>$10,953,158</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8279BCE" w14:textId="77777777">
            <w:pPr>
              <w:jc w:val="right"/>
              <w:rPr>
                <w:rFonts w:eastAsia="Times New Roman" w:cs="Calibri"/>
                <w:b/>
                <w:bCs/>
                <w:color w:val="000000"/>
                <w:sz w:val="18"/>
                <w:szCs w:val="18"/>
              </w:rPr>
            </w:pPr>
            <w:r w:rsidRPr="004A5B5A">
              <w:rPr>
                <w:rFonts w:eastAsia="Times New Roman" w:cs="Calibri"/>
                <w:b/>
                <w:bCs/>
                <w:color w:val="000000"/>
                <w:sz w:val="18"/>
                <w:szCs w:val="18"/>
              </w:rPr>
              <w:t>$63,396,566</w:t>
            </w:r>
          </w:p>
        </w:tc>
      </w:tr>
      <w:tr w:rsidRPr="004A5B5A" w:rsidR="004A5B5A" w:rsidTr="004A5B5A" w14:paraId="7647A1A4"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33D447A8" w14:textId="77777777">
            <w:pPr>
              <w:rPr>
                <w:rFonts w:eastAsia="Times New Roman" w:cs="Calibri"/>
                <w:b/>
                <w:bCs/>
                <w:color w:val="000000"/>
                <w:sz w:val="18"/>
                <w:szCs w:val="18"/>
              </w:rPr>
            </w:pPr>
            <w:r w:rsidRPr="004A5B5A">
              <w:rPr>
                <w:rFonts w:eastAsia="Times New Roman" w:cs="Calibri"/>
                <w:b/>
                <w:bCs/>
                <w:color w:val="000000"/>
                <w:sz w:val="18"/>
                <w:szCs w:val="18"/>
              </w:rPr>
              <w:t>PG&amp;E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1CDD5B0" w14:textId="77777777">
            <w:pPr>
              <w:jc w:val="right"/>
              <w:rPr>
                <w:rFonts w:eastAsia="Times New Roman" w:cs="Calibri"/>
                <w:sz w:val="18"/>
                <w:szCs w:val="18"/>
              </w:rPr>
            </w:pPr>
            <w:r w:rsidRPr="004A5B5A">
              <w:rPr>
                <w:rFonts w:eastAsia="Times New Roman" w:cs="Calibri"/>
                <w:sz w:val="18"/>
                <w:szCs w:val="18"/>
              </w:rPr>
              <w:t>$14,150,600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08BC318" w14:textId="77777777">
            <w:pPr>
              <w:jc w:val="right"/>
              <w:rPr>
                <w:rFonts w:eastAsia="Times New Roman" w:cs="Calibri"/>
                <w:sz w:val="18"/>
                <w:szCs w:val="18"/>
              </w:rPr>
            </w:pPr>
            <w:r w:rsidRPr="004A5B5A">
              <w:rPr>
                <w:rFonts w:eastAsia="Times New Roman" w:cs="Calibri"/>
                <w:sz w:val="18"/>
                <w:szCs w:val="18"/>
              </w:rPr>
              <w:t>$13,760,000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CC81077" w14:textId="77777777">
            <w:pPr>
              <w:jc w:val="right"/>
              <w:rPr>
                <w:rFonts w:eastAsia="Times New Roman" w:cs="Calibri"/>
                <w:sz w:val="18"/>
                <w:szCs w:val="18"/>
              </w:rPr>
            </w:pPr>
            <w:r w:rsidRPr="004A5B5A">
              <w:rPr>
                <w:rFonts w:eastAsia="Times New Roman" w:cs="Calibri"/>
                <w:sz w:val="18"/>
                <w:szCs w:val="18"/>
              </w:rPr>
              <w:t>$13,961,600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22C672A" w14:textId="77777777">
            <w:pPr>
              <w:jc w:val="right"/>
              <w:rPr>
                <w:rFonts w:eastAsia="Times New Roman" w:cs="Calibri"/>
                <w:sz w:val="18"/>
                <w:szCs w:val="18"/>
              </w:rPr>
            </w:pPr>
            <w:r w:rsidRPr="004A5B5A">
              <w:rPr>
                <w:rFonts w:eastAsia="Times New Roman" w:cs="Calibri"/>
                <w:sz w:val="18"/>
                <w:szCs w:val="18"/>
              </w:rPr>
              <w:t>$14,070,600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C7EBBF8" w14:textId="77777777">
            <w:pPr>
              <w:jc w:val="right"/>
              <w:rPr>
                <w:rFonts w:eastAsia="Times New Roman" w:cs="Calibri"/>
                <w:sz w:val="18"/>
                <w:szCs w:val="18"/>
              </w:rPr>
            </w:pPr>
            <w:r w:rsidRPr="004A5B5A">
              <w:rPr>
                <w:rFonts w:eastAsia="Times New Roman" w:cs="Calibri"/>
                <w:sz w:val="18"/>
                <w:szCs w:val="18"/>
              </w:rPr>
              <w:t>$14,444,200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4FDE526" w14:textId="77777777">
            <w:pPr>
              <w:jc w:val="right"/>
              <w:rPr>
                <w:rFonts w:eastAsia="Times New Roman" w:cs="Calibri"/>
                <w:sz w:val="18"/>
                <w:szCs w:val="18"/>
              </w:rPr>
            </w:pPr>
            <w:r w:rsidRPr="004A5B5A">
              <w:rPr>
                <w:rFonts w:eastAsia="Times New Roman" w:cs="Calibri"/>
                <w:sz w:val="18"/>
                <w:szCs w:val="18"/>
              </w:rPr>
              <w:t>$14,787,700</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B4CA44A" w14:textId="77777777">
            <w:pPr>
              <w:jc w:val="right"/>
              <w:rPr>
                <w:rFonts w:eastAsia="Times New Roman" w:cs="Calibri"/>
                <w:b/>
                <w:bCs/>
                <w:color w:val="000000"/>
                <w:sz w:val="18"/>
                <w:szCs w:val="18"/>
              </w:rPr>
            </w:pPr>
            <w:r w:rsidRPr="004A5B5A">
              <w:rPr>
                <w:rFonts w:eastAsia="Times New Roman" w:cs="Calibri"/>
                <w:b/>
                <w:bCs/>
                <w:color w:val="000000"/>
                <w:sz w:val="18"/>
                <w:szCs w:val="18"/>
              </w:rPr>
              <w:t>$85,174,700</w:t>
            </w:r>
          </w:p>
        </w:tc>
      </w:tr>
      <w:tr w:rsidRPr="004A5B5A" w:rsidR="004A5B5A" w:rsidTr="004A5B5A" w14:paraId="5102B49B"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35110D09" w14:textId="77777777">
            <w:pPr>
              <w:rPr>
                <w:rFonts w:eastAsia="Times New Roman" w:cs="Calibri"/>
                <w:b/>
                <w:bCs/>
                <w:color w:val="000000"/>
                <w:sz w:val="18"/>
                <w:szCs w:val="18"/>
              </w:rPr>
            </w:pPr>
            <w:r w:rsidRPr="004A5B5A">
              <w:rPr>
                <w:rFonts w:eastAsia="Times New Roman" w:cs="Calibri"/>
                <w:b/>
                <w:bCs/>
                <w:color w:val="000000"/>
                <w:sz w:val="18"/>
                <w:szCs w:val="18"/>
              </w:rPr>
              <w:t>SDG&amp;E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A2DE0DE" w14:textId="77777777">
            <w:pPr>
              <w:jc w:val="right"/>
              <w:rPr>
                <w:rFonts w:eastAsia="Times New Roman" w:cs="Calibri"/>
                <w:color w:val="000000"/>
                <w:sz w:val="18"/>
                <w:szCs w:val="18"/>
              </w:rPr>
            </w:pPr>
            <w:r w:rsidRPr="004A5B5A">
              <w:rPr>
                <w:rFonts w:eastAsia="Times New Roman" w:cs="Calibri"/>
                <w:color w:val="000000"/>
                <w:sz w:val="18"/>
                <w:szCs w:val="18"/>
              </w:rPr>
              <w:t>$6,622,169</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D18933D" w14:textId="77777777">
            <w:pPr>
              <w:jc w:val="right"/>
              <w:rPr>
                <w:rFonts w:eastAsia="Times New Roman" w:cs="Calibri"/>
                <w:color w:val="000000"/>
                <w:sz w:val="18"/>
                <w:szCs w:val="18"/>
              </w:rPr>
            </w:pPr>
            <w:r w:rsidRPr="004A5B5A">
              <w:rPr>
                <w:rFonts w:eastAsia="Times New Roman" w:cs="Calibri"/>
                <w:color w:val="000000"/>
                <w:sz w:val="18"/>
                <w:szCs w:val="18"/>
              </w:rPr>
              <w:t>$7,241,045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2D58F43" w14:textId="77777777">
            <w:pPr>
              <w:jc w:val="right"/>
              <w:rPr>
                <w:rFonts w:eastAsia="Times New Roman" w:cs="Calibri"/>
                <w:color w:val="000000"/>
                <w:sz w:val="18"/>
                <w:szCs w:val="18"/>
              </w:rPr>
            </w:pPr>
            <w:r w:rsidRPr="004A5B5A">
              <w:rPr>
                <w:rFonts w:eastAsia="Times New Roman" w:cs="Calibri"/>
                <w:color w:val="000000"/>
                <w:sz w:val="18"/>
                <w:szCs w:val="18"/>
              </w:rPr>
              <w:t>$6,922,453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5E5B9CF" w14:textId="77777777">
            <w:pPr>
              <w:jc w:val="right"/>
              <w:rPr>
                <w:rFonts w:eastAsia="Times New Roman" w:cs="Calibri"/>
                <w:color w:val="000000"/>
                <w:sz w:val="18"/>
                <w:szCs w:val="18"/>
              </w:rPr>
            </w:pPr>
            <w:r w:rsidRPr="004A5B5A">
              <w:rPr>
                <w:rFonts w:eastAsia="Times New Roman" w:cs="Calibri"/>
                <w:color w:val="000000"/>
                <w:sz w:val="18"/>
                <w:szCs w:val="18"/>
              </w:rPr>
              <w:t>$7,013,368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9160415" w14:textId="77777777">
            <w:pPr>
              <w:jc w:val="right"/>
              <w:rPr>
                <w:rFonts w:eastAsia="Times New Roman" w:cs="Calibri"/>
                <w:color w:val="000000"/>
                <w:sz w:val="18"/>
                <w:szCs w:val="18"/>
              </w:rPr>
            </w:pPr>
            <w:r w:rsidRPr="004A5B5A">
              <w:rPr>
                <w:rFonts w:eastAsia="Times New Roman" w:cs="Calibri"/>
                <w:color w:val="000000"/>
                <w:sz w:val="18"/>
                <w:szCs w:val="18"/>
              </w:rPr>
              <w:t>$7,399,570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CA750D9" w14:textId="77777777">
            <w:pPr>
              <w:jc w:val="right"/>
              <w:rPr>
                <w:rFonts w:eastAsia="Times New Roman" w:cs="Calibri"/>
                <w:color w:val="000000"/>
                <w:sz w:val="18"/>
                <w:szCs w:val="18"/>
              </w:rPr>
            </w:pPr>
            <w:r w:rsidRPr="004A5B5A">
              <w:rPr>
                <w:rFonts w:eastAsia="Times New Roman" w:cs="Calibri"/>
                <w:color w:val="000000"/>
                <w:sz w:val="18"/>
                <w:szCs w:val="18"/>
              </w:rPr>
              <w:t>$7,401,649</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9D59004" w14:textId="77777777">
            <w:pPr>
              <w:jc w:val="right"/>
              <w:rPr>
                <w:rFonts w:eastAsia="Times New Roman" w:cs="Calibri"/>
                <w:b/>
                <w:bCs/>
                <w:color w:val="000000"/>
                <w:sz w:val="18"/>
                <w:szCs w:val="18"/>
              </w:rPr>
            </w:pPr>
            <w:r w:rsidRPr="004A5B5A">
              <w:rPr>
                <w:rFonts w:eastAsia="Times New Roman" w:cs="Calibri"/>
                <w:b/>
                <w:bCs/>
                <w:color w:val="000000"/>
                <w:sz w:val="18"/>
                <w:szCs w:val="18"/>
              </w:rPr>
              <w:t>$42,600,254</w:t>
            </w:r>
          </w:p>
        </w:tc>
      </w:tr>
      <w:tr w:rsidRPr="004A5B5A" w:rsidR="004A5B5A" w:rsidTr="004A5B5A" w14:paraId="76B16B45"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6FD77F43" w14:textId="77777777">
            <w:pPr>
              <w:rPr>
                <w:rFonts w:eastAsia="Times New Roman" w:cs="Calibri"/>
                <w:b/>
                <w:bCs/>
                <w:color w:val="000000"/>
                <w:sz w:val="18"/>
                <w:szCs w:val="18"/>
              </w:rPr>
            </w:pPr>
            <w:r w:rsidRPr="004A5B5A">
              <w:rPr>
                <w:rFonts w:eastAsia="Times New Roman" w:cs="Calibri"/>
                <w:b/>
                <w:bCs/>
                <w:color w:val="000000"/>
                <w:sz w:val="18"/>
                <w:szCs w:val="18"/>
              </w:rPr>
              <w:t>SoCalGas</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93A2F31" w14:textId="77777777">
            <w:pPr>
              <w:jc w:val="right"/>
              <w:rPr>
                <w:rFonts w:eastAsia="Times New Roman" w:cs="Calibri"/>
                <w:color w:val="000000"/>
                <w:sz w:val="18"/>
                <w:szCs w:val="18"/>
              </w:rPr>
            </w:pPr>
            <w:r w:rsidRPr="004A5B5A">
              <w:rPr>
                <w:rFonts w:eastAsia="Times New Roman" w:cs="Calibri"/>
                <w:color w:val="000000"/>
                <w:sz w:val="18"/>
                <w:szCs w:val="18"/>
              </w:rPr>
              <w:t>$10,859,663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8313C67" w14:textId="77777777">
            <w:pPr>
              <w:jc w:val="right"/>
              <w:rPr>
                <w:rFonts w:eastAsia="Times New Roman" w:cs="Calibri"/>
                <w:color w:val="000000"/>
                <w:sz w:val="18"/>
                <w:szCs w:val="18"/>
              </w:rPr>
            </w:pPr>
            <w:r w:rsidRPr="004A5B5A">
              <w:rPr>
                <w:rFonts w:eastAsia="Times New Roman" w:cs="Calibri"/>
                <w:color w:val="000000"/>
                <w:sz w:val="18"/>
                <w:szCs w:val="18"/>
              </w:rPr>
              <w:t>$11,085,592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3E6E779" w14:textId="77777777">
            <w:pPr>
              <w:jc w:val="right"/>
              <w:rPr>
                <w:rFonts w:eastAsia="Times New Roman" w:cs="Calibri"/>
                <w:color w:val="000000"/>
                <w:sz w:val="18"/>
                <w:szCs w:val="18"/>
              </w:rPr>
            </w:pPr>
            <w:r w:rsidRPr="004A5B5A">
              <w:rPr>
                <w:rFonts w:eastAsia="Times New Roman" w:cs="Calibri"/>
                <w:color w:val="000000"/>
                <w:sz w:val="18"/>
                <w:szCs w:val="18"/>
              </w:rPr>
              <w:t>$11,181,364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C4B05AB" w14:textId="77777777">
            <w:pPr>
              <w:jc w:val="right"/>
              <w:rPr>
                <w:rFonts w:eastAsia="Times New Roman" w:cs="Calibri"/>
                <w:color w:val="000000"/>
                <w:sz w:val="18"/>
                <w:szCs w:val="18"/>
              </w:rPr>
            </w:pPr>
            <w:r w:rsidRPr="004A5B5A">
              <w:rPr>
                <w:rFonts w:eastAsia="Times New Roman" w:cs="Calibri"/>
                <w:color w:val="000000"/>
                <w:sz w:val="18"/>
                <w:szCs w:val="18"/>
              </w:rPr>
              <w:t>$11,465,069</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5253C7F" w14:textId="77777777">
            <w:pPr>
              <w:jc w:val="right"/>
              <w:rPr>
                <w:rFonts w:eastAsia="Times New Roman" w:cs="Calibri"/>
                <w:color w:val="000000"/>
                <w:sz w:val="18"/>
                <w:szCs w:val="18"/>
              </w:rPr>
            </w:pPr>
            <w:r w:rsidRPr="004A5B5A">
              <w:rPr>
                <w:rFonts w:eastAsia="Times New Roman" w:cs="Calibri"/>
                <w:color w:val="000000"/>
                <w:sz w:val="18"/>
                <w:szCs w:val="18"/>
              </w:rPr>
              <w:t>$11,774,132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08ECA01" w14:textId="77777777">
            <w:pPr>
              <w:jc w:val="right"/>
              <w:rPr>
                <w:rFonts w:eastAsia="Times New Roman" w:cs="Calibri"/>
                <w:color w:val="000000"/>
                <w:sz w:val="18"/>
                <w:szCs w:val="18"/>
              </w:rPr>
            </w:pPr>
            <w:r w:rsidRPr="004A5B5A">
              <w:rPr>
                <w:rFonts w:eastAsia="Times New Roman" w:cs="Calibri"/>
                <w:color w:val="000000"/>
                <w:sz w:val="18"/>
                <w:szCs w:val="18"/>
              </w:rPr>
              <w:t>$11,915,864</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0E83120" w14:textId="77777777">
            <w:pPr>
              <w:jc w:val="right"/>
              <w:rPr>
                <w:rFonts w:eastAsia="Times New Roman" w:cs="Calibri"/>
                <w:b/>
                <w:bCs/>
                <w:color w:val="000000"/>
                <w:sz w:val="18"/>
                <w:szCs w:val="18"/>
              </w:rPr>
            </w:pPr>
            <w:r w:rsidRPr="004A5B5A">
              <w:rPr>
                <w:rFonts w:eastAsia="Times New Roman" w:cs="Calibri"/>
                <w:b/>
                <w:bCs/>
                <w:color w:val="000000"/>
                <w:sz w:val="18"/>
                <w:szCs w:val="18"/>
              </w:rPr>
              <w:t>$68,281,684</w:t>
            </w:r>
          </w:p>
        </w:tc>
      </w:tr>
      <w:tr w:rsidRPr="004A5B5A" w:rsidR="004A5B5A" w:rsidTr="004A5B5A" w14:paraId="5DFD1E73"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0F6D1D52" w14:textId="77777777">
            <w:pPr>
              <w:rPr>
                <w:rFonts w:eastAsia="Times New Roman" w:cs="Calibri"/>
                <w:b/>
                <w:bCs/>
                <w:color w:val="000000"/>
                <w:sz w:val="18"/>
                <w:szCs w:val="18"/>
              </w:rPr>
            </w:pPr>
            <w:r w:rsidRPr="004A5B5A">
              <w:rPr>
                <w:rFonts w:eastAsia="Times New Roman" w:cs="Calibri"/>
                <w:b/>
                <w:bCs/>
                <w:color w:val="000000"/>
                <w:sz w:val="18"/>
                <w:szCs w:val="18"/>
              </w:rPr>
              <w:lastRenderedPageBreak/>
              <w:t>Total</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80A91F4" w14:textId="77777777">
            <w:pPr>
              <w:jc w:val="right"/>
              <w:rPr>
                <w:rFonts w:eastAsia="Times New Roman" w:cs="Calibri"/>
                <w:b/>
                <w:bCs/>
                <w:color w:val="000000"/>
                <w:sz w:val="18"/>
                <w:szCs w:val="18"/>
              </w:rPr>
            </w:pPr>
            <w:r w:rsidRPr="004A5B5A">
              <w:rPr>
                <w:rFonts w:eastAsia="Times New Roman" w:cs="Calibri"/>
                <w:b/>
                <w:bCs/>
                <w:color w:val="000000"/>
                <w:sz w:val="18"/>
                <w:szCs w:val="18"/>
              </w:rPr>
              <w:t>$42,136,147</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88E1C32" w14:textId="77777777">
            <w:pPr>
              <w:jc w:val="right"/>
              <w:rPr>
                <w:rFonts w:eastAsia="Times New Roman" w:cs="Calibri"/>
                <w:b/>
                <w:bCs/>
                <w:color w:val="000000"/>
                <w:sz w:val="18"/>
                <w:szCs w:val="18"/>
              </w:rPr>
            </w:pPr>
            <w:r w:rsidRPr="004A5B5A">
              <w:rPr>
                <w:rFonts w:eastAsia="Times New Roman" w:cs="Calibri"/>
                <w:b/>
                <w:bCs/>
                <w:color w:val="000000"/>
                <w:sz w:val="18"/>
                <w:szCs w:val="18"/>
              </w:rPr>
              <w:t>$42,195,172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EDCB334" w14:textId="77777777">
            <w:pPr>
              <w:jc w:val="right"/>
              <w:rPr>
                <w:rFonts w:eastAsia="Times New Roman" w:cs="Calibri"/>
                <w:b/>
                <w:bCs/>
                <w:color w:val="000000"/>
                <w:sz w:val="18"/>
                <w:szCs w:val="18"/>
              </w:rPr>
            </w:pPr>
            <w:r w:rsidRPr="004A5B5A">
              <w:rPr>
                <w:rFonts w:eastAsia="Times New Roman" w:cs="Calibri"/>
                <w:b/>
                <w:bCs/>
                <w:color w:val="000000"/>
                <w:sz w:val="18"/>
                <w:szCs w:val="18"/>
              </w:rPr>
              <w:t>$42,592,088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3D3DAA2" w14:textId="77777777">
            <w:pPr>
              <w:jc w:val="right"/>
              <w:rPr>
                <w:rFonts w:eastAsia="Times New Roman" w:cs="Calibri"/>
                <w:b/>
                <w:bCs/>
                <w:color w:val="000000"/>
                <w:sz w:val="18"/>
                <w:szCs w:val="18"/>
              </w:rPr>
            </w:pPr>
            <w:r w:rsidRPr="004A5B5A">
              <w:rPr>
                <w:rFonts w:eastAsia="Times New Roman" w:cs="Calibri"/>
                <w:b/>
                <w:bCs/>
                <w:color w:val="000000"/>
                <w:sz w:val="18"/>
                <w:szCs w:val="18"/>
              </w:rPr>
              <w:t>$43,003,231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17765B9" w14:textId="77777777">
            <w:pPr>
              <w:jc w:val="right"/>
              <w:rPr>
                <w:rFonts w:eastAsia="Times New Roman" w:cs="Calibri"/>
                <w:b/>
                <w:bCs/>
                <w:color w:val="000000"/>
                <w:sz w:val="18"/>
                <w:szCs w:val="18"/>
              </w:rPr>
            </w:pPr>
            <w:r w:rsidRPr="004A5B5A">
              <w:rPr>
                <w:rFonts w:eastAsia="Times New Roman" w:cs="Calibri"/>
                <w:b/>
                <w:bCs/>
                <w:color w:val="000000"/>
                <w:sz w:val="18"/>
                <w:szCs w:val="18"/>
              </w:rPr>
              <w:t>$44,468,195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C864132" w14:textId="77777777">
            <w:pPr>
              <w:jc w:val="right"/>
              <w:rPr>
                <w:rFonts w:eastAsia="Times New Roman" w:cs="Calibri"/>
                <w:b/>
                <w:bCs/>
                <w:color w:val="000000"/>
                <w:sz w:val="18"/>
                <w:szCs w:val="18"/>
              </w:rPr>
            </w:pPr>
            <w:r w:rsidRPr="004A5B5A">
              <w:rPr>
                <w:rFonts w:eastAsia="Times New Roman" w:cs="Calibri"/>
                <w:b/>
                <w:bCs/>
                <w:color w:val="000000"/>
                <w:sz w:val="18"/>
                <w:szCs w:val="18"/>
              </w:rPr>
              <w:t>$45,058,370</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58016F2"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$259,453,204</w:t>
            </w:r>
          </w:p>
        </w:tc>
      </w:tr>
      <w:tr w:rsidRPr="004A5B5A" w:rsidR="004A5B5A" w:rsidTr="004A5B5A" w14:paraId="61233B08" w14:textId="77777777">
        <w:trPr>
          <w:trHeight w:val="248"/>
        </w:trPr>
        <w:tc>
          <w:tcPr>
            <w:tcW w:w="952" w:type="dxa"/>
            <w:tcBorders>
              <w:top w:val="nil"/>
              <w:left w:val="nil"/>
              <w:bottom w:val="nil"/>
              <w:right w:val="nil"/>
            </w:tcBorders>
            <w:shd w:val="clear" w:color="auto" w:fill="auto"/>
            <w:noWrap/>
            <w:vAlign w:val="bottom"/>
            <w:hideMark/>
          </w:tcPr>
          <w:p w:rsidRPr="004A5B5A" w:rsidR="000C1980" w:rsidP="001968DC" w:rsidRDefault="000C1980" w14:paraId="52860821" w14:textId="77777777">
            <w:pPr>
              <w:ind w:left="360"/>
              <w:jc w:val="right"/>
              <w:rPr>
                <w:rFonts w:eastAsia="Times New Roman" w:cs="Calibri"/>
                <w:b/>
                <w:bCs/>
                <w:color w:val="000000"/>
                <w:sz w:val="18"/>
                <w:szCs w:val="18"/>
              </w:rPr>
            </w:pPr>
          </w:p>
        </w:tc>
        <w:tc>
          <w:tcPr>
            <w:tcW w:w="1401" w:type="dxa"/>
            <w:tcBorders>
              <w:top w:val="nil"/>
              <w:left w:val="nil"/>
              <w:bottom w:val="nil"/>
              <w:right w:val="nil"/>
            </w:tcBorders>
            <w:shd w:val="clear" w:color="auto" w:fill="auto"/>
            <w:noWrap/>
            <w:vAlign w:val="bottom"/>
            <w:hideMark/>
          </w:tcPr>
          <w:p w:rsidRPr="004A5B5A" w:rsidR="000C1980" w:rsidP="001968DC" w:rsidRDefault="000C1980" w14:paraId="7AF2B878"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4C9BD5AB"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1160E78D"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4D9FCB50"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064793A8"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02F85479" w14:textId="77777777">
            <w:pPr>
              <w:ind w:left="360"/>
              <w:rPr>
                <w:rFonts w:eastAsia="Times New Roman"/>
                <w:sz w:val="18"/>
                <w:szCs w:val="18"/>
              </w:rPr>
            </w:pPr>
          </w:p>
        </w:tc>
        <w:tc>
          <w:tcPr>
            <w:tcW w:w="1627" w:type="dxa"/>
            <w:tcBorders>
              <w:top w:val="nil"/>
              <w:left w:val="nil"/>
              <w:bottom w:val="nil"/>
              <w:right w:val="nil"/>
            </w:tcBorders>
            <w:shd w:val="clear" w:color="auto" w:fill="auto"/>
            <w:noWrap/>
            <w:vAlign w:val="bottom"/>
            <w:hideMark/>
          </w:tcPr>
          <w:p w:rsidRPr="004A5B5A" w:rsidR="000C1980" w:rsidP="001968DC" w:rsidRDefault="000C1980" w14:paraId="0BCD6187" w14:textId="77777777">
            <w:pPr>
              <w:ind w:left="360"/>
              <w:rPr>
                <w:rFonts w:eastAsia="Times New Roman"/>
                <w:sz w:val="18"/>
                <w:szCs w:val="18"/>
              </w:rPr>
            </w:pPr>
          </w:p>
        </w:tc>
      </w:tr>
      <w:tr w:rsidRPr="004A5B5A" w:rsidR="000C1980" w:rsidTr="004A5B5A" w14:paraId="2BD7F26B" w14:textId="77777777">
        <w:trPr>
          <w:trHeight w:val="248"/>
        </w:trPr>
        <w:tc>
          <w:tcPr>
            <w:tcW w:w="952" w:type="dxa"/>
            <w:vMerge w:val="restart"/>
            <w:tcBorders>
              <w:top w:val="single" w:color="auto" w:sz="4" w:space="0"/>
              <w:left w:val="single" w:color="auto" w:sz="4" w:space="0"/>
              <w:bottom w:val="single" w:color="000000" w:sz="4" w:space="0"/>
              <w:right w:val="single" w:color="auto" w:sz="4" w:space="0"/>
            </w:tcBorders>
            <w:shd w:val="clear" w:color="auto" w:fill="auto"/>
            <w:noWrap/>
            <w:vAlign w:val="bottom"/>
            <w:hideMark/>
          </w:tcPr>
          <w:p w:rsidRPr="004A5B5A" w:rsidR="000C1980" w:rsidP="004A5B5A" w:rsidRDefault="000C1980" w14:paraId="1F9C7B37" w14:textId="77777777">
            <w:pPr>
              <w:rPr>
                <w:rFonts w:eastAsia="Times New Roman" w:cs="Calibri"/>
                <w:b/>
                <w:bCs/>
                <w:color w:val="000000"/>
                <w:sz w:val="18"/>
                <w:szCs w:val="18"/>
              </w:rPr>
            </w:pPr>
            <w:r w:rsidRPr="004A5B5A">
              <w:rPr>
                <w:rFonts w:eastAsia="Times New Roman" w:cs="Calibri"/>
                <w:b/>
                <w:bCs/>
                <w:color w:val="000000"/>
                <w:sz w:val="18"/>
                <w:szCs w:val="18"/>
              </w:rPr>
              <w:t>IOU</w:t>
            </w:r>
          </w:p>
        </w:tc>
        <w:tc>
          <w:tcPr>
            <w:tcW w:w="9218" w:type="dxa"/>
            <w:gridSpan w:val="7"/>
            <w:tcBorders>
              <w:top w:val="single" w:color="auto" w:sz="4" w:space="0"/>
              <w:left w:val="nil"/>
              <w:bottom w:val="single" w:color="auto" w:sz="4" w:space="0"/>
              <w:right w:val="single" w:color="000000" w:sz="4" w:space="0"/>
            </w:tcBorders>
            <w:shd w:val="clear" w:color="auto" w:fill="auto"/>
            <w:noWrap/>
            <w:vAlign w:val="bottom"/>
            <w:hideMark/>
          </w:tcPr>
          <w:p w:rsidRPr="004A5B5A" w:rsidR="000C1980" w:rsidP="001968DC" w:rsidRDefault="000C1980" w14:paraId="512FA4F4" w14:textId="77777777">
            <w:pPr>
              <w:ind w:left="360"/>
              <w:jc w:val="center"/>
              <w:rPr>
                <w:rFonts w:eastAsia="Times New Roman" w:cs="Calibri"/>
                <w:b/>
                <w:bCs/>
                <w:color w:val="000000"/>
                <w:sz w:val="18"/>
                <w:szCs w:val="18"/>
              </w:rPr>
            </w:pPr>
            <w:r w:rsidRPr="004A5B5A">
              <w:rPr>
                <w:rFonts w:eastAsia="Times New Roman" w:cs="Calibri"/>
                <w:b/>
                <w:bCs/>
                <w:color w:val="000000"/>
                <w:sz w:val="18"/>
                <w:szCs w:val="18"/>
              </w:rPr>
              <w:t>CARE Proposed Subsidies</w:t>
            </w:r>
          </w:p>
        </w:tc>
      </w:tr>
      <w:tr w:rsidRPr="004A5B5A" w:rsidR="004A5B5A" w:rsidTr="004A5B5A" w14:paraId="76FC0631" w14:textId="77777777">
        <w:trPr>
          <w:trHeight w:val="248"/>
        </w:trPr>
        <w:tc>
          <w:tcPr>
            <w:tcW w:w="952" w:type="dxa"/>
            <w:vMerge/>
            <w:tcBorders>
              <w:top w:val="single" w:color="auto" w:sz="4" w:space="0"/>
              <w:left w:val="single" w:color="auto" w:sz="4" w:space="0"/>
              <w:bottom w:val="single" w:color="000000" w:sz="4" w:space="0"/>
              <w:right w:val="single" w:color="auto" w:sz="4" w:space="0"/>
            </w:tcBorders>
            <w:vAlign w:val="center"/>
            <w:hideMark/>
          </w:tcPr>
          <w:p w:rsidRPr="004A5B5A" w:rsidR="000C1980" w:rsidP="001968DC" w:rsidRDefault="000C1980" w14:paraId="167BBB2E" w14:textId="77777777">
            <w:pPr>
              <w:ind w:left="360"/>
              <w:rPr>
                <w:rFonts w:eastAsia="Times New Roman" w:cs="Calibri"/>
                <w:b/>
                <w:bCs/>
                <w:color w:val="000000"/>
                <w:sz w:val="18"/>
                <w:szCs w:val="18"/>
              </w:rPr>
            </w:pP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23C8920E"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6097DB5B"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3CC71BB5"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3D7ECCF0"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4488F964"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55D441E0"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2026</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4AF01254"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Total</w:t>
            </w:r>
          </w:p>
        </w:tc>
      </w:tr>
      <w:tr w:rsidRPr="004A5B5A" w:rsidR="004A5B5A" w:rsidTr="004A5B5A" w14:paraId="4E9ECE4C"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3D86724C" w14:textId="77777777">
            <w:pPr>
              <w:rPr>
                <w:rFonts w:eastAsia="Times New Roman" w:cs="Calibri"/>
                <w:b/>
                <w:bCs/>
                <w:color w:val="000000"/>
                <w:sz w:val="18"/>
                <w:szCs w:val="18"/>
              </w:rPr>
            </w:pPr>
            <w:r w:rsidRPr="004A5B5A">
              <w:rPr>
                <w:rFonts w:eastAsia="Times New Roman" w:cs="Calibri"/>
                <w:b/>
                <w:bCs/>
                <w:color w:val="000000"/>
                <w:sz w:val="18"/>
                <w:szCs w:val="18"/>
              </w:rPr>
              <w:t>SCE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9DBA80C" w14:textId="77777777">
            <w:pPr>
              <w:jc w:val="right"/>
              <w:rPr>
                <w:rFonts w:eastAsia="Times New Roman" w:cs="Calibri"/>
                <w:color w:val="000000"/>
                <w:sz w:val="18"/>
                <w:szCs w:val="18"/>
              </w:rPr>
            </w:pPr>
            <w:r w:rsidRPr="004A5B5A">
              <w:rPr>
                <w:rFonts w:eastAsia="Times New Roman" w:cs="Calibri"/>
                <w:color w:val="000000"/>
                <w:sz w:val="18"/>
                <w:szCs w:val="18"/>
              </w:rPr>
              <w:t>$399,664,922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ACAB76B" w14:textId="77777777">
            <w:pPr>
              <w:jc w:val="right"/>
              <w:rPr>
                <w:rFonts w:eastAsia="Times New Roman" w:cs="Calibri"/>
                <w:color w:val="000000"/>
                <w:sz w:val="18"/>
                <w:szCs w:val="18"/>
              </w:rPr>
            </w:pPr>
            <w:r w:rsidRPr="004A5B5A">
              <w:rPr>
                <w:rFonts w:eastAsia="Times New Roman" w:cs="Calibri"/>
                <w:color w:val="000000"/>
                <w:sz w:val="18"/>
                <w:szCs w:val="18"/>
              </w:rPr>
              <w:t>$404,343,437</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DEB3C4B" w14:textId="77777777">
            <w:pPr>
              <w:jc w:val="right"/>
              <w:rPr>
                <w:rFonts w:eastAsia="Times New Roman" w:cs="Calibri"/>
                <w:color w:val="000000"/>
                <w:sz w:val="18"/>
                <w:szCs w:val="18"/>
              </w:rPr>
            </w:pPr>
            <w:r w:rsidRPr="004A5B5A">
              <w:rPr>
                <w:rFonts w:eastAsia="Times New Roman" w:cs="Calibri"/>
                <w:color w:val="000000"/>
                <w:sz w:val="18"/>
                <w:szCs w:val="18"/>
              </w:rPr>
              <w:t>$409,564,225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474DA79" w14:textId="77777777">
            <w:pPr>
              <w:jc w:val="right"/>
              <w:rPr>
                <w:rFonts w:eastAsia="Times New Roman" w:cs="Calibri"/>
                <w:color w:val="000000"/>
                <w:sz w:val="18"/>
                <w:szCs w:val="18"/>
              </w:rPr>
            </w:pPr>
            <w:r w:rsidRPr="004A5B5A">
              <w:rPr>
                <w:rFonts w:eastAsia="Times New Roman" w:cs="Calibri"/>
                <w:color w:val="000000"/>
                <w:sz w:val="18"/>
                <w:szCs w:val="18"/>
              </w:rPr>
              <w:t>$415,120,450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1EE038A" w14:textId="77777777">
            <w:pPr>
              <w:jc w:val="right"/>
              <w:rPr>
                <w:rFonts w:eastAsia="Times New Roman" w:cs="Calibri"/>
                <w:color w:val="000000"/>
                <w:sz w:val="18"/>
                <w:szCs w:val="18"/>
              </w:rPr>
            </w:pPr>
            <w:r w:rsidRPr="004A5B5A">
              <w:rPr>
                <w:rFonts w:eastAsia="Times New Roman" w:cs="Calibri"/>
                <w:color w:val="000000"/>
                <w:sz w:val="18"/>
                <w:szCs w:val="18"/>
              </w:rPr>
              <w:t>$421,034,721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30A85B8" w14:textId="77777777">
            <w:pPr>
              <w:jc w:val="right"/>
              <w:rPr>
                <w:rFonts w:eastAsia="Times New Roman" w:cs="Calibri"/>
                <w:color w:val="000000"/>
                <w:sz w:val="18"/>
                <w:szCs w:val="18"/>
              </w:rPr>
            </w:pPr>
            <w:r w:rsidRPr="004A5B5A">
              <w:rPr>
                <w:rFonts w:eastAsia="Times New Roman" w:cs="Calibri"/>
                <w:color w:val="000000"/>
                <w:sz w:val="18"/>
                <w:szCs w:val="18"/>
              </w:rPr>
              <w:t>$427,678,676</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5B8D3B5" w14:textId="77777777">
            <w:pPr>
              <w:jc w:val="right"/>
              <w:rPr>
                <w:rFonts w:eastAsia="Times New Roman" w:cs="Calibri"/>
                <w:b/>
                <w:bCs/>
                <w:color w:val="000000"/>
                <w:sz w:val="18"/>
                <w:szCs w:val="18"/>
              </w:rPr>
            </w:pPr>
            <w:r w:rsidRPr="004A5B5A">
              <w:rPr>
                <w:rFonts w:eastAsia="Times New Roman" w:cs="Calibri"/>
                <w:b/>
                <w:bCs/>
                <w:color w:val="000000"/>
                <w:sz w:val="18"/>
                <w:szCs w:val="18"/>
              </w:rPr>
              <w:t>$2,477,406,431</w:t>
            </w:r>
          </w:p>
        </w:tc>
      </w:tr>
      <w:tr w:rsidRPr="004A5B5A" w:rsidR="004A5B5A" w:rsidTr="004A5B5A" w14:paraId="7B8F1EB1"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3D5D2A14" w14:textId="77777777">
            <w:pPr>
              <w:rPr>
                <w:rFonts w:eastAsia="Times New Roman" w:cs="Calibri"/>
                <w:b/>
                <w:bCs/>
                <w:color w:val="000000"/>
                <w:sz w:val="18"/>
                <w:szCs w:val="18"/>
              </w:rPr>
            </w:pPr>
            <w:r w:rsidRPr="004A5B5A">
              <w:rPr>
                <w:rFonts w:eastAsia="Times New Roman" w:cs="Calibri"/>
                <w:b/>
                <w:bCs/>
                <w:color w:val="000000"/>
                <w:sz w:val="18"/>
                <w:szCs w:val="18"/>
              </w:rPr>
              <w:t>PG&amp;E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A240D65" w14:textId="77777777">
            <w:pPr>
              <w:jc w:val="right"/>
              <w:rPr>
                <w:rFonts w:eastAsia="Times New Roman" w:cs="Calibri"/>
                <w:sz w:val="18"/>
                <w:szCs w:val="18"/>
              </w:rPr>
            </w:pPr>
            <w:r w:rsidRPr="004A5B5A">
              <w:rPr>
                <w:rFonts w:eastAsia="Times New Roman" w:cs="Calibri"/>
                <w:sz w:val="18"/>
                <w:szCs w:val="18"/>
              </w:rPr>
              <w:t>$683,539,000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422A426" w14:textId="77777777">
            <w:pPr>
              <w:jc w:val="right"/>
              <w:rPr>
                <w:rFonts w:eastAsia="Times New Roman" w:cs="Calibri"/>
                <w:sz w:val="18"/>
                <w:szCs w:val="18"/>
              </w:rPr>
            </w:pPr>
            <w:r w:rsidRPr="004A5B5A">
              <w:rPr>
                <w:rFonts w:eastAsia="Times New Roman" w:cs="Calibri"/>
                <w:sz w:val="18"/>
                <w:szCs w:val="18"/>
              </w:rPr>
              <w:t>$687,689,000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0001216" w14:textId="77777777">
            <w:pPr>
              <w:jc w:val="right"/>
              <w:rPr>
                <w:rFonts w:eastAsia="Times New Roman" w:cs="Calibri"/>
                <w:sz w:val="18"/>
                <w:szCs w:val="18"/>
              </w:rPr>
            </w:pPr>
            <w:r w:rsidRPr="004A5B5A">
              <w:rPr>
                <w:rFonts w:eastAsia="Times New Roman" w:cs="Calibri"/>
                <w:sz w:val="18"/>
                <w:szCs w:val="18"/>
              </w:rPr>
              <w:t>$691,973,000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DC28605" w14:textId="77777777">
            <w:pPr>
              <w:jc w:val="right"/>
              <w:rPr>
                <w:rFonts w:eastAsia="Times New Roman" w:cs="Calibri"/>
                <w:sz w:val="18"/>
                <w:szCs w:val="18"/>
              </w:rPr>
            </w:pPr>
            <w:r w:rsidRPr="004A5B5A">
              <w:rPr>
                <w:rFonts w:eastAsia="Times New Roman" w:cs="Calibri"/>
                <w:sz w:val="18"/>
                <w:szCs w:val="18"/>
              </w:rPr>
              <w:t>$696,394,000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A9C5837" w14:textId="77777777">
            <w:pPr>
              <w:jc w:val="right"/>
              <w:rPr>
                <w:rFonts w:eastAsia="Times New Roman" w:cs="Calibri"/>
                <w:sz w:val="18"/>
                <w:szCs w:val="18"/>
              </w:rPr>
            </w:pPr>
            <w:r w:rsidRPr="004A5B5A">
              <w:rPr>
                <w:rFonts w:eastAsia="Times New Roman" w:cs="Calibri"/>
                <w:sz w:val="18"/>
                <w:szCs w:val="18"/>
              </w:rPr>
              <w:t>$700,957,000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AF10D1F" w14:textId="77777777">
            <w:pPr>
              <w:jc w:val="right"/>
              <w:rPr>
                <w:rFonts w:eastAsia="Times New Roman" w:cs="Calibri"/>
                <w:sz w:val="18"/>
                <w:szCs w:val="18"/>
              </w:rPr>
            </w:pPr>
            <w:r w:rsidRPr="004A5B5A">
              <w:rPr>
                <w:rFonts w:eastAsia="Times New Roman" w:cs="Calibri"/>
                <w:sz w:val="18"/>
                <w:szCs w:val="18"/>
              </w:rPr>
              <w:t>$705,667,000</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C91419E" w14:textId="77777777">
            <w:pPr>
              <w:jc w:val="right"/>
              <w:rPr>
                <w:rFonts w:eastAsia="Times New Roman" w:cs="Calibri"/>
                <w:b/>
                <w:bCs/>
                <w:color w:val="000000"/>
                <w:sz w:val="18"/>
                <w:szCs w:val="18"/>
              </w:rPr>
            </w:pPr>
            <w:r w:rsidRPr="004A5B5A">
              <w:rPr>
                <w:rFonts w:eastAsia="Times New Roman" w:cs="Calibri"/>
                <w:b/>
                <w:bCs/>
                <w:color w:val="000000"/>
                <w:sz w:val="18"/>
                <w:szCs w:val="18"/>
              </w:rPr>
              <w:t>$4,166,219,000</w:t>
            </w:r>
          </w:p>
        </w:tc>
      </w:tr>
      <w:tr w:rsidRPr="004A5B5A" w:rsidR="004A5B5A" w:rsidTr="004A5B5A" w14:paraId="745D2347"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4A5B5A" w14:paraId="3C995367" w14:textId="07C03060">
            <w:pPr>
              <w:rPr>
                <w:rFonts w:eastAsia="Times New Roman" w:cs="Calibri"/>
                <w:b/>
                <w:bCs/>
                <w:color w:val="000000"/>
                <w:sz w:val="18"/>
                <w:szCs w:val="18"/>
              </w:rPr>
            </w:pPr>
            <w:r w:rsidRPr="004A5B5A">
              <w:rPr>
                <w:rFonts w:eastAsia="Times New Roman" w:cs="Calibri"/>
                <w:b/>
                <w:bCs/>
                <w:color w:val="000000"/>
                <w:sz w:val="18"/>
                <w:szCs w:val="18"/>
              </w:rPr>
              <w:t>SD</w:t>
            </w:r>
            <w:r w:rsidRPr="004A5B5A" w:rsidR="000C1980">
              <w:rPr>
                <w:rFonts w:eastAsia="Times New Roman" w:cs="Calibri"/>
                <w:b/>
                <w:bCs/>
                <w:color w:val="000000"/>
                <w:sz w:val="18"/>
                <w:szCs w:val="18"/>
              </w:rPr>
              <w:t>G&amp;E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1216DDC" w14:textId="77777777">
            <w:pPr>
              <w:jc w:val="right"/>
              <w:rPr>
                <w:rFonts w:eastAsia="Times New Roman" w:cs="Calibri"/>
                <w:color w:val="000000"/>
                <w:sz w:val="18"/>
                <w:szCs w:val="18"/>
              </w:rPr>
            </w:pPr>
            <w:r w:rsidRPr="004A5B5A">
              <w:rPr>
                <w:rFonts w:eastAsia="Times New Roman" w:cs="Calibri"/>
                <w:color w:val="000000"/>
                <w:sz w:val="18"/>
                <w:szCs w:val="18"/>
              </w:rPr>
              <w:t>$120,383,441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A8069C9" w14:textId="77777777">
            <w:pPr>
              <w:jc w:val="right"/>
              <w:rPr>
                <w:rFonts w:eastAsia="Times New Roman" w:cs="Calibri"/>
                <w:color w:val="000000"/>
                <w:sz w:val="18"/>
                <w:szCs w:val="18"/>
              </w:rPr>
            </w:pPr>
            <w:r w:rsidRPr="004A5B5A">
              <w:rPr>
                <w:rFonts w:eastAsia="Times New Roman" w:cs="Calibri"/>
                <w:color w:val="000000"/>
                <w:sz w:val="18"/>
                <w:szCs w:val="18"/>
              </w:rPr>
              <w:t>$121,587,275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B672E32" w14:textId="77777777">
            <w:pPr>
              <w:jc w:val="right"/>
              <w:rPr>
                <w:rFonts w:eastAsia="Times New Roman" w:cs="Calibri"/>
                <w:color w:val="000000"/>
                <w:sz w:val="18"/>
                <w:szCs w:val="18"/>
              </w:rPr>
            </w:pPr>
            <w:r w:rsidRPr="004A5B5A">
              <w:rPr>
                <w:rFonts w:eastAsia="Times New Roman" w:cs="Calibri"/>
                <w:color w:val="000000"/>
                <w:sz w:val="18"/>
                <w:szCs w:val="18"/>
              </w:rPr>
              <w:t>$122,803,149</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063F667" w14:textId="77777777">
            <w:pPr>
              <w:jc w:val="right"/>
              <w:rPr>
                <w:rFonts w:eastAsia="Times New Roman" w:cs="Calibri"/>
                <w:color w:val="000000"/>
                <w:sz w:val="18"/>
                <w:szCs w:val="18"/>
              </w:rPr>
            </w:pPr>
            <w:r w:rsidRPr="004A5B5A">
              <w:rPr>
                <w:rFonts w:eastAsia="Times New Roman" w:cs="Calibri"/>
                <w:color w:val="000000"/>
                <w:sz w:val="18"/>
                <w:szCs w:val="18"/>
              </w:rPr>
              <w:t>$124,031,180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5F096C5" w14:textId="77777777">
            <w:pPr>
              <w:jc w:val="right"/>
              <w:rPr>
                <w:rFonts w:eastAsia="Times New Roman" w:cs="Calibri"/>
                <w:color w:val="000000"/>
                <w:sz w:val="18"/>
                <w:szCs w:val="18"/>
              </w:rPr>
            </w:pPr>
            <w:r w:rsidRPr="004A5B5A">
              <w:rPr>
                <w:rFonts w:eastAsia="Times New Roman" w:cs="Calibri"/>
                <w:color w:val="000000"/>
                <w:sz w:val="18"/>
                <w:szCs w:val="18"/>
              </w:rPr>
              <w:t>$125,271,491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9D4FD19" w14:textId="77777777">
            <w:pPr>
              <w:jc w:val="right"/>
              <w:rPr>
                <w:rFonts w:eastAsia="Times New Roman" w:cs="Calibri"/>
                <w:color w:val="000000"/>
                <w:sz w:val="18"/>
                <w:szCs w:val="18"/>
              </w:rPr>
            </w:pPr>
            <w:r w:rsidRPr="004A5B5A">
              <w:rPr>
                <w:rFonts w:eastAsia="Times New Roman" w:cs="Calibri"/>
                <w:color w:val="000000"/>
                <w:sz w:val="18"/>
                <w:szCs w:val="18"/>
              </w:rPr>
              <w:t>$126,524,206</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AFE99BF" w14:textId="77777777">
            <w:pPr>
              <w:jc w:val="right"/>
              <w:rPr>
                <w:rFonts w:eastAsia="Times New Roman" w:cs="Calibri"/>
                <w:b/>
                <w:bCs/>
                <w:color w:val="000000"/>
                <w:sz w:val="18"/>
                <w:szCs w:val="18"/>
              </w:rPr>
            </w:pPr>
            <w:r w:rsidRPr="004A5B5A">
              <w:rPr>
                <w:rFonts w:eastAsia="Times New Roman" w:cs="Calibri"/>
                <w:b/>
                <w:bCs/>
                <w:color w:val="000000"/>
                <w:sz w:val="18"/>
                <w:szCs w:val="18"/>
              </w:rPr>
              <w:t>$740,600,742</w:t>
            </w:r>
          </w:p>
        </w:tc>
      </w:tr>
      <w:tr w:rsidRPr="004A5B5A" w:rsidR="004A5B5A" w:rsidTr="004A5B5A" w14:paraId="1951D583"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341F5467" w14:textId="5468AEED">
            <w:pPr>
              <w:rPr>
                <w:rFonts w:eastAsia="Times New Roman" w:cs="Calibri"/>
                <w:b/>
                <w:bCs/>
                <w:color w:val="000000"/>
                <w:sz w:val="18"/>
                <w:szCs w:val="18"/>
              </w:rPr>
            </w:pPr>
            <w:r w:rsidRPr="004A5B5A">
              <w:rPr>
                <w:rFonts w:eastAsia="Times New Roman" w:cs="Calibri"/>
                <w:b/>
                <w:bCs/>
                <w:color w:val="000000"/>
                <w:sz w:val="18"/>
                <w:szCs w:val="18"/>
              </w:rPr>
              <w:t>S</w:t>
            </w:r>
            <w:r w:rsidRPr="004A5B5A" w:rsidR="00B86AE4">
              <w:rPr>
                <w:rFonts w:eastAsia="Times New Roman" w:cs="Calibri"/>
                <w:b/>
                <w:bCs/>
                <w:color w:val="000000"/>
                <w:sz w:val="18"/>
                <w:szCs w:val="18"/>
              </w:rPr>
              <w:t>o</w:t>
            </w:r>
            <w:r w:rsidRPr="004A5B5A">
              <w:rPr>
                <w:rFonts w:eastAsia="Times New Roman" w:cs="Calibri"/>
                <w:b/>
                <w:bCs/>
                <w:color w:val="000000"/>
                <w:sz w:val="18"/>
                <w:szCs w:val="18"/>
              </w:rPr>
              <w:t>C</w:t>
            </w:r>
            <w:r w:rsidRPr="004A5B5A" w:rsidR="00B86AE4">
              <w:rPr>
                <w:rFonts w:eastAsia="Times New Roman" w:cs="Calibri"/>
                <w:b/>
                <w:bCs/>
                <w:color w:val="000000"/>
                <w:sz w:val="18"/>
                <w:szCs w:val="18"/>
              </w:rPr>
              <w:t>al</w:t>
            </w:r>
            <w:r w:rsidRPr="004A5B5A">
              <w:rPr>
                <w:rFonts w:eastAsia="Times New Roman" w:cs="Calibri"/>
                <w:b/>
                <w:bCs/>
                <w:color w:val="000000"/>
                <w:sz w:val="18"/>
                <w:szCs w:val="18"/>
              </w:rPr>
              <w:t>G</w:t>
            </w:r>
            <w:r w:rsidRPr="004A5B5A" w:rsidR="00B86AE4">
              <w:rPr>
                <w:rFonts w:eastAsia="Times New Roman" w:cs="Calibri"/>
                <w:b/>
                <w:bCs/>
                <w:color w:val="000000"/>
                <w:sz w:val="18"/>
                <w:szCs w:val="18"/>
              </w:rPr>
              <w:t>as</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0F5C5C4" w14:textId="77777777">
            <w:pPr>
              <w:jc w:val="right"/>
              <w:rPr>
                <w:rFonts w:eastAsia="Times New Roman" w:cs="Calibri"/>
                <w:color w:val="000000"/>
                <w:sz w:val="18"/>
                <w:szCs w:val="18"/>
              </w:rPr>
            </w:pPr>
            <w:r w:rsidRPr="004A5B5A">
              <w:rPr>
                <w:rFonts w:eastAsia="Times New Roman" w:cs="Calibri"/>
                <w:color w:val="000000"/>
                <w:sz w:val="18"/>
                <w:szCs w:val="18"/>
              </w:rPr>
              <w:t>$138,389,984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FB0BB94" w14:textId="77777777">
            <w:pPr>
              <w:jc w:val="right"/>
              <w:rPr>
                <w:rFonts w:eastAsia="Times New Roman" w:cs="Calibri"/>
                <w:color w:val="000000"/>
                <w:sz w:val="18"/>
                <w:szCs w:val="18"/>
              </w:rPr>
            </w:pPr>
            <w:r w:rsidRPr="004A5B5A">
              <w:rPr>
                <w:rFonts w:eastAsia="Times New Roman" w:cs="Calibri"/>
                <w:color w:val="000000"/>
                <w:sz w:val="18"/>
                <w:szCs w:val="18"/>
              </w:rPr>
              <w:t>$139,583,569</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A1912A1" w14:textId="77777777">
            <w:pPr>
              <w:jc w:val="right"/>
              <w:rPr>
                <w:rFonts w:eastAsia="Times New Roman" w:cs="Calibri"/>
                <w:color w:val="000000"/>
                <w:sz w:val="18"/>
                <w:szCs w:val="18"/>
              </w:rPr>
            </w:pPr>
            <w:r w:rsidRPr="004A5B5A">
              <w:rPr>
                <w:rFonts w:eastAsia="Times New Roman" w:cs="Calibri"/>
                <w:color w:val="000000"/>
                <w:sz w:val="18"/>
                <w:szCs w:val="18"/>
              </w:rPr>
              <w:t>$140,801,916</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EEC799D" w14:textId="77777777">
            <w:pPr>
              <w:jc w:val="right"/>
              <w:rPr>
                <w:rFonts w:eastAsia="Times New Roman" w:cs="Calibri"/>
                <w:color w:val="000000"/>
                <w:sz w:val="18"/>
                <w:szCs w:val="18"/>
              </w:rPr>
            </w:pPr>
            <w:r w:rsidRPr="004A5B5A">
              <w:rPr>
                <w:rFonts w:eastAsia="Times New Roman" w:cs="Calibri"/>
                <w:color w:val="000000"/>
                <w:sz w:val="18"/>
                <w:szCs w:val="18"/>
              </w:rPr>
              <w:t>$142,032,348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1024EAE" w14:textId="77777777">
            <w:pPr>
              <w:jc w:val="right"/>
              <w:rPr>
                <w:rFonts w:eastAsia="Times New Roman" w:cs="Calibri"/>
                <w:color w:val="000000"/>
                <w:sz w:val="18"/>
                <w:szCs w:val="18"/>
              </w:rPr>
            </w:pPr>
            <w:r w:rsidRPr="004A5B5A">
              <w:rPr>
                <w:rFonts w:eastAsia="Times New Roman" w:cs="Calibri"/>
                <w:color w:val="000000"/>
                <w:sz w:val="18"/>
                <w:szCs w:val="18"/>
              </w:rPr>
              <w:t>$143,264,981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0915077" w14:textId="77777777">
            <w:pPr>
              <w:jc w:val="right"/>
              <w:rPr>
                <w:rFonts w:eastAsia="Times New Roman" w:cs="Calibri"/>
                <w:color w:val="000000"/>
                <w:sz w:val="18"/>
                <w:szCs w:val="18"/>
              </w:rPr>
            </w:pPr>
            <w:r w:rsidRPr="004A5B5A">
              <w:rPr>
                <w:rFonts w:eastAsia="Times New Roman" w:cs="Calibri"/>
                <w:color w:val="000000"/>
                <w:sz w:val="18"/>
                <w:szCs w:val="18"/>
              </w:rPr>
              <w:t>$144,495,405</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1C8A43F" w14:textId="77777777">
            <w:pPr>
              <w:jc w:val="right"/>
              <w:rPr>
                <w:rFonts w:eastAsia="Times New Roman" w:cs="Calibri"/>
                <w:b/>
                <w:bCs/>
                <w:color w:val="000000"/>
                <w:sz w:val="18"/>
                <w:szCs w:val="18"/>
              </w:rPr>
            </w:pPr>
            <w:r w:rsidRPr="004A5B5A">
              <w:rPr>
                <w:rFonts w:eastAsia="Times New Roman" w:cs="Calibri"/>
                <w:b/>
                <w:bCs/>
                <w:color w:val="000000"/>
                <w:sz w:val="18"/>
                <w:szCs w:val="18"/>
              </w:rPr>
              <w:t>$848,568,203</w:t>
            </w:r>
          </w:p>
        </w:tc>
      </w:tr>
      <w:tr w:rsidRPr="004A5B5A" w:rsidR="004A5B5A" w:rsidTr="004A5B5A" w14:paraId="6D09B16C"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7378C725" w14:textId="77777777">
            <w:pPr>
              <w:rPr>
                <w:rFonts w:eastAsia="Times New Roman" w:cs="Calibri"/>
                <w:b/>
                <w:bCs/>
                <w:color w:val="000000"/>
                <w:sz w:val="18"/>
                <w:szCs w:val="18"/>
              </w:rPr>
            </w:pPr>
            <w:r w:rsidRPr="004A5B5A">
              <w:rPr>
                <w:rFonts w:eastAsia="Times New Roman" w:cs="Calibri"/>
                <w:b/>
                <w:bCs/>
                <w:color w:val="000000"/>
                <w:sz w:val="18"/>
                <w:szCs w:val="18"/>
              </w:rPr>
              <w:t>Total</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B7CDE5C" w14:textId="77777777">
            <w:pPr>
              <w:jc w:val="right"/>
              <w:rPr>
                <w:rFonts w:eastAsia="Times New Roman" w:cs="Calibri"/>
                <w:b/>
                <w:bCs/>
                <w:color w:val="000000"/>
                <w:sz w:val="18"/>
                <w:szCs w:val="18"/>
              </w:rPr>
            </w:pPr>
            <w:r w:rsidRPr="004A5B5A">
              <w:rPr>
                <w:rFonts w:eastAsia="Times New Roman" w:cs="Calibri"/>
                <w:b/>
                <w:bCs/>
                <w:color w:val="000000"/>
                <w:sz w:val="18"/>
                <w:szCs w:val="18"/>
              </w:rPr>
              <w:t>$1,341,977,347</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06B5C72" w14:textId="77777777">
            <w:pPr>
              <w:jc w:val="right"/>
              <w:rPr>
                <w:rFonts w:eastAsia="Times New Roman" w:cs="Calibri"/>
                <w:b/>
                <w:bCs/>
                <w:color w:val="000000"/>
                <w:sz w:val="18"/>
                <w:szCs w:val="18"/>
              </w:rPr>
            </w:pPr>
            <w:r w:rsidRPr="004A5B5A">
              <w:rPr>
                <w:rFonts w:eastAsia="Times New Roman" w:cs="Calibri"/>
                <w:b/>
                <w:bCs/>
                <w:color w:val="000000"/>
                <w:sz w:val="18"/>
                <w:szCs w:val="18"/>
              </w:rPr>
              <w:t>$1,353,203,281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1C63FFB" w14:textId="77777777">
            <w:pPr>
              <w:jc w:val="right"/>
              <w:rPr>
                <w:rFonts w:eastAsia="Times New Roman" w:cs="Calibri"/>
                <w:b/>
                <w:bCs/>
                <w:color w:val="000000"/>
                <w:sz w:val="18"/>
                <w:szCs w:val="18"/>
              </w:rPr>
            </w:pPr>
            <w:r w:rsidRPr="004A5B5A">
              <w:rPr>
                <w:rFonts w:eastAsia="Times New Roman" w:cs="Calibri"/>
                <w:b/>
                <w:bCs/>
                <w:color w:val="000000"/>
                <w:sz w:val="18"/>
                <w:szCs w:val="18"/>
              </w:rPr>
              <w:t>$1,365,142,290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D914D5D" w14:textId="77777777">
            <w:pPr>
              <w:jc w:val="right"/>
              <w:rPr>
                <w:rFonts w:eastAsia="Times New Roman" w:cs="Calibri"/>
                <w:b/>
                <w:bCs/>
                <w:color w:val="000000"/>
                <w:sz w:val="18"/>
                <w:szCs w:val="18"/>
              </w:rPr>
            </w:pPr>
            <w:r w:rsidRPr="004A5B5A">
              <w:rPr>
                <w:rFonts w:eastAsia="Times New Roman" w:cs="Calibri"/>
                <w:b/>
                <w:bCs/>
                <w:color w:val="000000"/>
                <w:sz w:val="18"/>
                <w:szCs w:val="18"/>
              </w:rPr>
              <w:t>$1,377,577,978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A51AB35" w14:textId="77777777">
            <w:pPr>
              <w:jc w:val="right"/>
              <w:rPr>
                <w:rFonts w:eastAsia="Times New Roman" w:cs="Calibri"/>
                <w:b/>
                <w:bCs/>
                <w:color w:val="000000"/>
                <w:sz w:val="18"/>
                <w:szCs w:val="18"/>
              </w:rPr>
            </w:pPr>
            <w:r w:rsidRPr="004A5B5A">
              <w:rPr>
                <w:rFonts w:eastAsia="Times New Roman" w:cs="Calibri"/>
                <w:b/>
                <w:bCs/>
                <w:color w:val="000000"/>
                <w:sz w:val="18"/>
                <w:szCs w:val="18"/>
              </w:rPr>
              <w:t>$1,390,528,193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A21FE36" w14:textId="77777777">
            <w:pPr>
              <w:jc w:val="right"/>
              <w:rPr>
                <w:rFonts w:eastAsia="Times New Roman" w:cs="Calibri"/>
                <w:b/>
                <w:bCs/>
                <w:color w:val="000000"/>
                <w:sz w:val="18"/>
                <w:szCs w:val="18"/>
              </w:rPr>
            </w:pPr>
            <w:r w:rsidRPr="004A5B5A">
              <w:rPr>
                <w:rFonts w:eastAsia="Times New Roman" w:cs="Calibri"/>
                <w:b/>
                <w:bCs/>
                <w:color w:val="000000"/>
                <w:sz w:val="18"/>
                <w:szCs w:val="18"/>
              </w:rPr>
              <w:t>$1,404,365,287</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52239A1" w14:textId="77777777">
            <w:pPr>
              <w:jc w:val="right"/>
              <w:rPr>
                <w:rFonts w:eastAsia="Times New Roman" w:cs="Calibri"/>
                <w:b/>
                <w:bCs/>
                <w:color w:val="000000"/>
                <w:sz w:val="18"/>
                <w:szCs w:val="18"/>
              </w:rPr>
            </w:pPr>
            <w:r w:rsidRPr="004A5B5A">
              <w:rPr>
                <w:rFonts w:eastAsia="Times New Roman" w:cs="Calibri"/>
                <w:b/>
                <w:bCs/>
                <w:color w:val="000000"/>
                <w:sz w:val="18"/>
                <w:szCs w:val="18"/>
              </w:rPr>
              <w:t>$8,232,794,376</w:t>
            </w:r>
          </w:p>
        </w:tc>
      </w:tr>
      <w:tr w:rsidRPr="004A5B5A" w:rsidR="004A5B5A" w:rsidTr="004A5B5A" w14:paraId="69B887D9" w14:textId="77777777">
        <w:trPr>
          <w:trHeight w:val="248"/>
        </w:trPr>
        <w:tc>
          <w:tcPr>
            <w:tcW w:w="952" w:type="dxa"/>
            <w:tcBorders>
              <w:top w:val="nil"/>
              <w:left w:val="nil"/>
              <w:bottom w:val="nil"/>
              <w:right w:val="nil"/>
            </w:tcBorders>
            <w:shd w:val="clear" w:color="auto" w:fill="auto"/>
            <w:noWrap/>
            <w:vAlign w:val="bottom"/>
            <w:hideMark/>
          </w:tcPr>
          <w:p w:rsidRPr="004A5B5A" w:rsidR="000C1980" w:rsidP="001968DC" w:rsidRDefault="000C1980" w14:paraId="27E87791" w14:textId="77777777">
            <w:pPr>
              <w:ind w:left="360"/>
              <w:jc w:val="right"/>
              <w:rPr>
                <w:rFonts w:eastAsia="Times New Roman" w:cs="Calibri"/>
                <w:b/>
                <w:bCs/>
                <w:color w:val="000000"/>
                <w:sz w:val="18"/>
                <w:szCs w:val="18"/>
              </w:rPr>
            </w:pPr>
          </w:p>
        </w:tc>
        <w:tc>
          <w:tcPr>
            <w:tcW w:w="1401" w:type="dxa"/>
            <w:tcBorders>
              <w:top w:val="nil"/>
              <w:left w:val="nil"/>
              <w:bottom w:val="nil"/>
              <w:right w:val="nil"/>
            </w:tcBorders>
            <w:shd w:val="clear" w:color="auto" w:fill="auto"/>
            <w:noWrap/>
            <w:vAlign w:val="bottom"/>
            <w:hideMark/>
          </w:tcPr>
          <w:p w:rsidRPr="004A5B5A" w:rsidR="000C1980" w:rsidP="001968DC" w:rsidRDefault="000C1980" w14:paraId="1C3FCEEB"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56F1CDA9"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156BA064"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5CF4E78E"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3A641A83" w14:textId="77777777">
            <w:pPr>
              <w:ind w:left="360"/>
              <w:rPr>
                <w:rFonts w:eastAsia="Times New Roman"/>
                <w:sz w:val="18"/>
                <w:szCs w:val="18"/>
              </w:rPr>
            </w:pPr>
          </w:p>
        </w:tc>
        <w:tc>
          <w:tcPr>
            <w:tcW w:w="1238" w:type="dxa"/>
            <w:tcBorders>
              <w:top w:val="nil"/>
              <w:left w:val="nil"/>
              <w:bottom w:val="nil"/>
              <w:right w:val="nil"/>
            </w:tcBorders>
            <w:shd w:val="clear" w:color="auto" w:fill="auto"/>
            <w:noWrap/>
            <w:vAlign w:val="bottom"/>
            <w:hideMark/>
          </w:tcPr>
          <w:p w:rsidRPr="004A5B5A" w:rsidR="000C1980" w:rsidP="001968DC" w:rsidRDefault="000C1980" w14:paraId="2D59EAF5" w14:textId="77777777">
            <w:pPr>
              <w:ind w:left="360"/>
              <w:rPr>
                <w:rFonts w:eastAsia="Times New Roman"/>
                <w:sz w:val="18"/>
                <w:szCs w:val="18"/>
              </w:rPr>
            </w:pPr>
          </w:p>
        </w:tc>
        <w:tc>
          <w:tcPr>
            <w:tcW w:w="1627" w:type="dxa"/>
            <w:tcBorders>
              <w:top w:val="nil"/>
              <w:left w:val="nil"/>
              <w:bottom w:val="nil"/>
              <w:right w:val="nil"/>
            </w:tcBorders>
            <w:shd w:val="clear" w:color="auto" w:fill="auto"/>
            <w:noWrap/>
            <w:vAlign w:val="bottom"/>
            <w:hideMark/>
          </w:tcPr>
          <w:p w:rsidRPr="004A5B5A" w:rsidR="000C1980" w:rsidP="001968DC" w:rsidRDefault="000C1980" w14:paraId="6D978AE6" w14:textId="77777777">
            <w:pPr>
              <w:ind w:left="360"/>
              <w:rPr>
                <w:rFonts w:eastAsia="Times New Roman"/>
                <w:sz w:val="18"/>
                <w:szCs w:val="18"/>
              </w:rPr>
            </w:pPr>
          </w:p>
        </w:tc>
      </w:tr>
      <w:tr w:rsidRPr="004A5B5A" w:rsidR="000C1980" w:rsidTr="004A5B5A" w14:paraId="5D8EEBED" w14:textId="77777777">
        <w:trPr>
          <w:trHeight w:val="248"/>
        </w:trPr>
        <w:tc>
          <w:tcPr>
            <w:tcW w:w="952"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6740780E" w14:textId="77777777">
            <w:pPr>
              <w:rPr>
                <w:rFonts w:eastAsia="Times New Roman" w:cs="Calibri"/>
                <w:b/>
                <w:bCs/>
                <w:color w:val="000000"/>
                <w:sz w:val="18"/>
                <w:szCs w:val="18"/>
              </w:rPr>
            </w:pPr>
            <w:r w:rsidRPr="004A5B5A">
              <w:rPr>
                <w:rFonts w:eastAsia="Times New Roman" w:cs="Calibri"/>
                <w:b/>
                <w:bCs/>
                <w:color w:val="000000"/>
                <w:sz w:val="18"/>
                <w:szCs w:val="18"/>
              </w:rPr>
              <w:t>IOU</w:t>
            </w:r>
          </w:p>
        </w:tc>
        <w:tc>
          <w:tcPr>
            <w:tcW w:w="9218" w:type="dxa"/>
            <w:gridSpan w:val="7"/>
            <w:tcBorders>
              <w:top w:val="single" w:color="auto" w:sz="4" w:space="0"/>
              <w:left w:val="nil"/>
              <w:bottom w:val="single" w:color="auto" w:sz="4" w:space="0"/>
              <w:right w:val="single" w:color="auto" w:sz="4" w:space="0"/>
            </w:tcBorders>
            <w:shd w:val="clear" w:color="auto" w:fill="auto"/>
            <w:noWrap/>
            <w:vAlign w:val="bottom"/>
            <w:hideMark/>
          </w:tcPr>
          <w:p w:rsidRPr="004A5B5A" w:rsidR="000C1980" w:rsidP="001968DC" w:rsidRDefault="000C1980" w14:paraId="2F4AA454" w14:textId="77777777">
            <w:pPr>
              <w:ind w:left="360"/>
              <w:jc w:val="center"/>
              <w:rPr>
                <w:rFonts w:eastAsia="Times New Roman" w:cs="Calibri"/>
                <w:b/>
                <w:bCs/>
                <w:color w:val="000000"/>
                <w:sz w:val="18"/>
                <w:szCs w:val="18"/>
              </w:rPr>
            </w:pPr>
            <w:r w:rsidRPr="004A5B5A">
              <w:rPr>
                <w:rFonts w:eastAsia="Times New Roman" w:cs="Calibri"/>
                <w:b/>
                <w:bCs/>
                <w:color w:val="000000"/>
                <w:sz w:val="18"/>
                <w:szCs w:val="18"/>
              </w:rPr>
              <w:t>CARE Proposed Administrative Budget and Subsidies</w:t>
            </w:r>
          </w:p>
        </w:tc>
      </w:tr>
      <w:tr w:rsidRPr="004A5B5A" w:rsidR="004A5B5A" w:rsidTr="004A5B5A" w14:paraId="65989FF0" w14:textId="77777777">
        <w:trPr>
          <w:trHeight w:val="248"/>
        </w:trPr>
        <w:tc>
          <w:tcPr>
            <w:tcW w:w="952" w:type="dxa"/>
            <w:vMerge/>
            <w:tcBorders>
              <w:top w:val="single" w:color="auto" w:sz="4" w:space="0"/>
              <w:left w:val="single" w:color="auto" w:sz="4" w:space="0"/>
              <w:bottom w:val="single" w:color="auto" w:sz="4" w:space="0"/>
              <w:right w:val="single" w:color="auto" w:sz="4" w:space="0"/>
            </w:tcBorders>
            <w:vAlign w:val="center"/>
            <w:hideMark/>
          </w:tcPr>
          <w:p w:rsidRPr="004A5B5A" w:rsidR="000C1980" w:rsidP="001968DC" w:rsidRDefault="000C1980" w14:paraId="4EFDD2E4" w14:textId="77777777">
            <w:pPr>
              <w:ind w:left="360"/>
              <w:rPr>
                <w:rFonts w:eastAsia="Times New Roman" w:cs="Calibri"/>
                <w:b/>
                <w:bCs/>
                <w:color w:val="000000"/>
                <w:sz w:val="18"/>
                <w:szCs w:val="18"/>
              </w:rPr>
            </w:pP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7A904EF7"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0D324747"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5CE537D9"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609C5D7E"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69BB868F"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2025</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5A260958"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2026</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1968DC" w:rsidRDefault="000C1980" w14:paraId="0041564E" w14:textId="77777777">
            <w:pPr>
              <w:ind w:left="360"/>
              <w:jc w:val="right"/>
              <w:rPr>
                <w:rFonts w:eastAsia="Times New Roman" w:cs="Calibri"/>
                <w:b/>
                <w:bCs/>
                <w:color w:val="000000"/>
                <w:sz w:val="18"/>
                <w:szCs w:val="18"/>
              </w:rPr>
            </w:pPr>
            <w:r w:rsidRPr="004A5B5A">
              <w:rPr>
                <w:rFonts w:eastAsia="Times New Roman" w:cs="Calibri"/>
                <w:b/>
                <w:bCs/>
                <w:color w:val="000000"/>
                <w:sz w:val="18"/>
                <w:szCs w:val="18"/>
              </w:rPr>
              <w:t>Total</w:t>
            </w:r>
          </w:p>
        </w:tc>
      </w:tr>
      <w:tr w:rsidRPr="004A5B5A" w:rsidR="004A5B5A" w:rsidTr="004A5B5A" w14:paraId="54F390BD"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2B3C9D78" w14:textId="77777777">
            <w:pPr>
              <w:rPr>
                <w:rFonts w:eastAsia="Times New Roman" w:cs="Calibri"/>
                <w:b/>
                <w:bCs/>
                <w:color w:val="000000"/>
                <w:sz w:val="18"/>
                <w:szCs w:val="18"/>
              </w:rPr>
            </w:pPr>
            <w:r w:rsidRPr="004A5B5A">
              <w:rPr>
                <w:rFonts w:eastAsia="Times New Roman" w:cs="Calibri"/>
                <w:b/>
                <w:bCs/>
                <w:color w:val="000000"/>
                <w:sz w:val="18"/>
                <w:szCs w:val="18"/>
              </w:rPr>
              <w:t>SCE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F71E04E" w14:textId="77777777">
            <w:pPr>
              <w:jc w:val="right"/>
              <w:rPr>
                <w:rFonts w:eastAsia="Times New Roman" w:cs="Calibri"/>
                <w:color w:val="000000"/>
                <w:sz w:val="18"/>
                <w:szCs w:val="18"/>
              </w:rPr>
            </w:pPr>
            <w:r w:rsidRPr="004A5B5A">
              <w:rPr>
                <w:rFonts w:eastAsia="Times New Roman" w:cs="Calibri"/>
                <w:color w:val="000000"/>
                <w:sz w:val="18"/>
                <w:szCs w:val="18"/>
              </w:rPr>
              <w:t>$410,168,638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EB6F6C3" w14:textId="77777777">
            <w:pPr>
              <w:jc w:val="right"/>
              <w:rPr>
                <w:rFonts w:eastAsia="Times New Roman" w:cs="Calibri"/>
                <w:color w:val="000000"/>
                <w:sz w:val="18"/>
                <w:szCs w:val="18"/>
              </w:rPr>
            </w:pPr>
            <w:r w:rsidRPr="004A5B5A">
              <w:rPr>
                <w:rFonts w:eastAsia="Times New Roman" w:cs="Calibri"/>
                <w:color w:val="000000"/>
                <w:sz w:val="18"/>
                <w:szCs w:val="18"/>
              </w:rPr>
              <w:t>$414,451,972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C257C4B" w14:textId="77777777">
            <w:pPr>
              <w:jc w:val="right"/>
              <w:rPr>
                <w:rFonts w:eastAsia="Times New Roman" w:cs="Calibri"/>
                <w:color w:val="000000"/>
                <w:sz w:val="18"/>
                <w:szCs w:val="18"/>
              </w:rPr>
            </w:pPr>
            <w:r w:rsidRPr="004A5B5A">
              <w:rPr>
                <w:rFonts w:eastAsia="Times New Roman" w:cs="Calibri"/>
                <w:color w:val="000000"/>
                <w:sz w:val="18"/>
                <w:szCs w:val="18"/>
              </w:rPr>
              <w:t>$420,090,896</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51E20D7" w14:textId="77777777">
            <w:pPr>
              <w:jc w:val="right"/>
              <w:rPr>
                <w:rFonts w:eastAsia="Times New Roman" w:cs="Calibri"/>
                <w:color w:val="000000"/>
                <w:sz w:val="18"/>
                <w:szCs w:val="18"/>
              </w:rPr>
            </w:pPr>
            <w:r w:rsidRPr="004A5B5A">
              <w:rPr>
                <w:rFonts w:eastAsia="Times New Roman" w:cs="Calibri"/>
                <w:color w:val="000000"/>
                <w:sz w:val="18"/>
                <w:szCs w:val="18"/>
              </w:rPr>
              <w:t>$425,574,643</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FDE988B" w14:textId="77777777">
            <w:pPr>
              <w:jc w:val="right"/>
              <w:rPr>
                <w:rFonts w:eastAsia="Times New Roman" w:cs="Calibri"/>
                <w:color w:val="000000"/>
                <w:sz w:val="18"/>
                <w:szCs w:val="18"/>
              </w:rPr>
            </w:pPr>
            <w:r w:rsidRPr="004A5B5A">
              <w:rPr>
                <w:rFonts w:eastAsia="Times New Roman" w:cs="Calibri"/>
                <w:color w:val="000000"/>
                <w:sz w:val="18"/>
                <w:szCs w:val="18"/>
              </w:rPr>
              <w:t>$431,885,014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98EEE6D" w14:textId="77777777">
            <w:pPr>
              <w:jc w:val="right"/>
              <w:rPr>
                <w:rFonts w:eastAsia="Times New Roman" w:cs="Calibri"/>
                <w:color w:val="000000"/>
                <w:sz w:val="18"/>
                <w:szCs w:val="18"/>
              </w:rPr>
            </w:pPr>
            <w:r w:rsidRPr="004A5B5A">
              <w:rPr>
                <w:rFonts w:eastAsia="Times New Roman" w:cs="Calibri"/>
                <w:color w:val="000000"/>
                <w:sz w:val="18"/>
                <w:szCs w:val="18"/>
              </w:rPr>
              <w:t>$438,631,834</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B5DB4F2" w14:textId="77777777">
            <w:pPr>
              <w:jc w:val="right"/>
              <w:rPr>
                <w:rFonts w:eastAsia="Times New Roman" w:cs="Calibri"/>
                <w:b/>
                <w:bCs/>
                <w:color w:val="000000"/>
                <w:sz w:val="18"/>
                <w:szCs w:val="18"/>
              </w:rPr>
            </w:pPr>
            <w:r w:rsidRPr="004A5B5A">
              <w:rPr>
                <w:rFonts w:eastAsia="Times New Roman" w:cs="Calibri"/>
                <w:b/>
                <w:bCs/>
                <w:color w:val="000000"/>
                <w:sz w:val="18"/>
                <w:szCs w:val="18"/>
              </w:rPr>
              <w:t>$2,540,802,997</w:t>
            </w:r>
          </w:p>
        </w:tc>
      </w:tr>
      <w:tr w:rsidRPr="004A5B5A" w:rsidR="004A5B5A" w:rsidTr="004A5B5A" w14:paraId="3731CCAA"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1F0480FF" w14:textId="77777777">
            <w:pPr>
              <w:rPr>
                <w:rFonts w:eastAsia="Times New Roman" w:cs="Calibri"/>
                <w:b/>
                <w:bCs/>
                <w:color w:val="000000"/>
                <w:sz w:val="18"/>
                <w:szCs w:val="18"/>
              </w:rPr>
            </w:pPr>
            <w:r w:rsidRPr="004A5B5A">
              <w:rPr>
                <w:rFonts w:eastAsia="Times New Roman" w:cs="Calibri"/>
                <w:b/>
                <w:bCs/>
                <w:color w:val="000000"/>
                <w:sz w:val="18"/>
                <w:szCs w:val="18"/>
              </w:rPr>
              <w:t>PG&amp;E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AD5846A" w14:textId="77777777">
            <w:pPr>
              <w:jc w:val="right"/>
              <w:rPr>
                <w:rFonts w:eastAsia="Times New Roman" w:cs="Calibri"/>
                <w:color w:val="000000"/>
                <w:sz w:val="18"/>
                <w:szCs w:val="18"/>
              </w:rPr>
            </w:pPr>
            <w:r w:rsidRPr="004A5B5A">
              <w:rPr>
                <w:rFonts w:eastAsia="Times New Roman" w:cs="Calibri"/>
                <w:color w:val="000000"/>
                <w:sz w:val="18"/>
                <w:szCs w:val="18"/>
              </w:rPr>
              <w:t>$697,689,600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C459ED0" w14:textId="77777777">
            <w:pPr>
              <w:jc w:val="right"/>
              <w:rPr>
                <w:rFonts w:eastAsia="Times New Roman" w:cs="Calibri"/>
                <w:color w:val="000000"/>
                <w:sz w:val="18"/>
                <w:szCs w:val="18"/>
              </w:rPr>
            </w:pPr>
            <w:r w:rsidRPr="004A5B5A">
              <w:rPr>
                <w:rFonts w:eastAsia="Times New Roman" w:cs="Calibri"/>
                <w:color w:val="000000"/>
                <w:sz w:val="18"/>
                <w:szCs w:val="18"/>
              </w:rPr>
              <w:t>$701,449,000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5EA7644" w14:textId="77777777">
            <w:pPr>
              <w:jc w:val="right"/>
              <w:rPr>
                <w:rFonts w:eastAsia="Times New Roman" w:cs="Calibri"/>
                <w:color w:val="000000"/>
                <w:sz w:val="18"/>
                <w:szCs w:val="18"/>
              </w:rPr>
            </w:pPr>
            <w:r w:rsidRPr="004A5B5A">
              <w:rPr>
                <w:rFonts w:eastAsia="Times New Roman" w:cs="Calibri"/>
                <w:color w:val="000000"/>
                <w:sz w:val="18"/>
                <w:szCs w:val="18"/>
              </w:rPr>
              <w:t>$705,934,600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EC7ED57" w14:textId="77777777">
            <w:pPr>
              <w:jc w:val="right"/>
              <w:rPr>
                <w:rFonts w:eastAsia="Times New Roman" w:cs="Calibri"/>
                <w:color w:val="000000"/>
                <w:sz w:val="18"/>
                <w:szCs w:val="18"/>
              </w:rPr>
            </w:pPr>
            <w:r w:rsidRPr="004A5B5A">
              <w:rPr>
                <w:rFonts w:eastAsia="Times New Roman" w:cs="Calibri"/>
                <w:color w:val="000000"/>
                <w:sz w:val="18"/>
                <w:szCs w:val="18"/>
              </w:rPr>
              <w:t>$710,464,600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6E8E5E3" w14:textId="77777777">
            <w:pPr>
              <w:jc w:val="right"/>
              <w:rPr>
                <w:rFonts w:eastAsia="Times New Roman" w:cs="Calibri"/>
                <w:color w:val="000000"/>
                <w:sz w:val="18"/>
                <w:szCs w:val="18"/>
              </w:rPr>
            </w:pPr>
            <w:r w:rsidRPr="004A5B5A">
              <w:rPr>
                <w:rFonts w:eastAsia="Times New Roman" w:cs="Calibri"/>
                <w:color w:val="000000"/>
                <w:sz w:val="18"/>
                <w:szCs w:val="18"/>
              </w:rPr>
              <w:t>$715,401,200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FC83A03" w14:textId="77777777">
            <w:pPr>
              <w:jc w:val="right"/>
              <w:rPr>
                <w:rFonts w:eastAsia="Times New Roman" w:cs="Calibri"/>
                <w:color w:val="000000"/>
                <w:sz w:val="18"/>
                <w:szCs w:val="18"/>
              </w:rPr>
            </w:pPr>
            <w:r w:rsidRPr="004A5B5A">
              <w:rPr>
                <w:rFonts w:eastAsia="Times New Roman" w:cs="Calibri"/>
                <w:color w:val="000000"/>
                <w:sz w:val="18"/>
                <w:szCs w:val="18"/>
              </w:rPr>
              <w:t>$720,454,700</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F666B5F" w14:textId="77777777">
            <w:pPr>
              <w:jc w:val="right"/>
              <w:rPr>
                <w:rFonts w:eastAsia="Times New Roman" w:cs="Calibri"/>
                <w:b/>
                <w:bCs/>
                <w:color w:val="000000"/>
                <w:sz w:val="18"/>
                <w:szCs w:val="18"/>
              </w:rPr>
            </w:pPr>
            <w:r w:rsidRPr="004A5B5A">
              <w:rPr>
                <w:rFonts w:eastAsia="Times New Roman" w:cs="Calibri"/>
                <w:b/>
                <w:bCs/>
                <w:color w:val="000000"/>
                <w:sz w:val="18"/>
                <w:szCs w:val="18"/>
              </w:rPr>
              <w:t>$4,251,393,700</w:t>
            </w:r>
          </w:p>
        </w:tc>
      </w:tr>
      <w:tr w:rsidRPr="004A5B5A" w:rsidR="004A5B5A" w:rsidTr="004A5B5A" w14:paraId="5B2F1AD0"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0C857598" w14:textId="77777777">
            <w:pPr>
              <w:rPr>
                <w:rFonts w:eastAsia="Times New Roman" w:cs="Calibri"/>
                <w:b/>
                <w:bCs/>
                <w:color w:val="000000"/>
                <w:sz w:val="18"/>
                <w:szCs w:val="18"/>
              </w:rPr>
            </w:pPr>
            <w:r w:rsidRPr="004A5B5A">
              <w:rPr>
                <w:rFonts w:eastAsia="Times New Roman" w:cs="Calibri"/>
                <w:b/>
                <w:bCs/>
                <w:color w:val="000000"/>
                <w:sz w:val="18"/>
                <w:szCs w:val="18"/>
              </w:rPr>
              <w:t>SDG&amp;E</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6FD07E8" w14:textId="77777777">
            <w:pPr>
              <w:jc w:val="right"/>
              <w:rPr>
                <w:rFonts w:eastAsia="Times New Roman" w:cs="Calibri"/>
                <w:color w:val="000000"/>
                <w:sz w:val="18"/>
                <w:szCs w:val="18"/>
              </w:rPr>
            </w:pPr>
            <w:r w:rsidRPr="004A5B5A">
              <w:rPr>
                <w:rFonts w:eastAsia="Times New Roman" w:cs="Calibri"/>
                <w:color w:val="000000"/>
                <w:sz w:val="18"/>
                <w:szCs w:val="18"/>
              </w:rPr>
              <w:t>$127,005,610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4253841" w14:textId="77777777">
            <w:pPr>
              <w:jc w:val="right"/>
              <w:rPr>
                <w:rFonts w:eastAsia="Times New Roman" w:cs="Calibri"/>
                <w:color w:val="000000"/>
                <w:sz w:val="18"/>
                <w:szCs w:val="18"/>
              </w:rPr>
            </w:pPr>
            <w:r w:rsidRPr="004A5B5A">
              <w:rPr>
                <w:rFonts w:eastAsia="Times New Roman" w:cs="Calibri"/>
                <w:color w:val="000000"/>
                <w:sz w:val="18"/>
                <w:szCs w:val="18"/>
              </w:rPr>
              <w:t>$128,828,320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2EC01E4" w14:textId="77777777">
            <w:pPr>
              <w:jc w:val="right"/>
              <w:rPr>
                <w:rFonts w:eastAsia="Times New Roman" w:cs="Calibri"/>
                <w:color w:val="000000"/>
                <w:sz w:val="18"/>
                <w:szCs w:val="18"/>
              </w:rPr>
            </w:pPr>
            <w:r w:rsidRPr="004A5B5A">
              <w:rPr>
                <w:rFonts w:eastAsia="Times New Roman" w:cs="Calibri"/>
                <w:color w:val="000000"/>
                <w:sz w:val="18"/>
                <w:szCs w:val="18"/>
              </w:rPr>
              <w:t>$129,725,602</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3112700" w14:textId="77777777">
            <w:pPr>
              <w:jc w:val="right"/>
              <w:rPr>
                <w:rFonts w:eastAsia="Times New Roman" w:cs="Calibri"/>
                <w:color w:val="000000"/>
                <w:sz w:val="18"/>
                <w:szCs w:val="18"/>
              </w:rPr>
            </w:pPr>
            <w:r w:rsidRPr="004A5B5A">
              <w:rPr>
                <w:rFonts w:eastAsia="Times New Roman" w:cs="Calibri"/>
                <w:color w:val="000000"/>
                <w:sz w:val="18"/>
                <w:szCs w:val="18"/>
              </w:rPr>
              <w:t>$131,044,548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3411F40F" w14:textId="77777777">
            <w:pPr>
              <w:jc w:val="right"/>
              <w:rPr>
                <w:rFonts w:eastAsia="Times New Roman" w:cs="Calibri"/>
                <w:color w:val="000000"/>
                <w:sz w:val="18"/>
                <w:szCs w:val="18"/>
              </w:rPr>
            </w:pPr>
            <w:r w:rsidRPr="004A5B5A">
              <w:rPr>
                <w:rFonts w:eastAsia="Times New Roman" w:cs="Calibri"/>
                <w:color w:val="000000"/>
                <w:sz w:val="18"/>
                <w:szCs w:val="18"/>
              </w:rPr>
              <w:t>$132,671,061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FCCB1C0" w14:textId="77777777">
            <w:pPr>
              <w:jc w:val="right"/>
              <w:rPr>
                <w:rFonts w:eastAsia="Times New Roman" w:cs="Calibri"/>
                <w:color w:val="000000"/>
                <w:sz w:val="18"/>
                <w:szCs w:val="18"/>
              </w:rPr>
            </w:pPr>
            <w:r w:rsidRPr="004A5B5A">
              <w:rPr>
                <w:rFonts w:eastAsia="Times New Roman" w:cs="Calibri"/>
                <w:color w:val="000000"/>
                <w:sz w:val="18"/>
                <w:szCs w:val="18"/>
              </w:rPr>
              <w:t>$133,925,855</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ACBE578" w14:textId="77777777">
            <w:pPr>
              <w:jc w:val="right"/>
              <w:rPr>
                <w:rFonts w:eastAsia="Times New Roman" w:cs="Calibri"/>
                <w:b/>
                <w:bCs/>
                <w:color w:val="000000"/>
                <w:sz w:val="18"/>
                <w:szCs w:val="18"/>
              </w:rPr>
            </w:pPr>
            <w:r w:rsidRPr="004A5B5A">
              <w:rPr>
                <w:rFonts w:eastAsia="Times New Roman" w:cs="Calibri"/>
                <w:b/>
                <w:bCs/>
                <w:color w:val="000000"/>
                <w:sz w:val="18"/>
                <w:szCs w:val="18"/>
              </w:rPr>
              <w:t>$783,200,996</w:t>
            </w:r>
          </w:p>
        </w:tc>
      </w:tr>
      <w:tr w:rsidRPr="004A5B5A" w:rsidR="004A5B5A" w:rsidTr="004A5B5A" w14:paraId="110D4298"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39247ED2" w14:textId="50A11DA7">
            <w:pPr>
              <w:rPr>
                <w:rFonts w:eastAsia="Times New Roman" w:cs="Calibri"/>
                <w:b/>
                <w:bCs/>
                <w:color w:val="000000"/>
                <w:sz w:val="18"/>
                <w:szCs w:val="18"/>
              </w:rPr>
            </w:pPr>
            <w:r w:rsidRPr="004A5B5A">
              <w:rPr>
                <w:rFonts w:eastAsia="Times New Roman" w:cs="Calibri"/>
                <w:b/>
                <w:bCs/>
                <w:color w:val="000000"/>
                <w:sz w:val="18"/>
                <w:szCs w:val="18"/>
              </w:rPr>
              <w:t>S</w:t>
            </w:r>
            <w:r w:rsidRPr="004A5B5A" w:rsidR="00112F16">
              <w:rPr>
                <w:rFonts w:eastAsia="Times New Roman" w:cs="Calibri"/>
                <w:b/>
                <w:bCs/>
                <w:color w:val="000000"/>
                <w:sz w:val="18"/>
                <w:szCs w:val="18"/>
              </w:rPr>
              <w:t>o</w:t>
            </w:r>
            <w:r w:rsidRPr="004A5B5A">
              <w:rPr>
                <w:rFonts w:eastAsia="Times New Roman" w:cs="Calibri"/>
                <w:b/>
                <w:bCs/>
                <w:color w:val="000000"/>
                <w:sz w:val="18"/>
                <w:szCs w:val="18"/>
              </w:rPr>
              <w:t>C</w:t>
            </w:r>
            <w:r w:rsidRPr="004A5B5A" w:rsidR="00112F16">
              <w:rPr>
                <w:rFonts w:eastAsia="Times New Roman" w:cs="Calibri"/>
                <w:b/>
                <w:bCs/>
                <w:color w:val="000000"/>
                <w:sz w:val="18"/>
                <w:szCs w:val="18"/>
              </w:rPr>
              <w:t>al</w:t>
            </w:r>
            <w:r w:rsidRPr="004A5B5A">
              <w:rPr>
                <w:rFonts w:eastAsia="Times New Roman" w:cs="Calibri"/>
                <w:b/>
                <w:bCs/>
                <w:color w:val="000000"/>
                <w:sz w:val="18"/>
                <w:szCs w:val="18"/>
              </w:rPr>
              <w:t>G</w:t>
            </w:r>
            <w:r w:rsidRPr="004A5B5A" w:rsidR="00112F16">
              <w:rPr>
                <w:rFonts w:eastAsia="Times New Roman" w:cs="Calibri"/>
                <w:b/>
                <w:bCs/>
                <w:color w:val="000000"/>
                <w:sz w:val="18"/>
                <w:szCs w:val="18"/>
              </w:rPr>
              <w:t>as</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8220F49" w14:textId="77777777">
            <w:pPr>
              <w:jc w:val="right"/>
              <w:rPr>
                <w:rFonts w:eastAsia="Times New Roman" w:cs="Calibri"/>
                <w:color w:val="000000"/>
                <w:sz w:val="18"/>
                <w:szCs w:val="18"/>
              </w:rPr>
            </w:pPr>
            <w:r w:rsidRPr="004A5B5A">
              <w:rPr>
                <w:rFonts w:eastAsia="Times New Roman" w:cs="Calibri"/>
                <w:color w:val="000000"/>
                <w:sz w:val="18"/>
                <w:szCs w:val="18"/>
              </w:rPr>
              <w:t>$149,249,646</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DB14AEB" w14:textId="77777777">
            <w:pPr>
              <w:jc w:val="right"/>
              <w:rPr>
                <w:rFonts w:eastAsia="Times New Roman" w:cs="Calibri"/>
                <w:color w:val="000000"/>
                <w:sz w:val="18"/>
                <w:szCs w:val="18"/>
              </w:rPr>
            </w:pPr>
            <w:r w:rsidRPr="004A5B5A">
              <w:rPr>
                <w:rFonts w:eastAsia="Times New Roman" w:cs="Calibri"/>
                <w:color w:val="000000"/>
                <w:sz w:val="18"/>
                <w:szCs w:val="18"/>
              </w:rPr>
              <w:t>$150,669,161</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5940CAF" w14:textId="77777777">
            <w:pPr>
              <w:jc w:val="right"/>
              <w:rPr>
                <w:rFonts w:eastAsia="Times New Roman" w:cs="Calibri"/>
                <w:color w:val="000000"/>
                <w:sz w:val="18"/>
                <w:szCs w:val="18"/>
              </w:rPr>
            </w:pPr>
            <w:r w:rsidRPr="004A5B5A">
              <w:rPr>
                <w:rFonts w:eastAsia="Times New Roman" w:cs="Calibri"/>
                <w:color w:val="000000"/>
                <w:sz w:val="18"/>
                <w:szCs w:val="18"/>
              </w:rPr>
              <w:t>$151,983,280</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BB78451" w14:textId="77777777">
            <w:pPr>
              <w:jc w:val="right"/>
              <w:rPr>
                <w:rFonts w:eastAsia="Times New Roman" w:cs="Calibri"/>
                <w:color w:val="000000"/>
                <w:sz w:val="18"/>
                <w:szCs w:val="18"/>
              </w:rPr>
            </w:pPr>
            <w:r w:rsidRPr="004A5B5A">
              <w:rPr>
                <w:rFonts w:eastAsia="Times New Roman" w:cs="Calibri"/>
                <w:color w:val="000000"/>
                <w:sz w:val="18"/>
                <w:szCs w:val="18"/>
              </w:rPr>
              <w:t>$153,497,417</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5A5C033F" w14:textId="77777777">
            <w:pPr>
              <w:jc w:val="right"/>
              <w:rPr>
                <w:rFonts w:eastAsia="Times New Roman" w:cs="Calibri"/>
                <w:color w:val="000000"/>
                <w:sz w:val="18"/>
                <w:szCs w:val="18"/>
              </w:rPr>
            </w:pPr>
            <w:r w:rsidRPr="004A5B5A">
              <w:rPr>
                <w:rFonts w:eastAsia="Times New Roman" w:cs="Calibri"/>
                <w:color w:val="000000"/>
                <w:sz w:val="18"/>
                <w:szCs w:val="18"/>
              </w:rPr>
              <w:t>$155,039,114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6F57057" w14:textId="77777777">
            <w:pPr>
              <w:jc w:val="right"/>
              <w:rPr>
                <w:rFonts w:eastAsia="Times New Roman" w:cs="Calibri"/>
                <w:color w:val="000000"/>
                <w:sz w:val="18"/>
                <w:szCs w:val="18"/>
              </w:rPr>
            </w:pPr>
            <w:r w:rsidRPr="004A5B5A">
              <w:rPr>
                <w:rFonts w:eastAsia="Times New Roman" w:cs="Calibri"/>
                <w:color w:val="000000"/>
                <w:sz w:val="18"/>
                <w:szCs w:val="18"/>
              </w:rPr>
              <w:t>$156,411,268</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60E37506" w14:textId="77777777">
            <w:pPr>
              <w:jc w:val="right"/>
              <w:rPr>
                <w:rFonts w:eastAsia="Times New Roman" w:cs="Calibri"/>
                <w:b/>
                <w:bCs/>
                <w:color w:val="000000"/>
                <w:sz w:val="18"/>
                <w:szCs w:val="18"/>
              </w:rPr>
            </w:pPr>
            <w:r w:rsidRPr="004A5B5A">
              <w:rPr>
                <w:rFonts w:eastAsia="Times New Roman" w:cs="Calibri"/>
                <w:b/>
                <w:bCs/>
                <w:color w:val="000000"/>
                <w:sz w:val="18"/>
                <w:szCs w:val="18"/>
              </w:rPr>
              <w:t>$916,849,886</w:t>
            </w:r>
          </w:p>
        </w:tc>
      </w:tr>
      <w:tr w:rsidRPr="004A5B5A" w:rsidR="004A5B5A" w:rsidTr="004A5B5A" w14:paraId="7D33B1F8" w14:textId="77777777">
        <w:trPr>
          <w:trHeight w:val="248"/>
        </w:trPr>
        <w:tc>
          <w:tcPr>
            <w:tcW w:w="952" w:type="dxa"/>
            <w:tcBorders>
              <w:top w:val="nil"/>
              <w:left w:val="single" w:color="auto" w:sz="4" w:space="0"/>
              <w:bottom w:val="single" w:color="auto" w:sz="4" w:space="0"/>
              <w:right w:val="single" w:color="auto" w:sz="4" w:space="0"/>
            </w:tcBorders>
            <w:shd w:val="clear" w:color="auto" w:fill="auto"/>
            <w:noWrap/>
            <w:vAlign w:val="bottom"/>
            <w:hideMark/>
          </w:tcPr>
          <w:p w:rsidRPr="004A5B5A" w:rsidR="000C1980" w:rsidP="004A5B5A" w:rsidRDefault="000C1980" w14:paraId="44C08BC6" w14:textId="77777777">
            <w:pPr>
              <w:rPr>
                <w:rFonts w:eastAsia="Times New Roman" w:cs="Calibri"/>
                <w:b/>
                <w:bCs/>
                <w:color w:val="000000"/>
                <w:sz w:val="18"/>
                <w:szCs w:val="18"/>
              </w:rPr>
            </w:pPr>
            <w:r w:rsidRPr="004A5B5A">
              <w:rPr>
                <w:rFonts w:eastAsia="Times New Roman" w:cs="Calibri"/>
                <w:b/>
                <w:bCs/>
                <w:color w:val="000000"/>
                <w:sz w:val="18"/>
                <w:szCs w:val="18"/>
              </w:rPr>
              <w:t>Total</w:t>
            </w:r>
          </w:p>
        </w:tc>
        <w:tc>
          <w:tcPr>
            <w:tcW w:w="1401"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29BEFA81" w14:textId="77777777">
            <w:pPr>
              <w:jc w:val="right"/>
              <w:rPr>
                <w:rFonts w:eastAsia="Times New Roman" w:cs="Calibri"/>
                <w:b/>
                <w:bCs/>
                <w:color w:val="000000"/>
                <w:sz w:val="18"/>
                <w:szCs w:val="18"/>
              </w:rPr>
            </w:pPr>
            <w:r w:rsidRPr="004A5B5A">
              <w:rPr>
                <w:rFonts w:eastAsia="Times New Roman" w:cs="Calibri"/>
                <w:b/>
                <w:bCs/>
                <w:color w:val="000000"/>
                <w:sz w:val="18"/>
                <w:szCs w:val="18"/>
              </w:rPr>
              <w:t>$1,384,113,494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1E9CFCF5" w14:textId="77777777">
            <w:pPr>
              <w:jc w:val="right"/>
              <w:rPr>
                <w:rFonts w:eastAsia="Times New Roman" w:cs="Calibri"/>
                <w:b/>
                <w:bCs/>
                <w:color w:val="000000"/>
                <w:sz w:val="18"/>
                <w:szCs w:val="18"/>
              </w:rPr>
            </w:pPr>
            <w:r w:rsidRPr="004A5B5A">
              <w:rPr>
                <w:rFonts w:eastAsia="Times New Roman" w:cs="Calibri"/>
                <w:b/>
                <w:bCs/>
                <w:color w:val="000000"/>
                <w:sz w:val="18"/>
                <w:szCs w:val="18"/>
              </w:rPr>
              <w:t>$1,395,398,454</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7A11188" w14:textId="77777777">
            <w:pPr>
              <w:jc w:val="right"/>
              <w:rPr>
                <w:rFonts w:eastAsia="Times New Roman" w:cs="Calibri"/>
                <w:b/>
                <w:bCs/>
                <w:color w:val="000000"/>
                <w:sz w:val="18"/>
                <w:szCs w:val="18"/>
              </w:rPr>
            </w:pPr>
            <w:r w:rsidRPr="004A5B5A">
              <w:rPr>
                <w:rFonts w:eastAsia="Times New Roman" w:cs="Calibri"/>
                <w:b/>
                <w:bCs/>
                <w:color w:val="000000"/>
                <w:sz w:val="18"/>
                <w:szCs w:val="18"/>
              </w:rPr>
              <w:t>$1,407,734,378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92A4FAB" w14:textId="77777777">
            <w:pPr>
              <w:jc w:val="right"/>
              <w:rPr>
                <w:rFonts w:eastAsia="Times New Roman" w:cs="Calibri"/>
                <w:b/>
                <w:bCs/>
                <w:color w:val="000000"/>
                <w:sz w:val="18"/>
                <w:szCs w:val="18"/>
              </w:rPr>
            </w:pPr>
            <w:r w:rsidRPr="004A5B5A">
              <w:rPr>
                <w:rFonts w:eastAsia="Times New Roman" w:cs="Calibri"/>
                <w:b/>
                <w:bCs/>
                <w:color w:val="000000"/>
                <w:sz w:val="18"/>
                <w:szCs w:val="18"/>
              </w:rPr>
              <w:t>$1,420,581,208</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773F34F9" w14:textId="77777777">
            <w:pPr>
              <w:jc w:val="right"/>
              <w:rPr>
                <w:rFonts w:eastAsia="Times New Roman" w:cs="Calibri"/>
                <w:b/>
                <w:bCs/>
                <w:color w:val="000000"/>
                <w:sz w:val="18"/>
                <w:szCs w:val="18"/>
              </w:rPr>
            </w:pPr>
            <w:r w:rsidRPr="004A5B5A">
              <w:rPr>
                <w:rFonts w:eastAsia="Times New Roman" w:cs="Calibri"/>
                <w:b/>
                <w:bCs/>
                <w:color w:val="000000"/>
                <w:sz w:val="18"/>
                <w:szCs w:val="18"/>
              </w:rPr>
              <w:t>$1,434,996,389</w:t>
            </w:r>
          </w:p>
        </w:tc>
        <w:tc>
          <w:tcPr>
            <w:tcW w:w="1238"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4EE03D33" w14:textId="77777777">
            <w:pPr>
              <w:jc w:val="right"/>
              <w:rPr>
                <w:rFonts w:eastAsia="Times New Roman" w:cs="Calibri"/>
                <w:b/>
                <w:bCs/>
                <w:color w:val="000000"/>
                <w:sz w:val="18"/>
                <w:szCs w:val="18"/>
              </w:rPr>
            </w:pPr>
            <w:r w:rsidRPr="004A5B5A">
              <w:rPr>
                <w:rFonts w:eastAsia="Times New Roman" w:cs="Calibri"/>
                <w:b/>
                <w:bCs/>
                <w:color w:val="000000"/>
                <w:sz w:val="18"/>
                <w:szCs w:val="18"/>
              </w:rPr>
              <w:t>$1,449,423,657</w:t>
            </w:r>
          </w:p>
        </w:tc>
        <w:tc>
          <w:tcPr>
            <w:tcW w:w="1627" w:type="dxa"/>
            <w:tcBorders>
              <w:top w:val="nil"/>
              <w:left w:val="nil"/>
              <w:bottom w:val="single" w:color="auto" w:sz="4" w:space="0"/>
              <w:right w:val="single" w:color="auto" w:sz="4" w:space="0"/>
            </w:tcBorders>
            <w:shd w:val="clear" w:color="auto" w:fill="auto"/>
            <w:noWrap/>
            <w:vAlign w:val="bottom"/>
            <w:hideMark/>
          </w:tcPr>
          <w:p w:rsidRPr="004A5B5A" w:rsidR="000C1980" w:rsidP="004A5B5A" w:rsidRDefault="000C1980" w14:paraId="0B98BA67" w14:textId="77777777">
            <w:pPr>
              <w:jc w:val="right"/>
              <w:rPr>
                <w:rFonts w:eastAsia="Times New Roman" w:cs="Calibri"/>
                <w:b/>
                <w:bCs/>
                <w:color w:val="000000"/>
                <w:sz w:val="18"/>
                <w:szCs w:val="18"/>
              </w:rPr>
            </w:pPr>
            <w:r w:rsidRPr="004A5B5A">
              <w:rPr>
                <w:rFonts w:eastAsia="Times New Roman" w:cs="Calibri"/>
                <w:b/>
                <w:bCs/>
                <w:color w:val="000000"/>
                <w:sz w:val="18"/>
                <w:szCs w:val="18"/>
              </w:rPr>
              <w:t>$8,492,247,580</w:t>
            </w:r>
          </w:p>
        </w:tc>
      </w:tr>
    </w:tbl>
    <w:p w:rsidRPr="004915BF" w:rsidR="000C1980" w:rsidP="001968DC" w:rsidRDefault="000C1980" w14:paraId="433F6BE8" w14:textId="77777777">
      <w:pPr>
        <w:pStyle w:val="BlockQuote"/>
        <w:ind w:left="360"/>
        <w:rPr>
          <w:sz w:val="10"/>
          <w:szCs w:val="10"/>
        </w:rPr>
      </w:pPr>
    </w:p>
    <w:p w:rsidRPr="009F691F" w:rsidR="000C1980" w:rsidP="001968DC" w:rsidRDefault="000C1980" w14:paraId="731B8403" w14:textId="77777777">
      <w:pPr>
        <w:pStyle w:val="Heading3"/>
        <w:ind w:left="2664"/>
      </w:pPr>
      <w:bookmarkStart w:name="_Toc69947827" w:id="139"/>
      <w:bookmarkEnd w:id="137"/>
      <w:r w:rsidRPr="009F691F">
        <w:t>PG&amp;E Proposal</w:t>
      </w:r>
      <w:bookmarkEnd w:id="139"/>
    </w:p>
    <w:p w:rsidR="000C1980" w:rsidP="001F6BDD" w:rsidRDefault="000C1980" w14:paraId="01A4540A" w14:textId="77777777">
      <w:pPr>
        <w:pStyle w:val="Standard"/>
      </w:pPr>
      <w:bookmarkStart w:name="_Hlk55563034" w:id="140"/>
      <w:r w:rsidRPr="009F691F">
        <w:t>PG&amp;E proposes a total CARE budget of $4.25 billion for PYs 2021-2026,</w:t>
      </w:r>
      <w:r w:rsidRPr="00815640">
        <w:t xml:space="preserve"> averaging $708</w:t>
      </w:r>
      <w:r>
        <w:t xml:space="preserve"> million </w:t>
      </w:r>
      <w:r w:rsidRPr="00815640">
        <w:t>each year.</w:t>
      </w:r>
      <w:r w:rsidRPr="00815640">
        <w:rPr>
          <w:vertAlign w:val="superscript"/>
        </w:rPr>
        <w:footnoteReference w:id="195"/>
      </w:r>
      <w:r w:rsidRPr="00815640">
        <w:t xml:space="preserve"> </w:t>
      </w:r>
    </w:p>
    <w:p w:rsidR="000C1980" w:rsidP="001F6BDD" w:rsidRDefault="000C1980" w14:paraId="1838BB4F" w14:textId="77777777">
      <w:pPr>
        <w:pStyle w:val="Standard"/>
      </w:pPr>
      <w:r w:rsidRPr="00AB6E3E">
        <w:rPr>
          <w:b/>
          <w:bCs/>
          <w:i/>
          <w:iCs/>
          <w:u w:val="single"/>
        </w:rPr>
        <w:t xml:space="preserve">CARE </w:t>
      </w:r>
      <w:r>
        <w:rPr>
          <w:b/>
          <w:bCs/>
          <w:i/>
          <w:iCs/>
          <w:u w:val="single"/>
        </w:rPr>
        <w:t>Subsidy</w:t>
      </w:r>
      <w:r w:rsidRPr="00AB6E3E">
        <w:rPr>
          <w:b/>
          <w:bCs/>
          <w:i/>
          <w:iCs/>
          <w:u w:val="single"/>
        </w:rPr>
        <w:t xml:space="preserve"> Budgets:</w:t>
      </w:r>
      <w:r w:rsidRPr="00AB6E3E">
        <w:t xml:space="preserve"> </w:t>
      </w:r>
      <w:r w:rsidRPr="00815640">
        <w:t xml:space="preserve">The CARE </w:t>
      </w:r>
      <w:r>
        <w:t>s</w:t>
      </w:r>
      <w:r w:rsidRPr="00815640">
        <w:t xml:space="preserve">ubsidy </w:t>
      </w:r>
      <w:r>
        <w:t>totals</w:t>
      </w:r>
      <w:r w:rsidRPr="00815640">
        <w:t xml:space="preserve"> </w:t>
      </w:r>
      <w:r>
        <w:t>$</w:t>
      </w:r>
      <w:r w:rsidRPr="00815640">
        <w:t>4.2</w:t>
      </w:r>
      <w:r>
        <w:t xml:space="preserve"> billion (98 percent of total CARE budget), with an estimated average enrollment population of 1.35 million households annually. </w:t>
      </w:r>
      <w:r w:rsidRPr="00815640">
        <w:t xml:space="preserve"> </w:t>
      </w:r>
    </w:p>
    <w:p w:rsidR="000C1980" w:rsidP="0023091F" w:rsidRDefault="000C1980" w14:paraId="5376779A" w14:textId="77777777">
      <w:pPr>
        <w:pStyle w:val="ALJBodyText"/>
      </w:pPr>
      <w:r w:rsidRPr="00AB6E3E">
        <w:rPr>
          <w:b/>
          <w:bCs/>
          <w:i/>
          <w:iCs/>
          <w:u w:val="single"/>
        </w:rPr>
        <w:t xml:space="preserve">CARE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Budgets:</w:t>
      </w:r>
      <w:r>
        <w:t xml:space="preserve"> </w:t>
      </w:r>
      <w:r w:rsidRPr="00815640">
        <w:t xml:space="preserve">The </w:t>
      </w:r>
      <w:r w:rsidRPr="002458CF">
        <w:t xml:space="preserve">CARE </w:t>
      </w:r>
      <w:bookmarkStart w:name="_Hlk63762242" w:id="141"/>
      <w:r>
        <w:t>p</w:t>
      </w:r>
      <w:r w:rsidRPr="002458CF">
        <w:t xml:space="preserve">rogram </w:t>
      </w:r>
      <w:r>
        <w:t>m</w:t>
      </w:r>
      <w:r w:rsidRPr="002458CF">
        <w:t xml:space="preserve">anagement </w:t>
      </w:r>
      <w:bookmarkEnd w:id="141"/>
      <w:r w:rsidRPr="002458CF">
        <w:t xml:space="preserve">budget totals $85 million, (2 percent of total CARE budget). </w:t>
      </w:r>
      <w:r>
        <w:t xml:space="preserve"> </w:t>
      </w:r>
      <w:r w:rsidRPr="002458CF">
        <w:t xml:space="preserve">The largest </w:t>
      </w:r>
      <w:r>
        <w:t>p</w:t>
      </w:r>
      <w:r w:rsidRPr="002458CF">
        <w:t xml:space="preserve">rogram </w:t>
      </w:r>
      <w:r>
        <w:t>m</w:t>
      </w:r>
      <w:r w:rsidRPr="002458CF">
        <w:t xml:space="preserve">anagement cost is </w:t>
      </w:r>
      <w:r>
        <w:t>o</w:t>
      </w:r>
      <w:r w:rsidRPr="002458CF">
        <w:t>utreach, with 56 percent of the</w:t>
      </w:r>
      <w:r w:rsidRPr="00140424">
        <w:t xml:space="preserve"> </w:t>
      </w:r>
      <w:r>
        <w:t>p</w:t>
      </w:r>
      <w:r w:rsidRPr="002458CF">
        <w:t xml:space="preserve">rogram </w:t>
      </w:r>
      <w:r>
        <w:t>m</w:t>
      </w:r>
      <w:r w:rsidRPr="002458CF">
        <w:t xml:space="preserve">anagement </w:t>
      </w:r>
      <w:r w:rsidRPr="00140424">
        <w:t xml:space="preserve">budget, followed by </w:t>
      </w:r>
      <w:r>
        <w:t>p</w:t>
      </w:r>
      <w:r w:rsidRPr="00140424">
        <w:t xml:space="preserve">rocessing, </w:t>
      </w:r>
      <w:r>
        <w:t>c</w:t>
      </w:r>
      <w:r w:rsidRPr="00140424">
        <w:t xml:space="preserve">ertification, </w:t>
      </w:r>
      <w:r>
        <w:t>r</w:t>
      </w:r>
      <w:r w:rsidRPr="00140424">
        <w:t xml:space="preserve">ecertification and </w:t>
      </w:r>
      <w:r>
        <w:t xml:space="preserve">PEV </w:t>
      </w:r>
      <w:r w:rsidRPr="00140424">
        <w:t>with 17</w:t>
      </w:r>
      <w:r>
        <w:t> </w:t>
      </w:r>
      <w:r w:rsidRPr="00140424">
        <w:t xml:space="preserve">percent of the </w:t>
      </w:r>
      <w:r>
        <w:t>p</w:t>
      </w:r>
      <w:r w:rsidRPr="002458CF">
        <w:t xml:space="preserve">rogram </w:t>
      </w:r>
      <w:r>
        <w:t>m</w:t>
      </w:r>
      <w:r w:rsidRPr="002458CF">
        <w:t xml:space="preserve">anagement </w:t>
      </w:r>
      <w:r w:rsidRPr="00140424">
        <w:t xml:space="preserve">budget. </w:t>
      </w:r>
      <w:r>
        <w:t>G</w:t>
      </w:r>
      <w:r w:rsidRPr="00140424">
        <w:t xml:space="preserve">eneral </w:t>
      </w:r>
      <w:r>
        <w:t>a</w:t>
      </w:r>
      <w:r w:rsidRPr="00140424">
        <w:t xml:space="preserve">dministration </w:t>
      </w:r>
      <w:r>
        <w:t>accounts for</w:t>
      </w:r>
      <w:r w:rsidRPr="00140424">
        <w:t xml:space="preserve"> 8 percent of the total CARE </w:t>
      </w:r>
      <w:r>
        <w:t>p</w:t>
      </w:r>
      <w:r w:rsidRPr="002458CF">
        <w:t xml:space="preserve">rogram </w:t>
      </w:r>
      <w:r>
        <w:t>m</w:t>
      </w:r>
      <w:r w:rsidRPr="002458CF">
        <w:t xml:space="preserve">anagement </w:t>
      </w:r>
      <w:r w:rsidRPr="00140424">
        <w:t>costs.</w:t>
      </w:r>
      <w:r w:rsidRPr="00140424">
        <w:rPr>
          <w:vertAlign w:val="superscript"/>
        </w:rPr>
        <w:footnoteReference w:id="196"/>
      </w:r>
    </w:p>
    <w:p w:rsidR="000C1980" w:rsidP="001968DC" w:rsidRDefault="000C1980" w14:paraId="02D7333E" w14:textId="6DC559DD">
      <w:pPr>
        <w:pStyle w:val="Heading3"/>
        <w:ind w:left="2664"/>
      </w:pPr>
      <w:bookmarkStart w:name="_Toc69947828" w:id="142"/>
      <w:bookmarkEnd w:id="140"/>
      <w:r>
        <w:lastRenderedPageBreak/>
        <w:t>SCE Proposal</w:t>
      </w:r>
      <w:bookmarkEnd w:id="142"/>
    </w:p>
    <w:p w:rsidR="000C1980" w:rsidP="0023091F" w:rsidRDefault="000C1980" w14:paraId="14D576B1" w14:textId="77777777">
      <w:pPr>
        <w:pStyle w:val="ALJBodyText"/>
      </w:pPr>
      <w:bookmarkStart w:name="_Hlk55480959" w:id="143"/>
      <w:r>
        <w:t>SC</w:t>
      </w:r>
      <w:r w:rsidRPr="00815640">
        <w:t xml:space="preserve">E </w:t>
      </w:r>
      <w:r>
        <w:t>p</w:t>
      </w:r>
      <w:r w:rsidRPr="00815640">
        <w:t xml:space="preserve">roposes a total </w:t>
      </w:r>
      <w:r>
        <w:t xml:space="preserve">CARE </w:t>
      </w:r>
      <w:r w:rsidRPr="00815640">
        <w:t>budget of $</w:t>
      </w:r>
      <w:r>
        <w:t>2</w:t>
      </w:r>
      <w:r w:rsidRPr="00815640">
        <w:t>.5</w:t>
      </w:r>
      <w:r>
        <w:t xml:space="preserve">4 billion </w:t>
      </w:r>
      <w:r w:rsidRPr="00815640">
        <w:t>for PY</w:t>
      </w:r>
      <w:r>
        <w:t>s</w:t>
      </w:r>
      <w:r w:rsidRPr="00815640">
        <w:t xml:space="preserve"> 2021-2026, averaging $</w:t>
      </w:r>
      <w:r>
        <w:t xml:space="preserve">423 million </w:t>
      </w:r>
      <w:r w:rsidRPr="00815640">
        <w:t>each year.</w:t>
      </w:r>
      <w:r w:rsidRPr="00815640">
        <w:rPr>
          <w:vertAlign w:val="superscript"/>
        </w:rPr>
        <w:footnoteReference w:id="197"/>
      </w:r>
      <w:r>
        <w:t xml:space="preserve"> </w:t>
      </w:r>
      <w:r w:rsidRPr="00815640">
        <w:t xml:space="preserve"> </w:t>
      </w:r>
    </w:p>
    <w:p w:rsidR="000C1980" w:rsidP="0023091F" w:rsidRDefault="000C1980" w14:paraId="5C371B60" w14:textId="77777777">
      <w:pPr>
        <w:pStyle w:val="ALJBodyText"/>
      </w:pPr>
      <w:r w:rsidRPr="00AB6E3E">
        <w:rPr>
          <w:b/>
          <w:bCs/>
          <w:i/>
          <w:iCs/>
          <w:u w:val="single"/>
        </w:rPr>
        <w:t xml:space="preserve">CARE </w:t>
      </w:r>
      <w:r>
        <w:rPr>
          <w:b/>
          <w:bCs/>
          <w:i/>
          <w:iCs/>
          <w:u w:val="single"/>
        </w:rPr>
        <w:t>Subsidy</w:t>
      </w:r>
      <w:r w:rsidRPr="00AB6E3E">
        <w:rPr>
          <w:b/>
          <w:bCs/>
          <w:i/>
          <w:iCs/>
          <w:u w:val="single"/>
        </w:rPr>
        <w:t xml:space="preserve"> Budgets:</w:t>
      </w:r>
      <w:r w:rsidRPr="00AB6E3E">
        <w:t xml:space="preserve"> </w:t>
      </w:r>
      <w:r w:rsidRPr="00815640">
        <w:t xml:space="preserve">The CARE </w:t>
      </w:r>
      <w:r>
        <w:t>s</w:t>
      </w:r>
      <w:r w:rsidRPr="00815640">
        <w:t xml:space="preserve">ubsidy </w:t>
      </w:r>
      <w:r>
        <w:t>totals</w:t>
      </w:r>
      <w:r w:rsidRPr="00815640">
        <w:t xml:space="preserve"> </w:t>
      </w:r>
      <w:r>
        <w:t>$2</w:t>
      </w:r>
      <w:r w:rsidRPr="00815640">
        <w:t>.</w:t>
      </w:r>
      <w:r>
        <w:t>48 billion (98 percent of total CARE budget), with an estimated average enrollment population of 1.22 million households</w:t>
      </w:r>
      <w:r w:rsidRPr="00737F09">
        <w:t xml:space="preserve"> </w:t>
      </w:r>
      <w:r>
        <w:t xml:space="preserve">annually. </w:t>
      </w:r>
      <w:r w:rsidRPr="00815640">
        <w:t xml:space="preserve"> </w:t>
      </w:r>
    </w:p>
    <w:p w:rsidR="000C1980" w:rsidP="001F6BDD" w:rsidRDefault="000C1980" w14:paraId="49220FC3" w14:textId="77777777">
      <w:pPr>
        <w:pStyle w:val="Standard"/>
      </w:pPr>
      <w:r w:rsidRPr="00AB6E3E">
        <w:rPr>
          <w:b/>
          <w:bCs/>
          <w:i/>
          <w:iCs/>
          <w:u w:val="single"/>
        </w:rPr>
        <w:t xml:space="preserve">CARE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Budgets:</w:t>
      </w:r>
      <w:r>
        <w:t xml:space="preserve"> </w:t>
      </w:r>
      <w:r w:rsidRPr="00815640">
        <w:t xml:space="preserve">The CARE </w:t>
      </w:r>
      <w:r>
        <w:t>p</w:t>
      </w:r>
      <w:r w:rsidRPr="002458CF">
        <w:t xml:space="preserve">rogram </w:t>
      </w:r>
      <w:r>
        <w:t>m</w:t>
      </w:r>
      <w:r w:rsidRPr="002458CF">
        <w:t xml:space="preserve">anagement </w:t>
      </w:r>
      <w:r w:rsidRPr="00815640">
        <w:t>budget total</w:t>
      </w:r>
      <w:r>
        <w:t>s</w:t>
      </w:r>
      <w:r w:rsidRPr="00815640">
        <w:t xml:space="preserve"> $</w:t>
      </w:r>
      <w:r>
        <w:t>63 million, (</w:t>
      </w:r>
      <w:r w:rsidRPr="00AF2F67">
        <w:t>2</w:t>
      </w:r>
      <w:r>
        <w:t>.5</w:t>
      </w:r>
      <w:r w:rsidRPr="00AF2F67">
        <w:t xml:space="preserve"> percent</w:t>
      </w:r>
      <w:r>
        <w:t xml:space="preserve"> of total CARE budget)</w:t>
      </w:r>
      <w:r w:rsidRPr="00A31AE5">
        <w:t xml:space="preserve">. The largest </w:t>
      </w:r>
      <w:r>
        <w:t>p</w:t>
      </w:r>
      <w:r w:rsidRPr="002458CF">
        <w:t xml:space="preserve">rogram </w:t>
      </w:r>
      <w:r>
        <w:t>m</w:t>
      </w:r>
      <w:r w:rsidRPr="002458CF">
        <w:t xml:space="preserve">anagement </w:t>
      </w:r>
      <w:r w:rsidRPr="00A31AE5">
        <w:t xml:space="preserve">cost is </w:t>
      </w:r>
      <w:r>
        <w:t>o</w:t>
      </w:r>
      <w:r w:rsidRPr="00A31AE5">
        <w:t>utreach, with 43</w:t>
      </w:r>
      <w:r w:rsidRPr="006E22E7">
        <w:t xml:space="preserve"> </w:t>
      </w:r>
      <w:r w:rsidRPr="0026503D">
        <w:t>percent</w:t>
      </w:r>
      <w:r w:rsidRPr="00A31AE5">
        <w:t xml:space="preserve"> of the </w:t>
      </w:r>
      <w:r>
        <w:t>p</w:t>
      </w:r>
      <w:r w:rsidRPr="002458CF">
        <w:t xml:space="preserve">rogram </w:t>
      </w:r>
      <w:r>
        <w:t>m</w:t>
      </w:r>
      <w:r w:rsidRPr="002458CF">
        <w:t xml:space="preserve">anagement </w:t>
      </w:r>
      <w:r w:rsidRPr="00A31AE5">
        <w:t xml:space="preserve">budget, followed by </w:t>
      </w:r>
      <w:r>
        <w:t>p</w:t>
      </w:r>
      <w:r w:rsidRPr="00A31AE5">
        <w:t xml:space="preserve">rocessing, </w:t>
      </w:r>
      <w:r>
        <w:t>c</w:t>
      </w:r>
      <w:r w:rsidRPr="00A31AE5">
        <w:t xml:space="preserve">ertification, </w:t>
      </w:r>
      <w:r>
        <w:t>r</w:t>
      </w:r>
      <w:r w:rsidRPr="00A31AE5">
        <w:t xml:space="preserve">ecertification and </w:t>
      </w:r>
      <w:r>
        <w:t>PEV</w:t>
      </w:r>
      <w:r w:rsidRPr="00A31AE5">
        <w:t xml:space="preserve"> with </w:t>
      </w:r>
      <w:r>
        <w:t>19</w:t>
      </w:r>
      <w:r w:rsidRPr="00A31AE5">
        <w:t xml:space="preserve"> percent of the </w:t>
      </w:r>
      <w:r>
        <w:t>p</w:t>
      </w:r>
      <w:r w:rsidRPr="002458CF">
        <w:t xml:space="preserve">rogram </w:t>
      </w:r>
      <w:r>
        <w:t>m</w:t>
      </w:r>
      <w:r w:rsidRPr="002458CF">
        <w:t xml:space="preserve">anagement </w:t>
      </w:r>
      <w:r w:rsidRPr="00A31AE5">
        <w:t xml:space="preserve">budget. General </w:t>
      </w:r>
      <w:r>
        <w:t>a</w:t>
      </w:r>
      <w:r w:rsidRPr="00A31AE5">
        <w:t xml:space="preserve">dministration </w:t>
      </w:r>
      <w:r>
        <w:t>accounts for</w:t>
      </w:r>
      <w:r w:rsidRPr="00A31AE5">
        <w:t xml:space="preserve"> 14 percent of the total CARE </w:t>
      </w:r>
      <w:r>
        <w:t>p</w:t>
      </w:r>
      <w:r w:rsidRPr="002458CF">
        <w:t xml:space="preserve">rogram </w:t>
      </w:r>
      <w:r>
        <w:t>m</w:t>
      </w:r>
      <w:r w:rsidRPr="002458CF">
        <w:t xml:space="preserve">anagement </w:t>
      </w:r>
      <w:r w:rsidRPr="00A31AE5">
        <w:t xml:space="preserve">costs. </w:t>
      </w:r>
      <w:r w:rsidRPr="00A31AE5">
        <w:rPr>
          <w:vertAlign w:val="superscript"/>
        </w:rPr>
        <w:footnoteReference w:id="198"/>
      </w:r>
    </w:p>
    <w:p w:rsidR="000C1980" w:rsidP="001968DC" w:rsidRDefault="000C1980" w14:paraId="3AC3762B" w14:textId="5C721A21">
      <w:pPr>
        <w:pStyle w:val="Heading3"/>
        <w:ind w:left="2664"/>
      </w:pPr>
      <w:bookmarkStart w:name="_Toc69947829" w:id="144"/>
      <w:bookmarkEnd w:id="143"/>
      <w:r>
        <w:t>SoCalGas Proposal</w:t>
      </w:r>
      <w:bookmarkEnd w:id="144"/>
    </w:p>
    <w:p w:rsidR="000C1980" w:rsidP="0023091F" w:rsidRDefault="000C1980" w14:paraId="779930A6" w14:textId="77777777">
      <w:pPr>
        <w:pStyle w:val="ALJBodyText"/>
      </w:pPr>
      <w:r>
        <w:t>SoCalGas</w:t>
      </w:r>
      <w:r w:rsidRPr="00815640">
        <w:t xml:space="preserve"> </w:t>
      </w:r>
      <w:r>
        <w:t>p</w:t>
      </w:r>
      <w:r w:rsidRPr="00815640">
        <w:t xml:space="preserve">roposes a total </w:t>
      </w:r>
      <w:r>
        <w:t xml:space="preserve">CARE </w:t>
      </w:r>
      <w:r w:rsidRPr="00815640">
        <w:t>budget of $916 million for PY</w:t>
      </w:r>
      <w:r>
        <w:t>s</w:t>
      </w:r>
      <w:r w:rsidRPr="00815640">
        <w:t xml:space="preserve"> 2021-2026, averaging $153 million each year.</w:t>
      </w:r>
      <w:r w:rsidRPr="007C7BF6">
        <w:rPr>
          <w:vertAlign w:val="superscript"/>
        </w:rPr>
        <w:footnoteReference w:id="199"/>
      </w:r>
      <w:r>
        <w:t xml:space="preserve"> </w:t>
      </w:r>
    </w:p>
    <w:p w:rsidR="000C1980" w:rsidP="0023091F" w:rsidRDefault="000C1980" w14:paraId="4AEC5920" w14:textId="77777777">
      <w:pPr>
        <w:pStyle w:val="ALJBodyText"/>
      </w:pPr>
      <w:r w:rsidRPr="00AB6E3E">
        <w:rPr>
          <w:b/>
          <w:bCs/>
          <w:i/>
          <w:iCs/>
          <w:u w:val="single"/>
        </w:rPr>
        <w:t xml:space="preserve">CARE </w:t>
      </w:r>
      <w:r>
        <w:rPr>
          <w:b/>
          <w:bCs/>
          <w:i/>
          <w:iCs/>
          <w:u w:val="single"/>
        </w:rPr>
        <w:t>Subsidy</w:t>
      </w:r>
      <w:r w:rsidRPr="00AB6E3E">
        <w:rPr>
          <w:b/>
          <w:bCs/>
          <w:i/>
          <w:iCs/>
          <w:u w:val="single"/>
        </w:rPr>
        <w:t xml:space="preserve"> Budgets:</w:t>
      </w:r>
      <w:r w:rsidRPr="00AB6E3E">
        <w:t xml:space="preserve"> </w:t>
      </w:r>
      <w:r w:rsidRPr="00815640">
        <w:t xml:space="preserve">The CARE </w:t>
      </w:r>
      <w:r>
        <w:t>s</w:t>
      </w:r>
      <w:r w:rsidRPr="00815640">
        <w:t xml:space="preserve">ubsidy </w:t>
      </w:r>
      <w:r>
        <w:t>totals</w:t>
      </w:r>
      <w:r w:rsidRPr="00815640">
        <w:t xml:space="preserve"> </w:t>
      </w:r>
      <w:r>
        <w:t>$848.5 million (92.5 percent of total CARE budget), with an estimated average enrollment population of 1.67 million households</w:t>
      </w:r>
      <w:r w:rsidRPr="00737F09">
        <w:t xml:space="preserve"> </w:t>
      </w:r>
      <w:r>
        <w:t xml:space="preserve">annually. </w:t>
      </w:r>
      <w:r w:rsidRPr="00815640">
        <w:t xml:space="preserve"> </w:t>
      </w:r>
    </w:p>
    <w:p w:rsidR="000C1980" w:rsidP="0023091F" w:rsidRDefault="000C1980" w14:paraId="6823EE2C" w14:textId="77777777">
      <w:pPr>
        <w:pStyle w:val="ALJBodyText"/>
      </w:pPr>
      <w:r w:rsidRPr="00AB6E3E">
        <w:rPr>
          <w:b/>
          <w:bCs/>
          <w:i/>
          <w:iCs/>
          <w:u w:val="single"/>
        </w:rPr>
        <w:t xml:space="preserve">CARE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Budgets:</w:t>
      </w:r>
      <w:r>
        <w:t xml:space="preserve"> </w:t>
      </w:r>
      <w:r w:rsidRPr="00815640">
        <w:t xml:space="preserve">The CARE </w:t>
      </w:r>
      <w:r>
        <w:t>p</w:t>
      </w:r>
      <w:r w:rsidRPr="002458CF">
        <w:t xml:space="preserve">rogram </w:t>
      </w:r>
      <w:r>
        <w:t>m</w:t>
      </w:r>
      <w:r w:rsidRPr="002458CF">
        <w:t xml:space="preserve">anagement </w:t>
      </w:r>
      <w:r w:rsidRPr="00815640">
        <w:t>budget total</w:t>
      </w:r>
      <w:r>
        <w:t>s</w:t>
      </w:r>
      <w:r w:rsidRPr="00815640">
        <w:t xml:space="preserve"> $</w:t>
      </w:r>
      <w:r>
        <w:t>68 million, (7.5</w:t>
      </w:r>
      <w:r w:rsidRPr="00AF2F67">
        <w:t xml:space="preserve"> percent</w:t>
      </w:r>
      <w:r>
        <w:t xml:space="preserve"> of total CARE budget)</w:t>
      </w:r>
      <w:r w:rsidRPr="001176E2">
        <w:t xml:space="preserve">. The largest </w:t>
      </w:r>
      <w:r>
        <w:t>p</w:t>
      </w:r>
      <w:r w:rsidRPr="002458CF">
        <w:t xml:space="preserve">rogram </w:t>
      </w:r>
      <w:r>
        <w:t>m</w:t>
      </w:r>
      <w:r w:rsidRPr="002458CF">
        <w:t xml:space="preserve">anagement </w:t>
      </w:r>
      <w:r w:rsidRPr="001176E2">
        <w:t xml:space="preserve">cost is </w:t>
      </w:r>
      <w:r>
        <w:t>o</w:t>
      </w:r>
      <w:r w:rsidRPr="001176E2">
        <w:t xml:space="preserve">utreach, with 48 percent of the </w:t>
      </w:r>
      <w:r>
        <w:t>p</w:t>
      </w:r>
      <w:r w:rsidRPr="002458CF">
        <w:t xml:space="preserve">rogram </w:t>
      </w:r>
      <w:r>
        <w:t>m</w:t>
      </w:r>
      <w:r w:rsidRPr="002458CF">
        <w:t xml:space="preserve">anagement </w:t>
      </w:r>
      <w:r w:rsidRPr="001176E2">
        <w:t xml:space="preserve">budget, followed by </w:t>
      </w:r>
      <w:r>
        <w:t>p</w:t>
      </w:r>
      <w:r w:rsidRPr="001176E2">
        <w:t xml:space="preserve">rocessing, </w:t>
      </w:r>
      <w:r>
        <w:t>c</w:t>
      </w:r>
      <w:r w:rsidRPr="001176E2">
        <w:t xml:space="preserve">ertification, </w:t>
      </w:r>
      <w:r>
        <w:t>r</w:t>
      </w:r>
      <w:r w:rsidRPr="001176E2">
        <w:t xml:space="preserve">ecertification and </w:t>
      </w:r>
      <w:r>
        <w:lastRenderedPageBreak/>
        <w:t>PEV</w:t>
      </w:r>
      <w:r w:rsidRPr="001176E2">
        <w:t xml:space="preserve"> with 2</w:t>
      </w:r>
      <w:r>
        <w:t>0</w:t>
      </w:r>
      <w:r w:rsidRPr="001176E2">
        <w:t xml:space="preserve"> percent of the </w:t>
      </w:r>
      <w:r>
        <w:t>p</w:t>
      </w:r>
      <w:r w:rsidRPr="002458CF">
        <w:t xml:space="preserve">rogram </w:t>
      </w:r>
      <w:r>
        <w:t>m</w:t>
      </w:r>
      <w:r w:rsidRPr="002458CF">
        <w:t xml:space="preserve">anagement </w:t>
      </w:r>
      <w:r w:rsidRPr="001176E2">
        <w:t xml:space="preserve">budget. </w:t>
      </w:r>
      <w:r>
        <w:t xml:space="preserve"> </w:t>
      </w:r>
      <w:r w:rsidRPr="001176E2">
        <w:t xml:space="preserve">General Administration </w:t>
      </w:r>
      <w:r>
        <w:t>accounts for</w:t>
      </w:r>
      <w:r w:rsidRPr="001176E2">
        <w:t xml:space="preserve"> 10 percent of the total CARE </w:t>
      </w:r>
      <w:r>
        <w:t>p</w:t>
      </w:r>
      <w:r w:rsidRPr="002458CF">
        <w:t xml:space="preserve">rogram </w:t>
      </w:r>
      <w:r>
        <w:t>m</w:t>
      </w:r>
      <w:r w:rsidRPr="002458CF">
        <w:t xml:space="preserve">anagement </w:t>
      </w:r>
      <w:r w:rsidRPr="001176E2">
        <w:t>costs.</w:t>
      </w:r>
      <w:r w:rsidRPr="007C7BF6">
        <w:rPr>
          <w:vertAlign w:val="superscript"/>
        </w:rPr>
        <w:footnoteReference w:id="200"/>
      </w:r>
    </w:p>
    <w:p w:rsidR="000C1980" w:rsidP="001968DC" w:rsidRDefault="000C1980" w14:paraId="45750E1D" w14:textId="5C37FAF0">
      <w:pPr>
        <w:pStyle w:val="Heading3"/>
        <w:ind w:left="2664"/>
      </w:pPr>
      <w:bookmarkStart w:name="_Toc69947830" w:id="145"/>
      <w:r>
        <w:t>SDG&amp;E Proposal</w:t>
      </w:r>
      <w:bookmarkEnd w:id="145"/>
    </w:p>
    <w:p w:rsidR="000C1980" w:rsidP="0023091F" w:rsidRDefault="000C1980" w14:paraId="36AB393D" w14:textId="4E78B466">
      <w:pPr>
        <w:pStyle w:val="ALJBodyText"/>
      </w:pPr>
      <w:r w:rsidRPr="00815640">
        <w:t xml:space="preserve">SDG&amp;E proposes a total </w:t>
      </w:r>
      <w:r>
        <w:t xml:space="preserve">CARE </w:t>
      </w:r>
      <w:r w:rsidRPr="00815640">
        <w:t>budget of $</w:t>
      </w:r>
      <w:r>
        <w:t>783</w:t>
      </w:r>
      <w:r w:rsidRPr="00815640">
        <w:t xml:space="preserve"> million for PY</w:t>
      </w:r>
      <w:r>
        <w:t>s</w:t>
      </w:r>
      <w:r w:rsidRPr="00815640">
        <w:t xml:space="preserve"> 2021</w:t>
      </w:r>
      <w:r w:rsidR="00E04AD6">
        <w:noBreakHyphen/>
      </w:r>
      <w:r w:rsidRPr="00815640">
        <w:t>2026, averaging $1</w:t>
      </w:r>
      <w:r>
        <w:t>30.5</w:t>
      </w:r>
      <w:r w:rsidRPr="00815640">
        <w:t xml:space="preserve"> million each year.</w:t>
      </w:r>
      <w:r w:rsidRPr="007C7BF6">
        <w:rPr>
          <w:vertAlign w:val="superscript"/>
        </w:rPr>
        <w:footnoteReference w:id="201"/>
      </w:r>
      <w:r w:rsidRPr="007C7BF6">
        <w:t xml:space="preserve"> </w:t>
      </w:r>
    </w:p>
    <w:p w:rsidR="000C1980" w:rsidP="0023091F" w:rsidRDefault="000C1980" w14:paraId="61BFB6AB" w14:textId="77777777">
      <w:pPr>
        <w:pStyle w:val="ALJBodyText"/>
      </w:pPr>
      <w:r w:rsidRPr="00AB6E3E">
        <w:rPr>
          <w:b/>
          <w:bCs/>
          <w:i/>
          <w:iCs/>
          <w:u w:val="single"/>
        </w:rPr>
        <w:t xml:space="preserve">CARE </w:t>
      </w:r>
      <w:r>
        <w:rPr>
          <w:b/>
          <w:bCs/>
          <w:i/>
          <w:iCs/>
          <w:u w:val="single"/>
        </w:rPr>
        <w:t>Subsidy</w:t>
      </w:r>
      <w:r w:rsidRPr="00AB6E3E">
        <w:rPr>
          <w:b/>
          <w:bCs/>
          <w:i/>
          <w:iCs/>
          <w:u w:val="single"/>
        </w:rPr>
        <w:t xml:space="preserve"> Budgets:</w:t>
      </w:r>
      <w:r w:rsidRPr="00AB6E3E">
        <w:t xml:space="preserve"> </w:t>
      </w:r>
      <w:r w:rsidRPr="00815640">
        <w:t xml:space="preserve">The CARE </w:t>
      </w:r>
      <w:r>
        <w:t>s</w:t>
      </w:r>
      <w:r w:rsidRPr="00815640">
        <w:t xml:space="preserve">ubsidy </w:t>
      </w:r>
      <w:r>
        <w:t>totals</w:t>
      </w:r>
      <w:r w:rsidRPr="00815640">
        <w:t xml:space="preserve"> </w:t>
      </w:r>
      <w:r>
        <w:t>$740.6 million (95 percent of total CARE budget), with an estimated average enrollment population of 300,000 households</w:t>
      </w:r>
      <w:r w:rsidRPr="00737F09">
        <w:t xml:space="preserve"> </w:t>
      </w:r>
      <w:r>
        <w:t xml:space="preserve">annually. </w:t>
      </w:r>
      <w:r w:rsidRPr="00815640">
        <w:t xml:space="preserve"> </w:t>
      </w:r>
    </w:p>
    <w:p w:rsidR="000C1980" w:rsidP="0023091F" w:rsidRDefault="000C1980" w14:paraId="12CFB257" w14:textId="6410A25D">
      <w:pPr>
        <w:pStyle w:val="ALJBodyText"/>
      </w:pPr>
      <w:r w:rsidRPr="00AB6E3E">
        <w:rPr>
          <w:b/>
          <w:bCs/>
          <w:i/>
          <w:iCs/>
          <w:u w:val="single"/>
        </w:rPr>
        <w:t xml:space="preserve">CARE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Budgets:</w:t>
      </w:r>
      <w:r>
        <w:t xml:space="preserve"> </w:t>
      </w:r>
      <w:r w:rsidRPr="00815640">
        <w:t xml:space="preserve">The CARE </w:t>
      </w:r>
      <w:r>
        <w:t>p</w:t>
      </w:r>
      <w:r w:rsidRPr="002458CF">
        <w:t xml:space="preserve">rogram </w:t>
      </w:r>
      <w:r>
        <w:t>m</w:t>
      </w:r>
      <w:r w:rsidRPr="002458CF">
        <w:t xml:space="preserve">anagement </w:t>
      </w:r>
      <w:r w:rsidRPr="00815640">
        <w:t>budget total</w:t>
      </w:r>
      <w:r>
        <w:t>s</w:t>
      </w:r>
      <w:r w:rsidRPr="00815640">
        <w:t xml:space="preserve"> $42.6 million</w:t>
      </w:r>
      <w:r>
        <w:t xml:space="preserve"> (5</w:t>
      </w:r>
      <w:r w:rsidRPr="00AF2F67">
        <w:t xml:space="preserve"> percent</w:t>
      </w:r>
      <w:r>
        <w:t xml:space="preserve"> of total CARE budget)</w:t>
      </w:r>
      <w:r w:rsidRPr="00B50A52">
        <w:t xml:space="preserve">. </w:t>
      </w:r>
      <w:r>
        <w:t xml:space="preserve"> </w:t>
      </w:r>
      <w:r w:rsidRPr="00B50A52">
        <w:t xml:space="preserve">The largest </w:t>
      </w:r>
      <w:r>
        <w:t>p</w:t>
      </w:r>
      <w:r w:rsidRPr="002458CF">
        <w:t xml:space="preserve">rogram </w:t>
      </w:r>
      <w:r>
        <w:t>m</w:t>
      </w:r>
      <w:r w:rsidRPr="002458CF">
        <w:t xml:space="preserve">anagement </w:t>
      </w:r>
      <w:r w:rsidRPr="00B50A52">
        <w:t xml:space="preserve">cost is </w:t>
      </w:r>
      <w:r>
        <w:t>o</w:t>
      </w:r>
      <w:r w:rsidRPr="00B50A52">
        <w:t xml:space="preserve">utreach, with 47 percent of the </w:t>
      </w:r>
      <w:r>
        <w:t>p</w:t>
      </w:r>
      <w:r w:rsidRPr="002458CF">
        <w:t xml:space="preserve">rogram </w:t>
      </w:r>
      <w:r>
        <w:t>m</w:t>
      </w:r>
      <w:r w:rsidRPr="002458CF">
        <w:t xml:space="preserve">anagement </w:t>
      </w:r>
      <w:r w:rsidRPr="00B50A52">
        <w:t xml:space="preserve">budget, followed by IT </w:t>
      </w:r>
      <w:r>
        <w:t>p</w:t>
      </w:r>
      <w:r w:rsidRPr="00B50A52">
        <w:t xml:space="preserve">rogramming with 17 percent of the </w:t>
      </w:r>
      <w:r>
        <w:t>p</w:t>
      </w:r>
      <w:r w:rsidRPr="002458CF">
        <w:t xml:space="preserve">rogram </w:t>
      </w:r>
      <w:r>
        <w:t>m</w:t>
      </w:r>
      <w:r w:rsidRPr="002458CF">
        <w:t xml:space="preserve">anagement </w:t>
      </w:r>
      <w:r w:rsidRPr="00B50A52">
        <w:t xml:space="preserve">budget. </w:t>
      </w:r>
      <w:r>
        <w:t xml:space="preserve"> </w:t>
      </w:r>
      <w:r w:rsidRPr="00B50A52">
        <w:t xml:space="preserve">Processing, </w:t>
      </w:r>
      <w:r>
        <w:t>c</w:t>
      </w:r>
      <w:r w:rsidRPr="00B50A52">
        <w:t xml:space="preserve">ertification, </w:t>
      </w:r>
      <w:r>
        <w:t>r</w:t>
      </w:r>
      <w:r w:rsidRPr="00B50A52">
        <w:t xml:space="preserve">ecertification and </w:t>
      </w:r>
      <w:r>
        <w:t>PEV</w:t>
      </w:r>
      <w:r w:rsidRPr="00B50A52">
        <w:t xml:space="preserve"> is </w:t>
      </w:r>
      <w:r>
        <w:t>9</w:t>
      </w:r>
      <w:r w:rsidRPr="00B50A52">
        <w:t xml:space="preserve"> percent of the </w:t>
      </w:r>
      <w:r>
        <w:t>p</w:t>
      </w:r>
      <w:r w:rsidRPr="002458CF">
        <w:t xml:space="preserve">rogram </w:t>
      </w:r>
      <w:r>
        <w:t>m</w:t>
      </w:r>
      <w:r w:rsidRPr="002458CF">
        <w:t xml:space="preserve">anagement </w:t>
      </w:r>
      <w:r w:rsidRPr="00B50A52">
        <w:t>budget.</w:t>
      </w:r>
      <w:r w:rsidR="00E04AD6">
        <w:t xml:space="preserve">  </w:t>
      </w:r>
      <w:r>
        <w:t>G</w:t>
      </w:r>
      <w:r w:rsidRPr="00B50A52">
        <w:t xml:space="preserve">eneral </w:t>
      </w:r>
      <w:r>
        <w:t>a</w:t>
      </w:r>
      <w:r w:rsidRPr="00B50A52">
        <w:t xml:space="preserve">dministration </w:t>
      </w:r>
      <w:r>
        <w:t xml:space="preserve">accounts for </w:t>
      </w:r>
      <w:r w:rsidRPr="00B50A52">
        <w:t xml:space="preserve">10 percent of the total CARE </w:t>
      </w:r>
      <w:r>
        <w:t>p</w:t>
      </w:r>
      <w:r w:rsidRPr="002458CF">
        <w:t xml:space="preserve">rogram </w:t>
      </w:r>
      <w:r>
        <w:t>m</w:t>
      </w:r>
      <w:r w:rsidRPr="002458CF">
        <w:t xml:space="preserve">anagement </w:t>
      </w:r>
      <w:r w:rsidRPr="00B50A52">
        <w:t>costs.</w:t>
      </w:r>
      <w:r w:rsidRPr="00A40D65">
        <w:rPr>
          <w:vertAlign w:val="superscript"/>
        </w:rPr>
        <w:footnoteReference w:id="202"/>
      </w:r>
    </w:p>
    <w:p w:rsidR="000C1980" w:rsidP="001968DC" w:rsidRDefault="000C1980" w14:paraId="44F95C84" w14:textId="536862DE">
      <w:pPr>
        <w:pStyle w:val="Heading3"/>
        <w:ind w:left="2664"/>
      </w:pPr>
      <w:bookmarkStart w:name="_Toc69947831" w:id="146"/>
      <w:r>
        <w:t>Party Positions</w:t>
      </w:r>
      <w:bookmarkEnd w:id="146"/>
      <w:r>
        <w:t xml:space="preserve"> </w:t>
      </w:r>
    </w:p>
    <w:p w:rsidRPr="00E13008" w:rsidR="000C1980" w:rsidP="001F6BDD" w:rsidRDefault="000C1980" w14:paraId="2D5F148A" w14:textId="77777777">
      <w:pPr>
        <w:pStyle w:val="Standard"/>
      </w:pPr>
      <w:r>
        <w:t>No</w:t>
      </w:r>
      <w:r w:rsidRPr="00195C3E">
        <w:t xml:space="preserve"> </w:t>
      </w:r>
      <w:r>
        <w:t xml:space="preserve">substantive </w:t>
      </w:r>
      <w:r w:rsidRPr="00195C3E">
        <w:t xml:space="preserve">party comments </w:t>
      </w:r>
      <w:r>
        <w:t>were received on this topic</w:t>
      </w:r>
      <w:r w:rsidRPr="00192C0E">
        <w:t>.</w:t>
      </w:r>
      <w:r w:rsidRPr="00594F9E">
        <w:t xml:space="preserve"> </w:t>
      </w:r>
    </w:p>
    <w:p w:rsidRPr="00E13008" w:rsidR="000C1980" w:rsidP="001968DC" w:rsidRDefault="000C1980" w14:paraId="33A3AAC8" w14:textId="10DF757C">
      <w:pPr>
        <w:pStyle w:val="Heading3"/>
        <w:ind w:left="2664"/>
      </w:pPr>
      <w:bookmarkStart w:name="_Toc69947832" w:id="147"/>
      <w:r w:rsidRPr="00E13008">
        <w:t>Discussion</w:t>
      </w:r>
      <w:bookmarkEnd w:id="147"/>
    </w:p>
    <w:p w:rsidRPr="001013A3" w:rsidR="000C1980" w:rsidP="001968DC" w:rsidRDefault="000C1980" w14:paraId="28DB7A6C" w14:textId="77777777">
      <w:pPr>
        <w:pStyle w:val="Heading4"/>
        <w:ind w:left="3600"/>
      </w:pPr>
      <w:bookmarkStart w:name="_Toc69947833" w:id="148"/>
      <w:r w:rsidRPr="001013A3">
        <w:t xml:space="preserve">CARE Subsidy Budgets for all IOUs: </w:t>
      </w:r>
      <w:r w:rsidRPr="001013A3">
        <w:rPr>
          <w:u w:val="single"/>
        </w:rPr>
        <w:t>Approved</w:t>
      </w:r>
      <w:bookmarkEnd w:id="148"/>
    </w:p>
    <w:p w:rsidR="000C1980" w:rsidP="001F6BDD" w:rsidRDefault="000C1980" w14:paraId="06F44AD1" w14:textId="3896D5FC">
      <w:pPr>
        <w:pStyle w:val="Standard"/>
      </w:pPr>
      <w:bookmarkStart w:name="_Hlk57719850" w:id="149"/>
      <w:r w:rsidRPr="00E13008">
        <w:t xml:space="preserve">In </w:t>
      </w:r>
      <w:r>
        <w:t>comparing the</w:t>
      </w:r>
      <w:r w:rsidRPr="00E13008">
        <w:t xml:space="preserve"> historical subsidy expenditures </w:t>
      </w:r>
      <w:r>
        <w:t>from</w:t>
      </w:r>
      <w:r w:rsidRPr="00E13008">
        <w:t xml:space="preserve"> PYs </w:t>
      </w:r>
      <w:r w:rsidRPr="00B1682E">
        <w:t>2017-2020</w:t>
      </w:r>
      <w:r w:rsidRPr="00E13008">
        <w:t xml:space="preserve"> below, we can </w:t>
      </w:r>
      <w:r w:rsidRPr="000C7596">
        <w:t xml:space="preserve">see that the proposed yearly CARE subsidy budgets have </w:t>
      </w:r>
      <w:r w:rsidRPr="000C7596">
        <w:lastRenderedPageBreak/>
        <w:t>increased for all the IOUs</w:t>
      </w:r>
      <w:r>
        <w:t>.  We find this reasonable given the comparable increase in the number of households enrolled and the changes to residential electric and gas rates</w:t>
      </w:r>
      <w:r w:rsidRPr="00704CFA">
        <w:t xml:space="preserve">. Therefore, </w:t>
      </w:r>
      <w:r>
        <w:t xml:space="preserve">we </w:t>
      </w:r>
      <w:r w:rsidRPr="00704CFA">
        <w:t>approve</w:t>
      </w:r>
      <w:r>
        <w:t xml:space="preserve"> the below </w:t>
      </w:r>
      <w:r w:rsidRPr="00704CFA">
        <w:t>CARE subsidy budgets.</w:t>
      </w:r>
      <w:r>
        <w:t xml:space="preserve"> </w:t>
      </w:r>
    </w:p>
    <w:p w:rsidRPr="00C64BF5" w:rsidR="000C1980" w:rsidP="001968DC" w:rsidRDefault="000C1980" w14:paraId="64E6F5A3" w14:textId="4A68B9BE">
      <w:pPr>
        <w:pStyle w:val="Quote"/>
        <w:keepNext/>
        <w:keepLines/>
        <w:ind w:left="1080"/>
        <w:jc w:val="center"/>
        <w:rPr>
          <w:b/>
          <w:bCs/>
        </w:rPr>
      </w:pPr>
      <w:r w:rsidRPr="00C64BF5">
        <w:rPr>
          <w:b/>
          <w:bCs/>
        </w:rPr>
        <w:t>Table 5</w:t>
      </w:r>
      <w:r>
        <w:rPr>
          <w:b/>
          <w:bCs/>
        </w:rPr>
        <w:t xml:space="preserve">: </w:t>
      </w:r>
      <w:r w:rsidRPr="00C64BF5">
        <w:rPr>
          <w:b/>
          <w:bCs/>
        </w:rPr>
        <w:t xml:space="preserve">Historical Authorized CARE Subsidy Budgets </w:t>
      </w:r>
      <w:r w:rsidR="00520BA8">
        <w:rPr>
          <w:b/>
          <w:bCs/>
        </w:rPr>
        <w:t>and</w:t>
      </w:r>
      <w:r w:rsidRPr="00C64BF5" w:rsidR="00520BA8">
        <w:rPr>
          <w:b/>
          <w:bCs/>
        </w:rPr>
        <w:t xml:space="preserve"> </w:t>
      </w:r>
      <w:r w:rsidRPr="00C64BF5">
        <w:rPr>
          <w:b/>
          <w:bCs/>
        </w:rPr>
        <w:t>Proposed CARE Subsidy Budgets</w:t>
      </w:r>
      <w:r w:rsidRPr="00C64BF5">
        <w:rPr>
          <w:b/>
          <w:bCs/>
          <w:vertAlign w:val="superscript"/>
        </w:rPr>
        <w:footnoteReference w:id="203"/>
      </w:r>
    </w:p>
    <w:tbl>
      <w:tblPr>
        <w:tblStyle w:val="TableGrid"/>
        <w:tblW w:w="9736" w:type="dxa"/>
        <w:tblLook w:val="04A0" w:firstRow="1" w:lastRow="0" w:firstColumn="1" w:lastColumn="0" w:noHBand="0" w:noVBand="1"/>
      </w:tblPr>
      <w:tblGrid>
        <w:gridCol w:w="1060"/>
        <w:gridCol w:w="1740"/>
        <w:gridCol w:w="1740"/>
        <w:gridCol w:w="1740"/>
        <w:gridCol w:w="1740"/>
        <w:gridCol w:w="1826"/>
      </w:tblGrid>
      <w:tr w:rsidRPr="003138DA" w:rsidR="000C1980" w:rsidTr="00900A53" w14:paraId="4A6C493F" w14:textId="77777777">
        <w:trPr>
          <w:trHeight w:val="320"/>
        </w:trPr>
        <w:tc>
          <w:tcPr>
            <w:tcW w:w="1060" w:type="dxa"/>
            <w:noWrap/>
            <w:hideMark/>
          </w:tcPr>
          <w:p w:rsidRPr="003138DA" w:rsidR="000C1980" w:rsidP="001968DC" w:rsidRDefault="000C1980" w14:paraId="0B6A5385" w14:textId="77777777">
            <w:pPr>
              <w:keepNext/>
              <w:keepLines/>
              <w:ind w:left="360"/>
              <w:jc w:val="center"/>
              <w:rPr>
                <w:rFonts w:eastAsia="Times New Roman" w:cs="Calibri"/>
                <w:b/>
                <w:bCs/>
                <w:color w:val="000000"/>
                <w:sz w:val="20"/>
              </w:rPr>
            </w:pPr>
            <w:r w:rsidRPr="003138DA">
              <w:rPr>
                <w:rFonts w:eastAsia="Times New Roman" w:cs="Calibri"/>
                <w:b/>
                <w:bCs/>
                <w:color w:val="000000"/>
                <w:sz w:val="20"/>
              </w:rPr>
              <w:t>PY</w:t>
            </w:r>
          </w:p>
        </w:tc>
        <w:tc>
          <w:tcPr>
            <w:tcW w:w="1740" w:type="dxa"/>
            <w:noWrap/>
            <w:hideMark/>
          </w:tcPr>
          <w:p w:rsidRPr="003138DA" w:rsidR="000C1980" w:rsidP="001968DC" w:rsidRDefault="000C1980" w14:paraId="0912DEF9" w14:textId="77777777">
            <w:pPr>
              <w:keepNext/>
              <w:keepLines/>
              <w:ind w:left="360"/>
              <w:jc w:val="center"/>
              <w:rPr>
                <w:rFonts w:eastAsia="Times New Roman" w:cs="Calibri"/>
                <w:b/>
                <w:bCs/>
                <w:color w:val="000000"/>
                <w:sz w:val="20"/>
              </w:rPr>
            </w:pPr>
            <w:r w:rsidRPr="003138DA">
              <w:rPr>
                <w:rFonts w:eastAsia="Times New Roman" w:cs="Calibri"/>
                <w:b/>
                <w:bCs/>
                <w:color w:val="000000"/>
                <w:sz w:val="20"/>
              </w:rPr>
              <w:t>SCE</w:t>
            </w:r>
          </w:p>
        </w:tc>
        <w:tc>
          <w:tcPr>
            <w:tcW w:w="1740" w:type="dxa"/>
            <w:noWrap/>
            <w:hideMark/>
          </w:tcPr>
          <w:p w:rsidRPr="003138DA" w:rsidR="000C1980" w:rsidP="001968DC" w:rsidRDefault="000C1980" w14:paraId="3400BF23" w14:textId="77777777">
            <w:pPr>
              <w:keepNext/>
              <w:keepLines/>
              <w:ind w:left="360"/>
              <w:jc w:val="center"/>
              <w:rPr>
                <w:rFonts w:eastAsia="Times New Roman" w:cs="Calibri"/>
                <w:b/>
                <w:bCs/>
                <w:color w:val="000000"/>
                <w:sz w:val="20"/>
              </w:rPr>
            </w:pPr>
            <w:r w:rsidRPr="003138DA">
              <w:rPr>
                <w:rFonts w:eastAsia="Times New Roman" w:cs="Calibri"/>
                <w:b/>
                <w:bCs/>
                <w:color w:val="000000"/>
                <w:sz w:val="20"/>
              </w:rPr>
              <w:t>PG&amp;E</w:t>
            </w:r>
          </w:p>
        </w:tc>
        <w:tc>
          <w:tcPr>
            <w:tcW w:w="1740" w:type="dxa"/>
            <w:noWrap/>
            <w:hideMark/>
          </w:tcPr>
          <w:p w:rsidRPr="003138DA" w:rsidR="000C1980" w:rsidP="001968DC" w:rsidRDefault="000C1980" w14:paraId="1BB182E6" w14:textId="77777777">
            <w:pPr>
              <w:keepNext/>
              <w:keepLines/>
              <w:ind w:left="360"/>
              <w:jc w:val="center"/>
              <w:rPr>
                <w:rFonts w:eastAsia="Times New Roman" w:cs="Calibri"/>
                <w:b/>
                <w:bCs/>
                <w:color w:val="000000"/>
                <w:sz w:val="20"/>
              </w:rPr>
            </w:pPr>
            <w:r w:rsidRPr="003138DA">
              <w:rPr>
                <w:rFonts w:eastAsia="Times New Roman" w:cs="Calibri"/>
                <w:b/>
                <w:bCs/>
                <w:color w:val="000000"/>
                <w:sz w:val="20"/>
              </w:rPr>
              <w:t>SDG&amp;E</w:t>
            </w:r>
          </w:p>
        </w:tc>
        <w:tc>
          <w:tcPr>
            <w:tcW w:w="1740" w:type="dxa"/>
            <w:noWrap/>
            <w:hideMark/>
          </w:tcPr>
          <w:p w:rsidRPr="003138DA" w:rsidR="000C1980" w:rsidP="001968DC" w:rsidRDefault="000C1980" w14:paraId="03F77B96" w14:textId="77777777">
            <w:pPr>
              <w:keepNext/>
              <w:keepLines/>
              <w:ind w:left="360"/>
              <w:jc w:val="center"/>
              <w:rPr>
                <w:rFonts w:eastAsia="Times New Roman" w:cs="Calibri"/>
                <w:b/>
                <w:bCs/>
                <w:color w:val="000000"/>
                <w:sz w:val="20"/>
              </w:rPr>
            </w:pPr>
            <w:r w:rsidRPr="003138DA">
              <w:rPr>
                <w:rFonts w:eastAsia="Times New Roman" w:cs="Calibri"/>
                <w:b/>
                <w:bCs/>
                <w:color w:val="000000"/>
                <w:sz w:val="20"/>
              </w:rPr>
              <w:t>SoCalGas</w:t>
            </w:r>
          </w:p>
        </w:tc>
        <w:tc>
          <w:tcPr>
            <w:tcW w:w="1716" w:type="dxa"/>
            <w:noWrap/>
            <w:hideMark/>
          </w:tcPr>
          <w:p w:rsidRPr="003138DA" w:rsidR="000C1980" w:rsidP="001968DC" w:rsidRDefault="000C1980" w14:paraId="484CEEA7" w14:textId="77777777">
            <w:pPr>
              <w:keepNext/>
              <w:keepLines/>
              <w:ind w:left="360"/>
              <w:jc w:val="center"/>
              <w:rPr>
                <w:rFonts w:eastAsia="Times New Roman" w:cs="Calibri"/>
                <w:b/>
                <w:bCs/>
                <w:color w:val="000000"/>
                <w:sz w:val="20"/>
              </w:rPr>
            </w:pPr>
            <w:r w:rsidRPr="003138DA">
              <w:rPr>
                <w:rFonts w:eastAsia="Times New Roman" w:cs="Calibri"/>
                <w:b/>
                <w:bCs/>
                <w:color w:val="000000"/>
                <w:sz w:val="20"/>
              </w:rPr>
              <w:t>Total</w:t>
            </w:r>
          </w:p>
        </w:tc>
      </w:tr>
      <w:tr w:rsidRPr="003138DA" w:rsidR="000C1980" w:rsidTr="00900A53" w14:paraId="17113C4D" w14:textId="5B9E51AF">
        <w:trPr>
          <w:trHeight w:val="320"/>
        </w:trPr>
        <w:tc>
          <w:tcPr>
            <w:tcW w:w="9736" w:type="dxa"/>
            <w:gridSpan w:val="6"/>
            <w:noWrap/>
          </w:tcPr>
          <w:p w:rsidRPr="003138DA" w:rsidR="000C1980" w:rsidP="001968DC" w:rsidRDefault="000C1980" w14:paraId="3742C1CA" w14:textId="0C2752C0">
            <w:pPr>
              <w:keepNext/>
              <w:keepLines/>
              <w:ind w:left="360"/>
              <w:jc w:val="center"/>
              <w:rPr>
                <w:rFonts w:eastAsia="Times New Roman" w:cs="Calibri"/>
                <w:color w:val="000000"/>
                <w:sz w:val="20"/>
              </w:rPr>
            </w:pPr>
            <w:r w:rsidRPr="003138DA">
              <w:rPr>
                <w:rFonts w:eastAsia="Times New Roman" w:cs="Calibri"/>
                <w:b/>
                <w:bCs/>
                <w:color w:val="000000"/>
                <w:sz w:val="20"/>
              </w:rPr>
              <w:t xml:space="preserve">Historical </w:t>
            </w:r>
            <w:r w:rsidRPr="003138DA" w:rsidR="00CC6368">
              <w:rPr>
                <w:rFonts w:eastAsia="Times New Roman" w:cs="Calibri"/>
                <w:b/>
                <w:bCs/>
                <w:color w:val="000000"/>
                <w:sz w:val="20"/>
              </w:rPr>
              <w:t xml:space="preserve">CARE </w:t>
            </w:r>
            <w:r w:rsidRPr="003138DA">
              <w:rPr>
                <w:rFonts w:eastAsia="Times New Roman" w:cs="Calibri"/>
                <w:b/>
                <w:bCs/>
                <w:color w:val="000000"/>
                <w:sz w:val="20"/>
              </w:rPr>
              <w:t>Subsidy Budgets</w:t>
            </w:r>
          </w:p>
        </w:tc>
      </w:tr>
      <w:tr w:rsidRPr="003138DA" w:rsidR="000C1980" w:rsidTr="00900A53" w14:paraId="187F6202" w14:textId="77777777">
        <w:trPr>
          <w:trHeight w:val="386"/>
        </w:trPr>
        <w:tc>
          <w:tcPr>
            <w:tcW w:w="1060" w:type="dxa"/>
            <w:noWrap/>
            <w:hideMark/>
          </w:tcPr>
          <w:p w:rsidRPr="003138DA" w:rsidR="000C1980" w:rsidP="003138DA" w:rsidRDefault="000C1980" w14:paraId="0B430841" w14:textId="77777777">
            <w:pPr>
              <w:keepNext/>
              <w:keepLines/>
              <w:ind w:left="360"/>
              <w:rPr>
                <w:rFonts w:eastAsia="Times New Roman" w:cs="Calibri"/>
                <w:color w:val="000000"/>
                <w:sz w:val="20"/>
              </w:rPr>
            </w:pPr>
            <w:r w:rsidRPr="003138DA">
              <w:rPr>
                <w:rFonts w:eastAsia="Times New Roman" w:cs="Calibri"/>
                <w:color w:val="000000"/>
                <w:sz w:val="20"/>
              </w:rPr>
              <w:t>2017</w:t>
            </w:r>
          </w:p>
        </w:tc>
        <w:tc>
          <w:tcPr>
            <w:tcW w:w="1740" w:type="dxa"/>
            <w:noWrap/>
            <w:hideMark/>
          </w:tcPr>
          <w:p w:rsidRPr="003138DA" w:rsidR="000C1980" w:rsidP="001968DC" w:rsidRDefault="000C1980" w14:paraId="25A05485" w14:textId="77777777">
            <w:pPr>
              <w:keepNext/>
              <w:keepLines/>
              <w:ind w:left="360"/>
              <w:jc w:val="right"/>
              <w:rPr>
                <w:rFonts w:eastAsia="Times New Roman" w:cs="Calibri"/>
                <w:color w:val="000000"/>
                <w:sz w:val="20"/>
              </w:rPr>
            </w:pPr>
            <w:r w:rsidRPr="003138DA">
              <w:rPr>
                <w:rFonts w:eastAsia="Times New Roman" w:cs="Calibri"/>
                <w:color w:val="000000"/>
                <w:sz w:val="20"/>
              </w:rPr>
              <w:t>$375,043,839</w:t>
            </w:r>
          </w:p>
        </w:tc>
        <w:tc>
          <w:tcPr>
            <w:tcW w:w="1740" w:type="dxa"/>
            <w:noWrap/>
            <w:hideMark/>
          </w:tcPr>
          <w:p w:rsidRPr="003138DA" w:rsidR="000C1980" w:rsidP="001968DC" w:rsidRDefault="000C1980" w14:paraId="12D740EB" w14:textId="77777777">
            <w:pPr>
              <w:keepNext/>
              <w:keepLines/>
              <w:ind w:left="360"/>
              <w:jc w:val="right"/>
              <w:rPr>
                <w:rFonts w:eastAsia="Times New Roman" w:cs="Calibri"/>
                <w:color w:val="000000"/>
                <w:sz w:val="20"/>
              </w:rPr>
            </w:pPr>
            <w:r w:rsidRPr="003138DA">
              <w:rPr>
                <w:rFonts w:eastAsia="Times New Roman" w:cs="Calibri"/>
                <w:color w:val="000000"/>
                <w:sz w:val="20"/>
              </w:rPr>
              <w:t>$643,538,184</w:t>
            </w:r>
          </w:p>
        </w:tc>
        <w:tc>
          <w:tcPr>
            <w:tcW w:w="1740" w:type="dxa"/>
            <w:noWrap/>
            <w:hideMark/>
          </w:tcPr>
          <w:p w:rsidRPr="003138DA" w:rsidR="000C1980" w:rsidP="001968DC" w:rsidRDefault="000C1980" w14:paraId="66E23F9A" w14:textId="77777777">
            <w:pPr>
              <w:keepNext/>
              <w:keepLines/>
              <w:ind w:left="360"/>
              <w:jc w:val="right"/>
              <w:rPr>
                <w:rFonts w:eastAsia="Times New Roman" w:cs="Calibri"/>
                <w:color w:val="000000"/>
                <w:sz w:val="20"/>
              </w:rPr>
            </w:pPr>
            <w:r w:rsidRPr="003138DA">
              <w:rPr>
                <w:rFonts w:eastAsia="Times New Roman" w:cs="Calibri"/>
                <w:color w:val="000000"/>
                <w:sz w:val="20"/>
              </w:rPr>
              <w:t>$114,029,348</w:t>
            </w:r>
          </w:p>
        </w:tc>
        <w:tc>
          <w:tcPr>
            <w:tcW w:w="1740" w:type="dxa"/>
            <w:hideMark/>
          </w:tcPr>
          <w:p w:rsidRPr="003138DA" w:rsidR="000C1980" w:rsidP="001968DC" w:rsidRDefault="000C1980" w14:paraId="10AED4AF" w14:textId="77777777">
            <w:pPr>
              <w:keepNext/>
              <w:keepLines/>
              <w:ind w:left="360"/>
              <w:jc w:val="right"/>
              <w:rPr>
                <w:rFonts w:eastAsia="Times New Roman" w:cs="Calibri"/>
                <w:color w:val="000000"/>
                <w:sz w:val="20"/>
              </w:rPr>
            </w:pPr>
            <w:r w:rsidRPr="003138DA">
              <w:rPr>
                <w:rFonts w:eastAsia="Times New Roman" w:cs="Calibri"/>
                <w:color w:val="000000"/>
                <w:sz w:val="20"/>
              </w:rPr>
              <w:t>$105,702,810</w:t>
            </w:r>
          </w:p>
        </w:tc>
        <w:tc>
          <w:tcPr>
            <w:tcW w:w="1716" w:type="dxa"/>
            <w:noWrap/>
            <w:hideMark/>
          </w:tcPr>
          <w:p w:rsidRPr="003138DA" w:rsidR="000C1980" w:rsidP="001968DC" w:rsidRDefault="000C1980" w14:paraId="1E21F9F8" w14:textId="77777777">
            <w:pPr>
              <w:keepNext/>
              <w:keepLines/>
              <w:ind w:left="360"/>
              <w:jc w:val="right"/>
              <w:rPr>
                <w:rFonts w:eastAsia="Times New Roman" w:cs="Calibri"/>
                <w:color w:val="000000"/>
                <w:sz w:val="20"/>
              </w:rPr>
            </w:pPr>
            <w:r w:rsidRPr="003138DA">
              <w:rPr>
                <w:rFonts w:eastAsia="Times New Roman" w:cs="Calibri"/>
                <w:color w:val="000000"/>
                <w:sz w:val="20"/>
              </w:rPr>
              <w:t>$1,238,314,181</w:t>
            </w:r>
          </w:p>
        </w:tc>
      </w:tr>
      <w:tr w:rsidRPr="003138DA" w:rsidR="000C1980" w:rsidTr="00900A53" w14:paraId="387A279E" w14:textId="77777777">
        <w:trPr>
          <w:trHeight w:val="413"/>
        </w:trPr>
        <w:tc>
          <w:tcPr>
            <w:tcW w:w="1060" w:type="dxa"/>
            <w:noWrap/>
            <w:hideMark/>
          </w:tcPr>
          <w:p w:rsidRPr="003138DA" w:rsidR="000C1980" w:rsidP="003138DA" w:rsidRDefault="000C1980" w14:paraId="69DFA211" w14:textId="77777777">
            <w:pPr>
              <w:keepNext/>
              <w:keepLines/>
              <w:ind w:left="360"/>
              <w:rPr>
                <w:rFonts w:eastAsia="Times New Roman" w:cs="Calibri"/>
                <w:color w:val="000000"/>
                <w:sz w:val="20"/>
              </w:rPr>
            </w:pPr>
            <w:r w:rsidRPr="003138DA">
              <w:rPr>
                <w:rFonts w:eastAsia="Times New Roman" w:cs="Calibri"/>
                <w:color w:val="000000"/>
                <w:sz w:val="20"/>
              </w:rPr>
              <w:t>2018</w:t>
            </w:r>
          </w:p>
        </w:tc>
        <w:tc>
          <w:tcPr>
            <w:tcW w:w="1740" w:type="dxa"/>
            <w:noWrap/>
            <w:hideMark/>
          </w:tcPr>
          <w:p w:rsidRPr="003138DA" w:rsidR="000C1980" w:rsidP="001968DC" w:rsidRDefault="000C1980" w14:paraId="435960FC" w14:textId="77777777">
            <w:pPr>
              <w:keepNext/>
              <w:keepLines/>
              <w:ind w:left="360"/>
              <w:jc w:val="right"/>
              <w:rPr>
                <w:rFonts w:eastAsia="Times New Roman" w:cs="Calibri"/>
                <w:color w:val="000000"/>
                <w:sz w:val="20"/>
              </w:rPr>
            </w:pPr>
            <w:r w:rsidRPr="003138DA">
              <w:rPr>
                <w:rFonts w:eastAsia="Times New Roman" w:cs="Calibri"/>
                <w:color w:val="000000"/>
                <w:sz w:val="20"/>
              </w:rPr>
              <w:t>$376,226,811</w:t>
            </w:r>
          </w:p>
        </w:tc>
        <w:tc>
          <w:tcPr>
            <w:tcW w:w="1740" w:type="dxa"/>
            <w:noWrap/>
            <w:hideMark/>
          </w:tcPr>
          <w:p w:rsidRPr="003138DA" w:rsidR="000C1980" w:rsidP="001968DC" w:rsidRDefault="000C1980" w14:paraId="56EA7238" w14:textId="77777777">
            <w:pPr>
              <w:keepNext/>
              <w:keepLines/>
              <w:ind w:left="360"/>
              <w:jc w:val="right"/>
              <w:rPr>
                <w:rFonts w:eastAsia="Times New Roman" w:cs="Calibri"/>
                <w:color w:val="000000"/>
                <w:sz w:val="20"/>
              </w:rPr>
            </w:pPr>
            <w:r w:rsidRPr="003138DA">
              <w:rPr>
                <w:rFonts w:eastAsia="Times New Roman" w:cs="Calibri"/>
                <w:color w:val="000000"/>
                <w:sz w:val="20"/>
              </w:rPr>
              <w:t>$610,623,696</w:t>
            </w:r>
          </w:p>
        </w:tc>
        <w:tc>
          <w:tcPr>
            <w:tcW w:w="1740" w:type="dxa"/>
            <w:noWrap/>
            <w:hideMark/>
          </w:tcPr>
          <w:p w:rsidRPr="003138DA" w:rsidR="000C1980" w:rsidP="001968DC" w:rsidRDefault="000C1980" w14:paraId="7B2CC3E7" w14:textId="77777777">
            <w:pPr>
              <w:keepNext/>
              <w:keepLines/>
              <w:ind w:left="360"/>
              <w:jc w:val="right"/>
              <w:rPr>
                <w:rFonts w:eastAsia="Times New Roman" w:cs="Calibri"/>
                <w:color w:val="000000"/>
                <w:sz w:val="20"/>
              </w:rPr>
            </w:pPr>
            <w:r w:rsidRPr="003138DA">
              <w:rPr>
                <w:rFonts w:eastAsia="Times New Roman" w:cs="Calibri"/>
                <w:color w:val="000000"/>
                <w:sz w:val="20"/>
              </w:rPr>
              <w:t>$126,165,599</w:t>
            </w:r>
          </w:p>
        </w:tc>
        <w:tc>
          <w:tcPr>
            <w:tcW w:w="1740" w:type="dxa"/>
            <w:hideMark/>
          </w:tcPr>
          <w:p w:rsidRPr="003138DA" w:rsidR="000C1980" w:rsidP="001968DC" w:rsidRDefault="000C1980" w14:paraId="7F6474E4" w14:textId="77777777">
            <w:pPr>
              <w:keepNext/>
              <w:keepLines/>
              <w:ind w:left="360"/>
              <w:jc w:val="right"/>
              <w:rPr>
                <w:rFonts w:eastAsia="Times New Roman" w:cs="Calibri"/>
                <w:color w:val="000000"/>
                <w:sz w:val="20"/>
              </w:rPr>
            </w:pPr>
            <w:r w:rsidRPr="003138DA">
              <w:rPr>
                <w:rFonts w:eastAsia="Times New Roman" w:cs="Calibri"/>
                <w:color w:val="000000"/>
                <w:sz w:val="20"/>
              </w:rPr>
              <w:t>$108,348,466</w:t>
            </w:r>
          </w:p>
        </w:tc>
        <w:tc>
          <w:tcPr>
            <w:tcW w:w="1716" w:type="dxa"/>
            <w:noWrap/>
            <w:hideMark/>
          </w:tcPr>
          <w:p w:rsidRPr="003138DA" w:rsidR="000C1980" w:rsidP="001968DC" w:rsidRDefault="000C1980" w14:paraId="4BE55852" w14:textId="77777777">
            <w:pPr>
              <w:keepNext/>
              <w:keepLines/>
              <w:ind w:left="360"/>
              <w:jc w:val="right"/>
              <w:rPr>
                <w:rFonts w:eastAsia="Times New Roman" w:cs="Calibri"/>
                <w:color w:val="000000"/>
                <w:sz w:val="20"/>
              </w:rPr>
            </w:pPr>
            <w:r w:rsidRPr="003138DA">
              <w:rPr>
                <w:rFonts w:eastAsia="Times New Roman" w:cs="Calibri"/>
                <w:color w:val="000000"/>
                <w:sz w:val="20"/>
              </w:rPr>
              <w:t>$1,221,364,572</w:t>
            </w:r>
          </w:p>
        </w:tc>
      </w:tr>
      <w:tr w:rsidRPr="003138DA" w:rsidR="000C1980" w:rsidTr="00900A53" w14:paraId="6C3830BE" w14:textId="77777777">
        <w:trPr>
          <w:trHeight w:val="449"/>
        </w:trPr>
        <w:tc>
          <w:tcPr>
            <w:tcW w:w="1060" w:type="dxa"/>
            <w:noWrap/>
            <w:hideMark/>
          </w:tcPr>
          <w:p w:rsidRPr="003138DA" w:rsidR="000C1980" w:rsidP="003138DA" w:rsidRDefault="000C1980" w14:paraId="414EAC78" w14:textId="77777777">
            <w:pPr>
              <w:ind w:left="360"/>
              <w:rPr>
                <w:rFonts w:eastAsia="Times New Roman" w:cs="Calibri"/>
                <w:color w:val="000000"/>
                <w:sz w:val="20"/>
              </w:rPr>
            </w:pPr>
            <w:r w:rsidRPr="003138DA">
              <w:rPr>
                <w:rFonts w:eastAsia="Times New Roman" w:cs="Calibri"/>
                <w:color w:val="000000"/>
                <w:sz w:val="20"/>
              </w:rPr>
              <w:t>2019</w:t>
            </w:r>
          </w:p>
        </w:tc>
        <w:tc>
          <w:tcPr>
            <w:tcW w:w="1740" w:type="dxa"/>
            <w:noWrap/>
            <w:hideMark/>
          </w:tcPr>
          <w:p w:rsidRPr="003138DA" w:rsidR="000C1980" w:rsidP="001968DC" w:rsidRDefault="000C1980" w14:paraId="023B49CB" w14:textId="77777777">
            <w:pPr>
              <w:ind w:left="360"/>
              <w:jc w:val="right"/>
              <w:rPr>
                <w:rFonts w:eastAsia="Times New Roman" w:cs="Calibri"/>
                <w:color w:val="000000"/>
                <w:sz w:val="20"/>
              </w:rPr>
            </w:pPr>
            <w:r w:rsidRPr="003138DA">
              <w:rPr>
                <w:rFonts w:eastAsia="Times New Roman" w:cs="Calibri"/>
                <w:color w:val="000000"/>
                <w:sz w:val="20"/>
              </w:rPr>
              <w:t>$365,302,843</w:t>
            </w:r>
          </w:p>
        </w:tc>
        <w:tc>
          <w:tcPr>
            <w:tcW w:w="1740" w:type="dxa"/>
            <w:noWrap/>
            <w:hideMark/>
          </w:tcPr>
          <w:p w:rsidRPr="003138DA" w:rsidR="000C1980" w:rsidP="001968DC" w:rsidRDefault="000C1980" w14:paraId="378AAE30" w14:textId="77777777">
            <w:pPr>
              <w:ind w:left="360"/>
              <w:jc w:val="right"/>
              <w:rPr>
                <w:rFonts w:eastAsia="Times New Roman" w:cs="Calibri"/>
                <w:color w:val="000000"/>
                <w:sz w:val="20"/>
              </w:rPr>
            </w:pPr>
            <w:r w:rsidRPr="003138DA">
              <w:rPr>
                <w:rFonts w:eastAsia="Times New Roman" w:cs="Calibri"/>
                <w:color w:val="000000"/>
                <w:sz w:val="20"/>
              </w:rPr>
              <w:t>$638,701,809</w:t>
            </w:r>
          </w:p>
        </w:tc>
        <w:tc>
          <w:tcPr>
            <w:tcW w:w="1740" w:type="dxa"/>
            <w:noWrap/>
            <w:hideMark/>
          </w:tcPr>
          <w:p w:rsidRPr="003138DA" w:rsidR="000C1980" w:rsidP="001968DC" w:rsidRDefault="000C1980" w14:paraId="5E493F2E" w14:textId="77777777">
            <w:pPr>
              <w:ind w:left="360"/>
              <w:jc w:val="right"/>
              <w:rPr>
                <w:rFonts w:eastAsia="Times New Roman" w:cs="Calibri"/>
                <w:color w:val="000000"/>
                <w:sz w:val="20"/>
              </w:rPr>
            </w:pPr>
            <w:r w:rsidRPr="003138DA">
              <w:rPr>
                <w:rFonts w:eastAsia="Times New Roman" w:cs="Calibri"/>
                <w:color w:val="000000"/>
                <w:sz w:val="20"/>
              </w:rPr>
              <w:t>$117,947,051</w:t>
            </w:r>
          </w:p>
        </w:tc>
        <w:tc>
          <w:tcPr>
            <w:tcW w:w="1740" w:type="dxa"/>
            <w:hideMark/>
          </w:tcPr>
          <w:p w:rsidRPr="003138DA" w:rsidR="000C1980" w:rsidP="001968DC" w:rsidRDefault="000C1980" w14:paraId="3B09AD17" w14:textId="77777777">
            <w:pPr>
              <w:ind w:left="360"/>
              <w:jc w:val="right"/>
              <w:rPr>
                <w:rFonts w:eastAsia="Times New Roman" w:cs="Calibri"/>
                <w:color w:val="000000"/>
                <w:sz w:val="20"/>
              </w:rPr>
            </w:pPr>
            <w:r w:rsidRPr="003138DA">
              <w:rPr>
                <w:rFonts w:eastAsia="Times New Roman" w:cs="Calibri"/>
                <w:color w:val="000000"/>
                <w:sz w:val="20"/>
              </w:rPr>
              <w:t>$133,972,855</w:t>
            </w:r>
          </w:p>
        </w:tc>
        <w:tc>
          <w:tcPr>
            <w:tcW w:w="1716" w:type="dxa"/>
            <w:noWrap/>
            <w:hideMark/>
          </w:tcPr>
          <w:p w:rsidRPr="003138DA" w:rsidR="000C1980" w:rsidP="001968DC" w:rsidRDefault="000C1980" w14:paraId="7D421BFA" w14:textId="77777777">
            <w:pPr>
              <w:ind w:left="360"/>
              <w:jc w:val="right"/>
              <w:rPr>
                <w:rFonts w:eastAsia="Times New Roman" w:cs="Calibri"/>
                <w:color w:val="000000"/>
                <w:sz w:val="20"/>
              </w:rPr>
            </w:pPr>
            <w:r w:rsidRPr="003138DA">
              <w:rPr>
                <w:rFonts w:eastAsia="Times New Roman" w:cs="Calibri"/>
                <w:color w:val="000000"/>
                <w:sz w:val="20"/>
              </w:rPr>
              <w:t>$1,255,924,558</w:t>
            </w:r>
          </w:p>
        </w:tc>
      </w:tr>
      <w:tr w:rsidRPr="003138DA" w:rsidR="000C1980" w:rsidTr="00900A53" w14:paraId="0F40F2CD" w14:textId="77777777">
        <w:trPr>
          <w:trHeight w:val="386"/>
        </w:trPr>
        <w:tc>
          <w:tcPr>
            <w:tcW w:w="1060" w:type="dxa"/>
            <w:noWrap/>
            <w:hideMark/>
          </w:tcPr>
          <w:p w:rsidRPr="003138DA" w:rsidR="000C1980" w:rsidP="003138DA" w:rsidRDefault="000C1980" w14:paraId="42B2CAA8" w14:textId="77777777">
            <w:pPr>
              <w:ind w:left="360"/>
              <w:rPr>
                <w:rFonts w:eastAsia="Times New Roman" w:cs="Calibri"/>
                <w:color w:val="000000"/>
                <w:sz w:val="20"/>
              </w:rPr>
            </w:pPr>
            <w:r w:rsidRPr="003138DA">
              <w:rPr>
                <w:rFonts w:eastAsia="Times New Roman" w:cs="Calibri"/>
                <w:color w:val="000000"/>
                <w:sz w:val="20"/>
              </w:rPr>
              <w:t>2020</w:t>
            </w:r>
          </w:p>
        </w:tc>
        <w:tc>
          <w:tcPr>
            <w:tcW w:w="1740" w:type="dxa"/>
            <w:noWrap/>
            <w:hideMark/>
          </w:tcPr>
          <w:p w:rsidRPr="003138DA" w:rsidR="000C1980" w:rsidP="001968DC" w:rsidRDefault="000C1980" w14:paraId="60155C95" w14:textId="77777777">
            <w:pPr>
              <w:ind w:left="360"/>
              <w:jc w:val="right"/>
              <w:rPr>
                <w:rFonts w:eastAsia="Times New Roman" w:cs="Calibri"/>
                <w:color w:val="000000"/>
                <w:sz w:val="20"/>
              </w:rPr>
            </w:pPr>
            <w:r w:rsidRPr="003138DA">
              <w:rPr>
                <w:rFonts w:eastAsia="Times New Roman" w:cs="Calibri"/>
                <w:color w:val="000000"/>
                <w:sz w:val="20"/>
              </w:rPr>
              <w:t>$492,093,638</w:t>
            </w:r>
          </w:p>
        </w:tc>
        <w:tc>
          <w:tcPr>
            <w:tcW w:w="1740" w:type="dxa"/>
            <w:noWrap/>
            <w:hideMark/>
          </w:tcPr>
          <w:p w:rsidRPr="003138DA" w:rsidR="000C1980" w:rsidP="001968DC" w:rsidRDefault="000C1980" w14:paraId="2E8D99E5" w14:textId="77777777">
            <w:pPr>
              <w:ind w:left="360"/>
              <w:jc w:val="right"/>
              <w:rPr>
                <w:rFonts w:eastAsia="Times New Roman" w:cs="Calibri"/>
                <w:color w:val="000000"/>
                <w:sz w:val="20"/>
              </w:rPr>
            </w:pPr>
            <w:r w:rsidRPr="003138DA">
              <w:rPr>
                <w:rFonts w:eastAsia="Times New Roman" w:cs="Calibri"/>
                <w:color w:val="000000"/>
                <w:sz w:val="20"/>
              </w:rPr>
              <w:t>$599,117,991</w:t>
            </w:r>
          </w:p>
        </w:tc>
        <w:tc>
          <w:tcPr>
            <w:tcW w:w="1740" w:type="dxa"/>
            <w:noWrap/>
            <w:hideMark/>
          </w:tcPr>
          <w:p w:rsidRPr="003138DA" w:rsidR="000C1980" w:rsidP="001968DC" w:rsidRDefault="000C1980" w14:paraId="0955B0E6" w14:textId="77777777">
            <w:pPr>
              <w:ind w:left="360"/>
              <w:jc w:val="right"/>
              <w:rPr>
                <w:rFonts w:eastAsia="Times New Roman" w:cs="Calibri"/>
                <w:color w:val="000000"/>
                <w:sz w:val="20"/>
              </w:rPr>
            </w:pPr>
            <w:r w:rsidRPr="003138DA">
              <w:rPr>
                <w:rFonts w:eastAsia="Times New Roman" w:cs="Calibri"/>
                <w:color w:val="000000"/>
                <w:sz w:val="20"/>
              </w:rPr>
              <w:t>$76,062,933</w:t>
            </w:r>
          </w:p>
        </w:tc>
        <w:tc>
          <w:tcPr>
            <w:tcW w:w="1740" w:type="dxa"/>
            <w:noWrap/>
            <w:hideMark/>
          </w:tcPr>
          <w:p w:rsidRPr="003138DA" w:rsidR="000C1980" w:rsidP="001968DC" w:rsidRDefault="000C1980" w14:paraId="37701EB4" w14:textId="77777777">
            <w:pPr>
              <w:ind w:left="360"/>
              <w:jc w:val="right"/>
              <w:rPr>
                <w:rFonts w:eastAsia="Times New Roman" w:cs="Calibri"/>
                <w:color w:val="000000"/>
                <w:sz w:val="20"/>
              </w:rPr>
            </w:pPr>
            <w:r w:rsidRPr="003138DA">
              <w:rPr>
                <w:rFonts w:eastAsia="Times New Roman" w:cs="Calibri"/>
                <w:color w:val="000000"/>
                <w:sz w:val="20"/>
              </w:rPr>
              <w:t>$132,351,979</w:t>
            </w:r>
          </w:p>
        </w:tc>
        <w:tc>
          <w:tcPr>
            <w:tcW w:w="1716" w:type="dxa"/>
            <w:noWrap/>
            <w:hideMark/>
          </w:tcPr>
          <w:p w:rsidRPr="003138DA" w:rsidR="000C1980" w:rsidP="001968DC" w:rsidRDefault="000C1980" w14:paraId="6356AD3D" w14:textId="77777777">
            <w:pPr>
              <w:ind w:left="360"/>
              <w:jc w:val="right"/>
              <w:rPr>
                <w:rFonts w:eastAsia="Times New Roman" w:cs="Calibri"/>
                <w:color w:val="000000"/>
                <w:sz w:val="20"/>
              </w:rPr>
            </w:pPr>
            <w:r w:rsidRPr="003138DA">
              <w:rPr>
                <w:rFonts w:eastAsia="Times New Roman" w:cs="Calibri"/>
                <w:color w:val="000000"/>
                <w:sz w:val="20"/>
              </w:rPr>
              <w:t>$1,299,626,541</w:t>
            </w:r>
          </w:p>
        </w:tc>
      </w:tr>
      <w:tr w:rsidRPr="003138DA" w:rsidR="000C1980" w:rsidTr="00900A53" w14:paraId="6783D14F" w14:textId="77777777">
        <w:trPr>
          <w:trHeight w:val="320"/>
        </w:trPr>
        <w:tc>
          <w:tcPr>
            <w:tcW w:w="9736" w:type="dxa"/>
            <w:gridSpan w:val="6"/>
            <w:noWrap/>
          </w:tcPr>
          <w:p w:rsidRPr="003138DA" w:rsidR="000C1980" w:rsidP="001968DC" w:rsidRDefault="000C1980" w14:paraId="49AF5CB1" w14:textId="30E8D5A6">
            <w:pPr>
              <w:ind w:left="360"/>
              <w:jc w:val="center"/>
              <w:rPr>
                <w:rFonts w:eastAsia="Times New Roman" w:cs="Calibri"/>
                <w:b/>
                <w:bCs/>
                <w:color w:val="000000"/>
                <w:sz w:val="20"/>
              </w:rPr>
            </w:pPr>
            <w:r w:rsidRPr="003138DA">
              <w:rPr>
                <w:rFonts w:eastAsia="Times New Roman" w:cs="Calibri"/>
                <w:b/>
                <w:bCs/>
                <w:color w:val="000000"/>
                <w:sz w:val="20"/>
              </w:rPr>
              <w:t xml:space="preserve">Approved </w:t>
            </w:r>
            <w:r w:rsidRPr="003138DA" w:rsidR="00CC6368">
              <w:rPr>
                <w:rFonts w:eastAsia="Times New Roman" w:cs="Calibri"/>
                <w:b/>
                <w:bCs/>
                <w:color w:val="000000"/>
                <w:sz w:val="20"/>
              </w:rPr>
              <w:t xml:space="preserve">CARE </w:t>
            </w:r>
            <w:r w:rsidRPr="003138DA">
              <w:rPr>
                <w:rFonts w:eastAsia="Times New Roman" w:cs="Calibri"/>
                <w:b/>
                <w:bCs/>
                <w:color w:val="000000"/>
                <w:sz w:val="20"/>
              </w:rPr>
              <w:t>Subsidy Budgets</w:t>
            </w:r>
          </w:p>
        </w:tc>
      </w:tr>
      <w:tr w:rsidRPr="003138DA" w:rsidR="000C1980" w:rsidTr="00900A53" w14:paraId="14F8A40E" w14:textId="77777777">
        <w:trPr>
          <w:trHeight w:val="320"/>
        </w:trPr>
        <w:tc>
          <w:tcPr>
            <w:tcW w:w="1060" w:type="dxa"/>
            <w:noWrap/>
            <w:hideMark/>
          </w:tcPr>
          <w:p w:rsidRPr="003138DA" w:rsidR="000C1980" w:rsidP="003138DA" w:rsidRDefault="000C1980" w14:paraId="4701A9D4" w14:textId="77777777">
            <w:pPr>
              <w:ind w:left="360"/>
              <w:rPr>
                <w:rFonts w:eastAsia="Times New Roman" w:cs="Calibri"/>
                <w:color w:val="000000"/>
                <w:sz w:val="20"/>
              </w:rPr>
            </w:pPr>
            <w:r w:rsidRPr="003138DA">
              <w:rPr>
                <w:rFonts w:eastAsia="Times New Roman" w:cs="Calibri"/>
                <w:color w:val="000000"/>
                <w:sz w:val="20"/>
              </w:rPr>
              <w:t>2021</w:t>
            </w:r>
          </w:p>
        </w:tc>
        <w:tc>
          <w:tcPr>
            <w:tcW w:w="1740" w:type="dxa"/>
            <w:noWrap/>
            <w:hideMark/>
          </w:tcPr>
          <w:p w:rsidRPr="003138DA" w:rsidR="000C1980" w:rsidP="001968DC" w:rsidRDefault="000C1980" w14:paraId="25DCF399" w14:textId="77777777">
            <w:pPr>
              <w:ind w:left="360"/>
              <w:jc w:val="right"/>
              <w:rPr>
                <w:rFonts w:eastAsia="Times New Roman" w:cs="Calibri"/>
                <w:color w:val="000000"/>
                <w:sz w:val="20"/>
              </w:rPr>
            </w:pPr>
            <w:r w:rsidRPr="003138DA">
              <w:rPr>
                <w:rFonts w:eastAsia="Times New Roman" w:cs="Calibri"/>
                <w:color w:val="000000"/>
                <w:sz w:val="20"/>
              </w:rPr>
              <w:t>$399,664,922</w:t>
            </w:r>
          </w:p>
        </w:tc>
        <w:tc>
          <w:tcPr>
            <w:tcW w:w="1740" w:type="dxa"/>
            <w:noWrap/>
            <w:hideMark/>
          </w:tcPr>
          <w:p w:rsidRPr="003138DA" w:rsidR="000C1980" w:rsidP="001968DC" w:rsidRDefault="000C1980" w14:paraId="2879F64C" w14:textId="77777777">
            <w:pPr>
              <w:ind w:left="360"/>
              <w:jc w:val="right"/>
              <w:rPr>
                <w:rFonts w:eastAsia="Times New Roman" w:cs="Calibri"/>
                <w:color w:val="000000"/>
                <w:sz w:val="20"/>
              </w:rPr>
            </w:pPr>
            <w:r w:rsidRPr="003138DA">
              <w:rPr>
                <w:rFonts w:eastAsia="Times New Roman" w:cs="Calibri"/>
                <w:color w:val="000000"/>
                <w:sz w:val="20"/>
              </w:rPr>
              <w:t>$683,539,000</w:t>
            </w:r>
          </w:p>
        </w:tc>
        <w:tc>
          <w:tcPr>
            <w:tcW w:w="1740" w:type="dxa"/>
            <w:noWrap/>
            <w:hideMark/>
          </w:tcPr>
          <w:p w:rsidRPr="003138DA" w:rsidR="000C1980" w:rsidP="001968DC" w:rsidRDefault="000C1980" w14:paraId="69EA808C" w14:textId="77777777">
            <w:pPr>
              <w:ind w:left="360"/>
              <w:jc w:val="right"/>
              <w:rPr>
                <w:rFonts w:eastAsia="Times New Roman" w:cs="Calibri"/>
                <w:color w:val="000000"/>
                <w:sz w:val="20"/>
              </w:rPr>
            </w:pPr>
            <w:r w:rsidRPr="003138DA">
              <w:rPr>
                <w:rFonts w:eastAsia="Times New Roman" w:cs="Calibri"/>
                <w:color w:val="000000"/>
                <w:sz w:val="20"/>
              </w:rPr>
              <w:t>$120,383,441</w:t>
            </w:r>
          </w:p>
        </w:tc>
        <w:tc>
          <w:tcPr>
            <w:tcW w:w="1740" w:type="dxa"/>
            <w:noWrap/>
            <w:hideMark/>
          </w:tcPr>
          <w:p w:rsidRPr="003138DA" w:rsidR="000C1980" w:rsidP="001968DC" w:rsidRDefault="000C1980" w14:paraId="64526AE0" w14:textId="77777777">
            <w:pPr>
              <w:ind w:left="360"/>
              <w:jc w:val="right"/>
              <w:rPr>
                <w:rFonts w:eastAsia="Times New Roman" w:cs="Calibri"/>
                <w:color w:val="000000"/>
                <w:sz w:val="20"/>
              </w:rPr>
            </w:pPr>
            <w:r w:rsidRPr="003138DA">
              <w:rPr>
                <w:rFonts w:eastAsia="Times New Roman" w:cs="Calibri"/>
                <w:color w:val="000000"/>
                <w:sz w:val="20"/>
              </w:rPr>
              <w:t>$138,389,984</w:t>
            </w:r>
          </w:p>
        </w:tc>
        <w:tc>
          <w:tcPr>
            <w:tcW w:w="1716" w:type="dxa"/>
            <w:noWrap/>
            <w:hideMark/>
          </w:tcPr>
          <w:p w:rsidRPr="003138DA" w:rsidR="000C1980" w:rsidP="001968DC" w:rsidRDefault="000C1980" w14:paraId="48DB026B" w14:textId="77777777">
            <w:pPr>
              <w:ind w:left="360"/>
              <w:jc w:val="right"/>
              <w:rPr>
                <w:rFonts w:eastAsia="Times New Roman" w:cs="Calibri"/>
                <w:color w:val="000000"/>
                <w:sz w:val="20"/>
              </w:rPr>
            </w:pPr>
            <w:r w:rsidRPr="003138DA">
              <w:rPr>
                <w:rFonts w:eastAsia="Times New Roman" w:cs="Calibri"/>
                <w:color w:val="000000"/>
                <w:sz w:val="20"/>
              </w:rPr>
              <w:t>$1,341,977,347</w:t>
            </w:r>
          </w:p>
        </w:tc>
      </w:tr>
      <w:tr w:rsidRPr="003138DA" w:rsidR="000C1980" w:rsidTr="00900A53" w14:paraId="75F7CEB0" w14:textId="77777777">
        <w:trPr>
          <w:trHeight w:val="320"/>
        </w:trPr>
        <w:tc>
          <w:tcPr>
            <w:tcW w:w="1060" w:type="dxa"/>
            <w:noWrap/>
            <w:hideMark/>
          </w:tcPr>
          <w:p w:rsidRPr="003138DA" w:rsidR="000C1980" w:rsidP="003138DA" w:rsidRDefault="000C1980" w14:paraId="21BA771E" w14:textId="77777777">
            <w:pPr>
              <w:ind w:left="360"/>
              <w:rPr>
                <w:rFonts w:eastAsia="Times New Roman" w:cs="Calibri"/>
                <w:color w:val="000000"/>
                <w:sz w:val="20"/>
              </w:rPr>
            </w:pPr>
            <w:r w:rsidRPr="003138DA">
              <w:rPr>
                <w:rFonts w:eastAsia="Times New Roman" w:cs="Calibri"/>
                <w:color w:val="000000"/>
                <w:sz w:val="20"/>
              </w:rPr>
              <w:t>2022</w:t>
            </w:r>
          </w:p>
        </w:tc>
        <w:tc>
          <w:tcPr>
            <w:tcW w:w="1740" w:type="dxa"/>
            <w:noWrap/>
            <w:hideMark/>
          </w:tcPr>
          <w:p w:rsidRPr="003138DA" w:rsidR="000C1980" w:rsidP="001968DC" w:rsidRDefault="000C1980" w14:paraId="09787F10" w14:textId="77777777">
            <w:pPr>
              <w:ind w:left="360"/>
              <w:jc w:val="right"/>
              <w:rPr>
                <w:rFonts w:eastAsia="Times New Roman" w:cs="Calibri"/>
                <w:color w:val="000000"/>
                <w:sz w:val="20"/>
              </w:rPr>
            </w:pPr>
            <w:r w:rsidRPr="003138DA">
              <w:rPr>
                <w:rFonts w:eastAsia="Times New Roman" w:cs="Calibri"/>
                <w:color w:val="000000"/>
                <w:sz w:val="20"/>
              </w:rPr>
              <w:t>$404,343,437</w:t>
            </w:r>
          </w:p>
        </w:tc>
        <w:tc>
          <w:tcPr>
            <w:tcW w:w="1740" w:type="dxa"/>
            <w:noWrap/>
            <w:hideMark/>
          </w:tcPr>
          <w:p w:rsidRPr="003138DA" w:rsidR="000C1980" w:rsidP="001968DC" w:rsidRDefault="000C1980" w14:paraId="6EAF2F06" w14:textId="77777777">
            <w:pPr>
              <w:ind w:left="360"/>
              <w:jc w:val="right"/>
              <w:rPr>
                <w:rFonts w:eastAsia="Times New Roman" w:cs="Calibri"/>
                <w:color w:val="000000"/>
                <w:sz w:val="20"/>
              </w:rPr>
            </w:pPr>
            <w:r w:rsidRPr="003138DA">
              <w:rPr>
                <w:rFonts w:eastAsia="Times New Roman" w:cs="Calibri"/>
                <w:color w:val="000000"/>
                <w:sz w:val="20"/>
              </w:rPr>
              <w:t>$687,689,000</w:t>
            </w:r>
          </w:p>
        </w:tc>
        <w:tc>
          <w:tcPr>
            <w:tcW w:w="1740" w:type="dxa"/>
            <w:noWrap/>
            <w:hideMark/>
          </w:tcPr>
          <w:p w:rsidRPr="003138DA" w:rsidR="000C1980" w:rsidP="001968DC" w:rsidRDefault="000C1980" w14:paraId="51ABEB72" w14:textId="77777777">
            <w:pPr>
              <w:ind w:left="360"/>
              <w:jc w:val="right"/>
              <w:rPr>
                <w:rFonts w:eastAsia="Times New Roman" w:cs="Calibri"/>
                <w:color w:val="000000"/>
                <w:sz w:val="20"/>
              </w:rPr>
            </w:pPr>
            <w:r w:rsidRPr="003138DA">
              <w:rPr>
                <w:rFonts w:eastAsia="Times New Roman" w:cs="Calibri"/>
                <w:color w:val="000000"/>
                <w:sz w:val="20"/>
              </w:rPr>
              <w:t>$121,587,275</w:t>
            </w:r>
          </w:p>
        </w:tc>
        <w:tc>
          <w:tcPr>
            <w:tcW w:w="1740" w:type="dxa"/>
            <w:noWrap/>
            <w:hideMark/>
          </w:tcPr>
          <w:p w:rsidRPr="003138DA" w:rsidR="000C1980" w:rsidP="001968DC" w:rsidRDefault="000C1980" w14:paraId="4B744E67" w14:textId="77777777">
            <w:pPr>
              <w:ind w:left="360"/>
              <w:jc w:val="right"/>
              <w:rPr>
                <w:rFonts w:eastAsia="Times New Roman" w:cs="Calibri"/>
                <w:color w:val="000000"/>
                <w:sz w:val="20"/>
              </w:rPr>
            </w:pPr>
            <w:r w:rsidRPr="003138DA">
              <w:rPr>
                <w:rFonts w:eastAsia="Times New Roman" w:cs="Calibri"/>
                <w:color w:val="000000"/>
                <w:sz w:val="20"/>
              </w:rPr>
              <w:t>$139,583,569</w:t>
            </w:r>
          </w:p>
        </w:tc>
        <w:tc>
          <w:tcPr>
            <w:tcW w:w="1716" w:type="dxa"/>
            <w:noWrap/>
            <w:hideMark/>
          </w:tcPr>
          <w:p w:rsidRPr="003138DA" w:rsidR="000C1980" w:rsidP="001968DC" w:rsidRDefault="000C1980" w14:paraId="47F0A507" w14:textId="77777777">
            <w:pPr>
              <w:ind w:left="360"/>
              <w:jc w:val="right"/>
              <w:rPr>
                <w:rFonts w:eastAsia="Times New Roman" w:cs="Calibri"/>
                <w:color w:val="000000"/>
                <w:sz w:val="20"/>
              </w:rPr>
            </w:pPr>
            <w:r w:rsidRPr="003138DA">
              <w:rPr>
                <w:rFonts w:eastAsia="Times New Roman" w:cs="Calibri"/>
                <w:color w:val="000000"/>
                <w:sz w:val="20"/>
              </w:rPr>
              <w:t>$1,353,203,281</w:t>
            </w:r>
          </w:p>
        </w:tc>
      </w:tr>
      <w:tr w:rsidRPr="003138DA" w:rsidR="000C1980" w:rsidTr="00900A53" w14:paraId="736E412D" w14:textId="77777777">
        <w:trPr>
          <w:trHeight w:val="320"/>
        </w:trPr>
        <w:tc>
          <w:tcPr>
            <w:tcW w:w="1060" w:type="dxa"/>
            <w:noWrap/>
            <w:hideMark/>
          </w:tcPr>
          <w:p w:rsidRPr="003138DA" w:rsidR="000C1980" w:rsidP="003138DA" w:rsidRDefault="000C1980" w14:paraId="3EC12B47" w14:textId="77777777">
            <w:pPr>
              <w:ind w:left="360"/>
              <w:rPr>
                <w:rFonts w:eastAsia="Times New Roman" w:cs="Calibri"/>
                <w:color w:val="000000"/>
                <w:sz w:val="20"/>
              </w:rPr>
            </w:pPr>
            <w:r w:rsidRPr="003138DA">
              <w:rPr>
                <w:rFonts w:eastAsia="Times New Roman" w:cs="Calibri"/>
                <w:color w:val="000000"/>
                <w:sz w:val="20"/>
              </w:rPr>
              <w:t>2023</w:t>
            </w:r>
          </w:p>
        </w:tc>
        <w:tc>
          <w:tcPr>
            <w:tcW w:w="1740" w:type="dxa"/>
            <w:noWrap/>
            <w:hideMark/>
          </w:tcPr>
          <w:p w:rsidRPr="003138DA" w:rsidR="000C1980" w:rsidP="001968DC" w:rsidRDefault="000C1980" w14:paraId="13A607A8" w14:textId="77777777">
            <w:pPr>
              <w:ind w:left="360"/>
              <w:jc w:val="right"/>
              <w:rPr>
                <w:rFonts w:eastAsia="Times New Roman" w:cs="Calibri"/>
                <w:color w:val="000000"/>
                <w:sz w:val="20"/>
              </w:rPr>
            </w:pPr>
            <w:r w:rsidRPr="003138DA">
              <w:rPr>
                <w:rFonts w:eastAsia="Times New Roman" w:cs="Calibri"/>
                <w:color w:val="000000"/>
                <w:sz w:val="20"/>
              </w:rPr>
              <w:t>$409,564,225</w:t>
            </w:r>
          </w:p>
        </w:tc>
        <w:tc>
          <w:tcPr>
            <w:tcW w:w="1740" w:type="dxa"/>
            <w:noWrap/>
            <w:hideMark/>
          </w:tcPr>
          <w:p w:rsidRPr="003138DA" w:rsidR="000C1980" w:rsidP="001968DC" w:rsidRDefault="000C1980" w14:paraId="638068BC" w14:textId="77777777">
            <w:pPr>
              <w:ind w:left="360"/>
              <w:jc w:val="right"/>
              <w:rPr>
                <w:rFonts w:eastAsia="Times New Roman" w:cs="Calibri"/>
                <w:color w:val="000000"/>
                <w:sz w:val="20"/>
              </w:rPr>
            </w:pPr>
            <w:r w:rsidRPr="003138DA">
              <w:rPr>
                <w:rFonts w:eastAsia="Times New Roman" w:cs="Calibri"/>
                <w:color w:val="000000"/>
                <w:sz w:val="20"/>
              </w:rPr>
              <w:t>$691,973,000</w:t>
            </w:r>
          </w:p>
        </w:tc>
        <w:tc>
          <w:tcPr>
            <w:tcW w:w="1740" w:type="dxa"/>
            <w:noWrap/>
            <w:hideMark/>
          </w:tcPr>
          <w:p w:rsidRPr="003138DA" w:rsidR="000C1980" w:rsidP="001968DC" w:rsidRDefault="000C1980" w14:paraId="503ED0AF" w14:textId="77777777">
            <w:pPr>
              <w:ind w:left="360"/>
              <w:jc w:val="right"/>
              <w:rPr>
                <w:rFonts w:eastAsia="Times New Roman" w:cs="Calibri"/>
                <w:color w:val="000000"/>
                <w:sz w:val="20"/>
              </w:rPr>
            </w:pPr>
            <w:r w:rsidRPr="003138DA">
              <w:rPr>
                <w:rFonts w:eastAsia="Times New Roman" w:cs="Calibri"/>
                <w:color w:val="000000"/>
                <w:sz w:val="20"/>
              </w:rPr>
              <w:t>$122,803,149</w:t>
            </w:r>
          </w:p>
        </w:tc>
        <w:tc>
          <w:tcPr>
            <w:tcW w:w="1740" w:type="dxa"/>
            <w:noWrap/>
            <w:hideMark/>
          </w:tcPr>
          <w:p w:rsidRPr="003138DA" w:rsidR="000C1980" w:rsidP="001968DC" w:rsidRDefault="000C1980" w14:paraId="14D8A1FE" w14:textId="77777777">
            <w:pPr>
              <w:ind w:left="360"/>
              <w:jc w:val="right"/>
              <w:rPr>
                <w:rFonts w:eastAsia="Times New Roman" w:cs="Calibri"/>
                <w:color w:val="000000"/>
                <w:sz w:val="20"/>
              </w:rPr>
            </w:pPr>
            <w:r w:rsidRPr="003138DA">
              <w:rPr>
                <w:rFonts w:eastAsia="Times New Roman" w:cs="Calibri"/>
                <w:color w:val="000000"/>
                <w:sz w:val="20"/>
              </w:rPr>
              <w:t>$140,801,916</w:t>
            </w:r>
          </w:p>
        </w:tc>
        <w:tc>
          <w:tcPr>
            <w:tcW w:w="1716" w:type="dxa"/>
            <w:noWrap/>
            <w:hideMark/>
          </w:tcPr>
          <w:p w:rsidRPr="003138DA" w:rsidR="000C1980" w:rsidP="001968DC" w:rsidRDefault="000C1980" w14:paraId="55CB4DA3" w14:textId="77777777">
            <w:pPr>
              <w:ind w:left="360"/>
              <w:jc w:val="right"/>
              <w:rPr>
                <w:rFonts w:eastAsia="Times New Roman" w:cs="Calibri"/>
                <w:color w:val="000000"/>
                <w:sz w:val="20"/>
              </w:rPr>
            </w:pPr>
            <w:r w:rsidRPr="003138DA">
              <w:rPr>
                <w:rFonts w:eastAsia="Times New Roman" w:cs="Calibri"/>
                <w:color w:val="000000"/>
                <w:sz w:val="20"/>
              </w:rPr>
              <w:t>$1,365,142,290</w:t>
            </w:r>
          </w:p>
        </w:tc>
      </w:tr>
      <w:tr w:rsidRPr="003138DA" w:rsidR="000C1980" w:rsidTr="00900A53" w14:paraId="4B11254F" w14:textId="77777777">
        <w:trPr>
          <w:trHeight w:val="320"/>
        </w:trPr>
        <w:tc>
          <w:tcPr>
            <w:tcW w:w="1060" w:type="dxa"/>
            <w:noWrap/>
            <w:hideMark/>
          </w:tcPr>
          <w:p w:rsidRPr="003138DA" w:rsidR="000C1980" w:rsidP="003138DA" w:rsidRDefault="000C1980" w14:paraId="67C748D1" w14:textId="77777777">
            <w:pPr>
              <w:ind w:left="360"/>
              <w:rPr>
                <w:rFonts w:eastAsia="Times New Roman" w:cs="Calibri"/>
                <w:color w:val="000000"/>
                <w:sz w:val="20"/>
              </w:rPr>
            </w:pPr>
            <w:r w:rsidRPr="003138DA">
              <w:rPr>
                <w:rFonts w:eastAsia="Times New Roman" w:cs="Calibri"/>
                <w:color w:val="000000"/>
                <w:sz w:val="20"/>
              </w:rPr>
              <w:t>2024</w:t>
            </w:r>
          </w:p>
        </w:tc>
        <w:tc>
          <w:tcPr>
            <w:tcW w:w="1740" w:type="dxa"/>
            <w:noWrap/>
            <w:hideMark/>
          </w:tcPr>
          <w:p w:rsidRPr="003138DA" w:rsidR="000C1980" w:rsidP="001968DC" w:rsidRDefault="000C1980" w14:paraId="6341624D" w14:textId="77777777">
            <w:pPr>
              <w:ind w:left="360"/>
              <w:jc w:val="right"/>
              <w:rPr>
                <w:rFonts w:eastAsia="Times New Roman" w:cs="Calibri"/>
                <w:color w:val="000000"/>
                <w:sz w:val="20"/>
              </w:rPr>
            </w:pPr>
            <w:r w:rsidRPr="003138DA">
              <w:rPr>
                <w:rFonts w:eastAsia="Times New Roman" w:cs="Calibri"/>
                <w:color w:val="000000"/>
                <w:sz w:val="20"/>
              </w:rPr>
              <w:t>$415,120,450</w:t>
            </w:r>
          </w:p>
        </w:tc>
        <w:tc>
          <w:tcPr>
            <w:tcW w:w="1740" w:type="dxa"/>
            <w:noWrap/>
            <w:hideMark/>
          </w:tcPr>
          <w:p w:rsidRPr="003138DA" w:rsidR="000C1980" w:rsidP="001968DC" w:rsidRDefault="000C1980" w14:paraId="5E64FEC9" w14:textId="77777777">
            <w:pPr>
              <w:ind w:left="360"/>
              <w:jc w:val="right"/>
              <w:rPr>
                <w:rFonts w:eastAsia="Times New Roman" w:cs="Calibri"/>
                <w:color w:val="000000"/>
                <w:sz w:val="20"/>
              </w:rPr>
            </w:pPr>
            <w:r w:rsidRPr="003138DA">
              <w:rPr>
                <w:rFonts w:eastAsia="Times New Roman" w:cs="Calibri"/>
                <w:color w:val="000000"/>
                <w:sz w:val="20"/>
              </w:rPr>
              <w:t>$696,394,000</w:t>
            </w:r>
          </w:p>
        </w:tc>
        <w:tc>
          <w:tcPr>
            <w:tcW w:w="1740" w:type="dxa"/>
            <w:noWrap/>
            <w:hideMark/>
          </w:tcPr>
          <w:p w:rsidRPr="003138DA" w:rsidR="000C1980" w:rsidP="001968DC" w:rsidRDefault="000C1980" w14:paraId="638F448D" w14:textId="77777777">
            <w:pPr>
              <w:ind w:left="360"/>
              <w:jc w:val="right"/>
              <w:rPr>
                <w:rFonts w:eastAsia="Times New Roman" w:cs="Calibri"/>
                <w:color w:val="000000"/>
                <w:sz w:val="20"/>
              </w:rPr>
            </w:pPr>
            <w:r w:rsidRPr="003138DA">
              <w:rPr>
                <w:rFonts w:eastAsia="Times New Roman" w:cs="Calibri"/>
                <w:color w:val="000000"/>
                <w:sz w:val="20"/>
              </w:rPr>
              <w:t>$124,031,180</w:t>
            </w:r>
          </w:p>
        </w:tc>
        <w:tc>
          <w:tcPr>
            <w:tcW w:w="1740" w:type="dxa"/>
            <w:noWrap/>
            <w:hideMark/>
          </w:tcPr>
          <w:p w:rsidRPr="003138DA" w:rsidR="000C1980" w:rsidP="001968DC" w:rsidRDefault="000C1980" w14:paraId="0A45C5C5" w14:textId="77777777">
            <w:pPr>
              <w:ind w:left="360"/>
              <w:jc w:val="right"/>
              <w:rPr>
                <w:rFonts w:eastAsia="Times New Roman" w:cs="Calibri"/>
                <w:color w:val="000000"/>
                <w:sz w:val="20"/>
              </w:rPr>
            </w:pPr>
            <w:r w:rsidRPr="003138DA">
              <w:rPr>
                <w:rFonts w:eastAsia="Times New Roman" w:cs="Calibri"/>
                <w:color w:val="000000"/>
                <w:sz w:val="20"/>
              </w:rPr>
              <w:t>$142,032,348</w:t>
            </w:r>
          </w:p>
        </w:tc>
        <w:tc>
          <w:tcPr>
            <w:tcW w:w="1716" w:type="dxa"/>
            <w:noWrap/>
            <w:hideMark/>
          </w:tcPr>
          <w:p w:rsidRPr="003138DA" w:rsidR="000C1980" w:rsidP="001968DC" w:rsidRDefault="000C1980" w14:paraId="31C0C34D" w14:textId="77777777">
            <w:pPr>
              <w:ind w:left="360"/>
              <w:jc w:val="right"/>
              <w:rPr>
                <w:rFonts w:eastAsia="Times New Roman" w:cs="Calibri"/>
                <w:color w:val="000000"/>
                <w:sz w:val="20"/>
              </w:rPr>
            </w:pPr>
            <w:r w:rsidRPr="003138DA">
              <w:rPr>
                <w:rFonts w:eastAsia="Times New Roman" w:cs="Calibri"/>
                <w:color w:val="000000"/>
                <w:sz w:val="20"/>
              </w:rPr>
              <w:t>$1,377,577,978</w:t>
            </w:r>
          </w:p>
        </w:tc>
      </w:tr>
      <w:tr w:rsidRPr="003138DA" w:rsidR="000C1980" w:rsidTr="00900A53" w14:paraId="722F0246" w14:textId="77777777">
        <w:trPr>
          <w:trHeight w:val="320"/>
        </w:trPr>
        <w:tc>
          <w:tcPr>
            <w:tcW w:w="1060" w:type="dxa"/>
            <w:noWrap/>
            <w:hideMark/>
          </w:tcPr>
          <w:p w:rsidRPr="003138DA" w:rsidR="000C1980" w:rsidP="003138DA" w:rsidRDefault="000C1980" w14:paraId="6BD11459" w14:textId="77777777">
            <w:pPr>
              <w:ind w:left="360"/>
              <w:rPr>
                <w:rFonts w:eastAsia="Times New Roman" w:cs="Calibri"/>
                <w:color w:val="000000"/>
                <w:sz w:val="20"/>
              </w:rPr>
            </w:pPr>
            <w:r w:rsidRPr="003138DA">
              <w:rPr>
                <w:rFonts w:eastAsia="Times New Roman" w:cs="Calibri"/>
                <w:color w:val="000000"/>
                <w:sz w:val="20"/>
              </w:rPr>
              <w:t>2025</w:t>
            </w:r>
          </w:p>
        </w:tc>
        <w:tc>
          <w:tcPr>
            <w:tcW w:w="1740" w:type="dxa"/>
            <w:noWrap/>
            <w:hideMark/>
          </w:tcPr>
          <w:p w:rsidRPr="003138DA" w:rsidR="000C1980" w:rsidP="001968DC" w:rsidRDefault="000C1980" w14:paraId="4F069391" w14:textId="77777777">
            <w:pPr>
              <w:ind w:left="360"/>
              <w:jc w:val="right"/>
              <w:rPr>
                <w:rFonts w:eastAsia="Times New Roman" w:cs="Calibri"/>
                <w:color w:val="000000"/>
                <w:sz w:val="20"/>
              </w:rPr>
            </w:pPr>
            <w:r w:rsidRPr="003138DA">
              <w:rPr>
                <w:rFonts w:eastAsia="Times New Roman" w:cs="Calibri"/>
                <w:color w:val="000000"/>
                <w:sz w:val="20"/>
              </w:rPr>
              <w:t>$421,034,721</w:t>
            </w:r>
          </w:p>
        </w:tc>
        <w:tc>
          <w:tcPr>
            <w:tcW w:w="1740" w:type="dxa"/>
            <w:noWrap/>
            <w:hideMark/>
          </w:tcPr>
          <w:p w:rsidRPr="003138DA" w:rsidR="000C1980" w:rsidP="001968DC" w:rsidRDefault="000C1980" w14:paraId="4A57F79E" w14:textId="77777777">
            <w:pPr>
              <w:ind w:left="360"/>
              <w:jc w:val="right"/>
              <w:rPr>
                <w:rFonts w:eastAsia="Times New Roman" w:cs="Calibri"/>
                <w:color w:val="000000"/>
                <w:sz w:val="20"/>
              </w:rPr>
            </w:pPr>
            <w:r w:rsidRPr="003138DA">
              <w:rPr>
                <w:rFonts w:eastAsia="Times New Roman" w:cs="Calibri"/>
                <w:color w:val="000000"/>
                <w:sz w:val="20"/>
              </w:rPr>
              <w:t>$700,957,000</w:t>
            </w:r>
          </w:p>
        </w:tc>
        <w:tc>
          <w:tcPr>
            <w:tcW w:w="1740" w:type="dxa"/>
            <w:noWrap/>
            <w:hideMark/>
          </w:tcPr>
          <w:p w:rsidRPr="003138DA" w:rsidR="000C1980" w:rsidP="001968DC" w:rsidRDefault="000C1980" w14:paraId="2BC34F5A" w14:textId="77777777">
            <w:pPr>
              <w:ind w:left="360"/>
              <w:jc w:val="right"/>
              <w:rPr>
                <w:rFonts w:eastAsia="Times New Roman" w:cs="Calibri"/>
                <w:color w:val="000000"/>
                <w:sz w:val="20"/>
              </w:rPr>
            </w:pPr>
            <w:r w:rsidRPr="003138DA">
              <w:rPr>
                <w:rFonts w:eastAsia="Times New Roman" w:cs="Calibri"/>
                <w:color w:val="000000"/>
                <w:sz w:val="20"/>
              </w:rPr>
              <w:t>$125,271,491</w:t>
            </w:r>
          </w:p>
        </w:tc>
        <w:tc>
          <w:tcPr>
            <w:tcW w:w="1740" w:type="dxa"/>
            <w:noWrap/>
            <w:hideMark/>
          </w:tcPr>
          <w:p w:rsidRPr="003138DA" w:rsidR="000C1980" w:rsidP="001968DC" w:rsidRDefault="000C1980" w14:paraId="7EC7F932" w14:textId="77777777">
            <w:pPr>
              <w:ind w:left="360"/>
              <w:jc w:val="right"/>
              <w:rPr>
                <w:rFonts w:eastAsia="Times New Roman" w:cs="Calibri"/>
                <w:color w:val="000000"/>
                <w:sz w:val="20"/>
              </w:rPr>
            </w:pPr>
            <w:r w:rsidRPr="003138DA">
              <w:rPr>
                <w:rFonts w:eastAsia="Times New Roman" w:cs="Calibri"/>
                <w:color w:val="000000"/>
                <w:sz w:val="20"/>
              </w:rPr>
              <w:t>$143,264,981</w:t>
            </w:r>
          </w:p>
        </w:tc>
        <w:tc>
          <w:tcPr>
            <w:tcW w:w="1716" w:type="dxa"/>
            <w:noWrap/>
            <w:hideMark/>
          </w:tcPr>
          <w:p w:rsidRPr="003138DA" w:rsidR="000C1980" w:rsidP="001968DC" w:rsidRDefault="000C1980" w14:paraId="58AFFAA2" w14:textId="77777777">
            <w:pPr>
              <w:ind w:left="360"/>
              <w:jc w:val="right"/>
              <w:rPr>
                <w:rFonts w:eastAsia="Times New Roman" w:cs="Calibri"/>
                <w:color w:val="000000"/>
                <w:sz w:val="20"/>
              </w:rPr>
            </w:pPr>
            <w:r w:rsidRPr="003138DA">
              <w:rPr>
                <w:rFonts w:eastAsia="Times New Roman" w:cs="Calibri"/>
                <w:color w:val="000000"/>
                <w:sz w:val="20"/>
              </w:rPr>
              <w:t>$1,390,528,193</w:t>
            </w:r>
          </w:p>
        </w:tc>
      </w:tr>
      <w:tr w:rsidRPr="003138DA" w:rsidR="000C1980" w:rsidTr="00900A53" w14:paraId="73B7BABE" w14:textId="77777777">
        <w:trPr>
          <w:trHeight w:val="320"/>
        </w:trPr>
        <w:tc>
          <w:tcPr>
            <w:tcW w:w="1060" w:type="dxa"/>
            <w:noWrap/>
            <w:hideMark/>
          </w:tcPr>
          <w:p w:rsidRPr="003138DA" w:rsidR="000C1980" w:rsidP="003138DA" w:rsidRDefault="000C1980" w14:paraId="10772713" w14:textId="77777777">
            <w:pPr>
              <w:ind w:left="360"/>
              <w:rPr>
                <w:rFonts w:eastAsia="Times New Roman" w:cs="Calibri"/>
                <w:color w:val="000000"/>
                <w:sz w:val="20"/>
              </w:rPr>
            </w:pPr>
            <w:r w:rsidRPr="003138DA">
              <w:rPr>
                <w:rFonts w:eastAsia="Times New Roman" w:cs="Calibri"/>
                <w:color w:val="000000"/>
                <w:sz w:val="20"/>
              </w:rPr>
              <w:t>2026</w:t>
            </w:r>
          </w:p>
        </w:tc>
        <w:tc>
          <w:tcPr>
            <w:tcW w:w="1740" w:type="dxa"/>
            <w:noWrap/>
            <w:hideMark/>
          </w:tcPr>
          <w:p w:rsidRPr="003138DA" w:rsidR="000C1980" w:rsidP="001968DC" w:rsidRDefault="000C1980" w14:paraId="4622D041" w14:textId="77777777">
            <w:pPr>
              <w:ind w:left="360"/>
              <w:jc w:val="right"/>
              <w:rPr>
                <w:rFonts w:eastAsia="Times New Roman" w:cs="Calibri"/>
                <w:color w:val="000000"/>
                <w:sz w:val="20"/>
              </w:rPr>
            </w:pPr>
            <w:r w:rsidRPr="003138DA">
              <w:rPr>
                <w:rFonts w:eastAsia="Times New Roman" w:cs="Calibri"/>
                <w:color w:val="000000"/>
                <w:sz w:val="20"/>
              </w:rPr>
              <w:t>$427,678,676</w:t>
            </w:r>
          </w:p>
        </w:tc>
        <w:tc>
          <w:tcPr>
            <w:tcW w:w="1740" w:type="dxa"/>
            <w:noWrap/>
            <w:hideMark/>
          </w:tcPr>
          <w:p w:rsidRPr="003138DA" w:rsidR="000C1980" w:rsidP="001968DC" w:rsidRDefault="000C1980" w14:paraId="409C2AF9" w14:textId="77777777">
            <w:pPr>
              <w:ind w:left="360"/>
              <w:jc w:val="right"/>
              <w:rPr>
                <w:rFonts w:eastAsia="Times New Roman" w:cs="Calibri"/>
                <w:color w:val="000000"/>
                <w:sz w:val="20"/>
              </w:rPr>
            </w:pPr>
            <w:r w:rsidRPr="003138DA">
              <w:rPr>
                <w:rFonts w:eastAsia="Times New Roman" w:cs="Calibri"/>
                <w:color w:val="000000"/>
                <w:sz w:val="20"/>
              </w:rPr>
              <w:t>$705,667,000</w:t>
            </w:r>
          </w:p>
        </w:tc>
        <w:tc>
          <w:tcPr>
            <w:tcW w:w="1740" w:type="dxa"/>
            <w:noWrap/>
            <w:hideMark/>
          </w:tcPr>
          <w:p w:rsidRPr="003138DA" w:rsidR="000C1980" w:rsidP="001968DC" w:rsidRDefault="000C1980" w14:paraId="422978BC" w14:textId="77777777">
            <w:pPr>
              <w:ind w:left="360"/>
              <w:jc w:val="right"/>
              <w:rPr>
                <w:rFonts w:eastAsia="Times New Roman" w:cs="Calibri"/>
                <w:color w:val="000000"/>
                <w:sz w:val="20"/>
              </w:rPr>
            </w:pPr>
            <w:r w:rsidRPr="003138DA">
              <w:rPr>
                <w:rFonts w:eastAsia="Times New Roman" w:cs="Calibri"/>
                <w:color w:val="000000"/>
                <w:sz w:val="20"/>
              </w:rPr>
              <w:t>$126,524,206</w:t>
            </w:r>
          </w:p>
        </w:tc>
        <w:tc>
          <w:tcPr>
            <w:tcW w:w="1740" w:type="dxa"/>
            <w:noWrap/>
            <w:hideMark/>
          </w:tcPr>
          <w:p w:rsidRPr="003138DA" w:rsidR="000C1980" w:rsidP="001968DC" w:rsidRDefault="000C1980" w14:paraId="4C099BD0" w14:textId="77777777">
            <w:pPr>
              <w:ind w:left="360"/>
              <w:jc w:val="right"/>
              <w:rPr>
                <w:rFonts w:eastAsia="Times New Roman" w:cs="Calibri"/>
                <w:color w:val="000000"/>
                <w:sz w:val="20"/>
              </w:rPr>
            </w:pPr>
            <w:r w:rsidRPr="003138DA">
              <w:rPr>
                <w:rFonts w:eastAsia="Times New Roman" w:cs="Calibri"/>
                <w:color w:val="000000"/>
                <w:sz w:val="20"/>
              </w:rPr>
              <w:t>$144,495,405</w:t>
            </w:r>
          </w:p>
        </w:tc>
        <w:tc>
          <w:tcPr>
            <w:tcW w:w="1716" w:type="dxa"/>
            <w:noWrap/>
            <w:hideMark/>
          </w:tcPr>
          <w:p w:rsidRPr="003138DA" w:rsidR="000C1980" w:rsidP="001968DC" w:rsidRDefault="000C1980" w14:paraId="27AB5A66" w14:textId="77777777">
            <w:pPr>
              <w:ind w:left="360"/>
              <w:jc w:val="right"/>
              <w:rPr>
                <w:rFonts w:eastAsia="Times New Roman" w:cs="Calibri"/>
                <w:color w:val="000000"/>
                <w:sz w:val="20"/>
              </w:rPr>
            </w:pPr>
            <w:r w:rsidRPr="003138DA">
              <w:rPr>
                <w:rFonts w:eastAsia="Times New Roman" w:cs="Calibri"/>
                <w:color w:val="000000"/>
                <w:sz w:val="20"/>
              </w:rPr>
              <w:t>$1,404,365,287</w:t>
            </w:r>
          </w:p>
        </w:tc>
      </w:tr>
    </w:tbl>
    <w:p w:rsidRPr="00E5693D" w:rsidR="000C1980" w:rsidP="001968DC" w:rsidRDefault="000C1980" w14:paraId="6A83F3FF" w14:textId="77777777">
      <w:pPr>
        <w:spacing w:after="160" w:line="360" w:lineRule="auto"/>
        <w:ind w:left="360"/>
        <w:contextualSpacing/>
        <w:rPr>
          <w:sz w:val="10"/>
          <w:szCs w:val="10"/>
        </w:rPr>
      </w:pPr>
    </w:p>
    <w:p w:rsidRPr="001013A3" w:rsidR="000C1980" w:rsidP="001968DC" w:rsidRDefault="000C1980" w14:paraId="633469E8" w14:textId="77777777">
      <w:pPr>
        <w:pStyle w:val="Heading4"/>
        <w:ind w:left="3600"/>
      </w:pPr>
      <w:bookmarkStart w:name="_Toc69947834" w:id="150"/>
      <w:bookmarkEnd w:id="149"/>
      <w:r w:rsidRPr="001013A3">
        <w:t xml:space="preserve">PG&amp;E’s CARE Program Management Budgets: </w:t>
      </w:r>
      <w:r w:rsidRPr="001013A3">
        <w:rPr>
          <w:u w:val="single"/>
        </w:rPr>
        <w:t>Approved</w:t>
      </w:r>
      <w:bookmarkEnd w:id="150"/>
    </w:p>
    <w:p w:rsidR="000C1980" w:rsidP="001F6BDD" w:rsidRDefault="000C1980" w14:paraId="6CCFD52D" w14:textId="77777777">
      <w:pPr>
        <w:pStyle w:val="Standard"/>
      </w:pPr>
      <w:r>
        <w:t>We</w:t>
      </w:r>
      <w:r w:rsidRPr="0021637A">
        <w:t xml:space="preserve"> approve PG&amp;E’s </w:t>
      </w:r>
      <w:r>
        <w:t>p</w:t>
      </w:r>
      <w:r w:rsidRPr="002458CF">
        <w:t xml:space="preserve">rogram </w:t>
      </w:r>
      <w:r>
        <w:t>m</w:t>
      </w:r>
      <w:r w:rsidRPr="002458CF">
        <w:t xml:space="preserve">anagement </w:t>
      </w:r>
      <w:r w:rsidRPr="0021637A">
        <w:t>budget</w:t>
      </w:r>
      <w:r>
        <w:t xml:space="preserve"> as proposed</w:t>
      </w:r>
      <w:r w:rsidRPr="0021637A">
        <w:t xml:space="preserve">. </w:t>
      </w:r>
      <w:r>
        <w:t xml:space="preserve"> </w:t>
      </w:r>
      <w:r w:rsidRPr="0021637A">
        <w:t xml:space="preserve">The </w:t>
      </w:r>
      <w:r>
        <w:t xml:space="preserve">proposed </w:t>
      </w:r>
      <w:r w:rsidRPr="002458CF">
        <w:t xml:space="preserve">program management </w:t>
      </w:r>
      <w:r>
        <w:t>costs</w:t>
      </w:r>
      <w:r w:rsidRPr="0021637A">
        <w:t xml:space="preserve"> </w:t>
      </w:r>
      <w:r>
        <w:t>account for 2</w:t>
      </w:r>
      <w:r w:rsidRPr="0021637A">
        <w:t xml:space="preserve"> percent </w:t>
      </w:r>
      <w:r>
        <w:t xml:space="preserve">of total program costs and is an average increase of about $2 million annually, or an 18 percent </w:t>
      </w:r>
      <w:r>
        <w:lastRenderedPageBreak/>
        <w:t>increase from PYs 2017-2019 average expenditures, which we determine to be reasonable as further described below</w:t>
      </w:r>
      <w:r w:rsidRPr="0021637A">
        <w:t xml:space="preserve">. </w:t>
      </w:r>
    </w:p>
    <w:p w:rsidRPr="00E04AD6" w:rsidR="000C1980" w:rsidP="001968DC" w:rsidRDefault="000C1980" w14:paraId="7C320EC3" w14:textId="68B19523">
      <w:pPr>
        <w:spacing w:after="160" w:line="360" w:lineRule="auto"/>
        <w:ind w:left="360" w:firstLine="720"/>
        <w:contextualSpacing/>
        <w:jc w:val="center"/>
        <w:rPr>
          <w:b/>
          <w:bCs/>
          <w:sz w:val="10"/>
          <w:szCs w:val="10"/>
        </w:rPr>
      </w:pPr>
      <w:r w:rsidRPr="00453446">
        <w:rPr>
          <w:b/>
          <w:bCs/>
        </w:rPr>
        <w:t>Chart 1</w:t>
      </w:r>
      <w:r>
        <w:rPr>
          <w:b/>
          <w:bCs/>
        </w:rPr>
        <w:t>: PG&amp;E’s CARE Program Management Budgets, PYs 2017-2026</w:t>
      </w:r>
      <w:r>
        <w:rPr>
          <w:noProof/>
        </w:rPr>
        <w:drawing>
          <wp:inline distT="0" distB="0" distL="0" distR="0" wp14:anchorId="416878D4" wp14:editId="340EB98A">
            <wp:extent cx="5660853" cy="3666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684226" cy="3681365"/>
                    </a:xfrm>
                    <a:prstGeom prst="rect">
                      <a:avLst/>
                    </a:prstGeom>
                  </pic:spPr>
                </pic:pic>
              </a:graphicData>
            </a:graphic>
          </wp:inline>
        </w:drawing>
      </w:r>
    </w:p>
    <w:p w:rsidRPr="0021637A" w:rsidR="000C1980" w:rsidP="001F6BDD" w:rsidRDefault="000C1980" w14:paraId="276D52F1" w14:textId="56F44EEB">
      <w:pPr>
        <w:pStyle w:val="Standard"/>
      </w:pPr>
      <w:r>
        <w:t>As can be seen from the chart above, most of the increase comes from the o</w:t>
      </w:r>
      <w:r w:rsidRPr="0021637A">
        <w:t xml:space="preserve">utreach budget </w:t>
      </w:r>
      <w:r>
        <w:t>which is projected at</w:t>
      </w:r>
      <w:r w:rsidRPr="0021637A">
        <w:t xml:space="preserve"> $8 million annually and</w:t>
      </w:r>
      <w:r>
        <w:t xml:space="preserve"> </w:t>
      </w:r>
      <w:r w:rsidRPr="0021637A">
        <w:t>is an increase of about $800,000 annually.</w:t>
      </w:r>
      <w:r>
        <w:t xml:space="preserve">  The two other categories with the largest increase in expenditures is IT programming and general administration, with an average annual increase of $400,000 over expenditures from 2017-2019.  Otherwise, all other program management</w:t>
      </w:r>
      <w:r w:rsidRPr="0021637A">
        <w:t xml:space="preserve"> </w:t>
      </w:r>
      <w:r>
        <w:t xml:space="preserve">cost categories have remained relatively consistent from previous years.  These increases in costs </w:t>
      </w:r>
      <w:r w:rsidRPr="0021637A">
        <w:t>align with PG&amp;E’s plans for increase</w:t>
      </w:r>
      <w:r>
        <w:t>d</w:t>
      </w:r>
      <w:r w:rsidRPr="0021637A">
        <w:t xml:space="preserve"> marketing and outreach efforts to convert customers that have been unresponsive to past marketing. </w:t>
      </w:r>
      <w:r>
        <w:t xml:space="preserve"> Further, the increase in IT programming is due to updates such as PG&amp;E’s</w:t>
      </w:r>
      <w:r w:rsidRPr="005D45AC">
        <w:t xml:space="preserve"> CARE One database with new software platform </w:t>
      </w:r>
      <w:r w:rsidRPr="005D45AC">
        <w:lastRenderedPageBreak/>
        <w:t>Energy Insight</w:t>
      </w:r>
      <w:r>
        <w:t xml:space="preserve"> and increases in general administration are attributable to propensity models updates as well as program management labor costs.</w:t>
      </w:r>
      <w:r>
        <w:rPr>
          <w:rStyle w:val="FootnoteReference"/>
        </w:rPr>
        <w:footnoteReference w:id="204"/>
      </w:r>
      <w:r>
        <w:t xml:space="preserve">  </w:t>
      </w:r>
      <w:r w:rsidRPr="0021637A">
        <w:t xml:space="preserve"> </w:t>
      </w:r>
    </w:p>
    <w:p w:rsidRPr="001013A3" w:rsidR="000C1980" w:rsidP="001968DC" w:rsidRDefault="000C1980" w14:paraId="2813A405" w14:textId="77777777">
      <w:pPr>
        <w:pStyle w:val="Heading4"/>
        <w:ind w:left="3600"/>
      </w:pPr>
      <w:bookmarkStart w:name="_Toc69947835" w:id="151"/>
      <w:r w:rsidRPr="001013A3">
        <w:t xml:space="preserve">SCE’s CARE Program Management Budgets: </w:t>
      </w:r>
      <w:r w:rsidRPr="001013A3">
        <w:rPr>
          <w:u w:val="single"/>
        </w:rPr>
        <w:t>Approved</w:t>
      </w:r>
      <w:bookmarkEnd w:id="151"/>
      <w:r w:rsidRPr="001013A3">
        <w:t xml:space="preserve"> </w:t>
      </w:r>
    </w:p>
    <w:p w:rsidR="000C1980" w:rsidP="001F6BDD" w:rsidRDefault="000C1980" w14:paraId="14881DB3" w14:textId="77777777">
      <w:pPr>
        <w:pStyle w:val="Standard"/>
      </w:pPr>
      <w:r>
        <w:t>We</w:t>
      </w:r>
      <w:r w:rsidRPr="0021637A">
        <w:t xml:space="preserve"> approve </w:t>
      </w:r>
      <w:r>
        <w:t>SC</w:t>
      </w:r>
      <w:r w:rsidRPr="0021637A">
        <w:t xml:space="preserve">E’s </w:t>
      </w:r>
      <w:r>
        <w:t>p</w:t>
      </w:r>
      <w:r w:rsidRPr="002458CF">
        <w:t xml:space="preserve">rogram </w:t>
      </w:r>
      <w:r>
        <w:t>m</w:t>
      </w:r>
      <w:r w:rsidRPr="002458CF">
        <w:t xml:space="preserve">anagement </w:t>
      </w:r>
      <w:r w:rsidRPr="0021637A">
        <w:t>budget</w:t>
      </w:r>
      <w:r>
        <w:t xml:space="preserve"> as proposed.  </w:t>
      </w:r>
      <w:r w:rsidRPr="00A02A0D">
        <w:t>SCE</w:t>
      </w:r>
      <w:r>
        <w:t>’s</w:t>
      </w:r>
      <w:r w:rsidRPr="00A02A0D">
        <w:t xml:space="preserve"> </w:t>
      </w:r>
      <w:r>
        <w:t>proposed program management costs</w:t>
      </w:r>
      <w:r w:rsidRPr="0021637A">
        <w:t xml:space="preserve"> </w:t>
      </w:r>
      <w:r>
        <w:t>account for 2.5 percent of total program costs and is an average increase of about $3.8 million annually, or a 56 percent increase from PYs 2017-2019 average annual expenditure.  However, per SCE’s application, these budget figures combine proposed budget for both CARE and FERA programs.  See Section 5.4 in the FERA discussion on requirements for SCE to break-out CARE and FERA budgets separately.  Although a 56 percent increase may seem high, it is still in line with the overall average spend rate as compared to the other IOUs.  Combined with the specific areas where the increase in spending will occur, we determine this to be reasonable as further described below</w:t>
      </w:r>
      <w:r w:rsidRPr="0021637A">
        <w:t>.</w:t>
      </w:r>
      <w:r>
        <w:t xml:space="preserve"> </w:t>
      </w:r>
    </w:p>
    <w:p w:rsidR="000C1980" w:rsidP="001968DC" w:rsidRDefault="000C1980" w14:paraId="44E81340" w14:textId="77777777">
      <w:pPr>
        <w:pStyle w:val="Quote"/>
        <w:ind w:left="360"/>
        <w:jc w:val="center"/>
      </w:pPr>
      <w:r w:rsidRPr="00CA6D77">
        <w:rPr>
          <w:b/>
          <w:bCs/>
        </w:rPr>
        <w:lastRenderedPageBreak/>
        <w:t>Chart 2</w:t>
      </w:r>
      <w:r>
        <w:rPr>
          <w:b/>
          <w:bCs/>
        </w:rPr>
        <w:t>: SCE’s CARE Program Management Budgets,</w:t>
      </w:r>
      <w:r w:rsidRPr="00375C72">
        <w:rPr>
          <w:b/>
          <w:bCs/>
        </w:rPr>
        <w:t xml:space="preserve"> </w:t>
      </w:r>
      <w:r>
        <w:rPr>
          <w:b/>
          <w:bCs/>
        </w:rPr>
        <w:t>PYs 2017-2026</w:t>
      </w:r>
      <w:r>
        <w:rPr>
          <w:noProof/>
        </w:rPr>
        <w:drawing>
          <wp:inline distT="0" distB="0" distL="0" distR="0" wp14:anchorId="1B6A18C5" wp14:editId="504505B9">
            <wp:extent cx="5598142" cy="343005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3098" cy="3433094"/>
                    </a:xfrm>
                    <a:prstGeom prst="rect">
                      <a:avLst/>
                    </a:prstGeom>
                  </pic:spPr>
                </pic:pic>
              </a:graphicData>
            </a:graphic>
          </wp:inline>
        </w:drawing>
      </w:r>
    </w:p>
    <w:p w:rsidRPr="0096659C" w:rsidR="000C1980" w:rsidP="001F6BDD" w:rsidRDefault="000C1980" w14:paraId="16375312" w14:textId="77777777">
      <w:pPr>
        <w:pStyle w:val="Standard"/>
      </w:pPr>
      <w:r>
        <w:t>As can be seen from the chart above, most of the increase comes from outreach and p</w:t>
      </w:r>
      <w:r w:rsidRPr="00AD15E2">
        <w:t xml:space="preserve">rocessing, </w:t>
      </w:r>
      <w:r>
        <w:t>c</w:t>
      </w:r>
      <w:r w:rsidRPr="00AD15E2">
        <w:t xml:space="preserve">ertification, </w:t>
      </w:r>
      <w:r>
        <w:t>r</w:t>
      </w:r>
      <w:r w:rsidRPr="00AD15E2">
        <w:t>ecertification</w:t>
      </w:r>
      <w:r w:rsidRPr="0021637A">
        <w:t>.</w:t>
      </w:r>
      <w:r w:rsidRPr="00A02A0D">
        <w:t xml:space="preserve"> </w:t>
      </w:r>
      <w:r w:rsidRPr="00E105EE">
        <w:t xml:space="preserve"> </w:t>
      </w:r>
      <w:r>
        <w:t>CARE outreach is projected at an average of</w:t>
      </w:r>
      <w:r w:rsidRPr="0021637A">
        <w:t xml:space="preserve"> $</w:t>
      </w:r>
      <w:r>
        <w:t>4.5</w:t>
      </w:r>
      <w:r w:rsidRPr="0021637A">
        <w:t xml:space="preserve"> million annually</w:t>
      </w:r>
      <w:r>
        <w:t xml:space="preserve">, </w:t>
      </w:r>
      <w:r w:rsidRPr="0021637A">
        <w:t>an increase of about $</w:t>
      </w:r>
      <w:r>
        <w:t xml:space="preserve">1.8 million </w:t>
      </w:r>
      <w:r w:rsidRPr="0021637A">
        <w:t>annually</w:t>
      </w:r>
      <w:r>
        <w:t xml:space="preserve"> from the average 2017-2019 annual outreach expenditures.</w:t>
      </w:r>
      <w:r>
        <w:rPr>
          <w:rStyle w:val="FootnoteReference"/>
        </w:rPr>
        <w:footnoteReference w:id="205"/>
      </w:r>
      <w:r>
        <w:t xml:space="preserve">  The p</w:t>
      </w:r>
      <w:r w:rsidRPr="00AD15E2">
        <w:t xml:space="preserve">rocessing, </w:t>
      </w:r>
      <w:r>
        <w:t>c</w:t>
      </w:r>
      <w:r w:rsidRPr="00AD15E2">
        <w:t xml:space="preserve">ertification, </w:t>
      </w:r>
      <w:r>
        <w:t>r</w:t>
      </w:r>
      <w:r w:rsidRPr="00AD15E2">
        <w:t>ecertification</w:t>
      </w:r>
      <w:r>
        <w:t xml:space="preserve"> proposed budget of $2 million annually is almost $1 million larger than the average annual expenditures for this program management line item in 2017-2019.</w:t>
      </w:r>
      <w:r w:rsidRPr="00E105EE">
        <w:t xml:space="preserve"> </w:t>
      </w:r>
      <w:r>
        <w:t xml:space="preserve"> We expect that as</w:t>
      </w:r>
      <w:r w:rsidRPr="00E105EE">
        <w:t xml:space="preserve"> CARE penetration increases, more funding will be required</w:t>
      </w:r>
      <w:r>
        <w:t xml:space="preserve"> </w:t>
      </w:r>
      <w:r w:rsidRPr="00E105EE">
        <w:t>to reach and enroll the hardest to reach customers</w:t>
      </w:r>
      <w:r>
        <w:t xml:space="preserve"> as well as develop new marketing material and outreach tactics for these groups,</w:t>
      </w:r>
      <w:r w:rsidRPr="00E105EE">
        <w:rPr>
          <w:vertAlign w:val="superscript"/>
        </w:rPr>
        <w:footnoteReference w:id="206"/>
      </w:r>
      <w:r w:rsidRPr="00E105EE">
        <w:t xml:space="preserve"> and therefore</w:t>
      </w:r>
      <w:r w:rsidRPr="0096659C">
        <w:t xml:space="preserve"> </w:t>
      </w:r>
      <w:r>
        <w:t xml:space="preserve">find that the </w:t>
      </w:r>
      <w:r w:rsidRPr="0096659C">
        <w:t xml:space="preserve">increased need </w:t>
      </w:r>
      <w:r>
        <w:t xml:space="preserve">is reasonable. </w:t>
      </w:r>
      <w:r>
        <w:lastRenderedPageBreak/>
        <w:t xml:space="preserve">Additionally, budget is needed to make the proposed </w:t>
      </w:r>
      <w:r w:rsidRPr="0096659C">
        <w:t>modifications to SCE’s Optical Character Recognition software.</w:t>
      </w:r>
      <w:r w:rsidRPr="0096659C">
        <w:rPr>
          <w:vertAlign w:val="superscript"/>
        </w:rPr>
        <w:footnoteReference w:id="207"/>
      </w:r>
      <w:r w:rsidRPr="0096659C">
        <w:t xml:space="preserve">  </w:t>
      </w:r>
    </w:p>
    <w:p w:rsidRPr="001013A3" w:rsidR="000C1980" w:rsidP="001968DC" w:rsidRDefault="000C1980" w14:paraId="637AA4B1" w14:textId="77777777">
      <w:pPr>
        <w:pStyle w:val="Heading4"/>
        <w:ind w:left="3600"/>
      </w:pPr>
      <w:bookmarkStart w:name="_Toc69947836" w:id="152"/>
      <w:r w:rsidRPr="001013A3">
        <w:t xml:space="preserve">SoCalGas’ CARE Program Management Budgets: </w:t>
      </w:r>
      <w:r w:rsidRPr="00EF506F">
        <w:rPr>
          <w:u w:val="single"/>
        </w:rPr>
        <w:t>Approved with Modifications</w:t>
      </w:r>
      <w:bookmarkEnd w:id="152"/>
    </w:p>
    <w:p w:rsidR="000C1980" w:rsidP="001F6BDD" w:rsidRDefault="000C1980" w14:paraId="730CFB41" w14:textId="77777777">
      <w:pPr>
        <w:pStyle w:val="Standard"/>
      </w:pPr>
      <w:r>
        <w:t xml:space="preserve">We </w:t>
      </w:r>
      <w:r w:rsidRPr="00DE5D8A">
        <w:t xml:space="preserve">approve SoCalGas’ </w:t>
      </w:r>
      <w:r>
        <w:t>proposed program management</w:t>
      </w:r>
      <w:r w:rsidRPr="00DE5D8A">
        <w:t xml:space="preserve"> budget</w:t>
      </w:r>
      <w:r>
        <w:t xml:space="preserve"> with a modification to the outreach category, approved at a budget of $1 million less than requested per annum.</w:t>
      </w:r>
      <w:r w:rsidRPr="00DE5D8A">
        <w:t xml:space="preserve"> </w:t>
      </w:r>
      <w:r>
        <w:t xml:space="preserve"> </w:t>
      </w:r>
      <w:r w:rsidRPr="0021637A">
        <w:t xml:space="preserve">The </w:t>
      </w:r>
      <w:r>
        <w:t>proposed program management costs</w:t>
      </w:r>
      <w:r w:rsidRPr="0021637A">
        <w:t xml:space="preserve"> </w:t>
      </w:r>
      <w:r>
        <w:t>account for 7</w:t>
      </w:r>
      <w:r w:rsidRPr="0021637A">
        <w:t xml:space="preserve"> to </w:t>
      </w:r>
      <w:r>
        <w:t>8</w:t>
      </w:r>
      <w:r w:rsidRPr="0021637A">
        <w:t xml:space="preserve"> percent </w:t>
      </w:r>
      <w:r>
        <w:t>of total program costs and is an average increase of about $3.6 million annually, or a 46 percent increase from PYs 2017-2019 average annual expenditure</w:t>
      </w:r>
      <w:r w:rsidRPr="0021637A">
        <w:t xml:space="preserve">. </w:t>
      </w:r>
      <w:r>
        <w:t xml:space="preserve"> The main driver of this increase is the annual proposed outreach budget which is nearly $2 million more than the average 2017-2019 program expenditures on this line item.  As discussed further below, SoCalGas’ application does not support an increase in the outreach budget at the proposed level.</w:t>
      </w:r>
    </w:p>
    <w:p w:rsidR="000C1980" w:rsidP="00467CC0" w:rsidRDefault="000C1980" w14:paraId="540FEE77" w14:textId="63B44491">
      <w:pPr>
        <w:pStyle w:val="ALJBodyText"/>
        <w:spacing w:line="240" w:lineRule="auto"/>
        <w:ind w:firstLine="0"/>
        <w:jc w:val="center"/>
        <w:rPr>
          <w:rStyle w:val="normaltextrun"/>
          <w:b/>
          <w:bCs/>
        </w:rPr>
      </w:pPr>
      <w:r w:rsidRPr="00467CC0">
        <w:rPr>
          <w:rStyle w:val="normaltextrun"/>
          <w:b/>
          <w:bCs/>
        </w:rPr>
        <w:lastRenderedPageBreak/>
        <w:t xml:space="preserve">Chart 3:  SoCalGas’ CARE Program Management Budgets </w:t>
      </w:r>
      <w:r w:rsidRPr="00467CC0" w:rsidR="00402362">
        <w:rPr>
          <w:rStyle w:val="normaltextrun"/>
          <w:b/>
          <w:bCs/>
        </w:rPr>
        <w:br/>
      </w:r>
      <w:r w:rsidRPr="00467CC0">
        <w:rPr>
          <w:rStyle w:val="normaltextrun"/>
          <w:b/>
          <w:bCs/>
        </w:rPr>
        <w:t>PYs 2017</w:t>
      </w:r>
      <w:r w:rsidRPr="00467CC0" w:rsidR="00402362">
        <w:rPr>
          <w:rStyle w:val="normaltextrun"/>
          <w:b/>
          <w:bCs/>
        </w:rPr>
        <w:noBreakHyphen/>
      </w:r>
      <w:r w:rsidRPr="00467CC0">
        <w:rPr>
          <w:rStyle w:val="normaltextrun"/>
          <w:b/>
          <w:bCs/>
        </w:rPr>
        <w:t>2026</w:t>
      </w:r>
      <w:r>
        <w:rPr>
          <w:noProof/>
        </w:rPr>
        <w:drawing>
          <wp:inline distT="0" distB="0" distL="0" distR="0" wp14:anchorId="02F960FA" wp14:editId="340A1756">
            <wp:extent cx="5943600" cy="43681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0">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rsidRPr="00467CC0" w:rsidR="00467CC0" w:rsidP="00467CC0" w:rsidRDefault="00467CC0" w14:paraId="15B7503C" w14:textId="77777777">
      <w:pPr>
        <w:pStyle w:val="ALJBodyText"/>
        <w:spacing w:line="240" w:lineRule="auto"/>
        <w:ind w:firstLine="0"/>
        <w:jc w:val="center"/>
        <w:rPr>
          <w:i/>
          <w:sz w:val="10"/>
          <w:szCs w:val="10"/>
        </w:rPr>
      </w:pPr>
    </w:p>
    <w:p w:rsidRPr="0021637A" w:rsidR="000C1980" w:rsidP="001F6BDD" w:rsidRDefault="000C1980" w14:paraId="023C1CD5" w14:textId="18AB197E">
      <w:pPr>
        <w:pStyle w:val="Standard"/>
      </w:pPr>
      <w:r>
        <w:t>As can be seen from the chart above, most of the increase comes from the o</w:t>
      </w:r>
      <w:r w:rsidRPr="0021637A">
        <w:t xml:space="preserve">utreach budget, </w:t>
      </w:r>
      <w:r>
        <w:t xml:space="preserve">which is </w:t>
      </w:r>
      <w:bookmarkStart w:name="OLE_LINK1" w:id="153"/>
      <w:r>
        <w:t>projected at</w:t>
      </w:r>
      <w:r w:rsidRPr="0021637A">
        <w:t xml:space="preserve"> </w:t>
      </w:r>
      <w:r>
        <w:t>an average of</w:t>
      </w:r>
      <w:r w:rsidRPr="0021637A">
        <w:t xml:space="preserve"> $</w:t>
      </w:r>
      <w:r>
        <w:t>5.5</w:t>
      </w:r>
      <w:r w:rsidRPr="0021637A">
        <w:t xml:space="preserve"> million annually</w:t>
      </w:r>
      <w:r>
        <w:t xml:space="preserve">, </w:t>
      </w:r>
      <w:r w:rsidRPr="0021637A">
        <w:t>an increase of about $</w:t>
      </w:r>
      <w:r>
        <w:t>1.9 million</w:t>
      </w:r>
      <w:r w:rsidRPr="0021637A">
        <w:t xml:space="preserve"> annually</w:t>
      </w:r>
      <w:r>
        <w:t xml:space="preserve"> from the average 2017-2019 annual outreach expenditures</w:t>
      </w:r>
      <w:bookmarkEnd w:id="153"/>
      <w:r w:rsidRPr="0021637A">
        <w:t>.</w:t>
      </w:r>
      <w:r>
        <w:t xml:space="preserve">  S</w:t>
      </w:r>
      <w:r w:rsidRPr="00DE5D8A">
        <w:t>oCalGas</w:t>
      </w:r>
      <w:r>
        <w:t xml:space="preserve"> describes its proposal for new and existing outreach strategies, including direct marketing efforts ($1.654 million/year), long-term mass marketing campaigns ($600,000/year), mass market collateral ($800,000/year), community outreach ($600,000/year), redesign of CARE applications and bill inserts (one-time $131,000 expense), and innovating </w:t>
      </w:r>
      <w:r>
        <w:lastRenderedPageBreak/>
        <w:t>outreach ($100,000/year), with an annual estimated cost of about $3.7</w:t>
      </w:r>
      <w:r w:rsidR="00402362">
        <w:t> </w:t>
      </w:r>
      <w:r>
        <w:t>million.</w:t>
      </w:r>
      <w:r>
        <w:rPr>
          <w:rStyle w:val="FootnoteReference"/>
        </w:rPr>
        <w:footnoteReference w:id="208"/>
      </w:r>
      <w:r>
        <w:t xml:space="preserve"> This value is close to the average annual CARE outreach expenditures of $3.4 million spent during PYs 2017-2019.</w:t>
      </w:r>
      <w:r>
        <w:rPr>
          <w:rStyle w:val="FootnoteReference"/>
        </w:rPr>
        <w:footnoteReference w:id="209"/>
      </w:r>
      <w:r>
        <w:t xml:space="preserve">  However, SoCalGas does not provide sufficient support </w:t>
      </w:r>
      <w:r w:rsidR="00CB4EB4">
        <w:t>for</w:t>
      </w:r>
      <w:r>
        <w:t xml:space="preserve"> the additional budget</w:t>
      </w:r>
      <w:r w:rsidR="00CB4EB4">
        <w:t xml:space="preserve"> request</w:t>
      </w:r>
      <w:r>
        <w:t xml:space="preserve">.  Therefore, we reduce the CARE outreach budget by $1 million for each program year and believe that this will still provide enough budget for SoCalGas to conduct the outreach activities proposed in its application, while also </w:t>
      </w:r>
      <w:proofErr w:type="gramStart"/>
      <w:r>
        <w:t>taking into account</w:t>
      </w:r>
      <w:proofErr w:type="gramEnd"/>
      <w:r>
        <w:t xml:space="preserve"> the projected increase in CARE enrollments.  Otherwise, all other program management cost categories have remained relatively consistent and </w:t>
      </w:r>
      <w:r w:rsidRPr="0021637A">
        <w:t xml:space="preserve">align with </w:t>
      </w:r>
      <w:r>
        <w:t>SoCalGas</w:t>
      </w:r>
      <w:r w:rsidRPr="0021637A">
        <w:t xml:space="preserve">’ </w:t>
      </w:r>
      <w:r>
        <w:t xml:space="preserve">proposed </w:t>
      </w:r>
      <w:r w:rsidRPr="0021637A">
        <w:t xml:space="preserve">plans </w:t>
      </w:r>
      <w:r>
        <w:t>in their application</w:t>
      </w:r>
      <w:r w:rsidRPr="0021637A">
        <w:t xml:space="preserve">. </w:t>
      </w:r>
    </w:p>
    <w:p w:rsidRPr="00AD5B6E" w:rsidR="000C1980" w:rsidP="001968DC" w:rsidRDefault="000C1980" w14:paraId="572AC370" w14:textId="27C65B02">
      <w:pPr>
        <w:pStyle w:val="Heading4"/>
        <w:ind w:left="3600"/>
      </w:pPr>
      <w:bookmarkStart w:name="_Toc69947837" w:id="154"/>
      <w:r w:rsidRPr="00AD5B6E">
        <w:t xml:space="preserve">SDG&amp;E’s CARE Program Management Budgets: </w:t>
      </w:r>
      <w:r w:rsidRPr="00AD5B6E">
        <w:rPr>
          <w:u w:val="single"/>
        </w:rPr>
        <w:t>Approved with Modifications</w:t>
      </w:r>
      <w:bookmarkEnd w:id="154"/>
    </w:p>
    <w:p w:rsidR="000C1980" w:rsidP="001F6BDD" w:rsidRDefault="000C1980" w14:paraId="1E98720A" w14:textId="77777777">
      <w:pPr>
        <w:pStyle w:val="Standard"/>
      </w:pPr>
      <w:r>
        <w:t>We</w:t>
      </w:r>
      <w:r w:rsidRPr="00D01D7A">
        <w:t xml:space="preserve"> approve SDG&amp;E’s CARE </w:t>
      </w:r>
      <w:r>
        <w:t>program management</w:t>
      </w:r>
      <w:r w:rsidRPr="00D01D7A">
        <w:t xml:space="preserve"> budget, less $500,000 from SDG&amp;E’s IT </w:t>
      </w:r>
      <w:r>
        <w:t>p</w:t>
      </w:r>
      <w:r w:rsidRPr="00D01D7A">
        <w:t xml:space="preserve">rogramming administrative line item in </w:t>
      </w:r>
      <w:r>
        <w:t xml:space="preserve">PY </w:t>
      </w:r>
      <w:r w:rsidRPr="00D01D7A">
        <w:t>2022</w:t>
      </w:r>
      <w:r>
        <w:t xml:space="preserve"> (as discussed in Section 4.2)</w:t>
      </w:r>
      <w:r w:rsidRPr="00D01D7A">
        <w:t>.</w:t>
      </w:r>
      <w:r>
        <w:t xml:space="preserve"> </w:t>
      </w:r>
      <w:r w:rsidRPr="0021637A">
        <w:t xml:space="preserve"> The </w:t>
      </w:r>
      <w:r>
        <w:t>proposed program management</w:t>
      </w:r>
      <w:r w:rsidRPr="00D01D7A">
        <w:t xml:space="preserve"> </w:t>
      </w:r>
      <w:r>
        <w:t>costs</w:t>
      </w:r>
      <w:r w:rsidRPr="0021637A">
        <w:t xml:space="preserve"> </w:t>
      </w:r>
      <w:r>
        <w:t>account for 5</w:t>
      </w:r>
      <w:r w:rsidRPr="0021637A">
        <w:t xml:space="preserve"> to </w:t>
      </w:r>
      <w:r>
        <w:t>6</w:t>
      </w:r>
      <w:r w:rsidRPr="0021637A">
        <w:t xml:space="preserve"> percent </w:t>
      </w:r>
      <w:r>
        <w:t>of total program costs and is an average increase of about $1.2 million annually, or a 20 percent increase from PYs 2017-2019 average annual expenditure</w:t>
      </w:r>
      <w:r w:rsidRPr="0021637A">
        <w:t xml:space="preserve">. </w:t>
      </w:r>
      <w:r>
        <w:t xml:space="preserve">Aside from the </w:t>
      </w:r>
      <w:r w:rsidRPr="00D01D7A">
        <w:t xml:space="preserve">500,000 </w:t>
      </w:r>
      <w:r>
        <w:t>for</w:t>
      </w:r>
      <w:r w:rsidRPr="00D01D7A">
        <w:t xml:space="preserve"> SDG&amp;E’s IT </w:t>
      </w:r>
      <w:r>
        <w:t>p</w:t>
      </w:r>
      <w:r w:rsidRPr="00D01D7A">
        <w:t>rogramming</w:t>
      </w:r>
      <w:r>
        <w:t xml:space="preserve"> and combined with the specific areas where the increase in spending will occur, we determine this to be reasonable as further described below</w:t>
      </w:r>
      <w:r w:rsidRPr="0021637A">
        <w:t xml:space="preserve">. </w:t>
      </w:r>
    </w:p>
    <w:p w:rsidRPr="00994B80" w:rsidR="000C1980" w:rsidP="001968DC" w:rsidRDefault="000C1980" w14:paraId="595BA5A6" w14:textId="3881CD33">
      <w:pPr>
        <w:pStyle w:val="Quote"/>
        <w:ind w:left="360"/>
        <w:jc w:val="center"/>
        <w:rPr>
          <w:i/>
          <w:iCs w:val="0"/>
        </w:rPr>
      </w:pPr>
      <w:r w:rsidRPr="004F7A9F">
        <w:rPr>
          <w:b/>
          <w:bCs/>
        </w:rPr>
        <w:lastRenderedPageBreak/>
        <w:t>Ch</w:t>
      </w:r>
      <w:r>
        <w:rPr>
          <w:b/>
          <w:bCs/>
        </w:rPr>
        <w:t>art 4: SDG&amp;E’s CARE Program Management Budgets</w:t>
      </w:r>
      <w:r w:rsidRPr="00375C72">
        <w:rPr>
          <w:b/>
          <w:bCs/>
        </w:rPr>
        <w:t xml:space="preserve"> </w:t>
      </w:r>
      <w:r w:rsidR="00402362">
        <w:rPr>
          <w:b/>
          <w:bCs/>
        </w:rPr>
        <w:br/>
      </w:r>
      <w:r>
        <w:rPr>
          <w:b/>
          <w:bCs/>
        </w:rPr>
        <w:t>PYs 2017</w:t>
      </w:r>
      <w:r w:rsidR="00402362">
        <w:rPr>
          <w:b/>
          <w:bCs/>
        </w:rPr>
        <w:noBreakHyphen/>
      </w:r>
      <w:r>
        <w:rPr>
          <w:b/>
          <w:bCs/>
        </w:rPr>
        <w:t>2026</w:t>
      </w:r>
      <w:r>
        <w:rPr>
          <w:noProof/>
        </w:rPr>
        <w:drawing>
          <wp:inline distT="0" distB="0" distL="0" distR="0" wp14:anchorId="022E00C9" wp14:editId="39E0CE86">
            <wp:extent cx="5943600" cy="33394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1">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rsidR="000C1980" w:rsidP="00402362" w:rsidRDefault="000C1980" w14:paraId="2BEEBE1A" w14:textId="77777777">
      <w:pPr>
        <w:pStyle w:val="Standard"/>
      </w:pPr>
      <w:r>
        <w:t>As can be seen from the chart above, most of t</w:t>
      </w:r>
      <w:r w:rsidRPr="0066678B">
        <w:t xml:space="preserve">he </w:t>
      </w:r>
      <w:r>
        <w:t>increase comes from the o</w:t>
      </w:r>
      <w:r w:rsidRPr="0021637A">
        <w:t xml:space="preserve">utreach budget </w:t>
      </w:r>
      <w:r>
        <w:t>proposed at an average of</w:t>
      </w:r>
      <w:r w:rsidRPr="0021637A">
        <w:t xml:space="preserve"> $</w:t>
      </w:r>
      <w:r>
        <w:t>3.3</w:t>
      </w:r>
      <w:r w:rsidRPr="0021637A">
        <w:t xml:space="preserve"> million annually</w:t>
      </w:r>
      <w:r>
        <w:t xml:space="preserve">, which </w:t>
      </w:r>
      <w:r w:rsidRPr="0021637A">
        <w:t>is an increase of about $</w:t>
      </w:r>
      <w:r>
        <w:t>560,000</w:t>
      </w:r>
      <w:r w:rsidRPr="0021637A">
        <w:t xml:space="preserve"> </w:t>
      </w:r>
      <w:r>
        <w:t>from the average 2017-2019 annual outreach expenditures</w:t>
      </w:r>
      <w:r w:rsidRPr="0021637A">
        <w:t>.</w:t>
      </w:r>
      <w:r>
        <w:t xml:space="preserve">  Another large</w:t>
      </w:r>
      <w:r w:rsidRPr="0066678B">
        <w:t xml:space="preserve"> change in the proposed budget from previous years </w:t>
      </w:r>
      <w:r>
        <w:t>is the increase in the PEV</w:t>
      </w:r>
      <w:r w:rsidRPr="0066678B">
        <w:t xml:space="preserve"> </w:t>
      </w:r>
      <w:r>
        <w:t xml:space="preserve">line item </w:t>
      </w:r>
      <w:r w:rsidRPr="0066678B">
        <w:t>that will support forecasted increases in program enrollment.</w:t>
      </w:r>
      <w:r w:rsidRPr="0066678B">
        <w:rPr>
          <w:vertAlign w:val="superscript"/>
        </w:rPr>
        <w:footnoteReference w:id="210"/>
      </w:r>
      <w:r w:rsidRPr="0066678B">
        <w:t xml:space="preserve"> </w:t>
      </w:r>
      <w:r>
        <w:t xml:space="preserve"> </w:t>
      </w:r>
      <w:r w:rsidRPr="0066678B">
        <w:t xml:space="preserve">The </w:t>
      </w:r>
      <w:r>
        <w:t xml:space="preserve">average annual PEV budget for PYs 2021-2026 will be around $485,000 annually, nearly a 90 percent increase in the average annual 2017-2019 expenditures of $257,000 for this line-item.  </w:t>
      </w:r>
      <w:r w:rsidRPr="0066678B">
        <w:t xml:space="preserve">The proposed budget also includes a small decrease in the administrative budget on an annual basis due to a </w:t>
      </w:r>
      <w:r>
        <w:t>10 percent</w:t>
      </w:r>
      <w:r w:rsidRPr="0066678B">
        <w:t xml:space="preserve"> decrease in </w:t>
      </w:r>
      <w:r>
        <w:t xml:space="preserve">average annual </w:t>
      </w:r>
      <w:r w:rsidRPr="0066678B">
        <w:t xml:space="preserve">IT programming expenses for expected efficiencies that should be gained as part of the implementation of a new </w:t>
      </w:r>
      <w:r w:rsidRPr="009C3F3C">
        <w:t>CIS</w:t>
      </w:r>
      <w:r>
        <w:t>,</w:t>
      </w:r>
      <w:r w:rsidRPr="0066678B">
        <w:rPr>
          <w:vertAlign w:val="superscript"/>
        </w:rPr>
        <w:footnoteReference w:id="211"/>
      </w:r>
      <w:r w:rsidRPr="0066678B">
        <w:t xml:space="preserve"> </w:t>
      </w:r>
      <w:r w:rsidRPr="009C3F3C">
        <w:lastRenderedPageBreak/>
        <w:t xml:space="preserve">and </w:t>
      </w:r>
      <w:r w:rsidRPr="0066678B">
        <w:t xml:space="preserve">$120,000 </w:t>
      </w:r>
      <w:r w:rsidRPr="009C3F3C">
        <w:t xml:space="preserve">to </w:t>
      </w:r>
      <w:r w:rsidRPr="0066678B">
        <w:t>update</w:t>
      </w:r>
      <w:r w:rsidRPr="009C3F3C">
        <w:t xml:space="preserve"> its </w:t>
      </w:r>
      <w:r>
        <w:t>IVR</w:t>
      </w:r>
      <w:r w:rsidRPr="0066678B">
        <w:t xml:space="preserve"> system.</w:t>
      </w:r>
      <w:r w:rsidRPr="0066678B">
        <w:rPr>
          <w:vertAlign w:val="superscript"/>
        </w:rPr>
        <w:footnoteReference w:id="212"/>
      </w:r>
      <w:r w:rsidRPr="0066678B">
        <w:t xml:space="preserve"> </w:t>
      </w:r>
      <w:r w:rsidRPr="009C3F3C">
        <w:t xml:space="preserve"> </w:t>
      </w:r>
      <w:r>
        <w:t>Therefore, the increase in budget for the above efforts is reasonable and expected</w:t>
      </w:r>
      <w:r w:rsidRPr="0021637A">
        <w:t>.</w:t>
      </w:r>
    </w:p>
    <w:p w:rsidRPr="00AD5B6E" w:rsidR="000C1980" w:rsidP="001968DC" w:rsidRDefault="000C1980" w14:paraId="00FFBB66" w14:textId="77777777">
      <w:pPr>
        <w:pStyle w:val="Heading4"/>
        <w:ind w:left="3600"/>
      </w:pPr>
      <w:bookmarkStart w:name="_Toc69947838" w:id="155"/>
      <w:r w:rsidRPr="00AD5B6E">
        <w:t xml:space="preserve">Total Approved CARE Budgets: </w:t>
      </w:r>
      <w:r w:rsidRPr="00AD5B6E">
        <w:rPr>
          <w:u w:val="single"/>
        </w:rPr>
        <w:t>Summary</w:t>
      </w:r>
      <w:bookmarkEnd w:id="155"/>
    </w:p>
    <w:p w:rsidR="000C1980" w:rsidP="0023091F" w:rsidRDefault="000C1980" w14:paraId="6DC4E443" w14:textId="77777777">
      <w:pPr>
        <w:pStyle w:val="ALJBodyText"/>
      </w:pPr>
      <w:r>
        <w:t>In summary, the total approved CARE budgets (Subsidy + Program Management) are provided below.</w:t>
      </w:r>
    </w:p>
    <w:p w:rsidRPr="00627E37" w:rsidR="000C1980" w:rsidP="001968DC" w:rsidRDefault="000C1980" w14:paraId="3575BEA0" w14:textId="77777777">
      <w:pPr>
        <w:pStyle w:val="BlockQuote"/>
        <w:ind w:left="360"/>
        <w:jc w:val="center"/>
        <w:rPr>
          <w:b/>
          <w:bCs/>
        </w:rPr>
      </w:pPr>
      <w:r w:rsidRPr="00627E37">
        <w:rPr>
          <w:b/>
          <w:bCs/>
        </w:rPr>
        <w:t>Table 6: Approved CARE Budgets</w:t>
      </w:r>
      <w:r>
        <w:rPr>
          <w:b/>
          <w:bCs/>
        </w:rPr>
        <w:t>, PYs 2021-2026</w:t>
      </w:r>
    </w:p>
    <w:tbl>
      <w:tblPr>
        <w:tblW w:w="9450" w:type="dxa"/>
        <w:tblInd w:w="-275" w:type="dxa"/>
        <w:tblLook w:val="04A0" w:firstRow="1" w:lastRow="0" w:firstColumn="1" w:lastColumn="0" w:noHBand="0" w:noVBand="1"/>
      </w:tblPr>
      <w:tblGrid>
        <w:gridCol w:w="1049"/>
        <w:gridCol w:w="1226"/>
        <w:gridCol w:w="1225"/>
        <w:gridCol w:w="1225"/>
        <w:gridCol w:w="1225"/>
        <w:gridCol w:w="1225"/>
        <w:gridCol w:w="1225"/>
        <w:gridCol w:w="1216"/>
      </w:tblGrid>
      <w:tr w:rsidRPr="003138DA" w:rsidR="000C1980" w:rsidTr="003138DA" w14:paraId="2F8CD2FE" w14:textId="77777777">
        <w:trPr>
          <w:trHeight w:val="260"/>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011ECEE1" w14:textId="77777777">
            <w:pPr>
              <w:rPr>
                <w:rFonts w:eastAsia="Times New Roman" w:cs="Calibri"/>
                <w:b/>
                <w:bCs/>
                <w:color w:val="000000"/>
                <w:sz w:val="16"/>
                <w:szCs w:val="16"/>
              </w:rPr>
            </w:pPr>
            <w:r w:rsidRPr="003138DA">
              <w:rPr>
                <w:rFonts w:eastAsia="Times New Roman" w:cs="Calibri"/>
                <w:b/>
                <w:bCs/>
                <w:color w:val="000000"/>
                <w:sz w:val="16"/>
                <w:szCs w:val="16"/>
              </w:rPr>
              <w:t>IOU</w:t>
            </w:r>
          </w:p>
        </w:tc>
        <w:tc>
          <w:tcPr>
            <w:tcW w:w="8401" w:type="dxa"/>
            <w:gridSpan w:val="7"/>
            <w:tcBorders>
              <w:top w:val="single" w:color="auto" w:sz="4" w:space="0"/>
              <w:left w:val="nil"/>
              <w:bottom w:val="single" w:color="auto" w:sz="4" w:space="0"/>
              <w:right w:val="single" w:color="auto" w:sz="4" w:space="0"/>
            </w:tcBorders>
            <w:shd w:val="clear" w:color="auto" w:fill="auto"/>
            <w:noWrap/>
            <w:vAlign w:val="bottom"/>
            <w:hideMark/>
          </w:tcPr>
          <w:p w:rsidRPr="003138DA" w:rsidR="000C1980" w:rsidP="001968DC" w:rsidRDefault="00BE28FD" w14:paraId="15F33D8C" w14:textId="712C2173">
            <w:pPr>
              <w:ind w:left="360"/>
              <w:jc w:val="center"/>
              <w:rPr>
                <w:rFonts w:eastAsia="Times New Roman" w:cs="Calibri"/>
                <w:b/>
                <w:bCs/>
                <w:color w:val="000000"/>
                <w:sz w:val="16"/>
                <w:szCs w:val="16"/>
              </w:rPr>
            </w:pPr>
            <w:r w:rsidRPr="003138DA">
              <w:rPr>
                <w:rFonts w:eastAsia="Times New Roman" w:cs="Calibri"/>
                <w:b/>
                <w:bCs/>
                <w:color w:val="000000"/>
                <w:sz w:val="16"/>
                <w:szCs w:val="16"/>
              </w:rPr>
              <w:t xml:space="preserve">Approved </w:t>
            </w:r>
            <w:r w:rsidRPr="003138DA" w:rsidR="000C1980">
              <w:rPr>
                <w:rFonts w:eastAsia="Times New Roman" w:cs="Calibri"/>
                <w:b/>
                <w:bCs/>
                <w:color w:val="000000"/>
                <w:sz w:val="16"/>
                <w:szCs w:val="16"/>
              </w:rPr>
              <w:t>CARE Administrative Budget</w:t>
            </w:r>
          </w:p>
        </w:tc>
      </w:tr>
      <w:tr w:rsidRPr="003138DA" w:rsidR="000C1980" w:rsidTr="003138DA" w14:paraId="1C90F6A0" w14:textId="77777777">
        <w:trPr>
          <w:trHeight w:val="260"/>
        </w:trPr>
        <w:tc>
          <w:tcPr>
            <w:tcW w:w="1049" w:type="dxa"/>
            <w:vMerge/>
            <w:tcBorders>
              <w:top w:val="single" w:color="auto" w:sz="4" w:space="0"/>
              <w:left w:val="single" w:color="auto" w:sz="4" w:space="0"/>
              <w:bottom w:val="single" w:color="auto" w:sz="4" w:space="0"/>
              <w:right w:val="single" w:color="auto" w:sz="4" w:space="0"/>
            </w:tcBorders>
            <w:vAlign w:val="center"/>
            <w:hideMark/>
          </w:tcPr>
          <w:p w:rsidRPr="003138DA" w:rsidR="000C1980" w:rsidP="001968DC" w:rsidRDefault="000C1980" w14:paraId="488722EB" w14:textId="77777777">
            <w:pPr>
              <w:ind w:left="360"/>
              <w:rPr>
                <w:rFonts w:eastAsia="Times New Roman" w:cs="Calibri"/>
                <w:b/>
                <w:bCs/>
                <w:color w:val="000000"/>
                <w:sz w:val="16"/>
                <w:szCs w:val="16"/>
              </w:rPr>
            </w:pP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03535BE4"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2FF8F2C6"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7C867191"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4CBFBE23"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72EE254B"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3519B39F"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2026</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360C9A87" w14:textId="77777777">
            <w:pPr>
              <w:ind w:left="360"/>
              <w:rPr>
                <w:rFonts w:eastAsia="Times New Roman" w:cs="Calibri"/>
                <w:b/>
                <w:bCs/>
                <w:color w:val="000000"/>
                <w:sz w:val="16"/>
                <w:szCs w:val="16"/>
              </w:rPr>
            </w:pPr>
            <w:r w:rsidRPr="003138DA">
              <w:rPr>
                <w:rFonts w:eastAsia="Times New Roman" w:cs="Calibri"/>
                <w:b/>
                <w:bCs/>
                <w:color w:val="000000"/>
                <w:sz w:val="16"/>
                <w:szCs w:val="16"/>
              </w:rPr>
              <w:t>Total</w:t>
            </w:r>
          </w:p>
        </w:tc>
      </w:tr>
      <w:tr w:rsidRPr="003138DA" w:rsidR="000C1980" w:rsidTr="003138DA" w14:paraId="6B9CBC0C"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005219D7" w14:textId="77777777">
            <w:pPr>
              <w:rPr>
                <w:rFonts w:eastAsia="Times New Roman" w:cs="Calibri"/>
                <w:b/>
                <w:bCs/>
                <w:color w:val="000000"/>
                <w:sz w:val="16"/>
                <w:szCs w:val="16"/>
              </w:rPr>
            </w:pPr>
            <w:r w:rsidRPr="003138DA">
              <w:rPr>
                <w:rFonts w:eastAsia="Times New Roman" w:cs="Calibri"/>
                <w:b/>
                <w:bCs/>
                <w:color w:val="000000"/>
                <w:sz w:val="16"/>
                <w:szCs w:val="16"/>
              </w:rPr>
              <w:t>SCE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8B60C0B" w14:textId="77777777">
            <w:pPr>
              <w:rPr>
                <w:rFonts w:eastAsia="Times New Roman" w:cs="Calibri"/>
                <w:color w:val="000000"/>
                <w:sz w:val="16"/>
                <w:szCs w:val="16"/>
              </w:rPr>
            </w:pPr>
            <w:r w:rsidRPr="003138DA">
              <w:rPr>
                <w:rFonts w:eastAsia="Times New Roman" w:cs="Calibri"/>
                <w:color w:val="000000"/>
                <w:sz w:val="16"/>
                <w:szCs w:val="16"/>
              </w:rPr>
              <w:t>$10,503,716</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AF8F204" w14:textId="77777777">
            <w:pPr>
              <w:rPr>
                <w:rFonts w:eastAsia="Times New Roman" w:cs="Calibri"/>
                <w:color w:val="000000"/>
                <w:sz w:val="16"/>
                <w:szCs w:val="16"/>
              </w:rPr>
            </w:pPr>
            <w:r w:rsidRPr="003138DA">
              <w:rPr>
                <w:rFonts w:eastAsia="Times New Roman" w:cs="Calibri"/>
                <w:color w:val="000000"/>
                <w:sz w:val="16"/>
                <w:szCs w:val="16"/>
              </w:rPr>
              <w:t>$10,108,535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B695A85" w14:textId="77777777">
            <w:pPr>
              <w:rPr>
                <w:rFonts w:eastAsia="Times New Roman" w:cs="Calibri"/>
                <w:color w:val="000000"/>
                <w:sz w:val="16"/>
                <w:szCs w:val="16"/>
              </w:rPr>
            </w:pPr>
            <w:r w:rsidRPr="003138DA">
              <w:rPr>
                <w:rFonts w:eastAsia="Times New Roman" w:cs="Calibri"/>
                <w:color w:val="000000"/>
                <w:sz w:val="16"/>
                <w:szCs w:val="16"/>
              </w:rPr>
              <w:t>$10,526,671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3C27CB5" w14:textId="77777777">
            <w:pPr>
              <w:rPr>
                <w:rFonts w:eastAsia="Times New Roman" w:cs="Calibri"/>
                <w:color w:val="000000"/>
                <w:sz w:val="16"/>
                <w:szCs w:val="16"/>
              </w:rPr>
            </w:pPr>
            <w:r w:rsidRPr="003138DA">
              <w:rPr>
                <w:rFonts w:eastAsia="Times New Roman" w:cs="Calibri"/>
                <w:color w:val="000000"/>
                <w:sz w:val="16"/>
                <w:szCs w:val="16"/>
              </w:rPr>
              <w:t>$10,454,193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736DDCE" w14:textId="77777777">
            <w:pPr>
              <w:rPr>
                <w:rFonts w:eastAsia="Times New Roman" w:cs="Calibri"/>
                <w:color w:val="000000"/>
                <w:sz w:val="16"/>
                <w:szCs w:val="16"/>
              </w:rPr>
            </w:pPr>
            <w:r w:rsidRPr="003138DA">
              <w:rPr>
                <w:rFonts w:eastAsia="Times New Roman" w:cs="Calibri"/>
                <w:color w:val="000000"/>
                <w:sz w:val="16"/>
                <w:szCs w:val="16"/>
              </w:rPr>
              <w:t>$10,850,293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EE80E8F" w14:textId="77777777">
            <w:pPr>
              <w:rPr>
                <w:rFonts w:eastAsia="Times New Roman" w:cs="Calibri"/>
                <w:color w:val="000000"/>
                <w:sz w:val="16"/>
                <w:szCs w:val="16"/>
              </w:rPr>
            </w:pPr>
            <w:r w:rsidRPr="003138DA">
              <w:rPr>
                <w:rFonts w:eastAsia="Times New Roman" w:cs="Calibri"/>
                <w:color w:val="000000"/>
                <w:sz w:val="16"/>
                <w:szCs w:val="16"/>
              </w:rPr>
              <w:t>$10,953,158</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7838546" w14:textId="77777777">
            <w:pPr>
              <w:rPr>
                <w:rFonts w:eastAsia="Times New Roman" w:cs="Calibri"/>
                <w:b/>
                <w:bCs/>
                <w:color w:val="000000"/>
                <w:sz w:val="16"/>
                <w:szCs w:val="16"/>
              </w:rPr>
            </w:pPr>
            <w:r w:rsidRPr="003138DA">
              <w:rPr>
                <w:rFonts w:eastAsia="Times New Roman" w:cs="Calibri"/>
                <w:b/>
                <w:bCs/>
                <w:color w:val="000000"/>
                <w:sz w:val="16"/>
                <w:szCs w:val="16"/>
              </w:rPr>
              <w:t>$63,396,566</w:t>
            </w:r>
          </w:p>
        </w:tc>
      </w:tr>
      <w:tr w:rsidRPr="003138DA" w:rsidR="000C1980" w:rsidTr="003138DA" w14:paraId="151B6DE1"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76E70E98" w14:textId="77777777">
            <w:pPr>
              <w:rPr>
                <w:rFonts w:eastAsia="Times New Roman" w:cs="Calibri"/>
                <w:b/>
                <w:bCs/>
                <w:color w:val="000000"/>
                <w:sz w:val="16"/>
                <w:szCs w:val="16"/>
              </w:rPr>
            </w:pPr>
            <w:r w:rsidRPr="003138DA">
              <w:rPr>
                <w:rFonts w:eastAsia="Times New Roman" w:cs="Calibri"/>
                <w:b/>
                <w:bCs/>
                <w:color w:val="000000"/>
                <w:sz w:val="16"/>
                <w:szCs w:val="16"/>
              </w:rPr>
              <w:t>PG&amp;E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927CF56" w14:textId="77777777">
            <w:pPr>
              <w:rPr>
                <w:rFonts w:eastAsia="Times New Roman" w:cs="Calibri"/>
                <w:sz w:val="16"/>
                <w:szCs w:val="16"/>
              </w:rPr>
            </w:pPr>
            <w:r w:rsidRPr="003138DA">
              <w:rPr>
                <w:rFonts w:eastAsia="Times New Roman" w:cs="Calibri"/>
                <w:sz w:val="16"/>
                <w:szCs w:val="16"/>
              </w:rPr>
              <w:t>$14,150,600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749E24C" w14:textId="77777777">
            <w:pPr>
              <w:rPr>
                <w:rFonts w:eastAsia="Times New Roman" w:cs="Calibri"/>
                <w:sz w:val="16"/>
                <w:szCs w:val="16"/>
              </w:rPr>
            </w:pPr>
            <w:r w:rsidRPr="003138DA">
              <w:rPr>
                <w:rFonts w:eastAsia="Times New Roman" w:cs="Calibri"/>
                <w:sz w:val="16"/>
                <w:szCs w:val="16"/>
              </w:rPr>
              <w:t>$13,760,000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87B3F18" w14:textId="77777777">
            <w:pPr>
              <w:rPr>
                <w:rFonts w:eastAsia="Times New Roman" w:cs="Calibri"/>
                <w:sz w:val="16"/>
                <w:szCs w:val="16"/>
              </w:rPr>
            </w:pPr>
            <w:r w:rsidRPr="003138DA">
              <w:rPr>
                <w:rFonts w:eastAsia="Times New Roman" w:cs="Calibri"/>
                <w:sz w:val="16"/>
                <w:szCs w:val="16"/>
              </w:rPr>
              <w:t>$13,961,600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B30727C" w14:textId="77777777">
            <w:pPr>
              <w:rPr>
                <w:rFonts w:eastAsia="Times New Roman" w:cs="Calibri"/>
                <w:sz w:val="16"/>
                <w:szCs w:val="16"/>
              </w:rPr>
            </w:pPr>
            <w:r w:rsidRPr="003138DA">
              <w:rPr>
                <w:rFonts w:eastAsia="Times New Roman" w:cs="Calibri"/>
                <w:sz w:val="16"/>
                <w:szCs w:val="16"/>
              </w:rPr>
              <w:t>$14,070,600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CA4AEB3" w14:textId="77777777">
            <w:pPr>
              <w:rPr>
                <w:rFonts w:eastAsia="Times New Roman" w:cs="Calibri"/>
                <w:sz w:val="16"/>
                <w:szCs w:val="16"/>
              </w:rPr>
            </w:pPr>
            <w:r w:rsidRPr="003138DA">
              <w:rPr>
                <w:rFonts w:eastAsia="Times New Roman" w:cs="Calibri"/>
                <w:sz w:val="16"/>
                <w:szCs w:val="16"/>
              </w:rPr>
              <w:t>$14,444,200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4CEF6F3" w14:textId="77777777">
            <w:pPr>
              <w:rPr>
                <w:rFonts w:eastAsia="Times New Roman" w:cs="Calibri"/>
                <w:sz w:val="16"/>
                <w:szCs w:val="16"/>
              </w:rPr>
            </w:pPr>
            <w:r w:rsidRPr="003138DA">
              <w:rPr>
                <w:rFonts w:eastAsia="Times New Roman" w:cs="Calibri"/>
                <w:sz w:val="16"/>
                <w:szCs w:val="16"/>
              </w:rPr>
              <w:t>$14,787,700</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2E48DAA" w14:textId="77777777">
            <w:pPr>
              <w:rPr>
                <w:rFonts w:eastAsia="Times New Roman" w:cs="Calibri"/>
                <w:b/>
                <w:bCs/>
                <w:color w:val="000000"/>
                <w:sz w:val="16"/>
                <w:szCs w:val="16"/>
              </w:rPr>
            </w:pPr>
            <w:r w:rsidRPr="003138DA">
              <w:rPr>
                <w:rFonts w:eastAsia="Times New Roman" w:cs="Calibri"/>
                <w:b/>
                <w:bCs/>
                <w:color w:val="000000"/>
                <w:sz w:val="16"/>
                <w:szCs w:val="16"/>
              </w:rPr>
              <w:t>$85,174,700</w:t>
            </w:r>
          </w:p>
        </w:tc>
      </w:tr>
      <w:tr w:rsidRPr="003138DA" w:rsidR="000C1980" w:rsidTr="003138DA" w14:paraId="7C26B7DB"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58531047" w14:textId="77777777">
            <w:pPr>
              <w:rPr>
                <w:rFonts w:eastAsia="Times New Roman" w:cs="Calibri"/>
                <w:b/>
                <w:bCs/>
                <w:color w:val="000000"/>
                <w:sz w:val="16"/>
                <w:szCs w:val="16"/>
              </w:rPr>
            </w:pPr>
            <w:r w:rsidRPr="003138DA">
              <w:rPr>
                <w:rFonts w:eastAsia="Times New Roman" w:cs="Calibri"/>
                <w:b/>
                <w:bCs/>
                <w:color w:val="000000"/>
                <w:sz w:val="16"/>
                <w:szCs w:val="16"/>
              </w:rPr>
              <w:t>SDG&amp;E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5A465D6" w14:textId="77777777">
            <w:pPr>
              <w:rPr>
                <w:rFonts w:eastAsia="Times New Roman" w:cs="Calibri"/>
                <w:color w:val="000000"/>
                <w:sz w:val="16"/>
                <w:szCs w:val="16"/>
              </w:rPr>
            </w:pPr>
            <w:r w:rsidRPr="003138DA">
              <w:rPr>
                <w:rFonts w:eastAsia="Times New Roman" w:cs="Calibri"/>
                <w:color w:val="000000"/>
                <w:sz w:val="16"/>
                <w:szCs w:val="16"/>
              </w:rPr>
              <w:t>$6,622,169</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EE387C1" w14:textId="77777777">
            <w:pPr>
              <w:rPr>
                <w:rFonts w:eastAsia="Times New Roman" w:cs="Calibri"/>
                <w:sz w:val="16"/>
                <w:szCs w:val="16"/>
              </w:rPr>
            </w:pPr>
            <w:r w:rsidRPr="003138DA">
              <w:rPr>
                <w:rFonts w:eastAsia="Times New Roman" w:cs="Calibri"/>
                <w:sz w:val="16"/>
                <w:szCs w:val="16"/>
              </w:rPr>
              <w:t>$6,741,045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9DBB5C1" w14:textId="77777777">
            <w:pPr>
              <w:rPr>
                <w:rFonts w:eastAsia="Times New Roman" w:cs="Calibri"/>
                <w:sz w:val="16"/>
                <w:szCs w:val="16"/>
              </w:rPr>
            </w:pPr>
            <w:r w:rsidRPr="003138DA">
              <w:rPr>
                <w:rFonts w:eastAsia="Times New Roman" w:cs="Calibri"/>
                <w:sz w:val="16"/>
                <w:szCs w:val="16"/>
              </w:rPr>
              <w:t>$6,922,453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CD88143" w14:textId="77777777">
            <w:pPr>
              <w:rPr>
                <w:rFonts w:eastAsia="Times New Roman" w:cs="Calibri"/>
                <w:color w:val="000000"/>
                <w:sz w:val="16"/>
                <w:szCs w:val="16"/>
              </w:rPr>
            </w:pPr>
            <w:r w:rsidRPr="003138DA">
              <w:rPr>
                <w:rFonts w:eastAsia="Times New Roman" w:cs="Calibri"/>
                <w:color w:val="000000"/>
                <w:sz w:val="16"/>
                <w:szCs w:val="16"/>
              </w:rPr>
              <w:t>$7,013,368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8E39A24" w14:textId="77777777">
            <w:pPr>
              <w:rPr>
                <w:rFonts w:eastAsia="Times New Roman" w:cs="Calibri"/>
                <w:color w:val="000000"/>
                <w:sz w:val="16"/>
                <w:szCs w:val="16"/>
              </w:rPr>
            </w:pPr>
            <w:r w:rsidRPr="003138DA">
              <w:rPr>
                <w:rFonts w:eastAsia="Times New Roman" w:cs="Calibri"/>
                <w:color w:val="000000"/>
                <w:sz w:val="16"/>
                <w:szCs w:val="16"/>
              </w:rPr>
              <w:t>$7,399,570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E9D36C2" w14:textId="77777777">
            <w:pPr>
              <w:rPr>
                <w:rFonts w:eastAsia="Times New Roman" w:cs="Calibri"/>
                <w:color w:val="000000"/>
                <w:sz w:val="16"/>
                <w:szCs w:val="16"/>
              </w:rPr>
            </w:pPr>
            <w:r w:rsidRPr="003138DA">
              <w:rPr>
                <w:rFonts w:eastAsia="Times New Roman" w:cs="Calibri"/>
                <w:color w:val="000000"/>
                <w:sz w:val="16"/>
                <w:szCs w:val="16"/>
              </w:rPr>
              <w:t>$7,401,649</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04AAEF4" w14:textId="77777777">
            <w:pPr>
              <w:rPr>
                <w:rFonts w:eastAsia="Times New Roman" w:cs="Calibri"/>
                <w:b/>
                <w:bCs/>
                <w:color w:val="000000"/>
                <w:sz w:val="16"/>
                <w:szCs w:val="16"/>
              </w:rPr>
            </w:pPr>
            <w:r w:rsidRPr="003138DA">
              <w:rPr>
                <w:rFonts w:eastAsia="Times New Roman" w:cs="Calibri"/>
                <w:b/>
                <w:bCs/>
                <w:color w:val="000000"/>
                <w:sz w:val="16"/>
                <w:szCs w:val="16"/>
              </w:rPr>
              <w:t>$42,100,254</w:t>
            </w:r>
          </w:p>
        </w:tc>
      </w:tr>
      <w:tr w:rsidRPr="003138DA" w:rsidR="000C1980" w:rsidTr="003138DA" w14:paraId="0070EEAE" w14:textId="77777777">
        <w:trPr>
          <w:trHeight w:val="566"/>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74683814" w14:textId="77777777">
            <w:pPr>
              <w:rPr>
                <w:rFonts w:eastAsia="Times New Roman" w:cs="Calibri"/>
                <w:b/>
                <w:bCs/>
                <w:sz w:val="16"/>
                <w:szCs w:val="16"/>
              </w:rPr>
            </w:pPr>
            <w:r w:rsidRPr="003138DA">
              <w:rPr>
                <w:rFonts w:eastAsia="Times New Roman" w:cs="Calibri"/>
                <w:b/>
                <w:bCs/>
                <w:sz w:val="16"/>
                <w:szCs w:val="16"/>
              </w:rPr>
              <w:t>SoCalGas</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D3C4A47" w14:textId="77777777">
            <w:pPr>
              <w:rPr>
                <w:rFonts w:eastAsia="Times New Roman" w:cs="Calibri"/>
                <w:sz w:val="16"/>
                <w:szCs w:val="16"/>
              </w:rPr>
            </w:pPr>
            <w:r w:rsidRPr="003138DA">
              <w:rPr>
                <w:rFonts w:eastAsia="Times New Roman" w:cs="Calibri"/>
                <w:sz w:val="16"/>
                <w:szCs w:val="16"/>
              </w:rPr>
              <w:t>$9,859,663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CFA7F19" w14:textId="77777777">
            <w:pPr>
              <w:rPr>
                <w:rFonts w:eastAsia="Times New Roman" w:cs="Calibri"/>
                <w:sz w:val="16"/>
                <w:szCs w:val="16"/>
              </w:rPr>
            </w:pPr>
            <w:r w:rsidRPr="003138DA">
              <w:rPr>
                <w:rFonts w:eastAsia="Times New Roman" w:cs="Calibri"/>
                <w:sz w:val="16"/>
                <w:szCs w:val="16"/>
              </w:rPr>
              <w:t>$10,085,592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0EAE534" w14:textId="77777777">
            <w:pPr>
              <w:rPr>
                <w:rFonts w:eastAsia="Times New Roman" w:cs="Calibri"/>
                <w:sz w:val="16"/>
                <w:szCs w:val="16"/>
              </w:rPr>
            </w:pPr>
            <w:r w:rsidRPr="003138DA">
              <w:rPr>
                <w:rFonts w:eastAsia="Times New Roman" w:cs="Calibri"/>
                <w:sz w:val="16"/>
                <w:szCs w:val="16"/>
              </w:rPr>
              <w:t>$10,181,364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E67F74D" w14:textId="77777777">
            <w:pPr>
              <w:rPr>
                <w:rFonts w:eastAsia="Times New Roman" w:cs="Calibri"/>
                <w:sz w:val="16"/>
                <w:szCs w:val="16"/>
              </w:rPr>
            </w:pPr>
            <w:r w:rsidRPr="003138DA">
              <w:rPr>
                <w:rFonts w:eastAsia="Times New Roman" w:cs="Calibri"/>
                <w:sz w:val="16"/>
                <w:szCs w:val="16"/>
              </w:rPr>
              <w:t>$10,465,069</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586FEAA" w14:textId="77777777">
            <w:pPr>
              <w:rPr>
                <w:rFonts w:eastAsia="Times New Roman" w:cs="Calibri"/>
                <w:sz w:val="16"/>
                <w:szCs w:val="16"/>
              </w:rPr>
            </w:pPr>
            <w:r w:rsidRPr="003138DA">
              <w:rPr>
                <w:rFonts w:eastAsia="Times New Roman" w:cs="Calibri"/>
                <w:sz w:val="16"/>
                <w:szCs w:val="16"/>
              </w:rPr>
              <w:t>$10,774,132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6E4BAB8" w14:textId="77777777">
            <w:pPr>
              <w:rPr>
                <w:rFonts w:eastAsia="Times New Roman" w:cs="Calibri"/>
                <w:sz w:val="16"/>
                <w:szCs w:val="16"/>
              </w:rPr>
            </w:pPr>
            <w:r w:rsidRPr="003138DA">
              <w:rPr>
                <w:rFonts w:eastAsia="Times New Roman" w:cs="Calibri"/>
                <w:sz w:val="16"/>
                <w:szCs w:val="16"/>
              </w:rPr>
              <w:t>$10,915,864</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FDBDB18" w14:textId="77777777">
            <w:pPr>
              <w:rPr>
                <w:rFonts w:eastAsia="Times New Roman" w:cs="Calibri"/>
                <w:b/>
                <w:bCs/>
                <w:sz w:val="16"/>
                <w:szCs w:val="16"/>
              </w:rPr>
            </w:pPr>
            <w:r w:rsidRPr="003138DA">
              <w:rPr>
                <w:rFonts w:eastAsia="Times New Roman" w:cs="Calibri"/>
                <w:b/>
                <w:bCs/>
                <w:sz w:val="16"/>
                <w:szCs w:val="16"/>
              </w:rPr>
              <w:t>$62,281,684</w:t>
            </w:r>
          </w:p>
        </w:tc>
      </w:tr>
      <w:tr w:rsidRPr="003138DA" w:rsidR="000C1980" w:rsidTr="003138DA" w14:paraId="03C8C4FC"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07813D37" w14:textId="77777777">
            <w:pPr>
              <w:rPr>
                <w:rFonts w:eastAsia="Times New Roman" w:cs="Calibri"/>
                <w:b/>
                <w:bCs/>
                <w:color w:val="000000"/>
                <w:sz w:val="16"/>
                <w:szCs w:val="16"/>
              </w:rPr>
            </w:pPr>
            <w:r w:rsidRPr="003138DA">
              <w:rPr>
                <w:rFonts w:eastAsia="Times New Roman" w:cs="Calibri"/>
                <w:b/>
                <w:bCs/>
                <w:color w:val="000000"/>
                <w:sz w:val="16"/>
                <w:szCs w:val="16"/>
              </w:rPr>
              <w:t>Total</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4161CB6" w14:textId="77777777">
            <w:pPr>
              <w:rPr>
                <w:rFonts w:eastAsia="Times New Roman" w:cs="Calibri"/>
                <w:b/>
                <w:bCs/>
                <w:color w:val="000000"/>
                <w:sz w:val="16"/>
                <w:szCs w:val="16"/>
              </w:rPr>
            </w:pPr>
            <w:r w:rsidRPr="003138DA">
              <w:rPr>
                <w:rFonts w:eastAsia="Times New Roman" w:cs="Calibri"/>
                <w:b/>
                <w:bCs/>
                <w:color w:val="000000"/>
                <w:sz w:val="16"/>
                <w:szCs w:val="16"/>
              </w:rPr>
              <w:t>$41,136,147</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F5813CC" w14:textId="77777777">
            <w:pPr>
              <w:rPr>
                <w:rFonts w:eastAsia="Times New Roman" w:cs="Calibri"/>
                <w:b/>
                <w:bCs/>
                <w:color w:val="000000"/>
                <w:sz w:val="16"/>
                <w:szCs w:val="16"/>
              </w:rPr>
            </w:pPr>
            <w:r w:rsidRPr="003138DA">
              <w:rPr>
                <w:rFonts w:eastAsia="Times New Roman" w:cs="Calibri"/>
                <w:b/>
                <w:bCs/>
                <w:color w:val="000000"/>
                <w:sz w:val="16"/>
                <w:szCs w:val="16"/>
              </w:rPr>
              <w:t>$40,695,172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0FC589B" w14:textId="77777777">
            <w:pPr>
              <w:rPr>
                <w:rFonts w:eastAsia="Times New Roman" w:cs="Calibri"/>
                <w:b/>
                <w:bCs/>
                <w:color w:val="000000"/>
                <w:sz w:val="16"/>
                <w:szCs w:val="16"/>
              </w:rPr>
            </w:pPr>
            <w:r w:rsidRPr="003138DA">
              <w:rPr>
                <w:rFonts w:eastAsia="Times New Roman" w:cs="Calibri"/>
                <w:b/>
                <w:bCs/>
                <w:color w:val="000000"/>
                <w:sz w:val="16"/>
                <w:szCs w:val="16"/>
              </w:rPr>
              <w:t>$41,592,088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BE00C38" w14:textId="77777777">
            <w:pPr>
              <w:rPr>
                <w:rFonts w:eastAsia="Times New Roman" w:cs="Calibri"/>
                <w:b/>
                <w:bCs/>
                <w:color w:val="000000"/>
                <w:sz w:val="16"/>
                <w:szCs w:val="16"/>
              </w:rPr>
            </w:pPr>
            <w:r w:rsidRPr="003138DA">
              <w:rPr>
                <w:rFonts w:eastAsia="Times New Roman" w:cs="Calibri"/>
                <w:b/>
                <w:bCs/>
                <w:color w:val="000000"/>
                <w:sz w:val="16"/>
                <w:szCs w:val="16"/>
              </w:rPr>
              <w:t>$42,003,231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D41BF59" w14:textId="77777777">
            <w:pPr>
              <w:rPr>
                <w:rFonts w:eastAsia="Times New Roman" w:cs="Calibri"/>
                <w:b/>
                <w:bCs/>
                <w:color w:val="000000"/>
                <w:sz w:val="16"/>
                <w:szCs w:val="16"/>
              </w:rPr>
            </w:pPr>
            <w:r w:rsidRPr="003138DA">
              <w:rPr>
                <w:rFonts w:eastAsia="Times New Roman" w:cs="Calibri"/>
                <w:b/>
                <w:bCs/>
                <w:color w:val="000000"/>
                <w:sz w:val="16"/>
                <w:szCs w:val="16"/>
              </w:rPr>
              <w:t>$43,468,195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E568EAD" w14:textId="77777777">
            <w:pPr>
              <w:rPr>
                <w:rFonts w:eastAsia="Times New Roman" w:cs="Calibri"/>
                <w:b/>
                <w:bCs/>
                <w:color w:val="000000"/>
                <w:sz w:val="16"/>
                <w:szCs w:val="16"/>
              </w:rPr>
            </w:pPr>
            <w:r w:rsidRPr="003138DA">
              <w:rPr>
                <w:rFonts w:eastAsia="Times New Roman" w:cs="Calibri"/>
                <w:b/>
                <w:bCs/>
                <w:color w:val="000000"/>
                <w:sz w:val="16"/>
                <w:szCs w:val="16"/>
              </w:rPr>
              <w:t>$44,058,370</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9AC586B" w14:textId="77777777">
            <w:pPr>
              <w:rPr>
                <w:rFonts w:eastAsia="Times New Roman" w:cs="Calibri"/>
                <w:b/>
                <w:bCs/>
                <w:color w:val="000000"/>
                <w:sz w:val="16"/>
                <w:szCs w:val="16"/>
              </w:rPr>
            </w:pPr>
            <w:r w:rsidRPr="003138DA">
              <w:rPr>
                <w:rFonts w:eastAsia="Times New Roman" w:cs="Calibri"/>
                <w:b/>
                <w:bCs/>
                <w:color w:val="000000"/>
                <w:sz w:val="16"/>
                <w:szCs w:val="16"/>
              </w:rPr>
              <w:t>$252,953,204</w:t>
            </w:r>
          </w:p>
        </w:tc>
      </w:tr>
      <w:tr w:rsidRPr="003138DA" w:rsidR="000C1980" w:rsidTr="003138DA" w14:paraId="1E674D6B" w14:textId="77777777">
        <w:trPr>
          <w:trHeight w:val="260"/>
        </w:trPr>
        <w:tc>
          <w:tcPr>
            <w:tcW w:w="1049" w:type="dxa"/>
            <w:tcBorders>
              <w:top w:val="nil"/>
              <w:left w:val="nil"/>
              <w:bottom w:val="nil"/>
              <w:right w:val="nil"/>
            </w:tcBorders>
            <w:shd w:val="clear" w:color="auto" w:fill="auto"/>
            <w:noWrap/>
            <w:vAlign w:val="bottom"/>
            <w:hideMark/>
          </w:tcPr>
          <w:p w:rsidRPr="003138DA" w:rsidR="000C1980" w:rsidP="001968DC" w:rsidRDefault="000C1980" w14:paraId="4839AF4B" w14:textId="77777777">
            <w:pPr>
              <w:ind w:left="360"/>
              <w:jc w:val="right"/>
              <w:rPr>
                <w:rFonts w:eastAsia="Times New Roman" w:cs="Calibri"/>
                <w:b/>
                <w:bCs/>
                <w:color w:val="000000"/>
                <w:sz w:val="16"/>
                <w:szCs w:val="16"/>
              </w:rPr>
            </w:pPr>
          </w:p>
        </w:tc>
        <w:tc>
          <w:tcPr>
            <w:tcW w:w="1226" w:type="dxa"/>
            <w:tcBorders>
              <w:top w:val="nil"/>
              <w:left w:val="nil"/>
              <w:bottom w:val="nil"/>
              <w:right w:val="nil"/>
            </w:tcBorders>
            <w:shd w:val="clear" w:color="auto" w:fill="auto"/>
            <w:noWrap/>
            <w:vAlign w:val="bottom"/>
            <w:hideMark/>
          </w:tcPr>
          <w:p w:rsidRPr="003138DA" w:rsidR="000C1980" w:rsidP="001968DC" w:rsidRDefault="000C1980" w14:paraId="6806AF7A"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6386D65A"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46DA1E46"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38C84CA1"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77309739"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1E2664A3" w14:textId="77777777">
            <w:pPr>
              <w:ind w:left="360"/>
              <w:rPr>
                <w:rFonts w:eastAsia="Times New Roman"/>
                <w:sz w:val="16"/>
                <w:szCs w:val="16"/>
              </w:rPr>
            </w:pPr>
          </w:p>
        </w:tc>
        <w:tc>
          <w:tcPr>
            <w:tcW w:w="1050" w:type="dxa"/>
            <w:tcBorders>
              <w:top w:val="nil"/>
              <w:left w:val="nil"/>
              <w:bottom w:val="nil"/>
              <w:right w:val="nil"/>
            </w:tcBorders>
            <w:shd w:val="clear" w:color="auto" w:fill="auto"/>
            <w:noWrap/>
            <w:vAlign w:val="bottom"/>
            <w:hideMark/>
          </w:tcPr>
          <w:p w:rsidRPr="003138DA" w:rsidR="000C1980" w:rsidP="001968DC" w:rsidRDefault="000C1980" w14:paraId="41EF8FAA" w14:textId="77777777">
            <w:pPr>
              <w:ind w:left="360"/>
              <w:rPr>
                <w:rFonts w:eastAsia="Times New Roman"/>
                <w:sz w:val="16"/>
                <w:szCs w:val="16"/>
              </w:rPr>
            </w:pPr>
          </w:p>
        </w:tc>
      </w:tr>
      <w:tr w:rsidRPr="003138DA" w:rsidR="000C1980" w:rsidTr="003138DA" w14:paraId="2594A70B" w14:textId="77777777">
        <w:trPr>
          <w:trHeight w:val="260"/>
        </w:trPr>
        <w:tc>
          <w:tcPr>
            <w:tcW w:w="1049" w:type="dxa"/>
            <w:vMerge w:val="restart"/>
            <w:tcBorders>
              <w:top w:val="single" w:color="auto" w:sz="4" w:space="0"/>
              <w:left w:val="single" w:color="auto" w:sz="4" w:space="0"/>
              <w:bottom w:val="single" w:color="000000" w:sz="4" w:space="0"/>
              <w:right w:val="single" w:color="auto" w:sz="4" w:space="0"/>
            </w:tcBorders>
            <w:shd w:val="clear" w:color="auto" w:fill="auto"/>
            <w:noWrap/>
            <w:vAlign w:val="bottom"/>
            <w:hideMark/>
          </w:tcPr>
          <w:p w:rsidRPr="003138DA" w:rsidR="000C1980" w:rsidP="003138DA" w:rsidRDefault="000C1980" w14:paraId="7C11C17B" w14:textId="77777777">
            <w:pPr>
              <w:rPr>
                <w:rFonts w:eastAsia="Times New Roman" w:cs="Calibri"/>
                <w:b/>
                <w:bCs/>
                <w:color w:val="000000"/>
                <w:sz w:val="16"/>
                <w:szCs w:val="16"/>
              </w:rPr>
            </w:pPr>
            <w:r w:rsidRPr="003138DA">
              <w:rPr>
                <w:rFonts w:eastAsia="Times New Roman" w:cs="Calibri"/>
                <w:b/>
                <w:bCs/>
                <w:color w:val="000000"/>
                <w:sz w:val="16"/>
                <w:szCs w:val="16"/>
              </w:rPr>
              <w:t>IOU</w:t>
            </w:r>
          </w:p>
        </w:tc>
        <w:tc>
          <w:tcPr>
            <w:tcW w:w="8401" w:type="dxa"/>
            <w:gridSpan w:val="7"/>
            <w:tcBorders>
              <w:top w:val="single" w:color="auto" w:sz="4" w:space="0"/>
              <w:left w:val="nil"/>
              <w:bottom w:val="single" w:color="auto" w:sz="4" w:space="0"/>
              <w:right w:val="single" w:color="000000" w:sz="4" w:space="0"/>
            </w:tcBorders>
            <w:shd w:val="clear" w:color="auto" w:fill="auto"/>
            <w:noWrap/>
            <w:vAlign w:val="bottom"/>
            <w:hideMark/>
          </w:tcPr>
          <w:p w:rsidRPr="003138DA" w:rsidR="000C1980" w:rsidP="001968DC" w:rsidRDefault="00BE28FD" w14:paraId="5038940D" w14:textId="40FFF8F2">
            <w:pPr>
              <w:ind w:left="360"/>
              <w:jc w:val="center"/>
              <w:rPr>
                <w:rFonts w:eastAsia="Times New Roman" w:cs="Calibri"/>
                <w:b/>
                <w:bCs/>
                <w:color w:val="000000"/>
                <w:sz w:val="16"/>
                <w:szCs w:val="16"/>
              </w:rPr>
            </w:pPr>
            <w:r w:rsidRPr="003138DA">
              <w:rPr>
                <w:rFonts w:eastAsia="Times New Roman" w:cs="Calibri"/>
                <w:b/>
                <w:bCs/>
                <w:color w:val="000000"/>
                <w:sz w:val="16"/>
                <w:szCs w:val="16"/>
              </w:rPr>
              <w:t xml:space="preserve">Approved </w:t>
            </w:r>
            <w:r w:rsidRPr="003138DA" w:rsidR="000C1980">
              <w:rPr>
                <w:rFonts w:eastAsia="Times New Roman" w:cs="Calibri"/>
                <w:b/>
                <w:bCs/>
                <w:color w:val="000000"/>
                <w:sz w:val="16"/>
                <w:szCs w:val="16"/>
              </w:rPr>
              <w:t>CARE Subsidies</w:t>
            </w:r>
          </w:p>
        </w:tc>
      </w:tr>
      <w:tr w:rsidRPr="003138DA" w:rsidR="000C1980" w:rsidTr="003138DA" w14:paraId="63887380" w14:textId="77777777">
        <w:trPr>
          <w:trHeight w:val="260"/>
        </w:trPr>
        <w:tc>
          <w:tcPr>
            <w:tcW w:w="1049" w:type="dxa"/>
            <w:vMerge/>
            <w:tcBorders>
              <w:top w:val="single" w:color="auto" w:sz="4" w:space="0"/>
              <w:left w:val="single" w:color="auto" w:sz="4" w:space="0"/>
              <w:bottom w:val="single" w:color="000000" w:sz="4" w:space="0"/>
              <w:right w:val="single" w:color="auto" w:sz="4" w:space="0"/>
            </w:tcBorders>
            <w:vAlign w:val="center"/>
            <w:hideMark/>
          </w:tcPr>
          <w:p w:rsidRPr="003138DA" w:rsidR="000C1980" w:rsidP="001968DC" w:rsidRDefault="000C1980" w14:paraId="52D90F30" w14:textId="77777777">
            <w:pPr>
              <w:ind w:left="360"/>
              <w:rPr>
                <w:rFonts w:eastAsia="Times New Roman" w:cs="Calibri"/>
                <w:b/>
                <w:bCs/>
                <w:color w:val="000000"/>
                <w:sz w:val="16"/>
                <w:szCs w:val="16"/>
              </w:rPr>
            </w:pP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6C287522"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67228B3E"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3344A6F6"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6BC5F23F"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23EB54A6"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161B1E3A"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2026</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29635A35" w14:textId="77777777">
            <w:pPr>
              <w:ind w:left="360"/>
              <w:rPr>
                <w:rFonts w:eastAsia="Times New Roman" w:cs="Calibri"/>
                <w:b/>
                <w:bCs/>
                <w:color w:val="000000"/>
                <w:sz w:val="16"/>
                <w:szCs w:val="16"/>
              </w:rPr>
            </w:pPr>
            <w:r w:rsidRPr="003138DA">
              <w:rPr>
                <w:rFonts w:eastAsia="Times New Roman" w:cs="Calibri"/>
                <w:b/>
                <w:bCs/>
                <w:color w:val="000000"/>
                <w:sz w:val="16"/>
                <w:szCs w:val="16"/>
              </w:rPr>
              <w:t>Total</w:t>
            </w:r>
          </w:p>
        </w:tc>
      </w:tr>
      <w:tr w:rsidRPr="003138DA" w:rsidR="000C1980" w:rsidTr="003138DA" w14:paraId="78189430"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04C3E3F3" w14:textId="77777777">
            <w:pPr>
              <w:rPr>
                <w:rFonts w:eastAsia="Times New Roman" w:cs="Calibri"/>
                <w:b/>
                <w:bCs/>
                <w:color w:val="000000"/>
                <w:sz w:val="16"/>
                <w:szCs w:val="16"/>
              </w:rPr>
            </w:pPr>
            <w:r w:rsidRPr="003138DA">
              <w:rPr>
                <w:rFonts w:eastAsia="Times New Roman" w:cs="Calibri"/>
                <w:b/>
                <w:bCs/>
                <w:color w:val="000000"/>
                <w:sz w:val="16"/>
                <w:szCs w:val="16"/>
              </w:rPr>
              <w:t>SCE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A0C8AB6" w14:textId="77777777">
            <w:pPr>
              <w:rPr>
                <w:rFonts w:eastAsia="Times New Roman" w:cs="Calibri"/>
                <w:color w:val="000000"/>
                <w:sz w:val="16"/>
                <w:szCs w:val="16"/>
              </w:rPr>
            </w:pPr>
            <w:r w:rsidRPr="003138DA">
              <w:rPr>
                <w:rFonts w:eastAsia="Times New Roman" w:cs="Calibri"/>
                <w:color w:val="000000"/>
                <w:sz w:val="16"/>
                <w:szCs w:val="16"/>
              </w:rPr>
              <w:t>$399,664,922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E32531C" w14:textId="77777777">
            <w:pPr>
              <w:rPr>
                <w:rFonts w:eastAsia="Times New Roman" w:cs="Calibri"/>
                <w:color w:val="000000"/>
                <w:sz w:val="16"/>
                <w:szCs w:val="16"/>
              </w:rPr>
            </w:pPr>
            <w:r w:rsidRPr="003138DA">
              <w:rPr>
                <w:rFonts w:eastAsia="Times New Roman" w:cs="Calibri"/>
                <w:color w:val="000000"/>
                <w:sz w:val="16"/>
                <w:szCs w:val="16"/>
              </w:rPr>
              <w:t>$404,343,437</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BAB680F" w14:textId="77777777">
            <w:pPr>
              <w:rPr>
                <w:rFonts w:eastAsia="Times New Roman" w:cs="Calibri"/>
                <w:color w:val="000000"/>
                <w:sz w:val="16"/>
                <w:szCs w:val="16"/>
              </w:rPr>
            </w:pPr>
            <w:r w:rsidRPr="003138DA">
              <w:rPr>
                <w:rFonts w:eastAsia="Times New Roman" w:cs="Calibri"/>
                <w:color w:val="000000"/>
                <w:sz w:val="16"/>
                <w:szCs w:val="16"/>
              </w:rPr>
              <w:t>$409,564,225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9C3F047" w14:textId="77777777">
            <w:pPr>
              <w:rPr>
                <w:rFonts w:eastAsia="Times New Roman" w:cs="Calibri"/>
                <w:color w:val="000000"/>
                <w:sz w:val="16"/>
                <w:szCs w:val="16"/>
              </w:rPr>
            </w:pPr>
            <w:r w:rsidRPr="003138DA">
              <w:rPr>
                <w:rFonts w:eastAsia="Times New Roman" w:cs="Calibri"/>
                <w:color w:val="000000"/>
                <w:sz w:val="16"/>
                <w:szCs w:val="16"/>
              </w:rPr>
              <w:t>$415,120,450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CE58BC3" w14:textId="77777777">
            <w:pPr>
              <w:rPr>
                <w:rFonts w:eastAsia="Times New Roman" w:cs="Calibri"/>
                <w:color w:val="000000"/>
                <w:sz w:val="16"/>
                <w:szCs w:val="16"/>
              </w:rPr>
            </w:pPr>
            <w:r w:rsidRPr="003138DA">
              <w:rPr>
                <w:rFonts w:eastAsia="Times New Roman" w:cs="Calibri"/>
                <w:color w:val="000000"/>
                <w:sz w:val="16"/>
                <w:szCs w:val="16"/>
              </w:rPr>
              <w:t>$421,034,721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D2FABFA" w14:textId="77777777">
            <w:pPr>
              <w:rPr>
                <w:rFonts w:eastAsia="Times New Roman" w:cs="Calibri"/>
                <w:color w:val="000000"/>
                <w:sz w:val="16"/>
                <w:szCs w:val="16"/>
              </w:rPr>
            </w:pPr>
            <w:r w:rsidRPr="003138DA">
              <w:rPr>
                <w:rFonts w:eastAsia="Times New Roman" w:cs="Calibri"/>
                <w:color w:val="000000"/>
                <w:sz w:val="16"/>
                <w:szCs w:val="16"/>
              </w:rPr>
              <w:t>$427,678,676</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8E5847D" w14:textId="77777777">
            <w:pPr>
              <w:rPr>
                <w:rFonts w:eastAsia="Times New Roman" w:cs="Calibri"/>
                <w:b/>
                <w:bCs/>
                <w:color w:val="000000"/>
                <w:sz w:val="16"/>
                <w:szCs w:val="16"/>
              </w:rPr>
            </w:pPr>
            <w:r w:rsidRPr="003138DA">
              <w:rPr>
                <w:rFonts w:eastAsia="Times New Roman" w:cs="Calibri"/>
                <w:b/>
                <w:bCs/>
                <w:color w:val="000000"/>
                <w:sz w:val="16"/>
                <w:szCs w:val="16"/>
              </w:rPr>
              <w:t>$2,477,406,431</w:t>
            </w:r>
          </w:p>
        </w:tc>
      </w:tr>
      <w:tr w:rsidRPr="003138DA" w:rsidR="000C1980" w:rsidTr="003138DA" w14:paraId="6CB1F669"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61F9DB0A" w14:textId="77777777">
            <w:pPr>
              <w:rPr>
                <w:rFonts w:eastAsia="Times New Roman" w:cs="Calibri"/>
                <w:b/>
                <w:bCs/>
                <w:color w:val="000000"/>
                <w:sz w:val="16"/>
                <w:szCs w:val="16"/>
              </w:rPr>
            </w:pPr>
            <w:r w:rsidRPr="003138DA">
              <w:rPr>
                <w:rFonts w:eastAsia="Times New Roman" w:cs="Calibri"/>
                <w:b/>
                <w:bCs/>
                <w:color w:val="000000"/>
                <w:sz w:val="16"/>
                <w:szCs w:val="16"/>
              </w:rPr>
              <w:t>PG&amp;E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954F429" w14:textId="77777777">
            <w:pPr>
              <w:rPr>
                <w:rFonts w:eastAsia="Times New Roman" w:cs="Calibri"/>
                <w:sz w:val="16"/>
                <w:szCs w:val="16"/>
              </w:rPr>
            </w:pPr>
            <w:r w:rsidRPr="003138DA">
              <w:rPr>
                <w:rFonts w:eastAsia="Times New Roman" w:cs="Calibri"/>
                <w:sz w:val="16"/>
                <w:szCs w:val="16"/>
              </w:rPr>
              <w:t>$683,539,000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B27A774" w14:textId="77777777">
            <w:pPr>
              <w:rPr>
                <w:rFonts w:eastAsia="Times New Roman" w:cs="Calibri"/>
                <w:sz w:val="16"/>
                <w:szCs w:val="16"/>
              </w:rPr>
            </w:pPr>
            <w:r w:rsidRPr="003138DA">
              <w:rPr>
                <w:rFonts w:eastAsia="Times New Roman" w:cs="Calibri"/>
                <w:sz w:val="16"/>
                <w:szCs w:val="16"/>
              </w:rPr>
              <w:t>$687,689,000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B4FEFD3" w14:textId="77777777">
            <w:pPr>
              <w:rPr>
                <w:rFonts w:eastAsia="Times New Roman" w:cs="Calibri"/>
                <w:sz w:val="16"/>
                <w:szCs w:val="16"/>
              </w:rPr>
            </w:pPr>
            <w:r w:rsidRPr="003138DA">
              <w:rPr>
                <w:rFonts w:eastAsia="Times New Roman" w:cs="Calibri"/>
                <w:sz w:val="16"/>
                <w:szCs w:val="16"/>
              </w:rPr>
              <w:t>$691,973,000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4B02D98" w14:textId="77777777">
            <w:pPr>
              <w:rPr>
                <w:rFonts w:eastAsia="Times New Roman" w:cs="Calibri"/>
                <w:sz w:val="16"/>
                <w:szCs w:val="16"/>
              </w:rPr>
            </w:pPr>
            <w:r w:rsidRPr="003138DA">
              <w:rPr>
                <w:rFonts w:eastAsia="Times New Roman" w:cs="Calibri"/>
                <w:sz w:val="16"/>
                <w:szCs w:val="16"/>
              </w:rPr>
              <w:t>$696,394,000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5D2060C" w14:textId="77777777">
            <w:pPr>
              <w:rPr>
                <w:rFonts w:eastAsia="Times New Roman" w:cs="Calibri"/>
                <w:sz w:val="16"/>
                <w:szCs w:val="16"/>
              </w:rPr>
            </w:pPr>
            <w:r w:rsidRPr="003138DA">
              <w:rPr>
                <w:rFonts w:eastAsia="Times New Roman" w:cs="Calibri"/>
                <w:sz w:val="16"/>
                <w:szCs w:val="16"/>
              </w:rPr>
              <w:t>$700,957,000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53ECE6D" w14:textId="77777777">
            <w:pPr>
              <w:rPr>
                <w:rFonts w:eastAsia="Times New Roman" w:cs="Calibri"/>
                <w:sz w:val="16"/>
                <w:szCs w:val="16"/>
              </w:rPr>
            </w:pPr>
            <w:r w:rsidRPr="003138DA">
              <w:rPr>
                <w:rFonts w:eastAsia="Times New Roman" w:cs="Calibri"/>
                <w:sz w:val="16"/>
                <w:szCs w:val="16"/>
              </w:rPr>
              <w:t>$705,667,000</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5822429" w14:textId="77777777">
            <w:pPr>
              <w:rPr>
                <w:rFonts w:eastAsia="Times New Roman" w:cs="Calibri"/>
                <w:b/>
                <w:bCs/>
                <w:color w:val="000000"/>
                <w:sz w:val="16"/>
                <w:szCs w:val="16"/>
              </w:rPr>
            </w:pPr>
            <w:r w:rsidRPr="003138DA">
              <w:rPr>
                <w:rFonts w:eastAsia="Times New Roman" w:cs="Calibri"/>
                <w:b/>
                <w:bCs/>
                <w:color w:val="000000"/>
                <w:sz w:val="16"/>
                <w:szCs w:val="16"/>
              </w:rPr>
              <w:t>$4,166,219,000</w:t>
            </w:r>
          </w:p>
        </w:tc>
      </w:tr>
      <w:tr w:rsidRPr="003138DA" w:rsidR="000C1980" w:rsidTr="003138DA" w14:paraId="62656530"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0246F8DC" w14:textId="77777777">
            <w:pPr>
              <w:rPr>
                <w:rFonts w:eastAsia="Times New Roman" w:cs="Calibri"/>
                <w:b/>
                <w:bCs/>
                <w:color w:val="000000"/>
                <w:sz w:val="16"/>
                <w:szCs w:val="16"/>
              </w:rPr>
            </w:pPr>
            <w:r w:rsidRPr="003138DA">
              <w:rPr>
                <w:rFonts w:eastAsia="Times New Roman" w:cs="Calibri"/>
                <w:b/>
                <w:bCs/>
                <w:color w:val="000000"/>
                <w:sz w:val="16"/>
                <w:szCs w:val="16"/>
              </w:rPr>
              <w:t>SDG&amp;E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7C5B3CF" w14:textId="77777777">
            <w:pPr>
              <w:rPr>
                <w:rFonts w:eastAsia="Times New Roman" w:cs="Calibri"/>
                <w:color w:val="000000"/>
                <w:sz w:val="16"/>
                <w:szCs w:val="16"/>
              </w:rPr>
            </w:pPr>
            <w:r w:rsidRPr="003138DA">
              <w:rPr>
                <w:rFonts w:eastAsia="Times New Roman" w:cs="Calibri"/>
                <w:color w:val="000000"/>
                <w:sz w:val="16"/>
                <w:szCs w:val="16"/>
              </w:rPr>
              <w:t>$120,383,441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6900CA0" w14:textId="77777777">
            <w:pPr>
              <w:rPr>
                <w:rFonts w:eastAsia="Times New Roman" w:cs="Calibri"/>
                <w:color w:val="000000"/>
                <w:sz w:val="16"/>
                <w:szCs w:val="16"/>
              </w:rPr>
            </w:pPr>
            <w:r w:rsidRPr="003138DA">
              <w:rPr>
                <w:rFonts w:eastAsia="Times New Roman" w:cs="Calibri"/>
                <w:color w:val="000000"/>
                <w:sz w:val="16"/>
                <w:szCs w:val="16"/>
              </w:rPr>
              <w:t>$121,587,275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F4153C8" w14:textId="77777777">
            <w:pPr>
              <w:rPr>
                <w:rFonts w:eastAsia="Times New Roman" w:cs="Calibri"/>
                <w:color w:val="000000"/>
                <w:sz w:val="16"/>
                <w:szCs w:val="16"/>
              </w:rPr>
            </w:pPr>
            <w:r w:rsidRPr="003138DA">
              <w:rPr>
                <w:rFonts w:eastAsia="Times New Roman" w:cs="Calibri"/>
                <w:color w:val="000000"/>
                <w:sz w:val="16"/>
                <w:szCs w:val="16"/>
              </w:rPr>
              <w:t>$122,803,149</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837EAA9" w14:textId="77777777">
            <w:pPr>
              <w:rPr>
                <w:rFonts w:eastAsia="Times New Roman" w:cs="Calibri"/>
                <w:color w:val="000000"/>
                <w:sz w:val="16"/>
                <w:szCs w:val="16"/>
              </w:rPr>
            </w:pPr>
            <w:r w:rsidRPr="003138DA">
              <w:rPr>
                <w:rFonts w:eastAsia="Times New Roman" w:cs="Calibri"/>
                <w:color w:val="000000"/>
                <w:sz w:val="16"/>
                <w:szCs w:val="16"/>
              </w:rPr>
              <w:t>$124,031,180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432286A" w14:textId="77777777">
            <w:pPr>
              <w:rPr>
                <w:rFonts w:eastAsia="Times New Roman" w:cs="Calibri"/>
                <w:color w:val="000000"/>
                <w:sz w:val="16"/>
                <w:szCs w:val="16"/>
              </w:rPr>
            </w:pPr>
            <w:r w:rsidRPr="003138DA">
              <w:rPr>
                <w:rFonts w:eastAsia="Times New Roman" w:cs="Calibri"/>
                <w:color w:val="000000"/>
                <w:sz w:val="16"/>
                <w:szCs w:val="16"/>
              </w:rPr>
              <w:t>$125,271,491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3454E3D" w14:textId="77777777">
            <w:pPr>
              <w:rPr>
                <w:rFonts w:eastAsia="Times New Roman" w:cs="Calibri"/>
                <w:color w:val="000000"/>
                <w:sz w:val="16"/>
                <w:szCs w:val="16"/>
              </w:rPr>
            </w:pPr>
            <w:r w:rsidRPr="003138DA">
              <w:rPr>
                <w:rFonts w:eastAsia="Times New Roman" w:cs="Calibri"/>
                <w:color w:val="000000"/>
                <w:sz w:val="16"/>
                <w:szCs w:val="16"/>
              </w:rPr>
              <w:t>$126,524,206</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4D74B02" w14:textId="77777777">
            <w:pPr>
              <w:rPr>
                <w:rFonts w:eastAsia="Times New Roman" w:cs="Calibri"/>
                <w:b/>
                <w:bCs/>
                <w:color w:val="000000"/>
                <w:sz w:val="16"/>
                <w:szCs w:val="16"/>
              </w:rPr>
            </w:pPr>
            <w:r w:rsidRPr="003138DA">
              <w:rPr>
                <w:rFonts w:eastAsia="Times New Roman" w:cs="Calibri"/>
                <w:b/>
                <w:bCs/>
                <w:color w:val="000000"/>
                <w:sz w:val="16"/>
                <w:szCs w:val="16"/>
              </w:rPr>
              <w:t>$740,600,742</w:t>
            </w:r>
          </w:p>
        </w:tc>
      </w:tr>
      <w:tr w:rsidRPr="003138DA" w:rsidR="000C1980" w:rsidTr="003138DA" w14:paraId="1AE0B4D7"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66E7DDFE" w14:textId="77777777">
            <w:pPr>
              <w:rPr>
                <w:rFonts w:eastAsia="Times New Roman" w:cs="Calibri"/>
                <w:b/>
                <w:bCs/>
                <w:color w:val="000000"/>
                <w:sz w:val="16"/>
                <w:szCs w:val="16"/>
              </w:rPr>
            </w:pPr>
            <w:r w:rsidRPr="003138DA">
              <w:rPr>
                <w:rFonts w:eastAsia="Times New Roman" w:cs="Calibri"/>
                <w:b/>
                <w:bCs/>
                <w:color w:val="000000"/>
                <w:sz w:val="16"/>
                <w:szCs w:val="16"/>
              </w:rPr>
              <w:t>SoCalGas</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83C4744" w14:textId="77777777">
            <w:pPr>
              <w:rPr>
                <w:rFonts w:eastAsia="Times New Roman" w:cs="Calibri"/>
                <w:color w:val="000000"/>
                <w:sz w:val="16"/>
                <w:szCs w:val="16"/>
              </w:rPr>
            </w:pPr>
            <w:r w:rsidRPr="003138DA">
              <w:rPr>
                <w:rFonts w:eastAsia="Times New Roman" w:cs="Calibri"/>
                <w:color w:val="000000"/>
                <w:sz w:val="16"/>
                <w:szCs w:val="16"/>
              </w:rPr>
              <w:t>$138,389,984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B86EE6A" w14:textId="77777777">
            <w:pPr>
              <w:rPr>
                <w:rFonts w:eastAsia="Times New Roman" w:cs="Calibri"/>
                <w:color w:val="000000"/>
                <w:sz w:val="16"/>
                <w:szCs w:val="16"/>
              </w:rPr>
            </w:pPr>
            <w:r w:rsidRPr="003138DA">
              <w:rPr>
                <w:rFonts w:eastAsia="Times New Roman" w:cs="Calibri"/>
                <w:color w:val="000000"/>
                <w:sz w:val="16"/>
                <w:szCs w:val="16"/>
              </w:rPr>
              <w:t>$139,583,569</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2755C3C" w14:textId="77777777">
            <w:pPr>
              <w:rPr>
                <w:rFonts w:eastAsia="Times New Roman" w:cs="Calibri"/>
                <w:color w:val="000000"/>
                <w:sz w:val="16"/>
                <w:szCs w:val="16"/>
              </w:rPr>
            </w:pPr>
            <w:r w:rsidRPr="003138DA">
              <w:rPr>
                <w:rFonts w:eastAsia="Times New Roman" w:cs="Calibri"/>
                <w:color w:val="000000"/>
                <w:sz w:val="16"/>
                <w:szCs w:val="16"/>
              </w:rPr>
              <w:t>$140,801,916</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B6029DC" w14:textId="77777777">
            <w:pPr>
              <w:rPr>
                <w:rFonts w:eastAsia="Times New Roman" w:cs="Calibri"/>
                <w:color w:val="000000"/>
                <w:sz w:val="16"/>
                <w:szCs w:val="16"/>
              </w:rPr>
            </w:pPr>
            <w:r w:rsidRPr="003138DA">
              <w:rPr>
                <w:rFonts w:eastAsia="Times New Roman" w:cs="Calibri"/>
                <w:color w:val="000000"/>
                <w:sz w:val="16"/>
                <w:szCs w:val="16"/>
              </w:rPr>
              <w:t>$142,032,348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332C261" w14:textId="77777777">
            <w:pPr>
              <w:rPr>
                <w:rFonts w:eastAsia="Times New Roman" w:cs="Calibri"/>
                <w:color w:val="000000"/>
                <w:sz w:val="16"/>
                <w:szCs w:val="16"/>
              </w:rPr>
            </w:pPr>
            <w:r w:rsidRPr="003138DA">
              <w:rPr>
                <w:rFonts w:eastAsia="Times New Roman" w:cs="Calibri"/>
                <w:color w:val="000000"/>
                <w:sz w:val="16"/>
                <w:szCs w:val="16"/>
              </w:rPr>
              <w:t>$143,264,981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D57B478" w14:textId="77777777">
            <w:pPr>
              <w:rPr>
                <w:rFonts w:eastAsia="Times New Roman" w:cs="Calibri"/>
                <w:color w:val="000000"/>
                <w:sz w:val="16"/>
                <w:szCs w:val="16"/>
              </w:rPr>
            </w:pPr>
            <w:r w:rsidRPr="003138DA">
              <w:rPr>
                <w:rFonts w:eastAsia="Times New Roman" w:cs="Calibri"/>
                <w:color w:val="000000"/>
                <w:sz w:val="16"/>
                <w:szCs w:val="16"/>
              </w:rPr>
              <w:t>$144,495,405</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8B32008" w14:textId="77777777">
            <w:pPr>
              <w:rPr>
                <w:rFonts w:eastAsia="Times New Roman" w:cs="Calibri"/>
                <w:b/>
                <w:bCs/>
                <w:color w:val="000000"/>
                <w:sz w:val="16"/>
                <w:szCs w:val="16"/>
              </w:rPr>
            </w:pPr>
            <w:r w:rsidRPr="003138DA">
              <w:rPr>
                <w:rFonts w:eastAsia="Times New Roman" w:cs="Calibri"/>
                <w:b/>
                <w:bCs/>
                <w:color w:val="000000"/>
                <w:sz w:val="16"/>
                <w:szCs w:val="16"/>
              </w:rPr>
              <w:t>$848,568,203</w:t>
            </w:r>
          </w:p>
        </w:tc>
      </w:tr>
      <w:tr w:rsidRPr="003138DA" w:rsidR="000C1980" w:rsidTr="003138DA" w14:paraId="57935948"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39865F18" w14:textId="77777777">
            <w:pPr>
              <w:rPr>
                <w:rFonts w:eastAsia="Times New Roman" w:cs="Calibri"/>
                <w:b/>
                <w:bCs/>
                <w:color w:val="000000"/>
                <w:sz w:val="16"/>
                <w:szCs w:val="16"/>
              </w:rPr>
            </w:pPr>
            <w:r w:rsidRPr="003138DA">
              <w:rPr>
                <w:rFonts w:eastAsia="Times New Roman" w:cs="Calibri"/>
                <w:b/>
                <w:bCs/>
                <w:color w:val="000000"/>
                <w:sz w:val="16"/>
                <w:szCs w:val="16"/>
              </w:rPr>
              <w:t>Total</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2FADE07" w14:textId="77777777">
            <w:pPr>
              <w:rPr>
                <w:rFonts w:eastAsia="Times New Roman" w:cs="Calibri"/>
                <w:b/>
                <w:bCs/>
                <w:color w:val="000000"/>
                <w:sz w:val="16"/>
                <w:szCs w:val="16"/>
              </w:rPr>
            </w:pPr>
            <w:r w:rsidRPr="003138DA">
              <w:rPr>
                <w:rFonts w:eastAsia="Times New Roman" w:cs="Calibri"/>
                <w:b/>
                <w:bCs/>
                <w:color w:val="000000"/>
                <w:sz w:val="16"/>
                <w:szCs w:val="16"/>
              </w:rPr>
              <w:t>$1,341,977,347</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D24A93B" w14:textId="77777777">
            <w:pPr>
              <w:rPr>
                <w:rFonts w:eastAsia="Times New Roman" w:cs="Calibri"/>
                <w:b/>
                <w:bCs/>
                <w:color w:val="000000"/>
                <w:sz w:val="16"/>
                <w:szCs w:val="16"/>
              </w:rPr>
            </w:pPr>
            <w:r w:rsidRPr="003138DA">
              <w:rPr>
                <w:rFonts w:eastAsia="Times New Roman" w:cs="Calibri"/>
                <w:b/>
                <w:bCs/>
                <w:color w:val="000000"/>
                <w:sz w:val="16"/>
                <w:szCs w:val="16"/>
              </w:rPr>
              <w:t>$1,353,203,281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27D0B7C" w14:textId="77777777">
            <w:pPr>
              <w:rPr>
                <w:rFonts w:eastAsia="Times New Roman" w:cs="Calibri"/>
                <w:b/>
                <w:bCs/>
                <w:color w:val="000000"/>
                <w:sz w:val="16"/>
                <w:szCs w:val="16"/>
              </w:rPr>
            </w:pPr>
            <w:r w:rsidRPr="003138DA">
              <w:rPr>
                <w:rFonts w:eastAsia="Times New Roman" w:cs="Calibri"/>
                <w:b/>
                <w:bCs/>
                <w:color w:val="000000"/>
                <w:sz w:val="16"/>
                <w:szCs w:val="16"/>
              </w:rPr>
              <w:t>$1,365,142,290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22E5FBA" w14:textId="77777777">
            <w:pPr>
              <w:rPr>
                <w:rFonts w:eastAsia="Times New Roman" w:cs="Calibri"/>
                <w:b/>
                <w:bCs/>
                <w:color w:val="000000"/>
                <w:sz w:val="16"/>
                <w:szCs w:val="16"/>
              </w:rPr>
            </w:pPr>
            <w:r w:rsidRPr="003138DA">
              <w:rPr>
                <w:rFonts w:eastAsia="Times New Roman" w:cs="Calibri"/>
                <w:b/>
                <w:bCs/>
                <w:color w:val="000000"/>
                <w:sz w:val="16"/>
                <w:szCs w:val="16"/>
              </w:rPr>
              <w:t>$1,377,577,978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81B2795" w14:textId="77777777">
            <w:pPr>
              <w:rPr>
                <w:rFonts w:eastAsia="Times New Roman" w:cs="Calibri"/>
                <w:b/>
                <w:bCs/>
                <w:color w:val="000000"/>
                <w:sz w:val="16"/>
                <w:szCs w:val="16"/>
              </w:rPr>
            </w:pPr>
            <w:r w:rsidRPr="003138DA">
              <w:rPr>
                <w:rFonts w:eastAsia="Times New Roman" w:cs="Calibri"/>
                <w:b/>
                <w:bCs/>
                <w:color w:val="000000"/>
                <w:sz w:val="16"/>
                <w:szCs w:val="16"/>
              </w:rPr>
              <w:t>$1,390,528,193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4CA3DC6" w14:textId="77777777">
            <w:pPr>
              <w:rPr>
                <w:rFonts w:eastAsia="Times New Roman" w:cs="Calibri"/>
                <w:b/>
                <w:bCs/>
                <w:color w:val="000000"/>
                <w:sz w:val="16"/>
                <w:szCs w:val="16"/>
              </w:rPr>
            </w:pPr>
            <w:r w:rsidRPr="003138DA">
              <w:rPr>
                <w:rFonts w:eastAsia="Times New Roman" w:cs="Calibri"/>
                <w:b/>
                <w:bCs/>
                <w:color w:val="000000"/>
                <w:sz w:val="16"/>
                <w:szCs w:val="16"/>
              </w:rPr>
              <w:t>$1,404,365,287</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DB082B6" w14:textId="77777777">
            <w:pPr>
              <w:rPr>
                <w:rFonts w:eastAsia="Times New Roman" w:cs="Calibri"/>
                <w:b/>
                <w:bCs/>
                <w:color w:val="000000"/>
                <w:sz w:val="16"/>
                <w:szCs w:val="16"/>
              </w:rPr>
            </w:pPr>
            <w:r w:rsidRPr="003138DA">
              <w:rPr>
                <w:rFonts w:eastAsia="Times New Roman" w:cs="Calibri"/>
                <w:b/>
                <w:bCs/>
                <w:color w:val="000000"/>
                <w:sz w:val="16"/>
                <w:szCs w:val="16"/>
              </w:rPr>
              <w:t>$8,232,794,376</w:t>
            </w:r>
          </w:p>
        </w:tc>
      </w:tr>
      <w:tr w:rsidRPr="003138DA" w:rsidR="000C1980" w:rsidTr="003138DA" w14:paraId="0E078908" w14:textId="77777777">
        <w:trPr>
          <w:trHeight w:val="260"/>
        </w:trPr>
        <w:tc>
          <w:tcPr>
            <w:tcW w:w="1049" w:type="dxa"/>
            <w:tcBorders>
              <w:top w:val="nil"/>
              <w:left w:val="nil"/>
              <w:bottom w:val="nil"/>
              <w:right w:val="nil"/>
            </w:tcBorders>
            <w:shd w:val="clear" w:color="auto" w:fill="auto"/>
            <w:noWrap/>
            <w:vAlign w:val="bottom"/>
            <w:hideMark/>
          </w:tcPr>
          <w:p w:rsidRPr="003138DA" w:rsidR="000C1980" w:rsidP="001968DC" w:rsidRDefault="000C1980" w14:paraId="4AD4FED7" w14:textId="77777777">
            <w:pPr>
              <w:ind w:left="360"/>
              <w:jc w:val="right"/>
              <w:rPr>
                <w:rFonts w:eastAsia="Times New Roman" w:cs="Calibri"/>
                <w:b/>
                <w:bCs/>
                <w:color w:val="000000"/>
                <w:sz w:val="16"/>
                <w:szCs w:val="16"/>
              </w:rPr>
            </w:pPr>
          </w:p>
        </w:tc>
        <w:tc>
          <w:tcPr>
            <w:tcW w:w="1226" w:type="dxa"/>
            <w:tcBorders>
              <w:top w:val="nil"/>
              <w:left w:val="nil"/>
              <w:bottom w:val="nil"/>
              <w:right w:val="nil"/>
            </w:tcBorders>
            <w:shd w:val="clear" w:color="auto" w:fill="auto"/>
            <w:noWrap/>
            <w:vAlign w:val="bottom"/>
            <w:hideMark/>
          </w:tcPr>
          <w:p w:rsidRPr="003138DA" w:rsidR="000C1980" w:rsidP="001968DC" w:rsidRDefault="000C1980" w14:paraId="68415638"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2D959390"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5E4AC065"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74C3CEA9"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16DC1FC9" w14:textId="77777777">
            <w:pPr>
              <w:ind w:left="360"/>
              <w:rPr>
                <w:rFonts w:eastAsia="Times New Roman"/>
                <w:sz w:val="16"/>
                <w:szCs w:val="16"/>
              </w:rPr>
            </w:pPr>
          </w:p>
        </w:tc>
        <w:tc>
          <w:tcPr>
            <w:tcW w:w="1225" w:type="dxa"/>
            <w:tcBorders>
              <w:top w:val="nil"/>
              <w:left w:val="nil"/>
              <w:bottom w:val="nil"/>
              <w:right w:val="nil"/>
            </w:tcBorders>
            <w:shd w:val="clear" w:color="auto" w:fill="auto"/>
            <w:noWrap/>
            <w:vAlign w:val="bottom"/>
            <w:hideMark/>
          </w:tcPr>
          <w:p w:rsidRPr="003138DA" w:rsidR="000C1980" w:rsidP="001968DC" w:rsidRDefault="000C1980" w14:paraId="15BC1533" w14:textId="77777777">
            <w:pPr>
              <w:ind w:left="360"/>
              <w:rPr>
                <w:rFonts w:eastAsia="Times New Roman"/>
                <w:sz w:val="16"/>
                <w:szCs w:val="16"/>
              </w:rPr>
            </w:pPr>
          </w:p>
        </w:tc>
        <w:tc>
          <w:tcPr>
            <w:tcW w:w="1050" w:type="dxa"/>
            <w:tcBorders>
              <w:top w:val="nil"/>
              <w:left w:val="nil"/>
              <w:bottom w:val="nil"/>
              <w:right w:val="nil"/>
            </w:tcBorders>
            <w:shd w:val="clear" w:color="auto" w:fill="auto"/>
            <w:noWrap/>
            <w:vAlign w:val="bottom"/>
            <w:hideMark/>
          </w:tcPr>
          <w:p w:rsidRPr="003138DA" w:rsidR="000C1980" w:rsidP="001968DC" w:rsidRDefault="000C1980" w14:paraId="6B85FB53" w14:textId="77777777">
            <w:pPr>
              <w:ind w:left="360"/>
              <w:rPr>
                <w:rFonts w:eastAsia="Times New Roman"/>
                <w:sz w:val="16"/>
                <w:szCs w:val="16"/>
              </w:rPr>
            </w:pPr>
          </w:p>
        </w:tc>
      </w:tr>
      <w:tr w:rsidRPr="003138DA" w:rsidR="000C1980" w:rsidTr="003138DA" w14:paraId="44447DD8" w14:textId="77777777">
        <w:trPr>
          <w:trHeight w:val="260"/>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52209E58" w14:textId="77777777">
            <w:pPr>
              <w:rPr>
                <w:rFonts w:eastAsia="Times New Roman" w:cs="Calibri"/>
                <w:b/>
                <w:bCs/>
                <w:color w:val="000000"/>
                <w:sz w:val="16"/>
                <w:szCs w:val="16"/>
              </w:rPr>
            </w:pPr>
            <w:r w:rsidRPr="003138DA">
              <w:rPr>
                <w:rFonts w:eastAsia="Times New Roman" w:cs="Calibri"/>
                <w:b/>
                <w:bCs/>
                <w:color w:val="000000"/>
                <w:sz w:val="16"/>
                <w:szCs w:val="16"/>
              </w:rPr>
              <w:t>IOU</w:t>
            </w:r>
          </w:p>
        </w:tc>
        <w:tc>
          <w:tcPr>
            <w:tcW w:w="8401" w:type="dxa"/>
            <w:gridSpan w:val="7"/>
            <w:tcBorders>
              <w:top w:val="single" w:color="auto" w:sz="4" w:space="0"/>
              <w:left w:val="nil"/>
              <w:bottom w:val="single" w:color="auto" w:sz="4" w:space="0"/>
              <w:right w:val="single" w:color="auto" w:sz="4" w:space="0"/>
            </w:tcBorders>
            <w:shd w:val="clear" w:color="auto" w:fill="auto"/>
            <w:noWrap/>
            <w:vAlign w:val="bottom"/>
            <w:hideMark/>
          </w:tcPr>
          <w:p w:rsidRPr="003138DA" w:rsidR="000C1980" w:rsidP="001968DC" w:rsidRDefault="00BE28FD" w14:paraId="486776C7" w14:textId="6CEB4CF8">
            <w:pPr>
              <w:ind w:left="360"/>
              <w:jc w:val="center"/>
              <w:rPr>
                <w:rFonts w:eastAsia="Times New Roman" w:cs="Calibri"/>
                <w:b/>
                <w:bCs/>
                <w:color w:val="000000"/>
                <w:sz w:val="16"/>
                <w:szCs w:val="16"/>
              </w:rPr>
            </w:pPr>
            <w:r w:rsidRPr="003138DA">
              <w:rPr>
                <w:rFonts w:eastAsia="Times New Roman" w:cs="Calibri"/>
                <w:b/>
                <w:bCs/>
                <w:color w:val="000000"/>
                <w:sz w:val="16"/>
                <w:szCs w:val="16"/>
              </w:rPr>
              <w:t xml:space="preserve">Approved </w:t>
            </w:r>
            <w:r w:rsidRPr="003138DA" w:rsidR="000C1980">
              <w:rPr>
                <w:rFonts w:eastAsia="Times New Roman" w:cs="Calibri"/>
                <w:b/>
                <w:bCs/>
                <w:color w:val="000000"/>
                <w:sz w:val="16"/>
                <w:szCs w:val="16"/>
              </w:rPr>
              <w:t>CARE Administrative Budget and Subsidies</w:t>
            </w:r>
          </w:p>
        </w:tc>
      </w:tr>
      <w:tr w:rsidRPr="003138DA" w:rsidR="000C1980" w:rsidTr="003138DA" w14:paraId="57C0F94F" w14:textId="77777777">
        <w:trPr>
          <w:trHeight w:val="260"/>
        </w:trPr>
        <w:tc>
          <w:tcPr>
            <w:tcW w:w="1049" w:type="dxa"/>
            <w:vMerge/>
            <w:tcBorders>
              <w:top w:val="single" w:color="auto" w:sz="4" w:space="0"/>
              <w:left w:val="single" w:color="auto" w:sz="4" w:space="0"/>
              <w:bottom w:val="single" w:color="auto" w:sz="4" w:space="0"/>
              <w:right w:val="single" w:color="auto" w:sz="4" w:space="0"/>
            </w:tcBorders>
            <w:vAlign w:val="center"/>
            <w:hideMark/>
          </w:tcPr>
          <w:p w:rsidRPr="003138DA" w:rsidR="000C1980" w:rsidP="001968DC" w:rsidRDefault="000C1980" w14:paraId="129CA13C" w14:textId="77777777">
            <w:pPr>
              <w:ind w:left="360"/>
              <w:rPr>
                <w:rFonts w:eastAsia="Times New Roman" w:cs="Calibri"/>
                <w:b/>
                <w:bCs/>
                <w:color w:val="000000"/>
                <w:sz w:val="16"/>
                <w:szCs w:val="16"/>
              </w:rPr>
            </w:pP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1DE24581"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0C911D04"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3612C9F1"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09D9F1D4"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091F0C3D"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2025</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072538CF" w14:textId="77777777">
            <w:pPr>
              <w:ind w:left="360"/>
              <w:jc w:val="right"/>
              <w:rPr>
                <w:rFonts w:eastAsia="Times New Roman" w:cs="Calibri"/>
                <w:b/>
                <w:bCs/>
                <w:color w:val="000000"/>
                <w:sz w:val="16"/>
                <w:szCs w:val="16"/>
              </w:rPr>
            </w:pPr>
            <w:r w:rsidRPr="003138DA">
              <w:rPr>
                <w:rFonts w:eastAsia="Times New Roman" w:cs="Calibri"/>
                <w:b/>
                <w:bCs/>
                <w:color w:val="000000"/>
                <w:sz w:val="16"/>
                <w:szCs w:val="16"/>
              </w:rPr>
              <w:t>2026</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1968DC" w:rsidRDefault="000C1980" w14:paraId="3A011CF7" w14:textId="77777777">
            <w:pPr>
              <w:ind w:left="360"/>
              <w:rPr>
                <w:rFonts w:eastAsia="Times New Roman" w:cs="Calibri"/>
                <w:b/>
                <w:bCs/>
                <w:color w:val="000000"/>
                <w:sz w:val="16"/>
                <w:szCs w:val="16"/>
              </w:rPr>
            </w:pPr>
            <w:r w:rsidRPr="003138DA">
              <w:rPr>
                <w:rFonts w:eastAsia="Times New Roman" w:cs="Calibri"/>
                <w:b/>
                <w:bCs/>
                <w:color w:val="000000"/>
                <w:sz w:val="16"/>
                <w:szCs w:val="16"/>
              </w:rPr>
              <w:t>Total</w:t>
            </w:r>
          </w:p>
        </w:tc>
      </w:tr>
      <w:tr w:rsidRPr="003138DA" w:rsidR="000C1980" w:rsidTr="003138DA" w14:paraId="5BD0AE01"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212933C7" w14:textId="77777777">
            <w:pPr>
              <w:rPr>
                <w:rFonts w:eastAsia="Times New Roman" w:cs="Calibri"/>
                <w:b/>
                <w:bCs/>
                <w:color w:val="000000"/>
                <w:sz w:val="16"/>
                <w:szCs w:val="16"/>
              </w:rPr>
            </w:pPr>
            <w:r w:rsidRPr="003138DA">
              <w:rPr>
                <w:rFonts w:eastAsia="Times New Roman" w:cs="Calibri"/>
                <w:b/>
                <w:bCs/>
                <w:color w:val="000000"/>
                <w:sz w:val="16"/>
                <w:szCs w:val="16"/>
              </w:rPr>
              <w:t>SCE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4B4183C" w14:textId="77777777">
            <w:pPr>
              <w:rPr>
                <w:rFonts w:eastAsia="Times New Roman" w:cs="Calibri"/>
                <w:color w:val="000000"/>
                <w:sz w:val="16"/>
                <w:szCs w:val="16"/>
              </w:rPr>
            </w:pPr>
            <w:r w:rsidRPr="003138DA">
              <w:rPr>
                <w:rFonts w:eastAsia="Times New Roman" w:cs="Calibri"/>
                <w:color w:val="000000"/>
                <w:sz w:val="16"/>
                <w:szCs w:val="16"/>
              </w:rPr>
              <w:t>$410,168,638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C127F73" w14:textId="77777777">
            <w:pPr>
              <w:rPr>
                <w:rFonts w:eastAsia="Times New Roman" w:cs="Calibri"/>
                <w:color w:val="000000"/>
                <w:sz w:val="16"/>
                <w:szCs w:val="16"/>
              </w:rPr>
            </w:pPr>
            <w:r w:rsidRPr="003138DA">
              <w:rPr>
                <w:rFonts w:eastAsia="Times New Roman" w:cs="Calibri"/>
                <w:color w:val="000000"/>
                <w:sz w:val="16"/>
                <w:szCs w:val="16"/>
              </w:rPr>
              <w:t>$414,451,972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CB04DD1" w14:textId="77777777">
            <w:pPr>
              <w:rPr>
                <w:rFonts w:eastAsia="Times New Roman" w:cs="Calibri"/>
                <w:color w:val="000000"/>
                <w:sz w:val="16"/>
                <w:szCs w:val="16"/>
              </w:rPr>
            </w:pPr>
            <w:r w:rsidRPr="003138DA">
              <w:rPr>
                <w:rFonts w:eastAsia="Times New Roman" w:cs="Calibri"/>
                <w:color w:val="000000"/>
                <w:sz w:val="16"/>
                <w:szCs w:val="16"/>
              </w:rPr>
              <w:t>$420,090,896</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2A65279" w14:textId="77777777">
            <w:pPr>
              <w:rPr>
                <w:rFonts w:eastAsia="Times New Roman" w:cs="Calibri"/>
                <w:color w:val="000000"/>
                <w:sz w:val="16"/>
                <w:szCs w:val="16"/>
              </w:rPr>
            </w:pPr>
            <w:r w:rsidRPr="003138DA">
              <w:rPr>
                <w:rFonts w:eastAsia="Times New Roman" w:cs="Calibri"/>
                <w:color w:val="000000"/>
                <w:sz w:val="16"/>
                <w:szCs w:val="16"/>
              </w:rPr>
              <w:t>$425,574,643</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1B6B610" w14:textId="77777777">
            <w:pPr>
              <w:rPr>
                <w:rFonts w:eastAsia="Times New Roman" w:cs="Calibri"/>
                <w:color w:val="000000"/>
                <w:sz w:val="16"/>
                <w:szCs w:val="16"/>
              </w:rPr>
            </w:pPr>
            <w:r w:rsidRPr="003138DA">
              <w:rPr>
                <w:rFonts w:eastAsia="Times New Roman" w:cs="Calibri"/>
                <w:color w:val="000000"/>
                <w:sz w:val="16"/>
                <w:szCs w:val="16"/>
              </w:rPr>
              <w:t>$431,885,014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9734FF1" w14:textId="77777777">
            <w:pPr>
              <w:rPr>
                <w:rFonts w:eastAsia="Times New Roman" w:cs="Calibri"/>
                <w:color w:val="000000"/>
                <w:sz w:val="16"/>
                <w:szCs w:val="16"/>
              </w:rPr>
            </w:pPr>
            <w:r w:rsidRPr="003138DA">
              <w:rPr>
                <w:rFonts w:eastAsia="Times New Roman" w:cs="Calibri"/>
                <w:color w:val="000000"/>
                <w:sz w:val="16"/>
                <w:szCs w:val="16"/>
              </w:rPr>
              <w:t>$438,631,834</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7CE9902" w14:textId="77777777">
            <w:pPr>
              <w:rPr>
                <w:rFonts w:eastAsia="Times New Roman" w:cs="Calibri"/>
                <w:b/>
                <w:bCs/>
                <w:color w:val="000000"/>
                <w:sz w:val="16"/>
                <w:szCs w:val="16"/>
              </w:rPr>
            </w:pPr>
            <w:r w:rsidRPr="003138DA">
              <w:rPr>
                <w:rFonts w:eastAsia="Times New Roman" w:cs="Calibri"/>
                <w:b/>
                <w:bCs/>
                <w:color w:val="000000"/>
                <w:sz w:val="16"/>
                <w:szCs w:val="16"/>
              </w:rPr>
              <w:t>$2,540,802,997</w:t>
            </w:r>
          </w:p>
        </w:tc>
      </w:tr>
      <w:tr w:rsidRPr="003138DA" w:rsidR="000C1980" w:rsidTr="003138DA" w14:paraId="1CFB706E"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6FB032C1" w14:textId="77777777">
            <w:pPr>
              <w:rPr>
                <w:rFonts w:eastAsia="Times New Roman" w:cs="Calibri"/>
                <w:b/>
                <w:bCs/>
                <w:color w:val="000000"/>
                <w:sz w:val="16"/>
                <w:szCs w:val="16"/>
              </w:rPr>
            </w:pPr>
            <w:r w:rsidRPr="003138DA">
              <w:rPr>
                <w:rFonts w:eastAsia="Times New Roman" w:cs="Calibri"/>
                <w:b/>
                <w:bCs/>
                <w:color w:val="000000"/>
                <w:sz w:val="16"/>
                <w:szCs w:val="16"/>
              </w:rPr>
              <w:t>PG&amp;E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5980083" w14:textId="77777777">
            <w:pPr>
              <w:rPr>
                <w:rFonts w:eastAsia="Times New Roman" w:cs="Calibri"/>
                <w:color w:val="000000"/>
                <w:sz w:val="16"/>
                <w:szCs w:val="16"/>
              </w:rPr>
            </w:pPr>
            <w:r w:rsidRPr="003138DA">
              <w:rPr>
                <w:rFonts w:eastAsia="Times New Roman" w:cs="Calibri"/>
                <w:color w:val="000000"/>
                <w:sz w:val="16"/>
                <w:szCs w:val="16"/>
              </w:rPr>
              <w:t>$697,689,600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35878BB" w14:textId="77777777">
            <w:pPr>
              <w:rPr>
                <w:rFonts w:eastAsia="Times New Roman" w:cs="Calibri"/>
                <w:color w:val="000000"/>
                <w:sz w:val="16"/>
                <w:szCs w:val="16"/>
              </w:rPr>
            </w:pPr>
            <w:r w:rsidRPr="003138DA">
              <w:rPr>
                <w:rFonts w:eastAsia="Times New Roman" w:cs="Calibri"/>
                <w:color w:val="000000"/>
                <w:sz w:val="16"/>
                <w:szCs w:val="16"/>
              </w:rPr>
              <w:t>$701,449,000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41C814A" w14:textId="77777777">
            <w:pPr>
              <w:rPr>
                <w:rFonts w:eastAsia="Times New Roman" w:cs="Calibri"/>
                <w:color w:val="000000"/>
                <w:sz w:val="16"/>
                <w:szCs w:val="16"/>
              </w:rPr>
            </w:pPr>
            <w:r w:rsidRPr="003138DA">
              <w:rPr>
                <w:rFonts w:eastAsia="Times New Roman" w:cs="Calibri"/>
                <w:color w:val="000000"/>
                <w:sz w:val="16"/>
                <w:szCs w:val="16"/>
              </w:rPr>
              <w:t>$705,934,600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498C82D" w14:textId="77777777">
            <w:pPr>
              <w:rPr>
                <w:rFonts w:eastAsia="Times New Roman" w:cs="Calibri"/>
                <w:color w:val="000000"/>
                <w:sz w:val="16"/>
                <w:szCs w:val="16"/>
              </w:rPr>
            </w:pPr>
            <w:r w:rsidRPr="003138DA">
              <w:rPr>
                <w:rFonts w:eastAsia="Times New Roman" w:cs="Calibri"/>
                <w:color w:val="000000"/>
                <w:sz w:val="16"/>
                <w:szCs w:val="16"/>
              </w:rPr>
              <w:t>$710,464,600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4444D73" w14:textId="77777777">
            <w:pPr>
              <w:rPr>
                <w:rFonts w:eastAsia="Times New Roman" w:cs="Calibri"/>
                <w:color w:val="000000"/>
                <w:sz w:val="16"/>
                <w:szCs w:val="16"/>
              </w:rPr>
            </w:pPr>
            <w:r w:rsidRPr="003138DA">
              <w:rPr>
                <w:rFonts w:eastAsia="Times New Roman" w:cs="Calibri"/>
                <w:color w:val="000000"/>
                <w:sz w:val="16"/>
                <w:szCs w:val="16"/>
              </w:rPr>
              <w:t>$715,401,200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B5C0C38" w14:textId="77777777">
            <w:pPr>
              <w:rPr>
                <w:rFonts w:eastAsia="Times New Roman" w:cs="Calibri"/>
                <w:color w:val="000000"/>
                <w:sz w:val="16"/>
                <w:szCs w:val="16"/>
              </w:rPr>
            </w:pPr>
            <w:r w:rsidRPr="003138DA">
              <w:rPr>
                <w:rFonts w:eastAsia="Times New Roman" w:cs="Calibri"/>
                <w:color w:val="000000"/>
                <w:sz w:val="16"/>
                <w:szCs w:val="16"/>
              </w:rPr>
              <w:t>$720,454,700</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54D9935" w14:textId="77777777">
            <w:pPr>
              <w:rPr>
                <w:rFonts w:eastAsia="Times New Roman" w:cs="Calibri"/>
                <w:b/>
                <w:bCs/>
                <w:color w:val="000000"/>
                <w:sz w:val="16"/>
                <w:szCs w:val="16"/>
              </w:rPr>
            </w:pPr>
            <w:r w:rsidRPr="003138DA">
              <w:rPr>
                <w:rFonts w:eastAsia="Times New Roman" w:cs="Calibri"/>
                <w:b/>
                <w:bCs/>
                <w:color w:val="000000"/>
                <w:sz w:val="16"/>
                <w:szCs w:val="16"/>
              </w:rPr>
              <w:t>$4,251,393,700</w:t>
            </w:r>
          </w:p>
        </w:tc>
      </w:tr>
      <w:tr w:rsidRPr="003138DA" w:rsidR="000C1980" w:rsidTr="003138DA" w14:paraId="32750EED"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7514EE32" w14:textId="77777777">
            <w:pPr>
              <w:rPr>
                <w:rFonts w:eastAsia="Times New Roman" w:cs="Calibri"/>
                <w:b/>
                <w:bCs/>
                <w:color w:val="000000"/>
                <w:sz w:val="16"/>
                <w:szCs w:val="16"/>
              </w:rPr>
            </w:pPr>
            <w:r w:rsidRPr="003138DA">
              <w:rPr>
                <w:rFonts w:eastAsia="Times New Roman" w:cs="Calibri"/>
                <w:b/>
                <w:bCs/>
                <w:color w:val="000000"/>
                <w:sz w:val="16"/>
                <w:szCs w:val="16"/>
              </w:rPr>
              <w:t>SDG&amp;E</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F02E3E2" w14:textId="77777777">
            <w:pPr>
              <w:rPr>
                <w:rFonts w:eastAsia="Times New Roman" w:cs="Calibri"/>
                <w:color w:val="000000"/>
                <w:sz w:val="16"/>
                <w:szCs w:val="16"/>
              </w:rPr>
            </w:pPr>
            <w:r w:rsidRPr="003138DA">
              <w:rPr>
                <w:rFonts w:eastAsia="Times New Roman" w:cs="Calibri"/>
                <w:color w:val="000000"/>
                <w:sz w:val="16"/>
                <w:szCs w:val="16"/>
              </w:rPr>
              <w:t>$127,005,610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CED2858" w14:textId="77777777">
            <w:pPr>
              <w:rPr>
                <w:rFonts w:eastAsia="Times New Roman" w:cs="Calibri"/>
                <w:color w:val="000000"/>
                <w:sz w:val="16"/>
                <w:szCs w:val="16"/>
              </w:rPr>
            </w:pPr>
            <w:r w:rsidRPr="003138DA">
              <w:rPr>
                <w:rFonts w:eastAsia="Times New Roman" w:cs="Calibri"/>
                <w:color w:val="000000"/>
                <w:sz w:val="16"/>
                <w:szCs w:val="16"/>
              </w:rPr>
              <w:t>$128,328,320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131B09A" w14:textId="77777777">
            <w:pPr>
              <w:rPr>
                <w:rFonts w:eastAsia="Times New Roman" w:cs="Calibri"/>
                <w:color w:val="000000"/>
                <w:sz w:val="16"/>
                <w:szCs w:val="16"/>
              </w:rPr>
            </w:pPr>
            <w:r w:rsidRPr="003138DA">
              <w:rPr>
                <w:rFonts w:eastAsia="Times New Roman" w:cs="Calibri"/>
                <w:color w:val="000000"/>
                <w:sz w:val="16"/>
                <w:szCs w:val="16"/>
              </w:rPr>
              <w:t>$129,725,602</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A50EEDE" w14:textId="77777777">
            <w:pPr>
              <w:rPr>
                <w:rFonts w:eastAsia="Times New Roman" w:cs="Calibri"/>
                <w:color w:val="000000"/>
                <w:sz w:val="16"/>
                <w:szCs w:val="16"/>
              </w:rPr>
            </w:pPr>
            <w:r w:rsidRPr="003138DA">
              <w:rPr>
                <w:rFonts w:eastAsia="Times New Roman" w:cs="Calibri"/>
                <w:color w:val="000000"/>
                <w:sz w:val="16"/>
                <w:szCs w:val="16"/>
              </w:rPr>
              <w:t>$131,044,548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DE89C35" w14:textId="77777777">
            <w:pPr>
              <w:rPr>
                <w:rFonts w:eastAsia="Times New Roman" w:cs="Calibri"/>
                <w:color w:val="000000"/>
                <w:sz w:val="16"/>
                <w:szCs w:val="16"/>
              </w:rPr>
            </w:pPr>
            <w:r w:rsidRPr="003138DA">
              <w:rPr>
                <w:rFonts w:eastAsia="Times New Roman" w:cs="Calibri"/>
                <w:color w:val="000000"/>
                <w:sz w:val="16"/>
                <w:szCs w:val="16"/>
              </w:rPr>
              <w:t>$132,671,061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FBD63C2" w14:textId="77777777">
            <w:pPr>
              <w:rPr>
                <w:rFonts w:eastAsia="Times New Roman" w:cs="Calibri"/>
                <w:color w:val="000000"/>
                <w:sz w:val="16"/>
                <w:szCs w:val="16"/>
              </w:rPr>
            </w:pPr>
            <w:r w:rsidRPr="003138DA">
              <w:rPr>
                <w:rFonts w:eastAsia="Times New Roman" w:cs="Calibri"/>
                <w:color w:val="000000"/>
                <w:sz w:val="16"/>
                <w:szCs w:val="16"/>
              </w:rPr>
              <w:t>$133,925,855</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FA906C2" w14:textId="77777777">
            <w:pPr>
              <w:rPr>
                <w:rFonts w:eastAsia="Times New Roman" w:cs="Calibri"/>
                <w:b/>
                <w:bCs/>
                <w:color w:val="000000"/>
                <w:sz w:val="16"/>
                <w:szCs w:val="16"/>
              </w:rPr>
            </w:pPr>
            <w:r w:rsidRPr="003138DA">
              <w:rPr>
                <w:rFonts w:eastAsia="Times New Roman" w:cs="Calibri"/>
                <w:b/>
                <w:bCs/>
                <w:color w:val="000000"/>
                <w:sz w:val="16"/>
                <w:szCs w:val="16"/>
              </w:rPr>
              <w:t>$782,700,996</w:t>
            </w:r>
          </w:p>
        </w:tc>
      </w:tr>
      <w:tr w:rsidRPr="003138DA" w:rsidR="000C1980" w:rsidTr="003138DA" w14:paraId="75A5DDF6"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4FCA7AC1" w14:textId="77777777">
            <w:pPr>
              <w:rPr>
                <w:rFonts w:eastAsia="Times New Roman" w:cs="Calibri"/>
                <w:b/>
                <w:bCs/>
                <w:color w:val="000000"/>
                <w:sz w:val="16"/>
                <w:szCs w:val="16"/>
              </w:rPr>
            </w:pPr>
            <w:r w:rsidRPr="003138DA">
              <w:rPr>
                <w:rFonts w:eastAsia="Times New Roman" w:cs="Calibri"/>
                <w:b/>
                <w:bCs/>
                <w:color w:val="000000"/>
                <w:sz w:val="16"/>
                <w:szCs w:val="16"/>
              </w:rPr>
              <w:t>SoCalGas</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5D42418" w14:textId="77777777">
            <w:pPr>
              <w:rPr>
                <w:rFonts w:eastAsia="Times New Roman" w:cs="Calibri"/>
                <w:color w:val="000000"/>
                <w:sz w:val="16"/>
                <w:szCs w:val="16"/>
              </w:rPr>
            </w:pPr>
            <w:r w:rsidRPr="003138DA">
              <w:rPr>
                <w:rFonts w:eastAsia="Times New Roman" w:cs="Calibri"/>
                <w:color w:val="000000"/>
                <w:sz w:val="16"/>
                <w:szCs w:val="16"/>
              </w:rPr>
              <w:t>$148,249,646</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5679685C" w14:textId="77777777">
            <w:pPr>
              <w:rPr>
                <w:rFonts w:eastAsia="Times New Roman" w:cs="Calibri"/>
                <w:color w:val="000000"/>
                <w:sz w:val="16"/>
                <w:szCs w:val="16"/>
              </w:rPr>
            </w:pPr>
            <w:r w:rsidRPr="003138DA">
              <w:rPr>
                <w:rFonts w:eastAsia="Times New Roman" w:cs="Calibri"/>
                <w:color w:val="000000"/>
                <w:sz w:val="16"/>
                <w:szCs w:val="16"/>
              </w:rPr>
              <w:t>$149,669,161</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AA581BE" w14:textId="77777777">
            <w:pPr>
              <w:rPr>
                <w:rFonts w:eastAsia="Times New Roman" w:cs="Calibri"/>
                <w:color w:val="000000"/>
                <w:sz w:val="16"/>
                <w:szCs w:val="16"/>
              </w:rPr>
            </w:pPr>
            <w:r w:rsidRPr="003138DA">
              <w:rPr>
                <w:rFonts w:eastAsia="Times New Roman" w:cs="Calibri"/>
                <w:color w:val="000000"/>
                <w:sz w:val="16"/>
                <w:szCs w:val="16"/>
              </w:rPr>
              <w:t>$150,983,280</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A6F1438" w14:textId="77777777">
            <w:pPr>
              <w:rPr>
                <w:rFonts w:eastAsia="Times New Roman" w:cs="Calibri"/>
                <w:color w:val="000000"/>
                <w:sz w:val="16"/>
                <w:szCs w:val="16"/>
              </w:rPr>
            </w:pPr>
            <w:r w:rsidRPr="003138DA">
              <w:rPr>
                <w:rFonts w:eastAsia="Times New Roman" w:cs="Calibri"/>
                <w:color w:val="000000"/>
                <w:sz w:val="16"/>
                <w:szCs w:val="16"/>
              </w:rPr>
              <w:t>$152,497,417</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626752AD" w14:textId="77777777">
            <w:pPr>
              <w:rPr>
                <w:rFonts w:eastAsia="Times New Roman" w:cs="Calibri"/>
                <w:color w:val="000000"/>
                <w:sz w:val="16"/>
                <w:szCs w:val="16"/>
              </w:rPr>
            </w:pPr>
            <w:r w:rsidRPr="003138DA">
              <w:rPr>
                <w:rFonts w:eastAsia="Times New Roman" w:cs="Calibri"/>
                <w:color w:val="000000"/>
                <w:sz w:val="16"/>
                <w:szCs w:val="16"/>
              </w:rPr>
              <w:t>$154,039,114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0DBA8BD" w14:textId="77777777">
            <w:pPr>
              <w:rPr>
                <w:rFonts w:eastAsia="Times New Roman" w:cs="Calibri"/>
                <w:color w:val="000000"/>
                <w:sz w:val="16"/>
                <w:szCs w:val="16"/>
              </w:rPr>
            </w:pPr>
            <w:r w:rsidRPr="003138DA">
              <w:rPr>
                <w:rFonts w:eastAsia="Times New Roman" w:cs="Calibri"/>
                <w:color w:val="000000"/>
                <w:sz w:val="16"/>
                <w:szCs w:val="16"/>
              </w:rPr>
              <w:t>$155,411,268</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75E53818" w14:textId="77777777">
            <w:pPr>
              <w:rPr>
                <w:rFonts w:eastAsia="Times New Roman" w:cs="Calibri"/>
                <w:b/>
                <w:bCs/>
                <w:color w:val="000000"/>
                <w:sz w:val="16"/>
                <w:szCs w:val="16"/>
              </w:rPr>
            </w:pPr>
            <w:r w:rsidRPr="003138DA">
              <w:rPr>
                <w:rFonts w:eastAsia="Times New Roman" w:cs="Calibri"/>
                <w:b/>
                <w:bCs/>
                <w:color w:val="000000"/>
                <w:sz w:val="16"/>
                <w:szCs w:val="16"/>
              </w:rPr>
              <w:t>$910,849,886</w:t>
            </w:r>
          </w:p>
        </w:tc>
      </w:tr>
      <w:tr w:rsidRPr="003138DA" w:rsidR="000C1980" w:rsidTr="003138DA" w14:paraId="3FBA78D2" w14:textId="77777777">
        <w:trPr>
          <w:trHeight w:val="260"/>
        </w:trPr>
        <w:tc>
          <w:tcPr>
            <w:tcW w:w="1049" w:type="dxa"/>
            <w:tcBorders>
              <w:top w:val="nil"/>
              <w:left w:val="single" w:color="auto" w:sz="4" w:space="0"/>
              <w:bottom w:val="single" w:color="auto" w:sz="4" w:space="0"/>
              <w:right w:val="single" w:color="auto" w:sz="4" w:space="0"/>
            </w:tcBorders>
            <w:shd w:val="clear" w:color="auto" w:fill="auto"/>
            <w:noWrap/>
            <w:vAlign w:val="bottom"/>
            <w:hideMark/>
          </w:tcPr>
          <w:p w:rsidRPr="003138DA" w:rsidR="000C1980" w:rsidP="003138DA" w:rsidRDefault="000C1980" w14:paraId="77412046" w14:textId="77777777">
            <w:pPr>
              <w:rPr>
                <w:rFonts w:eastAsia="Times New Roman" w:cs="Calibri"/>
                <w:b/>
                <w:bCs/>
                <w:color w:val="000000"/>
                <w:sz w:val="16"/>
                <w:szCs w:val="16"/>
              </w:rPr>
            </w:pPr>
            <w:r w:rsidRPr="003138DA">
              <w:rPr>
                <w:rFonts w:eastAsia="Times New Roman" w:cs="Calibri"/>
                <w:b/>
                <w:bCs/>
                <w:color w:val="000000"/>
                <w:sz w:val="16"/>
                <w:szCs w:val="16"/>
              </w:rPr>
              <w:t>Total</w:t>
            </w:r>
          </w:p>
        </w:tc>
        <w:tc>
          <w:tcPr>
            <w:tcW w:w="1226"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8800BA7" w14:textId="77777777">
            <w:pPr>
              <w:rPr>
                <w:rFonts w:eastAsia="Times New Roman" w:cs="Calibri"/>
                <w:b/>
                <w:bCs/>
                <w:color w:val="000000"/>
                <w:sz w:val="16"/>
                <w:szCs w:val="16"/>
              </w:rPr>
            </w:pPr>
            <w:r w:rsidRPr="003138DA">
              <w:rPr>
                <w:rFonts w:eastAsia="Times New Roman" w:cs="Calibri"/>
                <w:b/>
                <w:bCs/>
                <w:color w:val="000000"/>
                <w:sz w:val="16"/>
                <w:szCs w:val="16"/>
              </w:rPr>
              <w:t>$1,383,113,494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34BC0A4" w14:textId="77777777">
            <w:pPr>
              <w:rPr>
                <w:rFonts w:eastAsia="Times New Roman" w:cs="Calibri"/>
                <w:b/>
                <w:bCs/>
                <w:color w:val="000000"/>
                <w:sz w:val="16"/>
                <w:szCs w:val="16"/>
              </w:rPr>
            </w:pPr>
            <w:r w:rsidRPr="003138DA">
              <w:rPr>
                <w:rFonts w:eastAsia="Times New Roman" w:cs="Calibri"/>
                <w:b/>
                <w:bCs/>
                <w:color w:val="000000"/>
                <w:sz w:val="16"/>
                <w:szCs w:val="16"/>
              </w:rPr>
              <w:t>$1,393,898,454</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0C2A052F" w14:textId="77777777">
            <w:pPr>
              <w:rPr>
                <w:rFonts w:eastAsia="Times New Roman" w:cs="Calibri"/>
                <w:b/>
                <w:bCs/>
                <w:color w:val="000000"/>
                <w:sz w:val="16"/>
                <w:szCs w:val="16"/>
              </w:rPr>
            </w:pPr>
            <w:r w:rsidRPr="003138DA">
              <w:rPr>
                <w:rFonts w:eastAsia="Times New Roman" w:cs="Calibri"/>
                <w:b/>
                <w:bCs/>
                <w:color w:val="000000"/>
                <w:sz w:val="16"/>
                <w:szCs w:val="16"/>
              </w:rPr>
              <w:t>$1,406,734,378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431598FE" w14:textId="77777777">
            <w:pPr>
              <w:rPr>
                <w:rFonts w:eastAsia="Times New Roman" w:cs="Calibri"/>
                <w:b/>
                <w:bCs/>
                <w:color w:val="000000"/>
                <w:sz w:val="16"/>
                <w:szCs w:val="16"/>
              </w:rPr>
            </w:pPr>
            <w:r w:rsidRPr="003138DA">
              <w:rPr>
                <w:rFonts w:eastAsia="Times New Roman" w:cs="Calibri"/>
                <w:b/>
                <w:bCs/>
                <w:color w:val="000000"/>
                <w:sz w:val="16"/>
                <w:szCs w:val="16"/>
              </w:rPr>
              <w:t>$1,419,581,208</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2E9B2C98" w14:textId="77777777">
            <w:pPr>
              <w:rPr>
                <w:rFonts w:eastAsia="Times New Roman" w:cs="Calibri"/>
                <w:b/>
                <w:bCs/>
                <w:color w:val="000000"/>
                <w:sz w:val="16"/>
                <w:szCs w:val="16"/>
              </w:rPr>
            </w:pPr>
            <w:r w:rsidRPr="003138DA">
              <w:rPr>
                <w:rFonts w:eastAsia="Times New Roman" w:cs="Calibri"/>
                <w:b/>
                <w:bCs/>
                <w:color w:val="000000"/>
                <w:sz w:val="16"/>
                <w:szCs w:val="16"/>
              </w:rPr>
              <w:t>$1,433,996,389</w:t>
            </w:r>
          </w:p>
        </w:tc>
        <w:tc>
          <w:tcPr>
            <w:tcW w:w="1225"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120A9618" w14:textId="77777777">
            <w:pPr>
              <w:rPr>
                <w:rFonts w:eastAsia="Times New Roman" w:cs="Calibri"/>
                <w:b/>
                <w:bCs/>
                <w:color w:val="000000"/>
                <w:sz w:val="16"/>
                <w:szCs w:val="16"/>
              </w:rPr>
            </w:pPr>
            <w:r w:rsidRPr="003138DA">
              <w:rPr>
                <w:rFonts w:eastAsia="Times New Roman" w:cs="Calibri"/>
                <w:b/>
                <w:bCs/>
                <w:color w:val="000000"/>
                <w:sz w:val="16"/>
                <w:szCs w:val="16"/>
              </w:rPr>
              <w:t>$1,448,423,657</w:t>
            </w:r>
          </w:p>
        </w:tc>
        <w:tc>
          <w:tcPr>
            <w:tcW w:w="1050" w:type="dxa"/>
            <w:tcBorders>
              <w:top w:val="nil"/>
              <w:left w:val="nil"/>
              <w:bottom w:val="single" w:color="auto" w:sz="4" w:space="0"/>
              <w:right w:val="single" w:color="auto" w:sz="4" w:space="0"/>
            </w:tcBorders>
            <w:shd w:val="clear" w:color="auto" w:fill="auto"/>
            <w:noWrap/>
            <w:vAlign w:val="bottom"/>
            <w:hideMark/>
          </w:tcPr>
          <w:p w:rsidRPr="003138DA" w:rsidR="000C1980" w:rsidP="003138DA" w:rsidRDefault="000C1980" w14:paraId="3B2CC626" w14:textId="77777777">
            <w:pPr>
              <w:rPr>
                <w:rFonts w:eastAsia="Times New Roman" w:cs="Calibri"/>
                <w:b/>
                <w:bCs/>
                <w:color w:val="000000"/>
                <w:sz w:val="16"/>
                <w:szCs w:val="16"/>
              </w:rPr>
            </w:pPr>
            <w:r w:rsidRPr="003138DA">
              <w:rPr>
                <w:rFonts w:eastAsia="Times New Roman" w:cs="Calibri"/>
                <w:b/>
                <w:bCs/>
                <w:color w:val="000000"/>
                <w:sz w:val="16"/>
                <w:szCs w:val="16"/>
              </w:rPr>
              <w:t>$8,485,747,580</w:t>
            </w:r>
          </w:p>
        </w:tc>
      </w:tr>
    </w:tbl>
    <w:p w:rsidR="000C1980" w:rsidP="001968DC" w:rsidRDefault="000C1980" w14:paraId="6FB9E209" w14:textId="77777777">
      <w:pPr>
        <w:pStyle w:val="Heading1"/>
        <w:ind w:left="720"/>
      </w:pPr>
      <w:bookmarkStart w:name="_Toc69947839" w:id="156"/>
      <w:r>
        <w:lastRenderedPageBreak/>
        <w:t xml:space="preserve">FERA </w:t>
      </w:r>
      <w:r w:rsidRPr="00E5693D">
        <w:t>Program</w:t>
      </w:r>
      <w:bookmarkEnd w:id="156"/>
      <w:r>
        <w:t xml:space="preserve"> </w:t>
      </w:r>
    </w:p>
    <w:p w:rsidR="000C1980" w:rsidP="001968DC" w:rsidRDefault="000C1980" w14:paraId="492153A1" w14:textId="77777777">
      <w:pPr>
        <w:pStyle w:val="Heading2"/>
        <w:ind w:left="1728"/>
      </w:pPr>
      <w:bookmarkStart w:name="_Toc69947840" w:id="157"/>
      <w:r>
        <w:t>FERA Goals</w:t>
      </w:r>
      <w:bookmarkEnd w:id="157"/>
    </w:p>
    <w:p w:rsidR="000C1980" w:rsidP="001968DC" w:rsidRDefault="000C1980" w14:paraId="1E9211BF" w14:textId="77777777">
      <w:pPr>
        <w:pStyle w:val="Heading3"/>
        <w:ind w:left="2664"/>
      </w:pPr>
      <w:bookmarkStart w:name="_Toc69947841" w:id="158"/>
      <w:r>
        <w:t>Background</w:t>
      </w:r>
      <w:bookmarkEnd w:id="158"/>
    </w:p>
    <w:p w:rsidRPr="00DA6A90" w:rsidR="000C1980" w:rsidP="001F6BDD" w:rsidRDefault="000C1980" w14:paraId="64BF8016" w14:textId="77777777">
      <w:pPr>
        <w:pStyle w:val="Standard"/>
      </w:pPr>
      <w:r>
        <w:t xml:space="preserve">The Commission did not set specific enrollment goals for the FERA program until </w:t>
      </w:r>
      <w:r w:rsidRPr="00E80BE6">
        <w:t>D</w:t>
      </w:r>
      <w:r>
        <w:t>.</w:t>
      </w:r>
      <w:r w:rsidRPr="00E80BE6">
        <w:t>18-08-013</w:t>
      </w:r>
      <w:r>
        <w:t>,</w:t>
      </w:r>
      <w:r>
        <w:rPr>
          <w:rStyle w:val="FootnoteReference"/>
        </w:rPr>
        <w:footnoteReference w:id="213"/>
      </w:r>
      <w:r>
        <w:t xml:space="preserve"> where PG&amp;E was </w:t>
      </w:r>
      <w:r w:rsidRPr="00E80BE6">
        <w:t xml:space="preserve">directed </w:t>
      </w:r>
      <w:r>
        <w:t>to</w:t>
      </w:r>
      <w:r w:rsidRPr="00E80BE6">
        <w:t xml:space="preserve"> increase </w:t>
      </w:r>
      <w:r>
        <w:t>its</w:t>
      </w:r>
      <w:r w:rsidRPr="00E80BE6">
        <w:t xml:space="preserve"> FERA participation to 50</w:t>
      </w:r>
      <w:r>
        <w:t xml:space="preserve"> percent</w:t>
      </w:r>
      <w:r w:rsidRPr="00E80BE6">
        <w:t xml:space="preserve"> of eligible customers by 2023</w:t>
      </w:r>
      <w:r>
        <w:t xml:space="preserve">, and D.18-11-027, where SCE was directed to </w:t>
      </w:r>
      <w:r w:rsidRPr="001F6BDD">
        <w:t>increase</w:t>
      </w:r>
      <w:r>
        <w:t xml:space="preserve"> its FERA </w:t>
      </w:r>
      <w:r w:rsidRPr="00402362">
        <w:t>participation</w:t>
      </w:r>
      <w:r w:rsidRPr="00E80BE6">
        <w:t xml:space="preserve"> </w:t>
      </w:r>
      <w:r>
        <w:t>to 50 percent by 2023</w:t>
      </w:r>
      <w:r w:rsidRPr="00E80BE6">
        <w:t>.</w:t>
      </w:r>
      <w:r>
        <w:rPr>
          <w:rStyle w:val="FootnoteReference"/>
        </w:rPr>
        <w:footnoteReference w:id="214"/>
      </w:r>
      <w:r>
        <w:t xml:space="preserve">  D.19-06-022 asked the IOUs to describe their plans to </w:t>
      </w:r>
      <w:r>
        <w:rPr>
          <w:rStyle w:val="normaltextrun"/>
          <w:color w:val="000000"/>
          <w:shd w:val="clear" w:color="auto" w:fill="FFFFFF"/>
        </w:rPr>
        <w:t>comply with legislative changes addressing FERA enrollment in Senate Bill 1135 and goals outlined in Commission decisions.</w:t>
      </w:r>
      <w:r>
        <w:rPr>
          <w:rStyle w:val="FootnoteReference"/>
          <w:color w:val="000000"/>
          <w:shd w:val="clear" w:color="auto" w:fill="FFFFFF"/>
        </w:rPr>
        <w:footnoteReference w:id="215"/>
      </w:r>
      <w:r>
        <w:rPr>
          <w:rStyle w:val="normaltextrun"/>
          <w:color w:val="000000"/>
          <w:shd w:val="clear" w:color="auto" w:fill="FFFFFF"/>
        </w:rPr>
        <w:t> </w:t>
      </w:r>
      <w:r w:rsidDel="001F5948">
        <w:t xml:space="preserve"> </w:t>
      </w:r>
      <w:r>
        <w:t xml:space="preserve">SDG&amp;E’s application stated that their Phase 2 GRC had not been completed before their ESA/CARE applications were due, but that they were </w:t>
      </w:r>
      <w:r w:rsidRPr="003C4A73">
        <w:t>proactively establishing a target to reach 50</w:t>
      </w:r>
      <w:r w:rsidRPr="006E22E7">
        <w:t xml:space="preserve"> </w:t>
      </w:r>
      <w:r w:rsidRPr="0026503D">
        <w:t>percent</w:t>
      </w:r>
      <w:r w:rsidRPr="003C4A73">
        <w:t xml:space="preserve"> </w:t>
      </w:r>
      <w:r>
        <w:t>enrollment</w:t>
      </w:r>
      <w:r w:rsidRPr="003C4A73">
        <w:t>, alongside the other IOU</w:t>
      </w:r>
      <w:r>
        <w:t>s</w:t>
      </w:r>
      <w:r w:rsidRPr="003C4A73">
        <w:t xml:space="preserve"> by 2026</w:t>
      </w:r>
      <w:r>
        <w:t>.</w:t>
      </w:r>
      <w:r>
        <w:rPr>
          <w:rStyle w:val="FootnoteReference"/>
        </w:rPr>
        <w:footnoteReference w:id="216"/>
      </w:r>
      <w:r>
        <w:t xml:space="preserve"> </w:t>
      </w:r>
    </w:p>
    <w:p w:rsidRPr="005C4E3F" w:rsidR="000C1980" w:rsidP="001968DC" w:rsidRDefault="000C1980" w14:paraId="21A1B292" w14:textId="77777777">
      <w:pPr>
        <w:pStyle w:val="Quote"/>
        <w:ind w:left="1080"/>
        <w:jc w:val="center"/>
        <w:rPr>
          <w:b/>
          <w:bCs/>
        </w:rPr>
      </w:pPr>
      <w:r w:rsidRPr="005C4E3F">
        <w:rPr>
          <w:b/>
          <w:bCs/>
        </w:rPr>
        <w:t xml:space="preserve">Table 7: Proposed FERA </w:t>
      </w:r>
      <w:r w:rsidRPr="008B0631">
        <w:rPr>
          <w:b/>
          <w:bCs/>
        </w:rPr>
        <w:t xml:space="preserve">Participation and </w:t>
      </w:r>
      <w:r w:rsidRPr="008812EE">
        <w:rPr>
          <w:b/>
          <w:bCs/>
        </w:rPr>
        <w:t xml:space="preserve">Enrollment </w:t>
      </w:r>
      <w:r w:rsidRPr="008B0631">
        <w:rPr>
          <w:b/>
          <w:bCs/>
        </w:rPr>
        <w:t>Goals</w:t>
      </w:r>
    </w:p>
    <w:tbl>
      <w:tblPr>
        <w:tblStyle w:val="TableGrid"/>
        <w:tblW w:w="9805" w:type="dxa"/>
        <w:tblInd w:w="-455" w:type="dxa"/>
        <w:tblLook w:val="04A0" w:firstRow="1" w:lastRow="0" w:firstColumn="1" w:lastColumn="0" w:noHBand="0" w:noVBand="1"/>
      </w:tblPr>
      <w:tblGrid>
        <w:gridCol w:w="1480"/>
        <w:gridCol w:w="1379"/>
        <w:gridCol w:w="1260"/>
        <w:gridCol w:w="1460"/>
        <w:gridCol w:w="1332"/>
        <w:gridCol w:w="1514"/>
        <w:gridCol w:w="1380"/>
      </w:tblGrid>
      <w:tr w:rsidRPr="005B2834" w:rsidR="000C1980" w:rsidTr="0075686D" w14:paraId="1579554B" w14:textId="77777777">
        <w:trPr>
          <w:trHeight w:val="267"/>
        </w:trPr>
        <w:tc>
          <w:tcPr>
            <w:tcW w:w="1480" w:type="dxa"/>
            <w:noWrap/>
            <w:vAlign w:val="bottom"/>
            <w:hideMark/>
          </w:tcPr>
          <w:p w:rsidRPr="005B2834" w:rsidR="000C1980" w:rsidP="001968DC" w:rsidRDefault="000C1980" w14:paraId="534C5811" w14:textId="77777777">
            <w:pPr>
              <w:ind w:left="360"/>
              <w:jc w:val="right"/>
              <w:rPr>
                <w:rFonts w:eastAsia="Times New Roman"/>
                <w:color w:val="000000" w:themeColor="text1"/>
                <w:sz w:val="24"/>
                <w:szCs w:val="24"/>
              </w:rPr>
            </w:pPr>
          </w:p>
        </w:tc>
        <w:tc>
          <w:tcPr>
            <w:tcW w:w="2639" w:type="dxa"/>
            <w:gridSpan w:val="2"/>
            <w:noWrap/>
            <w:vAlign w:val="bottom"/>
            <w:hideMark/>
          </w:tcPr>
          <w:p w:rsidRPr="005B2834" w:rsidR="000C1980" w:rsidP="001968DC" w:rsidRDefault="000C1980" w14:paraId="32DB5387" w14:textId="77777777">
            <w:pPr>
              <w:ind w:left="360"/>
              <w:jc w:val="center"/>
              <w:rPr>
                <w:rFonts w:eastAsia="Times New Roman" w:cs="Calibri"/>
                <w:b/>
                <w:bCs/>
                <w:color w:val="000000" w:themeColor="text1"/>
                <w:sz w:val="24"/>
                <w:szCs w:val="24"/>
              </w:rPr>
            </w:pPr>
            <w:r w:rsidRPr="005B2834">
              <w:rPr>
                <w:rFonts w:eastAsia="Times New Roman" w:cs="Calibri"/>
                <w:b/>
                <w:bCs/>
                <w:color w:val="000000" w:themeColor="text1"/>
                <w:sz w:val="24"/>
                <w:szCs w:val="24"/>
              </w:rPr>
              <w:t>PG&amp;E</w:t>
            </w:r>
          </w:p>
        </w:tc>
        <w:tc>
          <w:tcPr>
            <w:tcW w:w="2792" w:type="dxa"/>
            <w:gridSpan w:val="2"/>
            <w:noWrap/>
            <w:vAlign w:val="bottom"/>
            <w:hideMark/>
          </w:tcPr>
          <w:p w:rsidRPr="005B2834" w:rsidR="000C1980" w:rsidP="001968DC" w:rsidRDefault="000C1980" w14:paraId="2320233C" w14:textId="77777777">
            <w:pPr>
              <w:ind w:left="360"/>
              <w:jc w:val="center"/>
              <w:rPr>
                <w:rFonts w:eastAsia="Times New Roman" w:cs="Calibri"/>
                <w:b/>
                <w:bCs/>
                <w:color w:val="000000" w:themeColor="text1"/>
                <w:sz w:val="24"/>
                <w:szCs w:val="24"/>
              </w:rPr>
            </w:pPr>
            <w:r w:rsidRPr="005B2834">
              <w:rPr>
                <w:rFonts w:eastAsia="Times New Roman" w:cs="Calibri"/>
                <w:b/>
                <w:bCs/>
                <w:color w:val="000000" w:themeColor="text1"/>
                <w:sz w:val="24"/>
                <w:szCs w:val="24"/>
              </w:rPr>
              <w:t>SCE</w:t>
            </w:r>
          </w:p>
        </w:tc>
        <w:tc>
          <w:tcPr>
            <w:tcW w:w="2894" w:type="dxa"/>
            <w:gridSpan w:val="2"/>
            <w:noWrap/>
            <w:vAlign w:val="bottom"/>
            <w:hideMark/>
          </w:tcPr>
          <w:p w:rsidRPr="005B2834" w:rsidR="000C1980" w:rsidP="001968DC" w:rsidRDefault="000C1980" w14:paraId="22F46953" w14:textId="77777777">
            <w:pPr>
              <w:ind w:left="360"/>
              <w:jc w:val="center"/>
              <w:rPr>
                <w:rFonts w:eastAsia="Times New Roman" w:cs="Calibri"/>
                <w:b/>
                <w:bCs/>
                <w:color w:val="000000" w:themeColor="text1"/>
                <w:sz w:val="24"/>
                <w:szCs w:val="24"/>
              </w:rPr>
            </w:pPr>
            <w:r w:rsidRPr="005B2834">
              <w:rPr>
                <w:rFonts w:eastAsia="Times New Roman" w:cs="Calibri"/>
                <w:b/>
                <w:bCs/>
                <w:color w:val="000000" w:themeColor="text1"/>
                <w:sz w:val="24"/>
                <w:szCs w:val="24"/>
              </w:rPr>
              <w:t>SDG&amp;E</w:t>
            </w:r>
          </w:p>
        </w:tc>
      </w:tr>
      <w:tr w:rsidRPr="005B2834" w:rsidR="000C1980" w:rsidTr="0075686D" w14:paraId="29B28353" w14:textId="77777777">
        <w:trPr>
          <w:trHeight w:val="571"/>
        </w:trPr>
        <w:tc>
          <w:tcPr>
            <w:tcW w:w="1480" w:type="dxa"/>
            <w:vAlign w:val="bottom"/>
            <w:hideMark/>
          </w:tcPr>
          <w:p w:rsidRPr="005B2834" w:rsidR="000C1980" w:rsidP="001968DC" w:rsidRDefault="000C1980" w14:paraId="6AC9E44D" w14:textId="77777777">
            <w:pPr>
              <w:ind w:left="360"/>
              <w:jc w:val="center"/>
              <w:rPr>
                <w:rFonts w:eastAsia="Times New Roman" w:cs="Calibri"/>
                <w:color w:val="000000"/>
                <w:sz w:val="24"/>
                <w:szCs w:val="24"/>
              </w:rPr>
            </w:pPr>
            <w:r>
              <w:rPr>
                <w:rFonts w:eastAsia="Times New Roman" w:cs="Calibri"/>
                <w:color w:val="000000"/>
                <w:sz w:val="24"/>
                <w:szCs w:val="24"/>
              </w:rPr>
              <w:t>PY</w:t>
            </w:r>
          </w:p>
        </w:tc>
        <w:tc>
          <w:tcPr>
            <w:tcW w:w="2639" w:type="dxa"/>
            <w:gridSpan w:val="2"/>
            <w:vAlign w:val="bottom"/>
            <w:hideMark/>
          </w:tcPr>
          <w:p w:rsidRPr="005B2834" w:rsidR="000C1980" w:rsidP="001968DC" w:rsidRDefault="000C1980" w14:paraId="5E4857CE" w14:textId="77777777">
            <w:pPr>
              <w:ind w:left="360"/>
              <w:jc w:val="center"/>
              <w:rPr>
                <w:rFonts w:eastAsia="Times New Roman" w:cs="Calibri"/>
                <w:color w:val="000000"/>
                <w:sz w:val="24"/>
                <w:szCs w:val="24"/>
              </w:rPr>
            </w:pPr>
            <w:r w:rsidRPr="005B2834">
              <w:rPr>
                <w:rFonts w:eastAsia="Times New Roman" w:cs="Calibri"/>
                <w:color w:val="000000"/>
                <w:sz w:val="24"/>
                <w:szCs w:val="24"/>
              </w:rPr>
              <w:t>Participation Goal</w:t>
            </w:r>
            <w:r>
              <w:rPr>
                <w:rFonts w:eastAsia="Times New Roman" w:cs="Calibri"/>
                <w:color w:val="000000"/>
                <w:sz w:val="24"/>
                <w:szCs w:val="24"/>
              </w:rPr>
              <w:t>/</w:t>
            </w:r>
          </w:p>
          <w:p w:rsidRPr="005B2834" w:rsidR="000C1980" w:rsidP="001968DC" w:rsidRDefault="000C1980" w14:paraId="185D612A" w14:textId="77777777">
            <w:pPr>
              <w:ind w:left="360"/>
              <w:jc w:val="center"/>
              <w:rPr>
                <w:rFonts w:eastAsia="Times New Roman" w:cs="Calibri"/>
                <w:color w:val="000000"/>
                <w:sz w:val="24"/>
                <w:szCs w:val="24"/>
              </w:rPr>
            </w:pPr>
            <w:r>
              <w:t xml:space="preserve">Enrollment </w:t>
            </w:r>
            <w:r w:rsidRPr="005B2834">
              <w:rPr>
                <w:rFonts w:eastAsia="Times New Roman" w:cs="Calibri"/>
                <w:color w:val="000000"/>
                <w:sz w:val="24"/>
                <w:szCs w:val="24"/>
              </w:rPr>
              <w:t>Goal</w:t>
            </w:r>
          </w:p>
        </w:tc>
        <w:tc>
          <w:tcPr>
            <w:tcW w:w="2792" w:type="dxa"/>
            <w:gridSpan w:val="2"/>
            <w:vAlign w:val="bottom"/>
            <w:hideMark/>
          </w:tcPr>
          <w:p w:rsidRPr="005B2834" w:rsidR="000C1980" w:rsidP="001968DC" w:rsidRDefault="000C1980" w14:paraId="51654E3D" w14:textId="77777777">
            <w:pPr>
              <w:ind w:left="360"/>
              <w:jc w:val="center"/>
              <w:rPr>
                <w:rFonts w:eastAsia="Times New Roman" w:cs="Calibri"/>
                <w:color w:val="000000"/>
                <w:sz w:val="24"/>
                <w:szCs w:val="24"/>
              </w:rPr>
            </w:pPr>
            <w:r w:rsidRPr="005B2834">
              <w:rPr>
                <w:rFonts w:eastAsia="Times New Roman" w:cs="Calibri"/>
                <w:color w:val="000000"/>
                <w:sz w:val="24"/>
                <w:szCs w:val="24"/>
              </w:rPr>
              <w:t>Participation Goal</w:t>
            </w:r>
            <w:r>
              <w:rPr>
                <w:rFonts w:eastAsia="Times New Roman" w:cs="Calibri"/>
                <w:color w:val="000000"/>
                <w:sz w:val="24"/>
                <w:szCs w:val="24"/>
              </w:rPr>
              <w:t>/</w:t>
            </w:r>
          </w:p>
          <w:p w:rsidRPr="005B2834" w:rsidR="000C1980" w:rsidP="001968DC" w:rsidRDefault="000C1980" w14:paraId="36776D07" w14:textId="77777777">
            <w:pPr>
              <w:ind w:left="360"/>
              <w:jc w:val="center"/>
              <w:rPr>
                <w:rFonts w:eastAsia="Times New Roman" w:cs="Calibri"/>
                <w:color w:val="000000"/>
                <w:sz w:val="24"/>
                <w:szCs w:val="24"/>
              </w:rPr>
            </w:pPr>
            <w:r>
              <w:t xml:space="preserve">Enrollment </w:t>
            </w:r>
            <w:r w:rsidRPr="005B2834">
              <w:rPr>
                <w:rFonts w:eastAsia="Times New Roman" w:cs="Calibri"/>
                <w:color w:val="000000"/>
                <w:sz w:val="24"/>
                <w:szCs w:val="24"/>
              </w:rPr>
              <w:t>Goal</w:t>
            </w:r>
          </w:p>
        </w:tc>
        <w:tc>
          <w:tcPr>
            <w:tcW w:w="2894" w:type="dxa"/>
            <w:gridSpan w:val="2"/>
            <w:vAlign w:val="bottom"/>
            <w:hideMark/>
          </w:tcPr>
          <w:p w:rsidRPr="005B2834" w:rsidR="000C1980" w:rsidP="001968DC" w:rsidRDefault="000C1980" w14:paraId="1E9E6A7B" w14:textId="77777777">
            <w:pPr>
              <w:ind w:left="360"/>
              <w:jc w:val="center"/>
              <w:rPr>
                <w:rFonts w:eastAsia="Times New Roman" w:cs="Calibri"/>
                <w:color w:val="000000"/>
                <w:sz w:val="24"/>
                <w:szCs w:val="24"/>
              </w:rPr>
            </w:pPr>
            <w:r w:rsidRPr="005B2834">
              <w:rPr>
                <w:rFonts w:eastAsia="Times New Roman" w:cs="Calibri"/>
                <w:color w:val="000000"/>
                <w:sz w:val="24"/>
                <w:szCs w:val="24"/>
              </w:rPr>
              <w:t>Participation Goal</w:t>
            </w:r>
            <w:r>
              <w:rPr>
                <w:rFonts w:eastAsia="Times New Roman" w:cs="Calibri"/>
                <w:color w:val="000000"/>
                <w:sz w:val="24"/>
                <w:szCs w:val="24"/>
              </w:rPr>
              <w:t>/</w:t>
            </w:r>
          </w:p>
          <w:p w:rsidRPr="005B2834" w:rsidR="000C1980" w:rsidP="001968DC" w:rsidRDefault="000C1980" w14:paraId="3E67A85B" w14:textId="77777777">
            <w:pPr>
              <w:ind w:left="360"/>
              <w:jc w:val="center"/>
              <w:rPr>
                <w:rFonts w:eastAsia="Times New Roman" w:cs="Calibri"/>
                <w:color w:val="000000"/>
                <w:sz w:val="24"/>
                <w:szCs w:val="24"/>
              </w:rPr>
            </w:pPr>
            <w:r>
              <w:t xml:space="preserve">Enrollment </w:t>
            </w:r>
            <w:r w:rsidRPr="005B2834">
              <w:rPr>
                <w:rFonts w:eastAsia="Times New Roman" w:cs="Calibri"/>
                <w:color w:val="000000"/>
                <w:sz w:val="24"/>
                <w:szCs w:val="24"/>
              </w:rPr>
              <w:t>Goal</w:t>
            </w:r>
          </w:p>
        </w:tc>
      </w:tr>
      <w:tr w:rsidRPr="005B2834" w:rsidR="000C1980" w:rsidTr="0075686D" w14:paraId="5C6A66B0" w14:textId="77777777">
        <w:trPr>
          <w:trHeight w:val="43"/>
        </w:trPr>
        <w:tc>
          <w:tcPr>
            <w:tcW w:w="1480" w:type="dxa"/>
            <w:noWrap/>
            <w:vAlign w:val="center"/>
            <w:hideMark/>
          </w:tcPr>
          <w:p w:rsidRPr="005B2834" w:rsidR="000C1980" w:rsidP="001968DC" w:rsidRDefault="000C1980" w14:paraId="4064DFF1" w14:textId="77777777">
            <w:pPr>
              <w:ind w:left="360"/>
              <w:jc w:val="right"/>
              <w:rPr>
                <w:rFonts w:eastAsia="Times New Roman" w:cs="Calibri"/>
                <w:color w:val="000000"/>
                <w:sz w:val="24"/>
                <w:szCs w:val="24"/>
              </w:rPr>
            </w:pPr>
            <w:r w:rsidRPr="005B2834">
              <w:rPr>
                <w:rFonts w:eastAsia="Times New Roman" w:cs="Calibri"/>
                <w:color w:val="000000"/>
                <w:sz w:val="24"/>
                <w:szCs w:val="24"/>
              </w:rPr>
              <w:t>2021</w:t>
            </w:r>
          </w:p>
        </w:tc>
        <w:tc>
          <w:tcPr>
            <w:tcW w:w="1379" w:type="dxa"/>
            <w:noWrap/>
            <w:vAlign w:val="center"/>
            <w:hideMark/>
          </w:tcPr>
          <w:p w:rsidRPr="005B2834" w:rsidR="000C1980" w:rsidP="001968DC" w:rsidRDefault="000C1980" w14:paraId="78F003C1"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36,600</w:t>
            </w:r>
          </w:p>
        </w:tc>
        <w:tc>
          <w:tcPr>
            <w:tcW w:w="1260" w:type="dxa"/>
            <w:noWrap/>
            <w:vAlign w:val="center"/>
            <w:hideMark/>
          </w:tcPr>
          <w:p w:rsidRPr="005B2834" w:rsidR="000C1980" w:rsidP="001968DC" w:rsidRDefault="000C1980" w14:paraId="2ACCEFD6" w14:textId="77777777">
            <w:pPr>
              <w:ind w:left="360"/>
              <w:jc w:val="right"/>
              <w:rPr>
                <w:rFonts w:eastAsia="Times New Roman" w:cs="Calibri"/>
                <w:color w:val="000000"/>
                <w:sz w:val="24"/>
                <w:szCs w:val="24"/>
              </w:rPr>
            </w:pPr>
            <w:r w:rsidRPr="005B2834">
              <w:rPr>
                <w:rFonts w:eastAsia="Times New Roman" w:cs="Calibri"/>
                <w:color w:val="000000"/>
                <w:sz w:val="24"/>
                <w:szCs w:val="24"/>
              </w:rPr>
              <w:t>22%</w:t>
            </w:r>
          </w:p>
        </w:tc>
        <w:tc>
          <w:tcPr>
            <w:tcW w:w="1460" w:type="dxa"/>
            <w:noWrap/>
            <w:vAlign w:val="center"/>
            <w:hideMark/>
          </w:tcPr>
          <w:p w:rsidRPr="005B2834" w:rsidR="000C1980" w:rsidP="001968DC" w:rsidRDefault="000C1980" w14:paraId="1319ADCD"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64,949 </w:t>
            </w:r>
          </w:p>
        </w:tc>
        <w:tc>
          <w:tcPr>
            <w:tcW w:w="1332" w:type="dxa"/>
            <w:noWrap/>
            <w:vAlign w:val="center"/>
            <w:hideMark/>
          </w:tcPr>
          <w:p w:rsidRPr="005B2834" w:rsidR="000C1980" w:rsidP="001968DC" w:rsidRDefault="000C1980" w14:paraId="5B2D48C5" w14:textId="77777777">
            <w:pPr>
              <w:ind w:left="360"/>
              <w:jc w:val="right"/>
              <w:rPr>
                <w:rFonts w:eastAsia="Times New Roman" w:cs="Calibri"/>
                <w:color w:val="000000"/>
                <w:sz w:val="24"/>
                <w:szCs w:val="24"/>
              </w:rPr>
            </w:pPr>
            <w:r w:rsidRPr="005B2834">
              <w:rPr>
                <w:rFonts w:eastAsia="Times New Roman" w:cs="Calibri"/>
                <w:color w:val="000000"/>
                <w:sz w:val="24"/>
                <w:szCs w:val="24"/>
              </w:rPr>
              <w:t>30%</w:t>
            </w:r>
          </w:p>
        </w:tc>
        <w:tc>
          <w:tcPr>
            <w:tcW w:w="1514" w:type="dxa"/>
            <w:noWrap/>
            <w:vAlign w:val="center"/>
            <w:hideMark/>
          </w:tcPr>
          <w:p w:rsidRPr="005B2834" w:rsidR="000C1980" w:rsidP="001968DC" w:rsidRDefault="000C1980" w14:paraId="734D895A"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13,895 </w:t>
            </w:r>
          </w:p>
        </w:tc>
        <w:tc>
          <w:tcPr>
            <w:tcW w:w="1380" w:type="dxa"/>
            <w:noWrap/>
            <w:vAlign w:val="center"/>
            <w:hideMark/>
          </w:tcPr>
          <w:p w:rsidRPr="005B2834" w:rsidR="000C1980" w:rsidP="001968DC" w:rsidRDefault="000C1980" w14:paraId="009B2F18" w14:textId="77777777">
            <w:pPr>
              <w:ind w:left="360"/>
              <w:jc w:val="right"/>
              <w:rPr>
                <w:rFonts w:eastAsia="Times New Roman" w:cs="Calibri"/>
                <w:color w:val="000000"/>
                <w:sz w:val="24"/>
                <w:szCs w:val="24"/>
              </w:rPr>
            </w:pPr>
            <w:r w:rsidRPr="005B2834">
              <w:rPr>
                <w:rFonts w:eastAsia="Times New Roman" w:cs="Calibri"/>
                <w:color w:val="000000"/>
                <w:sz w:val="24"/>
                <w:szCs w:val="24"/>
              </w:rPr>
              <w:t>29%</w:t>
            </w:r>
          </w:p>
        </w:tc>
      </w:tr>
      <w:tr w:rsidRPr="005B2834" w:rsidR="000C1980" w:rsidTr="0075686D" w14:paraId="10BDE320" w14:textId="77777777">
        <w:trPr>
          <w:trHeight w:val="267"/>
        </w:trPr>
        <w:tc>
          <w:tcPr>
            <w:tcW w:w="1480" w:type="dxa"/>
            <w:noWrap/>
            <w:vAlign w:val="center"/>
            <w:hideMark/>
          </w:tcPr>
          <w:p w:rsidRPr="005B2834" w:rsidR="000C1980" w:rsidP="001968DC" w:rsidRDefault="000C1980" w14:paraId="78F245E7" w14:textId="77777777">
            <w:pPr>
              <w:ind w:left="360"/>
              <w:jc w:val="right"/>
              <w:rPr>
                <w:rFonts w:eastAsia="Times New Roman" w:cs="Calibri"/>
                <w:color w:val="000000"/>
                <w:sz w:val="24"/>
                <w:szCs w:val="24"/>
              </w:rPr>
            </w:pPr>
            <w:r w:rsidRPr="005B2834">
              <w:rPr>
                <w:rFonts w:eastAsia="Times New Roman" w:cs="Calibri"/>
                <w:color w:val="000000"/>
                <w:sz w:val="24"/>
                <w:szCs w:val="24"/>
              </w:rPr>
              <w:t>2022</w:t>
            </w:r>
          </w:p>
        </w:tc>
        <w:tc>
          <w:tcPr>
            <w:tcW w:w="1379" w:type="dxa"/>
            <w:noWrap/>
            <w:vAlign w:val="center"/>
            <w:hideMark/>
          </w:tcPr>
          <w:p w:rsidRPr="005B2834" w:rsidR="000C1980" w:rsidP="001968DC" w:rsidRDefault="000C1980" w14:paraId="01709DAB"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45,600 </w:t>
            </w:r>
          </w:p>
        </w:tc>
        <w:tc>
          <w:tcPr>
            <w:tcW w:w="1260" w:type="dxa"/>
            <w:noWrap/>
            <w:vAlign w:val="center"/>
            <w:hideMark/>
          </w:tcPr>
          <w:p w:rsidRPr="005B2834" w:rsidR="000C1980" w:rsidP="001968DC" w:rsidRDefault="000C1980" w14:paraId="585D4837" w14:textId="77777777">
            <w:pPr>
              <w:ind w:left="360"/>
              <w:jc w:val="right"/>
              <w:rPr>
                <w:rFonts w:eastAsia="Times New Roman" w:cs="Calibri"/>
                <w:color w:val="000000"/>
                <w:sz w:val="24"/>
                <w:szCs w:val="24"/>
              </w:rPr>
            </w:pPr>
            <w:r w:rsidRPr="005B2834">
              <w:rPr>
                <w:rFonts w:eastAsia="Times New Roman" w:cs="Calibri"/>
                <w:color w:val="000000"/>
                <w:sz w:val="24"/>
                <w:szCs w:val="24"/>
              </w:rPr>
              <w:t>28%</w:t>
            </w:r>
          </w:p>
        </w:tc>
        <w:tc>
          <w:tcPr>
            <w:tcW w:w="1460" w:type="dxa"/>
            <w:noWrap/>
            <w:vAlign w:val="center"/>
            <w:hideMark/>
          </w:tcPr>
          <w:p w:rsidRPr="005B2834" w:rsidR="000C1980" w:rsidP="001968DC" w:rsidRDefault="000C1980" w14:paraId="0DA84E6F"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86,599 </w:t>
            </w:r>
          </w:p>
        </w:tc>
        <w:tc>
          <w:tcPr>
            <w:tcW w:w="1332" w:type="dxa"/>
            <w:noWrap/>
            <w:vAlign w:val="center"/>
            <w:hideMark/>
          </w:tcPr>
          <w:p w:rsidRPr="005B2834" w:rsidR="000C1980" w:rsidP="001968DC" w:rsidRDefault="000C1980" w14:paraId="0CD5BF36" w14:textId="77777777">
            <w:pPr>
              <w:ind w:left="360"/>
              <w:jc w:val="right"/>
              <w:rPr>
                <w:rFonts w:eastAsia="Times New Roman" w:cs="Calibri"/>
                <w:color w:val="000000"/>
                <w:sz w:val="24"/>
                <w:szCs w:val="24"/>
              </w:rPr>
            </w:pPr>
            <w:r w:rsidRPr="005B2834">
              <w:rPr>
                <w:rFonts w:eastAsia="Times New Roman" w:cs="Calibri"/>
                <w:color w:val="000000"/>
                <w:sz w:val="24"/>
                <w:szCs w:val="24"/>
              </w:rPr>
              <w:t>40%</w:t>
            </w:r>
          </w:p>
        </w:tc>
        <w:tc>
          <w:tcPr>
            <w:tcW w:w="1514" w:type="dxa"/>
            <w:noWrap/>
            <w:vAlign w:val="center"/>
            <w:hideMark/>
          </w:tcPr>
          <w:p w:rsidRPr="005B2834" w:rsidR="000C1980" w:rsidP="001968DC" w:rsidRDefault="000C1980" w14:paraId="7F1527A5"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16,237 </w:t>
            </w:r>
          </w:p>
        </w:tc>
        <w:tc>
          <w:tcPr>
            <w:tcW w:w="1380" w:type="dxa"/>
            <w:noWrap/>
            <w:vAlign w:val="center"/>
            <w:hideMark/>
          </w:tcPr>
          <w:p w:rsidRPr="005B2834" w:rsidR="000C1980" w:rsidP="001968DC" w:rsidRDefault="000C1980" w14:paraId="699EEB83" w14:textId="77777777">
            <w:pPr>
              <w:ind w:left="360"/>
              <w:jc w:val="right"/>
              <w:rPr>
                <w:rFonts w:eastAsia="Times New Roman" w:cs="Calibri"/>
                <w:color w:val="000000"/>
                <w:sz w:val="24"/>
                <w:szCs w:val="24"/>
              </w:rPr>
            </w:pPr>
            <w:r w:rsidRPr="005B2834">
              <w:rPr>
                <w:rFonts w:eastAsia="Times New Roman" w:cs="Calibri"/>
                <w:color w:val="000000"/>
                <w:sz w:val="24"/>
                <w:szCs w:val="24"/>
              </w:rPr>
              <w:t>33%</w:t>
            </w:r>
          </w:p>
        </w:tc>
      </w:tr>
      <w:tr w:rsidRPr="005B2834" w:rsidR="000C1980" w:rsidTr="0075686D" w14:paraId="7216F418" w14:textId="77777777">
        <w:trPr>
          <w:trHeight w:val="267"/>
        </w:trPr>
        <w:tc>
          <w:tcPr>
            <w:tcW w:w="1480" w:type="dxa"/>
            <w:noWrap/>
            <w:vAlign w:val="center"/>
            <w:hideMark/>
          </w:tcPr>
          <w:p w:rsidRPr="005B2834" w:rsidR="000C1980" w:rsidP="001968DC" w:rsidRDefault="000C1980" w14:paraId="5FBEF0A1" w14:textId="77777777">
            <w:pPr>
              <w:ind w:left="360"/>
              <w:jc w:val="right"/>
              <w:rPr>
                <w:rFonts w:eastAsia="Times New Roman" w:cs="Calibri"/>
                <w:color w:val="000000"/>
                <w:sz w:val="24"/>
                <w:szCs w:val="24"/>
              </w:rPr>
            </w:pPr>
            <w:r w:rsidRPr="005B2834">
              <w:rPr>
                <w:rFonts w:eastAsia="Times New Roman" w:cs="Calibri"/>
                <w:color w:val="000000"/>
                <w:sz w:val="24"/>
                <w:szCs w:val="24"/>
              </w:rPr>
              <w:t>2023</w:t>
            </w:r>
          </w:p>
        </w:tc>
        <w:tc>
          <w:tcPr>
            <w:tcW w:w="1379" w:type="dxa"/>
            <w:noWrap/>
            <w:vAlign w:val="center"/>
            <w:hideMark/>
          </w:tcPr>
          <w:p w:rsidRPr="005B2834" w:rsidR="000C1980" w:rsidP="001968DC" w:rsidRDefault="000C1980" w14:paraId="3B223E8F"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55,600 </w:t>
            </w:r>
          </w:p>
        </w:tc>
        <w:tc>
          <w:tcPr>
            <w:tcW w:w="1260" w:type="dxa"/>
            <w:noWrap/>
            <w:vAlign w:val="center"/>
            <w:hideMark/>
          </w:tcPr>
          <w:p w:rsidRPr="005B2834" w:rsidR="000C1980" w:rsidP="001968DC" w:rsidRDefault="000C1980" w14:paraId="2BC6C745" w14:textId="77777777">
            <w:pPr>
              <w:ind w:left="360"/>
              <w:jc w:val="right"/>
              <w:rPr>
                <w:rFonts w:eastAsia="Times New Roman" w:cs="Calibri"/>
                <w:color w:val="000000"/>
                <w:sz w:val="24"/>
                <w:szCs w:val="24"/>
              </w:rPr>
            </w:pPr>
            <w:r w:rsidRPr="005B2834">
              <w:rPr>
                <w:rFonts w:eastAsia="Times New Roman" w:cs="Calibri"/>
                <w:color w:val="000000"/>
                <w:sz w:val="24"/>
                <w:szCs w:val="24"/>
              </w:rPr>
              <w:t>34%</w:t>
            </w:r>
          </w:p>
        </w:tc>
        <w:tc>
          <w:tcPr>
            <w:tcW w:w="1460" w:type="dxa"/>
            <w:noWrap/>
            <w:vAlign w:val="center"/>
            <w:hideMark/>
          </w:tcPr>
          <w:p w:rsidRPr="005B2834" w:rsidR="000C1980" w:rsidP="001968DC" w:rsidRDefault="000C1980" w14:paraId="03D77B4F"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108,249 </w:t>
            </w:r>
          </w:p>
        </w:tc>
        <w:tc>
          <w:tcPr>
            <w:tcW w:w="1332" w:type="dxa"/>
            <w:noWrap/>
            <w:vAlign w:val="center"/>
            <w:hideMark/>
          </w:tcPr>
          <w:p w:rsidRPr="005B2834" w:rsidR="000C1980" w:rsidP="001968DC" w:rsidRDefault="000C1980" w14:paraId="7CA245FC" w14:textId="77777777">
            <w:pPr>
              <w:ind w:left="360"/>
              <w:jc w:val="right"/>
              <w:rPr>
                <w:rFonts w:eastAsia="Times New Roman" w:cs="Calibri"/>
                <w:color w:val="000000"/>
                <w:sz w:val="24"/>
                <w:szCs w:val="24"/>
              </w:rPr>
            </w:pPr>
            <w:r w:rsidRPr="005B2834">
              <w:rPr>
                <w:rFonts w:eastAsia="Times New Roman" w:cs="Calibri"/>
                <w:color w:val="000000"/>
                <w:sz w:val="24"/>
                <w:szCs w:val="24"/>
              </w:rPr>
              <w:t>50%</w:t>
            </w:r>
          </w:p>
        </w:tc>
        <w:tc>
          <w:tcPr>
            <w:tcW w:w="1514" w:type="dxa"/>
            <w:noWrap/>
            <w:vAlign w:val="center"/>
            <w:hideMark/>
          </w:tcPr>
          <w:p w:rsidRPr="005B2834" w:rsidR="000C1980" w:rsidP="001968DC" w:rsidRDefault="000C1980" w14:paraId="7863CEE7"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18,579 </w:t>
            </w:r>
          </w:p>
        </w:tc>
        <w:tc>
          <w:tcPr>
            <w:tcW w:w="1380" w:type="dxa"/>
            <w:noWrap/>
            <w:vAlign w:val="center"/>
            <w:hideMark/>
          </w:tcPr>
          <w:p w:rsidRPr="005B2834" w:rsidR="000C1980" w:rsidP="001968DC" w:rsidRDefault="000C1980" w14:paraId="28056596" w14:textId="77777777">
            <w:pPr>
              <w:ind w:left="360"/>
              <w:jc w:val="right"/>
              <w:rPr>
                <w:rFonts w:eastAsia="Times New Roman" w:cs="Calibri"/>
                <w:color w:val="000000"/>
                <w:sz w:val="24"/>
                <w:szCs w:val="24"/>
              </w:rPr>
            </w:pPr>
            <w:r w:rsidRPr="005B2834">
              <w:rPr>
                <w:rFonts w:eastAsia="Times New Roman" w:cs="Calibri"/>
                <w:color w:val="000000"/>
                <w:sz w:val="24"/>
                <w:szCs w:val="24"/>
              </w:rPr>
              <w:t>37%</w:t>
            </w:r>
          </w:p>
        </w:tc>
      </w:tr>
      <w:tr w:rsidRPr="005B2834" w:rsidR="000C1980" w:rsidTr="0075686D" w14:paraId="2F748B9A" w14:textId="77777777">
        <w:trPr>
          <w:trHeight w:val="267"/>
        </w:trPr>
        <w:tc>
          <w:tcPr>
            <w:tcW w:w="1480" w:type="dxa"/>
            <w:noWrap/>
            <w:vAlign w:val="center"/>
            <w:hideMark/>
          </w:tcPr>
          <w:p w:rsidRPr="005B2834" w:rsidR="000C1980" w:rsidP="001968DC" w:rsidRDefault="000C1980" w14:paraId="759F3D4B" w14:textId="77777777">
            <w:pPr>
              <w:ind w:left="360"/>
              <w:jc w:val="right"/>
              <w:rPr>
                <w:rFonts w:eastAsia="Times New Roman" w:cs="Calibri"/>
                <w:color w:val="000000"/>
                <w:sz w:val="24"/>
                <w:szCs w:val="24"/>
              </w:rPr>
            </w:pPr>
            <w:r w:rsidRPr="005B2834">
              <w:rPr>
                <w:rFonts w:eastAsia="Times New Roman" w:cs="Calibri"/>
                <w:color w:val="000000"/>
                <w:sz w:val="24"/>
                <w:szCs w:val="24"/>
              </w:rPr>
              <w:lastRenderedPageBreak/>
              <w:t>2024</w:t>
            </w:r>
          </w:p>
        </w:tc>
        <w:tc>
          <w:tcPr>
            <w:tcW w:w="1379" w:type="dxa"/>
            <w:noWrap/>
            <w:vAlign w:val="center"/>
            <w:hideMark/>
          </w:tcPr>
          <w:p w:rsidRPr="005B2834" w:rsidR="000C1980" w:rsidP="001968DC" w:rsidRDefault="000C1980" w14:paraId="78FF5AC2"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64,600 </w:t>
            </w:r>
          </w:p>
        </w:tc>
        <w:tc>
          <w:tcPr>
            <w:tcW w:w="1260" w:type="dxa"/>
            <w:noWrap/>
            <w:vAlign w:val="center"/>
            <w:hideMark/>
          </w:tcPr>
          <w:p w:rsidRPr="005B2834" w:rsidR="000C1980" w:rsidP="001968DC" w:rsidRDefault="000C1980" w14:paraId="7749AFB2" w14:textId="77777777">
            <w:pPr>
              <w:ind w:left="360"/>
              <w:jc w:val="right"/>
              <w:rPr>
                <w:rFonts w:eastAsia="Times New Roman" w:cs="Calibri"/>
                <w:color w:val="000000"/>
                <w:sz w:val="24"/>
                <w:szCs w:val="24"/>
              </w:rPr>
            </w:pPr>
            <w:r w:rsidRPr="005B2834">
              <w:rPr>
                <w:rFonts w:eastAsia="Times New Roman" w:cs="Calibri"/>
                <w:color w:val="000000"/>
                <w:sz w:val="24"/>
                <w:szCs w:val="24"/>
              </w:rPr>
              <w:t>39%</w:t>
            </w:r>
          </w:p>
        </w:tc>
        <w:tc>
          <w:tcPr>
            <w:tcW w:w="1460" w:type="dxa"/>
            <w:noWrap/>
            <w:vAlign w:val="center"/>
            <w:hideMark/>
          </w:tcPr>
          <w:p w:rsidRPr="005B2834" w:rsidR="000C1980" w:rsidP="001968DC" w:rsidRDefault="000C1980" w14:paraId="60E63D2B"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129,898 </w:t>
            </w:r>
          </w:p>
        </w:tc>
        <w:tc>
          <w:tcPr>
            <w:tcW w:w="1332" w:type="dxa"/>
            <w:noWrap/>
            <w:vAlign w:val="center"/>
            <w:hideMark/>
          </w:tcPr>
          <w:p w:rsidRPr="005B2834" w:rsidR="000C1980" w:rsidP="001968DC" w:rsidRDefault="000C1980" w14:paraId="7BC57E0C" w14:textId="77777777">
            <w:pPr>
              <w:ind w:left="360"/>
              <w:jc w:val="right"/>
              <w:rPr>
                <w:rFonts w:eastAsia="Times New Roman" w:cs="Calibri"/>
                <w:color w:val="000000"/>
                <w:sz w:val="24"/>
                <w:szCs w:val="24"/>
              </w:rPr>
            </w:pPr>
            <w:r w:rsidRPr="005B2834">
              <w:rPr>
                <w:rFonts w:eastAsia="Times New Roman" w:cs="Calibri"/>
                <w:color w:val="000000"/>
                <w:sz w:val="24"/>
                <w:szCs w:val="24"/>
              </w:rPr>
              <w:t>60%</w:t>
            </w:r>
          </w:p>
        </w:tc>
        <w:tc>
          <w:tcPr>
            <w:tcW w:w="1514" w:type="dxa"/>
            <w:noWrap/>
            <w:vAlign w:val="center"/>
            <w:hideMark/>
          </w:tcPr>
          <w:p w:rsidRPr="005B2834" w:rsidR="000C1980" w:rsidP="001968DC" w:rsidRDefault="000C1980" w14:paraId="628193FC"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20,921 </w:t>
            </w:r>
          </w:p>
        </w:tc>
        <w:tc>
          <w:tcPr>
            <w:tcW w:w="1380" w:type="dxa"/>
            <w:noWrap/>
            <w:vAlign w:val="center"/>
            <w:hideMark/>
          </w:tcPr>
          <w:p w:rsidRPr="005B2834" w:rsidR="000C1980" w:rsidP="001968DC" w:rsidRDefault="000C1980" w14:paraId="20170DAE" w14:textId="77777777">
            <w:pPr>
              <w:ind w:left="360"/>
              <w:jc w:val="right"/>
              <w:rPr>
                <w:rFonts w:eastAsia="Times New Roman" w:cs="Calibri"/>
                <w:color w:val="000000"/>
                <w:sz w:val="24"/>
                <w:szCs w:val="24"/>
              </w:rPr>
            </w:pPr>
            <w:r w:rsidRPr="005B2834">
              <w:rPr>
                <w:rFonts w:eastAsia="Times New Roman" w:cs="Calibri"/>
                <w:color w:val="000000"/>
                <w:sz w:val="24"/>
                <w:szCs w:val="24"/>
              </w:rPr>
              <w:t>42%</w:t>
            </w:r>
          </w:p>
        </w:tc>
      </w:tr>
      <w:tr w:rsidRPr="005B2834" w:rsidR="000C1980" w:rsidTr="0075686D" w14:paraId="67EE4C0A" w14:textId="77777777">
        <w:trPr>
          <w:trHeight w:val="267"/>
        </w:trPr>
        <w:tc>
          <w:tcPr>
            <w:tcW w:w="1480" w:type="dxa"/>
            <w:noWrap/>
            <w:vAlign w:val="center"/>
            <w:hideMark/>
          </w:tcPr>
          <w:p w:rsidRPr="005B2834" w:rsidR="000C1980" w:rsidP="001968DC" w:rsidRDefault="000C1980" w14:paraId="251C600C" w14:textId="77777777">
            <w:pPr>
              <w:ind w:left="360"/>
              <w:jc w:val="right"/>
              <w:rPr>
                <w:rFonts w:eastAsia="Times New Roman" w:cs="Calibri"/>
                <w:color w:val="000000"/>
                <w:sz w:val="24"/>
                <w:szCs w:val="24"/>
              </w:rPr>
            </w:pPr>
            <w:r w:rsidRPr="005B2834">
              <w:rPr>
                <w:rFonts w:eastAsia="Times New Roman" w:cs="Calibri"/>
                <w:color w:val="000000"/>
                <w:sz w:val="24"/>
                <w:szCs w:val="24"/>
              </w:rPr>
              <w:t>2025</w:t>
            </w:r>
          </w:p>
        </w:tc>
        <w:tc>
          <w:tcPr>
            <w:tcW w:w="1379" w:type="dxa"/>
            <w:noWrap/>
            <w:vAlign w:val="center"/>
            <w:hideMark/>
          </w:tcPr>
          <w:p w:rsidRPr="005B2834" w:rsidR="000C1980" w:rsidP="001968DC" w:rsidRDefault="000C1980" w14:paraId="4C9D82AD"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73,600 </w:t>
            </w:r>
          </w:p>
        </w:tc>
        <w:tc>
          <w:tcPr>
            <w:tcW w:w="1260" w:type="dxa"/>
            <w:noWrap/>
            <w:vAlign w:val="center"/>
            <w:hideMark/>
          </w:tcPr>
          <w:p w:rsidRPr="005B2834" w:rsidR="000C1980" w:rsidP="001968DC" w:rsidRDefault="000C1980" w14:paraId="51AB0A47" w14:textId="77777777">
            <w:pPr>
              <w:ind w:left="360"/>
              <w:jc w:val="right"/>
              <w:rPr>
                <w:rFonts w:eastAsia="Times New Roman" w:cs="Calibri"/>
                <w:color w:val="000000"/>
                <w:sz w:val="24"/>
                <w:szCs w:val="24"/>
              </w:rPr>
            </w:pPr>
            <w:r w:rsidRPr="005B2834">
              <w:rPr>
                <w:rFonts w:eastAsia="Times New Roman" w:cs="Calibri"/>
                <w:color w:val="000000"/>
                <w:sz w:val="24"/>
                <w:szCs w:val="24"/>
              </w:rPr>
              <w:t>45%</w:t>
            </w:r>
          </w:p>
        </w:tc>
        <w:tc>
          <w:tcPr>
            <w:tcW w:w="1460" w:type="dxa"/>
            <w:noWrap/>
            <w:vAlign w:val="center"/>
            <w:hideMark/>
          </w:tcPr>
          <w:p w:rsidRPr="005B2834" w:rsidR="000C1980" w:rsidP="001968DC" w:rsidRDefault="000C1980" w14:paraId="29B6210F"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140,723 </w:t>
            </w:r>
          </w:p>
        </w:tc>
        <w:tc>
          <w:tcPr>
            <w:tcW w:w="1332" w:type="dxa"/>
            <w:noWrap/>
            <w:vAlign w:val="center"/>
            <w:hideMark/>
          </w:tcPr>
          <w:p w:rsidRPr="005B2834" w:rsidR="000C1980" w:rsidP="001968DC" w:rsidRDefault="000C1980" w14:paraId="4B1EF911" w14:textId="77777777">
            <w:pPr>
              <w:ind w:left="360"/>
              <w:jc w:val="right"/>
              <w:rPr>
                <w:rFonts w:eastAsia="Times New Roman" w:cs="Calibri"/>
                <w:color w:val="000000"/>
                <w:sz w:val="24"/>
                <w:szCs w:val="24"/>
              </w:rPr>
            </w:pPr>
            <w:r w:rsidRPr="005B2834">
              <w:rPr>
                <w:rFonts w:eastAsia="Times New Roman" w:cs="Calibri"/>
                <w:color w:val="000000"/>
                <w:sz w:val="24"/>
                <w:szCs w:val="24"/>
              </w:rPr>
              <w:t>65%</w:t>
            </w:r>
          </w:p>
        </w:tc>
        <w:tc>
          <w:tcPr>
            <w:tcW w:w="1514" w:type="dxa"/>
            <w:noWrap/>
            <w:vAlign w:val="center"/>
            <w:hideMark/>
          </w:tcPr>
          <w:p w:rsidRPr="005B2834" w:rsidR="000C1980" w:rsidP="001968DC" w:rsidRDefault="000C1980" w14:paraId="7E45D8FD"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23,263 </w:t>
            </w:r>
          </w:p>
        </w:tc>
        <w:tc>
          <w:tcPr>
            <w:tcW w:w="1380" w:type="dxa"/>
            <w:noWrap/>
            <w:vAlign w:val="center"/>
            <w:hideMark/>
          </w:tcPr>
          <w:p w:rsidRPr="005B2834" w:rsidR="000C1980" w:rsidP="001968DC" w:rsidRDefault="000C1980" w14:paraId="58A25D9E" w14:textId="77777777">
            <w:pPr>
              <w:ind w:left="360"/>
              <w:jc w:val="right"/>
              <w:rPr>
                <w:rFonts w:eastAsia="Times New Roman" w:cs="Calibri"/>
                <w:color w:val="000000"/>
                <w:sz w:val="24"/>
                <w:szCs w:val="24"/>
              </w:rPr>
            </w:pPr>
            <w:r w:rsidRPr="005B2834">
              <w:rPr>
                <w:rFonts w:eastAsia="Times New Roman" w:cs="Calibri"/>
                <w:color w:val="000000"/>
                <w:sz w:val="24"/>
                <w:szCs w:val="24"/>
              </w:rPr>
              <w:t>46%</w:t>
            </w:r>
          </w:p>
        </w:tc>
      </w:tr>
      <w:tr w:rsidRPr="005B2834" w:rsidR="000C1980" w:rsidTr="0075686D" w14:paraId="52816E1C" w14:textId="77777777">
        <w:trPr>
          <w:trHeight w:val="267"/>
        </w:trPr>
        <w:tc>
          <w:tcPr>
            <w:tcW w:w="1480" w:type="dxa"/>
            <w:noWrap/>
            <w:vAlign w:val="center"/>
            <w:hideMark/>
          </w:tcPr>
          <w:p w:rsidRPr="005B2834" w:rsidR="000C1980" w:rsidP="001968DC" w:rsidRDefault="000C1980" w14:paraId="3BE80D13" w14:textId="77777777">
            <w:pPr>
              <w:ind w:left="360"/>
              <w:jc w:val="right"/>
              <w:rPr>
                <w:rFonts w:eastAsia="Times New Roman" w:cs="Calibri"/>
                <w:color w:val="000000"/>
                <w:sz w:val="24"/>
                <w:szCs w:val="24"/>
              </w:rPr>
            </w:pPr>
            <w:r w:rsidRPr="005B2834">
              <w:rPr>
                <w:rFonts w:eastAsia="Times New Roman" w:cs="Calibri"/>
                <w:color w:val="000000"/>
                <w:sz w:val="24"/>
                <w:szCs w:val="24"/>
              </w:rPr>
              <w:t>2026</w:t>
            </w:r>
          </w:p>
        </w:tc>
        <w:tc>
          <w:tcPr>
            <w:tcW w:w="1379" w:type="dxa"/>
            <w:noWrap/>
            <w:vAlign w:val="center"/>
            <w:hideMark/>
          </w:tcPr>
          <w:p w:rsidRPr="005B2834" w:rsidR="000C1980" w:rsidP="001968DC" w:rsidRDefault="000C1980" w14:paraId="504A6BE4"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82,600 </w:t>
            </w:r>
          </w:p>
        </w:tc>
        <w:tc>
          <w:tcPr>
            <w:tcW w:w="1260" w:type="dxa"/>
            <w:noWrap/>
            <w:vAlign w:val="center"/>
            <w:hideMark/>
          </w:tcPr>
          <w:p w:rsidRPr="005B2834" w:rsidR="000C1980" w:rsidP="001968DC" w:rsidRDefault="000C1980" w14:paraId="5219E970" w14:textId="77777777">
            <w:pPr>
              <w:ind w:left="360"/>
              <w:jc w:val="right"/>
              <w:rPr>
                <w:rFonts w:eastAsia="Times New Roman" w:cs="Calibri"/>
                <w:color w:val="000000"/>
                <w:sz w:val="24"/>
                <w:szCs w:val="24"/>
              </w:rPr>
            </w:pPr>
            <w:r w:rsidRPr="005B2834">
              <w:rPr>
                <w:rFonts w:eastAsia="Times New Roman" w:cs="Calibri"/>
                <w:color w:val="000000"/>
                <w:sz w:val="24"/>
                <w:szCs w:val="24"/>
              </w:rPr>
              <w:t>50%</w:t>
            </w:r>
          </w:p>
        </w:tc>
        <w:tc>
          <w:tcPr>
            <w:tcW w:w="1460" w:type="dxa"/>
            <w:noWrap/>
            <w:vAlign w:val="center"/>
            <w:hideMark/>
          </w:tcPr>
          <w:p w:rsidRPr="005B2834" w:rsidR="000C1980" w:rsidP="001968DC" w:rsidRDefault="000C1980" w14:paraId="471D3ED6"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151,548 </w:t>
            </w:r>
          </w:p>
        </w:tc>
        <w:tc>
          <w:tcPr>
            <w:tcW w:w="1332" w:type="dxa"/>
            <w:noWrap/>
            <w:vAlign w:val="center"/>
            <w:hideMark/>
          </w:tcPr>
          <w:p w:rsidRPr="005B2834" w:rsidR="000C1980" w:rsidP="001968DC" w:rsidRDefault="000C1980" w14:paraId="480066B7" w14:textId="77777777">
            <w:pPr>
              <w:ind w:left="360"/>
              <w:jc w:val="right"/>
              <w:rPr>
                <w:rFonts w:eastAsia="Times New Roman" w:cs="Calibri"/>
                <w:color w:val="000000"/>
                <w:sz w:val="24"/>
                <w:szCs w:val="24"/>
              </w:rPr>
            </w:pPr>
            <w:r w:rsidRPr="005B2834">
              <w:rPr>
                <w:rFonts w:eastAsia="Times New Roman" w:cs="Calibri"/>
                <w:color w:val="000000"/>
                <w:sz w:val="24"/>
                <w:szCs w:val="24"/>
              </w:rPr>
              <w:t>70%</w:t>
            </w:r>
          </w:p>
        </w:tc>
        <w:tc>
          <w:tcPr>
            <w:tcW w:w="1514" w:type="dxa"/>
            <w:noWrap/>
            <w:vAlign w:val="center"/>
            <w:hideMark/>
          </w:tcPr>
          <w:p w:rsidRPr="005B2834" w:rsidR="000C1980" w:rsidP="001968DC" w:rsidRDefault="000C1980" w14:paraId="5271658D" w14:textId="77777777">
            <w:pPr>
              <w:ind w:left="360"/>
              <w:jc w:val="right"/>
              <w:rPr>
                <w:rFonts w:eastAsia="Times New Roman" w:cs="Calibri"/>
                <w:color w:val="000000"/>
                <w:sz w:val="24"/>
                <w:szCs w:val="24"/>
              </w:rPr>
            </w:pPr>
            <w:r w:rsidRPr="005B2834">
              <w:rPr>
                <w:rFonts w:eastAsia="Times New Roman" w:cs="Calibri"/>
                <w:color w:val="000000"/>
                <w:sz w:val="24"/>
                <w:szCs w:val="24"/>
              </w:rPr>
              <w:t xml:space="preserve">           25,602 </w:t>
            </w:r>
          </w:p>
        </w:tc>
        <w:tc>
          <w:tcPr>
            <w:tcW w:w="1380" w:type="dxa"/>
            <w:noWrap/>
            <w:vAlign w:val="center"/>
            <w:hideMark/>
          </w:tcPr>
          <w:p w:rsidRPr="005B2834" w:rsidR="000C1980" w:rsidP="001968DC" w:rsidRDefault="000C1980" w14:paraId="6351C1B7" w14:textId="77777777">
            <w:pPr>
              <w:ind w:left="360"/>
              <w:jc w:val="right"/>
              <w:rPr>
                <w:rFonts w:eastAsia="Times New Roman" w:cs="Calibri"/>
                <w:color w:val="000000"/>
                <w:sz w:val="24"/>
                <w:szCs w:val="24"/>
              </w:rPr>
            </w:pPr>
            <w:r w:rsidRPr="005B2834">
              <w:rPr>
                <w:rFonts w:eastAsia="Times New Roman" w:cs="Calibri"/>
                <w:color w:val="000000"/>
                <w:sz w:val="24"/>
                <w:szCs w:val="24"/>
              </w:rPr>
              <w:t>50%</w:t>
            </w:r>
          </w:p>
        </w:tc>
      </w:tr>
    </w:tbl>
    <w:p w:rsidRPr="001F6BDD" w:rsidR="000C1980" w:rsidP="0023091F" w:rsidRDefault="000C1980" w14:paraId="4A69FFD6" w14:textId="77777777">
      <w:pPr>
        <w:pStyle w:val="ALJBodyText"/>
      </w:pPr>
    </w:p>
    <w:p w:rsidR="000C1980" w:rsidP="001968DC" w:rsidRDefault="000C1980" w14:paraId="5F88A283" w14:textId="38F9D816">
      <w:pPr>
        <w:pStyle w:val="Heading3"/>
        <w:ind w:left="2664"/>
      </w:pPr>
      <w:bookmarkStart w:name="_Toc69947842" w:id="159"/>
      <w:r>
        <w:t>PG&amp;E</w:t>
      </w:r>
      <w:r w:rsidR="004F4EDC">
        <w:t xml:space="preserve"> Proposal</w:t>
      </w:r>
      <w:bookmarkEnd w:id="159"/>
    </w:p>
    <w:p w:rsidR="000C1980" w:rsidP="00402362" w:rsidRDefault="000C1980" w14:paraId="17CF5967" w14:textId="77777777">
      <w:pPr>
        <w:pStyle w:val="Standard"/>
      </w:pPr>
      <w:r w:rsidRPr="006E22E7">
        <w:rPr>
          <w:b/>
          <w:bCs/>
          <w:i/>
          <w:iCs/>
          <w:u w:val="single"/>
        </w:rPr>
        <w:t>50 percent</w:t>
      </w:r>
      <w:r w:rsidRPr="00543092">
        <w:rPr>
          <w:b/>
          <w:bCs/>
          <w:i/>
          <w:iCs/>
          <w:u w:val="single"/>
        </w:rPr>
        <w:t xml:space="preserve"> </w:t>
      </w:r>
      <w:r>
        <w:rPr>
          <w:b/>
          <w:bCs/>
          <w:i/>
          <w:iCs/>
          <w:u w:val="single"/>
        </w:rPr>
        <w:t>Enrollment Goal by 2026</w:t>
      </w:r>
      <w:r w:rsidRPr="00543092">
        <w:rPr>
          <w:b/>
          <w:bCs/>
          <w:i/>
          <w:iCs/>
          <w:u w:val="single"/>
        </w:rPr>
        <w:t>:</w:t>
      </w:r>
      <w:r>
        <w:t xml:space="preserve"> </w:t>
      </w:r>
      <w:r w:rsidRPr="00DA6A90">
        <w:t>PG&amp;E states that it will be difficult to achieve a 50</w:t>
      </w:r>
      <w:r>
        <w:t xml:space="preserve"> percent</w:t>
      </w:r>
      <w:r w:rsidRPr="00DA6A90">
        <w:t xml:space="preserve"> </w:t>
      </w:r>
      <w:r>
        <w:t xml:space="preserve">enrollment </w:t>
      </w:r>
      <w:r w:rsidRPr="00DA6A90">
        <w:t>rate by 2023</w:t>
      </w:r>
      <w:r>
        <w:t xml:space="preserve"> and </w:t>
      </w:r>
      <w:r w:rsidRPr="00DA6A90">
        <w:t>expect</w:t>
      </w:r>
      <w:r>
        <w:t>s</w:t>
      </w:r>
      <w:r w:rsidRPr="00DA6A90">
        <w:t xml:space="preserve"> to </w:t>
      </w:r>
      <w:r>
        <w:t>achieve</w:t>
      </w:r>
      <w:r w:rsidRPr="00DA6A90">
        <w:t xml:space="preserve"> 50</w:t>
      </w:r>
      <w:r>
        <w:t xml:space="preserve"> percent</w:t>
      </w:r>
      <w:r w:rsidRPr="00DA6A90">
        <w:t xml:space="preserve"> FERA </w:t>
      </w:r>
      <w:r>
        <w:t xml:space="preserve">enrollment </w:t>
      </w:r>
      <w:r w:rsidRPr="00DA6A90">
        <w:t>by 2026</w:t>
      </w:r>
      <w:r>
        <w:t xml:space="preserve">.  As of the filing date of their application, PG&amp;E’s FERA </w:t>
      </w:r>
      <w:r w:rsidRPr="00DA6A90">
        <w:t xml:space="preserve">participation rate </w:t>
      </w:r>
      <w:r>
        <w:t>was</w:t>
      </w:r>
      <w:r w:rsidRPr="00DA6A90">
        <w:t xml:space="preserve"> 13</w:t>
      </w:r>
      <w:r>
        <w:t xml:space="preserve"> percent</w:t>
      </w:r>
      <w:r w:rsidRPr="00DA6A90">
        <w:t xml:space="preserve"> or just over 21,000 customers</w:t>
      </w:r>
      <w:r>
        <w:t xml:space="preserve">. </w:t>
      </w:r>
    </w:p>
    <w:p w:rsidRPr="00376987" w:rsidR="000C1980" w:rsidP="00402362" w:rsidRDefault="000C1980" w14:paraId="08A587C8" w14:textId="77777777">
      <w:pPr>
        <w:pStyle w:val="Standard"/>
        <w:rPr>
          <w:rFonts w:eastAsia="Times New Roman"/>
          <w:b/>
          <w:bCs/>
          <w:szCs w:val="26"/>
        </w:rPr>
      </w:pPr>
      <w:r w:rsidRPr="009656BC">
        <w:rPr>
          <w:rFonts w:eastAsia="Times New Roman"/>
          <w:b/>
          <w:bCs/>
          <w:i/>
          <w:iCs/>
          <w:szCs w:val="26"/>
          <w:u w:val="single"/>
        </w:rPr>
        <w:t xml:space="preserve">Consolidating FERA with the </w:t>
      </w:r>
      <w:proofErr w:type="gramStart"/>
      <w:r w:rsidRPr="009656BC">
        <w:rPr>
          <w:rFonts w:eastAsia="Times New Roman"/>
          <w:b/>
          <w:bCs/>
          <w:i/>
          <w:iCs/>
          <w:szCs w:val="26"/>
          <w:u w:val="single"/>
        </w:rPr>
        <w:t>Low Income</w:t>
      </w:r>
      <w:proofErr w:type="gramEnd"/>
      <w:r w:rsidRPr="009656BC">
        <w:rPr>
          <w:rFonts w:eastAsia="Times New Roman"/>
          <w:b/>
          <w:bCs/>
          <w:i/>
          <w:iCs/>
          <w:szCs w:val="26"/>
          <w:u w:val="single"/>
        </w:rPr>
        <w:t xml:space="preserve"> Proceeding:</w:t>
      </w:r>
      <w:r>
        <w:t xml:space="preserve"> </w:t>
      </w:r>
      <w:r w:rsidRPr="00DA6A90">
        <w:t xml:space="preserve">PG&amp;E proposes to include the FERA program compliance target in its income qualified programs cycle application and remove it from its </w:t>
      </w:r>
      <w:r>
        <w:t>GRC</w:t>
      </w:r>
      <w:r w:rsidRPr="00DA6A90">
        <w:t>.</w:t>
      </w:r>
      <w:r w:rsidRPr="00DA6A90">
        <w:rPr>
          <w:vertAlign w:val="superscript"/>
        </w:rPr>
        <w:footnoteReference w:id="217"/>
      </w:r>
      <w:r w:rsidRPr="00DA6A90">
        <w:t xml:space="preserve">  </w:t>
      </w:r>
    </w:p>
    <w:p w:rsidR="000C1980" w:rsidP="001968DC" w:rsidRDefault="000C1980" w14:paraId="5156C272" w14:textId="04FDF0B4">
      <w:pPr>
        <w:pStyle w:val="Heading3"/>
        <w:ind w:left="2664"/>
      </w:pPr>
      <w:bookmarkStart w:name="_Toc69947843" w:id="160"/>
      <w:r>
        <w:t>SCE</w:t>
      </w:r>
      <w:r w:rsidRPr="004F4EDC" w:rsidR="004F4EDC">
        <w:t xml:space="preserve"> </w:t>
      </w:r>
      <w:r w:rsidR="004F4EDC">
        <w:t>Proposal</w:t>
      </w:r>
      <w:bookmarkEnd w:id="160"/>
    </w:p>
    <w:p w:rsidR="000C1980" w:rsidP="00402362" w:rsidRDefault="000C1980" w14:paraId="086E7180" w14:textId="0646CC56">
      <w:pPr>
        <w:pStyle w:val="Standard"/>
      </w:pPr>
      <w:r w:rsidRPr="00543092">
        <w:rPr>
          <w:b/>
          <w:bCs/>
          <w:i/>
          <w:iCs/>
          <w:u w:val="single"/>
        </w:rPr>
        <w:t>50</w:t>
      </w:r>
      <w:r w:rsidRPr="006E22E7">
        <w:rPr>
          <w:b/>
          <w:bCs/>
          <w:i/>
          <w:iCs/>
          <w:u w:val="single"/>
        </w:rPr>
        <w:t xml:space="preserve"> percent </w:t>
      </w:r>
      <w:r>
        <w:rPr>
          <w:b/>
          <w:bCs/>
          <w:i/>
          <w:iCs/>
          <w:u w:val="single"/>
        </w:rPr>
        <w:t>Enrollment Goal by 2023</w:t>
      </w:r>
      <w:r w:rsidRPr="00543092">
        <w:rPr>
          <w:b/>
          <w:bCs/>
          <w:i/>
          <w:iCs/>
          <w:u w:val="single"/>
        </w:rPr>
        <w:t>:</w:t>
      </w:r>
      <w:r>
        <w:t xml:space="preserve"> </w:t>
      </w:r>
      <w:r w:rsidRPr="00195C3E">
        <w:t xml:space="preserve">SCE </w:t>
      </w:r>
      <w:r>
        <w:t>aim</w:t>
      </w:r>
      <w:r w:rsidR="00E3430C">
        <w:t>s</w:t>
      </w:r>
      <w:r>
        <w:t xml:space="preserve"> to reach the </w:t>
      </w:r>
      <w:r w:rsidRPr="00195C3E">
        <w:t>50</w:t>
      </w:r>
      <w:r>
        <w:t xml:space="preserve"> percent </w:t>
      </w:r>
      <w:r w:rsidRPr="00195C3E">
        <w:t xml:space="preserve">enrollment </w:t>
      </w:r>
      <w:r>
        <w:t>target</w:t>
      </w:r>
      <w:r w:rsidRPr="00195C3E">
        <w:t xml:space="preserve"> </w:t>
      </w:r>
      <w:r>
        <w:t xml:space="preserve">and estimates that it will reach </w:t>
      </w:r>
      <w:r w:rsidR="00E3430C">
        <w:t>that</w:t>
      </w:r>
      <w:r>
        <w:t xml:space="preserve"> by 2023 and up to 70 </w:t>
      </w:r>
      <w:r w:rsidRPr="0026503D">
        <w:t>percent</w:t>
      </w:r>
      <w:r>
        <w:t xml:space="preserve"> by 2026</w:t>
      </w:r>
      <w:r w:rsidRPr="00851179">
        <w:t>.</w:t>
      </w:r>
      <w:r>
        <w:rPr>
          <w:rStyle w:val="FootnoteReference"/>
        </w:rPr>
        <w:footnoteReference w:id="218"/>
      </w:r>
      <w:r w:rsidRPr="00851179">
        <w:t xml:space="preserve">  </w:t>
      </w:r>
      <w:r>
        <w:t>SCE states that a b</w:t>
      </w:r>
      <w:r w:rsidRPr="00195C3E">
        <w:t xml:space="preserve">arrier unique to FERA </w:t>
      </w:r>
      <w:r>
        <w:t xml:space="preserve">is that because </w:t>
      </w:r>
      <w:r w:rsidRPr="00195C3E">
        <w:t xml:space="preserve">both CARE and FERA use the same enrollment form, SCE suspects that more customers </w:t>
      </w:r>
      <w:r>
        <w:t xml:space="preserve">will </w:t>
      </w:r>
      <w:r w:rsidRPr="00195C3E">
        <w:t>opt to enroll in CARE over FERA even when a customer may only qualify for FERA.</w:t>
      </w:r>
      <w:r w:rsidRPr="00195C3E">
        <w:rPr>
          <w:vertAlign w:val="superscript"/>
        </w:rPr>
        <w:footnoteReference w:id="219"/>
      </w:r>
      <w:r w:rsidRPr="00195C3E">
        <w:t xml:space="preserve"> </w:t>
      </w:r>
      <w:r>
        <w:t xml:space="preserve">SCE </w:t>
      </w:r>
      <w:r w:rsidRPr="007C211F">
        <w:t>estimates its current FERA enrollment rate to be approximately 10</w:t>
      </w:r>
      <w:r>
        <w:t xml:space="preserve"> percent as of the submission of these applications. </w:t>
      </w:r>
    </w:p>
    <w:p w:rsidR="000C1980" w:rsidP="001968DC" w:rsidRDefault="000C1980" w14:paraId="1004E610" w14:textId="54490472">
      <w:pPr>
        <w:pStyle w:val="Heading3"/>
        <w:ind w:left="2664"/>
      </w:pPr>
      <w:bookmarkStart w:name="_Toc69947844" w:id="161"/>
      <w:r>
        <w:lastRenderedPageBreak/>
        <w:t>SDG&amp;E</w:t>
      </w:r>
      <w:r w:rsidRPr="004F4EDC" w:rsidR="004F4EDC">
        <w:t xml:space="preserve"> </w:t>
      </w:r>
      <w:r w:rsidR="004F4EDC">
        <w:t>Proposal</w:t>
      </w:r>
      <w:bookmarkEnd w:id="161"/>
    </w:p>
    <w:p w:rsidRPr="0061097A" w:rsidR="000C1980" w:rsidP="00402362" w:rsidRDefault="000C1980" w14:paraId="26FAADE2" w14:textId="77777777">
      <w:pPr>
        <w:pStyle w:val="Standard"/>
      </w:pPr>
      <w:r w:rsidRPr="00543092">
        <w:rPr>
          <w:b/>
          <w:bCs/>
          <w:i/>
          <w:iCs/>
          <w:u w:val="single"/>
        </w:rPr>
        <w:t>50</w:t>
      </w:r>
      <w:r w:rsidRPr="006E22E7">
        <w:rPr>
          <w:b/>
          <w:bCs/>
          <w:i/>
          <w:iCs/>
          <w:u w:val="single"/>
        </w:rPr>
        <w:t xml:space="preserve"> percent</w:t>
      </w:r>
      <w:r w:rsidRPr="00543092">
        <w:rPr>
          <w:b/>
          <w:bCs/>
          <w:i/>
          <w:iCs/>
          <w:u w:val="single"/>
        </w:rPr>
        <w:t xml:space="preserve"> </w:t>
      </w:r>
      <w:r>
        <w:rPr>
          <w:b/>
          <w:bCs/>
          <w:i/>
          <w:iCs/>
          <w:u w:val="single"/>
        </w:rPr>
        <w:t>Enrollment Goal by 2026</w:t>
      </w:r>
      <w:r w:rsidRPr="00543092">
        <w:rPr>
          <w:b/>
          <w:bCs/>
          <w:i/>
          <w:iCs/>
          <w:u w:val="single"/>
        </w:rPr>
        <w:t>:</w:t>
      </w:r>
      <w:r>
        <w:t xml:space="preserve"> </w:t>
      </w:r>
      <w:r w:rsidRPr="00195C3E">
        <w:t xml:space="preserve">SDG&amp;E </w:t>
      </w:r>
      <w:r w:rsidRPr="00951D4D">
        <w:t>expect</w:t>
      </w:r>
      <w:r>
        <w:t>s</w:t>
      </w:r>
      <w:r w:rsidRPr="00951D4D">
        <w:t xml:space="preserve"> to </w:t>
      </w:r>
      <w:r>
        <w:t>reach the</w:t>
      </w:r>
      <w:r w:rsidRPr="00951D4D">
        <w:t xml:space="preserve"> 50</w:t>
      </w:r>
      <w:r>
        <w:t> percent</w:t>
      </w:r>
      <w:r w:rsidRPr="00951D4D">
        <w:t xml:space="preserve"> FERA </w:t>
      </w:r>
      <w:r>
        <w:t xml:space="preserve">enrollment rate </w:t>
      </w:r>
      <w:r w:rsidRPr="00951D4D">
        <w:t>by 2026</w:t>
      </w:r>
      <w:r w:rsidRPr="00195C3E">
        <w:t xml:space="preserve">. As of August 2019, there </w:t>
      </w:r>
      <w:r>
        <w:t>were</w:t>
      </w:r>
      <w:r w:rsidRPr="00195C3E">
        <w:t xml:space="preserve"> approximately 47,500 FERA-eligible customers in SDG&amp;E’s service territory, of which 20</w:t>
      </w:r>
      <w:r>
        <w:t xml:space="preserve"> percent</w:t>
      </w:r>
      <w:r w:rsidRPr="00195C3E">
        <w:t xml:space="preserve"> are currently enrolled.</w:t>
      </w:r>
      <w:r w:rsidRPr="00195C3E">
        <w:rPr>
          <w:vertAlign w:val="superscript"/>
        </w:rPr>
        <w:footnoteReference w:id="220"/>
      </w:r>
    </w:p>
    <w:p w:rsidR="000C1980" w:rsidP="001968DC" w:rsidRDefault="000C1980" w14:paraId="79ED882C" w14:textId="77777777">
      <w:pPr>
        <w:pStyle w:val="Heading3"/>
        <w:ind w:left="2664"/>
      </w:pPr>
      <w:bookmarkStart w:name="_Toc69947845" w:id="162"/>
      <w:r>
        <w:t>Party Positions</w:t>
      </w:r>
      <w:bookmarkEnd w:id="162"/>
    </w:p>
    <w:p w:rsidR="005160E3" w:rsidP="005160E3" w:rsidRDefault="005160E3" w14:paraId="67FAB183" w14:textId="3E1870A8">
      <w:pPr>
        <w:pStyle w:val="Heading4"/>
      </w:pPr>
      <w:bookmarkStart w:name="_Hlk54032279" w:id="163"/>
      <w:r w:rsidRPr="005160E3">
        <w:t xml:space="preserve"> </w:t>
      </w:r>
      <w:r>
        <w:t>TURN</w:t>
      </w:r>
    </w:p>
    <w:p w:rsidR="00B17006" w:rsidP="00402362" w:rsidRDefault="00B17006" w14:paraId="27312AFF" w14:textId="4AA6B8AB">
      <w:pPr>
        <w:pStyle w:val="Standard"/>
      </w:pPr>
      <w:r w:rsidRPr="00B17006">
        <w:rPr>
          <w:b/>
          <w:bCs/>
          <w:i/>
          <w:iCs/>
          <w:u w:val="single"/>
        </w:rPr>
        <w:t xml:space="preserve">Consolidating FERA with the </w:t>
      </w:r>
      <w:proofErr w:type="gramStart"/>
      <w:r w:rsidRPr="00B17006">
        <w:rPr>
          <w:b/>
          <w:bCs/>
          <w:i/>
          <w:iCs/>
          <w:u w:val="single"/>
        </w:rPr>
        <w:t>Low Income</w:t>
      </w:r>
      <w:proofErr w:type="gramEnd"/>
      <w:r w:rsidRPr="00B17006">
        <w:rPr>
          <w:b/>
          <w:bCs/>
          <w:i/>
          <w:iCs/>
          <w:u w:val="single"/>
        </w:rPr>
        <w:t xml:space="preserve"> Proceeding</w:t>
      </w:r>
      <w:r>
        <w:rPr>
          <w:b/>
          <w:bCs/>
          <w:i/>
          <w:iCs/>
          <w:u w:val="single"/>
        </w:rPr>
        <w:t>:</w:t>
      </w:r>
      <w:r w:rsidRPr="00CB0DE4">
        <w:t xml:space="preserve"> </w:t>
      </w:r>
      <w:r w:rsidR="00402362">
        <w:t xml:space="preserve"> </w:t>
      </w:r>
      <w:r w:rsidRPr="00CB0DE4" w:rsidR="00CB0DE4">
        <w:t>TURN supports moving consideration of FERA administration-related budgets and</w:t>
      </w:r>
      <w:r w:rsidR="00CB0DE4">
        <w:t xml:space="preserve"> </w:t>
      </w:r>
      <w:r w:rsidRPr="00CB0DE4" w:rsidR="00CB0DE4">
        <w:t>activities into the low-income proceeding</w:t>
      </w:r>
      <w:r w:rsidR="00CB0DE4">
        <w:t xml:space="preserve"> but does not </w:t>
      </w:r>
      <w:r w:rsidRPr="00CB0DE4" w:rsidR="00CB0DE4">
        <w:t>support considering FERA rate</w:t>
      </w:r>
      <w:r w:rsidR="00CB0DE4">
        <w:t xml:space="preserve"> </w:t>
      </w:r>
      <w:r w:rsidRPr="00CB0DE4" w:rsidR="00CB0DE4">
        <w:t>design and associated cost allocation issues within this proceeding, like the separation for</w:t>
      </w:r>
      <w:r w:rsidR="00CB0DE4">
        <w:t xml:space="preserve"> </w:t>
      </w:r>
      <w:r w:rsidRPr="00CB0DE4" w:rsidR="00CB0DE4">
        <w:t xml:space="preserve">the CARE program, where </w:t>
      </w:r>
      <w:r w:rsidR="00CB0DE4">
        <w:t>a</w:t>
      </w:r>
      <w:r w:rsidRPr="00CB0DE4" w:rsidR="00CB0DE4">
        <w:t>dministration-related costs and activities are addressed here, while</w:t>
      </w:r>
      <w:r w:rsidR="00CB0DE4">
        <w:t xml:space="preserve"> </w:t>
      </w:r>
      <w:r w:rsidRPr="00CB0DE4" w:rsidR="00CB0DE4">
        <w:t>rate design is not.</w:t>
      </w:r>
      <w:r w:rsidR="004D5BC1">
        <w:rPr>
          <w:rStyle w:val="FootnoteReference"/>
        </w:rPr>
        <w:footnoteReference w:id="221"/>
      </w:r>
      <w:r w:rsidRPr="00CB0DE4" w:rsidR="00CB0DE4">
        <w:t xml:space="preserve"> </w:t>
      </w:r>
      <w:r w:rsidR="00CB0DE4">
        <w:t xml:space="preserve"> </w:t>
      </w:r>
      <w:r w:rsidR="00E51B4F">
        <w:t>EEC</w:t>
      </w:r>
    </w:p>
    <w:p w:rsidR="00B17006" w:rsidP="004C2E01" w:rsidRDefault="00B17006" w14:paraId="18820E13" w14:textId="7EDDFEB6">
      <w:pPr>
        <w:pStyle w:val="Standard"/>
      </w:pPr>
      <w:r w:rsidRPr="00B17006">
        <w:rPr>
          <w:b/>
          <w:bCs/>
          <w:i/>
          <w:iCs/>
          <w:u w:val="single"/>
        </w:rPr>
        <w:t xml:space="preserve">Consolidating FERA with the </w:t>
      </w:r>
      <w:proofErr w:type="gramStart"/>
      <w:r w:rsidRPr="00B17006">
        <w:rPr>
          <w:b/>
          <w:bCs/>
          <w:i/>
          <w:iCs/>
          <w:u w:val="single"/>
        </w:rPr>
        <w:t>Low Income</w:t>
      </w:r>
      <w:proofErr w:type="gramEnd"/>
      <w:r w:rsidRPr="00B17006">
        <w:rPr>
          <w:b/>
          <w:bCs/>
          <w:i/>
          <w:iCs/>
          <w:u w:val="single"/>
        </w:rPr>
        <w:t xml:space="preserve"> Proceeding:</w:t>
      </w:r>
      <w:r>
        <w:t xml:space="preserve"> </w:t>
      </w:r>
      <w:r w:rsidR="00402362">
        <w:t xml:space="preserve"> </w:t>
      </w:r>
      <w:r w:rsidR="00DC474C">
        <w:t xml:space="preserve">EEC supports </w:t>
      </w:r>
      <w:r w:rsidRPr="00DC474C" w:rsidR="00DC474C">
        <w:t>including</w:t>
      </w:r>
      <w:r w:rsidR="00DC474C">
        <w:t xml:space="preserve"> </w:t>
      </w:r>
      <w:r w:rsidRPr="00DC474C" w:rsidR="00DC474C">
        <w:t>FERA as one of the low-income programs aligned with this proceeding</w:t>
      </w:r>
      <w:r w:rsidR="00DC474C">
        <w:t>.</w:t>
      </w:r>
      <w:r w:rsidR="00DC474C">
        <w:rPr>
          <w:rStyle w:val="FootnoteReference"/>
        </w:rPr>
        <w:footnoteReference w:id="222"/>
      </w:r>
    </w:p>
    <w:p w:rsidR="00B17006" w:rsidP="00E51B4F" w:rsidRDefault="00E51B4F" w14:paraId="2CBDCBF2" w14:textId="2D2F37EE">
      <w:pPr>
        <w:pStyle w:val="Heading4"/>
      </w:pPr>
      <w:r>
        <w:t>TELACU et al.</w:t>
      </w:r>
    </w:p>
    <w:p w:rsidRPr="00DC474C" w:rsidR="00DC474C" w:rsidP="004C2E01" w:rsidRDefault="00B17006" w14:paraId="7F72FC5A" w14:textId="71195F01">
      <w:pPr>
        <w:pStyle w:val="ALJBodyText"/>
      </w:pPr>
      <w:r w:rsidRPr="00B17006">
        <w:rPr>
          <w:b/>
          <w:bCs/>
          <w:i/>
          <w:iCs/>
          <w:u w:val="single"/>
        </w:rPr>
        <w:t xml:space="preserve">Consolidating FERA with the </w:t>
      </w:r>
      <w:proofErr w:type="gramStart"/>
      <w:r w:rsidRPr="00B17006">
        <w:rPr>
          <w:b/>
          <w:bCs/>
          <w:i/>
          <w:iCs/>
          <w:u w:val="single"/>
        </w:rPr>
        <w:t>Low Income</w:t>
      </w:r>
      <w:proofErr w:type="gramEnd"/>
      <w:r w:rsidRPr="00B17006">
        <w:rPr>
          <w:b/>
          <w:bCs/>
          <w:i/>
          <w:iCs/>
          <w:u w:val="single"/>
        </w:rPr>
        <w:t xml:space="preserve"> Proceeding:</w:t>
      </w:r>
      <w:r>
        <w:t xml:space="preserve"> </w:t>
      </w:r>
      <w:r w:rsidR="00DC474C">
        <w:t>TELACU et al.</w:t>
      </w:r>
      <w:r w:rsidRPr="00DC474C" w:rsidR="00DC474C">
        <w:t xml:space="preserve"> supports including FERA as one of the low-income programs aligned with this proceeding.</w:t>
      </w:r>
      <w:r w:rsidR="00302760">
        <w:rPr>
          <w:rStyle w:val="FootnoteReference"/>
        </w:rPr>
        <w:footnoteReference w:id="223"/>
      </w:r>
    </w:p>
    <w:p w:rsidRPr="00685E01" w:rsidR="000C1980" w:rsidP="001968DC" w:rsidRDefault="000C1980" w14:paraId="67FDE1F6" w14:textId="43A1897C">
      <w:pPr>
        <w:pStyle w:val="Heading3"/>
        <w:ind w:left="2664"/>
      </w:pPr>
      <w:bookmarkStart w:name="_Toc69947846" w:id="164"/>
      <w:bookmarkEnd w:id="163"/>
      <w:r w:rsidRPr="00685E01">
        <w:lastRenderedPageBreak/>
        <w:t>Discussion</w:t>
      </w:r>
      <w:bookmarkEnd w:id="164"/>
    </w:p>
    <w:p w:rsidRPr="004F5475" w:rsidR="000C1980" w:rsidP="001968DC" w:rsidRDefault="000C1980" w14:paraId="11D29075" w14:textId="77777777">
      <w:pPr>
        <w:pStyle w:val="Heading4"/>
        <w:ind w:left="3600"/>
      </w:pPr>
      <w:bookmarkStart w:name="_Toc69947847" w:id="165"/>
      <w:r w:rsidRPr="004F5475">
        <w:t xml:space="preserve">50 percent Enrollment Goal: </w:t>
      </w:r>
      <w:r w:rsidRPr="0090747A">
        <w:rPr>
          <w:u w:val="single"/>
        </w:rPr>
        <w:t>Denied for PG&amp;E and SDG&amp;E, Approved for SCE</w:t>
      </w:r>
      <w:bookmarkEnd w:id="165"/>
      <w:r w:rsidRPr="004F5475">
        <w:t xml:space="preserve"> </w:t>
      </w:r>
    </w:p>
    <w:p w:rsidRPr="002C4640" w:rsidR="000C1980" w:rsidP="00402362" w:rsidRDefault="000C1980" w14:paraId="55FC962B" w14:textId="7A695232">
      <w:pPr>
        <w:pStyle w:val="Standard"/>
      </w:pPr>
      <w:r>
        <w:t>We</w:t>
      </w:r>
      <w:r w:rsidRPr="002C4640">
        <w:t xml:space="preserve"> </w:t>
      </w:r>
      <w:r>
        <w:t>deny</w:t>
      </w:r>
      <w:r w:rsidRPr="002C4640">
        <w:t xml:space="preserve"> PG&amp;E and SDG&amp;</w:t>
      </w:r>
      <w:proofErr w:type="gramStart"/>
      <w:r w:rsidRPr="002C4640">
        <w:t>E’s</w:t>
      </w:r>
      <w:proofErr w:type="gramEnd"/>
      <w:r w:rsidRPr="002C4640">
        <w:t xml:space="preserve"> proposed FERA goals but approv</w:t>
      </w:r>
      <w:r>
        <w:t>e</w:t>
      </w:r>
      <w:r w:rsidRPr="002C4640">
        <w:t xml:space="preserve"> SCE’s FERA goals. </w:t>
      </w:r>
      <w:r>
        <w:t xml:space="preserve"> We </w:t>
      </w:r>
      <w:r w:rsidRPr="002C4640">
        <w:t>set an interim 50 percent</w:t>
      </w:r>
      <w:r>
        <w:t xml:space="preserve"> enrollment goal</w:t>
      </w:r>
      <w:r w:rsidRPr="002C4640">
        <w:t xml:space="preserve"> </w:t>
      </w:r>
      <w:r>
        <w:t>for the</w:t>
      </w:r>
      <w:r w:rsidRPr="002C4640">
        <w:t xml:space="preserve"> FERA </w:t>
      </w:r>
      <w:r>
        <w:t xml:space="preserve">program to be reached by </w:t>
      </w:r>
      <w:r w:rsidRPr="002C4640">
        <w:t>2023</w:t>
      </w:r>
      <w:r>
        <w:t xml:space="preserve"> for all the electric IOUs</w:t>
      </w:r>
      <w:r w:rsidRPr="002C4640">
        <w:t xml:space="preserve">, </w:t>
      </w:r>
      <w:r>
        <w:t xml:space="preserve">with the aim to reach </w:t>
      </w:r>
      <w:r w:rsidRPr="002C4640">
        <w:t xml:space="preserve">70 percent by 2026. </w:t>
      </w:r>
      <w:r>
        <w:t xml:space="preserve"> Enrollment </w:t>
      </w:r>
      <w:r w:rsidRPr="002C4640">
        <w:t xml:space="preserve">will be measured for each IOU </w:t>
      </w:r>
      <w:r>
        <w:t>as the</w:t>
      </w:r>
      <w:r w:rsidRPr="002C4640">
        <w:t xml:space="preserve"> ratio of enrolled FERA households to total eligible FERA households (as estimated by the yearly </w:t>
      </w:r>
      <w:r>
        <w:t>Annual CARE Eligibility Report</w:t>
      </w:r>
      <w:r w:rsidRPr="002C4640">
        <w:t>).</w:t>
      </w:r>
      <w:r w:rsidR="001B307D">
        <w:t xml:space="preserve"> </w:t>
      </w:r>
      <w:r w:rsidRPr="001B307D" w:rsidR="001B307D">
        <w:t xml:space="preserve">See </w:t>
      </w:r>
      <w:r w:rsidR="006C2A34">
        <w:t xml:space="preserve">Table 7 above and </w:t>
      </w:r>
      <w:r w:rsidRPr="001B307D" w:rsidR="001B307D">
        <w:t>Attachment 1 for approved FERA participation and enrollment goals by program year</w:t>
      </w:r>
      <w:r w:rsidR="001B307D">
        <w:t>.</w:t>
      </w:r>
    </w:p>
    <w:p w:rsidRPr="002C4640" w:rsidR="000C1980" w:rsidP="00402362" w:rsidRDefault="000C1980" w14:paraId="5619DC44" w14:textId="77777777">
      <w:pPr>
        <w:pStyle w:val="Standard"/>
      </w:pPr>
      <w:r>
        <w:t>We</w:t>
      </w:r>
      <w:r w:rsidRPr="002C4640">
        <w:t xml:space="preserve"> believe that </w:t>
      </w:r>
      <w:r>
        <w:t xml:space="preserve">a </w:t>
      </w:r>
      <w:r w:rsidRPr="002C4640">
        <w:t xml:space="preserve">50 percent </w:t>
      </w:r>
      <w:r>
        <w:t xml:space="preserve">enrollment goal </w:t>
      </w:r>
      <w:r w:rsidRPr="002C4640">
        <w:t xml:space="preserve">by 2023 and </w:t>
      </w:r>
      <w:r>
        <w:t xml:space="preserve">a </w:t>
      </w:r>
      <w:r w:rsidRPr="002C4640">
        <w:t xml:space="preserve">70 percent </w:t>
      </w:r>
      <w:r>
        <w:t xml:space="preserve">enrollment goal </w:t>
      </w:r>
      <w:r w:rsidRPr="002C4640">
        <w:t xml:space="preserve">by 2026 </w:t>
      </w:r>
      <w:r>
        <w:t xml:space="preserve">for FERA </w:t>
      </w:r>
      <w:r w:rsidRPr="002C4640">
        <w:t xml:space="preserve">is reasonable </w:t>
      </w:r>
      <w:r>
        <w:t>and achievable considering that the</w:t>
      </w:r>
      <w:r w:rsidRPr="002C4640">
        <w:t xml:space="preserve"> IOU</w:t>
      </w:r>
      <w:r>
        <w:t>s</w:t>
      </w:r>
      <w:r w:rsidRPr="002C4640">
        <w:t xml:space="preserve"> </w:t>
      </w:r>
      <w:r>
        <w:t xml:space="preserve">now have </w:t>
      </w:r>
      <w:r w:rsidRPr="002C4640">
        <w:t xml:space="preserve">dedicated outreach budgets and marketing strategies for the FERA-only program. </w:t>
      </w:r>
      <w:r>
        <w:t xml:space="preserve"> </w:t>
      </w:r>
      <w:r w:rsidRPr="002C4640">
        <w:t>PG&amp;E</w:t>
      </w:r>
      <w:r>
        <w:t xml:space="preserve"> reports in its </w:t>
      </w:r>
      <w:r w:rsidRPr="002C4640">
        <w:t xml:space="preserve">2019 FERA </w:t>
      </w:r>
      <w:r>
        <w:t>a</w:t>
      </w:r>
      <w:r w:rsidRPr="002C4640">
        <w:t xml:space="preserve">nnual </w:t>
      </w:r>
      <w:r>
        <w:t>r</w:t>
      </w:r>
      <w:r w:rsidRPr="002C4640">
        <w:t>eport that “with the launch of FERA targeted marketing campaigns in Q2, PG&amp;E saw the monthly new enrollment volume average increase 29</w:t>
      </w:r>
      <w:r w:rsidRPr="006E22E7">
        <w:t xml:space="preserve"> </w:t>
      </w:r>
      <w:r w:rsidRPr="0026503D">
        <w:t>percent</w:t>
      </w:r>
      <w:r w:rsidRPr="002C4640">
        <w:t xml:space="preserve"> for Q3 versus the monthly average during the first half of 2019.”</w:t>
      </w:r>
      <w:r w:rsidRPr="002C4640">
        <w:rPr>
          <w:vertAlign w:val="superscript"/>
        </w:rPr>
        <w:footnoteReference w:id="224"/>
      </w:r>
      <w:r w:rsidRPr="002C4640">
        <w:t xml:space="preserve"> </w:t>
      </w:r>
      <w:r>
        <w:t xml:space="preserve"> </w:t>
      </w:r>
      <w:r w:rsidRPr="002C4640">
        <w:t>SDG&amp;E</w:t>
      </w:r>
      <w:r>
        <w:t xml:space="preserve"> reports in its</w:t>
      </w:r>
      <w:r w:rsidRPr="002C4640">
        <w:t xml:space="preserve"> 2019 FERA </w:t>
      </w:r>
      <w:r>
        <w:t>a</w:t>
      </w:r>
      <w:r w:rsidRPr="002C4640">
        <w:t xml:space="preserve">nnual </w:t>
      </w:r>
      <w:r>
        <w:t>r</w:t>
      </w:r>
      <w:r w:rsidRPr="002C4640">
        <w:t>eport</w:t>
      </w:r>
      <w:r>
        <w:t xml:space="preserve"> that the </w:t>
      </w:r>
      <w:r w:rsidRPr="002C4640">
        <w:t>Live Call Campaign to enroll prospective FERA customers led to 4,219 FERA enrollments in 2019, which was about 40</w:t>
      </w:r>
      <w:r>
        <w:t xml:space="preserve"> percent</w:t>
      </w:r>
      <w:r w:rsidRPr="002C4640">
        <w:t xml:space="preserve"> of the total FERA enrolled households that year. SDG&amp;E </w:t>
      </w:r>
      <w:r>
        <w:t>also reports</w:t>
      </w:r>
      <w:r w:rsidRPr="002C4640">
        <w:t xml:space="preserve"> that FERA specific targeting market</w:t>
      </w:r>
      <w:r>
        <w:t>ing</w:t>
      </w:r>
      <w:r w:rsidRPr="002C4640">
        <w:t xml:space="preserve"> and outreach efforts like the Live Call Campaign allowed for this increase in enrollment.</w:t>
      </w:r>
      <w:r w:rsidRPr="002C4640">
        <w:rPr>
          <w:vertAlign w:val="superscript"/>
        </w:rPr>
        <w:footnoteReference w:id="225"/>
      </w:r>
      <w:r w:rsidRPr="002C4640">
        <w:t xml:space="preserve"> </w:t>
      </w:r>
      <w:r>
        <w:t xml:space="preserve"> </w:t>
      </w:r>
      <w:r w:rsidRPr="002C4640">
        <w:t xml:space="preserve">These examples from the IOU </w:t>
      </w:r>
      <w:r>
        <w:t>a</w:t>
      </w:r>
      <w:r w:rsidRPr="002C4640">
        <w:t xml:space="preserve">nnual </w:t>
      </w:r>
      <w:r>
        <w:t>r</w:t>
      </w:r>
      <w:r w:rsidRPr="002C4640">
        <w:t xml:space="preserve">eports demonstrate that targeted FERA marketing can have a large impact on enrollments. </w:t>
      </w:r>
      <w:r>
        <w:t xml:space="preserve"> </w:t>
      </w:r>
      <w:r w:rsidRPr="002C4640">
        <w:t xml:space="preserve">With the large increase in FERA dedicated marketing and outreach </w:t>
      </w:r>
      <w:r w:rsidRPr="002C4640">
        <w:lastRenderedPageBreak/>
        <w:t>budgets</w:t>
      </w:r>
      <w:r>
        <w:t xml:space="preserve"> approved in this decision</w:t>
      </w:r>
      <w:r w:rsidRPr="002C4640">
        <w:t xml:space="preserve">, </w:t>
      </w:r>
      <w:r>
        <w:t>combined with</w:t>
      </w:r>
      <w:r w:rsidRPr="002C4640">
        <w:t xml:space="preserve"> the detailed FERA-specific marketing strategies </w:t>
      </w:r>
      <w:r>
        <w:t xml:space="preserve">to be implemented by </w:t>
      </w:r>
      <w:r w:rsidRPr="002C4640">
        <w:t xml:space="preserve">each IOU, the Commission feels that these goals are achievable.  </w:t>
      </w:r>
    </w:p>
    <w:p w:rsidR="000C1980" w:rsidP="00402362" w:rsidRDefault="000C1980" w14:paraId="39240514" w14:textId="2E5112D3">
      <w:pPr>
        <w:pStyle w:val="Standard"/>
      </w:pPr>
      <w:r w:rsidRPr="002C4640">
        <w:t xml:space="preserve">Furthermore, these FERA goals align with </w:t>
      </w:r>
      <w:r>
        <w:t>past</w:t>
      </w:r>
      <w:r w:rsidRPr="002C4640">
        <w:t xml:space="preserve"> Commission decisions.</w:t>
      </w:r>
      <w:r>
        <w:t xml:space="preserve"> </w:t>
      </w:r>
      <w:r w:rsidRPr="002C4640">
        <w:t xml:space="preserve"> The target of </w:t>
      </w:r>
      <w:r>
        <w:t xml:space="preserve">a </w:t>
      </w:r>
      <w:r w:rsidRPr="002C4640">
        <w:t>50</w:t>
      </w:r>
      <w:r>
        <w:t xml:space="preserve"> percent</w:t>
      </w:r>
      <w:r w:rsidRPr="002C4640">
        <w:t xml:space="preserve"> FERA </w:t>
      </w:r>
      <w:r>
        <w:t xml:space="preserve">enrollment goal </w:t>
      </w:r>
      <w:r w:rsidRPr="002C4640">
        <w:t>by 2023 aligns with PG&amp;E and SCE’s 2018</w:t>
      </w:r>
      <w:r>
        <w:t xml:space="preserve"> </w:t>
      </w:r>
      <w:r w:rsidRPr="002C4640">
        <w:t xml:space="preserve">GRC </w:t>
      </w:r>
      <w:r>
        <w:t xml:space="preserve">Phase 2 </w:t>
      </w:r>
      <w:r w:rsidRPr="002C4640">
        <w:t>proceeding</w:t>
      </w:r>
      <w:r>
        <w:t>s</w:t>
      </w:r>
      <w:r w:rsidRPr="002C4640">
        <w:t xml:space="preserve"> that instructed these utilities to </w:t>
      </w:r>
      <w:r>
        <w:t>aim for</w:t>
      </w:r>
      <w:r w:rsidRPr="002C4640">
        <w:t xml:space="preserve"> 50</w:t>
      </w:r>
      <w:r>
        <w:t> percent</w:t>
      </w:r>
      <w:r w:rsidRPr="002C4640">
        <w:t xml:space="preserve"> FERA </w:t>
      </w:r>
      <w:r>
        <w:t xml:space="preserve">enrollment </w:t>
      </w:r>
      <w:r w:rsidRPr="002C4640">
        <w:t>by 2023.</w:t>
      </w:r>
      <w:r>
        <w:rPr>
          <w:rStyle w:val="FootnoteReference"/>
          <w:rFonts w:eastAsia="Times New Roman"/>
          <w:szCs w:val="26"/>
        </w:rPr>
        <w:footnoteReference w:id="226"/>
      </w:r>
      <w:r w:rsidRPr="009D13CA">
        <w:rPr>
          <w:vertAlign w:val="superscript"/>
        </w:rPr>
        <w:t>,</w:t>
      </w:r>
      <w:r>
        <w:rPr>
          <w:rStyle w:val="FootnoteReference"/>
          <w:rFonts w:eastAsia="Times New Roman"/>
          <w:szCs w:val="26"/>
        </w:rPr>
        <w:footnoteReference w:id="227"/>
      </w:r>
      <w:r w:rsidRPr="002C4640">
        <w:t xml:space="preserve"> </w:t>
      </w:r>
      <w:r>
        <w:t xml:space="preserve"> </w:t>
      </w:r>
      <w:r w:rsidRPr="002C4640">
        <w:t>As such, the IOUs have had several years to begin working toward</w:t>
      </w:r>
      <w:r>
        <w:t>s</w:t>
      </w:r>
      <w:r w:rsidRPr="002C4640">
        <w:t xml:space="preserve"> </w:t>
      </w:r>
      <w:r>
        <w:t>the</w:t>
      </w:r>
      <w:r w:rsidRPr="002C4640">
        <w:t xml:space="preserve"> </w:t>
      </w:r>
      <w:r>
        <w:t xml:space="preserve">2023 </w:t>
      </w:r>
      <w:r w:rsidRPr="002C4640">
        <w:t xml:space="preserve">goal previously established. Additionally, in those GRC decisions, the Commission made it clear that the goal for the FERA program is to have the same </w:t>
      </w:r>
      <w:r>
        <w:t xml:space="preserve">enrollment </w:t>
      </w:r>
      <w:r w:rsidRPr="002C4640">
        <w:t>rate (or subscription level) as CARE.</w:t>
      </w:r>
      <w:r w:rsidRPr="002C4640">
        <w:rPr>
          <w:vertAlign w:val="superscript"/>
        </w:rPr>
        <w:footnoteReference w:id="228"/>
      </w:r>
      <w:r>
        <w:t xml:space="preserve"> </w:t>
      </w:r>
      <w:r w:rsidRPr="002C4640">
        <w:t>While a 70</w:t>
      </w:r>
      <w:r>
        <w:t xml:space="preserve"> percent</w:t>
      </w:r>
      <w:r w:rsidRPr="002C4640">
        <w:t xml:space="preserve"> FERA </w:t>
      </w:r>
      <w:r>
        <w:t xml:space="preserve">enrollment goal </w:t>
      </w:r>
      <w:r w:rsidRPr="002C4640">
        <w:t xml:space="preserve">is below </w:t>
      </w:r>
      <w:r>
        <w:t>CARE’s</w:t>
      </w:r>
      <w:r w:rsidRPr="002C4640">
        <w:t xml:space="preserve"> 90</w:t>
      </w:r>
      <w:r>
        <w:t> percent</w:t>
      </w:r>
      <w:r w:rsidRPr="002C4640">
        <w:t xml:space="preserve"> </w:t>
      </w:r>
      <w:r>
        <w:t>goal, t</w:t>
      </w:r>
      <w:r w:rsidRPr="002C4640">
        <w:t>he Commission</w:t>
      </w:r>
      <w:r>
        <w:t xml:space="preserve"> at this time will not require the IOUs to reach 90 percent for FERA by 2026 because we recognize that we do not fully understand all the barriers and challenges to FERA participation for this specific group of customers.  Although a lot of data has been collected over the years to help identify the barriers to CARE participation as well strategies on how to reach that last remaining eligible population, the same cannot be said for FERA.  Until more is understood, and the IOUs start collecting data from the results of the FERA initiatives approved in this decision, we will not at this time require a 90 percent enrollment goal by 2026.  Instead, the FERA goal will be set at </w:t>
      </w:r>
      <w:r w:rsidRPr="002C4640">
        <w:t>70</w:t>
      </w:r>
      <w:r>
        <w:t> </w:t>
      </w:r>
      <w:r w:rsidRPr="002C4640">
        <w:t>percent by 2026</w:t>
      </w:r>
      <w:r>
        <w:t xml:space="preserve">.    </w:t>
      </w:r>
    </w:p>
    <w:p w:rsidRPr="00A2385A" w:rsidR="000C1980" w:rsidP="001968DC" w:rsidRDefault="000C1980" w14:paraId="35E3AB14" w14:textId="77777777">
      <w:pPr>
        <w:pStyle w:val="Heading4"/>
        <w:ind w:left="3600"/>
      </w:pPr>
      <w:bookmarkStart w:name="_Toc69947848" w:id="166"/>
      <w:r w:rsidRPr="00A2385A">
        <w:lastRenderedPageBreak/>
        <w:t xml:space="preserve">Consolidating FERA with the </w:t>
      </w:r>
      <w:proofErr w:type="gramStart"/>
      <w:r w:rsidRPr="00A2385A">
        <w:t>Low Income</w:t>
      </w:r>
      <w:proofErr w:type="gramEnd"/>
      <w:r w:rsidRPr="00A2385A">
        <w:t xml:space="preserve"> Proceeding: </w:t>
      </w:r>
      <w:r w:rsidRPr="00A2385A">
        <w:rPr>
          <w:u w:val="single"/>
        </w:rPr>
        <w:t>Approved</w:t>
      </w:r>
      <w:bookmarkEnd w:id="166"/>
    </w:p>
    <w:p w:rsidRPr="002C4640" w:rsidR="000C1980" w:rsidP="00402362" w:rsidRDefault="00227221" w14:paraId="7A26FDCC" w14:textId="0CED7A12">
      <w:pPr>
        <w:pStyle w:val="Standard"/>
      </w:pPr>
      <w:r>
        <w:t>We approve</w:t>
      </w:r>
      <w:r w:rsidRPr="002C4640" w:rsidR="000C1980">
        <w:t xml:space="preserve"> consolidat</w:t>
      </w:r>
      <w:r>
        <w:t>ing</w:t>
      </w:r>
      <w:r w:rsidRPr="002C4640" w:rsidR="000C1980">
        <w:t xml:space="preserve"> the FERA program proceeding </w:t>
      </w:r>
      <w:r>
        <w:t>with</w:t>
      </w:r>
      <w:r w:rsidRPr="002C4640" w:rsidR="000C1980">
        <w:t xml:space="preserve"> the low</w:t>
      </w:r>
      <w:r w:rsidR="000C1980">
        <w:t xml:space="preserve"> </w:t>
      </w:r>
      <w:r w:rsidRPr="002C4640" w:rsidR="000C1980">
        <w:t>income proceeding to achieve administrative efficiencies</w:t>
      </w:r>
      <w:r w:rsidR="000C1980">
        <w:t>.</w:t>
      </w:r>
      <w:r w:rsidR="000C1980">
        <w:rPr>
          <w:rStyle w:val="FootnoteReference"/>
          <w:rFonts w:eastAsia="Times New Roman"/>
          <w:szCs w:val="26"/>
        </w:rPr>
        <w:footnoteReference w:id="229"/>
      </w:r>
      <w:r w:rsidRPr="002C4640" w:rsidR="000C1980">
        <w:t xml:space="preserve"> </w:t>
      </w:r>
      <w:r w:rsidR="00766C4B">
        <w:t>T</w:t>
      </w:r>
      <w:r w:rsidRPr="002C4640" w:rsidR="000C1980">
        <w:t>herefore</w:t>
      </w:r>
      <w:r w:rsidR="000C1980">
        <w:t xml:space="preserve"> all IOU </w:t>
      </w:r>
      <w:r w:rsidRPr="002C4640" w:rsidR="000C1980">
        <w:t>FERA goal</w:t>
      </w:r>
      <w:r w:rsidR="000C1980">
        <w:t>s, b</w:t>
      </w:r>
      <w:r w:rsidRPr="002C4640" w:rsidR="000C1980">
        <w:t>udgets</w:t>
      </w:r>
      <w:r w:rsidRPr="00FB1E12" w:rsidR="000C1980">
        <w:t xml:space="preserve"> </w:t>
      </w:r>
      <w:r w:rsidRPr="002C4640" w:rsidR="000C1980">
        <w:t xml:space="preserve">and </w:t>
      </w:r>
      <w:r w:rsidR="000C1980">
        <w:t>program</w:t>
      </w:r>
      <w:r w:rsidRPr="002C4640" w:rsidR="000C1980">
        <w:t xml:space="preserve"> </w:t>
      </w:r>
      <w:r w:rsidR="003E7622">
        <w:t xml:space="preserve">design </w:t>
      </w:r>
      <w:r w:rsidRPr="002C4640" w:rsidR="000C1980">
        <w:t xml:space="preserve">elements will be </w:t>
      </w:r>
      <w:r w:rsidR="000C1980">
        <w:t xml:space="preserve">scoped into the IOUs </w:t>
      </w:r>
      <w:proofErr w:type="gramStart"/>
      <w:r w:rsidR="000C1980">
        <w:t>low income</w:t>
      </w:r>
      <w:proofErr w:type="gramEnd"/>
      <w:r w:rsidR="000C1980">
        <w:t xml:space="preserve"> budget applications moving forward, along with the </w:t>
      </w:r>
      <w:r w:rsidRPr="002C4640" w:rsidR="000C1980">
        <w:t>CARE</w:t>
      </w:r>
      <w:r w:rsidR="000C1980">
        <w:t xml:space="preserve"> and </w:t>
      </w:r>
      <w:r w:rsidRPr="002C4640" w:rsidR="000C1980">
        <w:t>ESA</w:t>
      </w:r>
      <w:r w:rsidR="000C1980">
        <w:t xml:space="preserve"> programs</w:t>
      </w:r>
      <w:r w:rsidRPr="002C4640" w:rsidR="000C1980">
        <w:t>.</w:t>
      </w:r>
    </w:p>
    <w:p w:rsidR="000C1980" w:rsidP="001968DC" w:rsidRDefault="000C1980" w14:paraId="44E36BA7" w14:textId="77777777">
      <w:pPr>
        <w:pStyle w:val="Heading2"/>
        <w:ind w:left="1728"/>
      </w:pPr>
      <w:bookmarkStart w:name="_Toc69947849" w:id="167"/>
      <w:r w:rsidRPr="009A0E9F">
        <w:t xml:space="preserve">FERA </w:t>
      </w:r>
      <w:r w:rsidRPr="00E5693D">
        <w:t>Enrollment</w:t>
      </w:r>
      <w:r w:rsidRPr="009A0E9F">
        <w:t xml:space="preserve"> and Eligibility</w:t>
      </w:r>
      <w:bookmarkEnd w:id="167"/>
    </w:p>
    <w:p w:rsidR="000C1980" w:rsidP="001968DC" w:rsidRDefault="000C1980" w14:paraId="63A5B8E9" w14:textId="77777777">
      <w:pPr>
        <w:pStyle w:val="Heading3"/>
        <w:ind w:left="2664"/>
      </w:pPr>
      <w:bookmarkStart w:name="_Toc69947850" w:id="168"/>
      <w:r>
        <w:t>Background</w:t>
      </w:r>
      <w:bookmarkEnd w:id="168"/>
    </w:p>
    <w:p w:rsidRPr="00197C59" w:rsidR="000C1980" w:rsidP="00402362" w:rsidRDefault="000C1980" w14:paraId="67B3BB47" w14:textId="20119940">
      <w:pPr>
        <w:pStyle w:val="Standard"/>
      </w:pPr>
      <w:r>
        <w:t>To enroll into the program, c</w:t>
      </w:r>
      <w:r w:rsidRPr="00612062">
        <w:t xml:space="preserve">urrent program rules </w:t>
      </w:r>
      <w:r>
        <w:t xml:space="preserve">allow households to self-certify </w:t>
      </w:r>
      <w:r w:rsidRPr="00EF504A">
        <w:t>that their income meets the program eligibility requirement</w:t>
      </w:r>
      <w:r>
        <w:t xml:space="preserve"> without requiring income documentation.  Once </w:t>
      </w:r>
      <w:r w:rsidRPr="00402362">
        <w:t>enrolled</w:t>
      </w:r>
      <w:r>
        <w:t>, FERA</w:t>
      </w:r>
      <w:r w:rsidRPr="00612062">
        <w:t xml:space="preserve"> customers </w:t>
      </w:r>
      <w:r>
        <w:t xml:space="preserve">are required to </w:t>
      </w:r>
      <w:r w:rsidRPr="00612062">
        <w:t xml:space="preserve">recertify their </w:t>
      </w:r>
      <w:r>
        <w:t>FERA</w:t>
      </w:r>
      <w:r w:rsidRPr="00612062">
        <w:t xml:space="preserve"> eligibility every two years</w:t>
      </w:r>
      <w:r>
        <w:t>.</w:t>
      </w:r>
      <w:r w:rsidRPr="00612062">
        <w:t xml:space="preserve"> </w:t>
      </w:r>
      <w:r>
        <w:t xml:space="preserve"> FERA customers are also subject to a random PEV process.</w:t>
      </w:r>
    </w:p>
    <w:p w:rsidR="000C1980" w:rsidP="001968DC" w:rsidRDefault="000C1980" w14:paraId="75247D90" w14:textId="77777777">
      <w:pPr>
        <w:pStyle w:val="Heading3"/>
        <w:ind w:left="2664"/>
      </w:pPr>
      <w:bookmarkStart w:name="_Toc69947851" w:id="169"/>
      <w:r>
        <w:t>PG&amp;E Proposal</w:t>
      </w:r>
      <w:bookmarkEnd w:id="169"/>
      <w:r>
        <w:t xml:space="preserve"> </w:t>
      </w:r>
    </w:p>
    <w:p w:rsidR="000C1980" w:rsidP="00402362" w:rsidRDefault="000C1980" w14:paraId="13F1F74C" w14:textId="77777777">
      <w:pPr>
        <w:pStyle w:val="Standard"/>
      </w:pPr>
      <w:r>
        <w:t>P</w:t>
      </w:r>
      <w:r w:rsidRPr="0022296A">
        <w:t>G&amp;E does not propose any additional changes to the FERA enrollment process</w:t>
      </w:r>
      <w:r>
        <w:t xml:space="preserve">, </w:t>
      </w:r>
      <w:r w:rsidRPr="0022296A">
        <w:t>certification processes</w:t>
      </w:r>
      <w:r>
        <w:t>,</w:t>
      </w:r>
      <w:r w:rsidRPr="0022296A">
        <w:rPr>
          <w:vertAlign w:val="superscript"/>
        </w:rPr>
        <w:footnoteReference w:id="230"/>
      </w:r>
      <w:r w:rsidRPr="0022296A">
        <w:t xml:space="preserve"> self-recertification process, or post-enrollment verification </w:t>
      </w:r>
      <w:r>
        <w:t>processes</w:t>
      </w:r>
      <w:r w:rsidRPr="0022296A">
        <w:t>.</w:t>
      </w:r>
      <w:r w:rsidRPr="0022296A">
        <w:rPr>
          <w:vertAlign w:val="superscript"/>
        </w:rPr>
        <w:footnoteReference w:id="231"/>
      </w:r>
      <w:r>
        <w:t xml:space="preserve"> </w:t>
      </w:r>
      <w:r w:rsidRPr="00D24ECD">
        <w:t xml:space="preserve">PG&amp;E </w:t>
      </w:r>
      <w:r>
        <w:t xml:space="preserve">plans to </w:t>
      </w:r>
      <w:r w:rsidRPr="00D24ECD">
        <w:t xml:space="preserve">PEV one percent via random selection of all FERA customers annually. </w:t>
      </w:r>
      <w:r w:rsidRPr="009C1B21">
        <w:t xml:space="preserve"> </w:t>
      </w:r>
    </w:p>
    <w:p w:rsidR="000C1980" w:rsidP="001968DC" w:rsidRDefault="000C1980" w14:paraId="44A8ED5C" w14:textId="77777777">
      <w:pPr>
        <w:pStyle w:val="Heading3"/>
        <w:ind w:left="2664"/>
      </w:pPr>
      <w:bookmarkStart w:name="_Toc69947852" w:id="170"/>
      <w:r>
        <w:t>SCE Proposal</w:t>
      </w:r>
      <w:bookmarkEnd w:id="170"/>
      <w:r>
        <w:t xml:space="preserve"> </w:t>
      </w:r>
    </w:p>
    <w:p w:rsidR="000C1980" w:rsidP="00402362" w:rsidRDefault="000C1980" w14:paraId="1FA6B897" w14:textId="77777777">
      <w:pPr>
        <w:pStyle w:val="Standard"/>
      </w:pPr>
      <w:r w:rsidRPr="002D2628">
        <w:t xml:space="preserve">SCE </w:t>
      </w:r>
      <w:r>
        <w:t xml:space="preserve">does not propose any changes to the </w:t>
      </w:r>
      <w:r w:rsidRPr="00B64ACD">
        <w:t>FERA enrollment</w:t>
      </w:r>
      <w:r>
        <w:t>, rec</w:t>
      </w:r>
      <w:r w:rsidRPr="00B64ACD">
        <w:t>ertification</w:t>
      </w:r>
      <w:r>
        <w:t xml:space="preserve">, </w:t>
      </w:r>
      <w:r w:rsidRPr="00B64ACD">
        <w:t>self-recertification</w:t>
      </w:r>
      <w:r>
        <w:t>, or PEV</w:t>
      </w:r>
      <w:r w:rsidRPr="00B64ACD">
        <w:t xml:space="preserve"> process</w:t>
      </w:r>
      <w:r>
        <w:t xml:space="preserve">es. </w:t>
      </w:r>
    </w:p>
    <w:p w:rsidR="000C1980" w:rsidP="001968DC" w:rsidRDefault="000C1980" w14:paraId="5A044E59" w14:textId="77777777">
      <w:pPr>
        <w:pStyle w:val="Heading3"/>
        <w:ind w:left="2664"/>
      </w:pPr>
      <w:bookmarkStart w:name="_Toc69947853" w:id="171"/>
      <w:r>
        <w:lastRenderedPageBreak/>
        <w:t>SDG&amp;E Proposal</w:t>
      </w:r>
      <w:bookmarkEnd w:id="171"/>
    </w:p>
    <w:p w:rsidR="000C1980" w:rsidP="00402362" w:rsidRDefault="000C1980" w14:paraId="723E8FD6" w14:textId="77777777">
      <w:pPr>
        <w:pStyle w:val="Standard"/>
      </w:pPr>
      <w:bookmarkStart w:name="_Hlk53650281" w:id="172"/>
      <w:r w:rsidRPr="00403B29">
        <w:t xml:space="preserve">SDG&amp;E </w:t>
      </w:r>
      <w:r w:rsidRPr="00697B8B">
        <w:t>does not propose any changes to its current eligibility, PEV, or re</w:t>
      </w:r>
      <w:r>
        <w:noBreakHyphen/>
      </w:r>
      <w:r w:rsidRPr="00697B8B">
        <w:t>certification processes</w:t>
      </w:r>
      <w:r w:rsidRPr="00403B29">
        <w:t xml:space="preserve"> </w:t>
      </w:r>
      <w:r>
        <w:t xml:space="preserve">and </w:t>
      </w:r>
      <w:r w:rsidRPr="00403B29">
        <w:t>will continue to automatically enroll FERA qualified customers who have applied for but do not qualify for CAR</w:t>
      </w:r>
      <w:bookmarkEnd w:id="172"/>
      <w:r>
        <w:t>E</w:t>
      </w:r>
      <w:r w:rsidRPr="00697B8B">
        <w:t>.</w:t>
      </w:r>
      <w:r w:rsidRPr="00403B29">
        <w:rPr>
          <w:vertAlign w:val="superscript"/>
        </w:rPr>
        <w:footnoteReference w:id="232"/>
      </w:r>
      <w:r w:rsidRPr="00403B29">
        <w:t xml:space="preserve"> </w:t>
      </w:r>
      <w:r>
        <w:t xml:space="preserve"> </w:t>
      </w:r>
    </w:p>
    <w:p w:rsidR="000C1980" w:rsidP="001968DC" w:rsidRDefault="000C1980" w14:paraId="6520E6F9" w14:textId="77777777">
      <w:pPr>
        <w:pStyle w:val="Heading3"/>
        <w:ind w:left="2664"/>
      </w:pPr>
      <w:bookmarkStart w:name="_Toc69947854" w:id="173"/>
      <w:r>
        <w:t>Party Positions</w:t>
      </w:r>
      <w:bookmarkEnd w:id="173"/>
    </w:p>
    <w:p w:rsidRPr="004C2C56" w:rsidR="000C1980" w:rsidP="00402362" w:rsidRDefault="000C1980" w14:paraId="3A49BD64" w14:textId="77777777">
      <w:pPr>
        <w:pStyle w:val="Standard"/>
        <w:rPr>
          <w:i/>
          <w:iCs/>
        </w:rPr>
      </w:pPr>
      <w:r>
        <w:t>No</w:t>
      </w:r>
      <w:r w:rsidRPr="00195C3E">
        <w:t xml:space="preserve"> </w:t>
      </w:r>
      <w:r>
        <w:t xml:space="preserve">substantive </w:t>
      </w:r>
      <w:r w:rsidRPr="00195C3E">
        <w:t xml:space="preserve">party comments </w:t>
      </w:r>
      <w:r>
        <w:t>were received on this topic.</w:t>
      </w:r>
    </w:p>
    <w:p w:rsidRPr="00946D23" w:rsidR="000C1980" w:rsidP="001968DC" w:rsidRDefault="000C1980" w14:paraId="39F3847D" w14:textId="77777777">
      <w:pPr>
        <w:pStyle w:val="Heading3"/>
        <w:ind w:left="2664"/>
      </w:pPr>
      <w:bookmarkStart w:name="_Toc69947855" w:id="174"/>
      <w:r w:rsidRPr="00946D23">
        <w:t>Discussion</w:t>
      </w:r>
      <w:bookmarkEnd w:id="174"/>
    </w:p>
    <w:p w:rsidR="000C1980" w:rsidP="00402362" w:rsidRDefault="000C1980" w14:paraId="4E2E7D1C" w14:textId="24C4DBB5">
      <w:pPr>
        <w:pStyle w:val="Standard"/>
      </w:pPr>
      <w:r>
        <w:t>Although not originally proposed by the IOUs for the FERA program, we impose the following new program changes related e</w:t>
      </w:r>
      <w:r w:rsidRPr="006C0EA5">
        <w:t xml:space="preserve">nrollment and </w:t>
      </w:r>
      <w:r>
        <w:t>e</w:t>
      </w:r>
      <w:r w:rsidRPr="006C0EA5">
        <w:t xml:space="preserve">ligibility </w:t>
      </w:r>
      <w:r>
        <w:t xml:space="preserve">to increase the consistency between the CARE and FERA programs, with the goal </w:t>
      </w:r>
      <w:r w:rsidR="007B0686">
        <w:t xml:space="preserve">of </w:t>
      </w:r>
      <w:r>
        <w:t>increas</w:t>
      </w:r>
      <w:r w:rsidR="007B0686">
        <w:t>ing</w:t>
      </w:r>
      <w:r>
        <w:t xml:space="preserve"> participation in the FERA program. </w:t>
      </w:r>
    </w:p>
    <w:p w:rsidRPr="00871869" w:rsidR="000C1980" w:rsidP="001968DC" w:rsidRDefault="000C1980" w14:paraId="688282DF" w14:textId="77777777">
      <w:pPr>
        <w:pStyle w:val="Heading4"/>
        <w:ind w:left="3600"/>
      </w:pPr>
      <w:bookmarkStart w:name="_Toc69947856" w:id="175"/>
      <w:r w:rsidRPr="00871869">
        <w:t xml:space="preserve">Auto-Recertification of “High Probability” Households: </w:t>
      </w:r>
      <w:r w:rsidRPr="00871869">
        <w:rPr>
          <w:u w:val="single"/>
        </w:rPr>
        <w:t>New</w:t>
      </w:r>
      <w:bookmarkEnd w:id="175"/>
    </w:p>
    <w:p w:rsidR="000C1980" w:rsidP="00402362" w:rsidRDefault="000C1980" w14:paraId="71E38DD5" w14:textId="2F2D867F">
      <w:pPr>
        <w:pStyle w:val="Standard"/>
      </w:pPr>
      <w:proofErr w:type="gramStart"/>
      <w:r>
        <w:t>Similar to</w:t>
      </w:r>
      <w:proofErr w:type="gramEnd"/>
      <w:r>
        <w:t xml:space="preserve"> what has been approved for CARE, we will require the IOUs to implement an auto-recertification process for FERA customers that mirrors the CARE auto-recertification process</w:t>
      </w:r>
      <w:r w:rsidR="00A516F9">
        <w:t xml:space="preserve"> </w:t>
      </w:r>
      <w:r w:rsidRPr="3776745C" w:rsidR="007B10FF">
        <w:rPr>
          <w:rFonts w:eastAsia="Times New Roman"/>
        </w:rPr>
        <w:t>by no later than December 31, 2022</w:t>
      </w:r>
      <w:r w:rsidR="007B10FF">
        <w:rPr>
          <w:rFonts w:eastAsia="Times New Roman"/>
        </w:rPr>
        <w:t>.</w:t>
      </w:r>
      <w:r>
        <w:t xml:space="preserve">  The IOUs</w:t>
      </w:r>
      <w:r w:rsidRPr="00F75B84">
        <w:t xml:space="preserve"> </w:t>
      </w:r>
      <w:r>
        <w:t>are directed to</w:t>
      </w:r>
      <w:r w:rsidRPr="00F75B84">
        <w:t xml:space="preserve"> implement a</w:t>
      </w:r>
      <w:r>
        <w:t>n</w:t>
      </w:r>
      <w:r w:rsidRPr="00F75B84">
        <w:t xml:space="preserve"> auto</w:t>
      </w:r>
      <w:r>
        <w:noBreakHyphen/>
      </w:r>
      <w:r w:rsidRPr="00F75B84">
        <w:t xml:space="preserve">recertification process for customers that its probability model identifies as having a high probability of being </w:t>
      </w:r>
      <w:r>
        <w:t>FERA</w:t>
      </w:r>
      <w:r w:rsidRPr="00F75B84">
        <w:t xml:space="preserve"> eligible</w:t>
      </w:r>
      <w:r>
        <w:t xml:space="preserve">, where </w:t>
      </w:r>
      <w:r w:rsidRPr="00F75B84">
        <w:t xml:space="preserve">“high probability of being </w:t>
      </w:r>
      <w:r>
        <w:t>FERA</w:t>
      </w:r>
      <w:r w:rsidRPr="00F75B84">
        <w:t xml:space="preserve"> eligible” </w:t>
      </w:r>
      <w:r>
        <w:t>is defined as those h</w:t>
      </w:r>
      <w:r w:rsidRPr="00F75B84">
        <w:t xml:space="preserve">ouseholds </w:t>
      </w:r>
      <w:r>
        <w:t>that</w:t>
      </w:r>
      <w:r w:rsidRPr="00F75B84">
        <w:t xml:space="preserve"> have at least an 80</w:t>
      </w:r>
      <w:r>
        <w:t> </w:t>
      </w:r>
      <w:r w:rsidRPr="00F75B84">
        <w:t xml:space="preserve">percent probability of being </w:t>
      </w:r>
      <w:r>
        <w:t>FERA</w:t>
      </w:r>
      <w:r w:rsidRPr="00F75B84">
        <w:t xml:space="preserve">-eligible as identified by each IOUs’ probability model.  This change will align with how all the IOUs will be using its probability models to reduce the burden on customers with a high likelihood of being </w:t>
      </w:r>
      <w:r>
        <w:t>CARE or FERA</w:t>
      </w:r>
      <w:r w:rsidRPr="00F75B84">
        <w:t xml:space="preserve">-eligible. </w:t>
      </w:r>
    </w:p>
    <w:p w:rsidRPr="00871869" w:rsidR="000C1980" w:rsidP="001968DC" w:rsidRDefault="000C1980" w14:paraId="41C52901" w14:textId="77777777">
      <w:pPr>
        <w:pStyle w:val="Heading4"/>
        <w:ind w:left="3600"/>
      </w:pPr>
      <w:bookmarkStart w:name="_Toc69947857" w:id="176"/>
      <w:r w:rsidRPr="00871869">
        <w:lastRenderedPageBreak/>
        <w:t xml:space="preserve">High Usage (HU) PEV: </w:t>
      </w:r>
      <w:r w:rsidRPr="00871869">
        <w:rPr>
          <w:u w:val="single"/>
        </w:rPr>
        <w:t>New</w:t>
      </w:r>
      <w:bookmarkEnd w:id="176"/>
    </w:p>
    <w:p w:rsidR="000C1980" w:rsidP="00402362" w:rsidRDefault="000C1980" w14:paraId="43C2D252" w14:textId="5E3ED76E">
      <w:pPr>
        <w:pStyle w:val="Standard"/>
      </w:pPr>
      <w:r>
        <w:t>Similar to what has been approved for CARE, we will require the IOUs to implement a HU PEV policy for FERA customers where FERA customers will be flagged for HU PEV after three instances of going over the 400</w:t>
      </w:r>
      <w:r w:rsidRPr="006E22E7">
        <w:t xml:space="preserve"> </w:t>
      </w:r>
      <w:r w:rsidRPr="0026503D">
        <w:t>percent</w:t>
      </w:r>
      <w:r>
        <w:t xml:space="preserve"> baseline consumption in a </w:t>
      </w:r>
      <w:proofErr w:type="gramStart"/>
      <w:r>
        <w:t>12 month</w:t>
      </w:r>
      <w:proofErr w:type="gramEnd"/>
      <w:r>
        <w:t xml:space="preserve"> period.  </w:t>
      </w:r>
      <w:r w:rsidR="00F272B9">
        <w:t xml:space="preserve">However, unlike the CARE PEV process, </w:t>
      </w:r>
      <w:r w:rsidRPr="006C4CDC" w:rsidR="00F272B9">
        <w:t>FERA customers flagged for high use post enrollment verification are not required to apply for the ESA program within 45 days of the high usage notice because they do not meet the income limits of the ESA program</w:t>
      </w:r>
      <w:r w:rsidR="00733A81">
        <w:t xml:space="preserve">. </w:t>
      </w:r>
      <w:r>
        <w:t xml:space="preserve">While HU PEV data is not currently reported in the CARE monthly reports, due to the similarities in customer sector and income levels, we believe that the same weather-driven, electric high-usage consumption factors that exists for CARE households would apply to FERA households as well.  Therefore, to reduce burden and attrition from the FERA program, </w:t>
      </w:r>
      <w:r w:rsidRPr="000D7009">
        <w:t xml:space="preserve">the PEV </w:t>
      </w:r>
      <w:r>
        <w:t>requirement will be triggered after the household</w:t>
      </w:r>
      <w:r w:rsidRPr="000D7009">
        <w:t xml:space="preserve"> exceed</w:t>
      </w:r>
      <w:r>
        <w:t>s</w:t>
      </w:r>
      <w:r w:rsidRPr="000D7009">
        <w:t xml:space="preserve"> 400</w:t>
      </w:r>
      <w:r>
        <w:t> </w:t>
      </w:r>
      <w:r w:rsidRPr="000D7009">
        <w:t>percent of baseline three times in a 12-month period</w:t>
      </w:r>
      <w:r>
        <w:t xml:space="preserve">.  Additionally, the FERA income verification requirement for HU PEV will align with CARE where </w:t>
      </w:r>
      <w:r w:rsidRPr="0083676B">
        <w:t>HU</w:t>
      </w:r>
      <w:r>
        <w:t> </w:t>
      </w:r>
      <w:r w:rsidRPr="0083676B">
        <w:t xml:space="preserve">PEV customers </w:t>
      </w:r>
      <w:r>
        <w:t xml:space="preserve">are able to </w:t>
      </w:r>
      <w:r w:rsidRPr="0083676B">
        <w:t xml:space="preserve">verify their income using the documentation used in the regular PEV process, rather than requiring a transcript of IRS tax return or IRS verification of non-filing.  </w:t>
      </w:r>
      <w:r>
        <w:t xml:space="preserve">  </w:t>
      </w:r>
    </w:p>
    <w:p w:rsidRPr="00871869" w:rsidR="000C1980" w:rsidP="001968DC" w:rsidRDefault="000C1980" w14:paraId="240B6E28" w14:textId="77777777">
      <w:pPr>
        <w:pStyle w:val="Heading4"/>
        <w:ind w:left="3600"/>
      </w:pPr>
      <w:bookmarkStart w:name="_Toc69947858" w:id="177"/>
      <w:r w:rsidRPr="00871869">
        <w:t xml:space="preserve">Auto-Enrolling Eligible Customers into FERA if Denied for CARE: </w:t>
      </w:r>
      <w:r w:rsidRPr="00871869">
        <w:rPr>
          <w:u w:val="single"/>
        </w:rPr>
        <w:t>New</w:t>
      </w:r>
      <w:bookmarkEnd w:id="177"/>
    </w:p>
    <w:p w:rsidR="000C1980" w:rsidP="00402362" w:rsidRDefault="000C1980" w14:paraId="658DAA41" w14:textId="790E8611">
      <w:pPr>
        <w:pStyle w:val="Standard"/>
      </w:pPr>
      <w:r>
        <w:t xml:space="preserve">We require the IOUs to automatically enroll </w:t>
      </w:r>
      <w:r w:rsidRPr="002E5C7A">
        <w:t xml:space="preserve">all customers who </w:t>
      </w:r>
      <w:r w:rsidR="002F4A51">
        <w:t xml:space="preserve">apply but </w:t>
      </w:r>
      <w:r w:rsidRPr="002E5C7A">
        <w:t>do not qualify for CARE</w:t>
      </w:r>
      <w:r>
        <w:t>, but qualify for FERA,</w:t>
      </w:r>
      <w:r w:rsidRPr="002E5C7A">
        <w:t xml:space="preserve"> into </w:t>
      </w:r>
      <w:r>
        <w:t xml:space="preserve">the </w:t>
      </w:r>
      <w:r w:rsidRPr="002E5C7A">
        <w:t>FERA</w:t>
      </w:r>
      <w:r>
        <w:t xml:space="preserve"> program, if not already currently doing so.  When a customer submits income verification that does not qualify for CARE enrollment but does for FERA enrollment, we feel that the IOUs should consider that customer interested and eligible to be enrolled in an income-qualified bill discount program, and to enroll that customer in the appropriate program, FERA. This will serve to increase FERA enrollment as well </w:t>
      </w:r>
      <w:r>
        <w:lastRenderedPageBreak/>
        <w:t xml:space="preserve">as reduce burden on customers who would normally need to submit another eligibility form for FERA. </w:t>
      </w:r>
    </w:p>
    <w:p w:rsidR="000C1980" w:rsidP="001968DC" w:rsidRDefault="000C1980" w14:paraId="06C96286" w14:textId="77777777">
      <w:pPr>
        <w:pStyle w:val="Heading2"/>
        <w:ind w:left="1728"/>
      </w:pPr>
      <w:bookmarkStart w:name="_Toc69947859" w:id="178"/>
      <w:r w:rsidRPr="00D40A99">
        <w:t>FERA Marketing, Education, Outreach, Leveraging</w:t>
      </w:r>
      <w:bookmarkEnd w:id="178"/>
    </w:p>
    <w:p w:rsidR="000C1980" w:rsidP="001968DC" w:rsidRDefault="000C1980" w14:paraId="76D55929" w14:textId="77777777">
      <w:pPr>
        <w:pStyle w:val="Heading3"/>
        <w:ind w:left="2664"/>
      </w:pPr>
      <w:bookmarkStart w:name="_Toc69947860" w:id="179"/>
      <w:r>
        <w:t>Background</w:t>
      </w:r>
      <w:bookmarkEnd w:id="179"/>
    </w:p>
    <w:p w:rsidRPr="00052C68" w:rsidR="000C1980" w:rsidP="00402362" w:rsidRDefault="000C1980" w14:paraId="71CA79B8" w14:textId="77777777">
      <w:pPr>
        <w:pStyle w:val="Standard"/>
      </w:pPr>
      <w:r>
        <w:t xml:space="preserve">Currently, each IOU manages its own marketing, education, and outreach efforts to meet the goals set out by the Commission.  In the past there has been little, if any, dedicated marketing, and outreach efforts for the FERA program.  Over the </w:t>
      </w:r>
      <w:r w:rsidRPr="00402362">
        <w:t>past</w:t>
      </w:r>
      <w:r>
        <w:t xml:space="preserve"> several years, FERA has been marketed alongside CARE utilizing unspent authorized CARE program management funding.</w:t>
      </w:r>
      <w:r>
        <w:rPr>
          <w:rStyle w:val="FootnoteReference"/>
        </w:rPr>
        <w:footnoteReference w:id="233"/>
      </w:r>
      <w:r>
        <w:t xml:space="preserve"> And as each service territory is unique, IOUs have been allowed to seek out efforts that work best for its own service areas.</w:t>
      </w:r>
    </w:p>
    <w:p w:rsidRPr="00D40A99" w:rsidR="000C1980" w:rsidP="001968DC" w:rsidRDefault="000C1980" w14:paraId="7FAC838C" w14:textId="77777777">
      <w:pPr>
        <w:pStyle w:val="Heading3"/>
        <w:ind w:left="2664"/>
      </w:pPr>
      <w:bookmarkStart w:name="_Toc69947861" w:id="180"/>
      <w:r w:rsidRPr="00D40A99">
        <w:t>PG&amp;E Proposal</w:t>
      </w:r>
      <w:bookmarkEnd w:id="180"/>
      <w:r w:rsidRPr="00D40A99">
        <w:t xml:space="preserve"> </w:t>
      </w:r>
    </w:p>
    <w:p w:rsidR="000C1980" w:rsidP="00402362" w:rsidRDefault="000C1980" w14:paraId="183F8DDE" w14:textId="77777777">
      <w:pPr>
        <w:pStyle w:val="Standard"/>
      </w:pPr>
      <w:r w:rsidRPr="00D40A99">
        <w:t>PG&amp;E proposes various marketing and outreach objectives for PY</w:t>
      </w:r>
      <w:r>
        <w:t> </w:t>
      </w:r>
      <w:r w:rsidRPr="00D40A99">
        <w:t>2021</w:t>
      </w:r>
      <w:r>
        <w:noBreakHyphen/>
      </w:r>
      <w:r w:rsidRPr="001A4C3B">
        <w:t xml:space="preserve">2026 </w:t>
      </w:r>
      <w:r>
        <w:t xml:space="preserve">including </w:t>
      </w:r>
      <w:r w:rsidRPr="001A4C3B">
        <w:t xml:space="preserve">increasing awareness of the FERA </w:t>
      </w:r>
      <w:r>
        <w:t>p</w:t>
      </w:r>
      <w:r w:rsidRPr="001A4C3B">
        <w:t>rogram and its eligibility requirements, driving enrollment of the FERA program to achieve 50</w:t>
      </w:r>
      <w:r>
        <w:t> </w:t>
      </w:r>
      <w:r w:rsidRPr="0026503D">
        <w:t>percent</w:t>
      </w:r>
      <w:r w:rsidRPr="001A4C3B">
        <w:t xml:space="preserve"> penetration in the program by the end of 2023, and pursuing year</w:t>
      </w:r>
      <w:r>
        <w:noBreakHyphen/>
      </w:r>
      <w:r w:rsidRPr="001A4C3B">
        <w:t>over-year enrollment growth beyond 2023.</w:t>
      </w:r>
      <w:r w:rsidRPr="001A4C3B">
        <w:rPr>
          <w:vertAlign w:val="superscript"/>
        </w:rPr>
        <w:footnoteReference w:id="234"/>
      </w:r>
      <w:r w:rsidRPr="001A4C3B">
        <w:t xml:space="preserve"> </w:t>
      </w:r>
      <w:r>
        <w:t xml:space="preserve"> To achieve these objectives, </w:t>
      </w:r>
      <w:r w:rsidRPr="001A4C3B">
        <w:t xml:space="preserve">PG&amp;E intends to expand on successful aspects of FERA marketing campaigns in 2019 and has designed </w:t>
      </w:r>
      <w:r>
        <w:t>a</w:t>
      </w:r>
      <w:r w:rsidRPr="001A4C3B">
        <w:t xml:space="preserve"> flexible marketing </w:t>
      </w:r>
      <w:r>
        <w:t xml:space="preserve">and leveraging </w:t>
      </w:r>
      <w:r w:rsidRPr="001A4C3B">
        <w:t>approach to allow adjustments based on lessons learned and budget approvals for CARE and FERA.</w:t>
      </w:r>
      <w:r w:rsidRPr="001A4C3B">
        <w:rPr>
          <w:vertAlign w:val="superscript"/>
        </w:rPr>
        <w:footnoteReference w:id="235"/>
      </w:r>
      <w:r w:rsidRPr="001A4C3B">
        <w:t xml:space="preserve"> </w:t>
      </w:r>
      <w:r>
        <w:t xml:space="preserve">  Specifically, PG&amp;E proposes the following actions:</w:t>
      </w:r>
    </w:p>
    <w:p w:rsidRPr="00227C60" w:rsidR="000C1980" w:rsidP="00402362" w:rsidRDefault="000C1980" w14:paraId="593248CD" w14:textId="008D8484">
      <w:pPr>
        <w:pStyle w:val="ListBullet"/>
      </w:pPr>
      <w:r>
        <w:t>C</w:t>
      </w:r>
      <w:r w:rsidRPr="001A4C3B">
        <w:t xml:space="preserve">ontinue co-promotion of CARE and FERA via a shared application to drive customer enrollment using multi-touch direct mail and email campaigns, </w:t>
      </w:r>
      <w:r w:rsidRPr="00402362">
        <w:t>bill</w:t>
      </w:r>
      <w:r w:rsidRPr="001A4C3B">
        <w:t xml:space="preserve"> inserts, paid digital media </w:t>
      </w:r>
      <w:r w:rsidRPr="001A4C3B">
        <w:lastRenderedPageBreak/>
        <w:t xml:space="preserve">and targeted radio buys, zip-code targeted, home delivered printed communications such as door hangers and </w:t>
      </w:r>
      <w:r w:rsidR="00B904F6">
        <w:t>shared mail inserts</w:t>
      </w:r>
      <w:r w:rsidRPr="001A4C3B">
        <w:t>, and online content on the PG&amp;E website.</w:t>
      </w:r>
      <w:r w:rsidRPr="001A4C3B">
        <w:rPr>
          <w:vertAlign w:val="superscript"/>
        </w:rPr>
        <w:footnoteReference w:id="236"/>
      </w:r>
      <w:r w:rsidRPr="001A4C3B">
        <w:t xml:space="preserve"> </w:t>
      </w:r>
      <w:r>
        <w:t>This includes d</w:t>
      </w:r>
      <w:r w:rsidRPr="00D22AA4">
        <w:t>e</w:t>
      </w:r>
      <w:r w:rsidRPr="00227C60">
        <w:t>velop</w:t>
      </w:r>
      <w:r>
        <w:t>ment</w:t>
      </w:r>
      <w:r w:rsidRPr="00D22AA4">
        <w:t xml:space="preserve"> and i</w:t>
      </w:r>
      <w:r w:rsidRPr="00227C60">
        <w:t>mplement</w:t>
      </w:r>
      <w:r>
        <w:t>ation of</w:t>
      </w:r>
      <w:r w:rsidRPr="00227C60">
        <w:t xml:space="preserve"> welcome communications for new FERA customers </w:t>
      </w:r>
      <w:proofErr w:type="gramStart"/>
      <w:r w:rsidRPr="00227C60">
        <w:t>similar to</w:t>
      </w:r>
      <w:proofErr w:type="gramEnd"/>
      <w:r w:rsidRPr="00227C60">
        <w:t xml:space="preserve"> the CARE Welcome Kit.</w:t>
      </w:r>
      <w:r w:rsidRPr="00227C60">
        <w:rPr>
          <w:vertAlign w:val="superscript"/>
        </w:rPr>
        <w:footnoteReference w:id="237"/>
      </w:r>
    </w:p>
    <w:p w:rsidR="000C1980" w:rsidP="00402362" w:rsidRDefault="000C1980" w14:paraId="791FC16D" w14:textId="77777777">
      <w:pPr>
        <w:pStyle w:val="ListBullet"/>
      </w:pPr>
      <w:r>
        <w:t>Refine the t</w:t>
      </w:r>
      <w:r w:rsidRPr="001A4C3B">
        <w:t xml:space="preserve">argeting approach for FERA </w:t>
      </w:r>
      <w:r w:rsidRPr="003368E2">
        <w:t xml:space="preserve">qualified customers </w:t>
      </w:r>
      <w:r w:rsidRPr="00BE70E9">
        <w:t>by using the CARE propensity model to identify FERA-eligible households</w:t>
      </w:r>
      <w:r>
        <w:t xml:space="preserve">.  </w:t>
      </w:r>
    </w:p>
    <w:p w:rsidRPr="00BE70E9" w:rsidR="000C1980" w:rsidP="00402362" w:rsidRDefault="000C1980" w14:paraId="524C7473" w14:textId="77777777">
      <w:pPr>
        <w:pStyle w:val="ListBullet"/>
      </w:pPr>
      <w:r>
        <w:t>B</w:t>
      </w:r>
      <w:r w:rsidRPr="00BE70E9">
        <w:t xml:space="preserve">uild a FERA-specific </w:t>
      </w:r>
      <w:r>
        <w:t>p</w:t>
      </w:r>
      <w:r w:rsidRPr="00BE70E9">
        <w:t>ropensity model ($</w:t>
      </w:r>
      <w:r>
        <w:t>160</w:t>
      </w:r>
      <w:r w:rsidRPr="00BE70E9">
        <w:t>,000)</w:t>
      </w:r>
      <w:r>
        <w:t xml:space="preserve">, which </w:t>
      </w:r>
      <w:r w:rsidRPr="00CC2C68">
        <w:t>will be tested against the current targeting method.</w:t>
      </w:r>
      <w:r>
        <w:t xml:space="preserve">  </w:t>
      </w:r>
    </w:p>
    <w:p w:rsidR="000C1980" w:rsidP="00402362" w:rsidRDefault="000C1980" w14:paraId="5A1C315F" w14:textId="77777777">
      <w:pPr>
        <w:pStyle w:val="ListBullet"/>
      </w:pPr>
      <w:r>
        <w:t>A</w:t>
      </w:r>
      <w:r w:rsidRPr="001A4C3B">
        <w:t xml:space="preserve">llocate media spend for standalone FERA digital campaigns using zip code analysis to identify and target </w:t>
      </w:r>
      <w:proofErr w:type="gramStart"/>
      <w:r w:rsidRPr="001A4C3B">
        <w:t>low</w:t>
      </w:r>
      <w:r>
        <w:t xml:space="preserve"> </w:t>
      </w:r>
      <w:r w:rsidRPr="001A4C3B">
        <w:t>income</w:t>
      </w:r>
      <w:proofErr w:type="gramEnd"/>
      <w:r w:rsidRPr="001A4C3B">
        <w:t xml:space="preserve"> customers in areas with likely eligible FERA population.</w:t>
      </w:r>
      <w:r w:rsidRPr="001A4C3B">
        <w:rPr>
          <w:vertAlign w:val="superscript"/>
        </w:rPr>
        <w:footnoteReference w:id="238"/>
      </w:r>
      <w:r w:rsidRPr="001A4C3B">
        <w:t xml:space="preserve"> </w:t>
      </w:r>
      <w:r w:rsidRPr="00BE70E9">
        <w:t>This includes creating tests to compare FERA-standalone marketing effectiveness compared with co-marketing with CARE</w:t>
      </w:r>
      <w:r>
        <w:t xml:space="preserve">. </w:t>
      </w:r>
      <w:r w:rsidRPr="001A4C3B">
        <w:t xml:space="preserve">PG&amp;E will evaluate enrollment results from 2019 and 2020 co-marketing campaigns to identify distinctions between CARE and FERA customers and </w:t>
      </w:r>
      <w:r w:rsidRPr="00313B7E">
        <w:t>inform attributes to be included in the new FERA model.</w:t>
      </w:r>
      <w:r w:rsidRPr="00313B7E">
        <w:rPr>
          <w:vertAlign w:val="superscript"/>
        </w:rPr>
        <w:footnoteReference w:id="239"/>
      </w:r>
      <w:r w:rsidRPr="00313B7E">
        <w:t xml:space="preserve"> </w:t>
      </w:r>
    </w:p>
    <w:p w:rsidRPr="0049569B" w:rsidR="000C1980" w:rsidP="00402362" w:rsidRDefault="000C1980" w14:paraId="069F024D" w14:textId="77777777">
      <w:pPr>
        <w:pStyle w:val="ListBullet"/>
      </w:pPr>
      <w:r w:rsidRPr="0049569B">
        <w:t xml:space="preserve">Continue to focus on the Central Valley, including through targeted media efforts and expanding efforts to partner with </w:t>
      </w:r>
      <w:r>
        <w:t>CBOs</w:t>
      </w:r>
      <w:r w:rsidRPr="0049569B">
        <w:t xml:space="preserve"> in high FERA enrollment areas in the Central Valley. This will include in-language radio stations, online media, and mail inserts in targeted zip codes to increase traffic to events for face-to-face outreach.</w:t>
      </w:r>
      <w:r w:rsidRPr="0049569B">
        <w:rPr>
          <w:vertAlign w:val="superscript"/>
        </w:rPr>
        <w:footnoteReference w:id="240"/>
      </w:r>
    </w:p>
    <w:p w:rsidR="000C1980" w:rsidP="00402362" w:rsidRDefault="000C1980" w14:paraId="1D27EFF5" w14:textId="77777777">
      <w:pPr>
        <w:pStyle w:val="ListBullet"/>
      </w:pPr>
      <w:r w:rsidRPr="00BE70E9">
        <w:t xml:space="preserve">Increase FERA customer retention efforts through </w:t>
      </w:r>
      <w:r w:rsidRPr="00313B7E">
        <w:t xml:space="preserve">1) </w:t>
      </w:r>
      <w:r w:rsidRPr="00BE70E9">
        <w:t>auto-enrollment efforts</w:t>
      </w:r>
      <w:r w:rsidRPr="00313B7E">
        <w:t xml:space="preserve"> for certain customers falling into a high propensity group</w:t>
      </w:r>
      <w:r w:rsidRPr="00BE70E9">
        <w:t xml:space="preserve"> (using CARE propensity model and eventually </w:t>
      </w:r>
      <w:r w:rsidRPr="00BE70E9">
        <w:lastRenderedPageBreak/>
        <w:t>FERA propensity model)</w:t>
      </w:r>
      <w:r w:rsidRPr="00313B7E">
        <w:rPr>
          <w:vertAlign w:val="superscript"/>
        </w:rPr>
        <w:t xml:space="preserve"> </w:t>
      </w:r>
      <w:r w:rsidRPr="00313B7E">
        <w:rPr>
          <w:vertAlign w:val="superscript"/>
        </w:rPr>
        <w:footnoteReference w:id="241"/>
      </w:r>
      <w:r w:rsidRPr="00313B7E">
        <w:t xml:space="preserve"> </w:t>
      </w:r>
      <w:r w:rsidRPr="00BE70E9">
        <w:t xml:space="preserve">and </w:t>
      </w:r>
      <w:r w:rsidRPr="00313B7E">
        <w:t xml:space="preserve">2) </w:t>
      </w:r>
      <w:r w:rsidRPr="00BE70E9">
        <w:t>send</w:t>
      </w:r>
      <w:r w:rsidRPr="00313B7E">
        <w:t>ing</w:t>
      </w:r>
      <w:r w:rsidRPr="00BE70E9">
        <w:t xml:space="preserve"> out recertification reminders starting 120 days out from deadline and send reminders every 30 days</w:t>
      </w:r>
      <w:r w:rsidRPr="00313B7E">
        <w:t>.</w:t>
      </w:r>
      <w:r w:rsidRPr="00313B7E">
        <w:rPr>
          <w:vertAlign w:val="superscript"/>
        </w:rPr>
        <w:footnoteReference w:id="242"/>
      </w:r>
      <w:r>
        <w:t xml:space="preserve">  The </w:t>
      </w:r>
      <w:r w:rsidRPr="001A4C3B">
        <w:t xml:space="preserve">new FERA </w:t>
      </w:r>
      <w:r>
        <w:t>p</w:t>
      </w:r>
      <w:r w:rsidRPr="001A4C3B">
        <w:t xml:space="preserve">ropensity </w:t>
      </w:r>
      <w:r>
        <w:t>m</w:t>
      </w:r>
      <w:r w:rsidRPr="001A4C3B">
        <w:t xml:space="preserve">odel </w:t>
      </w:r>
      <w:r>
        <w:t xml:space="preserve">will also be evaluated </w:t>
      </w:r>
      <w:r w:rsidRPr="001A4C3B">
        <w:t>for use to select customers for auto-enrollment once that model has been developed and implemented.</w:t>
      </w:r>
      <w:r w:rsidRPr="001A4C3B">
        <w:rPr>
          <w:vertAlign w:val="superscript"/>
        </w:rPr>
        <w:footnoteReference w:id="243"/>
      </w:r>
      <w:r w:rsidRPr="001A4C3B">
        <w:t xml:space="preserve"> </w:t>
      </w:r>
    </w:p>
    <w:p w:rsidR="000C1980" w:rsidP="00402362" w:rsidRDefault="000C1980" w14:paraId="202D5562" w14:textId="77777777">
      <w:pPr>
        <w:pStyle w:val="ListBullet"/>
      </w:pPr>
      <w:r>
        <w:t>L</w:t>
      </w:r>
      <w:r w:rsidRPr="001A4C3B">
        <w:t xml:space="preserve">everage public relations tactics funded through the </w:t>
      </w:r>
      <w:r>
        <w:t>GRC</w:t>
      </w:r>
      <w:r w:rsidRPr="001A4C3B">
        <w:t xml:space="preserve"> by incorporating FERA program information in existing campaigns</w:t>
      </w:r>
      <w:r>
        <w:t>, including i</w:t>
      </w:r>
      <w:r w:rsidRPr="001A4C3B">
        <w:t>ncorporating FERA messaging into the existing CARE New Mover program to co-promote both programs to new movers.</w:t>
      </w:r>
      <w:r w:rsidRPr="001A4C3B">
        <w:rPr>
          <w:vertAlign w:val="superscript"/>
        </w:rPr>
        <w:footnoteReference w:id="244"/>
      </w:r>
      <w:r w:rsidRPr="001A4C3B">
        <w:t xml:space="preserve"> </w:t>
      </w:r>
    </w:p>
    <w:p w:rsidR="000C1980" w:rsidP="00402362" w:rsidRDefault="000C1980" w14:paraId="0631601B" w14:textId="77777777">
      <w:pPr>
        <w:pStyle w:val="ListBullet"/>
      </w:pPr>
      <w:r>
        <w:t>D</w:t>
      </w:r>
      <w:r w:rsidRPr="001A4C3B">
        <w:t>evelop a web questionnaire to streamline online qualification confirmation for CARE and FERA, and help customers more easily determine which program they might qualify for.</w:t>
      </w:r>
      <w:r w:rsidRPr="001A4C3B">
        <w:rPr>
          <w:vertAlign w:val="superscript"/>
        </w:rPr>
        <w:footnoteReference w:id="245"/>
      </w:r>
    </w:p>
    <w:p w:rsidRPr="00714804" w:rsidR="000C1980" w:rsidP="00402362" w:rsidRDefault="000C1980" w14:paraId="2F409492" w14:textId="77777777">
      <w:pPr>
        <w:pStyle w:val="ListBullet"/>
      </w:pPr>
      <w:r w:rsidRPr="00714804">
        <w:t xml:space="preserve">Leverage the existing the contractors and </w:t>
      </w:r>
      <w:r>
        <w:t>CBOs</w:t>
      </w:r>
      <w:r w:rsidRPr="00714804">
        <w:t xml:space="preserve"> already engaged in CARE </w:t>
      </w:r>
      <w:r w:rsidRPr="00402362">
        <w:t>enrollment</w:t>
      </w:r>
      <w:r w:rsidRPr="00714804">
        <w:t xml:space="preserve"> and proposes a new capitation fee of $30 for each FERA enrollment.</w:t>
      </w:r>
      <w:r w:rsidRPr="00714804">
        <w:rPr>
          <w:vertAlign w:val="superscript"/>
        </w:rPr>
        <w:footnoteReference w:id="246"/>
      </w:r>
      <w:r w:rsidRPr="00714804">
        <w:t xml:space="preserve">  </w:t>
      </w:r>
    </w:p>
    <w:p w:rsidRPr="00714804" w:rsidR="000C1980" w:rsidP="001968DC" w:rsidRDefault="000C1980" w14:paraId="5B9077AF" w14:textId="77777777">
      <w:pPr>
        <w:pStyle w:val="Heading3"/>
        <w:ind w:left="2664"/>
      </w:pPr>
      <w:bookmarkStart w:name="_Toc69947862" w:id="181"/>
      <w:r w:rsidRPr="00714804">
        <w:t>SCE Proposal</w:t>
      </w:r>
      <w:bookmarkEnd w:id="181"/>
      <w:r w:rsidRPr="00714804">
        <w:t xml:space="preserve"> </w:t>
      </w:r>
    </w:p>
    <w:p w:rsidR="000C1980" w:rsidP="00402362" w:rsidRDefault="000C1980" w14:paraId="504C5BD3" w14:textId="77777777">
      <w:pPr>
        <w:pStyle w:val="Standard"/>
      </w:pPr>
      <w:r w:rsidRPr="00714804">
        <w:t>SCE proposes to generally leverage best practices and lessons learned from CARE enrollment activities to help meet the 50 percent FERA enrollment target,</w:t>
      </w:r>
      <w:r w:rsidRPr="00714804">
        <w:rPr>
          <w:vertAlign w:val="superscript"/>
        </w:rPr>
        <w:footnoteReference w:id="247"/>
      </w:r>
      <w:r w:rsidRPr="00714804">
        <w:t xml:space="preserve"> and proposes implementing several tactical activities to drive FERA</w:t>
      </w:r>
      <w:r w:rsidRPr="00021767">
        <w:t xml:space="preserve"> enrollment through 2026. </w:t>
      </w:r>
      <w:r>
        <w:t xml:space="preserve"> The c</w:t>
      </w:r>
      <w:r w:rsidRPr="000A29F9">
        <w:t xml:space="preserve">omponents of </w:t>
      </w:r>
      <w:r>
        <w:t xml:space="preserve">SCE’s </w:t>
      </w:r>
      <w:r w:rsidRPr="000A29F9">
        <w:t xml:space="preserve">FERA marketing and outreach strategy for </w:t>
      </w:r>
      <w:r>
        <w:t xml:space="preserve">PYs </w:t>
      </w:r>
      <w:r w:rsidRPr="000A29F9">
        <w:t>2021</w:t>
      </w:r>
      <w:r>
        <w:t>-</w:t>
      </w:r>
      <w:r w:rsidRPr="000A29F9">
        <w:t>2026</w:t>
      </w:r>
      <w:r>
        <w:t xml:space="preserve"> include the following efforts:</w:t>
      </w:r>
      <w:r w:rsidRPr="00B40AA5">
        <w:rPr>
          <w:vertAlign w:val="superscript"/>
        </w:rPr>
        <w:t xml:space="preserve"> </w:t>
      </w:r>
      <w:r w:rsidRPr="000A29F9">
        <w:rPr>
          <w:vertAlign w:val="superscript"/>
        </w:rPr>
        <w:footnoteReference w:id="248"/>
      </w:r>
    </w:p>
    <w:p w:rsidR="000C1980" w:rsidP="00402362" w:rsidRDefault="000C1980" w14:paraId="1C6B9308" w14:textId="77777777">
      <w:pPr>
        <w:pStyle w:val="ListBullet"/>
      </w:pPr>
      <w:r>
        <w:lastRenderedPageBreak/>
        <w:t>P</w:t>
      </w:r>
      <w:r w:rsidRPr="00DD30EE">
        <w:t>romote CARE and FERA in bundled marketing materials presenting all of SCE’s available programs and services.</w:t>
      </w:r>
    </w:p>
    <w:p w:rsidR="000C1980" w:rsidP="00402362" w:rsidRDefault="000C1980" w14:paraId="65F46A87" w14:textId="77777777">
      <w:pPr>
        <w:pStyle w:val="ListBullet"/>
      </w:pPr>
      <w:r>
        <w:t>T</w:t>
      </w:r>
      <w:r w:rsidRPr="00DD30EE">
        <w:t>arget marketing efforts using data analytics to identify FERA-eligible customers that are most likely to enroll.</w:t>
      </w:r>
      <w:r w:rsidRPr="00DD30EE">
        <w:rPr>
          <w:vertAlign w:val="superscript"/>
        </w:rPr>
        <w:footnoteReference w:id="249"/>
      </w:r>
      <w:r w:rsidRPr="00DD30EE">
        <w:t xml:space="preserve"> </w:t>
      </w:r>
    </w:p>
    <w:p w:rsidR="000C1980" w:rsidP="00402362" w:rsidRDefault="000C1980" w14:paraId="6CA7A7F7" w14:textId="77777777">
      <w:pPr>
        <w:pStyle w:val="ListBullet"/>
      </w:pPr>
      <w:r>
        <w:t>I</w:t>
      </w:r>
      <w:r w:rsidRPr="00021767">
        <w:t xml:space="preserve">mplement FERA </w:t>
      </w:r>
      <w:r>
        <w:t>a</w:t>
      </w:r>
      <w:r w:rsidRPr="00021767">
        <w:t xml:space="preserve">cquisition direct mail or email campaigns targeted at non-participating FERA eligible customers. </w:t>
      </w:r>
    </w:p>
    <w:p w:rsidRPr="00DD30EE" w:rsidR="000C1980" w:rsidP="00402362" w:rsidRDefault="000C1980" w14:paraId="76E39049" w14:textId="77777777">
      <w:pPr>
        <w:pStyle w:val="ListBullet"/>
      </w:pPr>
      <w:r>
        <w:t>I</w:t>
      </w:r>
      <w:r w:rsidRPr="00DD30EE">
        <w:t>dentify potential barriers to enrollment through customer research such as focus groups and journey mapping.</w:t>
      </w:r>
      <w:r w:rsidRPr="00DD30EE">
        <w:rPr>
          <w:vertAlign w:val="superscript"/>
        </w:rPr>
        <w:footnoteReference w:id="250"/>
      </w:r>
      <w:r w:rsidRPr="00DD30EE">
        <w:t xml:space="preserve"> </w:t>
      </w:r>
    </w:p>
    <w:p w:rsidR="000C1980" w:rsidP="00402362" w:rsidRDefault="000C1980" w14:paraId="13232D8B" w14:textId="77777777">
      <w:pPr>
        <w:pStyle w:val="ListBullet"/>
      </w:pPr>
      <w:r>
        <w:t xml:space="preserve">Implement a </w:t>
      </w:r>
      <w:r w:rsidRPr="00021767">
        <w:t xml:space="preserve">re-certification direct mail campaign </w:t>
      </w:r>
      <w:r>
        <w:t>to</w:t>
      </w:r>
      <w:r w:rsidRPr="00021767">
        <w:t xml:space="preserve"> encourage customers to re-enroll and continue to receive the discount </w:t>
      </w:r>
      <w:r>
        <w:t>to</w:t>
      </w:r>
      <w:r w:rsidRPr="00021767">
        <w:t xml:space="preserve"> avoid losing due to failure to recertify.</w:t>
      </w:r>
      <w:r w:rsidRPr="00021767">
        <w:rPr>
          <w:vertAlign w:val="superscript"/>
        </w:rPr>
        <w:footnoteReference w:id="251"/>
      </w:r>
      <w:r w:rsidRPr="00021767">
        <w:t xml:space="preserve"> </w:t>
      </w:r>
    </w:p>
    <w:p w:rsidR="000C1980" w:rsidP="00402362" w:rsidRDefault="000C1980" w14:paraId="4796EC10" w14:textId="77777777">
      <w:pPr>
        <w:pStyle w:val="ListBullet"/>
      </w:pPr>
      <w:r>
        <w:t>Use s</w:t>
      </w:r>
      <w:r w:rsidRPr="00021767">
        <w:t xml:space="preserve">ocial media campaigns to drive enrollment. </w:t>
      </w:r>
    </w:p>
    <w:p w:rsidR="000C1980" w:rsidP="00402362" w:rsidRDefault="000C1980" w14:paraId="03EAEEFE" w14:textId="77777777">
      <w:pPr>
        <w:pStyle w:val="ListBullet"/>
      </w:pPr>
      <w:r w:rsidRPr="000A29F9">
        <w:t>Prominently identify the increased FERA rate discount of 18 percent on its website and in direct-to-customer marketing and outreach</w:t>
      </w:r>
      <w:r>
        <w:t>.</w:t>
      </w:r>
    </w:p>
    <w:p w:rsidRPr="000A29F9" w:rsidR="000C1980" w:rsidP="00402362" w:rsidRDefault="000C1980" w14:paraId="66DF3D32" w14:textId="77777777">
      <w:pPr>
        <w:pStyle w:val="ListBullet"/>
      </w:pPr>
      <w:r w:rsidRPr="000A29F9">
        <w:t>Clearly state on income-qualified program marketing materials that SCE does not inquire about the citizenship or legal status of customers, nor share customer information with outside groups or agencies</w:t>
      </w:r>
      <w:r w:rsidRPr="00DD30EE">
        <w:t>.</w:t>
      </w:r>
      <w:r w:rsidRPr="00DD30EE">
        <w:rPr>
          <w:vertAlign w:val="superscript"/>
        </w:rPr>
        <w:footnoteReference w:id="252"/>
      </w:r>
    </w:p>
    <w:p w:rsidRPr="000A29F9" w:rsidR="000C1980" w:rsidP="00402362" w:rsidRDefault="000C1980" w14:paraId="1D3B867A" w14:textId="77777777">
      <w:pPr>
        <w:pStyle w:val="ListBullet"/>
      </w:pPr>
      <w:r w:rsidRPr="000A29F9">
        <w:t>Unbundle the marketing of CARE and FERA, which, combined with self- certification of income eligibility may incentivize customers to apply for CARE instead of FERA due to the larger discount.</w:t>
      </w:r>
    </w:p>
    <w:p w:rsidRPr="000A29F9" w:rsidR="000C1980" w:rsidP="00402362" w:rsidRDefault="000C1980" w14:paraId="0FA2AB99" w14:textId="77777777">
      <w:pPr>
        <w:pStyle w:val="ListBullet"/>
      </w:pPr>
      <w:r w:rsidRPr="000A29F9">
        <w:t xml:space="preserve">Implement a telemarketing pilot aimed at nurturing customers who receive a FERA direct mail letter, </w:t>
      </w:r>
      <w:r w:rsidRPr="00021767">
        <w:t>but elect not to enroll at first, and provide individualized education regarding the FERA discount and identify other issues or concerns.</w:t>
      </w:r>
      <w:r w:rsidRPr="00021767">
        <w:rPr>
          <w:vertAlign w:val="superscript"/>
        </w:rPr>
        <w:footnoteReference w:id="253"/>
      </w:r>
    </w:p>
    <w:p w:rsidR="000C1980" w:rsidP="00402362" w:rsidRDefault="000C1980" w14:paraId="6E9DC5AD" w14:textId="77777777">
      <w:pPr>
        <w:pStyle w:val="ListBullet"/>
      </w:pPr>
      <w:r w:rsidRPr="000A29F9">
        <w:lastRenderedPageBreak/>
        <w:t>Augment</w:t>
      </w:r>
      <w:r>
        <w:t xml:space="preserve"> the</w:t>
      </w:r>
      <w:r w:rsidRPr="000A29F9">
        <w:t xml:space="preserve"> IVR system to promote FERA to customers who call the customer support center seeking payment arrangements or payment extensions</w:t>
      </w:r>
      <w:r w:rsidRPr="00021767">
        <w:t>.</w:t>
      </w:r>
      <w:r w:rsidRPr="00021767">
        <w:rPr>
          <w:vertAlign w:val="superscript"/>
        </w:rPr>
        <w:footnoteReference w:id="254"/>
      </w:r>
    </w:p>
    <w:p w:rsidRPr="00DD30EE" w:rsidR="000C1980" w:rsidP="00402362" w:rsidRDefault="000C1980" w14:paraId="35B5676C" w14:textId="77777777">
      <w:pPr>
        <w:pStyle w:val="ListBullet"/>
      </w:pPr>
      <w:r>
        <w:t>L</w:t>
      </w:r>
      <w:r w:rsidRPr="00DD30EE">
        <w:t>everag</w:t>
      </w:r>
      <w:r>
        <w:t>e</w:t>
      </w:r>
      <w:r w:rsidRPr="00DD30EE">
        <w:t xml:space="preserve"> the USPS informed delivery service to include incremental CARE and FERA messaging on in-bound email to eligible and enrolled customers.</w:t>
      </w:r>
    </w:p>
    <w:p w:rsidR="000C1980" w:rsidP="00402362" w:rsidRDefault="000C1980" w14:paraId="0B4D7188" w14:textId="77777777">
      <w:pPr>
        <w:pStyle w:val="ListBullet"/>
      </w:pPr>
      <w:r>
        <w:t>C</w:t>
      </w:r>
      <w:r w:rsidRPr="00021767">
        <w:t>ontinue partner</w:t>
      </w:r>
      <w:r>
        <w:t>ing</w:t>
      </w:r>
      <w:r w:rsidRPr="00021767">
        <w:t xml:space="preserve"> with community and faith-based organizations to inform customers about FERA, and to identify barriers and objections encountered during field work that prevent enrollment.</w:t>
      </w:r>
      <w:r w:rsidRPr="00021767">
        <w:rPr>
          <w:vertAlign w:val="superscript"/>
        </w:rPr>
        <w:footnoteReference w:id="255"/>
      </w:r>
      <w:r w:rsidRPr="00021767">
        <w:t xml:space="preserve">  </w:t>
      </w:r>
    </w:p>
    <w:p w:rsidR="000C1980" w:rsidP="001968DC" w:rsidRDefault="000C1980" w14:paraId="350912F9" w14:textId="77777777">
      <w:pPr>
        <w:pStyle w:val="Heading3"/>
        <w:ind w:left="2664"/>
      </w:pPr>
      <w:bookmarkStart w:name="_Toc69947863" w:id="182"/>
      <w:r>
        <w:t>SDG&amp;E Proposal</w:t>
      </w:r>
      <w:bookmarkEnd w:id="182"/>
    </w:p>
    <w:p w:rsidRPr="00840514" w:rsidR="000C1980" w:rsidP="001F6BDD" w:rsidRDefault="000C1980" w14:paraId="3829A683" w14:textId="77777777">
      <w:pPr>
        <w:pStyle w:val="Standard"/>
      </w:pPr>
      <w:r>
        <w:t>Although SDG&amp;E</w:t>
      </w:r>
      <w:r w:rsidRPr="00403B29">
        <w:t xml:space="preserve"> </w:t>
      </w:r>
      <w:r>
        <w:t xml:space="preserve">will utilize marketing and outreach </w:t>
      </w:r>
      <w:r w:rsidRPr="00403B29">
        <w:t>lessons learned from SDG&amp;E’s CARE program</w:t>
      </w:r>
      <w:r>
        <w:t>,</w:t>
      </w:r>
      <w:r w:rsidRPr="00403B29">
        <w:rPr>
          <w:vertAlign w:val="superscript"/>
        </w:rPr>
        <w:footnoteReference w:id="256"/>
      </w:r>
      <w:r>
        <w:t xml:space="preserve"> SDG&amp;E states that its 2021-2026 marketing strategy will </w:t>
      </w:r>
      <w:r w:rsidRPr="007746B6">
        <w:t>move the program away from being a “follow up program” for customers that do not qualify for CARE toward actively promoting FERA as a targeted offer to non-</w:t>
      </w:r>
      <w:r w:rsidRPr="001F6BDD">
        <w:t>qualifying</w:t>
      </w:r>
      <w:r w:rsidRPr="007746B6">
        <w:t xml:space="preserve"> CARE customers</w:t>
      </w:r>
      <w:r>
        <w:t>.</w:t>
      </w:r>
      <w:r w:rsidRPr="00772181">
        <w:rPr>
          <w:vertAlign w:val="superscript"/>
        </w:rPr>
        <w:t xml:space="preserve"> </w:t>
      </w:r>
      <w:r w:rsidRPr="007746B6">
        <w:rPr>
          <w:vertAlign w:val="superscript"/>
        </w:rPr>
        <w:footnoteReference w:id="257"/>
      </w:r>
      <w:r w:rsidRPr="00772181">
        <w:t xml:space="preserve"> </w:t>
      </w:r>
      <w:r>
        <w:t xml:space="preserve"> </w:t>
      </w:r>
      <w:r w:rsidRPr="00840514">
        <w:t>SDG&amp;E</w:t>
      </w:r>
      <w:r>
        <w:t>’s</w:t>
      </w:r>
      <w:r w:rsidRPr="00840514">
        <w:t xml:space="preserve"> </w:t>
      </w:r>
      <w:r>
        <w:t xml:space="preserve">new </w:t>
      </w:r>
      <w:r w:rsidRPr="00840514">
        <w:t>FERA marketing and outreach strategies</w:t>
      </w:r>
      <w:r>
        <w:t xml:space="preserve"> include the following efforts:</w:t>
      </w:r>
      <w:r w:rsidRPr="00840514">
        <w:rPr>
          <w:vertAlign w:val="superscript"/>
        </w:rPr>
        <w:footnoteReference w:id="258"/>
      </w:r>
    </w:p>
    <w:p w:rsidRPr="00840514" w:rsidR="000C1980" w:rsidP="00402362" w:rsidRDefault="000C1980" w14:paraId="30E5B114" w14:textId="77777777">
      <w:pPr>
        <w:pStyle w:val="ListBullet"/>
      </w:pPr>
      <w:r w:rsidRPr="00840514">
        <w:t>Promote FERA as a stand-alone program to targeted households while leveraging the established ME&amp;O tactics from the CARE program</w:t>
      </w:r>
      <w:r>
        <w:t>.</w:t>
      </w:r>
    </w:p>
    <w:p w:rsidRPr="00840514" w:rsidR="000C1980" w:rsidP="00402362" w:rsidRDefault="000C1980" w14:paraId="76C71CA9" w14:textId="77777777">
      <w:pPr>
        <w:pStyle w:val="ListBullet"/>
      </w:pPr>
      <w:r>
        <w:t>Use c</w:t>
      </w:r>
      <w:r w:rsidRPr="00840514">
        <w:t xml:space="preserve">ustomer segmentation and data analysis including PRIZM and Athens </w:t>
      </w:r>
      <w:r>
        <w:t>r</w:t>
      </w:r>
      <w:r w:rsidRPr="00840514">
        <w:t>esearch data to help identify and reach the FERA eligible populations</w:t>
      </w:r>
      <w:r>
        <w:t>.</w:t>
      </w:r>
      <w:r>
        <w:rPr>
          <w:rStyle w:val="FootnoteReference"/>
        </w:rPr>
        <w:footnoteReference w:id="259"/>
      </w:r>
      <w:r>
        <w:t xml:space="preserve"> </w:t>
      </w:r>
    </w:p>
    <w:p w:rsidRPr="00840514" w:rsidR="000C1980" w:rsidP="00402362" w:rsidRDefault="000C1980" w14:paraId="4FA37BC6" w14:textId="77777777">
      <w:pPr>
        <w:pStyle w:val="ListBullet"/>
      </w:pPr>
      <w:r>
        <w:t>L</w:t>
      </w:r>
      <w:r w:rsidRPr="00840514">
        <w:t xml:space="preserve">everage existing CARE partnerships to create distinct FERA campaigns that include, but are not limited to, the following </w:t>
      </w:r>
      <w:r w:rsidRPr="00840514">
        <w:lastRenderedPageBreak/>
        <w:t xml:space="preserve">tactics: Live Call Campaigns, Capitation Agencies, and messaging through SDG&amp;E’s Energy Solutions Partner network. </w:t>
      </w:r>
    </w:p>
    <w:p w:rsidRPr="00463287" w:rsidR="000C1980" w:rsidP="00402362" w:rsidRDefault="000C1980" w14:paraId="4DD048D9" w14:textId="77777777">
      <w:pPr>
        <w:pStyle w:val="ListBullet"/>
      </w:pPr>
      <w:r w:rsidRPr="00840514">
        <w:t>Copy a CARE direct marketing effort started in 2016 to send FERA-eligible households a bill comparison that shows the household’s utility bill from the last 12 months compared to the household’s utility bill if the customer qualified for the FERA discount.</w:t>
      </w:r>
      <w:r w:rsidRPr="00840514">
        <w:rPr>
          <w:vertAlign w:val="superscript"/>
        </w:rPr>
        <w:footnoteReference w:id="260"/>
      </w:r>
      <w:r w:rsidRPr="00840514">
        <w:t xml:space="preserve"> </w:t>
      </w:r>
    </w:p>
    <w:p w:rsidR="000C1980" w:rsidP="001968DC" w:rsidRDefault="000C1980" w14:paraId="4A879894" w14:textId="77777777">
      <w:pPr>
        <w:pStyle w:val="Heading3"/>
        <w:ind w:left="2664"/>
      </w:pPr>
      <w:bookmarkStart w:name="_Toc69947864" w:id="183"/>
      <w:r>
        <w:t>Party Positions</w:t>
      </w:r>
      <w:bookmarkEnd w:id="183"/>
      <w:r>
        <w:t xml:space="preserve"> </w:t>
      </w:r>
    </w:p>
    <w:p w:rsidR="000C1980" w:rsidP="001968DC" w:rsidRDefault="000C1980" w14:paraId="4EF5473F" w14:textId="77777777">
      <w:pPr>
        <w:pStyle w:val="Heading4"/>
        <w:ind w:left="3600"/>
      </w:pPr>
      <w:bookmarkStart w:name="_Toc69947865" w:id="184"/>
      <w:r>
        <w:t>Cal Advocates</w:t>
      </w:r>
      <w:bookmarkEnd w:id="184"/>
      <w:r>
        <w:t xml:space="preserve"> </w:t>
      </w:r>
    </w:p>
    <w:p w:rsidRPr="008623BD" w:rsidR="000C1980" w:rsidP="00402362" w:rsidRDefault="000C1980" w14:paraId="32BB21CA" w14:textId="01EC73DA">
      <w:pPr>
        <w:pStyle w:val="Standard"/>
      </w:pPr>
      <w:r w:rsidRPr="006F1CB4">
        <w:rPr>
          <w:b/>
          <w:bCs/>
          <w:i/>
          <w:iCs/>
          <w:u w:val="single"/>
        </w:rPr>
        <w:t>Reasonableness of ME&amp;O:</w:t>
      </w:r>
      <w:r>
        <w:t xml:space="preserve"> </w:t>
      </w:r>
      <w:r w:rsidR="00354202">
        <w:t xml:space="preserve"> </w:t>
      </w:r>
      <w:r w:rsidRPr="008623BD">
        <w:t>Cal Advocates notes that FERA marketing and outreach programs and verification procedures must reasonably balance the need to serve the maximum number of eligible households with the need to verify that those enrolled in the program are eligible in a cost-effective manner.</w:t>
      </w:r>
      <w:r w:rsidRPr="008623BD">
        <w:rPr>
          <w:vertAlign w:val="superscript"/>
        </w:rPr>
        <w:footnoteReference w:id="261"/>
      </w:r>
      <w:r>
        <w:t xml:space="preserve"> </w:t>
      </w:r>
    </w:p>
    <w:p w:rsidR="000C1980" w:rsidP="001968DC" w:rsidRDefault="000C1980" w14:paraId="500C1D6C" w14:textId="77777777">
      <w:pPr>
        <w:pStyle w:val="Heading4"/>
        <w:ind w:left="3600"/>
      </w:pPr>
      <w:bookmarkStart w:name="_Toc69947866" w:id="185"/>
      <w:proofErr w:type="spellStart"/>
      <w:r>
        <w:t>Enervee</w:t>
      </w:r>
      <w:bookmarkEnd w:id="185"/>
      <w:proofErr w:type="spellEnd"/>
    </w:p>
    <w:p w:rsidR="000C1980" w:rsidP="00402362" w:rsidRDefault="000C1980" w14:paraId="301A68E1" w14:textId="5E30F3CE">
      <w:pPr>
        <w:pStyle w:val="Standard"/>
      </w:pPr>
      <w:r>
        <w:rPr>
          <w:b/>
          <w:bCs/>
          <w:i/>
          <w:iCs/>
          <w:u w:val="single"/>
        </w:rPr>
        <w:t xml:space="preserve">Establishment of an </w:t>
      </w:r>
      <w:r w:rsidRPr="0055211F">
        <w:rPr>
          <w:b/>
          <w:bCs/>
          <w:i/>
          <w:iCs/>
          <w:u w:val="single"/>
        </w:rPr>
        <w:t>Online Marketplace:</w:t>
      </w:r>
      <w:r>
        <w:t xml:space="preserve"> </w:t>
      </w:r>
      <w:r w:rsidR="00354202">
        <w:t xml:space="preserve"> </w:t>
      </w:r>
      <w:proofErr w:type="spellStart"/>
      <w:r w:rsidRPr="008623BD">
        <w:t>Enervee</w:t>
      </w:r>
      <w:proofErr w:type="spellEnd"/>
      <w:r w:rsidRPr="008623BD">
        <w:t xml:space="preserve"> recommends that </w:t>
      </w:r>
      <w:r>
        <w:t>the</w:t>
      </w:r>
      <w:r w:rsidRPr="008623BD">
        <w:t xml:space="preserve"> IOUs should implement strategies to ensure that low</w:t>
      </w:r>
      <w:r>
        <w:t xml:space="preserve"> </w:t>
      </w:r>
      <w:r w:rsidRPr="008623BD">
        <w:t>income persons have product selection options and information necessary to avoid driving up their plug-load energy use</w:t>
      </w:r>
      <w:r>
        <w:t>,</w:t>
      </w:r>
      <w:r w:rsidRPr="008623BD">
        <w:rPr>
          <w:vertAlign w:val="superscript"/>
        </w:rPr>
        <w:footnoteReference w:id="262"/>
      </w:r>
      <w:r w:rsidRPr="008623BD">
        <w:t xml:space="preserve"> and </w:t>
      </w:r>
      <w:r>
        <w:t>s</w:t>
      </w:r>
      <w:r w:rsidRPr="008623BD">
        <w:t>uggest</w:t>
      </w:r>
      <w:r>
        <w:t>s</w:t>
      </w:r>
      <w:r w:rsidRPr="008623BD">
        <w:t xml:space="preserve"> that FERA recipients are currently underserved by the current energy efficiency portfolio.</w:t>
      </w:r>
      <w:r w:rsidRPr="008623BD">
        <w:rPr>
          <w:vertAlign w:val="superscript"/>
        </w:rPr>
        <w:footnoteReference w:id="263"/>
      </w:r>
      <w:r w:rsidRPr="008623BD">
        <w:t xml:space="preserve"> </w:t>
      </w:r>
      <w:r>
        <w:t xml:space="preserve"> </w:t>
      </w:r>
      <w:proofErr w:type="spellStart"/>
      <w:r w:rsidRPr="008623BD">
        <w:t>Enervee</w:t>
      </w:r>
      <w:proofErr w:type="spellEnd"/>
      <w:r w:rsidRPr="008623BD">
        <w:t xml:space="preserve"> also notes that current online marketplaces used by the IOUs offer ad space that can be used to cross promote ESA programming and CARE and FERA enrollment.</w:t>
      </w:r>
      <w:r w:rsidRPr="008623BD">
        <w:rPr>
          <w:vertAlign w:val="superscript"/>
        </w:rPr>
        <w:footnoteReference w:id="264"/>
      </w:r>
      <w:r w:rsidRPr="008623BD">
        <w:t xml:space="preserve"> </w:t>
      </w:r>
      <w:r w:rsidR="00354202">
        <w:t xml:space="preserve"> </w:t>
      </w:r>
      <w:proofErr w:type="spellStart"/>
      <w:r w:rsidR="00765E8E">
        <w:t>Enervee</w:t>
      </w:r>
      <w:proofErr w:type="spellEnd"/>
      <w:r w:rsidR="00765E8E">
        <w:t xml:space="preserve"> further recommends that </w:t>
      </w:r>
      <w:r w:rsidR="00CD6C84">
        <w:t>the IOUs</w:t>
      </w:r>
      <w:r w:rsidRPr="00244151" w:rsidR="00244151">
        <w:t xml:space="preserve"> conduct a study </w:t>
      </w:r>
      <w:r w:rsidR="00244151">
        <w:t xml:space="preserve">to </w:t>
      </w:r>
      <w:r w:rsidRPr="00244151" w:rsidR="00244151">
        <w:t>understand</w:t>
      </w:r>
      <w:r w:rsidR="00244151">
        <w:t xml:space="preserve"> </w:t>
      </w:r>
      <w:r w:rsidRPr="00244151" w:rsidR="00244151">
        <w:t>how CARE/FERA</w:t>
      </w:r>
      <w:r w:rsidR="00244151">
        <w:t xml:space="preserve"> </w:t>
      </w:r>
      <w:r w:rsidRPr="00244151" w:rsidR="00244151">
        <w:t xml:space="preserve">customers research, choose and purchase energy-using equipment; </w:t>
      </w:r>
      <w:r w:rsidRPr="00244151" w:rsidR="00244151">
        <w:lastRenderedPageBreak/>
        <w:t>the barriers to efficient</w:t>
      </w:r>
      <w:r w:rsidR="00244151">
        <w:t xml:space="preserve"> </w:t>
      </w:r>
      <w:r w:rsidRPr="00244151" w:rsidR="00244151">
        <w:t>purchases they face; and identify gaps in existing program offerings and recommendations to</w:t>
      </w:r>
      <w:r w:rsidR="00244151">
        <w:t xml:space="preserve"> </w:t>
      </w:r>
      <w:r w:rsidRPr="00244151" w:rsidR="00244151">
        <w:t>provide greater buying support.</w:t>
      </w:r>
      <w:r w:rsidR="00AE3C19">
        <w:rPr>
          <w:rStyle w:val="FootnoteReference"/>
        </w:rPr>
        <w:footnoteReference w:id="265"/>
      </w:r>
      <w:r w:rsidRPr="00244151" w:rsidR="00244151">
        <w:t xml:space="preserve"> </w:t>
      </w:r>
      <w:bookmarkStart w:name="_Toc69947867" w:id="186"/>
      <w:r>
        <w:t>Discussion</w:t>
      </w:r>
      <w:bookmarkEnd w:id="186"/>
    </w:p>
    <w:p w:rsidRPr="00CE342B" w:rsidR="000C1980" w:rsidP="001968DC" w:rsidRDefault="000C1980" w14:paraId="00365409" w14:textId="6DDD88E8">
      <w:pPr>
        <w:pStyle w:val="Heading4"/>
        <w:ind w:left="3600"/>
      </w:pPr>
      <w:bookmarkStart w:name="_Toc69947868" w:id="187"/>
      <w:r w:rsidRPr="00CE342B">
        <w:t>General Marketing</w:t>
      </w:r>
      <w:r w:rsidR="0053180E">
        <w:t>, Education</w:t>
      </w:r>
      <w:r w:rsidRPr="00CE342B">
        <w:t xml:space="preserve"> and Outreach Strategies: </w:t>
      </w:r>
      <w:r w:rsidRPr="00CE342B">
        <w:rPr>
          <w:u w:val="single"/>
        </w:rPr>
        <w:t>Approved with Modifications</w:t>
      </w:r>
      <w:bookmarkEnd w:id="187"/>
    </w:p>
    <w:p w:rsidR="000C1980" w:rsidP="00354202" w:rsidRDefault="000C1980" w14:paraId="3F429E02" w14:textId="7203F7D0">
      <w:pPr>
        <w:pStyle w:val="Standard"/>
      </w:pPr>
      <w:r>
        <w:t>We generally</w:t>
      </w:r>
      <w:r w:rsidRPr="00D3195F">
        <w:t xml:space="preserve"> approve </w:t>
      </w:r>
      <w:r>
        <w:t xml:space="preserve">the </w:t>
      </w:r>
      <w:r w:rsidRPr="00D3195F">
        <w:t xml:space="preserve">IOUs’ </w:t>
      </w:r>
      <w:r>
        <w:t>proposed FERA</w:t>
      </w:r>
      <w:r w:rsidRPr="00D3195F">
        <w:t xml:space="preserve"> </w:t>
      </w:r>
      <w:r w:rsidR="007A676F">
        <w:t>ME&amp;O</w:t>
      </w:r>
      <w:r w:rsidRPr="00D3195F">
        <w:t xml:space="preserve"> strategies</w:t>
      </w:r>
      <w:r>
        <w:t xml:space="preserve"> with exceptions and adds new efforts.</w:t>
      </w:r>
      <w:r w:rsidRPr="00D3195F">
        <w:t xml:space="preserve"> </w:t>
      </w:r>
      <w:r>
        <w:t>We</w:t>
      </w:r>
      <w:r w:rsidRPr="00DF7B1F">
        <w:t xml:space="preserve"> commend </w:t>
      </w:r>
      <w:r>
        <w:t xml:space="preserve">each IOU </w:t>
      </w:r>
      <w:r w:rsidRPr="00DF7B1F">
        <w:t xml:space="preserve">for its creative, and strategic approach to </w:t>
      </w:r>
      <w:r>
        <w:t xml:space="preserve">achieving the new </w:t>
      </w:r>
      <w:r w:rsidRPr="00DF7B1F">
        <w:t xml:space="preserve">penetration </w:t>
      </w:r>
      <w:r>
        <w:t xml:space="preserve">goals set for this program and are confident that between implementing strategies that build </w:t>
      </w:r>
      <w:proofErr w:type="gramStart"/>
      <w:r>
        <w:t>off of</w:t>
      </w:r>
      <w:proofErr w:type="gramEnd"/>
      <w:r>
        <w:t xml:space="preserve"> the successes of the CARE marketing and outreach efforts and leveraging relationships with the existing CARE network of CBOs and contractors, the IOUs will be able to achieve the FERA goals set out in this decision.  Additionally, we encourage each IOU to partner with Regional Energy Networks and Community Choice Aggregators in their service territory to further promote FERA.</w:t>
      </w:r>
    </w:p>
    <w:p w:rsidRPr="00D3195F" w:rsidR="000C1980" w:rsidP="00354202" w:rsidRDefault="000C1980" w14:paraId="79B48A2B" w14:textId="77777777">
      <w:pPr>
        <w:pStyle w:val="Standard"/>
      </w:pPr>
      <w:r w:rsidRPr="00DF7B1F">
        <w:t xml:space="preserve">We trust that each IOU has crafted strategies that best tackle their respective service areas’ challenges and </w:t>
      </w:r>
      <w:r>
        <w:t>therefore will</w:t>
      </w:r>
      <w:r w:rsidRPr="00DF7B1F">
        <w:t xml:space="preserve"> not require a statewide implementation of all </w:t>
      </w:r>
      <w:r>
        <w:t xml:space="preserve">the </w:t>
      </w:r>
      <w:r w:rsidRPr="00DF7B1F">
        <w:t>marketing, education and outreach efforts being approved in this decision</w:t>
      </w:r>
      <w:r>
        <w:t xml:space="preserve">.  However, we make note of certain </w:t>
      </w:r>
      <w:r w:rsidRPr="00EE53EB">
        <w:t>strateg</w:t>
      </w:r>
      <w:r>
        <w:t>ies</w:t>
      </w:r>
      <w:r w:rsidRPr="00EE53EB">
        <w:t xml:space="preserve"> that </w:t>
      </w:r>
      <w:r>
        <w:t>we find interesting and worthwhile for other</w:t>
      </w:r>
      <w:r w:rsidRPr="00EE53EB">
        <w:t xml:space="preserve"> IOUs to </w:t>
      </w:r>
      <w:r>
        <w:t xml:space="preserve">implement if not already doing so.  We also deny certain proposals and add new strategies.  </w:t>
      </w:r>
    </w:p>
    <w:p w:rsidRPr="00CE342B" w:rsidR="000C1980" w:rsidP="001968DC" w:rsidRDefault="000C1980" w14:paraId="1E257AE0" w14:textId="77777777">
      <w:pPr>
        <w:pStyle w:val="Heading4"/>
        <w:ind w:left="3600"/>
      </w:pPr>
      <w:bookmarkStart w:name="_Toc69947869" w:id="188"/>
      <w:r w:rsidRPr="00CE342B">
        <w:t xml:space="preserve">PG&amp;E’s FERA Propensity Model: </w:t>
      </w:r>
      <w:r w:rsidRPr="00CE342B">
        <w:rPr>
          <w:u w:val="single"/>
        </w:rPr>
        <w:t>Denied</w:t>
      </w:r>
      <w:bookmarkEnd w:id="188"/>
    </w:p>
    <w:p w:rsidR="000C1980" w:rsidP="00354202" w:rsidRDefault="000C1980" w14:paraId="1EE7A28B" w14:textId="77777777">
      <w:pPr>
        <w:pStyle w:val="Standard"/>
      </w:pPr>
      <w:r>
        <w:t xml:space="preserve">We deny </w:t>
      </w:r>
      <w:r w:rsidRPr="00044ACE">
        <w:t>PG&amp;E</w:t>
      </w:r>
      <w:r>
        <w:t xml:space="preserve">’s </w:t>
      </w:r>
      <w:r w:rsidRPr="00044ACE">
        <w:t>proposal to build a</w:t>
      </w:r>
      <w:r>
        <w:rPr>
          <w:rFonts w:asciiTheme="minorHAnsi" w:hAnsiTheme="minorHAnsi" w:cstheme="minorBidi"/>
          <w:sz w:val="22"/>
          <w:szCs w:val="22"/>
        </w:rPr>
        <w:t xml:space="preserve"> </w:t>
      </w:r>
      <w:r w:rsidRPr="000F092C">
        <w:t xml:space="preserve">FERA-specific </w:t>
      </w:r>
      <w:r>
        <w:t>p</w:t>
      </w:r>
      <w:r w:rsidRPr="000F092C">
        <w:t>ropensity</w:t>
      </w:r>
      <w:r>
        <w:t xml:space="preserve"> model.  PG&amp;E’s application originally budgeted the FERA propensity model at</w:t>
      </w:r>
      <w:r w:rsidRPr="000F092C">
        <w:t xml:space="preserve"> </w:t>
      </w:r>
      <w:r w:rsidRPr="003423AF">
        <w:t xml:space="preserve">$85,000 </w:t>
      </w:r>
      <w:r>
        <w:t xml:space="preserve">to be </w:t>
      </w:r>
      <w:r w:rsidRPr="003423AF">
        <w:t xml:space="preserve">spent between </w:t>
      </w:r>
      <w:r>
        <w:t xml:space="preserve">PYs </w:t>
      </w:r>
      <w:r w:rsidRPr="003423AF">
        <w:t>2021</w:t>
      </w:r>
      <w:r>
        <w:t>-</w:t>
      </w:r>
      <w:r w:rsidRPr="003423AF">
        <w:t>2026.</w:t>
      </w:r>
      <w:r>
        <w:rPr>
          <w:rStyle w:val="FootnoteReference"/>
        </w:rPr>
        <w:footnoteReference w:id="266"/>
      </w:r>
      <w:r w:rsidRPr="003423AF">
        <w:t xml:space="preserve"> </w:t>
      </w:r>
      <w:r>
        <w:t xml:space="preserve"> </w:t>
      </w:r>
      <w:r w:rsidRPr="003423AF">
        <w:t xml:space="preserve">PG&amp;E </w:t>
      </w:r>
      <w:r>
        <w:t xml:space="preserve">later updated the </w:t>
      </w:r>
      <w:r w:rsidRPr="003423AF">
        <w:t xml:space="preserve">estimate for </w:t>
      </w:r>
      <w:r>
        <w:t>the</w:t>
      </w:r>
      <w:r w:rsidRPr="003423AF">
        <w:t xml:space="preserve"> </w:t>
      </w:r>
      <w:r w:rsidRPr="003423AF">
        <w:lastRenderedPageBreak/>
        <w:t xml:space="preserve">FERA </w:t>
      </w:r>
      <w:r>
        <w:t>p</w:t>
      </w:r>
      <w:r w:rsidRPr="003423AF">
        <w:t xml:space="preserve">ropensity </w:t>
      </w:r>
      <w:r>
        <w:t>m</w:t>
      </w:r>
      <w:r w:rsidRPr="003423AF">
        <w:t xml:space="preserve">odel to be closer to $160,000 over </w:t>
      </w:r>
      <w:r>
        <w:t>PYs</w:t>
      </w:r>
      <w:r w:rsidRPr="003423AF">
        <w:t xml:space="preserve"> 2021</w:t>
      </w:r>
      <w:r>
        <w:t>-2</w:t>
      </w:r>
      <w:r w:rsidRPr="003423AF">
        <w:t>026</w:t>
      </w:r>
      <w:r>
        <w:t xml:space="preserve"> via a response to an Energy Division data request</w:t>
      </w:r>
      <w:r w:rsidRPr="003423AF">
        <w:t>.</w:t>
      </w:r>
      <w:r>
        <w:rPr>
          <w:rStyle w:val="FootnoteReference"/>
        </w:rPr>
        <w:footnoteReference w:id="267"/>
      </w:r>
      <w:r>
        <w:t xml:space="preserve">  </w:t>
      </w:r>
      <w:r w:rsidRPr="003423AF">
        <w:t xml:space="preserve">PG&amp;E </w:t>
      </w:r>
      <w:r>
        <w:t xml:space="preserve">was ordered in its 2018 </w:t>
      </w:r>
      <w:r w:rsidRPr="003423AF">
        <w:t>GRC</w:t>
      </w:r>
      <w:r>
        <w:t xml:space="preserve"> </w:t>
      </w:r>
      <w:r w:rsidRPr="003423AF">
        <w:t>to “[enhance] the CARE propensity model to more precisely identify FERA-eligible customers</w:t>
      </w:r>
      <w:r>
        <w:t>.</w:t>
      </w:r>
      <w:r w:rsidRPr="003423AF">
        <w:t>”</w:t>
      </w:r>
      <w:r w:rsidRPr="003423AF">
        <w:rPr>
          <w:vertAlign w:val="superscript"/>
        </w:rPr>
        <w:footnoteReference w:id="268"/>
      </w:r>
      <w:r w:rsidRPr="003423AF">
        <w:t xml:space="preserve"> </w:t>
      </w:r>
      <w:r>
        <w:t xml:space="preserve"> Through </w:t>
      </w:r>
      <w:r w:rsidRPr="003423AF">
        <w:t>PG&amp;E</w:t>
      </w:r>
      <w:r>
        <w:t>’s</w:t>
      </w:r>
      <w:r w:rsidRPr="003423AF">
        <w:t xml:space="preserve"> Mid-Cycle Advice </w:t>
      </w:r>
      <w:r>
        <w:t xml:space="preserve">Letter </w:t>
      </w:r>
      <w:r w:rsidRPr="003423AF">
        <w:t>3990-G-B/5329-E-B</w:t>
      </w:r>
      <w:r>
        <w:t>, PG&amp;E</w:t>
      </w:r>
      <w:r w:rsidRPr="003423AF">
        <w:t xml:space="preserve"> laid out how this</w:t>
      </w:r>
      <w:r>
        <w:t xml:space="preserve"> would be </w:t>
      </w:r>
      <w:r w:rsidRPr="003423AF">
        <w:t xml:space="preserve">accomplished </w:t>
      </w:r>
      <w:r>
        <w:t>by overlying filters on its CARE propensity model for household size and income that aligns with FERA program requirements</w:t>
      </w:r>
      <w:r w:rsidRPr="003423AF">
        <w:t>.</w:t>
      </w:r>
      <w:r>
        <w:t xml:space="preserve">  The advice letter was approved on January 4, </w:t>
      </w:r>
      <w:proofErr w:type="gramStart"/>
      <w:r>
        <w:t>2019</w:t>
      </w:r>
      <w:proofErr w:type="gramEnd"/>
      <w:r>
        <w:t xml:space="preserve"> with an approved FERA marketing and outreach budget of over $2 million dollars between 2018 to 2020. However, the cost for updating the existing probability model to also include </w:t>
      </w:r>
      <w:r w:rsidRPr="003423AF">
        <w:t>identif</w:t>
      </w:r>
      <w:r>
        <w:t>ying</w:t>
      </w:r>
      <w:r w:rsidRPr="003423AF">
        <w:t xml:space="preserve"> FERA-eligible customers</w:t>
      </w:r>
      <w:r>
        <w:t xml:space="preserve"> was not defined. </w:t>
      </w:r>
    </w:p>
    <w:p w:rsidR="000C1980" w:rsidP="00354202" w:rsidRDefault="000C1980" w14:paraId="375366B1" w14:textId="10D16560">
      <w:pPr>
        <w:pStyle w:val="Standard"/>
      </w:pPr>
      <w:r w:rsidRPr="003423AF">
        <w:t xml:space="preserve">PG&amp;E </w:t>
      </w:r>
      <w:r>
        <w:t xml:space="preserve">has not sufficiently </w:t>
      </w:r>
      <w:r w:rsidR="001D67CB">
        <w:t>justified</w:t>
      </w:r>
      <w:r w:rsidRPr="003423AF" w:rsidR="001D67CB">
        <w:t xml:space="preserve"> </w:t>
      </w:r>
      <w:r w:rsidRPr="003423AF">
        <w:t xml:space="preserve">why </w:t>
      </w:r>
      <w:r>
        <w:t>the</w:t>
      </w:r>
      <w:r w:rsidRPr="003423AF">
        <w:t xml:space="preserve"> current CARE propensity model </w:t>
      </w:r>
      <w:r>
        <w:t xml:space="preserve">cannot be built upon to include </w:t>
      </w:r>
      <w:r w:rsidRPr="003423AF">
        <w:t>FERA customer targeting</w:t>
      </w:r>
      <w:r w:rsidRPr="009F47AD">
        <w:t xml:space="preserve"> </w:t>
      </w:r>
      <w:r>
        <w:t>or</w:t>
      </w:r>
      <w:r w:rsidRPr="003423AF">
        <w:t xml:space="preserve"> why the previous </w:t>
      </w:r>
      <w:r>
        <w:t xml:space="preserve">authorized </w:t>
      </w:r>
      <w:r w:rsidRPr="003423AF">
        <w:t xml:space="preserve">unspent CARE funds </w:t>
      </w:r>
      <w:r>
        <w:t xml:space="preserve">allocated for </w:t>
      </w:r>
      <w:r w:rsidRPr="003423AF">
        <w:t>model</w:t>
      </w:r>
      <w:r>
        <w:t>ing</w:t>
      </w:r>
      <w:r w:rsidRPr="003423AF">
        <w:t xml:space="preserve"> </w:t>
      </w:r>
      <w:r>
        <w:t xml:space="preserve">updates </w:t>
      </w:r>
      <w:r w:rsidRPr="003423AF">
        <w:t xml:space="preserve">to handle FERA customer targeting </w:t>
      </w:r>
      <w:r>
        <w:t xml:space="preserve">is inadequate.  Therefore, we are not convinced that a FERA specific model </w:t>
      </w:r>
      <w:r w:rsidR="00FF46D2">
        <w:t xml:space="preserve">is necessary </w:t>
      </w:r>
      <w:r>
        <w:t xml:space="preserve">when it appears that the current CARE model can be updated to include FERA targeting, and already </w:t>
      </w:r>
      <w:r w:rsidR="00437BBD">
        <w:t>has funding</w:t>
      </w:r>
      <w:r w:rsidR="00BA7BFC">
        <w:t xml:space="preserve"> </w:t>
      </w:r>
      <w:r>
        <w:t xml:space="preserve">authorized for such updates.  This request is denied. </w:t>
      </w:r>
      <w:r w:rsidRPr="003423AF">
        <w:t xml:space="preserve">  </w:t>
      </w:r>
    </w:p>
    <w:p w:rsidRPr="003423AF" w:rsidR="000F7B09" w:rsidP="00354202" w:rsidRDefault="000F7B09" w14:paraId="29B3F56B" w14:textId="7B5B4477">
      <w:pPr>
        <w:pStyle w:val="Standard"/>
      </w:pPr>
      <w:r w:rsidRPr="006C448B">
        <w:t xml:space="preserve">However, PG&amp;E </w:t>
      </w:r>
      <w:r w:rsidR="00301C2A">
        <w:t>may</w:t>
      </w:r>
      <w:r w:rsidRPr="006C448B">
        <w:t xml:space="preserve"> submit a Tier 2 Advice Letter </w:t>
      </w:r>
      <w:r w:rsidR="00CF4370">
        <w:t>to request</w:t>
      </w:r>
      <w:r w:rsidRPr="006C448B">
        <w:t xml:space="preserve"> reallocation of authorized FERA ME&amp;O funds </w:t>
      </w:r>
      <w:r w:rsidR="00DB7F10">
        <w:t>for</w:t>
      </w:r>
      <w:r w:rsidRPr="006C448B">
        <w:t xml:space="preserve"> this effort, if necessary</w:t>
      </w:r>
      <w:r>
        <w:t xml:space="preserve">. </w:t>
      </w:r>
      <w:r w:rsidR="00261EDD">
        <w:t>At a minimum, t</w:t>
      </w:r>
      <w:r w:rsidR="00DB7F10">
        <w:t>he</w:t>
      </w:r>
      <w:r w:rsidRPr="00ED0B82">
        <w:t xml:space="preserve"> advice letter </w:t>
      </w:r>
      <w:r w:rsidR="00DB7F10">
        <w:t>should include</w:t>
      </w:r>
      <w:r w:rsidRPr="00ED0B82">
        <w:t xml:space="preserve"> the amount </w:t>
      </w:r>
      <w:r w:rsidR="00DB7F10">
        <w:t>being</w:t>
      </w:r>
      <w:r w:rsidRPr="00ED0B82">
        <w:t xml:space="preserve"> reallocate </w:t>
      </w:r>
      <w:r w:rsidR="00261EDD">
        <w:t xml:space="preserve">by year </w:t>
      </w:r>
      <w:r w:rsidR="00DB7F10">
        <w:t xml:space="preserve">from </w:t>
      </w:r>
      <w:r w:rsidRPr="00ED0B82">
        <w:t>authorized FERA ME&amp;O budgets for a FERA propensity model</w:t>
      </w:r>
      <w:r w:rsidR="007F6FF9">
        <w:t xml:space="preserve">, not to </w:t>
      </w:r>
      <w:r w:rsidRPr="00ED0B82">
        <w:t xml:space="preserve">exceed $160,000, </w:t>
      </w:r>
      <w:r w:rsidR="00261EDD">
        <w:t>a</w:t>
      </w:r>
      <w:r w:rsidRPr="00ED0B82">
        <w:t xml:space="preserve"> compari</w:t>
      </w:r>
      <w:r w:rsidR="00261EDD">
        <w:t>son of</w:t>
      </w:r>
      <w:r w:rsidRPr="00ED0B82">
        <w:t xml:space="preserve"> the old CARE propensity model with FERA-overlay to the new </w:t>
      </w:r>
      <w:r w:rsidRPr="00ED0B82">
        <w:lastRenderedPageBreak/>
        <w:t xml:space="preserve">FERA propensity </w:t>
      </w:r>
      <w:r w:rsidRPr="00ED0B82" w:rsidR="00301C2A">
        <w:t>model</w:t>
      </w:r>
      <w:r w:rsidR="00261EDD">
        <w:t xml:space="preserve">, a description of </w:t>
      </w:r>
      <w:r w:rsidRPr="00ED0B82">
        <w:t>how the new model will improve FERA targeting and increase FERA enrollment</w:t>
      </w:r>
      <w:r w:rsidR="00261EDD">
        <w:t>, and a</w:t>
      </w:r>
      <w:r w:rsidRPr="00ED0B82">
        <w:t xml:space="preserve"> descri</w:t>
      </w:r>
      <w:r w:rsidR="00261EDD">
        <w:t>ption of</w:t>
      </w:r>
      <w:r w:rsidRPr="00ED0B82">
        <w:t xml:space="preserve"> how the reallocated funds will be used </w:t>
      </w:r>
      <w:r>
        <w:t>to maintain and update</w:t>
      </w:r>
      <w:r w:rsidRPr="00ED0B82">
        <w:t xml:space="preserve"> the FERA propensity model</w:t>
      </w:r>
      <w:r w:rsidR="00301C2A">
        <w:t>.</w:t>
      </w:r>
    </w:p>
    <w:p w:rsidRPr="00CE342B" w:rsidR="000C1980" w:rsidP="001968DC" w:rsidRDefault="000C1980" w14:paraId="159776FC" w14:textId="77777777">
      <w:pPr>
        <w:pStyle w:val="Heading4"/>
        <w:ind w:left="3600"/>
      </w:pPr>
      <w:bookmarkStart w:name="_Toc69947870" w:id="189"/>
      <w:r w:rsidRPr="00CE342B">
        <w:t xml:space="preserve">New FERA Capitation Fee $30: </w:t>
      </w:r>
      <w:r w:rsidRPr="00CE342B">
        <w:rPr>
          <w:u w:val="single"/>
        </w:rPr>
        <w:t>Approved</w:t>
      </w:r>
      <w:bookmarkEnd w:id="189"/>
      <w:r w:rsidRPr="00CE342B">
        <w:t xml:space="preserve"> </w:t>
      </w:r>
    </w:p>
    <w:p w:rsidR="000C1980" w:rsidP="00354202" w:rsidRDefault="000C1980" w14:paraId="6EBC5D7D" w14:textId="5D0CF3AB">
      <w:pPr>
        <w:pStyle w:val="Standard"/>
      </w:pPr>
      <w:r w:rsidRPr="003F42E3">
        <w:t xml:space="preserve">We approve </w:t>
      </w:r>
      <w:r w:rsidR="007A676F">
        <w:t>establishing</w:t>
      </w:r>
      <w:r>
        <w:t xml:space="preserve"> a </w:t>
      </w:r>
      <w:r w:rsidRPr="00081862">
        <w:t xml:space="preserve">capitation </w:t>
      </w:r>
      <w:r>
        <w:t xml:space="preserve">program for FERA </w:t>
      </w:r>
      <w:proofErr w:type="gramStart"/>
      <w:r>
        <w:t>similar to</w:t>
      </w:r>
      <w:proofErr w:type="gramEnd"/>
      <w:r>
        <w:t xml:space="preserve"> the CARE capitation program and approve a reimbursement rate of up to $30 per enrollment.  A reimbursement rate of up to $30 per enrollment will a</w:t>
      </w:r>
      <w:r w:rsidRPr="003265DD">
        <w:t>lign FERA</w:t>
      </w:r>
      <w:r>
        <w:t xml:space="preserve"> with the CARE </w:t>
      </w:r>
      <w:r w:rsidRPr="003265DD">
        <w:t xml:space="preserve">program </w:t>
      </w:r>
      <w:r>
        <w:t>and</w:t>
      </w:r>
      <w:r w:rsidRPr="003265DD">
        <w:t xml:space="preserve"> </w:t>
      </w:r>
      <w:r>
        <w:t>will</w:t>
      </w:r>
      <w:r w:rsidRPr="003265DD">
        <w:t xml:space="preserve"> provide the IOUs and CBOs with the tools they need increase their FERA enrollments</w:t>
      </w:r>
      <w:r>
        <w:t>.  A rate of up to $30 per enrollment is a reasonable reimbursement rate</w:t>
      </w:r>
      <w:r w:rsidRPr="00F76E15">
        <w:t xml:space="preserve"> </w:t>
      </w:r>
      <w:r>
        <w:t xml:space="preserve">as discussed in Section 5.2.6.  </w:t>
      </w:r>
      <w:r w:rsidRPr="003F42E3">
        <w:t xml:space="preserve">While not all the IOUs sought </w:t>
      </w:r>
      <w:r>
        <w:t>a separate FERA enrollment capitation program, or reimbursement rate, we recognize the benefits of the program and therefore</w:t>
      </w:r>
      <w:r w:rsidRPr="003F42E3">
        <w:t xml:space="preserve">, we </w:t>
      </w:r>
      <w:r>
        <w:t xml:space="preserve">require all the IOUs to implement a FERA capitation program at reimbursement rates </w:t>
      </w:r>
      <w:r w:rsidRPr="0070593D">
        <w:t>of up to</w:t>
      </w:r>
      <w:r w:rsidRPr="003F42E3">
        <w:t xml:space="preserve"> $30 per </w:t>
      </w:r>
      <w:r>
        <w:t xml:space="preserve">FERA </w:t>
      </w:r>
      <w:r w:rsidRPr="003F42E3">
        <w:t xml:space="preserve">enrollment. </w:t>
      </w:r>
    </w:p>
    <w:p w:rsidRPr="003F42E3" w:rsidR="000C1980" w:rsidP="00354202" w:rsidRDefault="000C1980" w14:paraId="4B5B6A3D" w14:textId="63539388">
      <w:pPr>
        <w:pStyle w:val="Standard"/>
      </w:pPr>
      <w:r>
        <w:t xml:space="preserve">Given that </w:t>
      </w:r>
      <w:r w:rsidRPr="003265DD">
        <w:t>CARE capitation fees ha</w:t>
      </w:r>
      <w:r>
        <w:t>ve historically accounted for</w:t>
      </w:r>
      <w:r w:rsidRPr="003265DD">
        <w:t xml:space="preserve"> less than 1</w:t>
      </w:r>
      <w:r>
        <w:t> </w:t>
      </w:r>
      <w:r w:rsidRPr="0026503D">
        <w:t>percent</w:t>
      </w:r>
      <w:r w:rsidRPr="003265DD">
        <w:t xml:space="preserve"> of the IOUs authorized </w:t>
      </w:r>
      <w:r w:rsidR="0070593D">
        <w:t>o</w:t>
      </w:r>
      <w:r w:rsidRPr="003265DD">
        <w:t>utreach budgets</w:t>
      </w:r>
      <w:r>
        <w:t>,</w:t>
      </w:r>
      <w:r w:rsidRPr="003265DD">
        <w:rPr>
          <w:vertAlign w:val="superscript"/>
        </w:rPr>
        <w:footnoteReference w:id="269"/>
      </w:r>
      <w:r w:rsidRPr="003265DD">
        <w:t xml:space="preserve"> </w:t>
      </w:r>
      <w:r>
        <w:t xml:space="preserve">no additional funding will be authorized as each IOU should have sufficient funding on in their existing </w:t>
      </w:r>
      <w:r w:rsidRPr="003265DD">
        <w:t xml:space="preserve">FERA </w:t>
      </w:r>
      <w:r w:rsidR="0070593D">
        <w:t>o</w:t>
      </w:r>
      <w:r w:rsidRPr="003265DD">
        <w:t xml:space="preserve">utreach budgets </w:t>
      </w:r>
      <w:r>
        <w:t xml:space="preserve">to fund FERA capitation fees.  </w:t>
      </w:r>
    </w:p>
    <w:p w:rsidRPr="00CE342B" w:rsidR="000C1980" w:rsidP="001968DC" w:rsidRDefault="000C1980" w14:paraId="0D077A4F" w14:textId="77777777">
      <w:pPr>
        <w:pStyle w:val="Heading4"/>
        <w:ind w:left="3600"/>
      </w:pPr>
      <w:bookmarkStart w:name="_Toc69947871" w:id="190"/>
      <w:r w:rsidRPr="00CE342B">
        <w:t xml:space="preserve">SCE’s FERA Telemarking Pilot: </w:t>
      </w:r>
      <w:r w:rsidRPr="00CE342B">
        <w:rPr>
          <w:u w:val="single"/>
        </w:rPr>
        <w:t>Approved</w:t>
      </w:r>
      <w:bookmarkEnd w:id="190"/>
    </w:p>
    <w:p w:rsidR="000C1980" w:rsidP="00354202" w:rsidRDefault="000C1980" w14:paraId="72EBDB7F" w14:textId="43C7B27B">
      <w:pPr>
        <w:pStyle w:val="Standard"/>
      </w:pPr>
      <w:r>
        <w:t xml:space="preserve">We approve </w:t>
      </w:r>
      <w:r w:rsidRPr="0088539D">
        <w:t xml:space="preserve">SCE’ telemarketing pilot aimed at </w:t>
      </w:r>
      <w:r w:rsidR="0066462F">
        <w:t>reaching out to</w:t>
      </w:r>
      <w:r w:rsidRPr="0088539D" w:rsidR="0066462F">
        <w:t xml:space="preserve"> </w:t>
      </w:r>
      <w:r w:rsidRPr="0088539D">
        <w:t>customers who receive a FERA direct mail letter but elect not to enroll at first</w:t>
      </w:r>
      <w:r>
        <w:t>.</w:t>
      </w:r>
      <w:r w:rsidRPr="0088539D">
        <w:t xml:space="preserve">  This pilot would provide individualized education regarding the FERA discount and </w:t>
      </w:r>
      <w:r w:rsidRPr="0088539D">
        <w:lastRenderedPageBreak/>
        <w:t xml:space="preserve">identify other issues or concerns and would lead to more enrollments at a relatively low cost </w:t>
      </w:r>
      <w:r>
        <w:t>of an average budget of $21,000 a year.</w:t>
      </w:r>
      <w:r>
        <w:rPr>
          <w:rStyle w:val="FootnoteReference"/>
        </w:rPr>
        <w:footnoteReference w:id="270"/>
      </w:r>
      <w:r w:rsidRPr="0088539D">
        <w:t xml:space="preserve"> </w:t>
      </w:r>
    </w:p>
    <w:p w:rsidRPr="00CE342B" w:rsidR="000C1980" w:rsidP="001968DC" w:rsidRDefault="000C1980" w14:paraId="5D509D2F" w14:textId="77777777">
      <w:pPr>
        <w:pStyle w:val="Heading4"/>
        <w:ind w:left="3600"/>
      </w:pPr>
      <w:bookmarkStart w:name="_Toc69947872" w:id="191"/>
      <w:r w:rsidRPr="00CE342B">
        <w:t xml:space="preserve">Online Marketplace: </w:t>
      </w:r>
      <w:r w:rsidRPr="00CE342B">
        <w:rPr>
          <w:u w:val="single"/>
        </w:rPr>
        <w:t>Denied</w:t>
      </w:r>
      <w:bookmarkEnd w:id="191"/>
    </w:p>
    <w:p w:rsidRPr="00751426" w:rsidR="000C1980" w:rsidP="00354202" w:rsidRDefault="000C1980" w14:paraId="78AAEC43" w14:textId="7A72742D">
      <w:pPr>
        <w:pStyle w:val="Standard"/>
      </w:pPr>
      <w:r w:rsidRPr="00751426">
        <w:t>See Section 4.3.8.3.</w:t>
      </w:r>
    </w:p>
    <w:p w:rsidR="000C1980" w:rsidP="001968DC" w:rsidRDefault="000C1980" w14:paraId="5036BE86" w14:textId="77777777">
      <w:pPr>
        <w:pStyle w:val="Heading2"/>
        <w:ind w:left="1728"/>
      </w:pPr>
      <w:bookmarkStart w:name="_Toc69947873" w:id="192"/>
      <w:r>
        <w:t xml:space="preserve">FERA </w:t>
      </w:r>
      <w:r w:rsidRPr="00C73AD4">
        <w:t>Budgets</w:t>
      </w:r>
      <w:bookmarkEnd w:id="192"/>
    </w:p>
    <w:p w:rsidRPr="00CC26CB" w:rsidR="000C1980" w:rsidP="001968DC" w:rsidRDefault="000C1980" w14:paraId="5F380201" w14:textId="77777777">
      <w:pPr>
        <w:pStyle w:val="Heading3"/>
        <w:ind w:left="2664"/>
      </w:pPr>
      <w:bookmarkStart w:name="_Toc69947874" w:id="193"/>
      <w:r>
        <w:t>Background</w:t>
      </w:r>
      <w:bookmarkEnd w:id="193"/>
    </w:p>
    <w:p w:rsidRPr="005E727D" w:rsidR="000C1980" w:rsidP="00354202" w:rsidRDefault="000C1980" w14:paraId="02B1CCB7" w14:textId="71513A5C">
      <w:pPr>
        <w:pStyle w:val="Standard"/>
        <w:rPr>
          <w:rFonts w:eastAsia="Times New Roman"/>
          <w:sz w:val="24"/>
          <w:szCs w:val="24"/>
        </w:rPr>
      </w:pPr>
      <w:r>
        <w:t xml:space="preserve">The FERA budget is made up of two components 1) the FERA subsidy, or discount provided to the customers, and 2) the program management, or administrative costs to </w:t>
      </w:r>
      <w:r w:rsidRPr="00354202">
        <w:t>implement</w:t>
      </w:r>
      <w:r>
        <w:t xml:space="preserve"> the program.  The program management</w:t>
      </w:r>
      <w:r w:rsidRPr="00497F15">
        <w:t xml:space="preserve"> budget include</w:t>
      </w:r>
      <w:r>
        <w:t>s</w:t>
      </w:r>
      <w:r w:rsidRPr="00497F15">
        <w:t xml:space="preserve"> categories such as</w:t>
      </w:r>
      <w:r>
        <w:t xml:space="preserve"> o</w:t>
      </w:r>
      <w:r w:rsidRPr="00497F15">
        <w:t>utreach</w:t>
      </w:r>
      <w:r>
        <w:t>, p</w:t>
      </w:r>
      <w:r w:rsidRPr="00497F15">
        <w:t>rocessing,</w:t>
      </w:r>
      <w:r>
        <w:t xml:space="preserve"> c</w:t>
      </w:r>
      <w:r w:rsidRPr="00497F15">
        <w:t xml:space="preserve">ertification, </w:t>
      </w:r>
      <w:r>
        <w:t>r</w:t>
      </w:r>
      <w:r w:rsidRPr="00497F15">
        <w:t>ecertification</w:t>
      </w:r>
      <w:r>
        <w:t xml:space="preserve">, </w:t>
      </w:r>
      <w:r w:rsidRPr="00497F15">
        <w:t>IT programming</w:t>
      </w:r>
      <w:r>
        <w:t>, m</w:t>
      </w:r>
      <w:r w:rsidRPr="00497F15">
        <w:t xml:space="preserve">easurement and </w:t>
      </w:r>
      <w:r>
        <w:t>e</w:t>
      </w:r>
      <w:r w:rsidRPr="00497F15">
        <w:t>valuation</w:t>
      </w:r>
      <w:r>
        <w:t>, r</w:t>
      </w:r>
      <w:r w:rsidRPr="00497F15">
        <w:t xml:space="preserve">egulatory </w:t>
      </w:r>
      <w:r>
        <w:t>c</w:t>
      </w:r>
      <w:r w:rsidRPr="00497F15">
        <w:t>ompliance</w:t>
      </w:r>
      <w:r>
        <w:t>, g</w:t>
      </w:r>
      <w:r w:rsidRPr="00497F15">
        <w:t>eneral</w:t>
      </w:r>
      <w:r>
        <w:t xml:space="preserve"> a</w:t>
      </w:r>
      <w:r w:rsidRPr="00497F15">
        <w:t>dministration</w:t>
      </w:r>
      <w:r>
        <w:t>, a</w:t>
      </w:r>
      <w:r w:rsidRPr="00497F15">
        <w:t xml:space="preserve">nd Commission Energy Division </w:t>
      </w:r>
      <w:r>
        <w:t>s</w:t>
      </w:r>
      <w:r w:rsidRPr="00497F15">
        <w:t xml:space="preserve">upport. </w:t>
      </w:r>
      <w:r>
        <w:t>FERA program management</w:t>
      </w:r>
      <w:r w:rsidRPr="00497F15">
        <w:t xml:space="preserve"> expenses are based on estimates and</w:t>
      </w:r>
      <w:r>
        <w:t xml:space="preserve"> </w:t>
      </w:r>
      <w:r w:rsidRPr="00497F15">
        <w:t>are adjusted annually.</w:t>
      </w:r>
      <w:r>
        <w:t xml:space="preserve">  The below table summ</w:t>
      </w:r>
      <w:r w:rsidRPr="005E727D">
        <w:rPr>
          <w:rFonts w:eastAsia="Times New Roman"/>
          <w:sz w:val="24"/>
          <w:szCs w:val="24"/>
        </w:rPr>
        <w:t>arizes the IOUs’ proposed FERA Budgets</w:t>
      </w:r>
      <w:r>
        <w:rPr>
          <w:rFonts w:eastAsia="Times New Roman"/>
          <w:sz w:val="24"/>
          <w:szCs w:val="24"/>
        </w:rPr>
        <w:t>.</w:t>
      </w:r>
    </w:p>
    <w:p w:rsidRPr="00644B6B" w:rsidR="000C1980" w:rsidP="001968DC" w:rsidRDefault="000C1980" w14:paraId="7A072E9E" w14:textId="77777777">
      <w:pPr>
        <w:pStyle w:val="BlockQuote"/>
        <w:keepNext/>
        <w:keepLines/>
        <w:ind w:left="360"/>
        <w:jc w:val="center"/>
        <w:rPr>
          <w:b/>
          <w:bCs/>
        </w:rPr>
      </w:pPr>
      <w:r>
        <w:rPr>
          <w:b/>
          <w:bCs/>
        </w:rPr>
        <w:t xml:space="preserve">Table 8: </w:t>
      </w:r>
      <w:r w:rsidRPr="00644B6B">
        <w:rPr>
          <w:b/>
          <w:bCs/>
        </w:rPr>
        <w:t xml:space="preserve">Proposed </w:t>
      </w:r>
      <w:r>
        <w:rPr>
          <w:b/>
          <w:bCs/>
        </w:rPr>
        <w:t>FERA</w:t>
      </w:r>
      <w:r w:rsidRPr="00644B6B">
        <w:rPr>
          <w:b/>
          <w:bCs/>
        </w:rPr>
        <w:t xml:space="preserve"> Budgets</w:t>
      </w:r>
      <w:r>
        <w:rPr>
          <w:b/>
          <w:bCs/>
        </w:rPr>
        <w:t>, PYs</w:t>
      </w:r>
      <w:r w:rsidRPr="00942924">
        <w:rPr>
          <w:b/>
          <w:bCs/>
        </w:rPr>
        <w:t xml:space="preserve"> 2021-2026</w:t>
      </w:r>
    </w:p>
    <w:tbl>
      <w:tblPr>
        <w:tblStyle w:val="TableGrid"/>
        <w:tblW w:w="10397" w:type="dxa"/>
        <w:tblInd w:w="-725" w:type="dxa"/>
        <w:tblLook w:val="04A0" w:firstRow="1" w:lastRow="0" w:firstColumn="1" w:lastColumn="0" w:noHBand="0" w:noVBand="1"/>
      </w:tblPr>
      <w:tblGrid>
        <w:gridCol w:w="841"/>
        <w:gridCol w:w="1128"/>
        <w:gridCol w:w="1128"/>
        <w:gridCol w:w="1476"/>
        <w:gridCol w:w="1476"/>
        <w:gridCol w:w="1476"/>
        <w:gridCol w:w="1476"/>
        <w:gridCol w:w="1566"/>
      </w:tblGrid>
      <w:tr w:rsidRPr="00F0442E" w:rsidR="00C570C0" w:rsidTr="00F0442E" w14:paraId="7E7D6375" w14:textId="77777777">
        <w:trPr>
          <w:trHeight w:val="208"/>
        </w:trPr>
        <w:tc>
          <w:tcPr>
            <w:tcW w:w="841" w:type="dxa"/>
            <w:vMerge w:val="restart"/>
            <w:noWrap/>
            <w:hideMark/>
          </w:tcPr>
          <w:p w:rsidRPr="00F0442E" w:rsidR="000C1980" w:rsidP="00C570C0" w:rsidRDefault="000C1980" w14:paraId="00944EB4" w14:textId="77777777">
            <w:pPr>
              <w:keepNext/>
              <w:keepLines/>
              <w:rPr>
                <w:rFonts w:eastAsia="Times New Roman" w:cs="Calibri"/>
                <w:color w:val="000000"/>
                <w:sz w:val="18"/>
                <w:szCs w:val="18"/>
              </w:rPr>
            </w:pPr>
            <w:r w:rsidRPr="00F0442E">
              <w:rPr>
                <w:rFonts w:eastAsia="Times New Roman" w:cs="Calibri"/>
                <w:color w:val="000000"/>
                <w:sz w:val="18"/>
                <w:szCs w:val="18"/>
              </w:rPr>
              <w:t>IOU</w:t>
            </w:r>
          </w:p>
        </w:tc>
        <w:tc>
          <w:tcPr>
            <w:tcW w:w="9556" w:type="dxa"/>
            <w:gridSpan w:val="7"/>
            <w:noWrap/>
            <w:hideMark/>
          </w:tcPr>
          <w:p w:rsidRPr="00F0442E" w:rsidR="000C1980" w:rsidP="001968DC" w:rsidRDefault="000C1980" w14:paraId="549BF7C7" w14:textId="77777777">
            <w:pPr>
              <w:keepNext/>
              <w:keepLines/>
              <w:ind w:left="360"/>
              <w:jc w:val="center"/>
              <w:rPr>
                <w:rFonts w:eastAsia="Times New Roman" w:cs="Calibri"/>
                <w:b/>
                <w:bCs/>
                <w:color w:val="000000"/>
                <w:sz w:val="18"/>
                <w:szCs w:val="18"/>
              </w:rPr>
            </w:pPr>
            <w:r w:rsidRPr="00F0442E">
              <w:rPr>
                <w:rFonts w:eastAsia="Times New Roman" w:cs="Calibri"/>
                <w:b/>
                <w:bCs/>
                <w:color w:val="000000"/>
                <w:sz w:val="18"/>
                <w:szCs w:val="18"/>
              </w:rPr>
              <w:t>Proposed FERA Administrative Budget</w:t>
            </w:r>
          </w:p>
        </w:tc>
      </w:tr>
      <w:tr w:rsidRPr="00F0442E" w:rsidR="00C570C0" w:rsidTr="00F0442E" w14:paraId="7764D7C9" w14:textId="77777777">
        <w:trPr>
          <w:trHeight w:val="208"/>
        </w:trPr>
        <w:tc>
          <w:tcPr>
            <w:tcW w:w="841" w:type="dxa"/>
            <w:vMerge/>
            <w:hideMark/>
          </w:tcPr>
          <w:p w:rsidRPr="00F0442E" w:rsidR="000C1980" w:rsidP="001968DC" w:rsidRDefault="000C1980" w14:paraId="2B5D86D3" w14:textId="77777777">
            <w:pPr>
              <w:keepNext/>
              <w:keepLines/>
              <w:ind w:left="360"/>
              <w:jc w:val="right"/>
              <w:rPr>
                <w:rFonts w:eastAsia="Times New Roman" w:cs="Calibri"/>
                <w:color w:val="000000"/>
                <w:sz w:val="18"/>
                <w:szCs w:val="18"/>
              </w:rPr>
            </w:pPr>
          </w:p>
        </w:tc>
        <w:tc>
          <w:tcPr>
            <w:tcW w:w="1128" w:type="dxa"/>
            <w:noWrap/>
            <w:vAlign w:val="center"/>
            <w:hideMark/>
          </w:tcPr>
          <w:p w:rsidRPr="00F0442E" w:rsidR="000C1980" w:rsidP="00C570C0" w:rsidRDefault="000C1980" w14:paraId="3E0A284A" w14:textId="77777777">
            <w:pPr>
              <w:keepNext/>
              <w:keepLines/>
              <w:rPr>
                <w:rFonts w:eastAsia="Times New Roman" w:cs="Calibri"/>
                <w:b/>
                <w:color w:val="000000"/>
                <w:sz w:val="18"/>
                <w:szCs w:val="18"/>
              </w:rPr>
            </w:pPr>
            <w:r w:rsidRPr="00F0442E">
              <w:rPr>
                <w:rFonts w:eastAsia="Times New Roman" w:cs="Calibri"/>
                <w:b/>
                <w:color w:val="000000"/>
                <w:sz w:val="18"/>
                <w:szCs w:val="18"/>
              </w:rPr>
              <w:t>2021</w:t>
            </w:r>
          </w:p>
        </w:tc>
        <w:tc>
          <w:tcPr>
            <w:tcW w:w="1128" w:type="dxa"/>
            <w:noWrap/>
            <w:vAlign w:val="center"/>
            <w:hideMark/>
          </w:tcPr>
          <w:p w:rsidRPr="00F0442E" w:rsidR="000C1980" w:rsidP="001968DC" w:rsidRDefault="000C1980" w14:paraId="26B87E58" w14:textId="77777777">
            <w:pPr>
              <w:keepNext/>
              <w:keepLines/>
              <w:ind w:left="360"/>
              <w:jc w:val="right"/>
              <w:rPr>
                <w:rFonts w:eastAsia="Times New Roman" w:cs="Calibri"/>
                <w:b/>
                <w:color w:val="000000"/>
                <w:sz w:val="18"/>
                <w:szCs w:val="18"/>
              </w:rPr>
            </w:pPr>
            <w:r w:rsidRPr="00F0442E">
              <w:rPr>
                <w:rFonts w:eastAsia="Times New Roman" w:cs="Calibri"/>
                <w:b/>
                <w:color w:val="000000"/>
                <w:sz w:val="18"/>
                <w:szCs w:val="18"/>
              </w:rPr>
              <w:t>2022</w:t>
            </w:r>
          </w:p>
        </w:tc>
        <w:tc>
          <w:tcPr>
            <w:tcW w:w="1461" w:type="dxa"/>
            <w:noWrap/>
            <w:vAlign w:val="center"/>
            <w:hideMark/>
          </w:tcPr>
          <w:p w:rsidRPr="00F0442E" w:rsidR="000C1980" w:rsidP="001968DC" w:rsidRDefault="000C1980" w14:paraId="0ED3B92F" w14:textId="77777777">
            <w:pPr>
              <w:keepNext/>
              <w:keepLines/>
              <w:ind w:left="360"/>
              <w:jc w:val="right"/>
              <w:rPr>
                <w:rFonts w:eastAsia="Times New Roman" w:cs="Calibri"/>
                <w:b/>
                <w:color w:val="000000"/>
                <w:sz w:val="18"/>
                <w:szCs w:val="18"/>
              </w:rPr>
            </w:pPr>
            <w:r w:rsidRPr="00F0442E">
              <w:rPr>
                <w:rFonts w:eastAsia="Times New Roman" w:cs="Calibri"/>
                <w:b/>
                <w:color w:val="000000"/>
                <w:sz w:val="18"/>
                <w:szCs w:val="18"/>
              </w:rPr>
              <w:t>2023</w:t>
            </w:r>
          </w:p>
        </w:tc>
        <w:tc>
          <w:tcPr>
            <w:tcW w:w="1461" w:type="dxa"/>
            <w:noWrap/>
            <w:vAlign w:val="center"/>
            <w:hideMark/>
          </w:tcPr>
          <w:p w:rsidRPr="00F0442E" w:rsidR="000C1980" w:rsidP="001968DC" w:rsidRDefault="000C1980" w14:paraId="6B73F0ED" w14:textId="77777777">
            <w:pPr>
              <w:keepNext/>
              <w:keepLines/>
              <w:ind w:left="360"/>
              <w:jc w:val="right"/>
              <w:rPr>
                <w:rFonts w:eastAsia="Times New Roman" w:cs="Calibri"/>
                <w:b/>
                <w:color w:val="000000"/>
                <w:sz w:val="18"/>
                <w:szCs w:val="18"/>
              </w:rPr>
            </w:pPr>
            <w:r w:rsidRPr="00F0442E">
              <w:rPr>
                <w:rFonts w:eastAsia="Times New Roman" w:cs="Calibri"/>
                <w:b/>
                <w:color w:val="000000"/>
                <w:sz w:val="18"/>
                <w:szCs w:val="18"/>
              </w:rPr>
              <w:t>2024</w:t>
            </w:r>
          </w:p>
        </w:tc>
        <w:tc>
          <w:tcPr>
            <w:tcW w:w="1461" w:type="dxa"/>
            <w:noWrap/>
            <w:vAlign w:val="center"/>
            <w:hideMark/>
          </w:tcPr>
          <w:p w:rsidRPr="00F0442E" w:rsidR="000C1980" w:rsidP="001968DC" w:rsidRDefault="000C1980" w14:paraId="59EE9E6B" w14:textId="77777777">
            <w:pPr>
              <w:keepNext/>
              <w:keepLines/>
              <w:ind w:left="360"/>
              <w:jc w:val="right"/>
              <w:rPr>
                <w:rFonts w:eastAsia="Times New Roman" w:cs="Calibri"/>
                <w:b/>
                <w:color w:val="000000"/>
                <w:sz w:val="18"/>
                <w:szCs w:val="18"/>
              </w:rPr>
            </w:pPr>
            <w:r w:rsidRPr="00F0442E">
              <w:rPr>
                <w:rFonts w:eastAsia="Times New Roman" w:cs="Calibri"/>
                <w:b/>
                <w:color w:val="000000"/>
                <w:sz w:val="18"/>
                <w:szCs w:val="18"/>
              </w:rPr>
              <w:t>2025</w:t>
            </w:r>
          </w:p>
        </w:tc>
        <w:tc>
          <w:tcPr>
            <w:tcW w:w="1461" w:type="dxa"/>
            <w:noWrap/>
            <w:vAlign w:val="center"/>
            <w:hideMark/>
          </w:tcPr>
          <w:p w:rsidRPr="00F0442E" w:rsidR="000C1980" w:rsidP="001968DC" w:rsidRDefault="000C1980" w14:paraId="3240657C" w14:textId="77777777">
            <w:pPr>
              <w:keepNext/>
              <w:keepLines/>
              <w:ind w:left="360"/>
              <w:jc w:val="right"/>
              <w:rPr>
                <w:rFonts w:eastAsia="Times New Roman" w:cs="Calibri"/>
                <w:b/>
                <w:color w:val="000000"/>
                <w:sz w:val="18"/>
                <w:szCs w:val="18"/>
              </w:rPr>
            </w:pPr>
            <w:r w:rsidRPr="00F0442E">
              <w:rPr>
                <w:rFonts w:eastAsia="Times New Roman" w:cs="Calibri"/>
                <w:b/>
                <w:color w:val="000000"/>
                <w:sz w:val="18"/>
                <w:szCs w:val="18"/>
              </w:rPr>
              <w:t>2026</w:t>
            </w:r>
          </w:p>
        </w:tc>
        <w:tc>
          <w:tcPr>
            <w:tcW w:w="1452" w:type="dxa"/>
            <w:noWrap/>
            <w:vAlign w:val="center"/>
            <w:hideMark/>
          </w:tcPr>
          <w:p w:rsidRPr="00F0442E" w:rsidR="000C1980" w:rsidP="001968DC" w:rsidRDefault="000C1980" w14:paraId="6B820E20" w14:textId="77777777">
            <w:pPr>
              <w:keepNext/>
              <w:keepLines/>
              <w:ind w:left="360"/>
              <w:jc w:val="both"/>
              <w:rPr>
                <w:rFonts w:eastAsia="Times New Roman" w:cs="Calibri"/>
                <w:b/>
                <w:color w:val="000000"/>
                <w:sz w:val="18"/>
                <w:szCs w:val="18"/>
              </w:rPr>
            </w:pPr>
            <w:r w:rsidRPr="00F0442E">
              <w:rPr>
                <w:rFonts w:eastAsia="Times New Roman" w:cs="Calibri"/>
                <w:b/>
                <w:color w:val="000000"/>
                <w:sz w:val="18"/>
                <w:szCs w:val="18"/>
              </w:rPr>
              <w:t>Total</w:t>
            </w:r>
          </w:p>
        </w:tc>
      </w:tr>
      <w:tr w:rsidRPr="00F0442E" w:rsidR="00C570C0" w:rsidTr="00F0442E" w14:paraId="096D0746" w14:textId="77777777">
        <w:trPr>
          <w:trHeight w:val="208"/>
        </w:trPr>
        <w:tc>
          <w:tcPr>
            <w:tcW w:w="841" w:type="dxa"/>
            <w:noWrap/>
            <w:hideMark/>
          </w:tcPr>
          <w:p w:rsidRPr="00F0442E" w:rsidR="000C1980" w:rsidP="007C687F" w:rsidRDefault="000C1980" w14:paraId="72B72517" w14:textId="77777777">
            <w:pPr>
              <w:keepNext/>
              <w:keepLines/>
              <w:rPr>
                <w:rFonts w:eastAsia="Times New Roman" w:cs="Calibri"/>
                <w:color w:val="000000"/>
                <w:sz w:val="18"/>
                <w:szCs w:val="18"/>
              </w:rPr>
            </w:pPr>
            <w:r w:rsidRPr="00F0442E">
              <w:rPr>
                <w:rFonts w:eastAsia="Times New Roman" w:cs="Calibri"/>
                <w:color w:val="000000"/>
                <w:sz w:val="18"/>
                <w:szCs w:val="18"/>
              </w:rPr>
              <w:t>SCE</w:t>
            </w:r>
          </w:p>
        </w:tc>
        <w:tc>
          <w:tcPr>
            <w:tcW w:w="1128" w:type="dxa"/>
            <w:noWrap/>
            <w:vAlign w:val="center"/>
            <w:hideMark/>
          </w:tcPr>
          <w:p w:rsidRPr="00F0442E" w:rsidR="000C1980" w:rsidP="00C570C0" w:rsidRDefault="000C1980" w14:paraId="7716D2EC" w14:textId="77777777">
            <w:pPr>
              <w:keepNext/>
              <w:keepLines/>
              <w:jc w:val="right"/>
              <w:rPr>
                <w:rFonts w:eastAsia="Times New Roman" w:cs="Calibri"/>
                <w:color w:val="000000"/>
                <w:sz w:val="18"/>
                <w:szCs w:val="18"/>
              </w:rPr>
            </w:pPr>
            <w:r w:rsidRPr="00F0442E">
              <w:rPr>
                <w:rFonts w:eastAsia="Times New Roman" w:cs="Calibri"/>
                <w:color w:val="000000"/>
                <w:sz w:val="18"/>
                <w:szCs w:val="18"/>
              </w:rPr>
              <w:t>$637,450</w:t>
            </w:r>
          </w:p>
        </w:tc>
        <w:tc>
          <w:tcPr>
            <w:tcW w:w="1128" w:type="dxa"/>
            <w:noWrap/>
            <w:vAlign w:val="center"/>
            <w:hideMark/>
          </w:tcPr>
          <w:p w:rsidRPr="00F0442E" w:rsidR="000C1980" w:rsidP="00C570C0" w:rsidRDefault="000C1980" w14:paraId="41A69368" w14:textId="77777777">
            <w:pPr>
              <w:keepNext/>
              <w:keepLines/>
              <w:jc w:val="right"/>
              <w:rPr>
                <w:rFonts w:eastAsia="Times New Roman" w:cs="Calibri"/>
                <w:color w:val="000000"/>
                <w:sz w:val="18"/>
                <w:szCs w:val="18"/>
              </w:rPr>
            </w:pPr>
            <w:r w:rsidRPr="00F0442E">
              <w:rPr>
                <w:rFonts w:eastAsia="Times New Roman" w:cs="Calibri"/>
                <w:color w:val="000000"/>
                <w:sz w:val="18"/>
                <w:szCs w:val="18"/>
              </w:rPr>
              <w:t>$695,695</w:t>
            </w:r>
          </w:p>
        </w:tc>
        <w:tc>
          <w:tcPr>
            <w:tcW w:w="1461" w:type="dxa"/>
            <w:noWrap/>
            <w:vAlign w:val="center"/>
            <w:hideMark/>
          </w:tcPr>
          <w:p w:rsidRPr="00F0442E" w:rsidR="000C1980" w:rsidP="00C570C0" w:rsidRDefault="000C1980" w14:paraId="2E71D75F" w14:textId="77777777">
            <w:pPr>
              <w:keepNext/>
              <w:keepLines/>
              <w:jc w:val="right"/>
              <w:rPr>
                <w:rFonts w:eastAsia="Times New Roman" w:cs="Calibri"/>
                <w:color w:val="000000"/>
                <w:sz w:val="18"/>
                <w:szCs w:val="18"/>
              </w:rPr>
            </w:pPr>
            <w:r w:rsidRPr="00F0442E">
              <w:rPr>
                <w:rFonts w:eastAsia="Times New Roman" w:cs="Calibri"/>
                <w:color w:val="000000"/>
                <w:sz w:val="18"/>
                <w:szCs w:val="18"/>
              </w:rPr>
              <w:t>$759,765</w:t>
            </w:r>
          </w:p>
        </w:tc>
        <w:tc>
          <w:tcPr>
            <w:tcW w:w="1461" w:type="dxa"/>
            <w:noWrap/>
            <w:vAlign w:val="center"/>
            <w:hideMark/>
          </w:tcPr>
          <w:p w:rsidRPr="00F0442E" w:rsidR="000C1980" w:rsidP="00C570C0" w:rsidRDefault="000C1980" w14:paraId="60602223" w14:textId="77777777">
            <w:pPr>
              <w:keepNext/>
              <w:keepLines/>
              <w:jc w:val="right"/>
              <w:rPr>
                <w:rFonts w:eastAsia="Times New Roman" w:cs="Calibri"/>
                <w:color w:val="000000"/>
                <w:sz w:val="18"/>
                <w:szCs w:val="18"/>
              </w:rPr>
            </w:pPr>
            <w:r w:rsidRPr="00F0442E">
              <w:rPr>
                <w:rFonts w:eastAsia="Times New Roman" w:cs="Calibri"/>
                <w:color w:val="000000"/>
                <w:sz w:val="18"/>
                <w:szCs w:val="18"/>
              </w:rPr>
              <w:t>$830,244</w:t>
            </w:r>
          </w:p>
        </w:tc>
        <w:tc>
          <w:tcPr>
            <w:tcW w:w="1461" w:type="dxa"/>
            <w:noWrap/>
            <w:vAlign w:val="center"/>
            <w:hideMark/>
          </w:tcPr>
          <w:p w:rsidRPr="00F0442E" w:rsidR="000C1980" w:rsidP="00C570C0" w:rsidRDefault="000C1980" w14:paraId="630A959E" w14:textId="77777777">
            <w:pPr>
              <w:keepNext/>
              <w:keepLines/>
              <w:jc w:val="right"/>
              <w:rPr>
                <w:rFonts w:eastAsia="Times New Roman" w:cs="Calibri"/>
                <w:color w:val="000000"/>
                <w:sz w:val="18"/>
                <w:szCs w:val="18"/>
              </w:rPr>
            </w:pPr>
            <w:r w:rsidRPr="00F0442E">
              <w:rPr>
                <w:rFonts w:eastAsia="Times New Roman" w:cs="Calibri"/>
                <w:color w:val="000000"/>
                <w:sz w:val="18"/>
                <w:szCs w:val="18"/>
              </w:rPr>
              <w:t>$907,766</w:t>
            </w:r>
          </w:p>
        </w:tc>
        <w:tc>
          <w:tcPr>
            <w:tcW w:w="1461" w:type="dxa"/>
            <w:noWrap/>
            <w:vAlign w:val="center"/>
            <w:hideMark/>
          </w:tcPr>
          <w:p w:rsidRPr="00F0442E" w:rsidR="000C1980" w:rsidP="00C570C0" w:rsidRDefault="000C1980" w14:paraId="281AC6BC" w14:textId="77777777">
            <w:pPr>
              <w:keepNext/>
              <w:keepLines/>
              <w:jc w:val="right"/>
              <w:rPr>
                <w:rFonts w:eastAsia="Times New Roman" w:cs="Calibri"/>
                <w:color w:val="000000"/>
                <w:sz w:val="18"/>
                <w:szCs w:val="18"/>
              </w:rPr>
            </w:pPr>
            <w:r w:rsidRPr="00F0442E">
              <w:rPr>
                <w:rFonts w:eastAsia="Times New Roman" w:cs="Calibri"/>
                <w:color w:val="000000"/>
                <w:sz w:val="18"/>
                <w:szCs w:val="18"/>
              </w:rPr>
              <w:t>$993,040</w:t>
            </w:r>
          </w:p>
        </w:tc>
        <w:tc>
          <w:tcPr>
            <w:tcW w:w="1452" w:type="dxa"/>
            <w:noWrap/>
            <w:vAlign w:val="center"/>
            <w:hideMark/>
          </w:tcPr>
          <w:p w:rsidRPr="00F0442E" w:rsidR="000C1980" w:rsidP="00C570C0" w:rsidRDefault="000C1980" w14:paraId="2646E933" w14:textId="77777777">
            <w:pPr>
              <w:keepNext/>
              <w:keepLines/>
              <w:jc w:val="right"/>
              <w:rPr>
                <w:rFonts w:eastAsia="Times New Roman" w:cs="Calibri"/>
                <w:b/>
                <w:color w:val="000000"/>
                <w:sz w:val="18"/>
                <w:szCs w:val="18"/>
              </w:rPr>
            </w:pPr>
            <w:r w:rsidRPr="00F0442E">
              <w:rPr>
                <w:rFonts w:eastAsia="Times New Roman" w:cs="Calibri"/>
                <w:b/>
                <w:color w:val="000000"/>
                <w:sz w:val="18"/>
                <w:szCs w:val="18"/>
              </w:rPr>
              <w:t xml:space="preserve">$4,823,960 </w:t>
            </w:r>
          </w:p>
        </w:tc>
      </w:tr>
      <w:tr w:rsidRPr="00F0442E" w:rsidR="00C570C0" w:rsidTr="00F0442E" w14:paraId="4830A4A7" w14:textId="77777777">
        <w:trPr>
          <w:trHeight w:val="208"/>
        </w:trPr>
        <w:tc>
          <w:tcPr>
            <w:tcW w:w="841" w:type="dxa"/>
            <w:noWrap/>
            <w:hideMark/>
          </w:tcPr>
          <w:p w:rsidRPr="00F0442E" w:rsidR="000C1980" w:rsidP="007C687F" w:rsidRDefault="000C1980" w14:paraId="36BCAF52" w14:textId="77777777">
            <w:pPr>
              <w:rPr>
                <w:rFonts w:eastAsia="Times New Roman" w:cs="Calibri"/>
                <w:color w:val="000000"/>
                <w:sz w:val="18"/>
                <w:szCs w:val="18"/>
              </w:rPr>
            </w:pPr>
            <w:r w:rsidRPr="00F0442E">
              <w:rPr>
                <w:rFonts w:eastAsia="Times New Roman" w:cs="Calibri"/>
                <w:color w:val="000000"/>
                <w:sz w:val="18"/>
                <w:szCs w:val="18"/>
              </w:rPr>
              <w:t>PG&amp;E</w:t>
            </w:r>
          </w:p>
        </w:tc>
        <w:tc>
          <w:tcPr>
            <w:tcW w:w="1128" w:type="dxa"/>
            <w:noWrap/>
            <w:vAlign w:val="center"/>
            <w:hideMark/>
          </w:tcPr>
          <w:p w:rsidRPr="00F0442E" w:rsidR="000C1980" w:rsidP="00C570C0" w:rsidRDefault="000C1980" w14:paraId="7F9E9AAD"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$2,503,700</w:t>
            </w:r>
          </w:p>
        </w:tc>
        <w:tc>
          <w:tcPr>
            <w:tcW w:w="1128" w:type="dxa"/>
            <w:noWrap/>
            <w:vAlign w:val="center"/>
            <w:hideMark/>
          </w:tcPr>
          <w:p w:rsidRPr="00F0442E" w:rsidR="000C1980" w:rsidP="00C570C0" w:rsidRDefault="000C1980" w14:paraId="02A0E067"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$2,802,400</w:t>
            </w:r>
          </w:p>
        </w:tc>
        <w:tc>
          <w:tcPr>
            <w:tcW w:w="1461" w:type="dxa"/>
            <w:noWrap/>
            <w:vAlign w:val="center"/>
            <w:hideMark/>
          </w:tcPr>
          <w:p w:rsidRPr="00F0442E" w:rsidR="000C1980" w:rsidP="00C570C0" w:rsidRDefault="000C1980" w14:paraId="70CD8524"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$2,867,400</w:t>
            </w:r>
          </w:p>
        </w:tc>
        <w:tc>
          <w:tcPr>
            <w:tcW w:w="1461" w:type="dxa"/>
            <w:noWrap/>
            <w:vAlign w:val="center"/>
            <w:hideMark/>
          </w:tcPr>
          <w:p w:rsidRPr="00F0442E" w:rsidR="000C1980" w:rsidP="00C570C0" w:rsidRDefault="000C1980" w14:paraId="177998FD"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$2,937,000</w:t>
            </w:r>
          </w:p>
        </w:tc>
        <w:tc>
          <w:tcPr>
            <w:tcW w:w="1461" w:type="dxa"/>
            <w:noWrap/>
            <w:vAlign w:val="center"/>
            <w:hideMark/>
          </w:tcPr>
          <w:p w:rsidRPr="00F0442E" w:rsidR="000C1980" w:rsidP="00C570C0" w:rsidRDefault="000C1980" w14:paraId="2EEEE379"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$3,005,900</w:t>
            </w:r>
          </w:p>
        </w:tc>
        <w:tc>
          <w:tcPr>
            <w:tcW w:w="1461" w:type="dxa"/>
            <w:noWrap/>
            <w:vAlign w:val="center"/>
            <w:hideMark/>
          </w:tcPr>
          <w:p w:rsidRPr="00F0442E" w:rsidR="000C1980" w:rsidP="00C570C0" w:rsidRDefault="000C1980" w14:paraId="1D997053"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$3,076,800</w:t>
            </w:r>
          </w:p>
        </w:tc>
        <w:tc>
          <w:tcPr>
            <w:tcW w:w="1452" w:type="dxa"/>
            <w:noWrap/>
            <w:vAlign w:val="center"/>
            <w:hideMark/>
          </w:tcPr>
          <w:p w:rsidRPr="00F0442E" w:rsidR="000C1980" w:rsidP="00C570C0" w:rsidRDefault="000C1980" w14:paraId="2276F20D"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$17,193,200 </w:t>
            </w:r>
          </w:p>
        </w:tc>
      </w:tr>
      <w:tr w:rsidRPr="00F0442E" w:rsidR="00C570C0" w:rsidTr="00F0442E" w14:paraId="344BF33D" w14:textId="77777777">
        <w:trPr>
          <w:trHeight w:val="208"/>
        </w:trPr>
        <w:tc>
          <w:tcPr>
            <w:tcW w:w="841" w:type="dxa"/>
            <w:noWrap/>
            <w:hideMark/>
          </w:tcPr>
          <w:p w:rsidRPr="00F0442E" w:rsidR="000C1980" w:rsidP="007C687F" w:rsidRDefault="000C1980" w14:paraId="0D2982E6" w14:textId="77777777">
            <w:pPr>
              <w:rPr>
                <w:rFonts w:eastAsia="Times New Roman" w:cs="Calibri"/>
                <w:color w:val="000000"/>
                <w:sz w:val="18"/>
                <w:szCs w:val="18"/>
              </w:rPr>
            </w:pPr>
            <w:r w:rsidRPr="00F0442E">
              <w:rPr>
                <w:rFonts w:eastAsia="Times New Roman" w:cs="Calibri"/>
                <w:color w:val="000000"/>
                <w:sz w:val="18"/>
                <w:szCs w:val="18"/>
              </w:rPr>
              <w:t>SDG&amp;E</w:t>
            </w:r>
          </w:p>
        </w:tc>
        <w:tc>
          <w:tcPr>
            <w:tcW w:w="1128" w:type="dxa"/>
            <w:noWrap/>
            <w:vAlign w:val="center"/>
            <w:hideMark/>
          </w:tcPr>
          <w:p w:rsidRPr="00F0442E" w:rsidR="000C1980" w:rsidP="00C570C0" w:rsidRDefault="000C1980" w14:paraId="0C8F5812" w14:textId="77777777">
            <w:pPr>
              <w:jc w:val="right"/>
              <w:rPr>
                <w:rFonts w:eastAsia="Times New Roman" w:cs="Calibri"/>
                <w:color w:val="000000"/>
                <w:sz w:val="18"/>
                <w:szCs w:val="18"/>
              </w:rPr>
            </w:pPr>
            <w:r w:rsidRPr="00F0442E">
              <w:rPr>
                <w:rFonts w:eastAsia="Times New Roman" w:cs="Calibri"/>
                <w:color w:val="000000"/>
                <w:sz w:val="18"/>
                <w:szCs w:val="18"/>
              </w:rPr>
              <w:t>$594,574</w:t>
            </w:r>
          </w:p>
        </w:tc>
        <w:tc>
          <w:tcPr>
            <w:tcW w:w="1128" w:type="dxa"/>
            <w:noWrap/>
            <w:vAlign w:val="center"/>
            <w:hideMark/>
          </w:tcPr>
          <w:p w:rsidRPr="00F0442E" w:rsidR="000C1980" w:rsidP="00C570C0" w:rsidRDefault="000C1980" w14:paraId="72326BF3" w14:textId="77777777">
            <w:pPr>
              <w:jc w:val="right"/>
              <w:rPr>
                <w:rFonts w:eastAsia="Times New Roman" w:cs="Calibri"/>
                <w:color w:val="000000"/>
                <w:sz w:val="18"/>
                <w:szCs w:val="18"/>
              </w:rPr>
            </w:pPr>
            <w:r w:rsidRPr="00F0442E">
              <w:rPr>
                <w:rFonts w:eastAsia="Times New Roman" w:cs="Calibri"/>
                <w:color w:val="000000"/>
                <w:sz w:val="18"/>
                <w:szCs w:val="18"/>
              </w:rPr>
              <w:t>$703,150</w:t>
            </w:r>
          </w:p>
        </w:tc>
        <w:tc>
          <w:tcPr>
            <w:tcW w:w="1461" w:type="dxa"/>
            <w:noWrap/>
            <w:vAlign w:val="center"/>
            <w:hideMark/>
          </w:tcPr>
          <w:p w:rsidRPr="00F0442E" w:rsidR="000C1980" w:rsidP="00C570C0" w:rsidRDefault="000C1980" w14:paraId="13643913" w14:textId="77777777">
            <w:pPr>
              <w:jc w:val="right"/>
              <w:rPr>
                <w:rFonts w:eastAsia="Times New Roman" w:cs="Calibri"/>
                <w:color w:val="000000"/>
                <w:sz w:val="18"/>
                <w:szCs w:val="18"/>
              </w:rPr>
            </w:pPr>
            <w:r w:rsidRPr="00F0442E">
              <w:rPr>
                <w:rFonts w:eastAsia="Times New Roman" w:cs="Calibri"/>
                <w:color w:val="000000"/>
                <w:sz w:val="18"/>
                <w:szCs w:val="18"/>
              </w:rPr>
              <w:t>$612,393</w:t>
            </w:r>
          </w:p>
        </w:tc>
        <w:tc>
          <w:tcPr>
            <w:tcW w:w="1461" w:type="dxa"/>
            <w:noWrap/>
            <w:vAlign w:val="center"/>
            <w:hideMark/>
          </w:tcPr>
          <w:p w:rsidRPr="00F0442E" w:rsidR="000C1980" w:rsidP="00C570C0" w:rsidRDefault="000C1980" w14:paraId="06EE41AE" w14:textId="77777777">
            <w:pPr>
              <w:jc w:val="right"/>
              <w:rPr>
                <w:rFonts w:eastAsia="Times New Roman" w:cs="Calibri"/>
                <w:color w:val="000000"/>
                <w:sz w:val="18"/>
                <w:szCs w:val="18"/>
              </w:rPr>
            </w:pPr>
            <w:r w:rsidRPr="00F0442E">
              <w:rPr>
                <w:rFonts w:eastAsia="Times New Roman" w:cs="Calibri"/>
                <w:color w:val="000000"/>
                <w:sz w:val="18"/>
                <w:szCs w:val="18"/>
              </w:rPr>
              <w:t>$621,815</w:t>
            </w:r>
          </w:p>
        </w:tc>
        <w:tc>
          <w:tcPr>
            <w:tcW w:w="1461" w:type="dxa"/>
            <w:noWrap/>
            <w:vAlign w:val="center"/>
            <w:hideMark/>
          </w:tcPr>
          <w:p w:rsidRPr="00F0442E" w:rsidR="000C1980" w:rsidP="00C570C0" w:rsidRDefault="000C1980" w14:paraId="7D5A7764" w14:textId="77777777">
            <w:pPr>
              <w:jc w:val="right"/>
              <w:rPr>
                <w:rFonts w:eastAsia="Times New Roman" w:cs="Calibri"/>
                <w:color w:val="000000"/>
                <w:sz w:val="18"/>
                <w:szCs w:val="18"/>
              </w:rPr>
            </w:pPr>
            <w:r w:rsidRPr="00F0442E">
              <w:rPr>
                <w:rFonts w:eastAsia="Times New Roman" w:cs="Calibri"/>
                <w:color w:val="000000"/>
                <w:sz w:val="18"/>
                <w:szCs w:val="18"/>
              </w:rPr>
              <w:t>$630,578</w:t>
            </w:r>
          </w:p>
        </w:tc>
        <w:tc>
          <w:tcPr>
            <w:tcW w:w="1461" w:type="dxa"/>
            <w:noWrap/>
            <w:vAlign w:val="center"/>
            <w:hideMark/>
          </w:tcPr>
          <w:p w:rsidRPr="00F0442E" w:rsidR="000C1980" w:rsidP="00C570C0" w:rsidRDefault="000C1980" w14:paraId="12A3269A" w14:textId="77777777">
            <w:pPr>
              <w:jc w:val="right"/>
              <w:rPr>
                <w:rFonts w:eastAsia="Times New Roman" w:cs="Calibri"/>
                <w:color w:val="000000"/>
                <w:sz w:val="18"/>
                <w:szCs w:val="18"/>
              </w:rPr>
            </w:pPr>
            <w:r w:rsidRPr="00F0442E">
              <w:rPr>
                <w:rFonts w:eastAsia="Times New Roman" w:cs="Calibri"/>
                <w:color w:val="000000"/>
                <w:sz w:val="18"/>
                <w:szCs w:val="18"/>
              </w:rPr>
              <w:t>$640,368</w:t>
            </w:r>
          </w:p>
        </w:tc>
        <w:tc>
          <w:tcPr>
            <w:tcW w:w="1452" w:type="dxa"/>
            <w:noWrap/>
            <w:vAlign w:val="center"/>
            <w:hideMark/>
          </w:tcPr>
          <w:p w:rsidRPr="00F0442E" w:rsidR="000C1980" w:rsidP="00C570C0" w:rsidRDefault="000C1980" w14:paraId="180C8B62"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$3,802,878 </w:t>
            </w:r>
          </w:p>
        </w:tc>
      </w:tr>
      <w:tr w:rsidRPr="00F0442E" w:rsidR="00C570C0" w:rsidTr="00F0442E" w14:paraId="19A329C2" w14:textId="77777777">
        <w:trPr>
          <w:trHeight w:val="208"/>
        </w:trPr>
        <w:tc>
          <w:tcPr>
            <w:tcW w:w="841" w:type="dxa"/>
            <w:noWrap/>
            <w:hideMark/>
          </w:tcPr>
          <w:p w:rsidRPr="00F0442E" w:rsidR="000C1980" w:rsidP="007C687F" w:rsidRDefault="000C1980" w14:paraId="60BF2D52" w14:textId="77777777">
            <w:pPr>
              <w:rPr>
                <w:rFonts w:eastAsia="Times New Roman" w:cs="Calibri"/>
                <w:color w:val="000000"/>
                <w:sz w:val="18"/>
                <w:szCs w:val="18"/>
              </w:rPr>
            </w:pPr>
            <w:r w:rsidRPr="00F0442E">
              <w:rPr>
                <w:rFonts w:eastAsia="Times New Roman" w:cs="Calibri"/>
                <w:color w:val="000000"/>
                <w:sz w:val="18"/>
                <w:szCs w:val="18"/>
              </w:rPr>
              <w:t>Total</w:t>
            </w:r>
          </w:p>
        </w:tc>
        <w:tc>
          <w:tcPr>
            <w:tcW w:w="1128" w:type="dxa"/>
            <w:noWrap/>
            <w:vAlign w:val="center"/>
            <w:hideMark/>
          </w:tcPr>
          <w:p w:rsidRPr="00F0442E" w:rsidR="000C1980" w:rsidP="00C570C0" w:rsidRDefault="000C1980" w14:paraId="213A8B8B"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$3,735,724 </w:t>
            </w:r>
          </w:p>
        </w:tc>
        <w:tc>
          <w:tcPr>
            <w:tcW w:w="1128" w:type="dxa"/>
            <w:noWrap/>
            <w:vAlign w:val="center"/>
            <w:hideMark/>
          </w:tcPr>
          <w:p w:rsidRPr="00F0442E" w:rsidR="000C1980" w:rsidP="00C570C0" w:rsidRDefault="000C1980" w14:paraId="5E08046C" w14:textId="5099211B">
            <w:pPr>
              <w:jc w:val="right"/>
              <w:rPr>
                <w:rFonts w:eastAsia="Times New Roman" w:cs="Calibri"/>
                <w:b/>
                <w:color w:val="000000"/>
                <w:sz w:val="18"/>
                <w:szCs w:val="18"/>
              </w:rPr>
            </w:pPr>
            <w:r w:rsidRPr="00F0442E">
              <w:rPr>
                <w:rFonts w:eastAsia="Times New Roman" w:cs="Calibri"/>
                <w:b/>
                <w:color w:val="000000"/>
                <w:sz w:val="18"/>
                <w:szCs w:val="18"/>
              </w:rPr>
              <w:t>$4,201,245</w:t>
            </w:r>
          </w:p>
        </w:tc>
        <w:tc>
          <w:tcPr>
            <w:tcW w:w="1461" w:type="dxa"/>
            <w:noWrap/>
            <w:vAlign w:val="center"/>
            <w:hideMark/>
          </w:tcPr>
          <w:p w:rsidRPr="00F0442E" w:rsidR="000C1980" w:rsidP="00C570C0" w:rsidRDefault="000C1980" w14:paraId="749E9486"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$4,239,558 </w:t>
            </w:r>
          </w:p>
        </w:tc>
        <w:tc>
          <w:tcPr>
            <w:tcW w:w="1461" w:type="dxa"/>
            <w:noWrap/>
            <w:vAlign w:val="center"/>
            <w:hideMark/>
          </w:tcPr>
          <w:p w:rsidRPr="00F0442E" w:rsidR="000C1980" w:rsidP="00C570C0" w:rsidRDefault="000C1980" w14:paraId="02B4CB19"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$4,389,059 </w:t>
            </w:r>
          </w:p>
        </w:tc>
        <w:tc>
          <w:tcPr>
            <w:tcW w:w="1461" w:type="dxa"/>
            <w:noWrap/>
            <w:vAlign w:val="center"/>
            <w:hideMark/>
          </w:tcPr>
          <w:p w:rsidRPr="00F0442E" w:rsidR="000C1980" w:rsidP="00C570C0" w:rsidRDefault="000C1980" w14:paraId="6CE03FA4"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$4,544,244 </w:t>
            </w:r>
          </w:p>
        </w:tc>
        <w:tc>
          <w:tcPr>
            <w:tcW w:w="1461" w:type="dxa"/>
            <w:noWrap/>
            <w:vAlign w:val="center"/>
            <w:hideMark/>
          </w:tcPr>
          <w:p w:rsidRPr="00F0442E" w:rsidR="000C1980" w:rsidP="00C570C0" w:rsidRDefault="000C1980" w14:paraId="71F6744F"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$4,710,208 </w:t>
            </w:r>
          </w:p>
        </w:tc>
        <w:tc>
          <w:tcPr>
            <w:tcW w:w="1452" w:type="dxa"/>
            <w:noWrap/>
            <w:vAlign w:val="center"/>
            <w:hideMark/>
          </w:tcPr>
          <w:p w:rsidRPr="00F0442E" w:rsidR="000C1980" w:rsidP="00C570C0" w:rsidRDefault="000C1980" w14:paraId="16D8E3AD"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$25,820,038 </w:t>
            </w:r>
          </w:p>
        </w:tc>
      </w:tr>
      <w:tr w:rsidRPr="00F0442E" w:rsidR="00C570C0" w:rsidTr="00F0442E" w14:paraId="77A17D27" w14:textId="77777777">
        <w:trPr>
          <w:trHeight w:val="208"/>
        </w:trPr>
        <w:tc>
          <w:tcPr>
            <w:tcW w:w="841" w:type="dxa"/>
            <w:noWrap/>
            <w:hideMark/>
          </w:tcPr>
          <w:p w:rsidRPr="00F0442E" w:rsidR="000C1980" w:rsidP="007C687F" w:rsidRDefault="000C1980" w14:paraId="2385BD03" w14:textId="77777777">
            <w:pPr>
              <w:ind w:left="360"/>
              <w:jc w:val="center"/>
              <w:rPr>
                <w:rFonts w:eastAsia="Times New Roman" w:cs="Calibri"/>
                <w:color w:val="000000"/>
                <w:sz w:val="18"/>
                <w:szCs w:val="18"/>
              </w:rPr>
            </w:pPr>
          </w:p>
        </w:tc>
        <w:tc>
          <w:tcPr>
            <w:tcW w:w="1128" w:type="dxa"/>
            <w:noWrap/>
            <w:hideMark/>
          </w:tcPr>
          <w:p w:rsidRPr="00F0442E" w:rsidR="000C1980" w:rsidP="00C570C0" w:rsidRDefault="000C1980" w14:paraId="5CB0E525" w14:textId="77777777">
            <w:pPr>
              <w:ind w:left="360"/>
              <w:jc w:val="right"/>
              <w:rPr>
                <w:rFonts w:eastAsia="Times New Roman"/>
                <w:sz w:val="18"/>
                <w:szCs w:val="18"/>
              </w:rPr>
            </w:pPr>
          </w:p>
        </w:tc>
        <w:tc>
          <w:tcPr>
            <w:tcW w:w="1128" w:type="dxa"/>
            <w:noWrap/>
            <w:hideMark/>
          </w:tcPr>
          <w:p w:rsidRPr="00F0442E" w:rsidR="000C1980" w:rsidP="00C570C0" w:rsidRDefault="000C1980" w14:paraId="09539A1B" w14:textId="77777777">
            <w:pPr>
              <w:ind w:left="360"/>
              <w:jc w:val="right"/>
              <w:rPr>
                <w:rFonts w:eastAsia="Times New Roman"/>
                <w:sz w:val="18"/>
                <w:szCs w:val="18"/>
              </w:rPr>
            </w:pPr>
          </w:p>
        </w:tc>
        <w:tc>
          <w:tcPr>
            <w:tcW w:w="1461" w:type="dxa"/>
            <w:noWrap/>
            <w:hideMark/>
          </w:tcPr>
          <w:p w:rsidRPr="00F0442E" w:rsidR="000C1980" w:rsidP="00C570C0" w:rsidRDefault="000C1980" w14:paraId="674BB33B" w14:textId="77777777">
            <w:pPr>
              <w:ind w:left="360"/>
              <w:jc w:val="right"/>
              <w:rPr>
                <w:rFonts w:eastAsia="Times New Roman"/>
                <w:sz w:val="18"/>
                <w:szCs w:val="18"/>
              </w:rPr>
            </w:pPr>
          </w:p>
        </w:tc>
        <w:tc>
          <w:tcPr>
            <w:tcW w:w="1461" w:type="dxa"/>
            <w:noWrap/>
            <w:hideMark/>
          </w:tcPr>
          <w:p w:rsidRPr="00F0442E" w:rsidR="000C1980" w:rsidP="00C570C0" w:rsidRDefault="000C1980" w14:paraId="5E27CBD4" w14:textId="77777777">
            <w:pPr>
              <w:ind w:left="360"/>
              <w:jc w:val="right"/>
              <w:rPr>
                <w:rFonts w:eastAsia="Times New Roman"/>
                <w:sz w:val="18"/>
                <w:szCs w:val="18"/>
              </w:rPr>
            </w:pPr>
          </w:p>
        </w:tc>
        <w:tc>
          <w:tcPr>
            <w:tcW w:w="1461" w:type="dxa"/>
            <w:noWrap/>
            <w:hideMark/>
          </w:tcPr>
          <w:p w:rsidRPr="00F0442E" w:rsidR="000C1980" w:rsidP="00C570C0" w:rsidRDefault="000C1980" w14:paraId="37C36559" w14:textId="77777777">
            <w:pPr>
              <w:ind w:left="360"/>
              <w:jc w:val="right"/>
              <w:rPr>
                <w:rFonts w:eastAsia="Times New Roman"/>
                <w:sz w:val="18"/>
                <w:szCs w:val="18"/>
              </w:rPr>
            </w:pPr>
          </w:p>
        </w:tc>
        <w:tc>
          <w:tcPr>
            <w:tcW w:w="1461" w:type="dxa"/>
            <w:noWrap/>
            <w:hideMark/>
          </w:tcPr>
          <w:p w:rsidRPr="00F0442E" w:rsidR="000C1980" w:rsidP="00C570C0" w:rsidRDefault="000C1980" w14:paraId="5E13DF4C" w14:textId="77777777">
            <w:pPr>
              <w:ind w:left="360"/>
              <w:jc w:val="right"/>
              <w:rPr>
                <w:rFonts w:eastAsia="Times New Roman"/>
                <w:sz w:val="18"/>
                <w:szCs w:val="18"/>
              </w:rPr>
            </w:pPr>
          </w:p>
        </w:tc>
        <w:tc>
          <w:tcPr>
            <w:tcW w:w="1452" w:type="dxa"/>
            <w:noWrap/>
            <w:hideMark/>
          </w:tcPr>
          <w:p w:rsidRPr="00F0442E" w:rsidR="000C1980" w:rsidP="00C570C0" w:rsidRDefault="000C1980" w14:paraId="3B6A49E4" w14:textId="77777777">
            <w:pPr>
              <w:ind w:left="360"/>
              <w:jc w:val="right"/>
              <w:rPr>
                <w:rFonts w:eastAsia="Times New Roman"/>
                <w:sz w:val="18"/>
                <w:szCs w:val="18"/>
              </w:rPr>
            </w:pPr>
          </w:p>
        </w:tc>
      </w:tr>
      <w:tr w:rsidRPr="00F0442E" w:rsidR="00C570C0" w:rsidTr="00F0442E" w14:paraId="350E11F3" w14:textId="77777777">
        <w:trPr>
          <w:trHeight w:val="208"/>
        </w:trPr>
        <w:tc>
          <w:tcPr>
            <w:tcW w:w="841" w:type="dxa"/>
            <w:vMerge w:val="restart"/>
            <w:noWrap/>
            <w:hideMark/>
          </w:tcPr>
          <w:p w:rsidRPr="00F0442E" w:rsidR="000C1980" w:rsidP="007C687F" w:rsidRDefault="007C687F" w14:paraId="094B2C65" w14:textId="3782D2C9">
            <w:pPr>
              <w:rPr>
                <w:rFonts w:eastAsia="Times New Roman" w:cs="Calibri"/>
                <w:color w:val="000000"/>
                <w:sz w:val="18"/>
                <w:szCs w:val="18"/>
              </w:rPr>
            </w:pPr>
            <w:r w:rsidRPr="00F0442E">
              <w:rPr>
                <w:rFonts w:eastAsia="Times New Roman" w:cs="Calibri"/>
                <w:color w:val="000000"/>
                <w:sz w:val="18"/>
                <w:szCs w:val="18"/>
              </w:rPr>
              <w:t>I</w:t>
            </w:r>
            <w:r w:rsidRPr="00F0442E" w:rsidR="000C1980">
              <w:rPr>
                <w:rFonts w:eastAsia="Times New Roman" w:cs="Calibri"/>
                <w:color w:val="000000"/>
                <w:sz w:val="18"/>
                <w:szCs w:val="18"/>
              </w:rPr>
              <w:t>OU</w:t>
            </w:r>
          </w:p>
        </w:tc>
        <w:tc>
          <w:tcPr>
            <w:tcW w:w="9556" w:type="dxa"/>
            <w:gridSpan w:val="7"/>
            <w:noWrap/>
            <w:hideMark/>
          </w:tcPr>
          <w:p w:rsidRPr="00F0442E" w:rsidR="000C1980" w:rsidP="00C570C0" w:rsidRDefault="000C1980" w14:paraId="23F2CF79" w14:textId="77777777">
            <w:pPr>
              <w:ind w:left="360"/>
              <w:jc w:val="center"/>
              <w:rPr>
                <w:rFonts w:eastAsia="Times New Roman" w:cs="Calibri"/>
                <w:b/>
                <w:color w:val="000000"/>
                <w:sz w:val="18"/>
                <w:szCs w:val="18"/>
              </w:rPr>
            </w:pPr>
            <w:r w:rsidRPr="00F0442E">
              <w:rPr>
                <w:rFonts w:eastAsia="Times New Roman" w:cs="Calibri"/>
                <w:b/>
                <w:color w:val="000000"/>
                <w:sz w:val="18"/>
                <w:szCs w:val="18"/>
              </w:rPr>
              <w:t>Proposed FERA Subsidies</w:t>
            </w:r>
          </w:p>
        </w:tc>
      </w:tr>
      <w:tr w:rsidRPr="00F0442E" w:rsidR="00C570C0" w:rsidTr="00F0442E" w14:paraId="1C09CB41" w14:textId="77777777">
        <w:trPr>
          <w:trHeight w:val="208"/>
        </w:trPr>
        <w:tc>
          <w:tcPr>
            <w:tcW w:w="841" w:type="dxa"/>
            <w:vMerge/>
            <w:hideMark/>
          </w:tcPr>
          <w:p w:rsidRPr="00F0442E" w:rsidR="000C1980" w:rsidP="001968DC" w:rsidRDefault="000C1980" w14:paraId="77D36B92" w14:textId="77777777">
            <w:pPr>
              <w:ind w:left="360"/>
              <w:jc w:val="right"/>
              <w:rPr>
                <w:rFonts w:eastAsia="Times New Roman" w:cs="Calibri"/>
                <w:color w:val="000000"/>
                <w:sz w:val="18"/>
                <w:szCs w:val="18"/>
              </w:rPr>
            </w:pPr>
          </w:p>
        </w:tc>
        <w:tc>
          <w:tcPr>
            <w:tcW w:w="1128" w:type="dxa"/>
            <w:noWrap/>
            <w:hideMark/>
          </w:tcPr>
          <w:p w:rsidRPr="00F0442E" w:rsidR="000C1980" w:rsidP="00C570C0" w:rsidRDefault="000C1980" w14:paraId="04D2A725" w14:textId="77777777">
            <w:pPr>
              <w:jc w:val="right"/>
              <w:rPr>
                <w:rFonts w:eastAsia="Times New Roman" w:cs="Calibri"/>
                <w:b/>
                <w:color w:val="000000"/>
                <w:sz w:val="18"/>
                <w:szCs w:val="18"/>
              </w:rPr>
            </w:pPr>
            <w:r w:rsidRPr="00F0442E">
              <w:rPr>
                <w:rFonts w:eastAsia="Times New Roman" w:cs="Calibri"/>
                <w:b/>
                <w:color w:val="000000"/>
                <w:sz w:val="18"/>
                <w:szCs w:val="18"/>
              </w:rPr>
              <w:t>2021</w:t>
            </w:r>
          </w:p>
        </w:tc>
        <w:tc>
          <w:tcPr>
            <w:tcW w:w="1128" w:type="dxa"/>
            <w:noWrap/>
            <w:hideMark/>
          </w:tcPr>
          <w:p w:rsidRPr="00F0442E" w:rsidR="000C1980" w:rsidP="00C570C0" w:rsidRDefault="000C1980" w14:paraId="2062E786"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2022</w:t>
            </w:r>
          </w:p>
        </w:tc>
        <w:tc>
          <w:tcPr>
            <w:tcW w:w="1461" w:type="dxa"/>
            <w:noWrap/>
            <w:hideMark/>
          </w:tcPr>
          <w:p w:rsidRPr="00F0442E" w:rsidR="000C1980" w:rsidP="00C570C0" w:rsidRDefault="000C1980" w14:paraId="0D58B22F"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2023</w:t>
            </w:r>
          </w:p>
        </w:tc>
        <w:tc>
          <w:tcPr>
            <w:tcW w:w="1461" w:type="dxa"/>
            <w:noWrap/>
            <w:hideMark/>
          </w:tcPr>
          <w:p w:rsidRPr="00F0442E" w:rsidR="000C1980" w:rsidP="00C570C0" w:rsidRDefault="000C1980" w14:paraId="1EB878E3"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2024</w:t>
            </w:r>
          </w:p>
        </w:tc>
        <w:tc>
          <w:tcPr>
            <w:tcW w:w="1461" w:type="dxa"/>
            <w:noWrap/>
            <w:hideMark/>
          </w:tcPr>
          <w:p w:rsidRPr="00F0442E" w:rsidR="000C1980" w:rsidP="00C570C0" w:rsidRDefault="000C1980" w14:paraId="26025EB4"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2025</w:t>
            </w:r>
          </w:p>
        </w:tc>
        <w:tc>
          <w:tcPr>
            <w:tcW w:w="1461" w:type="dxa"/>
            <w:noWrap/>
            <w:hideMark/>
          </w:tcPr>
          <w:p w:rsidRPr="00F0442E" w:rsidR="000C1980" w:rsidP="00C570C0" w:rsidRDefault="000C1980" w14:paraId="43F7E8BF"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2026</w:t>
            </w:r>
          </w:p>
        </w:tc>
        <w:tc>
          <w:tcPr>
            <w:tcW w:w="1452" w:type="dxa"/>
            <w:noWrap/>
            <w:hideMark/>
          </w:tcPr>
          <w:p w:rsidRPr="00F0442E" w:rsidR="000C1980" w:rsidP="00C570C0" w:rsidRDefault="000C1980" w14:paraId="18A8BA8F" w14:textId="77777777">
            <w:pPr>
              <w:ind w:left="360"/>
              <w:jc w:val="right"/>
              <w:rPr>
                <w:rFonts w:eastAsia="Times New Roman" w:cs="Calibri"/>
                <w:b/>
                <w:color w:val="000000"/>
                <w:sz w:val="18"/>
                <w:szCs w:val="18"/>
              </w:rPr>
            </w:pPr>
            <w:r w:rsidRPr="00F0442E">
              <w:rPr>
                <w:rFonts w:eastAsia="Times New Roman" w:cs="Calibri"/>
                <w:b/>
                <w:color w:val="000000"/>
                <w:sz w:val="18"/>
                <w:szCs w:val="18"/>
              </w:rPr>
              <w:t>Total</w:t>
            </w:r>
          </w:p>
        </w:tc>
      </w:tr>
      <w:tr w:rsidRPr="00F0442E" w:rsidR="00C570C0" w:rsidTr="00F0442E" w14:paraId="4D19A630" w14:textId="77777777">
        <w:trPr>
          <w:trHeight w:val="208"/>
        </w:trPr>
        <w:tc>
          <w:tcPr>
            <w:tcW w:w="841" w:type="dxa"/>
            <w:noWrap/>
            <w:hideMark/>
          </w:tcPr>
          <w:p w:rsidRPr="00F0442E" w:rsidR="000C1980" w:rsidP="007C687F" w:rsidRDefault="000C1980" w14:paraId="3EC74525" w14:textId="77777777">
            <w:pPr>
              <w:rPr>
                <w:rFonts w:eastAsia="Times New Roman" w:cs="Calibri"/>
                <w:color w:val="000000"/>
                <w:sz w:val="18"/>
                <w:szCs w:val="18"/>
              </w:rPr>
            </w:pPr>
            <w:r w:rsidRPr="00F0442E">
              <w:rPr>
                <w:rFonts w:eastAsia="Times New Roman" w:cs="Calibri"/>
                <w:color w:val="000000"/>
                <w:sz w:val="18"/>
                <w:szCs w:val="18"/>
              </w:rPr>
              <w:t>SCE</w:t>
            </w:r>
          </w:p>
        </w:tc>
        <w:tc>
          <w:tcPr>
            <w:tcW w:w="1128" w:type="dxa"/>
            <w:noWrap/>
            <w:hideMark/>
          </w:tcPr>
          <w:p w:rsidRPr="00F0442E" w:rsidR="000C1980" w:rsidP="00C570C0" w:rsidRDefault="000C1980" w14:paraId="7DB46FAF" w14:textId="77777777">
            <w:pPr>
              <w:jc w:val="right"/>
              <w:rPr>
                <w:rFonts w:eastAsia="Times New Roman" w:cs="Calibri"/>
                <w:color w:val="000000"/>
                <w:sz w:val="18"/>
                <w:szCs w:val="18"/>
              </w:rPr>
            </w:pPr>
            <w:r w:rsidRPr="00F0442E">
              <w:rPr>
                <w:rFonts w:eastAsia="Times New Roman" w:cs="Calibri"/>
                <w:color w:val="000000"/>
                <w:sz w:val="18"/>
                <w:szCs w:val="18"/>
              </w:rPr>
              <w:t>$21,014,914</w:t>
            </w:r>
          </w:p>
        </w:tc>
        <w:tc>
          <w:tcPr>
            <w:tcW w:w="1128" w:type="dxa"/>
            <w:noWrap/>
            <w:hideMark/>
          </w:tcPr>
          <w:p w:rsidRPr="00F0442E" w:rsidR="000C1980" w:rsidP="005C096A" w:rsidRDefault="000C1980" w14:paraId="0E2D8536" w14:textId="77777777">
            <w:pPr>
              <w:jc w:val="right"/>
              <w:rPr>
                <w:rFonts w:eastAsia="Times New Roman" w:cs="Calibri"/>
                <w:color w:val="000000"/>
                <w:sz w:val="18"/>
                <w:szCs w:val="18"/>
              </w:rPr>
            </w:pPr>
            <w:r w:rsidRPr="00F0442E">
              <w:rPr>
                <w:rFonts w:eastAsia="Times New Roman" w:cs="Calibri"/>
                <w:color w:val="000000"/>
                <w:sz w:val="18"/>
                <w:szCs w:val="18"/>
              </w:rPr>
              <w:t>$28,746,536</w:t>
            </w:r>
          </w:p>
        </w:tc>
        <w:tc>
          <w:tcPr>
            <w:tcW w:w="1461" w:type="dxa"/>
            <w:noWrap/>
            <w:hideMark/>
          </w:tcPr>
          <w:p w:rsidRPr="00F0442E" w:rsidR="000C1980" w:rsidP="005C096A" w:rsidRDefault="000C1980" w14:paraId="035C2D2E" w14:textId="77777777">
            <w:pPr>
              <w:jc w:val="right"/>
              <w:rPr>
                <w:rFonts w:eastAsia="Times New Roman" w:cs="Calibri"/>
                <w:color w:val="000000"/>
                <w:sz w:val="18"/>
                <w:szCs w:val="18"/>
              </w:rPr>
            </w:pPr>
            <w:r w:rsidRPr="00F0442E">
              <w:rPr>
                <w:rFonts w:eastAsia="Times New Roman" w:cs="Calibri"/>
                <w:color w:val="000000"/>
                <w:sz w:val="18"/>
                <w:szCs w:val="18"/>
              </w:rPr>
              <w:t>$37,353,692</w:t>
            </w:r>
          </w:p>
        </w:tc>
        <w:tc>
          <w:tcPr>
            <w:tcW w:w="1461" w:type="dxa"/>
            <w:noWrap/>
            <w:hideMark/>
          </w:tcPr>
          <w:p w:rsidRPr="00F0442E" w:rsidR="000C1980" w:rsidP="005C096A" w:rsidRDefault="000C1980" w14:paraId="023DF8E9" w14:textId="77777777">
            <w:pPr>
              <w:jc w:val="right"/>
              <w:rPr>
                <w:rFonts w:eastAsia="Times New Roman" w:cs="Calibri"/>
                <w:color w:val="000000"/>
                <w:sz w:val="18"/>
                <w:szCs w:val="18"/>
              </w:rPr>
            </w:pPr>
            <w:r w:rsidRPr="00F0442E">
              <w:rPr>
                <w:rFonts w:eastAsia="Times New Roman" w:cs="Calibri"/>
                <w:color w:val="000000"/>
                <w:sz w:val="18"/>
                <w:szCs w:val="18"/>
              </w:rPr>
              <w:t>$46,164,249</w:t>
            </w:r>
          </w:p>
        </w:tc>
        <w:tc>
          <w:tcPr>
            <w:tcW w:w="1461" w:type="dxa"/>
            <w:noWrap/>
            <w:hideMark/>
          </w:tcPr>
          <w:p w:rsidRPr="00F0442E" w:rsidR="000C1980" w:rsidP="005C096A" w:rsidRDefault="000C1980" w14:paraId="1E82A2CB" w14:textId="77777777">
            <w:pPr>
              <w:jc w:val="right"/>
              <w:rPr>
                <w:rFonts w:eastAsia="Times New Roman" w:cs="Calibri"/>
                <w:color w:val="000000"/>
                <w:sz w:val="18"/>
                <w:szCs w:val="18"/>
              </w:rPr>
            </w:pPr>
            <w:r w:rsidRPr="00F0442E">
              <w:rPr>
                <w:rFonts w:eastAsia="Times New Roman" w:cs="Calibri"/>
                <w:color w:val="000000"/>
                <w:sz w:val="18"/>
                <w:szCs w:val="18"/>
              </w:rPr>
              <w:t>$51,506,652</w:t>
            </w:r>
          </w:p>
        </w:tc>
        <w:tc>
          <w:tcPr>
            <w:tcW w:w="1461" w:type="dxa"/>
            <w:noWrap/>
            <w:hideMark/>
          </w:tcPr>
          <w:p w:rsidRPr="00F0442E" w:rsidR="000C1980" w:rsidP="005C096A" w:rsidRDefault="000C1980" w14:paraId="14ABF64E" w14:textId="77777777">
            <w:pPr>
              <w:jc w:val="right"/>
              <w:rPr>
                <w:rFonts w:eastAsia="Times New Roman" w:cs="Calibri"/>
                <w:color w:val="000000"/>
                <w:sz w:val="18"/>
                <w:szCs w:val="18"/>
              </w:rPr>
            </w:pPr>
            <w:r w:rsidRPr="00F0442E">
              <w:rPr>
                <w:rFonts w:eastAsia="Times New Roman" w:cs="Calibri"/>
                <w:color w:val="000000"/>
                <w:sz w:val="18"/>
                <w:szCs w:val="18"/>
              </w:rPr>
              <w:t>$57,127,419</w:t>
            </w:r>
          </w:p>
        </w:tc>
        <w:tc>
          <w:tcPr>
            <w:tcW w:w="1452" w:type="dxa"/>
            <w:noWrap/>
            <w:hideMark/>
          </w:tcPr>
          <w:p w:rsidRPr="00F0442E" w:rsidR="000C1980" w:rsidP="005C096A" w:rsidRDefault="000C1980" w14:paraId="2414CD6D"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$241,913,462 </w:t>
            </w:r>
          </w:p>
        </w:tc>
      </w:tr>
      <w:tr w:rsidRPr="00F0442E" w:rsidR="00C570C0" w:rsidTr="00F0442E" w14:paraId="57CADD67" w14:textId="77777777">
        <w:trPr>
          <w:trHeight w:val="208"/>
        </w:trPr>
        <w:tc>
          <w:tcPr>
            <w:tcW w:w="841" w:type="dxa"/>
            <w:noWrap/>
            <w:hideMark/>
          </w:tcPr>
          <w:p w:rsidRPr="00F0442E" w:rsidR="000C1980" w:rsidP="007C687F" w:rsidRDefault="000C1980" w14:paraId="6C09663D" w14:textId="77777777">
            <w:pPr>
              <w:rPr>
                <w:rFonts w:eastAsia="Times New Roman" w:cs="Calibri"/>
                <w:color w:val="000000"/>
                <w:sz w:val="18"/>
                <w:szCs w:val="18"/>
              </w:rPr>
            </w:pPr>
            <w:r w:rsidRPr="00F0442E">
              <w:rPr>
                <w:rFonts w:eastAsia="Times New Roman" w:cs="Calibri"/>
                <w:color w:val="000000"/>
                <w:sz w:val="18"/>
                <w:szCs w:val="18"/>
              </w:rPr>
              <w:t>PG&amp;E</w:t>
            </w:r>
          </w:p>
        </w:tc>
        <w:tc>
          <w:tcPr>
            <w:tcW w:w="1128" w:type="dxa"/>
            <w:noWrap/>
            <w:hideMark/>
          </w:tcPr>
          <w:p w:rsidRPr="00F0442E" w:rsidR="000C1980" w:rsidP="00C570C0" w:rsidRDefault="000C1980" w14:paraId="3FA41417"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$10,353,000</w:t>
            </w:r>
          </w:p>
        </w:tc>
        <w:tc>
          <w:tcPr>
            <w:tcW w:w="1128" w:type="dxa"/>
            <w:noWrap/>
            <w:hideMark/>
          </w:tcPr>
          <w:p w:rsidRPr="00F0442E" w:rsidR="000C1980" w:rsidP="005C096A" w:rsidRDefault="000C1980" w14:paraId="14A39FC8"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$12,898,000</w:t>
            </w:r>
          </w:p>
        </w:tc>
        <w:tc>
          <w:tcPr>
            <w:tcW w:w="1461" w:type="dxa"/>
            <w:noWrap/>
            <w:hideMark/>
          </w:tcPr>
          <w:p w:rsidRPr="00F0442E" w:rsidR="000C1980" w:rsidP="005C096A" w:rsidRDefault="000C1980" w14:paraId="643584EF"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$15,727,000</w:t>
            </w:r>
          </w:p>
        </w:tc>
        <w:tc>
          <w:tcPr>
            <w:tcW w:w="1461" w:type="dxa"/>
            <w:noWrap/>
            <w:hideMark/>
          </w:tcPr>
          <w:p w:rsidRPr="00F0442E" w:rsidR="000C1980" w:rsidP="005C096A" w:rsidRDefault="000C1980" w14:paraId="7439B763"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$18,273,000</w:t>
            </w:r>
          </w:p>
        </w:tc>
        <w:tc>
          <w:tcPr>
            <w:tcW w:w="1461" w:type="dxa"/>
            <w:noWrap/>
            <w:hideMark/>
          </w:tcPr>
          <w:p w:rsidRPr="00F0442E" w:rsidR="000C1980" w:rsidP="005C096A" w:rsidRDefault="000C1980" w14:paraId="653D46C0"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$20,819,000</w:t>
            </w:r>
          </w:p>
        </w:tc>
        <w:tc>
          <w:tcPr>
            <w:tcW w:w="1461" w:type="dxa"/>
            <w:noWrap/>
            <w:hideMark/>
          </w:tcPr>
          <w:p w:rsidRPr="00F0442E" w:rsidR="000C1980" w:rsidP="005C096A" w:rsidRDefault="000C1980" w14:paraId="7AD02244"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$23,364,000</w:t>
            </w:r>
          </w:p>
        </w:tc>
        <w:tc>
          <w:tcPr>
            <w:tcW w:w="1452" w:type="dxa"/>
            <w:noWrap/>
            <w:hideMark/>
          </w:tcPr>
          <w:p w:rsidRPr="00F0442E" w:rsidR="000C1980" w:rsidP="005C096A" w:rsidRDefault="000C1980" w14:paraId="1DBF87D6"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$101,434,000 </w:t>
            </w:r>
          </w:p>
        </w:tc>
      </w:tr>
      <w:tr w:rsidRPr="00F0442E" w:rsidR="00C570C0" w:rsidTr="00F0442E" w14:paraId="27D2E1D0" w14:textId="77777777">
        <w:trPr>
          <w:trHeight w:val="252"/>
        </w:trPr>
        <w:tc>
          <w:tcPr>
            <w:tcW w:w="841" w:type="dxa"/>
            <w:noWrap/>
            <w:hideMark/>
          </w:tcPr>
          <w:p w:rsidRPr="00F0442E" w:rsidR="000C1980" w:rsidP="007C687F" w:rsidRDefault="000C1980" w14:paraId="1C9CAF42" w14:textId="77777777">
            <w:pPr>
              <w:rPr>
                <w:rFonts w:eastAsia="Times New Roman" w:cs="Calibri"/>
                <w:color w:val="000000"/>
                <w:sz w:val="18"/>
                <w:szCs w:val="18"/>
              </w:rPr>
            </w:pPr>
            <w:r w:rsidRPr="00F0442E">
              <w:rPr>
                <w:rFonts w:eastAsia="Times New Roman" w:cs="Calibri"/>
                <w:color w:val="000000"/>
                <w:sz w:val="18"/>
                <w:szCs w:val="18"/>
              </w:rPr>
              <w:t>SDG&amp;E</w:t>
            </w:r>
          </w:p>
        </w:tc>
        <w:tc>
          <w:tcPr>
            <w:tcW w:w="1128" w:type="dxa"/>
            <w:noWrap/>
            <w:hideMark/>
          </w:tcPr>
          <w:p w:rsidRPr="00F0442E" w:rsidR="000C1980" w:rsidP="00C570C0" w:rsidRDefault="000C1980" w14:paraId="41FC2D99"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$2,989,008</w:t>
            </w:r>
          </w:p>
        </w:tc>
        <w:tc>
          <w:tcPr>
            <w:tcW w:w="1128" w:type="dxa"/>
            <w:noWrap/>
            <w:hideMark/>
          </w:tcPr>
          <w:p w:rsidRPr="00F0442E" w:rsidR="000C1980" w:rsidP="005C096A" w:rsidRDefault="000C1980" w14:paraId="026E3063"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$3,431,175</w:t>
            </w:r>
          </w:p>
        </w:tc>
        <w:tc>
          <w:tcPr>
            <w:tcW w:w="1461" w:type="dxa"/>
            <w:noWrap/>
            <w:hideMark/>
          </w:tcPr>
          <w:p w:rsidRPr="00F0442E" w:rsidR="000C1980" w:rsidP="005C096A" w:rsidRDefault="000C1980" w14:paraId="5842E55C"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$3,881,387</w:t>
            </w:r>
          </w:p>
        </w:tc>
        <w:tc>
          <w:tcPr>
            <w:tcW w:w="1461" w:type="dxa"/>
            <w:noWrap/>
            <w:hideMark/>
          </w:tcPr>
          <w:p w:rsidRPr="00F0442E" w:rsidR="000C1980" w:rsidP="005C096A" w:rsidRDefault="000C1980" w14:paraId="1965D863"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$4,444,713</w:t>
            </w:r>
          </w:p>
        </w:tc>
        <w:tc>
          <w:tcPr>
            <w:tcW w:w="1461" w:type="dxa"/>
            <w:noWrap/>
            <w:hideMark/>
          </w:tcPr>
          <w:p w:rsidRPr="00F0442E" w:rsidR="000C1980" w:rsidP="005C096A" w:rsidRDefault="000C1980" w14:paraId="732B0FE6"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$4,912,466</w:t>
            </w:r>
          </w:p>
        </w:tc>
        <w:tc>
          <w:tcPr>
            <w:tcW w:w="1461" w:type="dxa"/>
            <w:noWrap/>
            <w:hideMark/>
          </w:tcPr>
          <w:p w:rsidRPr="00F0442E" w:rsidR="000C1980" w:rsidP="005C096A" w:rsidRDefault="000C1980" w14:paraId="560DE4C3" w14:textId="77777777">
            <w:pPr>
              <w:jc w:val="right"/>
              <w:rPr>
                <w:rFonts w:eastAsia="Times New Roman" w:cs="Calibri"/>
                <w:color w:val="000000" w:themeColor="text1"/>
                <w:sz w:val="18"/>
                <w:szCs w:val="18"/>
              </w:rPr>
            </w:pPr>
            <w:r w:rsidRPr="00F0442E">
              <w:rPr>
                <w:rFonts w:eastAsia="Times New Roman" w:cs="Calibri"/>
                <w:color w:val="000000" w:themeColor="text1"/>
                <w:sz w:val="18"/>
                <w:szCs w:val="18"/>
              </w:rPr>
              <w:t>$5,388,762</w:t>
            </w:r>
          </w:p>
        </w:tc>
        <w:tc>
          <w:tcPr>
            <w:tcW w:w="1452" w:type="dxa"/>
            <w:noWrap/>
            <w:hideMark/>
          </w:tcPr>
          <w:p w:rsidRPr="00F0442E" w:rsidR="000C1980" w:rsidP="005C096A" w:rsidRDefault="000C1980" w14:paraId="6E0DF091"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$25,047,511 </w:t>
            </w:r>
          </w:p>
        </w:tc>
      </w:tr>
      <w:tr w:rsidRPr="00F0442E" w:rsidR="00C570C0" w:rsidTr="00F0442E" w14:paraId="72D1C29B" w14:textId="77777777">
        <w:trPr>
          <w:trHeight w:val="208"/>
        </w:trPr>
        <w:tc>
          <w:tcPr>
            <w:tcW w:w="841" w:type="dxa"/>
            <w:noWrap/>
            <w:hideMark/>
          </w:tcPr>
          <w:p w:rsidRPr="00F0442E" w:rsidR="000C1980" w:rsidP="007C687F" w:rsidRDefault="000C1980" w14:paraId="602DBB35" w14:textId="77777777">
            <w:pPr>
              <w:rPr>
                <w:rFonts w:eastAsia="Times New Roman" w:cs="Calibri"/>
                <w:color w:val="000000"/>
                <w:sz w:val="18"/>
                <w:szCs w:val="18"/>
              </w:rPr>
            </w:pPr>
            <w:r w:rsidRPr="00F0442E">
              <w:rPr>
                <w:rFonts w:eastAsia="Times New Roman" w:cs="Calibri"/>
                <w:color w:val="000000"/>
                <w:sz w:val="18"/>
                <w:szCs w:val="18"/>
              </w:rPr>
              <w:t>Total</w:t>
            </w:r>
          </w:p>
        </w:tc>
        <w:tc>
          <w:tcPr>
            <w:tcW w:w="1128" w:type="dxa"/>
            <w:noWrap/>
            <w:hideMark/>
          </w:tcPr>
          <w:p w:rsidRPr="00F0442E" w:rsidR="000C1980" w:rsidP="00C570C0" w:rsidRDefault="000C1980" w14:paraId="5573C781" w14:textId="77777777">
            <w:pPr>
              <w:rPr>
                <w:rFonts w:eastAsia="Times New Roman" w:cs="Calibri"/>
                <w:b/>
                <w:color w:val="000000"/>
                <w:sz w:val="18"/>
                <w:szCs w:val="18"/>
              </w:rPr>
            </w:pPr>
            <w:r w:rsidRPr="00F0442E">
              <w:rPr>
                <w:rFonts w:eastAsia="Times New Roman" w:cs="Calibri"/>
                <w:b/>
                <w:color w:val="000000"/>
                <w:sz w:val="18"/>
                <w:szCs w:val="18"/>
              </w:rPr>
              <w:t xml:space="preserve">$34,356,922 </w:t>
            </w:r>
          </w:p>
        </w:tc>
        <w:tc>
          <w:tcPr>
            <w:tcW w:w="1128" w:type="dxa"/>
            <w:noWrap/>
            <w:hideMark/>
          </w:tcPr>
          <w:p w:rsidRPr="00F0442E" w:rsidR="000C1980" w:rsidP="005C096A" w:rsidRDefault="000C1980" w14:paraId="55B9853E"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$45,075,711 </w:t>
            </w:r>
          </w:p>
        </w:tc>
        <w:tc>
          <w:tcPr>
            <w:tcW w:w="1461" w:type="dxa"/>
            <w:noWrap/>
            <w:hideMark/>
          </w:tcPr>
          <w:p w:rsidRPr="00F0442E" w:rsidR="000C1980" w:rsidP="005C096A" w:rsidRDefault="000C1980" w14:paraId="49396C25"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$56,962,079 </w:t>
            </w:r>
          </w:p>
        </w:tc>
        <w:tc>
          <w:tcPr>
            <w:tcW w:w="1461" w:type="dxa"/>
            <w:noWrap/>
            <w:hideMark/>
          </w:tcPr>
          <w:p w:rsidRPr="00F0442E" w:rsidR="000C1980" w:rsidP="005C096A" w:rsidRDefault="000C1980" w14:paraId="3AF6B25D"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$68,881,962 </w:t>
            </w:r>
          </w:p>
        </w:tc>
        <w:tc>
          <w:tcPr>
            <w:tcW w:w="1461" w:type="dxa"/>
            <w:noWrap/>
            <w:hideMark/>
          </w:tcPr>
          <w:p w:rsidRPr="00F0442E" w:rsidR="000C1980" w:rsidP="005C096A" w:rsidRDefault="000C1980" w14:paraId="25257B58"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$77,238,118 </w:t>
            </w:r>
          </w:p>
        </w:tc>
        <w:tc>
          <w:tcPr>
            <w:tcW w:w="1461" w:type="dxa"/>
            <w:noWrap/>
            <w:hideMark/>
          </w:tcPr>
          <w:p w:rsidRPr="00F0442E" w:rsidR="000C1980" w:rsidP="005C096A" w:rsidRDefault="000C1980" w14:paraId="29F9A57A"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$85,880,181 </w:t>
            </w:r>
          </w:p>
        </w:tc>
        <w:tc>
          <w:tcPr>
            <w:tcW w:w="1452" w:type="dxa"/>
            <w:noWrap/>
            <w:hideMark/>
          </w:tcPr>
          <w:p w:rsidRPr="00F0442E" w:rsidR="000C1980" w:rsidP="005C096A" w:rsidRDefault="000C1980" w14:paraId="694E103C" w14:textId="77777777">
            <w:pPr>
              <w:jc w:val="right"/>
              <w:rPr>
                <w:rFonts w:eastAsia="Times New Roman" w:cs="Calibri"/>
                <w:b/>
                <w:color w:val="000000"/>
                <w:sz w:val="18"/>
                <w:szCs w:val="18"/>
              </w:rPr>
            </w:pPr>
            <w:r w:rsidRPr="00F0442E">
              <w:rPr>
                <w:rFonts w:eastAsia="Times New Roman" w:cs="Calibri"/>
                <w:b/>
                <w:color w:val="000000"/>
                <w:sz w:val="18"/>
                <w:szCs w:val="18"/>
              </w:rPr>
              <w:t xml:space="preserve">$368,394,973 </w:t>
            </w:r>
          </w:p>
        </w:tc>
      </w:tr>
      <w:tr w:rsidRPr="00F0442E" w:rsidR="00C570C0" w:rsidTr="00F0442E" w14:paraId="74DEEC9D" w14:textId="77777777">
        <w:trPr>
          <w:trHeight w:val="208"/>
        </w:trPr>
        <w:tc>
          <w:tcPr>
            <w:tcW w:w="841" w:type="dxa"/>
            <w:noWrap/>
            <w:hideMark/>
          </w:tcPr>
          <w:p w:rsidRPr="00F0442E" w:rsidR="000C1980" w:rsidP="001968DC" w:rsidRDefault="000C1980" w14:paraId="7423BB54" w14:textId="77777777">
            <w:pPr>
              <w:ind w:left="360"/>
              <w:jc w:val="right"/>
              <w:rPr>
                <w:rFonts w:eastAsia="Times New Roman" w:cs="Calibri"/>
                <w:color w:val="000000"/>
                <w:sz w:val="18"/>
                <w:szCs w:val="18"/>
              </w:rPr>
            </w:pPr>
          </w:p>
        </w:tc>
        <w:tc>
          <w:tcPr>
            <w:tcW w:w="1128" w:type="dxa"/>
            <w:noWrap/>
            <w:hideMark/>
          </w:tcPr>
          <w:p w:rsidRPr="00F0442E" w:rsidR="000C1980" w:rsidP="001968DC" w:rsidRDefault="000C1980" w14:paraId="19D66BA5" w14:textId="77777777">
            <w:pPr>
              <w:ind w:left="360"/>
              <w:rPr>
                <w:rFonts w:eastAsia="Times New Roman"/>
                <w:sz w:val="18"/>
                <w:szCs w:val="18"/>
              </w:rPr>
            </w:pPr>
          </w:p>
        </w:tc>
        <w:tc>
          <w:tcPr>
            <w:tcW w:w="1128" w:type="dxa"/>
            <w:noWrap/>
            <w:hideMark/>
          </w:tcPr>
          <w:p w:rsidRPr="00F0442E" w:rsidR="000C1980" w:rsidP="001968DC" w:rsidRDefault="000C1980" w14:paraId="51EC6298" w14:textId="77777777">
            <w:pPr>
              <w:ind w:left="360"/>
              <w:rPr>
                <w:rFonts w:eastAsia="Times New Roman"/>
                <w:sz w:val="18"/>
                <w:szCs w:val="18"/>
              </w:rPr>
            </w:pPr>
          </w:p>
        </w:tc>
        <w:tc>
          <w:tcPr>
            <w:tcW w:w="1461" w:type="dxa"/>
            <w:noWrap/>
            <w:hideMark/>
          </w:tcPr>
          <w:p w:rsidRPr="00F0442E" w:rsidR="000C1980" w:rsidP="001968DC" w:rsidRDefault="000C1980" w14:paraId="748F5042" w14:textId="77777777">
            <w:pPr>
              <w:ind w:left="360"/>
              <w:rPr>
                <w:rFonts w:eastAsia="Times New Roman"/>
                <w:sz w:val="18"/>
                <w:szCs w:val="18"/>
              </w:rPr>
            </w:pPr>
          </w:p>
        </w:tc>
        <w:tc>
          <w:tcPr>
            <w:tcW w:w="1461" w:type="dxa"/>
            <w:noWrap/>
            <w:hideMark/>
          </w:tcPr>
          <w:p w:rsidRPr="00F0442E" w:rsidR="000C1980" w:rsidP="001968DC" w:rsidRDefault="000C1980" w14:paraId="3906FB86" w14:textId="77777777">
            <w:pPr>
              <w:ind w:left="360"/>
              <w:rPr>
                <w:rFonts w:eastAsia="Times New Roman"/>
                <w:sz w:val="18"/>
                <w:szCs w:val="18"/>
              </w:rPr>
            </w:pPr>
          </w:p>
        </w:tc>
        <w:tc>
          <w:tcPr>
            <w:tcW w:w="1461" w:type="dxa"/>
            <w:noWrap/>
            <w:hideMark/>
          </w:tcPr>
          <w:p w:rsidRPr="00F0442E" w:rsidR="000C1980" w:rsidP="001968DC" w:rsidRDefault="000C1980" w14:paraId="5BEC0DC8" w14:textId="77777777">
            <w:pPr>
              <w:ind w:left="360"/>
              <w:rPr>
                <w:rFonts w:eastAsia="Times New Roman"/>
                <w:sz w:val="18"/>
                <w:szCs w:val="18"/>
              </w:rPr>
            </w:pPr>
          </w:p>
        </w:tc>
        <w:tc>
          <w:tcPr>
            <w:tcW w:w="1461" w:type="dxa"/>
            <w:noWrap/>
            <w:hideMark/>
          </w:tcPr>
          <w:p w:rsidRPr="00F0442E" w:rsidR="000C1980" w:rsidP="001968DC" w:rsidRDefault="000C1980" w14:paraId="09D9A426" w14:textId="77777777">
            <w:pPr>
              <w:ind w:left="360"/>
              <w:rPr>
                <w:rFonts w:eastAsia="Times New Roman"/>
                <w:sz w:val="18"/>
                <w:szCs w:val="18"/>
              </w:rPr>
            </w:pPr>
          </w:p>
        </w:tc>
        <w:tc>
          <w:tcPr>
            <w:tcW w:w="1452" w:type="dxa"/>
            <w:noWrap/>
            <w:hideMark/>
          </w:tcPr>
          <w:p w:rsidRPr="00F0442E" w:rsidR="000C1980" w:rsidP="001968DC" w:rsidRDefault="000C1980" w14:paraId="7D7B0E42" w14:textId="77777777">
            <w:pPr>
              <w:ind w:left="360"/>
              <w:rPr>
                <w:rFonts w:eastAsia="Times New Roman"/>
                <w:sz w:val="18"/>
                <w:szCs w:val="18"/>
              </w:rPr>
            </w:pPr>
          </w:p>
        </w:tc>
      </w:tr>
      <w:tr w:rsidRPr="00F0442E" w:rsidR="00C570C0" w:rsidTr="00F0442E" w14:paraId="35810D73" w14:textId="77777777">
        <w:trPr>
          <w:trHeight w:val="208"/>
        </w:trPr>
        <w:tc>
          <w:tcPr>
            <w:tcW w:w="841" w:type="dxa"/>
            <w:vMerge w:val="restart"/>
            <w:noWrap/>
            <w:hideMark/>
          </w:tcPr>
          <w:p w:rsidRPr="00F0442E" w:rsidR="000C1980" w:rsidP="007C687F" w:rsidRDefault="000C1980" w14:paraId="27283FF1" w14:textId="77777777">
            <w:pPr>
              <w:rPr>
                <w:rFonts w:eastAsia="Times New Roman" w:cs="Calibri"/>
                <w:color w:val="000000"/>
                <w:sz w:val="18"/>
                <w:szCs w:val="18"/>
              </w:rPr>
            </w:pPr>
            <w:r w:rsidRPr="00F0442E">
              <w:rPr>
                <w:rFonts w:eastAsia="Times New Roman" w:cs="Calibri"/>
                <w:color w:val="000000"/>
                <w:sz w:val="18"/>
                <w:szCs w:val="18"/>
              </w:rPr>
              <w:t>IOU</w:t>
            </w:r>
          </w:p>
        </w:tc>
        <w:tc>
          <w:tcPr>
            <w:tcW w:w="9556" w:type="dxa"/>
            <w:gridSpan w:val="7"/>
            <w:noWrap/>
            <w:hideMark/>
          </w:tcPr>
          <w:p w:rsidRPr="00F0442E" w:rsidR="000C1980" w:rsidP="001968DC" w:rsidRDefault="000C1980" w14:paraId="4E29D299" w14:textId="77777777">
            <w:pPr>
              <w:ind w:left="360"/>
              <w:jc w:val="center"/>
              <w:rPr>
                <w:rFonts w:eastAsia="Times New Roman" w:cs="Calibri"/>
                <w:b/>
                <w:color w:val="000000"/>
                <w:sz w:val="18"/>
                <w:szCs w:val="18"/>
              </w:rPr>
            </w:pPr>
            <w:r w:rsidRPr="00F0442E">
              <w:rPr>
                <w:rFonts w:eastAsia="Times New Roman" w:cs="Calibri"/>
                <w:b/>
                <w:color w:val="000000"/>
                <w:sz w:val="18"/>
                <w:szCs w:val="18"/>
              </w:rPr>
              <w:t>Proposed FERA Administrative Budget and Subsidies</w:t>
            </w:r>
          </w:p>
        </w:tc>
      </w:tr>
      <w:tr w:rsidRPr="00F0442E" w:rsidR="00C570C0" w:rsidTr="00F0442E" w14:paraId="4A6D23BC" w14:textId="77777777">
        <w:trPr>
          <w:trHeight w:val="208"/>
        </w:trPr>
        <w:tc>
          <w:tcPr>
            <w:tcW w:w="841" w:type="dxa"/>
            <w:vMerge/>
            <w:hideMark/>
          </w:tcPr>
          <w:p w:rsidRPr="00F0442E" w:rsidR="000C1980" w:rsidP="001968DC" w:rsidRDefault="000C1980" w14:paraId="32EDD4C3" w14:textId="77777777">
            <w:pPr>
              <w:ind w:left="360"/>
              <w:jc w:val="right"/>
              <w:rPr>
                <w:rFonts w:eastAsia="Times New Roman" w:cs="Calibri"/>
                <w:color w:val="000000"/>
                <w:sz w:val="18"/>
                <w:szCs w:val="18"/>
              </w:rPr>
            </w:pPr>
          </w:p>
        </w:tc>
        <w:tc>
          <w:tcPr>
            <w:tcW w:w="1128" w:type="dxa"/>
            <w:noWrap/>
            <w:hideMark/>
          </w:tcPr>
          <w:p w:rsidRPr="00F0442E" w:rsidR="000C1980" w:rsidP="001968DC" w:rsidRDefault="000C1980" w14:paraId="69080A77"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2021</w:t>
            </w:r>
          </w:p>
        </w:tc>
        <w:tc>
          <w:tcPr>
            <w:tcW w:w="1128" w:type="dxa"/>
            <w:noWrap/>
            <w:hideMark/>
          </w:tcPr>
          <w:p w:rsidRPr="00F0442E" w:rsidR="000C1980" w:rsidP="001968DC" w:rsidRDefault="000C1980" w14:paraId="748657F6"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2022</w:t>
            </w:r>
          </w:p>
        </w:tc>
        <w:tc>
          <w:tcPr>
            <w:tcW w:w="1461" w:type="dxa"/>
            <w:noWrap/>
            <w:hideMark/>
          </w:tcPr>
          <w:p w:rsidRPr="00F0442E" w:rsidR="000C1980" w:rsidP="001968DC" w:rsidRDefault="000C1980" w14:paraId="60E96550"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2023</w:t>
            </w:r>
          </w:p>
        </w:tc>
        <w:tc>
          <w:tcPr>
            <w:tcW w:w="1461" w:type="dxa"/>
            <w:noWrap/>
            <w:hideMark/>
          </w:tcPr>
          <w:p w:rsidRPr="00F0442E" w:rsidR="000C1980" w:rsidP="001968DC" w:rsidRDefault="000C1980" w14:paraId="74E08C18"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2024</w:t>
            </w:r>
          </w:p>
        </w:tc>
        <w:tc>
          <w:tcPr>
            <w:tcW w:w="1461" w:type="dxa"/>
            <w:noWrap/>
            <w:hideMark/>
          </w:tcPr>
          <w:p w:rsidRPr="00F0442E" w:rsidR="000C1980" w:rsidP="001968DC" w:rsidRDefault="000C1980" w14:paraId="656B7358"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2025</w:t>
            </w:r>
          </w:p>
        </w:tc>
        <w:tc>
          <w:tcPr>
            <w:tcW w:w="1461" w:type="dxa"/>
            <w:noWrap/>
            <w:hideMark/>
          </w:tcPr>
          <w:p w:rsidRPr="00F0442E" w:rsidR="000C1980" w:rsidP="001968DC" w:rsidRDefault="000C1980" w14:paraId="6634F645" w14:textId="77777777">
            <w:pPr>
              <w:ind w:left="360"/>
              <w:jc w:val="right"/>
              <w:rPr>
                <w:rFonts w:eastAsia="Times New Roman" w:cs="Calibri"/>
                <w:b/>
                <w:color w:val="000000"/>
                <w:sz w:val="18"/>
                <w:szCs w:val="18"/>
              </w:rPr>
            </w:pPr>
            <w:r w:rsidRPr="00F0442E">
              <w:rPr>
                <w:rFonts w:eastAsia="Times New Roman" w:cs="Calibri"/>
                <w:b/>
                <w:color w:val="000000"/>
                <w:sz w:val="18"/>
                <w:szCs w:val="18"/>
              </w:rPr>
              <w:t>2026</w:t>
            </w:r>
          </w:p>
        </w:tc>
        <w:tc>
          <w:tcPr>
            <w:tcW w:w="1452" w:type="dxa"/>
            <w:noWrap/>
            <w:hideMark/>
          </w:tcPr>
          <w:p w:rsidRPr="00F0442E" w:rsidR="000C1980" w:rsidP="001968DC" w:rsidRDefault="000C1980" w14:paraId="18D8A636" w14:textId="77777777">
            <w:pPr>
              <w:ind w:left="360"/>
              <w:rPr>
                <w:rFonts w:eastAsia="Times New Roman" w:cs="Calibri"/>
                <w:b/>
                <w:color w:val="000000"/>
                <w:sz w:val="18"/>
                <w:szCs w:val="18"/>
              </w:rPr>
            </w:pPr>
            <w:r w:rsidRPr="00F0442E">
              <w:rPr>
                <w:rFonts w:eastAsia="Times New Roman" w:cs="Calibri"/>
                <w:b/>
                <w:color w:val="000000"/>
                <w:sz w:val="18"/>
                <w:szCs w:val="18"/>
              </w:rPr>
              <w:t>Total</w:t>
            </w:r>
          </w:p>
        </w:tc>
      </w:tr>
      <w:tr w:rsidRPr="00F0442E" w:rsidR="00C570C0" w:rsidTr="00F0442E" w14:paraId="6E3D40E6" w14:textId="77777777">
        <w:trPr>
          <w:trHeight w:val="208"/>
        </w:trPr>
        <w:tc>
          <w:tcPr>
            <w:tcW w:w="841" w:type="dxa"/>
            <w:noWrap/>
            <w:hideMark/>
          </w:tcPr>
          <w:p w:rsidRPr="00F0442E" w:rsidR="000C1980" w:rsidP="007C687F" w:rsidRDefault="000C1980" w14:paraId="5800AD06" w14:textId="77777777">
            <w:pPr>
              <w:rPr>
                <w:rFonts w:eastAsia="Times New Roman" w:cs="Calibri"/>
                <w:color w:val="000000"/>
                <w:sz w:val="18"/>
                <w:szCs w:val="18"/>
              </w:rPr>
            </w:pPr>
            <w:r w:rsidRPr="00F0442E">
              <w:rPr>
                <w:rFonts w:eastAsia="Times New Roman" w:cs="Calibri"/>
                <w:color w:val="000000"/>
                <w:sz w:val="18"/>
                <w:szCs w:val="18"/>
              </w:rPr>
              <w:t>SCE</w:t>
            </w:r>
          </w:p>
        </w:tc>
        <w:tc>
          <w:tcPr>
            <w:tcW w:w="1128" w:type="dxa"/>
            <w:noWrap/>
            <w:hideMark/>
          </w:tcPr>
          <w:p w:rsidRPr="00F0442E" w:rsidR="000C1980" w:rsidP="00C570C0" w:rsidRDefault="000C1980" w14:paraId="2CFAB531" w14:textId="77777777">
            <w:pPr>
              <w:rPr>
                <w:rFonts w:eastAsia="Times New Roman" w:cs="Calibri"/>
                <w:color w:val="000000"/>
                <w:sz w:val="18"/>
                <w:szCs w:val="18"/>
              </w:rPr>
            </w:pPr>
            <w:r w:rsidRPr="00F0442E">
              <w:rPr>
                <w:rFonts w:eastAsia="Times New Roman" w:cs="Calibri"/>
                <w:color w:val="000000"/>
                <w:sz w:val="18"/>
                <w:szCs w:val="18"/>
              </w:rPr>
              <w:t xml:space="preserve">$21,652,364 </w:t>
            </w:r>
          </w:p>
        </w:tc>
        <w:tc>
          <w:tcPr>
            <w:tcW w:w="1128" w:type="dxa"/>
            <w:noWrap/>
            <w:hideMark/>
          </w:tcPr>
          <w:p w:rsidRPr="00F0442E" w:rsidR="000C1980" w:rsidP="00C570C0" w:rsidRDefault="000C1980" w14:paraId="2905F5DD" w14:textId="77777777">
            <w:pPr>
              <w:rPr>
                <w:rFonts w:eastAsia="Times New Roman" w:cs="Calibri"/>
                <w:color w:val="000000"/>
                <w:sz w:val="18"/>
                <w:szCs w:val="18"/>
              </w:rPr>
            </w:pPr>
            <w:r w:rsidRPr="00F0442E">
              <w:rPr>
                <w:rFonts w:eastAsia="Times New Roman" w:cs="Calibri"/>
                <w:color w:val="000000"/>
                <w:sz w:val="18"/>
                <w:szCs w:val="18"/>
              </w:rPr>
              <w:t xml:space="preserve">$29,442,231 </w:t>
            </w:r>
          </w:p>
        </w:tc>
        <w:tc>
          <w:tcPr>
            <w:tcW w:w="1461" w:type="dxa"/>
            <w:noWrap/>
            <w:hideMark/>
          </w:tcPr>
          <w:p w:rsidRPr="00F0442E" w:rsidR="000C1980" w:rsidP="001968DC" w:rsidRDefault="000C1980" w14:paraId="64B5E9B0"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$38,113,457 </w:t>
            </w:r>
          </w:p>
        </w:tc>
        <w:tc>
          <w:tcPr>
            <w:tcW w:w="1461" w:type="dxa"/>
            <w:noWrap/>
            <w:hideMark/>
          </w:tcPr>
          <w:p w:rsidRPr="00F0442E" w:rsidR="000C1980" w:rsidP="001968DC" w:rsidRDefault="000C1980" w14:paraId="31D2ECF0"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$46,994,493 </w:t>
            </w:r>
          </w:p>
        </w:tc>
        <w:tc>
          <w:tcPr>
            <w:tcW w:w="1461" w:type="dxa"/>
            <w:noWrap/>
            <w:hideMark/>
          </w:tcPr>
          <w:p w:rsidRPr="00F0442E" w:rsidR="000C1980" w:rsidP="001968DC" w:rsidRDefault="000C1980" w14:paraId="03D89187"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$52,414,418 </w:t>
            </w:r>
          </w:p>
        </w:tc>
        <w:tc>
          <w:tcPr>
            <w:tcW w:w="1461" w:type="dxa"/>
            <w:noWrap/>
            <w:hideMark/>
          </w:tcPr>
          <w:p w:rsidRPr="00F0442E" w:rsidR="000C1980" w:rsidP="001968DC" w:rsidRDefault="000C1980" w14:paraId="26538F75"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$58,120,459 </w:t>
            </w:r>
          </w:p>
        </w:tc>
        <w:tc>
          <w:tcPr>
            <w:tcW w:w="1452" w:type="dxa"/>
            <w:noWrap/>
            <w:hideMark/>
          </w:tcPr>
          <w:p w:rsidRPr="00F0442E" w:rsidR="000C1980" w:rsidP="001968DC" w:rsidRDefault="000C1980" w14:paraId="6EB343CF"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$246,737,422 </w:t>
            </w:r>
          </w:p>
        </w:tc>
      </w:tr>
      <w:tr w:rsidRPr="00F0442E" w:rsidR="00C570C0" w:rsidTr="00F0442E" w14:paraId="0899E529" w14:textId="77777777">
        <w:trPr>
          <w:trHeight w:val="208"/>
        </w:trPr>
        <w:tc>
          <w:tcPr>
            <w:tcW w:w="841" w:type="dxa"/>
            <w:noWrap/>
            <w:hideMark/>
          </w:tcPr>
          <w:p w:rsidRPr="00F0442E" w:rsidR="000C1980" w:rsidP="00C570C0" w:rsidRDefault="000C1980" w14:paraId="3EEFBC8E" w14:textId="77777777">
            <w:pPr>
              <w:rPr>
                <w:rFonts w:eastAsia="Times New Roman" w:cs="Calibri"/>
                <w:color w:val="000000"/>
                <w:sz w:val="18"/>
                <w:szCs w:val="18"/>
              </w:rPr>
            </w:pPr>
            <w:r w:rsidRPr="00F0442E">
              <w:rPr>
                <w:rFonts w:eastAsia="Times New Roman" w:cs="Calibri"/>
                <w:color w:val="000000"/>
                <w:sz w:val="18"/>
                <w:szCs w:val="18"/>
              </w:rPr>
              <w:t>PG&amp;E</w:t>
            </w:r>
          </w:p>
        </w:tc>
        <w:tc>
          <w:tcPr>
            <w:tcW w:w="1128" w:type="dxa"/>
            <w:noWrap/>
            <w:hideMark/>
          </w:tcPr>
          <w:p w:rsidRPr="00F0442E" w:rsidR="000C1980" w:rsidP="00C570C0" w:rsidRDefault="000C1980" w14:paraId="0E2156F3" w14:textId="77777777">
            <w:pPr>
              <w:rPr>
                <w:rFonts w:eastAsia="Times New Roman" w:cs="Calibri"/>
                <w:color w:val="000000"/>
                <w:sz w:val="18"/>
                <w:szCs w:val="18"/>
              </w:rPr>
            </w:pPr>
            <w:r w:rsidRPr="00F0442E">
              <w:rPr>
                <w:rFonts w:eastAsia="Times New Roman" w:cs="Calibri"/>
                <w:color w:val="000000"/>
                <w:sz w:val="18"/>
                <w:szCs w:val="18"/>
              </w:rPr>
              <w:t xml:space="preserve">$12,856,700 </w:t>
            </w:r>
          </w:p>
        </w:tc>
        <w:tc>
          <w:tcPr>
            <w:tcW w:w="1128" w:type="dxa"/>
            <w:noWrap/>
            <w:hideMark/>
          </w:tcPr>
          <w:p w:rsidRPr="00F0442E" w:rsidR="000C1980" w:rsidP="00C570C0" w:rsidRDefault="000C1980" w14:paraId="30116712" w14:textId="77777777">
            <w:pPr>
              <w:rPr>
                <w:rFonts w:eastAsia="Times New Roman" w:cs="Calibri"/>
                <w:color w:val="000000"/>
                <w:sz w:val="18"/>
                <w:szCs w:val="18"/>
              </w:rPr>
            </w:pPr>
            <w:r w:rsidRPr="00F0442E">
              <w:rPr>
                <w:rFonts w:eastAsia="Times New Roman" w:cs="Calibri"/>
                <w:color w:val="000000"/>
                <w:sz w:val="18"/>
                <w:szCs w:val="18"/>
              </w:rPr>
              <w:t xml:space="preserve">$15,700,400 </w:t>
            </w:r>
          </w:p>
        </w:tc>
        <w:tc>
          <w:tcPr>
            <w:tcW w:w="1461" w:type="dxa"/>
            <w:noWrap/>
            <w:hideMark/>
          </w:tcPr>
          <w:p w:rsidRPr="00F0442E" w:rsidR="000C1980" w:rsidP="001968DC" w:rsidRDefault="000C1980" w14:paraId="26ABD942"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$18,594,400 </w:t>
            </w:r>
          </w:p>
        </w:tc>
        <w:tc>
          <w:tcPr>
            <w:tcW w:w="1461" w:type="dxa"/>
            <w:noWrap/>
            <w:hideMark/>
          </w:tcPr>
          <w:p w:rsidRPr="00F0442E" w:rsidR="000C1980" w:rsidP="001968DC" w:rsidRDefault="000C1980" w14:paraId="29BA89E7"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$21,210,000 </w:t>
            </w:r>
          </w:p>
        </w:tc>
        <w:tc>
          <w:tcPr>
            <w:tcW w:w="1461" w:type="dxa"/>
            <w:noWrap/>
            <w:hideMark/>
          </w:tcPr>
          <w:p w:rsidRPr="00F0442E" w:rsidR="000C1980" w:rsidP="001968DC" w:rsidRDefault="000C1980" w14:paraId="74491CFC"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$23,824,900 </w:t>
            </w:r>
          </w:p>
        </w:tc>
        <w:tc>
          <w:tcPr>
            <w:tcW w:w="1461" w:type="dxa"/>
            <w:noWrap/>
            <w:hideMark/>
          </w:tcPr>
          <w:p w:rsidRPr="00F0442E" w:rsidR="000C1980" w:rsidP="001968DC" w:rsidRDefault="000C1980" w14:paraId="33E9E6FC"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$26,440,800 </w:t>
            </w:r>
          </w:p>
        </w:tc>
        <w:tc>
          <w:tcPr>
            <w:tcW w:w="1452" w:type="dxa"/>
            <w:noWrap/>
            <w:hideMark/>
          </w:tcPr>
          <w:p w:rsidRPr="00F0442E" w:rsidR="000C1980" w:rsidP="001968DC" w:rsidRDefault="000C1980" w14:paraId="2F4F19B4"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$118,627,200 </w:t>
            </w:r>
          </w:p>
        </w:tc>
      </w:tr>
      <w:tr w:rsidRPr="00F0442E" w:rsidR="00C570C0" w:rsidTr="00F0442E" w14:paraId="172344E7" w14:textId="77777777">
        <w:trPr>
          <w:trHeight w:val="208"/>
        </w:trPr>
        <w:tc>
          <w:tcPr>
            <w:tcW w:w="841" w:type="dxa"/>
            <w:noWrap/>
            <w:hideMark/>
          </w:tcPr>
          <w:p w:rsidRPr="00F0442E" w:rsidR="000C1980" w:rsidP="00C570C0" w:rsidRDefault="000C1980" w14:paraId="12F91669" w14:textId="77777777">
            <w:pPr>
              <w:rPr>
                <w:rFonts w:eastAsia="Times New Roman" w:cs="Calibri"/>
                <w:color w:val="000000"/>
                <w:sz w:val="18"/>
                <w:szCs w:val="18"/>
              </w:rPr>
            </w:pPr>
            <w:r w:rsidRPr="00F0442E">
              <w:rPr>
                <w:rFonts w:eastAsia="Times New Roman" w:cs="Calibri"/>
                <w:color w:val="000000"/>
                <w:sz w:val="18"/>
                <w:szCs w:val="18"/>
              </w:rPr>
              <w:t>SDG&amp;E</w:t>
            </w:r>
          </w:p>
        </w:tc>
        <w:tc>
          <w:tcPr>
            <w:tcW w:w="1128" w:type="dxa"/>
            <w:noWrap/>
            <w:hideMark/>
          </w:tcPr>
          <w:p w:rsidRPr="00F0442E" w:rsidR="000C1980" w:rsidP="00C570C0" w:rsidRDefault="000C1980" w14:paraId="78DD7CAD" w14:textId="77777777">
            <w:pPr>
              <w:rPr>
                <w:rFonts w:eastAsia="Times New Roman" w:cs="Calibri"/>
                <w:color w:val="000000"/>
                <w:sz w:val="18"/>
                <w:szCs w:val="18"/>
              </w:rPr>
            </w:pPr>
            <w:r w:rsidRPr="00F0442E">
              <w:rPr>
                <w:rFonts w:eastAsia="Times New Roman" w:cs="Calibri"/>
                <w:color w:val="000000"/>
                <w:sz w:val="18"/>
                <w:szCs w:val="18"/>
              </w:rPr>
              <w:t xml:space="preserve">$3,583,582 </w:t>
            </w:r>
          </w:p>
        </w:tc>
        <w:tc>
          <w:tcPr>
            <w:tcW w:w="1128" w:type="dxa"/>
            <w:noWrap/>
            <w:hideMark/>
          </w:tcPr>
          <w:p w:rsidRPr="00F0442E" w:rsidR="000C1980" w:rsidP="00C570C0" w:rsidRDefault="000C1980" w14:paraId="64050470" w14:textId="77777777">
            <w:pPr>
              <w:rPr>
                <w:rFonts w:eastAsia="Times New Roman" w:cs="Calibri"/>
                <w:color w:val="000000"/>
                <w:sz w:val="18"/>
                <w:szCs w:val="18"/>
              </w:rPr>
            </w:pPr>
            <w:r w:rsidRPr="00F0442E">
              <w:rPr>
                <w:rFonts w:eastAsia="Times New Roman" w:cs="Calibri"/>
                <w:color w:val="000000"/>
                <w:sz w:val="18"/>
                <w:szCs w:val="18"/>
              </w:rPr>
              <w:t xml:space="preserve">$4,134,325 </w:t>
            </w:r>
          </w:p>
        </w:tc>
        <w:tc>
          <w:tcPr>
            <w:tcW w:w="1461" w:type="dxa"/>
            <w:noWrap/>
            <w:hideMark/>
          </w:tcPr>
          <w:p w:rsidRPr="00F0442E" w:rsidR="000C1980" w:rsidP="001968DC" w:rsidRDefault="000C1980" w14:paraId="2F8825D0"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$4,493,780 </w:t>
            </w:r>
          </w:p>
        </w:tc>
        <w:tc>
          <w:tcPr>
            <w:tcW w:w="1461" w:type="dxa"/>
            <w:noWrap/>
            <w:hideMark/>
          </w:tcPr>
          <w:p w:rsidRPr="00F0442E" w:rsidR="000C1980" w:rsidP="001968DC" w:rsidRDefault="000C1980" w14:paraId="151F7056"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$5,066,528 </w:t>
            </w:r>
          </w:p>
        </w:tc>
        <w:tc>
          <w:tcPr>
            <w:tcW w:w="1461" w:type="dxa"/>
            <w:noWrap/>
            <w:hideMark/>
          </w:tcPr>
          <w:p w:rsidRPr="00F0442E" w:rsidR="000C1980" w:rsidP="001968DC" w:rsidRDefault="000C1980" w14:paraId="72254990"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$5,543,044 </w:t>
            </w:r>
          </w:p>
        </w:tc>
        <w:tc>
          <w:tcPr>
            <w:tcW w:w="1461" w:type="dxa"/>
            <w:noWrap/>
            <w:hideMark/>
          </w:tcPr>
          <w:p w:rsidRPr="00F0442E" w:rsidR="000C1980" w:rsidP="001968DC" w:rsidRDefault="000C1980" w14:paraId="1B840D9B" w14:textId="77777777">
            <w:pPr>
              <w:ind w:left="360"/>
              <w:jc w:val="right"/>
              <w:rPr>
                <w:rFonts w:eastAsia="Times New Roman" w:cs="Calibri"/>
                <w:color w:val="000000"/>
                <w:sz w:val="18"/>
                <w:szCs w:val="18"/>
              </w:rPr>
            </w:pPr>
            <w:r w:rsidRPr="00F0442E">
              <w:rPr>
                <w:rFonts w:eastAsia="Times New Roman" w:cs="Calibri"/>
                <w:color w:val="000000"/>
                <w:sz w:val="18"/>
                <w:szCs w:val="18"/>
              </w:rPr>
              <w:t xml:space="preserve">$6,029,130 </w:t>
            </w:r>
          </w:p>
        </w:tc>
        <w:tc>
          <w:tcPr>
            <w:tcW w:w="1452" w:type="dxa"/>
            <w:noWrap/>
            <w:hideMark/>
          </w:tcPr>
          <w:p w:rsidRPr="00F0442E" w:rsidR="000C1980" w:rsidP="001968DC" w:rsidRDefault="000C1980" w14:paraId="340AA330"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$28,850,389 </w:t>
            </w:r>
          </w:p>
        </w:tc>
      </w:tr>
      <w:tr w:rsidRPr="00F0442E" w:rsidR="00C570C0" w:rsidTr="00F0442E" w14:paraId="767010E3" w14:textId="77777777">
        <w:trPr>
          <w:trHeight w:val="208"/>
        </w:trPr>
        <w:tc>
          <w:tcPr>
            <w:tcW w:w="841" w:type="dxa"/>
            <w:noWrap/>
            <w:hideMark/>
          </w:tcPr>
          <w:p w:rsidRPr="00F0442E" w:rsidR="000C1980" w:rsidP="00C570C0" w:rsidRDefault="000C1980" w14:paraId="3F170AF0" w14:textId="77777777">
            <w:pPr>
              <w:rPr>
                <w:rFonts w:eastAsia="Times New Roman" w:cs="Calibri"/>
                <w:color w:val="000000"/>
                <w:sz w:val="18"/>
                <w:szCs w:val="18"/>
              </w:rPr>
            </w:pPr>
            <w:r w:rsidRPr="00F0442E">
              <w:rPr>
                <w:rFonts w:eastAsia="Times New Roman" w:cs="Calibri"/>
                <w:color w:val="000000"/>
                <w:sz w:val="18"/>
                <w:szCs w:val="18"/>
              </w:rPr>
              <w:t>Total</w:t>
            </w:r>
          </w:p>
        </w:tc>
        <w:tc>
          <w:tcPr>
            <w:tcW w:w="1128" w:type="dxa"/>
            <w:noWrap/>
            <w:hideMark/>
          </w:tcPr>
          <w:p w:rsidRPr="00F0442E" w:rsidR="000C1980" w:rsidP="00C570C0" w:rsidRDefault="000C1980" w14:paraId="720B7BCA" w14:textId="77777777">
            <w:pPr>
              <w:rPr>
                <w:rFonts w:eastAsia="Times New Roman" w:cs="Calibri"/>
                <w:b/>
                <w:color w:val="000000"/>
                <w:sz w:val="18"/>
                <w:szCs w:val="18"/>
              </w:rPr>
            </w:pPr>
            <w:r w:rsidRPr="00F0442E">
              <w:rPr>
                <w:rFonts w:eastAsia="Times New Roman" w:cs="Calibri"/>
                <w:b/>
                <w:color w:val="000000"/>
                <w:sz w:val="18"/>
                <w:szCs w:val="18"/>
              </w:rPr>
              <w:t xml:space="preserve">$38,092,646 </w:t>
            </w:r>
          </w:p>
        </w:tc>
        <w:tc>
          <w:tcPr>
            <w:tcW w:w="1128" w:type="dxa"/>
            <w:noWrap/>
            <w:hideMark/>
          </w:tcPr>
          <w:p w:rsidRPr="00F0442E" w:rsidR="000C1980" w:rsidP="00C570C0" w:rsidRDefault="000C1980" w14:paraId="3D98F616" w14:textId="77777777">
            <w:pPr>
              <w:rPr>
                <w:rFonts w:eastAsia="Times New Roman" w:cs="Calibri"/>
                <w:b/>
                <w:color w:val="000000"/>
                <w:sz w:val="18"/>
                <w:szCs w:val="18"/>
              </w:rPr>
            </w:pPr>
            <w:r w:rsidRPr="00F0442E">
              <w:rPr>
                <w:rFonts w:eastAsia="Times New Roman" w:cs="Calibri"/>
                <w:b/>
                <w:color w:val="000000"/>
                <w:sz w:val="18"/>
                <w:szCs w:val="18"/>
              </w:rPr>
              <w:t xml:space="preserve">$49,276,956 </w:t>
            </w:r>
          </w:p>
        </w:tc>
        <w:tc>
          <w:tcPr>
            <w:tcW w:w="1461" w:type="dxa"/>
            <w:noWrap/>
            <w:hideMark/>
          </w:tcPr>
          <w:p w:rsidRPr="00F0442E" w:rsidR="000C1980" w:rsidP="001968DC" w:rsidRDefault="000C1980" w14:paraId="30256DA7"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$61,201,637 </w:t>
            </w:r>
          </w:p>
        </w:tc>
        <w:tc>
          <w:tcPr>
            <w:tcW w:w="1461" w:type="dxa"/>
            <w:noWrap/>
            <w:hideMark/>
          </w:tcPr>
          <w:p w:rsidRPr="00F0442E" w:rsidR="000C1980" w:rsidP="001968DC" w:rsidRDefault="000C1980" w14:paraId="26EC7A55"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$73,271,021 </w:t>
            </w:r>
          </w:p>
        </w:tc>
        <w:tc>
          <w:tcPr>
            <w:tcW w:w="1461" w:type="dxa"/>
            <w:noWrap/>
            <w:hideMark/>
          </w:tcPr>
          <w:p w:rsidRPr="00F0442E" w:rsidR="000C1980" w:rsidP="001968DC" w:rsidRDefault="000C1980" w14:paraId="591DE07A"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$81,782,362 </w:t>
            </w:r>
          </w:p>
        </w:tc>
        <w:tc>
          <w:tcPr>
            <w:tcW w:w="1461" w:type="dxa"/>
            <w:noWrap/>
            <w:hideMark/>
          </w:tcPr>
          <w:p w:rsidRPr="00F0442E" w:rsidR="000C1980" w:rsidP="001968DC" w:rsidRDefault="000C1980" w14:paraId="6A397ABD"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$90,590,389 </w:t>
            </w:r>
          </w:p>
        </w:tc>
        <w:tc>
          <w:tcPr>
            <w:tcW w:w="1452" w:type="dxa"/>
            <w:noWrap/>
            <w:hideMark/>
          </w:tcPr>
          <w:p w:rsidRPr="00F0442E" w:rsidR="000C1980" w:rsidP="001968DC" w:rsidRDefault="000C1980" w14:paraId="3A269D5F" w14:textId="77777777">
            <w:pPr>
              <w:ind w:left="360"/>
              <w:jc w:val="right"/>
              <w:rPr>
                <w:rFonts w:eastAsia="Times New Roman" w:cs="Calibri"/>
                <w:b/>
                <w:color w:val="000000"/>
                <w:sz w:val="18"/>
                <w:szCs w:val="18"/>
              </w:rPr>
            </w:pPr>
            <w:r w:rsidRPr="00F0442E">
              <w:rPr>
                <w:rFonts w:eastAsia="Times New Roman" w:cs="Calibri"/>
                <w:b/>
                <w:color w:val="000000"/>
                <w:sz w:val="18"/>
                <w:szCs w:val="18"/>
              </w:rPr>
              <w:t xml:space="preserve">$394,215,011 </w:t>
            </w:r>
          </w:p>
        </w:tc>
      </w:tr>
    </w:tbl>
    <w:p w:rsidRPr="00C73AD4" w:rsidR="000C1980" w:rsidP="001968DC" w:rsidRDefault="000C1980" w14:paraId="4444CA54" w14:textId="77777777">
      <w:pPr>
        <w:spacing w:line="360" w:lineRule="auto"/>
        <w:ind w:left="360"/>
        <w:rPr>
          <w:rFonts w:eastAsia="Times New Roman"/>
          <w:sz w:val="10"/>
          <w:szCs w:val="10"/>
        </w:rPr>
      </w:pPr>
    </w:p>
    <w:p w:rsidR="000C1980" w:rsidP="001968DC" w:rsidRDefault="000C1980" w14:paraId="1E12C7B8" w14:textId="77777777">
      <w:pPr>
        <w:pStyle w:val="Heading3"/>
        <w:ind w:left="2664"/>
      </w:pPr>
      <w:bookmarkStart w:name="_Toc69947875" w:id="194"/>
      <w:r>
        <w:lastRenderedPageBreak/>
        <w:t>PG&amp;E Proposal</w:t>
      </w:r>
      <w:bookmarkEnd w:id="194"/>
      <w:r>
        <w:t xml:space="preserve"> </w:t>
      </w:r>
    </w:p>
    <w:p w:rsidR="000C1980" w:rsidP="00354202" w:rsidRDefault="000C1980" w14:paraId="51849118" w14:textId="77777777">
      <w:pPr>
        <w:pStyle w:val="Standard"/>
      </w:pPr>
      <w:bookmarkStart w:name="_Hlk55563957" w:id="195"/>
      <w:r w:rsidRPr="00815640">
        <w:t xml:space="preserve">PG&amp;E </w:t>
      </w:r>
      <w:r>
        <w:t>p</w:t>
      </w:r>
      <w:r w:rsidRPr="00815640">
        <w:t xml:space="preserve">roposes a total </w:t>
      </w:r>
      <w:r>
        <w:t xml:space="preserve">FERA </w:t>
      </w:r>
      <w:r w:rsidRPr="00815640">
        <w:t>budget of $</w:t>
      </w:r>
      <w:r>
        <w:t xml:space="preserve">118.6 million </w:t>
      </w:r>
      <w:r w:rsidRPr="00815640">
        <w:t>for PY</w:t>
      </w:r>
      <w:r>
        <w:t>s</w:t>
      </w:r>
      <w:r w:rsidRPr="00815640">
        <w:t xml:space="preserve"> 2021-2026, averaging $</w:t>
      </w:r>
      <w:r>
        <w:t xml:space="preserve">19.7 million </w:t>
      </w:r>
      <w:r w:rsidRPr="00815640">
        <w:t>each year.</w:t>
      </w:r>
      <w:r w:rsidRPr="003E1E04">
        <w:rPr>
          <w:vertAlign w:val="superscript"/>
        </w:rPr>
        <w:t xml:space="preserve"> </w:t>
      </w:r>
      <w:r w:rsidRPr="00DC23E1">
        <w:rPr>
          <w:vertAlign w:val="superscript"/>
        </w:rPr>
        <w:footnoteReference w:id="271"/>
      </w:r>
      <w:r w:rsidRPr="00815640">
        <w:t xml:space="preserve"> </w:t>
      </w:r>
    </w:p>
    <w:p w:rsidR="000C1980" w:rsidP="00354202" w:rsidRDefault="000C1980" w14:paraId="65BF28D9" w14:textId="77777777">
      <w:pPr>
        <w:pStyle w:val="Standard"/>
      </w:pPr>
      <w:r>
        <w:rPr>
          <w:b/>
          <w:bCs/>
          <w:i/>
          <w:iCs/>
          <w:u w:val="single"/>
        </w:rPr>
        <w:t>FERA</w:t>
      </w:r>
      <w:r w:rsidRPr="00AB6E3E">
        <w:rPr>
          <w:b/>
          <w:bCs/>
          <w:i/>
          <w:iCs/>
          <w:u w:val="single"/>
        </w:rPr>
        <w:t xml:space="preserve"> </w:t>
      </w:r>
      <w:r>
        <w:rPr>
          <w:b/>
          <w:bCs/>
          <w:i/>
          <w:iCs/>
          <w:u w:val="single"/>
        </w:rPr>
        <w:t>Subsidy</w:t>
      </w:r>
      <w:r w:rsidRPr="00AB6E3E">
        <w:rPr>
          <w:b/>
          <w:bCs/>
          <w:i/>
          <w:iCs/>
          <w:u w:val="single"/>
        </w:rPr>
        <w:t xml:space="preserve"> Budget:</w:t>
      </w:r>
      <w:r w:rsidRPr="00AB6E3E">
        <w:t xml:space="preserve"> </w:t>
      </w:r>
      <w:r w:rsidRPr="00815640">
        <w:t xml:space="preserve">The </w:t>
      </w:r>
      <w:r>
        <w:t>FERA</w:t>
      </w:r>
      <w:r w:rsidRPr="00815640">
        <w:t xml:space="preserve"> </w:t>
      </w:r>
      <w:r>
        <w:t>s</w:t>
      </w:r>
      <w:r w:rsidRPr="00815640">
        <w:t xml:space="preserve">ubsidy </w:t>
      </w:r>
      <w:r>
        <w:t>totals</w:t>
      </w:r>
      <w:r w:rsidRPr="00815640">
        <w:t xml:space="preserve"> </w:t>
      </w:r>
      <w:r>
        <w:t xml:space="preserve">$101.4 million (85.5 percent of total FERA budget), with estimated participation ranging from 37,000 households in 2021 to 83,000 households in 2026. </w:t>
      </w:r>
      <w:r w:rsidRPr="00815640">
        <w:t xml:space="preserve"> </w:t>
      </w:r>
    </w:p>
    <w:p w:rsidR="000C1980" w:rsidP="00354202" w:rsidRDefault="000C1980" w14:paraId="718EF295" w14:textId="77777777">
      <w:pPr>
        <w:pStyle w:val="Standard"/>
      </w:pPr>
      <w:r>
        <w:rPr>
          <w:b/>
          <w:bCs/>
          <w:i/>
          <w:iCs/>
          <w:u w:val="single"/>
        </w:rPr>
        <w:t>FERA</w:t>
      </w:r>
      <w:r w:rsidRPr="00AB6E3E">
        <w:rPr>
          <w:b/>
          <w:bCs/>
          <w:i/>
          <w:iCs/>
          <w:u w:val="single"/>
        </w:rPr>
        <w:t xml:space="preserv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w:t>
      </w:r>
      <w:r>
        <w:t xml:space="preserve"> The FERA program management </w:t>
      </w:r>
      <w:r w:rsidRPr="00815640">
        <w:t>budget total</w:t>
      </w:r>
      <w:r>
        <w:t>s</w:t>
      </w:r>
      <w:r w:rsidRPr="00815640">
        <w:t xml:space="preserve"> $</w:t>
      </w:r>
      <w:r>
        <w:t>17.2 million, (14.5</w:t>
      </w:r>
      <w:r w:rsidRPr="00AF2F67">
        <w:t xml:space="preserve"> percent</w:t>
      </w:r>
      <w:r>
        <w:t xml:space="preserve"> of total FERA budget).  The </w:t>
      </w:r>
      <w:r w:rsidRPr="00DC23E1">
        <w:t xml:space="preserve">largest allocation is </w:t>
      </w:r>
      <w:r>
        <w:t>for</w:t>
      </w:r>
      <w:r w:rsidRPr="00DC23E1">
        <w:t xml:space="preserve"> </w:t>
      </w:r>
      <w:r>
        <w:t>m</w:t>
      </w:r>
      <w:r w:rsidRPr="00DC23E1">
        <w:t xml:space="preserve">arketing and </w:t>
      </w:r>
      <w:r>
        <w:t>o</w:t>
      </w:r>
      <w:r w:rsidRPr="00DC23E1">
        <w:t xml:space="preserve">utreach efforts </w:t>
      </w:r>
      <w:r>
        <w:t>(</w:t>
      </w:r>
      <w:r w:rsidRPr="00DC23E1">
        <w:t>$15.8 million for FERA marketing and outreach for 2021-2026</w:t>
      </w:r>
      <w:r>
        <w:t>), which includes the</w:t>
      </w:r>
      <w:r w:rsidRPr="00DC23E1">
        <w:t xml:space="preserve"> build of the FERA </w:t>
      </w:r>
      <w:r>
        <w:t>p</w:t>
      </w:r>
      <w:r w:rsidRPr="00DC23E1">
        <w:t xml:space="preserve">ropensity </w:t>
      </w:r>
      <w:r>
        <w:t>m</w:t>
      </w:r>
      <w:r w:rsidRPr="00DC23E1">
        <w:t>odel.</w:t>
      </w:r>
      <w:r w:rsidRPr="00DC23E1">
        <w:rPr>
          <w:vertAlign w:val="superscript"/>
        </w:rPr>
        <w:footnoteReference w:id="272"/>
      </w:r>
      <w:r>
        <w:t xml:space="preserve">  The below chart summarizes PG&amp;E’s program management budget request by category and by year.  </w:t>
      </w:r>
    </w:p>
    <w:p w:rsidRPr="00345B87" w:rsidR="000C1980" w:rsidP="001968DC" w:rsidRDefault="000C1980" w14:paraId="13FD3199" w14:textId="134F8731">
      <w:pPr>
        <w:pStyle w:val="Quote"/>
        <w:ind w:left="360"/>
        <w:jc w:val="center"/>
        <w:rPr>
          <w:b/>
          <w:bCs/>
          <w:sz w:val="10"/>
          <w:szCs w:val="10"/>
        </w:rPr>
      </w:pPr>
      <w:r w:rsidRPr="004F7A9F">
        <w:rPr>
          <w:b/>
          <w:bCs/>
        </w:rPr>
        <w:lastRenderedPageBreak/>
        <w:t>Ch</w:t>
      </w:r>
      <w:r>
        <w:rPr>
          <w:b/>
          <w:bCs/>
        </w:rPr>
        <w:t>art 5:  PG&amp;E’s Proposed FERA Program Management Budget by Category,</w:t>
      </w:r>
      <w:r w:rsidRPr="00375C72">
        <w:rPr>
          <w:b/>
          <w:bCs/>
        </w:rPr>
        <w:t xml:space="preserve"> </w:t>
      </w:r>
      <w:r>
        <w:rPr>
          <w:b/>
          <w:bCs/>
        </w:rPr>
        <w:t>PYs 2021-2026</w:t>
      </w:r>
      <w:r>
        <w:rPr>
          <w:noProof/>
        </w:rPr>
        <w:drawing>
          <wp:inline distT="0" distB="0" distL="0" distR="0" wp14:anchorId="005FCAAB" wp14:editId="1C2419A5">
            <wp:extent cx="5840083" cy="3812277"/>
            <wp:effectExtent l="0" t="0" r="8890" b="0"/>
            <wp:docPr id="61" name="Picture 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5953483" cy="3886302"/>
                    </a:xfrm>
                    <a:prstGeom prst="rect">
                      <a:avLst/>
                    </a:prstGeom>
                  </pic:spPr>
                </pic:pic>
              </a:graphicData>
            </a:graphic>
          </wp:inline>
        </w:drawing>
      </w:r>
    </w:p>
    <w:p w:rsidRPr="00345B87" w:rsidR="00345B87" w:rsidP="00345B87" w:rsidRDefault="00345B87" w14:paraId="6D020C4F" w14:textId="77777777">
      <w:pPr>
        <w:rPr>
          <w:sz w:val="10"/>
          <w:szCs w:val="10"/>
        </w:rPr>
      </w:pPr>
    </w:p>
    <w:p w:rsidR="000C1980" w:rsidP="00354202" w:rsidRDefault="000C1980" w14:paraId="73646A9C" w14:textId="0E74F567">
      <w:pPr>
        <w:pStyle w:val="Standard"/>
      </w:pPr>
      <w:r>
        <w:rPr>
          <w:b/>
          <w:bCs/>
          <w:i/>
          <w:iCs/>
          <w:u w:val="single"/>
        </w:rPr>
        <w:t>FERA</w:t>
      </w:r>
      <w:r w:rsidRPr="00AB6E3E">
        <w:rPr>
          <w:b/>
          <w:bCs/>
          <w:i/>
          <w:iCs/>
          <w:u w:val="single"/>
        </w:rPr>
        <w:t xml:space="preserve"> </w:t>
      </w:r>
      <w:r>
        <w:rPr>
          <w:b/>
          <w:bCs/>
          <w:i/>
          <w:iCs/>
          <w:u w:val="single"/>
        </w:rPr>
        <w:t>Applications</w:t>
      </w:r>
      <w:r w:rsidR="00A24EE9">
        <w:rPr>
          <w:b/>
          <w:bCs/>
          <w:i/>
          <w:iCs/>
          <w:u w:val="single"/>
        </w:rPr>
        <w:t xml:space="preserve"> to be Included with CARE and ESA Applications</w:t>
      </w:r>
      <w:r w:rsidRPr="00AB6E3E">
        <w:rPr>
          <w:b/>
          <w:bCs/>
          <w:i/>
          <w:iCs/>
          <w:u w:val="single"/>
        </w:rPr>
        <w:t>:</w:t>
      </w:r>
      <w:r>
        <w:t xml:space="preserve">   </w:t>
      </w:r>
      <w:bookmarkEnd w:id="195"/>
      <w:r w:rsidRPr="00712ABB">
        <w:t xml:space="preserve">PG&amp;E requests </w:t>
      </w:r>
      <w:r>
        <w:t>that</w:t>
      </w:r>
      <w:r w:rsidRPr="00712ABB">
        <w:t xml:space="preserve"> FERA program funding be</w:t>
      </w:r>
      <w:r>
        <w:t xml:space="preserve"> </w:t>
      </w:r>
      <w:r w:rsidRPr="00712ABB">
        <w:t xml:space="preserve">included in the </w:t>
      </w:r>
      <w:proofErr w:type="gramStart"/>
      <w:r>
        <w:t>l</w:t>
      </w:r>
      <w:r w:rsidRPr="00712ABB">
        <w:t>ow</w:t>
      </w:r>
      <w:r>
        <w:t xml:space="preserve"> i</w:t>
      </w:r>
      <w:r w:rsidRPr="00712ABB">
        <w:t>ncome</w:t>
      </w:r>
      <w:proofErr w:type="gramEnd"/>
      <w:r w:rsidRPr="00712ABB">
        <w:t xml:space="preserve"> program cycle applications for </w:t>
      </w:r>
      <w:r>
        <w:t xml:space="preserve">PYs </w:t>
      </w:r>
      <w:r w:rsidRPr="00712ABB">
        <w:t>2021–2026 and beyond</w:t>
      </w:r>
      <w:r>
        <w:t xml:space="preserve"> and states that this will </w:t>
      </w:r>
      <w:r w:rsidRPr="00712ABB">
        <w:t>create</w:t>
      </w:r>
      <w:r>
        <w:t xml:space="preserve"> </w:t>
      </w:r>
      <w:r w:rsidRPr="00712ABB">
        <w:t>administrative efficiencies moving forward and prevent issues regarding one program being</w:t>
      </w:r>
      <w:r>
        <w:t xml:space="preserve"> </w:t>
      </w:r>
      <w:r w:rsidRPr="00712ABB">
        <w:t>litigated in multiple proceedings.</w:t>
      </w:r>
      <w:r>
        <w:rPr>
          <w:rStyle w:val="FootnoteReference"/>
        </w:rPr>
        <w:footnoteReference w:id="273"/>
      </w:r>
      <w:r>
        <w:t xml:space="preserve">    </w:t>
      </w:r>
    </w:p>
    <w:p w:rsidR="000C1980" w:rsidP="00354202" w:rsidRDefault="000C1980" w14:paraId="6E5ACD11" w14:textId="77777777">
      <w:pPr>
        <w:pStyle w:val="Standard"/>
      </w:pPr>
      <w:r>
        <w:rPr>
          <w:b/>
          <w:bCs/>
          <w:i/>
          <w:iCs/>
          <w:u w:val="single"/>
        </w:rPr>
        <w:t>FERA</w:t>
      </w:r>
      <w:r w:rsidRPr="00AB6E3E">
        <w:rPr>
          <w:b/>
          <w:bCs/>
          <w:i/>
          <w:iCs/>
          <w:u w:val="single"/>
        </w:rPr>
        <w:t xml:space="preserve"> </w:t>
      </w:r>
      <w:r>
        <w:rPr>
          <w:b/>
          <w:bCs/>
          <w:i/>
          <w:iCs/>
          <w:u w:val="single"/>
        </w:rPr>
        <w:t>Balancing Account</w:t>
      </w:r>
      <w:r w:rsidRPr="00AB6E3E">
        <w:rPr>
          <w:b/>
          <w:bCs/>
          <w:i/>
          <w:iCs/>
          <w:u w:val="single"/>
        </w:rPr>
        <w:t>:</w:t>
      </w:r>
      <w:r>
        <w:t xml:space="preserve"> </w:t>
      </w:r>
      <w:r w:rsidRPr="00DC23E1">
        <w:t xml:space="preserve">PG&amp;E proposes recording the marketing costs associated with the FERA </w:t>
      </w:r>
      <w:r>
        <w:t>p</w:t>
      </w:r>
      <w:r w:rsidRPr="00DC23E1">
        <w:t>rogram into the FERA balancing account, instead of in the CARE account as currently recorded.</w:t>
      </w:r>
      <w:r w:rsidRPr="00DC23E1">
        <w:rPr>
          <w:vertAlign w:val="superscript"/>
        </w:rPr>
        <w:footnoteReference w:id="274"/>
      </w:r>
      <w:r>
        <w:t xml:space="preserve">  </w:t>
      </w:r>
    </w:p>
    <w:p w:rsidR="000C1980" w:rsidP="001968DC" w:rsidRDefault="000C1980" w14:paraId="2C7A02AF" w14:textId="77777777">
      <w:pPr>
        <w:pStyle w:val="Heading3"/>
        <w:ind w:left="2664"/>
      </w:pPr>
      <w:bookmarkStart w:name="_Toc69947876" w:id="196"/>
      <w:r>
        <w:lastRenderedPageBreak/>
        <w:t>SCE Proposal</w:t>
      </w:r>
      <w:bookmarkEnd w:id="196"/>
      <w:r>
        <w:t xml:space="preserve"> </w:t>
      </w:r>
    </w:p>
    <w:p w:rsidR="000C1980" w:rsidP="00354202" w:rsidRDefault="000C1980" w14:paraId="5FC5B0A4" w14:textId="77777777">
      <w:pPr>
        <w:pStyle w:val="Standard"/>
      </w:pPr>
      <w:r>
        <w:t>SC</w:t>
      </w:r>
      <w:r w:rsidRPr="00815640">
        <w:t xml:space="preserve">E </w:t>
      </w:r>
      <w:r>
        <w:t>p</w:t>
      </w:r>
      <w:r w:rsidRPr="00815640">
        <w:t xml:space="preserve">roposes a total </w:t>
      </w:r>
      <w:r>
        <w:t xml:space="preserve">FERA </w:t>
      </w:r>
      <w:r w:rsidRPr="00815640">
        <w:t>budget of $</w:t>
      </w:r>
      <w:r>
        <w:t xml:space="preserve">246.7 million </w:t>
      </w:r>
      <w:r w:rsidRPr="00815640">
        <w:t>for PY</w:t>
      </w:r>
      <w:r>
        <w:t>s</w:t>
      </w:r>
      <w:r w:rsidRPr="00815640">
        <w:t xml:space="preserve"> 2021-2026, averaging $</w:t>
      </w:r>
      <w:r>
        <w:t xml:space="preserve">41.2 million </w:t>
      </w:r>
      <w:r w:rsidRPr="00815640">
        <w:t xml:space="preserve">each year. </w:t>
      </w:r>
    </w:p>
    <w:p w:rsidR="000C1980" w:rsidP="00354202" w:rsidRDefault="000C1980" w14:paraId="3E165ED7" w14:textId="77777777">
      <w:pPr>
        <w:pStyle w:val="Standard"/>
      </w:pPr>
      <w:r>
        <w:rPr>
          <w:b/>
          <w:bCs/>
          <w:i/>
          <w:iCs/>
          <w:u w:val="single"/>
        </w:rPr>
        <w:t>FERA</w:t>
      </w:r>
      <w:r w:rsidRPr="00AB6E3E">
        <w:rPr>
          <w:b/>
          <w:bCs/>
          <w:i/>
          <w:iCs/>
          <w:u w:val="single"/>
        </w:rPr>
        <w:t xml:space="preserve"> </w:t>
      </w:r>
      <w:r>
        <w:rPr>
          <w:b/>
          <w:bCs/>
          <w:i/>
          <w:iCs/>
          <w:u w:val="single"/>
        </w:rPr>
        <w:t>Subsidy</w:t>
      </w:r>
      <w:r w:rsidRPr="00AB6E3E">
        <w:rPr>
          <w:b/>
          <w:bCs/>
          <w:i/>
          <w:iCs/>
          <w:u w:val="single"/>
        </w:rPr>
        <w:t xml:space="preserve"> Budget:</w:t>
      </w:r>
      <w:r w:rsidRPr="00AB6E3E">
        <w:t xml:space="preserve"> </w:t>
      </w:r>
      <w:r w:rsidRPr="00815640">
        <w:t xml:space="preserve">The </w:t>
      </w:r>
      <w:r>
        <w:t>FERA</w:t>
      </w:r>
      <w:r w:rsidRPr="00815640">
        <w:t xml:space="preserve"> </w:t>
      </w:r>
      <w:r>
        <w:t>s</w:t>
      </w:r>
      <w:r w:rsidRPr="00815640">
        <w:t xml:space="preserve">ubsidy </w:t>
      </w:r>
      <w:r>
        <w:t>totals</w:t>
      </w:r>
      <w:r w:rsidRPr="00815640">
        <w:t xml:space="preserve"> </w:t>
      </w:r>
      <w:r>
        <w:t xml:space="preserve">$241.9 million (98 percent of total FERA budget), with estimated participation ranging from 65,000 households in 2021 to 152,000 households in 2026. </w:t>
      </w:r>
      <w:r w:rsidRPr="00815640">
        <w:t xml:space="preserve"> </w:t>
      </w:r>
    </w:p>
    <w:p w:rsidR="000C1980" w:rsidP="00354202" w:rsidRDefault="000C1980" w14:paraId="7B414115" w14:textId="77777777">
      <w:pPr>
        <w:pStyle w:val="Standard"/>
      </w:pPr>
      <w:r>
        <w:rPr>
          <w:b/>
          <w:bCs/>
          <w:i/>
          <w:iCs/>
          <w:u w:val="single"/>
        </w:rPr>
        <w:t>FERA</w:t>
      </w:r>
      <w:r w:rsidRPr="00AB6E3E">
        <w:rPr>
          <w:b/>
          <w:bCs/>
          <w:i/>
          <w:iCs/>
          <w:u w:val="single"/>
        </w:rPr>
        <w:t xml:space="preserv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w:t>
      </w:r>
      <w:r>
        <w:t xml:space="preserve"> </w:t>
      </w:r>
      <w:r w:rsidRPr="00815640">
        <w:t xml:space="preserve">The </w:t>
      </w:r>
      <w:r>
        <w:t>FERA</w:t>
      </w:r>
      <w:r w:rsidRPr="002458CF">
        <w:t xml:space="preserve"> </w:t>
      </w:r>
      <w:r>
        <w:t>p</w:t>
      </w:r>
      <w:r w:rsidRPr="002458CF">
        <w:t xml:space="preserve">rogram </w:t>
      </w:r>
      <w:r>
        <w:t>m</w:t>
      </w:r>
      <w:r w:rsidRPr="002458CF">
        <w:t xml:space="preserve">anagement budget totals </w:t>
      </w:r>
      <w:r w:rsidRPr="00815640">
        <w:t>$</w:t>
      </w:r>
      <w:r>
        <w:t>4.8 million, (2</w:t>
      </w:r>
      <w:r w:rsidRPr="00AF2F67">
        <w:t xml:space="preserve"> percent</w:t>
      </w:r>
      <w:r>
        <w:t xml:space="preserve"> of total FERA budget</w:t>
      </w:r>
      <w:r>
        <w:rPr>
          <w:rStyle w:val="CommentReference"/>
        </w:rPr>
        <w:t>)</w:t>
      </w:r>
      <w:r w:rsidRPr="002458CF">
        <w:t xml:space="preserve">. </w:t>
      </w:r>
      <w:r>
        <w:t xml:space="preserve"> </w:t>
      </w:r>
      <w:r w:rsidRPr="002458CF">
        <w:t xml:space="preserve">The largest </w:t>
      </w:r>
      <w:r>
        <w:t>p</w:t>
      </w:r>
      <w:r w:rsidRPr="002458CF">
        <w:t xml:space="preserve">rogram </w:t>
      </w:r>
      <w:r>
        <w:t>m</w:t>
      </w:r>
      <w:r w:rsidRPr="002458CF">
        <w:t xml:space="preserve">anagement cost is </w:t>
      </w:r>
      <w:r>
        <w:t>o</w:t>
      </w:r>
      <w:r w:rsidRPr="002458CF">
        <w:t xml:space="preserve">utreach, with </w:t>
      </w:r>
      <w:r w:rsidRPr="00DE598C">
        <w:t>96</w:t>
      </w:r>
      <w:r>
        <w:t xml:space="preserve"> </w:t>
      </w:r>
      <w:r w:rsidRPr="002458CF">
        <w:t>percent of the</w:t>
      </w:r>
      <w:r w:rsidRPr="00140424">
        <w:t xml:space="preserve"> </w:t>
      </w:r>
      <w:r>
        <w:t>p</w:t>
      </w:r>
      <w:r w:rsidRPr="002458CF">
        <w:t xml:space="preserve">rogram </w:t>
      </w:r>
      <w:r>
        <w:t>m</w:t>
      </w:r>
      <w:r w:rsidRPr="002458CF">
        <w:t xml:space="preserve">anagement </w:t>
      </w:r>
      <w:r w:rsidRPr="00140424">
        <w:t>budget</w:t>
      </w:r>
      <w:r w:rsidRPr="00DE598C">
        <w:t xml:space="preserve">. </w:t>
      </w:r>
      <w:r>
        <w:t xml:space="preserve"> </w:t>
      </w:r>
      <w:r w:rsidRPr="00DE598C">
        <w:t xml:space="preserve">SCE only included </w:t>
      </w:r>
      <w:r>
        <w:t>o</w:t>
      </w:r>
      <w:r w:rsidRPr="00DE598C">
        <w:t xml:space="preserve">utreach and IT programming </w:t>
      </w:r>
      <w:r>
        <w:t xml:space="preserve">costs </w:t>
      </w:r>
      <w:r w:rsidRPr="00DE598C">
        <w:t xml:space="preserve">in </w:t>
      </w:r>
      <w:r>
        <w:t>its</w:t>
      </w:r>
      <w:r w:rsidRPr="00DE598C">
        <w:t xml:space="preserve"> FERA administrative budget</w:t>
      </w:r>
      <w:r>
        <w:t xml:space="preserve">, while all </w:t>
      </w:r>
      <w:r w:rsidRPr="00DE598C">
        <w:t xml:space="preserve">other administrative categories for FERA </w:t>
      </w:r>
      <w:r>
        <w:t xml:space="preserve">were </w:t>
      </w:r>
      <w:r w:rsidRPr="00DE598C">
        <w:t xml:space="preserve">incorporated into </w:t>
      </w:r>
      <w:r>
        <w:t>its</w:t>
      </w:r>
      <w:r w:rsidRPr="00DE598C">
        <w:t xml:space="preserve"> CARE budget</w:t>
      </w:r>
      <w:r>
        <w:t>.</w:t>
      </w:r>
      <w:r w:rsidRPr="00DE598C">
        <w:rPr>
          <w:vertAlign w:val="superscript"/>
        </w:rPr>
        <w:footnoteReference w:id="275"/>
      </w:r>
      <w:r>
        <w:rPr>
          <w:vertAlign w:val="superscript"/>
        </w:rPr>
        <w:t xml:space="preserve"> </w:t>
      </w:r>
      <w:r>
        <w:t xml:space="preserve">The below chart summarizes SCE’s program management budget request by category and by year.    </w:t>
      </w:r>
    </w:p>
    <w:p w:rsidR="000C1980" w:rsidP="001968DC" w:rsidRDefault="000C1980" w14:paraId="116AC0D0" w14:textId="77777777">
      <w:pPr>
        <w:pStyle w:val="Quote"/>
        <w:ind w:left="360"/>
        <w:jc w:val="center"/>
      </w:pPr>
      <w:r w:rsidRPr="004F7A9F">
        <w:rPr>
          <w:b/>
          <w:bCs/>
        </w:rPr>
        <w:lastRenderedPageBreak/>
        <w:t>Ch</w:t>
      </w:r>
      <w:r>
        <w:rPr>
          <w:b/>
          <w:bCs/>
        </w:rPr>
        <w:t>art 6:  SCE’s Proposed FERA Program Management Budget by Category,</w:t>
      </w:r>
      <w:r w:rsidRPr="00375C72">
        <w:rPr>
          <w:b/>
          <w:bCs/>
        </w:rPr>
        <w:t xml:space="preserve"> </w:t>
      </w:r>
      <w:r>
        <w:rPr>
          <w:b/>
          <w:bCs/>
        </w:rPr>
        <w:t>PYs 2021-2026</w:t>
      </w:r>
      <w:r>
        <w:rPr>
          <w:noProof/>
        </w:rPr>
        <w:drawing>
          <wp:inline distT="0" distB="0" distL="0" distR="0" wp14:anchorId="63576DA1" wp14:editId="2C15B5A5">
            <wp:extent cx="5943600" cy="3828415"/>
            <wp:effectExtent l="0" t="0" r="0" b="0"/>
            <wp:docPr id="71" name="Picture 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23">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p>
    <w:p w:rsidR="000C1980" w:rsidP="001968DC" w:rsidRDefault="000C1980" w14:paraId="47739A8B" w14:textId="77777777">
      <w:pPr>
        <w:pStyle w:val="Heading3"/>
        <w:ind w:left="2664"/>
      </w:pPr>
      <w:bookmarkStart w:name="_Toc69947877" w:id="197"/>
      <w:r>
        <w:t>SDG&amp;E Proposal</w:t>
      </w:r>
      <w:bookmarkEnd w:id="197"/>
    </w:p>
    <w:p w:rsidR="000C1980" w:rsidP="00354202" w:rsidRDefault="000C1980" w14:paraId="38FC9C11" w14:textId="77777777">
      <w:pPr>
        <w:pStyle w:val="Standard"/>
      </w:pPr>
      <w:r>
        <w:t>SDG&amp;</w:t>
      </w:r>
      <w:r w:rsidRPr="00815640">
        <w:t xml:space="preserve">E </w:t>
      </w:r>
      <w:r>
        <w:t>p</w:t>
      </w:r>
      <w:r w:rsidRPr="00815640">
        <w:t xml:space="preserve">roposes a total </w:t>
      </w:r>
      <w:r>
        <w:t xml:space="preserve">FERA </w:t>
      </w:r>
      <w:r w:rsidRPr="00815640">
        <w:t>budget of $</w:t>
      </w:r>
      <w:r>
        <w:t xml:space="preserve">28.8 million </w:t>
      </w:r>
      <w:r w:rsidRPr="00815640">
        <w:t>for PY</w:t>
      </w:r>
      <w:r>
        <w:t>s</w:t>
      </w:r>
      <w:r w:rsidRPr="00815640">
        <w:t xml:space="preserve"> 2021-2026, averaging $</w:t>
      </w:r>
      <w:r>
        <w:t xml:space="preserve">4.8 million </w:t>
      </w:r>
      <w:r w:rsidRPr="00815640">
        <w:t>each year.</w:t>
      </w:r>
      <w:r w:rsidRPr="00D1533B">
        <w:rPr>
          <w:b/>
          <w:bCs/>
          <w:vertAlign w:val="superscript"/>
        </w:rPr>
        <w:footnoteReference w:id="276"/>
      </w:r>
      <w:r>
        <w:t xml:space="preserve"> </w:t>
      </w:r>
    </w:p>
    <w:p w:rsidR="000C1980" w:rsidP="00354202" w:rsidRDefault="000C1980" w14:paraId="4DFBFC49" w14:textId="77777777">
      <w:pPr>
        <w:pStyle w:val="Standard"/>
      </w:pPr>
      <w:r>
        <w:rPr>
          <w:b/>
          <w:bCs/>
          <w:i/>
          <w:iCs/>
          <w:u w:val="single"/>
        </w:rPr>
        <w:t>FERA</w:t>
      </w:r>
      <w:r w:rsidRPr="00AB6E3E">
        <w:rPr>
          <w:b/>
          <w:bCs/>
          <w:i/>
          <w:iCs/>
          <w:u w:val="single"/>
        </w:rPr>
        <w:t xml:space="preserve"> </w:t>
      </w:r>
      <w:r>
        <w:rPr>
          <w:b/>
          <w:bCs/>
          <w:i/>
          <w:iCs/>
          <w:u w:val="single"/>
        </w:rPr>
        <w:t>Subsidy</w:t>
      </w:r>
      <w:r w:rsidRPr="00AB6E3E">
        <w:rPr>
          <w:b/>
          <w:bCs/>
          <w:i/>
          <w:iCs/>
          <w:u w:val="single"/>
        </w:rPr>
        <w:t xml:space="preserve"> Budget:</w:t>
      </w:r>
      <w:r w:rsidRPr="00AB6E3E">
        <w:t xml:space="preserve"> </w:t>
      </w:r>
      <w:r w:rsidRPr="00815640">
        <w:t xml:space="preserve">The </w:t>
      </w:r>
      <w:r>
        <w:t>FERA</w:t>
      </w:r>
      <w:r w:rsidRPr="00815640">
        <w:t xml:space="preserve"> </w:t>
      </w:r>
      <w:r>
        <w:t>s</w:t>
      </w:r>
      <w:r w:rsidRPr="00815640">
        <w:t xml:space="preserve">ubsidy </w:t>
      </w:r>
      <w:r>
        <w:t>totals</w:t>
      </w:r>
      <w:r w:rsidRPr="00815640">
        <w:t xml:space="preserve"> </w:t>
      </w:r>
      <w:r>
        <w:t xml:space="preserve">$25 million (87 percent of total FERA budget), with estimated participation ranging from 14,000 households in 2021 to 26,000 households in 2026. </w:t>
      </w:r>
      <w:r w:rsidRPr="00815640">
        <w:t xml:space="preserve"> </w:t>
      </w:r>
    </w:p>
    <w:p w:rsidR="000C1980" w:rsidP="00354202" w:rsidRDefault="000C1980" w14:paraId="570A5AA1" w14:textId="77777777">
      <w:pPr>
        <w:pStyle w:val="Standard"/>
      </w:pPr>
      <w:r>
        <w:rPr>
          <w:b/>
          <w:bCs/>
          <w:i/>
          <w:iCs/>
          <w:u w:val="single"/>
        </w:rPr>
        <w:t>FERA</w:t>
      </w:r>
      <w:r w:rsidRPr="00AB6E3E">
        <w:rPr>
          <w:b/>
          <w:bCs/>
          <w:i/>
          <w:iCs/>
          <w:u w:val="single"/>
        </w:rPr>
        <w:t xml:space="preserve"> </w:t>
      </w:r>
      <w:r>
        <w:rPr>
          <w:b/>
          <w:bCs/>
          <w:i/>
          <w:iCs/>
          <w:u w:val="single"/>
        </w:rPr>
        <w:t>P</w:t>
      </w:r>
      <w:r w:rsidRPr="005A3DC8">
        <w:rPr>
          <w:b/>
          <w:bCs/>
          <w:i/>
          <w:iCs/>
          <w:u w:val="single"/>
        </w:rPr>
        <w:t xml:space="preserve">rogram </w:t>
      </w:r>
      <w:r>
        <w:rPr>
          <w:b/>
          <w:bCs/>
          <w:i/>
          <w:iCs/>
          <w:u w:val="single"/>
        </w:rPr>
        <w:t>M</w:t>
      </w:r>
      <w:r w:rsidRPr="005A3DC8">
        <w:rPr>
          <w:b/>
          <w:bCs/>
          <w:i/>
          <w:iCs/>
          <w:u w:val="single"/>
        </w:rPr>
        <w:t xml:space="preserve">anagement </w:t>
      </w:r>
      <w:r w:rsidRPr="00AB6E3E">
        <w:rPr>
          <w:b/>
          <w:bCs/>
          <w:i/>
          <w:iCs/>
          <w:u w:val="single"/>
        </w:rPr>
        <w:t>Budget:</w:t>
      </w:r>
      <w:r>
        <w:t xml:space="preserve"> </w:t>
      </w:r>
      <w:r w:rsidRPr="00815640">
        <w:t xml:space="preserve">The </w:t>
      </w:r>
      <w:r>
        <w:t>FERA</w:t>
      </w:r>
      <w:r w:rsidRPr="002458CF">
        <w:t xml:space="preserve"> </w:t>
      </w:r>
      <w:r>
        <w:t>p</w:t>
      </w:r>
      <w:r w:rsidRPr="002458CF">
        <w:t xml:space="preserve">rogram </w:t>
      </w:r>
      <w:r>
        <w:t>m</w:t>
      </w:r>
      <w:r w:rsidRPr="002458CF">
        <w:t xml:space="preserve">anagement budget totals </w:t>
      </w:r>
      <w:r w:rsidRPr="00815640">
        <w:t>$</w:t>
      </w:r>
      <w:r>
        <w:t>3.8 million, (13</w:t>
      </w:r>
      <w:r w:rsidRPr="00AF2F67">
        <w:t xml:space="preserve"> percent</w:t>
      </w:r>
      <w:r>
        <w:t xml:space="preserve"> of total FERA budget).</w:t>
      </w:r>
      <w:r>
        <w:rPr>
          <w:rStyle w:val="CommentReference"/>
          <w:sz w:val="26"/>
          <w:szCs w:val="26"/>
        </w:rPr>
        <w:t xml:space="preserve">  </w:t>
      </w:r>
      <w:r w:rsidRPr="002458CF">
        <w:t xml:space="preserve">The largest </w:t>
      </w:r>
      <w:r>
        <w:t>p</w:t>
      </w:r>
      <w:r w:rsidRPr="002458CF">
        <w:t xml:space="preserve">rogram </w:t>
      </w:r>
      <w:r>
        <w:t>m</w:t>
      </w:r>
      <w:r w:rsidRPr="002458CF">
        <w:t xml:space="preserve">anagement cost is </w:t>
      </w:r>
      <w:r>
        <w:t>o</w:t>
      </w:r>
      <w:r w:rsidRPr="002458CF">
        <w:t>utreach, with 5</w:t>
      </w:r>
      <w:r>
        <w:t>8</w:t>
      </w:r>
      <w:r w:rsidRPr="002458CF">
        <w:t xml:space="preserve"> percent of the</w:t>
      </w:r>
      <w:r w:rsidRPr="00140424">
        <w:t xml:space="preserve"> </w:t>
      </w:r>
      <w:r>
        <w:t>p</w:t>
      </w:r>
      <w:r w:rsidRPr="002458CF">
        <w:t xml:space="preserve">rogram </w:t>
      </w:r>
      <w:r>
        <w:t>m</w:t>
      </w:r>
      <w:r w:rsidRPr="002458CF">
        <w:t xml:space="preserve">anagement </w:t>
      </w:r>
      <w:r w:rsidRPr="00140424">
        <w:t xml:space="preserve">budget, </w:t>
      </w:r>
      <w:r>
        <w:t>f</w:t>
      </w:r>
      <w:r w:rsidRPr="00D1533B">
        <w:t xml:space="preserve">ollowed by </w:t>
      </w:r>
      <w:r>
        <w:t>g</w:t>
      </w:r>
      <w:r w:rsidRPr="00D1533B">
        <w:t xml:space="preserve">eneral </w:t>
      </w:r>
      <w:r>
        <w:t>a</w:t>
      </w:r>
      <w:r w:rsidRPr="00D1533B">
        <w:t xml:space="preserve">dministration and IT </w:t>
      </w:r>
      <w:r>
        <w:t>p</w:t>
      </w:r>
      <w:r w:rsidRPr="00D1533B">
        <w:t xml:space="preserve">rogramming </w:t>
      </w:r>
      <w:r w:rsidRPr="00D1533B">
        <w:lastRenderedPageBreak/>
        <w:t xml:space="preserve">with 12 percent and 11 percent of the </w:t>
      </w:r>
      <w:r>
        <w:t>program management</w:t>
      </w:r>
      <w:r w:rsidRPr="00D1533B">
        <w:t xml:space="preserve"> budget, respectively.</w:t>
      </w:r>
      <w:r>
        <w:t xml:space="preserve"> The below chart summarizes </w:t>
      </w:r>
      <w:r w:rsidRPr="00354202">
        <w:t>SDG</w:t>
      </w:r>
      <w:r>
        <w:t xml:space="preserve">&amp;E’s program management budget request by category and by year.  </w:t>
      </w:r>
    </w:p>
    <w:p w:rsidR="000C1980" w:rsidP="001968DC" w:rsidRDefault="000C1980" w14:paraId="4343B1B9" w14:textId="77777777">
      <w:pPr>
        <w:pStyle w:val="Quote"/>
        <w:ind w:left="360"/>
        <w:jc w:val="center"/>
      </w:pPr>
      <w:r w:rsidRPr="004F7A9F">
        <w:rPr>
          <w:b/>
          <w:bCs/>
        </w:rPr>
        <w:t>Ch</w:t>
      </w:r>
      <w:r>
        <w:rPr>
          <w:b/>
          <w:bCs/>
        </w:rPr>
        <w:t>art 7:  SDG&amp;E’s Proposed FERA Program Management Budget by Category,</w:t>
      </w:r>
      <w:r w:rsidRPr="00375C72">
        <w:rPr>
          <w:b/>
          <w:bCs/>
        </w:rPr>
        <w:t xml:space="preserve"> </w:t>
      </w:r>
      <w:r>
        <w:rPr>
          <w:b/>
          <w:bCs/>
        </w:rPr>
        <w:t>PYs 2021-2026</w:t>
      </w:r>
      <w:r>
        <w:rPr>
          <w:noProof/>
        </w:rPr>
        <w:drawing>
          <wp:inline distT="0" distB="0" distL="0" distR="0" wp14:anchorId="57E653F5" wp14:editId="3A2FAFC0">
            <wp:extent cx="5943600" cy="3952875"/>
            <wp:effectExtent l="0" t="0" r="0" b="0"/>
            <wp:docPr id="72" name="Picture 7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4">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Pr="00E64E19" w:rsidR="000C1980" w:rsidP="00354202" w:rsidRDefault="000C1980" w14:paraId="1705DAE1" w14:textId="77777777">
      <w:pPr>
        <w:pStyle w:val="Standard"/>
        <w:rPr>
          <w:b/>
          <w:i/>
          <w:iCs/>
          <w:u w:val="single"/>
        </w:rPr>
      </w:pPr>
      <w:r>
        <w:rPr>
          <w:b/>
          <w:bCs/>
          <w:i/>
          <w:iCs/>
          <w:u w:val="single"/>
        </w:rPr>
        <w:t>FERA</w:t>
      </w:r>
      <w:r w:rsidRPr="00AB6E3E">
        <w:rPr>
          <w:b/>
          <w:bCs/>
          <w:i/>
          <w:iCs/>
          <w:u w:val="single"/>
        </w:rPr>
        <w:t xml:space="preserve"> </w:t>
      </w:r>
      <w:r>
        <w:rPr>
          <w:b/>
          <w:bCs/>
          <w:i/>
          <w:iCs/>
          <w:u w:val="single"/>
        </w:rPr>
        <w:t>Balancing Account</w:t>
      </w:r>
      <w:r w:rsidRPr="00AB6E3E">
        <w:rPr>
          <w:b/>
          <w:bCs/>
          <w:i/>
          <w:iCs/>
          <w:u w:val="single"/>
        </w:rPr>
        <w:t>:</w:t>
      </w:r>
      <w:r w:rsidRPr="0064574B">
        <w:t xml:space="preserve"> SDG&amp;E is proposing </w:t>
      </w:r>
      <w:r>
        <w:t>to</w:t>
      </w:r>
      <w:r w:rsidRPr="0064574B">
        <w:t xml:space="preserve"> </w:t>
      </w:r>
      <w:r>
        <w:t xml:space="preserve">stop recording FERA </w:t>
      </w:r>
      <w:r w:rsidRPr="0064574B">
        <w:t xml:space="preserve">administrative costs </w:t>
      </w:r>
      <w:r>
        <w:t xml:space="preserve">in its </w:t>
      </w:r>
      <w:r w:rsidRPr="0064574B">
        <w:t>Baseline Balancing Account (BBA)</w:t>
      </w:r>
      <w:r>
        <w:t xml:space="preserve"> and begin recording these costs in its </w:t>
      </w:r>
      <w:r w:rsidRPr="0064574B">
        <w:t>FERA</w:t>
      </w:r>
      <w:r>
        <w:t xml:space="preserve"> balancing account</w:t>
      </w:r>
      <w:r w:rsidRPr="003E118A">
        <w:t xml:space="preserve"> </w:t>
      </w:r>
      <w:r w:rsidRPr="0064574B">
        <w:t>for recovery</w:t>
      </w:r>
      <w:r>
        <w:t xml:space="preserve">.  Currently FERA </w:t>
      </w:r>
      <w:r w:rsidRPr="0064574B">
        <w:t xml:space="preserve">administrative costs </w:t>
      </w:r>
      <w:r>
        <w:t>are</w:t>
      </w:r>
      <w:r w:rsidRPr="0064574B">
        <w:t xml:space="preserve"> be</w:t>
      </w:r>
      <w:r>
        <w:t xml:space="preserve">ing </w:t>
      </w:r>
      <w:r w:rsidRPr="0064574B">
        <w:t>recorded in the FERA subaccount within the BBA</w:t>
      </w:r>
      <w:r w:rsidRPr="00515E68">
        <w:t xml:space="preserve"> </w:t>
      </w:r>
      <w:r>
        <w:t>pursuant to D.</w:t>
      </w:r>
      <w:r w:rsidRPr="00515E68">
        <w:t>04-02-057</w:t>
      </w:r>
      <w:r>
        <w:t>.</w:t>
      </w:r>
      <w:r>
        <w:rPr>
          <w:rStyle w:val="FootnoteReference"/>
        </w:rPr>
        <w:footnoteReference w:id="277"/>
      </w:r>
      <w:r w:rsidRPr="0064574B">
        <w:t xml:space="preserve"> </w:t>
      </w:r>
      <w:r>
        <w:t xml:space="preserve">  </w:t>
      </w:r>
      <w:r w:rsidRPr="0064574B">
        <w:t>SDG&amp;E</w:t>
      </w:r>
      <w:r>
        <w:t xml:space="preserve"> also </w:t>
      </w:r>
      <w:r w:rsidRPr="0064574B">
        <w:t>proposes to eliminate the</w:t>
      </w:r>
      <w:r>
        <w:t xml:space="preserve"> </w:t>
      </w:r>
      <w:r w:rsidRPr="0064574B">
        <w:t>FERA subaccount in the BBA</w:t>
      </w:r>
      <w:r w:rsidRPr="00D1533B">
        <w:t>.</w:t>
      </w:r>
      <w:r w:rsidRPr="00D1533B">
        <w:rPr>
          <w:vertAlign w:val="superscript"/>
        </w:rPr>
        <w:footnoteReference w:id="278"/>
      </w:r>
      <w:r w:rsidRPr="00D1533B">
        <w:t xml:space="preserve"> </w:t>
      </w:r>
    </w:p>
    <w:p w:rsidR="000C1980" w:rsidP="001968DC" w:rsidRDefault="000C1980" w14:paraId="56AAA6F4" w14:textId="77777777">
      <w:pPr>
        <w:pStyle w:val="Heading3"/>
        <w:ind w:left="2664"/>
      </w:pPr>
      <w:bookmarkStart w:name="_Toc69947878" w:id="198"/>
      <w:r>
        <w:lastRenderedPageBreak/>
        <w:t>Party Positions</w:t>
      </w:r>
      <w:bookmarkEnd w:id="198"/>
    </w:p>
    <w:p w:rsidRPr="00A52412" w:rsidR="000C1980" w:rsidP="00354202" w:rsidRDefault="000C1980" w14:paraId="6BD3C7D6" w14:textId="77777777">
      <w:pPr>
        <w:pStyle w:val="Standard"/>
        <w:rPr>
          <w:i/>
          <w:iCs/>
        </w:rPr>
      </w:pPr>
      <w:bookmarkStart w:name="_Hlk53651570" w:id="199"/>
      <w:r>
        <w:t>No</w:t>
      </w:r>
      <w:r w:rsidRPr="00195C3E">
        <w:t xml:space="preserve"> </w:t>
      </w:r>
      <w:r>
        <w:t xml:space="preserve">substantive </w:t>
      </w:r>
      <w:r w:rsidRPr="00195C3E">
        <w:t xml:space="preserve">party comments </w:t>
      </w:r>
      <w:r>
        <w:t>were received on this topic</w:t>
      </w:r>
      <w:r w:rsidRPr="00C67A15">
        <w:t>.</w:t>
      </w:r>
    </w:p>
    <w:p w:rsidR="000C1980" w:rsidP="001968DC" w:rsidRDefault="000C1980" w14:paraId="36A65DD8" w14:textId="77777777">
      <w:pPr>
        <w:pStyle w:val="Heading3"/>
        <w:ind w:left="2664"/>
      </w:pPr>
      <w:bookmarkStart w:name="_Toc69947879" w:id="200"/>
      <w:bookmarkEnd w:id="199"/>
      <w:r>
        <w:t>Discussion</w:t>
      </w:r>
      <w:bookmarkEnd w:id="200"/>
    </w:p>
    <w:p w:rsidRPr="00973355" w:rsidR="000C1980" w:rsidP="001968DC" w:rsidRDefault="000C1980" w14:paraId="276B001C" w14:textId="77777777">
      <w:pPr>
        <w:pStyle w:val="Heading4"/>
        <w:ind w:left="3600"/>
      </w:pPr>
      <w:bookmarkStart w:name="_Toc69947880" w:id="201"/>
      <w:r w:rsidRPr="00973355">
        <w:t xml:space="preserve">FERA Subsidy Budgets: </w:t>
      </w:r>
      <w:r w:rsidRPr="00973355">
        <w:rPr>
          <w:u w:val="single"/>
        </w:rPr>
        <w:t>Approved</w:t>
      </w:r>
      <w:bookmarkEnd w:id="201"/>
    </w:p>
    <w:p w:rsidRPr="00BA7215" w:rsidR="000C1980" w:rsidP="00354202" w:rsidRDefault="000C1980" w14:paraId="4EF00771" w14:textId="218D331C">
      <w:pPr>
        <w:pStyle w:val="Standard"/>
      </w:pPr>
      <w:r w:rsidRPr="00BA7215">
        <w:t>The Commission approves the IOUs</w:t>
      </w:r>
      <w:r>
        <w:t>’</w:t>
      </w:r>
      <w:r w:rsidRPr="00BA7215">
        <w:t xml:space="preserve"> proposed FERA subsidy </w:t>
      </w:r>
      <w:r>
        <w:t xml:space="preserve">budgets.  </w:t>
      </w:r>
      <w:r w:rsidRPr="00FE3330">
        <w:t xml:space="preserve">On average, the </w:t>
      </w:r>
      <w:r>
        <w:t>annual FERA</w:t>
      </w:r>
      <w:r w:rsidRPr="00FE3330">
        <w:t xml:space="preserve"> discount </w:t>
      </w:r>
      <w:r>
        <w:t xml:space="preserve">is expected to be </w:t>
      </w:r>
      <w:r w:rsidRPr="00FE3330">
        <w:t>$</w:t>
      </w:r>
      <w:r>
        <w:t>281</w:t>
      </w:r>
      <w:r w:rsidRPr="00FE3330">
        <w:t xml:space="preserve"> per </w:t>
      </w:r>
      <w:r>
        <w:t xml:space="preserve">household based on IOU projections.  </w:t>
      </w:r>
      <w:r w:rsidR="006E6B0B">
        <w:t xml:space="preserve">Given the new FERA goals established by this decision, subsides may increase if FERA penetration reaches the 50 and 70 percent goals by 2023 and </w:t>
      </w:r>
      <w:proofErr w:type="gramStart"/>
      <w:r w:rsidR="006E6B0B">
        <w:t>2026</w:t>
      </w:r>
      <w:proofErr w:type="gramEnd"/>
      <w:r w:rsidR="006E6B0B">
        <w:t xml:space="preserve"> respectively</w:t>
      </w:r>
      <w:r w:rsidR="00F03AAA">
        <w:t>.</w:t>
      </w:r>
      <w:r>
        <w:t xml:space="preserve">  </w:t>
      </w:r>
    </w:p>
    <w:p w:rsidRPr="00973355" w:rsidR="000C1980" w:rsidP="001968DC" w:rsidRDefault="000C1980" w14:paraId="695A48A6" w14:textId="77777777">
      <w:pPr>
        <w:pStyle w:val="Heading4"/>
        <w:ind w:left="3600"/>
      </w:pPr>
      <w:bookmarkStart w:name="_Toc69947881" w:id="202"/>
      <w:r w:rsidRPr="00973355">
        <w:t xml:space="preserve">FERA Program Management Budgets: </w:t>
      </w:r>
      <w:r w:rsidRPr="00973355">
        <w:rPr>
          <w:u w:val="single"/>
        </w:rPr>
        <w:t>Approved with Modifications</w:t>
      </w:r>
      <w:bookmarkEnd w:id="202"/>
    </w:p>
    <w:p w:rsidR="000C1980" w:rsidP="00354202" w:rsidRDefault="000C1980" w14:paraId="47A1F6E6" w14:textId="19074068">
      <w:pPr>
        <w:pStyle w:val="Standard"/>
      </w:pPr>
      <w:r>
        <w:t>We</w:t>
      </w:r>
      <w:r w:rsidRPr="00BA7215">
        <w:t xml:space="preserve"> approve the IOUs</w:t>
      </w:r>
      <w:r>
        <w:t>’</w:t>
      </w:r>
      <w:r w:rsidRPr="00BA7215">
        <w:t xml:space="preserve"> proposed FERA </w:t>
      </w:r>
      <w:r>
        <w:t xml:space="preserve">program management </w:t>
      </w:r>
      <w:r w:rsidRPr="00BA7215">
        <w:t xml:space="preserve">budgets, </w:t>
      </w:r>
      <w:r>
        <w:t xml:space="preserve">except for </w:t>
      </w:r>
      <w:r w:rsidRPr="00BA7215">
        <w:t xml:space="preserve">PG&amp;E’s </w:t>
      </w:r>
      <w:r>
        <w:t>r</w:t>
      </w:r>
      <w:r w:rsidRPr="00BA7215">
        <w:t>equest</w:t>
      </w:r>
      <w:r>
        <w:t xml:space="preserve"> for a new</w:t>
      </w:r>
      <w:r w:rsidRPr="002A6424">
        <w:t xml:space="preserve"> </w:t>
      </w:r>
      <w:r w:rsidRPr="00BA7215">
        <w:t xml:space="preserve">FERA </w:t>
      </w:r>
      <w:r>
        <w:t>p</w:t>
      </w:r>
      <w:r w:rsidRPr="00BA7215">
        <w:t xml:space="preserve">ropensity </w:t>
      </w:r>
      <w:r>
        <w:t>m</w:t>
      </w:r>
      <w:r w:rsidRPr="00BA7215">
        <w:t>odel</w:t>
      </w:r>
      <w:r>
        <w:t xml:space="preserve"> (</w:t>
      </w:r>
      <w:r w:rsidRPr="007F40BA">
        <w:rPr>
          <w:i/>
          <w:iCs/>
        </w:rPr>
        <w:t>see</w:t>
      </w:r>
      <w:r>
        <w:t xml:space="preserve"> Section 6.3. discussion).  We also note that although we approve SCE’s program management budget, we understand that this funding level does not accurately reflect SCE’s full FERA program management costs since SCE did not separate out all its FERA program management costs from the CARE proposed budgets in its application (except for outreach and IT programming).  This leaves SCE’s CARE program management budget over authorized and SCE’s FERA program management budget under authorized.  Therefore, SCE shall file a Tier 1 Advice letter within 30 days </w:t>
      </w:r>
      <w:r w:rsidRPr="00C47214" w:rsidR="00C47214">
        <w:t xml:space="preserve">after the approval </w:t>
      </w:r>
      <w:r>
        <w:t xml:space="preserve">of this decision, separating out the approved FERA program management costs from the approved CARE program management costs and provide new and separate budget tables for CARE and FERA.  The new CARE and FERA budget tables in the advice letter shall not exceed what is being authorized in this decision for CARE and FERA program management costs combined.   </w:t>
      </w:r>
    </w:p>
    <w:p w:rsidRPr="00BA7215" w:rsidR="000C1980" w:rsidP="00354202" w:rsidRDefault="000C1980" w14:paraId="2B89B34B" w14:textId="77777777">
      <w:pPr>
        <w:pStyle w:val="Standard"/>
      </w:pPr>
      <w:r>
        <w:lastRenderedPageBreak/>
        <w:t xml:space="preserve">The table below shows the total approved FERA budgets.  Again, we note that the below approved budget for SCE’s FERA program management costs will be adjusted via a Tier 1 advice letter to accurately reflect FERA expenses.  </w:t>
      </w:r>
    </w:p>
    <w:p w:rsidR="000C1980" w:rsidP="001968DC" w:rsidRDefault="000C1980" w14:paraId="5CB000A3" w14:textId="77777777">
      <w:pPr>
        <w:pStyle w:val="BlockQuote"/>
        <w:ind w:left="360"/>
        <w:jc w:val="center"/>
        <w:rPr>
          <w:b/>
          <w:bCs/>
        </w:rPr>
      </w:pPr>
      <w:r>
        <w:rPr>
          <w:b/>
          <w:bCs/>
        </w:rPr>
        <w:t>Table 9: Approved</w:t>
      </w:r>
      <w:r w:rsidRPr="00644B6B">
        <w:rPr>
          <w:b/>
          <w:bCs/>
        </w:rPr>
        <w:t xml:space="preserve"> </w:t>
      </w:r>
      <w:r>
        <w:rPr>
          <w:b/>
          <w:bCs/>
        </w:rPr>
        <w:t>FERA</w:t>
      </w:r>
      <w:r w:rsidRPr="00644B6B">
        <w:rPr>
          <w:b/>
          <w:bCs/>
        </w:rPr>
        <w:t xml:space="preserve"> Budgets</w:t>
      </w:r>
      <w:r>
        <w:rPr>
          <w:b/>
          <w:bCs/>
        </w:rPr>
        <w:t>, PYs</w:t>
      </w:r>
      <w:r w:rsidRPr="00942924">
        <w:rPr>
          <w:b/>
          <w:bCs/>
        </w:rPr>
        <w:t xml:space="preserve"> 2021-2026</w:t>
      </w:r>
    </w:p>
    <w:tbl>
      <w:tblPr>
        <w:tblStyle w:val="TableGrid"/>
        <w:tblW w:w="9805" w:type="dxa"/>
        <w:tblInd w:w="-455" w:type="dxa"/>
        <w:tblLook w:val="04A0" w:firstRow="1" w:lastRow="0" w:firstColumn="1" w:lastColumn="0" w:noHBand="0" w:noVBand="1"/>
      </w:tblPr>
      <w:tblGrid>
        <w:gridCol w:w="1427"/>
        <w:gridCol w:w="1187"/>
        <w:gridCol w:w="1187"/>
        <w:gridCol w:w="1187"/>
        <w:gridCol w:w="1187"/>
        <w:gridCol w:w="1187"/>
        <w:gridCol w:w="1187"/>
        <w:gridCol w:w="1256"/>
      </w:tblGrid>
      <w:tr w:rsidRPr="00E739DA" w:rsidR="000C1980" w:rsidTr="00E739DA" w14:paraId="0119E259" w14:textId="77777777">
        <w:trPr>
          <w:trHeight w:val="247"/>
        </w:trPr>
        <w:tc>
          <w:tcPr>
            <w:tcW w:w="1427" w:type="dxa"/>
            <w:vMerge w:val="restart"/>
            <w:noWrap/>
            <w:hideMark/>
          </w:tcPr>
          <w:p w:rsidRPr="00E739DA" w:rsidR="000C1980" w:rsidP="001968DC" w:rsidRDefault="000C1980" w14:paraId="6715567D" w14:textId="77777777">
            <w:pPr>
              <w:ind w:left="360"/>
              <w:jc w:val="center"/>
              <w:rPr>
                <w:rFonts w:eastAsia="Times New Roman" w:cs="Calibri"/>
                <w:color w:val="000000"/>
                <w:sz w:val="18"/>
                <w:szCs w:val="18"/>
              </w:rPr>
            </w:pPr>
            <w:r w:rsidRPr="00E739DA">
              <w:rPr>
                <w:rFonts w:eastAsia="Times New Roman" w:cs="Calibri"/>
                <w:color w:val="000000"/>
                <w:sz w:val="18"/>
                <w:szCs w:val="18"/>
              </w:rPr>
              <w:t>IOU</w:t>
            </w:r>
          </w:p>
        </w:tc>
        <w:tc>
          <w:tcPr>
            <w:tcW w:w="8378" w:type="dxa"/>
            <w:gridSpan w:val="7"/>
            <w:noWrap/>
            <w:hideMark/>
          </w:tcPr>
          <w:p w:rsidRPr="00E739DA" w:rsidR="000C1980" w:rsidP="001968DC" w:rsidRDefault="00B24A0E" w14:paraId="38A3DB1E" w14:textId="5C44603F">
            <w:pPr>
              <w:ind w:left="360"/>
              <w:jc w:val="center"/>
              <w:rPr>
                <w:rFonts w:eastAsia="Times New Roman" w:cs="Calibri"/>
                <w:b/>
                <w:color w:val="000000"/>
                <w:sz w:val="18"/>
                <w:szCs w:val="18"/>
              </w:rPr>
            </w:pPr>
            <w:r w:rsidRPr="00E739DA">
              <w:rPr>
                <w:rFonts w:eastAsia="Times New Roman" w:cs="Calibri"/>
                <w:b/>
                <w:bCs/>
                <w:color w:val="000000"/>
                <w:sz w:val="18"/>
                <w:szCs w:val="18"/>
              </w:rPr>
              <w:t xml:space="preserve">Approved </w:t>
            </w:r>
            <w:r w:rsidRPr="00E739DA" w:rsidR="000C1980">
              <w:rPr>
                <w:rFonts w:eastAsia="Times New Roman" w:cs="Calibri"/>
                <w:b/>
                <w:color w:val="000000"/>
                <w:sz w:val="18"/>
                <w:szCs w:val="18"/>
              </w:rPr>
              <w:t xml:space="preserve">FERA </w:t>
            </w:r>
            <w:r w:rsidRPr="00E739DA" w:rsidR="000C1980">
              <w:rPr>
                <w:rFonts w:eastAsia="Times New Roman" w:cs="Calibri"/>
                <w:b/>
                <w:bCs/>
                <w:color w:val="000000"/>
                <w:sz w:val="18"/>
                <w:szCs w:val="18"/>
              </w:rPr>
              <w:t>P</w:t>
            </w:r>
            <w:r w:rsidRPr="00E739DA" w:rsidR="000C1980">
              <w:rPr>
                <w:rFonts w:eastAsia="Times New Roman" w:cs="Calibri"/>
                <w:b/>
                <w:color w:val="000000"/>
                <w:sz w:val="18"/>
                <w:szCs w:val="18"/>
              </w:rPr>
              <w:t>rogram Management Budget</w:t>
            </w:r>
          </w:p>
        </w:tc>
      </w:tr>
      <w:tr w:rsidRPr="00E739DA" w:rsidR="000C1980" w:rsidTr="00E739DA" w14:paraId="475DDD4B" w14:textId="77777777">
        <w:trPr>
          <w:trHeight w:val="247"/>
        </w:trPr>
        <w:tc>
          <w:tcPr>
            <w:tcW w:w="1427" w:type="dxa"/>
            <w:vMerge/>
            <w:hideMark/>
          </w:tcPr>
          <w:p w:rsidRPr="00E739DA" w:rsidR="000C1980" w:rsidP="001968DC" w:rsidRDefault="000C1980" w14:paraId="590D18A4" w14:textId="77777777">
            <w:pPr>
              <w:ind w:left="360"/>
              <w:rPr>
                <w:rFonts w:eastAsia="Times New Roman" w:cs="Calibri"/>
                <w:color w:val="000000"/>
                <w:sz w:val="18"/>
                <w:szCs w:val="18"/>
              </w:rPr>
            </w:pPr>
          </w:p>
        </w:tc>
        <w:tc>
          <w:tcPr>
            <w:tcW w:w="1187" w:type="dxa"/>
            <w:noWrap/>
            <w:hideMark/>
          </w:tcPr>
          <w:p w:rsidRPr="00E739DA" w:rsidR="000C1980" w:rsidP="001968DC" w:rsidRDefault="000C1980" w14:paraId="66774124"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2021</w:t>
            </w:r>
          </w:p>
        </w:tc>
        <w:tc>
          <w:tcPr>
            <w:tcW w:w="1187" w:type="dxa"/>
            <w:noWrap/>
            <w:hideMark/>
          </w:tcPr>
          <w:p w:rsidRPr="00E739DA" w:rsidR="000C1980" w:rsidP="001968DC" w:rsidRDefault="000C1980" w14:paraId="080AE729"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2022</w:t>
            </w:r>
          </w:p>
        </w:tc>
        <w:tc>
          <w:tcPr>
            <w:tcW w:w="1187" w:type="dxa"/>
            <w:noWrap/>
            <w:hideMark/>
          </w:tcPr>
          <w:p w:rsidRPr="00E739DA" w:rsidR="000C1980" w:rsidP="001968DC" w:rsidRDefault="000C1980" w14:paraId="2552C4A5"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2023</w:t>
            </w:r>
          </w:p>
        </w:tc>
        <w:tc>
          <w:tcPr>
            <w:tcW w:w="1187" w:type="dxa"/>
            <w:noWrap/>
            <w:hideMark/>
          </w:tcPr>
          <w:p w:rsidRPr="00E739DA" w:rsidR="000C1980" w:rsidP="001968DC" w:rsidRDefault="000C1980" w14:paraId="734EC2FB"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2024</w:t>
            </w:r>
          </w:p>
        </w:tc>
        <w:tc>
          <w:tcPr>
            <w:tcW w:w="1187" w:type="dxa"/>
            <w:noWrap/>
            <w:hideMark/>
          </w:tcPr>
          <w:p w:rsidRPr="00E739DA" w:rsidR="000C1980" w:rsidP="001968DC" w:rsidRDefault="000C1980" w14:paraId="2F9B1D9B"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2025</w:t>
            </w:r>
          </w:p>
        </w:tc>
        <w:tc>
          <w:tcPr>
            <w:tcW w:w="1187" w:type="dxa"/>
            <w:noWrap/>
            <w:hideMark/>
          </w:tcPr>
          <w:p w:rsidRPr="00E739DA" w:rsidR="000C1980" w:rsidP="001968DC" w:rsidRDefault="000C1980" w14:paraId="6CCB980D"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2026</w:t>
            </w:r>
          </w:p>
        </w:tc>
        <w:tc>
          <w:tcPr>
            <w:tcW w:w="1256" w:type="dxa"/>
            <w:noWrap/>
            <w:hideMark/>
          </w:tcPr>
          <w:p w:rsidRPr="00E739DA" w:rsidR="000C1980" w:rsidP="001968DC" w:rsidRDefault="000C1980" w14:paraId="59951545" w14:textId="77777777">
            <w:pPr>
              <w:ind w:left="360"/>
              <w:rPr>
                <w:rFonts w:eastAsia="Times New Roman" w:cs="Calibri"/>
                <w:b/>
                <w:color w:val="000000"/>
                <w:sz w:val="18"/>
                <w:szCs w:val="18"/>
              </w:rPr>
            </w:pPr>
            <w:r w:rsidRPr="00E739DA">
              <w:rPr>
                <w:rFonts w:eastAsia="Times New Roman" w:cs="Calibri"/>
                <w:b/>
                <w:color w:val="000000"/>
                <w:sz w:val="18"/>
                <w:szCs w:val="18"/>
              </w:rPr>
              <w:t>Total</w:t>
            </w:r>
          </w:p>
        </w:tc>
      </w:tr>
      <w:tr w:rsidRPr="00E739DA" w:rsidR="000C1980" w:rsidTr="00E739DA" w14:paraId="1C1DBB60" w14:textId="77777777">
        <w:trPr>
          <w:trHeight w:val="247"/>
        </w:trPr>
        <w:tc>
          <w:tcPr>
            <w:tcW w:w="1427" w:type="dxa"/>
            <w:noWrap/>
            <w:hideMark/>
          </w:tcPr>
          <w:p w:rsidRPr="00E739DA" w:rsidR="000C1980" w:rsidP="00E739DA" w:rsidRDefault="000C1980" w14:paraId="76FF6F4B" w14:textId="77777777">
            <w:pPr>
              <w:rPr>
                <w:rFonts w:eastAsia="Times New Roman" w:cs="Calibri"/>
                <w:color w:val="000000"/>
                <w:sz w:val="18"/>
                <w:szCs w:val="18"/>
              </w:rPr>
            </w:pPr>
            <w:r w:rsidRPr="00E739DA">
              <w:rPr>
                <w:rFonts w:eastAsia="Times New Roman" w:cs="Calibri"/>
                <w:color w:val="000000"/>
                <w:sz w:val="18"/>
                <w:szCs w:val="18"/>
              </w:rPr>
              <w:t>SCE</w:t>
            </w:r>
          </w:p>
        </w:tc>
        <w:tc>
          <w:tcPr>
            <w:tcW w:w="1187" w:type="dxa"/>
            <w:noWrap/>
            <w:hideMark/>
          </w:tcPr>
          <w:p w:rsidRPr="00E739DA" w:rsidR="000C1980" w:rsidP="00E739DA" w:rsidRDefault="000C1980" w14:paraId="405D8369" w14:textId="77777777">
            <w:pPr>
              <w:jc w:val="right"/>
              <w:rPr>
                <w:rFonts w:eastAsia="Times New Roman" w:cs="Calibri"/>
                <w:color w:val="000000"/>
                <w:sz w:val="18"/>
                <w:szCs w:val="18"/>
              </w:rPr>
            </w:pPr>
            <w:r w:rsidRPr="00E739DA">
              <w:rPr>
                <w:rFonts w:eastAsia="Times New Roman" w:cs="Calibri"/>
                <w:color w:val="000000"/>
                <w:sz w:val="18"/>
                <w:szCs w:val="18"/>
              </w:rPr>
              <w:t>$637,450</w:t>
            </w:r>
          </w:p>
        </w:tc>
        <w:tc>
          <w:tcPr>
            <w:tcW w:w="1187" w:type="dxa"/>
            <w:noWrap/>
            <w:hideMark/>
          </w:tcPr>
          <w:p w:rsidRPr="00E739DA" w:rsidR="000C1980" w:rsidP="00E739DA" w:rsidRDefault="000C1980" w14:paraId="5E873406" w14:textId="77777777">
            <w:pPr>
              <w:jc w:val="right"/>
              <w:rPr>
                <w:rFonts w:eastAsia="Times New Roman" w:cs="Calibri"/>
                <w:color w:val="000000"/>
                <w:sz w:val="18"/>
                <w:szCs w:val="18"/>
              </w:rPr>
            </w:pPr>
            <w:r w:rsidRPr="00E739DA">
              <w:rPr>
                <w:rFonts w:eastAsia="Times New Roman" w:cs="Calibri"/>
                <w:color w:val="000000"/>
                <w:sz w:val="18"/>
                <w:szCs w:val="18"/>
              </w:rPr>
              <w:t>$695,695</w:t>
            </w:r>
          </w:p>
        </w:tc>
        <w:tc>
          <w:tcPr>
            <w:tcW w:w="1187" w:type="dxa"/>
            <w:noWrap/>
            <w:hideMark/>
          </w:tcPr>
          <w:p w:rsidRPr="00E739DA" w:rsidR="000C1980" w:rsidP="00E739DA" w:rsidRDefault="000C1980" w14:paraId="03E3C511" w14:textId="77777777">
            <w:pPr>
              <w:jc w:val="right"/>
              <w:rPr>
                <w:rFonts w:eastAsia="Times New Roman" w:cs="Calibri"/>
                <w:color w:val="000000"/>
                <w:sz w:val="18"/>
                <w:szCs w:val="18"/>
              </w:rPr>
            </w:pPr>
            <w:r w:rsidRPr="00E739DA">
              <w:rPr>
                <w:rFonts w:eastAsia="Times New Roman" w:cs="Calibri"/>
                <w:color w:val="000000"/>
                <w:sz w:val="18"/>
                <w:szCs w:val="18"/>
              </w:rPr>
              <w:t>$759,765</w:t>
            </w:r>
          </w:p>
        </w:tc>
        <w:tc>
          <w:tcPr>
            <w:tcW w:w="1187" w:type="dxa"/>
            <w:noWrap/>
            <w:hideMark/>
          </w:tcPr>
          <w:p w:rsidRPr="00E739DA" w:rsidR="000C1980" w:rsidP="00E739DA" w:rsidRDefault="000C1980" w14:paraId="540BCC74" w14:textId="77777777">
            <w:pPr>
              <w:jc w:val="right"/>
              <w:rPr>
                <w:rFonts w:eastAsia="Times New Roman" w:cs="Calibri"/>
                <w:color w:val="000000"/>
                <w:sz w:val="18"/>
                <w:szCs w:val="18"/>
              </w:rPr>
            </w:pPr>
            <w:r w:rsidRPr="00E739DA">
              <w:rPr>
                <w:rFonts w:eastAsia="Times New Roman" w:cs="Calibri"/>
                <w:color w:val="000000"/>
                <w:sz w:val="18"/>
                <w:szCs w:val="18"/>
              </w:rPr>
              <w:t>$830,244</w:t>
            </w:r>
          </w:p>
        </w:tc>
        <w:tc>
          <w:tcPr>
            <w:tcW w:w="1187" w:type="dxa"/>
            <w:noWrap/>
            <w:hideMark/>
          </w:tcPr>
          <w:p w:rsidRPr="00E739DA" w:rsidR="000C1980" w:rsidP="00E739DA" w:rsidRDefault="000C1980" w14:paraId="63AF6F95" w14:textId="77777777">
            <w:pPr>
              <w:jc w:val="right"/>
              <w:rPr>
                <w:rFonts w:eastAsia="Times New Roman" w:cs="Calibri"/>
                <w:color w:val="000000"/>
                <w:sz w:val="18"/>
                <w:szCs w:val="18"/>
              </w:rPr>
            </w:pPr>
            <w:r w:rsidRPr="00E739DA">
              <w:rPr>
                <w:rFonts w:eastAsia="Times New Roman" w:cs="Calibri"/>
                <w:color w:val="000000"/>
                <w:sz w:val="18"/>
                <w:szCs w:val="18"/>
              </w:rPr>
              <w:t>$907,766</w:t>
            </w:r>
          </w:p>
        </w:tc>
        <w:tc>
          <w:tcPr>
            <w:tcW w:w="1187" w:type="dxa"/>
            <w:noWrap/>
            <w:hideMark/>
          </w:tcPr>
          <w:p w:rsidRPr="00E739DA" w:rsidR="000C1980" w:rsidP="00E739DA" w:rsidRDefault="000C1980" w14:paraId="5C58811E" w14:textId="77777777">
            <w:pPr>
              <w:jc w:val="right"/>
              <w:rPr>
                <w:rFonts w:eastAsia="Times New Roman" w:cs="Calibri"/>
                <w:color w:val="000000"/>
                <w:sz w:val="18"/>
                <w:szCs w:val="18"/>
              </w:rPr>
            </w:pPr>
            <w:r w:rsidRPr="00E739DA">
              <w:rPr>
                <w:rFonts w:eastAsia="Times New Roman" w:cs="Calibri"/>
                <w:color w:val="000000"/>
                <w:sz w:val="18"/>
                <w:szCs w:val="18"/>
              </w:rPr>
              <w:t>$993,040</w:t>
            </w:r>
          </w:p>
        </w:tc>
        <w:tc>
          <w:tcPr>
            <w:tcW w:w="1256" w:type="dxa"/>
            <w:noWrap/>
            <w:hideMark/>
          </w:tcPr>
          <w:p w:rsidRPr="00E739DA" w:rsidR="000C1980" w:rsidP="00E739DA" w:rsidRDefault="000C1980" w14:paraId="4A5E3B82"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$4,823,960 </w:t>
            </w:r>
          </w:p>
        </w:tc>
      </w:tr>
      <w:tr w:rsidRPr="00E739DA" w:rsidR="000C1980" w:rsidTr="00E739DA" w14:paraId="17F381D5" w14:textId="77777777">
        <w:trPr>
          <w:trHeight w:val="247"/>
        </w:trPr>
        <w:tc>
          <w:tcPr>
            <w:tcW w:w="1427" w:type="dxa"/>
            <w:noWrap/>
            <w:hideMark/>
          </w:tcPr>
          <w:p w:rsidRPr="00E739DA" w:rsidR="000C1980" w:rsidP="00E739DA" w:rsidRDefault="000C1980" w14:paraId="3BAA20DA" w14:textId="77777777">
            <w:pPr>
              <w:rPr>
                <w:rFonts w:eastAsia="Times New Roman" w:cs="Calibri"/>
                <w:color w:val="000000"/>
                <w:sz w:val="18"/>
                <w:szCs w:val="18"/>
              </w:rPr>
            </w:pPr>
            <w:r w:rsidRPr="00E739DA">
              <w:rPr>
                <w:rFonts w:eastAsia="Times New Roman" w:cs="Calibri"/>
                <w:color w:val="000000"/>
                <w:sz w:val="18"/>
                <w:szCs w:val="18"/>
              </w:rPr>
              <w:t>PG&amp;E</w:t>
            </w:r>
          </w:p>
        </w:tc>
        <w:tc>
          <w:tcPr>
            <w:tcW w:w="1187" w:type="dxa"/>
            <w:noWrap/>
            <w:hideMark/>
          </w:tcPr>
          <w:p w:rsidRPr="00E739DA" w:rsidR="000C1980" w:rsidP="00E739DA" w:rsidRDefault="000C1980" w14:paraId="08BB0FE9"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$2,484,700</w:t>
            </w:r>
          </w:p>
        </w:tc>
        <w:tc>
          <w:tcPr>
            <w:tcW w:w="1187" w:type="dxa"/>
            <w:noWrap/>
            <w:hideMark/>
          </w:tcPr>
          <w:p w:rsidRPr="00E739DA" w:rsidR="000C1980" w:rsidP="00E739DA" w:rsidRDefault="000C1980" w14:paraId="0B5E006A"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$2,794,400</w:t>
            </w:r>
          </w:p>
        </w:tc>
        <w:tc>
          <w:tcPr>
            <w:tcW w:w="1187" w:type="dxa"/>
            <w:noWrap/>
            <w:hideMark/>
          </w:tcPr>
          <w:p w:rsidRPr="00E739DA" w:rsidR="000C1980" w:rsidP="00E739DA" w:rsidRDefault="000C1980" w14:paraId="3042A0C6"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$2,846,400</w:t>
            </w:r>
          </w:p>
        </w:tc>
        <w:tc>
          <w:tcPr>
            <w:tcW w:w="1187" w:type="dxa"/>
            <w:noWrap/>
            <w:hideMark/>
          </w:tcPr>
          <w:p w:rsidRPr="00E739DA" w:rsidR="000C1980" w:rsidP="00E739DA" w:rsidRDefault="000C1980" w14:paraId="071EA399"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$2,929,000</w:t>
            </w:r>
          </w:p>
        </w:tc>
        <w:tc>
          <w:tcPr>
            <w:tcW w:w="1187" w:type="dxa"/>
            <w:noWrap/>
            <w:hideMark/>
          </w:tcPr>
          <w:p w:rsidRPr="00E739DA" w:rsidR="000C1980" w:rsidP="00E739DA" w:rsidRDefault="000C1980" w14:paraId="3D76EBFD"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$2,997,900</w:t>
            </w:r>
          </w:p>
        </w:tc>
        <w:tc>
          <w:tcPr>
            <w:tcW w:w="1187" w:type="dxa"/>
            <w:noWrap/>
            <w:hideMark/>
          </w:tcPr>
          <w:p w:rsidRPr="00E739DA" w:rsidR="000C1980" w:rsidP="00E739DA" w:rsidRDefault="000C1980" w14:paraId="164826B9"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$3,055,800</w:t>
            </w:r>
          </w:p>
        </w:tc>
        <w:tc>
          <w:tcPr>
            <w:tcW w:w="1256" w:type="dxa"/>
            <w:noWrap/>
            <w:hideMark/>
          </w:tcPr>
          <w:p w:rsidRPr="00E739DA" w:rsidR="000C1980" w:rsidP="00E739DA" w:rsidRDefault="000C1980" w14:paraId="69024A91"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$17,108,200 </w:t>
            </w:r>
          </w:p>
        </w:tc>
      </w:tr>
      <w:tr w:rsidRPr="00E739DA" w:rsidR="000C1980" w:rsidTr="00E739DA" w14:paraId="42AE123A" w14:textId="77777777">
        <w:trPr>
          <w:trHeight w:val="247"/>
        </w:trPr>
        <w:tc>
          <w:tcPr>
            <w:tcW w:w="1427" w:type="dxa"/>
            <w:noWrap/>
            <w:hideMark/>
          </w:tcPr>
          <w:p w:rsidRPr="00E739DA" w:rsidR="000C1980" w:rsidP="00E739DA" w:rsidRDefault="000C1980" w14:paraId="73C88418" w14:textId="77777777">
            <w:pPr>
              <w:rPr>
                <w:rFonts w:eastAsia="Times New Roman" w:cs="Calibri"/>
                <w:color w:val="000000"/>
                <w:sz w:val="18"/>
                <w:szCs w:val="18"/>
              </w:rPr>
            </w:pPr>
            <w:r w:rsidRPr="00E739DA">
              <w:rPr>
                <w:rFonts w:eastAsia="Times New Roman" w:cs="Calibri"/>
                <w:color w:val="000000"/>
                <w:sz w:val="18"/>
                <w:szCs w:val="18"/>
              </w:rPr>
              <w:t>SDG&amp;E</w:t>
            </w:r>
          </w:p>
        </w:tc>
        <w:tc>
          <w:tcPr>
            <w:tcW w:w="1187" w:type="dxa"/>
            <w:noWrap/>
            <w:hideMark/>
          </w:tcPr>
          <w:p w:rsidRPr="00E739DA" w:rsidR="000C1980" w:rsidP="00E739DA" w:rsidRDefault="000C1980" w14:paraId="6E808401" w14:textId="77777777">
            <w:pPr>
              <w:jc w:val="right"/>
              <w:rPr>
                <w:rFonts w:eastAsia="Times New Roman" w:cs="Calibri"/>
                <w:color w:val="000000"/>
                <w:sz w:val="18"/>
                <w:szCs w:val="18"/>
              </w:rPr>
            </w:pPr>
            <w:r w:rsidRPr="00E739DA">
              <w:rPr>
                <w:rFonts w:eastAsia="Times New Roman" w:cs="Calibri"/>
                <w:color w:val="000000"/>
                <w:sz w:val="18"/>
                <w:szCs w:val="18"/>
              </w:rPr>
              <w:t>$594,574</w:t>
            </w:r>
          </w:p>
        </w:tc>
        <w:tc>
          <w:tcPr>
            <w:tcW w:w="1187" w:type="dxa"/>
            <w:noWrap/>
            <w:hideMark/>
          </w:tcPr>
          <w:p w:rsidRPr="00E739DA" w:rsidR="000C1980" w:rsidP="00E739DA" w:rsidRDefault="000C1980" w14:paraId="5354FACC" w14:textId="77777777">
            <w:pPr>
              <w:jc w:val="right"/>
              <w:rPr>
                <w:rFonts w:eastAsia="Times New Roman" w:cs="Calibri"/>
                <w:color w:val="000000"/>
                <w:sz w:val="18"/>
                <w:szCs w:val="18"/>
              </w:rPr>
            </w:pPr>
            <w:r w:rsidRPr="00E739DA">
              <w:rPr>
                <w:rFonts w:eastAsia="Times New Roman" w:cs="Calibri"/>
                <w:color w:val="000000"/>
                <w:sz w:val="18"/>
                <w:szCs w:val="18"/>
              </w:rPr>
              <w:t>$703,150</w:t>
            </w:r>
          </w:p>
        </w:tc>
        <w:tc>
          <w:tcPr>
            <w:tcW w:w="1187" w:type="dxa"/>
            <w:noWrap/>
            <w:hideMark/>
          </w:tcPr>
          <w:p w:rsidRPr="00E739DA" w:rsidR="000C1980" w:rsidP="00E739DA" w:rsidRDefault="000C1980" w14:paraId="7E263541" w14:textId="77777777">
            <w:pPr>
              <w:jc w:val="right"/>
              <w:rPr>
                <w:rFonts w:eastAsia="Times New Roman" w:cs="Calibri"/>
                <w:color w:val="000000"/>
                <w:sz w:val="18"/>
                <w:szCs w:val="18"/>
              </w:rPr>
            </w:pPr>
            <w:r w:rsidRPr="00E739DA">
              <w:rPr>
                <w:rFonts w:eastAsia="Times New Roman" w:cs="Calibri"/>
                <w:color w:val="000000"/>
                <w:sz w:val="18"/>
                <w:szCs w:val="18"/>
              </w:rPr>
              <w:t>$612,393</w:t>
            </w:r>
          </w:p>
        </w:tc>
        <w:tc>
          <w:tcPr>
            <w:tcW w:w="1187" w:type="dxa"/>
            <w:noWrap/>
            <w:hideMark/>
          </w:tcPr>
          <w:p w:rsidRPr="00E739DA" w:rsidR="000C1980" w:rsidP="00E739DA" w:rsidRDefault="000C1980" w14:paraId="1AD5F3F4" w14:textId="77777777">
            <w:pPr>
              <w:jc w:val="right"/>
              <w:rPr>
                <w:rFonts w:eastAsia="Times New Roman" w:cs="Calibri"/>
                <w:color w:val="000000"/>
                <w:sz w:val="18"/>
                <w:szCs w:val="18"/>
              </w:rPr>
            </w:pPr>
            <w:r w:rsidRPr="00E739DA">
              <w:rPr>
                <w:rFonts w:eastAsia="Times New Roman" w:cs="Calibri"/>
                <w:color w:val="000000"/>
                <w:sz w:val="18"/>
                <w:szCs w:val="18"/>
              </w:rPr>
              <w:t>$621,815</w:t>
            </w:r>
          </w:p>
        </w:tc>
        <w:tc>
          <w:tcPr>
            <w:tcW w:w="1187" w:type="dxa"/>
            <w:noWrap/>
            <w:hideMark/>
          </w:tcPr>
          <w:p w:rsidRPr="00E739DA" w:rsidR="000C1980" w:rsidP="00E739DA" w:rsidRDefault="000C1980" w14:paraId="1CFC9C81" w14:textId="77777777">
            <w:pPr>
              <w:jc w:val="right"/>
              <w:rPr>
                <w:rFonts w:eastAsia="Times New Roman" w:cs="Calibri"/>
                <w:color w:val="000000"/>
                <w:sz w:val="18"/>
                <w:szCs w:val="18"/>
              </w:rPr>
            </w:pPr>
            <w:r w:rsidRPr="00E739DA">
              <w:rPr>
                <w:rFonts w:eastAsia="Times New Roman" w:cs="Calibri"/>
                <w:color w:val="000000"/>
                <w:sz w:val="18"/>
                <w:szCs w:val="18"/>
              </w:rPr>
              <w:t>$630,578</w:t>
            </w:r>
          </w:p>
        </w:tc>
        <w:tc>
          <w:tcPr>
            <w:tcW w:w="1187" w:type="dxa"/>
            <w:noWrap/>
            <w:hideMark/>
          </w:tcPr>
          <w:p w:rsidRPr="00E739DA" w:rsidR="000C1980" w:rsidP="00E739DA" w:rsidRDefault="000C1980" w14:paraId="220CB192" w14:textId="77777777">
            <w:pPr>
              <w:jc w:val="right"/>
              <w:rPr>
                <w:rFonts w:eastAsia="Times New Roman" w:cs="Calibri"/>
                <w:color w:val="000000"/>
                <w:sz w:val="18"/>
                <w:szCs w:val="18"/>
              </w:rPr>
            </w:pPr>
            <w:r w:rsidRPr="00E739DA">
              <w:rPr>
                <w:rFonts w:eastAsia="Times New Roman" w:cs="Calibri"/>
                <w:color w:val="000000"/>
                <w:sz w:val="18"/>
                <w:szCs w:val="18"/>
              </w:rPr>
              <w:t>$640,368</w:t>
            </w:r>
          </w:p>
        </w:tc>
        <w:tc>
          <w:tcPr>
            <w:tcW w:w="1256" w:type="dxa"/>
            <w:noWrap/>
            <w:hideMark/>
          </w:tcPr>
          <w:p w:rsidRPr="00E739DA" w:rsidR="000C1980" w:rsidP="00E739DA" w:rsidRDefault="000C1980" w14:paraId="5C04E410"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$3,802,878 </w:t>
            </w:r>
          </w:p>
        </w:tc>
      </w:tr>
      <w:tr w:rsidRPr="00E739DA" w:rsidR="000C1980" w:rsidTr="00E739DA" w14:paraId="02ED029E" w14:textId="77777777">
        <w:trPr>
          <w:trHeight w:val="247"/>
        </w:trPr>
        <w:tc>
          <w:tcPr>
            <w:tcW w:w="1427" w:type="dxa"/>
            <w:noWrap/>
            <w:hideMark/>
          </w:tcPr>
          <w:p w:rsidRPr="00E739DA" w:rsidR="000C1980" w:rsidP="00E739DA" w:rsidRDefault="000C1980" w14:paraId="2AFE21CC" w14:textId="77777777">
            <w:pPr>
              <w:rPr>
                <w:rFonts w:eastAsia="Times New Roman" w:cs="Calibri"/>
                <w:color w:val="000000"/>
                <w:sz w:val="18"/>
                <w:szCs w:val="18"/>
              </w:rPr>
            </w:pPr>
            <w:r w:rsidRPr="00E739DA">
              <w:rPr>
                <w:rFonts w:eastAsia="Times New Roman" w:cs="Calibri"/>
                <w:color w:val="000000"/>
                <w:sz w:val="18"/>
                <w:szCs w:val="18"/>
              </w:rPr>
              <w:t>Total</w:t>
            </w:r>
          </w:p>
        </w:tc>
        <w:tc>
          <w:tcPr>
            <w:tcW w:w="1187" w:type="dxa"/>
            <w:noWrap/>
            <w:hideMark/>
          </w:tcPr>
          <w:p w:rsidRPr="00E739DA" w:rsidR="000C1980" w:rsidP="00E739DA" w:rsidRDefault="000C1980" w14:paraId="72636A12"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$3,716,724 </w:t>
            </w:r>
          </w:p>
        </w:tc>
        <w:tc>
          <w:tcPr>
            <w:tcW w:w="1187" w:type="dxa"/>
            <w:noWrap/>
            <w:hideMark/>
          </w:tcPr>
          <w:p w:rsidRPr="00E739DA" w:rsidR="000C1980" w:rsidP="00E739DA" w:rsidRDefault="000C1980" w14:paraId="6AE92202"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$4,193,245 </w:t>
            </w:r>
          </w:p>
        </w:tc>
        <w:tc>
          <w:tcPr>
            <w:tcW w:w="1187" w:type="dxa"/>
            <w:noWrap/>
            <w:hideMark/>
          </w:tcPr>
          <w:p w:rsidRPr="00E739DA" w:rsidR="000C1980" w:rsidP="00E739DA" w:rsidRDefault="000C1980" w14:paraId="0CCA8F1B"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$4,218,558 </w:t>
            </w:r>
          </w:p>
        </w:tc>
        <w:tc>
          <w:tcPr>
            <w:tcW w:w="1187" w:type="dxa"/>
            <w:noWrap/>
            <w:hideMark/>
          </w:tcPr>
          <w:p w:rsidRPr="00E739DA" w:rsidR="000C1980" w:rsidP="00E739DA" w:rsidRDefault="000C1980" w14:paraId="51E0B355"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$4,381,059 </w:t>
            </w:r>
          </w:p>
        </w:tc>
        <w:tc>
          <w:tcPr>
            <w:tcW w:w="1187" w:type="dxa"/>
            <w:noWrap/>
            <w:hideMark/>
          </w:tcPr>
          <w:p w:rsidRPr="00E739DA" w:rsidR="000C1980" w:rsidP="00E739DA" w:rsidRDefault="000C1980" w14:paraId="344CAA62"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$4,536,244 </w:t>
            </w:r>
          </w:p>
        </w:tc>
        <w:tc>
          <w:tcPr>
            <w:tcW w:w="1187" w:type="dxa"/>
            <w:noWrap/>
            <w:hideMark/>
          </w:tcPr>
          <w:p w:rsidRPr="00E739DA" w:rsidR="000C1980" w:rsidP="00E739DA" w:rsidRDefault="000C1980" w14:paraId="7C3137A8"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$4,689,208 </w:t>
            </w:r>
          </w:p>
        </w:tc>
        <w:tc>
          <w:tcPr>
            <w:tcW w:w="1256" w:type="dxa"/>
            <w:noWrap/>
            <w:hideMark/>
          </w:tcPr>
          <w:p w:rsidRPr="00E739DA" w:rsidR="000C1980" w:rsidP="00E739DA" w:rsidRDefault="000C1980" w14:paraId="073121DE"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$25,735,038 </w:t>
            </w:r>
          </w:p>
        </w:tc>
      </w:tr>
      <w:tr w:rsidRPr="00E739DA" w:rsidR="000C1980" w:rsidTr="00E739DA" w14:paraId="1E2B3A4C" w14:textId="77777777">
        <w:trPr>
          <w:trHeight w:val="247"/>
        </w:trPr>
        <w:tc>
          <w:tcPr>
            <w:tcW w:w="1427" w:type="dxa"/>
            <w:noWrap/>
            <w:hideMark/>
          </w:tcPr>
          <w:p w:rsidRPr="00E739DA" w:rsidR="000C1980" w:rsidP="00E739DA" w:rsidRDefault="000C1980" w14:paraId="598A0704" w14:textId="77777777">
            <w:pPr>
              <w:ind w:left="360"/>
              <w:jc w:val="right"/>
              <w:rPr>
                <w:rFonts w:eastAsia="Times New Roman" w:cs="Calibri"/>
                <w:color w:val="000000"/>
                <w:sz w:val="18"/>
                <w:szCs w:val="18"/>
              </w:rPr>
            </w:pPr>
          </w:p>
        </w:tc>
        <w:tc>
          <w:tcPr>
            <w:tcW w:w="1187" w:type="dxa"/>
            <w:noWrap/>
            <w:hideMark/>
          </w:tcPr>
          <w:p w:rsidRPr="00E739DA" w:rsidR="000C1980" w:rsidP="00E739DA" w:rsidRDefault="000C1980" w14:paraId="1F3C1753" w14:textId="77777777">
            <w:pPr>
              <w:ind w:left="360"/>
              <w:jc w:val="right"/>
              <w:rPr>
                <w:rFonts w:eastAsia="Times New Roman"/>
                <w:sz w:val="18"/>
                <w:szCs w:val="18"/>
              </w:rPr>
            </w:pPr>
          </w:p>
        </w:tc>
        <w:tc>
          <w:tcPr>
            <w:tcW w:w="1187" w:type="dxa"/>
            <w:noWrap/>
            <w:hideMark/>
          </w:tcPr>
          <w:p w:rsidRPr="00E739DA" w:rsidR="000C1980" w:rsidP="00E739DA" w:rsidRDefault="000C1980" w14:paraId="5F5780B9" w14:textId="77777777">
            <w:pPr>
              <w:ind w:left="360"/>
              <w:jc w:val="right"/>
              <w:rPr>
                <w:rFonts w:eastAsia="Times New Roman"/>
                <w:sz w:val="18"/>
                <w:szCs w:val="18"/>
              </w:rPr>
            </w:pPr>
          </w:p>
        </w:tc>
        <w:tc>
          <w:tcPr>
            <w:tcW w:w="1187" w:type="dxa"/>
            <w:noWrap/>
            <w:hideMark/>
          </w:tcPr>
          <w:p w:rsidRPr="00E739DA" w:rsidR="000C1980" w:rsidP="00E739DA" w:rsidRDefault="000C1980" w14:paraId="3AF2348A" w14:textId="77777777">
            <w:pPr>
              <w:ind w:left="360"/>
              <w:jc w:val="right"/>
              <w:rPr>
                <w:rFonts w:eastAsia="Times New Roman"/>
                <w:sz w:val="18"/>
                <w:szCs w:val="18"/>
              </w:rPr>
            </w:pPr>
          </w:p>
        </w:tc>
        <w:tc>
          <w:tcPr>
            <w:tcW w:w="1187" w:type="dxa"/>
            <w:noWrap/>
            <w:hideMark/>
          </w:tcPr>
          <w:p w:rsidRPr="00E739DA" w:rsidR="000C1980" w:rsidP="00E739DA" w:rsidRDefault="000C1980" w14:paraId="78D66B38" w14:textId="77777777">
            <w:pPr>
              <w:ind w:left="360"/>
              <w:jc w:val="right"/>
              <w:rPr>
                <w:rFonts w:eastAsia="Times New Roman"/>
                <w:sz w:val="18"/>
                <w:szCs w:val="18"/>
              </w:rPr>
            </w:pPr>
          </w:p>
        </w:tc>
        <w:tc>
          <w:tcPr>
            <w:tcW w:w="1187" w:type="dxa"/>
            <w:noWrap/>
            <w:hideMark/>
          </w:tcPr>
          <w:p w:rsidRPr="00E739DA" w:rsidR="000C1980" w:rsidP="00E739DA" w:rsidRDefault="000C1980" w14:paraId="54DC426C" w14:textId="77777777">
            <w:pPr>
              <w:ind w:left="360"/>
              <w:jc w:val="right"/>
              <w:rPr>
                <w:rFonts w:eastAsia="Times New Roman"/>
                <w:sz w:val="18"/>
                <w:szCs w:val="18"/>
              </w:rPr>
            </w:pPr>
          </w:p>
        </w:tc>
        <w:tc>
          <w:tcPr>
            <w:tcW w:w="1187" w:type="dxa"/>
            <w:noWrap/>
            <w:hideMark/>
          </w:tcPr>
          <w:p w:rsidRPr="00E739DA" w:rsidR="000C1980" w:rsidP="00E739DA" w:rsidRDefault="000C1980" w14:paraId="20ED0579" w14:textId="77777777">
            <w:pPr>
              <w:ind w:left="360"/>
              <w:jc w:val="right"/>
              <w:rPr>
                <w:rFonts w:eastAsia="Times New Roman"/>
                <w:sz w:val="18"/>
                <w:szCs w:val="18"/>
              </w:rPr>
            </w:pPr>
          </w:p>
        </w:tc>
        <w:tc>
          <w:tcPr>
            <w:tcW w:w="1256" w:type="dxa"/>
            <w:noWrap/>
            <w:hideMark/>
          </w:tcPr>
          <w:p w:rsidRPr="00E739DA" w:rsidR="000C1980" w:rsidP="00E739DA" w:rsidRDefault="000C1980" w14:paraId="3FF7BD70" w14:textId="77777777">
            <w:pPr>
              <w:ind w:left="360"/>
              <w:jc w:val="right"/>
              <w:rPr>
                <w:rFonts w:eastAsia="Times New Roman"/>
                <w:sz w:val="18"/>
                <w:szCs w:val="18"/>
              </w:rPr>
            </w:pPr>
          </w:p>
        </w:tc>
      </w:tr>
      <w:tr w:rsidRPr="00E739DA" w:rsidR="000C1980" w:rsidTr="00E739DA" w14:paraId="5DBC1EAD" w14:textId="77777777">
        <w:trPr>
          <w:trHeight w:val="247"/>
        </w:trPr>
        <w:tc>
          <w:tcPr>
            <w:tcW w:w="1427" w:type="dxa"/>
            <w:vMerge w:val="restart"/>
            <w:noWrap/>
            <w:hideMark/>
          </w:tcPr>
          <w:p w:rsidRPr="00E739DA" w:rsidR="000C1980" w:rsidP="001968DC" w:rsidRDefault="000C1980" w14:paraId="7B682975" w14:textId="77777777">
            <w:pPr>
              <w:ind w:left="360"/>
              <w:jc w:val="center"/>
              <w:rPr>
                <w:rFonts w:eastAsia="Times New Roman" w:cs="Calibri"/>
                <w:color w:val="000000"/>
                <w:sz w:val="18"/>
                <w:szCs w:val="18"/>
              </w:rPr>
            </w:pPr>
            <w:r w:rsidRPr="00E739DA">
              <w:rPr>
                <w:rFonts w:eastAsia="Times New Roman" w:cs="Calibri"/>
                <w:color w:val="000000"/>
                <w:sz w:val="18"/>
                <w:szCs w:val="18"/>
              </w:rPr>
              <w:t>IOU</w:t>
            </w:r>
          </w:p>
        </w:tc>
        <w:tc>
          <w:tcPr>
            <w:tcW w:w="8378" w:type="dxa"/>
            <w:gridSpan w:val="7"/>
            <w:noWrap/>
            <w:hideMark/>
          </w:tcPr>
          <w:p w:rsidRPr="00E739DA" w:rsidR="000C1980" w:rsidP="001968DC" w:rsidRDefault="00B24A0E" w14:paraId="660B6204" w14:textId="5BB84200">
            <w:pPr>
              <w:ind w:left="360"/>
              <w:jc w:val="center"/>
              <w:rPr>
                <w:rFonts w:eastAsia="Times New Roman" w:cs="Calibri"/>
                <w:b/>
                <w:color w:val="000000"/>
                <w:sz w:val="18"/>
                <w:szCs w:val="18"/>
              </w:rPr>
            </w:pPr>
            <w:r w:rsidRPr="00E739DA">
              <w:rPr>
                <w:rFonts w:eastAsia="Times New Roman" w:cs="Calibri"/>
                <w:b/>
                <w:bCs/>
                <w:color w:val="000000"/>
                <w:sz w:val="18"/>
                <w:szCs w:val="18"/>
              </w:rPr>
              <w:t xml:space="preserve">Approved </w:t>
            </w:r>
            <w:r w:rsidRPr="00E739DA" w:rsidR="000C1980">
              <w:rPr>
                <w:rFonts w:eastAsia="Times New Roman" w:cs="Calibri"/>
                <w:b/>
                <w:color w:val="000000"/>
                <w:sz w:val="18"/>
                <w:szCs w:val="18"/>
              </w:rPr>
              <w:t>FERA Subsidies</w:t>
            </w:r>
          </w:p>
        </w:tc>
      </w:tr>
      <w:tr w:rsidRPr="00E739DA" w:rsidR="000C1980" w:rsidTr="00E739DA" w14:paraId="45C6127C" w14:textId="77777777">
        <w:trPr>
          <w:trHeight w:val="247"/>
        </w:trPr>
        <w:tc>
          <w:tcPr>
            <w:tcW w:w="1427" w:type="dxa"/>
            <w:vMerge/>
            <w:hideMark/>
          </w:tcPr>
          <w:p w:rsidRPr="00E739DA" w:rsidR="000C1980" w:rsidP="001968DC" w:rsidRDefault="000C1980" w14:paraId="14F1A9EB" w14:textId="77777777">
            <w:pPr>
              <w:ind w:left="360"/>
              <w:rPr>
                <w:rFonts w:eastAsia="Times New Roman" w:cs="Calibri"/>
                <w:color w:val="000000"/>
                <w:sz w:val="18"/>
                <w:szCs w:val="18"/>
              </w:rPr>
            </w:pPr>
          </w:p>
        </w:tc>
        <w:tc>
          <w:tcPr>
            <w:tcW w:w="1187" w:type="dxa"/>
            <w:noWrap/>
            <w:hideMark/>
          </w:tcPr>
          <w:p w:rsidRPr="00E739DA" w:rsidR="000C1980" w:rsidP="001968DC" w:rsidRDefault="000C1980" w14:paraId="16105266"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2021</w:t>
            </w:r>
          </w:p>
        </w:tc>
        <w:tc>
          <w:tcPr>
            <w:tcW w:w="1187" w:type="dxa"/>
            <w:noWrap/>
            <w:hideMark/>
          </w:tcPr>
          <w:p w:rsidRPr="00E739DA" w:rsidR="000C1980" w:rsidP="001968DC" w:rsidRDefault="000C1980" w14:paraId="0B35C51C"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2022</w:t>
            </w:r>
          </w:p>
        </w:tc>
        <w:tc>
          <w:tcPr>
            <w:tcW w:w="1187" w:type="dxa"/>
            <w:noWrap/>
            <w:hideMark/>
          </w:tcPr>
          <w:p w:rsidRPr="00E739DA" w:rsidR="000C1980" w:rsidP="001968DC" w:rsidRDefault="000C1980" w14:paraId="28D78389"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2023</w:t>
            </w:r>
          </w:p>
        </w:tc>
        <w:tc>
          <w:tcPr>
            <w:tcW w:w="1187" w:type="dxa"/>
            <w:noWrap/>
            <w:hideMark/>
          </w:tcPr>
          <w:p w:rsidRPr="00E739DA" w:rsidR="000C1980" w:rsidP="001968DC" w:rsidRDefault="000C1980" w14:paraId="6EDDF9BB"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2024</w:t>
            </w:r>
          </w:p>
        </w:tc>
        <w:tc>
          <w:tcPr>
            <w:tcW w:w="1187" w:type="dxa"/>
            <w:noWrap/>
            <w:hideMark/>
          </w:tcPr>
          <w:p w:rsidRPr="00E739DA" w:rsidR="000C1980" w:rsidP="001968DC" w:rsidRDefault="000C1980" w14:paraId="54C26867"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2025</w:t>
            </w:r>
          </w:p>
        </w:tc>
        <w:tc>
          <w:tcPr>
            <w:tcW w:w="1187" w:type="dxa"/>
            <w:noWrap/>
            <w:hideMark/>
          </w:tcPr>
          <w:p w:rsidRPr="00E739DA" w:rsidR="000C1980" w:rsidP="001968DC" w:rsidRDefault="000C1980" w14:paraId="412C1FCB" w14:textId="77777777">
            <w:pPr>
              <w:ind w:left="360"/>
              <w:jc w:val="right"/>
              <w:rPr>
                <w:rFonts w:eastAsia="Times New Roman" w:cs="Calibri"/>
                <w:b/>
                <w:color w:val="000000"/>
                <w:sz w:val="18"/>
                <w:szCs w:val="18"/>
              </w:rPr>
            </w:pPr>
            <w:r w:rsidRPr="00E739DA">
              <w:rPr>
                <w:rFonts w:eastAsia="Times New Roman" w:cs="Calibri"/>
                <w:b/>
                <w:color w:val="000000"/>
                <w:sz w:val="18"/>
                <w:szCs w:val="18"/>
              </w:rPr>
              <w:t>2026</w:t>
            </w:r>
          </w:p>
        </w:tc>
        <w:tc>
          <w:tcPr>
            <w:tcW w:w="1256" w:type="dxa"/>
            <w:noWrap/>
            <w:hideMark/>
          </w:tcPr>
          <w:p w:rsidRPr="00E739DA" w:rsidR="000C1980" w:rsidP="001968DC" w:rsidRDefault="000C1980" w14:paraId="54CC898F" w14:textId="77777777">
            <w:pPr>
              <w:ind w:left="360"/>
              <w:rPr>
                <w:rFonts w:eastAsia="Times New Roman" w:cs="Calibri"/>
                <w:b/>
                <w:color w:val="000000"/>
                <w:sz w:val="18"/>
                <w:szCs w:val="18"/>
              </w:rPr>
            </w:pPr>
            <w:r w:rsidRPr="00E739DA">
              <w:rPr>
                <w:rFonts w:eastAsia="Times New Roman" w:cs="Calibri"/>
                <w:b/>
                <w:color w:val="000000"/>
                <w:sz w:val="18"/>
                <w:szCs w:val="18"/>
              </w:rPr>
              <w:t>Total</w:t>
            </w:r>
          </w:p>
        </w:tc>
      </w:tr>
      <w:tr w:rsidRPr="00E739DA" w:rsidR="000C1980" w:rsidTr="00E739DA" w14:paraId="1AD93771" w14:textId="77777777">
        <w:trPr>
          <w:trHeight w:val="247"/>
        </w:trPr>
        <w:tc>
          <w:tcPr>
            <w:tcW w:w="1427" w:type="dxa"/>
            <w:noWrap/>
            <w:hideMark/>
          </w:tcPr>
          <w:p w:rsidRPr="00E739DA" w:rsidR="000C1980" w:rsidP="00E739DA" w:rsidRDefault="000C1980" w14:paraId="5ABFE939" w14:textId="77777777">
            <w:pPr>
              <w:rPr>
                <w:rFonts w:eastAsia="Times New Roman" w:cs="Calibri"/>
                <w:color w:val="000000"/>
                <w:sz w:val="18"/>
                <w:szCs w:val="18"/>
              </w:rPr>
            </w:pPr>
            <w:r w:rsidRPr="00E739DA">
              <w:rPr>
                <w:rFonts w:eastAsia="Times New Roman" w:cs="Calibri"/>
                <w:color w:val="000000"/>
                <w:sz w:val="18"/>
                <w:szCs w:val="18"/>
              </w:rPr>
              <w:t>SCE</w:t>
            </w:r>
          </w:p>
        </w:tc>
        <w:tc>
          <w:tcPr>
            <w:tcW w:w="1187" w:type="dxa"/>
            <w:noWrap/>
            <w:hideMark/>
          </w:tcPr>
          <w:p w:rsidRPr="00E739DA" w:rsidR="000C1980" w:rsidP="00E739DA" w:rsidRDefault="000C1980" w14:paraId="0F63292B"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$21,014,914</w:t>
            </w:r>
          </w:p>
        </w:tc>
        <w:tc>
          <w:tcPr>
            <w:tcW w:w="1187" w:type="dxa"/>
            <w:noWrap/>
            <w:hideMark/>
          </w:tcPr>
          <w:p w:rsidRPr="00E739DA" w:rsidR="000C1980" w:rsidP="00E739DA" w:rsidRDefault="000C1980" w14:paraId="6A2F1AF4"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$28,746,536</w:t>
            </w:r>
          </w:p>
        </w:tc>
        <w:tc>
          <w:tcPr>
            <w:tcW w:w="1187" w:type="dxa"/>
            <w:noWrap/>
            <w:hideMark/>
          </w:tcPr>
          <w:p w:rsidRPr="00E739DA" w:rsidR="000C1980" w:rsidP="00E739DA" w:rsidRDefault="000C1980" w14:paraId="2C29F5A8"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$37,353,692</w:t>
            </w:r>
          </w:p>
        </w:tc>
        <w:tc>
          <w:tcPr>
            <w:tcW w:w="1187" w:type="dxa"/>
            <w:noWrap/>
            <w:hideMark/>
          </w:tcPr>
          <w:p w:rsidRPr="00E739DA" w:rsidR="000C1980" w:rsidP="00E739DA" w:rsidRDefault="000C1980" w14:paraId="60C200E6"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$46,164,249</w:t>
            </w:r>
          </w:p>
        </w:tc>
        <w:tc>
          <w:tcPr>
            <w:tcW w:w="1187" w:type="dxa"/>
            <w:noWrap/>
            <w:hideMark/>
          </w:tcPr>
          <w:p w:rsidRPr="00E739DA" w:rsidR="000C1980" w:rsidP="00E739DA" w:rsidRDefault="000C1980" w14:paraId="0DA973B7"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$51,506,652</w:t>
            </w:r>
          </w:p>
        </w:tc>
        <w:tc>
          <w:tcPr>
            <w:tcW w:w="1187" w:type="dxa"/>
            <w:noWrap/>
            <w:hideMark/>
          </w:tcPr>
          <w:p w:rsidRPr="00E739DA" w:rsidR="000C1980" w:rsidP="00E739DA" w:rsidRDefault="000C1980" w14:paraId="38C8E622"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$57,127,419</w:t>
            </w:r>
          </w:p>
        </w:tc>
        <w:tc>
          <w:tcPr>
            <w:tcW w:w="1256" w:type="dxa"/>
            <w:noWrap/>
            <w:hideMark/>
          </w:tcPr>
          <w:p w:rsidRPr="00E739DA" w:rsidR="000C1980" w:rsidP="00E739DA" w:rsidRDefault="000C1980" w14:paraId="0E31781A"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$241,913,462 </w:t>
            </w:r>
          </w:p>
        </w:tc>
      </w:tr>
      <w:tr w:rsidRPr="00E739DA" w:rsidR="000C1980" w:rsidTr="00E739DA" w14:paraId="460DD545" w14:textId="77777777">
        <w:trPr>
          <w:trHeight w:val="247"/>
        </w:trPr>
        <w:tc>
          <w:tcPr>
            <w:tcW w:w="1427" w:type="dxa"/>
            <w:noWrap/>
            <w:hideMark/>
          </w:tcPr>
          <w:p w:rsidRPr="00E739DA" w:rsidR="000C1980" w:rsidP="00E739DA" w:rsidRDefault="000C1980" w14:paraId="1A30B428" w14:textId="77777777">
            <w:pPr>
              <w:rPr>
                <w:rFonts w:eastAsia="Times New Roman" w:cs="Calibri"/>
                <w:color w:val="000000"/>
                <w:sz w:val="18"/>
                <w:szCs w:val="18"/>
              </w:rPr>
            </w:pPr>
            <w:r w:rsidRPr="00E739DA">
              <w:rPr>
                <w:rFonts w:eastAsia="Times New Roman" w:cs="Calibri"/>
                <w:color w:val="000000"/>
                <w:sz w:val="18"/>
                <w:szCs w:val="18"/>
              </w:rPr>
              <w:t>PG&amp;E</w:t>
            </w:r>
          </w:p>
        </w:tc>
        <w:tc>
          <w:tcPr>
            <w:tcW w:w="1187" w:type="dxa"/>
            <w:noWrap/>
            <w:hideMark/>
          </w:tcPr>
          <w:p w:rsidRPr="00E739DA" w:rsidR="000C1980" w:rsidP="00E739DA" w:rsidRDefault="000C1980" w14:paraId="597C2EA8"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$10,353,000</w:t>
            </w:r>
          </w:p>
        </w:tc>
        <w:tc>
          <w:tcPr>
            <w:tcW w:w="1187" w:type="dxa"/>
            <w:noWrap/>
            <w:hideMark/>
          </w:tcPr>
          <w:p w:rsidRPr="00E739DA" w:rsidR="000C1980" w:rsidP="00E739DA" w:rsidRDefault="000C1980" w14:paraId="0C16D1DB"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$12,898,000</w:t>
            </w:r>
          </w:p>
        </w:tc>
        <w:tc>
          <w:tcPr>
            <w:tcW w:w="1187" w:type="dxa"/>
            <w:noWrap/>
            <w:hideMark/>
          </w:tcPr>
          <w:p w:rsidRPr="00E739DA" w:rsidR="000C1980" w:rsidP="00E739DA" w:rsidRDefault="000C1980" w14:paraId="627D6478"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$15,727,000</w:t>
            </w:r>
          </w:p>
        </w:tc>
        <w:tc>
          <w:tcPr>
            <w:tcW w:w="1187" w:type="dxa"/>
            <w:noWrap/>
            <w:hideMark/>
          </w:tcPr>
          <w:p w:rsidRPr="00E739DA" w:rsidR="000C1980" w:rsidP="00E739DA" w:rsidRDefault="000C1980" w14:paraId="7F844C59"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$18,273,000</w:t>
            </w:r>
          </w:p>
        </w:tc>
        <w:tc>
          <w:tcPr>
            <w:tcW w:w="1187" w:type="dxa"/>
            <w:noWrap/>
            <w:hideMark/>
          </w:tcPr>
          <w:p w:rsidRPr="00E739DA" w:rsidR="000C1980" w:rsidP="00E739DA" w:rsidRDefault="000C1980" w14:paraId="1171DCBC"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$20,819,000</w:t>
            </w:r>
          </w:p>
        </w:tc>
        <w:tc>
          <w:tcPr>
            <w:tcW w:w="1187" w:type="dxa"/>
            <w:noWrap/>
            <w:hideMark/>
          </w:tcPr>
          <w:p w:rsidRPr="00E739DA" w:rsidR="000C1980" w:rsidP="00E739DA" w:rsidRDefault="000C1980" w14:paraId="582DC913"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$23,364,000</w:t>
            </w:r>
          </w:p>
        </w:tc>
        <w:tc>
          <w:tcPr>
            <w:tcW w:w="1256" w:type="dxa"/>
            <w:noWrap/>
            <w:hideMark/>
          </w:tcPr>
          <w:p w:rsidRPr="00E739DA" w:rsidR="000C1980" w:rsidP="00E739DA" w:rsidRDefault="000C1980" w14:paraId="6F87C141"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$101,434,000 </w:t>
            </w:r>
          </w:p>
        </w:tc>
      </w:tr>
      <w:tr w:rsidRPr="00E739DA" w:rsidR="000C1980" w:rsidTr="00E739DA" w14:paraId="645D0F58" w14:textId="77777777">
        <w:trPr>
          <w:trHeight w:val="247"/>
        </w:trPr>
        <w:tc>
          <w:tcPr>
            <w:tcW w:w="1427" w:type="dxa"/>
            <w:noWrap/>
            <w:hideMark/>
          </w:tcPr>
          <w:p w:rsidRPr="00E739DA" w:rsidR="000C1980" w:rsidP="00E739DA" w:rsidRDefault="000C1980" w14:paraId="1BBB9F3F" w14:textId="77777777">
            <w:pPr>
              <w:rPr>
                <w:rFonts w:eastAsia="Times New Roman" w:cs="Calibri"/>
                <w:color w:val="000000"/>
                <w:sz w:val="18"/>
                <w:szCs w:val="18"/>
              </w:rPr>
            </w:pPr>
            <w:r w:rsidRPr="00E739DA">
              <w:rPr>
                <w:rFonts w:eastAsia="Times New Roman" w:cs="Calibri"/>
                <w:color w:val="000000"/>
                <w:sz w:val="18"/>
                <w:szCs w:val="18"/>
              </w:rPr>
              <w:t>SDG&amp;E</w:t>
            </w:r>
          </w:p>
        </w:tc>
        <w:tc>
          <w:tcPr>
            <w:tcW w:w="1187" w:type="dxa"/>
            <w:noWrap/>
            <w:hideMark/>
          </w:tcPr>
          <w:p w:rsidRPr="00E739DA" w:rsidR="000C1980" w:rsidP="00E739DA" w:rsidRDefault="000C1980" w14:paraId="07D8EBF0"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$2,989,008</w:t>
            </w:r>
          </w:p>
        </w:tc>
        <w:tc>
          <w:tcPr>
            <w:tcW w:w="1187" w:type="dxa"/>
            <w:noWrap/>
            <w:hideMark/>
          </w:tcPr>
          <w:p w:rsidRPr="00E739DA" w:rsidR="000C1980" w:rsidP="00E739DA" w:rsidRDefault="000C1980" w14:paraId="27E00492"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$3,431,175</w:t>
            </w:r>
          </w:p>
        </w:tc>
        <w:tc>
          <w:tcPr>
            <w:tcW w:w="1187" w:type="dxa"/>
            <w:noWrap/>
            <w:hideMark/>
          </w:tcPr>
          <w:p w:rsidRPr="00E739DA" w:rsidR="000C1980" w:rsidP="00E739DA" w:rsidRDefault="000C1980" w14:paraId="581C1939"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$3,881,387</w:t>
            </w:r>
          </w:p>
        </w:tc>
        <w:tc>
          <w:tcPr>
            <w:tcW w:w="1187" w:type="dxa"/>
            <w:noWrap/>
            <w:hideMark/>
          </w:tcPr>
          <w:p w:rsidRPr="00E739DA" w:rsidR="000C1980" w:rsidP="00E739DA" w:rsidRDefault="000C1980" w14:paraId="490084C9"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$4,444,713</w:t>
            </w:r>
          </w:p>
        </w:tc>
        <w:tc>
          <w:tcPr>
            <w:tcW w:w="1187" w:type="dxa"/>
            <w:noWrap/>
            <w:hideMark/>
          </w:tcPr>
          <w:p w:rsidRPr="00E739DA" w:rsidR="000C1980" w:rsidP="00E739DA" w:rsidRDefault="000C1980" w14:paraId="33F2EE22"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$4,912,466</w:t>
            </w:r>
          </w:p>
        </w:tc>
        <w:tc>
          <w:tcPr>
            <w:tcW w:w="1187" w:type="dxa"/>
            <w:noWrap/>
            <w:hideMark/>
          </w:tcPr>
          <w:p w:rsidRPr="00E739DA" w:rsidR="000C1980" w:rsidP="00E739DA" w:rsidRDefault="000C1980" w14:paraId="09A66366" w14:textId="77777777">
            <w:pPr>
              <w:jc w:val="right"/>
              <w:rPr>
                <w:rFonts w:eastAsia="Times New Roman" w:cs="Calibri"/>
                <w:color w:val="000000" w:themeColor="text1"/>
                <w:sz w:val="18"/>
                <w:szCs w:val="18"/>
              </w:rPr>
            </w:pPr>
            <w:r w:rsidRPr="00E739DA">
              <w:rPr>
                <w:rFonts w:eastAsia="Times New Roman" w:cs="Calibri"/>
                <w:color w:val="000000" w:themeColor="text1"/>
                <w:sz w:val="18"/>
                <w:szCs w:val="18"/>
              </w:rPr>
              <w:t>$5,388,762</w:t>
            </w:r>
          </w:p>
        </w:tc>
        <w:tc>
          <w:tcPr>
            <w:tcW w:w="1256" w:type="dxa"/>
            <w:noWrap/>
            <w:hideMark/>
          </w:tcPr>
          <w:p w:rsidRPr="00E739DA" w:rsidR="000C1980" w:rsidP="00E739DA" w:rsidRDefault="000C1980" w14:paraId="4F3FF9C0"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$25,047,511 </w:t>
            </w:r>
          </w:p>
        </w:tc>
      </w:tr>
      <w:tr w:rsidRPr="00E739DA" w:rsidR="000C1980" w:rsidTr="00E739DA" w14:paraId="1873E0DF" w14:textId="77777777">
        <w:trPr>
          <w:trHeight w:val="247"/>
        </w:trPr>
        <w:tc>
          <w:tcPr>
            <w:tcW w:w="1427" w:type="dxa"/>
            <w:noWrap/>
            <w:hideMark/>
          </w:tcPr>
          <w:p w:rsidRPr="00E739DA" w:rsidR="000C1980" w:rsidP="00E739DA" w:rsidRDefault="000C1980" w14:paraId="61227F94" w14:textId="77777777">
            <w:pPr>
              <w:rPr>
                <w:rFonts w:eastAsia="Times New Roman" w:cs="Calibri"/>
                <w:color w:val="000000"/>
                <w:sz w:val="18"/>
                <w:szCs w:val="18"/>
              </w:rPr>
            </w:pPr>
            <w:r w:rsidRPr="00E739DA">
              <w:rPr>
                <w:rFonts w:eastAsia="Times New Roman" w:cs="Calibri"/>
                <w:color w:val="000000"/>
                <w:sz w:val="18"/>
                <w:szCs w:val="18"/>
              </w:rPr>
              <w:t>Total</w:t>
            </w:r>
          </w:p>
        </w:tc>
        <w:tc>
          <w:tcPr>
            <w:tcW w:w="1187" w:type="dxa"/>
            <w:noWrap/>
            <w:hideMark/>
          </w:tcPr>
          <w:p w:rsidRPr="00E739DA" w:rsidR="000C1980" w:rsidP="00E739DA" w:rsidRDefault="000C1980" w14:paraId="03853E17"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$34,356,922 </w:t>
            </w:r>
          </w:p>
        </w:tc>
        <w:tc>
          <w:tcPr>
            <w:tcW w:w="1187" w:type="dxa"/>
            <w:noWrap/>
            <w:hideMark/>
          </w:tcPr>
          <w:p w:rsidRPr="00E739DA" w:rsidR="000C1980" w:rsidP="00E739DA" w:rsidRDefault="000C1980" w14:paraId="29ABAC5B"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$45,075,711 </w:t>
            </w:r>
          </w:p>
        </w:tc>
        <w:tc>
          <w:tcPr>
            <w:tcW w:w="1187" w:type="dxa"/>
            <w:noWrap/>
            <w:hideMark/>
          </w:tcPr>
          <w:p w:rsidRPr="00E739DA" w:rsidR="000C1980" w:rsidP="00E739DA" w:rsidRDefault="000C1980" w14:paraId="39FFFB25"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$56,962,079 </w:t>
            </w:r>
          </w:p>
        </w:tc>
        <w:tc>
          <w:tcPr>
            <w:tcW w:w="1187" w:type="dxa"/>
            <w:noWrap/>
            <w:hideMark/>
          </w:tcPr>
          <w:p w:rsidRPr="00E739DA" w:rsidR="000C1980" w:rsidP="00E739DA" w:rsidRDefault="000C1980" w14:paraId="2C529D59"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$68,881,962 </w:t>
            </w:r>
          </w:p>
        </w:tc>
        <w:tc>
          <w:tcPr>
            <w:tcW w:w="1187" w:type="dxa"/>
            <w:noWrap/>
            <w:hideMark/>
          </w:tcPr>
          <w:p w:rsidRPr="00E739DA" w:rsidR="000C1980" w:rsidP="00E739DA" w:rsidRDefault="000C1980" w14:paraId="786B302D"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$77,238,118 </w:t>
            </w:r>
          </w:p>
        </w:tc>
        <w:tc>
          <w:tcPr>
            <w:tcW w:w="1187" w:type="dxa"/>
            <w:noWrap/>
            <w:hideMark/>
          </w:tcPr>
          <w:p w:rsidRPr="00E739DA" w:rsidR="000C1980" w:rsidP="00E739DA" w:rsidRDefault="000C1980" w14:paraId="43242E2D"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$85,880,181 </w:t>
            </w:r>
          </w:p>
        </w:tc>
        <w:tc>
          <w:tcPr>
            <w:tcW w:w="1256" w:type="dxa"/>
            <w:noWrap/>
            <w:hideMark/>
          </w:tcPr>
          <w:p w:rsidRPr="00E739DA" w:rsidR="000C1980" w:rsidP="00E739DA" w:rsidRDefault="000C1980" w14:paraId="5E0C49B1" w14:textId="77777777">
            <w:pPr>
              <w:jc w:val="right"/>
              <w:rPr>
                <w:rFonts w:eastAsia="Times New Roman" w:cs="Calibri"/>
                <w:b/>
                <w:color w:val="000000" w:themeColor="text1"/>
                <w:sz w:val="18"/>
                <w:szCs w:val="18"/>
              </w:rPr>
            </w:pPr>
            <w:r w:rsidRPr="00E739DA">
              <w:rPr>
                <w:rFonts w:eastAsia="Times New Roman" w:cs="Calibri"/>
                <w:b/>
                <w:color w:val="000000" w:themeColor="text1"/>
                <w:sz w:val="18"/>
                <w:szCs w:val="18"/>
              </w:rPr>
              <w:t xml:space="preserve">$368,394,973 </w:t>
            </w:r>
          </w:p>
        </w:tc>
      </w:tr>
      <w:tr w:rsidRPr="00E739DA" w:rsidR="000C1980" w:rsidTr="00E739DA" w14:paraId="2A5E1028" w14:textId="77777777">
        <w:trPr>
          <w:trHeight w:val="247"/>
        </w:trPr>
        <w:tc>
          <w:tcPr>
            <w:tcW w:w="1427" w:type="dxa"/>
            <w:noWrap/>
            <w:hideMark/>
          </w:tcPr>
          <w:p w:rsidRPr="00E739DA" w:rsidR="000C1980" w:rsidP="001968DC" w:rsidRDefault="000C1980" w14:paraId="30868F1F" w14:textId="77777777">
            <w:pPr>
              <w:ind w:left="360"/>
              <w:jc w:val="right"/>
              <w:rPr>
                <w:rFonts w:eastAsia="Times New Roman" w:cs="Calibri"/>
                <w:color w:val="000000"/>
                <w:sz w:val="18"/>
                <w:szCs w:val="18"/>
              </w:rPr>
            </w:pPr>
          </w:p>
        </w:tc>
        <w:tc>
          <w:tcPr>
            <w:tcW w:w="1187" w:type="dxa"/>
            <w:noWrap/>
            <w:hideMark/>
          </w:tcPr>
          <w:p w:rsidRPr="00E739DA" w:rsidR="000C1980" w:rsidP="001968DC" w:rsidRDefault="000C1980" w14:paraId="352D765F" w14:textId="77777777">
            <w:pPr>
              <w:ind w:left="360"/>
              <w:rPr>
                <w:rFonts w:eastAsia="Times New Roman"/>
                <w:sz w:val="18"/>
                <w:szCs w:val="18"/>
              </w:rPr>
            </w:pPr>
          </w:p>
        </w:tc>
        <w:tc>
          <w:tcPr>
            <w:tcW w:w="1187" w:type="dxa"/>
            <w:noWrap/>
            <w:hideMark/>
          </w:tcPr>
          <w:p w:rsidRPr="00E739DA" w:rsidR="000C1980" w:rsidP="001968DC" w:rsidRDefault="000C1980" w14:paraId="2C22F9BF" w14:textId="77777777">
            <w:pPr>
              <w:ind w:left="360"/>
              <w:rPr>
                <w:rFonts w:eastAsia="Times New Roman"/>
                <w:sz w:val="18"/>
                <w:szCs w:val="18"/>
              </w:rPr>
            </w:pPr>
          </w:p>
        </w:tc>
        <w:tc>
          <w:tcPr>
            <w:tcW w:w="1187" w:type="dxa"/>
            <w:noWrap/>
            <w:hideMark/>
          </w:tcPr>
          <w:p w:rsidRPr="00E739DA" w:rsidR="000C1980" w:rsidP="001968DC" w:rsidRDefault="000C1980" w14:paraId="54D3E90E" w14:textId="77777777">
            <w:pPr>
              <w:ind w:left="360"/>
              <w:rPr>
                <w:rFonts w:eastAsia="Times New Roman"/>
                <w:sz w:val="18"/>
                <w:szCs w:val="18"/>
              </w:rPr>
            </w:pPr>
          </w:p>
        </w:tc>
        <w:tc>
          <w:tcPr>
            <w:tcW w:w="1187" w:type="dxa"/>
            <w:noWrap/>
            <w:hideMark/>
          </w:tcPr>
          <w:p w:rsidRPr="00E739DA" w:rsidR="000C1980" w:rsidP="001968DC" w:rsidRDefault="000C1980" w14:paraId="60A0A1AA" w14:textId="77777777">
            <w:pPr>
              <w:ind w:left="360"/>
              <w:rPr>
                <w:rFonts w:eastAsia="Times New Roman"/>
                <w:sz w:val="18"/>
                <w:szCs w:val="18"/>
              </w:rPr>
            </w:pPr>
          </w:p>
        </w:tc>
        <w:tc>
          <w:tcPr>
            <w:tcW w:w="1187" w:type="dxa"/>
            <w:noWrap/>
            <w:hideMark/>
          </w:tcPr>
          <w:p w:rsidRPr="00E739DA" w:rsidR="000C1980" w:rsidP="001968DC" w:rsidRDefault="000C1980" w14:paraId="0D66DFF6" w14:textId="77777777">
            <w:pPr>
              <w:ind w:left="360"/>
              <w:rPr>
                <w:rFonts w:eastAsia="Times New Roman"/>
                <w:sz w:val="18"/>
                <w:szCs w:val="18"/>
              </w:rPr>
            </w:pPr>
          </w:p>
        </w:tc>
        <w:tc>
          <w:tcPr>
            <w:tcW w:w="1187" w:type="dxa"/>
            <w:noWrap/>
            <w:hideMark/>
          </w:tcPr>
          <w:p w:rsidRPr="00E739DA" w:rsidR="000C1980" w:rsidP="001968DC" w:rsidRDefault="000C1980" w14:paraId="3EAA94BE" w14:textId="77777777">
            <w:pPr>
              <w:ind w:left="360"/>
              <w:rPr>
                <w:rFonts w:eastAsia="Times New Roman"/>
                <w:sz w:val="18"/>
                <w:szCs w:val="18"/>
              </w:rPr>
            </w:pPr>
          </w:p>
        </w:tc>
        <w:tc>
          <w:tcPr>
            <w:tcW w:w="1256" w:type="dxa"/>
            <w:noWrap/>
            <w:hideMark/>
          </w:tcPr>
          <w:p w:rsidRPr="00E739DA" w:rsidR="000C1980" w:rsidP="001968DC" w:rsidRDefault="000C1980" w14:paraId="31191597" w14:textId="77777777">
            <w:pPr>
              <w:ind w:left="360"/>
              <w:rPr>
                <w:rFonts w:eastAsia="Times New Roman"/>
                <w:sz w:val="18"/>
                <w:szCs w:val="18"/>
              </w:rPr>
            </w:pPr>
          </w:p>
        </w:tc>
      </w:tr>
      <w:tr w:rsidRPr="00E739DA" w:rsidR="000C1980" w:rsidTr="00E739DA" w14:paraId="5F7496ED" w14:textId="77777777">
        <w:trPr>
          <w:trHeight w:val="247"/>
        </w:trPr>
        <w:tc>
          <w:tcPr>
            <w:tcW w:w="1427" w:type="dxa"/>
            <w:vMerge w:val="restart"/>
            <w:noWrap/>
            <w:hideMark/>
          </w:tcPr>
          <w:p w:rsidRPr="00E739DA" w:rsidR="000C1980" w:rsidP="001968DC" w:rsidRDefault="000C1980" w14:paraId="759EA140" w14:textId="77777777">
            <w:pPr>
              <w:ind w:left="360"/>
              <w:jc w:val="center"/>
              <w:rPr>
                <w:rFonts w:eastAsia="Times New Roman" w:cs="Calibri"/>
                <w:color w:val="000000"/>
                <w:sz w:val="18"/>
                <w:szCs w:val="18"/>
              </w:rPr>
            </w:pPr>
            <w:bookmarkStart w:name="_Hlk69855106" w:id="203"/>
            <w:r w:rsidRPr="00E739DA">
              <w:rPr>
                <w:rFonts w:eastAsia="Times New Roman" w:cs="Calibri"/>
                <w:color w:val="000000"/>
                <w:sz w:val="18"/>
                <w:szCs w:val="18"/>
              </w:rPr>
              <w:t>IOU</w:t>
            </w:r>
          </w:p>
        </w:tc>
        <w:tc>
          <w:tcPr>
            <w:tcW w:w="8378" w:type="dxa"/>
            <w:gridSpan w:val="7"/>
            <w:noWrap/>
            <w:hideMark/>
          </w:tcPr>
          <w:p w:rsidRPr="00E739DA" w:rsidR="000C1980" w:rsidP="001968DC" w:rsidRDefault="00B24A0E" w14:paraId="619D0278" w14:textId="4A528B56">
            <w:pPr>
              <w:ind w:left="360"/>
              <w:jc w:val="center"/>
              <w:rPr>
                <w:rFonts w:eastAsia="Times New Roman" w:cs="Calibri"/>
                <w:b/>
                <w:color w:val="000000"/>
                <w:sz w:val="18"/>
                <w:szCs w:val="18"/>
              </w:rPr>
            </w:pPr>
            <w:r w:rsidRPr="00E739DA">
              <w:rPr>
                <w:rFonts w:eastAsia="Times New Roman" w:cs="Calibri"/>
                <w:b/>
                <w:bCs/>
                <w:color w:val="000000"/>
                <w:sz w:val="18"/>
                <w:szCs w:val="18"/>
              </w:rPr>
              <w:t xml:space="preserve">Approved </w:t>
            </w:r>
            <w:r w:rsidRPr="00E739DA" w:rsidR="000C1980">
              <w:rPr>
                <w:rFonts w:eastAsia="Times New Roman" w:cs="Calibri"/>
                <w:b/>
                <w:color w:val="000000"/>
                <w:sz w:val="18"/>
                <w:szCs w:val="18"/>
              </w:rPr>
              <w:t xml:space="preserve">FERA </w:t>
            </w:r>
            <w:r w:rsidRPr="00E739DA" w:rsidR="000C1980">
              <w:rPr>
                <w:rFonts w:eastAsia="Times New Roman" w:cs="Calibri"/>
                <w:b/>
                <w:bCs/>
                <w:color w:val="000000"/>
                <w:sz w:val="18"/>
                <w:szCs w:val="18"/>
              </w:rPr>
              <w:t>P</w:t>
            </w:r>
            <w:r w:rsidRPr="00E739DA" w:rsidR="000C1980">
              <w:rPr>
                <w:rFonts w:eastAsia="Times New Roman" w:cs="Calibri"/>
                <w:b/>
                <w:color w:val="000000"/>
                <w:sz w:val="18"/>
                <w:szCs w:val="18"/>
              </w:rPr>
              <w:t>rogram Management Budget and Subsidies</w:t>
            </w:r>
          </w:p>
        </w:tc>
      </w:tr>
      <w:tr w:rsidRPr="00E739DA" w:rsidR="000C1980" w:rsidTr="00E739DA" w14:paraId="7BB3FCC8" w14:textId="77777777">
        <w:trPr>
          <w:trHeight w:val="247"/>
        </w:trPr>
        <w:tc>
          <w:tcPr>
            <w:tcW w:w="1427" w:type="dxa"/>
            <w:vMerge/>
            <w:hideMark/>
          </w:tcPr>
          <w:p w:rsidRPr="00E739DA" w:rsidR="000C1980" w:rsidP="001968DC" w:rsidRDefault="000C1980" w14:paraId="16CEDA11" w14:textId="77777777">
            <w:pPr>
              <w:ind w:left="360"/>
              <w:rPr>
                <w:rFonts w:eastAsia="Times New Roman" w:cs="Calibri"/>
                <w:color w:val="000000"/>
                <w:sz w:val="18"/>
                <w:szCs w:val="18"/>
              </w:rPr>
            </w:pPr>
          </w:p>
        </w:tc>
        <w:tc>
          <w:tcPr>
            <w:tcW w:w="1187" w:type="dxa"/>
            <w:noWrap/>
            <w:hideMark/>
          </w:tcPr>
          <w:p w:rsidRPr="00E739DA" w:rsidR="000C1980" w:rsidP="00E739DA" w:rsidRDefault="000C1980" w14:paraId="18907B18" w14:textId="77777777">
            <w:pPr>
              <w:ind w:left="360"/>
              <w:jc w:val="center"/>
              <w:rPr>
                <w:rFonts w:eastAsia="Times New Roman" w:cs="Calibri"/>
                <w:b/>
                <w:color w:val="000000"/>
                <w:sz w:val="18"/>
                <w:szCs w:val="18"/>
              </w:rPr>
            </w:pPr>
            <w:r w:rsidRPr="00E739DA">
              <w:rPr>
                <w:rFonts w:eastAsia="Times New Roman" w:cs="Calibri"/>
                <w:b/>
                <w:color w:val="000000"/>
                <w:sz w:val="18"/>
                <w:szCs w:val="18"/>
              </w:rPr>
              <w:t>2021</w:t>
            </w:r>
          </w:p>
        </w:tc>
        <w:tc>
          <w:tcPr>
            <w:tcW w:w="1187" w:type="dxa"/>
            <w:noWrap/>
            <w:hideMark/>
          </w:tcPr>
          <w:p w:rsidRPr="00E739DA" w:rsidR="000C1980" w:rsidP="00E739DA" w:rsidRDefault="000C1980" w14:paraId="79CF150B" w14:textId="77777777">
            <w:pPr>
              <w:ind w:left="360"/>
              <w:jc w:val="center"/>
              <w:rPr>
                <w:rFonts w:eastAsia="Times New Roman" w:cs="Calibri"/>
                <w:b/>
                <w:color w:val="000000"/>
                <w:sz w:val="18"/>
                <w:szCs w:val="18"/>
              </w:rPr>
            </w:pPr>
            <w:r w:rsidRPr="00E739DA">
              <w:rPr>
                <w:rFonts w:eastAsia="Times New Roman" w:cs="Calibri"/>
                <w:b/>
                <w:color w:val="000000"/>
                <w:sz w:val="18"/>
                <w:szCs w:val="18"/>
              </w:rPr>
              <w:t>2022</w:t>
            </w:r>
          </w:p>
        </w:tc>
        <w:tc>
          <w:tcPr>
            <w:tcW w:w="1187" w:type="dxa"/>
            <w:noWrap/>
            <w:hideMark/>
          </w:tcPr>
          <w:p w:rsidRPr="00E739DA" w:rsidR="000C1980" w:rsidP="00E739DA" w:rsidRDefault="000C1980" w14:paraId="18673239" w14:textId="77777777">
            <w:pPr>
              <w:ind w:left="360"/>
              <w:jc w:val="center"/>
              <w:rPr>
                <w:rFonts w:eastAsia="Times New Roman" w:cs="Calibri"/>
                <w:b/>
                <w:color w:val="000000"/>
                <w:sz w:val="18"/>
                <w:szCs w:val="18"/>
              </w:rPr>
            </w:pPr>
            <w:r w:rsidRPr="00E739DA">
              <w:rPr>
                <w:rFonts w:eastAsia="Times New Roman" w:cs="Calibri"/>
                <w:b/>
                <w:color w:val="000000"/>
                <w:sz w:val="18"/>
                <w:szCs w:val="18"/>
              </w:rPr>
              <w:t>2023</w:t>
            </w:r>
          </w:p>
        </w:tc>
        <w:tc>
          <w:tcPr>
            <w:tcW w:w="1187" w:type="dxa"/>
            <w:noWrap/>
            <w:hideMark/>
          </w:tcPr>
          <w:p w:rsidRPr="00E739DA" w:rsidR="000C1980" w:rsidP="00E739DA" w:rsidRDefault="000C1980" w14:paraId="49FE657C" w14:textId="77777777">
            <w:pPr>
              <w:ind w:left="360"/>
              <w:jc w:val="center"/>
              <w:rPr>
                <w:rFonts w:eastAsia="Times New Roman" w:cs="Calibri"/>
                <w:b/>
                <w:color w:val="000000"/>
                <w:sz w:val="18"/>
                <w:szCs w:val="18"/>
              </w:rPr>
            </w:pPr>
            <w:r w:rsidRPr="00E739DA">
              <w:rPr>
                <w:rFonts w:eastAsia="Times New Roman" w:cs="Calibri"/>
                <w:b/>
                <w:color w:val="000000"/>
                <w:sz w:val="18"/>
                <w:szCs w:val="18"/>
              </w:rPr>
              <w:t>2024</w:t>
            </w:r>
          </w:p>
        </w:tc>
        <w:tc>
          <w:tcPr>
            <w:tcW w:w="1187" w:type="dxa"/>
            <w:noWrap/>
            <w:hideMark/>
          </w:tcPr>
          <w:p w:rsidRPr="00E739DA" w:rsidR="000C1980" w:rsidP="00E739DA" w:rsidRDefault="000C1980" w14:paraId="3F882967" w14:textId="77777777">
            <w:pPr>
              <w:ind w:left="360"/>
              <w:jc w:val="center"/>
              <w:rPr>
                <w:rFonts w:eastAsia="Times New Roman" w:cs="Calibri"/>
                <w:b/>
                <w:color w:val="000000"/>
                <w:sz w:val="18"/>
                <w:szCs w:val="18"/>
              </w:rPr>
            </w:pPr>
            <w:r w:rsidRPr="00E739DA">
              <w:rPr>
                <w:rFonts w:eastAsia="Times New Roman" w:cs="Calibri"/>
                <w:b/>
                <w:color w:val="000000"/>
                <w:sz w:val="18"/>
                <w:szCs w:val="18"/>
              </w:rPr>
              <w:t>2025</w:t>
            </w:r>
          </w:p>
        </w:tc>
        <w:tc>
          <w:tcPr>
            <w:tcW w:w="1187" w:type="dxa"/>
            <w:noWrap/>
            <w:hideMark/>
          </w:tcPr>
          <w:p w:rsidRPr="00E739DA" w:rsidR="000C1980" w:rsidP="00E739DA" w:rsidRDefault="000C1980" w14:paraId="65A928B6" w14:textId="77777777">
            <w:pPr>
              <w:ind w:left="360"/>
              <w:jc w:val="center"/>
              <w:rPr>
                <w:rFonts w:eastAsia="Times New Roman" w:cs="Calibri"/>
                <w:b/>
                <w:color w:val="000000"/>
                <w:sz w:val="18"/>
                <w:szCs w:val="18"/>
              </w:rPr>
            </w:pPr>
            <w:r w:rsidRPr="00E739DA">
              <w:rPr>
                <w:rFonts w:eastAsia="Times New Roman" w:cs="Calibri"/>
                <w:b/>
                <w:color w:val="000000"/>
                <w:sz w:val="18"/>
                <w:szCs w:val="18"/>
              </w:rPr>
              <w:t>2026</w:t>
            </w:r>
          </w:p>
        </w:tc>
        <w:tc>
          <w:tcPr>
            <w:tcW w:w="1256" w:type="dxa"/>
            <w:noWrap/>
            <w:hideMark/>
          </w:tcPr>
          <w:p w:rsidRPr="00E739DA" w:rsidR="000C1980" w:rsidP="00E739DA" w:rsidRDefault="000C1980" w14:paraId="258BB538" w14:textId="77777777">
            <w:pPr>
              <w:ind w:left="360"/>
              <w:jc w:val="center"/>
              <w:rPr>
                <w:rFonts w:eastAsia="Times New Roman" w:cs="Calibri"/>
                <w:b/>
                <w:color w:val="000000"/>
                <w:sz w:val="18"/>
                <w:szCs w:val="18"/>
              </w:rPr>
            </w:pPr>
            <w:r w:rsidRPr="00E739DA">
              <w:rPr>
                <w:rFonts w:eastAsia="Times New Roman" w:cs="Calibri"/>
                <w:b/>
                <w:color w:val="000000"/>
                <w:sz w:val="18"/>
                <w:szCs w:val="18"/>
              </w:rPr>
              <w:t>Total</w:t>
            </w:r>
          </w:p>
        </w:tc>
      </w:tr>
      <w:tr w:rsidRPr="00E739DA" w:rsidR="000C1980" w:rsidTr="00E739DA" w14:paraId="58A432B8" w14:textId="77777777">
        <w:trPr>
          <w:trHeight w:val="247"/>
        </w:trPr>
        <w:tc>
          <w:tcPr>
            <w:tcW w:w="1427" w:type="dxa"/>
            <w:noWrap/>
            <w:hideMark/>
          </w:tcPr>
          <w:p w:rsidRPr="00E739DA" w:rsidR="000C1980" w:rsidP="00E739DA" w:rsidRDefault="000C1980" w14:paraId="42F583E2" w14:textId="77777777">
            <w:pPr>
              <w:rPr>
                <w:rFonts w:eastAsia="Times New Roman" w:cs="Calibri"/>
                <w:color w:val="000000"/>
                <w:sz w:val="18"/>
                <w:szCs w:val="18"/>
              </w:rPr>
            </w:pPr>
            <w:r w:rsidRPr="00E739DA">
              <w:rPr>
                <w:rFonts w:eastAsia="Times New Roman" w:cs="Calibri"/>
                <w:color w:val="000000"/>
                <w:sz w:val="18"/>
                <w:szCs w:val="18"/>
              </w:rPr>
              <w:t>SCE</w:t>
            </w:r>
          </w:p>
        </w:tc>
        <w:tc>
          <w:tcPr>
            <w:tcW w:w="1187" w:type="dxa"/>
            <w:noWrap/>
            <w:hideMark/>
          </w:tcPr>
          <w:p w:rsidRPr="00E739DA" w:rsidR="000C1980" w:rsidP="00E739DA" w:rsidRDefault="000C1980" w14:paraId="5FD15F6C" w14:textId="77777777">
            <w:pPr>
              <w:jc w:val="right"/>
              <w:rPr>
                <w:rFonts w:eastAsia="Times New Roman" w:cs="Calibri"/>
                <w:color w:val="000000"/>
                <w:sz w:val="18"/>
                <w:szCs w:val="18"/>
              </w:rPr>
            </w:pPr>
            <w:r w:rsidRPr="00E739DA">
              <w:rPr>
                <w:rFonts w:eastAsia="Times New Roman" w:cs="Calibri"/>
                <w:color w:val="000000"/>
                <w:sz w:val="18"/>
                <w:szCs w:val="18"/>
              </w:rPr>
              <w:t xml:space="preserve">$21,652,364 </w:t>
            </w:r>
          </w:p>
        </w:tc>
        <w:tc>
          <w:tcPr>
            <w:tcW w:w="1187" w:type="dxa"/>
            <w:noWrap/>
            <w:hideMark/>
          </w:tcPr>
          <w:p w:rsidRPr="00E739DA" w:rsidR="000C1980" w:rsidP="00E739DA" w:rsidRDefault="000C1980" w14:paraId="7E46A8C4" w14:textId="77777777">
            <w:pPr>
              <w:jc w:val="right"/>
              <w:rPr>
                <w:rFonts w:eastAsia="Times New Roman" w:cs="Calibri"/>
                <w:color w:val="000000"/>
                <w:sz w:val="18"/>
                <w:szCs w:val="18"/>
              </w:rPr>
            </w:pPr>
            <w:r w:rsidRPr="00E739DA">
              <w:rPr>
                <w:rFonts w:eastAsia="Times New Roman" w:cs="Calibri"/>
                <w:color w:val="000000"/>
                <w:sz w:val="18"/>
                <w:szCs w:val="18"/>
              </w:rPr>
              <w:t xml:space="preserve">$29,442,231 </w:t>
            </w:r>
          </w:p>
        </w:tc>
        <w:tc>
          <w:tcPr>
            <w:tcW w:w="1187" w:type="dxa"/>
            <w:noWrap/>
            <w:hideMark/>
          </w:tcPr>
          <w:p w:rsidRPr="00E739DA" w:rsidR="000C1980" w:rsidP="00E739DA" w:rsidRDefault="000C1980" w14:paraId="77C5750A" w14:textId="77777777">
            <w:pPr>
              <w:jc w:val="right"/>
              <w:rPr>
                <w:rFonts w:eastAsia="Times New Roman" w:cs="Calibri"/>
                <w:color w:val="000000"/>
                <w:sz w:val="18"/>
                <w:szCs w:val="18"/>
              </w:rPr>
            </w:pPr>
            <w:r w:rsidRPr="00E739DA">
              <w:rPr>
                <w:rFonts w:eastAsia="Times New Roman" w:cs="Calibri"/>
                <w:color w:val="000000"/>
                <w:sz w:val="18"/>
                <w:szCs w:val="18"/>
              </w:rPr>
              <w:t xml:space="preserve">$38,113,457 </w:t>
            </w:r>
          </w:p>
        </w:tc>
        <w:tc>
          <w:tcPr>
            <w:tcW w:w="1187" w:type="dxa"/>
            <w:noWrap/>
            <w:hideMark/>
          </w:tcPr>
          <w:p w:rsidRPr="00E739DA" w:rsidR="000C1980" w:rsidP="00E739DA" w:rsidRDefault="000C1980" w14:paraId="6D27FAFD" w14:textId="77777777">
            <w:pPr>
              <w:jc w:val="right"/>
              <w:rPr>
                <w:rFonts w:eastAsia="Times New Roman" w:cs="Calibri"/>
                <w:color w:val="000000"/>
                <w:sz w:val="18"/>
                <w:szCs w:val="18"/>
              </w:rPr>
            </w:pPr>
            <w:r w:rsidRPr="00E739DA">
              <w:rPr>
                <w:rFonts w:eastAsia="Times New Roman" w:cs="Calibri"/>
                <w:color w:val="000000"/>
                <w:sz w:val="18"/>
                <w:szCs w:val="18"/>
              </w:rPr>
              <w:t xml:space="preserve">$46,994,493 </w:t>
            </w:r>
          </w:p>
        </w:tc>
        <w:tc>
          <w:tcPr>
            <w:tcW w:w="1187" w:type="dxa"/>
            <w:noWrap/>
            <w:hideMark/>
          </w:tcPr>
          <w:p w:rsidRPr="00E739DA" w:rsidR="000C1980" w:rsidP="00E739DA" w:rsidRDefault="000C1980" w14:paraId="31D4AD94" w14:textId="77777777">
            <w:pPr>
              <w:jc w:val="right"/>
              <w:rPr>
                <w:rFonts w:eastAsia="Times New Roman" w:cs="Calibri"/>
                <w:color w:val="000000"/>
                <w:sz w:val="18"/>
                <w:szCs w:val="18"/>
              </w:rPr>
            </w:pPr>
            <w:r w:rsidRPr="00E739DA">
              <w:rPr>
                <w:rFonts w:eastAsia="Times New Roman" w:cs="Calibri"/>
                <w:color w:val="000000"/>
                <w:sz w:val="18"/>
                <w:szCs w:val="18"/>
              </w:rPr>
              <w:t xml:space="preserve">$52,414,418 </w:t>
            </w:r>
          </w:p>
        </w:tc>
        <w:tc>
          <w:tcPr>
            <w:tcW w:w="1187" w:type="dxa"/>
            <w:noWrap/>
            <w:hideMark/>
          </w:tcPr>
          <w:p w:rsidRPr="00E739DA" w:rsidR="000C1980" w:rsidP="00E739DA" w:rsidRDefault="000C1980" w14:paraId="4713CF5F" w14:textId="77777777">
            <w:pPr>
              <w:jc w:val="right"/>
              <w:rPr>
                <w:rFonts w:eastAsia="Times New Roman" w:cs="Calibri"/>
                <w:color w:val="000000"/>
                <w:sz w:val="18"/>
                <w:szCs w:val="18"/>
              </w:rPr>
            </w:pPr>
            <w:r w:rsidRPr="00E739DA">
              <w:rPr>
                <w:rFonts w:eastAsia="Times New Roman" w:cs="Calibri"/>
                <w:color w:val="000000"/>
                <w:sz w:val="18"/>
                <w:szCs w:val="18"/>
              </w:rPr>
              <w:t xml:space="preserve">$58,120,459 </w:t>
            </w:r>
          </w:p>
        </w:tc>
        <w:tc>
          <w:tcPr>
            <w:tcW w:w="1256" w:type="dxa"/>
            <w:noWrap/>
            <w:hideMark/>
          </w:tcPr>
          <w:p w:rsidRPr="00E739DA" w:rsidR="000C1980" w:rsidP="00E739DA" w:rsidRDefault="000C1980" w14:paraId="5E0749B9"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$246,737,422 </w:t>
            </w:r>
          </w:p>
        </w:tc>
      </w:tr>
      <w:tr w:rsidRPr="00E739DA" w:rsidR="000C1980" w:rsidTr="00E739DA" w14:paraId="01695800" w14:textId="77777777">
        <w:trPr>
          <w:trHeight w:val="247"/>
        </w:trPr>
        <w:tc>
          <w:tcPr>
            <w:tcW w:w="1427" w:type="dxa"/>
            <w:noWrap/>
            <w:hideMark/>
          </w:tcPr>
          <w:p w:rsidRPr="00E739DA" w:rsidR="000C1980" w:rsidP="00E739DA" w:rsidRDefault="000C1980" w14:paraId="2E3AA7FE" w14:textId="77777777">
            <w:pPr>
              <w:rPr>
                <w:rFonts w:eastAsia="Times New Roman" w:cs="Calibri"/>
                <w:color w:val="000000"/>
                <w:sz w:val="18"/>
                <w:szCs w:val="18"/>
              </w:rPr>
            </w:pPr>
            <w:r w:rsidRPr="00E739DA">
              <w:rPr>
                <w:rFonts w:eastAsia="Times New Roman" w:cs="Calibri"/>
                <w:color w:val="000000"/>
                <w:sz w:val="18"/>
                <w:szCs w:val="18"/>
              </w:rPr>
              <w:t>PG&amp;E</w:t>
            </w:r>
          </w:p>
        </w:tc>
        <w:tc>
          <w:tcPr>
            <w:tcW w:w="1187" w:type="dxa"/>
            <w:noWrap/>
            <w:hideMark/>
          </w:tcPr>
          <w:p w:rsidRPr="00E739DA" w:rsidR="000C1980" w:rsidP="00E739DA" w:rsidRDefault="000C1980" w14:paraId="1B4B8B60" w14:textId="77777777">
            <w:pPr>
              <w:jc w:val="right"/>
              <w:rPr>
                <w:rFonts w:eastAsia="Times New Roman" w:cs="Calibri"/>
                <w:color w:val="000000"/>
                <w:sz w:val="18"/>
                <w:szCs w:val="18"/>
              </w:rPr>
            </w:pPr>
            <w:r w:rsidRPr="00E739DA">
              <w:rPr>
                <w:rFonts w:eastAsia="Times New Roman" w:cs="Calibri"/>
                <w:color w:val="000000"/>
                <w:sz w:val="18"/>
                <w:szCs w:val="18"/>
              </w:rPr>
              <w:t xml:space="preserve">$12,837,700 </w:t>
            </w:r>
          </w:p>
        </w:tc>
        <w:tc>
          <w:tcPr>
            <w:tcW w:w="1187" w:type="dxa"/>
            <w:noWrap/>
            <w:hideMark/>
          </w:tcPr>
          <w:p w:rsidRPr="00E739DA" w:rsidR="000C1980" w:rsidP="00E739DA" w:rsidRDefault="000C1980" w14:paraId="3C2E9C05" w14:textId="77777777">
            <w:pPr>
              <w:jc w:val="right"/>
              <w:rPr>
                <w:rFonts w:eastAsia="Times New Roman" w:cs="Calibri"/>
                <w:color w:val="000000"/>
                <w:sz w:val="18"/>
                <w:szCs w:val="18"/>
              </w:rPr>
            </w:pPr>
            <w:r w:rsidRPr="00E739DA">
              <w:rPr>
                <w:rFonts w:eastAsia="Times New Roman" w:cs="Calibri"/>
                <w:color w:val="000000"/>
                <w:sz w:val="18"/>
                <w:szCs w:val="18"/>
              </w:rPr>
              <w:t xml:space="preserve">$15,692,400 </w:t>
            </w:r>
          </w:p>
        </w:tc>
        <w:tc>
          <w:tcPr>
            <w:tcW w:w="1187" w:type="dxa"/>
            <w:noWrap/>
            <w:hideMark/>
          </w:tcPr>
          <w:p w:rsidRPr="00E739DA" w:rsidR="000C1980" w:rsidP="00E739DA" w:rsidRDefault="000C1980" w14:paraId="632443DB" w14:textId="77777777">
            <w:pPr>
              <w:jc w:val="right"/>
              <w:rPr>
                <w:rFonts w:eastAsia="Times New Roman" w:cs="Calibri"/>
                <w:color w:val="000000"/>
                <w:sz w:val="18"/>
                <w:szCs w:val="18"/>
              </w:rPr>
            </w:pPr>
            <w:r w:rsidRPr="00E739DA">
              <w:rPr>
                <w:rFonts w:eastAsia="Times New Roman" w:cs="Calibri"/>
                <w:color w:val="000000"/>
                <w:sz w:val="18"/>
                <w:szCs w:val="18"/>
              </w:rPr>
              <w:t xml:space="preserve">$18,573,400 </w:t>
            </w:r>
          </w:p>
        </w:tc>
        <w:tc>
          <w:tcPr>
            <w:tcW w:w="1187" w:type="dxa"/>
            <w:noWrap/>
            <w:hideMark/>
          </w:tcPr>
          <w:p w:rsidRPr="00E739DA" w:rsidR="000C1980" w:rsidP="00E739DA" w:rsidRDefault="000C1980" w14:paraId="014C12D0" w14:textId="77777777">
            <w:pPr>
              <w:jc w:val="right"/>
              <w:rPr>
                <w:rFonts w:eastAsia="Times New Roman" w:cs="Calibri"/>
                <w:color w:val="000000"/>
                <w:sz w:val="18"/>
                <w:szCs w:val="18"/>
              </w:rPr>
            </w:pPr>
            <w:r w:rsidRPr="00E739DA">
              <w:rPr>
                <w:rFonts w:eastAsia="Times New Roman" w:cs="Calibri"/>
                <w:color w:val="000000"/>
                <w:sz w:val="18"/>
                <w:szCs w:val="18"/>
              </w:rPr>
              <w:t xml:space="preserve">$21,202,000 </w:t>
            </w:r>
          </w:p>
        </w:tc>
        <w:tc>
          <w:tcPr>
            <w:tcW w:w="1187" w:type="dxa"/>
            <w:noWrap/>
            <w:hideMark/>
          </w:tcPr>
          <w:p w:rsidRPr="00E739DA" w:rsidR="000C1980" w:rsidP="00E739DA" w:rsidRDefault="000C1980" w14:paraId="5E7A5867" w14:textId="77777777">
            <w:pPr>
              <w:jc w:val="right"/>
              <w:rPr>
                <w:rFonts w:eastAsia="Times New Roman" w:cs="Calibri"/>
                <w:color w:val="000000"/>
                <w:sz w:val="18"/>
                <w:szCs w:val="18"/>
              </w:rPr>
            </w:pPr>
            <w:r w:rsidRPr="00E739DA">
              <w:rPr>
                <w:rFonts w:eastAsia="Times New Roman" w:cs="Calibri"/>
                <w:color w:val="000000"/>
                <w:sz w:val="18"/>
                <w:szCs w:val="18"/>
              </w:rPr>
              <w:t xml:space="preserve">$23,816,900 </w:t>
            </w:r>
          </w:p>
        </w:tc>
        <w:tc>
          <w:tcPr>
            <w:tcW w:w="1187" w:type="dxa"/>
            <w:noWrap/>
            <w:hideMark/>
          </w:tcPr>
          <w:p w:rsidRPr="00E739DA" w:rsidR="000C1980" w:rsidP="00E739DA" w:rsidRDefault="000C1980" w14:paraId="169E5305" w14:textId="77777777">
            <w:pPr>
              <w:jc w:val="right"/>
              <w:rPr>
                <w:rFonts w:eastAsia="Times New Roman" w:cs="Calibri"/>
                <w:color w:val="000000"/>
                <w:sz w:val="18"/>
                <w:szCs w:val="18"/>
              </w:rPr>
            </w:pPr>
            <w:r w:rsidRPr="00E739DA">
              <w:rPr>
                <w:rFonts w:eastAsia="Times New Roman" w:cs="Calibri"/>
                <w:color w:val="000000"/>
                <w:sz w:val="18"/>
                <w:szCs w:val="18"/>
              </w:rPr>
              <w:t xml:space="preserve">$26,419,800 </w:t>
            </w:r>
          </w:p>
        </w:tc>
        <w:tc>
          <w:tcPr>
            <w:tcW w:w="1256" w:type="dxa"/>
            <w:noWrap/>
            <w:hideMark/>
          </w:tcPr>
          <w:p w:rsidRPr="00E739DA" w:rsidR="000C1980" w:rsidP="00E739DA" w:rsidRDefault="000C1980" w14:paraId="52E39F76"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$118,542,200 </w:t>
            </w:r>
          </w:p>
        </w:tc>
      </w:tr>
      <w:tr w:rsidRPr="00E739DA" w:rsidR="000C1980" w:rsidTr="00E739DA" w14:paraId="413899A7" w14:textId="77777777">
        <w:trPr>
          <w:trHeight w:val="247"/>
        </w:trPr>
        <w:tc>
          <w:tcPr>
            <w:tcW w:w="1427" w:type="dxa"/>
            <w:noWrap/>
            <w:hideMark/>
          </w:tcPr>
          <w:p w:rsidRPr="00E739DA" w:rsidR="000C1980" w:rsidP="00E739DA" w:rsidRDefault="000C1980" w14:paraId="41619B37" w14:textId="77777777">
            <w:pPr>
              <w:rPr>
                <w:rFonts w:eastAsia="Times New Roman" w:cs="Calibri"/>
                <w:color w:val="000000"/>
                <w:sz w:val="18"/>
                <w:szCs w:val="18"/>
              </w:rPr>
            </w:pPr>
            <w:r w:rsidRPr="00E739DA">
              <w:rPr>
                <w:rFonts w:eastAsia="Times New Roman" w:cs="Calibri"/>
                <w:color w:val="000000"/>
                <w:sz w:val="18"/>
                <w:szCs w:val="18"/>
              </w:rPr>
              <w:t>SDG&amp;E</w:t>
            </w:r>
          </w:p>
        </w:tc>
        <w:tc>
          <w:tcPr>
            <w:tcW w:w="1187" w:type="dxa"/>
            <w:noWrap/>
            <w:hideMark/>
          </w:tcPr>
          <w:p w:rsidRPr="00E739DA" w:rsidR="000C1980" w:rsidP="00E739DA" w:rsidRDefault="000C1980" w14:paraId="588C750E" w14:textId="77777777">
            <w:pPr>
              <w:jc w:val="right"/>
              <w:rPr>
                <w:rFonts w:eastAsia="Times New Roman" w:cs="Calibri"/>
                <w:color w:val="000000"/>
                <w:sz w:val="18"/>
                <w:szCs w:val="18"/>
              </w:rPr>
            </w:pPr>
            <w:r w:rsidRPr="00E739DA">
              <w:rPr>
                <w:rFonts w:eastAsia="Times New Roman" w:cs="Calibri"/>
                <w:color w:val="000000"/>
                <w:sz w:val="18"/>
                <w:szCs w:val="18"/>
              </w:rPr>
              <w:t xml:space="preserve">$3,583,582 </w:t>
            </w:r>
          </w:p>
        </w:tc>
        <w:tc>
          <w:tcPr>
            <w:tcW w:w="1187" w:type="dxa"/>
            <w:noWrap/>
            <w:hideMark/>
          </w:tcPr>
          <w:p w:rsidRPr="00E739DA" w:rsidR="000C1980" w:rsidP="00E739DA" w:rsidRDefault="000C1980" w14:paraId="1F738ADB" w14:textId="77777777">
            <w:pPr>
              <w:jc w:val="right"/>
              <w:rPr>
                <w:rFonts w:eastAsia="Times New Roman" w:cs="Calibri"/>
                <w:color w:val="000000"/>
                <w:sz w:val="18"/>
                <w:szCs w:val="18"/>
              </w:rPr>
            </w:pPr>
            <w:r w:rsidRPr="00E739DA">
              <w:rPr>
                <w:rFonts w:eastAsia="Times New Roman" w:cs="Calibri"/>
                <w:color w:val="000000"/>
                <w:sz w:val="18"/>
                <w:szCs w:val="18"/>
              </w:rPr>
              <w:t xml:space="preserve">$4,134,325 </w:t>
            </w:r>
          </w:p>
        </w:tc>
        <w:tc>
          <w:tcPr>
            <w:tcW w:w="1187" w:type="dxa"/>
            <w:noWrap/>
            <w:hideMark/>
          </w:tcPr>
          <w:p w:rsidRPr="00E739DA" w:rsidR="000C1980" w:rsidP="00E739DA" w:rsidRDefault="000C1980" w14:paraId="2EA2B532" w14:textId="77777777">
            <w:pPr>
              <w:jc w:val="right"/>
              <w:rPr>
                <w:rFonts w:eastAsia="Times New Roman" w:cs="Calibri"/>
                <w:color w:val="000000"/>
                <w:sz w:val="18"/>
                <w:szCs w:val="18"/>
              </w:rPr>
            </w:pPr>
            <w:r w:rsidRPr="00E739DA">
              <w:rPr>
                <w:rFonts w:eastAsia="Times New Roman" w:cs="Calibri"/>
                <w:color w:val="000000"/>
                <w:sz w:val="18"/>
                <w:szCs w:val="18"/>
              </w:rPr>
              <w:t xml:space="preserve">$4,493,780 </w:t>
            </w:r>
          </w:p>
        </w:tc>
        <w:tc>
          <w:tcPr>
            <w:tcW w:w="1187" w:type="dxa"/>
            <w:noWrap/>
            <w:hideMark/>
          </w:tcPr>
          <w:p w:rsidRPr="00E739DA" w:rsidR="000C1980" w:rsidP="00E739DA" w:rsidRDefault="000C1980" w14:paraId="330E1D80" w14:textId="77777777">
            <w:pPr>
              <w:jc w:val="right"/>
              <w:rPr>
                <w:rFonts w:eastAsia="Times New Roman" w:cs="Calibri"/>
                <w:color w:val="000000"/>
                <w:sz w:val="18"/>
                <w:szCs w:val="18"/>
              </w:rPr>
            </w:pPr>
            <w:r w:rsidRPr="00E739DA">
              <w:rPr>
                <w:rFonts w:eastAsia="Times New Roman" w:cs="Calibri"/>
                <w:color w:val="000000"/>
                <w:sz w:val="18"/>
                <w:szCs w:val="18"/>
              </w:rPr>
              <w:t xml:space="preserve">$5,066,528 </w:t>
            </w:r>
          </w:p>
        </w:tc>
        <w:tc>
          <w:tcPr>
            <w:tcW w:w="1187" w:type="dxa"/>
            <w:noWrap/>
            <w:hideMark/>
          </w:tcPr>
          <w:p w:rsidRPr="00E739DA" w:rsidR="000C1980" w:rsidP="00E739DA" w:rsidRDefault="000C1980" w14:paraId="3F8E8547" w14:textId="77777777">
            <w:pPr>
              <w:jc w:val="right"/>
              <w:rPr>
                <w:rFonts w:eastAsia="Times New Roman" w:cs="Calibri"/>
                <w:color w:val="000000"/>
                <w:sz w:val="18"/>
                <w:szCs w:val="18"/>
              </w:rPr>
            </w:pPr>
            <w:r w:rsidRPr="00E739DA">
              <w:rPr>
                <w:rFonts w:eastAsia="Times New Roman" w:cs="Calibri"/>
                <w:color w:val="000000"/>
                <w:sz w:val="18"/>
                <w:szCs w:val="18"/>
              </w:rPr>
              <w:t xml:space="preserve">$5,543,044 </w:t>
            </w:r>
          </w:p>
        </w:tc>
        <w:tc>
          <w:tcPr>
            <w:tcW w:w="1187" w:type="dxa"/>
            <w:noWrap/>
            <w:hideMark/>
          </w:tcPr>
          <w:p w:rsidRPr="00E739DA" w:rsidR="000C1980" w:rsidP="00E739DA" w:rsidRDefault="000C1980" w14:paraId="599BBD19" w14:textId="77777777">
            <w:pPr>
              <w:jc w:val="right"/>
              <w:rPr>
                <w:rFonts w:eastAsia="Times New Roman" w:cs="Calibri"/>
                <w:color w:val="000000"/>
                <w:sz w:val="18"/>
                <w:szCs w:val="18"/>
              </w:rPr>
            </w:pPr>
            <w:r w:rsidRPr="00E739DA">
              <w:rPr>
                <w:rFonts w:eastAsia="Times New Roman" w:cs="Calibri"/>
                <w:color w:val="000000"/>
                <w:sz w:val="18"/>
                <w:szCs w:val="18"/>
              </w:rPr>
              <w:t xml:space="preserve">$6,029,130 </w:t>
            </w:r>
          </w:p>
        </w:tc>
        <w:tc>
          <w:tcPr>
            <w:tcW w:w="1256" w:type="dxa"/>
            <w:noWrap/>
            <w:hideMark/>
          </w:tcPr>
          <w:p w:rsidRPr="00E739DA" w:rsidR="000C1980" w:rsidP="00E739DA" w:rsidRDefault="000C1980" w14:paraId="46B24CC9"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$28,850,389 </w:t>
            </w:r>
          </w:p>
        </w:tc>
      </w:tr>
      <w:tr w:rsidRPr="00E739DA" w:rsidR="000C1980" w:rsidTr="00E739DA" w14:paraId="116AACB2" w14:textId="77777777">
        <w:trPr>
          <w:trHeight w:val="247"/>
        </w:trPr>
        <w:tc>
          <w:tcPr>
            <w:tcW w:w="1427" w:type="dxa"/>
            <w:noWrap/>
            <w:hideMark/>
          </w:tcPr>
          <w:p w:rsidRPr="00E739DA" w:rsidR="000C1980" w:rsidP="00E739DA" w:rsidRDefault="000C1980" w14:paraId="336B8551" w14:textId="77777777">
            <w:pPr>
              <w:rPr>
                <w:rFonts w:eastAsia="Times New Roman" w:cs="Calibri"/>
                <w:color w:val="000000"/>
                <w:sz w:val="18"/>
                <w:szCs w:val="18"/>
              </w:rPr>
            </w:pPr>
            <w:r w:rsidRPr="00E739DA">
              <w:rPr>
                <w:rFonts w:eastAsia="Times New Roman" w:cs="Calibri"/>
                <w:color w:val="000000"/>
                <w:sz w:val="18"/>
                <w:szCs w:val="18"/>
              </w:rPr>
              <w:t>Total</w:t>
            </w:r>
          </w:p>
        </w:tc>
        <w:tc>
          <w:tcPr>
            <w:tcW w:w="1187" w:type="dxa"/>
            <w:noWrap/>
            <w:hideMark/>
          </w:tcPr>
          <w:p w:rsidRPr="00E739DA" w:rsidR="000C1980" w:rsidP="00E739DA" w:rsidRDefault="000C1980" w14:paraId="3EE6529C"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$38,073,646 </w:t>
            </w:r>
          </w:p>
        </w:tc>
        <w:tc>
          <w:tcPr>
            <w:tcW w:w="1187" w:type="dxa"/>
            <w:noWrap/>
            <w:hideMark/>
          </w:tcPr>
          <w:p w:rsidRPr="00E739DA" w:rsidR="000C1980" w:rsidP="00E739DA" w:rsidRDefault="000C1980" w14:paraId="24FC10E0"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$49,268,956 </w:t>
            </w:r>
          </w:p>
        </w:tc>
        <w:tc>
          <w:tcPr>
            <w:tcW w:w="1187" w:type="dxa"/>
            <w:noWrap/>
            <w:hideMark/>
          </w:tcPr>
          <w:p w:rsidRPr="00E739DA" w:rsidR="000C1980" w:rsidP="00E739DA" w:rsidRDefault="000C1980" w14:paraId="752031EC"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$61,180,637 </w:t>
            </w:r>
          </w:p>
        </w:tc>
        <w:tc>
          <w:tcPr>
            <w:tcW w:w="1187" w:type="dxa"/>
            <w:noWrap/>
            <w:hideMark/>
          </w:tcPr>
          <w:p w:rsidRPr="00E739DA" w:rsidR="000C1980" w:rsidP="00E739DA" w:rsidRDefault="000C1980" w14:paraId="6F280EB0"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$73,263,021 </w:t>
            </w:r>
          </w:p>
        </w:tc>
        <w:tc>
          <w:tcPr>
            <w:tcW w:w="1187" w:type="dxa"/>
            <w:noWrap/>
            <w:hideMark/>
          </w:tcPr>
          <w:p w:rsidRPr="00E739DA" w:rsidR="000C1980" w:rsidP="00E739DA" w:rsidRDefault="000C1980" w14:paraId="6EC85BC3"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$81,774,362 </w:t>
            </w:r>
          </w:p>
        </w:tc>
        <w:tc>
          <w:tcPr>
            <w:tcW w:w="1187" w:type="dxa"/>
            <w:noWrap/>
            <w:hideMark/>
          </w:tcPr>
          <w:p w:rsidRPr="00E739DA" w:rsidR="000C1980" w:rsidP="00E739DA" w:rsidRDefault="000C1980" w14:paraId="1775425A"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$90,569,389 </w:t>
            </w:r>
          </w:p>
        </w:tc>
        <w:tc>
          <w:tcPr>
            <w:tcW w:w="1256" w:type="dxa"/>
            <w:noWrap/>
            <w:hideMark/>
          </w:tcPr>
          <w:p w:rsidRPr="00E739DA" w:rsidR="000C1980" w:rsidP="00E739DA" w:rsidRDefault="000C1980" w14:paraId="087F2993" w14:textId="77777777">
            <w:pPr>
              <w:jc w:val="right"/>
              <w:rPr>
                <w:rFonts w:eastAsia="Times New Roman" w:cs="Calibri"/>
                <w:b/>
                <w:color w:val="000000"/>
                <w:sz w:val="18"/>
                <w:szCs w:val="18"/>
              </w:rPr>
            </w:pPr>
            <w:r w:rsidRPr="00E739DA">
              <w:rPr>
                <w:rFonts w:eastAsia="Times New Roman" w:cs="Calibri"/>
                <w:b/>
                <w:color w:val="000000"/>
                <w:sz w:val="18"/>
                <w:szCs w:val="18"/>
              </w:rPr>
              <w:t xml:space="preserve">$394,130,011 </w:t>
            </w:r>
          </w:p>
        </w:tc>
      </w:tr>
      <w:bookmarkEnd w:id="203"/>
    </w:tbl>
    <w:p w:rsidRPr="007F40BA" w:rsidR="000C1980" w:rsidP="0023091F" w:rsidRDefault="000C1980" w14:paraId="446FD64C" w14:textId="77777777">
      <w:pPr>
        <w:pStyle w:val="ALJBodyText"/>
      </w:pPr>
    </w:p>
    <w:p w:rsidRPr="00973355" w:rsidR="000C1980" w:rsidP="001968DC" w:rsidRDefault="000C1980" w14:paraId="117CECD7" w14:textId="0C9ED225">
      <w:pPr>
        <w:pStyle w:val="Heading4"/>
        <w:ind w:left="3600"/>
      </w:pPr>
      <w:bookmarkStart w:name="_Toc69947882" w:id="204"/>
      <w:r w:rsidRPr="00973355">
        <w:t xml:space="preserve">FERA </w:t>
      </w:r>
      <w:r w:rsidRPr="00A24EE9">
        <w:t>Applications</w:t>
      </w:r>
      <w:r w:rsidRPr="00A24EE9" w:rsidR="00A24EE9">
        <w:rPr>
          <w:rFonts w:ascii="Book Antiqua" w:hAnsi="Book Antiqua" w:cs="Times New Roman" w:eastAsiaTheme="minorHAnsi"/>
          <w:bCs/>
          <w:szCs w:val="20"/>
        </w:rPr>
        <w:t xml:space="preserve"> </w:t>
      </w:r>
      <w:r w:rsidRPr="00A24EE9" w:rsidR="00A24EE9">
        <w:rPr>
          <w:bCs/>
        </w:rPr>
        <w:t>to be Included with CARE and ESA Applications</w:t>
      </w:r>
      <w:r w:rsidRPr="00A24EE9">
        <w:t xml:space="preserve">: </w:t>
      </w:r>
      <w:r w:rsidRPr="00A24EE9">
        <w:rPr>
          <w:u w:val="single"/>
        </w:rPr>
        <w:t>Approved</w:t>
      </w:r>
      <w:bookmarkEnd w:id="204"/>
    </w:p>
    <w:p w:rsidR="000C1980" w:rsidP="00354202" w:rsidRDefault="000C1980" w14:paraId="0096B5AC" w14:textId="77777777">
      <w:pPr>
        <w:pStyle w:val="Standard"/>
      </w:pPr>
      <w:r>
        <w:t xml:space="preserve">We approve </w:t>
      </w:r>
      <w:r w:rsidRPr="00712ABB">
        <w:t>PG&amp;E</w:t>
      </w:r>
      <w:r>
        <w:t>’s r</w:t>
      </w:r>
      <w:r w:rsidRPr="00712ABB">
        <w:t>equest</w:t>
      </w:r>
      <w:r>
        <w:t xml:space="preserve"> to include </w:t>
      </w:r>
      <w:r w:rsidRPr="00712ABB">
        <w:t xml:space="preserve">FERA program funding </w:t>
      </w:r>
      <w:r>
        <w:t xml:space="preserve">and requests in the </w:t>
      </w:r>
      <w:proofErr w:type="gramStart"/>
      <w:r>
        <w:t>l</w:t>
      </w:r>
      <w:r w:rsidRPr="00712ABB">
        <w:t>ow</w:t>
      </w:r>
      <w:r>
        <w:t xml:space="preserve"> i</w:t>
      </w:r>
      <w:r w:rsidRPr="00712ABB">
        <w:t>ncome</w:t>
      </w:r>
      <w:proofErr w:type="gramEnd"/>
      <w:r w:rsidRPr="00712ABB">
        <w:t xml:space="preserve"> program cycle applications</w:t>
      </w:r>
      <w:r>
        <w:t>, and agree that including FERA, CARE and ESA together in the same proceeding will be more efficient and effective in addressing low income issues. We require this change to be implemented for SCE and SDG&amp;E as well.</w:t>
      </w:r>
    </w:p>
    <w:p w:rsidRPr="00973355" w:rsidR="000C1980" w:rsidP="001968DC" w:rsidRDefault="000C1980" w14:paraId="30C4387D" w14:textId="77777777">
      <w:pPr>
        <w:pStyle w:val="Heading4"/>
        <w:ind w:left="3600"/>
      </w:pPr>
      <w:bookmarkStart w:name="_Toc69947883" w:id="205"/>
      <w:r w:rsidRPr="00973355">
        <w:t xml:space="preserve">FERA Balancing Account: </w:t>
      </w:r>
      <w:r w:rsidRPr="00740142">
        <w:rPr>
          <w:u w:val="single"/>
        </w:rPr>
        <w:t>Approved with Modifications</w:t>
      </w:r>
      <w:bookmarkEnd w:id="205"/>
      <w:r w:rsidRPr="00973355">
        <w:t xml:space="preserve"> </w:t>
      </w:r>
    </w:p>
    <w:p w:rsidR="000C1980" w:rsidP="00354202" w:rsidRDefault="000C1980" w14:paraId="72B7E54E" w14:textId="77777777">
      <w:pPr>
        <w:pStyle w:val="Standard"/>
      </w:pPr>
      <w:r>
        <w:t xml:space="preserve">Given that FERA will be included within the CARE and ESA low income proceeding, and that this decision authorizes separate FERA funding and FERA </w:t>
      </w:r>
      <w:r>
        <w:lastRenderedPageBreak/>
        <w:t xml:space="preserve">specific efforts, it is important to accurately track </w:t>
      </w:r>
      <w:r w:rsidRPr="00113619">
        <w:t xml:space="preserve">FERA </w:t>
      </w:r>
      <w:r>
        <w:t>spending</w:t>
      </w:r>
      <w:r w:rsidRPr="00113619">
        <w:t xml:space="preserve"> in relation to </w:t>
      </w:r>
      <w:r>
        <w:t>program goals to</w:t>
      </w:r>
      <w:r w:rsidRPr="00113619">
        <w:t xml:space="preserve"> gauge efficacy of IOU marketing and outreach tactics</w:t>
      </w:r>
      <w:r>
        <w:t xml:space="preserve">.  Therefore, we approve PG&amp;E and SCE’s proposal to track FERA-only costs in the FERA balancing account but go further to require that all FERA related costs be tracked in the FERA balancing account.  The same requirements will apply to SDG&amp;E’s already existent FERA Balancing Account.  </w:t>
      </w:r>
    </w:p>
    <w:p w:rsidR="000C1980" w:rsidP="00354202" w:rsidRDefault="000C1980" w14:paraId="13E4DB23" w14:textId="40EE7D22">
      <w:pPr>
        <w:pStyle w:val="Standard"/>
      </w:pPr>
      <w:r>
        <w:t xml:space="preserve">We recognize that FERA is often co-marketed with CARE and </w:t>
      </w:r>
      <w:r w:rsidR="00316464">
        <w:t xml:space="preserve">has </w:t>
      </w:r>
      <w:r>
        <w:t>historically been tracked in the CARE balancing account when FERA should be sharing in these CARE administrative expenses. It is</w:t>
      </w:r>
      <w:r w:rsidRPr="00113619">
        <w:t xml:space="preserve"> </w:t>
      </w:r>
      <w:r>
        <w:t xml:space="preserve">also </w:t>
      </w:r>
      <w:r w:rsidRPr="00113619">
        <w:t xml:space="preserve">important to </w:t>
      </w:r>
      <w:r>
        <w:t>separate out these costs to avoid</w:t>
      </w:r>
      <w:r w:rsidRPr="00113619">
        <w:t xml:space="preserve"> using CARE funds for FERA</w:t>
      </w:r>
      <w:r>
        <w:t xml:space="preserve"> efforts.  Therefore, we require the IOUs to begin tracking all FERA related costs into its respective FERA balancing account.  For those costs spent on joint FERA, CARE, or ESA related efforts, the costs shall be split between the programs as has been done with joint CARE and ESA efforts at the appropriate level determined by the IOUs.</w:t>
      </w:r>
    </w:p>
    <w:p w:rsidR="000C1980" w:rsidP="00354202" w:rsidRDefault="000C1980" w14:paraId="4DB777E6" w14:textId="5F16FDE9">
      <w:pPr>
        <w:pStyle w:val="Standard"/>
      </w:pPr>
      <w:r w:rsidRPr="0038097B">
        <w:t xml:space="preserve">The Commission recognizes that SCE's FERA </w:t>
      </w:r>
      <w:r>
        <w:t>b</w:t>
      </w:r>
      <w:r w:rsidRPr="0038097B">
        <w:t xml:space="preserve">alancing </w:t>
      </w:r>
      <w:r>
        <w:t>a</w:t>
      </w:r>
      <w:r w:rsidRPr="0038097B">
        <w:t>ccount was closed prior to December 31, 2009.</w:t>
      </w:r>
      <w:r>
        <w:rPr>
          <w:rStyle w:val="FootnoteReference"/>
        </w:rPr>
        <w:footnoteReference w:id="279"/>
      </w:r>
      <w:r w:rsidRPr="0038097B">
        <w:t xml:space="preserve">  </w:t>
      </w:r>
      <w:r>
        <w:t xml:space="preserve">This decision </w:t>
      </w:r>
      <w:r w:rsidRPr="0038097B">
        <w:t xml:space="preserve">directs SCE to reestablish a FERA </w:t>
      </w:r>
      <w:r>
        <w:t>b</w:t>
      </w:r>
      <w:r w:rsidRPr="0038097B">
        <w:t xml:space="preserve">alancing </w:t>
      </w:r>
      <w:r>
        <w:t>a</w:t>
      </w:r>
      <w:r w:rsidRPr="0038097B">
        <w:t xml:space="preserve">ccount </w:t>
      </w:r>
      <w:r>
        <w:t>and</w:t>
      </w:r>
      <w:r w:rsidRPr="0038097B">
        <w:t xml:space="preserve"> to record </w:t>
      </w:r>
      <w:r>
        <w:t xml:space="preserve">all </w:t>
      </w:r>
      <w:r w:rsidRPr="0038097B">
        <w:t>FERA-related expenses</w:t>
      </w:r>
      <w:r>
        <w:t xml:space="preserve"> as described above</w:t>
      </w:r>
      <w:r w:rsidRPr="0038097B">
        <w:t>. SCE’s FER</w:t>
      </w:r>
      <w:r>
        <w:t>A balancing account</w:t>
      </w:r>
      <w:r w:rsidRPr="0038097B">
        <w:t xml:space="preserve"> </w:t>
      </w:r>
      <w:r w:rsidR="00AD5D71">
        <w:t>must</w:t>
      </w:r>
      <w:r w:rsidRPr="0038097B">
        <w:t xml:space="preserve"> be established </w:t>
      </w:r>
      <w:r>
        <w:t>within six months from the issuance of this decision</w:t>
      </w:r>
      <w:r w:rsidRPr="0038097B">
        <w:t>.</w:t>
      </w:r>
      <w:r w:rsidRPr="00BE6A40">
        <w:t xml:space="preserve"> </w:t>
      </w:r>
      <w:r>
        <w:t xml:space="preserve"> Further, as described above, SCE is required to separate out its FERA related administrative budgets from the CARE administrative budgets and record them separately.  Lastly, we approve SDG&amp;E’s request</w:t>
      </w:r>
      <w:r w:rsidRPr="00036FDB">
        <w:t xml:space="preserve"> </w:t>
      </w:r>
      <w:r>
        <w:t xml:space="preserve">to </w:t>
      </w:r>
      <w:r w:rsidRPr="0064574B">
        <w:t>eliminate the</w:t>
      </w:r>
      <w:r>
        <w:t xml:space="preserve"> </w:t>
      </w:r>
      <w:r w:rsidRPr="0064574B">
        <w:t>FERA subaccount in the BBA</w:t>
      </w:r>
      <w:r>
        <w:t xml:space="preserve">.  </w:t>
      </w:r>
    </w:p>
    <w:p w:rsidR="000C1980" w:rsidP="001968DC" w:rsidRDefault="000C1980" w14:paraId="127F9683" w14:textId="77777777">
      <w:pPr>
        <w:pStyle w:val="Heading1"/>
        <w:ind w:left="720"/>
      </w:pPr>
      <w:bookmarkStart w:name="_Toc69947884" w:id="206"/>
      <w:r>
        <w:lastRenderedPageBreak/>
        <w:t xml:space="preserve">ESA </w:t>
      </w:r>
      <w:r w:rsidRPr="00C73AD4">
        <w:t>Program</w:t>
      </w:r>
      <w:bookmarkEnd w:id="206"/>
      <w:r>
        <w:t xml:space="preserve"> </w:t>
      </w:r>
    </w:p>
    <w:p w:rsidR="000C1980" w:rsidP="001968DC" w:rsidRDefault="000C1980" w14:paraId="43BDDEE8" w14:textId="77777777">
      <w:pPr>
        <w:pStyle w:val="Heading2"/>
        <w:ind w:left="1728"/>
      </w:pPr>
      <w:bookmarkStart w:name="_Toc69947885" w:id="207"/>
      <w:r>
        <w:t xml:space="preserve">2020 Statutory </w:t>
      </w:r>
      <w:r w:rsidRPr="00C73AD4">
        <w:t>Goal</w:t>
      </w:r>
      <w:r>
        <w:t xml:space="preserve"> and Completion of “First Touches”</w:t>
      </w:r>
      <w:bookmarkEnd w:id="207"/>
    </w:p>
    <w:p w:rsidR="00DC0566" w:rsidP="001968DC" w:rsidRDefault="00DC0566" w14:paraId="1DC50B05" w14:textId="3A3F593E">
      <w:pPr>
        <w:pStyle w:val="Heading3"/>
        <w:ind w:left="2664"/>
      </w:pPr>
      <w:bookmarkStart w:name="_Toc69947886" w:id="208"/>
      <w:r>
        <w:t xml:space="preserve">2020 Statutory </w:t>
      </w:r>
      <w:r w:rsidRPr="00C73AD4">
        <w:t>Goal</w:t>
      </w:r>
      <w:bookmarkEnd w:id="208"/>
    </w:p>
    <w:p w:rsidRPr="00F27128" w:rsidR="000C1980" w:rsidP="00354202" w:rsidRDefault="000C1980" w14:paraId="661D306A" w14:textId="18435187">
      <w:pPr>
        <w:pStyle w:val="Standard"/>
      </w:pPr>
      <w:r>
        <w:t>T</w:t>
      </w:r>
      <w:r w:rsidRPr="00F27128">
        <w:t>he Commission adopted a “programmatic initiative” in D.07</w:t>
      </w:r>
      <w:r w:rsidRPr="00F27128">
        <w:noBreakHyphen/>
        <w:t>12</w:t>
      </w:r>
      <w:r w:rsidRPr="00F27128">
        <w:noBreakHyphen/>
        <w:t>051 to “provide all eligible customers the opportunity to participate in LIEE</w:t>
      </w:r>
      <w:r w:rsidRPr="00F27128">
        <w:rPr>
          <w:vertAlign w:val="superscript"/>
        </w:rPr>
        <w:footnoteReference w:id="280"/>
      </w:r>
      <w:r w:rsidRPr="00F27128">
        <w:t xml:space="preserve"> programs and to offer those who wish to participate all cost effective energy efficiency measures in their residences by 2020.”</w:t>
      </w:r>
      <w:r w:rsidRPr="00F27128">
        <w:rPr>
          <w:vertAlign w:val="superscript"/>
        </w:rPr>
        <w:footnoteReference w:id="281"/>
      </w:r>
      <w:r w:rsidRPr="00F27128">
        <w:t xml:space="preserve">  </w:t>
      </w:r>
      <w:r>
        <w:t>A</w:t>
      </w:r>
      <w:r w:rsidRPr="00F27128">
        <w:t>ccordingly</w:t>
      </w:r>
      <w:r>
        <w:t>, t</w:t>
      </w:r>
      <w:r w:rsidRPr="00F27128">
        <w:t xml:space="preserve">he Commission’s California Long-Term Energy Efficiency Strategic Plan </w:t>
      </w:r>
      <w:r>
        <w:t>then</w:t>
      </w:r>
      <w:r w:rsidRPr="00F27128">
        <w:t xml:space="preserve"> set an aspirational goal to treat all of the eligible and willing low</w:t>
      </w:r>
      <w:r>
        <w:t xml:space="preserve"> </w:t>
      </w:r>
      <w:r w:rsidRPr="00F27128">
        <w:t>income homes by 2020.</w:t>
      </w:r>
      <w:r w:rsidRPr="00F27128">
        <w:rPr>
          <w:vertAlign w:val="superscript"/>
        </w:rPr>
        <w:footnoteReference w:id="282"/>
      </w:r>
      <w:r w:rsidRPr="00F27128">
        <w:t xml:space="preserve">  This goal was later codified into </w:t>
      </w:r>
      <w:r w:rsidRPr="008F1EE5">
        <w:t>Pub. Util</w:t>
      </w:r>
      <w:r>
        <w:t>.</w:t>
      </w:r>
      <w:r w:rsidRPr="00F27128">
        <w:t xml:space="preserve"> Code Section 382(e) which requires that:</w:t>
      </w:r>
    </w:p>
    <w:p w:rsidRPr="00F27128" w:rsidR="000C1980" w:rsidP="00354202" w:rsidRDefault="000C1980" w14:paraId="08D72CF3" w14:textId="77777777">
      <w:pPr>
        <w:pStyle w:val="BlockQuote"/>
      </w:pPr>
      <w:r>
        <w:t>“</w:t>
      </w:r>
      <w:r w:rsidRPr="00F27128">
        <w:t>The commission shall, by not later than December 31, 2020, ensure that all eligible low-income electricity and gas customers are given the opportunity to participate in low-income energy efficiency programs, including customers occupying apartments or similar multiunit residential structures.  The commission and electrical corporations and gas corporations shall make all reasonable efforts to coordinate ratepayer-funded programs with other energy conservation and efficiency programs and to obtain additional federal funding to support actions undertaken pursuant to this subdivision.</w:t>
      </w:r>
    </w:p>
    <w:p w:rsidRPr="00F27128" w:rsidR="000C1980" w:rsidP="00354202" w:rsidRDefault="000C1980" w14:paraId="41E422F8" w14:textId="77777777">
      <w:pPr>
        <w:pStyle w:val="BlockQuote"/>
      </w:pPr>
      <w:r w:rsidRPr="00F27128">
        <w:t>These programs shall be designed to provide long-term reductions in energy consumption at the dwelling unit based on an audit or assessment of the dwelling unit, and may include improved insulation, energy efficient appliances, measures that utilize solar energy, and other improvements to the physical structure.</w:t>
      </w:r>
      <w:r>
        <w:t>”</w:t>
      </w:r>
    </w:p>
    <w:p w:rsidRPr="00F27128" w:rsidR="000C1980" w:rsidP="00354202" w:rsidRDefault="000C1980" w14:paraId="681E62E0" w14:textId="77777777">
      <w:pPr>
        <w:pStyle w:val="Standard"/>
      </w:pPr>
      <w:r>
        <w:lastRenderedPageBreak/>
        <w:t>All past decisions authorizing funding for the ESA program have therefore adopted annual household treatment goals by IOU service areas that would work towards the 2020 goal, with the IOUs providing monthly and annual reports of progress being made.  Collectively, the IOUs were largely on track to meet the goal of treating all eligible and willing households by the end of 2020.</w:t>
      </w:r>
      <w:r w:rsidRPr="009D13CA">
        <w:rPr>
          <w:vertAlign w:val="superscript"/>
        </w:rPr>
        <w:footnoteReference w:id="283"/>
      </w:r>
    </w:p>
    <w:p w:rsidR="00F721C1" w:rsidP="001968DC" w:rsidRDefault="003B1132" w14:paraId="54C11B46" w14:textId="22F33667">
      <w:pPr>
        <w:pStyle w:val="Heading3"/>
        <w:ind w:left="2664"/>
      </w:pPr>
      <w:bookmarkStart w:name="_Toc69947887" w:id="209"/>
      <w:r>
        <w:t xml:space="preserve">Impacts from </w:t>
      </w:r>
      <w:r w:rsidR="00F721C1">
        <w:t xml:space="preserve">COVID-19 on the 2020 Statutory </w:t>
      </w:r>
      <w:r w:rsidRPr="00C73AD4" w:rsidR="00F721C1">
        <w:t>Goal</w:t>
      </w:r>
      <w:bookmarkEnd w:id="209"/>
    </w:p>
    <w:p w:rsidRPr="00F27128" w:rsidR="000C1980" w:rsidP="00345B87" w:rsidRDefault="000C1980" w14:paraId="70C422F5" w14:textId="699B6927">
      <w:pPr>
        <w:pStyle w:val="Standard"/>
      </w:pPr>
      <w:r w:rsidRPr="00F27128">
        <w:t xml:space="preserve">On March 4, 2020, Governor Newsom declared a state of emergency related to the COVID-19 pandemic.  On March 19, 2020, Governor Newsom ordered all residents to heed state public health directives, including the order for all individuals living in the state to stay home or at their place of residence except as needed to maintain continuity of operations at the federal critical infrastructure sectors.  To comply with this order, the IOUs halted all in-person ESA program activities through May 31, 2020. On June 1, 2020, the IOUs resumed ESA program </w:t>
      </w:r>
      <w:r w:rsidRPr="00345B87">
        <w:t>activity</w:t>
      </w:r>
      <w:r w:rsidRPr="00F27128">
        <w:t xml:space="preserve"> with protections in place to protect both the program contractors and household</w:t>
      </w:r>
      <w:r>
        <w:t>s. Activities shifted to online where possible,</w:t>
      </w:r>
      <w:r w:rsidRPr="00F27128">
        <w:t xml:space="preserve"> including allowing virtual enrollment in</w:t>
      </w:r>
      <w:r w:rsidR="00407BCA">
        <w:t>to</w:t>
      </w:r>
      <w:r w:rsidRPr="00F27128">
        <w:t xml:space="preserve"> the ESA program.  Although the ESA program was resumed, the IOUs stated that enrollment was slowed due to a variety of factors including continued hesitation on the customers’ end to allow in person visits and mobiliz</w:t>
      </w:r>
      <w:r>
        <w:t>ation of</w:t>
      </w:r>
      <w:r w:rsidRPr="00F27128">
        <w:t xml:space="preserve"> the contractor workforce.  </w:t>
      </w:r>
      <w:r w:rsidR="00870C1E">
        <w:t>D</w:t>
      </w:r>
      <w:r w:rsidRPr="00F27128">
        <w:t xml:space="preserve">ue to these unfortunate and unforeseen challenges, </w:t>
      </w:r>
      <w:r>
        <w:t xml:space="preserve">not </w:t>
      </w:r>
      <w:r w:rsidR="00D60573">
        <w:t xml:space="preserve">all </w:t>
      </w:r>
      <w:r w:rsidRPr="00F27128">
        <w:t>the IOUs were able to meet the 2020 goals</w:t>
      </w:r>
      <w:r w:rsidR="003742BF">
        <w:t>;</w:t>
      </w:r>
      <w:r w:rsidR="000A380B">
        <w:t xml:space="preserve"> however only SCE and SoCalGas fell short</w:t>
      </w:r>
      <w:r w:rsidRPr="00F27128">
        <w:t xml:space="preserve">. As of December 31, 2020, PG&amp;E achieved </w:t>
      </w:r>
      <w:r>
        <w:t>100</w:t>
      </w:r>
      <w:r w:rsidRPr="006E22E7">
        <w:t xml:space="preserve"> </w:t>
      </w:r>
      <w:r w:rsidRPr="0026503D">
        <w:t>percent</w:t>
      </w:r>
      <w:r w:rsidRPr="00F27128">
        <w:t xml:space="preserve"> of its 2020 goal, SCE achieved </w:t>
      </w:r>
      <w:r>
        <w:t>96</w:t>
      </w:r>
      <w:r w:rsidRPr="006E22E7">
        <w:t xml:space="preserve"> </w:t>
      </w:r>
      <w:r w:rsidRPr="0026503D">
        <w:t>percent</w:t>
      </w:r>
      <w:r w:rsidRPr="00F27128">
        <w:t xml:space="preserve"> of its 2020 </w:t>
      </w:r>
      <w:r w:rsidRPr="00F27128">
        <w:lastRenderedPageBreak/>
        <w:t>goal, S</w:t>
      </w:r>
      <w:r w:rsidR="000A380B">
        <w:t>o</w:t>
      </w:r>
      <w:r w:rsidRPr="00F27128">
        <w:t>C</w:t>
      </w:r>
      <w:r w:rsidR="000A380B">
        <w:t>al</w:t>
      </w:r>
      <w:r w:rsidRPr="00F27128">
        <w:t>G</w:t>
      </w:r>
      <w:r w:rsidR="000A380B">
        <w:t>as</w:t>
      </w:r>
      <w:r w:rsidRPr="00F27128">
        <w:t xml:space="preserve"> achieved </w:t>
      </w:r>
      <w:r>
        <w:t>85</w:t>
      </w:r>
      <w:r w:rsidRPr="006E22E7">
        <w:t xml:space="preserve"> </w:t>
      </w:r>
      <w:r w:rsidRPr="0026503D">
        <w:t>percent</w:t>
      </w:r>
      <w:r w:rsidRPr="00F27128">
        <w:t xml:space="preserve"> of its 2020 goal, and SDG&amp;E achieved </w:t>
      </w:r>
      <w:r>
        <w:t>100</w:t>
      </w:r>
      <w:r w:rsidRPr="006E22E7">
        <w:t xml:space="preserve"> </w:t>
      </w:r>
      <w:r w:rsidRPr="0026503D">
        <w:t>percent</w:t>
      </w:r>
      <w:r w:rsidRPr="00F27128">
        <w:t xml:space="preserve"> of its 2020 goal.</w:t>
      </w:r>
      <w:r w:rsidRPr="00F27128">
        <w:rPr>
          <w:vertAlign w:val="superscript"/>
        </w:rPr>
        <w:footnoteReference w:id="284"/>
      </w:r>
      <w:r w:rsidRPr="00F27128">
        <w:t xml:space="preserve"> </w:t>
      </w:r>
    </w:p>
    <w:p w:rsidRPr="00416E54" w:rsidR="000C1980" w:rsidP="001968DC" w:rsidRDefault="000C1980" w14:paraId="2F7E0D50" w14:textId="77777777">
      <w:pPr>
        <w:pStyle w:val="Heading2"/>
        <w:ind w:left="1728"/>
      </w:pPr>
      <w:bookmarkStart w:name="_Toc69947888" w:id="210"/>
      <w:r w:rsidRPr="00416E54">
        <w:t>Energy Division Staff</w:t>
      </w:r>
      <w:r>
        <w:t>’s</w:t>
      </w:r>
      <w:r w:rsidRPr="00416E54">
        <w:t xml:space="preserve"> Propos</w:t>
      </w:r>
      <w:r>
        <w:t>ed ESA Design &amp; Goals</w:t>
      </w:r>
      <w:bookmarkEnd w:id="210"/>
    </w:p>
    <w:p w:rsidR="000C1980" w:rsidP="001968DC" w:rsidRDefault="000C1980" w14:paraId="11D176BB" w14:textId="77777777">
      <w:pPr>
        <w:pStyle w:val="Heading3"/>
        <w:ind w:left="2664"/>
      </w:pPr>
      <w:bookmarkStart w:name="_Toc69947889" w:id="211"/>
      <w:r>
        <w:t>Background</w:t>
      </w:r>
      <w:bookmarkEnd w:id="211"/>
    </w:p>
    <w:p w:rsidR="000C1980" w:rsidP="00354202" w:rsidRDefault="000C1980" w14:paraId="2BC48E0B" w14:textId="30AE2844">
      <w:pPr>
        <w:pStyle w:val="Standard"/>
      </w:pPr>
      <w:r>
        <w:t xml:space="preserve">In anticipation of the IOUs meeting the 2020 statutory goal, and with most low income homes having been “touched” by the program, </w:t>
      </w:r>
      <w:r w:rsidRPr="00290D47">
        <w:t>Energy Division</w:t>
      </w:r>
      <w:r>
        <w:t xml:space="preserve"> staff proposed a new post 2020 design and delivery concept (</w:t>
      </w:r>
      <w:r w:rsidRPr="00290D47">
        <w:t xml:space="preserve">Staff </w:t>
      </w:r>
      <w:r>
        <w:t xml:space="preserve">Proposal) that would shift the </w:t>
      </w:r>
      <w:r w:rsidRPr="00290D47">
        <w:t>focus of the ESA program</w:t>
      </w:r>
      <w:r>
        <w:t xml:space="preserve"> away from a program treating a number of households, to one focusing on deeper </w:t>
      </w:r>
      <w:r w:rsidRPr="00290D47">
        <w:t>savings and coordination across multiple clean energy programs.</w:t>
      </w:r>
      <w:r>
        <w:rPr>
          <w:rStyle w:val="FootnoteReference"/>
        </w:rPr>
        <w:footnoteReference w:id="285"/>
      </w:r>
      <w:r w:rsidRPr="00290D47">
        <w:t xml:space="preserve"> </w:t>
      </w:r>
      <w:r>
        <w:t xml:space="preserve"> </w:t>
      </w:r>
      <w:r w:rsidRPr="00290D47">
        <w:t>The Staff Proposal</w:t>
      </w:r>
      <w:r>
        <w:t xml:space="preserve"> would</w:t>
      </w:r>
      <w:r w:rsidRPr="00290D47">
        <w:t xml:space="preserve"> </w:t>
      </w:r>
      <w:r>
        <w:t xml:space="preserve">replace the existing portfolio level energy savings targets </w:t>
      </w:r>
      <w:r w:rsidR="006A12ED">
        <w:t xml:space="preserve">with </w:t>
      </w:r>
      <w:r>
        <w:t>an</w:t>
      </w:r>
      <w:r w:rsidRPr="00290D47">
        <w:t xml:space="preserve"> average household-level </w:t>
      </w:r>
      <w:r>
        <w:t xml:space="preserve">energy </w:t>
      </w:r>
      <w:r w:rsidRPr="00290D47">
        <w:t>savings goa</w:t>
      </w:r>
      <w:r>
        <w:t>l, which would be</w:t>
      </w:r>
      <w:r w:rsidRPr="00290D47">
        <w:t xml:space="preserve"> increase</w:t>
      </w:r>
      <w:r>
        <w:t>d</w:t>
      </w:r>
      <w:r w:rsidRPr="00290D47">
        <w:t xml:space="preserve"> by at least 5 percent each year compared to the previous year over the course of the 2021-2026 program</w:t>
      </w:r>
      <w:r>
        <w:t xml:space="preserve"> cycle</w:t>
      </w:r>
      <w:r w:rsidRPr="00290D47">
        <w:t>.</w:t>
      </w:r>
      <w:r>
        <w:t xml:space="preserve">  The Staff Proposal would also require the IOUs to increase </w:t>
      </w:r>
      <w:r w:rsidRPr="002F2643">
        <w:t>coord</w:t>
      </w:r>
      <w:r>
        <w:t xml:space="preserve">ination of ESA with </w:t>
      </w:r>
      <w:r w:rsidRPr="002F2643">
        <w:t xml:space="preserve">other clean energy programs </w:t>
      </w:r>
      <w:r>
        <w:t xml:space="preserve">to achieve such energy savings goals and develop a universal application system (UAS). </w:t>
      </w:r>
    </w:p>
    <w:p w:rsidRPr="002F2643" w:rsidR="000C1980" w:rsidP="00354202" w:rsidRDefault="000C1980" w14:paraId="2E8A18FC" w14:textId="77777777">
      <w:pPr>
        <w:pStyle w:val="Standard"/>
      </w:pPr>
      <w:r w:rsidRPr="00344A54">
        <w:rPr>
          <w:b/>
          <w:bCs/>
          <w:i/>
          <w:iCs/>
          <w:u w:val="single"/>
        </w:rPr>
        <w:t>Guiding Principles:</w:t>
      </w:r>
      <w:r>
        <w:t xml:space="preserve"> </w:t>
      </w:r>
      <w:r w:rsidRPr="002F2643">
        <w:t xml:space="preserve">The guiding </w:t>
      </w:r>
      <w:r w:rsidRPr="00354202">
        <w:t>principles</w:t>
      </w:r>
      <w:r w:rsidRPr="002F2643">
        <w:t xml:space="preserve"> used to create the </w:t>
      </w:r>
      <w:r>
        <w:t>Staff P</w:t>
      </w:r>
      <w:r w:rsidRPr="002F2643">
        <w:t xml:space="preserve">roposal </w:t>
      </w:r>
      <w:r>
        <w:t>i</w:t>
      </w:r>
      <w:r w:rsidRPr="002F2643">
        <w:t>nclude:</w:t>
      </w:r>
    </w:p>
    <w:p w:rsidRPr="002F2643" w:rsidR="000C1980" w:rsidP="00402362" w:rsidRDefault="000C1980" w14:paraId="02ED3EFD" w14:textId="77777777">
      <w:pPr>
        <w:pStyle w:val="ListBullet"/>
      </w:pPr>
      <w:r w:rsidRPr="002F2643">
        <w:lastRenderedPageBreak/>
        <w:t xml:space="preserve">Parity - All eligible households would receive treatment over the coming decades with prioritization to those with the most immediate need.  </w:t>
      </w:r>
    </w:p>
    <w:p w:rsidRPr="002F2643" w:rsidR="000C1980" w:rsidP="00402362" w:rsidRDefault="000C1980" w14:paraId="62960F4E" w14:textId="77777777">
      <w:pPr>
        <w:pStyle w:val="ListBullet"/>
      </w:pPr>
      <w:r w:rsidRPr="002F2643">
        <w:t xml:space="preserve">Equity – The ownership status of the home is taken into consideration, and how to increase program participation opportunities to renters and whether landlord co-investment is reasonable. </w:t>
      </w:r>
    </w:p>
    <w:p w:rsidRPr="002F2643" w:rsidR="000C1980" w:rsidP="00402362" w:rsidRDefault="000C1980" w14:paraId="31D6014D" w14:textId="77777777">
      <w:pPr>
        <w:pStyle w:val="ListBullet"/>
      </w:pPr>
      <w:r w:rsidRPr="002F2643">
        <w:t>Stabilization – An increase in the households’ ability to purchase and utilize energy for their health, comfort, and safety.</w:t>
      </w:r>
    </w:p>
    <w:p w:rsidRPr="002F2643" w:rsidR="000C1980" w:rsidP="00402362" w:rsidRDefault="000C1980" w14:paraId="79FCA8E8" w14:textId="77777777">
      <w:pPr>
        <w:pStyle w:val="ListBullet"/>
      </w:pPr>
      <w:r w:rsidRPr="002F2643">
        <w:t xml:space="preserve">Quality – A shift in focus to capturing meaningful, deeper savings for </w:t>
      </w:r>
      <w:proofErr w:type="gramStart"/>
      <w:r w:rsidRPr="002F2643">
        <w:t>low</w:t>
      </w:r>
      <w:r>
        <w:t xml:space="preserve"> </w:t>
      </w:r>
      <w:r w:rsidRPr="002F2643">
        <w:t>income</w:t>
      </w:r>
      <w:proofErr w:type="gramEnd"/>
      <w:r w:rsidRPr="002F2643">
        <w:t xml:space="preserve"> households. This means spending more on fewer households, but dramatically increasing the impact of the treatment.       </w:t>
      </w:r>
    </w:p>
    <w:p w:rsidRPr="002F2643" w:rsidR="000C1980" w:rsidP="00402362" w:rsidRDefault="000C1980" w14:paraId="6CE8C67D" w14:textId="77777777">
      <w:pPr>
        <w:pStyle w:val="ListBullet"/>
      </w:pPr>
      <w:r w:rsidRPr="002F2643">
        <w:t xml:space="preserve">Customer-centric – A seamless </w:t>
      </w:r>
      <w:proofErr w:type="gramStart"/>
      <w:r w:rsidRPr="002F2643">
        <w:t>low</w:t>
      </w:r>
      <w:r>
        <w:t xml:space="preserve"> </w:t>
      </w:r>
      <w:r w:rsidRPr="002F2643">
        <w:t>income</w:t>
      </w:r>
      <w:proofErr w:type="gramEnd"/>
      <w:r w:rsidRPr="002F2643">
        <w:t xml:space="preserve"> program delivery for the recipient with the ability to apply for multiple programs with one application, which can increase household energy savings and reduce hardship, and lead to greater satisfaction. </w:t>
      </w:r>
    </w:p>
    <w:p w:rsidRPr="002F2643" w:rsidR="000C1980" w:rsidP="00402362" w:rsidRDefault="000C1980" w14:paraId="39138D24" w14:textId="77777777">
      <w:pPr>
        <w:pStyle w:val="ListBullet"/>
      </w:pPr>
      <w:r w:rsidRPr="002F2643">
        <w:t xml:space="preserve">Optimization – Reduction in program administration, duplicative costs, and burdens to ratepayers. Maximize total funding to go towards program measures that save energy and reduce ESA-household hardship and/or reduce ratepayer collection.  </w:t>
      </w:r>
    </w:p>
    <w:p w:rsidRPr="002F2643" w:rsidR="000C1980" w:rsidP="00354202" w:rsidRDefault="000C1980" w14:paraId="3E1A6EED" w14:textId="77777777">
      <w:pPr>
        <w:pStyle w:val="Standard"/>
      </w:pPr>
      <w:r>
        <w:rPr>
          <w:b/>
          <w:bCs/>
          <w:i/>
          <w:iCs/>
          <w:u w:val="single"/>
        </w:rPr>
        <w:t xml:space="preserve">Proposed </w:t>
      </w:r>
      <w:r w:rsidRPr="00AA44FA">
        <w:rPr>
          <w:b/>
          <w:bCs/>
          <w:i/>
          <w:iCs/>
          <w:u w:val="single"/>
        </w:rPr>
        <w:t>Goals</w:t>
      </w:r>
      <w:r>
        <w:rPr>
          <w:b/>
          <w:bCs/>
          <w:i/>
          <w:iCs/>
          <w:u w:val="single"/>
        </w:rPr>
        <w:t>/Outcomes</w:t>
      </w:r>
      <w:r w:rsidRPr="00AA44FA">
        <w:rPr>
          <w:b/>
          <w:bCs/>
          <w:i/>
          <w:iCs/>
          <w:u w:val="single"/>
        </w:rPr>
        <w:t>:</w:t>
      </w:r>
      <w:r>
        <w:t xml:space="preserve"> The following g</w:t>
      </w:r>
      <w:r w:rsidRPr="002F2643">
        <w:t>o</w:t>
      </w:r>
      <w:r>
        <w:t xml:space="preserve">als were proposed to </w:t>
      </w:r>
      <w:r w:rsidRPr="002F2643">
        <w:t xml:space="preserve">help guide the ESA program </w:t>
      </w:r>
      <w:r>
        <w:t xml:space="preserve">away </w:t>
      </w:r>
      <w:r w:rsidRPr="002F2643">
        <w:t xml:space="preserve">from a “number of households treated” paradigm centered on basic weatherization treatments towards a </w:t>
      </w:r>
      <w:r>
        <w:t xml:space="preserve">design </w:t>
      </w:r>
      <w:r w:rsidRPr="002F2643">
        <w:t>focus</w:t>
      </w:r>
      <w:r>
        <w:t>ed</w:t>
      </w:r>
      <w:r w:rsidRPr="002F2643">
        <w:t xml:space="preserve"> on quality and depth of treatments</w:t>
      </w:r>
      <w:r>
        <w:t xml:space="preserve">. </w:t>
      </w:r>
    </w:p>
    <w:p w:rsidRPr="00E368D0" w:rsidR="000C1980" w:rsidP="00354202" w:rsidRDefault="000C1980" w14:paraId="171E5391" w14:textId="77777777">
      <w:pPr>
        <w:pStyle w:val="Standard"/>
      </w:pPr>
      <w:r w:rsidRPr="006C79EB">
        <w:rPr>
          <w:i/>
          <w:iCs/>
          <w:u w:val="single"/>
        </w:rPr>
        <w:t>Deeper Energy Savings</w:t>
      </w:r>
      <w:r w:rsidRPr="00E368D0">
        <w:t>: Based on resource measures, the average treated household energy savings (</w:t>
      </w:r>
      <w:r w:rsidRPr="00354202">
        <w:rPr>
          <w:i/>
          <w:iCs/>
        </w:rPr>
        <w:t>e.g</w:t>
      </w:r>
      <w:r w:rsidRPr="00E368D0">
        <w:t xml:space="preserve">., kWh/household and </w:t>
      </w:r>
      <w:proofErr w:type="spellStart"/>
      <w:r w:rsidRPr="00E368D0">
        <w:t>therms</w:t>
      </w:r>
      <w:proofErr w:type="spellEnd"/>
      <w:r w:rsidRPr="00E368D0">
        <w:t>/household) across the ESA program would increase at least 5 percent</w:t>
      </w:r>
      <w:r w:rsidRPr="00E368D0">
        <w:rPr>
          <w:vertAlign w:val="superscript"/>
        </w:rPr>
        <w:footnoteReference w:id="286"/>
      </w:r>
      <w:r w:rsidRPr="00E368D0">
        <w:t xml:space="preserve"> year over year for each IOU service territory.</w:t>
      </w:r>
    </w:p>
    <w:p w:rsidRPr="00E368D0" w:rsidR="000C1980" w:rsidP="00354202" w:rsidRDefault="000C1980" w14:paraId="01789083" w14:textId="77777777">
      <w:pPr>
        <w:pStyle w:val="Standard"/>
      </w:pPr>
      <w:r w:rsidRPr="006C79EB">
        <w:rPr>
          <w:i/>
          <w:iCs/>
          <w:u w:val="single"/>
        </w:rPr>
        <w:lastRenderedPageBreak/>
        <w:t>Better Coordination with Clean Energy Programs</w:t>
      </w:r>
      <w:r w:rsidRPr="00E368D0">
        <w:t xml:space="preserve">: Maximize ESA household participation and coordination in other clean energy programs that will reduce hardship at the household level, either by decreasing energy consumption or increasing health, comfort and safety based on preset metrics. The goal will include identifying other clean energy programs besides ESA and CARE/FERA that a household is eligible to apply </w:t>
      </w:r>
      <w:r>
        <w:t>for</w:t>
      </w:r>
      <w:r w:rsidRPr="00E368D0">
        <w:t xml:space="preserve"> and provide support to the household to facilitate that application.   </w:t>
      </w:r>
    </w:p>
    <w:p w:rsidRPr="00E368D0" w:rsidR="000C1980" w:rsidP="00354202" w:rsidRDefault="000C1980" w14:paraId="094C92DD" w14:textId="77777777">
      <w:pPr>
        <w:pStyle w:val="Standard"/>
      </w:pPr>
      <w:r w:rsidRPr="006C79EB">
        <w:rPr>
          <w:i/>
          <w:iCs/>
          <w:u w:val="single"/>
        </w:rPr>
        <w:t xml:space="preserve">Development of a </w:t>
      </w:r>
      <w:r>
        <w:rPr>
          <w:i/>
          <w:iCs/>
          <w:u w:val="single"/>
        </w:rPr>
        <w:t>UAS</w:t>
      </w:r>
      <w:r w:rsidRPr="00E368D0">
        <w:t>: In conjunction with increasing coordination among programs and meeting the above goal</w:t>
      </w:r>
      <w:r>
        <w:t>s</w:t>
      </w:r>
      <w:r w:rsidRPr="00E368D0">
        <w:t>, the IOUs will build a universal low</w:t>
      </w:r>
      <w:r>
        <w:t xml:space="preserve"> </w:t>
      </w:r>
      <w:r w:rsidRPr="00E368D0">
        <w:t>income customer application system, starting with the CARE/FERA and ESA programs, that allows for multiple registration pathways (online, in-person, or by phone, text, or email by owner, building manager/owner on behalf of tenants, or by tenants) and capabilities for sharing application information and related energy usage information with program partners, such as other clean energy program administrators and implementers.</w:t>
      </w:r>
      <w:r w:rsidRPr="00E368D0">
        <w:rPr>
          <w:vertAlign w:val="superscript"/>
        </w:rPr>
        <w:footnoteReference w:id="287"/>
      </w:r>
      <w:r w:rsidRPr="00E368D0">
        <w:t xml:space="preserve"> </w:t>
      </w:r>
      <w:r>
        <w:t xml:space="preserve"> </w:t>
      </w:r>
      <w:r w:rsidRPr="00E368D0">
        <w:t xml:space="preserve">This system </w:t>
      </w:r>
      <w:r>
        <w:t xml:space="preserve">would </w:t>
      </w:r>
      <w:r w:rsidRPr="00E368D0">
        <w:t>allow for a customer to complete one application for multiple programs and allow co-funding and coordination among various programs.</w:t>
      </w:r>
      <w:r w:rsidRPr="00E368D0">
        <w:rPr>
          <w:vertAlign w:val="superscript"/>
        </w:rPr>
        <w:footnoteReference w:id="288"/>
      </w:r>
    </w:p>
    <w:p w:rsidRPr="002D06CD" w:rsidR="000C1980" w:rsidP="00354202" w:rsidRDefault="000C1980" w14:paraId="59AACE46" w14:textId="77777777">
      <w:pPr>
        <w:pStyle w:val="Standard"/>
      </w:pPr>
      <w:r>
        <w:rPr>
          <w:b/>
          <w:bCs/>
          <w:i/>
          <w:iCs/>
          <w:u w:val="single"/>
        </w:rPr>
        <w:t>Proposed 4 Step Delivery Model</w:t>
      </w:r>
      <w:r w:rsidRPr="00AA44FA">
        <w:rPr>
          <w:b/>
          <w:bCs/>
          <w:i/>
          <w:iCs/>
          <w:u w:val="single"/>
        </w:rPr>
        <w:t>:</w:t>
      </w:r>
      <w:bookmarkStart w:name="_Toc43216373" w:id="212"/>
      <w:r>
        <w:t xml:space="preserve">  T</w:t>
      </w:r>
      <w:r w:rsidRPr="002D06CD">
        <w:t xml:space="preserve">he Staff Proposal provides four steps to meeting the above goals with each step designed to meet each household’s specific needs, while moving towards energy stability, or, in other words, the ability for each household to use energy for their health, comfort, and safety.  </w:t>
      </w:r>
    </w:p>
    <w:p w:rsidR="000C1980" w:rsidP="00354202" w:rsidRDefault="000C1980" w14:paraId="08B83C4C" w14:textId="77777777">
      <w:pPr>
        <w:pStyle w:val="Standard"/>
      </w:pPr>
      <w:r w:rsidRPr="002259A7">
        <w:rPr>
          <w:i/>
          <w:iCs/>
          <w:u w:val="single"/>
        </w:rPr>
        <w:lastRenderedPageBreak/>
        <w:t>Step 1: Customer Segmentation</w:t>
      </w:r>
      <w:r>
        <w:t>:</w:t>
      </w:r>
      <w:r w:rsidRPr="002259A7">
        <w:t> </w:t>
      </w:r>
      <w:bookmarkEnd w:id="212"/>
      <w:r w:rsidRPr="002259A7">
        <w:t xml:space="preserve">Each ESA household will have a dynamic customer profile created to provide cost-effective ESA measures that reduce energy consumption and bills. A dynamic profile combines customer details, vulnerable designations, </w:t>
      </w:r>
      <w:r w:rsidRPr="00354202">
        <w:t>and</w:t>
      </w:r>
      <w:r w:rsidRPr="002259A7">
        <w:t xml:space="preserve"> past participation or eligibility in other </w:t>
      </w:r>
      <w:proofErr w:type="gramStart"/>
      <w:r w:rsidRPr="002259A7">
        <w:t>low</w:t>
      </w:r>
      <w:r>
        <w:t xml:space="preserve"> </w:t>
      </w:r>
      <w:r w:rsidRPr="002259A7">
        <w:t>income</w:t>
      </w:r>
      <w:proofErr w:type="gramEnd"/>
      <w:r w:rsidRPr="002259A7">
        <w:t xml:space="preserve"> programs. </w:t>
      </w:r>
      <w:r>
        <w:t xml:space="preserve"> </w:t>
      </w:r>
      <w:r w:rsidRPr="002259A7">
        <w:t xml:space="preserve">These profiles should be sharable by the IOUs as there are shared territories and customers, especially between </w:t>
      </w:r>
      <w:r>
        <w:t>SCE</w:t>
      </w:r>
      <w:r w:rsidRPr="002259A7">
        <w:t xml:space="preserve"> and SoCalGas. </w:t>
      </w:r>
      <w:r>
        <w:t xml:space="preserve"> </w:t>
      </w:r>
      <w:r w:rsidRPr="002259A7">
        <w:t xml:space="preserve">The purpose of this segmentation is not only to identify which customers in IOU service territories might benefit from different tiers of ESA treatment, but also to prioritize marketing, outreach and coordination to the customers that are in most need of deep energy saving retrofits as well as customers that should be prioritized for certain health, comfort, and safety measures.  </w:t>
      </w:r>
      <w:r w:rsidRPr="00CE3B94">
        <w:t>By expanding the customer segmentation practices that the IOUs use in the current ESA program and making it a primary focus of the new ESA program structure,</w:t>
      </w:r>
      <w:r>
        <w:t xml:space="preserve"> </w:t>
      </w:r>
      <w:r w:rsidRPr="00CE3B94">
        <w:t>the program will better position itself to tailor measure offerings that will both maximize energy savings</w:t>
      </w:r>
      <w:r>
        <w:t xml:space="preserve"> </w:t>
      </w:r>
      <w:r w:rsidRPr="00CE3B94">
        <w:t>and</w:t>
      </w:r>
      <w:r>
        <w:t xml:space="preserve"> </w:t>
      </w:r>
      <w:r w:rsidRPr="00CE3B94">
        <w:t>opportunities for</w:t>
      </w:r>
      <w:r>
        <w:t xml:space="preserve"> </w:t>
      </w:r>
      <w:r w:rsidRPr="00CE3B94">
        <w:t>health,</w:t>
      </w:r>
      <w:r>
        <w:t xml:space="preserve"> </w:t>
      </w:r>
      <w:r w:rsidRPr="00CE3B94">
        <w:t>comfort,</w:t>
      </w:r>
      <w:r>
        <w:t xml:space="preserve"> </w:t>
      </w:r>
      <w:r w:rsidRPr="00CE3B94">
        <w:t>and</w:t>
      </w:r>
      <w:r>
        <w:t xml:space="preserve"> </w:t>
      </w:r>
      <w:r w:rsidRPr="00CE3B94">
        <w:t>safety</w:t>
      </w:r>
      <w:r>
        <w:t xml:space="preserve"> </w:t>
      </w:r>
      <w:r w:rsidRPr="00CE3B94">
        <w:t>measures,</w:t>
      </w:r>
      <w:r>
        <w:t xml:space="preserve"> </w:t>
      </w:r>
      <w:r w:rsidRPr="00CE3B94">
        <w:t>prioritize populations that would receive the greatest benefit from these treatments,</w:t>
      </w:r>
      <w:r>
        <w:t xml:space="preserve"> </w:t>
      </w:r>
      <w:r w:rsidRPr="00CE3B94">
        <w:t>and identify coordination with other programs.  </w:t>
      </w:r>
      <w:bookmarkStart w:name="_Toc43216374" w:id="213"/>
    </w:p>
    <w:p w:rsidR="000C1980" w:rsidP="00354202" w:rsidRDefault="000C1980" w14:paraId="1EEDD7C6" w14:textId="40D8D7CB">
      <w:pPr>
        <w:pStyle w:val="Standard"/>
      </w:pPr>
      <w:r w:rsidRPr="00CE3B94">
        <w:rPr>
          <w:i/>
          <w:iCs/>
          <w:u w:val="single"/>
        </w:rPr>
        <w:t xml:space="preserve">Step 2: Designing a </w:t>
      </w:r>
      <w:bookmarkEnd w:id="213"/>
      <w:r>
        <w:rPr>
          <w:i/>
          <w:iCs/>
          <w:u w:val="single"/>
        </w:rPr>
        <w:t>UAS</w:t>
      </w:r>
      <w:r>
        <w:t xml:space="preserve">: </w:t>
      </w:r>
      <w:r w:rsidRPr="00CE3B94">
        <w:t>To be</w:t>
      </w:r>
      <w:r w:rsidR="00BC6361">
        <w:t xml:space="preserve"> more</w:t>
      </w:r>
      <w:r w:rsidRPr="00CE3B94">
        <w:t xml:space="preserve"> customer-centric and optimize future program funds, </w:t>
      </w:r>
      <w:proofErr w:type="gramStart"/>
      <w:r w:rsidRPr="00CE3B94">
        <w:t>low</w:t>
      </w:r>
      <w:r>
        <w:t xml:space="preserve"> </w:t>
      </w:r>
      <w:r w:rsidRPr="00CE3B94">
        <w:t>income</w:t>
      </w:r>
      <w:proofErr w:type="gramEnd"/>
      <w:r w:rsidRPr="00CE3B94">
        <w:t xml:space="preserve"> households, or landlords, building owners, or property managers will access all available programs through a single application portal. A </w:t>
      </w:r>
      <w:r>
        <w:t>UAS</w:t>
      </w:r>
      <w:r w:rsidRPr="00CE3B94">
        <w:t xml:space="preserve"> will allow a potential ESA household to easily apply for multiple programs with one application, thus reducing administrative costs across multiple </w:t>
      </w:r>
      <w:proofErr w:type="gramStart"/>
      <w:r w:rsidRPr="00CE3B94">
        <w:t>ratepayer</w:t>
      </w:r>
      <w:proofErr w:type="gramEnd"/>
      <w:r w:rsidRPr="00CE3B94">
        <w:t xml:space="preserve"> funded programs and even connecting across agencies. </w:t>
      </w:r>
      <w:r>
        <w:t xml:space="preserve"> </w:t>
      </w:r>
      <w:r w:rsidRPr="00CE3B94">
        <w:t xml:space="preserve">The IOUs </w:t>
      </w:r>
      <w:r>
        <w:t>would</w:t>
      </w:r>
      <w:r w:rsidRPr="00CE3B94">
        <w:t xml:space="preserve"> work with other program managers to consider open data standards to facilitate data sharing to support development of a </w:t>
      </w:r>
      <w:r>
        <w:t>UAS</w:t>
      </w:r>
      <w:r w:rsidRPr="00CE3B94">
        <w:t xml:space="preserve">. </w:t>
      </w:r>
      <w:r>
        <w:t xml:space="preserve"> </w:t>
      </w:r>
      <w:r w:rsidRPr="00CE3B94">
        <w:t xml:space="preserve">The IOUs and Energy Division </w:t>
      </w:r>
      <w:r>
        <w:t>would</w:t>
      </w:r>
      <w:r w:rsidRPr="00CE3B94">
        <w:t xml:space="preserve"> lead a year-long development process to </w:t>
      </w:r>
      <w:r w:rsidRPr="00CE3B94">
        <w:lastRenderedPageBreak/>
        <w:t xml:space="preserve">identify the requirements for a </w:t>
      </w:r>
      <w:r>
        <w:t>UAS</w:t>
      </w:r>
      <w:r w:rsidRPr="00CE3B94">
        <w:t xml:space="preserve"> for </w:t>
      </w:r>
      <w:proofErr w:type="gramStart"/>
      <w:r w:rsidRPr="00CE3B94">
        <w:t>low</w:t>
      </w:r>
      <w:r>
        <w:t xml:space="preserve"> </w:t>
      </w:r>
      <w:r w:rsidRPr="00CE3B94">
        <w:t>income</w:t>
      </w:r>
      <w:proofErr w:type="gramEnd"/>
      <w:r w:rsidRPr="00CE3B94">
        <w:t xml:space="preserve"> customers.</w:t>
      </w:r>
      <w:r>
        <w:t xml:space="preserve"> </w:t>
      </w:r>
      <w:r w:rsidRPr="00CE3B94">
        <w:t xml:space="preserve"> Following the development process, the IOUs should submit an advice letter for at least two different system scenarios and budget requests for the CPUC’s consideration. </w:t>
      </w:r>
      <w:r>
        <w:t xml:space="preserve"> </w:t>
      </w:r>
      <w:r w:rsidRPr="00CE3B94">
        <w:t xml:space="preserve">As current program coordination efforts rely on manual efforts by IOU staff and others, having a tool to automate information sharing will fill a gap. </w:t>
      </w:r>
      <w:r>
        <w:t xml:space="preserve"> </w:t>
      </w:r>
      <w:r w:rsidRPr="00CE3B94">
        <w:t xml:space="preserve">And as it will take time to build the </w:t>
      </w:r>
      <w:r>
        <w:t>UAS</w:t>
      </w:r>
      <w:r w:rsidRPr="00CE3B94">
        <w:t xml:space="preserve">, achievement of Goals 1 and 2 </w:t>
      </w:r>
      <w:r>
        <w:t xml:space="preserve">(deeper energy savings and better coordination with clean energy programs, respectively) </w:t>
      </w:r>
      <w:r w:rsidRPr="00CE3B94">
        <w:t>can still be attained following these steps. </w:t>
      </w:r>
      <w:bookmarkStart w:name="_Toc43216375" w:id="214"/>
    </w:p>
    <w:p w:rsidR="000C1980" w:rsidP="00354202" w:rsidRDefault="000C1980" w14:paraId="257B8832" w14:textId="77777777">
      <w:pPr>
        <w:pStyle w:val="Standard"/>
      </w:pPr>
      <w:r w:rsidRPr="00CE3B94">
        <w:rPr>
          <w:i/>
          <w:iCs/>
          <w:u w:val="single"/>
        </w:rPr>
        <w:t xml:space="preserve">Step 3: </w:t>
      </w:r>
      <w:proofErr w:type="gramStart"/>
      <w:r>
        <w:rPr>
          <w:i/>
          <w:iCs/>
          <w:u w:val="single"/>
        </w:rPr>
        <w:t xml:space="preserve">Three </w:t>
      </w:r>
      <w:r w:rsidRPr="00CE3B94">
        <w:rPr>
          <w:i/>
          <w:iCs/>
          <w:u w:val="single"/>
        </w:rPr>
        <w:t>Tiered</w:t>
      </w:r>
      <w:proofErr w:type="gramEnd"/>
      <w:r w:rsidRPr="00CE3B94">
        <w:rPr>
          <w:i/>
          <w:iCs/>
          <w:u w:val="single"/>
        </w:rPr>
        <w:t xml:space="preserve"> approach to ESA treatments</w:t>
      </w:r>
      <w:bookmarkEnd w:id="214"/>
      <w:r>
        <w:rPr>
          <w:i/>
          <w:iCs/>
          <w:u w:val="single"/>
        </w:rPr>
        <w:t>:</w:t>
      </w:r>
      <w:r>
        <w:t xml:space="preserve"> </w:t>
      </w:r>
      <w:r w:rsidRPr="00CE3B94">
        <w:t xml:space="preserve">After the IOUs create segmentation profiles for each customer, Staff proposes three treatment tiers to meet an increasing average household energy savings goal. The intent of this tiered approach is to focus on </w:t>
      </w:r>
      <w:r>
        <w:t xml:space="preserve">a </w:t>
      </w:r>
      <w:r w:rsidRPr="00CE3B94">
        <w:t xml:space="preserve">more strategic (Tier 2) and advanced (Tier 3) energy savings treatments, while retaining basic measures that are beneficial to new ESA households and are required by the </w:t>
      </w:r>
      <w:r w:rsidRPr="008F1EE5">
        <w:t>Pub. Util.</w:t>
      </w:r>
      <w:r>
        <w:t xml:space="preserve"> </w:t>
      </w:r>
      <w:r w:rsidRPr="00CE3B94">
        <w:t xml:space="preserve">Code if the </w:t>
      </w:r>
      <w:r>
        <w:t>Commission</w:t>
      </w:r>
      <w:r w:rsidRPr="00CE3B94">
        <w:t xml:space="preserve"> determines that a significant need for those services exists in the </w:t>
      </w:r>
      <w:r>
        <w:t>IOUs’</w:t>
      </w:r>
      <w:r w:rsidRPr="00CE3B94">
        <w:t xml:space="preserve"> service territory, taking into consideration both the cost-effectiveness of the services and the policy of reducing the hardships facing low</w:t>
      </w:r>
      <w:r>
        <w:t xml:space="preserve"> </w:t>
      </w:r>
      <w:r w:rsidRPr="00CE3B94">
        <w:t>income households.</w:t>
      </w:r>
      <w:r>
        <w:t xml:space="preserve">  </w:t>
      </w:r>
      <w:r w:rsidRPr="00CE3B94">
        <w:t>The customer </w:t>
      </w:r>
      <w:r>
        <w:t>profile</w:t>
      </w:r>
      <w:r w:rsidRPr="00CE3B94">
        <w:t xml:space="preserve"> discussed above will help determine the most cost-effective measure mix to meet the household’s needs</w:t>
      </w:r>
      <w:bookmarkStart w:name="_Toc40275467" w:id="215"/>
      <w:bookmarkStart w:name="_Toc43216376" w:id="216"/>
      <w:r>
        <w:t xml:space="preserve"> with </w:t>
      </w:r>
      <w:r w:rsidRPr="00CE3B94">
        <w:t>Tier 1</w:t>
      </w:r>
      <w:r>
        <w:t xml:space="preserve"> offering b</w:t>
      </w:r>
      <w:r w:rsidRPr="00CE3B94">
        <w:t xml:space="preserve">asic </w:t>
      </w:r>
      <w:r>
        <w:t>t</w:t>
      </w:r>
      <w:r w:rsidRPr="00CE3B94">
        <w:t>reatments</w:t>
      </w:r>
      <w:bookmarkEnd w:id="215"/>
      <w:bookmarkEnd w:id="216"/>
      <w:r>
        <w:t xml:space="preserve">, </w:t>
      </w:r>
      <w:bookmarkStart w:name="_Toc40275468" w:id="217"/>
      <w:bookmarkStart w:name="_Toc43216377" w:id="218"/>
      <w:r w:rsidRPr="00CE3B94">
        <w:t>Tier 2</w:t>
      </w:r>
      <w:r>
        <w:t xml:space="preserve"> offering more s</w:t>
      </w:r>
      <w:r w:rsidRPr="00CE3B94">
        <w:t xml:space="preserve">trategic </w:t>
      </w:r>
      <w:r>
        <w:t>t</w:t>
      </w:r>
      <w:r w:rsidRPr="00CE3B94">
        <w:t>reatments</w:t>
      </w:r>
      <w:bookmarkEnd w:id="217"/>
      <w:bookmarkEnd w:id="218"/>
      <w:r w:rsidRPr="00CE3B94">
        <w:t xml:space="preserve"> focus</w:t>
      </w:r>
      <w:r>
        <w:t>ed</w:t>
      </w:r>
      <w:r w:rsidRPr="00CE3B94">
        <w:t xml:space="preserve"> on equipment and appliance replacements and load shifting technologies that reduce annual energy usage by 5 to 15 percent, as compared to the existing baseline, </w:t>
      </w:r>
      <w:r>
        <w:t xml:space="preserve">and Tier 3 </w:t>
      </w:r>
      <w:bookmarkStart w:name="_Toc40275469" w:id="219"/>
      <w:bookmarkStart w:name="_Toc43216378" w:id="220"/>
      <w:r>
        <w:t>offering the most a</w:t>
      </w:r>
      <w:r w:rsidRPr="00CE3B94">
        <w:t xml:space="preserve">dvanced </w:t>
      </w:r>
      <w:r>
        <w:t>t</w:t>
      </w:r>
      <w:r w:rsidRPr="00CE3B94">
        <w:t>reatments</w:t>
      </w:r>
      <w:bookmarkEnd w:id="219"/>
      <w:bookmarkEnd w:id="220"/>
      <w:r w:rsidRPr="00CE3B94">
        <w:t xml:space="preserve"> that </w:t>
      </w:r>
      <w:r>
        <w:t xml:space="preserve">would </w:t>
      </w:r>
      <w:r w:rsidRPr="00CE3B94">
        <w:t>achieve a 15 to 50 percent reduction in annual energy usage, as compared to the existing baseline.</w:t>
      </w:r>
    </w:p>
    <w:p w:rsidRPr="00CE3B94" w:rsidR="000C1980" w:rsidP="00354202" w:rsidRDefault="000C1980" w14:paraId="0F24A1A9" w14:textId="77777777">
      <w:pPr>
        <w:pStyle w:val="Standard"/>
      </w:pPr>
      <w:bookmarkStart w:name="_Toc40275470" w:id="221"/>
      <w:bookmarkStart w:name="_Toc43216379" w:id="222"/>
      <w:r w:rsidRPr="00CE3B94">
        <w:rPr>
          <w:i/>
          <w:iCs/>
          <w:u w:val="single"/>
        </w:rPr>
        <w:t>Step 4: Program Coordination</w:t>
      </w:r>
      <w:bookmarkEnd w:id="221"/>
      <w:bookmarkEnd w:id="222"/>
      <w:r>
        <w:rPr>
          <w:i/>
          <w:iCs/>
          <w:u w:val="single"/>
        </w:rPr>
        <w:t>:</w:t>
      </w:r>
      <w:r>
        <w:t xml:space="preserve"> The </w:t>
      </w:r>
      <w:r w:rsidRPr="00CE3B94">
        <w:t>Staff</w:t>
      </w:r>
      <w:r>
        <w:t xml:space="preserve"> Proposal</w:t>
      </w:r>
      <w:r w:rsidRPr="00CE3B94">
        <w:t xml:space="preserve"> </w:t>
      </w:r>
      <w:r>
        <w:t>lists various</w:t>
      </w:r>
      <w:r w:rsidRPr="00CE3B94">
        <w:t xml:space="preserve"> coordination opportunities</w:t>
      </w:r>
      <w:r>
        <w:t xml:space="preserve"> </w:t>
      </w:r>
      <w:r w:rsidRPr="00354202">
        <w:t>including</w:t>
      </w:r>
      <w:r>
        <w:t xml:space="preserve"> but not limited to s</w:t>
      </w:r>
      <w:r w:rsidRPr="00CE3B94">
        <w:t>olar installation programs</w:t>
      </w:r>
      <w:r>
        <w:t xml:space="preserve">, </w:t>
      </w:r>
      <w:r w:rsidRPr="00CE3B94">
        <w:t>CSD</w:t>
      </w:r>
      <w:r>
        <w:t>’s</w:t>
      </w:r>
      <w:r w:rsidRPr="00CE3B94">
        <w:t xml:space="preserve"> </w:t>
      </w:r>
      <w:proofErr w:type="gramStart"/>
      <w:r>
        <w:t>l</w:t>
      </w:r>
      <w:r w:rsidRPr="00CE3B94">
        <w:t xml:space="preserve">ow </w:t>
      </w:r>
      <w:r>
        <w:lastRenderedPageBreak/>
        <w:t>i</w:t>
      </w:r>
      <w:r w:rsidRPr="00CE3B94">
        <w:t>ncome</w:t>
      </w:r>
      <w:proofErr w:type="gramEnd"/>
      <w:r w:rsidRPr="00CE3B94">
        <w:t xml:space="preserve"> </w:t>
      </w:r>
      <w:r>
        <w:t>a</w:t>
      </w:r>
      <w:r w:rsidRPr="00CE3B94">
        <w:t xml:space="preserve">ssistance </w:t>
      </w:r>
      <w:r>
        <w:t>p</w:t>
      </w:r>
      <w:r w:rsidRPr="00CE3B94">
        <w:t>rogram</w:t>
      </w:r>
      <w:r>
        <w:t xml:space="preserve">s, </w:t>
      </w:r>
      <w:r w:rsidRPr="00CE3B94">
        <w:t>SGIP</w:t>
      </w:r>
      <w:r>
        <w:t xml:space="preserve">, </w:t>
      </w:r>
      <w:r w:rsidRPr="00CE3B94">
        <w:t xml:space="preserve">IOU and/or 3rd party </w:t>
      </w:r>
      <w:r>
        <w:t>d</w:t>
      </w:r>
      <w:r w:rsidRPr="00CE3B94">
        <w:t xml:space="preserve">emand </w:t>
      </w:r>
      <w:r>
        <w:t>r</w:t>
      </w:r>
      <w:r w:rsidRPr="00CE3B94">
        <w:t>esponse programs</w:t>
      </w:r>
      <w:r>
        <w:t>, t</w:t>
      </w:r>
      <w:r w:rsidRPr="00CE3B94">
        <w:t xml:space="preserve">ransportation </w:t>
      </w:r>
      <w:r>
        <w:t>e</w:t>
      </w:r>
      <w:r w:rsidRPr="00CE3B94">
        <w:t xml:space="preserve">lectrification-related programs </w:t>
      </w:r>
      <w:r>
        <w:t xml:space="preserve">and the </w:t>
      </w:r>
      <w:r w:rsidRPr="00CE3B94">
        <w:t xml:space="preserve">development of </w:t>
      </w:r>
      <w:r>
        <w:t>m</w:t>
      </w:r>
      <w:r w:rsidRPr="00CE3B94">
        <w:t xml:space="preserve">icrogrids, particularly at </w:t>
      </w:r>
      <w:r>
        <w:t>m</w:t>
      </w:r>
      <w:r w:rsidRPr="00CE3B94">
        <w:t xml:space="preserve">ultifamily properties and </w:t>
      </w:r>
      <w:r>
        <w:t>m</w:t>
      </w:r>
      <w:r w:rsidRPr="00CE3B94">
        <w:t>obile home parks.</w:t>
      </w:r>
      <w:r>
        <w:t xml:space="preserve">  </w:t>
      </w:r>
      <w:r w:rsidRPr="00CE3B94">
        <w:t> </w:t>
      </w:r>
    </w:p>
    <w:p w:rsidR="000C1980" w:rsidP="00354202" w:rsidRDefault="000C1980" w14:paraId="0B5A8C6A" w14:textId="4895F21A">
      <w:pPr>
        <w:pStyle w:val="Standard"/>
      </w:pPr>
      <w:r w:rsidRPr="24DCB1AB">
        <w:rPr>
          <w:b/>
          <w:bCs/>
          <w:i/>
          <w:iCs/>
          <w:u w:val="single"/>
        </w:rPr>
        <w:t>Proposed Measures:</w:t>
      </w:r>
      <w:r w:rsidRPr="00B8716F">
        <w:rPr>
          <w:b/>
          <w:bCs/>
          <w:i/>
          <w:iCs/>
        </w:rPr>
        <w:t xml:space="preserve"> </w:t>
      </w:r>
      <w:r>
        <w:t xml:space="preserve">Rather than propose specific measures, the Staff Proposal suggests that the customer profile discussed above will determine the most cost-effective measure mix to meet the household’s needs.  </w:t>
      </w:r>
      <w:r w:rsidR="00EC0122">
        <w:t>T</w:t>
      </w:r>
      <w:r>
        <w:t>he general idea would be for the Tier 1 package to offer basic measures</w:t>
      </w:r>
      <w:proofErr w:type="gramStart"/>
      <w:r w:rsidR="00EC0122">
        <w:t xml:space="preserve">. </w:t>
      </w:r>
      <w:r>
        <w:t>,</w:t>
      </w:r>
      <w:proofErr w:type="gramEnd"/>
      <w:r>
        <w:t xml:space="preserve"> </w:t>
      </w:r>
      <w:r w:rsidR="00CB4B45">
        <w:t>T</w:t>
      </w:r>
      <w:r>
        <w:t xml:space="preserve">he Tier 2 package to offer basic </w:t>
      </w:r>
      <w:r w:rsidRPr="00354202">
        <w:t>measures</w:t>
      </w:r>
      <w:r>
        <w:t xml:space="preserve"> in addition to certain equipment and appliance replacements and load shifting technologies that would reduce annual energy usage by 5 to 15 percent, and the Tier 3 package to offer the more advanced, and likely more expensive measures that would achieve a 15 to 50 percent reduction in annual energy usage.</w:t>
      </w:r>
    </w:p>
    <w:p w:rsidRPr="00887440" w:rsidR="000C1980" w:rsidP="00354202" w:rsidRDefault="000C1980" w14:paraId="2BC984F1" w14:textId="3F34A458">
      <w:pPr>
        <w:pStyle w:val="Standard"/>
      </w:pPr>
      <w:r>
        <w:rPr>
          <w:b/>
          <w:bCs/>
          <w:i/>
          <w:iCs/>
          <w:u w:val="single"/>
        </w:rPr>
        <w:t>Proposed Cost Effectiveness:</w:t>
      </w:r>
      <w:r>
        <w:t xml:space="preserve"> T</w:t>
      </w:r>
      <w:r w:rsidRPr="00887440">
        <w:t xml:space="preserve">he Staff Proposal does not </w:t>
      </w:r>
      <w:r>
        <w:t>set</w:t>
      </w:r>
      <w:r w:rsidRPr="00887440">
        <w:t xml:space="preserve"> a specific cost </w:t>
      </w:r>
      <w:r>
        <w:t>effectiveness threshold</w:t>
      </w:r>
      <w:r w:rsidRPr="00887440">
        <w:t xml:space="preserve"> for the new design</w:t>
      </w:r>
      <w:r>
        <w:t xml:space="preserve">. The impact to ESA program cost effectiveness from adding measures with deeper savings to deliver much greater benefit to customers on a </w:t>
      </w:r>
      <w:r w:rsidRPr="00354202">
        <w:t>per</w:t>
      </w:r>
      <w:r>
        <w:t xml:space="preserve"> household basis is unknown at this stage</w:t>
      </w:r>
      <w:r w:rsidR="00CB4B45">
        <w:t>. T</w:t>
      </w:r>
      <w:r>
        <w:t xml:space="preserve">he program cost effectiveness would likely be the same as or less than the existing design.   </w:t>
      </w:r>
    </w:p>
    <w:p w:rsidR="000C1980" w:rsidP="001968DC" w:rsidRDefault="000C1980" w14:paraId="6CFDE17F" w14:textId="77777777">
      <w:pPr>
        <w:pStyle w:val="Heading3"/>
        <w:ind w:left="2664"/>
      </w:pPr>
      <w:bookmarkStart w:name="_Toc69947890" w:id="223"/>
      <w:r>
        <w:t>Party Comments</w:t>
      </w:r>
      <w:bookmarkEnd w:id="223"/>
      <w:r>
        <w:t xml:space="preserve"> </w:t>
      </w:r>
    </w:p>
    <w:p w:rsidR="000C1980" w:rsidP="001968DC" w:rsidRDefault="000C1980" w14:paraId="62C0BE12" w14:textId="77777777">
      <w:pPr>
        <w:pStyle w:val="Heading4"/>
        <w:ind w:left="3600"/>
      </w:pPr>
      <w:bookmarkStart w:name="_Toc69947891" w:id="224"/>
      <w:r>
        <w:t>PG&amp;E</w:t>
      </w:r>
      <w:bookmarkEnd w:id="224"/>
    </w:p>
    <w:p w:rsidRPr="006B235B" w:rsidR="000C1980" w:rsidP="00354202" w:rsidRDefault="000C1980" w14:paraId="174898F9" w14:textId="58187B9F">
      <w:pPr>
        <w:pStyle w:val="Standard"/>
      </w:pPr>
      <w:r>
        <w:rPr>
          <w:b/>
          <w:bCs/>
          <w:i/>
          <w:iCs/>
          <w:u w:val="single"/>
        </w:rPr>
        <w:t xml:space="preserve">Does not Support, </w:t>
      </w:r>
      <w:r w:rsidRPr="00F0218F">
        <w:rPr>
          <w:b/>
          <w:bCs/>
          <w:i/>
          <w:iCs/>
          <w:u w:val="single"/>
        </w:rPr>
        <w:t xml:space="preserve">Additional Data </w:t>
      </w:r>
      <w:r w:rsidR="003524D4">
        <w:rPr>
          <w:b/>
          <w:bCs/>
          <w:i/>
          <w:iCs/>
          <w:u w:val="single"/>
        </w:rPr>
        <w:t>Requirements</w:t>
      </w:r>
      <w:r w:rsidRPr="00F0218F">
        <w:rPr>
          <w:b/>
          <w:bCs/>
          <w:i/>
          <w:iCs/>
          <w:u w:val="single"/>
        </w:rPr>
        <w:t>:</w:t>
      </w:r>
      <w:r>
        <w:t xml:space="preserve"> </w:t>
      </w:r>
      <w:r w:rsidRPr="006B235B">
        <w:t xml:space="preserve">PG&amp;E </w:t>
      </w:r>
      <w:r>
        <w:t>claims that additional</w:t>
      </w:r>
      <w:r w:rsidRPr="006B235B">
        <w:t xml:space="preserve"> data and analysis are required to determine the feasibility of</w:t>
      </w:r>
      <w:r>
        <w:t xml:space="preserve"> the Staff Proposal’s energy</w:t>
      </w:r>
      <w:r w:rsidRPr="006B235B">
        <w:t xml:space="preserve"> saving goals</w:t>
      </w:r>
      <w:r>
        <w:t>, and that a</w:t>
      </w:r>
      <w:r w:rsidRPr="006B235B">
        <w:t xml:space="preserve"> clear vision and implementation strategy on equity and </w:t>
      </w:r>
      <w:r>
        <w:t>HCS needs to</w:t>
      </w:r>
      <w:r w:rsidRPr="006B235B">
        <w:t xml:space="preserve"> be defined before implementing the Staff Proposal on a broad scale</w:t>
      </w:r>
      <w:r>
        <w:t xml:space="preserve">.  PG&amp;E states that in the instance </w:t>
      </w:r>
      <w:r w:rsidRPr="006B235B">
        <w:t>the Staff Proposal</w:t>
      </w:r>
      <w:r>
        <w:t xml:space="preserve"> is adopted, it should be</w:t>
      </w:r>
      <w:r w:rsidRPr="006B235B">
        <w:t xml:space="preserve"> limited as a pilot so </w:t>
      </w:r>
      <w:r>
        <w:t xml:space="preserve">that </w:t>
      </w:r>
      <w:r w:rsidRPr="006B235B">
        <w:t xml:space="preserve">stakeholders can evaluate results </w:t>
      </w:r>
      <w:r w:rsidRPr="006B235B">
        <w:lastRenderedPageBreak/>
        <w:t>before deciding on</w:t>
      </w:r>
      <w:r>
        <w:t xml:space="preserve"> </w:t>
      </w:r>
      <w:r w:rsidRPr="006B235B">
        <w:t>implementation in future program cycles.</w:t>
      </w:r>
      <w:r>
        <w:rPr>
          <w:rStyle w:val="FootnoteReference"/>
        </w:rPr>
        <w:footnoteReference w:id="289"/>
      </w:r>
      <w:r w:rsidRPr="009F4133" w:rsidR="009F4133">
        <w:t xml:space="preserve"> PG&amp;E states that it would also consider electrification measures as part of the Staff Proposal.</w:t>
      </w:r>
      <w:r w:rsidRPr="009F4133" w:rsidR="009F4133">
        <w:rPr>
          <w:vertAlign w:val="superscript"/>
        </w:rPr>
        <w:footnoteReference w:id="290"/>
      </w:r>
    </w:p>
    <w:p w:rsidR="000C1980" w:rsidP="001968DC" w:rsidRDefault="000C1980" w14:paraId="57215987" w14:textId="77777777">
      <w:pPr>
        <w:pStyle w:val="Heading4"/>
        <w:ind w:left="3600"/>
      </w:pPr>
      <w:bookmarkStart w:name="_Toc69947892" w:id="225"/>
      <w:r>
        <w:t>SCE</w:t>
      </w:r>
      <w:bookmarkEnd w:id="225"/>
    </w:p>
    <w:p w:rsidRPr="00884E3A" w:rsidR="000C1980" w:rsidP="00354202" w:rsidRDefault="000C1980" w14:paraId="35747E6A" w14:textId="2C3FEA46">
      <w:pPr>
        <w:pStyle w:val="Standard"/>
      </w:pPr>
      <w:r>
        <w:rPr>
          <w:b/>
          <w:bCs/>
          <w:i/>
          <w:iCs/>
          <w:u w:val="single"/>
        </w:rPr>
        <w:t xml:space="preserve">Does not Support, </w:t>
      </w:r>
      <w:r w:rsidRPr="00F0218F">
        <w:rPr>
          <w:b/>
          <w:bCs/>
          <w:i/>
          <w:iCs/>
          <w:u w:val="single"/>
        </w:rPr>
        <w:t xml:space="preserve">Additional Data </w:t>
      </w:r>
      <w:r w:rsidR="003524D4">
        <w:rPr>
          <w:b/>
          <w:bCs/>
          <w:i/>
          <w:iCs/>
          <w:u w:val="single"/>
        </w:rPr>
        <w:t>Requirements</w:t>
      </w:r>
      <w:r w:rsidRPr="00F0218F">
        <w:rPr>
          <w:b/>
          <w:bCs/>
          <w:i/>
          <w:iCs/>
          <w:u w:val="single"/>
        </w:rPr>
        <w:t>:</w:t>
      </w:r>
      <w:r>
        <w:t xml:space="preserve"> </w:t>
      </w:r>
      <w:r w:rsidRPr="00884E3A">
        <w:t xml:space="preserve">SCE </w:t>
      </w:r>
      <w:r>
        <w:t xml:space="preserve">raises concerns that </w:t>
      </w:r>
      <w:r w:rsidRPr="00884E3A">
        <w:t xml:space="preserve">additional in-depth analysis </w:t>
      </w:r>
      <w:r>
        <w:t xml:space="preserve">is needed to fully analyze the Staff Proposal, and therefore </w:t>
      </w:r>
      <w:r w:rsidRPr="00884E3A">
        <w:t xml:space="preserve">recommends </w:t>
      </w:r>
      <w:r>
        <w:t xml:space="preserve">that </w:t>
      </w:r>
      <w:r w:rsidRPr="00884E3A">
        <w:t>the</w:t>
      </w:r>
      <w:r>
        <w:t xml:space="preserve"> </w:t>
      </w:r>
      <w:r w:rsidRPr="00884E3A">
        <w:t>Commission adopt SCE’s proposed ESA program design</w:t>
      </w:r>
      <w:r>
        <w:t xml:space="preserve"> </w:t>
      </w:r>
      <w:r w:rsidRPr="00884E3A">
        <w:t xml:space="preserve">which </w:t>
      </w:r>
      <w:r>
        <w:t xml:space="preserve">also </w:t>
      </w:r>
      <w:r w:rsidRPr="00884E3A">
        <w:t>focuses on deeper energy</w:t>
      </w:r>
      <w:r>
        <w:t xml:space="preserve"> </w:t>
      </w:r>
      <w:r w:rsidRPr="00884E3A">
        <w:t>savings</w:t>
      </w:r>
      <w:r>
        <w:t xml:space="preserve">.  Specifically, SCE does not support the </w:t>
      </w:r>
      <w:r w:rsidRPr="009C24A0">
        <w:t>5</w:t>
      </w:r>
      <w:r>
        <w:t>-</w:t>
      </w:r>
      <w:r w:rsidRPr="009C24A0">
        <w:t>15 percent</w:t>
      </w:r>
      <w:r>
        <w:t xml:space="preserve"> </w:t>
      </w:r>
      <w:r w:rsidRPr="009C24A0">
        <w:t xml:space="preserve">energy </w:t>
      </w:r>
      <w:r>
        <w:t xml:space="preserve">savings goals, </w:t>
      </w:r>
      <w:r w:rsidRPr="00406DB1">
        <w:t xml:space="preserve">recommends </w:t>
      </w:r>
      <w:r>
        <w:t>so</w:t>
      </w:r>
      <w:r w:rsidRPr="00406DB1">
        <w:t>ft targets for program cost-effectiveness</w:t>
      </w:r>
      <w:r>
        <w:t xml:space="preserve">, and states </w:t>
      </w:r>
      <w:r w:rsidRPr="00DB7649">
        <w:t>several barriers and critical inputs to the proposed</w:t>
      </w:r>
      <w:r>
        <w:t xml:space="preserve"> UAS</w:t>
      </w:r>
      <w:r w:rsidRPr="00DB7649">
        <w:t xml:space="preserve"> that </w:t>
      </w:r>
      <w:r>
        <w:t>should be considered</w:t>
      </w:r>
      <w:r w:rsidRPr="00DB7649">
        <w:t>.</w:t>
      </w:r>
      <w:r w:rsidR="00775B92">
        <w:t xml:space="preserve"> </w:t>
      </w:r>
      <w:r w:rsidRPr="3776745C" w:rsidR="00775B92">
        <w:rPr>
          <w:rStyle w:val="FootnoteReference"/>
          <w:vertAlign w:val="baseline"/>
        </w:rPr>
        <w:t>SCE supports the use of electrification measures from its Building Electrification pilot.</w:t>
      </w:r>
      <w:r w:rsidRPr="3776745C" w:rsidR="00775B92">
        <w:rPr>
          <w:rStyle w:val="FootnoteReference"/>
        </w:rPr>
        <w:footnoteReference w:id="291"/>
      </w:r>
      <w:r w:rsidRPr="3776745C" w:rsidR="00775B92">
        <w:rPr>
          <w:rStyle w:val="FootnoteReference"/>
          <w:vertAlign w:val="baseline"/>
        </w:rPr>
        <w:t xml:space="preserve"> </w:t>
      </w:r>
    </w:p>
    <w:p w:rsidR="000C1980" w:rsidP="001968DC" w:rsidRDefault="000C1980" w14:paraId="51227156" w14:textId="77777777">
      <w:pPr>
        <w:pStyle w:val="Heading4"/>
        <w:ind w:left="3600"/>
      </w:pPr>
      <w:bookmarkStart w:name="_Toc69947893" w:id="226"/>
      <w:r>
        <w:t>SoCalGas</w:t>
      </w:r>
      <w:bookmarkEnd w:id="226"/>
    </w:p>
    <w:p w:rsidR="000C1980" w:rsidP="00354202" w:rsidRDefault="000C1980" w14:paraId="3162DF5D" w14:textId="0503F483">
      <w:pPr>
        <w:pStyle w:val="Standard"/>
      </w:pPr>
      <w:r>
        <w:rPr>
          <w:b/>
          <w:bCs/>
          <w:i/>
          <w:iCs/>
          <w:u w:val="single"/>
        </w:rPr>
        <w:t>Does not Support, A</w:t>
      </w:r>
      <w:r w:rsidRPr="4FC83D76">
        <w:rPr>
          <w:b/>
          <w:bCs/>
          <w:i/>
          <w:iCs/>
          <w:u w:val="single"/>
        </w:rPr>
        <w:t xml:space="preserve">dditional Data </w:t>
      </w:r>
      <w:r w:rsidR="003524D4">
        <w:rPr>
          <w:b/>
          <w:bCs/>
          <w:i/>
          <w:iCs/>
          <w:u w:val="single"/>
        </w:rPr>
        <w:t>Requirements</w:t>
      </w:r>
      <w:r w:rsidRPr="4FC83D76">
        <w:rPr>
          <w:b/>
          <w:bCs/>
          <w:i/>
          <w:iCs/>
          <w:u w:val="single"/>
        </w:rPr>
        <w:t>:</w:t>
      </w:r>
      <w:r>
        <w:t xml:space="preserve"> SoCalGas disagrees with the Staff Proposal’s assertation that the IOU applications </w:t>
      </w:r>
      <w:r w:rsidRPr="00A45EA9">
        <w:t>mostly continue the same paradigm of the existing</w:t>
      </w:r>
      <w:r>
        <w:t xml:space="preserve"> </w:t>
      </w:r>
      <w:r w:rsidRPr="00A45EA9">
        <w:t>program</w:t>
      </w:r>
      <w:r>
        <w:t xml:space="preserve"> and states that its </w:t>
      </w:r>
      <w:r w:rsidRPr="00B63C57">
        <w:t>application represents a radical change that puts the customer in control of their participation, utilizes its</w:t>
      </w:r>
      <w:r>
        <w:t xml:space="preserve"> </w:t>
      </w:r>
      <w:r w:rsidRPr="00B63C57">
        <w:t>Advanced Meter Infrastructure to better target program measures to the customers who</w:t>
      </w:r>
      <w:r>
        <w:t xml:space="preserve"> </w:t>
      </w:r>
      <w:r w:rsidRPr="00B63C57">
        <w:t xml:space="preserve">can benefit most, and optimizes measures </w:t>
      </w:r>
      <w:r>
        <w:t>offered</w:t>
      </w:r>
      <w:r w:rsidRPr="00B63C57">
        <w:t xml:space="preserve"> based on needs</w:t>
      </w:r>
      <w:r>
        <w:t xml:space="preserve"> </w:t>
      </w:r>
      <w:r w:rsidRPr="00B63C57">
        <w:t>and energy savings opportunities.</w:t>
      </w:r>
      <w:r>
        <w:t xml:space="preserve">  SoCalGas notes that its ESA proposal already contains many ideas present in the Staff Proposal which also conforms to the guidance set out in </w:t>
      </w:r>
      <w:r w:rsidRPr="00682616">
        <w:t>D.19-06-022</w:t>
      </w:r>
      <w:r>
        <w:t xml:space="preserve">, whereas the </w:t>
      </w:r>
      <w:r w:rsidRPr="00682616">
        <w:t xml:space="preserve">Staff </w:t>
      </w:r>
      <w:r>
        <w:t>P</w:t>
      </w:r>
      <w:r w:rsidRPr="00682616">
        <w:t>roposal</w:t>
      </w:r>
      <w:r>
        <w:t xml:space="preserve"> </w:t>
      </w:r>
      <w:r w:rsidRPr="00B63C57">
        <w:t>lacks a household hardship reduction indicator, as well as a</w:t>
      </w:r>
      <w:r>
        <w:t xml:space="preserve"> </w:t>
      </w:r>
      <w:r w:rsidRPr="00B63C57">
        <w:t xml:space="preserve">portfolio energy savings goal.  </w:t>
      </w:r>
      <w:r>
        <w:t xml:space="preserve">SoCalGas does not support setting energy savings goals by tier </w:t>
      </w:r>
      <w:r>
        <w:lastRenderedPageBreak/>
        <w:t xml:space="preserve">(they should remain as guidelines), or the </w:t>
      </w:r>
      <w:r w:rsidRPr="008B487A">
        <w:t>5</w:t>
      </w:r>
      <w:r>
        <w:t xml:space="preserve"> percent</w:t>
      </w:r>
      <w:r w:rsidRPr="008B487A">
        <w:t xml:space="preserve"> </w:t>
      </w:r>
      <w:r>
        <w:t xml:space="preserve">minimum </w:t>
      </w:r>
      <w:r w:rsidRPr="008B487A">
        <w:t>annual</w:t>
      </w:r>
      <w:r>
        <w:t xml:space="preserve"> </w:t>
      </w:r>
      <w:r w:rsidRPr="008B487A">
        <w:t xml:space="preserve">increase </w:t>
      </w:r>
      <w:r>
        <w:t>in savings. Lastly</w:t>
      </w:r>
      <w:r w:rsidR="002B6E55">
        <w:t>,</w:t>
      </w:r>
      <w:r>
        <w:t xml:space="preserve"> SoCalGas notes that the UAS as proposed would be complex and costly.</w:t>
      </w:r>
      <w:r>
        <w:rPr>
          <w:rStyle w:val="FootnoteReference"/>
        </w:rPr>
        <w:footnoteReference w:id="292"/>
      </w:r>
      <w:r>
        <w:t xml:space="preserve"> </w:t>
      </w:r>
    </w:p>
    <w:p w:rsidR="000C1980" w:rsidP="001968DC" w:rsidRDefault="000C1980" w14:paraId="391FB493" w14:textId="77777777">
      <w:pPr>
        <w:pStyle w:val="Heading4"/>
        <w:ind w:left="3600"/>
      </w:pPr>
      <w:bookmarkStart w:name="_Toc69947894" w:id="227"/>
      <w:r>
        <w:t>SDG&amp;E</w:t>
      </w:r>
      <w:bookmarkEnd w:id="227"/>
    </w:p>
    <w:p w:rsidRPr="00137EAE" w:rsidR="000C1980" w:rsidP="00354202" w:rsidRDefault="000C1980" w14:paraId="105F3150" w14:textId="6200DF1E">
      <w:pPr>
        <w:pStyle w:val="Standard"/>
      </w:pPr>
      <w:r>
        <w:rPr>
          <w:b/>
          <w:bCs/>
          <w:i/>
          <w:iCs/>
          <w:u w:val="single"/>
        </w:rPr>
        <w:t xml:space="preserve">Does not Support, </w:t>
      </w:r>
      <w:r w:rsidRPr="00F0218F">
        <w:rPr>
          <w:b/>
          <w:bCs/>
          <w:i/>
          <w:iCs/>
          <w:u w:val="single"/>
        </w:rPr>
        <w:t xml:space="preserve">Additional Data </w:t>
      </w:r>
      <w:r w:rsidR="003524D4">
        <w:rPr>
          <w:b/>
          <w:bCs/>
          <w:i/>
          <w:iCs/>
          <w:u w:val="single"/>
        </w:rPr>
        <w:t>Requirements</w:t>
      </w:r>
      <w:r w:rsidRPr="00F0218F">
        <w:rPr>
          <w:b/>
          <w:bCs/>
          <w:i/>
          <w:iCs/>
          <w:u w:val="single"/>
        </w:rPr>
        <w:t>:</w:t>
      </w:r>
      <w:r>
        <w:t xml:space="preserve"> SDG&amp;E states that its proposed design is similar to the Staff Proposal, but that additional time is needed to properly consider and analyze</w:t>
      </w:r>
      <w:r w:rsidRPr="00D71FC2">
        <w:t xml:space="preserve"> </w:t>
      </w:r>
      <w:r>
        <w:t xml:space="preserve">certain elements of </w:t>
      </w:r>
      <w:r w:rsidRPr="00D71FC2">
        <w:t>the Staff Proposal</w:t>
      </w:r>
      <w:r>
        <w:t xml:space="preserve"> including ac</w:t>
      </w:r>
      <w:r w:rsidRPr="00CB350C">
        <w:t>hievability of the 5</w:t>
      </w:r>
      <w:r>
        <w:t xml:space="preserve"> percent</w:t>
      </w:r>
      <w:r w:rsidRPr="00CB350C">
        <w:t xml:space="preserve"> year-over-year energy savings goal, </w:t>
      </w:r>
      <w:r>
        <w:t>a</w:t>
      </w:r>
      <w:r w:rsidRPr="00CB350C">
        <w:t xml:space="preserve">ccounting for and ensuring customers continue to receive </w:t>
      </w:r>
      <w:r>
        <w:t>HCS</w:t>
      </w:r>
      <w:r w:rsidRPr="00CB350C">
        <w:t xml:space="preserve"> measures,</w:t>
      </w:r>
      <w:r>
        <w:t xml:space="preserve"> i</w:t>
      </w:r>
      <w:r w:rsidRPr="00CB350C">
        <w:t xml:space="preserve">mpact to ESA contractors and customers, </w:t>
      </w:r>
      <w:r>
        <w:t>c</w:t>
      </w:r>
      <w:r w:rsidRPr="00CB350C">
        <w:t xml:space="preserve">ost-effectiveness, and </w:t>
      </w:r>
      <w:r>
        <w:t>any other po</w:t>
      </w:r>
      <w:r w:rsidRPr="00CB350C">
        <w:t>tential</w:t>
      </w:r>
      <w:r>
        <w:t xml:space="preserve"> </w:t>
      </w:r>
      <w:r w:rsidRPr="00CB350C">
        <w:t>unintended consequences</w:t>
      </w:r>
      <w:r>
        <w:t>.</w:t>
      </w:r>
      <w:r>
        <w:rPr>
          <w:rStyle w:val="FootnoteReference"/>
        </w:rPr>
        <w:footnoteReference w:id="293"/>
      </w:r>
      <w:r>
        <w:t xml:space="preserve"> </w:t>
      </w:r>
      <w:r w:rsidRPr="00941002">
        <w:t>S</w:t>
      </w:r>
      <w:r>
        <w:t>DG&amp;E also states that the S</w:t>
      </w:r>
      <w:r w:rsidRPr="00941002">
        <w:t>taff Proposal goals are not realistically</w:t>
      </w:r>
      <w:r>
        <w:t xml:space="preserve"> </w:t>
      </w:r>
      <w:r w:rsidRPr="00941002">
        <w:t xml:space="preserve">achievable in </w:t>
      </w:r>
      <w:r>
        <w:t>its</w:t>
      </w:r>
      <w:r w:rsidRPr="00941002">
        <w:t xml:space="preserve"> service area based on historic program results and</w:t>
      </w:r>
      <w:r>
        <w:t xml:space="preserve"> its</w:t>
      </w:r>
      <w:r w:rsidRPr="00941002">
        <w:t xml:space="preserve"> moderate</w:t>
      </w:r>
      <w:r>
        <w:t xml:space="preserve"> </w:t>
      </w:r>
      <w:r w:rsidRPr="00941002">
        <w:t>climate</w:t>
      </w:r>
      <w:r>
        <w:t>, that any goals set should remain as guidelines, and that it does not support a separate equity measures goal.</w:t>
      </w:r>
      <w:r>
        <w:rPr>
          <w:rStyle w:val="FootnoteReference"/>
        </w:rPr>
        <w:footnoteReference w:id="294"/>
      </w:r>
    </w:p>
    <w:p w:rsidR="000C1980" w:rsidP="001968DC" w:rsidRDefault="000C1980" w14:paraId="2EF38F99" w14:textId="77777777">
      <w:pPr>
        <w:pStyle w:val="Heading4"/>
        <w:ind w:left="3600"/>
      </w:pPr>
      <w:bookmarkStart w:name="_Toc69947895" w:id="228"/>
      <w:r>
        <w:t>MCE</w:t>
      </w:r>
      <w:bookmarkEnd w:id="228"/>
    </w:p>
    <w:p w:rsidR="000C1980" w:rsidP="00354202" w:rsidRDefault="000C1980" w14:paraId="50D8A9A3" w14:textId="51EC91E4">
      <w:pPr>
        <w:pStyle w:val="Standard"/>
      </w:pPr>
      <w:r>
        <w:rPr>
          <w:b/>
          <w:bCs/>
          <w:i/>
          <w:iCs/>
          <w:u w:val="single"/>
        </w:rPr>
        <w:t>Does Not Support, Proposes Modifications</w:t>
      </w:r>
      <w:r w:rsidRPr="00F0218F">
        <w:rPr>
          <w:b/>
          <w:bCs/>
          <w:i/>
          <w:iCs/>
          <w:u w:val="single"/>
        </w:rPr>
        <w:t>:</w:t>
      </w:r>
      <w:r>
        <w:t xml:space="preserve"> </w:t>
      </w:r>
      <w:r w:rsidRPr="006A20E2">
        <w:t xml:space="preserve">MCE does not support prioritizing customer segments for </w:t>
      </w:r>
      <w:r>
        <w:t xml:space="preserve">the Staff Proposal’s </w:t>
      </w:r>
      <w:r w:rsidRPr="006A20E2">
        <w:t>treatment</w:t>
      </w:r>
      <w:r>
        <w:t xml:space="preserve"> tiers, and </w:t>
      </w:r>
      <w:r w:rsidRPr="003049D7">
        <w:t>instead recommends prioritizing certain customer segments for marketing and outreach</w:t>
      </w:r>
      <w:r>
        <w:t xml:space="preserve">. MCE also recommends that the Staff Proposal’s </w:t>
      </w:r>
      <w:r w:rsidRPr="00410765">
        <w:t xml:space="preserve">treatment tiers </w:t>
      </w:r>
      <w:r>
        <w:t xml:space="preserve">be used </w:t>
      </w:r>
      <w:r w:rsidRPr="00410765">
        <w:t xml:space="preserve">as </w:t>
      </w:r>
      <w:r>
        <w:t>“</w:t>
      </w:r>
      <w:r w:rsidRPr="00410765">
        <w:t>guideposts</w:t>
      </w:r>
      <w:r>
        <w:t>” where an</w:t>
      </w:r>
      <w:r w:rsidRPr="00410765">
        <w:t xml:space="preserve"> audit </w:t>
      </w:r>
      <w:r>
        <w:t>would be used to</w:t>
      </w:r>
      <w:r w:rsidRPr="00410765">
        <w:t xml:space="preserve"> identify</w:t>
      </w:r>
      <w:r>
        <w:t xml:space="preserve"> cost effective </w:t>
      </w:r>
      <w:r w:rsidRPr="00410765">
        <w:t xml:space="preserve">measures </w:t>
      </w:r>
      <w:r>
        <w:t xml:space="preserve">to be implemented, that energy savings percentages be established as guidelines (not goals), that </w:t>
      </w:r>
      <w:r w:rsidRPr="00E740CE">
        <w:t>a GHG reduction target</w:t>
      </w:r>
      <w:r>
        <w:t xml:space="preserve"> be adopted, and that cost effectiveness be a soft target (not a goal).  </w:t>
      </w:r>
      <w:r w:rsidR="0036085F">
        <w:t xml:space="preserve">MCE also supports the use of electrification </w:t>
      </w:r>
      <w:r w:rsidR="0036085F">
        <w:lastRenderedPageBreak/>
        <w:t xml:space="preserve">measures based on its experience with the LIFT pilot. </w:t>
      </w:r>
      <w:r>
        <w:t>Lastly, MCE recommends various programs that could be incorporated into</w:t>
      </w:r>
      <w:r w:rsidRPr="00A11979">
        <w:rPr>
          <w:rFonts w:ascii="TimesNewRomanPSMT" w:hAnsi="TimesNewRomanPSMT" w:cs="TimesNewRomanPSMT"/>
          <w:sz w:val="24"/>
          <w:szCs w:val="24"/>
        </w:rPr>
        <w:t xml:space="preserve"> </w:t>
      </w:r>
      <w:r>
        <w:rPr>
          <w:rFonts w:ascii="TimesNewRomanPSMT" w:hAnsi="TimesNewRomanPSMT" w:cs="TimesNewRomanPSMT"/>
          <w:sz w:val="24"/>
          <w:szCs w:val="24"/>
        </w:rPr>
        <w:t xml:space="preserve">a </w:t>
      </w:r>
      <w:r>
        <w:t>UAS should one be established.</w:t>
      </w:r>
      <w:r>
        <w:rPr>
          <w:rStyle w:val="FootnoteReference"/>
        </w:rPr>
        <w:footnoteReference w:id="295"/>
      </w:r>
      <w:r>
        <w:t xml:space="preserve"> </w:t>
      </w:r>
    </w:p>
    <w:p w:rsidR="000C1980" w:rsidP="001968DC" w:rsidRDefault="000C1980" w14:paraId="22F0AFE1" w14:textId="77777777">
      <w:pPr>
        <w:pStyle w:val="Heading4"/>
        <w:ind w:left="3600"/>
      </w:pPr>
      <w:bookmarkStart w:name="_Toc69947896" w:id="229"/>
      <w:r>
        <w:t>Cal Advocates</w:t>
      </w:r>
      <w:bookmarkEnd w:id="229"/>
    </w:p>
    <w:p w:rsidRPr="002E5797" w:rsidR="000C1980" w:rsidP="00354202" w:rsidRDefault="000C1980" w14:paraId="0698002A" w14:textId="77777777">
      <w:pPr>
        <w:pStyle w:val="Standard"/>
      </w:pPr>
      <w:r>
        <w:rPr>
          <w:b/>
          <w:bCs/>
          <w:i/>
          <w:iCs/>
          <w:u w:val="single"/>
        </w:rPr>
        <w:t>Supports, Proposes Modifications</w:t>
      </w:r>
      <w:r w:rsidRPr="00F0218F">
        <w:rPr>
          <w:b/>
          <w:bCs/>
          <w:i/>
          <w:iCs/>
          <w:u w:val="single"/>
        </w:rPr>
        <w:t>:</w:t>
      </w:r>
      <w:r>
        <w:t xml:space="preserve"> Cal Advocates supports the </w:t>
      </w:r>
      <w:r w:rsidRPr="00544BCC">
        <w:t>Staff Proposal</w:t>
      </w:r>
      <w:r>
        <w:t xml:space="preserve"> and recommends that the Commission adopt the proposed</w:t>
      </w:r>
      <w:r w:rsidRPr="00544BCC">
        <w:t xml:space="preserve"> energy</w:t>
      </w:r>
      <w:r>
        <w:t xml:space="preserve"> </w:t>
      </w:r>
      <w:r w:rsidRPr="00544BCC">
        <w:t>savings goals</w:t>
      </w:r>
      <w:r>
        <w:t>, adopt a h</w:t>
      </w:r>
      <w:r w:rsidRPr="00544BCC">
        <w:t>ousehold cost cap to contain</w:t>
      </w:r>
      <w:r>
        <w:t xml:space="preserve"> p</w:t>
      </w:r>
      <w:r w:rsidRPr="00544BCC">
        <w:t>otentially high measure costs and equitably distribute funds</w:t>
      </w:r>
      <w:r>
        <w:t xml:space="preserve"> </w:t>
      </w:r>
      <w:r w:rsidRPr="00544BCC">
        <w:t>among eligible customers</w:t>
      </w:r>
      <w:r>
        <w:t xml:space="preserve"> (to be </w:t>
      </w:r>
      <w:r w:rsidRPr="00AE4701">
        <w:t>developed after a reasonable mix of measures is</w:t>
      </w:r>
      <w:r>
        <w:t xml:space="preserve"> </w:t>
      </w:r>
      <w:r w:rsidRPr="00AE4701">
        <w:t>developed</w:t>
      </w:r>
      <w:r>
        <w:t xml:space="preserve">), adopt </w:t>
      </w:r>
      <w:r w:rsidRPr="00544BCC">
        <w:t xml:space="preserve">a </w:t>
      </w:r>
      <w:r>
        <w:t xml:space="preserve">1.0 ESACET </w:t>
      </w:r>
      <w:r w:rsidRPr="00544BCC">
        <w:t xml:space="preserve">cost-effectiveness threshold </w:t>
      </w:r>
      <w:r w:rsidRPr="005516E0">
        <w:t>and use it to determine budgets, a</w:t>
      </w:r>
      <w:r w:rsidRPr="00544BCC">
        <w:t>dopt</w:t>
      </w:r>
      <w:r>
        <w:t xml:space="preserve"> </w:t>
      </w:r>
      <w:r w:rsidRPr="00544BCC">
        <w:t>a third-party solicitation and</w:t>
      </w:r>
      <w:r w:rsidRPr="005516E0">
        <w:t xml:space="preserve"> </w:t>
      </w:r>
      <w:r w:rsidRPr="00544BCC">
        <w:t>implementation model for ESA</w:t>
      </w:r>
      <w:r w:rsidRPr="005516E0">
        <w:t xml:space="preserve"> modeled after the </w:t>
      </w:r>
      <w:r w:rsidRPr="005128AD">
        <w:t>mainstream energy efficiency programs,</w:t>
      </w:r>
      <w:r w:rsidRPr="6A220AF3">
        <w:rPr>
          <w:rFonts w:ascii="TimesNewRomanPS-BoldMT" w:hAnsi="TimesNewRomanPS-BoldMT" w:cs="TimesNewRomanPS-BoldMT"/>
        </w:rPr>
        <w:t xml:space="preserve"> cap </w:t>
      </w:r>
      <w:r w:rsidRPr="005128AD">
        <w:t>administrative costs at or below 10</w:t>
      </w:r>
      <w:r w:rsidRPr="006E22E7">
        <w:t xml:space="preserve"> </w:t>
      </w:r>
      <w:r w:rsidRPr="0026503D">
        <w:t>percent</w:t>
      </w:r>
      <w:r w:rsidRPr="005128AD">
        <w:t xml:space="preserve"> of the total ESA budget, </w:t>
      </w:r>
      <w:r>
        <w:t xml:space="preserve">and </w:t>
      </w:r>
      <w:r w:rsidRPr="005128AD">
        <w:t>require</w:t>
      </w:r>
      <w:r w:rsidRPr="6A220AF3">
        <w:rPr>
          <w:rFonts w:ascii="TimesNewRomanPS-BoldMT" w:hAnsi="TimesNewRomanPS-BoldMT" w:cs="TimesNewRomanPS-BoldMT"/>
        </w:rPr>
        <w:t xml:space="preserve"> </w:t>
      </w:r>
      <w:r w:rsidRPr="005128AD">
        <w:t>the provision of in-language materials</w:t>
      </w:r>
      <w:r>
        <w:t xml:space="preserve"> </w:t>
      </w:r>
      <w:r w:rsidRPr="005128AD">
        <w:t>for all aspects of the ESA, CARE, and FERA programs</w:t>
      </w:r>
      <w:r w:rsidRPr="00B174B5">
        <w:rPr>
          <w:rFonts w:cs="TimesNewRomanPSMT"/>
        </w:rPr>
        <w:t xml:space="preserve"> as part of the </w:t>
      </w:r>
      <w:r w:rsidRPr="00131CE5">
        <w:t xml:space="preserve">proposed </w:t>
      </w:r>
      <w:r>
        <w:t>UAS.</w:t>
      </w:r>
      <w:r w:rsidRPr="005128AD">
        <w:rPr>
          <w:rStyle w:val="FootnoteReference"/>
        </w:rPr>
        <w:footnoteReference w:id="296"/>
      </w:r>
    </w:p>
    <w:p w:rsidR="000C1980" w:rsidP="001968DC" w:rsidRDefault="000C1980" w14:paraId="104B124B" w14:textId="77777777">
      <w:pPr>
        <w:pStyle w:val="Heading4"/>
        <w:ind w:left="3600"/>
      </w:pPr>
      <w:bookmarkStart w:name="_Toc69947897" w:id="230"/>
      <w:r>
        <w:t>CETF</w:t>
      </w:r>
      <w:bookmarkEnd w:id="230"/>
    </w:p>
    <w:p w:rsidRPr="00D00151" w:rsidR="000C1980" w:rsidP="00354202" w:rsidRDefault="000C1980" w14:paraId="2B098237" w14:textId="77777777">
      <w:pPr>
        <w:pStyle w:val="Standard"/>
      </w:pPr>
      <w:r>
        <w:rPr>
          <w:b/>
          <w:bCs/>
          <w:i/>
          <w:iCs/>
          <w:u w:val="single"/>
        </w:rPr>
        <w:t xml:space="preserve">Supports the </w:t>
      </w:r>
      <w:r w:rsidRPr="00AC0C7A">
        <w:rPr>
          <w:b/>
          <w:bCs/>
          <w:i/>
          <w:iCs/>
          <w:u w:val="single"/>
        </w:rPr>
        <w:t>UAS</w:t>
      </w:r>
      <w:r>
        <w:rPr>
          <w:b/>
          <w:bCs/>
          <w:i/>
          <w:iCs/>
          <w:u w:val="single"/>
        </w:rPr>
        <w:t>:</w:t>
      </w:r>
      <w:r>
        <w:t xml:space="preserve"> CETF generally </w:t>
      </w:r>
      <w:r w:rsidRPr="00253939">
        <w:t xml:space="preserve">supports the concept of a </w:t>
      </w:r>
      <w:r>
        <w:t>UAS</w:t>
      </w:r>
      <w:r w:rsidRPr="00253939">
        <w:t xml:space="preserve"> </w:t>
      </w:r>
      <w:r>
        <w:t xml:space="preserve">but notes that not all </w:t>
      </w:r>
      <w:proofErr w:type="gramStart"/>
      <w:r>
        <w:t>low income</w:t>
      </w:r>
      <w:proofErr w:type="gramEnd"/>
      <w:r>
        <w:t xml:space="preserve"> households are online, and for these households, the IOUs should be assisting with getting them online via </w:t>
      </w:r>
      <w:r w:rsidRPr="00F057F9">
        <w:t xml:space="preserve">referrals to </w:t>
      </w:r>
      <w:r>
        <w:t xml:space="preserve">the appropriate </w:t>
      </w:r>
      <w:r w:rsidRPr="00F057F9">
        <w:t>CBOs</w:t>
      </w:r>
      <w:r>
        <w:t>.</w:t>
      </w:r>
      <w:r w:rsidRPr="00E02E63">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Pr="00E02E63">
        <w:t>CET</w:t>
      </w:r>
      <w:r>
        <w:t>F</w:t>
      </w:r>
      <w:r w:rsidRPr="00E02E63">
        <w:t xml:space="preserve"> </w:t>
      </w:r>
      <w:r>
        <w:t>also</w:t>
      </w:r>
      <w:r w:rsidRPr="00E02E63">
        <w:t xml:space="preserve"> recommend</w:t>
      </w:r>
      <w:r>
        <w:t>s</w:t>
      </w:r>
      <w:r w:rsidRPr="00E02E63">
        <w:t xml:space="preserve"> that </w:t>
      </w:r>
      <w:r>
        <w:t xml:space="preserve">the IOUs work with </w:t>
      </w:r>
      <w:r w:rsidRPr="00E02E63">
        <w:t>communications companies and</w:t>
      </w:r>
      <w:r>
        <w:t xml:space="preserve"> </w:t>
      </w:r>
      <w:r w:rsidRPr="00E02E63">
        <w:t>water utilities</w:t>
      </w:r>
      <w:r>
        <w:t xml:space="preserve"> to include </w:t>
      </w:r>
      <w:r w:rsidRPr="00E02E63">
        <w:t xml:space="preserve">their </w:t>
      </w:r>
      <w:proofErr w:type="gramStart"/>
      <w:r w:rsidRPr="00E02E63">
        <w:t>low</w:t>
      </w:r>
      <w:r>
        <w:t xml:space="preserve"> </w:t>
      </w:r>
      <w:r w:rsidRPr="00E02E63">
        <w:t>income</w:t>
      </w:r>
      <w:proofErr w:type="gramEnd"/>
      <w:r w:rsidRPr="00E02E63">
        <w:t xml:space="preserve"> programs in </w:t>
      </w:r>
      <w:r>
        <w:t>the UAS</w:t>
      </w:r>
      <w:r w:rsidRPr="00E02E63">
        <w:t>.</w:t>
      </w:r>
      <w:r>
        <w:rPr>
          <w:rStyle w:val="FootnoteReference"/>
        </w:rPr>
        <w:footnoteReference w:id="297"/>
      </w:r>
    </w:p>
    <w:p w:rsidR="000C1980" w:rsidP="001968DC" w:rsidRDefault="000C1980" w14:paraId="26D54FF3" w14:textId="77777777">
      <w:pPr>
        <w:pStyle w:val="Heading4"/>
        <w:ind w:left="3600"/>
      </w:pPr>
      <w:bookmarkStart w:name="_Toc69947898" w:id="231"/>
      <w:r>
        <w:lastRenderedPageBreak/>
        <w:t>CEDMC</w:t>
      </w:r>
      <w:bookmarkEnd w:id="231"/>
    </w:p>
    <w:p w:rsidRPr="00374EBA" w:rsidR="000C1980" w:rsidP="00354202" w:rsidRDefault="000C1980" w14:paraId="6068DA31" w14:textId="4434AECB">
      <w:pPr>
        <w:pStyle w:val="Standard"/>
      </w:pPr>
      <w:r>
        <w:rPr>
          <w:b/>
          <w:bCs/>
          <w:i/>
          <w:iCs/>
          <w:u w:val="single"/>
        </w:rPr>
        <w:t>Does Not Support, Proposes Modifications</w:t>
      </w:r>
      <w:r w:rsidRPr="00F0218F">
        <w:rPr>
          <w:b/>
          <w:bCs/>
          <w:i/>
          <w:iCs/>
          <w:u w:val="single"/>
        </w:rPr>
        <w:t>:</w:t>
      </w:r>
      <w:r>
        <w:t xml:space="preserve"> CEDMC opposes</w:t>
      </w:r>
      <w:r w:rsidRPr="00374EBA">
        <w:t xml:space="preserve"> the minimum 5 percent annual increase in savings</w:t>
      </w:r>
      <w:r>
        <w:t xml:space="preserve"> goal and instead recommends </w:t>
      </w:r>
      <w:r w:rsidRPr="00374EBA">
        <w:t>prioritiz</w:t>
      </w:r>
      <w:r>
        <w:t>ing</w:t>
      </w:r>
      <w:r w:rsidRPr="00374EBA">
        <w:t xml:space="preserve"> multifamily low</w:t>
      </w:r>
      <w:r>
        <w:t xml:space="preserve"> </w:t>
      </w:r>
      <w:r w:rsidRPr="00374EBA">
        <w:t xml:space="preserve">income properties for treatment, </w:t>
      </w:r>
      <w:r>
        <w:t xml:space="preserve">keeping </w:t>
      </w:r>
      <w:r w:rsidRPr="000A3E22">
        <w:t xml:space="preserve">energy savings </w:t>
      </w:r>
      <w:r>
        <w:t xml:space="preserve">targets as </w:t>
      </w:r>
      <w:r w:rsidRPr="000A3E22">
        <w:t>guidelines</w:t>
      </w:r>
      <w:r>
        <w:t xml:space="preserve"> only, exploring setting a metric for </w:t>
      </w:r>
      <w:r w:rsidRPr="000A3E22">
        <w:t>household bill savings</w:t>
      </w:r>
      <w:r>
        <w:t xml:space="preserve">, establishing </w:t>
      </w:r>
      <w:r w:rsidRPr="000A3E22">
        <w:t>a separate goal for equity measures through an allocation of budget</w:t>
      </w:r>
      <w:r>
        <w:t xml:space="preserve"> </w:t>
      </w:r>
      <w:r w:rsidRPr="000A3E22">
        <w:t>spent</w:t>
      </w:r>
      <w:r>
        <w:t xml:space="preserve">, setting </w:t>
      </w:r>
      <w:r w:rsidRPr="000A3E22">
        <w:t xml:space="preserve">cost-effectiveness </w:t>
      </w:r>
      <w:r>
        <w:t xml:space="preserve">as a </w:t>
      </w:r>
      <w:r w:rsidRPr="000A3E22">
        <w:t>target</w:t>
      </w:r>
      <w:r>
        <w:t xml:space="preserve"> only, and expanding </w:t>
      </w:r>
      <w:r w:rsidRPr="000A3E22">
        <w:t>the scope of eligible efficiency measures</w:t>
      </w:r>
      <w:r w:rsidR="00231DA7">
        <w:t>,</w:t>
      </w:r>
      <w:r w:rsidRPr="00231DA7" w:rsidR="00231DA7">
        <w:t xml:space="preserve"> </w:t>
      </w:r>
      <w:r w:rsidRPr="000A3E22" w:rsidR="00231DA7">
        <w:t>including fuel substitution measures,</w:t>
      </w:r>
      <w:r w:rsidRPr="000A3E22">
        <w:t xml:space="preserve"> to be as</w:t>
      </w:r>
      <w:r>
        <w:t xml:space="preserve"> </w:t>
      </w:r>
      <w:r w:rsidRPr="000A3E22">
        <w:t>comprehensive as possibl</w:t>
      </w:r>
      <w:r>
        <w:t>e</w:t>
      </w:r>
      <w:r w:rsidRPr="00374EBA">
        <w:t>.</w:t>
      </w:r>
      <w:r>
        <w:rPr>
          <w:rStyle w:val="FootnoteReference"/>
        </w:rPr>
        <w:footnoteReference w:id="298"/>
      </w:r>
    </w:p>
    <w:p w:rsidR="000C1980" w:rsidP="001968DC" w:rsidRDefault="000C1980" w14:paraId="31877D7E" w14:textId="77777777">
      <w:pPr>
        <w:pStyle w:val="Heading4"/>
        <w:ind w:left="3600"/>
      </w:pPr>
      <w:bookmarkStart w:name="_Toc69947899" w:id="232"/>
      <w:proofErr w:type="spellStart"/>
      <w:r>
        <w:t>CforAT</w:t>
      </w:r>
      <w:bookmarkEnd w:id="232"/>
      <w:proofErr w:type="spellEnd"/>
    </w:p>
    <w:p w:rsidRPr="00182EC3" w:rsidR="000C1980" w:rsidP="00354202" w:rsidRDefault="000C1980" w14:paraId="35E60FA2" w14:textId="77777777">
      <w:pPr>
        <w:pStyle w:val="Standard"/>
      </w:pPr>
      <w:r>
        <w:rPr>
          <w:b/>
          <w:bCs/>
          <w:i/>
          <w:iCs/>
          <w:u w:val="single"/>
        </w:rPr>
        <w:t>Supports, Proposes Modifications</w:t>
      </w:r>
      <w:r w:rsidRPr="00F0218F">
        <w:rPr>
          <w:b/>
          <w:bCs/>
          <w:i/>
          <w:iCs/>
          <w:u w:val="single"/>
        </w:rPr>
        <w:t>:</w:t>
      </w:r>
      <w:r>
        <w:t xml:space="preserve"> </w:t>
      </w:r>
      <w:proofErr w:type="spellStart"/>
      <w:r w:rsidRPr="00B91BD9">
        <w:t>CforAT</w:t>
      </w:r>
      <w:proofErr w:type="spellEnd"/>
      <w:r w:rsidRPr="00B91BD9">
        <w:t xml:space="preserve"> supports giving the highest priority to </w:t>
      </w:r>
      <w:r>
        <w:t>m</w:t>
      </w:r>
      <w:r w:rsidRPr="00B91BD9">
        <w:t>edical</w:t>
      </w:r>
      <w:r>
        <w:t xml:space="preserve"> b</w:t>
      </w:r>
      <w:r w:rsidRPr="00B91BD9">
        <w:t>aseline customers living in high fire risk areas</w:t>
      </w:r>
      <w:r>
        <w:t xml:space="preserve"> and those</w:t>
      </w:r>
      <w:r w:rsidRPr="00B91BD9">
        <w:t xml:space="preserve"> customers identified </w:t>
      </w:r>
      <w:r>
        <w:t>a</w:t>
      </w:r>
      <w:r w:rsidRPr="00B91BD9">
        <w:t>s having a disability or a medical vulnerability around electricity</w:t>
      </w:r>
      <w:r>
        <w:t xml:space="preserve">, states that it “makes sense” to set a separate goal for equity measures, </w:t>
      </w:r>
      <w:r w:rsidRPr="00B053D2">
        <w:t>recommends that ESA</w:t>
      </w:r>
      <w:r>
        <w:t xml:space="preserve"> a</w:t>
      </w:r>
      <w:r w:rsidRPr="00B053D2">
        <w:t>dopt a per</w:t>
      </w:r>
      <w:r>
        <w:t xml:space="preserve"> </w:t>
      </w:r>
      <w:r w:rsidRPr="00B053D2">
        <w:t>household cap on general home repairs</w:t>
      </w:r>
      <w:r>
        <w:t xml:space="preserve"> (t</w:t>
      </w:r>
      <w:r w:rsidRPr="00B053D2">
        <w:t>o be set based on the</w:t>
      </w:r>
      <w:r>
        <w:t xml:space="preserve"> </w:t>
      </w:r>
      <w:r w:rsidRPr="00B053D2">
        <w:t>average cost of treatment in a particular tier</w:t>
      </w:r>
      <w:r w:rsidRPr="00B053D2">
        <w:rPr>
          <w:rFonts w:ascii="TimesNewRomanPSMT" w:hAnsi="TimesNewRomanPSMT" w:cs="TimesNewRomanPSMT"/>
          <w:sz w:val="24"/>
          <w:szCs w:val="24"/>
        </w:rPr>
        <w:t xml:space="preserve"> </w:t>
      </w:r>
      <w:r>
        <w:t xml:space="preserve">not to exceed ten percent </w:t>
      </w:r>
      <w:r w:rsidRPr="00B053D2">
        <w:t>of the average cost for treatment in the tier to which the customer is assigned</w:t>
      </w:r>
      <w:r>
        <w:t xml:space="preserve">), cautions using energy ratepayer funds to </w:t>
      </w:r>
      <w:r w:rsidRPr="00240989">
        <w:t>expand access to broadband services</w:t>
      </w:r>
      <w:r>
        <w:t xml:space="preserve">, and </w:t>
      </w:r>
      <w:r w:rsidRPr="00240989">
        <w:t>does not believe that there</w:t>
      </w:r>
      <w:r>
        <w:t xml:space="preserve"> </w:t>
      </w:r>
      <w:r w:rsidRPr="00240989">
        <w:t xml:space="preserve">would be substantial benefits at this time to developing a </w:t>
      </w:r>
      <w:r>
        <w:t>UAS.</w:t>
      </w:r>
      <w:r>
        <w:rPr>
          <w:rStyle w:val="FootnoteReference"/>
        </w:rPr>
        <w:footnoteReference w:id="299"/>
      </w:r>
    </w:p>
    <w:p w:rsidR="000C1980" w:rsidP="001968DC" w:rsidRDefault="000C1980" w14:paraId="55F290EB" w14:textId="77777777">
      <w:pPr>
        <w:pStyle w:val="Heading4"/>
        <w:ind w:left="3600"/>
      </w:pPr>
      <w:bookmarkStart w:name="_Toc69947900" w:id="233"/>
      <w:r>
        <w:t>TURN</w:t>
      </w:r>
      <w:bookmarkEnd w:id="233"/>
    </w:p>
    <w:p w:rsidR="000C1980" w:rsidP="00354202" w:rsidRDefault="000C1980" w14:paraId="55AE63C2" w14:textId="7D7340D6">
      <w:pPr>
        <w:pStyle w:val="Standard"/>
      </w:pPr>
      <w:proofErr w:type="gramStart"/>
      <w:r>
        <w:rPr>
          <w:b/>
          <w:bCs/>
          <w:i/>
          <w:iCs/>
          <w:u w:val="single"/>
        </w:rPr>
        <w:t>Generally</w:t>
      </w:r>
      <w:proofErr w:type="gramEnd"/>
      <w:r>
        <w:rPr>
          <w:b/>
          <w:bCs/>
          <w:i/>
          <w:iCs/>
          <w:u w:val="single"/>
        </w:rPr>
        <w:t xml:space="preserve"> Supports, Proposes Modifications,</w:t>
      </w:r>
      <w:r w:rsidRPr="00204E43">
        <w:rPr>
          <w:b/>
          <w:bCs/>
          <w:i/>
          <w:iCs/>
          <w:u w:val="single"/>
        </w:rPr>
        <w:t xml:space="preserve"> </w:t>
      </w:r>
      <w:r w:rsidRPr="00F0218F">
        <w:rPr>
          <w:b/>
          <w:bCs/>
          <w:i/>
          <w:iCs/>
          <w:u w:val="single"/>
        </w:rPr>
        <w:t xml:space="preserve">Additional Data </w:t>
      </w:r>
      <w:r w:rsidR="003524D4">
        <w:rPr>
          <w:b/>
          <w:bCs/>
          <w:i/>
          <w:iCs/>
          <w:u w:val="single"/>
        </w:rPr>
        <w:t>Requirements</w:t>
      </w:r>
      <w:r w:rsidRPr="00F0218F">
        <w:rPr>
          <w:b/>
          <w:bCs/>
          <w:i/>
          <w:iCs/>
          <w:u w:val="single"/>
        </w:rPr>
        <w:t>:</w:t>
      </w:r>
      <w:r>
        <w:t xml:space="preserve"> TURN states that the Staff Proposal requires additional analysis that should be scoped into a potential study.  TURN also recommends that the </w:t>
      </w:r>
      <w:r>
        <w:lastRenderedPageBreak/>
        <w:t xml:space="preserve">Commission direct the IOUs </w:t>
      </w:r>
      <w:r w:rsidRPr="00B734EF">
        <w:t xml:space="preserve">to </w:t>
      </w:r>
      <w:r>
        <w:t xml:space="preserve">immediately </w:t>
      </w:r>
      <w:r w:rsidRPr="00B734EF">
        <w:t>develop and submit</w:t>
      </w:r>
      <w:r>
        <w:t xml:space="preserve"> </w:t>
      </w:r>
      <w:r w:rsidRPr="00B734EF">
        <w:t xml:space="preserve">joint recommendations for a </w:t>
      </w:r>
      <w:r>
        <w:t>UAS, convene</w:t>
      </w:r>
      <w:r w:rsidRPr="00B734EF">
        <w:t xml:space="preserve"> a working group to discuss and vet the </w:t>
      </w:r>
      <w:r>
        <w:t xml:space="preserve">IOUs’ </w:t>
      </w:r>
      <w:r w:rsidRPr="00B734EF">
        <w:t>recommendations</w:t>
      </w:r>
      <w:r>
        <w:t xml:space="preserve">, and allow the working group to </w:t>
      </w:r>
      <w:r w:rsidRPr="00B734EF">
        <w:t>submit a report with its own recommendations</w:t>
      </w:r>
      <w:r>
        <w:t xml:space="preserve"> for consi</w:t>
      </w:r>
      <w:r w:rsidRPr="00B734EF">
        <w:t>deration and approval</w:t>
      </w:r>
      <w:r>
        <w:t>.</w:t>
      </w:r>
      <w:r>
        <w:rPr>
          <w:rStyle w:val="FootnoteReference"/>
        </w:rPr>
        <w:footnoteReference w:id="300"/>
      </w:r>
    </w:p>
    <w:p w:rsidR="000C1980" w:rsidP="001968DC" w:rsidRDefault="000C1980" w14:paraId="1E35E1E5" w14:textId="77777777">
      <w:pPr>
        <w:pStyle w:val="Heading4"/>
        <w:ind w:left="3600"/>
      </w:pPr>
      <w:bookmarkStart w:name="_Toc69947901" w:id="234"/>
      <w:r>
        <w:t>PCF</w:t>
      </w:r>
      <w:bookmarkEnd w:id="234"/>
    </w:p>
    <w:p w:rsidRPr="00E14EE3" w:rsidR="000C1980" w:rsidP="00354202" w:rsidRDefault="000C1980" w14:paraId="1427CE8F" w14:textId="77777777">
      <w:pPr>
        <w:pStyle w:val="Standard"/>
      </w:pPr>
      <w:r>
        <w:rPr>
          <w:b/>
          <w:bCs/>
          <w:i/>
          <w:iCs/>
          <w:u w:val="single"/>
        </w:rPr>
        <w:t>Supports:</w:t>
      </w:r>
      <w:r>
        <w:t xml:space="preserve"> PCF supports the </w:t>
      </w:r>
      <w:r w:rsidRPr="00E14EE3">
        <w:t xml:space="preserve">Staff Proposal </w:t>
      </w:r>
      <w:r>
        <w:t xml:space="preserve">and recommends that it be </w:t>
      </w:r>
      <w:r w:rsidRPr="00E14EE3">
        <w:t xml:space="preserve">the template for the </w:t>
      </w:r>
      <w:r>
        <w:t>IOU</w:t>
      </w:r>
      <w:r w:rsidRPr="00E14EE3">
        <w:t xml:space="preserve"> ESA </w:t>
      </w:r>
      <w:r>
        <w:t>p</w:t>
      </w:r>
      <w:r w:rsidRPr="00E14EE3">
        <w:t>rogram applications</w:t>
      </w:r>
      <w:r>
        <w:t xml:space="preserve">.  PCF further states that the </w:t>
      </w:r>
      <w:r w:rsidRPr="00E14EE3">
        <w:t xml:space="preserve">customer segmentation process can be coordinated with and enhanced by the affordability metrics adopted in the recent decision in R.18-07-006 and </w:t>
      </w:r>
      <w:r>
        <w:t>recommends including t</w:t>
      </w:r>
      <w:r w:rsidRPr="00E14EE3">
        <w:t xml:space="preserve">he solar plus battery backup power </w:t>
      </w:r>
      <w:r>
        <w:t>measure</w:t>
      </w:r>
      <w:r w:rsidRPr="00E14EE3">
        <w:t xml:space="preserve"> under </w:t>
      </w:r>
      <w:r>
        <w:t>the</w:t>
      </w:r>
      <w:r w:rsidRPr="00E14EE3">
        <w:t xml:space="preserve"> Tier 3 </w:t>
      </w:r>
      <w:r>
        <w:t>package</w:t>
      </w:r>
      <w:r w:rsidRPr="00E14EE3">
        <w:t>.</w:t>
      </w:r>
      <w:r>
        <w:rPr>
          <w:rStyle w:val="FootnoteReference"/>
        </w:rPr>
        <w:footnoteReference w:id="301"/>
      </w:r>
    </w:p>
    <w:p w:rsidR="000C1980" w:rsidP="001968DC" w:rsidRDefault="000C1980" w14:paraId="562BF88C" w14:textId="77777777">
      <w:pPr>
        <w:pStyle w:val="Heading4"/>
        <w:ind w:left="3600"/>
      </w:pPr>
      <w:bookmarkStart w:name="_Toc69947902" w:id="235"/>
      <w:r>
        <w:t>EEC and TELACU et al.</w:t>
      </w:r>
      <w:bookmarkEnd w:id="235"/>
    </w:p>
    <w:p w:rsidRPr="00F648A9" w:rsidR="000C1980" w:rsidP="00354202" w:rsidRDefault="000C1980" w14:paraId="6FEB0054" w14:textId="3B00EC51">
      <w:pPr>
        <w:pStyle w:val="Standard"/>
      </w:pPr>
      <w:r>
        <w:rPr>
          <w:b/>
          <w:bCs/>
          <w:i/>
          <w:iCs/>
          <w:u w:val="single"/>
        </w:rPr>
        <w:t>Does Not Support:</w:t>
      </w:r>
      <w:r>
        <w:t xml:space="preserve"> EEC and TELACU et al. state that the </w:t>
      </w:r>
      <w:r w:rsidRPr="00A67D21">
        <w:t>Staff Proposal creates conflicting objectives within the ESA program</w:t>
      </w:r>
      <w:r>
        <w:t xml:space="preserve">, </w:t>
      </w:r>
      <w:r w:rsidRPr="00A67D21">
        <w:t>makes real world implementation costly and cumbersome</w:t>
      </w:r>
      <w:r>
        <w:t>, and i</w:t>
      </w:r>
      <w:r w:rsidRPr="00A67D21">
        <w:t>s unrealistic</w:t>
      </w:r>
      <w:r w:rsidRPr="00A67D21">
        <w:rPr>
          <w:rFonts w:ascii="CIDFont+F2" w:hAnsi="CIDFont+F2" w:cs="CIDFont+F2"/>
          <w:sz w:val="22"/>
          <w:szCs w:val="22"/>
        </w:rPr>
        <w:t xml:space="preserve"> </w:t>
      </w:r>
      <w:r w:rsidRPr="00A67D21">
        <w:t>in this era of</w:t>
      </w:r>
      <w:r>
        <w:t xml:space="preserve"> </w:t>
      </w:r>
      <w:r w:rsidRPr="00A67D21">
        <w:t xml:space="preserve">the COVID-19 </w:t>
      </w:r>
      <w:r>
        <w:t>p</w:t>
      </w:r>
      <w:r w:rsidRPr="00A67D21">
        <w:t>andemic</w:t>
      </w:r>
      <w:r>
        <w:t xml:space="preserve">.  They do not support any segmentation approach or prioritization of homes for treatment, do not agree with setting household savings goals, do not support a goal for equity measures, do not support a </w:t>
      </w:r>
      <w:r w:rsidRPr="00675468">
        <w:t>minimum threshold for program cost</w:t>
      </w:r>
      <w:r>
        <w:t xml:space="preserve"> </w:t>
      </w:r>
      <w:r w:rsidRPr="00675468">
        <w:t>effectiveness</w:t>
      </w:r>
      <w:r w:rsidR="00AE0A4E">
        <w:t>, and do not support a UAS</w:t>
      </w:r>
      <w:r w:rsidR="008B1C54">
        <w:t>.  They do</w:t>
      </w:r>
      <w:r>
        <w:t xml:space="preserve"> recommend that funding and training be </w:t>
      </w:r>
      <w:r w:rsidRPr="00675468">
        <w:t>provide</w:t>
      </w:r>
      <w:r>
        <w:t>d</w:t>
      </w:r>
      <w:r w:rsidRPr="00675468">
        <w:t xml:space="preserve"> to support the expansion of licensing of existing </w:t>
      </w:r>
      <w:proofErr w:type="gramStart"/>
      <w:r w:rsidRPr="00675468">
        <w:t>contractors</w:t>
      </w:r>
      <w:r>
        <w:t xml:space="preserve">, </w:t>
      </w:r>
      <w:r w:rsidR="00D8753C">
        <w:t>and</w:t>
      </w:r>
      <w:proofErr w:type="gramEnd"/>
      <w:r w:rsidR="00D8753C">
        <w:t xml:space="preserve"> </w:t>
      </w:r>
      <w:r w:rsidR="008B1C54">
        <w:t xml:space="preserve">propose that </w:t>
      </w:r>
      <w:r w:rsidRPr="001F0A7B">
        <w:t xml:space="preserve">budgets for home repairs </w:t>
      </w:r>
      <w:r>
        <w:t xml:space="preserve">to be </w:t>
      </w:r>
      <w:r w:rsidRPr="001F0A7B">
        <w:t>managed at the contractor level</w:t>
      </w:r>
      <w:r>
        <w:t xml:space="preserve"> </w:t>
      </w:r>
      <w:r w:rsidRPr="001F0A7B">
        <w:t>and be based on overall average costs for homes served by that contractor</w:t>
      </w:r>
      <w:r>
        <w:t>.</w:t>
      </w:r>
      <w:r>
        <w:rPr>
          <w:rStyle w:val="FootnoteReference"/>
        </w:rPr>
        <w:footnoteReference w:id="302"/>
      </w:r>
    </w:p>
    <w:p w:rsidR="000C1980" w:rsidP="001968DC" w:rsidRDefault="000C1980" w14:paraId="25787ED1" w14:textId="77777777">
      <w:pPr>
        <w:pStyle w:val="Heading4"/>
        <w:ind w:left="3600"/>
      </w:pPr>
      <w:bookmarkStart w:name="_Toc69947903" w:id="236"/>
      <w:r>
        <w:lastRenderedPageBreak/>
        <w:t>Joint Parties</w:t>
      </w:r>
      <w:bookmarkEnd w:id="236"/>
    </w:p>
    <w:p w:rsidR="000C1980" w:rsidP="00354202" w:rsidRDefault="000C1980" w14:paraId="1AA5EBC6" w14:textId="3E5DBAFF">
      <w:pPr>
        <w:pStyle w:val="Standard"/>
      </w:pPr>
      <w:r>
        <w:rPr>
          <w:b/>
          <w:bCs/>
          <w:i/>
          <w:iCs/>
          <w:u w:val="single"/>
        </w:rPr>
        <w:t>Supports, Proposes Modifications:</w:t>
      </w:r>
      <w:r w:rsidRPr="00F130F1">
        <w:t xml:space="preserve"> The Joint Parties </w:t>
      </w:r>
      <w:r>
        <w:t xml:space="preserve">generally </w:t>
      </w:r>
      <w:r w:rsidRPr="00F130F1">
        <w:t xml:space="preserve">support </w:t>
      </w:r>
      <w:r>
        <w:t>the</w:t>
      </w:r>
      <w:r w:rsidRPr="00F130F1">
        <w:t xml:space="preserve"> Staff Proposal</w:t>
      </w:r>
      <w:r>
        <w:t>’s direction</w:t>
      </w:r>
      <w:r w:rsidRPr="00F130F1">
        <w:t xml:space="preserve"> </w:t>
      </w:r>
      <w:r>
        <w:t>but</w:t>
      </w:r>
      <w:r w:rsidRPr="00F130F1">
        <w:t xml:space="preserve"> recommend </w:t>
      </w:r>
      <w:r>
        <w:t>an “</w:t>
      </w:r>
      <w:r w:rsidRPr="00F130F1">
        <w:t xml:space="preserve">ideal </w:t>
      </w:r>
      <w:r>
        <w:t xml:space="preserve">state” where </w:t>
      </w:r>
      <w:r w:rsidRPr="00F130F1">
        <w:t>all cost-effective</w:t>
      </w:r>
      <w:r w:rsidRPr="00B23DD8">
        <w:t xml:space="preserve"> </w:t>
      </w:r>
      <w:r w:rsidRPr="00F130F1">
        <w:t xml:space="preserve">efficiency measures </w:t>
      </w:r>
      <w:r>
        <w:t>and needed HCS</w:t>
      </w:r>
      <w:r w:rsidRPr="00F130F1">
        <w:t xml:space="preserve"> measures</w:t>
      </w:r>
      <w:r w:rsidRPr="00B23DD8">
        <w:t xml:space="preserve"> </w:t>
      </w:r>
      <w:r>
        <w:t xml:space="preserve">are offered in place of </w:t>
      </w:r>
      <w:r w:rsidRPr="00B23DD8">
        <w:t xml:space="preserve">lists of measures </w:t>
      </w:r>
      <w:r>
        <w:t>by</w:t>
      </w:r>
      <w:r w:rsidRPr="00B23DD8">
        <w:t xml:space="preserve"> </w:t>
      </w:r>
      <w:r>
        <w:t>t</w:t>
      </w:r>
      <w:r w:rsidRPr="00B23DD8">
        <w:t>ier</w:t>
      </w:r>
      <w:r w:rsidR="007D6B45">
        <w:t>. They</w:t>
      </w:r>
      <w:r>
        <w:t xml:space="preserve"> recommend d</w:t>
      </w:r>
      <w:r w:rsidRPr="00F130F1">
        <w:t>esign</w:t>
      </w:r>
      <w:r>
        <w:t>ing</w:t>
      </w:r>
      <w:r w:rsidRPr="00F130F1">
        <w:t xml:space="preserve"> a program</w:t>
      </w:r>
      <w:r w:rsidRPr="00F130F1">
        <w:rPr>
          <w:rFonts w:ascii="TimesNewRomanPSMT" w:hAnsi="TimesNewRomanPSMT" w:cs="TimesNewRomanPSMT"/>
          <w:sz w:val="24"/>
          <w:szCs w:val="24"/>
        </w:rPr>
        <w:t xml:space="preserve"> </w:t>
      </w:r>
      <w:r w:rsidRPr="00F130F1">
        <w:t xml:space="preserve">that appeals to owners </w:t>
      </w:r>
      <w:r>
        <w:t>and</w:t>
      </w:r>
      <w:r w:rsidRPr="00F130F1">
        <w:t xml:space="preserve"> renters</w:t>
      </w:r>
      <w:r>
        <w:t xml:space="preserve">, and supports </w:t>
      </w:r>
      <w:r w:rsidRPr="00F130F1">
        <w:t xml:space="preserve">use </w:t>
      </w:r>
      <w:r>
        <w:t xml:space="preserve">of </w:t>
      </w:r>
      <w:r w:rsidRPr="00F130F1">
        <w:t xml:space="preserve">a </w:t>
      </w:r>
      <w:r>
        <w:t>UAS</w:t>
      </w:r>
      <w:r w:rsidRPr="00F130F1">
        <w:t xml:space="preserve"> </w:t>
      </w:r>
      <w:r>
        <w:t>for</w:t>
      </w:r>
      <w:r w:rsidRPr="00F130F1">
        <w:t xml:space="preserve"> eas</w:t>
      </w:r>
      <w:r>
        <w:t>ier</w:t>
      </w:r>
      <w:r w:rsidRPr="00F130F1">
        <w:t xml:space="preserve"> participat</w:t>
      </w:r>
      <w:r>
        <w:t>ion.</w:t>
      </w:r>
      <w:r>
        <w:rPr>
          <w:rStyle w:val="FootnoteReference"/>
        </w:rPr>
        <w:footnoteReference w:id="303"/>
      </w:r>
      <w:r w:rsidR="00D75AC7">
        <w:t xml:space="preserve"> </w:t>
      </w:r>
      <w:bookmarkStart w:name="_Hlk70327317" w:id="237"/>
      <w:r w:rsidRPr="3776745C" w:rsidR="00D75AC7">
        <w:rPr>
          <w:rStyle w:val="FootnoteReference"/>
          <w:vertAlign w:val="baseline"/>
        </w:rPr>
        <w:t>The Joint Parties also support the use of electrification  measures for the Staff Proposal</w:t>
      </w:r>
      <w:bookmarkEnd w:id="237"/>
      <w:r w:rsidRPr="3776745C" w:rsidR="00D75AC7">
        <w:rPr>
          <w:rStyle w:val="FootnoteReference"/>
          <w:vertAlign w:val="baseline"/>
        </w:rPr>
        <w:t>.</w:t>
      </w:r>
      <w:r w:rsidRPr="3776745C" w:rsidR="00D75AC7">
        <w:rPr>
          <w:rStyle w:val="FootnoteReference"/>
        </w:rPr>
        <w:footnoteReference w:id="304"/>
      </w:r>
    </w:p>
    <w:p w:rsidR="000C1980" w:rsidP="001968DC" w:rsidRDefault="000C1980" w14:paraId="6A52C838" w14:textId="77777777">
      <w:pPr>
        <w:pStyle w:val="Heading4"/>
        <w:ind w:left="3600"/>
      </w:pPr>
      <w:bookmarkStart w:name="_Toc69947904" w:id="238"/>
      <w:r>
        <w:t xml:space="preserve">La </w:t>
      </w:r>
      <w:proofErr w:type="spellStart"/>
      <w:r>
        <w:t>Cooperativa</w:t>
      </w:r>
      <w:proofErr w:type="spellEnd"/>
      <w:r>
        <w:t xml:space="preserve"> et al.</w:t>
      </w:r>
      <w:bookmarkEnd w:id="238"/>
      <w:r>
        <w:t xml:space="preserve"> </w:t>
      </w:r>
    </w:p>
    <w:p w:rsidRPr="008936EA" w:rsidR="000C1980" w:rsidP="00354202" w:rsidRDefault="000C1980" w14:paraId="04D7FC84" w14:textId="77777777">
      <w:pPr>
        <w:pStyle w:val="Standard"/>
      </w:pPr>
      <w:r>
        <w:rPr>
          <w:b/>
          <w:bCs/>
          <w:i/>
          <w:iCs/>
          <w:u w:val="single"/>
        </w:rPr>
        <w:t>Does Not Support:</w:t>
      </w:r>
      <w:r>
        <w:t xml:space="preserve"> La Cooperative et al. does not support the Staff Proposal and instead states that ESA should be established as an “equity” program that </w:t>
      </w:r>
      <w:r w:rsidRPr="008936EA">
        <w:t>address</w:t>
      </w:r>
      <w:r>
        <w:t>es</w:t>
      </w:r>
      <w:r w:rsidRPr="008936EA">
        <w:t xml:space="preserve"> energy burden reduction</w:t>
      </w:r>
      <w:r>
        <w:t>s and HCS.</w:t>
      </w:r>
      <w:r>
        <w:rPr>
          <w:rStyle w:val="FootnoteReference"/>
        </w:rPr>
        <w:footnoteReference w:id="305"/>
      </w:r>
    </w:p>
    <w:p w:rsidR="000C1980" w:rsidP="001968DC" w:rsidRDefault="000C1980" w14:paraId="6CFF0434" w14:textId="77777777">
      <w:pPr>
        <w:pStyle w:val="Heading3"/>
        <w:ind w:left="2664"/>
      </w:pPr>
      <w:bookmarkStart w:name="_Toc69947905" w:id="239"/>
      <w:r>
        <w:t>Discussion</w:t>
      </w:r>
      <w:bookmarkEnd w:id="239"/>
    </w:p>
    <w:p w:rsidRPr="00B863C1" w:rsidR="000C1980" w:rsidP="001968DC" w:rsidRDefault="000C1980" w14:paraId="0E513E32" w14:textId="18A43B3B">
      <w:pPr>
        <w:pStyle w:val="Heading4"/>
        <w:ind w:left="3600"/>
      </w:pPr>
      <w:bookmarkStart w:name="_Toc69947906" w:id="240"/>
      <w:r w:rsidRPr="00B863C1">
        <w:t xml:space="preserve">Additional Data </w:t>
      </w:r>
      <w:r w:rsidR="003524D4">
        <w:t>Requirements</w:t>
      </w:r>
      <w:r w:rsidRPr="00B863C1">
        <w:t xml:space="preserve">: </w:t>
      </w:r>
      <w:r w:rsidRPr="00045A2D">
        <w:rPr>
          <w:u w:val="single"/>
        </w:rPr>
        <w:t>Approved</w:t>
      </w:r>
      <w:bookmarkEnd w:id="240"/>
    </w:p>
    <w:p w:rsidR="000C1980" w:rsidP="00354202" w:rsidRDefault="000C1980" w14:paraId="5DCBCF04" w14:textId="77777777">
      <w:pPr>
        <w:pStyle w:val="Standard"/>
      </w:pPr>
      <w:r>
        <w:t xml:space="preserve">We agree with the Staff Proposal that the ESA program should be moving away from a “number of household treatments” paradigm to one that </w:t>
      </w:r>
      <w:r w:rsidRPr="4FC83D76">
        <w:rPr>
          <w:rFonts w:eastAsia="Garamond" w:cs="Garamond"/>
        </w:rPr>
        <w:t xml:space="preserve">focuses on achieving deeper energy savings, lower energy bills for </w:t>
      </w:r>
      <w:proofErr w:type="gramStart"/>
      <w:r w:rsidRPr="4FC83D76">
        <w:rPr>
          <w:rFonts w:eastAsia="Garamond" w:cs="Garamond"/>
        </w:rPr>
        <w:t>low income</w:t>
      </w:r>
      <w:proofErr w:type="gramEnd"/>
      <w:r w:rsidRPr="4FC83D76">
        <w:rPr>
          <w:rFonts w:eastAsia="Garamond" w:cs="Garamond"/>
        </w:rPr>
        <w:t xml:space="preserve"> households, and greater opportunities for participation in other clean energy programs</w:t>
      </w:r>
      <w:r>
        <w:rPr>
          <w:rFonts w:eastAsia="Garamond" w:cs="Garamond"/>
        </w:rPr>
        <w:t xml:space="preserve">.  </w:t>
      </w:r>
      <w:r w:rsidRPr="4FC83D76">
        <w:rPr>
          <w:rFonts w:eastAsia="Garamond" w:cs="Garamond"/>
        </w:rPr>
        <w:t xml:space="preserve">We also agree with the guiding principles that underpin the goals introduced in the Staff Proposal.  At the same time, we acknowledge that this is a pivot from both the existing model of the ESA program and </w:t>
      </w:r>
      <w:r>
        <w:rPr>
          <w:rFonts w:eastAsia="Garamond" w:cs="Garamond"/>
        </w:rPr>
        <w:t xml:space="preserve">the </w:t>
      </w:r>
      <w:r w:rsidRPr="4FC83D76">
        <w:rPr>
          <w:rFonts w:eastAsia="Garamond" w:cs="Garamond"/>
        </w:rPr>
        <w:t xml:space="preserve">IOU proposed models in some respects.  After thorough review of party comments to the Staff Proposal, we agree with the IOUs and TURN that more analysis and data collection is needed before full implementation.  Therefore, this decision will not require a full implementation of the staff proposed structure for the ESA program, but we do </w:t>
      </w:r>
      <w:r w:rsidRPr="4FC83D76">
        <w:rPr>
          <w:rFonts w:eastAsia="Garamond" w:cs="Garamond"/>
        </w:rPr>
        <w:lastRenderedPageBreak/>
        <w:t>set in motion the transition towards a more thoughtful,</w:t>
      </w:r>
      <w:r>
        <w:t xml:space="preserve"> customer-centric delivery model beginning with a pilot of the Staff Proposal’s model.  The data collected through this pilot will inform the Commission on this design’s effectiveness as it compares to the IOU proposed designs.  In addition,</w:t>
      </w:r>
      <w:r w:rsidRPr="00500C8B">
        <w:t xml:space="preserve"> </w:t>
      </w:r>
      <w:r>
        <w:t>we direct the IOUs to begin a more coordinated effort to ensure that eligible households are m</w:t>
      </w:r>
      <w:r w:rsidRPr="00E368D0">
        <w:t>aximiz</w:t>
      </w:r>
      <w:r>
        <w:t xml:space="preserve">ing their participation in all </w:t>
      </w:r>
      <w:r w:rsidRPr="00E368D0">
        <w:t xml:space="preserve">clean energy programs.  </w:t>
      </w:r>
      <w:r>
        <w:t>We also approve for work to begin on the UAS proposal as discussed below.</w:t>
      </w:r>
    </w:p>
    <w:p w:rsidR="000C1980" w:rsidP="001968DC" w:rsidRDefault="000C1980" w14:paraId="6ED1B7E6" w14:textId="77777777">
      <w:pPr>
        <w:pStyle w:val="Heading4"/>
        <w:ind w:left="3600"/>
      </w:pPr>
      <w:bookmarkStart w:name="_Toc69947907" w:id="241"/>
      <w:r w:rsidRPr="00045A2D">
        <w:t xml:space="preserve">Staff Proposal Treatment Packages: </w:t>
      </w:r>
      <w:r w:rsidRPr="00045A2D">
        <w:rPr>
          <w:u w:val="single"/>
        </w:rPr>
        <w:t>Approved as a Pilot</w:t>
      </w:r>
      <w:bookmarkEnd w:id="241"/>
      <w:r>
        <w:t xml:space="preserve"> </w:t>
      </w:r>
    </w:p>
    <w:p w:rsidRPr="0044332B" w:rsidR="000C1980" w:rsidP="00354202" w:rsidRDefault="000C1980" w14:paraId="7E88DE86" w14:textId="502FDFCA">
      <w:pPr>
        <w:pStyle w:val="Standard"/>
      </w:pPr>
      <w:r>
        <w:t xml:space="preserve">This </w:t>
      </w:r>
      <w:r w:rsidRPr="4C8F0DC3">
        <w:t>decision allocates approximately $44 million for PG&amp;E, $19 million for SCE, $33 million for SoCalGas and $8 million for SDG&amp;E to the Staff Proposal Treatment Packages pilots, which is approximately 4</w:t>
      </w:r>
      <w:r w:rsidRPr="006E22E7">
        <w:t xml:space="preserve"> </w:t>
      </w:r>
      <w:r w:rsidRPr="0026503D">
        <w:t>percent</w:t>
      </w:r>
      <w:r w:rsidRPr="4C8F0DC3">
        <w:t xml:space="preserve"> of each IOUs’ originally proposed ESA total program budget.  The pilot funds will be used to implement the Staff Proposal’s Tier 2 (hereafter referred to as “Pilot Plus”) and Tier 3 measure packages (hereafter referred to as “Pilot Deep”) within each IOUs’ service territory, as modified from its original version per comments received.  We expect and understand that the Pilot Plus and Pilot Deep </w:t>
      </w:r>
      <w:r>
        <w:t>t</w:t>
      </w:r>
      <w:r w:rsidRPr="4C8F0DC3">
        <w:t xml:space="preserve">reatments will require a greater investment per household but in return will yield deeper savings with energy savings targets expected at five percent up to fifty percent.  </w:t>
      </w:r>
      <w:bookmarkStart w:name="_Hlk70326850" w:id="242"/>
      <w:r w:rsidRPr="4C8F0DC3">
        <w:t xml:space="preserve">Through this pilot, the IOUs will gather data on the feasibility of strategic measures delivery, </w:t>
      </w:r>
      <w:r w:rsidRPr="3776745C" w:rsidR="003109A9">
        <w:t>including electrification measures</w:t>
      </w:r>
      <w:bookmarkEnd w:id="242"/>
      <w:r w:rsidR="003109A9">
        <w:t>,</w:t>
      </w:r>
      <w:r w:rsidRPr="4C8F0DC3" w:rsidR="003109A9">
        <w:t xml:space="preserve"> </w:t>
      </w:r>
      <w:r w:rsidRPr="4C8F0DC3">
        <w:t xml:space="preserve">the level of investment required for such deep energy retrofits, the realized savings (energy savings and bill impacts) to the household, the </w:t>
      </w:r>
      <w:proofErr w:type="gramStart"/>
      <w:r w:rsidRPr="4C8F0DC3">
        <w:t>long term</w:t>
      </w:r>
      <w:proofErr w:type="gramEnd"/>
      <w:r w:rsidRPr="4C8F0DC3">
        <w:t xml:space="preserve"> benefits of these treatments (including non-energy benefits), and the cost effectiveness of each treatment tier</w:t>
      </w:r>
      <w:r>
        <w:t xml:space="preserve">.  </w:t>
      </w:r>
    </w:p>
    <w:p w:rsidRPr="00045A2D" w:rsidR="000C1980" w:rsidP="001968DC" w:rsidRDefault="000C1980" w14:paraId="63CDB124" w14:textId="77777777">
      <w:pPr>
        <w:pStyle w:val="Heading4"/>
        <w:ind w:left="3600"/>
      </w:pPr>
      <w:bookmarkStart w:name="_Toc69947908" w:id="243"/>
      <w:r w:rsidRPr="00045A2D">
        <w:lastRenderedPageBreak/>
        <w:t xml:space="preserve">Pilot Workshop: </w:t>
      </w:r>
      <w:r w:rsidRPr="000C2C85">
        <w:rPr>
          <w:u w:val="single"/>
        </w:rPr>
        <w:t>New</w:t>
      </w:r>
      <w:bookmarkEnd w:id="243"/>
    </w:p>
    <w:p w:rsidRPr="00686C13" w:rsidR="000C1980" w:rsidP="00354202" w:rsidRDefault="000C1980" w14:paraId="651192A9" w14:textId="695C1794">
      <w:pPr>
        <w:pStyle w:val="Standard"/>
      </w:pPr>
      <w:r w:rsidRPr="702EA0BB">
        <w:t xml:space="preserve">Within </w:t>
      </w:r>
      <w:r w:rsidR="00263CB7">
        <w:t>12</w:t>
      </w:r>
      <w:r w:rsidRPr="702EA0BB">
        <w:t xml:space="preserve">0 days </w:t>
      </w:r>
      <w:r w:rsidRPr="00C47214" w:rsidR="00C47214">
        <w:t xml:space="preserve">after the approval </w:t>
      </w:r>
      <w:r w:rsidRPr="702EA0BB">
        <w:t xml:space="preserve">of this decision, the IOUs in coordination with Energy Division staff, will lead at least one workshop with stakeholders to introduce the IOUs’ preliminary implementation plans for the Pilot Plus and Pilot Deep measure packages and seek stakeholder feedback.  Each IOU shall file a Tier 2 advice letter no later than </w:t>
      </w:r>
      <w:r w:rsidR="001633DD">
        <w:rPr>
          <w:rFonts w:eastAsiaTheme="minorEastAsia"/>
        </w:rPr>
        <w:t>9</w:t>
      </w:r>
      <w:r w:rsidRPr="702EA0BB" w:rsidR="001633DD">
        <w:rPr>
          <w:rFonts w:eastAsiaTheme="minorEastAsia"/>
        </w:rPr>
        <w:t xml:space="preserve">0 </w:t>
      </w:r>
      <w:r w:rsidRPr="702EA0BB">
        <w:rPr>
          <w:rFonts w:eastAsiaTheme="minorEastAsia"/>
        </w:rPr>
        <w:t xml:space="preserve">days after the first pilot workshop </w:t>
      </w:r>
      <w:r w:rsidRPr="702EA0BB">
        <w:t xml:space="preserve">detailing its pilot implementation plan which Energy Division staff will review and dispose of accordingly. </w:t>
      </w:r>
      <w:r>
        <w:t xml:space="preserve"> </w:t>
      </w:r>
      <w:r w:rsidR="00B93691">
        <w:t xml:space="preserve">This pilot shall be </w:t>
      </w:r>
      <w:r w:rsidRPr="3776745C" w:rsidR="00B93691">
        <w:t>launch</w:t>
      </w:r>
      <w:r w:rsidR="00B93691">
        <w:t>ed</w:t>
      </w:r>
      <w:r w:rsidRPr="3776745C" w:rsidR="00B93691">
        <w:t xml:space="preserve"> </w:t>
      </w:r>
      <w:r w:rsidR="00B93691">
        <w:t>by</w:t>
      </w:r>
      <w:r w:rsidRPr="3776745C" w:rsidR="00B93691">
        <w:t xml:space="preserve"> </w:t>
      </w:r>
      <w:r w:rsidR="00B93691">
        <w:t xml:space="preserve">the </w:t>
      </w:r>
      <w:r w:rsidR="008F18FE">
        <w:t xml:space="preserve">beginning of the </w:t>
      </w:r>
      <w:r w:rsidR="00893CD2">
        <w:t xml:space="preserve">third </w:t>
      </w:r>
      <w:r w:rsidR="00B93691">
        <w:t xml:space="preserve">quarter of </w:t>
      </w:r>
      <w:r w:rsidRPr="3776745C" w:rsidR="00B93691">
        <w:t>2022</w:t>
      </w:r>
      <w:r w:rsidR="00B93691">
        <w:t xml:space="preserve">. </w:t>
      </w:r>
      <w:r w:rsidRPr="007F40BA">
        <w:rPr>
          <w:i/>
          <w:iCs/>
        </w:rPr>
        <w:t>See</w:t>
      </w:r>
      <w:r w:rsidRPr="702EA0BB">
        <w:t xml:space="preserve"> Attachment </w:t>
      </w:r>
      <w:r>
        <w:t>2</w:t>
      </w:r>
      <w:r w:rsidRPr="702EA0BB">
        <w:t xml:space="preserve"> for full guidance for the Pilot Plus and </w:t>
      </w:r>
      <w:r>
        <w:t xml:space="preserve">Pilot </w:t>
      </w:r>
      <w:r w:rsidRPr="702EA0BB">
        <w:t xml:space="preserve">Deep program structure and advice letter requirements.   </w:t>
      </w:r>
    </w:p>
    <w:p w:rsidRPr="00C71B59" w:rsidR="000C1980" w:rsidP="001968DC" w:rsidRDefault="000C1980" w14:paraId="6E343C67" w14:textId="13F73D29">
      <w:pPr>
        <w:pStyle w:val="Heading4"/>
        <w:ind w:left="3600"/>
        <w:rPr>
          <w:u w:val="single"/>
        </w:rPr>
      </w:pPr>
      <w:bookmarkStart w:name="_Toc69947909" w:id="244"/>
      <w:r w:rsidRPr="00045A2D">
        <w:t xml:space="preserve">Coordinating with Clean Energy Programs: </w:t>
      </w:r>
      <w:r w:rsidR="00F91415">
        <w:rPr>
          <w:u w:val="single"/>
        </w:rPr>
        <w:t>Requires</w:t>
      </w:r>
      <w:r w:rsidRPr="007E6072" w:rsidR="00F91415">
        <w:rPr>
          <w:u w:val="single"/>
        </w:rPr>
        <w:t xml:space="preserve"> </w:t>
      </w:r>
      <w:r w:rsidRPr="00C71B59">
        <w:rPr>
          <w:bCs/>
          <w:u w:val="single"/>
        </w:rPr>
        <w:t>Further Stud</w:t>
      </w:r>
      <w:r w:rsidR="00F91415">
        <w:rPr>
          <w:bCs/>
          <w:u w:val="single"/>
        </w:rPr>
        <w:t>y</w:t>
      </w:r>
      <w:bookmarkEnd w:id="244"/>
    </w:p>
    <w:p w:rsidRPr="00495BA6" w:rsidR="000C1980" w:rsidP="00354202" w:rsidRDefault="000C1980" w14:paraId="64FE218B" w14:textId="5CEDE365">
      <w:pPr>
        <w:pStyle w:val="Standard"/>
      </w:pPr>
      <w:r w:rsidRPr="00495BA6">
        <w:t>As part of Staff Proposal goal 2, to establish effective coordination efforts among low</w:t>
      </w:r>
      <w:r>
        <w:t xml:space="preserve"> </w:t>
      </w:r>
      <w:r w:rsidRPr="00495BA6">
        <w:t xml:space="preserve">income and clean energy programs, we direct the IOUs to hold a workshop within 120 days </w:t>
      </w:r>
      <w:r w:rsidRPr="00C47214" w:rsidR="00C47214">
        <w:t xml:space="preserve">after the approval </w:t>
      </w:r>
      <w:r w:rsidRPr="00495BA6">
        <w:t xml:space="preserve">of </w:t>
      </w:r>
      <w:r>
        <w:t>this</w:t>
      </w:r>
      <w:r w:rsidRPr="00495BA6">
        <w:t xml:space="preserve"> decision, among the IOUs and other low income and/or clean energy program administrators</w:t>
      </w:r>
      <w:r w:rsidRPr="0099018E" w:rsidR="0099018E">
        <w:t xml:space="preserve"> </w:t>
      </w:r>
      <w:r w:rsidRPr="00165BEA" w:rsidR="0099018E">
        <w:t>(</w:t>
      </w:r>
      <w:r w:rsidR="0099018E">
        <w:t>at a minimum to include</w:t>
      </w:r>
      <w:r w:rsidRPr="00165BEA" w:rsidR="0099018E">
        <w:t xml:space="preserve"> </w:t>
      </w:r>
      <w:r w:rsidR="0099018E">
        <w:t xml:space="preserve">ESA, CARE, FERA, SGIP, SOMAH, Arrearage Management Plan (AMP), Percentage of Income Payment Plan (PIPP), CSD </w:t>
      </w:r>
      <w:proofErr w:type="gramStart"/>
      <w:r w:rsidR="0099018E">
        <w:t>low income</w:t>
      </w:r>
      <w:proofErr w:type="gramEnd"/>
      <w:r w:rsidR="0099018E">
        <w:t xml:space="preserve"> assistance programs</w:t>
      </w:r>
      <w:r w:rsidRPr="00165BEA" w:rsidR="0099018E">
        <w:t>, DAC programs)</w:t>
      </w:r>
      <w:r w:rsidRPr="00495BA6">
        <w:t xml:space="preserve">.  The purpose of the workshop would be to discuss how the various program administrators can better align customer eligibility for </w:t>
      </w:r>
      <w:r>
        <w:t>the</w:t>
      </w:r>
      <w:r w:rsidRPr="00495BA6">
        <w:t xml:space="preserve"> programs, increase referrals and enrollment across multiple programs, and increase coordination efforts</w:t>
      </w:r>
      <w:r>
        <w:t xml:space="preserve">.  </w:t>
      </w:r>
      <w:r w:rsidRPr="00495BA6">
        <w:t xml:space="preserve">These efforts include but are not limited to data sharing, cost sharing, joint enrollment, and/or other joint agreements and/or MOUs between program administrators. </w:t>
      </w:r>
    </w:p>
    <w:p w:rsidRPr="00495BA6" w:rsidR="000C1980" w:rsidP="00354202" w:rsidRDefault="000C1980" w14:paraId="0459C185" w14:textId="77777777">
      <w:pPr>
        <w:pStyle w:val="Standard"/>
      </w:pPr>
      <w:r w:rsidRPr="00495BA6">
        <w:t xml:space="preserve">Within 30 days after the </w:t>
      </w:r>
      <w:r>
        <w:t xml:space="preserve">clean energy programs </w:t>
      </w:r>
      <w:r w:rsidRPr="00495BA6">
        <w:t xml:space="preserve">workshop, the IOUs shall submit a Tier 1 Advice Letter with a summary of the workshop’s discussion, including </w:t>
      </w:r>
      <w:r>
        <w:t xml:space="preserve">a plan for how the </w:t>
      </w:r>
      <w:r w:rsidRPr="00495BA6">
        <w:t>IOUs will increas</w:t>
      </w:r>
      <w:r>
        <w:t>e</w:t>
      </w:r>
      <w:r w:rsidRPr="00495BA6">
        <w:t xml:space="preserve"> and improv</w:t>
      </w:r>
      <w:r>
        <w:t>e</w:t>
      </w:r>
      <w:r w:rsidRPr="00495BA6">
        <w:t xml:space="preserve"> referral, leveraging, </w:t>
      </w:r>
      <w:r w:rsidRPr="00495BA6">
        <w:lastRenderedPageBreak/>
        <w:t xml:space="preserve">and coordination efforts, a proposed schedule across the program cycle, new </w:t>
      </w:r>
      <w:proofErr w:type="gramStart"/>
      <w:r w:rsidRPr="00495BA6">
        <w:t>metrics</w:t>
      </w:r>
      <w:proofErr w:type="gramEnd"/>
      <w:r w:rsidRPr="00495BA6">
        <w:t xml:space="preserve"> and reporting templates to be used in the monthly and annual reports, and other future considerations to be incorporated into the mid-cycle process.</w:t>
      </w:r>
    </w:p>
    <w:p w:rsidRPr="00045A2D" w:rsidR="000C1980" w:rsidP="001968DC" w:rsidRDefault="000C1980" w14:paraId="0261ADA3" w14:textId="7BB150BC">
      <w:pPr>
        <w:pStyle w:val="Heading4"/>
        <w:ind w:left="3600"/>
      </w:pPr>
      <w:bookmarkStart w:name="_Toc69947910" w:id="245"/>
      <w:r w:rsidRPr="00045A2D">
        <w:t xml:space="preserve">UAS: </w:t>
      </w:r>
      <w:r w:rsidRPr="00113319" w:rsidR="00F91415">
        <w:rPr>
          <w:u w:val="single"/>
        </w:rPr>
        <w:t xml:space="preserve">Requires </w:t>
      </w:r>
      <w:r w:rsidRPr="00113319">
        <w:rPr>
          <w:u w:val="single"/>
        </w:rPr>
        <w:t>Further Stud</w:t>
      </w:r>
      <w:r w:rsidRPr="00113319" w:rsidR="00F91415">
        <w:rPr>
          <w:u w:val="single"/>
        </w:rPr>
        <w:t>y</w:t>
      </w:r>
      <w:bookmarkEnd w:id="245"/>
    </w:p>
    <w:p w:rsidR="000C1980" w:rsidP="00354202" w:rsidRDefault="000C1980" w14:paraId="784F0108" w14:textId="0D01671B">
      <w:pPr>
        <w:pStyle w:val="Standard"/>
      </w:pPr>
      <w:r w:rsidRPr="702EA0BB">
        <w:t xml:space="preserve">We direct the IOUs to set up a UAS </w:t>
      </w:r>
      <w:r>
        <w:t>w</w:t>
      </w:r>
      <w:r w:rsidRPr="702EA0BB">
        <w:t xml:space="preserve">orking </w:t>
      </w:r>
      <w:r>
        <w:t>g</w:t>
      </w:r>
      <w:r w:rsidRPr="702EA0BB">
        <w:t xml:space="preserve">roup, as part of the </w:t>
      </w:r>
      <w:r>
        <w:t xml:space="preserve">overall </w:t>
      </w:r>
      <w:r w:rsidRPr="702EA0BB">
        <w:t>ESA Working Group</w:t>
      </w:r>
      <w:r>
        <w:t xml:space="preserve"> (see Section 10.2)</w:t>
      </w:r>
      <w:r w:rsidRPr="702EA0BB">
        <w:t>, per the recommendations of PG&amp;E and SDG&amp;E and direct the group to complete the following tasks</w:t>
      </w:r>
      <w:r>
        <w:t xml:space="preserve"> and </w:t>
      </w:r>
      <w:r w:rsidRPr="702EA0BB">
        <w:t xml:space="preserve">answer related questions during a year-long development process.  </w:t>
      </w:r>
      <w:r>
        <w:t xml:space="preserve">The UAS working group </w:t>
      </w:r>
      <w:r w:rsidR="00375EDF">
        <w:t>is</w:t>
      </w:r>
      <w:r>
        <w:t xml:space="preserve"> tasked with the following: </w:t>
      </w:r>
    </w:p>
    <w:p w:rsidRPr="00630F02" w:rsidR="000C1980" w:rsidP="00354202" w:rsidRDefault="000C1980" w14:paraId="09E7804E" w14:textId="77777777">
      <w:pPr>
        <w:spacing w:line="360" w:lineRule="auto"/>
        <w:ind w:left="360" w:firstLine="720"/>
        <w:rPr>
          <w:rFonts w:eastAsia="Book Antiqua" w:cs="Book Antiqua"/>
          <w:i/>
          <w:iCs/>
          <w:szCs w:val="26"/>
          <w:u w:val="single"/>
        </w:rPr>
      </w:pPr>
      <w:r w:rsidRPr="00630F02">
        <w:rPr>
          <w:rFonts w:eastAsia="Book Antiqua" w:cs="Book Antiqua"/>
          <w:i/>
          <w:iCs/>
          <w:szCs w:val="26"/>
          <w:u w:val="single"/>
        </w:rPr>
        <w:t xml:space="preserve">Task 1: Identify </w:t>
      </w:r>
      <w:r>
        <w:rPr>
          <w:rFonts w:eastAsia="Book Antiqua" w:cs="Book Antiqua"/>
          <w:i/>
          <w:iCs/>
          <w:szCs w:val="26"/>
          <w:u w:val="single"/>
        </w:rPr>
        <w:t>UAS</w:t>
      </w:r>
      <w:r w:rsidRPr="00630F02">
        <w:rPr>
          <w:rFonts w:eastAsia="Book Antiqua" w:cs="Book Antiqua"/>
          <w:i/>
          <w:iCs/>
          <w:szCs w:val="26"/>
          <w:u w:val="single"/>
        </w:rPr>
        <w:t xml:space="preserve"> Purpose and Goals</w:t>
      </w:r>
    </w:p>
    <w:p w:rsidR="000C1980" w:rsidP="00354202" w:rsidRDefault="000C1980" w14:paraId="1131E636" w14:textId="447EBB11">
      <w:pPr>
        <w:pStyle w:val="Standard"/>
        <w:rPr>
          <w:rFonts w:asciiTheme="minorHAnsi" w:hAnsiTheme="minorHAnsi" w:eastAsiaTheme="minorEastAsia" w:cstheme="minorBidi"/>
        </w:rPr>
      </w:pPr>
      <w:r w:rsidRPr="702EA0BB">
        <w:t xml:space="preserve">What are the options on how the ESA/CARE/FERA programs can be integrated into a single statewide application, ranging from a single website with links to the IOUs’ websites to a central statewide system that stores </w:t>
      </w:r>
      <w:r w:rsidR="00FD130E">
        <w:t xml:space="preserve">or contains </w:t>
      </w:r>
      <w:r w:rsidRPr="702EA0BB">
        <w:t>all related IOU customer information?</w:t>
      </w:r>
      <w:r w:rsidRPr="702EA0BB">
        <w:rPr>
          <w:rFonts w:ascii="Garamond" w:hAnsi="Garamond" w:eastAsia="Garamond" w:cs="Garamond"/>
        </w:rPr>
        <w:t xml:space="preserve"> </w:t>
      </w:r>
    </w:p>
    <w:p w:rsidR="000C1980" w:rsidP="00354202" w:rsidRDefault="000C1980" w14:paraId="42597019" w14:textId="77777777">
      <w:pPr>
        <w:pStyle w:val="Standard"/>
        <w:rPr>
          <w:rFonts w:asciiTheme="minorHAnsi" w:hAnsiTheme="minorHAnsi" w:eastAsiaTheme="minorEastAsia" w:cstheme="minorBidi"/>
        </w:rPr>
      </w:pPr>
      <w:r w:rsidRPr="702EA0BB">
        <w:t xml:space="preserve">Program design - How can this system reflect the ESA / CARE / FERA program design for the program cycle and long term? How can the system make it easier for the IOUs to target and treat the various customer segments? Can the system help the IOUs meet the leveraging, coordination, and referrals requirements in </w:t>
      </w:r>
      <w:r>
        <w:t>S</w:t>
      </w:r>
      <w:r w:rsidRPr="702EA0BB">
        <w:t>ections 6.2 and 6.12? How can this type of system identify the needs of each of the type of customer segments that the IOUs are planning to target and treat through ESA?</w:t>
      </w:r>
    </w:p>
    <w:p w:rsidR="000C1980" w:rsidP="00354202" w:rsidRDefault="000C1980" w14:paraId="7C2E37AF" w14:textId="77777777">
      <w:pPr>
        <w:pStyle w:val="Standard"/>
        <w:rPr>
          <w:rFonts w:asciiTheme="minorHAnsi" w:hAnsiTheme="minorHAnsi" w:eastAsiaTheme="minorEastAsia" w:cstheme="minorBidi"/>
        </w:rPr>
      </w:pPr>
      <w:r w:rsidRPr="702EA0BB">
        <w:t>User/Customer experience – How can a UAS prioritize and improve and prioritize the overall customer experience (from outreach to intake to treatment to commissioning)?</w:t>
      </w:r>
    </w:p>
    <w:p w:rsidR="000C1980" w:rsidP="00354202" w:rsidRDefault="000C1980" w14:paraId="141B3527" w14:textId="77777777">
      <w:pPr>
        <w:pStyle w:val="ListAlpha"/>
        <w:numPr>
          <w:ilvl w:val="7"/>
          <w:numId w:val="50"/>
        </w:numPr>
        <w:ind w:right="720"/>
        <w:rPr>
          <w:rFonts w:asciiTheme="minorHAnsi" w:hAnsiTheme="minorHAnsi" w:eastAsiaTheme="minorEastAsia" w:cstheme="minorBidi"/>
        </w:rPr>
      </w:pPr>
      <w:r w:rsidRPr="702EA0BB">
        <w:t>Contractor, CBO, and Agency Engagement - How can other ESA/CARE/FERA stakeholders, particularly contractors, CBOs</w:t>
      </w:r>
      <w:r w:rsidRPr="702EA0BB">
        <w:rPr>
          <w:rFonts w:ascii="Garamond" w:hAnsi="Garamond" w:eastAsia="Garamond" w:cs="Garamond"/>
        </w:rPr>
        <w:t>,</w:t>
      </w:r>
      <w:r w:rsidRPr="702EA0BB">
        <w:t xml:space="preserve"> and other agencies administering assistance to income qualified </w:t>
      </w:r>
      <w:r w:rsidRPr="702EA0BB">
        <w:lastRenderedPageBreak/>
        <w:t>customers use the system? How can they be involved in the development of a prototype or system testing?</w:t>
      </w:r>
    </w:p>
    <w:p w:rsidRPr="00D9575A" w:rsidR="000C1980" w:rsidP="00354202" w:rsidRDefault="000C1980" w14:paraId="72D2E751" w14:textId="77777777">
      <w:pPr>
        <w:pStyle w:val="ListAlpha"/>
        <w:numPr>
          <w:ilvl w:val="7"/>
          <w:numId w:val="50"/>
        </w:numPr>
        <w:ind w:right="720"/>
      </w:pPr>
      <w:r w:rsidRPr="702EA0BB">
        <w:t>M</w:t>
      </w:r>
      <w:r>
        <w:t xml:space="preserve">arketing, </w:t>
      </w:r>
      <w:r w:rsidRPr="702EA0BB">
        <w:t>E</w:t>
      </w:r>
      <w:r>
        <w:t xml:space="preserve">ducation and </w:t>
      </w:r>
      <w:r w:rsidRPr="702EA0BB">
        <w:t>O</w:t>
      </w:r>
      <w:r>
        <w:t>utreach</w:t>
      </w:r>
      <w:r w:rsidRPr="702EA0BB">
        <w:t xml:space="preserve"> - How can this type of system reduce the IOUs’ </w:t>
      </w:r>
      <w:r>
        <w:t xml:space="preserve">marketing, </w:t>
      </w:r>
      <w:proofErr w:type="gramStart"/>
      <w:r>
        <w:t>education</w:t>
      </w:r>
      <w:proofErr w:type="gramEnd"/>
      <w:r>
        <w:t xml:space="preserve"> and outreach</w:t>
      </w:r>
      <w:r w:rsidRPr="702EA0BB">
        <w:t xml:space="preserve"> costs? Can this system be linked with other digital communication and program information that the IOUs plan to utilize, such as co-marketing material or personalized reports</w:t>
      </w:r>
      <w:r w:rsidRPr="00D9575A">
        <w:t>?</w:t>
      </w:r>
    </w:p>
    <w:p w:rsidRPr="00D9575A" w:rsidR="000C1980" w:rsidP="00354202" w:rsidRDefault="000C1980" w14:paraId="2000F993" w14:textId="77777777">
      <w:pPr>
        <w:pStyle w:val="ListAlpha"/>
        <w:numPr>
          <w:ilvl w:val="7"/>
          <w:numId w:val="50"/>
        </w:numPr>
        <w:ind w:right="720"/>
      </w:pPr>
      <w:r w:rsidRPr="702EA0BB">
        <w:t>Coordination - How can this system increase coordination between ESA</w:t>
      </w:r>
      <w:r w:rsidRPr="00D9575A">
        <w:t xml:space="preserve"> / </w:t>
      </w:r>
      <w:r w:rsidRPr="702EA0BB">
        <w:t>CARE / FERA and other relevant programs, in addition to providing a central application system? How can the UAS be expanded or connected with other low income and clean energy programs, including non-IOU programs, for the user experience to effectively access an integrated system? How can the IOUs ensure proper data sharing and cost sharing with other programs?</w:t>
      </w:r>
    </w:p>
    <w:p w:rsidRPr="00630F02" w:rsidR="000C1980" w:rsidP="001968DC" w:rsidRDefault="000C1980" w14:paraId="60734CA6" w14:textId="77777777">
      <w:pPr>
        <w:spacing w:after="160" w:line="360" w:lineRule="auto"/>
        <w:ind w:left="360" w:firstLine="720"/>
        <w:rPr>
          <w:rFonts w:eastAsia="Book Antiqua" w:cs="Book Antiqua"/>
          <w:i/>
          <w:iCs/>
          <w:szCs w:val="26"/>
          <w:u w:val="single"/>
        </w:rPr>
      </w:pPr>
      <w:r w:rsidRPr="00630F02">
        <w:rPr>
          <w:rFonts w:eastAsia="Book Antiqua" w:cs="Book Antiqua"/>
          <w:i/>
          <w:iCs/>
          <w:szCs w:val="26"/>
          <w:u w:val="single"/>
        </w:rPr>
        <w:t xml:space="preserve">Task 2: </w:t>
      </w:r>
      <w:r>
        <w:rPr>
          <w:rFonts w:eastAsia="Book Antiqua" w:cs="Book Antiqua"/>
          <w:i/>
          <w:iCs/>
          <w:szCs w:val="26"/>
          <w:u w:val="single"/>
        </w:rPr>
        <w:t>UAS</w:t>
      </w:r>
      <w:r w:rsidRPr="00630F02">
        <w:rPr>
          <w:rFonts w:eastAsia="Book Antiqua" w:cs="Book Antiqua"/>
          <w:i/>
          <w:iCs/>
          <w:szCs w:val="26"/>
          <w:u w:val="single"/>
        </w:rPr>
        <w:t xml:space="preserve"> Requirements </w:t>
      </w:r>
    </w:p>
    <w:p w:rsidRPr="00D9575A" w:rsidR="000C1980" w:rsidP="00354202" w:rsidRDefault="000C1980" w14:paraId="42506AC0" w14:textId="77777777">
      <w:pPr>
        <w:pStyle w:val="ListAlpha"/>
        <w:numPr>
          <w:ilvl w:val="7"/>
          <w:numId w:val="51"/>
        </w:numPr>
      </w:pPr>
      <w:r w:rsidRPr="702EA0BB">
        <w:t>Responsible/</w:t>
      </w:r>
      <w:r>
        <w:t>A</w:t>
      </w:r>
      <w:r w:rsidRPr="702EA0BB">
        <w:t xml:space="preserve">ccountable System </w:t>
      </w:r>
      <w:r>
        <w:t>O</w:t>
      </w:r>
      <w:r w:rsidRPr="702EA0BB">
        <w:t>wner – What type of ownership status should the UAS have? Should the UAS owner be a single or multiple IOUs, responsible and accountable for system maintenance, or another type of entity?</w:t>
      </w:r>
    </w:p>
    <w:p w:rsidRPr="00D9575A" w:rsidR="000C1980" w:rsidP="00354202" w:rsidRDefault="000C1980" w14:paraId="221C178D" w14:textId="77777777">
      <w:pPr>
        <w:pStyle w:val="ListAlpha"/>
        <w:numPr>
          <w:ilvl w:val="7"/>
          <w:numId w:val="51"/>
        </w:numPr>
      </w:pPr>
      <w:r w:rsidRPr="702EA0BB">
        <w:t xml:space="preserve">Data </w:t>
      </w:r>
      <w:r>
        <w:t>S</w:t>
      </w:r>
      <w:r w:rsidRPr="702EA0BB">
        <w:t>haring - What are the needs, process, and timeline for setting up consistent and secure data transfers and/or access between IOU data systems and a UAS used for the ESA/CARE/FERA programs?</w:t>
      </w:r>
    </w:p>
    <w:p w:rsidRPr="00D9575A" w:rsidR="000C1980" w:rsidP="00354202" w:rsidRDefault="000C1980" w14:paraId="2AC040DC" w14:textId="77777777">
      <w:pPr>
        <w:pStyle w:val="ListAlpha"/>
        <w:numPr>
          <w:ilvl w:val="7"/>
          <w:numId w:val="51"/>
        </w:numPr>
      </w:pPr>
      <w:r w:rsidRPr="702EA0BB">
        <w:t>Accessibility - How can a system be accessible for the various needs of all users, including the non-English speaking, disabled, customers without broadband or a computer, seniors, etc.?</w:t>
      </w:r>
    </w:p>
    <w:p w:rsidRPr="00D9575A" w:rsidR="000C1980" w:rsidP="00354202" w:rsidRDefault="000C1980" w14:paraId="2C84FA16" w14:textId="77777777">
      <w:pPr>
        <w:pStyle w:val="ListAlpha"/>
        <w:numPr>
          <w:ilvl w:val="7"/>
          <w:numId w:val="51"/>
        </w:numPr>
      </w:pPr>
      <w:r w:rsidRPr="702EA0BB">
        <w:t>Framework - If a new UAS will be recommended, what are the system requirements, including the key data inputs that would be required, to develop a system prototype?</w:t>
      </w:r>
    </w:p>
    <w:p w:rsidRPr="00D9575A" w:rsidR="000C1980" w:rsidP="00354202" w:rsidRDefault="000C1980" w14:paraId="047AE062" w14:textId="77777777">
      <w:pPr>
        <w:pStyle w:val="ListAlpha"/>
        <w:numPr>
          <w:ilvl w:val="7"/>
          <w:numId w:val="51"/>
        </w:numPr>
      </w:pPr>
      <w:r w:rsidRPr="702EA0BB">
        <w:t>Persistence/</w:t>
      </w:r>
      <w:r>
        <w:t>L</w:t>
      </w:r>
      <w:r w:rsidRPr="702EA0BB">
        <w:t xml:space="preserve">ongevity - </w:t>
      </w:r>
      <w:r w:rsidRPr="00D9575A">
        <w:t>How can the IOUs ensure that the system can be used and maintained for the long term by all stakeholders, including the IOUs, customers, and others, including contractors, CBOs, etc.? How will the UAS incorporate long term planning?</w:t>
      </w:r>
    </w:p>
    <w:p w:rsidRPr="00D9575A" w:rsidR="000C1980" w:rsidP="00354202" w:rsidRDefault="000C1980" w14:paraId="78FEC087" w14:textId="77777777">
      <w:pPr>
        <w:pStyle w:val="ListAlpha"/>
        <w:numPr>
          <w:ilvl w:val="7"/>
          <w:numId w:val="51"/>
        </w:numPr>
      </w:pPr>
      <w:r w:rsidRPr="702EA0BB">
        <w:t xml:space="preserve">Change </w:t>
      </w:r>
      <w:r>
        <w:t>M</w:t>
      </w:r>
      <w:r w:rsidRPr="702EA0BB">
        <w:t xml:space="preserve">anagement - </w:t>
      </w:r>
      <w:r w:rsidRPr="00D9575A">
        <w:t xml:space="preserve">How can the IOUs ensure alignment of the UAS with any changes to the IOUs’ ESA/CARE/FERA programs, as well as </w:t>
      </w:r>
      <w:r w:rsidRPr="00D9575A">
        <w:lastRenderedPageBreak/>
        <w:t>any changes to other programs that are linked to the UAS? How can the IOUs continue to ensure that the UAS leads to efficient and optimized program management, and a better customer / user experience?</w:t>
      </w:r>
    </w:p>
    <w:p w:rsidRPr="00630F02" w:rsidR="000C1980" w:rsidP="001968DC" w:rsidRDefault="000C1980" w14:paraId="602CEC55" w14:textId="77777777">
      <w:pPr>
        <w:spacing w:after="160" w:line="360" w:lineRule="auto"/>
        <w:ind w:left="360" w:firstLine="720"/>
        <w:rPr>
          <w:rFonts w:eastAsia="Book Antiqua" w:cs="Book Antiqua"/>
          <w:i/>
          <w:iCs/>
          <w:szCs w:val="26"/>
          <w:u w:val="single"/>
        </w:rPr>
      </w:pPr>
      <w:r w:rsidRPr="00630F02">
        <w:rPr>
          <w:rFonts w:eastAsia="Book Antiqua" w:cs="Book Antiqua"/>
          <w:i/>
          <w:iCs/>
          <w:szCs w:val="26"/>
          <w:u w:val="single"/>
        </w:rPr>
        <w:t>Task 3: Identify Intra- and Interagency Solutions and Alternatives</w:t>
      </w:r>
    </w:p>
    <w:p w:rsidRPr="00D9575A" w:rsidR="000C1980" w:rsidP="004A13D0" w:rsidRDefault="000C1980" w14:paraId="36736B4C" w14:textId="77777777">
      <w:pPr>
        <w:pStyle w:val="ListAlpha"/>
        <w:numPr>
          <w:ilvl w:val="7"/>
          <w:numId w:val="52"/>
        </w:numPr>
      </w:pPr>
      <w:r w:rsidRPr="702EA0BB">
        <w:t xml:space="preserve">After identifying the UAS’ purpose and goals, how can the IOUs build off the statewide multifamily central portal to develop the UAS? </w:t>
      </w:r>
    </w:p>
    <w:p w:rsidRPr="00D9575A" w:rsidR="000C1980" w:rsidP="004A13D0" w:rsidRDefault="000C1980" w14:paraId="04E8041A" w14:textId="77777777">
      <w:pPr>
        <w:pStyle w:val="ListAlpha"/>
        <w:numPr>
          <w:ilvl w:val="7"/>
          <w:numId w:val="52"/>
        </w:numPr>
      </w:pPr>
      <w:r w:rsidRPr="702EA0BB">
        <w:t>Can the IOUs partner with Access Clean California, which CARB is developing to provide consumers statewide with a single application for clean energy and transportation equity programs?</w:t>
      </w:r>
    </w:p>
    <w:p w:rsidRPr="00D9575A" w:rsidR="000C1980" w:rsidP="004A13D0" w:rsidRDefault="000C1980" w14:paraId="53F2037B" w14:textId="77777777">
      <w:pPr>
        <w:pStyle w:val="ListAlpha"/>
        <w:numPr>
          <w:ilvl w:val="7"/>
          <w:numId w:val="52"/>
        </w:numPr>
      </w:pPr>
      <w:r w:rsidRPr="702EA0BB">
        <w:t xml:space="preserve">Are there alternatives to a new IOU-led system that the working group should consider? </w:t>
      </w:r>
    </w:p>
    <w:p w:rsidRPr="00D9575A" w:rsidR="000C1980" w:rsidP="004A13D0" w:rsidRDefault="000C1980" w14:paraId="067C5BB5" w14:textId="77777777">
      <w:pPr>
        <w:pStyle w:val="ListAlpha"/>
        <w:numPr>
          <w:ilvl w:val="7"/>
          <w:numId w:val="52"/>
        </w:numPr>
      </w:pPr>
      <w:r w:rsidRPr="702EA0BB">
        <w:t xml:space="preserve">Do these alternatives provide greater benefits and/or lower costs? </w:t>
      </w:r>
    </w:p>
    <w:p w:rsidR="000C1980" w:rsidP="004A13D0" w:rsidRDefault="000C1980" w14:paraId="6BD6CFF2" w14:textId="77777777">
      <w:pPr>
        <w:pStyle w:val="Standard"/>
        <w:rPr>
          <w:rFonts w:ascii="Garamond" w:hAnsi="Garamond" w:eastAsia="Garamond" w:cs="Garamond"/>
        </w:rPr>
      </w:pPr>
      <w:r w:rsidRPr="702EA0BB">
        <w:t xml:space="preserve">By July 1, 2022, IOUs </w:t>
      </w:r>
      <w:r>
        <w:t>shall</w:t>
      </w:r>
      <w:r w:rsidRPr="702EA0BB">
        <w:t xml:space="preserve"> submit a report </w:t>
      </w:r>
      <w:r>
        <w:t xml:space="preserve">to Energy Division and this proceeding’s service list </w:t>
      </w:r>
      <w:r w:rsidRPr="702EA0BB">
        <w:t xml:space="preserve">summarizing </w:t>
      </w:r>
      <w:r>
        <w:t>the</w:t>
      </w:r>
      <w:r w:rsidRPr="702EA0BB">
        <w:t xml:space="preserve"> </w:t>
      </w:r>
      <w:r>
        <w:t xml:space="preserve">working groups’ </w:t>
      </w:r>
      <w:r w:rsidRPr="702EA0BB">
        <w:t>pro</w:t>
      </w:r>
      <w:r>
        <w:t>gr</w:t>
      </w:r>
      <w:r w:rsidRPr="702EA0BB">
        <w:t>ess</w:t>
      </w:r>
      <w:r>
        <w:t xml:space="preserve">.  </w:t>
      </w:r>
      <w:r w:rsidRPr="702EA0BB">
        <w:t xml:space="preserve">The report </w:t>
      </w:r>
      <w:r>
        <w:t>will</w:t>
      </w:r>
      <w:r w:rsidRPr="702EA0BB">
        <w:t xml:space="preserve"> answer the above questions and provide the working group</w:t>
      </w:r>
      <w:r>
        <w:t>’s</w:t>
      </w:r>
      <w:r w:rsidRPr="702EA0BB">
        <w:t xml:space="preserve"> recommendation as to whether to continue </w:t>
      </w:r>
      <w:r>
        <w:t>the</w:t>
      </w:r>
      <w:r w:rsidRPr="702EA0BB">
        <w:t xml:space="preserve"> development of a UAS for ESA</w:t>
      </w:r>
      <w:r w:rsidRPr="702EA0BB">
        <w:rPr>
          <w:rFonts w:ascii="Garamond" w:hAnsi="Garamond" w:eastAsia="Garamond" w:cs="Garamond"/>
        </w:rPr>
        <w:t xml:space="preserve"> / </w:t>
      </w:r>
      <w:r w:rsidRPr="702EA0BB">
        <w:t>CARE / FERA</w:t>
      </w:r>
      <w:r>
        <w:t xml:space="preserve">.  </w:t>
      </w:r>
      <w:r w:rsidRPr="702EA0BB">
        <w:t>If the report recommendation is to develop a UAS or to connect with an existing UAS effort, we direct the IOUs to file a</w:t>
      </w:r>
      <w:r>
        <w:t xml:space="preserve"> joint </w:t>
      </w:r>
      <w:r w:rsidRPr="702EA0BB">
        <w:t>advice letter requesting a fund shift from another budget category, such as ME&amp;O, with detail on what the additional budget request will support</w:t>
      </w:r>
      <w:r>
        <w:rPr>
          <w:rFonts w:ascii="Garamond" w:hAnsi="Garamond" w:eastAsia="Garamond" w:cs="Garamond"/>
        </w:rPr>
        <w:t xml:space="preserve">.  </w:t>
      </w:r>
      <w:r w:rsidRPr="702EA0BB">
        <w:t>This will</w:t>
      </w:r>
      <w:r w:rsidRPr="702EA0BB">
        <w:rPr>
          <w:rFonts w:ascii="Garamond" w:hAnsi="Garamond" w:eastAsia="Garamond" w:cs="Garamond"/>
        </w:rPr>
        <w:t xml:space="preserve"> </w:t>
      </w:r>
      <w:r w:rsidRPr="702EA0BB">
        <w:t xml:space="preserve">include, but is not limited to, </w:t>
      </w:r>
      <w:r>
        <w:t>the</w:t>
      </w:r>
      <w:r w:rsidRPr="702EA0BB">
        <w:t xml:space="preserve"> project scope, a system requirements specifications or similar document, a schedule, and a roadmap for full implementation of a </w:t>
      </w:r>
      <w:r>
        <w:t>UAS</w:t>
      </w:r>
      <w:r w:rsidRPr="702EA0BB">
        <w:t xml:space="preserve"> including testing at stages, or coordination and integration with an existing or similar </w:t>
      </w:r>
      <w:r>
        <w:t>UAS</w:t>
      </w:r>
      <w:r w:rsidRPr="702EA0BB">
        <w:rPr>
          <w:rFonts w:ascii="Garamond" w:hAnsi="Garamond" w:eastAsia="Garamond" w:cs="Garamond"/>
        </w:rPr>
        <w:t xml:space="preserve">. </w:t>
      </w:r>
    </w:p>
    <w:p w:rsidR="000C1980" w:rsidP="004A13D0" w:rsidRDefault="000C1980" w14:paraId="2AF462AA" w14:textId="5C7329D7">
      <w:pPr>
        <w:pStyle w:val="Standard"/>
      </w:pPr>
      <w:r w:rsidRPr="702EA0BB">
        <w:t xml:space="preserve">If there is 1) low working group participation, 2) inadequate public participation, 3) no consensus </w:t>
      </w:r>
      <w:r w:rsidR="00C221FD">
        <w:t xml:space="preserve">or near-consensus </w:t>
      </w:r>
      <w:r w:rsidRPr="702EA0BB">
        <w:t xml:space="preserve">recommendation </w:t>
      </w:r>
      <w:r>
        <w:t>from</w:t>
      </w:r>
      <w:r w:rsidRPr="702EA0BB">
        <w:t xml:space="preserve"> the UAS Working Group, </w:t>
      </w:r>
      <w:r w:rsidR="00FE3529">
        <w:t>or 4) if the Energy Division believes further consideration of the options is appropriate,</w:t>
      </w:r>
      <w:r w:rsidRPr="702EA0BB" w:rsidR="00FE3529">
        <w:t xml:space="preserve"> </w:t>
      </w:r>
      <w:r w:rsidRPr="702EA0BB">
        <w:t xml:space="preserve">then Energy Division is encouraged to submit its own </w:t>
      </w:r>
      <w:r>
        <w:lastRenderedPageBreak/>
        <w:t>r</w:t>
      </w:r>
      <w:r w:rsidRPr="702EA0BB">
        <w:t xml:space="preserve">esolution to the Commission for consideration of developing </w:t>
      </w:r>
      <w:r>
        <w:t>a new UAS</w:t>
      </w:r>
      <w:r w:rsidRPr="702EA0BB">
        <w:t xml:space="preserve"> or integrating with an existing UAS and the necessary budget for that purpose</w:t>
      </w:r>
      <w:r>
        <w:t>.</w:t>
      </w:r>
    </w:p>
    <w:p w:rsidRPr="00571CAA" w:rsidR="000C1980" w:rsidP="001968DC" w:rsidRDefault="000C1980" w14:paraId="7C79CF06" w14:textId="77777777">
      <w:pPr>
        <w:pStyle w:val="Heading2"/>
        <w:ind w:left="1728"/>
      </w:pPr>
      <w:bookmarkStart w:name="_Toc69947911" w:id="246"/>
      <w:r w:rsidRPr="00571CAA">
        <w:t>ESA Enrollment and Eligibility</w:t>
      </w:r>
      <w:r>
        <w:t xml:space="preserve"> </w:t>
      </w:r>
      <w:r w:rsidRPr="00C73AD4">
        <w:t>Requirements</w:t>
      </w:r>
      <w:bookmarkEnd w:id="246"/>
    </w:p>
    <w:p w:rsidR="000C1980" w:rsidP="001968DC" w:rsidRDefault="000C1980" w14:paraId="68080D04" w14:textId="77777777">
      <w:pPr>
        <w:pStyle w:val="Heading3"/>
        <w:ind w:left="2664"/>
      </w:pPr>
      <w:bookmarkStart w:name="_Toc69947912" w:id="247"/>
      <w:r>
        <w:t>Background</w:t>
      </w:r>
      <w:bookmarkEnd w:id="247"/>
    </w:p>
    <w:p w:rsidR="000C1980" w:rsidP="004A13D0" w:rsidRDefault="000C1980" w14:paraId="17E84BC4" w14:textId="77777777">
      <w:pPr>
        <w:pStyle w:val="Standard"/>
      </w:pPr>
      <w:r>
        <w:t>Income qualification for enrollment into the ESA program can be done in the following ways: 1) i</w:t>
      </w:r>
      <w:r w:rsidRPr="00E663F2">
        <w:t xml:space="preserve">ncome </w:t>
      </w:r>
      <w:r>
        <w:t>e</w:t>
      </w:r>
      <w:r w:rsidRPr="00E663F2">
        <w:t>ligibility</w:t>
      </w:r>
      <w:r>
        <w:t xml:space="preserve"> where </w:t>
      </w:r>
      <w:r w:rsidRPr="00E663F2">
        <w:t xml:space="preserve">total household income </w:t>
      </w:r>
      <w:r>
        <w:t xml:space="preserve">is </w:t>
      </w:r>
      <w:r w:rsidRPr="00E663F2">
        <w:t>equal to or less</w:t>
      </w:r>
      <w:r>
        <w:t xml:space="preserve"> </w:t>
      </w:r>
      <w:r w:rsidRPr="00E663F2">
        <w:t>than 200</w:t>
      </w:r>
      <w:r w:rsidRPr="006E22E7">
        <w:t xml:space="preserve"> </w:t>
      </w:r>
      <w:r w:rsidRPr="0026503D">
        <w:t>percent</w:t>
      </w:r>
      <w:r w:rsidRPr="00E663F2">
        <w:t xml:space="preserve"> of the </w:t>
      </w:r>
      <w:r>
        <w:t>FPG</w:t>
      </w:r>
      <w:r w:rsidRPr="00E663F2">
        <w:t>, adjusted for family size as</w:t>
      </w:r>
      <w:r>
        <w:t xml:space="preserve"> </w:t>
      </w:r>
      <w:r w:rsidRPr="00E663F2">
        <w:t>set forth by the Commission</w:t>
      </w:r>
      <w:r>
        <w:t>; 2) c</w:t>
      </w:r>
      <w:r w:rsidRPr="00E663F2">
        <w:t xml:space="preserve">ategorical </w:t>
      </w:r>
      <w:r>
        <w:t>e</w:t>
      </w:r>
      <w:r w:rsidRPr="00E663F2">
        <w:t>ligibility</w:t>
      </w:r>
      <w:r>
        <w:t xml:space="preserve"> where c</w:t>
      </w:r>
      <w:r w:rsidRPr="00E663F2">
        <w:t>ustomers can be automatically enrolled in ESA</w:t>
      </w:r>
      <w:r>
        <w:t xml:space="preserve"> </w:t>
      </w:r>
      <w:r w:rsidRPr="00E663F2">
        <w:t>based on current participation in certain local, state, or federal means</w:t>
      </w:r>
      <w:r>
        <w:t xml:space="preserve"> </w:t>
      </w:r>
      <w:r w:rsidRPr="00E663F2">
        <w:t>tested</w:t>
      </w:r>
      <w:r>
        <w:t xml:space="preserve"> </w:t>
      </w:r>
      <w:r w:rsidRPr="00E663F2">
        <w:t>programs</w:t>
      </w:r>
      <w:r>
        <w:t>; 3) g</w:t>
      </w:r>
      <w:r w:rsidRPr="00E663F2">
        <w:t xml:space="preserve">eographic </w:t>
      </w:r>
      <w:r>
        <w:t>s</w:t>
      </w:r>
      <w:r w:rsidRPr="00E663F2">
        <w:t>elf-</w:t>
      </w:r>
      <w:r>
        <w:t>c</w:t>
      </w:r>
      <w:r w:rsidRPr="00E663F2">
        <w:t>ertification</w:t>
      </w:r>
      <w:r>
        <w:t xml:space="preserve"> where s</w:t>
      </w:r>
      <w:r w:rsidRPr="00E663F2">
        <w:t>elf-certification is permitted in certain targeted</w:t>
      </w:r>
      <w:r>
        <w:t xml:space="preserve"> </w:t>
      </w:r>
      <w:r w:rsidRPr="00E663F2">
        <w:t>geographic areas where 80</w:t>
      </w:r>
      <w:r w:rsidRPr="006E22E7">
        <w:t xml:space="preserve"> </w:t>
      </w:r>
      <w:r w:rsidRPr="0026503D">
        <w:t>percent</w:t>
      </w:r>
      <w:r w:rsidRPr="00E663F2">
        <w:t xml:space="preserve"> of the customers are likely to be at or below current</w:t>
      </w:r>
      <w:r>
        <w:t xml:space="preserve"> </w:t>
      </w:r>
      <w:r w:rsidRPr="00E663F2">
        <w:t xml:space="preserve">ESA </w:t>
      </w:r>
      <w:r>
        <w:t>p</w:t>
      </w:r>
      <w:r w:rsidRPr="00E663F2">
        <w:t>rogram income guidelines</w:t>
      </w:r>
      <w:r>
        <w:t xml:space="preserve">; and 4) </w:t>
      </w:r>
      <w:r w:rsidRPr="004A70F7">
        <w:rPr>
          <w:rFonts w:ascii="TimesNewRomanPSMT" w:hAnsi="TimesNewRomanPSMT" w:cs="TimesNewRomanPSMT"/>
          <w:sz w:val="24"/>
          <w:szCs w:val="24"/>
        </w:rPr>
        <w:t xml:space="preserve"> </w:t>
      </w:r>
      <w:r w:rsidRPr="004A70F7">
        <w:t xml:space="preserve">CARE </w:t>
      </w:r>
      <w:r>
        <w:t>p</w:t>
      </w:r>
      <w:r w:rsidRPr="004A70F7">
        <w:t xml:space="preserve">rogram </w:t>
      </w:r>
      <w:r>
        <w:t>q</w:t>
      </w:r>
      <w:r w:rsidRPr="004A70F7">
        <w:t>ualified</w:t>
      </w:r>
      <w:r>
        <w:t xml:space="preserve"> where c</w:t>
      </w:r>
      <w:r w:rsidRPr="004A70F7">
        <w:t>ustomers may be eligible if they have been income-qualified through the CARE</w:t>
      </w:r>
      <w:r>
        <w:t xml:space="preserve"> PEV</w:t>
      </w:r>
      <w:r w:rsidRPr="004A70F7">
        <w:t xml:space="preserve"> process.</w:t>
      </w:r>
      <w:r w:rsidRPr="0086341B">
        <w:rPr>
          <w:rFonts w:ascii="TimesNewRomanPSMT" w:hAnsi="TimesNewRomanPSMT" w:cs="TimesNewRomanPSMT"/>
          <w:sz w:val="24"/>
          <w:szCs w:val="24"/>
        </w:rPr>
        <w:t xml:space="preserve"> </w:t>
      </w:r>
      <w:r>
        <w:rPr>
          <w:rFonts w:ascii="TimesNewRomanPSMT" w:hAnsi="TimesNewRomanPSMT" w:cs="TimesNewRomanPSMT"/>
          <w:sz w:val="24"/>
          <w:szCs w:val="24"/>
        </w:rPr>
        <w:t xml:space="preserve"> </w:t>
      </w:r>
      <w:r w:rsidRPr="0086341B">
        <w:t>In addition to the above qualification requirements, there are several other practical</w:t>
      </w:r>
      <w:r>
        <w:t xml:space="preserve"> </w:t>
      </w:r>
      <w:r w:rsidRPr="0086341B">
        <w:t>requirements that must be met, including but not limited to, structural feasibility and landlord</w:t>
      </w:r>
      <w:r>
        <w:t xml:space="preserve"> </w:t>
      </w:r>
      <w:r w:rsidRPr="0086341B">
        <w:t>approval</w:t>
      </w:r>
      <w:r>
        <w:t xml:space="preserve"> for renter occupied units. </w:t>
      </w:r>
    </w:p>
    <w:p w:rsidRPr="001F69F5" w:rsidR="000C1980" w:rsidP="001968DC" w:rsidRDefault="000C1980" w14:paraId="45AF549A" w14:textId="77777777">
      <w:pPr>
        <w:pStyle w:val="Heading3"/>
        <w:ind w:left="2664"/>
      </w:pPr>
      <w:bookmarkStart w:name="_Toc69947913" w:id="248"/>
      <w:r>
        <w:t>PG&amp;E Proposal</w:t>
      </w:r>
      <w:bookmarkEnd w:id="248"/>
    </w:p>
    <w:p w:rsidR="000C1980" w:rsidP="004A13D0" w:rsidRDefault="000C1980" w14:paraId="724D6CD6" w14:textId="77777777">
      <w:pPr>
        <w:pStyle w:val="Standard"/>
      </w:pPr>
      <w:r w:rsidRPr="0073161F">
        <w:t xml:space="preserve">PG&amp;E proposes </w:t>
      </w:r>
      <w:r>
        <w:t>no changes to the current i</w:t>
      </w:r>
      <w:r w:rsidRPr="00E663F2">
        <w:t xml:space="preserve">ncome </w:t>
      </w:r>
      <w:r>
        <w:t>e</w:t>
      </w:r>
      <w:r w:rsidRPr="00E663F2">
        <w:t>ligibility</w:t>
      </w:r>
      <w:r>
        <w:t xml:space="preserve"> guidelines or categorical eligibility requirements.  However, PG&amp;E does propose changes to the enrollment requirements, property owner approval requirements, and self-certification. </w:t>
      </w:r>
    </w:p>
    <w:p w:rsidR="000C1980" w:rsidP="004A13D0" w:rsidRDefault="000C1980" w14:paraId="1F55463B" w14:textId="0E9C6768">
      <w:pPr>
        <w:pStyle w:val="Standard"/>
        <w:rPr>
          <w:b/>
          <w:bCs/>
          <w:i/>
          <w:iCs/>
          <w:u w:val="single"/>
        </w:rPr>
      </w:pPr>
      <w:r w:rsidRPr="00F613CD">
        <w:rPr>
          <w:b/>
          <w:bCs/>
          <w:i/>
          <w:iCs/>
          <w:u w:val="single"/>
        </w:rPr>
        <w:t>Automatic CARE Enrollment for ESA Households</w:t>
      </w:r>
      <w:r>
        <w:rPr>
          <w:b/>
          <w:bCs/>
          <w:i/>
          <w:iCs/>
          <w:u w:val="single"/>
        </w:rPr>
        <w:t>:</w:t>
      </w:r>
      <w:r>
        <w:t xml:space="preserve"> PG&amp;E proposes a new </w:t>
      </w:r>
      <w:r w:rsidRPr="00DB5317">
        <w:t>require</w:t>
      </w:r>
      <w:r>
        <w:t xml:space="preserve">ment where households must </w:t>
      </w:r>
      <w:r w:rsidR="00A8472C">
        <w:t xml:space="preserve">self-certify or </w:t>
      </w:r>
      <w:r>
        <w:t xml:space="preserve">be </w:t>
      </w:r>
      <w:r w:rsidRPr="00DB5317">
        <w:t>enrolled in CARE</w:t>
      </w:r>
      <w:r>
        <w:t xml:space="preserve"> to qualify for ESA </w:t>
      </w:r>
      <w:r w:rsidR="007E6F37">
        <w:t xml:space="preserve">simple measure installation and </w:t>
      </w:r>
      <w:r>
        <w:t>services.</w:t>
      </w:r>
      <w:r w:rsidR="007E6F37">
        <w:rPr>
          <w:rStyle w:val="FootnoteReference"/>
        </w:rPr>
        <w:footnoteReference w:id="306"/>
      </w:r>
      <w:r>
        <w:t xml:space="preserve">  For those </w:t>
      </w:r>
      <w:r>
        <w:lastRenderedPageBreak/>
        <w:t xml:space="preserve">households </w:t>
      </w:r>
      <w:r w:rsidR="008B6C44">
        <w:t xml:space="preserve">that are </w:t>
      </w:r>
      <w:r>
        <w:t>currently not enrolled in CARE but are interested in and qualify for ESA services, the contractor will enroll the household in CARE within the same process of enrolling the household into ESA</w:t>
      </w:r>
      <w:r w:rsidR="008336E0">
        <w:t>.</w:t>
      </w:r>
      <w:r>
        <w:t xml:space="preserve"> </w:t>
      </w:r>
      <w:r w:rsidRPr="00CC2B13">
        <w:t xml:space="preserve">PG&amp;E </w:t>
      </w:r>
      <w:r>
        <w:t xml:space="preserve">states that this will </w:t>
      </w:r>
      <w:r w:rsidRPr="00CC2B13">
        <w:t xml:space="preserve">help qualified </w:t>
      </w:r>
      <w:proofErr w:type="gramStart"/>
      <w:r w:rsidRPr="00CC2B13">
        <w:t>low</w:t>
      </w:r>
      <w:r>
        <w:t xml:space="preserve"> </w:t>
      </w:r>
      <w:r w:rsidRPr="00CC2B13">
        <w:t>income</w:t>
      </w:r>
      <w:proofErr w:type="gramEnd"/>
      <w:r>
        <w:t xml:space="preserve"> </w:t>
      </w:r>
      <w:r w:rsidRPr="00CC2B13">
        <w:t>customers maximize the benefits available to them while helping the</w:t>
      </w:r>
      <w:r w:rsidRPr="00BF68AA">
        <w:rPr>
          <w:rFonts w:ascii="ArialMT" w:hAnsi="ArialMT" w:cs="ArialMT"/>
          <w:sz w:val="24"/>
          <w:szCs w:val="24"/>
        </w:rPr>
        <w:t xml:space="preserve"> </w:t>
      </w:r>
      <w:r w:rsidRPr="00BF68AA">
        <w:t>CARE Program maximize penetration rates</w:t>
      </w:r>
      <w:r>
        <w:t>.  PG&amp;E anticipates that this change will have minimal i</w:t>
      </w:r>
      <w:r w:rsidRPr="00BF68AA">
        <w:t xml:space="preserve">mpacts to </w:t>
      </w:r>
      <w:r>
        <w:t xml:space="preserve">the </w:t>
      </w:r>
      <w:r w:rsidRPr="00BF68AA">
        <w:t xml:space="preserve">ESA </w:t>
      </w:r>
      <w:r>
        <w:t>program</w:t>
      </w:r>
      <w:r w:rsidRPr="00BF68AA">
        <w:t>, as ESA Energy Specialists already</w:t>
      </w:r>
      <w:r>
        <w:t xml:space="preserve"> </w:t>
      </w:r>
      <w:r w:rsidRPr="00BF68AA">
        <w:t>inform customers that are not on CARE about automatic enrollment,</w:t>
      </w:r>
      <w:r>
        <w:t xml:space="preserve"> </w:t>
      </w:r>
      <w:r w:rsidRPr="00BF68AA">
        <w:t>as well as other ways to enroll in the rate.</w:t>
      </w:r>
      <w:r>
        <w:rPr>
          <w:rStyle w:val="FootnoteReference"/>
        </w:rPr>
        <w:footnoteReference w:id="307"/>
      </w:r>
    </w:p>
    <w:p w:rsidRPr="000739B7" w:rsidR="000C1980" w:rsidP="004A13D0" w:rsidRDefault="000C1980" w14:paraId="2573FBE9" w14:textId="77777777">
      <w:pPr>
        <w:pStyle w:val="Standard"/>
        <w:rPr>
          <w:b/>
          <w:bCs/>
          <w:i/>
          <w:iCs/>
          <w:u w:val="single"/>
        </w:rPr>
      </w:pPr>
      <w:r w:rsidRPr="1F9EF2FF">
        <w:rPr>
          <w:b/>
          <w:bCs/>
          <w:i/>
          <w:iCs/>
          <w:u w:val="single"/>
        </w:rPr>
        <w:t>Self-Certification for Basic Treatment:</w:t>
      </w:r>
      <w:r>
        <w:t xml:space="preserve"> PG&amp;E proposes to remove the </w:t>
      </w:r>
      <w:r w:rsidRPr="00676919">
        <w:t xml:space="preserve">income verification </w:t>
      </w:r>
      <w:r>
        <w:t>requirement (allowing for self-certification)</w:t>
      </w:r>
      <w:r w:rsidRPr="000739B7">
        <w:t xml:space="preserve"> </w:t>
      </w:r>
      <w:r>
        <w:t>for households to receive the basic level of ESA services, stating that this change is</w:t>
      </w:r>
      <w:r w:rsidRPr="004948DD">
        <w:t xml:space="preserve"> expected to make ESA enrollment faster, easier, and less</w:t>
      </w:r>
      <w:r>
        <w:t xml:space="preserve"> </w:t>
      </w:r>
      <w:r w:rsidRPr="004948DD">
        <w:t>intimidating</w:t>
      </w:r>
      <w:r>
        <w:t>.  PG&amp;E proposes that E</w:t>
      </w:r>
      <w:r w:rsidRPr="004948DD">
        <w:t>SA customer outreach could partner with the CARE</w:t>
      </w:r>
      <w:r>
        <w:t xml:space="preserve"> p</w:t>
      </w:r>
      <w:r w:rsidRPr="004948DD">
        <w:t>rogram and enrollment would mirror the CARE approach to get the</w:t>
      </w:r>
      <w:r>
        <w:t xml:space="preserve"> </w:t>
      </w:r>
      <w:r w:rsidRPr="004948DD">
        <w:t>best results.</w:t>
      </w:r>
      <w:r w:rsidRPr="000B799B">
        <w:rPr>
          <w:vertAlign w:val="superscript"/>
        </w:rPr>
        <w:footnoteReference w:id="308"/>
      </w:r>
      <w:r>
        <w:t xml:space="preserve"> </w:t>
      </w:r>
    </w:p>
    <w:p w:rsidRPr="000739B7" w:rsidR="000C1980" w:rsidP="004A13D0" w:rsidRDefault="000C1980" w14:paraId="6D93CF24" w14:textId="77777777">
      <w:pPr>
        <w:pStyle w:val="Standard"/>
        <w:rPr>
          <w:b/>
          <w:bCs/>
          <w:i/>
          <w:iCs/>
          <w:u w:val="single"/>
        </w:rPr>
      </w:pPr>
      <w:r w:rsidRPr="002A7C42">
        <w:rPr>
          <w:b/>
          <w:bCs/>
          <w:i/>
          <w:iCs/>
          <w:u w:val="single"/>
        </w:rPr>
        <w:t>P</w:t>
      </w:r>
      <w:r>
        <w:rPr>
          <w:b/>
          <w:bCs/>
          <w:i/>
          <w:iCs/>
          <w:u w:val="single"/>
        </w:rPr>
        <w:t>roperty Owner Approvals/Waivers:</w:t>
      </w:r>
      <w:r>
        <w:t xml:space="preserve"> PG&amp;E also proposes to waive the property owner assessment requirements for households to receive the basic level of ESA services, stating that this change is</w:t>
      </w:r>
      <w:r w:rsidRPr="004948DD">
        <w:t xml:space="preserve"> expected to make ESA enrollment faster, easier, and less</w:t>
      </w:r>
      <w:r>
        <w:t xml:space="preserve"> </w:t>
      </w:r>
      <w:r w:rsidRPr="004948DD">
        <w:t>intimidating.</w:t>
      </w:r>
      <w:r>
        <w:t xml:space="preserve"> </w:t>
      </w:r>
      <w:r w:rsidRPr="000B799B">
        <w:rPr>
          <w:vertAlign w:val="superscript"/>
        </w:rPr>
        <w:footnoteReference w:id="309"/>
      </w:r>
      <w:r>
        <w:t xml:space="preserve"> </w:t>
      </w:r>
    </w:p>
    <w:p w:rsidR="000C1980" w:rsidP="001968DC" w:rsidRDefault="000C1980" w14:paraId="5A7E8C71" w14:textId="77777777">
      <w:pPr>
        <w:pStyle w:val="Heading3"/>
        <w:ind w:left="2664"/>
      </w:pPr>
      <w:bookmarkStart w:name="_Toc69947914" w:id="249"/>
      <w:r>
        <w:t>SCE Proposal</w:t>
      </w:r>
      <w:bookmarkEnd w:id="249"/>
      <w:r>
        <w:t xml:space="preserve"> </w:t>
      </w:r>
    </w:p>
    <w:p w:rsidR="000C1980" w:rsidP="004A13D0" w:rsidRDefault="000C1980" w14:paraId="43DEA856" w14:textId="77777777">
      <w:pPr>
        <w:pStyle w:val="Standard"/>
      </w:pPr>
      <w:r>
        <w:t xml:space="preserve">SCE </w:t>
      </w:r>
      <w:r w:rsidRPr="0073161F">
        <w:t xml:space="preserve">proposes </w:t>
      </w:r>
      <w:r>
        <w:t>no changes to the current i</w:t>
      </w:r>
      <w:r w:rsidRPr="00E663F2">
        <w:t xml:space="preserve">ncome </w:t>
      </w:r>
      <w:r>
        <w:t>e</w:t>
      </w:r>
      <w:r w:rsidRPr="00E663F2">
        <w:t>ligibility</w:t>
      </w:r>
      <w:r>
        <w:t xml:space="preserve"> guidelines, self-certification, categorical eligibility, or the income documentation processes and requirements for the ESA program.</w:t>
      </w:r>
    </w:p>
    <w:p w:rsidR="000C1980" w:rsidP="001968DC" w:rsidRDefault="000C1980" w14:paraId="4FECCA8D" w14:textId="77777777">
      <w:pPr>
        <w:pStyle w:val="Heading3"/>
        <w:ind w:left="2664"/>
      </w:pPr>
      <w:bookmarkStart w:name="_Toc69947915" w:id="250"/>
      <w:r>
        <w:lastRenderedPageBreak/>
        <w:t>SoCalGas Proposal</w:t>
      </w:r>
      <w:bookmarkEnd w:id="250"/>
      <w:r>
        <w:t xml:space="preserve"> </w:t>
      </w:r>
    </w:p>
    <w:p w:rsidR="000C1980" w:rsidP="004A13D0" w:rsidRDefault="000C1980" w14:paraId="4A235EDC" w14:textId="77777777">
      <w:pPr>
        <w:pStyle w:val="Standard"/>
      </w:pPr>
      <w:r>
        <w:t xml:space="preserve">SoCalGas </w:t>
      </w:r>
      <w:r w:rsidRPr="0073161F">
        <w:t xml:space="preserve">proposes </w:t>
      </w:r>
      <w:r>
        <w:t>no changes to the current i</w:t>
      </w:r>
      <w:r w:rsidRPr="00E663F2">
        <w:t xml:space="preserve">ncome </w:t>
      </w:r>
      <w:r>
        <w:t>e</w:t>
      </w:r>
      <w:r w:rsidRPr="00E663F2">
        <w:t>ligibility</w:t>
      </w:r>
      <w:r>
        <w:t xml:space="preserve"> guidelines,</w:t>
      </w:r>
      <w:r w:rsidRPr="0065768C">
        <w:t xml:space="preserve"> </w:t>
      </w:r>
      <w:r>
        <w:t xml:space="preserve">property owner approval requirements or categorical eligibility requirements.  However, SoCalGas does propose changes to the enrollment requirements and the self-certification. </w:t>
      </w:r>
    </w:p>
    <w:p w:rsidR="000C1980" w:rsidP="004A13D0" w:rsidRDefault="000C1980" w14:paraId="49FAFD61" w14:textId="77777777">
      <w:pPr>
        <w:pStyle w:val="Standard"/>
      </w:pPr>
      <w:r>
        <w:rPr>
          <w:b/>
          <w:bCs/>
          <w:i/>
          <w:iCs/>
          <w:u w:val="single"/>
        </w:rPr>
        <w:t>Alternative</w:t>
      </w:r>
      <w:r w:rsidRPr="00886907">
        <w:rPr>
          <w:b/>
          <w:bCs/>
          <w:i/>
          <w:iCs/>
          <w:u w:val="single"/>
        </w:rPr>
        <w:t xml:space="preserve"> Enrollment Option</w:t>
      </w:r>
      <w:r>
        <w:t>:  SoCalGas proposes a new enrollment option that allows</w:t>
      </w:r>
      <w:r w:rsidRPr="00D26E4B">
        <w:t xml:space="preserve"> enrollment to occur outside the home, or online</w:t>
      </w:r>
      <w:r>
        <w:t>.  SoCalGas states that this change is c</w:t>
      </w:r>
      <w:r w:rsidRPr="00D26E4B">
        <w:t xml:space="preserve">ritical </w:t>
      </w:r>
      <w:r>
        <w:t>in</w:t>
      </w:r>
      <w:r w:rsidRPr="00D26E4B">
        <w:t xml:space="preserve"> reaching those customers less inclined to invite salespersons into their</w:t>
      </w:r>
      <w:r>
        <w:t xml:space="preserve"> </w:t>
      </w:r>
      <w:r w:rsidRPr="00D26E4B">
        <w:t xml:space="preserve">homes </w:t>
      </w:r>
      <w:r>
        <w:t>and will</w:t>
      </w:r>
      <w:r w:rsidRPr="00D26E4B">
        <w:t xml:space="preserve"> be less expensive than traditional in-person enrollment</w:t>
      </w:r>
      <w:r>
        <w:t xml:space="preserve"> (estimating a savings of up to </w:t>
      </w:r>
      <w:r w:rsidRPr="00D26E4B">
        <w:t>up to $10</w:t>
      </w:r>
      <w:r>
        <w:t>M annually</w:t>
      </w:r>
      <w:r w:rsidRPr="00D26E4B">
        <w:t xml:space="preserve"> by phasing in online enrollments to reach as many as 65</w:t>
      </w:r>
      <w:r w:rsidRPr="006E22E7">
        <w:t xml:space="preserve"> </w:t>
      </w:r>
      <w:r w:rsidRPr="0026503D">
        <w:t>percent</w:t>
      </w:r>
      <w:r w:rsidRPr="00D26E4B">
        <w:t xml:space="preserve"> of all enrollments by 2026</w:t>
      </w:r>
      <w:r>
        <w:t>).</w:t>
      </w:r>
      <w:r>
        <w:rPr>
          <w:rStyle w:val="FootnoteReference"/>
        </w:rPr>
        <w:footnoteReference w:id="310"/>
      </w:r>
      <w:r>
        <w:t xml:space="preserve">   </w:t>
      </w:r>
    </w:p>
    <w:p w:rsidR="000C1980" w:rsidP="004A13D0" w:rsidRDefault="000C1980" w14:paraId="3CD75BD0" w14:textId="77777777">
      <w:pPr>
        <w:pStyle w:val="Standard"/>
      </w:pPr>
      <w:r w:rsidRPr="1F9EF2FF">
        <w:rPr>
          <w:b/>
          <w:bCs/>
          <w:i/>
          <w:iCs/>
          <w:u w:val="single"/>
        </w:rPr>
        <w:t>Self-Certification for Basic Treatment:</w:t>
      </w:r>
      <w:r>
        <w:t xml:space="preserve"> SoCalGas proposes to allow customers to self-certify to enroll into ESA, receive e</w:t>
      </w:r>
      <w:r w:rsidRPr="002F0EF4">
        <w:t xml:space="preserve">nergy education and </w:t>
      </w:r>
      <w:r>
        <w:t xml:space="preserve">receive </w:t>
      </w:r>
      <w:r w:rsidRPr="002F0EF4">
        <w:t>simple</w:t>
      </w:r>
      <w:r>
        <w:t xml:space="preserve"> </w:t>
      </w:r>
      <w:r w:rsidRPr="002F0EF4">
        <w:t xml:space="preserve">measures </w:t>
      </w:r>
      <w:r>
        <w:t>and</w:t>
      </w:r>
      <w:r w:rsidRPr="002F0EF4">
        <w:t xml:space="preserve"> only require income</w:t>
      </w:r>
      <w:r>
        <w:t xml:space="preserve"> </w:t>
      </w:r>
      <w:r w:rsidRPr="002F0EF4">
        <w:t>documentation for installations beyond simple measures</w:t>
      </w:r>
      <w:r>
        <w:t xml:space="preserve"> (which can also be performed online).  SoCalGas states that this change will </w:t>
      </w:r>
      <w:r w:rsidRPr="007F4429">
        <w:t>appeal to</w:t>
      </w:r>
      <w:r>
        <w:t xml:space="preserve"> </w:t>
      </w:r>
      <w:r w:rsidRPr="007F4429">
        <w:t>customers who find the income documentation process intrusive</w:t>
      </w:r>
      <w:r>
        <w:t>, and i</w:t>
      </w:r>
      <w:r w:rsidRPr="007F4429">
        <w:t>n some cases,</w:t>
      </w:r>
      <w:r>
        <w:t xml:space="preserve"> </w:t>
      </w:r>
      <w:r w:rsidRPr="007F4429">
        <w:t>receiving these measures up front may help spark the interest of a customer in</w:t>
      </w:r>
      <w:r>
        <w:t xml:space="preserve"> </w:t>
      </w:r>
      <w:r w:rsidRPr="007F4429">
        <w:t>going further in the process, and allow for an element of gamification of the</w:t>
      </w:r>
      <w:r>
        <w:t xml:space="preserve"> </w:t>
      </w:r>
      <w:r w:rsidRPr="007F4429">
        <w:t>program</w:t>
      </w:r>
      <w:r>
        <w:t xml:space="preserve">.  Lastly, this change will </w:t>
      </w:r>
      <w:r w:rsidRPr="007F4429">
        <w:t>support program penetration.</w:t>
      </w:r>
      <w:r>
        <w:rPr>
          <w:rStyle w:val="FootnoteReference"/>
        </w:rPr>
        <w:footnoteReference w:id="311"/>
      </w:r>
    </w:p>
    <w:p w:rsidR="000C1980" w:rsidP="004A13D0" w:rsidRDefault="000C1980" w14:paraId="2CEA11C8" w14:textId="77777777">
      <w:pPr>
        <w:pStyle w:val="Standard"/>
      </w:pPr>
      <w:r w:rsidRPr="00250A6D">
        <w:rPr>
          <w:b/>
          <w:bCs/>
          <w:i/>
          <w:iCs/>
          <w:u w:val="single"/>
        </w:rPr>
        <w:t>Automatic Qualification via CARE PEV:</w:t>
      </w:r>
      <w:r>
        <w:t xml:space="preserve"> SoCalGas proposes that customers </w:t>
      </w:r>
      <w:r w:rsidRPr="00B12D69">
        <w:t xml:space="preserve">automatically qualify for ESA services </w:t>
      </w:r>
      <w:r>
        <w:t>f</w:t>
      </w:r>
      <w:r w:rsidRPr="00A90677">
        <w:t xml:space="preserve">ollowing </w:t>
      </w:r>
      <w:r>
        <w:t xml:space="preserve">a </w:t>
      </w:r>
      <w:r w:rsidRPr="00A90677">
        <w:t>CARE post-</w:t>
      </w:r>
      <w:r w:rsidRPr="00A90677">
        <w:lastRenderedPageBreak/>
        <w:t xml:space="preserve">enrollment verification </w:t>
      </w:r>
      <w:proofErr w:type="gramStart"/>
      <w:r w:rsidRPr="00B12D69">
        <w:t>as long as</w:t>
      </w:r>
      <w:proofErr w:type="gramEnd"/>
      <w:r w:rsidRPr="00B12D69">
        <w:t xml:space="preserve"> they remain on the CARE rate,</w:t>
      </w:r>
      <w:r>
        <w:t xml:space="preserve"> </w:t>
      </w:r>
      <w:r w:rsidRPr="00B12D69">
        <w:t>without a need to re-enroll or requalify income.</w:t>
      </w:r>
      <w:r>
        <w:t xml:space="preserve">  SoCalGas states that this change will </w:t>
      </w:r>
      <w:r w:rsidRPr="003E26B9">
        <w:t>better integrat</w:t>
      </w:r>
      <w:r>
        <w:t>e the</w:t>
      </w:r>
      <w:r w:rsidRPr="003E26B9">
        <w:t xml:space="preserve"> </w:t>
      </w:r>
      <w:r>
        <w:t xml:space="preserve">CARE and ESA </w:t>
      </w:r>
      <w:r w:rsidRPr="003E26B9">
        <w:t>income qualification and enrollment</w:t>
      </w:r>
      <w:r>
        <w:t xml:space="preserve"> </w:t>
      </w:r>
      <w:r w:rsidRPr="003E26B9">
        <w:t xml:space="preserve">process </w:t>
      </w:r>
      <w:r>
        <w:t xml:space="preserve">and will </w:t>
      </w:r>
      <w:r w:rsidRPr="003E26B9">
        <w:t>reduc</w:t>
      </w:r>
      <w:r>
        <w:t>e</w:t>
      </w:r>
      <w:r w:rsidRPr="003E26B9">
        <w:t xml:space="preserve"> income qualification costs </w:t>
      </w:r>
      <w:r>
        <w:t>and</w:t>
      </w:r>
      <w:r w:rsidRPr="003E26B9">
        <w:t xml:space="preserve"> burden on customer</w:t>
      </w:r>
      <w:r>
        <w:t>.</w:t>
      </w:r>
      <w:r>
        <w:rPr>
          <w:rStyle w:val="FootnoteReference"/>
        </w:rPr>
        <w:footnoteReference w:id="312"/>
      </w:r>
      <w:r>
        <w:t xml:space="preserve">   </w:t>
      </w:r>
    </w:p>
    <w:p w:rsidR="000C1980" w:rsidP="001968DC" w:rsidRDefault="000C1980" w14:paraId="2AB8E99E" w14:textId="77777777">
      <w:pPr>
        <w:pStyle w:val="Heading3"/>
        <w:ind w:left="2664"/>
      </w:pPr>
      <w:bookmarkStart w:name="_Toc69947916" w:id="251"/>
      <w:r>
        <w:t>SDG&amp;E Proposal</w:t>
      </w:r>
      <w:bookmarkEnd w:id="251"/>
      <w:r>
        <w:t xml:space="preserve"> </w:t>
      </w:r>
    </w:p>
    <w:p w:rsidR="000C1980" w:rsidP="004A13D0" w:rsidRDefault="000C1980" w14:paraId="12E72293" w14:textId="77777777">
      <w:pPr>
        <w:pStyle w:val="Standard"/>
      </w:pPr>
      <w:r w:rsidRPr="00C20F14">
        <w:t xml:space="preserve">SDG&amp;E </w:t>
      </w:r>
      <w:r w:rsidRPr="0073161F">
        <w:t xml:space="preserve">proposes </w:t>
      </w:r>
      <w:r>
        <w:t>no changes to the current i</w:t>
      </w:r>
      <w:r w:rsidRPr="00E663F2">
        <w:t xml:space="preserve">ncome </w:t>
      </w:r>
      <w:r>
        <w:t>e</w:t>
      </w:r>
      <w:r w:rsidRPr="00E663F2">
        <w:t>ligibility</w:t>
      </w:r>
      <w:r>
        <w:t xml:space="preserve"> guidelines or categorical eligibility requirements.  However, SDG&amp;E does propose changes to the enrollment requirements, property owner approval requirements, and self-certification. </w:t>
      </w:r>
    </w:p>
    <w:p w:rsidR="000C1980" w:rsidP="004A13D0" w:rsidRDefault="000C1980" w14:paraId="48262284" w14:textId="77777777">
      <w:pPr>
        <w:pStyle w:val="Standard"/>
      </w:pPr>
      <w:r>
        <w:rPr>
          <w:b/>
          <w:bCs/>
          <w:i/>
          <w:iCs/>
          <w:u w:val="single"/>
        </w:rPr>
        <w:t>Alternative</w:t>
      </w:r>
      <w:r w:rsidRPr="00886907">
        <w:rPr>
          <w:b/>
          <w:bCs/>
          <w:i/>
          <w:iCs/>
          <w:u w:val="single"/>
        </w:rPr>
        <w:t xml:space="preserve"> Enrollment Option</w:t>
      </w:r>
      <w:r>
        <w:t xml:space="preserve">:  SDG&amp;E proposes to allow for an online enrollment option (in addition to the traditional in person enrollment option through contractors or CBOs).  SDG&amp;E states that this new model will improve customer experience, increase enrollments, and </w:t>
      </w:r>
      <w:r w:rsidRPr="00A51228">
        <w:t>lower in</w:t>
      </w:r>
      <w:r>
        <w:t xml:space="preserve"> </w:t>
      </w:r>
      <w:r w:rsidRPr="00A51228">
        <w:t>home</w:t>
      </w:r>
      <w:r>
        <w:t xml:space="preserve"> </w:t>
      </w:r>
      <w:r w:rsidRPr="00A51228">
        <w:t>enrollment cost.</w:t>
      </w:r>
    </w:p>
    <w:p w:rsidR="000C1980" w:rsidP="004A13D0" w:rsidRDefault="000C1980" w14:paraId="7A06F5DF" w14:textId="77777777">
      <w:pPr>
        <w:pStyle w:val="Standard"/>
      </w:pPr>
      <w:r w:rsidRPr="00F7250A">
        <w:rPr>
          <w:b/>
          <w:bCs/>
          <w:i/>
          <w:iCs/>
          <w:u w:val="single"/>
        </w:rPr>
        <w:t>Required Audits</w:t>
      </w:r>
      <w:r>
        <w:rPr>
          <w:b/>
          <w:bCs/>
          <w:i/>
          <w:iCs/>
          <w:u w:val="single"/>
        </w:rPr>
        <w:t xml:space="preserve"> (During Enrollment)</w:t>
      </w:r>
      <w:r w:rsidRPr="00F7250A">
        <w:rPr>
          <w:b/>
          <w:bCs/>
          <w:i/>
          <w:iCs/>
          <w:u w:val="single"/>
        </w:rPr>
        <w:t>:</w:t>
      </w:r>
      <w:r>
        <w:t xml:space="preserve"> SDG&amp;E proposes to require </w:t>
      </w:r>
      <w:r w:rsidRPr="005F7E56">
        <w:t xml:space="preserve">customers </w:t>
      </w:r>
      <w:r>
        <w:t xml:space="preserve">to </w:t>
      </w:r>
      <w:r w:rsidRPr="005F7E56">
        <w:t>complete an audit at the time of enrollment</w:t>
      </w:r>
      <w:r>
        <w:t>,</w:t>
      </w:r>
      <w:r w:rsidRPr="005F7E56">
        <w:t xml:space="preserve"> preferably completed online,</w:t>
      </w:r>
      <w:r>
        <w:t xml:space="preserve"> to </w:t>
      </w:r>
      <w:r w:rsidRPr="005F7E56">
        <w:t>help identify priority customers and reduce the need for contractors to do in-home audits.</w:t>
      </w:r>
      <w:r>
        <w:rPr>
          <w:rStyle w:val="FootnoteReference"/>
        </w:rPr>
        <w:footnoteReference w:id="313"/>
      </w:r>
      <w:r>
        <w:t xml:space="preserve">  </w:t>
      </w:r>
      <w:r w:rsidRPr="006D47CE">
        <w:t>Customers would be directed to complete these audits online but</w:t>
      </w:r>
      <w:r>
        <w:t xml:space="preserve"> will also be provided with an</w:t>
      </w:r>
      <w:r w:rsidRPr="006D47CE">
        <w:t xml:space="preserve"> option</w:t>
      </w:r>
      <w:r>
        <w:t xml:space="preserve"> </w:t>
      </w:r>
      <w:r w:rsidRPr="006D47CE">
        <w:t xml:space="preserve">for contractor support </w:t>
      </w:r>
      <w:r>
        <w:t xml:space="preserve">if needed.  </w:t>
      </w:r>
      <w:r w:rsidRPr="006D47CE">
        <w:t>SDG&amp;E</w:t>
      </w:r>
      <w:r>
        <w:t xml:space="preserve"> </w:t>
      </w:r>
      <w:r w:rsidRPr="006D47CE">
        <w:t>estimates that up to 60</w:t>
      </w:r>
      <w:r w:rsidRPr="006E22E7">
        <w:t xml:space="preserve"> </w:t>
      </w:r>
      <w:r w:rsidRPr="0026503D">
        <w:t>percent</w:t>
      </w:r>
      <w:r w:rsidRPr="006D47CE">
        <w:t xml:space="preserve"> of audits could be completed online in the future delivery model, </w:t>
      </w:r>
      <w:r>
        <w:t xml:space="preserve">with the </w:t>
      </w:r>
      <w:r w:rsidRPr="006D47CE">
        <w:t xml:space="preserve">audits </w:t>
      </w:r>
      <w:r>
        <w:t xml:space="preserve">being </w:t>
      </w:r>
      <w:r w:rsidRPr="006D47CE">
        <w:t>accessible in multiple languages, mobile friendly and easy to use</w:t>
      </w:r>
      <w:r>
        <w:t>.  SDG&amp;E states that by</w:t>
      </w:r>
      <w:r w:rsidRPr="006D47CE">
        <w:t xml:space="preserve"> collecting audit information prior to an in-home visit, SDG&amp;E can inform contractors with this</w:t>
      </w:r>
      <w:r>
        <w:t xml:space="preserve"> </w:t>
      </w:r>
      <w:r w:rsidRPr="006D47CE">
        <w:lastRenderedPageBreak/>
        <w:t>information and provide a head start in the process making the initial in-home visit more</w:t>
      </w:r>
      <w:r>
        <w:t xml:space="preserve"> </w:t>
      </w:r>
      <w:r w:rsidRPr="006D47CE">
        <w:t>efficient.</w:t>
      </w:r>
      <w:r>
        <w:rPr>
          <w:rStyle w:val="FootnoteReference"/>
        </w:rPr>
        <w:footnoteReference w:id="314"/>
      </w:r>
    </w:p>
    <w:p w:rsidR="000C1980" w:rsidP="004A13D0" w:rsidRDefault="000C1980" w14:paraId="781356A2" w14:textId="77777777">
      <w:pPr>
        <w:pStyle w:val="Standard"/>
      </w:pPr>
      <w:r w:rsidRPr="1F9EF2FF">
        <w:rPr>
          <w:b/>
          <w:bCs/>
          <w:i/>
          <w:iCs/>
          <w:u w:val="single"/>
        </w:rPr>
        <w:t>Self-Certification for Basic Treatment:</w:t>
      </w:r>
      <w:r>
        <w:t xml:space="preserve"> SDG&amp;E proposes to allow </w:t>
      </w:r>
      <w:r w:rsidRPr="00C2444D">
        <w:t>customers currently participating</w:t>
      </w:r>
      <w:r>
        <w:t xml:space="preserve"> in</w:t>
      </w:r>
      <w:r w:rsidRPr="00C2444D">
        <w:t xml:space="preserve"> CARE or customers in self-certification PRIZM codes </w:t>
      </w:r>
      <w:r>
        <w:t xml:space="preserve">to </w:t>
      </w:r>
      <w:r w:rsidRPr="00C2444D">
        <w:t>be eligible for energy conservation savings kits without the need for income documentation</w:t>
      </w:r>
      <w:r>
        <w:t>.  SDG&amp;E states that th</w:t>
      </w:r>
      <w:r w:rsidRPr="00862562">
        <w:t>is change</w:t>
      </w:r>
      <w:r>
        <w:t xml:space="preserve"> </w:t>
      </w:r>
      <w:r w:rsidRPr="00862562">
        <w:t>will enable SDG&amp;E to allow customers to complete an in-home audit and enroll online</w:t>
      </w:r>
      <w:r>
        <w:t xml:space="preserve">.  </w:t>
      </w:r>
      <w:r w:rsidRPr="00862562">
        <w:t>Customers not currently enrolled in CARE or not in self-certification PRIZM codes will be able</w:t>
      </w:r>
      <w:r>
        <w:t xml:space="preserve"> </w:t>
      </w:r>
      <w:r w:rsidRPr="00862562">
        <w:t>to submit all necessary documentation through a secure online portal, which can be validated by</w:t>
      </w:r>
      <w:r>
        <w:t xml:space="preserve"> </w:t>
      </w:r>
      <w:r w:rsidRPr="00862562">
        <w:t>a contractor prior to the visit, should a visit be warranted.</w:t>
      </w:r>
      <w:r>
        <w:rPr>
          <w:rStyle w:val="FootnoteReference"/>
        </w:rPr>
        <w:footnoteReference w:id="315"/>
      </w:r>
    </w:p>
    <w:p w:rsidR="000C1980" w:rsidP="004A13D0" w:rsidRDefault="000C1980" w14:paraId="18EF70FA" w14:textId="77777777">
      <w:pPr>
        <w:pStyle w:val="Standard"/>
      </w:pPr>
      <w:r w:rsidRPr="002A7C42">
        <w:rPr>
          <w:b/>
          <w:bCs/>
          <w:i/>
          <w:iCs/>
          <w:u w:val="single"/>
        </w:rPr>
        <w:t>P</w:t>
      </w:r>
      <w:r>
        <w:rPr>
          <w:b/>
          <w:bCs/>
          <w:i/>
          <w:iCs/>
          <w:u w:val="single"/>
        </w:rPr>
        <w:t>roperty Owner Approvals/Waivers</w:t>
      </w:r>
      <w:r>
        <w:t>:  SDG&amp;E proposes to extend the property owner a</w:t>
      </w:r>
      <w:r w:rsidRPr="00C068D3">
        <w:t>pprovals</w:t>
      </w:r>
      <w:r>
        <w:t>/ a</w:t>
      </w:r>
      <w:r w:rsidRPr="00C068D3">
        <w:t>uthorizations</w:t>
      </w:r>
      <w:r>
        <w:t xml:space="preserve"> </w:t>
      </w:r>
      <w:r w:rsidRPr="00DF53E8">
        <w:t>validation date for property owner approva</w:t>
      </w:r>
      <w:r>
        <w:t>l</w:t>
      </w:r>
      <w:r w:rsidRPr="00DF53E8">
        <w:t xml:space="preserve">s </w:t>
      </w:r>
      <w:r>
        <w:t>from</w:t>
      </w:r>
      <w:r w:rsidRPr="00DF53E8">
        <w:t xml:space="preserve"> one year</w:t>
      </w:r>
      <w:r>
        <w:t xml:space="preserve"> to </w:t>
      </w:r>
      <w:r w:rsidRPr="00DF53E8">
        <w:t>two years to provide the opportunity to go back and treat</w:t>
      </w:r>
      <w:r>
        <w:t xml:space="preserve"> </w:t>
      </w:r>
      <w:r w:rsidRPr="00DF53E8">
        <w:t>units which may not have been previously served due to scheduling issues, without delay.</w:t>
      </w:r>
      <w:r>
        <w:rPr>
          <w:rStyle w:val="FootnoteReference"/>
        </w:rPr>
        <w:footnoteReference w:id="316"/>
      </w:r>
      <w:r>
        <w:t xml:space="preserve"> </w:t>
      </w:r>
    </w:p>
    <w:p w:rsidR="000C1980" w:rsidP="001968DC" w:rsidRDefault="000C1980" w14:paraId="34CDDE7E" w14:textId="77777777">
      <w:pPr>
        <w:pStyle w:val="Heading3"/>
        <w:ind w:left="2664"/>
      </w:pPr>
      <w:bookmarkStart w:name="_Toc69947917" w:id="252"/>
      <w:r>
        <w:t>Party Positions</w:t>
      </w:r>
      <w:bookmarkEnd w:id="252"/>
    </w:p>
    <w:p w:rsidR="000C1980" w:rsidP="001968DC" w:rsidRDefault="000C1980" w14:paraId="58DD600A" w14:textId="77777777">
      <w:pPr>
        <w:pStyle w:val="Heading4"/>
        <w:ind w:left="3600"/>
      </w:pPr>
      <w:bookmarkStart w:name="_Toc69947918" w:id="253"/>
      <w:r>
        <w:t>EEC</w:t>
      </w:r>
      <w:bookmarkEnd w:id="253"/>
    </w:p>
    <w:p w:rsidR="000C1980" w:rsidP="004A13D0" w:rsidRDefault="000C1980" w14:paraId="3FBA386C" w14:textId="146F4315">
      <w:pPr>
        <w:pStyle w:val="Standard"/>
      </w:pPr>
      <w:r>
        <w:rPr>
          <w:b/>
          <w:bCs/>
          <w:i/>
          <w:iCs/>
          <w:u w:val="single"/>
        </w:rPr>
        <w:t>Changing the</w:t>
      </w:r>
      <w:r w:rsidRPr="0062526E">
        <w:rPr>
          <w:b/>
          <w:bCs/>
          <w:i/>
          <w:iCs/>
          <w:u w:val="single"/>
        </w:rPr>
        <w:t xml:space="preserve"> Income Eligibility Requirements:</w:t>
      </w:r>
      <w:r>
        <w:t xml:space="preserve"> EEC</w:t>
      </w:r>
      <w:r w:rsidRPr="00273425">
        <w:t xml:space="preserve"> </w:t>
      </w:r>
      <w:r>
        <w:t xml:space="preserve">proposes changing the income eligibility limits of the ESA program arguing that using </w:t>
      </w:r>
      <w:r w:rsidRPr="00273425">
        <w:t>200</w:t>
      </w:r>
      <w:r w:rsidRPr="006E22E7">
        <w:t xml:space="preserve"> </w:t>
      </w:r>
      <w:r w:rsidRPr="0026503D">
        <w:t>percent</w:t>
      </w:r>
      <w:r w:rsidRPr="00273425">
        <w:t xml:space="preserve"> </w:t>
      </w:r>
      <w:r>
        <w:t>FPG</w:t>
      </w:r>
      <w:r w:rsidRPr="00273425">
        <w:t xml:space="preserve"> </w:t>
      </w:r>
      <w:r>
        <w:t>does not</w:t>
      </w:r>
      <w:r w:rsidRPr="00273425">
        <w:t xml:space="preserve"> reflect an adequate threshold for most urban areas that have inflated housing costs and require higher labor costs</w:t>
      </w:r>
      <w:r>
        <w:t>.</w:t>
      </w:r>
      <w:r w:rsidRPr="00273425">
        <w:rPr>
          <w:vertAlign w:val="superscript"/>
        </w:rPr>
        <w:footnoteReference w:id="317"/>
      </w:r>
      <w:r w:rsidRPr="00273425">
        <w:t xml:space="preserve"> </w:t>
      </w:r>
      <w:r>
        <w:t xml:space="preserve"> E</w:t>
      </w:r>
      <w:r w:rsidRPr="00273425">
        <w:t xml:space="preserve">EC </w:t>
      </w:r>
      <w:r>
        <w:t>recommends</w:t>
      </w:r>
      <w:r w:rsidRPr="00273425">
        <w:t xml:space="preserve"> that the income guidelines for ESA be </w:t>
      </w:r>
      <w:r w:rsidRPr="0072776A" w:rsidR="0072776A">
        <w:t>based upon the</w:t>
      </w:r>
      <w:r w:rsidR="00D42051">
        <w:t xml:space="preserve"> </w:t>
      </w:r>
      <w:r w:rsidRPr="0072776A" w:rsidR="0072776A">
        <w:t xml:space="preserve">greater of FERA FPL guidelines or </w:t>
      </w:r>
      <w:r w:rsidRPr="0072776A" w:rsidR="0072776A">
        <w:lastRenderedPageBreak/>
        <w:t>the localized measure of 80</w:t>
      </w:r>
      <w:r w:rsidR="004A13D0">
        <w:t xml:space="preserve"> percent</w:t>
      </w:r>
      <w:r w:rsidRPr="0072776A" w:rsidR="0072776A">
        <w:t xml:space="preserve"> of Area Median Income. At the very</w:t>
      </w:r>
      <w:r w:rsidR="00D42051">
        <w:t xml:space="preserve"> </w:t>
      </w:r>
      <w:r w:rsidRPr="0072776A" w:rsidR="0072776A">
        <w:t xml:space="preserve">least, all residences within a </w:t>
      </w:r>
      <w:r w:rsidR="00D42051">
        <w:t>DAC</w:t>
      </w:r>
      <w:r w:rsidRPr="0072776A" w:rsidR="0072776A">
        <w:t xml:space="preserve"> should be allowed categorical approval to</w:t>
      </w:r>
      <w:r w:rsidR="00D42051">
        <w:t xml:space="preserve"> </w:t>
      </w:r>
      <w:r w:rsidRPr="0072776A" w:rsidR="0072776A">
        <w:t>receive ESA improvements.</w:t>
      </w:r>
      <w:r w:rsidR="00D42051">
        <w:rPr>
          <w:rStyle w:val="FootnoteReference"/>
        </w:rPr>
        <w:footnoteReference w:id="318"/>
      </w:r>
    </w:p>
    <w:p w:rsidRPr="009412C3" w:rsidR="000C1980" w:rsidP="004A13D0" w:rsidRDefault="000C1980" w14:paraId="66136A70" w14:textId="77777777">
      <w:pPr>
        <w:pStyle w:val="Standard"/>
      </w:pPr>
      <w:bookmarkStart w:name="_Hlk68010347" w:id="254"/>
      <w:r>
        <w:rPr>
          <w:b/>
          <w:bCs/>
          <w:i/>
          <w:iCs/>
          <w:u w:val="single"/>
        </w:rPr>
        <w:t xml:space="preserve">Expanding </w:t>
      </w:r>
      <w:bookmarkEnd w:id="254"/>
      <w:r w:rsidRPr="00037B09">
        <w:rPr>
          <w:b/>
          <w:bCs/>
          <w:i/>
          <w:iCs/>
          <w:u w:val="single"/>
        </w:rPr>
        <w:t>Categorical Eligibility:</w:t>
      </w:r>
      <w:r>
        <w:t xml:space="preserve"> EEC proposes that </w:t>
      </w:r>
      <w:r w:rsidRPr="00EE5985">
        <w:t xml:space="preserve">families living in </w:t>
      </w:r>
      <w:r>
        <w:t>DACs</w:t>
      </w:r>
      <w:r w:rsidRPr="00EE5985">
        <w:t xml:space="preserve"> and in low ranked </w:t>
      </w:r>
      <w:r>
        <w:t>S</w:t>
      </w:r>
      <w:r w:rsidRPr="00707FB1">
        <w:t xml:space="preserve">ocioeconomic Vulnerability Index </w:t>
      </w:r>
      <w:r>
        <w:t>(</w:t>
      </w:r>
      <w:r w:rsidRPr="00EE5985">
        <w:t>SEVI</w:t>
      </w:r>
      <w:r>
        <w:t xml:space="preserve">) </w:t>
      </w:r>
      <w:r w:rsidRPr="00EE5985">
        <w:t>communities categorical</w:t>
      </w:r>
      <w:r>
        <w:t>ly q</w:t>
      </w:r>
      <w:r w:rsidRPr="00EE5985">
        <w:t>ualify for ESA services</w:t>
      </w:r>
      <w:r>
        <w:t>.</w:t>
      </w:r>
      <w:r>
        <w:rPr>
          <w:rStyle w:val="FootnoteReference"/>
        </w:rPr>
        <w:footnoteReference w:id="319"/>
      </w:r>
    </w:p>
    <w:p w:rsidRPr="00745C50" w:rsidR="001200F0" w:rsidP="004A13D0" w:rsidRDefault="000C1980" w14:paraId="08F2103B" w14:textId="01CFCF0E">
      <w:pPr>
        <w:pStyle w:val="Standard"/>
        <w:rPr>
          <w:b/>
          <w:bCs/>
          <w:i/>
          <w:iCs/>
          <w:u w:val="single"/>
        </w:rPr>
      </w:pPr>
      <w:r w:rsidRPr="002A7C42">
        <w:rPr>
          <w:b/>
          <w:bCs/>
          <w:i/>
          <w:iCs/>
          <w:u w:val="single"/>
        </w:rPr>
        <w:t>P</w:t>
      </w:r>
      <w:r>
        <w:rPr>
          <w:b/>
          <w:bCs/>
          <w:i/>
          <w:iCs/>
          <w:u w:val="single"/>
        </w:rPr>
        <w:t>roperty Owner Approvals/Waivers:</w:t>
      </w:r>
      <w:r>
        <w:t xml:space="preserve"> EEC recommends removing all </w:t>
      </w:r>
      <w:r w:rsidRPr="00C068D3">
        <w:t>Property Owner Waivers</w:t>
      </w:r>
      <w:r>
        <w:t xml:space="preserve"> (POWs),</w:t>
      </w:r>
      <w:r w:rsidRPr="00C068D3">
        <w:t xml:space="preserve"> Approvals or Authorizations</w:t>
      </w:r>
      <w:r>
        <w:t xml:space="preserve"> (POAs) claiming that they are major barriers to renter participation in the program that are counterproductive and unnecessary.  EEC supports this recommendation by stating that existing l</w:t>
      </w:r>
      <w:r w:rsidRPr="006D0484">
        <w:t xml:space="preserve">aw provides protection </w:t>
      </w:r>
      <w:r>
        <w:t xml:space="preserve">against </w:t>
      </w:r>
      <w:r w:rsidRPr="006D0484">
        <w:t>payment obligation for owner</w:t>
      </w:r>
      <w:r>
        <w:t xml:space="preserve"> and that many other IOU s</w:t>
      </w:r>
      <w:r w:rsidRPr="006D0484">
        <w:t xml:space="preserve">ponsored programs do not require a similar </w:t>
      </w:r>
      <w:r>
        <w:t>POW.</w:t>
      </w:r>
      <w:r>
        <w:rPr>
          <w:rStyle w:val="FootnoteReference"/>
        </w:rPr>
        <w:footnoteReference w:id="320"/>
      </w:r>
    </w:p>
    <w:p w:rsidR="000C1980" w:rsidP="001968DC" w:rsidRDefault="000C1980" w14:paraId="6E45801F" w14:textId="77777777">
      <w:pPr>
        <w:pStyle w:val="Heading4"/>
        <w:ind w:left="3600"/>
      </w:pPr>
      <w:bookmarkStart w:name="_Toc69947919" w:id="255"/>
      <w:r w:rsidRPr="0094008A">
        <w:t xml:space="preserve">La </w:t>
      </w:r>
      <w:proofErr w:type="spellStart"/>
      <w:r w:rsidRPr="0094008A">
        <w:t>Cooperativa</w:t>
      </w:r>
      <w:proofErr w:type="spellEnd"/>
      <w:r w:rsidRPr="0094008A">
        <w:t xml:space="preserve"> et al.</w:t>
      </w:r>
      <w:bookmarkEnd w:id="255"/>
    </w:p>
    <w:p w:rsidR="000C1980" w:rsidP="004A13D0" w:rsidRDefault="000C1980" w14:paraId="7B512250" w14:textId="77777777">
      <w:pPr>
        <w:pStyle w:val="Standard"/>
      </w:pPr>
      <w:r>
        <w:rPr>
          <w:b/>
          <w:bCs/>
          <w:i/>
          <w:iCs/>
          <w:u w:val="single"/>
        </w:rPr>
        <w:t>Changing the</w:t>
      </w:r>
      <w:r w:rsidRPr="0062526E">
        <w:rPr>
          <w:b/>
          <w:bCs/>
          <w:i/>
          <w:iCs/>
          <w:u w:val="single"/>
        </w:rPr>
        <w:t xml:space="preserve"> Income Eligibility Requirements:</w:t>
      </w:r>
      <w:r>
        <w:t xml:space="preserve"> La </w:t>
      </w:r>
      <w:proofErr w:type="spellStart"/>
      <w:r>
        <w:t>Cooperativa</w:t>
      </w:r>
      <w:proofErr w:type="spellEnd"/>
      <w:r>
        <w:t xml:space="preserve"> et al. proposes changing the income eligibility limits of the ESA program to</w:t>
      </w:r>
      <w:r w:rsidRPr="00BD4757">
        <w:t xml:space="preserve"> better meet and match the needs of </w:t>
      </w:r>
      <w:r>
        <w:t xml:space="preserve">the </w:t>
      </w:r>
      <w:proofErr w:type="gramStart"/>
      <w:r>
        <w:t>low income</w:t>
      </w:r>
      <w:proofErr w:type="gramEnd"/>
      <w:r>
        <w:t xml:space="preserve"> population but does not specify which guidelines should be used.  Instead, they propose that the IOUs be required to </w:t>
      </w:r>
      <w:r w:rsidRPr="00BD4757">
        <w:t>evaluate the eligibility guidelines with each application cycle to ensure program accessibility is in line with the economy.</w:t>
      </w:r>
      <w:r>
        <w:rPr>
          <w:rStyle w:val="FootnoteReference"/>
        </w:rPr>
        <w:footnoteReference w:id="321"/>
      </w:r>
    </w:p>
    <w:p w:rsidR="000C1980" w:rsidP="001968DC" w:rsidRDefault="000C1980" w14:paraId="729E5D68" w14:textId="77777777">
      <w:pPr>
        <w:pStyle w:val="Heading4"/>
        <w:ind w:left="3600"/>
      </w:pPr>
      <w:bookmarkStart w:name="_Toc69947920" w:id="256"/>
      <w:r>
        <w:lastRenderedPageBreak/>
        <w:t>TELACU et al.</w:t>
      </w:r>
      <w:bookmarkEnd w:id="256"/>
      <w:r>
        <w:t xml:space="preserve"> </w:t>
      </w:r>
    </w:p>
    <w:p w:rsidR="000C1980" w:rsidP="004A13D0" w:rsidRDefault="000C1980" w14:paraId="407252D8" w14:textId="77777777">
      <w:pPr>
        <w:pStyle w:val="Standard"/>
      </w:pPr>
      <w:r>
        <w:rPr>
          <w:b/>
          <w:bCs/>
          <w:i/>
          <w:iCs/>
          <w:u w:val="single"/>
        </w:rPr>
        <w:t>Changing the</w:t>
      </w:r>
      <w:r w:rsidRPr="0062526E">
        <w:rPr>
          <w:b/>
          <w:bCs/>
          <w:i/>
          <w:iCs/>
          <w:u w:val="single"/>
        </w:rPr>
        <w:t xml:space="preserve"> Income Eligibility Requirements:</w:t>
      </w:r>
      <w:r>
        <w:t xml:space="preserve"> </w:t>
      </w:r>
      <w:r w:rsidRPr="00515819">
        <w:t xml:space="preserve">TELACU et al. </w:t>
      </w:r>
      <w:r>
        <w:t>recommends</w:t>
      </w:r>
      <w:r w:rsidRPr="00515819">
        <w:t xml:space="preserve"> that ESA income eligibility</w:t>
      </w:r>
      <w:r>
        <w:t xml:space="preserve"> </w:t>
      </w:r>
      <w:r w:rsidRPr="00515819">
        <w:t xml:space="preserve">limits </w:t>
      </w:r>
      <w:r>
        <w:t xml:space="preserve">be re-examined </w:t>
      </w:r>
      <w:r w:rsidRPr="00515819">
        <w:t>since cost of living in the larger California cities</w:t>
      </w:r>
      <w:r>
        <w:t xml:space="preserve"> </w:t>
      </w:r>
      <w:r w:rsidRPr="00515819">
        <w:t>is much higher than it is in other areas of the state, and that</w:t>
      </w:r>
      <w:r>
        <w:t xml:space="preserve"> </w:t>
      </w:r>
      <w:r w:rsidRPr="00515819">
        <w:t xml:space="preserve">these costs are not reflected in the use of the </w:t>
      </w:r>
      <w:r>
        <w:t>FPG</w:t>
      </w:r>
      <w:r w:rsidRPr="00515819">
        <w:t>.</w:t>
      </w:r>
      <w:r>
        <w:rPr>
          <w:rStyle w:val="FootnoteReference"/>
          <w:rFonts w:eastAsiaTheme="minorEastAsia"/>
        </w:rPr>
        <w:footnoteReference w:id="322"/>
      </w:r>
    </w:p>
    <w:p w:rsidR="000C1980" w:rsidP="001968DC" w:rsidRDefault="000C1980" w14:paraId="7CE1103E" w14:textId="77777777">
      <w:pPr>
        <w:pStyle w:val="Heading4"/>
        <w:ind w:left="3600"/>
      </w:pPr>
      <w:bookmarkStart w:name="_Toc69947921" w:id="257"/>
      <w:r>
        <w:t>TURN</w:t>
      </w:r>
      <w:bookmarkEnd w:id="257"/>
      <w:r>
        <w:t xml:space="preserve"> </w:t>
      </w:r>
    </w:p>
    <w:p w:rsidR="000C1980" w:rsidP="004A13D0" w:rsidRDefault="000C1980" w14:paraId="61390A51" w14:textId="6170F98E">
      <w:pPr>
        <w:pStyle w:val="Standard"/>
      </w:pPr>
      <w:r w:rsidRPr="0097143F">
        <w:rPr>
          <w:b/>
          <w:bCs/>
          <w:i/>
          <w:iCs/>
          <w:u w:val="single"/>
        </w:rPr>
        <w:t>Automatic CARE Enrollment for ESA Households</w:t>
      </w:r>
      <w:r>
        <w:rPr>
          <w:b/>
          <w:bCs/>
          <w:i/>
          <w:iCs/>
          <w:u w:val="single"/>
        </w:rPr>
        <w:t>:</w:t>
      </w:r>
      <w:r>
        <w:t xml:space="preserve"> TURN supports </w:t>
      </w:r>
      <w:r w:rsidRPr="00AB1F26">
        <w:t>auto-enroll</w:t>
      </w:r>
      <w:r>
        <w:t>ing</w:t>
      </w:r>
      <w:r w:rsidRPr="00AB1F26">
        <w:t xml:space="preserve"> ESA participants in</w:t>
      </w:r>
      <w:r>
        <w:t xml:space="preserve"> </w:t>
      </w:r>
      <w:r w:rsidRPr="00AB1F26">
        <w:t>the CARE program if they are not already enrolled.</w:t>
      </w:r>
      <w:r w:rsidRPr="00AB1F26">
        <w:rPr>
          <w:vertAlign w:val="superscript"/>
        </w:rPr>
        <w:footnoteReference w:id="323"/>
      </w:r>
    </w:p>
    <w:p w:rsidR="00C4183E" w:rsidP="004A13D0" w:rsidRDefault="00C4183E" w14:paraId="4622A170" w14:textId="0DBC5B10">
      <w:pPr>
        <w:pStyle w:val="Standard"/>
      </w:pPr>
      <w:r>
        <w:rPr>
          <w:b/>
          <w:bCs/>
          <w:i/>
          <w:iCs/>
          <w:u w:val="single"/>
        </w:rPr>
        <w:t>Changing the</w:t>
      </w:r>
      <w:r w:rsidRPr="0062526E">
        <w:rPr>
          <w:b/>
          <w:bCs/>
          <w:i/>
          <w:iCs/>
          <w:u w:val="single"/>
        </w:rPr>
        <w:t xml:space="preserve"> Income Eligibility Requirements</w:t>
      </w:r>
      <w:r>
        <w:t>:</w:t>
      </w:r>
      <w:r w:rsidRPr="00C4183E">
        <w:t xml:space="preserve"> </w:t>
      </w:r>
      <w:r>
        <w:t>TURN does not support</w:t>
      </w:r>
      <w:r w:rsidRPr="00375E9F" w:rsidR="00375E9F">
        <w:rPr>
          <w:rFonts w:ascii="TimesNewRomanPSMT" w:hAnsi="TimesNewRomanPSMT" w:cs="TimesNewRomanPSMT"/>
          <w:sz w:val="24"/>
          <w:szCs w:val="24"/>
        </w:rPr>
        <w:t xml:space="preserve"> </w:t>
      </w:r>
      <w:r w:rsidRPr="00375E9F" w:rsidR="00375E9F">
        <w:t>chang</w:t>
      </w:r>
      <w:r w:rsidR="00375E9F">
        <w:t>ing</w:t>
      </w:r>
      <w:r w:rsidRPr="00375E9F" w:rsidR="00375E9F">
        <w:t xml:space="preserve"> the general income eligibility requirements for the ESA programs </w:t>
      </w:r>
      <w:proofErr w:type="gramStart"/>
      <w:r w:rsidRPr="00375E9F" w:rsidR="00375E9F">
        <w:t>at this</w:t>
      </w:r>
      <w:r w:rsidR="00375E9F">
        <w:t xml:space="preserve"> </w:t>
      </w:r>
      <w:r w:rsidRPr="00375E9F" w:rsidR="00375E9F">
        <w:t>time</w:t>
      </w:r>
      <w:proofErr w:type="gramEnd"/>
      <w:r w:rsidRPr="00375E9F" w:rsidR="00375E9F">
        <w:t>.</w:t>
      </w:r>
      <w:r w:rsidR="00375E9F">
        <w:rPr>
          <w:rStyle w:val="FootnoteReference"/>
        </w:rPr>
        <w:footnoteReference w:id="324"/>
      </w:r>
    </w:p>
    <w:p w:rsidR="00B335CB" w:rsidP="00B335CB" w:rsidRDefault="00B335CB" w14:paraId="6A84AEBE" w14:textId="2E78B0B2">
      <w:pPr>
        <w:pStyle w:val="Heading4"/>
        <w:ind w:left="3600"/>
      </w:pPr>
      <w:r>
        <w:t>Joint Parties</w:t>
      </w:r>
    </w:p>
    <w:p w:rsidRPr="00AB1F26" w:rsidR="00B335CB" w:rsidP="004A13D0" w:rsidRDefault="00B335CB" w14:paraId="0DFE2957" w14:textId="25ACDE09">
      <w:pPr>
        <w:pStyle w:val="Standard"/>
        <w:rPr>
          <w:b/>
          <w:bCs/>
          <w:i/>
          <w:iCs/>
          <w:u w:val="single"/>
        </w:rPr>
      </w:pPr>
      <w:r>
        <w:rPr>
          <w:b/>
          <w:bCs/>
          <w:i/>
          <w:iCs/>
          <w:u w:val="single"/>
        </w:rPr>
        <w:t>Changing the</w:t>
      </w:r>
      <w:r w:rsidRPr="0062526E">
        <w:rPr>
          <w:b/>
          <w:bCs/>
          <w:i/>
          <w:iCs/>
          <w:u w:val="single"/>
        </w:rPr>
        <w:t xml:space="preserve"> Income Eligibility Requirements:</w:t>
      </w:r>
      <w:r>
        <w:t xml:space="preserve"> The Joint Parties </w:t>
      </w:r>
      <w:r w:rsidRPr="00887873" w:rsidR="00887873">
        <w:t>note that unless the ESA budget is significantly increased, it is unclear how expanding the</w:t>
      </w:r>
      <w:r w:rsidR="00887873">
        <w:t xml:space="preserve"> </w:t>
      </w:r>
      <w:r w:rsidRPr="00887873" w:rsidR="00887873">
        <w:t xml:space="preserve">income eligibility will impact the ability to serve California’s poorest </w:t>
      </w:r>
      <w:r w:rsidRPr="00887873" w:rsidR="0082073C">
        <w:t>households</w:t>
      </w:r>
      <w:r w:rsidR="0082073C">
        <w:t xml:space="preserve"> but</w:t>
      </w:r>
      <w:r w:rsidR="00887873">
        <w:t xml:space="preserve"> support a thoughtful </w:t>
      </w:r>
      <w:r w:rsidR="0082073C">
        <w:t>expansion</w:t>
      </w:r>
      <w:r w:rsidR="00887873">
        <w:t xml:space="preserve"> where feasible. </w:t>
      </w:r>
      <w:r w:rsidR="0082073C">
        <w:t xml:space="preserve">The Joint Parties also recommend that </w:t>
      </w:r>
      <w:r w:rsidRPr="006C3C14" w:rsidR="006C3C14">
        <w:t>a working group</w:t>
      </w:r>
      <w:r w:rsidR="006C3C14">
        <w:t xml:space="preserve"> could address these issues.</w:t>
      </w:r>
      <w:r w:rsidR="006C3C14">
        <w:rPr>
          <w:rStyle w:val="FootnoteReference"/>
        </w:rPr>
        <w:footnoteReference w:id="325"/>
      </w:r>
    </w:p>
    <w:p w:rsidR="000C1980" w:rsidP="001968DC" w:rsidRDefault="000C1980" w14:paraId="644D9F90" w14:textId="77777777">
      <w:pPr>
        <w:pStyle w:val="Heading3"/>
        <w:ind w:left="2664"/>
      </w:pPr>
      <w:bookmarkStart w:name="_Toc69947922" w:id="258"/>
      <w:r>
        <w:lastRenderedPageBreak/>
        <w:t>IOU Responses</w:t>
      </w:r>
      <w:bookmarkEnd w:id="258"/>
      <w:r>
        <w:t xml:space="preserve"> </w:t>
      </w:r>
    </w:p>
    <w:p w:rsidR="000C1980" w:rsidP="001968DC" w:rsidRDefault="000C1980" w14:paraId="10EF44DC" w14:textId="77777777">
      <w:pPr>
        <w:pStyle w:val="Heading4"/>
        <w:ind w:left="3600"/>
      </w:pPr>
      <w:bookmarkStart w:name="_Toc69947923" w:id="259"/>
      <w:r>
        <w:t>SCE</w:t>
      </w:r>
      <w:bookmarkEnd w:id="259"/>
      <w:r>
        <w:t xml:space="preserve"> </w:t>
      </w:r>
    </w:p>
    <w:p w:rsidR="000C1980" w:rsidP="004A13D0" w:rsidRDefault="000C1980" w14:paraId="463174D4" w14:textId="15452A22">
      <w:pPr>
        <w:pStyle w:val="Standard"/>
      </w:pPr>
      <w:r>
        <w:rPr>
          <w:b/>
          <w:bCs/>
          <w:i/>
          <w:iCs/>
          <w:u w:val="single"/>
        </w:rPr>
        <w:t>Changing the</w:t>
      </w:r>
      <w:r w:rsidRPr="0062526E">
        <w:rPr>
          <w:b/>
          <w:bCs/>
          <w:i/>
          <w:iCs/>
          <w:u w:val="single"/>
        </w:rPr>
        <w:t xml:space="preserve"> Income Eligibility Requirements</w:t>
      </w:r>
      <w:r>
        <w:t xml:space="preserve">: </w:t>
      </w:r>
      <w:r w:rsidRPr="00290630">
        <w:t>SCE notes that the</w:t>
      </w:r>
      <w:r>
        <w:t xml:space="preserve"> income eligibility </w:t>
      </w:r>
      <w:r w:rsidRPr="00290630">
        <w:t>requirements are based in statute and Commission authority, and the IOU applications are not the appropriate venue to make such changes.</w:t>
      </w:r>
      <w:r w:rsidRPr="00290630">
        <w:rPr>
          <w:vertAlign w:val="superscript"/>
        </w:rPr>
        <w:footnoteReference w:id="326"/>
      </w:r>
    </w:p>
    <w:p w:rsidRPr="007B36C7" w:rsidR="00FE176F" w:rsidP="004A13D0" w:rsidRDefault="00FE176F" w14:paraId="196E1313" w14:textId="280FCDA9">
      <w:pPr>
        <w:pStyle w:val="Standard"/>
      </w:pPr>
      <w:r w:rsidRPr="002A7C42">
        <w:rPr>
          <w:b/>
          <w:bCs/>
          <w:i/>
          <w:iCs/>
          <w:u w:val="single"/>
        </w:rPr>
        <w:t>P</w:t>
      </w:r>
      <w:r>
        <w:rPr>
          <w:b/>
          <w:bCs/>
          <w:i/>
          <w:iCs/>
          <w:u w:val="single"/>
        </w:rPr>
        <w:t>roperty Owner Approvals/Waivers:</w:t>
      </w:r>
      <w:r>
        <w:t xml:space="preserve"> SCE does not support removing all </w:t>
      </w:r>
      <w:r w:rsidRPr="00C068D3">
        <w:t>Property Owner Waivers</w:t>
      </w:r>
      <w:r>
        <w:t xml:space="preserve"> (POWs),</w:t>
      </w:r>
      <w:r w:rsidRPr="00C068D3">
        <w:t xml:space="preserve"> Approvals or Authorizations</w:t>
      </w:r>
      <w:r>
        <w:t xml:space="preserve"> (POAs) as these are needed</w:t>
      </w:r>
      <w:r w:rsidRPr="00621B2F" w:rsidR="00621B2F">
        <w:rPr>
          <w:rFonts w:ascii="TimesNewRoman" w:eastAsia="TimesNewRoman" w:cs="TimesNewRoman" w:hAnsiTheme="minorHAnsi"/>
          <w:sz w:val="24"/>
          <w:szCs w:val="24"/>
        </w:rPr>
        <w:t xml:space="preserve"> </w:t>
      </w:r>
      <w:r w:rsidRPr="00621B2F" w:rsidR="00621B2F">
        <w:t>for activities that affect the structure</w:t>
      </w:r>
      <w:r w:rsidR="00621B2F">
        <w:t xml:space="preserve"> </w:t>
      </w:r>
      <w:r w:rsidRPr="00621B2F" w:rsidR="00621B2F">
        <w:t xml:space="preserve">of the home </w:t>
      </w:r>
      <w:proofErr w:type="gramStart"/>
      <w:r w:rsidRPr="00621B2F" w:rsidR="00621B2F">
        <w:t>and also</w:t>
      </w:r>
      <w:proofErr w:type="gramEnd"/>
      <w:r w:rsidRPr="00621B2F" w:rsidR="00621B2F">
        <w:t xml:space="preserve"> as the vehicle for obtaining a co-pay from property owners for certain</w:t>
      </w:r>
      <w:r w:rsidR="00621B2F">
        <w:t xml:space="preserve"> </w:t>
      </w:r>
      <w:r w:rsidRPr="00621B2F" w:rsidR="00621B2F">
        <w:t>measures</w:t>
      </w:r>
      <w:r>
        <w:t>.</w:t>
      </w:r>
      <w:r w:rsidR="00621B2F">
        <w:rPr>
          <w:rStyle w:val="FootnoteReference"/>
        </w:rPr>
        <w:footnoteReference w:id="327"/>
      </w:r>
      <w:r>
        <w:t xml:space="preserve">  </w:t>
      </w:r>
    </w:p>
    <w:p w:rsidRPr="00D930EB" w:rsidR="000C1980" w:rsidP="001968DC" w:rsidRDefault="000C1980" w14:paraId="725BB8BD" w14:textId="77777777">
      <w:pPr>
        <w:pStyle w:val="Heading4"/>
        <w:ind w:left="3600"/>
      </w:pPr>
      <w:bookmarkStart w:name="_Toc69947924" w:id="260"/>
      <w:r>
        <w:t>SDG&amp;E</w:t>
      </w:r>
      <w:bookmarkEnd w:id="260"/>
      <w:r>
        <w:t xml:space="preserve"> </w:t>
      </w:r>
    </w:p>
    <w:p w:rsidR="000C1980" w:rsidP="004A13D0" w:rsidRDefault="000C1980" w14:paraId="43CB0EB1" w14:textId="77777777">
      <w:pPr>
        <w:pStyle w:val="Standard"/>
      </w:pPr>
      <w:r>
        <w:rPr>
          <w:b/>
          <w:bCs/>
          <w:i/>
          <w:iCs/>
          <w:u w:val="single"/>
        </w:rPr>
        <w:t>Changing the</w:t>
      </w:r>
      <w:r w:rsidRPr="0062526E">
        <w:rPr>
          <w:b/>
          <w:bCs/>
          <w:i/>
          <w:iCs/>
          <w:u w:val="single"/>
        </w:rPr>
        <w:t xml:space="preserve"> Income Eligibility Requirements</w:t>
      </w:r>
      <w:r>
        <w:t xml:space="preserve">: SDG&amp;E </w:t>
      </w:r>
      <w:r w:rsidRPr="007E477E">
        <w:t xml:space="preserve">does not support moving income eligibility from </w:t>
      </w:r>
      <w:r>
        <w:t>200</w:t>
      </w:r>
      <w:r w:rsidRPr="006E22E7">
        <w:t xml:space="preserve"> </w:t>
      </w:r>
      <w:r w:rsidRPr="0026503D">
        <w:t>percent</w:t>
      </w:r>
      <w:r>
        <w:t xml:space="preserve"> </w:t>
      </w:r>
      <w:r w:rsidRPr="007E477E">
        <w:t>FPG to A</w:t>
      </w:r>
      <w:r>
        <w:t xml:space="preserve">rea </w:t>
      </w:r>
      <w:r w:rsidRPr="007E477E">
        <w:t>M</w:t>
      </w:r>
      <w:r>
        <w:t xml:space="preserve">edian </w:t>
      </w:r>
      <w:r w:rsidRPr="007E477E">
        <w:t>I</w:t>
      </w:r>
      <w:r>
        <w:t>ncome (AMI) for three reasons 1) it would cause customer confusion to have CARE income eligibility set at 200</w:t>
      </w:r>
      <w:r w:rsidRPr="006E22E7">
        <w:t xml:space="preserve"> </w:t>
      </w:r>
      <w:r w:rsidRPr="0026503D">
        <w:t>percent</w:t>
      </w:r>
      <w:r>
        <w:t xml:space="preserve"> FPG but ESA at AMI, 2) moving to AMI would increase the eligible population greatly in SDG&amp;E’s service territory, and 3) it would increase rates.  SDG&amp;E argues that keeping ESA at the same income eligibility as CARE </w:t>
      </w:r>
      <w:r w:rsidRPr="007E477E">
        <w:t>makes is easier for customers to qualify for both programs</w:t>
      </w:r>
      <w:r>
        <w:t xml:space="preserve">, and for the utilities to enroll customers in both programs at the same time.  </w:t>
      </w:r>
      <w:r w:rsidRPr="007E477E">
        <w:t xml:space="preserve">SDG&amp;E </w:t>
      </w:r>
      <w:r>
        <w:t xml:space="preserve">also conducted a preliminary </w:t>
      </w:r>
      <w:r w:rsidRPr="007E477E">
        <w:t xml:space="preserve">analysis on the AMI in its service territory and has determined that </w:t>
      </w:r>
      <w:r>
        <w:t xml:space="preserve">using AMI </w:t>
      </w:r>
      <w:r w:rsidRPr="007E477E">
        <w:t xml:space="preserve">would </w:t>
      </w:r>
      <w:r>
        <w:t xml:space="preserve">increase the population that would </w:t>
      </w:r>
      <w:r w:rsidRPr="007E477E">
        <w:t>qualify for the ESA</w:t>
      </w:r>
      <w:r>
        <w:t xml:space="preserve"> p</w:t>
      </w:r>
      <w:r w:rsidRPr="007E477E">
        <w:t>rogram</w:t>
      </w:r>
      <w:r>
        <w:t xml:space="preserve"> in SDG&amp;E’s service area.  SDG&amp;E’s analysis shows that with income eligibility currently set at 200</w:t>
      </w:r>
      <w:r w:rsidRPr="006E22E7">
        <w:t xml:space="preserve"> </w:t>
      </w:r>
      <w:r w:rsidRPr="0026503D">
        <w:t>percent</w:t>
      </w:r>
      <w:r>
        <w:t xml:space="preserve"> FPG, 22</w:t>
      </w:r>
      <w:r w:rsidRPr="006E22E7">
        <w:t xml:space="preserve"> </w:t>
      </w:r>
      <w:r w:rsidRPr="0026503D">
        <w:t>percent</w:t>
      </w:r>
      <w:r>
        <w:t xml:space="preserve"> of SDG&amp;E’s service area qualifies for ESA as compared to 37</w:t>
      </w:r>
      <w:r w:rsidRPr="006E22E7">
        <w:t xml:space="preserve"> </w:t>
      </w:r>
      <w:r w:rsidRPr="0026503D">
        <w:t>percent</w:t>
      </w:r>
      <w:r>
        <w:t xml:space="preserve"> at 60</w:t>
      </w:r>
      <w:r w:rsidRPr="006E22E7">
        <w:t xml:space="preserve"> </w:t>
      </w:r>
      <w:r w:rsidRPr="0026503D">
        <w:t>percent</w:t>
      </w:r>
      <w:r>
        <w:t xml:space="preserve"> AMI, 49</w:t>
      </w:r>
      <w:r w:rsidRPr="006E22E7">
        <w:t xml:space="preserve"> </w:t>
      </w:r>
      <w:r w:rsidRPr="0026503D">
        <w:t>percent</w:t>
      </w:r>
      <w:r>
        <w:t xml:space="preserve"> at 80</w:t>
      </w:r>
      <w:r w:rsidRPr="006E22E7">
        <w:t xml:space="preserve"> </w:t>
      </w:r>
      <w:r w:rsidRPr="0026503D">
        <w:t>percent</w:t>
      </w:r>
      <w:r>
        <w:t xml:space="preserve"> AMI, 50</w:t>
      </w:r>
      <w:r w:rsidRPr="006E22E7">
        <w:t xml:space="preserve"> </w:t>
      </w:r>
      <w:r w:rsidRPr="0026503D">
        <w:t>percent</w:t>
      </w:r>
      <w:r>
        <w:t xml:space="preserve"> at 100</w:t>
      </w:r>
      <w:r w:rsidRPr="006E22E7">
        <w:t xml:space="preserve"> </w:t>
      </w:r>
      <w:r w:rsidRPr="0026503D">
        <w:t>percent</w:t>
      </w:r>
      <w:r>
        <w:t xml:space="preserve"> AMI, and 59</w:t>
      </w:r>
      <w:r w:rsidRPr="006E22E7">
        <w:t xml:space="preserve"> </w:t>
      </w:r>
      <w:r w:rsidRPr="0026503D">
        <w:lastRenderedPageBreak/>
        <w:t>percent</w:t>
      </w:r>
      <w:r>
        <w:t xml:space="preserve"> at 120</w:t>
      </w:r>
      <w:r w:rsidRPr="006E22E7">
        <w:t xml:space="preserve"> </w:t>
      </w:r>
      <w:r w:rsidRPr="0026503D">
        <w:t>percent</w:t>
      </w:r>
      <w:r>
        <w:t xml:space="preserve"> AMI.  Moving to AMI would result in an </w:t>
      </w:r>
      <w:r w:rsidRPr="007E477E">
        <w:t>unreasonably high potential</w:t>
      </w:r>
      <w:r>
        <w:t xml:space="preserve"> </w:t>
      </w:r>
      <w:r w:rsidRPr="007E477E">
        <w:t>participation rate</w:t>
      </w:r>
      <w:r>
        <w:t xml:space="preserve">, and an increase in rates to </w:t>
      </w:r>
      <w:r w:rsidRPr="007E477E">
        <w:t>fund the program.</w:t>
      </w:r>
      <w:r>
        <w:rPr>
          <w:rStyle w:val="FootnoteReference"/>
        </w:rPr>
        <w:footnoteReference w:id="328"/>
      </w:r>
    </w:p>
    <w:p w:rsidR="000C1980" w:rsidP="004A13D0" w:rsidRDefault="000C1980" w14:paraId="5FFF62A8" w14:textId="77777777">
      <w:pPr>
        <w:pStyle w:val="Standard"/>
        <w:rPr>
          <w:rFonts w:ascii="TimesNewRomanPSMT" w:hAnsi="TimesNewRomanPSMT" w:cs="TimesNewRomanPSMT"/>
          <w:sz w:val="24"/>
          <w:szCs w:val="24"/>
        </w:rPr>
      </w:pPr>
      <w:r w:rsidRPr="002A7C42">
        <w:rPr>
          <w:b/>
          <w:bCs/>
          <w:i/>
          <w:iCs/>
          <w:u w:val="single"/>
        </w:rPr>
        <w:t>P</w:t>
      </w:r>
      <w:r>
        <w:rPr>
          <w:b/>
          <w:bCs/>
          <w:i/>
          <w:iCs/>
          <w:u w:val="single"/>
        </w:rPr>
        <w:t>roperty Owner Approvals/Waivers:</w:t>
      </w:r>
      <w:r>
        <w:t xml:space="preserve">  SDG&amp;E states that POWs/POAs</w:t>
      </w:r>
      <w:r w:rsidRPr="000A34AD">
        <w:t xml:space="preserve"> </w:t>
      </w:r>
      <w:r>
        <w:t xml:space="preserve">are required </w:t>
      </w:r>
      <w:r w:rsidRPr="000A34AD">
        <w:t>prior to installation of measures that affect the condition and/or the structure of</w:t>
      </w:r>
      <w:r>
        <w:t xml:space="preserve"> </w:t>
      </w:r>
      <w:r w:rsidRPr="000A34AD">
        <w:t xml:space="preserve">the premise, </w:t>
      </w:r>
      <w:r>
        <w:t xml:space="preserve">with the </w:t>
      </w:r>
      <w:r w:rsidRPr="000A34AD">
        <w:t>exception</w:t>
      </w:r>
      <w:r>
        <w:t xml:space="preserve"> for the </w:t>
      </w:r>
      <w:r w:rsidRPr="000A34AD">
        <w:t>installation of measures which do not impact the structure of the home, which SDG&amp;E refers to</w:t>
      </w:r>
      <w:r w:rsidRPr="000A34AD">
        <w:rPr>
          <w:rFonts w:ascii="TimesNewRomanPSMT" w:hAnsi="TimesNewRomanPSMT" w:cs="TimesNewRomanPSMT"/>
          <w:sz w:val="24"/>
          <w:szCs w:val="24"/>
        </w:rPr>
        <w:t xml:space="preserve"> </w:t>
      </w:r>
      <w:r w:rsidRPr="000A34AD">
        <w:t xml:space="preserve">as “simple measures.” </w:t>
      </w:r>
      <w:r>
        <w:t>These are a</w:t>
      </w:r>
      <w:r w:rsidRPr="000A34AD">
        <w:t>lso required prior to conducting audits,</w:t>
      </w:r>
      <w:r>
        <w:t xml:space="preserve"> </w:t>
      </w:r>
      <w:r w:rsidRPr="000A34AD">
        <w:t>installing common area measure</w:t>
      </w:r>
      <w:r>
        <w:t>s</w:t>
      </w:r>
      <w:r w:rsidRPr="000A34AD">
        <w:t>, or installing measures in-unit</w:t>
      </w:r>
      <w:r>
        <w:t>.  SDG&amp;E states that w</w:t>
      </w:r>
      <w:r w:rsidRPr="000A34AD">
        <w:t xml:space="preserve">hile it is true </w:t>
      </w:r>
      <w:r>
        <w:t>some</w:t>
      </w:r>
      <w:r w:rsidRPr="000A34AD">
        <w:t xml:space="preserve"> rebate</w:t>
      </w:r>
      <w:r>
        <w:t xml:space="preserve"> </w:t>
      </w:r>
      <w:r w:rsidRPr="000A34AD">
        <w:t xml:space="preserve">programs and other similar </w:t>
      </w:r>
      <w:r>
        <w:t>energy efficiency</w:t>
      </w:r>
      <w:r w:rsidRPr="000A34AD">
        <w:t xml:space="preserve"> programs may not require POWs, it is because SDG&amp;E (or its contractor) is not going onto the customer site to do installation work</w:t>
      </w:r>
      <w:r>
        <w:t xml:space="preserve">.  </w:t>
      </w:r>
      <w:r w:rsidRPr="000A34AD">
        <w:t>For all programs in which SDG&amp;E or its contractors are installing measures, a POA is required</w:t>
      </w:r>
      <w:r>
        <w:t xml:space="preserve">.  </w:t>
      </w:r>
      <w:r w:rsidRPr="000A34AD">
        <w:t>Both the Multifamily Energy Efficiency Rebate (MFEER) program and the Middle-Income Direct Install (MIDI) programs required POA</w:t>
      </w:r>
      <w:r>
        <w:t>s</w:t>
      </w:r>
      <w:r w:rsidRPr="000A34AD">
        <w:t xml:space="preserve"> prior to installation of measure</w:t>
      </w:r>
      <w:r>
        <w:t xml:space="preserve">s.  </w:t>
      </w:r>
      <w:r w:rsidRPr="000A34AD">
        <w:t>While SDG&amp;E agrees that POA</w:t>
      </w:r>
      <w:r>
        <w:t>s/POWs</w:t>
      </w:r>
      <w:r w:rsidRPr="000A34AD">
        <w:t xml:space="preserve"> have historically been a large barrier to providing</w:t>
      </w:r>
      <w:r>
        <w:t xml:space="preserve"> </w:t>
      </w:r>
      <w:r w:rsidRPr="000A34AD">
        <w:t>tenants of multifamily properties with a larger portfolio of measure, there are reasons to continue</w:t>
      </w:r>
      <w:r>
        <w:t xml:space="preserve"> </w:t>
      </w:r>
      <w:r w:rsidRPr="000A34AD">
        <w:t>to require such documents when work is being performed by a contractor on behalf of the</w:t>
      </w:r>
      <w:r>
        <w:t xml:space="preserve"> </w:t>
      </w:r>
      <w:r w:rsidRPr="000A34AD">
        <w:t xml:space="preserve">SDG&amp;E’s ESA </w:t>
      </w:r>
      <w:r>
        <w:t>p</w:t>
      </w:r>
      <w:r w:rsidRPr="000A34AD">
        <w:t>rogram</w:t>
      </w:r>
      <w:r>
        <w:t xml:space="preserve"> including: 1) </w:t>
      </w:r>
      <w:r w:rsidRPr="000A34AD">
        <w:t>POWs are necessary to verify that certain dwelling units are eligible based on the income guidelines</w:t>
      </w:r>
      <w:r>
        <w:t xml:space="preserve">, 2) </w:t>
      </w:r>
      <w:r w:rsidRPr="000A34AD">
        <w:t>installation work for the programs may have</w:t>
      </w:r>
      <w:r>
        <w:t xml:space="preserve"> </w:t>
      </w:r>
      <w:r w:rsidRPr="000A34AD">
        <w:t>impacts on the building’s structure, in which case the owner of the property (as opposed to the</w:t>
      </w:r>
      <w:r>
        <w:t xml:space="preserve"> </w:t>
      </w:r>
      <w:r w:rsidRPr="000A34AD">
        <w:t>tenant) needs to be made aware, and often must consent, to such work</w:t>
      </w:r>
      <w:r>
        <w:t xml:space="preserve">, 3) </w:t>
      </w:r>
      <w:r w:rsidRPr="000A34AD">
        <w:t>the POW doesn’t just protect the utility, but also the owner and the</w:t>
      </w:r>
      <w:r>
        <w:t xml:space="preserve"> </w:t>
      </w:r>
      <w:r w:rsidRPr="000A34AD">
        <w:t>tenant because it resolves any future disputes between the owner and the tenant as to whether the</w:t>
      </w:r>
      <w:r>
        <w:t xml:space="preserve"> </w:t>
      </w:r>
      <w:r w:rsidRPr="000A34AD">
        <w:lastRenderedPageBreak/>
        <w:t>owner was adequately notified of the installation work and/or consented to the work</w:t>
      </w:r>
      <w:r>
        <w:t xml:space="preserve">.  </w:t>
      </w:r>
      <w:r w:rsidRPr="000A34AD">
        <w:t>Therefore,</w:t>
      </w:r>
      <w:r>
        <w:t xml:space="preserve"> </w:t>
      </w:r>
      <w:r w:rsidRPr="000A34AD">
        <w:t xml:space="preserve">appropriate </w:t>
      </w:r>
      <w:r w:rsidRPr="004A13D0">
        <w:t>checks</w:t>
      </w:r>
      <w:r w:rsidRPr="000A34AD">
        <w:t xml:space="preserve"> and balances are necessary to ensure protection for contractors, property</w:t>
      </w:r>
      <w:r>
        <w:t xml:space="preserve"> </w:t>
      </w:r>
      <w:r w:rsidRPr="000A34AD">
        <w:t>owners, tenants, and SDG&amp;E.</w:t>
      </w:r>
      <w:r>
        <w:rPr>
          <w:rStyle w:val="FootnoteReference"/>
        </w:rPr>
        <w:footnoteReference w:id="329"/>
      </w:r>
      <w:r w:rsidRPr="000A34AD">
        <w:rPr>
          <w:rFonts w:ascii="TimesNewRomanPSMT" w:hAnsi="TimesNewRomanPSMT" w:cs="TimesNewRomanPSMT"/>
          <w:sz w:val="24"/>
          <w:szCs w:val="24"/>
        </w:rPr>
        <w:t xml:space="preserve"> </w:t>
      </w:r>
    </w:p>
    <w:p w:rsidR="000C1980" w:rsidP="001968DC" w:rsidRDefault="000C1980" w14:paraId="6378B65F" w14:textId="77777777">
      <w:pPr>
        <w:pStyle w:val="Heading3"/>
        <w:ind w:left="2664"/>
      </w:pPr>
      <w:bookmarkStart w:name="_Toc69947925" w:id="261"/>
      <w:r>
        <w:t>Discussion</w:t>
      </w:r>
      <w:bookmarkEnd w:id="261"/>
    </w:p>
    <w:p w:rsidRPr="00D03468" w:rsidR="000C1980" w:rsidP="001968DC" w:rsidRDefault="000C1980" w14:paraId="28F95792" w14:textId="77777777">
      <w:pPr>
        <w:pStyle w:val="Heading4"/>
        <w:ind w:left="3600"/>
      </w:pPr>
      <w:bookmarkStart w:name="_Toc69947926" w:id="262"/>
      <w:r w:rsidRPr="00D03468">
        <w:t xml:space="preserve">Changing the Income Eligibility Requirements: </w:t>
      </w:r>
      <w:r w:rsidRPr="00D03468">
        <w:rPr>
          <w:u w:val="single"/>
        </w:rPr>
        <w:t>Denied</w:t>
      </w:r>
      <w:bookmarkEnd w:id="262"/>
    </w:p>
    <w:p w:rsidRPr="009F462A" w:rsidR="000C1980" w:rsidP="004A13D0" w:rsidRDefault="000C1980" w14:paraId="00A13597" w14:textId="77777777">
      <w:pPr>
        <w:pStyle w:val="Standard"/>
      </w:pPr>
      <w:r>
        <w:t xml:space="preserve">The Commission sees </w:t>
      </w:r>
      <w:r w:rsidRPr="009F462A">
        <w:t xml:space="preserve">value in appropriately establishing program eligibility guidelines </w:t>
      </w:r>
      <w:r>
        <w:t>and the importance of</w:t>
      </w:r>
      <w:r w:rsidRPr="009F462A">
        <w:t xml:space="preserve"> ensur</w:t>
      </w:r>
      <w:r>
        <w:t>ing</w:t>
      </w:r>
      <w:r w:rsidRPr="009F462A">
        <w:t xml:space="preserve"> </w:t>
      </w:r>
      <w:r>
        <w:t xml:space="preserve">that </w:t>
      </w:r>
      <w:r w:rsidRPr="009F462A">
        <w:t xml:space="preserve">all </w:t>
      </w:r>
      <w:proofErr w:type="gramStart"/>
      <w:r w:rsidRPr="009F462A">
        <w:t>low</w:t>
      </w:r>
      <w:r>
        <w:t xml:space="preserve"> </w:t>
      </w:r>
      <w:r w:rsidRPr="009F462A">
        <w:t>income</w:t>
      </w:r>
      <w:proofErr w:type="gramEnd"/>
      <w:r w:rsidRPr="009F462A">
        <w:t xml:space="preserve"> households are afforded the opportunity to participate in the ESA </w:t>
      </w:r>
      <w:r>
        <w:t>p</w:t>
      </w:r>
      <w:r w:rsidRPr="009F462A">
        <w:t xml:space="preserve">rogram, but </w:t>
      </w:r>
      <w:r>
        <w:t xml:space="preserve">we agree with the IOUs that </w:t>
      </w:r>
      <w:r w:rsidRPr="009F462A">
        <w:t xml:space="preserve">these requirements are based in statute </w:t>
      </w:r>
      <w:r>
        <w:t xml:space="preserve">which cannot be modified in a </w:t>
      </w:r>
      <w:r w:rsidRPr="009F462A">
        <w:t xml:space="preserve">Commission </w:t>
      </w:r>
      <w:r>
        <w:t xml:space="preserve">decision.  Therefore, we deny the proposals by EEC, La </w:t>
      </w:r>
      <w:proofErr w:type="spellStart"/>
      <w:r>
        <w:t>Cooperativa</w:t>
      </w:r>
      <w:proofErr w:type="spellEnd"/>
      <w:r>
        <w:t xml:space="preserve"> et al. and TELACU et al. to modify the income eligibility limits of the program.  We do note however that the enrollment changes made in this decision, as discussed below, do address some of the barriers raised and will ease them.   </w:t>
      </w:r>
    </w:p>
    <w:p w:rsidRPr="00D03468" w:rsidR="000C1980" w:rsidP="001968DC" w:rsidRDefault="000C1980" w14:paraId="43918226" w14:textId="77777777">
      <w:pPr>
        <w:pStyle w:val="Heading4"/>
        <w:ind w:left="3600"/>
      </w:pPr>
      <w:bookmarkStart w:name="_Toc69947927" w:id="263"/>
      <w:r w:rsidRPr="00D03468">
        <w:t xml:space="preserve">Self-Certification for Basic Treatment: </w:t>
      </w:r>
      <w:r w:rsidRPr="00D03468">
        <w:rPr>
          <w:u w:val="single"/>
        </w:rPr>
        <w:t>Approved</w:t>
      </w:r>
      <w:bookmarkEnd w:id="263"/>
    </w:p>
    <w:p w:rsidR="000C1980" w:rsidP="004A13D0" w:rsidRDefault="000C1980" w14:paraId="403AD0A9" w14:textId="0B6D301C">
      <w:pPr>
        <w:pStyle w:val="Standard"/>
      </w:pPr>
      <w:r>
        <w:t xml:space="preserve">We approve PG&amp;E, SoCalGas and SDG&amp;E’s request to allow customers to self-certify that they meet the income eligibility requirement for the ESA program to receive ESA basic measures, which may include energy education (whether in person or online), LED light bulbs and smart power strips, and Energy Conservation Savings Kits.  </w:t>
      </w:r>
      <w:r w:rsidR="00BB7F42">
        <w:t>However, m</w:t>
      </w:r>
      <w:r w:rsidRPr="00BB7F42" w:rsidR="00BB7F42">
        <w:t>easures requiring modifications to dwellings, which includes grounding, such as refrigerators, portable air conditioners, and smart thermostats, are exempt from this requirement</w:t>
      </w:r>
      <w:r w:rsidRPr="009504F8" w:rsidR="009504F8">
        <w:t xml:space="preserve"> </w:t>
      </w:r>
      <w:r w:rsidR="009504F8">
        <w:t>to be provided to self-certifying customers</w:t>
      </w:r>
      <w:r w:rsidRPr="00BB7F42" w:rsidR="00BB7F42">
        <w:t xml:space="preserve">. </w:t>
      </w:r>
      <w:r>
        <w:t xml:space="preserve">This change will remove the burdensome </w:t>
      </w:r>
      <w:r>
        <w:lastRenderedPageBreak/>
        <w:t>income documentation process, will appeal to those that still have distrust in providing their personal information, reach insecure and undocumented households, and requires little investment compared to the savings potentially achieved, especially through the education component.  This process will also incentivize households to consider the more advanced measures after receiving basic measures and allows the contractors to screen for additional measures.  We see advantages to this change and will require all the IOUs to allow for self-certification for its respective levels of the basic services, as well as apply it to the Multifamily Whole Building Program.  We do note that as proposed, the IOUs all propose slightly different services within the “basic level,” which might be appropriate.  However, to ensure that some level of consistency is achieved, the IOUs are directed to file as part of a compliance filing (see Section 6.16) which set of measures</w:t>
      </w:r>
      <w:r w:rsidR="005C339C">
        <w:t xml:space="preserve">, including those provided through self-certification and those that are exempt, </w:t>
      </w:r>
      <w:r>
        <w:t xml:space="preserve">will be part of the “basic” offerings and therefore allowed for ESA self-certification.   </w:t>
      </w:r>
    </w:p>
    <w:p w:rsidRPr="000B4130" w:rsidR="000C1980" w:rsidP="001968DC" w:rsidRDefault="000C1980" w14:paraId="2B63B511" w14:textId="76DB4D7A">
      <w:pPr>
        <w:pStyle w:val="Heading4"/>
        <w:ind w:left="3600"/>
      </w:pPr>
      <w:bookmarkStart w:name="_Toc69947928" w:id="264"/>
      <w:r w:rsidRPr="000B4130">
        <w:t xml:space="preserve">Automatic CARE Enrollment for ESA Households: </w:t>
      </w:r>
      <w:r w:rsidRPr="000B4130">
        <w:rPr>
          <w:u w:val="single"/>
        </w:rPr>
        <w:t xml:space="preserve">Approved </w:t>
      </w:r>
      <w:bookmarkEnd w:id="264"/>
    </w:p>
    <w:p w:rsidR="000C1980" w:rsidP="004A13D0" w:rsidRDefault="000C1980" w14:paraId="2B262691" w14:textId="7FBC6C61">
      <w:pPr>
        <w:pStyle w:val="Standard"/>
      </w:pPr>
      <w:r w:rsidRPr="004012DD">
        <w:t>We approve PG&amp;E’s request to automatically enroll customers who are participating in the ESA program into the CARE program</w:t>
      </w:r>
      <w:r>
        <w:t xml:space="preserve">.  </w:t>
      </w:r>
      <w:r w:rsidRPr="004012DD">
        <w:t xml:space="preserve">This automatic enrollment will require the customer’s consent, which mirrors the statutory guidance used for considering automatic enrollment of </w:t>
      </w:r>
      <w:proofErr w:type="spellStart"/>
      <w:r>
        <w:t>Life</w:t>
      </w:r>
      <w:r w:rsidR="00E52FB1">
        <w:t>L</w:t>
      </w:r>
      <w:r>
        <w:t>ine</w:t>
      </w:r>
      <w:proofErr w:type="spellEnd"/>
      <w:r>
        <w:t xml:space="preserve"> </w:t>
      </w:r>
      <w:r w:rsidRPr="004012DD">
        <w:t>customers into the CARE program.</w:t>
      </w:r>
      <w:r w:rsidRPr="004012DD">
        <w:rPr>
          <w:vertAlign w:val="superscript"/>
        </w:rPr>
        <w:footnoteReference w:id="330"/>
      </w:r>
      <w:r w:rsidRPr="004012DD">
        <w:t xml:space="preserve"> Enrolling ESA customers into the CARE program provide</w:t>
      </w:r>
      <w:r>
        <w:t>s</w:t>
      </w:r>
      <w:r w:rsidRPr="004012DD">
        <w:t xml:space="preserve"> benefits to both programs and households</w:t>
      </w:r>
      <w:r>
        <w:t xml:space="preserve">, including </w:t>
      </w:r>
      <w:r w:rsidRPr="004012DD">
        <w:t xml:space="preserve">creating a more streamlined process for the customer and the IOUs (less forms, less time, less confusion), more value provided for the customer’s time (receiving ESA </w:t>
      </w:r>
      <w:r w:rsidRPr="004012DD">
        <w:lastRenderedPageBreak/>
        <w:t xml:space="preserve">measures and CARE discount), and an increase in trust and credibility by closely tying the two programs together.  We understand that some of the IOUs already coordinate CARE enrollments with ESA enrollments, where households not already on CARE are offered the option to enroll in CARE during the ESA assessment.  </w:t>
      </w:r>
      <w:r>
        <w:t>W</w:t>
      </w:r>
      <w:r w:rsidRPr="004012DD">
        <w:t>e require this change to be implemented statewide by all the IOUs, if not already doing so</w:t>
      </w:r>
      <w:r>
        <w:t xml:space="preserve">.  </w:t>
      </w:r>
      <w:r w:rsidRPr="004012DD">
        <w:t>Further</w:t>
      </w:r>
      <w:r>
        <w:t>,</w:t>
      </w:r>
      <w:r w:rsidRPr="004012DD">
        <w:t xml:space="preserve"> the IOUs will support this effort for the Multifamily Whole Building </w:t>
      </w:r>
      <w:r>
        <w:t>p</w:t>
      </w:r>
      <w:r w:rsidRPr="004012DD">
        <w:t xml:space="preserve">rograms and Pilot Plus and </w:t>
      </w:r>
      <w:r>
        <w:t xml:space="preserve">Pilot </w:t>
      </w:r>
      <w:r w:rsidRPr="004012DD">
        <w:t xml:space="preserve">Deep </w:t>
      </w:r>
      <w:r>
        <w:t>p</w:t>
      </w:r>
      <w:r w:rsidRPr="004012DD">
        <w:t>rogram</w:t>
      </w:r>
      <w:r>
        <w:t xml:space="preserve">.  </w:t>
      </w:r>
    </w:p>
    <w:p w:rsidRPr="00A00457" w:rsidR="000C1980" w:rsidP="001968DC" w:rsidRDefault="000C1980" w14:paraId="71A256E6" w14:textId="77777777">
      <w:pPr>
        <w:pStyle w:val="Heading4"/>
        <w:ind w:left="3600"/>
      </w:pPr>
      <w:bookmarkStart w:name="_Toc69947929" w:id="265"/>
      <w:r w:rsidRPr="00A00457">
        <w:t xml:space="preserve">Alternative Enrollment Options: </w:t>
      </w:r>
      <w:r w:rsidRPr="00A00457">
        <w:rPr>
          <w:u w:val="single"/>
        </w:rPr>
        <w:t>Approved</w:t>
      </w:r>
      <w:bookmarkEnd w:id="265"/>
    </w:p>
    <w:p w:rsidR="000C1980" w:rsidP="004A13D0" w:rsidRDefault="000C1980" w14:paraId="7BECA7AB" w14:textId="30843B65">
      <w:pPr>
        <w:pStyle w:val="Standard"/>
      </w:pPr>
      <w:r w:rsidRPr="0044023B">
        <w:t xml:space="preserve">We approve </w:t>
      </w:r>
      <w:r>
        <w:t xml:space="preserve">SoCalGas and SDG&amp;E’s proposals to offer alternative enrollment options, either to be completed outside the home or online, and direct all the IOUs to offer these alternative enrollment options.  We agree that offering alternative options to households will help address some of the </w:t>
      </w:r>
      <w:proofErr w:type="gramStart"/>
      <w:r>
        <w:t>long standing</w:t>
      </w:r>
      <w:proofErr w:type="gramEnd"/>
      <w:r>
        <w:t xml:space="preserve"> barriers to this program, making the enrollment process easier and more approachable.  We are also convinced by the data provided by the IOUs that these alterative options will improve the customer experience, increase enrollments, and </w:t>
      </w:r>
      <w:r w:rsidRPr="00A51228">
        <w:t xml:space="preserve">lower </w:t>
      </w:r>
      <w:r>
        <w:t xml:space="preserve">overall </w:t>
      </w:r>
      <w:r w:rsidRPr="007A687E">
        <w:t xml:space="preserve">enrollment costs.  To ensure that this shift to online options will remain accessible and </w:t>
      </w:r>
      <w:r>
        <w:t>manageable</w:t>
      </w:r>
      <w:r w:rsidRPr="007A687E">
        <w:t xml:space="preserve"> to the </w:t>
      </w:r>
      <w:proofErr w:type="gramStart"/>
      <w:r w:rsidRPr="007A687E">
        <w:t>low income</w:t>
      </w:r>
      <w:proofErr w:type="gramEnd"/>
      <w:r w:rsidRPr="007A687E">
        <w:t xml:space="preserve"> population, we will require that the IOUs make </w:t>
      </w:r>
      <w:r>
        <w:t xml:space="preserve">the enrollment process </w:t>
      </w:r>
      <w:r w:rsidRPr="007A687E">
        <w:t xml:space="preserve">as user friendly as possible, available in multiple languages, and include an option </w:t>
      </w:r>
      <w:r>
        <w:t xml:space="preserve">to </w:t>
      </w:r>
      <w:r w:rsidRPr="007A687E">
        <w:t xml:space="preserve">seek additional assistance during the online application process (either through offering a live-chat function, an assistance hotline, </w:t>
      </w:r>
      <w:r w:rsidR="008302A5">
        <w:t>and/</w:t>
      </w:r>
      <w:r w:rsidRPr="007A687E">
        <w:t>or an em</w:t>
      </w:r>
      <w:r>
        <w:t xml:space="preserve">ail inquiry for questions). We also reiterate that these alterative options will not replace the existing enrollment processes where households can enroll during an in-home assessment with a contractor.  </w:t>
      </w:r>
    </w:p>
    <w:p w:rsidRPr="00BB54DF" w:rsidR="000C1980" w:rsidP="001968DC" w:rsidRDefault="000C1980" w14:paraId="40E93D89" w14:textId="24C7013D">
      <w:pPr>
        <w:pStyle w:val="Heading4"/>
        <w:ind w:left="3600"/>
      </w:pPr>
      <w:bookmarkStart w:name="_Toc69947930" w:id="266"/>
      <w:r w:rsidRPr="00BB54DF">
        <w:lastRenderedPageBreak/>
        <w:t xml:space="preserve">Required Audits (During Enrollment): </w:t>
      </w:r>
      <w:r w:rsidRPr="00BB54DF">
        <w:rPr>
          <w:u w:val="single"/>
        </w:rPr>
        <w:t>Approved</w:t>
      </w:r>
      <w:r w:rsidR="00F963BF">
        <w:rPr>
          <w:u w:val="single"/>
        </w:rPr>
        <w:t xml:space="preserve"> with Modifications</w:t>
      </w:r>
      <w:bookmarkEnd w:id="266"/>
    </w:p>
    <w:p w:rsidRPr="00AF1E31" w:rsidR="000C1980" w:rsidP="004A13D0" w:rsidRDefault="000C1980" w14:paraId="4EEA98B2" w14:textId="05C52CAB">
      <w:pPr>
        <w:pStyle w:val="Standard"/>
      </w:pPr>
      <w:r>
        <w:t xml:space="preserve">We approve SDG&amp;E and SoCalGas’s proposals to </w:t>
      </w:r>
      <w:r w:rsidR="006F4ED0">
        <w:t xml:space="preserve">make available to </w:t>
      </w:r>
      <w:r w:rsidRPr="005F7E56">
        <w:t xml:space="preserve">customers </w:t>
      </w:r>
      <w:r w:rsidR="003649B6">
        <w:t xml:space="preserve">a </w:t>
      </w:r>
      <w:r w:rsidR="00EA40EF">
        <w:t xml:space="preserve">voluntary </w:t>
      </w:r>
      <w:r>
        <w:t xml:space="preserve">energy </w:t>
      </w:r>
      <w:r w:rsidRPr="005F7E56">
        <w:t>audit at the time of enrollment</w:t>
      </w:r>
      <w:r>
        <w:t>,</w:t>
      </w:r>
      <w:r w:rsidRPr="005F7E56">
        <w:t xml:space="preserve"> preferably completed online,</w:t>
      </w:r>
      <w:r>
        <w:t xml:space="preserve"> and direct all IOUs </w:t>
      </w:r>
      <w:r w:rsidR="00B660D7">
        <w:t xml:space="preserve">to </w:t>
      </w:r>
      <w:r>
        <w:t xml:space="preserve">offer customers the option to complete an energy audit at or before the time of enrollment.  This will allow the IOU and/or contractor to gather additional customer information prior to the home visits, arrive better equipped when meeting with the customers about solutions that best meet their needs, and minimize impact and disruptions to the customer’s overall experience.  </w:t>
      </w:r>
      <w:r w:rsidRPr="009C1176">
        <w:t>Additionally, we encourage the IOUs to use this audit process or initial home visit to manage expectations of customers and underscore the fact that while the ESA program may offer several types of measures, it is not a guarantee that the customer will be technically eligible to receive all the measures</w:t>
      </w:r>
      <w:r>
        <w:t xml:space="preserve">.  </w:t>
      </w:r>
      <w:r w:rsidRPr="009C1176">
        <w:t>The IOUs, directly, and/or through their contractors, should communicate information around these concepts of technical feasibility and the possibility of limited measure installments to customers clearly and early during the ESA enrollment process, including as early as during the audits themselves</w:t>
      </w:r>
      <w:r>
        <w:t xml:space="preserve">.  </w:t>
      </w:r>
      <w:r w:rsidRPr="009C1176">
        <w:t xml:space="preserve">We leave it up to the IOUs to decide the best communication channels and wording for this message and encourage the IOUs to track customer confusion and disappointment through their program satisfaction surveys, with the results shared with Energy Division at their request. </w:t>
      </w:r>
    </w:p>
    <w:p w:rsidRPr="00CF32DD" w:rsidR="000C1980" w:rsidP="001968DC" w:rsidRDefault="000C1980" w14:paraId="18F0BC08" w14:textId="1F266593">
      <w:pPr>
        <w:pStyle w:val="Heading4"/>
        <w:ind w:left="3600"/>
      </w:pPr>
      <w:bookmarkStart w:name="_Toc69947931" w:id="267"/>
      <w:r w:rsidRPr="00CF32DD">
        <w:t xml:space="preserve">Automatic Qualification via CARE PEV: </w:t>
      </w:r>
      <w:r w:rsidRPr="00CF32DD">
        <w:rPr>
          <w:u w:val="single"/>
        </w:rPr>
        <w:t>Denied</w:t>
      </w:r>
      <w:bookmarkEnd w:id="267"/>
    </w:p>
    <w:p w:rsidR="000C1980" w:rsidP="004A13D0" w:rsidRDefault="000C1980" w14:paraId="666A50CD" w14:textId="39D3A71D">
      <w:pPr>
        <w:pStyle w:val="Standard"/>
      </w:pPr>
      <w:r>
        <w:t xml:space="preserve">We deny SoCalGas’ proposal to automatically qualify those households that have completed a CARE post-enrollment verification for ESA services.  CARE enrollment fluctuates, and even after a successful PEV, the customer may be able to remain on the CARE rate for another two to four years, and potentially </w:t>
      </w:r>
      <w:r>
        <w:lastRenderedPageBreak/>
        <w:t>not be CARE eligible if there is a change in the situation from the time of the PEV.  The change made in this decision to allow self-certification of households for the ESA basic measures will already work towards addressing enrollment barriers without needing to automatically qualify this group of CARE customers for ESA.  Also, given that the ESA program will be moving towards one that focuses on deeper energy retrofits, and likely leading to larger investments per household treated, household income qualifications will be important.  Therefore, this request is denied.</w:t>
      </w:r>
    </w:p>
    <w:p w:rsidRPr="00CF32DD" w:rsidR="000C1980" w:rsidP="001968DC" w:rsidRDefault="000C1980" w14:paraId="17AAB6C5" w14:textId="77777777">
      <w:pPr>
        <w:pStyle w:val="Heading4"/>
        <w:ind w:left="3600"/>
      </w:pPr>
      <w:bookmarkStart w:name="_Toc69947932" w:id="268"/>
      <w:r w:rsidRPr="000E159C">
        <w:rPr>
          <w:bCs/>
        </w:rPr>
        <w:t>Expanding</w:t>
      </w:r>
      <w:r w:rsidRPr="000E159C">
        <w:rPr>
          <w:bCs/>
          <w:i/>
        </w:rPr>
        <w:t xml:space="preserve"> </w:t>
      </w:r>
      <w:r w:rsidRPr="000E159C">
        <w:t>Categorical</w:t>
      </w:r>
      <w:r w:rsidRPr="00CF32DD">
        <w:t xml:space="preserve"> Eligibility: </w:t>
      </w:r>
      <w:r w:rsidRPr="00CF32DD">
        <w:rPr>
          <w:u w:val="single"/>
        </w:rPr>
        <w:t>Denied</w:t>
      </w:r>
      <w:bookmarkEnd w:id="268"/>
    </w:p>
    <w:p w:rsidRPr="00AF1E31" w:rsidR="000C1980" w:rsidP="004A13D0" w:rsidRDefault="000C1980" w14:paraId="0B32656F" w14:textId="77777777">
      <w:pPr>
        <w:pStyle w:val="Standard"/>
      </w:pPr>
      <w:r>
        <w:t>We deny EEC’s request to categorically qualify all households living in DACs</w:t>
      </w:r>
      <w:r w:rsidRPr="00EE5985">
        <w:t xml:space="preserve"> and in low ranked SEVI</w:t>
      </w:r>
      <w:r>
        <w:t xml:space="preserve"> </w:t>
      </w:r>
      <w:r w:rsidRPr="00EE5985">
        <w:t xml:space="preserve">communities for </w:t>
      </w:r>
      <w:r>
        <w:t xml:space="preserve">the </w:t>
      </w:r>
      <w:r w:rsidRPr="00EE5985">
        <w:t xml:space="preserve">ESA </w:t>
      </w:r>
      <w:r>
        <w:t>program.  The record does not support the automatic qualification of these households given the varying definitions used for ESA, DACs, and SEVI.  While ESA is targeted to households at or below 200</w:t>
      </w:r>
      <w:r w:rsidRPr="00E1050D">
        <w:t xml:space="preserve"> </w:t>
      </w:r>
      <w:r w:rsidRPr="0026503D">
        <w:t>percent</w:t>
      </w:r>
      <w:r>
        <w:t xml:space="preserve"> FPG, DACs are defined as geographic areas burdened by environmental pollution,</w:t>
      </w:r>
      <w:r w:rsidRPr="004A3930">
        <w:rPr>
          <w:vertAlign w:val="superscript"/>
        </w:rPr>
        <w:footnoteReference w:id="331"/>
      </w:r>
      <w:r>
        <w:t xml:space="preserve"> and SEVIs are defined as geographic areas adversely impacted by factors beyond income, including unemployment, education, language, and housing costs.</w:t>
      </w:r>
      <w:r w:rsidRPr="006B23ED">
        <w:rPr>
          <w:vertAlign w:val="superscript"/>
        </w:rPr>
        <w:footnoteReference w:id="332"/>
      </w:r>
      <w:r>
        <w:t xml:space="preserve"> In addition, given the varying definitions, the record does not contain any information on the potential increase in the ESA/CARE eligible population.  However, we do require the IOUs to report on activity (eligible population, energy savings, etc.) for each of these segments as part of the overall customer segmentation and targeting efforts, (see Section 6.16).  In addition, we direct the IOUs to include these and the other </w:t>
      </w:r>
      <w:r>
        <w:lastRenderedPageBreak/>
        <w:t>customer segments in the planned Categorical Eligibility study to determine whether customers in these segments should automatically qualify for ESA/CARE, (</w:t>
      </w:r>
      <w:r w:rsidRPr="004A13D0">
        <w:rPr>
          <w:i/>
          <w:iCs/>
        </w:rPr>
        <w:t xml:space="preserve">see </w:t>
      </w:r>
      <w:r>
        <w:t>Section 8.11).</w:t>
      </w:r>
    </w:p>
    <w:p w:rsidRPr="004078AC" w:rsidR="000C1980" w:rsidP="001968DC" w:rsidRDefault="000C1980" w14:paraId="2769F9D7" w14:textId="77777777">
      <w:pPr>
        <w:pStyle w:val="Heading4"/>
        <w:ind w:left="3600"/>
        <w:rPr>
          <w:u w:val="single"/>
        </w:rPr>
      </w:pPr>
      <w:bookmarkStart w:name="_Toc69947933" w:id="269"/>
      <w:r w:rsidRPr="004078AC">
        <w:t>Property Owner Approvals</w:t>
      </w:r>
      <w:r>
        <w:t>/Waivers</w:t>
      </w:r>
      <w:r w:rsidRPr="004078AC">
        <w:t xml:space="preserve">: </w:t>
      </w:r>
      <w:r w:rsidRPr="004078AC">
        <w:rPr>
          <w:u w:val="single"/>
        </w:rPr>
        <w:t>Approved with Modifications</w:t>
      </w:r>
      <w:bookmarkEnd w:id="269"/>
    </w:p>
    <w:p w:rsidR="000C1980" w:rsidP="004A13D0" w:rsidRDefault="000C1980" w14:paraId="27A26E85" w14:textId="4BB99D65">
      <w:pPr>
        <w:pStyle w:val="Standard"/>
      </w:pPr>
      <w:r>
        <w:t>We approve PG&amp;E’s request to waive the POA</w:t>
      </w:r>
      <w:r w:rsidR="004F5EA1">
        <w:t>/POW</w:t>
      </w:r>
      <w:r>
        <w:t xml:space="preserve"> requirements for households to receive the basic level of ESA services.  </w:t>
      </w:r>
      <w:r w:rsidR="00195E59">
        <w:t>Howev</w:t>
      </w:r>
      <w:r w:rsidR="001517FF">
        <w:t>er, m</w:t>
      </w:r>
      <w:r w:rsidR="00195E59">
        <w:t>easures requiring modifications to dwellings, which includes grounding, such as refrigerators, portable air conditioners, and smart thermostats, are exempt from this requirement</w:t>
      </w:r>
      <w:r w:rsidRPr="009F17C0" w:rsidR="009F17C0">
        <w:t xml:space="preserve"> </w:t>
      </w:r>
      <w:r w:rsidR="009F17C0">
        <w:t>to be provided to self-certifying customers</w:t>
      </w:r>
      <w:r w:rsidR="00195E59">
        <w:t xml:space="preserve">. </w:t>
      </w:r>
      <w:r>
        <w:t>We also approve SDG&amp;E’s proposal to extend the POA</w:t>
      </w:r>
      <w:r w:rsidR="004F5EA1">
        <w:t>/POW</w:t>
      </w:r>
      <w:r>
        <w:t xml:space="preserve"> validation date from one year to two years.  We believe that these changes should ease the enrollment and treatment of renter occupied units, help the penetration rate, and likely encourage the tenants and property owners to consider more advanced treatments through ESA.  We require these changes to be implemented statewide by all the IOUs, if not already doing so. </w:t>
      </w:r>
    </w:p>
    <w:p w:rsidRPr="002A6091" w:rsidR="000C1980" w:rsidP="004A13D0" w:rsidRDefault="000C1980" w14:paraId="1D76ADC0" w14:textId="77777777">
      <w:pPr>
        <w:pStyle w:val="Standard"/>
      </w:pPr>
      <w:r>
        <w:t>We deny EEC’s recommendation to remove all POWs / POAs.  We disagree with EEC’s claim that these are counterproductive and unnecessary, that existing l</w:t>
      </w:r>
      <w:r w:rsidRPr="006D0484">
        <w:t xml:space="preserve">aw provides </w:t>
      </w:r>
      <w:r>
        <w:t xml:space="preserve">sufficient </w:t>
      </w:r>
      <w:r w:rsidRPr="006D0484">
        <w:t xml:space="preserve">protection </w:t>
      </w:r>
      <w:r>
        <w:t xml:space="preserve">against </w:t>
      </w:r>
      <w:r w:rsidRPr="006D0484">
        <w:t>payment obligation for owner</w:t>
      </w:r>
      <w:r>
        <w:t>, and that other energy efficiency programs waive this requirement.  We determine that POWs/ POAs</w:t>
      </w:r>
      <w:r w:rsidRPr="000A34AD">
        <w:t xml:space="preserve"> </w:t>
      </w:r>
      <w:r>
        <w:t xml:space="preserve">are necessary, provide the legal protections needed for </w:t>
      </w:r>
      <w:r w:rsidRPr="000A34AD">
        <w:t xml:space="preserve">the </w:t>
      </w:r>
      <w:r>
        <w:t>IOUs</w:t>
      </w:r>
      <w:r w:rsidRPr="000A34AD">
        <w:t xml:space="preserve">, </w:t>
      </w:r>
      <w:proofErr w:type="gramStart"/>
      <w:r w:rsidRPr="000A34AD">
        <w:t>owner</w:t>
      </w:r>
      <w:r>
        <w:t>s</w:t>
      </w:r>
      <w:proofErr w:type="gramEnd"/>
      <w:r w:rsidRPr="000A34AD">
        <w:t xml:space="preserve"> and tenant</w:t>
      </w:r>
      <w:r>
        <w:t xml:space="preserve">s (by </w:t>
      </w:r>
      <w:r w:rsidRPr="000A34AD">
        <w:t>verif</w:t>
      </w:r>
      <w:r>
        <w:t>ying</w:t>
      </w:r>
      <w:r w:rsidRPr="000A34AD">
        <w:t xml:space="preserve"> </w:t>
      </w:r>
      <w:r>
        <w:t xml:space="preserve">eligibility for the program and receiving explicit consent from the </w:t>
      </w:r>
      <w:r w:rsidRPr="000A34AD">
        <w:t xml:space="preserve">owner </w:t>
      </w:r>
      <w:r>
        <w:t xml:space="preserve">for the </w:t>
      </w:r>
      <w:r w:rsidRPr="000A34AD">
        <w:t>work</w:t>
      </w:r>
      <w:r>
        <w:t>), and are commonly required by other programs including the MEER</w:t>
      </w:r>
      <w:r w:rsidRPr="000A34AD">
        <w:t xml:space="preserve"> and the </w:t>
      </w:r>
      <w:r>
        <w:t>MIDI</w:t>
      </w:r>
      <w:r w:rsidRPr="000A34AD">
        <w:t xml:space="preserve"> programs</w:t>
      </w:r>
      <w:r>
        <w:t>.  Therefore, EEC’s request is denied.</w:t>
      </w:r>
    </w:p>
    <w:p w:rsidRPr="00E57433" w:rsidR="000C1980" w:rsidP="001968DC" w:rsidRDefault="000C1980" w14:paraId="6CF45286" w14:textId="77777777">
      <w:pPr>
        <w:pStyle w:val="Heading2"/>
        <w:ind w:left="1728"/>
      </w:pPr>
      <w:bookmarkStart w:name="_Toc69947934" w:id="270"/>
      <w:r w:rsidRPr="00E57433">
        <w:lastRenderedPageBreak/>
        <w:t xml:space="preserve">ESA Delivery </w:t>
      </w:r>
      <w:r w:rsidRPr="00C73AD4">
        <w:t>Model</w:t>
      </w:r>
      <w:bookmarkEnd w:id="270"/>
    </w:p>
    <w:p w:rsidR="000C1980" w:rsidP="001968DC" w:rsidRDefault="000C1980" w14:paraId="740ECC39" w14:textId="77777777">
      <w:pPr>
        <w:pStyle w:val="Heading3"/>
        <w:ind w:left="2664"/>
      </w:pPr>
      <w:bookmarkStart w:name="_Toc69947935" w:id="271"/>
      <w:r>
        <w:t>Background</w:t>
      </w:r>
      <w:bookmarkEnd w:id="271"/>
    </w:p>
    <w:p w:rsidR="000C1980" w:rsidP="004A13D0" w:rsidRDefault="000C1980" w14:paraId="76BD961F" w14:textId="64898E64">
      <w:pPr>
        <w:pStyle w:val="Standard"/>
      </w:pPr>
      <w:r w:rsidRPr="00C64CC6">
        <w:t>Decision 16-11-022 as modified by D.17-12-009 approved and later modified ESA program designs for the IOUs through 2020</w:t>
      </w:r>
      <w:r>
        <w:t xml:space="preserve">.  The Commission adopted and required a certain level of statewide consistency in the delivery and design of the programs, including the elimination of the go-back rule and the </w:t>
      </w:r>
      <w:proofErr w:type="gramStart"/>
      <w:r>
        <w:t>three measure</w:t>
      </w:r>
      <w:proofErr w:type="gramEnd"/>
      <w:r>
        <w:t xml:space="preserve"> minimum rule, a consistent approach to energy education and measure eligibility standards, (not to be confused with measure offerings), and the focus on hard to reach communities.  However, the IOUs were granted variations in their designs to allow for flexibility and to recognize that each IOU designed its own ESA program delivery model that incorporates best practices, lessons learned, and </w:t>
      </w:r>
      <w:r w:rsidR="006E6C47">
        <w:t xml:space="preserve">what </w:t>
      </w:r>
      <w:r>
        <w:t>best suits their respective service areas and customer base.  This resulted in IOU designs that varied in measure offerings, leveraging partnerships, and contractor bidding and selections.  For PYs 2021-2026, the IOUs were asked to discuss lessons learned from the past cycles’ design and delivery models, propose modifications that would garner increased energy savings and reduced hardships, identify expected accomplishments of the proposed designs, and identify the potential obstacles and recommendations to overcome the obstacles of the proposed designs.</w:t>
      </w:r>
      <w:r>
        <w:rPr>
          <w:rStyle w:val="FootnoteReference"/>
        </w:rPr>
        <w:footnoteReference w:id="333"/>
      </w:r>
    </w:p>
    <w:p w:rsidR="000C1980" w:rsidP="001968DC" w:rsidRDefault="000C1980" w14:paraId="6235275C" w14:textId="77777777">
      <w:pPr>
        <w:pStyle w:val="Heading3"/>
        <w:ind w:left="2664"/>
      </w:pPr>
      <w:bookmarkStart w:name="_Toc69947936" w:id="272"/>
      <w:r>
        <w:t>PG&amp;E Proposal</w:t>
      </w:r>
      <w:bookmarkEnd w:id="272"/>
    </w:p>
    <w:p w:rsidRPr="00AA2003" w:rsidR="000C1980" w:rsidP="004A13D0" w:rsidRDefault="000C1980" w14:paraId="2C33D741" w14:textId="77777777">
      <w:pPr>
        <w:pStyle w:val="Standard"/>
      </w:pPr>
      <w:r w:rsidRPr="000B799B">
        <w:t>PG&amp;E</w:t>
      </w:r>
      <w:r>
        <w:t xml:space="preserve">’s new </w:t>
      </w:r>
      <w:r w:rsidRPr="000B799B">
        <w:t xml:space="preserve">“ESA Plus” </w:t>
      </w:r>
      <w:r>
        <w:t xml:space="preserve">design proposes </w:t>
      </w:r>
      <w:r w:rsidRPr="000B799B">
        <w:t>three levels of participation options</w:t>
      </w:r>
      <w:r>
        <w:t xml:space="preserve"> (Basic, Comprehensive, Comprehensive Plus)</w:t>
      </w:r>
      <w:r w:rsidRPr="000B799B">
        <w:t>, each offering increasing levels of education and energy saving measures dependent on income eligibility and need</w:t>
      </w:r>
      <w:r>
        <w:t xml:space="preserve">.  </w:t>
      </w:r>
      <w:r w:rsidRPr="000B799B">
        <w:t xml:space="preserve">PG&amp;E also proposes a Virtual </w:t>
      </w:r>
      <w:r>
        <w:t>E</w:t>
      </w:r>
      <w:r w:rsidRPr="000B799B">
        <w:t xml:space="preserve">nergy Coach pilot program to help customers improve their household energy efficiency and ease their energy </w:t>
      </w:r>
      <w:r w:rsidRPr="000B799B">
        <w:lastRenderedPageBreak/>
        <w:t>burden</w:t>
      </w:r>
      <w:r>
        <w:t xml:space="preserve"> (</w:t>
      </w:r>
      <w:r w:rsidRPr="004A13D0">
        <w:rPr>
          <w:i/>
          <w:iCs/>
        </w:rPr>
        <w:t xml:space="preserve">see </w:t>
      </w:r>
      <w:r>
        <w:t>Section 8.4)</w:t>
      </w:r>
      <w:r w:rsidRPr="000B799B">
        <w:t>.</w:t>
      </w:r>
      <w:r w:rsidRPr="000B799B">
        <w:rPr>
          <w:vertAlign w:val="superscript"/>
        </w:rPr>
        <w:footnoteReference w:id="334"/>
      </w:r>
      <w:r>
        <w:t xml:space="preserve">  </w:t>
      </w:r>
      <w:r w:rsidRPr="00AA2003">
        <w:t xml:space="preserve">PG&amp;E states that </w:t>
      </w:r>
      <w:r>
        <w:t>this</w:t>
      </w:r>
      <w:r w:rsidRPr="00AA2003">
        <w:t xml:space="preserve"> new strategy include</w:t>
      </w:r>
      <w:r>
        <w:t>s</w:t>
      </w:r>
      <w:r w:rsidRPr="00AA2003">
        <w:t xml:space="preserve"> easier entry into the ESA program, new measures, more focused outreach efforts, identification of certain populations with hardship considerations, and an improved contractor/ customer journey.</w:t>
      </w:r>
      <w:r w:rsidRPr="00AA2003">
        <w:rPr>
          <w:vertAlign w:val="superscript"/>
        </w:rPr>
        <w:footnoteReference w:id="335"/>
      </w:r>
      <w:r w:rsidRPr="00AA2003">
        <w:t xml:space="preserve"> </w:t>
      </w:r>
    </w:p>
    <w:p w:rsidRPr="00B258A9" w:rsidR="000C1980" w:rsidP="004A13D0" w:rsidRDefault="000C1980" w14:paraId="5BD5A27E" w14:textId="77777777">
      <w:pPr>
        <w:pStyle w:val="Standard"/>
      </w:pPr>
      <w:r w:rsidRPr="00FD3CB1">
        <w:rPr>
          <w:b/>
          <w:bCs/>
          <w:i/>
          <w:iCs/>
          <w:u w:val="single"/>
        </w:rPr>
        <w:t xml:space="preserve">The Basic </w:t>
      </w:r>
      <w:r>
        <w:rPr>
          <w:b/>
          <w:bCs/>
          <w:i/>
          <w:iCs/>
          <w:u w:val="single"/>
        </w:rPr>
        <w:t>Package</w:t>
      </w:r>
      <w:r>
        <w:t xml:space="preserve">:  This package </w:t>
      </w:r>
      <w:r w:rsidRPr="00676919">
        <w:t>include</w:t>
      </w:r>
      <w:r>
        <w:t>s</w:t>
      </w:r>
      <w:r w:rsidRPr="00676919">
        <w:t xml:space="preserve"> </w:t>
      </w:r>
      <w:r>
        <w:t xml:space="preserve">a free home assessment, installation of simple measures, energy education, and </w:t>
      </w:r>
      <w:r w:rsidRPr="000B799B">
        <w:t>quarterly load disaggregation usage profiles wi</w:t>
      </w:r>
      <w:r>
        <w:t>th</w:t>
      </w:r>
      <w:r w:rsidRPr="000B799B">
        <w:t xml:space="preserve"> customized energy savings solutions for every CARE customer</w:t>
      </w:r>
      <w:r>
        <w:t>, with n</w:t>
      </w:r>
      <w:r w:rsidRPr="00676919">
        <w:t xml:space="preserve">o income verification or </w:t>
      </w:r>
      <w:r>
        <w:t>property owner approvals</w:t>
      </w:r>
      <w:r w:rsidRPr="00676919">
        <w:t xml:space="preserve"> require</w:t>
      </w:r>
      <w:r>
        <w:t xml:space="preserve">d.  </w:t>
      </w:r>
      <w:r w:rsidRPr="00676919">
        <w:t>ESA contractor</w:t>
      </w:r>
      <w:r>
        <w:t>s will</w:t>
      </w:r>
      <w:r w:rsidRPr="00676919">
        <w:t xml:space="preserve"> conduct the home assessment, explain all available and feasible Comprehensive and Comprehensive Plus measures, install the</w:t>
      </w:r>
      <w:r>
        <w:t xml:space="preserve"> </w:t>
      </w:r>
      <w:r w:rsidRPr="00676919">
        <w:t xml:space="preserve">simple measures, and conduct the </w:t>
      </w:r>
      <w:r>
        <w:t>e</w:t>
      </w:r>
      <w:r w:rsidRPr="00676919">
        <w:t xml:space="preserve">nergy </w:t>
      </w:r>
      <w:r>
        <w:t>e</w:t>
      </w:r>
      <w:r w:rsidRPr="00676919">
        <w:t>ducation session</w:t>
      </w:r>
      <w:r>
        <w:t xml:space="preserve">.  </w:t>
      </w:r>
      <w:r w:rsidRPr="00676919">
        <w:t xml:space="preserve">The contractor would also offer the </w:t>
      </w:r>
      <w:r>
        <w:t xml:space="preserve">household an </w:t>
      </w:r>
      <w:r w:rsidRPr="00676919">
        <w:t>opportunity to participate in the</w:t>
      </w:r>
      <w:r>
        <w:t xml:space="preserve"> </w:t>
      </w:r>
      <w:r w:rsidRPr="00676919">
        <w:t>Virtual Energy Coach Pilot for ongoing assistance.</w:t>
      </w:r>
      <w:r>
        <w:t xml:space="preserve">  </w:t>
      </w:r>
      <w:r w:rsidRPr="00676919">
        <w:t>The customer may elect, after the Basic consultation, to receive</w:t>
      </w:r>
      <w:r>
        <w:t xml:space="preserve"> </w:t>
      </w:r>
      <w:r w:rsidRPr="00676919">
        <w:t>more measures at the Comprehensive and the Comprehensive Plus</w:t>
      </w:r>
      <w:r>
        <w:t xml:space="preserve"> </w:t>
      </w:r>
      <w:r w:rsidRPr="00676919">
        <w:t>levels</w:t>
      </w:r>
      <w:r>
        <w:t xml:space="preserve">, (but would be required to </w:t>
      </w:r>
      <w:r w:rsidRPr="00676919">
        <w:t>produce income documentation</w:t>
      </w:r>
      <w:r>
        <w:t xml:space="preserve"> </w:t>
      </w:r>
      <w:r w:rsidRPr="00676919">
        <w:t>or proof of categorical program participation and assist in obtaining</w:t>
      </w:r>
      <w:r>
        <w:t xml:space="preserve"> </w:t>
      </w:r>
      <w:r w:rsidRPr="00676919">
        <w:t>the POA, if necessary</w:t>
      </w:r>
      <w:r>
        <w:t xml:space="preserve">).  If the customer elects, the contractor will set up </w:t>
      </w:r>
      <w:r w:rsidRPr="00712037">
        <w:rPr>
          <w:i/>
          <w:iCs/>
        </w:rPr>
        <w:t>one</w:t>
      </w:r>
      <w:r>
        <w:t xml:space="preserve"> subsequent visit for the additional</w:t>
      </w:r>
      <w:r w:rsidRPr="00965927">
        <w:t xml:space="preserve"> measure installation</w:t>
      </w:r>
      <w:r>
        <w:t xml:space="preserve">, </w:t>
      </w:r>
      <w:r w:rsidRPr="00965927">
        <w:t>where possible.</w:t>
      </w:r>
      <w:r>
        <w:rPr>
          <w:rStyle w:val="FootnoteReference"/>
        </w:rPr>
        <w:footnoteReference w:id="336"/>
      </w:r>
      <w:r w:rsidRPr="00676919">
        <w:t xml:space="preserve"> </w:t>
      </w:r>
    </w:p>
    <w:p w:rsidRPr="00965927" w:rsidR="000C1980" w:rsidP="004A13D0" w:rsidRDefault="000C1980" w14:paraId="2DC7995C" w14:textId="77777777">
      <w:pPr>
        <w:pStyle w:val="Standard"/>
      </w:pPr>
      <w:r>
        <w:rPr>
          <w:b/>
          <w:bCs/>
          <w:i/>
          <w:iCs/>
          <w:u w:val="single"/>
        </w:rPr>
        <w:t xml:space="preserve">The </w:t>
      </w:r>
      <w:r w:rsidRPr="005A63BB">
        <w:rPr>
          <w:b/>
          <w:bCs/>
          <w:i/>
          <w:iCs/>
          <w:u w:val="single"/>
        </w:rPr>
        <w:t>Comprehensive</w:t>
      </w:r>
      <w:r>
        <w:rPr>
          <w:b/>
          <w:bCs/>
          <w:i/>
          <w:iCs/>
          <w:u w:val="single"/>
        </w:rPr>
        <w:t xml:space="preserve"> Package (Low to Moderate Energy Users)</w:t>
      </w:r>
      <w:r>
        <w:t xml:space="preserve">: This package will include everything in the Basic package, plus </w:t>
      </w:r>
      <w:r w:rsidRPr="006166B2">
        <w:t>additional measures and services</w:t>
      </w:r>
      <w:r>
        <w:t xml:space="preserve"> targeted towards low to moderate energy using households,</w:t>
      </w:r>
      <w:r w:rsidRPr="000B799B">
        <w:t xml:space="preserve"> which </w:t>
      </w:r>
      <w:r w:rsidRPr="000B799B">
        <w:lastRenderedPageBreak/>
        <w:t>is purposely designed to achieve savings or reduce hardship while maintaining cost effectiveness of the program.</w:t>
      </w:r>
      <w:r w:rsidRPr="000B799B">
        <w:rPr>
          <w:vertAlign w:val="superscript"/>
        </w:rPr>
        <w:footnoteReference w:id="337"/>
      </w:r>
      <w:r>
        <w:t xml:space="preserve">  </w:t>
      </w:r>
    </w:p>
    <w:p w:rsidRPr="00965927" w:rsidR="000C1980" w:rsidP="004A13D0" w:rsidRDefault="000C1980" w14:paraId="5D53333D" w14:textId="77777777">
      <w:pPr>
        <w:pStyle w:val="Standard"/>
      </w:pPr>
      <w:r>
        <w:rPr>
          <w:b/>
          <w:bCs/>
          <w:i/>
          <w:iCs/>
          <w:u w:val="single"/>
        </w:rPr>
        <w:t xml:space="preserve">The </w:t>
      </w:r>
      <w:r w:rsidRPr="005A63BB">
        <w:rPr>
          <w:b/>
          <w:bCs/>
          <w:i/>
          <w:iCs/>
          <w:u w:val="single"/>
        </w:rPr>
        <w:t>Comprehensive Plus</w:t>
      </w:r>
      <w:r>
        <w:rPr>
          <w:b/>
          <w:bCs/>
          <w:i/>
          <w:iCs/>
          <w:u w:val="single"/>
        </w:rPr>
        <w:t xml:space="preserve"> Package (Based on Need State)</w:t>
      </w:r>
      <w:r>
        <w:t xml:space="preserve">: This package will include everything in the Comprehensive package, plus </w:t>
      </w:r>
      <w:r w:rsidRPr="006166B2">
        <w:t>additional measures and services</w:t>
      </w:r>
      <w:r>
        <w:t xml:space="preserve"> targeted towards </w:t>
      </w:r>
      <w:r w:rsidRPr="006166B2">
        <w:t>customer</w:t>
      </w:r>
      <w:r>
        <w:t>s</w:t>
      </w:r>
      <w:r w:rsidRPr="006166B2">
        <w:t xml:space="preserve"> </w:t>
      </w:r>
      <w:r>
        <w:t>in</w:t>
      </w:r>
      <w:r w:rsidRPr="006166B2">
        <w:t xml:space="preserve"> a particular need state</w:t>
      </w:r>
      <w:r>
        <w:t xml:space="preserve"> (high usage, medical baseline, disconnections, DACs/Tribal/Rural Wildfire),</w:t>
      </w:r>
      <w:r w:rsidRPr="000B799B">
        <w:t xml:space="preserve"> which is purposely designed to achieve savings or reduce hardship for prioritized customer groups while maintaining cost effectiveness of the program.</w:t>
      </w:r>
      <w:r w:rsidRPr="000B799B">
        <w:rPr>
          <w:vertAlign w:val="superscript"/>
        </w:rPr>
        <w:footnoteReference w:id="338"/>
      </w:r>
      <w:r>
        <w:t xml:space="preserve">  </w:t>
      </w:r>
    </w:p>
    <w:p w:rsidR="000C1980" w:rsidP="004A13D0" w:rsidRDefault="000C1980" w14:paraId="5BE19CAD" w14:textId="77777777">
      <w:pPr>
        <w:pStyle w:val="Standard"/>
      </w:pPr>
      <w:r>
        <w:t>Lastly</w:t>
      </w:r>
      <w:r w:rsidRPr="000B799B">
        <w:t>, PG&amp;E recommends that the ESA program should shift toward a uniform criterion for all IOUs, because the IOUs all have the same type of customer data and face similar issues and challenges</w:t>
      </w:r>
      <w:r>
        <w:t xml:space="preserve">.  </w:t>
      </w:r>
      <w:r w:rsidRPr="000B799B">
        <w:t>ESA is a statewide program and as such, consistency across all IOUs can help with tracking and reporting out on the same data.</w:t>
      </w:r>
      <w:r w:rsidRPr="000B799B">
        <w:rPr>
          <w:vertAlign w:val="superscript"/>
        </w:rPr>
        <w:footnoteReference w:id="339"/>
      </w:r>
      <w:r>
        <w:t xml:space="preserve"> </w:t>
      </w:r>
    </w:p>
    <w:p w:rsidR="000C1980" w:rsidP="001968DC" w:rsidRDefault="000C1980" w14:paraId="794479CD" w14:textId="77777777">
      <w:pPr>
        <w:pStyle w:val="Heading3"/>
        <w:ind w:left="2664"/>
      </w:pPr>
      <w:bookmarkStart w:name="_Toc69947937" w:id="273"/>
      <w:r>
        <w:t>SCE Proposal</w:t>
      </w:r>
      <w:bookmarkEnd w:id="273"/>
      <w:r>
        <w:t xml:space="preserve"> </w:t>
      </w:r>
    </w:p>
    <w:p w:rsidR="000C1980" w:rsidP="004A13D0" w:rsidRDefault="000C1980" w14:paraId="5301AF53" w14:textId="77777777">
      <w:pPr>
        <w:pStyle w:val="Standard"/>
      </w:pPr>
      <w:r w:rsidRPr="00ED25E9">
        <w:t>SCE</w:t>
      </w:r>
      <w:r>
        <w:t>’s new design offers a ti</w:t>
      </w:r>
      <w:r w:rsidRPr="00ED25E9">
        <w:t xml:space="preserve">ered structure </w:t>
      </w:r>
      <w:r>
        <w:t xml:space="preserve">(Tier 1 and Tier 2 Enhanced) focused </w:t>
      </w:r>
      <w:r w:rsidRPr="00ED25E9">
        <w:t xml:space="preserve">on specific customer needs, </w:t>
      </w:r>
      <w:r>
        <w:t xml:space="preserve">taking into </w:t>
      </w:r>
      <w:r w:rsidRPr="00ED25E9">
        <w:t>consider</w:t>
      </w:r>
      <w:r>
        <w:t xml:space="preserve">ation </w:t>
      </w:r>
      <w:r w:rsidRPr="00ED25E9">
        <w:t xml:space="preserve">customer habits, energy use, </w:t>
      </w:r>
      <w:r>
        <w:t xml:space="preserve">and </w:t>
      </w:r>
      <w:r w:rsidRPr="00ED25E9">
        <w:t xml:space="preserve">potential bill savings </w:t>
      </w:r>
      <w:r>
        <w:t xml:space="preserve">for a </w:t>
      </w:r>
      <w:r w:rsidRPr="00ED25E9">
        <w:t xml:space="preserve">more </w:t>
      </w:r>
      <w:r>
        <w:t xml:space="preserve">effective and </w:t>
      </w:r>
      <w:r w:rsidRPr="00ED25E9">
        <w:t>target</w:t>
      </w:r>
      <w:r>
        <w:t xml:space="preserve">ed </w:t>
      </w:r>
      <w:r w:rsidRPr="00ED25E9">
        <w:t>delivery.</w:t>
      </w:r>
      <w:r w:rsidRPr="00ED25E9">
        <w:rPr>
          <w:vertAlign w:val="superscript"/>
        </w:rPr>
        <w:footnoteReference w:id="340"/>
      </w:r>
      <w:r>
        <w:t xml:space="preserve">  </w:t>
      </w:r>
    </w:p>
    <w:p w:rsidRPr="00D57329" w:rsidR="000C1980" w:rsidP="004A13D0" w:rsidRDefault="000C1980" w14:paraId="02AFD4C1" w14:textId="77777777">
      <w:pPr>
        <w:pStyle w:val="Standard"/>
      </w:pPr>
      <w:r w:rsidRPr="24DCB1AB">
        <w:rPr>
          <w:b/>
          <w:bCs/>
          <w:i/>
          <w:iCs/>
          <w:u w:val="single"/>
        </w:rPr>
        <w:t>Tier 1 Standard Package (Low to Moderate Energy Users):</w:t>
      </w:r>
      <w:r w:rsidRPr="00ED25E9">
        <w:t xml:space="preserve"> T</w:t>
      </w:r>
      <w:r>
        <w:t>he T</w:t>
      </w:r>
      <w:r w:rsidRPr="00ED25E9">
        <w:t>ier 1 Standard</w:t>
      </w:r>
      <w:r>
        <w:t xml:space="preserve"> package includes b</w:t>
      </w:r>
      <w:r w:rsidRPr="00ED25E9">
        <w:t>asic measures</w:t>
      </w:r>
      <w:r>
        <w:t xml:space="preserve"> and enhanced energy education</w:t>
      </w:r>
      <w:r w:rsidRPr="00ED25E9">
        <w:t xml:space="preserve"> </w:t>
      </w:r>
      <w:r>
        <w:t xml:space="preserve">targeted towards households </w:t>
      </w:r>
      <w:r w:rsidRPr="00ED25E9">
        <w:t xml:space="preserve">with </w:t>
      </w:r>
      <w:r w:rsidRPr="00467E72">
        <w:t>low</w:t>
      </w:r>
      <w:r>
        <w:t xml:space="preserve"> </w:t>
      </w:r>
      <w:r w:rsidRPr="00467E72">
        <w:t xml:space="preserve">to-moderate usage profiles </w:t>
      </w:r>
      <w:r>
        <w:t xml:space="preserve">(households that </w:t>
      </w:r>
      <w:r w:rsidRPr="00593F1C">
        <w:t>have not exceeded 300 percent of baseline usage at least one time in the last</w:t>
      </w:r>
      <w:r w:rsidRPr="00593F1C">
        <w:rPr>
          <w:rFonts w:ascii="TimesNewRomanPSMT" w:hAnsi="TimesNewRomanPSMT" w:cs="TimesNewRomanPSMT"/>
          <w:sz w:val="24"/>
          <w:szCs w:val="24"/>
        </w:rPr>
        <w:t xml:space="preserve"> </w:t>
      </w:r>
      <w:r w:rsidRPr="00593F1C">
        <w:lastRenderedPageBreak/>
        <w:t>12 month</w:t>
      </w:r>
      <w:r>
        <w:t>), that</w:t>
      </w:r>
      <w:r w:rsidRPr="00ED25E9">
        <w:t xml:space="preserve"> </w:t>
      </w:r>
      <w:r>
        <w:t>may not</w:t>
      </w:r>
      <w:r w:rsidRPr="00ED25E9">
        <w:t xml:space="preserve"> benefit from higher-cost energy efficiency measures</w:t>
      </w:r>
      <w:r>
        <w:t>.</w:t>
      </w:r>
      <w:r w:rsidRPr="00ED25E9">
        <w:rPr>
          <w:vertAlign w:val="superscript"/>
        </w:rPr>
        <w:footnoteReference w:id="341"/>
      </w:r>
      <w:r w:rsidRPr="00ED25E9">
        <w:t xml:space="preserve"> </w:t>
      </w:r>
      <w:r>
        <w:t xml:space="preserve"> </w:t>
      </w:r>
      <w:r w:rsidRPr="00AA31C5">
        <w:t>All</w:t>
      </w:r>
      <w:r>
        <w:t xml:space="preserve"> income eligible </w:t>
      </w:r>
      <w:r w:rsidRPr="00AA31C5">
        <w:t xml:space="preserve">single-family homeowners and renters, and customers categorically </w:t>
      </w:r>
      <w:r w:rsidRPr="004A13D0">
        <w:t>eligible</w:t>
      </w:r>
      <w:r w:rsidRPr="00AA31C5">
        <w:t xml:space="preserve"> </w:t>
      </w:r>
      <w:r>
        <w:t>may receive the Tier 1 package</w:t>
      </w:r>
      <w:r w:rsidRPr="00AA31C5">
        <w:t xml:space="preserve">. </w:t>
      </w:r>
      <w:r>
        <w:t xml:space="preserve"> </w:t>
      </w:r>
      <w:r w:rsidRPr="00CC5357">
        <w:t xml:space="preserve">SCE </w:t>
      </w:r>
      <w:r>
        <w:t>estimates</w:t>
      </w:r>
      <w:r w:rsidRPr="00CC5357">
        <w:t xml:space="preserve"> approximately 400,000 single-family </w:t>
      </w:r>
      <w:proofErr w:type="gramStart"/>
      <w:r w:rsidRPr="00CC5357">
        <w:t>low</w:t>
      </w:r>
      <w:r>
        <w:t xml:space="preserve"> </w:t>
      </w:r>
      <w:r w:rsidRPr="00CC5357">
        <w:t>income</w:t>
      </w:r>
      <w:proofErr w:type="gramEnd"/>
      <w:r w:rsidRPr="00CC5357">
        <w:t xml:space="preserve"> customers fall into this</w:t>
      </w:r>
      <w:r>
        <w:t xml:space="preserve"> e</w:t>
      </w:r>
      <w:r w:rsidRPr="00CC5357">
        <w:t>ligibility category</w:t>
      </w:r>
      <w:r>
        <w:t xml:space="preserve"> and </w:t>
      </w:r>
      <w:r w:rsidRPr="00413AB9">
        <w:t>does not propose to establish a goal to serve all 400,000 low</w:t>
      </w:r>
      <w:r>
        <w:t xml:space="preserve"> </w:t>
      </w:r>
      <w:r w:rsidRPr="00413AB9">
        <w:t>income</w:t>
      </w:r>
      <w:r>
        <w:t xml:space="preserve"> but </w:t>
      </w:r>
      <w:r w:rsidRPr="00413AB9">
        <w:t>proposes to</w:t>
      </w:r>
      <w:r>
        <w:t xml:space="preserve"> </w:t>
      </w:r>
      <w:r w:rsidRPr="00413AB9">
        <w:t>cap the number of homes at the number that can be served within SCE’s annual budget allocation</w:t>
      </w:r>
      <w:r>
        <w:t xml:space="preserve">.  During the initial visit, the </w:t>
      </w:r>
      <w:r w:rsidRPr="00D57329">
        <w:t xml:space="preserve">assessor </w:t>
      </w:r>
      <w:r>
        <w:t xml:space="preserve">will install the basic measures and </w:t>
      </w:r>
      <w:r w:rsidRPr="00D57329">
        <w:t xml:space="preserve">identify </w:t>
      </w:r>
      <w:r>
        <w:t xml:space="preserve">additional eligible and feasible </w:t>
      </w:r>
      <w:r w:rsidRPr="00D57329">
        <w:t xml:space="preserve">measures for which the household </w:t>
      </w:r>
      <w:r>
        <w:t xml:space="preserve">may need (to be installed at a follow up </w:t>
      </w:r>
      <w:r w:rsidRPr="00D57329">
        <w:t xml:space="preserve">appointment </w:t>
      </w:r>
      <w:r>
        <w:t xml:space="preserve">as needed).  </w:t>
      </w:r>
      <w:r w:rsidRPr="001D07A3">
        <w:t>When feasible, SCE will also provide the assessor a home energy</w:t>
      </w:r>
      <w:r>
        <w:t xml:space="preserve"> </w:t>
      </w:r>
      <w:r w:rsidRPr="001D07A3">
        <w:t>report for the household before the assessment to identify specifically what is driving their electricity</w:t>
      </w:r>
      <w:r>
        <w:t xml:space="preserve"> </w:t>
      </w:r>
      <w:r w:rsidRPr="001D07A3">
        <w:t>usage and how the household’s usage compares to their baseline allocation</w:t>
      </w:r>
      <w:r>
        <w:t xml:space="preserve">.  </w:t>
      </w:r>
      <w:r w:rsidRPr="001D07A3">
        <w:t>If available, this information</w:t>
      </w:r>
      <w:r>
        <w:t xml:space="preserve"> </w:t>
      </w:r>
      <w:r w:rsidRPr="001D07A3">
        <w:t>will be shared with the household to educate them on behavioral ways to achieve greater energy savings</w:t>
      </w:r>
      <w:r>
        <w:t xml:space="preserve">.  </w:t>
      </w:r>
      <w:r w:rsidRPr="001D07A3">
        <w:t>SCE will</w:t>
      </w:r>
      <w:r>
        <w:t xml:space="preserve"> also </w:t>
      </w:r>
      <w:r w:rsidRPr="001D07A3">
        <w:t>inform the assessor before the household visit whether the household is considered a high energy user eligible for Tier 2 Enhanced measures so the assessor can assess whether these additional measures would be appropriate and/or feasible to install during the first visit.</w:t>
      </w:r>
      <w:r>
        <w:rPr>
          <w:rStyle w:val="FootnoteReference"/>
        </w:rPr>
        <w:footnoteReference w:id="342"/>
      </w:r>
      <w:r>
        <w:t xml:space="preserve"> </w:t>
      </w:r>
    </w:p>
    <w:p w:rsidR="000C1980" w:rsidP="004A13D0" w:rsidRDefault="000C1980" w14:paraId="2E819C2C" w14:textId="77777777">
      <w:pPr>
        <w:pStyle w:val="Standard"/>
      </w:pPr>
      <w:r w:rsidRPr="009C2420">
        <w:rPr>
          <w:b/>
          <w:bCs/>
          <w:i/>
          <w:iCs/>
          <w:u w:val="single"/>
        </w:rPr>
        <w:t xml:space="preserve">Tier </w:t>
      </w:r>
      <w:r>
        <w:rPr>
          <w:b/>
          <w:bCs/>
          <w:i/>
          <w:iCs/>
          <w:u w:val="single"/>
        </w:rPr>
        <w:t>2</w:t>
      </w:r>
      <w:r w:rsidRPr="009C2420">
        <w:rPr>
          <w:b/>
          <w:bCs/>
          <w:i/>
          <w:iCs/>
          <w:u w:val="single"/>
        </w:rPr>
        <w:t xml:space="preserve"> </w:t>
      </w:r>
      <w:r>
        <w:rPr>
          <w:b/>
          <w:bCs/>
          <w:i/>
          <w:iCs/>
          <w:u w:val="single"/>
        </w:rPr>
        <w:t xml:space="preserve">Enhanced </w:t>
      </w:r>
      <w:r w:rsidRPr="009C2420">
        <w:rPr>
          <w:b/>
          <w:bCs/>
          <w:i/>
          <w:iCs/>
          <w:u w:val="single"/>
        </w:rPr>
        <w:t>Package</w:t>
      </w:r>
      <w:r>
        <w:rPr>
          <w:b/>
          <w:bCs/>
          <w:i/>
          <w:iCs/>
          <w:u w:val="single"/>
        </w:rPr>
        <w:t xml:space="preserve"> (High Energy Users):</w:t>
      </w:r>
      <w:r w:rsidRPr="00ED25E9">
        <w:t xml:space="preserve"> T</w:t>
      </w:r>
      <w:r>
        <w:t>he T</w:t>
      </w:r>
      <w:r w:rsidRPr="00ED25E9">
        <w:t xml:space="preserve">ier 2 </w:t>
      </w:r>
      <w:r w:rsidRPr="6A220AF3">
        <w:t xml:space="preserve">Enhanced package offers all Tier 1 measures, plus additional enhanced measures that will provide more opportunities to reduce usage at more significant resource levels, an opportunity to participate in additional savings programs such as the Summer Discount Plan or Smart Energy Program, and an opportunity to receive </w:t>
      </w:r>
      <w:r w:rsidRPr="6A220AF3">
        <w:lastRenderedPageBreak/>
        <w:t xml:space="preserve">a new bill credit if it conserves energy. </w:t>
      </w:r>
      <w:r>
        <w:t xml:space="preserve"> The </w:t>
      </w:r>
      <w:r w:rsidRPr="6A220AF3">
        <w:t xml:space="preserve">Tier 2 Enhanced </w:t>
      </w:r>
      <w:r>
        <w:t xml:space="preserve">package </w:t>
      </w:r>
      <w:r w:rsidRPr="6A220AF3">
        <w:t>is targeted towards households with high usage</w:t>
      </w:r>
      <w:r>
        <w:t>,</w:t>
      </w:r>
      <w:r w:rsidRPr="00ED25E9">
        <w:rPr>
          <w:vertAlign w:val="superscript"/>
        </w:rPr>
        <w:footnoteReference w:id="343"/>
      </w:r>
      <w:r>
        <w:t xml:space="preserve"> where </w:t>
      </w:r>
      <w:r w:rsidRPr="00ED25E9">
        <w:t xml:space="preserve">“high usage” </w:t>
      </w:r>
      <w:r>
        <w:t xml:space="preserve">is defined as those </w:t>
      </w:r>
      <w:r w:rsidRPr="00ED25E9">
        <w:t>whose energy use exceeds 300</w:t>
      </w:r>
      <w:r w:rsidRPr="00E1050D">
        <w:t xml:space="preserve"> </w:t>
      </w:r>
      <w:r w:rsidRPr="0026503D">
        <w:t>percent</w:t>
      </w:r>
      <w:r w:rsidRPr="00ED25E9">
        <w:t xml:space="preserve"> of the baseline allowance at least once over a rolling 12-month period.</w:t>
      </w:r>
      <w:r w:rsidRPr="00ED25E9">
        <w:rPr>
          <w:vertAlign w:val="superscript"/>
        </w:rPr>
        <w:footnoteReference w:id="344"/>
      </w:r>
      <w:r w:rsidRPr="00ED25E9">
        <w:t xml:space="preserve"> </w:t>
      </w:r>
      <w:r>
        <w:t xml:space="preserve"> SCE estimates that </w:t>
      </w:r>
      <w:r w:rsidRPr="00273222">
        <w:t xml:space="preserve">approximately 200,000 </w:t>
      </w:r>
      <w:r>
        <w:t xml:space="preserve">households fall into this category.  </w:t>
      </w:r>
      <w:r w:rsidRPr="009D2B73">
        <w:t>Assessments for eligibility for Tier 2 measures will take place</w:t>
      </w:r>
      <w:r>
        <w:t xml:space="preserve"> </w:t>
      </w:r>
      <w:r w:rsidRPr="009D2B73">
        <w:t>during the first Tier 1 visit</w:t>
      </w:r>
      <w:r>
        <w:t xml:space="preserve">.  </w:t>
      </w:r>
      <w:r w:rsidRPr="009D2B73">
        <w:t xml:space="preserve">Then, at the time of installation of the Tier 2 measures, the </w:t>
      </w:r>
      <w:r w:rsidRPr="004A13D0">
        <w:t>installer</w:t>
      </w:r>
      <w:r w:rsidRPr="009D2B73">
        <w:t xml:space="preserve"> will</w:t>
      </w:r>
      <w:r>
        <w:t xml:space="preserve"> </w:t>
      </w:r>
      <w:r w:rsidRPr="009D2B73">
        <w:t>check that the household remains eligible for the Tier 2 measures identified during the initial assessment</w:t>
      </w:r>
      <w:r>
        <w:t xml:space="preserve"> to e</w:t>
      </w:r>
      <w:r w:rsidRPr="009D2B73">
        <w:t>nsure that the household has not replaced or upgraded an appliance or system</w:t>
      </w:r>
      <w:r>
        <w:t xml:space="preserve"> </w:t>
      </w:r>
      <w:r w:rsidRPr="009D2B73">
        <w:t>between the time of the initial Tier 1 assessment and the Tier 2 installation</w:t>
      </w:r>
      <w:r>
        <w:t>.  B</w:t>
      </w:r>
      <w:r w:rsidRPr="009D2B73">
        <w:t>ecause Tier 2 measures are generally more expensive, the installer will take photographic proof of the old measures being replaced to ensure compliance is</w:t>
      </w:r>
      <w:r>
        <w:t xml:space="preserve"> </w:t>
      </w:r>
      <w:r w:rsidRPr="009D2B73">
        <w:t>maintained regarding program rules</w:t>
      </w:r>
      <w:r>
        <w:t>, which will</w:t>
      </w:r>
      <w:r w:rsidRPr="009D2B73">
        <w:t xml:space="preserve"> be stored in a data warehouse that can be referenced</w:t>
      </w:r>
      <w:r>
        <w:t xml:space="preserve"> </w:t>
      </w:r>
      <w:r w:rsidRPr="009D2B73">
        <w:t>should any concerns or disputes about ESA program installation compliance arise.</w:t>
      </w:r>
      <w:r>
        <w:rPr>
          <w:rStyle w:val="FootnoteReference"/>
        </w:rPr>
        <w:footnoteReference w:id="345"/>
      </w:r>
      <w:r>
        <w:t xml:space="preserve">  SCE claims that this delivery model will provide </w:t>
      </w:r>
      <w:r w:rsidRPr="00ED25E9">
        <w:t>opportunities to reduce high usage at more significant resource levels, increase cost effectiveness of the portfolio, and warrants the use of more expensive measures with longer financial payback periods.</w:t>
      </w:r>
      <w:r w:rsidRPr="00ED25E9">
        <w:rPr>
          <w:vertAlign w:val="superscript"/>
        </w:rPr>
        <w:footnoteReference w:id="346"/>
      </w:r>
      <w:r>
        <w:t xml:space="preserve"> </w:t>
      </w:r>
    </w:p>
    <w:p w:rsidR="000C1980" w:rsidP="001968DC" w:rsidRDefault="000C1980" w14:paraId="3D511655" w14:textId="77777777">
      <w:pPr>
        <w:pStyle w:val="Heading3"/>
        <w:ind w:left="2664"/>
      </w:pPr>
      <w:bookmarkStart w:name="_Toc69947938" w:id="274"/>
      <w:r>
        <w:lastRenderedPageBreak/>
        <w:t>SoCalGas Proposal</w:t>
      </w:r>
      <w:bookmarkEnd w:id="274"/>
      <w:r>
        <w:t xml:space="preserve"> </w:t>
      </w:r>
    </w:p>
    <w:p w:rsidRPr="006F2AC3" w:rsidR="000C1980" w:rsidP="004A13D0" w:rsidRDefault="000C1980" w14:paraId="6AD29D42" w14:textId="77777777">
      <w:pPr>
        <w:pStyle w:val="Standard"/>
      </w:pPr>
      <w:r w:rsidRPr="00B67A17">
        <w:t>SoCalGas</w:t>
      </w:r>
      <w:r>
        <w:t xml:space="preserve"> p</w:t>
      </w:r>
      <w:r w:rsidRPr="00B67A17">
        <w:t>ropose</w:t>
      </w:r>
      <w:r>
        <w:t>s to “uberize”</w:t>
      </w:r>
      <w:r w:rsidRPr="006F2AC3">
        <w:t xml:space="preserve"> the ESA </w:t>
      </w:r>
      <w:r>
        <w:t>p</w:t>
      </w:r>
      <w:r w:rsidRPr="006F2AC3">
        <w:t xml:space="preserve">rogram </w:t>
      </w:r>
      <w:r>
        <w:t xml:space="preserve">through a new technology platform </w:t>
      </w:r>
      <w:r w:rsidRPr="00982032">
        <w:t>to enhance customer experience and contractor accountability</w:t>
      </w:r>
      <w:r>
        <w:t>.  This new design includes:</w:t>
      </w:r>
      <w:r w:rsidRPr="6A220AF3">
        <w:rPr>
          <w:rStyle w:val="FootnoteReference"/>
        </w:rPr>
        <w:t xml:space="preserve"> </w:t>
      </w:r>
      <w:r w:rsidRPr="6A220AF3">
        <w:rPr>
          <w:rStyle w:val="FootnoteReference"/>
        </w:rPr>
        <w:footnoteReference w:id="347"/>
      </w:r>
    </w:p>
    <w:p w:rsidRPr="005D4973" w:rsidR="000C1980" w:rsidP="004A13D0" w:rsidRDefault="000C1980" w14:paraId="2CE7D9C6" w14:textId="77777777">
      <w:pPr>
        <w:pStyle w:val="Standard"/>
      </w:pPr>
      <w:r w:rsidRPr="005D4973">
        <w:rPr>
          <w:b/>
          <w:bCs/>
          <w:i/>
          <w:iCs/>
          <w:u w:val="single"/>
        </w:rPr>
        <w:t xml:space="preserve">Online </w:t>
      </w:r>
      <w:r>
        <w:rPr>
          <w:b/>
          <w:bCs/>
          <w:i/>
          <w:iCs/>
          <w:u w:val="single"/>
        </w:rPr>
        <w:t>E</w:t>
      </w:r>
      <w:r w:rsidRPr="005D4973">
        <w:rPr>
          <w:b/>
          <w:bCs/>
          <w:i/>
          <w:iCs/>
          <w:u w:val="single"/>
        </w:rPr>
        <w:t xml:space="preserve">nrollment, </w:t>
      </w:r>
      <w:r>
        <w:rPr>
          <w:b/>
          <w:bCs/>
          <w:i/>
          <w:iCs/>
          <w:u w:val="single"/>
        </w:rPr>
        <w:t>E</w:t>
      </w:r>
      <w:r w:rsidRPr="005D4973">
        <w:rPr>
          <w:b/>
          <w:bCs/>
          <w:i/>
          <w:iCs/>
          <w:u w:val="single"/>
        </w:rPr>
        <w:t xml:space="preserve">nergy </w:t>
      </w:r>
      <w:proofErr w:type="gramStart"/>
      <w:r>
        <w:rPr>
          <w:b/>
          <w:bCs/>
          <w:i/>
          <w:iCs/>
          <w:u w:val="single"/>
        </w:rPr>
        <w:t>E</w:t>
      </w:r>
      <w:r w:rsidRPr="005D4973">
        <w:rPr>
          <w:b/>
          <w:bCs/>
          <w:i/>
          <w:iCs/>
          <w:u w:val="single"/>
        </w:rPr>
        <w:t>ducation</w:t>
      </w:r>
      <w:proofErr w:type="gramEnd"/>
      <w:r>
        <w:rPr>
          <w:b/>
          <w:bCs/>
          <w:i/>
          <w:iCs/>
          <w:u w:val="single"/>
        </w:rPr>
        <w:t xml:space="preserve"> and I</w:t>
      </w:r>
      <w:r w:rsidRPr="005D4973">
        <w:rPr>
          <w:b/>
          <w:bCs/>
          <w:i/>
          <w:iCs/>
          <w:u w:val="single"/>
        </w:rPr>
        <w:t xml:space="preserve">ncome </w:t>
      </w:r>
      <w:r>
        <w:rPr>
          <w:b/>
          <w:bCs/>
          <w:i/>
          <w:iCs/>
          <w:u w:val="single"/>
        </w:rPr>
        <w:t>D</w:t>
      </w:r>
      <w:r w:rsidRPr="005D4973">
        <w:rPr>
          <w:b/>
          <w:bCs/>
          <w:i/>
          <w:iCs/>
          <w:u w:val="single"/>
        </w:rPr>
        <w:t>ocumentation</w:t>
      </w:r>
      <w:r w:rsidRPr="005D4973">
        <w:t>:</w:t>
      </w:r>
      <w:r>
        <w:t xml:space="preserve">  </w:t>
      </w:r>
      <w:r w:rsidRPr="005D4973">
        <w:t>SoCalGas</w:t>
      </w:r>
      <w:r>
        <w:t xml:space="preserve"> </w:t>
      </w:r>
      <w:r w:rsidRPr="005D4973">
        <w:t xml:space="preserve">proposes online options for the enrollment, energy education, and income documentation phases of the ESA </w:t>
      </w:r>
      <w:r>
        <w:t>p</w:t>
      </w:r>
      <w:r w:rsidRPr="005D4973">
        <w:t>rogram</w:t>
      </w:r>
      <w:r>
        <w:t xml:space="preserve">.  SoCalGas states that the online enrollment option </w:t>
      </w:r>
      <w:r w:rsidRPr="005D4973">
        <w:t>provid</w:t>
      </w:r>
      <w:r>
        <w:t>es</w:t>
      </w:r>
      <w:r w:rsidRPr="005D4973">
        <w:t xml:space="preserve"> a channel that </w:t>
      </w:r>
      <w:r>
        <w:t>is less</w:t>
      </w:r>
      <w:r w:rsidRPr="005D4973">
        <w:t xml:space="preserve"> intrusive</w:t>
      </w:r>
      <w:r>
        <w:t xml:space="preserve">, </w:t>
      </w:r>
      <w:r w:rsidRPr="005D4973">
        <w:t>more appealing to some customers</w:t>
      </w:r>
      <w:r>
        <w:t>, and will be less</w:t>
      </w:r>
      <w:r w:rsidRPr="00DE1465">
        <w:t xml:space="preserve"> expensive than traditional in-person </w:t>
      </w:r>
      <w:r>
        <w:t xml:space="preserve">options.  Similarly, the </w:t>
      </w:r>
      <w:r w:rsidRPr="00B05F70">
        <w:t>online energy education</w:t>
      </w:r>
      <w:r>
        <w:t xml:space="preserve"> option will</w:t>
      </w:r>
      <w:r w:rsidRPr="00B05F70">
        <w:t xml:space="preserve"> appeal to an otherwise difficult segment to reach, support</w:t>
      </w:r>
      <w:r>
        <w:t xml:space="preserve"> </w:t>
      </w:r>
      <w:r w:rsidRPr="00B05F70">
        <w:t>the</w:t>
      </w:r>
      <w:r>
        <w:t xml:space="preserve"> </w:t>
      </w:r>
      <w:r w:rsidRPr="00B05F70">
        <w:t>program’s penetration goals, and offer significant cost savings</w:t>
      </w:r>
      <w:r>
        <w:t xml:space="preserve">.  Energy Education will include </w:t>
      </w:r>
      <w:r w:rsidRPr="005D4973">
        <w:t>customized online modules upon enrollment plus continuous post-treatment energy education follow-up</w:t>
      </w:r>
      <w:r>
        <w:t xml:space="preserve">.  </w:t>
      </w:r>
    </w:p>
    <w:p w:rsidR="000C1980" w:rsidP="004A13D0" w:rsidRDefault="000C1980" w14:paraId="559A50E1" w14:textId="77777777">
      <w:pPr>
        <w:pStyle w:val="Standard"/>
        <w:rPr>
          <w:rFonts w:cs="TimesNewRomanPSMT"/>
        </w:rPr>
      </w:pPr>
      <w:r>
        <w:rPr>
          <w:b/>
          <w:bCs/>
          <w:i/>
          <w:iCs/>
          <w:u w:val="single"/>
        </w:rPr>
        <w:t>Optimized Measure Mix:</w:t>
      </w:r>
      <w:r>
        <w:t xml:space="preserve"> SoCalGas proposes to move away from providing all feasible measures to offering an </w:t>
      </w:r>
      <w:r w:rsidRPr="00FE1B9A">
        <w:t>optimized measure mix based on customer need and energy saving opportunity</w:t>
      </w:r>
      <w:r>
        <w:t xml:space="preserve"> (although SoCalGas does not specify or name the different levels or tiers of service).  SoCalGas will do this through a</w:t>
      </w:r>
      <w:r w:rsidRPr="008A436C">
        <w:t>n e-commerce style interaction</w:t>
      </w:r>
      <w:r w:rsidRPr="006F2AC3">
        <w:t xml:space="preserve"> with the customer, clearly identifying measures the customer may be interested in and simple actions</w:t>
      </w:r>
      <w:r>
        <w:t xml:space="preserve"> </w:t>
      </w:r>
      <w:r w:rsidRPr="006F2AC3">
        <w:t>that need to be taken to advance in the program</w:t>
      </w:r>
      <w:r>
        <w:t xml:space="preserve">.  SoCalGas will provide </w:t>
      </w:r>
      <w:r w:rsidRPr="006F2AC3">
        <w:t xml:space="preserve">customers </w:t>
      </w:r>
      <w:r>
        <w:t>the o</w:t>
      </w:r>
      <w:r w:rsidRPr="006F2AC3">
        <w:t>ption to self-serve</w:t>
      </w:r>
      <w:r>
        <w:t xml:space="preserve">/ self-install </w:t>
      </w:r>
      <w:r w:rsidRPr="006F2AC3">
        <w:t>simple measures</w:t>
      </w:r>
      <w:r>
        <w:t>,</w:t>
      </w:r>
      <w:r w:rsidRPr="002A5532">
        <w:t xml:space="preserve"> </w:t>
      </w:r>
      <w:r w:rsidRPr="00C05E19">
        <w:t>provided verification</w:t>
      </w:r>
      <w:r>
        <w:t xml:space="preserve"> </w:t>
      </w:r>
      <w:r w:rsidRPr="00C05E19">
        <w:t>processes are in place</w:t>
      </w:r>
      <w:r>
        <w:t>,</w:t>
      </w:r>
      <w:r w:rsidRPr="006F2AC3">
        <w:t xml:space="preserve"> and </w:t>
      </w:r>
      <w:bookmarkStart w:name="_Hlk63072663" w:id="275"/>
      <w:r w:rsidRPr="006F2AC3">
        <w:t>potentially self-assess relatively less-complicated measures</w:t>
      </w:r>
      <w:bookmarkEnd w:id="275"/>
      <w:r w:rsidRPr="00C05E19">
        <w:t xml:space="preserve"> in limited cases</w:t>
      </w:r>
      <w:r>
        <w:t xml:space="preserve">.  SoCalGas states that </w:t>
      </w:r>
      <w:r w:rsidRPr="002953F1">
        <w:t xml:space="preserve">customer self-installation and self-assessment </w:t>
      </w:r>
      <w:r>
        <w:t xml:space="preserve">may be </w:t>
      </w:r>
      <w:r w:rsidRPr="002953F1">
        <w:lastRenderedPageBreak/>
        <w:t>valuable in appealing to customers who are less inclined to invite strangers into</w:t>
      </w:r>
      <w:r>
        <w:t xml:space="preserve"> </w:t>
      </w:r>
      <w:r w:rsidRPr="002953F1">
        <w:t>their home as well as those inclined to maintain their own homes and take an active</w:t>
      </w:r>
      <w:r>
        <w:t xml:space="preserve"> </w:t>
      </w:r>
      <w:r w:rsidRPr="002953F1">
        <w:t xml:space="preserve">role in </w:t>
      </w:r>
      <w:r w:rsidRPr="004A13D0">
        <w:t>reducing</w:t>
      </w:r>
      <w:r w:rsidRPr="002953F1">
        <w:t xml:space="preserve"> their energy use</w:t>
      </w:r>
      <w:r>
        <w:t xml:space="preserve">.  </w:t>
      </w:r>
      <w:r w:rsidRPr="6A220AF3">
        <w:rPr>
          <w:rFonts w:cs="TimesNewRomanPSMT"/>
        </w:rPr>
        <w:t>SoCalGas will initially introduce new service bundles that will be grouped according to contractor capabilities and current program organization, with the anticipation to move towards more efficient visits, and is therefore requesting</w:t>
      </w:r>
      <w:r w:rsidRPr="001107F9">
        <w:rPr>
          <w:rFonts w:ascii="TimesNewRomanPSMT" w:hAnsi="TimesNewRomanPSMT" w:cs="TimesNewRomanPSMT"/>
          <w:sz w:val="24"/>
          <w:szCs w:val="24"/>
        </w:rPr>
        <w:t xml:space="preserve"> </w:t>
      </w:r>
      <w:r w:rsidRPr="6A220AF3">
        <w:rPr>
          <w:rFonts w:cs="TimesNewRomanPSMT"/>
        </w:rPr>
        <w:t>Commission approve the general approach with the flexibility to make adjustments that may be needed.</w:t>
      </w:r>
      <w:r w:rsidRPr="6A220AF3">
        <w:rPr>
          <w:rStyle w:val="FootnoteReference"/>
          <w:rFonts w:cs="TimesNewRomanPSMT"/>
        </w:rPr>
        <w:footnoteReference w:id="348"/>
      </w:r>
      <w:r w:rsidRPr="6A220AF3">
        <w:rPr>
          <w:rFonts w:cs="TimesNewRomanPSMT"/>
        </w:rPr>
        <w:t xml:space="preserve">  </w:t>
      </w:r>
    </w:p>
    <w:p w:rsidR="000C1980" w:rsidP="004A13D0" w:rsidRDefault="000C1980" w14:paraId="1C1D9A50" w14:textId="77777777">
      <w:pPr>
        <w:pStyle w:val="Standard"/>
      </w:pPr>
      <w:r w:rsidRPr="00776676">
        <w:rPr>
          <w:b/>
          <w:bCs/>
          <w:i/>
          <w:iCs/>
          <w:u w:val="single"/>
        </w:rPr>
        <w:t>Online Appointments</w:t>
      </w:r>
      <w:r>
        <w:rPr>
          <w:b/>
          <w:bCs/>
          <w:i/>
          <w:iCs/>
          <w:u w:val="single"/>
        </w:rPr>
        <w:t>:</w:t>
      </w:r>
      <w:r>
        <w:t xml:space="preserve">  SoCalGas’s technology platform will </w:t>
      </w:r>
      <w:r w:rsidRPr="006F2AC3">
        <w:t>allow customers to make their own appointments, that will ultimately incorporate support for customer feedback and research and will match service-providing contractors with customers based on the opportunity and the contractor’s capabilities</w:t>
      </w:r>
      <w:r>
        <w:t xml:space="preserve">. </w:t>
      </w:r>
    </w:p>
    <w:p w:rsidR="000C1980" w:rsidP="004A13D0" w:rsidRDefault="000C1980" w14:paraId="36B5A8FC" w14:textId="77777777">
      <w:pPr>
        <w:pStyle w:val="Standard"/>
        <w:rPr>
          <w:szCs w:val="26"/>
        </w:rPr>
      </w:pPr>
      <w:r w:rsidRPr="00911D41">
        <w:rPr>
          <w:b/>
          <w:bCs/>
          <w:i/>
          <w:iCs/>
          <w:u w:val="single"/>
        </w:rPr>
        <w:t>Contractor Accountability:</w:t>
      </w:r>
      <w:r>
        <w:t xml:space="preserve"> SoCalGas proposes to maintain c</w:t>
      </w:r>
      <w:r w:rsidRPr="006F2AC3">
        <w:t xml:space="preserve">ontractor license, inspection results, training status, feedback, and </w:t>
      </w:r>
      <w:r>
        <w:t>c</w:t>
      </w:r>
      <w:r w:rsidRPr="006F2AC3">
        <w:t xml:space="preserve">ontractor availability within the </w:t>
      </w:r>
      <w:r>
        <w:t xml:space="preserve">new technology platform.  SoCalGas states that this will </w:t>
      </w:r>
      <w:r w:rsidRPr="006F2AC3">
        <w:rPr>
          <w:szCs w:val="26"/>
        </w:rPr>
        <w:t>allow effective performance review and real time matching of capable contractors with</w:t>
      </w:r>
      <w:r w:rsidRPr="000B1CBA">
        <w:rPr>
          <w:szCs w:val="26"/>
        </w:rPr>
        <w:t xml:space="preserve"> customers’ needs.</w:t>
      </w:r>
      <w:r>
        <w:rPr>
          <w:szCs w:val="26"/>
        </w:rPr>
        <w:t xml:space="preserve">  </w:t>
      </w:r>
    </w:p>
    <w:p w:rsidR="000C1980" w:rsidP="001968DC" w:rsidRDefault="000C1980" w14:paraId="72208EAE" w14:textId="77777777">
      <w:pPr>
        <w:pStyle w:val="Heading3"/>
        <w:ind w:left="2664"/>
      </w:pPr>
      <w:bookmarkStart w:name="_Toc69947939" w:id="276"/>
      <w:r>
        <w:t>SDG&amp;E Proposal</w:t>
      </w:r>
      <w:bookmarkEnd w:id="276"/>
    </w:p>
    <w:p w:rsidR="000C1980" w:rsidP="004A13D0" w:rsidRDefault="000C1980" w14:paraId="660E9FD2" w14:textId="77777777">
      <w:pPr>
        <w:pStyle w:val="Standard"/>
      </w:pPr>
      <w:r w:rsidRPr="00C20F14">
        <w:t xml:space="preserve">SDG&amp;E proposes a more streamlined </w:t>
      </w:r>
      <w:r>
        <w:t xml:space="preserve">delivery </w:t>
      </w:r>
      <w:r w:rsidRPr="00C20F14">
        <w:t xml:space="preserve">model based </w:t>
      </w:r>
      <w:r>
        <w:t>on an online a</w:t>
      </w:r>
      <w:r w:rsidRPr="00C20F14">
        <w:t>udit</w:t>
      </w:r>
      <w:r>
        <w:t xml:space="preserve"> and </w:t>
      </w:r>
      <w:r w:rsidRPr="00C20F14">
        <w:t>measure treatment tiers</w:t>
      </w:r>
      <w:r>
        <w:t xml:space="preserve"> as determined by the audit (Basic, Enhanced, and Advanced)</w:t>
      </w:r>
      <w:r w:rsidRPr="00C20F14">
        <w:t>.</w:t>
      </w:r>
      <w:r w:rsidRPr="00C20F14">
        <w:rPr>
          <w:vertAlign w:val="superscript"/>
        </w:rPr>
        <w:footnoteReference w:id="349"/>
      </w:r>
      <w:r w:rsidRPr="00C20F14">
        <w:t xml:space="preserve"> </w:t>
      </w:r>
    </w:p>
    <w:p w:rsidR="000C1980" w:rsidP="004A13D0" w:rsidRDefault="000C1980" w14:paraId="5A1629CF" w14:textId="77777777">
      <w:pPr>
        <w:pStyle w:val="Standard"/>
      </w:pPr>
      <w:r w:rsidRPr="24DCB1AB">
        <w:rPr>
          <w:b/>
          <w:bCs/>
          <w:i/>
          <w:iCs/>
          <w:u w:val="single"/>
        </w:rPr>
        <w:t>Online Audits</w:t>
      </w:r>
      <w:r>
        <w:t xml:space="preserve">: </w:t>
      </w:r>
      <w:r w:rsidRPr="00C20F14">
        <w:t>SDG&amp;E proposes use of a digital platform approach to allow for online energy audits and ongoing customer engagement.</w:t>
      </w:r>
      <w:r w:rsidRPr="00C20F14">
        <w:rPr>
          <w:vertAlign w:val="superscript"/>
        </w:rPr>
        <w:footnoteReference w:id="350"/>
      </w:r>
      <w:r w:rsidRPr="00C20F14">
        <w:t xml:space="preserve"> Online </w:t>
      </w:r>
      <w:r w:rsidRPr="00C20F14">
        <w:lastRenderedPageBreak/>
        <w:t>audits at the time of enrollment will supplement in-home audits</w:t>
      </w:r>
      <w:r>
        <w:t>, a</w:t>
      </w:r>
      <w:r w:rsidRPr="00C20F14">
        <w:t xml:space="preserve">llow for prioritization of homes with the greatest potential for energy savings, </w:t>
      </w:r>
      <w:r>
        <w:t xml:space="preserve">and </w:t>
      </w:r>
      <w:r w:rsidRPr="00C20F14">
        <w:t>allow SDG&amp;E to identify and reach customers previously untouched or unwilling to participate, especially in high-poverty areas</w:t>
      </w:r>
      <w:r>
        <w:t xml:space="preserve">.  </w:t>
      </w:r>
      <w:r w:rsidRPr="00547579">
        <w:t>An online platform will further allow for ongoing education that</w:t>
      </w:r>
      <w:r>
        <w:t xml:space="preserve"> </w:t>
      </w:r>
      <w:r w:rsidRPr="00547579">
        <w:t>will assist SDG&amp;E in supporting energy efficient behavioral changes</w:t>
      </w:r>
      <w:r>
        <w:t xml:space="preserve">.  </w:t>
      </w:r>
      <w:r w:rsidRPr="005F7E56">
        <w:t>SDG&amp;E</w:t>
      </w:r>
      <w:r w:rsidRPr="00FA5803">
        <w:t xml:space="preserve"> states that b</w:t>
      </w:r>
      <w:r w:rsidRPr="005F7E56">
        <w:t>y</w:t>
      </w:r>
      <w:r w:rsidRPr="00FA5803">
        <w:t xml:space="preserve"> </w:t>
      </w:r>
      <w:r w:rsidRPr="005F7E56">
        <w:t>collecting audit information prior to an in-home visit, SDG&amp;E can inform contractors with this</w:t>
      </w:r>
      <w:r w:rsidRPr="00FA5803">
        <w:t xml:space="preserve"> </w:t>
      </w:r>
      <w:r w:rsidRPr="005F7E56">
        <w:t>information and provide a head start in the process making the initial in-home visit more</w:t>
      </w:r>
      <w:r w:rsidRPr="00FA5803">
        <w:t xml:space="preserve"> </w:t>
      </w:r>
      <w:r w:rsidRPr="005F7E56">
        <w:t>efficient</w:t>
      </w:r>
      <w:r>
        <w:t xml:space="preserve">.  </w:t>
      </w:r>
      <w:r w:rsidRPr="005F7E56">
        <w:t>Once in the home, the contractor is expected to complete a thorough assessment which</w:t>
      </w:r>
      <w:r>
        <w:t xml:space="preserve"> </w:t>
      </w:r>
      <w:r w:rsidRPr="00FA5803">
        <w:t>will inform all measure installation potential and help streamline future visits</w:t>
      </w:r>
      <w:r>
        <w:t xml:space="preserve">.  </w:t>
      </w:r>
      <w:r w:rsidRPr="00FA5803">
        <w:t>The measure</w:t>
      </w:r>
      <w:r w:rsidRPr="00975188">
        <w:rPr>
          <w:rFonts w:ascii="Times New Roman" w:hAnsi="Times New Roman"/>
          <w:sz w:val="24"/>
          <w:szCs w:val="24"/>
        </w:rPr>
        <w:t xml:space="preserve"> </w:t>
      </w:r>
      <w:r w:rsidRPr="00975188">
        <w:t xml:space="preserve">installation process will not end the customer </w:t>
      </w:r>
      <w:r>
        <w:t>ES</w:t>
      </w:r>
      <w:r w:rsidRPr="00975188">
        <w:t xml:space="preserve">A </w:t>
      </w:r>
      <w:r>
        <w:t>p</w:t>
      </w:r>
      <w:r w:rsidRPr="00975188">
        <w:t>rogram journey, as there will be ongoing</w:t>
      </w:r>
      <w:r>
        <w:t xml:space="preserve"> </w:t>
      </w:r>
      <w:r w:rsidRPr="00975188">
        <w:t>educational tips and messaging to help create persistence in savings</w:t>
      </w:r>
      <w:r>
        <w:t xml:space="preserve">.  SDG&amp;E will also </w:t>
      </w:r>
      <w:r w:rsidRPr="005C69F1">
        <w:t>require a POA</w:t>
      </w:r>
      <w:r>
        <w:t xml:space="preserve"> for renter occupied homes</w:t>
      </w:r>
      <w:r w:rsidRPr="005C69F1">
        <w:t xml:space="preserve"> prior to an in-home assessment</w:t>
      </w:r>
      <w:r>
        <w:t xml:space="preserve"> because it </w:t>
      </w:r>
      <w:r w:rsidRPr="005C69F1">
        <w:t>will</w:t>
      </w:r>
      <w:r>
        <w:t xml:space="preserve"> </w:t>
      </w:r>
      <w:r w:rsidRPr="005C69F1">
        <w:t>ensure that the contractor visiting the premise is authorized to install all feasible measures,</w:t>
      </w:r>
      <w:r>
        <w:t xml:space="preserve"> </w:t>
      </w:r>
      <w:r w:rsidRPr="005C69F1">
        <w:t xml:space="preserve">therefore optimizing the customer touch </w:t>
      </w:r>
      <w:proofErr w:type="gramStart"/>
      <w:r w:rsidRPr="005C69F1">
        <w:t>point</w:t>
      </w:r>
      <w:proofErr w:type="gramEnd"/>
      <w:r w:rsidRPr="005C69F1">
        <w:t xml:space="preserve"> and maximizing energy savings</w:t>
      </w:r>
      <w:r>
        <w:t xml:space="preserve">.  </w:t>
      </w:r>
      <w:r w:rsidRPr="005C69F1">
        <w:t>Once the</w:t>
      </w:r>
      <w:r>
        <w:t xml:space="preserve"> </w:t>
      </w:r>
      <w:r w:rsidRPr="005C69F1">
        <w:t>contractor is in the home, a review of the customized audit report will be conducted, and a full</w:t>
      </w:r>
      <w:r>
        <w:t xml:space="preserve"> </w:t>
      </w:r>
      <w:r w:rsidRPr="005C69F1">
        <w:t>assessment of the home will be completed to ensure all feasible measures are installed with</w:t>
      </w:r>
      <w:r>
        <w:t xml:space="preserve"> </w:t>
      </w:r>
      <w:r w:rsidRPr="005C69F1">
        <w:t>minimal touch points</w:t>
      </w:r>
      <w:r>
        <w:t xml:space="preserve">.  </w:t>
      </w:r>
      <w:r w:rsidRPr="005C69F1">
        <w:t>The customer will be informed of the next steps in the measure installation process and have access to this information online</w:t>
      </w:r>
      <w:r>
        <w:t xml:space="preserve">.  </w:t>
      </w:r>
      <w:r>
        <w:rPr>
          <w:rStyle w:val="FootnoteReference"/>
        </w:rPr>
        <w:footnoteReference w:id="351"/>
      </w:r>
    </w:p>
    <w:p w:rsidR="000C1980" w:rsidP="004A13D0" w:rsidRDefault="000C1980" w14:paraId="1F4EC0F8" w14:textId="77777777">
      <w:pPr>
        <w:pStyle w:val="Standard"/>
      </w:pPr>
      <w:r>
        <w:rPr>
          <w:b/>
          <w:bCs/>
          <w:i/>
          <w:iCs/>
          <w:u w:val="single"/>
        </w:rPr>
        <w:t>Measure and Treatment</w:t>
      </w:r>
      <w:r w:rsidRPr="00A6743D">
        <w:rPr>
          <w:b/>
          <w:bCs/>
          <w:i/>
          <w:iCs/>
          <w:u w:val="single"/>
        </w:rPr>
        <w:t xml:space="preserve"> Tier</w:t>
      </w:r>
      <w:r>
        <w:rPr>
          <w:b/>
          <w:bCs/>
          <w:i/>
          <w:iCs/>
          <w:u w:val="single"/>
        </w:rPr>
        <w:t xml:space="preserve">s (Starter Kits, Basic, Enhanced, Advanced): </w:t>
      </w:r>
      <w:r>
        <w:t xml:space="preserve"> M</w:t>
      </w:r>
      <w:r w:rsidRPr="00C20F14">
        <w:t xml:space="preserve">easures </w:t>
      </w:r>
      <w:r>
        <w:t>will be categorized by</w:t>
      </w:r>
      <w:r w:rsidRPr="00C20F14">
        <w:t xml:space="preserve"> treatment tiers to consolidate measure </w:t>
      </w:r>
      <w:r w:rsidRPr="00C20F14">
        <w:lastRenderedPageBreak/>
        <w:t>installation based on the level of expertise needed for each treatment.</w:t>
      </w:r>
      <w:r w:rsidRPr="00C20F14">
        <w:rPr>
          <w:vertAlign w:val="superscript"/>
        </w:rPr>
        <w:footnoteReference w:id="352"/>
      </w:r>
      <w:r w:rsidRPr="00C20F14">
        <w:t xml:space="preserve"> Done ahead of time and online, the audit will help determine appropriate measures to be installed based on online audit data.</w:t>
      </w:r>
      <w:r>
        <w:t xml:space="preserve">  For cu</w:t>
      </w:r>
      <w:r w:rsidRPr="00BB733A">
        <w:t xml:space="preserve">stomers </w:t>
      </w:r>
      <w:r>
        <w:t xml:space="preserve">deemed not </w:t>
      </w:r>
      <w:r w:rsidRPr="00BB733A">
        <w:t>need</w:t>
      </w:r>
      <w:r>
        <w:t xml:space="preserve">ing an </w:t>
      </w:r>
      <w:r w:rsidRPr="00BB733A">
        <w:t>in-home visit</w:t>
      </w:r>
      <w:r>
        <w:t xml:space="preserve">, they may </w:t>
      </w:r>
      <w:r w:rsidRPr="004A13D0">
        <w:t>receive</w:t>
      </w:r>
      <w:r w:rsidRPr="00BB733A">
        <w:t xml:space="preserve"> an energy and water savings conservation</w:t>
      </w:r>
      <w:r>
        <w:t xml:space="preserve"> </w:t>
      </w:r>
      <w:r w:rsidRPr="00BB733A">
        <w:t>kit</w:t>
      </w:r>
      <w:r>
        <w:t xml:space="preserve">.  For customers </w:t>
      </w:r>
      <w:r w:rsidRPr="005D4775">
        <w:t>where the audit determines higher potential for energy savings will be provided with information on the</w:t>
      </w:r>
      <w:r>
        <w:t xml:space="preserve"> </w:t>
      </w:r>
      <w:r w:rsidRPr="005D4775">
        <w:t>next steps of program eligibility and participation including POA requirements for renters,</w:t>
      </w:r>
      <w:r>
        <w:t xml:space="preserve"> </w:t>
      </w:r>
      <w:r w:rsidRPr="005D4775">
        <w:t>income documentation</w:t>
      </w:r>
      <w:r>
        <w:t>,</w:t>
      </w:r>
      <w:r w:rsidRPr="005D4775">
        <w:t xml:space="preserve"> appointment scheduling, measure selection and installation.</w:t>
      </w:r>
      <w:r>
        <w:t xml:space="preserve">  M</w:t>
      </w:r>
      <w:r w:rsidRPr="00C20F14">
        <w:t xml:space="preserve">easures </w:t>
      </w:r>
      <w:r>
        <w:t>will be categorized by</w:t>
      </w:r>
      <w:r w:rsidRPr="00C20F14">
        <w:t xml:space="preserve"> treatment tiers to consolidate measure installation based on the level of expertise needed for each treatment.</w:t>
      </w:r>
      <w:r w:rsidRPr="00C20F14">
        <w:rPr>
          <w:vertAlign w:val="superscript"/>
        </w:rPr>
        <w:footnoteReference w:id="353"/>
      </w:r>
      <w:r w:rsidRPr="00C20F14">
        <w:t xml:space="preserve"> </w:t>
      </w:r>
    </w:p>
    <w:p w:rsidR="000C1980" w:rsidP="004A13D0" w:rsidRDefault="000C1980" w14:paraId="2B4DAA9C" w14:textId="77777777">
      <w:pPr>
        <w:pStyle w:val="Standard"/>
      </w:pPr>
      <w:r w:rsidRPr="006E0325">
        <w:rPr>
          <w:i/>
          <w:iCs/>
          <w:u w:val="single"/>
        </w:rPr>
        <w:t>No Visit, Starter Kits:</w:t>
      </w:r>
      <w:r>
        <w:t xml:space="preserve">  Cu</w:t>
      </w:r>
      <w:r w:rsidRPr="00BB733A">
        <w:t xml:space="preserve">stomers </w:t>
      </w:r>
      <w:r>
        <w:t xml:space="preserve">deemed not </w:t>
      </w:r>
      <w:r w:rsidRPr="00BB733A">
        <w:t>need</w:t>
      </w:r>
      <w:r>
        <w:t xml:space="preserve">ing an </w:t>
      </w:r>
      <w:r w:rsidRPr="00BB733A">
        <w:t>in-home visit may be eligible to receive an energy and water savings conservation</w:t>
      </w:r>
      <w:r>
        <w:t xml:space="preserve"> </w:t>
      </w:r>
      <w:r w:rsidRPr="00BB733A">
        <w:t>kit which would include low-cost simple self-installed items</w:t>
      </w:r>
      <w:r>
        <w:t xml:space="preserve">.  </w:t>
      </w:r>
      <w:r w:rsidRPr="00AE54FB">
        <w:t>Further, as part of the new delivery, customers will have the ability to schedule</w:t>
      </w:r>
      <w:r>
        <w:t xml:space="preserve"> </w:t>
      </w:r>
      <w:r w:rsidRPr="00AE54FB">
        <w:t>appointments online, view potential measure options, and make changes to appointments when</w:t>
      </w:r>
      <w:r>
        <w:t xml:space="preserve"> </w:t>
      </w:r>
      <w:r w:rsidRPr="00AE54FB">
        <w:t>needed.</w:t>
      </w:r>
      <w:r w:rsidRPr="00C20F14">
        <w:rPr>
          <w:vertAlign w:val="superscript"/>
        </w:rPr>
        <w:footnoteReference w:id="354"/>
      </w:r>
      <w:r>
        <w:t xml:space="preserve">.  </w:t>
      </w:r>
      <w:r w:rsidRPr="005D4775">
        <w:t>The starter kit not only serves to</w:t>
      </w:r>
      <w:r>
        <w:t xml:space="preserve"> </w:t>
      </w:r>
      <w:r w:rsidRPr="005D4775">
        <w:t>engage and educate a customer and provides some easy-to-install measures, but it underscores</w:t>
      </w:r>
      <w:r>
        <w:t xml:space="preserve"> </w:t>
      </w:r>
      <w:r w:rsidRPr="005D4775">
        <w:t xml:space="preserve">the importance of completing the audit for effective delivery of the program. </w:t>
      </w:r>
    </w:p>
    <w:p w:rsidR="000C1980" w:rsidP="004A13D0" w:rsidRDefault="000C1980" w14:paraId="5D96E535" w14:textId="77777777">
      <w:pPr>
        <w:pStyle w:val="Standard"/>
      </w:pPr>
      <w:r w:rsidRPr="00691775">
        <w:rPr>
          <w:i/>
          <w:iCs/>
          <w:u w:val="single"/>
        </w:rPr>
        <w:t>Basic Tier:</w:t>
      </w:r>
      <w:r>
        <w:t xml:space="preserve">  This package includes measures that</w:t>
      </w:r>
      <w:r w:rsidRPr="00C20F14">
        <w:t xml:space="preserve"> are “easy-to-install” that may be installed during an initial visit, including lighting, air sealing measures, power strips, smart thermostats, and domestic hot water measures.</w:t>
      </w:r>
      <w:r w:rsidRPr="00C20F14">
        <w:rPr>
          <w:vertAlign w:val="superscript"/>
        </w:rPr>
        <w:footnoteReference w:id="355"/>
      </w:r>
    </w:p>
    <w:p w:rsidR="000C1980" w:rsidP="004A13D0" w:rsidRDefault="000C1980" w14:paraId="00E4077C" w14:textId="77777777">
      <w:pPr>
        <w:pStyle w:val="Standard"/>
      </w:pPr>
      <w:r>
        <w:rPr>
          <w:i/>
          <w:iCs/>
          <w:u w:val="single"/>
        </w:rPr>
        <w:lastRenderedPageBreak/>
        <w:t>Enhanced</w:t>
      </w:r>
      <w:r w:rsidRPr="00691775">
        <w:rPr>
          <w:i/>
          <w:iCs/>
          <w:u w:val="single"/>
        </w:rPr>
        <w:t xml:space="preserve"> Tier:</w:t>
      </w:r>
      <w:r>
        <w:t xml:space="preserve">  This package includes those</w:t>
      </w:r>
      <w:r w:rsidRPr="00C20F14">
        <w:t xml:space="preserve"> measures requiring second visits and additional resources</w:t>
      </w:r>
      <w:r>
        <w:t xml:space="preserve"> </w:t>
      </w:r>
      <w:r w:rsidRPr="00C20F14">
        <w:t>and will be delivered to the homes where measure installation qualifies to maximize savings.</w:t>
      </w:r>
      <w:r w:rsidRPr="00C20F14">
        <w:rPr>
          <w:vertAlign w:val="superscript"/>
        </w:rPr>
        <w:footnoteReference w:id="356"/>
      </w:r>
      <w:r>
        <w:t xml:space="preserve">  </w:t>
      </w:r>
    </w:p>
    <w:p w:rsidR="000C1980" w:rsidP="004A13D0" w:rsidRDefault="000C1980" w14:paraId="46FFE2BC" w14:textId="77777777">
      <w:pPr>
        <w:pStyle w:val="Standard"/>
      </w:pPr>
      <w:r w:rsidRPr="00774ABC">
        <w:rPr>
          <w:i/>
          <w:iCs/>
          <w:u w:val="single"/>
        </w:rPr>
        <w:t>Advanced Tier</w:t>
      </w:r>
      <w:r w:rsidRPr="00774ABC">
        <w:t>: SDG</w:t>
      </w:r>
      <w:r w:rsidRPr="00406A8A">
        <w:t>&amp;E</w:t>
      </w:r>
      <w:r>
        <w:t xml:space="preserve"> </w:t>
      </w:r>
      <w:r w:rsidRPr="00406A8A">
        <w:t xml:space="preserve">will continue to deliver </w:t>
      </w:r>
      <w:r>
        <w:t>HCS</w:t>
      </w:r>
      <w:r w:rsidRPr="00406A8A">
        <w:t xml:space="preserve"> measures that may also reduce hardship</w:t>
      </w:r>
      <w:r>
        <w:t xml:space="preserve">.  </w:t>
      </w:r>
      <w:r w:rsidRPr="00406A8A">
        <w:t>SDG&amp;E propos</w:t>
      </w:r>
      <w:r>
        <w:t>es</w:t>
      </w:r>
      <w:r w:rsidRPr="00406A8A">
        <w:t xml:space="preserve"> new </w:t>
      </w:r>
      <w:r>
        <w:t>HCS</w:t>
      </w:r>
      <w:r w:rsidRPr="00406A8A">
        <w:t xml:space="preserve"> measure</w:t>
      </w:r>
      <w:r>
        <w:t>s outside of the traditional ESA measures offerings</w:t>
      </w:r>
      <w:r w:rsidRPr="00406A8A">
        <w:t xml:space="preserve"> for five categories of “special</w:t>
      </w:r>
      <w:r w:rsidRPr="00406A8A">
        <w:rPr>
          <w:rFonts w:ascii="TimesNewRomanPSMT" w:hAnsi="TimesNewRomanPSMT" w:cs="TimesNewRomanPSMT"/>
          <w:sz w:val="24"/>
          <w:szCs w:val="24"/>
        </w:rPr>
        <w:t xml:space="preserve"> </w:t>
      </w:r>
      <w:r w:rsidRPr="00406A8A">
        <w:t>initiatives” customer segments based on significant need for services as identified</w:t>
      </w:r>
      <w:r>
        <w:t xml:space="preserve"> </w:t>
      </w:r>
      <w:r w:rsidRPr="00406A8A">
        <w:t xml:space="preserve">through other proceedings where </w:t>
      </w:r>
      <w:proofErr w:type="gramStart"/>
      <w:r w:rsidRPr="00406A8A">
        <w:t>low income</w:t>
      </w:r>
      <w:proofErr w:type="gramEnd"/>
      <w:r w:rsidRPr="00406A8A">
        <w:t xml:space="preserve"> customers are particularly </w:t>
      </w:r>
      <w:r w:rsidRPr="00255683">
        <w:t>impacted</w:t>
      </w:r>
      <w:r>
        <w:t xml:space="preserve">.  </w:t>
      </w:r>
      <w:r w:rsidRPr="00255683">
        <w:t xml:space="preserve">These five customer segments include high usage, medical baseline, </w:t>
      </w:r>
      <w:proofErr w:type="gramStart"/>
      <w:r w:rsidRPr="00255683">
        <w:t>DACs</w:t>
      </w:r>
      <w:proofErr w:type="gramEnd"/>
      <w:r w:rsidRPr="00255683">
        <w:t xml:space="preserve"> and </w:t>
      </w:r>
      <w:r>
        <w:t xml:space="preserve">the </w:t>
      </w:r>
      <w:r w:rsidRPr="00255683">
        <w:t>California Air Resources</w:t>
      </w:r>
      <w:r>
        <w:t xml:space="preserve"> </w:t>
      </w:r>
      <w:r w:rsidRPr="00255683">
        <w:t>Board</w:t>
      </w:r>
      <w:r>
        <w:t>’s</w:t>
      </w:r>
      <w:r w:rsidRPr="00255683">
        <w:t xml:space="preserve"> “Community Air</w:t>
      </w:r>
      <w:r>
        <w:t xml:space="preserve"> </w:t>
      </w:r>
      <w:r w:rsidRPr="00255683">
        <w:t>Protection Program”</w:t>
      </w:r>
      <w:r>
        <w:t xml:space="preserve"> </w:t>
      </w:r>
      <w:r w:rsidRPr="00255683">
        <w:t>neighborhoods</w:t>
      </w:r>
      <w:r>
        <w:t>, areas of high disconnects, and high fire threat district customers.</w:t>
      </w:r>
      <w:r>
        <w:rPr>
          <w:rStyle w:val="FootnoteReference"/>
        </w:rPr>
        <w:footnoteReference w:id="357"/>
      </w:r>
      <w:r>
        <w:t xml:space="preserve">  </w:t>
      </w:r>
    </w:p>
    <w:p w:rsidR="000C1980" w:rsidP="001968DC" w:rsidRDefault="000C1980" w14:paraId="61AA1319" w14:textId="77777777">
      <w:pPr>
        <w:pStyle w:val="Heading3"/>
        <w:ind w:left="2664"/>
      </w:pPr>
      <w:bookmarkStart w:name="_Toc69947940" w:id="277"/>
      <w:r>
        <w:t>Party Positions</w:t>
      </w:r>
      <w:bookmarkEnd w:id="277"/>
    </w:p>
    <w:p w:rsidR="000C1980" w:rsidP="001968DC" w:rsidRDefault="000C1980" w14:paraId="54AB925A" w14:textId="77777777">
      <w:pPr>
        <w:pStyle w:val="Heading4"/>
        <w:ind w:left="3600"/>
      </w:pPr>
      <w:bookmarkStart w:name="_Toc69947941" w:id="278"/>
      <w:r>
        <w:t>Cal Advocates</w:t>
      </w:r>
      <w:bookmarkEnd w:id="278"/>
    </w:p>
    <w:p w:rsidR="000C1980" w:rsidP="004A13D0" w:rsidRDefault="000C1980" w14:paraId="551A7297" w14:textId="77777777">
      <w:pPr>
        <w:pStyle w:val="Standard"/>
      </w:pPr>
      <w:r w:rsidRPr="00225180">
        <w:rPr>
          <w:b/>
          <w:bCs/>
          <w:i/>
          <w:iCs/>
          <w:u w:val="single"/>
        </w:rPr>
        <w:t xml:space="preserve">Third Party </w:t>
      </w:r>
      <w:r>
        <w:rPr>
          <w:b/>
          <w:bCs/>
          <w:i/>
          <w:iCs/>
          <w:u w:val="single"/>
        </w:rPr>
        <w:t>Design</w:t>
      </w:r>
      <w:r w:rsidRPr="00225180">
        <w:rPr>
          <w:b/>
          <w:bCs/>
          <w:i/>
          <w:iCs/>
          <w:u w:val="single"/>
        </w:rPr>
        <w:t>:</w:t>
      </w:r>
      <w:r w:rsidRPr="00012E9C">
        <w:t xml:space="preserve"> </w:t>
      </w:r>
      <w:r>
        <w:t xml:space="preserve">Cal Advocates proposes that the Commission deny all IOU proposed designs and instead </w:t>
      </w:r>
      <w:r w:rsidRPr="00012E9C">
        <w:t>implement a third-party procurement mechanism to</w:t>
      </w:r>
      <w:r>
        <w:t xml:space="preserve"> </w:t>
      </w:r>
      <w:r w:rsidRPr="00012E9C">
        <w:t>promote greater competition and transparency for bidders, reduce unduly high measure</w:t>
      </w:r>
      <w:r>
        <w:t xml:space="preserve"> costs, and </w:t>
      </w:r>
      <w:r w:rsidRPr="00012E9C">
        <w:t>encourage innovation to a greater extent than the current ESA procurement</w:t>
      </w:r>
      <w:r>
        <w:t xml:space="preserve"> </w:t>
      </w:r>
      <w:r w:rsidRPr="00012E9C">
        <w:t>process.</w:t>
      </w:r>
    </w:p>
    <w:p w:rsidR="000C1980" w:rsidP="001968DC" w:rsidRDefault="000C1980" w14:paraId="72AAFA45" w14:textId="77777777">
      <w:pPr>
        <w:pStyle w:val="Heading4"/>
        <w:ind w:left="3600"/>
      </w:pPr>
      <w:bookmarkStart w:name="_Toc69947942" w:id="279"/>
      <w:r>
        <w:t>EEC</w:t>
      </w:r>
      <w:bookmarkEnd w:id="279"/>
    </w:p>
    <w:p w:rsidR="000C1980" w:rsidP="004A13D0" w:rsidRDefault="000C1980" w14:paraId="24502D18" w14:textId="77777777">
      <w:pPr>
        <w:pStyle w:val="Standard"/>
      </w:pPr>
      <w:r w:rsidRPr="00D7008D">
        <w:rPr>
          <w:b/>
          <w:bCs/>
          <w:i/>
          <w:iCs/>
          <w:u w:val="single"/>
        </w:rPr>
        <w:t>SCE’s Design:</w:t>
      </w:r>
      <w:r>
        <w:t xml:space="preserve"> EEC opposes </w:t>
      </w:r>
      <w:r w:rsidRPr="00CC22CF">
        <w:t xml:space="preserve">SCE’s recommendation to provide Tier 2 services only to those </w:t>
      </w:r>
      <w:proofErr w:type="gramStart"/>
      <w:r w:rsidRPr="00CC22CF">
        <w:t>low</w:t>
      </w:r>
      <w:r>
        <w:t xml:space="preserve"> </w:t>
      </w:r>
      <w:r w:rsidRPr="00CC22CF">
        <w:t>income</w:t>
      </w:r>
      <w:proofErr w:type="gramEnd"/>
      <w:r w:rsidRPr="00CC22CF">
        <w:t xml:space="preserve"> residents who use</w:t>
      </w:r>
      <w:r>
        <w:t xml:space="preserve"> </w:t>
      </w:r>
      <w:r w:rsidRPr="00CC22CF">
        <w:t>300</w:t>
      </w:r>
      <w:r w:rsidRPr="00E1050D">
        <w:t xml:space="preserve"> </w:t>
      </w:r>
      <w:r w:rsidRPr="0026503D">
        <w:t>percent</w:t>
      </w:r>
      <w:r w:rsidRPr="00CC22CF">
        <w:t xml:space="preserve"> of baseline energy at least one time in a twelve-month period</w:t>
      </w:r>
      <w:r>
        <w:t>, stating that it</w:t>
      </w:r>
      <w:r w:rsidRPr="00CC22CF">
        <w:t xml:space="preserve"> will exclude </w:t>
      </w:r>
      <w:r w:rsidRPr="00CC22CF">
        <w:lastRenderedPageBreak/>
        <w:t xml:space="preserve">some of </w:t>
      </w:r>
      <w:r>
        <w:t>the</w:t>
      </w:r>
      <w:r w:rsidRPr="00CC22CF">
        <w:t xml:space="preserve"> most</w:t>
      </w:r>
      <w:r>
        <w:t xml:space="preserve"> </w:t>
      </w:r>
      <w:r w:rsidRPr="00CC22CF">
        <w:t>vulnerable population</w:t>
      </w:r>
      <w:r>
        <w:t xml:space="preserve"> and instead, s</w:t>
      </w:r>
      <w:r w:rsidRPr="00CC22CF">
        <w:t xml:space="preserve">ervices </w:t>
      </w:r>
      <w:r>
        <w:t>should</w:t>
      </w:r>
      <w:r w:rsidRPr="00CC22CF">
        <w:t xml:space="preserve"> be provided to all those in need</w:t>
      </w:r>
      <w:r>
        <w:t>, not just the high users</w:t>
      </w:r>
      <w:r w:rsidRPr="00CC22CF">
        <w:t>.</w:t>
      </w:r>
      <w:r>
        <w:rPr>
          <w:rStyle w:val="FootnoteReference"/>
        </w:rPr>
        <w:footnoteReference w:id="358"/>
      </w:r>
    </w:p>
    <w:p w:rsidR="000C1980" w:rsidP="004A13D0" w:rsidRDefault="000C1980" w14:paraId="32DEA74B" w14:textId="77777777">
      <w:pPr>
        <w:pStyle w:val="Standard"/>
      </w:pPr>
      <w:r w:rsidRPr="00D7008D">
        <w:rPr>
          <w:b/>
          <w:bCs/>
          <w:i/>
          <w:iCs/>
          <w:u w:val="single"/>
        </w:rPr>
        <w:t>SoCalGas’ Design:</w:t>
      </w:r>
      <w:r>
        <w:t xml:space="preserve"> EEC questions SoCalGas’ customers </w:t>
      </w:r>
      <w:r w:rsidRPr="008951D2">
        <w:t>self-service proposal</w:t>
      </w:r>
      <w:r>
        <w:t xml:space="preserve"> stating that it may lead to </w:t>
      </w:r>
      <w:r w:rsidRPr="008951D2">
        <w:t>poor customer service, incorrect home assessments,</w:t>
      </w:r>
      <w:r>
        <w:t xml:space="preserve"> </w:t>
      </w:r>
      <w:r w:rsidRPr="008951D2">
        <w:t>inadequate energy education, uninstalled measures, fraudulent enrollments, and a</w:t>
      </w:r>
      <w:r>
        <w:t xml:space="preserve"> </w:t>
      </w:r>
      <w:r w:rsidRPr="008951D2">
        <w:t>host of other problems.</w:t>
      </w:r>
      <w:r w:rsidRPr="00086937">
        <w:rPr>
          <w:rStyle w:val="FootnoteReference"/>
        </w:rPr>
        <w:t xml:space="preserve"> </w:t>
      </w:r>
      <w:r>
        <w:rPr>
          <w:rStyle w:val="FootnoteReference"/>
        </w:rPr>
        <w:footnoteReference w:id="359"/>
      </w:r>
    </w:p>
    <w:p w:rsidRPr="00CF4981" w:rsidR="000C1980" w:rsidP="004A13D0" w:rsidRDefault="000C1980" w14:paraId="22C4BD38" w14:textId="77777777">
      <w:pPr>
        <w:pStyle w:val="Standard"/>
      </w:pPr>
      <w:r w:rsidRPr="00D7008D">
        <w:rPr>
          <w:b/>
          <w:bCs/>
          <w:i/>
          <w:iCs/>
          <w:u w:val="single"/>
        </w:rPr>
        <w:t>Treatment of Go-Backs:</w:t>
      </w:r>
      <w:r>
        <w:t xml:space="preserve"> EEC also proposes the following changes to the policy regarding going back to a previously treated home (go-backs): 1) </w:t>
      </w:r>
      <w:r w:rsidRPr="00EB63C3">
        <w:t>all restrictions on providing needed ESA energ</w:t>
      </w:r>
      <w:r>
        <w:t>y i</w:t>
      </w:r>
      <w:r w:rsidRPr="00EB63C3">
        <w:t>mprovements for previously treated residences be eliminated effective no later than the start</w:t>
      </w:r>
      <w:r>
        <w:t xml:space="preserve"> </w:t>
      </w:r>
      <w:r w:rsidRPr="00EB63C3">
        <w:t xml:space="preserve">of 2021; </w:t>
      </w:r>
      <w:r>
        <w:t xml:space="preserve">2) </w:t>
      </w:r>
      <w:r w:rsidRPr="00EB63C3">
        <w:t>no monetary penalties be assessed for installing needed measures in such</w:t>
      </w:r>
      <w:r>
        <w:t xml:space="preserve"> </w:t>
      </w:r>
      <w:r w:rsidRPr="00EB63C3">
        <w:t xml:space="preserve">residences; </w:t>
      </w:r>
      <w:r>
        <w:t xml:space="preserve">3) </w:t>
      </w:r>
      <w:r w:rsidRPr="00EB63C3">
        <w:t>pricing for outreach, enrollment and education required be reasonable and not</w:t>
      </w:r>
      <w:r>
        <w:t xml:space="preserve"> </w:t>
      </w:r>
      <w:r w:rsidRPr="00EB63C3">
        <w:t xml:space="preserve">be used to discourage treatment of </w:t>
      </w:r>
      <w:r>
        <w:t>g</w:t>
      </w:r>
      <w:r w:rsidRPr="00EB63C3">
        <w:t>o-</w:t>
      </w:r>
      <w:r>
        <w:t>b</w:t>
      </w:r>
      <w:r w:rsidRPr="00EB63C3">
        <w:t xml:space="preserve">acks; and </w:t>
      </w:r>
      <w:r>
        <w:t>4)</w:t>
      </w:r>
      <w:r w:rsidRPr="00EB63C3">
        <w:t xml:space="preserve"> project funding and goal setting shall not</w:t>
      </w:r>
      <w:r>
        <w:t xml:space="preserve"> </w:t>
      </w:r>
      <w:r w:rsidRPr="00EB63C3">
        <w:t xml:space="preserve">be used to discourage or limit the treatment of </w:t>
      </w:r>
      <w:r>
        <w:t>go-backs.</w:t>
      </w:r>
      <w:r>
        <w:rPr>
          <w:rStyle w:val="FootnoteReference"/>
        </w:rPr>
        <w:footnoteReference w:id="360"/>
      </w:r>
    </w:p>
    <w:p w:rsidR="000C1980" w:rsidP="001968DC" w:rsidRDefault="000C1980" w14:paraId="709BC011" w14:textId="77777777">
      <w:pPr>
        <w:pStyle w:val="Heading4"/>
        <w:ind w:left="3600"/>
      </w:pPr>
      <w:bookmarkStart w:name="_Toc69947943" w:id="280"/>
      <w:bookmarkStart w:name="_Hlk61272221" w:id="281"/>
      <w:r w:rsidRPr="0094008A">
        <w:t xml:space="preserve">La </w:t>
      </w:r>
      <w:proofErr w:type="spellStart"/>
      <w:r w:rsidRPr="0094008A">
        <w:t>Cooperativa</w:t>
      </w:r>
      <w:proofErr w:type="spellEnd"/>
      <w:r w:rsidRPr="0094008A">
        <w:t xml:space="preserve"> et al.</w:t>
      </w:r>
      <w:bookmarkEnd w:id="280"/>
    </w:p>
    <w:bookmarkEnd w:id="281"/>
    <w:p w:rsidR="000C1980" w:rsidP="004A13D0" w:rsidRDefault="000C1980" w14:paraId="22244B42" w14:textId="77777777">
      <w:pPr>
        <w:pStyle w:val="Standard"/>
      </w:pPr>
      <w:r w:rsidRPr="00D7008D">
        <w:rPr>
          <w:b/>
          <w:bCs/>
          <w:i/>
          <w:iCs/>
          <w:u w:val="single"/>
        </w:rPr>
        <w:t>SCE’s Design:</w:t>
      </w:r>
      <w:r>
        <w:t xml:space="preserve"> La </w:t>
      </w:r>
      <w:proofErr w:type="spellStart"/>
      <w:r>
        <w:t>Cooperativa</w:t>
      </w:r>
      <w:proofErr w:type="spellEnd"/>
      <w:r>
        <w:t xml:space="preserve"> et al. opposes SCE’s p</w:t>
      </w:r>
      <w:r w:rsidRPr="00E35C96">
        <w:t xml:space="preserve">roposal </w:t>
      </w:r>
      <w:r>
        <w:t xml:space="preserve">of </w:t>
      </w:r>
      <w:r w:rsidRPr="00E35C96">
        <w:t xml:space="preserve">a tiered approach favoring households with high energy </w:t>
      </w:r>
      <w:r>
        <w:t xml:space="preserve">use because this will </w:t>
      </w:r>
      <w:r w:rsidRPr="00E35C96">
        <w:t>result in penalizing</w:t>
      </w:r>
      <w:r>
        <w:t xml:space="preserve"> </w:t>
      </w:r>
      <w:r w:rsidRPr="00E35C96">
        <w:t>good stewards of energy efficiency, smaller households, and seniors</w:t>
      </w:r>
      <w:r>
        <w:t xml:space="preserve">.  La </w:t>
      </w:r>
      <w:proofErr w:type="spellStart"/>
      <w:r>
        <w:t>Cooperativa</w:t>
      </w:r>
      <w:proofErr w:type="spellEnd"/>
      <w:r>
        <w:t xml:space="preserve"> et al. states that SCE’s t</w:t>
      </w:r>
      <w:r w:rsidRPr="00E35C96">
        <w:t xml:space="preserve">iered approach </w:t>
      </w:r>
      <w:r>
        <w:t xml:space="preserve">would </w:t>
      </w:r>
      <w:r w:rsidRPr="00E35C96">
        <w:t>encourage those who do not qualify for Tier 2 measures to increase their</w:t>
      </w:r>
      <w:r>
        <w:t xml:space="preserve"> </w:t>
      </w:r>
      <w:r w:rsidRPr="00E35C96">
        <w:t>energy usage to qualify for more program benefits</w:t>
      </w:r>
      <w:r>
        <w:t xml:space="preserve"> and would </w:t>
      </w:r>
      <w:r w:rsidRPr="00E35C96">
        <w:t>result in a reduction of measure installations</w:t>
      </w:r>
      <w:r>
        <w:t xml:space="preserve"> overall</w:t>
      </w:r>
      <w:r w:rsidRPr="00E35C96">
        <w:t>,</w:t>
      </w:r>
      <w:r>
        <w:t xml:space="preserve"> </w:t>
      </w:r>
      <w:r w:rsidRPr="000D72F5">
        <w:t>impacting the program workforce</w:t>
      </w:r>
      <w:r>
        <w:t xml:space="preserve">, and therefore </w:t>
      </w:r>
      <w:r w:rsidRPr="000D72F5">
        <w:t xml:space="preserve">result in </w:t>
      </w:r>
      <w:r w:rsidRPr="000D72F5">
        <w:lastRenderedPageBreak/>
        <w:t>layoffs and displaced workers.</w:t>
      </w:r>
      <w:r w:rsidRPr="000D72F5">
        <w:rPr>
          <w:vertAlign w:val="superscript"/>
        </w:rPr>
        <w:footnoteReference w:id="361"/>
      </w:r>
      <w:r w:rsidRPr="000D72F5">
        <w:t xml:space="preserve"> </w:t>
      </w:r>
      <w:r>
        <w:t xml:space="preserve"> Instead,</w:t>
      </w:r>
      <w:r w:rsidRPr="002334D9">
        <w:t xml:space="preserve"> </w:t>
      </w:r>
      <w:r>
        <w:t xml:space="preserve">La </w:t>
      </w:r>
      <w:proofErr w:type="spellStart"/>
      <w:r>
        <w:t>Cooperativa</w:t>
      </w:r>
      <w:proofErr w:type="spellEnd"/>
      <w:r>
        <w:t xml:space="preserve"> et al. recommends an ap</w:t>
      </w:r>
      <w:r w:rsidRPr="00E35C96">
        <w:t xml:space="preserve">proach </w:t>
      </w:r>
      <w:r>
        <w:t>where</w:t>
      </w:r>
      <w:r w:rsidRPr="00E35C96">
        <w:t xml:space="preserve"> upgrades </w:t>
      </w:r>
      <w:r>
        <w:t xml:space="preserve">are </w:t>
      </w:r>
      <w:r w:rsidRPr="00E35C96">
        <w:t>based on household need, potential energy savings and</w:t>
      </w:r>
      <w:r>
        <w:t xml:space="preserve"> HCS</w:t>
      </w:r>
      <w:r w:rsidRPr="00E35C96">
        <w:t xml:space="preserve"> of vulnerable low</w:t>
      </w:r>
      <w:r>
        <w:t xml:space="preserve"> </w:t>
      </w:r>
      <w:r w:rsidRPr="00E35C96">
        <w:t>income customers</w:t>
      </w:r>
      <w:r>
        <w:t xml:space="preserve">.  </w:t>
      </w:r>
      <w:r w:rsidRPr="000D72F5">
        <w:t xml:space="preserve">La </w:t>
      </w:r>
      <w:proofErr w:type="spellStart"/>
      <w:r w:rsidRPr="000D72F5">
        <w:t>Cooperativa</w:t>
      </w:r>
      <w:proofErr w:type="spellEnd"/>
      <w:r w:rsidRPr="000D72F5">
        <w:t xml:space="preserve"> </w:t>
      </w:r>
      <w:r>
        <w:t>et al. states that its recommendation is a</w:t>
      </w:r>
      <w:r w:rsidRPr="000D72F5">
        <w:t xml:space="preserve"> more inclusive approach </w:t>
      </w:r>
      <w:r>
        <w:t xml:space="preserve">compared </w:t>
      </w:r>
      <w:r w:rsidRPr="000D72F5">
        <w:t>to SCE’s new approach</w:t>
      </w:r>
      <w:r>
        <w:t xml:space="preserve">, </w:t>
      </w:r>
      <w:r w:rsidRPr="000D72F5">
        <w:t xml:space="preserve">would not limit smaller households to only low impact measures, </w:t>
      </w:r>
      <w:r>
        <w:t xml:space="preserve">and would increase </w:t>
      </w:r>
      <w:r w:rsidRPr="000D72F5">
        <w:t xml:space="preserve">potential energy savings and the </w:t>
      </w:r>
      <w:r>
        <w:t>HCS</w:t>
      </w:r>
      <w:r w:rsidRPr="000D72F5">
        <w:t xml:space="preserve"> of vulnerable </w:t>
      </w:r>
      <w:proofErr w:type="gramStart"/>
      <w:r w:rsidRPr="000D72F5">
        <w:t>low</w:t>
      </w:r>
      <w:r>
        <w:t xml:space="preserve"> </w:t>
      </w:r>
      <w:r w:rsidRPr="000D72F5">
        <w:t>income</w:t>
      </w:r>
      <w:proofErr w:type="gramEnd"/>
      <w:r w:rsidRPr="000D72F5">
        <w:t xml:space="preserve"> customers.</w:t>
      </w:r>
      <w:r w:rsidRPr="000D72F5">
        <w:rPr>
          <w:vertAlign w:val="superscript"/>
        </w:rPr>
        <w:footnoteReference w:id="362"/>
      </w:r>
      <w:r w:rsidRPr="000D72F5">
        <w:t xml:space="preserve"> </w:t>
      </w:r>
    </w:p>
    <w:p w:rsidR="000C1980" w:rsidP="004A13D0" w:rsidRDefault="000C1980" w14:paraId="6567D8D9" w14:textId="77777777">
      <w:pPr>
        <w:pStyle w:val="Standard"/>
      </w:pPr>
      <w:r w:rsidRPr="00D7008D">
        <w:rPr>
          <w:b/>
          <w:bCs/>
          <w:i/>
          <w:iCs/>
          <w:u w:val="single"/>
        </w:rPr>
        <w:t>S</w:t>
      </w:r>
      <w:r>
        <w:rPr>
          <w:b/>
          <w:bCs/>
          <w:i/>
          <w:iCs/>
          <w:u w:val="single"/>
        </w:rPr>
        <w:t>o</w:t>
      </w:r>
      <w:r w:rsidRPr="00D7008D">
        <w:rPr>
          <w:b/>
          <w:bCs/>
          <w:i/>
          <w:iCs/>
          <w:u w:val="single"/>
        </w:rPr>
        <w:t>C</w:t>
      </w:r>
      <w:r>
        <w:rPr>
          <w:b/>
          <w:bCs/>
          <w:i/>
          <w:iCs/>
          <w:u w:val="single"/>
        </w:rPr>
        <w:t>alGas</w:t>
      </w:r>
      <w:r w:rsidRPr="00D7008D">
        <w:rPr>
          <w:b/>
          <w:bCs/>
          <w:i/>
          <w:iCs/>
          <w:u w:val="single"/>
        </w:rPr>
        <w:t>’ Design:</w:t>
      </w:r>
      <w:r>
        <w:t xml:space="preserve"> L</w:t>
      </w:r>
      <w:r w:rsidRPr="000D72F5">
        <w:t xml:space="preserve">a </w:t>
      </w:r>
      <w:proofErr w:type="spellStart"/>
      <w:r w:rsidRPr="000D72F5">
        <w:t>Cooperativa</w:t>
      </w:r>
      <w:proofErr w:type="spellEnd"/>
      <w:r w:rsidRPr="000D72F5">
        <w:t xml:space="preserve"> </w:t>
      </w:r>
      <w:r>
        <w:t>et al. opposes</w:t>
      </w:r>
      <w:r w:rsidRPr="000D72F5">
        <w:t xml:space="preserve"> SoCalGas’s new technology platform </w:t>
      </w:r>
      <w:r>
        <w:t xml:space="preserve">stating that it </w:t>
      </w:r>
      <w:r w:rsidRPr="000D72F5">
        <w:t>is premature, too costly, and would provide limited meaningful results.</w:t>
      </w:r>
      <w:r w:rsidRPr="000D72F5">
        <w:rPr>
          <w:vertAlign w:val="superscript"/>
        </w:rPr>
        <w:footnoteReference w:id="363"/>
      </w:r>
      <w:r w:rsidRPr="000D72F5">
        <w:t xml:space="preserve"> La </w:t>
      </w:r>
      <w:proofErr w:type="spellStart"/>
      <w:r w:rsidRPr="000D72F5">
        <w:t>Cooperativa</w:t>
      </w:r>
      <w:proofErr w:type="spellEnd"/>
      <w:r w:rsidRPr="000D72F5">
        <w:t xml:space="preserve"> finds th</w:t>
      </w:r>
      <w:r>
        <w:t xml:space="preserve">is approach </w:t>
      </w:r>
      <w:r w:rsidRPr="000D72F5">
        <w:t>problematic</w:t>
      </w:r>
      <w:r>
        <w:t xml:space="preserve"> because </w:t>
      </w:r>
      <w:r w:rsidRPr="000D72F5">
        <w:t>low income customers are primarily working families with little or no time to learn the complexities of online navigation and program execution</w:t>
      </w:r>
      <w:r>
        <w:t>,</w:t>
      </w:r>
      <w:r w:rsidRPr="000D72F5">
        <w:rPr>
          <w:vertAlign w:val="superscript"/>
        </w:rPr>
        <w:footnoteReference w:id="364"/>
      </w:r>
      <w:r w:rsidRPr="000D72F5">
        <w:t xml:space="preserve"> </w:t>
      </w:r>
      <w:r>
        <w:t>and that extensive t</w:t>
      </w:r>
      <w:r w:rsidRPr="000D72F5">
        <w:t xml:space="preserve">raining </w:t>
      </w:r>
      <w:r>
        <w:t xml:space="preserve">of households would be needed </w:t>
      </w:r>
      <w:r w:rsidRPr="000D72F5">
        <w:t>to make the technology user</w:t>
      </w:r>
      <w:r>
        <w:t>-</w:t>
      </w:r>
      <w:r w:rsidRPr="000D72F5">
        <w:t xml:space="preserve">friendly, in language, and utilized by enough households. </w:t>
      </w:r>
    </w:p>
    <w:p w:rsidR="000C1980" w:rsidP="004A13D0" w:rsidRDefault="000C1980" w14:paraId="5BF6EDAC" w14:textId="77777777">
      <w:pPr>
        <w:pStyle w:val="Standard"/>
      </w:pPr>
      <w:r w:rsidRPr="000D72F5">
        <w:t xml:space="preserve">La </w:t>
      </w:r>
      <w:proofErr w:type="spellStart"/>
      <w:r w:rsidRPr="000D72F5">
        <w:t>Cooperativa</w:t>
      </w:r>
      <w:proofErr w:type="spellEnd"/>
      <w:r>
        <w:t xml:space="preserve"> et al.</w:t>
      </w:r>
      <w:r w:rsidRPr="000D72F5">
        <w:t xml:space="preserve"> also </w:t>
      </w:r>
      <w:r>
        <w:t xml:space="preserve">opposes SoCalGas’ </w:t>
      </w:r>
      <w:r w:rsidRPr="000D72F5">
        <w:t>“uberization” of enrollment, education, measure management, and self-install</w:t>
      </w:r>
      <w:r>
        <w:t xml:space="preserve"> </w:t>
      </w:r>
      <w:r w:rsidRPr="000D72F5">
        <w:t>of measures</w:t>
      </w:r>
      <w:r>
        <w:t xml:space="preserve"> stating that it is</w:t>
      </w:r>
      <w:r w:rsidRPr="000D72F5">
        <w:t xml:space="preserve"> premature</w:t>
      </w:r>
      <w:r>
        <w:t xml:space="preserve">.  </w:t>
      </w:r>
      <w:r w:rsidRPr="000D72F5">
        <w:t>The e-commerce platform is expected to be limited to only a small snapshot of ESA households, which would not put forward any scalable model for replication or data needed to revise a program as large as ESA.</w:t>
      </w:r>
      <w:r w:rsidRPr="000D72F5">
        <w:rPr>
          <w:vertAlign w:val="superscript"/>
        </w:rPr>
        <w:footnoteReference w:id="365"/>
      </w:r>
      <w:r w:rsidRPr="000D72F5">
        <w:t xml:space="preserve"> </w:t>
      </w:r>
    </w:p>
    <w:p w:rsidR="000C1980" w:rsidP="004A13D0" w:rsidRDefault="000C1980" w14:paraId="2B08CE74" w14:textId="41D790C8">
      <w:pPr>
        <w:pStyle w:val="Standard"/>
      </w:pPr>
      <w:r w:rsidRPr="00B66BBD">
        <w:rPr>
          <w:b/>
          <w:bCs/>
          <w:i/>
          <w:iCs/>
          <w:u w:val="single"/>
        </w:rPr>
        <w:t>LIW</w:t>
      </w:r>
      <w:r>
        <w:rPr>
          <w:b/>
          <w:bCs/>
          <w:i/>
          <w:iCs/>
          <w:u w:val="single"/>
        </w:rPr>
        <w:t>P Design M</w:t>
      </w:r>
      <w:r w:rsidRPr="00B66BBD">
        <w:rPr>
          <w:b/>
          <w:bCs/>
          <w:i/>
          <w:iCs/>
          <w:u w:val="single"/>
        </w:rPr>
        <w:t>ode</w:t>
      </w:r>
      <w:r>
        <w:rPr>
          <w:b/>
          <w:bCs/>
          <w:i/>
          <w:iCs/>
          <w:u w:val="single"/>
        </w:rPr>
        <w:t>l:</w:t>
      </w:r>
      <w:r>
        <w:t xml:space="preserve">  La </w:t>
      </w:r>
      <w:proofErr w:type="spellStart"/>
      <w:r>
        <w:t>Cooperativa</w:t>
      </w:r>
      <w:proofErr w:type="spellEnd"/>
      <w:r>
        <w:t xml:space="preserve"> et al.</w:t>
      </w:r>
      <w:r w:rsidRPr="00E35C96">
        <w:t xml:space="preserve"> </w:t>
      </w:r>
      <w:r>
        <w:t>recommends that the IOUs evaluate CSD’s</w:t>
      </w:r>
      <w:r w:rsidRPr="00E80AF2">
        <w:t xml:space="preserve"> LIWP </w:t>
      </w:r>
      <w:r>
        <w:t xml:space="preserve">program with </w:t>
      </w:r>
      <w:r w:rsidRPr="00E80AF2">
        <w:t xml:space="preserve">respect to program design and objectives </w:t>
      </w:r>
      <w:r>
        <w:lastRenderedPageBreak/>
        <w:t>stating that it</w:t>
      </w:r>
      <w:r w:rsidRPr="00E80AF2">
        <w:t xml:space="preserve"> achieve</w:t>
      </w:r>
      <w:r>
        <w:t>s</w:t>
      </w:r>
      <w:r w:rsidRPr="00E80AF2">
        <w:t xml:space="preserve"> deeper energy savings than does the current ESA program</w:t>
      </w:r>
      <w:r>
        <w:t xml:space="preserve">.  </w:t>
      </w:r>
      <w:r w:rsidRPr="00E80AF2">
        <w:t>LIWP includes a separate budget for home repairs necessary to</w:t>
      </w:r>
      <w:r w:rsidRPr="00E80AF2">
        <w:rPr>
          <w:rFonts w:ascii="Times New Roman" w:hAnsi="Times New Roman"/>
          <w:color w:val="000000"/>
          <w:sz w:val="23"/>
          <w:szCs w:val="23"/>
        </w:rPr>
        <w:t xml:space="preserve"> </w:t>
      </w:r>
      <w:r w:rsidRPr="00E80AF2">
        <w:t>achieve deep energy retrofits, tailored weatherization and renewable measures that reduce the household’s energy burden while promoting California’s environmental goals</w:t>
      </w:r>
      <w:r>
        <w:t>.  They recommend that the IOUs</w:t>
      </w:r>
      <w:r w:rsidRPr="00E80AF2">
        <w:t xml:space="preserve"> utilize LIWP as a guide to revise the budgeting and cost-effectiveness models for the ESA </w:t>
      </w:r>
      <w:r>
        <w:t>p</w:t>
      </w:r>
      <w:r w:rsidRPr="00E80AF2">
        <w:t>rogram.</w:t>
      </w:r>
      <w:r>
        <w:rPr>
          <w:rStyle w:val="FootnoteReference"/>
        </w:rPr>
        <w:footnoteReference w:id="366"/>
      </w:r>
    </w:p>
    <w:p w:rsidR="000C1980" w:rsidP="001968DC" w:rsidRDefault="000C1980" w14:paraId="0BE5125C" w14:textId="77777777">
      <w:pPr>
        <w:pStyle w:val="Heading4"/>
        <w:ind w:left="3600"/>
      </w:pPr>
      <w:bookmarkStart w:name="_Toc69947944" w:id="282"/>
      <w:proofErr w:type="spellStart"/>
      <w:r>
        <w:t>CforAT</w:t>
      </w:r>
      <w:bookmarkEnd w:id="282"/>
      <w:proofErr w:type="spellEnd"/>
    </w:p>
    <w:p w:rsidR="000C1980" w:rsidP="004A13D0" w:rsidRDefault="000C1980" w14:paraId="6DFDFB35" w14:textId="0F0468E0">
      <w:pPr>
        <w:pStyle w:val="Standard"/>
      </w:pPr>
      <w:r w:rsidRPr="00D7008D">
        <w:rPr>
          <w:b/>
          <w:bCs/>
          <w:i/>
          <w:iCs/>
          <w:u w:val="single"/>
        </w:rPr>
        <w:t>SCE’s Design:</w:t>
      </w:r>
      <w:r>
        <w:t xml:space="preserve"> </w:t>
      </w:r>
      <w:proofErr w:type="spellStart"/>
      <w:r w:rsidRPr="00352E5A">
        <w:t>CforAT</w:t>
      </w:r>
      <w:proofErr w:type="spellEnd"/>
      <w:r w:rsidRPr="00352E5A">
        <w:t xml:space="preserve"> argues that SCE’s recommendation to provide Tier 2 services only to </w:t>
      </w:r>
      <w:proofErr w:type="gramStart"/>
      <w:r w:rsidRPr="00352E5A">
        <w:t>low</w:t>
      </w:r>
      <w:r>
        <w:t xml:space="preserve"> </w:t>
      </w:r>
      <w:r w:rsidRPr="00352E5A">
        <w:t>income</w:t>
      </w:r>
      <w:proofErr w:type="gramEnd"/>
      <w:r w:rsidRPr="00352E5A">
        <w:t xml:space="preserve"> residents who use 300</w:t>
      </w:r>
      <w:r w:rsidRPr="00E1050D">
        <w:t xml:space="preserve"> </w:t>
      </w:r>
      <w:r w:rsidRPr="0026503D">
        <w:t>percent</w:t>
      </w:r>
      <w:r w:rsidRPr="00352E5A">
        <w:t xml:space="preserve"> of baseline energy at least one time in a twelve-month period will exclude some of </w:t>
      </w:r>
      <w:proofErr w:type="spellStart"/>
      <w:r w:rsidRPr="00352E5A">
        <w:t>CforAT’s</w:t>
      </w:r>
      <w:proofErr w:type="spellEnd"/>
      <w:r w:rsidRPr="00352E5A">
        <w:t xml:space="preserve"> most vulnerable population</w:t>
      </w:r>
      <w:r>
        <w:t>.  Because m</w:t>
      </w:r>
      <w:r w:rsidRPr="00352E5A">
        <w:t xml:space="preserve">any </w:t>
      </w:r>
      <w:proofErr w:type="gramStart"/>
      <w:r w:rsidRPr="00352E5A">
        <w:t>low</w:t>
      </w:r>
      <w:r>
        <w:t xml:space="preserve"> </w:t>
      </w:r>
      <w:r w:rsidRPr="00352E5A">
        <w:t>income</w:t>
      </w:r>
      <w:proofErr w:type="gramEnd"/>
      <w:r w:rsidRPr="00352E5A">
        <w:t xml:space="preserve"> customers have non-functioning heaters or air conditioners or</w:t>
      </w:r>
      <w:r>
        <w:t xml:space="preserve"> </w:t>
      </w:r>
      <w:r w:rsidRPr="00352E5A">
        <w:t>have homes that are not properly weatherized and so refrain from using heaters or air conditioners</w:t>
      </w:r>
      <w:r>
        <w:t>,</w:t>
      </w:r>
      <w:r w:rsidRPr="00352E5A">
        <w:t xml:space="preserve"> </w:t>
      </w:r>
      <w:r>
        <w:t>they</w:t>
      </w:r>
      <w:r w:rsidRPr="00352E5A">
        <w:t xml:space="preserve"> </w:t>
      </w:r>
      <w:r w:rsidR="007458C6">
        <w:t>might</w:t>
      </w:r>
      <w:r w:rsidRPr="00352E5A" w:rsidR="007458C6">
        <w:t xml:space="preserve"> </w:t>
      </w:r>
      <w:r w:rsidRPr="00352E5A">
        <w:t>never hit the 300</w:t>
      </w:r>
      <w:r w:rsidRPr="00E1050D">
        <w:t xml:space="preserve"> </w:t>
      </w:r>
      <w:r w:rsidRPr="0026503D">
        <w:t>percent</w:t>
      </w:r>
      <w:r w:rsidRPr="00352E5A">
        <w:t xml:space="preserve"> target and would miss out on the ESA benefit and </w:t>
      </w:r>
      <w:r>
        <w:t>HCS</w:t>
      </w:r>
      <w:r w:rsidRPr="00352E5A">
        <w:t xml:space="preserve"> services.</w:t>
      </w:r>
      <w:r w:rsidRPr="00352E5A">
        <w:rPr>
          <w:vertAlign w:val="superscript"/>
        </w:rPr>
        <w:footnoteReference w:id="367"/>
      </w:r>
      <w:r w:rsidRPr="00352E5A">
        <w:t xml:space="preserve"> </w:t>
      </w:r>
      <w:r w:rsidR="004A13D0">
        <w:t xml:space="preserve"> </w:t>
      </w:r>
      <w:r>
        <w:t xml:space="preserve">Instead </w:t>
      </w:r>
      <w:proofErr w:type="spellStart"/>
      <w:r>
        <w:t>CforAT</w:t>
      </w:r>
      <w:proofErr w:type="spellEnd"/>
      <w:r>
        <w:t xml:space="preserve"> recommends that s</w:t>
      </w:r>
      <w:r w:rsidRPr="00352E5A">
        <w:t>ervices</w:t>
      </w:r>
      <w:r>
        <w:t xml:space="preserve"> should</w:t>
      </w:r>
      <w:r w:rsidRPr="00352E5A">
        <w:t xml:space="preserve"> be provided to those who are in need.</w:t>
      </w:r>
      <w:r w:rsidRPr="00352E5A">
        <w:rPr>
          <w:vertAlign w:val="superscript"/>
        </w:rPr>
        <w:footnoteReference w:id="368"/>
      </w:r>
    </w:p>
    <w:p w:rsidR="000C1980" w:rsidP="004A13D0" w:rsidRDefault="000C1980" w14:paraId="439B0B67" w14:textId="77777777">
      <w:pPr>
        <w:pStyle w:val="Standard"/>
      </w:pPr>
      <w:r>
        <w:rPr>
          <w:b/>
          <w:bCs/>
          <w:i/>
          <w:iCs/>
          <w:u w:val="single"/>
        </w:rPr>
        <w:t>PG&amp;</w:t>
      </w:r>
      <w:r w:rsidRPr="00D7008D">
        <w:rPr>
          <w:b/>
          <w:bCs/>
          <w:i/>
          <w:iCs/>
          <w:u w:val="single"/>
        </w:rPr>
        <w:t>E’s Design:</w:t>
      </w:r>
      <w:r>
        <w:t xml:space="preserve"> </w:t>
      </w:r>
      <w:proofErr w:type="spellStart"/>
      <w:r>
        <w:t>CforAT</w:t>
      </w:r>
      <w:proofErr w:type="spellEnd"/>
      <w:r>
        <w:t xml:space="preserve"> makes a similar argument for PG&amp;E’s Basic package, as it ignores </w:t>
      </w:r>
      <w:r w:rsidRPr="00B61B0E">
        <w:t>customers who intentionally us</w:t>
      </w:r>
      <w:r>
        <w:t xml:space="preserve">e </w:t>
      </w:r>
      <w:r w:rsidRPr="00B61B0E">
        <w:t>less electricity</w:t>
      </w:r>
      <w:r>
        <w:t xml:space="preserve"> to</w:t>
      </w:r>
      <w:r w:rsidRPr="00B61B0E">
        <w:t xml:space="preserve"> realize bill savings</w:t>
      </w:r>
      <w:r>
        <w:t xml:space="preserve"> and recommends that </w:t>
      </w:r>
      <w:r w:rsidRPr="00B61B0E">
        <w:t>PG&amp;E consider other</w:t>
      </w:r>
      <w:r>
        <w:t xml:space="preserve"> </w:t>
      </w:r>
      <w:r w:rsidRPr="00B61B0E">
        <w:t xml:space="preserve">factors to provide enhanced measures to </w:t>
      </w:r>
      <w:r>
        <w:t xml:space="preserve">these </w:t>
      </w:r>
      <w:r w:rsidRPr="00B61B0E">
        <w:t>customers.</w:t>
      </w:r>
      <w:r>
        <w:rPr>
          <w:rStyle w:val="FootnoteReference"/>
        </w:rPr>
        <w:footnoteReference w:id="369"/>
      </w:r>
    </w:p>
    <w:p w:rsidR="000C1980" w:rsidP="001968DC" w:rsidRDefault="000C1980" w14:paraId="2E113EAB" w14:textId="77777777">
      <w:pPr>
        <w:pStyle w:val="Heading4"/>
        <w:ind w:left="3600"/>
      </w:pPr>
      <w:bookmarkStart w:name="_Toc69947945" w:id="283"/>
      <w:r>
        <w:lastRenderedPageBreak/>
        <w:t>Joint Parties</w:t>
      </w:r>
      <w:bookmarkEnd w:id="283"/>
    </w:p>
    <w:p w:rsidR="000C1980" w:rsidP="004A13D0" w:rsidRDefault="000C1980" w14:paraId="669DEE33" w14:textId="77777777">
      <w:pPr>
        <w:pStyle w:val="Standard"/>
        <w:rPr>
          <w:szCs w:val="26"/>
        </w:rPr>
      </w:pPr>
      <w:r w:rsidRPr="00FA1C50">
        <w:rPr>
          <w:b/>
          <w:bCs/>
          <w:i/>
          <w:iCs/>
          <w:u w:val="single"/>
        </w:rPr>
        <w:t>Ideal Efficient State:</w:t>
      </w:r>
      <w:r>
        <w:t xml:space="preserve"> The Joint Parties recommend that the</w:t>
      </w:r>
      <w:r w:rsidRPr="00FD1B60">
        <w:t xml:space="preserve"> Commission adopt a long-term goal of completely treating each ESA</w:t>
      </w:r>
      <w:r>
        <w:t xml:space="preserve"> e</w:t>
      </w:r>
      <w:r w:rsidRPr="00FD1B60">
        <w:t>ligible home to an “ideal efficient state” within the next twenty to twenty-five years</w:t>
      </w:r>
      <w:r>
        <w:t xml:space="preserve">, </w:t>
      </w:r>
      <w:r w:rsidRPr="6A220AF3">
        <w:t>and then work backward to determine what portion of this long term goal should be accomplished over the next six years</w:t>
      </w:r>
      <w:r w:rsidRPr="00D360DC">
        <w:rPr>
          <w:szCs w:val="26"/>
        </w:rPr>
        <w:t>.</w:t>
      </w:r>
      <w:r w:rsidRPr="6A220AF3">
        <w:rPr>
          <w:rStyle w:val="FootnoteReference"/>
        </w:rPr>
        <w:footnoteReference w:id="370"/>
      </w:r>
      <w:r w:rsidRPr="6A220AF3">
        <w:t xml:space="preserve">  The Joint Parties define the “ideal efficient state” as a home that is at least as efficient as a new construction home to</w:t>
      </w:r>
      <w:r>
        <w:rPr>
          <w:szCs w:val="26"/>
        </w:rPr>
        <w:t xml:space="preserve"> </w:t>
      </w:r>
      <w:r w:rsidRPr="6A220AF3">
        <w:t>the extent feasible and proposes that a technical working group be formed to determine the comprehensive measure list, develop the implementation guidelines, including setting the baseline and any ESA</w:t>
      </w:r>
      <w:r>
        <w:t xml:space="preserve"> cost effectiveness </w:t>
      </w:r>
      <w:r w:rsidRPr="6A220AF3">
        <w:t xml:space="preserve">thresholds.  The Joint Parties claim that a shift to this </w:t>
      </w:r>
      <w:r>
        <w:t>design</w:t>
      </w:r>
      <w:r w:rsidRPr="6A220AF3">
        <w:t xml:space="preserve"> would not have any immediate budget impacts because the proposal would start with the same budgets but apply a more comprehensive approach to provide</w:t>
      </w:r>
      <w:r>
        <w:rPr>
          <w:szCs w:val="26"/>
        </w:rPr>
        <w:t xml:space="preserve"> </w:t>
      </w:r>
      <w:r w:rsidRPr="6A220AF3">
        <w:t>greater benefits for each household served, whether in single-family or multifamily buildings.</w:t>
      </w:r>
      <w:r w:rsidRPr="6A220AF3">
        <w:rPr>
          <w:rStyle w:val="FootnoteReference"/>
        </w:rPr>
        <w:footnoteReference w:id="371"/>
      </w:r>
    </w:p>
    <w:p w:rsidR="000C1980" w:rsidP="001968DC" w:rsidRDefault="000C1980" w14:paraId="53C810B0" w14:textId="77777777">
      <w:pPr>
        <w:pStyle w:val="Heading4"/>
        <w:ind w:left="3600"/>
      </w:pPr>
      <w:bookmarkStart w:name="_Toc69947946" w:id="284"/>
      <w:r>
        <w:t>TURN</w:t>
      </w:r>
      <w:bookmarkEnd w:id="284"/>
    </w:p>
    <w:p w:rsidRPr="00EE742F" w:rsidR="000C1980" w:rsidP="004A13D0" w:rsidRDefault="000C1980" w14:paraId="3D351AF0" w14:textId="2C4705DC">
      <w:pPr>
        <w:pStyle w:val="Standard"/>
      </w:pPr>
      <w:r>
        <w:rPr>
          <w:b/>
          <w:bCs/>
          <w:i/>
          <w:iCs/>
          <w:u w:val="single"/>
        </w:rPr>
        <w:t xml:space="preserve">Consistency in </w:t>
      </w:r>
      <w:r w:rsidRPr="00DD5F34">
        <w:rPr>
          <w:b/>
          <w:bCs/>
          <w:i/>
          <w:iCs/>
          <w:u w:val="single"/>
        </w:rPr>
        <w:t>Tiered Approach:</w:t>
      </w:r>
      <w:r>
        <w:t xml:space="preserve"> TURN supports a design with a tiered approach stating that it can help balance the</w:t>
      </w:r>
      <w:r w:rsidRPr="00A73952">
        <w:t xml:space="preserve"> competing objectives of reaching as many households as possible, mak</w:t>
      </w:r>
      <w:r>
        <w:t>e a</w:t>
      </w:r>
      <w:r w:rsidRPr="00A73952">
        <w:t xml:space="preserve"> tangible dent in the energy burden or bills of participating households, and minim</w:t>
      </w:r>
      <w:r>
        <w:t xml:space="preserve">ize </w:t>
      </w:r>
      <w:r w:rsidRPr="00A73952">
        <w:t>costs</w:t>
      </w:r>
      <w:r>
        <w:t xml:space="preserve">.  However, TURN </w:t>
      </w:r>
      <w:r w:rsidRPr="00EE742F">
        <w:t xml:space="preserve">notes that the IOU proposals differs in their tiered offerings, (including the definition of a “high-usage” customer, different needs states, and measures), and recommends consistency across the definition of each tier in terms of eligibility, delivery, and type of offering.  TURN argues that a single approach to tiered delivery will </w:t>
      </w:r>
      <w:r w:rsidRPr="00EE742F">
        <w:lastRenderedPageBreak/>
        <w:t xml:space="preserve">facilitate evaluation and </w:t>
      </w:r>
      <w:r w:rsidRPr="00CE5F24">
        <w:t>review of performance across the IOUs</w:t>
      </w:r>
      <w:r w:rsidRPr="00EE742F">
        <w:t xml:space="preserve">, in addition to </w:t>
      </w:r>
      <w:r w:rsidRPr="00CE5F24">
        <w:t>help avoid customer and market confusion across multiple service territories</w:t>
      </w:r>
      <w:r w:rsidRPr="00EE742F">
        <w:t>.</w:t>
      </w:r>
      <w:r w:rsidRPr="00EE742F">
        <w:rPr>
          <w:vertAlign w:val="superscript"/>
        </w:rPr>
        <w:footnoteReference w:id="372"/>
      </w:r>
      <w:r w:rsidRPr="00EE742F">
        <w:t xml:space="preserve">  </w:t>
      </w:r>
    </w:p>
    <w:p w:rsidR="000C1980" w:rsidP="004A13D0" w:rsidRDefault="000C1980" w14:paraId="39572B5A" w14:textId="77777777">
      <w:pPr>
        <w:pStyle w:val="Standard"/>
      </w:pPr>
      <w:proofErr w:type="gramStart"/>
      <w:r>
        <w:rPr>
          <w:b/>
          <w:bCs/>
          <w:i/>
          <w:iCs/>
          <w:u w:val="single"/>
        </w:rPr>
        <w:t xml:space="preserve">Two </w:t>
      </w:r>
      <w:r w:rsidRPr="00DD5F34">
        <w:rPr>
          <w:b/>
          <w:bCs/>
          <w:i/>
          <w:iCs/>
          <w:u w:val="single"/>
        </w:rPr>
        <w:t>Tiered</w:t>
      </w:r>
      <w:proofErr w:type="gramEnd"/>
      <w:r w:rsidRPr="00DD5F34">
        <w:rPr>
          <w:b/>
          <w:bCs/>
          <w:i/>
          <w:iCs/>
          <w:u w:val="single"/>
        </w:rPr>
        <w:t xml:space="preserve"> Approach</w:t>
      </w:r>
      <w:r>
        <w:rPr>
          <w:b/>
          <w:bCs/>
          <w:i/>
          <w:iCs/>
          <w:u w:val="single"/>
        </w:rPr>
        <w:t>:</w:t>
      </w:r>
      <w:r>
        <w:t xml:space="preserve"> TURN </w:t>
      </w:r>
      <w:r w:rsidRPr="003732A5">
        <w:t>recommend</w:t>
      </w:r>
      <w:r>
        <w:t>s</w:t>
      </w:r>
      <w:r w:rsidRPr="003732A5">
        <w:t xml:space="preserve"> </w:t>
      </w:r>
      <w:r>
        <w:t xml:space="preserve">that there </w:t>
      </w:r>
      <w:r w:rsidRPr="003732A5">
        <w:t>be two tiers</w:t>
      </w:r>
      <w:r>
        <w:t xml:space="preserve">: 1) </w:t>
      </w:r>
      <w:r w:rsidRPr="003732A5">
        <w:t>Tier 1 should</w:t>
      </w:r>
      <w:r>
        <w:t xml:space="preserve"> </w:t>
      </w:r>
      <w:r w:rsidRPr="003732A5">
        <w:t xml:space="preserve">be </w:t>
      </w:r>
      <w:r>
        <w:t xml:space="preserve">a </w:t>
      </w:r>
      <w:r w:rsidRPr="003732A5">
        <w:t>basic service, including current offerings (</w:t>
      </w:r>
      <w:r w:rsidRPr="004A13D0">
        <w:rPr>
          <w:i/>
          <w:iCs/>
        </w:rPr>
        <w:t>e.g.,</w:t>
      </w:r>
      <w:r w:rsidRPr="003732A5">
        <w:t xml:space="preserve"> weather sealing, pipe and duct</w:t>
      </w:r>
      <w:r>
        <w:t xml:space="preserve"> </w:t>
      </w:r>
      <w:r w:rsidRPr="003732A5">
        <w:t>wrap, lighting), and Tier 2 should include more comprehensive treatments (</w:t>
      </w:r>
      <w:r w:rsidRPr="004A13D0">
        <w:rPr>
          <w:i/>
          <w:iCs/>
        </w:rPr>
        <w:t>e.g.,</w:t>
      </w:r>
      <w:r>
        <w:t xml:space="preserve"> </w:t>
      </w:r>
      <w:r w:rsidRPr="003732A5">
        <w:rPr>
          <w:szCs w:val="26"/>
        </w:rPr>
        <w:t>insulation, heat pumps, cool roofs).</w:t>
      </w:r>
      <w:r w:rsidRPr="00615FE4">
        <w:rPr>
          <w:szCs w:val="26"/>
        </w:rPr>
        <w:t xml:space="preserve">  TURN supports fl</w:t>
      </w:r>
      <w:r w:rsidRPr="003732A5">
        <w:rPr>
          <w:szCs w:val="26"/>
        </w:rPr>
        <w:t>exibility to divert resources away from a tier with lower participation or savings</w:t>
      </w:r>
      <w:r w:rsidRPr="00615FE4">
        <w:rPr>
          <w:szCs w:val="26"/>
        </w:rPr>
        <w:t xml:space="preserve"> </w:t>
      </w:r>
      <w:r w:rsidRPr="003732A5">
        <w:rPr>
          <w:szCs w:val="26"/>
        </w:rPr>
        <w:t xml:space="preserve">than planned to a tier with more demand, </w:t>
      </w:r>
      <w:r w:rsidRPr="00615FE4">
        <w:rPr>
          <w:szCs w:val="26"/>
        </w:rPr>
        <w:t>with transparency in the</w:t>
      </w:r>
      <w:r w:rsidRPr="003732A5">
        <w:rPr>
          <w:szCs w:val="26"/>
        </w:rPr>
        <w:t xml:space="preserve"> justification for</w:t>
      </w:r>
      <w:r w:rsidRPr="00615FE4">
        <w:rPr>
          <w:szCs w:val="26"/>
        </w:rPr>
        <w:t xml:space="preserve"> shifting</w:t>
      </w:r>
      <w:r>
        <w:rPr>
          <w:szCs w:val="26"/>
        </w:rPr>
        <w:t xml:space="preserve">.  </w:t>
      </w:r>
      <w:r w:rsidRPr="00615FE4">
        <w:rPr>
          <w:rFonts w:cs="TimesNewRomanPSMT"/>
          <w:szCs w:val="26"/>
        </w:rPr>
        <w:t>TURN proposes that a</w:t>
      </w:r>
      <w:r w:rsidRPr="00615FE4">
        <w:rPr>
          <w:szCs w:val="26"/>
        </w:rPr>
        <w:t>ll eligible customers</w:t>
      </w:r>
      <w:r>
        <w:rPr>
          <w:szCs w:val="26"/>
        </w:rPr>
        <w:t xml:space="preserve"> be eligible for Tier 2</w:t>
      </w:r>
      <w:r w:rsidRPr="00615FE4">
        <w:rPr>
          <w:szCs w:val="26"/>
        </w:rPr>
        <w:t xml:space="preserve">, regardless of their current energy usage, </w:t>
      </w:r>
      <w:r w:rsidRPr="00615FE4">
        <w:t>if determined</w:t>
      </w:r>
      <w:r>
        <w:t xml:space="preserve"> </w:t>
      </w:r>
      <w:r w:rsidRPr="00615FE4">
        <w:t xml:space="preserve">appropriate </w:t>
      </w:r>
      <w:r>
        <w:t xml:space="preserve">by </w:t>
      </w:r>
      <w:r w:rsidRPr="00615FE4">
        <w:t>a home energy audit</w:t>
      </w:r>
      <w:r>
        <w:t xml:space="preserve">.  </w:t>
      </w:r>
      <w:r w:rsidRPr="00615FE4">
        <w:t>Customers who do not want an audit, do not want to wait for an audit, or do not have viable opportunities for</w:t>
      </w:r>
      <w:r>
        <w:t xml:space="preserve"> </w:t>
      </w:r>
      <w:r w:rsidRPr="00615FE4">
        <w:t>comprehensive savings should receive Tier 1 treatment</w:t>
      </w:r>
      <w:r>
        <w:t xml:space="preserve">. </w:t>
      </w:r>
    </w:p>
    <w:p w:rsidRPr="00885AEF" w:rsidR="000C1980" w:rsidP="001968DC" w:rsidRDefault="000C1980" w14:paraId="6026DE15" w14:textId="77777777">
      <w:pPr>
        <w:pStyle w:val="Heading4"/>
        <w:ind w:left="3600"/>
      </w:pPr>
      <w:bookmarkStart w:name="_Toc69947947" w:id="285"/>
      <w:r w:rsidRPr="00885AEF">
        <w:t>TELACU et al.</w:t>
      </w:r>
      <w:bookmarkEnd w:id="285"/>
      <w:r w:rsidRPr="00885AEF">
        <w:t xml:space="preserve"> </w:t>
      </w:r>
    </w:p>
    <w:p w:rsidR="000C1980" w:rsidP="004A13D0" w:rsidRDefault="000C1980" w14:paraId="4E22A2EB" w14:textId="43B6CC42">
      <w:pPr>
        <w:pStyle w:val="Standard"/>
      </w:pPr>
      <w:r w:rsidRPr="0054032A">
        <w:rPr>
          <w:b/>
          <w:bCs/>
          <w:i/>
          <w:iCs/>
          <w:u w:val="single"/>
        </w:rPr>
        <w:t>SoCalGas</w:t>
      </w:r>
      <w:r>
        <w:rPr>
          <w:b/>
          <w:bCs/>
          <w:i/>
          <w:iCs/>
          <w:u w:val="single"/>
        </w:rPr>
        <w:t>’</w:t>
      </w:r>
      <w:r w:rsidRPr="0054032A">
        <w:rPr>
          <w:b/>
          <w:bCs/>
          <w:i/>
          <w:iCs/>
          <w:u w:val="single"/>
        </w:rPr>
        <w:t xml:space="preserve"> Design:</w:t>
      </w:r>
      <w:r>
        <w:t xml:space="preserve"> </w:t>
      </w:r>
      <w:r w:rsidRPr="00515819">
        <w:t xml:space="preserve">TELACU et al. </w:t>
      </w:r>
      <w:r w:rsidRPr="000B3B39">
        <w:t>generally support</w:t>
      </w:r>
      <w:r>
        <w:t>s</w:t>
      </w:r>
      <w:r w:rsidRPr="000B3B39">
        <w:t xml:space="preserve"> all components of SoCalGas’ application but questions whether the proposed budget is sufficient to deal with the increased demand for ESA services</w:t>
      </w:r>
      <w:r>
        <w:t>.</w:t>
      </w:r>
      <w:r w:rsidRPr="000B3B39">
        <w:rPr>
          <w:vertAlign w:val="superscript"/>
        </w:rPr>
        <w:footnoteReference w:id="373"/>
      </w:r>
      <w:r w:rsidRPr="000B3B39">
        <w:t xml:space="preserve"> </w:t>
      </w:r>
      <w:r w:rsidR="00063730">
        <w:t xml:space="preserve">Also if a tiered approach is implemented, TELACU et al. </w:t>
      </w:r>
      <w:r w:rsidR="00E340CC">
        <w:t xml:space="preserve">states that </w:t>
      </w:r>
      <w:r w:rsidRPr="00E340CC" w:rsidR="00E340CC">
        <w:t>all</w:t>
      </w:r>
      <w:r w:rsidR="00E340CC">
        <w:t xml:space="preserve"> </w:t>
      </w:r>
      <w:r w:rsidRPr="00E340CC" w:rsidR="00E340CC">
        <w:t xml:space="preserve">customers, regardless of their current energy usage, </w:t>
      </w:r>
      <w:r w:rsidR="00E340CC">
        <w:t xml:space="preserve">should </w:t>
      </w:r>
      <w:r w:rsidRPr="00E340CC" w:rsidR="00E340CC">
        <w:t>be offered the choice of receiving more</w:t>
      </w:r>
      <w:r w:rsidR="00E340CC">
        <w:t xml:space="preserve"> </w:t>
      </w:r>
      <w:r w:rsidRPr="00E340CC" w:rsidR="00E340CC">
        <w:t>comprehensive measures under other tiers</w:t>
      </w:r>
      <w:r w:rsidR="00E340CC">
        <w:t xml:space="preserve">, and should be </w:t>
      </w:r>
      <w:r w:rsidRPr="00E340CC" w:rsidR="00E340CC">
        <w:t xml:space="preserve">implemented in a manner that does not exclude some of </w:t>
      </w:r>
      <w:r w:rsidR="00E340CC">
        <w:t>the</w:t>
      </w:r>
      <w:r w:rsidRPr="00E340CC" w:rsidR="00E340CC">
        <w:t xml:space="preserve"> most vulnerable populations</w:t>
      </w:r>
      <w:r w:rsidR="00E340CC">
        <w:t>.</w:t>
      </w:r>
      <w:r w:rsidR="00E340CC">
        <w:rPr>
          <w:rStyle w:val="FootnoteReference"/>
          <w:rFonts w:eastAsiaTheme="minorEastAsia"/>
        </w:rPr>
        <w:footnoteReference w:id="374"/>
      </w:r>
    </w:p>
    <w:p w:rsidR="000C1980" w:rsidP="001968DC" w:rsidRDefault="000C1980" w14:paraId="21D102AA" w14:textId="77777777">
      <w:pPr>
        <w:pStyle w:val="Heading4"/>
        <w:ind w:left="3600"/>
      </w:pPr>
      <w:bookmarkStart w:name="_Toc69947948" w:id="286"/>
      <w:r>
        <w:lastRenderedPageBreak/>
        <w:t>PCF</w:t>
      </w:r>
      <w:bookmarkEnd w:id="286"/>
    </w:p>
    <w:p w:rsidR="000C1980" w:rsidP="004A13D0" w:rsidRDefault="000C1980" w14:paraId="6A5FFFCF" w14:textId="77777777">
      <w:pPr>
        <w:pStyle w:val="Standard"/>
      </w:pPr>
      <w:r w:rsidRPr="001A3D30">
        <w:rPr>
          <w:b/>
          <w:bCs/>
          <w:i/>
          <w:iCs/>
          <w:u w:val="single"/>
        </w:rPr>
        <w:t>SDG&amp;E’s Design:</w:t>
      </w:r>
      <w:r>
        <w:t xml:space="preserve"> PCF opposes </w:t>
      </w:r>
      <w:r w:rsidRPr="0035180E">
        <w:t xml:space="preserve">SDG&amp;E’s proposed ESA </w:t>
      </w:r>
      <w:r>
        <w:t>p</w:t>
      </w:r>
      <w:r w:rsidRPr="0035180E">
        <w:t xml:space="preserve">rogram </w:t>
      </w:r>
      <w:r>
        <w:t xml:space="preserve">stating that it </w:t>
      </w:r>
      <w:r w:rsidRPr="0035180E">
        <w:t xml:space="preserve">should </w:t>
      </w:r>
      <w:r>
        <w:t xml:space="preserve">instead </w:t>
      </w:r>
      <w:r w:rsidRPr="0035180E">
        <w:t xml:space="preserve">be modeled </w:t>
      </w:r>
      <w:r>
        <w:t>after</w:t>
      </w:r>
      <w:r w:rsidRPr="0035180E">
        <w:t xml:space="preserve"> the Staff Proposal</w:t>
      </w:r>
      <w:r>
        <w:t xml:space="preserve">, and that a </w:t>
      </w:r>
      <w:r w:rsidRPr="0035180E">
        <w:t xml:space="preserve">primary objective of the </w:t>
      </w:r>
      <w:r>
        <w:t>p</w:t>
      </w:r>
      <w:r w:rsidRPr="0035180E">
        <w:t>rogram going forward should be whole house solar plus battery storage upgrades</w:t>
      </w:r>
      <w:r>
        <w:t>.</w:t>
      </w:r>
      <w:r>
        <w:rPr>
          <w:rStyle w:val="FootnoteReference"/>
          <w:rFonts w:eastAsiaTheme="minorEastAsia"/>
        </w:rPr>
        <w:footnoteReference w:id="375"/>
      </w:r>
    </w:p>
    <w:p w:rsidR="000C1980" w:rsidP="001968DC" w:rsidRDefault="000C1980" w14:paraId="7FE5900C" w14:textId="77777777">
      <w:pPr>
        <w:pStyle w:val="Heading3"/>
        <w:ind w:left="2664"/>
      </w:pPr>
      <w:bookmarkStart w:name="_Toc69947949" w:id="287"/>
      <w:r>
        <w:t>IOU Response</w:t>
      </w:r>
      <w:bookmarkEnd w:id="287"/>
    </w:p>
    <w:p w:rsidRPr="00C052E9" w:rsidR="000C1980" w:rsidP="001968DC" w:rsidRDefault="000C1980" w14:paraId="24D4131F" w14:textId="77777777">
      <w:pPr>
        <w:pStyle w:val="Heading4"/>
        <w:ind w:left="3600"/>
      </w:pPr>
      <w:bookmarkStart w:name="_Toc69947950" w:id="288"/>
      <w:r w:rsidRPr="00C052E9">
        <w:t>PG&amp;E</w:t>
      </w:r>
      <w:bookmarkEnd w:id="288"/>
    </w:p>
    <w:p w:rsidR="000C1980" w:rsidP="004A13D0" w:rsidRDefault="000C1980" w14:paraId="76EE625A" w14:textId="767CDFD6">
      <w:pPr>
        <w:pStyle w:val="Standard"/>
      </w:pPr>
      <w:r>
        <w:rPr>
          <w:b/>
          <w:bCs/>
          <w:i/>
          <w:iCs/>
          <w:u w:val="single"/>
        </w:rPr>
        <w:t>Ideal Efficient State</w:t>
      </w:r>
      <w:r w:rsidRPr="00C052E9">
        <w:rPr>
          <w:b/>
          <w:bCs/>
          <w:i/>
          <w:iCs/>
          <w:u w:val="single"/>
        </w:rPr>
        <w:t>:</w:t>
      </w:r>
      <w:r>
        <w:t xml:space="preserve"> </w:t>
      </w:r>
      <w:r w:rsidRPr="00226EDB">
        <w:t xml:space="preserve">PG&amp;E supports a </w:t>
      </w:r>
      <w:r w:rsidRPr="00C27BFA">
        <w:t xml:space="preserve">budget cap per treated household/unit/ multifamily building </w:t>
      </w:r>
      <w:r w:rsidRPr="00226EDB">
        <w:t xml:space="preserve">under the Joint Parties’ “ideal efficient state” proposal, </w:t>
      </w:r>
      <w:r>
        <w:t xml:space="preserve">but states </w:t>
      </w:r>
      <w:r w:rsidRPr="00226EDB">
        <w:t>that b</w:t>
      </w:r>
      <w:r w:rsidRPr="00C27BFA">
        <w:t>ringing an existing ESA home to current building code may be cost</w:t>
      </w:r>
      <w:r w:rsidRPr="00226EDB">
        <w:t xml:space="preserve"> </w:t>
      </w:r>
      <w:r w:rsidRPr="00C27BFA">
        <w:t>prohibitive for ESA</w:t>
      </w:r>
      <w:r w:rsidRPr="00226EDB">
        <w:t>, so w</w:t>
      </w:r>
      <w:r w:rsidRPr="00C27BFA">
        <w:t>ithout a per</w:t>
      </w:r>
      <w:r w:rsidRPr="00226EDB">
        <w:t xml:space="preserve"> </w:t>
      </w:r>
      <w:r w:rsidRPr="00C27BFA">
        <w:t>treated home budget cap,</w:t>
      </w:r>
      <w:r w:rsidRPr="00226EDB">
        <w:t xml:space="preserve"> </w:t>
      </w:r>
      <w:r w:rsidRPr="00C27BFA">
        <w:t xml:space="preserve">significant program dollars </w:t>
      </w:r>
      <w:r w:rsidRPr="00226EDB">
        <w:t>might be</w:t>
      </w:r>
      <w:r w:rsidRPr="00C27BFA">
        <w:t xml:space="preserve"> invested in retrofitting buildings rather than providing energy efficiency</w:t>
      </w:r>
      <w:r w:rsidRPr="00226EDB">
        <w:t xml:space="preserve"> </w:t>
      </w:r>
      <w:r w:rsidRPr="00C27BFA">
        <w:t>measures</w:t>
      </w:r>
      <w:r>
        <w:t xml:space="preserve">.  PG&amp;E also </w:t>
      </w:r>
      <w:r w:rsidRPr="00226EDB">
        <w:t xml:space="preserve">notes that spending significant </w:t>
      </w:r>
      <w:r w:rsidR="00DB1913">
        <w:t>funds</w:t>
      </w:r>
      <w:r w:rsidRPr="007C3CA7">
        <w:t xml:space="preserve"> to bring homes up to code would have a significant</w:t>
      </w:r>
      <w:r w:rsidRPr="00226EDB">
        <w:t xml:space="preserve"> negative impact on achieving cost-effectiveness.</w:t>
      </w:r>
      <w:r w:rsidRPr="00A8601F">
        <w:rPr>
          <w:vertAlign w:val="superscript"/>
        </w:rPr>
        <w:footnoteReference w:id="376"/>
      </w:r>
      <w:r>
        <w:t xml:space="preserve"> </w:t>
      </w:r>
    </w:p>
    <w:p w:rsidRPr="00C545CE" w:rsidR="000C1980" w:rsidP="001968DC" w:rsidRDefault="000C1980" w14:paraId="32400B96" w14:textId="77777777">
      <w:pPr>
        <w:pStyle w:val="Heading4"/>
        <w:ind w:left="3600"/>
      </w:pPr>
      <w:bookmarkStart w:name="_Toc69947951" w:id="289"/>
      <w:r w:rsidRPr="00C545CE">
        <w:t>SDG&amp;E</w:t>
      </w:r>
      <w:bookmarkEnd w:id="289"/>
    </w:p>
    <w:p w:rsidR="000C1980" w:rsidP="004A13D0" w:rsidRDefault="000C1980" w14:paraId="5E093AC1" w14:textId="77777777">
      <w:pPr>
        <w:pStyle w:val="Standard"/>
      </w:pPr>
      <w:r w:rsidRPr="00E65FA8">
        <w:rPr>
          <w:b/>
          <w:bCs/>
          <w:i/>
          <w:iCs/>
          <w:u w:val="single"/>
        </w:rPr>
        <w:t>Ideal Efficient State:</w:t>
      </w:r>
      <w:r>
        <w:t xml:space="preserve"> SDG&amp;E states that Joint Parties’ proposal </w:t>
      </w:r>
      <w:r w:rsidRPr="007A1FC7">
        <w:t>disregards the budget implications and fails to provide information on the estimated costs</w:t>
      </w:r>
      <w:r>
        <w:t>.</w:t>
      </w:r>
    </w:p>
    <w:p w:rsidR="000C1980" w:rsidP="004A13D0" w:rsidRDefault="000C1980" w14:paraId="231FDFF9" w14:textId="77777777">
      <w:pPr>
        <w:pStyle w:val="Standard"/>
      </w:pPr>
      <w:r w:rsidRPr="6A220AF3">
        <w:rPr>
          <w:rFonts w:cs="TimesNewRomanPSMT"/>
          <w:b/>
          <w:i/>
          <w:u w:val="single"/>
        </w:rPr>
        <w:t>Treatment of Go Backs:</w:t>
      </w:r>
      <w:r w:rsidRPr="6A220AF3">
        <w:rPr>
          <w:rFonts w:cs="TimesNewRomanPSMT"/>
        </w:rPr>
        <w:t xml:space="preserve"> </w:t>
      </w:r>
      <w:r w:rsidRPr="6A220AF3">
        <w:t xml:space="preserve">SDG&amp;E opposes EEC’s proposal to remove the restrictions on treating previously treated homes, or go backs, stating that the </w:t>
      </w:r>
      <w:r w:rsidRPr="000A34AD">
        <w:t>Commission has provided sufficient flexibility to the utilities to broadly implement</w:t>
      </w:r>
      <w:r>
        <w:t xml:space="preserve"> </w:t>
      </w:r>
      <w:r w:rsidRPr="000A34AD">
        <w:t xml:space="preserve">go-back strategies, </w:t>
      </w:r>
      <w:r>
        <w:t>it is unnecessary to r</w:t>
      </w:r>
      <w:r w:rsidRPr="000A34AD">
        <w:t>emov</w:t>
      </w:r>
      <w:r>
        <w:t xml:space="preserve">e the </w:t>
      </w:r>
      <w:r w:rsidRPr="000A34AD">
        <w:t>restrictions</w:t>
      </w:r>
      <w:r>
        <w:t xml:space="preserve">, and </w:t>
      </w:r>
      <w:r>
        <w:lastRenderedPageBreak/>
        <w:t>c</w:t>
      </w:r>
      <w:r w:rsidRPr="000A34AD">
        <w:t>hecks and balances</w:t>
      </w:r>
      <w:r>
        <w:t xml:space="preserve"> are important </w:t>
      </w:r>
      <w:r w:rsidRPr="000A34AD">
        <w:t>to ensure that contractors are not unnecessarily reinstalling</w:t>
      </w:r>
      <w:r>
        <w:t xml:space="preserve"> </w:t>
      </w:r>
      <w:r w:rsidRPr="000A34AD">
        <w:t>measures during repeat visits</w:t>
      </w:r>
      <w:r w:rsidRPr="005D268E">
        <w:t>.</w:t>
      </w:r>
      <w:r>
        <w:rPr>
          <w:rStyle w:val="FootnoteReference"/>
        </w:rPr>
        <w:footnoteReference w:id="377"/>
      </w:r>
      <w:r>
        <w:t xml:space="preserve">  </w:t>
      </w:r>
    </w:p>
    <w:p w:rsidR="000C1980" w:rsidP="001968DC" w:rsidRDefault="000C1980" w14:paraId="18E00F7A" w14:textId="77777777">
      <w:pPr>
        <w:pStyle w:val="Heading3"/>
        <w:ind w:left="2664"/>
      </w:pPr>
      <w:bookmarkStart w:name="_Toc69947952" w:id="290"/>
      <w:r>
        <w:t>Discussion</w:t>
      </w:r>
      <w:bookmarkEnd w:id="290"/>
    </w:p>
    <w:p w:rsidRPr="007A5502" w:rsidR="000C1980" w:rsidP="001968DC" w:rsidRDefault="000C1980" w14:paraId="66BE81C0" w14:textId="77777777">
      <w:pPr>
        <w:pStyle w:val="Heading4"/>
        <w:ind w:left="3600"/>
      </w:pPr>
      <w:bookmarkStart w:name="_Toc69947953" w:id="291"/>
      <w:r w:rsidRPr="007A5502">
        <w:t xml:space="preserve">IOU Designs: </w:t>
      </w:r>
      <w:r w:rsidRPr="00FB4AE6">
        <w:rPr>
          <w:u w:val="single"/>
        </w:rPr>
        <w:t>Approved with Additional Reporting Requirements</w:t>
      </w:r>
      <w:bookmarkEnd w:id="291"/>
    </w:p>
    <w:p w:rsidR="000C1980" w:rsidP="004A13D0" w:rsidRDefault="000C1980" w14:paraId="35849910" w14:textId="51EF3FF2">
      <w:pPr>
        <w:pStyle w:val="Standard"/>
      </w:pPr>
      <w:r>
        <w:t xml:space="preserve">This decision approves the IOUs’ proposed delivery approach, shifting away from the goal of treating all eligible and willing households </w:t>
      </w:r>
      <w:r w:rsidR="009311EE">
        <w:t>towards</w:t>
      </w:r>
      <w:r>
        <w:t xml:space="preserve"> a customer-centered prioritization model based on household needs and customer profile. The customer-centered prioritization model seeks to maximize the individual household’s energy savings, and HCS benefits based on the household’s unique profile.  Each household profile should include, but is not limited to, characteristics based on demographics, financial situation, geography, and health status. This delivery model includes allowing online audits prior to in-home visits, limited self-installation of simple measures, limited self- assessments, targeted treatment tiers based on customer segments and needs, and the move towards deeper and more thoughtful retrofits.  </w:t>
      </w:r>
    </w:p>
    <w:p w:rsidR="000C1980" w:rsidP="004A13D0" w:rsidRDefault="000C1980" w14:paraId="3AF0CD62" w14:textId="2FA41DA3">
      <w:pPr>
        <w:pStyle w:val="Standard"/>
      </w:pPr>
      <w:r>
        <w:t xml:space="preserve">The Commission’s approval is predicated on a </w:t>
      </w:r>
      <w:proofErr w:type="gramStart"/>
      <w:r>
        <w:t>higher level</w:t>
      </w:r>
      <w:proofErr w:type="gramEnd"/>
      <w:r>
        <w:t xml:space="preserve"> regulatory touch such that the IOUs can meet their portfolio energy savings goals by delivering treatments to customers based on the needs within their own service territories. </w:t>
      </w:r>
      <w:r w:rsidR="004A13D0">
        <w:t xml:space="preserve"> </w:t>
      </w:r>
      <w:r>
        <w:t xml:space="preserve">This shift away from the previous delivery model based on treating all eligible and willing households and on technical feasibility, and towards the IOUs’ customer-centered prioritization delivery model also identifies the need for a tiered delivery structure, where customers and households are provided the </w:t>
      </w:r>
      <w:proofErr w:type="gramStart"/>
      <w:r>
        <w:t>services</w:t>
      </w:r>
      <w:proofErr w:type="gramEnd"/>
      <w:r>
        <w:t xml:space="preserve"> they uniquely need, as opposed to a more generalized approach that benefits the previous number of treatments goal. </w:t>
      </w:r>
    </w:p>
    <w:p w:rsidR="000C1980" w:rsidP="004A13D0" w:rsidRDefault="000C1980" w14:paraId="430408E2" w14:textId="7A96C48A">
      <w:pPr>
        <w:pStyle w:val="Standard"/>
      </w:pPr>
      <w:r>
        <w:lastRenderedPageBreak/>
        <w:t xml:space="preserve">We agree </w:t>
      </w:r>
      <w:r w:rsidR="00B655D5">
        <w:t xml:space="preserve">in part </w:t>
      </w:r>
      <w:r>
        <w:t>with TURN in their request to “establish (a) process to set common tiers”</w:t>
      </w:r>
      <w:r>
        <w:rPr>
          <w:rStyle w:val="FootnoteReference"/>
        </w:rPr>
        <w:footnoteReference w:id="378"/>
      </w:r>
      <w:r>
        <w:t xml:space="preserve"> but deny their request for a </w:t>
      </w:r>
      <w:proofErr w:type="gramStart"/>
      <w:r>
        <w:t>two tier</w:t>
      </w:r>
      <w:proofErr w:type="gramEnd"/>
      <w:r>
        <w:t xml:space="preserve"> model.  We re-affirm the </w:t>
      </w:r>
      <w:proofErr w:type="gramStart"/>
      <w:r>
        <w:t>three tiered</w:t>
      </w:r>
      <w:proofErr w:type="gramEnd"/>
      <w:r>
        <w:t xml:space="preserve"> approach to meet the varied needs of low income households throughout the state – the “basic” package for most households, the “plus” package for specialized needs, and the “deep” package for the neediest.  We also disagree with EEC, La </w:t>
      </w:r>
      <w:proofErr w:type="spellStart"/>
      <w:r>
        <w:t>Cooperativa</w:t>
      </w:r>
      <w:proofErr w:type="spellEnd"/>
      <w:r>
        <w:t xml:space="preserve">, and </w:t>
      </w:r>
      <w:proofErr w:type="spellStart"/>
      <w:r>
        <w:t>CforAT</w:t>
      </w:r>
      <w:proofErr w:type="spellEnd"/>
      <w:r>
        <w:t xml:space="preserve"> that SCE’s delivery model will only address high users and leave out households in need, given that SCE’s Basic package is more extensive than the other IOUs, and is potentially available to all income eligible households, with a priority for households in need, including the customers that are newly-eligible, hard-to-reach, medically disabled, </w:t>
      </w:r>
      <w:r w:rsidR="005E3804">
        <w:t>T</w:t>
      </w:r>
      <w:r>
        <w:t>ribal, seniors, DACs, and subject to disconnections.</w:t>
      </w:r>
      <w:r>
        <w:rPr>
          <w:rStyle w:val="FootnoteReference"/>
        </w:rPr>
        <w:footnoteReference w:id="379"/>
      </w:r>
      <w:r>
        <w:t xml:space="preserve">  But to address party concerns regarding certain customers being left behind under this new design, we will require the IOUs to use data collected from the reporting requirements to determine if the needs of intentionally-low energy users are being met through the tiered delivery structure. </w:t>
      </w:r>
    </w:p>
    <w:p w:rsidR="000C1980" w:rsidP="004A13D0" w:rsidRDefault="000C1980" w14:paraId="0CD5AF9B" w14:textId="3EFEE8DB">
      <w:pPr>
        <w:pStyle w:val="Standard"/>
      </w:pPr>
      <w:r>
        <w:t xml:space="preserve">Also, within </w:t>
      </w:r>
      <w:r w:rsidR="004D3E62">
        <w:t xml:space="preserve">90 </w:t>
      </w:r>
      <w:r>
        <w:t xml:space="preserve">days </w:t>
      </w:r>
      <w:r w:rsidRPr="00C47214" w:rsidR="00C47214">
        <w:t xml:space="preserve">after the approval </w:t>
      </w:r>
      <w:r>
        <w:t xml:space="preserve">of this decision, the IOUs shall submit a joint compliance filing in the form of a Tier 2 advice letter to develop a common set of measures within each treatment tier.  The IOUs shall also detail in the advice letter what level of treatment will be provided to which customer segments </w:t>
      </w:r>
      <w:proofErr w:type="gramStart"/>
      <w:r>
        <w:t>in order to</w:t>
      </w:r>
      <w:proofErr w:type="gramEnd"/>
      <w:r>
        <w:t xml:space="preserve"> provide consistency statewide in how the ESA program is designed and delivered, (</w:t>
      </w:r>
      <w:r w:rsidRPr="004A13D0">
        <w:rPr>
          <w:i/>
          <w:iCs/>
        </w:rPr>
        <w:t>see</w:t>
      </w:r>
      <w:r>
        <w:t xml:space="preserve"> Section 6.16).  </w:t>
      </w:r>
    </w:p>
    <w:p w:rsidR="000C1980" w:rsidP="004A13D0" w:rsidRDefault="000C1980" w14:paraId="7CBE7731" w14:textId="674E20D8">
      <w:pPr>
        <w:pStyle w:val="Standard"/>
      </w:pPr>
      <w:r>
        <w:t xml:space="preserve">Lastly, to learn from each of the IOUs’ varied models, and to track progress towards meeting the goals set, additional data is needed.  In addition to </w:t>
      </w:r>
      <w:r>
        <w:lastRenderedPageBreak/>
        <w:t xml:space="preserve">the compliance filing, we direct the IOUs to report on activity by customer segments and needs state, to collect more data towards tracking program goals, </w:t>
      </w:r>
      <w:proofErr w:type="gramStart"/>
      <w:r w:rsidR="00DA5E77">
        <w:t>so as to</w:t>
      </w:r>
      <w:proofErr w:type="gramEnd"/>
      <w:r w:rsidR="00DA5E77">
        <w:t xml:space="preserve"> </w:t>
      </w:r>
      <w:r>
        <w:t xml:space="preserve">help inform future program goals, and design and delivery. </w:t>
      </w:r>
    </w:p>
    <w:p w:rsidRPr="00224C8B" w:rsidR="000C1980" w:rsidP="001968DC" w:rsidRDefault="000C1980" w14:paraId="31EF813F" w14:textId="77777777">
      <w:pPr>
        <w:pStyle w:val="Heading4"/>
        <w:ind w:left="3600"/>
      </w:pPr>
      <w:bookmarkStart w:name="_Toc69947954" w:id="292"/>
      <w:r w:rsidRPr="00224C8B">
        <w:t xml:space="preserve">Ideal Efficient State: </w:t>
      </w:r>
      <w:r w:rsidRPr="00224C8B">
        <w:rPr>
          <w:u w:val="single"/>
        </w:rPr>
        <w:t>Denied</w:t>
      </w:r>
      <w:bookmarkEnd w:id="292"/>
    </w:p>
    <w:p w:rsidR="000C1980" w:rsidP="004A13D0" w:rsidRDefault="000C1980" w14:paraId="4C3E1DD6" w14:textId="480A3DB4">
      <w:pPr>
        <w:pStyle w:val="Standard"/>
      </w:pPr>
      <w:r>
        <w:t xml:space="preserve">We deny the Joint Parties’ </w:t>
      </w:r>
      <w:r w:rsidRPr="00FD1B60">
        <w:t>“ideal efficient state”</w:t>
      </w:r>
      <w:r>
        <w:t xml:space="preserve"> proposal for reasons related to unknown costs of the proposal, unknown timeframes to execute, and similarity to current program design of offering all feasible measures.  While the Commission appreciates the Joint Parties suggesting an interesting and different approach to implementing the ESA program, there are too many unknown variables to dramatically change the nature and implementation approach of the ESA program to this suggested model. </w:t>
      </w:r>
    </w:p>
    <w:p w:rsidR="000C1980" w:rsidP="004A13D0" w:rsidRDefault="000C1980" w14:paraId="060B6D51" w14:textId="5524AD46">
      <w:pPr>
        <w:pStyle w:val="Standard"/>
      </w:pPr>
      <w:r>
        <w:t xml:space="preserve">Although we acknowledge that the “ideal efficient state” will elevate every treated home by offering more measures and potentially greater savings, this approach appears to be an enhanced prescriptive “check-list” approach to program implementation under the old ESA design, and runs counter to the move towards customized, strategic treatments by tiers and customer needs.  Additionally, in simply offering a more enhanced measures list to all, we may be doing so at the expense of cost containment and cost effectiveness.  The Joint Parties did not provide estimated costs for this design, especially considering their proposal to not cap </w:t>
      </w:r>
      <w:r w:rsidRPr="00144036">
        <w:t xml:space="preserve">measures </w:t>
      </w:r>
      <w:r>
        <w:t>for the</w:t>
      </w:r>
      <w:r w:rsidRPr="00144036">
        <w:t xml:space="preserve"> household/unit/multifamily building</w:t>
      </w:r>
      <w:r>
        <w:t xml:space="preserve">.  While the Joint Parties argue that the cost of this proposal would be tied to the budgets currently proposed, it still does not provide enough information on the energy savings, treatment numbers or cost-effectiveness impacts, leaving the Commission without a clear understanding of cost implications to ratepayers.  There is also a lack </w:t>
      </w:r>
      <w:r w:rsidR="00906513">
        <w:t xml:space="preserve">of </w:t>
      </w:r>
      <w:r>
        <w:t>details around the timeframe of creating a</w:t>
      </w:r>
      <w:r w:rsidRPr="6A220AF3">
        <w:t xml:space="preserve"> technical working group </w:t>
      </w:r>
      <w:r>
        <w:t>to</w:t>
      </w:r>
      <w:r w:rsidRPr="6A220AF3">
        <w:t xml:space="preserve"> determine the comprehensive measure list, develop</w:t>
      </w:r>
      <w:r>
        <w:t>ing</w:t>
      </w:r>
      <w:r w:rsidRPr="6A220AF3">
        <w:t xml:space="preserve"> the </w:t>
      </w:r>
      <w:r w:rsidRPr="6A220AF3">
        <w:lastRenderedPageBreak/>
        <w:t>implementation guidelines, including setting the baseline and any ESA</w:t>
      </w:r>
      <w:r>
        <w:t xml:space="preserve"> cost effectiveness </w:t>
      </w:r>
      <w:r w:rsidRPr="6A220AF3">
        <w:t>thresholds</w:t>
      </w:r>
      <w:r>
        <w:t xml:space="preserve">, or what would happen if no consensus on an “ideal efficient state” was met.  We agree with the IOUs that further analysis is needed and believe that there exist challenges beyond just the timing and implementation details.   Given all the uncertainty, and lack of data supporting this </w:t>
      </w:r>
      <w:r w:rsidR="00401B8A">
        <w:t>proposal</w:t>
      </w:r>
      <w:r>
        <w:t xml:space="preserve">, </w:t>
      </w:r>
      <w:r w:rsidR="00401B8A">
        <w:t>it</w:t>
      </w:r>
      <w:r>
        <w:t xml:space="preserve"> is denied. </w:t>
      </w:r>
    </w:p>
    <w:p w:rsidRPr="002E427F" w:rsidR="000C1980" w:rsidP="001968DC" w:rsidRDefault="000C1980" w14:paraId="7F6D7658" w14:textId="77777777">
      <w:pPr>
        <w:pStyle w:val="Heading4"/>
        <w:ind w:left="3600"/>
      </w:pPr>
      <w:bookmarkStart w:name="_Toc69947955" w:id="293"/>
      <w:proofErr w:type="gramStart"/>
      <w:r w:rsidRPr="002E427F">
        <w:t>Two Tiered</w:t>
      </w:r>
      <w:proofErr w:type="gramEnd"/>
      <w:r w:rsidRPr="002E427F">
        <w:t xml:space="preserve"> Approach</w:t>
      </w:r>
      <w:r>
        <w:t xml:space="preserve">: </w:t>
      </w:r>
      <w:r w:rsidRPr="002E427F">
        <w:rPr>
          <w:u w:val="single"/>
        </w:rPr>
        <w:t>Denied</w:t>
      </w:r>
      <w:bookmarkEnd w:id="293"/>
    </w:p>
    <w:p w:rsidRPr="00AA0764" w:rsidR="000C1980" w:rsidP="004A13D0" w:rsidRDefault="000C1980" w14:paraId="2561F778" w14:textId="77777777">
      <w:pPr>
        <w:pStyle w:val="Standard"/>
      </w:pPr>
      <w:r>
        <w:t xml:space="preserve">We deny TURN’s proposal for a </w:t>
      </w:r>
      <w:proofErr w:type="gramStart"/>
      <w:r>
        <w:t>two tiered</w:t>
      </w:r>
      <w:proofErr w:type="gramEnd"/>
      <w:r>
        <w:t xml:space="preserve"> approach in favor of a three tiered approach for the reasons discussed above.   </w:t>
      </w:r>
    </w:p>
    <w:p w:rsidRPr="002E427F" w:rsidR="000C1980" w:rsidP="001968DC" w:rsidRDefault="000C1980" w14:paraId="3A5F86D8" w14:textId="77777777">
      <w:pPr>
        <w:pStyle w:val="Heading4"/>
        <w:ind w:left="3600"/>
      </w:pPr>
      <w:bookmarkStart w:name="_Toc69947956" w:id="294"/>
      <w:r w:rsidRPr="002E427F">
        <w:t xml:space="preserve">Treatment of Go-Backs: </w:t>
      </w:r>
      <w:r w:rsidRPr="002E427F">
        <w:rPr>
          <w:u w:val="single"/>
        </w:rPr>
        <w:t>Denied</w:t>
      </w:r>
      <w:bookmarkEnd w:id="294"/>
    </w:p>
    <w:p w:rsidR="000C1980" w:rsidP="004A13D0" w:rsidRDefault="000C1980" w14:paraId="7DC4D48C" w14:textId="77631473">
      <w:pPr>
        <w:pStyle w:val="Standard"/>
      </w:pPr>
      <w:r>
        <w:t xml:space="preserve">We deny </w:t>
      </w:r>
      <w:r w:rsidRPr="001B6A7D">
        <w:t>EEC</w:t>
      </w:r>
      <w:r>
        <w:t xml:space="preserve">’s proposals to remove all restrictions and the current policy for going back to a previously treated home.  </w:t>
      </w:r>
      <w:r w:rsidRPr="001B6A7D">
        <w:t xml:space="preserve">When the Commission eliminated the </w:t>
      </w:r>
      <w:r>
        <w:t>g</w:t>
      </w:r>
      <w:r w:rsidRPr="001B6A7D">
        <w:t>o-</w:t>
      </w:r>
      <w:r>
        <w:t>b</w:t>
      </w:r>
      <w:r w:rsidRPr="001B6A7D">
        <w:t xml:space="preserve">ack </w:t>
      </w:r>
      <w:r>
        <w:t>r</w:t>
      </w:r>
      <w:r w:rsidRPr="001B6A7D">
        <w:t>ule</w:t>
      </w:r>
      <w:r>
        <w:t>,</w:t>
      </w:r>
      <w:r w:rsidRPr="00BA05A1">
        <w:rPr>
          <w:vertAlign w:val="superscript"/>
        </w:rPr>
        <w:footnoteReference w:id="380"/>
      </w:r>
      <w:r w:rsidRPr="001B6A7D">
        <w:t xml:space="preserve"> it </w:t>
      </w:r>
      <w:r>
        <w:t xml:space="preserve">was </w:t>
      </w:r>
      <w:r w:rsidRPr="001B6A7D">
        <w:t>replaced with directives</w:t>
      </w:r>
      <w:r>
        <w:t xml:space="preserve"> </w:t>
      </w:r>
      <w:r w:rsidRPr="001B6A7D">
        <w:t>to prioritize households that have yet to be treated, households in areas where participation rates</w:t>
      </w:r>
      <w:r>
        <w:t xml:space="preserve"> </w:t>
      </w:r>
      <w:r w:rsidRPr="001B6A7D">
        <w:t>are below average, and high energy use households</w:t>
      </w:r>
      <w:r>
        <w:t xml:space="preserve">, with the intent to </w:t>
      </w:r>
      <w:r w:rsidRPr="001B6A7D">
        <w:t>allow customers both access to new measures that were introduced into the program since 2002 as well as to replace measures that may have surpassed their useful life.</w:t>
      </w:r>
      <w:r>
        <w:t xml:space="preserve">  The intent was to </w:t>
      </w:r>
      <w:r w:rsidRPr="002475B8">
        <w:t xml:space="preserve">emphasize the energy savings, as well as </w:t>
      </w:r>
      <w:r>
        <w:t>HCS g</w:t>
      </w:r>
      <w:r w:rsidRPr="002475B8">
        <w:t>oals and to discourage repeated ‘go-back’ treatment</w:t>
      </w:r>
      <w:r>
        <w:t xml:space="preserve"> </w:t>
      </w:r>
      <w:r w:rsidRPr="002475B8">
        <w:t xml:space="preserve">of the same household if </w:t>
      </w:r>
      <w:r>
        <w:t xml:space="preserve">it was </w:t>
      </w:r>
      <w:r w:rsidRPr="002475B8">
        <w:t>not reasonable to achieve those goals</w:t>
      </w:r>
      <w:r>
        <w:t xml:space="preserve">. We reiterate that this rule is not meant to </w:t>
      </w:r>
      <w:r w:rsidRPr="001B6A7D">
        <w:t>prevent</w:t>
      </w:r>
      <w:r>
        <w:t xml:space="preserve"> </w:t>
      </w:r>
      <w:r w:rsidRPr="001B6A7D">
        <w:t>or discourage ESA contractors from providing new measures or replacing measures that have</w:t>
      </w:r>
      <w:r w:rsidRPr="0004238D">
        <w:rPr>
          <w:rFonts w:ascii="TimesNewRomanPSMT" w:hAnsi="TimesNewRomanPSMT" w:cs="TimesNewRomanPSMT"/>
          <w:sz w:val="24"/>
          <w:szCs w:val="24"/>
        </w:rPr>
        <w:t xml:space="preserve"> </w:t>
      </w:r>
      <w:r w:rsidRPr="0004238D">
        <w:t>surpassed their useful life</w:t>
      </w:r>
      <w:r>
        <w:t xml:space="preserve"> in a previously treated household, and understand that existing rules as they stand today, do not prevent this. </w:t>
      </w:r>
      <w:r w:rsidRPr="00ED4111">
        <w:t xml:space="preserve">As a result, </w:t>
      </w:r>
      <w:r>
        <w:t xml:space="preserve">we deny </w:t>
      </w:r>
      <w:r w:rsidRPr="00ED4111">
        <w:t>EEC’s request to eliminate all</w:t>
      </w:r>
      <w:r>
        <w:t xml:space="preserve"> </w:t>
      </w:r>
      <w:r w:rsidRPr="00ED4111">
        <w:t xml:space="preserve">rules governing retreatments </w:t>
      </w:r>
      <w:r w:rsidRPr="00ED4111">
        <w:lastRenderedPageBreak/>
        <w:t>because such policies were necessarily established to provide incentives to dissuade treatment that yields little in reducing energy burden</w:t>
      </w:r>
      <w:r>
        <w:t>.</w:t>
      </w:r>
    </w:p>
    <w:p w:rsidR="000C1980" w:rsidP="001968DC" w:rsidRDefault="000C1980" w14:paraId="031AF506" w14:textId="77777777">
      <w:pPr>
        <w:pStyle w:val="Heading4"/>
        <w:ind w:left="3600"/>
      </w:pPr>
      <w:bookmarkStart w:name="_Toc69947957" w:id="295"/>
      <w:r w:rsidRPr="00791799">
        <w:t xml:space="preserve">LIWP Design Model: </w:t>
      </w:r>
      <w:r w:rsidRPr="00791799">
        <w:rPr>
          <w:u w:val="single"/>
        </w:rPr>
        <w:t>Denied</w:t>
      </w:r>
      <w:bookmarkEnd w:id="295"/>
      <w:r w:rsidRPr="00791799">
        <w:t xml:space="preserve"> </w:t>
      </w:r>
      <w:r>
        <w:t xml:space="preserve">  </w:t>
      </w:r>
      <w:r w:rsidRPr="00E35C96">
        <w:t xml:space="preserve"> </w:t>
      </w:r>
    </w:p>
    <w:p w:rsidR="000C1980" w:rsidP="004A13D0" w:rsidRDefault="000C1980" w14:paraId="3C36ABE4" w14:textId="0747A9EC">
      <w:pPr>
        <w:pStyle w:val="Standard"/>
      </w:pPr>
      <w:r>
        <w:t xml:space="preserve">We deny La </w:t>
      </w:r>
      <w:proofErr w:type="spellStart"/>
      <w:r>
        <w:t>Cooperativa</w:t>
      </w:r>
      <w:proofErr w:type="spellEnd"/>
      <w:r>
        <w:t xml:space="preserve"> et al.’s</w:t>
      </w:r>
      <w:r w:rsidRPr="00E35C96">
        <w:t xml:space="preserve"> </w:t>
      </w:r>
      <w:r w:rsidR="00F74E27">
        <w:t>proposal</w:t>
      </w:r>
      <w:r>
        <w:t xml:space="preserve"> to require the IOUs to </w:t>
      </w:r>
      <w:r w:rsidRPr="00E80AF2">
        <w:t xml:space="preserve">utilize LIWP as a guide </w:t>
      </w:r>
      <w:r>
        <w:t xml:space="preserve">to revise the </w:t>
      </w:r>
      <w:r w:rsidRPr="00E80AF2">
        <w:t xml:space="preserve">budgeting and cost-effectiveness models for the ESA </w:t>
      </w:r>
      <w:r>
        <w:t>p</w:t>
      </w:r>
      <w:r w:rsidRPr="00E80AF2">
        <w:t>rogram</w:t>
      </w:r>
      <w:r>
        <w:t xml:space="preserve">.  The LIWP program has a different funding source, target population, and program design and administration compared to the ESA program.  In lieu of the </w:t>
      </w:r>
      <w:r w:rsidRPr="00E80AF2">
        <w:t xml:space="preserve">LIWP </w:t>
      </w:r>
      <w:r>
        <w:t xml:space="preserve">model, we approve the modified designs, budgets and cost effectiveness policies as discussed in this decision and find that it better aligns with the long terms goals for the program of deeper energy savings. </w:t>
      </w:r>
    </w:p>
    <w:p w:rsidR="000C1980" w:rsidP="001968DC" w:rsidRDefault="000C1980" w14:paraId="186D12F7" w14:textId="77777777">
      <w:pPr>
        <w:pStyle w:val="Heading4"/>
        <w:ind w:left="3600"/>
      </w:pPr>
      <w:bookmarkStart w:name="_Toc69947958" w:id="296"/>
      <w:r>
        <w:t xml:space="preserve">Third Party </w:t>
      </w:r>
      <w:r w:rsidRPr="00791799">
        <w:t xml:space="preserve">Design Model: </w:t>
      </w:r>
      <w:r w:rsidRPr="00FE3DF6">
        <w:rPr>
          <w:u w:val="single"/>
        </w:rPr>
        <w:t>Denied</w:t>
      </w:r>
      <w:bookmarkEnd w:id="296"/>
      <w:r w:rsidRPr="00791799">
        <w:t xml:space="preserve"> </w:t>
      </w:r>
      <w:r>
        <w:t xml:space="preserve">  </w:t>
      </w:r>
      <w:r w:rsidRPr="00E35C96">
        <w:t xml:space="preserve"> </w:t>
      </w:r>
    </w:p>
    <w:p w:rsidR="000C1980" w:rsidP="004A13D0" w:rsidRDefault="000C1980" w14:paraId="2B7D3CA3" w14:textId="00F893DC">
      <w:pPr>
        <w:pStyle w:val="Standard"/>
      </w:pPr>
      <w:r>
        <w:t xml:space="preserve">We deny Cal Advocates’ request to </w:t>
      </w:r>
      <w:r w:rsidR="00F74E27">
        <w:t>reject</w:t>
      </w:r>
      <w:r w:rsidRPr="00680360">
        <w:t xml:space="preserve"> the all the IOU proposed designs and instead implement a third-party procurement mechanism </w:t>
      </w:r>
      <w:r>
        <w:t>as discussed in Section 6.14.8.2.</w:t>
      </w:r>
    </w:p>
    <w:p w:rsidRPr="00454CD9" w:rsidR="000C1980" w:rsidP="001968DC" w:rsidRDefault="000C1980" w14:paraId="7E8C07D0" w14:textId="77777777">
      <w:pPr>
        <w:pStyle w:val="Heading2"/>
        <w:ind w:left="1728"/>
      </w:pPr>
      <w:bookmarkStart w:name="_Toc69947959" w:id="297"/>
      <w:r w:rsidRPr="00454CD9">
        <w:t xml:space="preserve">ESA </w:t>
      </w:r>
      <w:r w:rsidRPr="006428BB">
        <w:t>Measures</w:t>
      </w:r>
      <w:bookmarkEnd w:id="297"/>
    </w:p>
    <w:p w:rsidR="000C1980" w:rsidP="001968DC" w:rsidRDefault="000C1980" w14:paraId="5D14A528" w14:textId="77777777">
      <w:pPr>
        <w:pStyle w:val="Heading3"/>
        <w:ind w:left="2664"/>
      </w:pPr>
      <w:bookmarkStart w:name="_Toc69947960" w:id="298"/>
      <w:r>
        <w:t>Background</w:t>
      </w:r>
      <w:bookmarkEnd w:id="298"/>
    </w:p>
    <w:p w:rsidR="000C1980" w:rsidP="004A13D0" w:rsidRDefault="000C1980" w14:paraId="7C10CD43" w14:textId="1A79E4ED">
      <w:pPr>
        <w:pStyle w:val="Standard"/>
      </w:pPr>
      <w:r>
        <w:t xml:space="preserve">Decision 16-11-022, later modified by D.17-12-009, approved a portfolio of measures for the ESA program through 2020.  The Commission granted variations in the IOU measure offerings to allow for flexibility and </w:t>
      </w:r>
      <w:r w:rsidR="00EF44FB">
        <w:t>in recognition of</w:t>
      </w:r>
      <w:r>
        <w:t xml:space="preserve"> each IOUs’ unique characteristics of the service territory, geography, climate zones, size of customer base, customer profile and whether it was a single or dual fueled utility.  This resulted in IOU portfolios that varied in measure offerings by housing types, climate zones and HCS needs. By the end of the 2020 cycle, the </w:t>
      </w:r>
      <w:r w:rsidRPr="00F034C8">
        <w:t xml:space="preserve">ESA program </w:t>
      </w:r>
      <w:r w:rsidR="00EF44FB">
        <w:t xml:space="preserve">will </w:t>
      </w:r>
      <w:r>
        <w:t>have already</w:t>
      </w:r>
      <w:r w:rsidRPr="00F034C8">
        <w:t xml:space="preserve"> treated nearly every ESA</w:t>
      </w:r>
      <w:r>
        <w:t xml:space="preserve"> </w:t>
      </w:r>
      <w:r w:rsidRPr="00F034C8">
        <w:t>eligible</w:t>
      </w:r>
      <w:r>
        <w:t xml:space="preserve"> </w:t>
      </w:r>
      <w:r w:rsidRPr="00F034C8">
        <w:t>household with basic measures</w:t>
      </w:r>
      <w:r>
        <w:t xml:space="preserve">. For the 2021-2026 program cycle, the IOUs were </w:t>
      </w:r>
      <w:r>
        <w:lastRenderedPageBreak/>
        <w:t>directed to propose a measure mix that would result in deeper energy savings, as well as identify new, modified, and retired measures.</w:t>
      </w:r>
      <w:r>
        <w:rPr>
          <w:rStyle w:val="FootnoteReference"/>
        </w:rPr>
        <w:footnoteReference w:id="381"/>
      </w:r>
      <w:r>
        <w:t xml:space="preserve"> </w:t>
      </w:r>
    </w:p>
    <w:p w:rsidR="000C1980" w:rsidP="001968DC" w:rsidRDefault="000C1980" w14:paraId="2B9F8C76" w14:textId="77777777">
      <w:pPr>
        <w:pStyle w:val="Heading3"/>
        <w:ind w:left="2664"/>
      </w:pPr>
      <w:bookmarkStart w:name="_Toc69947961" w:id="299"/>
      <w:r>
        <w:t>PG&amp;E Proposal</w:t>
      </w:r>
      <w:bookmarkEnd w:id="299"/>
    </w:p>
    <w:p w:rsidR="000C1980" w:rsidP="002965A3" w:rsidRDefault="000C1980" w14:paraId="22DC4DEE" w14:textId="77777777">
      <w:pPr>
        <w:pStyle w:val="Standard"/>
      </w:pPr>
      <w:r>
        <w:t>PG&amp;E proposes measure mixes based on tiers, (</w:t>
      </w:r>
      <w:r w:rsidRPr="000B799B">
        <w:t>Basic, Comprehensive, and Comprehensive Plus</w:t>
      </w:r>
      <w:r>
        <w:t xml:space="preserve">), with each tier tailored to the </w:t>
      </w:r>
      <w:r w:rsidRPr="000B799B">
        <w:t>customer</w:t>
      </w:r>
      <w:r>
        <w:t>s’</w:t>
      </w:r>
      <w:r w:rsidRPr="000B799B">
        <w:t xml:space="preserve"> need states</w:t>
      </w:r>
      <w:r>
        <w:t xml:space="preserve">.  </w:t>
      </w:r>
      <w:r w:rsidRPr="00A623D6">
        <w:t xml:space="preserve">The specific </w:t>
      </w:r>
      <w:r>
        <w:t xml:space="preserve">proposed </w:t>
      </w:r>
      <w:r w:rsidRPr="00A623D6">
        <w:t>measure mix</w:t>
      </w:r>
      <w:r>
        <w:t>es</w:t>
      </w:r>
      <w:r w:rsidRPr="00A623D6">
        <w:t xml:space="preserve"> </w:t>
      </w:r>
      <w:r>
        <w:t>are</w:t>
      </w:r>
      <w:r w:rsidRPr="00A623D6">
        <w:t xml:space="preserve"> based on the program considerations of cost effectiveness, energy savings, hardship reduction, difficulty of installation, customer acceptance and satisfaction.  </w:t>
      </w:r>
    </w:p>
    <w:p w:rsidR="000C1980" w:rsidP="002965A3" w:rsidRDefault="000C1980" w14:paraId="78A66CBD" w14:textId="77777777">
      <w:pPr>
        <w:pStyle w:val="Standard"/>
      </w:pPr>
      <w:r w:rsidRPr="002E5C43">
        <w:rPr>
          <w:b/>
          <w:bCs/>
          <w:i/>
          <w:iCs/>
          <w:u w:val="single"/>
        </w:rPr>
        <w:t>ESA Basic</w:t>
      </w:r>
      <w:r>
        <w:rPr>
          <w:b/>
          <w:bCs/>
          <w:i/>
          <w:iCs/>
          <w:u w:val="single"/>
        </w:rPr>
        <w:t xml:space="preserve"> Measures</w:t>
      </w:r>
      <w:r w:rsidRPr="002E5C43">
        <w:rPr>
          <w:b/>
          <w:bCs/>
          <w:i/>
          <w:iCs/>
          <w:u w:val="single"/>
        </w:rPr>
        <w:t>:</w:t>
      </w:r>
      <w:r>
        <w:t xml:space="preserve"> Services include a </w:t>
      </w:r>
      <w:r w:rsidRPr="000B799B">
        <w:t>free home assessment, customer energy solutions report</w:t>
      </w:r>
      <w:r>
        <w:t xml:space="preserve">, </w:t>
      </w:r>
      <w:r w:rsidRPr="000B799B">
        <w:t xml:space="preserve">energy education, and installation of simple energy saving measures </w:t>
      </w:r>
      <w:r>
        <w:t xml:space="preserve">such as lighting and smart strips, offered to all households </w:t>
      </w:r>
      <w:r w:rsidRPr="000B799B">
        <w:t xml:space="preserve">with self-certification of income.  </w:t>
      </w:r>
    </w:p>
    <w:p w:rsidR="000C1980" w:rsidP="002965A3" w:rsidRDefault="000C1980" w14:paraId="23A6813A" w14:textId="77777777">
      <w:pPr>
        <w:pStyle w:val="Standard"/>
      </w:pPr>
      <w:r w:rsidRPr="002E5C43">
        <w:rPr>
          <w:b/>
          <w:bCs/>
          <w:i/>
          <w:iCs/>
          <w:u w:val="single"/>
        </w:rPr>
        <w:t>ESA Comprehensive</w:t>
      </w:r>
      <w:r>
        <w:rPr>
          <w:b/>
          <w:bCs/>
          <w:i/>
          <w:iCs/>
          <w:u w:val="single"/>
        </w:rPr>
        <w:t xml:space="preserve"> Measures</w:t>
      </w:r>
      <w:r w:rsidRPr="002E5C43">
        <w:rPr>
          <w:b/>
          <w:bCs/>
          <w:i/>
          <w:iCs/>
          <w:u w:val="single"/>
        </w:rPr>
        <w:t>:</w:t>
      </w:r>
      <w:r w:rsidRPr="00042D05">
        <w:rPr>
          <w:b/>
        </w:rPr>
        <w:t xml:space="preserve"> </w:t>
      </w:r>
      <w:r>
        <w:t xml:space="preserve">Services include </w:t>
      </w:r>
      <w:r w:rsidRPr="00042D05">
        <w:t xml:space="preserve">all Basic level measures plus other measures related to increasing energy savings and improving the </w:t>
      </w:r>
      <w:r>
        <w:t xml:space="preserve">HCS including </w:t>
      </w:r>
      <w:r w:rsidRPr="00E55C8C">
        <w:t>weatherization,</w:t>
      </w:r>
      <w:r>
        <w:t xml:space="preserve"> and </w:t>
      </w:r>
      <w:r w:rsidRPr="00E55C8C">
        <w:t xml:space="preserve">appliance upgrades, </w:t>
      </w:r>
      <w:r>
        <w:t xml:space="preserve">offered to </w:t>
      </w:r>
      <w:r w:rsidRPr="00A45B97">
        <w:t>low-to-moderate</w:t>
      </w:r>
      <w:r>
        <w:t xml:space="preserve"> e</w:t>
      </w:r>
      <w:r w:rsidRPr="00A45B97">
        <w:t>nergy us</w:t>
      </w:r>
      <w:r>
        <w:t xml:space="preserve">ing households with income </w:t>
      </w:r>
      <w:r w:rsidRPr="00042D05">
        <w:t>verif</w:t>
      </w:r>
      <w:r>
        <w:t>ication required</w:t>
      </w:r>
      <w:r w:rsidRPr="00042D05">
        <w:t xml:space="preserve">.   </w:t>
      </w:r>
    </w:p>
    <w:p w:rsidRPr="00042D05" w:rsidR="000C1980" w:rsidP="002965A3" w:rsidRDefault="000C1980" w14:paraId="45B85D92" w14:textId="77777777">
      <w:pPr>
        <w:pStyle w:val="Standard"/>
      </w:pPr>
      <w:r w:rsidRPr="008316F4">
        <w:rPr>
          <w:b/>
          <w:bCs/>
          <w:i/>
          <w:iCs/>
          <w:u w:val="single"/>
        </w:rPr>
        <w:t>Comprehensive Plus</w:t>
      </w:r>
      <w:r>
        <w:rPr>
          <w:b/>
          <w:bCs/>
          <w:i/>
          <w:iCs/>
          <w:u w:val="single"/>
        </w:rPr>
        <w:t xml:space="preserve"> Measures</w:t>
      </w:r>
      <w:r w:rsidRPr="008316F4">
        <w:rPr>
          <w:b/>
          <w:bCs/>
          <w:i/>
          <w:iCs/>
          <w:u w:val="single"/>
        </w:rPr>
        <w:t>:</w:t>
      </w:r>
      <w:r>
        <w:t xml:space="preserve"> Services include </w:t>
      </w:r>
      <w:r w:rsidRPr="00042D05">
        <w:t xml:space="preserve">all measures of the Comprehensive level plus additional measures </w:t>
      </w:r>
      <w:r>
        <w:t>including enclosure measures</w:t>
      </w:r>
      <w:r w:rsidRPr="00610187">
        <w:t xml:space="preserve">, </w:t>
      </w:r>
      <w:r>
        <w:t>HVAC measures, a</w:t>
      </w:r>
      <w:r w:rsidRPr="00610187">
        <w:t>ir purifier</w:t>
      </w:r>
      <w:r>
        <w:t>s</w:t>
      </w:r>
      <w:r w:rsidRPr="00610187">
        <w:t>,</w:t>
      </w:r>
      <w:r>
        <w:t xml:space="preserve"> </w:t>
      </w:r>
      <w:r w:rsidRPr="00610187">
        <w:t>portable AC</w:t>
      </w:r>
      <w:r>
        <w:t>s</w:t>
      </w:r>
      <w:r w:rsidRPr="00610187">
        <w:t xml:space="preserve">, </w:t>
      </w:r>
      <w:r>
        <w:t>m</w:t>
      </w:r>
      <w:r w:rsidRPr="00610187">
        <w:t>inor home</w:t>
      </w:r>
      <w:r>
        <w:t xml:space="preserve"> </w:t>
      </w:r>
      <w:r w:rsidRPr="00610187">
        <w:t xml:space="preserve">repairs, </w:t>
      </w:r>
      <w:r>
        <w:t xml:space="preserve">and </w:t>
      </w:r>
      <w:r w:rsidRPr="00610187">
        <w:t>cold storage</w:t>
      </w:r>
      <w:r>
        <w:t xml:space="preserve"> units, offered to those households with the greatest need in s</w:t>
      </w:r>
      <w:r w:rsidRPr="00042D05">
        <w:t xml:space="preserve">pecific “need states” </w:t>
      </w:r>
      <w:r>
        <w:t>(h</w:t>
      </w:r>
      <w:r w:rsidRPr="003E49E2">
        <w:t>igh usage</w:t>
      </w:r>
      <w:r>
        <w:t xml:space="preserve">, </w:t>
      </w:r>
      <w:r w:rsidRPr="003E49E2">
        <w:t>Medical Baseline</w:t>
      </w:r>
      <w:r>
        <w:t>, d</w:t>
      </w:r>
      <w:r w:rsidRPr="003E49E2">
        <w:t>isconnections</w:t>
      </w:r>
      <w:r>
        <w:t>, D</w:t>
      </w:r>
      <w:r w:rsidRPr="003E49E2">
        <w:t>AC/Tribal/Rural</w:t>
      </w:r>
      <w:r>
        <w:t xml:space="preserve">, and </w:t>
      </w:r>
      <w:r w:rsidRPr="003E49E2">
        <w:t>Wildfire</w:t>
      </w:r>
      <w:r>
        <w:t xml:space="preserve"> prone),</w:t>
      </w:r>
      <w:r w:rsidRPr="00042D05">
        <w:t xml:space="preserve"> </w:t>
      </w:r>
      <w:r>
        <w:t>with</w:t>
      </w:r>
      <w:r w:rsidRPr="00042D05">
        <w:t xml:space="preserve"> </w:t>
      </w:r>
      <w:r>
        <w:t xml:space="preserve">income </w:t>
      </w:r>
      <w:r w:rsidRPr="00042D05">
        <w:t>verif</w:t>
      </w:r>
      <w:r>
        <w:t>ication required</w:t>
      </w:r>
      <w:r w:rsidRPr="00042D05">
        <w:t xml:space="preserve">. </w:t>
      </w:r>
    </w:p>
    <w:p w:rsidR="000C1980" w:rsidP="002965A3" w:rsidRDefault="000C1980" w14:paraId="4CEA792A" w14:textId="77777777">
      <w:pPr>
        <w:pStyle w:val="Standard"/>
      </w:pPr>
      <w:r w:rsidRPr="008316F4">
        <w:rPr>
          <w:b/>
          <w:bCs/>
          <w:i/>
          <w:iCs/>
          <w:u w:val="single"/>
        </w:rPr>
        <w:t>New Measures:</w:t>
      </w:r>
      <w:r>
        <w:t xml:space="preserve"> </w:t>
      </w:r>
      <w:r w:rsidRPr="00A623D6">
        <w:t xml:space="preserve">Newly proposed measures </w:t>
      </w:r>
      <w:r w:rsidRPr="00E55C0B">
        <w:t xml:space="preserve">include </w:t>
      </w:r>
      <w:r>
        <w:t>p</w:t>
      </w:r>
      <w:r w:rsidRPr="00E55C0B">
        <w:t>rescriptive</w:t>
      </w:r>
      <w:r>
        <w:t xml:space="preserve"> d</w:t>
      </w:r>
      <w:r w:rsidRPr="00E55C0B">
        <w:t xml:space="preserve">uct </w:t>
      </w:r>
      <w:r>
        <w:t>t</w:t>
      </w:r>
      <w:r w:rsidRPr="00E55C0B">
        <w:t xml:space="preserve">est and </w:t>
      </w:r>
      <w:r>
        <w:t>s</w:t>
      </w:r>
      <w:r w:rsidRPr="00E55C0B">
        <w:t xml:space="preserve">eal, </w:t>
      </w:r>
      <w:r>
        <w:t xml:space="preserve">portable </w:t>
      </w:r>
      <w:r w:rsidRPr="00A623D6">
        <w:t>air conditioners</w:t>
      </w:r>
      <w:r>
        <w:t xml:space="preserve">, </w:t>
      </w:r>
      <w:r w:rsidRPr="00E55C0B">
        <w:t>expansion of the water heater and furnace</w:t>
      </w:r>
      <w:r>
        <w:t xml:space="preserve"> </w:t>
      </w:r>
      <w:r w:rsidRPr="00A623D6">
        <w:lastRenderedPageBreak/>
        <w:t xml:space="preserve">repair/replacement </w:t>
      </w:r>
      <w:r>
        <w:t xml:space="preserve">service </w:t>
      </w:r>
      <w:r w:rsidRPr="00A623D6">
        <w:t>for renters</w:t>
      </w:r>
      <w:r>
        <w:t xml:space="preserve"> (with a</w:t>
      </w:r>
      <w:r w:rsidRPr="00F27593">
        <w:t xml:space="preserve"> property owner co-pay of $250 and</w:t>
      </w:r>
      <w:r>
        <w:t xml:space="preserve"> </w:t>
      </w:r>
      <w:r w:rsidRPr="00F27593">
        <w:t>$500 for repairs and replacements, respectively</w:t>
      </w:r>
      <w:r>
        <w:t>)</w:t>
      </w:r>
      <w:r w:rsidRPr="00A623D6">
        <w:t>, diagnostic driven air sealing,</w:t>
      </w:r>
      <w:r w:rsidRPr="009772BB">
        <w:t xml:space="preserve"> </w:t>
      </w:r>
      <w:r>
        <w:t>f</w:t>
      </w:r>
      <w:r w:rsidRPr="00A623D6">
        <w:t>loor insulation,</w:t>
      </w:r>
      <w:r>
        <w:t xml:space="preserve"> </w:t>
      </w:r>
      <w:r w:rsidRPr="00A623D6">
        <w:t xml:space="preserve">minor </w:t>
      </w:r>
      <w:r w:rsidRPr="002965A3">
        <w:t>home</w:t>
      </w:r>
      <w:r w:rsidRPr="00A623D6">
        <w:t xml:space="preserve"> repair</w:t>
      </w:r>
      <w:r>
        <w:t xml:space="preserve"> plus, pool pumps, air purifiers, and cold storage units.  PG&amp;E notes that s</w:t>
      </w:r>
      <w:r w:rsidRPr="00A623D6">
        <w:t xml:space="preserve">ome of these new measures are proposed </w:t>
      </w:r>
      <w:r>
        <w:t xml:space="preserve">for only those </w:t>
      </w:r>
      <w:r w:rsidRPr="00A623D6">
        <w:t>customers in specific need states for hardship reductions</w:t>
      </w:r>
      <w:r>
        <w:t xml:space="preserve">.  PG&amp;E will also be providing </w:t>
      </w:r>
      <w:r w:rsidRPr="000B799B">
        <w:t>customer energy solutions report</w:t>
      </w:r>
      <w:r>
        <w:t>s</w:t>
      </w:r>
      <w:r w:rsidRPr="000B799B">
        <w:t xml:space="preserve"> that contains personalized usage information and recommendations for savings that are specific to the individual household.  </w:t>
      </w:r>
      <w:r>
        <w:t xml:space="preserve">These reports </w:t>
      </w:r>
      <w:r w:rsidRPr="000B799B">
        <w:t>include specific rate plans, demand response programs, payment options and alerts, as well as behavioral tips, all with the goal of improved energy affordability and bill management.</w:t>
      </w:r>
      <w:r>
        <w:rPr>
          <w:rStyle w:val="FootnoteReference"/>
        </w:rPr>
        <w:footnoteReference w:id="382"/>
      </w:r>
    </w:p>
    <w:p w:rsidRPr="00EA1F79" w:rsidR="000C1980" w:rsidP="002965A3" w:rsidRDefault="000C1980" w14:paraId="5A3712E7" w14:textId="77777777">
      <w:pPr>
        <w:pStyle w:val="Standard"/>
      </w:pPr>
      <w:r>
        <w:rPr>
          <w:b/>
          <w:bCs/>
          <w:i/>
          <w:iCs/>
          <w:u w:val="single"/>
        </w:rPr>
        <w:t xml:space="preserve">Modified </w:t>
      </w:r>
      <w:r w:rsidRPr="00872BEC">
        <w:rPr>
          <w:b/>
          <w:bCs/>
          <w:i/>
          <w:iCs/>
          <w:u w:val="single"/>
        </w:rPr>
        <w:t>Measure</w:t>
      </w:r>
      <w:r>
        <w:rPr>
          <w:b/>
          <w:bCs/>
          <w:i/>
          <w:iCs/>
          <w:u w:val="single"/>
        </w:rPr>
        <w:t>s</w:t>
      </w:r>
      <w:r w:rsidRPr="00872BEC">
        <w:rPr>
          <w:b/>
          <w:bCs/>
          <w:i/>
          <w:iCs/>
          <w:u w:val="single"/>
        </w:rPr>
        <w:t xml:space="preserve">: </w:t>
      </w:r>
      <w:r w:rsidRPr="00EA1F79">
        <w:t xml:space="preserve">PG&amp;E proposes </w:t>
      </w:r>
      <w:r>
        <w:t xml:space="preserve">the following measure modifications </w:t>
      </w:r>
      <w:r w:rsidRPr="00EA1F79">
        <w:t xml:space="preserve">from the prior portfolio </w:t>
      </w:r>
      <w:r>
        <w:t xml:space="preserve">to </w:t>
      </w:r>
      <w:r w:rsidRPr="00EA1F79">
        <w:t>increase potential energy savings</w:t>
      </w:r>
      <w:r>
        <w:t xml:space="preserve"> </w:t>
      </w:r>
      <w:r w:rsidRPr="00EA1F79">
        <w:t>for customers</w:t>
      </w:r>
      <w:r>
        <w:t xml:space="preserve">, </w:t>
      </w:r>
      <w:r w:rsidRPr="00EA1F79">
        <w:t xml:space="preserve">assist in </w:t>
      </w:r>
      <w:r>
        <w:t xml:space="preserve">reducing </w:t>
      </w:r>
      <w:r w:rsidRPr="00EA1F79">
        <w:t>hardship for customers</w:t>
      </w:r>
      <w:r>
        <w:t xml:space="preserve">, </w:t>
      </w:r>
      <w:r w:rsidRPr="00EA1F79">
        <w:t xml:space="preserve">and </w:t>
      </w:r>
      <w:r>
        <w:t>minimize the negative impacts to the portfolio’s cost effectiveness for</w:t>
      </w:r>
      <w:r w:rsidRPr="00EA1F79">
        <w:t xml:space="preserve"> high volume measures with significantly reduced energy savings</w:t>
      </w:r>
      <w:r>
        <w:t>.  These measure modifications include: 1) c</w:t>
      </w:r>
      <w:r w:rsidRPr="007D7286">
        <w:t>hang</w:t>
      </w:r>
      <w:r>
        <w:t xml:space="preserve">ing the </w:t>
      </w:r>
      <w:r w:rsidRPr="007D7286">
        <w:t xml:space="preserve">age criteria </w:t>
      </w:r>
      <w:r>
        <w:t xml:space="preserve">for refrigerator replacements </w:t>
      </w:r>
      <w:r w:rsidRPr="007D7286">
        <w:t>to</w:t>
      </w:r>
      <w:r>
        <w:t xml:space="preserve"> e</w:t>
      </w:r>
      <w:r w:rsidRPr="007D7286">
        <w:t>ffective</w:t>
      </w:r>
      <w:r>
        <w:t xml:space="preserve"> us</w:t>
      </w:r>
      <w:r w:rsidRPr="007D7286">
        <w:t xml:space="preserve">eful </w:t>
      </w:r>
      <w:r>
        <w:t>l</w:t>
      </w:r>
      <w:r w:rsidRPr="007D7286">
        <w:t>ife</w:t>
      </w:r>
      <w:r>
        <w:t xml:space="preserve">, 2) removing the </w:t>
      </w:r>
      <w:r w:rsidRPr="00DA24B8">
        <w:t>requirement</w:t>
      </w:r>
      <w:r>
        <w:t xml:space="preserve"> o</w:t>
      </w:r>
      <w:r w:rsidRPr="00DA24B8">
        <w:t>f minimum household</w:t>
      </w:r>
      <w:r>
        <w:t xml:space="preserve"> </w:t>
      </w:r>
      <w:r w:rsidRPr="00DA24B8">
        <w:t>size</w:t>
      </w:r>
      <w:r>
        <w:t xml:space="preserve"> in order to receive a second refrigerator, 3) extending the water heater repair and replacement measure to renters with a property owner co-pay of $250, 4) increasing the c</w:t>
      </w:r>
      <w:r w:rsidRPr="001C507C">
        <w:t xml:space="preserve">ap </w:t>
      </w:r>
      <w:r>
        <w:t>on minor home repairs from $</w:t>
      </w:r>
      <w:r w:rsidRPr="001C507C">
        <w:t>1,000 to $2500 for</w:t>
      </w:r>
      <w:r>
        <w:t xml:space="preserve"> c</w:t>
      </w:r>
      <w:r w:rsidRPr="001C507C">
        <w:t>ustomers identified in</w:t>
      </w:r>
      <w:r>
        <w:t xml:space="preserve"> t</w:t>
      </w:r>
      <w:r w:rsidRPr="001C507C">
        <w:t>he DAC, Tribal and</w:t>
      </w:r>
      <w:r>
        <w:t xml:space="preserve"> </w:t>
      </w:r>
      <w:r w:rsidRPr="001C507C">
        <w:t>Rural need states</w:t>
      </w:r>
      <w:r>
        <w:t>, 5) extending the furnace repair and replacement measure to renters with a property owner co-pay of $500, and 6) capping LED A-lamps to four lamps per home.</w:t>
      </w:r>
      <w:r>
        <w:rPr>
          <w:rStyle w:val="FootnoteReference"/>
        </w:rPr>
        <w:footnoteReference w:id="383"/>
      </w:r>
      <w:r>
        <w:t xml:space="preserve">  </w:t>
      </w:r>
    </w:p>
    <w:p w:rsidRPr="00872BEC" w:rsidR="000C1980" w:rsidP="002965A3" w:rsidRDefault="000C1980" w14:paraId="0DDD0F2C" w14:textId="77777777">
      <w:pPr>
        <w:pStyle w:val="Standard"/>
      </w:pPr>
      <w:r w:rsidRPr="00872BEC">
        <w:rPr>
          <w:b/>
          <w:bCs/>
          <w:i/>
          <w:iCs/>
          <w:u w:val="single"/>
        </w:rPr>
        <w:lastRenderedPageBreak/>
        <w:t xml:space="preserve">Retired Measures: </w:t>
      </w:r>
      <w:r>
        <w:t xml:space="preserve">PG&amp;E proposes to retire the following resource measures </w:t>
      </w:r>
      <w:r w:rsidRPr="008D7E0D">
        <w:t xml:space="preserve">because of </w:t>
      </w:r>
      <w:proofErr w:type="gramStart"/>
      <w:r w:rsidRPr="008D7E0D">
        <w:t>low cost</w:t>
      </w:r>
      <w:proofErr w:type="gramEnd"/>
      <w:r w:rsidRPr="008D7E0D">
        <w:t xml:space="preserve"> effectiveness as indicated by</w:t>
      </w:r>
      <w:r>
        <w:t xml:space="preserve"> t</w:t>
      </w:r>
      <w:r w:rsidRPr="008D7E0D">
        <w:t xml:space="preserve">he ESACET scores </w:t>
      </w:r>
      <w:r>
        <w:t xml:space="preserve">(measures with </w:t>
      </w:r>
      <w:r w:rsidRPr="008D7E0D">
        <w:t>0.3</w:t>
      </w:r>
      <w:r>
        <w:t xml:space="preserve"> ESACET) or </w:t>
      </w:r>
      <w:r w:rsidRPr="008D7E0D">
        <w:t>because of zero or negative energy savings</w:t>
      </w:r>
      <w:r>
        <w:t xml:space="preserve"> p</w:t>
      </w:r>
      <w:r w:rsidRPr="008D7E0D">
        <w:t>er the 2015-17 Impact Evaluation</w:t>
      </w:r>
      <w:r>
        <w:t>.  These include 1) d</w:t>
      </w:r>
      <w:r w:rsidRPr="00BB43E5">
        <w:t xml:space="preserve">uct, </w:t>
      </w:r>
      <w:r>
        <w:t>t</w:t>
      </w:r>
      <w:r w:rsidRPr="00BB43E5">
        <w:t xml:space="preserve">est, and </w:t>
      </w:r>
      <w:r>
        <w:t>s</w:t>
      </w:r>
      <w:r w:rsidRPr="00BB43E5">
        <w:t xml:space="preserve">eal </w:t>
      </w:r>
      <w:r>
        <w:t>(which is being replaced with new measure p</w:t>
      </w:r>
      <w:r w:rsidRPr="00BB43E5">
        <w:t xml:space="preserve">rescriptive </w:t>
      </w:r>
      <w:r>
        <w:t>d</w:t>
      </w:r>
      <w:r w:rsidRPr="00BB43E5">
        <w:t>uct</w:t>
      </w:r>
      <w:r>
        <w:t xml:space="preserve"> s</w:t>
      </w:r>
      <w:r w:rsidRPr="00BB43E5">
        <w:t>ealing</w:t>
      </w:r>
      <w:r>
        <w:t>), 2) s</w:t>
      </w:r>
      <w:r w:rsidRPr="009E4291">
        <w:t xml:space="preserve">mart </w:t>
      </w:r>
      <w:r>
        <w:t>f</w:t>
      </w:r>
      <w:r w:rsidRPr="009E4291">
        <w:t xml:space="preserve">an </w:t>
      </w:r>
      <w:r>
        <w:t>d</w:t>
      </w:r>
      <w:r w:rsidRPr="009E4291">
        <w:t>elay/</w:t>
      </w:r>
      <w:r>
        <w:t xml:space="preserve"> e</w:t>
      </w:r>
      <w:r w:rsidRPr="009E4291">
        <w:t xml:space="preserve">fficient </w:t>
      </w:r>
      <w:r>
        <w:t>f</w:t>
      </w:r>
      <w:r w:rsidRPr="009E4291">
        <w:t xml:space="preserve">an </w:t>
      </w:r>
      <w:r>
        <w:t>c</w:t>
      </w:r>
      <w:r w:rsidRPr="009E4291">
        <w:t>ontroller</w:t>
      </w:r>
      <w:r>
        <w:t>, 3) t</w:t>
      </w:r>
      <w:r w:rsidRPr="009E4291">
        <w:t>orchiere</w:t>
      </w:r>
      <w:r>
        <w:t>s, 4) i</w:t>
      </w:r>
      <w:r w:rsidRPr="001178A2">
        <w:t xml:space="preserve">nterior </w:t>
      </w:r>
      <w:r>
        <w:t>h</w:t>
      </w:r>
      <w:r w:rsidRPr="001178A2">
        <w:t xml:space="preserve">ardwired </w:t>
      </w:r>
      <w:r>
        <w:t>f</w:t>
      </w:r>
      <w:r w:rsidRPr="001178A2">
        <w:t>ixture</w:t>
      </w:r>
      <w:r>
        <w:t>s, and 5) t</w:t>
      </w:r>
      <w:r w:rsidRPr="001178A2">
        <w:t xml:space="preserve">ier 1 </w:t>
      </w:r>
      <w:r>
        <w:t>p</w:t>
      </w:r>
      <w:r w:rsidRPr="001178A2">
        <w:t xml:space="preserve">ower </w:t>
      </w:r>
      <w:r>
        <w:t>s</w:t>
      </w:r>
      <w:r w:rsidRPr="001178A2">
        <w:t>trip</w:t>
      </w:r>
      <w:r>
        <w:t xml:space="preserve"> (which is being replaced with smart strips).  PG&amp;E emphasizes that the measures proposed for retirement are </w:t>
      </w:r>
      <w:r w:rsidRPr="00B808F9">
        <w:rPr>
          <w:i/>
          <w:iCs/>
        </w:rPr>
        <w:t>resource</w:t>
      </w:r>
      <w:r>
        <w:t xml:space="preserve"> measures </w:t>
      </w:r>
      <w:r w:rsidRPr="00207F48">
        <w:t>with low to no energy savings, rather than HCS benefits being the primary consideration for evaluation</w:t>
      </w:r>
      <w:r>
        <w:t>.</w:t>
      </w:r>
      <w:r>
        <w:rPr>
          <w:rStyle w:val="FootnoteReference"/>
        </w:rPr>
        <w:footnoteReference w:id="384"/>
      </w:r>
      <w:r>
        <w:t xml:space="preserve">  </w:t>
      </w:r>
    </w:p>
    <w:p w:rsidR="000C1980" w:rsidP="001968DC" w:rsidRDefault="000C1980" w14:paraId="749BC9FF" w14:textId="77777777">
      <w:pPr>
        <w:pStyle w:val="Heading3"/>
        <w:ind w:left="2664"/>
      </w:pPr>
      <w:bookmarkStart w:name="_Toc69947962" w:id="300"/>
      <w:r>
        <w:t>SCE Proposal</w:t>
      </w:r>
      <w:bookmarkEnd w:id="300"/>
      <w:r>
        <w:t xml:space="preserve"> </w:t>
      </w:r>
    </w:p>
    <w:p w:rsidR="000C1980" w:rsidP="002965A3" w:rsidRDefault="000C1980" w14:paraId="17A132A0" w14:textId="77777777">
      <w:pPr>
        <w:pStyle w:val="Standard"/>
      </w:pPr>
      <w:r>
        <w:t xml:space="preserve">SCE proposes measure mixes based on tiers, (Tier 1 Standard and Tier 2 Enhanced), with each tier tailored to the </w:t>
      </w:r>
      <w:r w:rsidRPr="000B799B">
        <w:t>customer</w:t>
      </w:r>
      <w:r>
        <w:t>s’</w:t>
      </w:r>
      <w:r w:rsidRPr="000B799B">
        <w:t xml:space="preserve"> need</w:t>
      </w:r>
      <w:r>
        <w:t xml:space="preserve">.  </w:t>
      </w:r>
      <w:r w:rsidRPr="00A623D6">
        <w:t xml:space="preserve">The specific </w:t>
      </w:r>
      <w:r>
        <w:t xml:space="preserve">proposed </w:t>
      </w:r>
      <w:r w:rsidRPr="00A623D6">
        <w:t>measure mix</w:t>
      </w:r>
      <w:r>
        <w:t>es</w:t>
      </w:r>
      <w:r w:rsidRPr="00A623D6">
        <w:t xml:space="preserve"> </w:t>
      </w:r>
      <w:r>
        <w:t>are</w:t>
      </w:r>
      <w:r w:rsidRPr="00A623D6">
        <w:t xml:space="preserve"> based on the program considerations of cost effectiveness, energy savings, hardship reduction, difficulty of installation, customer acceptance and satisfaction.  </w:t>
      </w:r>
    </w:p>
    <w:p w:rsidR="000C1980" w:rsidP="002965A3" w:rsidRDefault="000C1980" w14:paraId="1E1FE8B0" w14:textId="77777777">
      <w:pPr>
        <w:pStyle w:val="Standard"/>
      </w:pPr>
      <w:r w:rsidRPr="005953F2">
        <w:rPr>
          <w:b/>
          <w:bCs/>
          <w:i/>
          <w:iCs/>
          <w:u w:val="single"/>
        </w:rPr>
        <w:t>Tier 1 Standard Measures:</w:t>
      </w:r>
      <w:r>
        <w:t xml:space="preserve"> </w:t>
      </w:r>
      <w:r w:rsidRPr="00ED25E9">
        <w:t xml:space="preserve"> </w:t>
      </w:r>
      <w:r>
        <w:t>Services</w:t>
      </w:r>
      <w:r w:rsidRPr="00ED25E9">
        <w:t xml:space="preserve"> </w:t>
      </w:r>
      <w:r>
        <w:t xml:space="preserve">include enhanced energy education, </w:t>
      </w:r>
      <w:r w:rsidRPr="00ED25E9">
        <w:t>basic weatherization, indoor and outdoor LED lighting, HVAC maintenance and filter replacement, Tier 2 smart power strips</w:t>
      </w:r>
      <w:r>
        <w:t xml:space="preserve">, smart </w:t>
      </w:r>
      <w:r w:rsidRPr="00ED25E9">
        <w:t xml:space="preserve">thermostats, refrigerators, </w:t>
      </w:r>
      <w:r w:rsidRPr="00994115">
        <w:t>HVAC maintenance and filter</w:t>
      </w:r>
      <w:r>
        <w:t xml:space="preserve"> </w:t>
      </w:r>
      <w:r w:rsidRPr="00994115">
        <w:t xml:space="preserve">replacement </w:t>
      </w:r>
      <w:r w:rsidRPr="00ED25E9">
        <w:t>and portable AC units for households in hot climate zones.</w:t>
      </w:r>
      <w:r w:rsidRPr="00ED25E9">
        <w:rPr>
          <w:vertAlign w:val="superscript"/>
        </w:rPr>
        <w:footnoteReference w:id="385"/>
      </w:r>
      <w:r>
        <w:t xml:space="preserve"> The enhanced education package will include  education </w:t>
      </w:r>
      <w:r w:rsidRPr="0074798A">
        <w:t>about rate analysis tools</w:t>
      </w:r>
      <w:r>
        <w:t xml:space="preserve">, </w:t>
      </w:r>
      <w:r w:rsidRPr="0074798A">
        <w:t>coordinat</w:t>
      </w:r>
      <w:r>
        <w:t xml:space="preserve">ion </w:t>
      </w:r>
      <w:r w:rsidRPr="0074798A">
        <w:t>with other income-qualified programs</w:t>
      </w:r>
      <w:r>
        <w:t>, u</w:t>
      </w:r>
      <w:r w:rsidRPr="0074798A">
        <w:t>se of home disaggregation data reports to help</w:t>
      </w:r>
      <w:r>
        <w:t xml:space="preserve"> </w:t>
      </w:r>
      <w:r w:rsidRPr="0074798A">
        <w:t xml:space="preserve">households understand what </w:t>
      </w:r>
      <w:r w:rsidRPr="0074798A">
        <w:lastRenderedPageBreak/>
        <w:t>specifically is driving up their costs and potential solutions for mitigating cost impacts</w:t>
      </w:r>
      <w:r>
        <w:t xml:space="preserve">, </w:t>
      </w:r>
      <w:r w:rsidRPr="0074798A">
        <w:t>post-installation household follow-ups through email, phone, and</w:t>
      </w:r>
      <w:r>
        <w:t xml:space="preserve"> </w:t>
      </w:r>
      <w:r w:rsidRPr="0074798A">
        <w:t xml:space="preserve">direct mail to remind customers of the benefits of </w:t>
      </w:r>
      <w:r>
        <w:t xml:space="preserve">energy efficiency </w:t>
      </w:r>
      <w:r w:rsidRPr="0074798A">
        <w:t>and conservation and increase customers</w:t>
      </w:r>
      <w:r>
        <w:t xml:space="preserve"> </w:t>
      </w:r>
      <w:r w:rsidRPr="0074798A">
        <w:t>awareness of how behavior affects energy costs</w:t>
      </w:r>
      <w:r>
        <w:t>, and c</w:t>
      </w:r>
      <w:r w:rsidRPr="0074798A">
        <w:t>ustomer information</w:t>
      </w:r>
      <w:r>
        <w:t xml:space="preserve"> </w:t>
      </w:r>
      <w:r w:rsidRPr="0074798A">
        <w:t>about other program offerings.</w:t>
      </w:r>
      <w:r>
        <w:rPr>
          <w:rStyle w:val="FootnoteReference"/>
        </w:rPr>
        <w:footnoteReference w:id="386"/>
      </w:r>
      <w:r>
        <w:t xml:space="preserve"> </w:t>
      </w:r>
    </w:p>
    <w:p w:rsidR="000C1980" w:rsidP="002965A3" w:rsidRDefault="000C1980" w14:paraId="492E6321" w14:textId="77777777">
      <w:pPr>
        <w:pStyle w:val="Standard"/>
      </w:pPr>
      <w:r w:rsidRPr="001E644F">
        <w:rPr>
          <w:b/>
          <w:bCs/>
          <w:i/>
          <w:iCs/>
          <w:u w:val="single"/>
        </w:rPr>
        <w:t>Tier 2 Enhanced</w:t>
      </w:r>
      <w:r>
        <w:rPr>
          <w:b/>
          <w:bCs/>
          <w:i/>
          <w:iCs/>
          <w:u w:val="single"/>
        </w:rPr>
        <w:t xml:space="preserve"> Measures</w:t>
      </w:r>
      <w:r w:rsidRPr="001E644F">
        <w:rPr>
          <w:b/>
          <w:bCs/>
          <w:i/>
          <w:iCs/>
          <w:u w:val="single"/>
        </w:rPr>
        <w:t>:</w:t>
      </w:r>
      <w:r>
        <w:t xml:space="preserve"> Services include all </w:t>
      </w:r>
      <w:r w:rsidRPr="00ED25E9">
        <w:t xml:space="preserve">Tier 1 </w:t>
      </w:r>
      <w:r>
        <w:t xml:space="preserve">Standard </w:t>
      </w:r>
      <w:r w:rsidRPr="00ED25E9">
        <w:t xml:space="preserve">measures, </w:t>
      </w:r>
      <w:r>
        <w:t xml:space="preserve">plus additional HCS measures </w:t>
      </w:r>
      <w:r w:rsidRPr="00ED25E9">
        <w:t xml:space="preserve">including </w:t>
      </w:r>
      <w:r>
        <w:t xml:space="preserve">dishwashers, HVAC systems in the hottest climate zones, room ACs, evaporative coolers and maintenance services, washing machines, freezers, efficient fan controls, pool pumps, </w:t>
      </w:r>
      <w:r w:rsidRPr="00ED25E9">
        <w:t>attic insulation</w:t>
      </w:r>
      <w:r>
        <w:t xml:space="preserve"> and thermostatic shower valves</w:t>
      </w:r>
      <w:r w:rsidRPr="00ED25E9">
        <w:t>.</w:t>
      </w:r>
      <w:r w:rsidRPr="00ED25E9">
        <w:rPr>
          <w:vertAlign w:val="superscript"/>
        </w:rPr>
        <w:footnoteReference w:id="387"/>
      </w:r>
      <w:r w:rsidRPr="00ED25E9">
        <w:t xml:space="preserve"> </w:t>
      </w:r>
      <w:r w:rsidRPr="002432E8">
        <w:t xml:space="preserve">SCE will </w:t>
      </w:r>
      <w:r>
        <w:t xml:space="preserve">also </w:t>
      </w:r>
      <w:r w:rsidRPr="002432E8">
        <w:t>use the newest electrification technology for this</w:t>
      </w:r>
      <w:r>
        <w:t xml:space="preserve"> package.</w:t>
      </w:r>
      <w:r>
        <w:rPr>
          <w:rStyle w:val="FootnoteReference"/>
        </w:rPr>
        <w:footnoteReference w:id="388"/>
      </w:r>
      <w:r>
        <w:t xml:space="preserve"> The enhanced energy education will include all that is offered with the Tier 1 energy education package plus potential in-depth </w:t>
      </w:r>
      <w:r w:rsidRPr="00183802">
        <w:t>demonstration and tips on ways to further reduce consumption</w:t>
      </w:r>
      <w:r>
        <w:t xml:space="preserve">.  </w:t>
      </w:r>
      <w:r w:rsidRPr="009476E2">
        <w:t>Household receiving the Tier 2 Enhanced package will also be able to participate in additional savings programs and may be eligible for a new SCE bill credit to conserve energy.</w:t>
      </w:r>
      <w:r w:rsidRPr="009476E2">
        <w:rPr>
          <w:vertAlign w:val="superscript"/>
        </w:rPr>
        <w:footnoteReference w:id="389"/>
      </w:r>
    </w:p>
    <w:p w:rsidR="000C1980" w:rsidP="002965A3" w:rsidRDefault="000C1980" w14:paraId="139DD5DD" w14:textId="77777777">
      <w:pPr>
        <w:pStyle w:val="Standard"/>
      </w:pPr>
      <w:r w:rsidRPr="00A44662">
        <w:rPr>
          <w:b/>
          <w:bCs/>
          <w:i/>
          <w:iCs/>
          <w:u w:val="single"/>
        </w:rPr>
        <w:t xml:space="preserve">New </w:t>
      </w:r>
      <w:r>
        <w:rPr>
          <w:b/>
          <w:bCs/>
          <w:i/>
          <w:iCs/>
          <w:u w:val="single"/>
        </w:rPr>
        <w:t>M</w:t>
      </w:r>
      <w:r w:rsidRPr="00A44662">
        <w:rPr>
          <w:b/>
          <w:bCs/>
          <w:i/>
          <w:iCs/>
          <w:u w:val="single"/>
        </w:rPr>
        <w:t>easures</w:t>
      </w:r>
      <w:r>
        <w:rPr>
          <w:b/>
          <w:bCs/>
          <w:i/>
          <w:iCs/>
          <w:u w:val="single"/>
        </w:rPr>
        <w:t>:</w:t>
      </w:r>
      <w:r>
        <w:t xml:space="preserve"> SCE proposes to add </w:t>
      </w:r>
      <w:r w:rsidRPr="00796365">
        <w:t>smart thermostats</w:t>
      </w:r>
      <w:r>
        <w:t xml:space="preserve"> (offered to all customers with wi-fi and a functioning and feasible AC or central heat pump in all building types and climate zones), an expanded </w:t>
      </w:r>
      <w:r w:rsidRPr="00796365">
        <w:t xml:space="preserve">central AC and central heat pump tune-up </w:t>
      </w:r>
      <w:r>
        <w:t xml:space="preserve">service (provided to </w:t>
      </w:r>
      <w:r w:rsidRPr="00796365">
        <w:t>any functioning and feasible central AC or heat</w:t>
      </w:r>
      <w:r>
        <w:t xml:space="preserve"> </w:t>
      </w:r>
      <w:r w:rsidRPr="00796365">
        <w:t>pump in any building type and climate zone</w:t>
      </w:r>
      <w:r>
        <w:t xml:space="preserve">), portable ACs (offered in the hottest climate zones), dishwashers (offered only to those with an existing old, </w:t>
      </w:r>
      <w:r>
        <w:lastRenderedPageBreak/>
        <w:t xml:space="preserve">inefficient or inoperable unit), and expanded attic insulation (offered </w:t>
      </w:r>
      <w:r w:rsidRPr="00AC2219">
        <w:t>to customers</w:t>
      </w:r>
      <w:r>
        <w:t xml:space="preserve"> with </w:t>
      </w:r>
      <w:r w:rsidRPr="00AC2219">
        <w:t xml:space="preserve">a central AC </w:t>
      </w:r>
      <w:r>
        <w:t>regardless of which I</w:t>
      </w:r>
      <w:r w:rsidRPr="00AC2219">
        <w:t>OU</w:t>
      </w:r>
      <w:r>
        <w:t xml:space="preserve"> provides the heating fuel).  </w:t>
      </w:r>
    </w:p>
    <w:p w:rsidR="000C1980" w:rsidP="002965A3" w:rsidRDefault="000C1980" w14:paraId="29222FD7" w14:textId="77777777">
      <w:pPr>
        <w:pStyle w:val="Standard"/>
      </w:pPr>
      <w:r>
        <w:rPr>
          <w:b/>
          <w:bCs/>
          <w:i/>
          <w:iCs/>
          <w:u w:val="single"/>
        </w:rPr>
        <w:t>Modified</w:t>
      </w:r>
      <w:r w:rsidRPr="00A44662">
        <w:rPr>
          <w:b/>
          <w:bCs/>
          <w:i/>
          <w:iCs/>
          <w:u w:val="single"/>
        </w:rPr>
        <w:t xml:space="preserve"> </w:t>
      </w:r>
      <w:r>
        <w:rPr>
          <w:b/>
          <w:bCs/>
          <w:i/>
          <w:iCs/>
          <w:u w:val="single"/>
        </w:rPr>
        <w:t>M</w:t>
      </w:r>
      <w:r w:rsidRPr="00A44662">
        <w:rPr>
          <w:b/>
          <w:bCs/>
          <w:i/>
          <w:iCs/>
          <w:u w:val="single"/>
        </w:rPr>
        <w:t>easures</w:t>
      </w:r>
      <w:r>
        <w:rPr>
          <w:b/>
          <w:bCs/>
          <w:i/>
          <w:iCs/>
          <w:u w:val="single"/>
        </w:rPr>
        <w:t>:</w:t>
      </w:r>
      <w:r>
        <w:t xml:space="preserve"> </w:t>
      </w:r>
      <w:r w:rsidRPr="00A3477C">
        <w:t>SC</w:t>
      </w:r>
      <w:r w:rsidRPr="00EA1F79">
        <w:t xml:space="preserve">E proposes </w:t>
      </w:r>
      <w:r>
        <w:t xml:space="preserve">to remove the </w:t>
      </w:r>
      <w:r w:rsidRPr="00DA24B8">
        <w:t>requirement</w:t>
      </w:r>
      <w:r>
        <w:t xml:space="preserve"> o</w:t>
      </w:r>
      <w:r w:rsidRPr="00DA24B8">
        <w:t>f minimum household</w:t>
      </w:r>
      <w:r>
        <w:t xml:space="preserve"> </w:t>
      </w:r>
      <w:r w:rsidRPr="00DA24B8">
        <w:t>size</w:t>
      </w:r>
      <w:r>
        <w:t xml:space="preserve"> to receive a second refrigerator</w:t>
      </w:r>
      <w:r w:rsidRPr="00A3477C">
        <w:t xml:space="preserve"> </w:t>
      </w:r>
      <w:r>
        <w:t>stating that re</w:t>
      </w:r>
      <w:r w:rsidRPr="00DF0811">
        <w:t>frigerators operate</w:t>
      </w:r>
      <w:r>
        <w:t xml:space="preserve"> </w:t>
      </w:r>
      <w:r w:rsidRPr="00DF0811">
        <w:t>around the clock, every day, regardless of the number of people who live in the household.</w:t>
      </w:r>
      <w:r>
        <w:rPr>
          <w:rStyle w:val="FootnoteReference"/>
        </w:rPr>
        <w:footnoteReference w:id="390"/>
      </w:r>
    </w:p>
    <w:p w:rsidR="000C1980" w:rsidP="002965A3" w:rsidRDefault="000C1980" w14:paraId="1F92198F" w14:textId="77777777">
      <w:pPr>
        <w:pStyle w:val="Standard"/>
      </w:pPr>
      <w:r>
        <w:rPr>
          <w:b/>
          <w:bCs/>
          <w:i/>
          <w:iCs/>
          <w:u w:val="single"/>
        </w:rPr>
        <w:t>Retired</w:t>
      </w:r>
      <w:r w:rsidRPr="00A44662">
        <w:rPr>
          <w:b/>
          <w:bCs/>
          <w:i/>
          <w:iCs/>
          <w:u w:val="single"/>
        </w:rPr>
        <w:t xml:space="preserve"> </w:t>
      </w:r>
      <w:r>
        <w:rPr>
          <w:b/>
          <w:bCs/>
          <w:i/>
          <w:iCs/>
          <w:u w:val="single"/>
        </w:rPr>
        <w:t>M</w:t>
      </w:r>
      <w:r w:rsidRPr="00A44662">
        <w:rPr>
          <w:b/>
          <w:bCs/>
          <w:i/>
          <w:iCs/>
          <w:u w:val="single"/>
        </w:rPr>
        <w:t>easures</w:t>
      </w:r>
      <w:r>
        <w:rPr>
          <w:b/>
          <w:bCs/>
          <w:i/>
          <w:iCs/>
          <w:u w:val="single"/>
        </w:rPr>
        <w:t>:</w:t>
      </w:r>
      <w:r>
        <w:t xml:space="preserve"> Measures to be retired include </w:t>
      </w:r>
      <w:r w:rsidRPr="00E07775">
        <w:t>Tier 1 Smart Power Strip</w:t>
      </w:r>
      <w:r>
        <w:t>s</w:t>
      </w:r>
      <w:r w:rsidRPr="00E07775">
        <w:t xml:space="preserve"> </w:t>
      </w:r>
      <w:r>
        <w:t xml:space="preserve">(due to negative savings), and </w:t>
      </w:r>
      <w:r w:rsidRPr="008D450B">
        <w:t xml:space="preserve">LED </w:t>
      </w:r>
      <w:r>
        <w:t>t</w:t>
      </w:r>
      <w:r w:rsidRPr="008D450B">
        <w:t>orchiere</w:t>
      </w:r>
      <w:r>
        <w:t xml:space="preserve"> (due to low need/demand)</w:t>
      </w:r>
      <w:r w:rsidRPr="00DF0811">
        <w:t>.</w:t>
      </w:r>
      <w:r>
        <w:rPr>
          <w:rStyle w:val="FootnoteReference"/>
        </w:rPr>
        <w:footnoteReference w:id="391"/>
      </w:r>
    </w:p>
    <w:p w:rsidR="000C1980" w:rsidP="002965A3" w:rsidRDefault="000C1980" w14:paraId="42EB3D3E" w14:textId="77777777">
      <w:pPr>
        <w:pStyle w:val="Standard"/>
      </w:pPr>
      <w:r>
        <w:rPr>
          <w:b/>
          <w:bCs/>
          <w:i/>
          <w:iCs/>
          <w:u w:val="single"/>
        </w:rPr>
        <w:t xml:space="preserve">Process for </w:t>
      </w:r>
      <w:r w:rsidRPr="00D543E6">
        <w:rPr>
          <w:b/>
          <w:bCs/>
          <w:i/>
          <w:iCs/>
          <w:u w:val="single"/>
        </w:rPr>
        <w:t>Updating Measures:</w:t>
      </w:r>
      <w:r>
        <w:t xml:space="preserve"> SCE requests that the Commission allow the IOUs to </w:t>
      </w:r>
      <w:r w:rsidRPr="00A97FD5">
        <w:t>add new ESA measures to the program or remove outdated measures</w:t>
      </w:r>
      <w:r>
        <w:t xml:space="preserve"> via an advice letter for </w:t>
      </w:r>
      <w:r w:rsidRPr="00A97FD5">
        <w:t>expedien</w:t>
      </w:r>
      <w:r>
        <w:t xml:space="preserve">cy, stating that </w:t>
      </w:r>
      <w:r w:rsidRPr="00A97FD5">
        <w:t xml:space="preserve">technology is advancing at a rapid pace and delays in approving new measures may result in SCE providing existing measures that are in the process of being </w:t>
      </w:r>
      <w:proofErr w:type="gramStart"/>
      <w:r w:rsidRPr="00A97FD5">
        <w:t>phased-out</w:t>
      </w:r>
      <w:proofErr w:type="gramEnd"/>
      <w:r w:rsidRPr="00A97FD5">
        <w:t xml:space="preserve"> as well as customers missing the opportunity to benefit from newer measures</w:t>
      </w:r>
      <w:r>
        <w:t xml:space="preserve">.  </w:t>
      </w:r>
      <w:r w:rsidRPr="00A97FD5">
        <w:t>SCE suggests</w:t>
      </w:r>
      <w:r>
        <w:t xml:space="preserve"> </w:t>
      </w:r>
      <w:r w:rsidRPr="00A97FD5">
        <w:t>either a Tier 1 or Tier 2 advice letter depending on the cost-effectiveness of the new measure</w:t>
      </w:r>
      <w:r>
        <w:t>.  I</w:t>
      </w:r>
      <w:r w:rsidRPr="00A97FD5">
        <w:t>f a new</w:t>
      </w:r>
      <w:r>
        <w:t xml:space="preserve"> </w:t>
      </w:r>
      <w:r w:rsidRPr="00A97FD5">
        <w:t>measure is cost-effective, then the IOUs shall file a Tier 1 advice letter stating that it has been added as</w:t>
      </w:r>
      <w:r>
        <w:t xml:space="preserve"> </w:t>
      </w:r>
      <w:r w:rsidRPr="00A97FD5">
        <w:t>an offering in the program; or, if a new measure is not cost-effective but still supports customer bill</w:t>
      </w:r>
      <w:r>
        <w:t xml:space="preserve"> </w:t>
      </w:r>
      <w:r w:rsidRPr="00A97FD5">
        <w:t xml:space="preserve">reduction, energy reduction, or </w:t>
      </w:r>
      <w:r>
        <w:t>HCS</w:t>
      </w:r>
      <w:r w:rsidRPr="00A97FD5">
        <w:t xml:space="preserve"> improvements, then the IOUs shall file a Tier 2</w:t>
      </w:r>
      <w:r>
        <w:t xml:space="preserve"> </w:t>
      </w:r>
      <w:r w:rsidRPr="00A97FD5">
        <w:t>advice letter if the new measure would not result in an increase in the overall portfolio budget</w:t>
      </w:r>
      <w:r>
        <w:t xml:space="preserve">.  </w:t>
      </w:r>
      <w:r w:rsidRPr="00A97FD5">
        <w:t>Similarly, if a measure is not providing sufficient value to the program, the IOUs shall file a Tier 2</w:t>
      </w:r>
      <w:r>
        <w:t xml:space="preserve"> a</w:t>
      </w:r>
      <w:r w:rsidRPr="00A97FD5">
        <w:t xml:space="preserve">dvice letter at any time to remove the </w:t>
      </w:r>
      <w:r w:rsidRPr="00A97FD5">
        <w:lastRenderedPageBreak/>
        <w:t>measure</w:t>
      </w:r>
      <w:r>
        <w:t>.  SCE states that this will allow it to</w:t>
      </w:r>
      <w:r w:rsidRPr="00A97FD5">
        <w:t xml:space="preserve"> manage the</w:t>
      </w:r>
      <w:r>
        <w:t xml:space="preserve"> </w:t>
      </w:r>
      <w:r w:rsidRPr="00A97FD5">
        <w:t>introduction and retirement of new measures that are considered modest changes to the programs and do</w:t>
      </w:r>
      <w:r>
        <w:t xml:space="preserve"> </w:t>
      </w:r>
      <w:r w:rsidRPr="00A97FD5">
        <w:t>not impact policy or budget.</w:t>
      </w:r>
      <w:r>
        <w:rPr>
          <w:rStyle w:val="FootnoteReference"/>
        </w:rPr>
        <w:footnoteReference w:id="392"/>
      </w:r>
    </w:p>
    <w:p w:rsidR="000C1980" w:rsidP="001968DC" w:rsidRDefault="000C1980" w14:paraId="55995980" w14:textId="77777777">
      <w:pPr>
        <w:pStyle w:val="Heading3"/>
        <w:ind w:left="2664"/>
      </w:pPr>
      <w:bookmarkStart w:name="_Toc69947963" w:id="301"/>
      <w:r>
        <w:t>SoCalGas Proposal</w:t>
      </w:r>
      <w:bookmarkEnd w:id="301"/>
      <w:r>
        <w:t xml:space="preserve"> </w:t>
      </w:r>
    </w:p>
    <w:p w:rsidR="000C1980" w:rsidP="002965A3" w:rsidRDefault="000C1980" w14:paraId="770B6581" w14:textId="77777777">
      <w:pPr>
        <w:pStyle w:val="Standard"/>
      </w:pPr>
      <w:r w:rsidRPr="00B67A17">
        <w:t>SoCalGas</w:t>
      </w:r>
      <w:r>
        <w:t xml:space="preserve">’ proposes </w:t>
      </w:r>
      <w:r w:rsidRPr="00617B94">
        <w:t>to offer an</w:t>
      </w:r>
      <w:r>
        <w:t xml:space="preserve"> </w:t>
      </w:r>
      <w:r w:rsidRPr="00617B94">
        <w:t>optimized measure mix based on customer need and energy saving opportunity</w:t>
      </w:r>
      <w:r>
        <w:t>, and to allow limited customer</w:t>
      </w:r>
      <w:r w:rsidRPr="006C198E">
        <w:t xml:space="preserve"> self-serve measure installation, provided verification</w:t>
      </w:r>
      <w:r>
        <w:t xml:space="preserve"> </w:t>
      </w:r>
      <w:r w:rsidRPr="006C198E">
        <w:t>processes are in place, as well as customer self-assessment in limited cases.</w:t>
      </w:r>
      <w:r>
        <w:t xml:space="preserve"> </w:t>
      </w:r>
    </w:p>
    <w:p w:rsidR="000C1980" w:rsidP="002965A3" w:rsidRDefault="000C1980" w14:paraId="0B41F62F" w14:textId="77777777">
      <w:pPr>
        <w:pStyle w:val="Standard"/>
      </w:pPr>
      <w:r>
        <w:rPr>
          <w:b/>
          <w:bCs/>
          <w:i/>
          <w:iCs/>
          <w:u w:val="single"/>
        </w:rPr>
        <w:t xml:space="preserve">Optimized Measure Mix: </w:t>
      </w:r>
      <w:r>
        <w:t xml:space="preserve"> SoCalGas proposes to continue offering existing measures including air</w:t>
      </w:r>
      <w:r w:rsidRPr="00B67A17">
        <w:t xml:space="preserve"> sealing measures including weather-stripping, caulking and minor home repair, </w:t>
      </w:r>
      <w:r>
        <w:t xml:space="preserve">attic insulation, repair and replacement of furnaces and water heaters, early replacements of furnaces, </w:t>
      </w:r>
      <w:r w:rsidRPr="00B67A17">
        <w:t>high efficiency clothes washers, smart thermostats, water heater pipe insulation</w:t>
      </w:r>
      <w:r>
        <w:t>, low flow showerheads, faucet aerators, thermostatic shower valves, thermostatic tub spouts, and furnace clean and tune</w:t>
      </w:r>
      <w:r w:rsidRPr="00B67A17">
        <w:t>.</w:t>
      </w:r>
      <w:r w:rsidRPr="00B67A17">
        <w:rPr>
          <w:vertAlign w:val="superscript"/>
        </w:rPr>
        <w:footnoteReference w:id="393"/>
      </w:r>
      <w:r w:rsidRPr="00B67A17">
        <w:t xml:space="preserve"> </w:t>
      </w:r>
      <w:r>
        <w:t xml:space="preserve">The final suite of measures installed in the home will be </w:t>
      </w:r>
      <w:r w:rsidRPr="00617B94">
        <w:t>based on customer need and energy saving opportunity</w:t>
      </w:r>
      <w:r>
        <w:t>.</w:t>
      </w:r>
    </w:p>
    <w:p w:rsidR="000C1980" w:rsidP="002965A3" w:rsidRDefault="000C1980" w14:paraId="7C8E2756" w14:textId="0CBCB17A">
      <w:pPr>
        <w:pStyle w:val="Standard"/>
      </w:pPr>
      <w:r>
        <w:rPr>
          <w:b/>
          <w:bCs/>
          <w:i/>
          <w:iCs/>
          <w:u w:val="single"/>
        </w:rPr>
        <w:t>N</w:t>
      </w:r>
      <w:r w:rsidRPr="005B23DD">
        <w:rPr>
          <w:b/>
          <w:bCs/>
          <w:i/>
          <w:iCs/>
          <w:u w:val="single"/>
        </w:rPr>
        <w:t xml:space="preserve">ew </w:t>
      </w:r>
      <w:r>
        <w:rPr>
          <w:b/>
          <w:bCs/>
          <w:i/>
          <w:iCs/>
          <w:u w:val="single"/>
        </w:rPr>
        <w:t>M</w:t>
      </w:r>
      <w:r w:rsidRPr="005B23DD">
        <w:rPr>
          <w:b/>
          <w:bCs/>
          <w:i/>
          <w:iCs/>
          <w:u w:val="single"/>
        </w:rPr>
        <w:t>easures</w:t>
      </w:r>
      <w:r>
        <w:t xml:space="preserve">: SoCalGas proposes to include high efficiency wall furnaces as part of its </w:t>
      </w:r>
      <w:r w:rsidRPr="00351227">
        <w:t>furnace</w:t>
      </w:r>
      <w:r>
        <w:t xml:space="preserve"> r</w:t>
      </w:r>
      <w:r w:rsidRPr="00351227">
        <w:t>epair and replacement offering</w:t>
      </w:r>
      <w:r>
        <w:t xml:space="preserve"> (in place of </w:t>
      </w:r>
      <w:r w:rsidRPr="00777BA6">
        <w:t>conventional furnace replacements</w:t>
      </w:r>
      <w:r>
        <w:t>), so</w:t>
      </w:r>
      <w:r w:rsidRPr="00B67A17">
        <w:t>lar thermal water heating</w:t>
      </w:r>
      <w:r>
        <w:t xml:space="preserve"> (</w:t>
      </w:r>
      <w:r w:rsidRPr="00392487">
        <w:t>intended to</w:t>
      </w:r>
      <w:r>
        <w:t xml:space="preserve"> a</w:t>
      </w:r>
      <w:r w:rsidRPr="00392487">
        <w:t>ddress the gap that exist</w:t>
      </w:r>
      <w:r w:rsidR="00414435">
        <w:t xml:space="preserve">s </w:t>
      </w:r>
      <w:r w:rsidR="004D2411">
        <w:t>n</w:t>
      </w:r>
      <w:r w:rsidR="00414435">
        <w:t>ow that</w:t>
      </w:r>
      <w:r w:rsidRPr="00392487">
        <w:t xml:space="preserve"> SoCalGas’ California Solar Initiative Thermal Program </w:t>
      </w:r>
      <w:r w:rsidR="00414435">
        <w:t>closed</w:t>
      </w:r>
      <w:r w:rsidRPr="00392487" w:rsidR="00414435">
        <w:t xml:space="preserve"> </w:t>
      </w:r>
      <w:r w:rsidRPr="00392487">
        <w:t>on July 31, 2020</w:t>
      </w:r>
      <w:r>
        <w:t>), and a c</w:t>
      </w:r>
      <w:r w:rsidRPr="00845FC4">
        <w:t>omprehensive home health and</w:t>
      </w:r>
      <w:r>
        <w:t xml:space="preserve"> </w:t>
      </w:r>
      <w:r w:rsidRPr="00845FC4">
        <w:t xml:space="preserve">safety check-up </w:t>
      </w:r>
      <w:r>
        <w:t xml:space="preserve">that </w:t>
      </w:r>
      <w:r w:rsidRPr="00845FC4">
        <w:t>will address critical health and safety issues found in owner-occupied homes</w:t>
      </w:r>
      <w:r>
        <w:t xml:space="preserve"> (includes installing carbon </w:t>
      </w:r>
      <w:r w:rsidRPr="00B67A17">
        <w:t xml:space="preserve">monoxide </w:t>
      </w:r>
      <w:r w:rsidRPr="00845FC4">
        <w:t>and smoke alarms</w:t>
      </w:r>
      <w:r>
        <w:t xml:space="preserve">, </w:t>
      </w:r>
      <w:r w:rsidRPr="00845FC4">
        <w:t>assess</w:t>
      </w:r>
      <w:r>
        <w:t>ing safety of</w:t>
      </w:r>
      <w:r w:rsidRPr="00845FC4">
        <w:t xml:space="preserve"> gas </w:t>
      </w:r>
      <w:r w:rsidRPr="00845FC4">
        <w:lastRenderedPageBreak/>
        <w:t>appliances</w:t>
      </w:r>
      <w:r>
        <w:t xml:space="preserve"> and ventilation, checking water pressure/leaks, and general minor repairs).</w:t>
      </w:r>
      <w:r w:rsidRPr="00A1719B">
        <w:rPr>
          <w:vertAlign w:val="superscript"/>
        </w:rPr>
        <w:t xml:space="preserve"> </w:t>
      </w:r>
      <w:r w:rsidRPr="00B67A17">
        <w:rPr>
          <w:vertAlign w:val="superscript"/>
        </w:rPr>
        <w:footnoteReference w:id="394"/>
      </w:r>
    </w:p>
    <w:p w:rsidRPr="00395ADC" w:rsidR="000C1980" w:rsidP="002965A3" w:rsidRDefault="000C1980" w14:paraId="74880C45" w14:textId="77777777">
      <w:pPr>
        <w:pStyle w:val="Standard"/>
      </w:pPr>
      <w:r>
        <w:rPr>
          <w:b/>
          <w:bCs/>
          <w:i/>
          <w:iCs/>
          <w:u w:val="single"/>
        </w:rPr>
        <w:t xml:space="preserve">Modified Measures: </w:t>
      </w:r>
      <w:r>
        <w:t xml:space="preserve">SoCalGas proposes the following modifications to </w:t>
      </w:r>
      <w:r w:rsidRPr="007D7A8D">
        <w:t>allow for a more flexible program that will</w:t>
      </w:r>
      <w:r>
        <w:t xml:space="preserve"> </w:t>
      </w:r>
      <w:r w:rsidRPr="007D7A8D">
        <w:t>support SoCalGas’ specific proposals, as well as allow for adjustments and innovations that might be identified during implementation through trial a</w:t>
      </w:r>
      <w:r>
        <w:t>nd error.  These modifications include</w:t>
      </w:r>
      <w:r w:rsidRPr="007D7A8D">
        <w:t xml:space="preserve"> </w:t>
      </w:r>
      <w:r>
        <w:t>1) al</w:t>
      </w:r>
      <w:r w:rsidRPr="001114AF">
        <w:t>lowing energy education to be provided outside the home, in group settings, or</w:t>
      </w:r>
      <w:r>
        <w:t xml:space="preserve"> </w:t>
      </w:r>
      <w:r w:rsidRPr="001114AF">
        <w:t>online</w:t>
      </w:r>
      <w:r>
        <w:t>, 2) changing the f</w:t>
      </w:r>
      <w:r w:rsidRPr="001114AF">
        <w:t>urnaces and water heaters</w:t>
      </w:r>
      <w:r>
        <w:t xml:space="preserve"> installation service so that it is not</w:t>
      </w:r>
      <w:r w:rsidRPr="001114AF">
        <w:t xml:space="preserve"> dependent on the installation of another</w:t>
      </w:r>
      <w:r>
        <w:t xml:space="preserve"> </w:t>
      </w:r>
      <w:r w:rsidRPr="001114AF">
        <w:t>measure or a post-weatherization test</w:t>
      </w:r>
      <w:r>
        <w:t>, and 3) a</w:t>
      </w:r>
      <w:r w:rsidRPr="001114AF">
        <w:t>llow</w:t>
      </w:r>
      <w:r>
        <w:t>ing</w:t>
      </w:r>
      <w:r w:rsidRPr="001114AF">
        <w:t xml:space="preserve"> limited customer self-serve measure installation</w:t>
      </w:r>
      <w:r w:rsidRPr="005E34BF">
        <w:t>.</w:t>
      </w:r>
      <w:r>
        <w:t xml:space="preserve">  SoCalGas claims that the modification to the delivery of energy education will</w:t>
      </w:r>
      <w:r w:rsidRPr="00A70445">
        <w:t xml:space="preserve"> </w:t>
      </w:r>
      <w:r w:rsidRPr="005E34BF">
        <w:t>appea</w:t>
      </w:r>
      <w:r>
        <w:t>l</w:t>
      </w:r>
      <w:r w:rsidRPr="005E34BF">
        <w:t xml:space="preserve"> to an otherwise difficult segment to reach, support</w:t>
      </w:r>
      <w:r>
        <w:t xml:space="preserve"> </w:t>
      </w:r>
      <w:r w:rsidRPr="005E34BF">
        <w:t>the</w:t>
      </w:r>
      <w:r w:rsidRPr="00A70445">
        <w:t xml:space="preserve"> </w:t>
      </w:r>
      <w:r w:rsidRPr="005E34BF">
        <w:t>program’s penetration goals, and offer significant cost savings</w:t>
      </w:r>
      <w:r>
        <w:t>; the modification to</w:t>
      </w:r>
      <w:r w:rsidRPr="0084670A">
        <w:t xml:space="preserve"> </w:t>
      </w:r>
      <w:r>
        <w:t>changing the f</w:t>
      </w:r>
      <w:r w:rsidRPr="001114AF">
        <w:t>urnaces and water heaters</w:t>
      </w:r>
      <w:r>
        <w:t xml:space="preserve"> installation service will </w:t>
      </w:r>
      <w:r w:rsidRPr="005E34BF">
        <w:t>streamlin</w:t>
      </w:r>
      <w:r>
        <w:t>e</w:t>
      </w:r>
      <w:r w:rsidRPr="005E34BF">
        <w:t xml:space="preserve"> and simplif</w:t>
      </w:r>
      <w:r>
        <w:t>y</w:t>
      </w:r>
      <w:r w:rsidRPr="005E34BF">
        <w:t xml:space="preserve"> contractor</w:t>
      </w:r>
      <w:r>
        <w:t xml:space="preserve"> </w:t>
      </w:r>
      <w:r w:rsidRPr="005E34BF">
        <w:t>services</w:t>
      </w:r>
      <w:r>
        <w:t xml:space="preserve"> and allow SoCalGas to</w:t>
      </w:r>
      <w:r w:rsidRPr="005E34BF">
        <w:t xml:space="preserve"> </w:t>
      </w:r>
      <w:r>
        <w:t xml:space="preserve">consider </w:t>
      </w:r>
      <w:r w:rsidRPr="002152A5">
        <w:t>critical information about the state of appliances</w:t>
      </w:r>
      <w:r>
        <w:t xml:space="preserve"> </w:t>
      </w:r>
      <w:r w:rsidRPr="002152A5">
        <w:t>in the home as part of the decision to install air infiltration measures</w:t>
      </w:r>
      <w:r>
        <w:t>; and the modification to a</w:t>
      </w:r>
      <w:r w:rsidRPr="001114AF">
        <w:t>llow customer self-serve measure installation</w:t>
      </w:r>
      <w:r>
        <w:t xml:space="preserve"> will a</w:t>
      </w:r>
      <w:r w:rsidRPr="005E34BF">
        <w:t>ppeal to customers who are less inclined to invite strangers into</w:t>
      </w:r>
      <w:r>
        <w:t xml:space="preserve"> </w:t>
      </w:r>
      <w:r w:rsidRPr="005E34BF">
        <w:t>their home as well as those inclined to maintain their own homes and take an active</w:t>
      </w:r>
      <w:r>
        <w:t xml:space="preserve"> </w:t>
      </w:r>
      <w:r w:rsidRPr="005E34BF">
        <w:t>role in reducing their energy use</w:t>
      </w:r>
      <w:r>
        <w:t>.</w:t>
      </w:r>
      <w:r>
        <w:rPr>
          <w:rStyle w:val="FootnoteReference"/>
        </w:rPr>
        <w:footnoteReference w:id="395"/>
      </w:r>
    </w:p>
    <w:p w:rsidR="000C1980" w:rsidP="002965A3" w:rsidRDefault="000C1980" w14:paraId="224BA0FD" w14:textId="77777777">
      <w:pPr>
        <w:pStyle w:val="Standard"/>
      </w:pPr>
      <w:r>
        <w:rPr>
          <w:b/>
          <w:bCs/>
          <w:i/>
          <w:iCs/>
          <w:u w:val="single"/>
        </w:rPr>
        <w:t>R</w:t>
      </w:r>
      <w:r w:rsidRPr="000911EB">
        <w:rPr>
          <w:b/>
          <w:bCs/>
          <w:i/>
          <w:iCs/>
          <w:u w:val="single"/>
        </w:rPr>
        <w:t xml:space="preserve">etired </w:t>
      </w:r>
      <w:r>
        <w:rPr>
          <w:b/>
          <w:bCs/>
          <w:i/>
          <w:iCs/>
          <w:u w:val="single"/>
        </w:rPr>
        <w:t>M</w:t>
      </w:r>
      <w:r w:rsidRPr="000911EB">
        <w:rPr>
          <w:b/>
          <w:bCs/>
          <w:i/>
          <w:iCs/>
          <w:u w:val="single"/>
        </w:rPr>
        <w:t>easures</w:t>
      </w:r>
      <w:r>
        <w:rPr>
          <w:b/>
          <w:bCs/>
          <w:i/>
          <w:iCs/>
          <w:u w:val="single"/>
        </w:rPr>
        <w:t>:</w:t>
      </w:r>
      <w:r>
        <w:t xml:space="preserve"> SoCalGas proposes to retire 1) </w:t>
      </w:r>
      <w:r w:rsidRPr="00B67A17">
        <w:t>duct testing and sealing</w:t>
      </w:r>
      <w:r>
        <w:t xml:space="preserve"> unless required by Title 24 and 2) the pilot retrofit kit.  SoCalGas states that its’ experience in </w:t>
      </w:r>
      <w:r w:rsidRPr="00E7530C">
        <w:t xml:space="preserve">delivering </w:t>
      </w:r>
      <w:r>
        <w:t xml:space="preserve">the </w:t>
      </w:r>
      <w:r w:rsidRPr="00B67A17">
        <w:t>duct testing and sealing</w:t>
      </w:r>
      <w:r>
        <w:t xml:space="preserve"> </w:t>
      </w:r>
      <w:r w:rsidRPr="00E7530C">
        <w:t xml:space="preserve">measure </w:t>
      </w:r>
      <w:r>
        <w:t>results in</w:t>
      </w:r>
      <w:r w:rsidRPr="00E7530C">
        <w:t xml:space="preserve"> testing </w:t>
      </w:r>
      <w:r w:rsidRPr="00E7530C">
        <w:lastRenderedPageBreak/>
        <w:t>performed,</w:t>
      </w:r>
      <w:r>
        <w:t xml:space="preserve"> but </w:t>
      </w:r>
      <w:r w:rsidRPr="00E7530C">
        <w:t>few instances of sealing</w:t>
      </w:r>
      <w:r>
        <w:t xml:space="preserve">, and instead proposes to replace this with </w:t>
      </w:r>
      <w:r w:rsidRPr="00E7530C">
        <w:t>prescriptive duct sealing</w:t>
      </w:r>
      <w:r>
        <w:t xml:space="preserve">.  SoCalGas also states that </w:t>
      </w:r>
      <w:r w:rsidRPr="00E7530C">
        <w:t xml:space="preserve">there has been very little opportunity for </w:t>
      </w:r>
      <w:r>
        <w:t>the pilot retrofit kits</w:t>
      </w:r>
      <w:r w:rsidRPr="00E7530C">
        <w:t xml:space="preserve"> in recent</w:t>
      </w:r>
      <w:r>
        <w:t xml:space="preserve"> years as most</w:t>
      </w:r>
      <w:r w:rsidRPr="00E7530C">
        <w:t xml:space="preserve"> </w:t>
      </w:r>
      <w:r>
        <w:t xml:space="preserve">forced air units </w:t>
      </w:r>
      <w:r w:rsidRPr="00E7530C">
        <w:t>in homes no longer have a standing pilot</w:t>
      </w:r>
      <w:r w:rsidRPr="00B67A17">
        <w:t>.</w:t>
      </w:r>
      <w:r w:rsidRPr="00B67A17">
        <w:rPr>
          <w:vertAlign w:val="superscript"/>
        </w:rPr>
        <w:footnoteReference w:id="396"/>
      </w:r>
    </w:p>
    <w:p w:rsidR="000C1980" w:rsidP="002965A3" w:rsidRDefault="000C1980" w14:paraId="4A6BCF5E" w14:textId="77777777">
      <w:pPr>
        <w:pStyle w:val="Standard"/>
      </w:pPr>
      <w:r>
        <w:rPr>
          <w:b/>
          <w:bCs/>
          <w:i/>
          <w:iCs/>
          <w:u w:val="single"/>
        </w:rPr>
        <w:t xml:space="preserve">Process for </w:t>
      </w:r>
      <w:r w:rsidRPr="00D543E6">
        <w:rPr>
          <w:b/>
          <w:bCs/>
          <w:i/>
          <w:iCs/>
          <w:u w:val="single"/>
        </w:rPr>
        <w:t>Updating Measures:</w:t>
      </w:r>
      <w:r>
        <w:t xml:space="preserve">  SoCalGas also requests a</w:t>
      </w:r>
      <w:r w:rsidRPr="00F4773A">
        <w:t xml:space="preserve">pproval to add or </w:t>
      </w:r>
      <w:r>
        <w:t xml:space="preserve">remove </w:t>
      </w:r>
      <w:r w:rsidRPr="00F4773A">
        <w:t>measures from the ESA Program through the monthly</w:t>
      </w:r>
      <w:r>
        <w:t xml:space="preserve"> </w:t>
      </w:r>
      <w:r w:rsidRPr="00F4773A">
        <w:t>report</w:t>
      </w:r>
      <w:r>
        <w:t>.</w:t>
      </w:r>
    </w:p>
    <w:p w:rsidR="000C1980" w:rsidP="001968DC" w:rsidRDefault="000C1980" w14:paraId="24FF319A" w14:textId="77777777">
      <w:pPr>
        <w:pStyle w:val="Heading3"/>
        <w:ind w:left="2664"/>
      </w:pPr>
      <w:bookmarkStart w:name="_Toc69947964" w:id="302"/>
      <w:r>
        <w:t>SDG&amp;E Proposal</w:t>
      </w:r>
      <w:bookmarkEnd w:id="302"/>
      <w:r>
        <w:t xml:space="preserve"> </w:t>
      </w:r>
    </w:p>
    <w:p w:rsidR="000C1980" w:rsidP="002965A3" w:rsidRDefault="000C1980" w14:paraId="6D1E9C5C" w14:textId="77777777">
      <w:pPr>
        <w:pStyle w:val="Standard"/>
      </w:pPr>
      <w:r>
        <w:t xml:space="preserve">SDG&amp;E proposes measure mixes based on tiers, (Basic and Enhanced), with each tier tailored to the </w:t>
      </w:r>
      <w:r w:rsidRPr="000B799B">
        <w:t>customer</w:t>
      </w:r>
      <w:r>
        <w:t>s’</w:t>
      </w:r>
      <w:r w:rsidRPr="000B799B">
        <w:t xml:space="preserve"> need</w:t>
      </w:r>
      <w:r>
        <w:t xml:space="preserve">.  </w:t>
      </w:r>
      <w:r w:rsidRPr="00A623D6">
        <w:t xml:space="preserve">The </w:t>
      </w:r>
      <w:r>
        <w:t xml:space="preserve">proposed </w:t>
      </w:r>
      <w:r w:rsidRPr="00A623D6">
        <w:t>measure mix</w:t>
      </w:r>
      <w:r>
        <w:t>es</w:t>
      </w:r>
      <w:r w:rsidRPr="00A623D6">
        <w:t xml:space="preserve"> </w:t>
      </w:r>
      <w:r>
        <w:t>are</w:t>
      </w:r>
      <w:r w:rsidRPr="00A623D6">
        <w:t xml:space="preserve"> based on the program considerations of cost effectiveness, </w:t>
      </w:r>
      <w:r>
        <w:t xml:space="preserve">deeper </w:t>
      </w:r>
      <w:r w:rsidRPr="00A623D6">
        <w:t>energy savings, hardship reduction, difficulty of installation, customer acceptance and satisfaction</w:t>
      </w:r>
      <w:r w:rsidRPr="00C20F14">
        <w:t>.</w:t>
      </w:r>
      <w:r w:rsidRPr="00C20F14">
        <w:rPr>
          <w:vertAlign w:val="superscript"/>
        </w:rPr>
        <w:footnoteReference w:id="397"/>
      </w:r>
      <w:r>
        <w:t xml:space="preserve">   </w:t>
      </w:r>
    </w:p>
    <w:p w:rsidR="000C1980" w:rsidP="002965A3" w:rsidRDefault="000C1980" w14:paraId="4A617733" w14:textId="77777777">
      <w:pPr>
        <w:pStyle w:val="Standard"/>
      </w:pPr>
      <w:r w:rsidRPr="00EE3187">
        <w:rPr>
          <w:b/>
          <w:bCs/>
          <w:i/>
          <w:iCs/>
          <w:u w:val="single"/>
        </w:rPr>
        <w:t>Basic Tier</w:t>
      </w:r>
      <w:r>
        <w:rPr>
          <w:b/>
          <w:bCs/>
          <w:i/>
          <w:iCs/>
          <w:u w:val="single"/>
        </w:rPr>
        <w:t xml:space="preserve"> Measures</w:t>
      </w:r>
      <w:r w:rsidRPr="00EE3187">
        <w:rPr>
          <w:b/>
          <w:bCs/>
          <w:i/>
          <w:iCs/>
          <w:u w:val="single"/>
        </w:rPr>
        <w:t>:</w:t>
      </w:r>
      <w:r>
        <w:t xml:space="preserve">  Services include measures that</w:t>
      </w:r>
      <w:r w:rsidRPr="00C20F14">
        <w:t xml:space="preserve"> are easy-to-install </w:t>
      </w:r>
      <w:r>
        <w:t xml:space="preserve">during the initial visit, </w:t>
      </w:r>
      <w:r w:rsidRPr="00C20F14">
        <w:t>including lighting, air sealing measures, power strips, smart thermostats, and domestic hot water measures.</w:t>
      </w:r>
      <w:r w:rsidRPr="00C20F14">
        <w:rPr>
          <w:vertAlign w:val="superscript"/>
        </w:rPr>
        <w:footnoteReference w:id="398"/>
      </w:r>
    </w:p>
    <w:p w:rsidR="000C1980" w:rsidP="002965A3" w:rsidRDefault="000C1980" w14:paraId="1826AA15" w14:textId="77777777">
      <w:pPr>
        <w:pStyle w:val="Standard"/>
      </w:pPr>
      <w:r w:rsidRPr="00EE3187">
        <w:rPr>
          <w:b/>
          <w:bCs/>
          <w:i/>
          <w:iCs/>
          <w:u w:val="single"/>
        </w:rPr>
        <w:t>Enhanced Tier</w:t>
      </w:r>
      <w:r>
        <w:rPr>
          <w:b/>
          <w:bCs/>
          <w:i/>
          <w:iCs/>
          <w:u w:val="single"/>
        </w:rPr>
        <w:t xml:space="preserve"> Measures</w:t>
      </w:r>
      <w:r w:rsidRPr="00EE3187">
        <w:rPr>
          <w:b/>
          <w:bCs/>
          <w:i/>
          <w:iCs/>
          <w:u w:val="single"/>
        </w:rPr>
        <w:t>:</w:t>
      </w:r>
      <w:r>
        <w:t xml:space="preserve"> Services include all the Basic tier measures plus those</w:t>
      </w:r>
      <w:r w:rsidRPr="00C20F14">
        <w:t xml:space="preserve"> measures requiring second visits and additional resources</w:t>
      </w:r>
      <w:r>
        <w:t xml:space="preserve"> such as a</w:t>
      </w:r>
      <w:r w:rsidRPr="00301C03">
        <w:t>ppliances</w:t>
      </w:r>
      <w:r>
        <w:t>, w</w:t>
      </w:r>
      <w:r w:rsidRPr="00301C03">
        <w:t xml:space="preserve">ater </w:t>
      </w:r>
      <w:r>
        <w:t>h</w:t>
      </w:r>
      <w:r w:rsidRPr="00301C03">
        <w:t xml:space="preserve">eater </w:t>
      </w:r>
      <w:r>
        <w:t>r</w:t>
      </w:r>
      <w:r w:rsidRPr="00301C03">
        <w:t>epair/</w:t>
      </w:r>
      <w:r>
        <w:t>r</w:t>
      </w:r>
      <w:r w:rsidRPr="00301C03">
        <w:t>eplacement,</w:t>
      </w:r>
      <w:r>
        <w:t xml:space="preserve"> h</w:t>
      </w:r>
      <w:r w:rsidRPr="00301C03">
        <w:t xml:space="preserve">eat </w:t>
      </w:r>
      <w:r>
        <w:t>p</w:t>
      </w:r>
      <w:r w:rsidRPr="00301C03">
        <w:t xml:space="preserve">ump </w:t>
      </w:r>
      <w:r>
        <w:t>w</w:t>
      </w:r>
      <w:r w:rsidRPr="00301C03">
        <w:t xml:space="preserve">ater </w:t>
      </w:r>
      <w:r>
        <w:t>h</w:t>
      </w:r>
      <w:r w:rsidRPr="00301C03">
        <w:t>eater (electric)</w:t>
      </w:r>
      <w:r>
        <w:t>, f</w:t>
      </w:r>
      <w:r w:rsidRPr="00301C03">
        <w:t xml:space="preserve">urnace </w:t>
      </w:r>
      <w:r>
        <w:t>r</w:t>
      </w:r>
      <w:r w:rsidRPr="00301C03">
        <w:t>epair/</w:t>
      </w:r>
      <w:r>
        <w:t>r</w:t>
      </w:r>
      <w:r w:rsidRPr="00301C03">
        <w:t>eplacement</w:t>
      </w:r>
      <w:r>
        <w:t>,</w:t>
      </w:r>
      <w:r w:rsidRPr="00301C03">
        <w:t xml:space="preserve"> </w:t>
      </w:r>
      <w:r>
        <w:t>r</w:t>
      </w:r>
      <w:r w:rsidRPr="00CF681D">
        <w:t xml:space="preserve">oom AC </w:t>
      </w:r>
      <w:r>
        <w:t>r</w:t>
      </w:r>
      <w:r w:rsidRPr="00CF681D">
        <w:t>eplacement</w:t>
      </w:r>
      <w:r>
        <w:t>, d</w:t>
      </w:r>
      <w:r w:rsidRPr="00CF681D">
        <w:t xml:space="preserve">uct </w:t>
      </w:r>
      <w:r>
        <w:t>t</w:t>
      </w:r>
      <w:r w:rsidRPr="00CF681D">
        <w:t xml:space="preserve">esting and </w:t>
      </w:r>
      <w:r>
        <w:t>s</w:t>
      </w:r>
      <w:r w:rsidRPr="00CF681D">
        <w:t>ealing</w:t>
      </w:r>
      <w:r>
        <w:t>, e</w:t>
      </w:r>
      <w:r w:rsidRPr="00CF681D">
        <w:t xml:space="preserve">nergy </w:t>
      </w:r>
      <w:r>
        <w:t>e</w:t>
      </w:r>
      <w:r w:rsidRPr="00CF681D">
        <w:t xml:space="preserve">fficient </w:t>
      </w:r>
      <w:r>
        <w:t>f</w:t>
      </w:r>
      <w:r w:rsidRPr="00CF681D">
        <w:t xml:space="preserve">an </w:t>
      </w:r>
      <w:r>
        <w:t>c</w:t>
      </w:r>
      <w:r w:rsidRPr="00CF681D">
        <w:t>ontrol</w:t>
      </w:r>
      <w:r>
        <w:t>, w</w:t>
      </w:r>
      <w:r w:rsidRPr="008E1818">
        <w:t xml:space="preserve">hole </w:t>
      </w:r>
      <w:r>
        <w:t>h</w:t>
      </w:r>
      <w:r w:rsidRPr="008E1818">
        <w:t xml:space="preserve">ouse </w:t>
      </w:r>
      <w:r>
        <w:t>f</w:t>
      </w:r>
      <w:r w:rsidRPr="008E1818">
        <w:t>an</w:t>
      </w:r>
      <w:r>
        <w:t>, p</w:t>
      </w:r>
      <w:r w:rsidRPr="008E1818">
        <w:t xml:space="preserve">ool </w:t>
      </w:r>
      <w:r>
        <w:t>p</w:t>
      </w:r>
      <w:r w:rsidRPr="008E1818">
        <w:t>ump</w:t>
      </w:r>
      <w:r>
        <w:t>, t</w:t>
      </w:r>
      <w:r w:rsidRPr="008E1818">
        <w:t xml:space="preserve">ub </w:t>
      </w:r>
      <w:r>
        <w:t>d</w:t>
      </w:r>
      <w:r w:rsidRPr="008E1818">
        <w:t xml:space="preserve">iverter </w:t>
      </w:r>
      <w:r>
        <w:t>w/ s</w:t>
      </w:r>
      <w:r w:rsidRPr="008E1818">
        <w:t xml:space="preserve">hower </w:t>
      </w:r>
      <w:r>
        <w:t>v</w:t>
      </w:r>
      <w:r w:rsidRPr="008E1818">
        <w:t>alve</w:t>
      </w:r>
      <w:r>
        <w:t>, a</w:t>
      </w:r>
      <w:r w:rsidRPr="00EF7C14">
        <w:t xml:space="preserve">ir </w:t>
      </w:r>
      <w:r>
        <w:t>p</w:t>
      </w:r>
      <w:r w:rsidRPr="00EF7C14">
        <w:t>urifiers</w:t>
      </w:r>
      <w:r>
        <w:t>, additional lighting needs, i</w:t>
      </w:r>
      <w:r w:rsidRPr="00EF7C14">
        <w:t xml:space="preserve">n </w:t>
      </w:r>
      <w:r>
        <w:t>h</w:t>
      </w:r>
      <w:r w:rsidRPr="00EF7C14">
        <w:t xml:space="preserve">ome </w:t>
      </w:r>
      <w:r>
        <w:t>d</w:t>
      </w:r>
      <w:r w:rsidRPr="00EF7C14">
        <w:t>isplays</w:t>
      </w:r>
      <w:r>
        <w:t>, p</w:t>
      </w:r>
      <w:r w:rsidRPr="00DA2761">
        <w:t>ortable AC</w:t>
      </w:r>
      <w:r>
        <w:t>s, and g</w:t>
      </w:r>
      <w:r w:rsidRPr="00DA2761">
        <w:t>enerators</w:t>
      </w:r>
      <w:r w:rsidRPr="00C20F14">
        <w:t>.</w:t>
      </w:r>
      <w:r w:rsidRPr="00C20F14">
        <w:rPr>
          <w:vertAlign w:val="superscript"/>
        </w:rPr>
        <w:footnoteReference w:id="399"/>
      </w:r>
      <w:r w:rsidRPr="00C20F14">
        <w:t xml:space="preserve"> </w:t>
      </w:r>
    </w:p>
    <w:p w:rsidRPr="00ED7ADC" w:rsidR="000C1980" w:rsidP="002965A3" w:rsidRDefault="000C1980" w14:paraId="1E57B735" w14:textId="77777777">
      <w:pPr>
        <w:pStyle w:val="Standard"/>
        <w:rPr>
          <w:i/>
          <w:iCs/>
          <w:u w:val="single"/>
        </w:rPr>
      </w:pPr>
      <w:r w:rsidRPr="00296E8C">
        <w:rPr>
          <w:b/>
          <w:bCs/>
          <w:i/>
          <w:iCs/>
          <w:u w:val="single"/>
        </w:rPr>
        <w:lastRenderedPageBreak/>
        <w:t>New Measures:</w:t>
      </w:r>
      <w:r>
        <w:t xml:space="preserve">  SDG&amp;E </w:t>
      </w:r>
      <w:r w:rsidRPr="00D56348">
        <w:t>proposes to add energy efficient clothes dryers and whole house fans.</w:t>
      </w:r>
      <w:r w:rsidRPr="00D56348">
        <w:rPr>
          <w:vertAlign w:val="superscript"/>
        </w:rPr>
        <w:footnoteReference w:id="400"/>
      </w:r>
      <w:r w:rsidRPr="00D56348">
        <w:t xml:space="preserve"> Additionally specific to the five categories of “special initiatives” customer segments, SDG&amp;E proposes new HCS measures based on significant need for services.  These measures may include </w:t>
      </w:r>
      <w:r>
        <w:t>i</w:t>
      </w:r>
      <w:r w:rsidRPr="00D56348">
        <w:t>n-home displays for the high usage and high disconnect seg</w:t>
      </w:r>
      <w:r>
        <w:t>ments, a</w:t>
      </w:r>
      <w:r w:rsidRPr="0096052A">
        <w:t xml:space="preserve">ir </w:t>
      </w:r>
      <w:r>
        <w:t>p</w:t>
      </w:r>
      <w:r w:rsidRPr="0096052A">
        <w:t>urifiers</w:t>
      </w:r>
      <w:r>
        <w:t xml:space="preserve"> and p</w:t>
      </w:r>
      <w:r w:rsidRPr="0096052A">
        <w:t>ortable AC</w:t>
      </w:r>
      <w:r>
        <w:t xml:space="preserve"> units for the medical baseline segment, a</w:t>
      </w:r>
      <w:r w:rsidRPr="00B76289">
        <w:t xml:space="preserve">ir </w:t>
      </w:r>
      <w:r>
        <w:t>p</w:t>
      </w:r>
      <w:r w:rsidRPr="00B76289">
        <w:t>urifiers</w:t>
      </w:r>
      <w:r>
        <w:t>, e</w:t>
      </w:r>
      <w:r w:rsidRPr="00B76289">
        <w:t>lectric heat pump</w:t>
      </w:r>
      <w:r>
        <w:t>,</w:t>
      </w:r>
      <w:r w:rsidRPr="00B76289">
        <w:t xml:space="preserve"> water</w:t>
      </w:r>
      <w:r>
        <w:t xml:space="preserve"> h</w:t>
      </w:r>
      <w:r w:rsidRPr="00B76289">
        <w:t>eaters and associated</w:t>
      </w:r>
      <w:r>
        <w:t xml:space="preserve"> e</w:t>
      </w:r>
      <w:r w:rsidRPr="00B76289">
        <w:t>lectrification upgrades</w:t>
      </w:r>
      <w:r>
        <w:t xml:space="preserve"> for the DAC segments, and s</w:t>
      </w:r>
      <w:r w:rsidRPr="00ED7ADC">
        <w:t>olar-powered generators</w:t>
      </w:r>
      <w:r>
        <w:t xml:space="preserve"> for the h</w:t>
      </w:r>
      <w:r w:rsidRPr="00ED7ADC">
        <w:t xml:space="preserve">igh </w:t>
      </w:r>
      <w:r>
        <w:t>f</w:t>
      </w:r>
      <w:r w:rsidRPr="00ED7ADC">
        <w:t xml:space="preserve">ire </w:t>
      </w:r>
      <w:r>
        <w:t>t</w:t>
      </w:r>
      <w:r w:rsidRPr="00ED7ADC">
        <w:t xml:space="preserve">hreat </w:t>
      </w:r>
      <w:r>
        <w:t>d</w:t>
      </w:r>
      <w:r w:rsidRPr="00ED7ADC">
        <w:t>istrict</w:t>
      </w:r>
      <w:r>
        <w:t xml:space="preserve"> </w:t>
      </w:r>
      <w:r w:rsidRPr="00ED7ADC">
        <w:t>customers</w:t>
      </w:r>
      <w:r>
        <w:t>.</w:t>
      </w:r>
      <w:r>
        <w:rPr>
          <w:rStyle w:val="FootnoteReference"/>
        </w:rPr>
        <w:footnoteReference w:id="401"/>
      </w:r>
    </w:p>
    <w:p w:rsidR="000C1980" w:rsidP="002965A3" w:rsidRDefault="000C1980" w14:paraId="261C1BFC" w14:textId="77777777">
      <w:pPr>
        <w:pStyle w:val="Standard"/>
        <w:rPr>
          <w:highlight w:val="yellow"/>
        </w:rPr>
      </w:pPr>
      <w:r w:rsidRPr="00657956">
        <w:rPr>
          <w:b/>
          <w:bCs/>
          <w:i/>
          <w:iCs/>
          <w:u w:val="single"/>
        </w:rPr>
        <w:t>Modified Measures:</w:t>
      </w:r>
      <w:r>
        <w:t xml:space="preserve"> </w:t>
      </w:r>
      <w:r w:rsidRPr="00C20F14">
        <w:t xml:space="preserve">SDG&amp;E proposes to revise the policy rule for the appliance eligibility criteria to be based on </w:t>
      </w:r>
      <w:r>
        <w:t>effective useful life</w:t>
      </w:r>
      <w:r w:rsidRPr="00C20F14">
        <w:t xml:space="preserve"> for replacement in lieu of replacement being based on the appliance manufactured date, which would apply to refrigerators, gas clothes dryers, and clothes washers.</w:t>
      </w:r>
      <w:r w:rsidRPr="00C20F14">
        <w:rPr>
          <w:vertAlign w:val="superscript"/>
        </w:rPr>
        <w:footnoteReference w:id="402"/>
      </w:r>
      <w:r w:rsidRPr="00296E8C">
        <w:rPr>
          <w:highlight w:val="yellow"/>
        </w:rPr>
        <w:t xml:space="preserve"> </w:t>
      </w:r>
    </w:p>
    <w:p w:rsidR="000C1980" w:rsidP="002965A3" w:rsidRDefault="000C1980" w14:paraId="1F6A6113" w14:textId="77777777">
      <w:pPr>
        <w:pStyle w:val="Standard"/>
      </w:pPr>
      <w:r w:rsidRPr="00531071">
        <w:rPr>
          <w:b/>
          <w:bCs/>
          <w:i/>
          <w:iCs/>
          <w:u w:val="single"/>
        </w:rPr>
        <w:t>Retired Measures:</w:t>
      </w:r>
      <w:r>
        <w:t xml:space="preserve"> SDG&amp;E proposes to </w:t>
      </w:r>
      <w:r w:rsidRPr="00C20F14">
        <w:t xml:space="preserve">remove </w:t>
      </w:r>
      <w:r>
        <w:t xml:space="preserve">the following </w:t>
      </w:r>
      <w:r w:rsidRPr="00C20F14">
        <w:t xml:space="preserve">measures that have not been impactful or cost-effective, </w:t>
      </w:r>
      <w:r>
        <w:t>including</w:t>
      </w:r>
      <w:r w:rsidRPr="00C20F14">
        <w:t xml:space="preserve"> water heater blankets, water pipe insulation, furnace clean and tune, torchieres, and air conditioner tune ups. </w:t>
      </w:r>
      <w:r>
        <w:t xml:space="preserve"> SDG&amp;E states that these measures are either expensive with low or negative energy savings, have a low install rate, or have low customer impact.</w:t>
      </w:r>
      <w:r w:rsidRPr="00C20F14">
        <w:rPr>
          <w:vertAlign w:val="superscript"/>
        </w:rPr>
        <w:footnoteReference w:id="403"/>
      </w:r>
    </w:p>
    <w:p w:rsidR="000C1980" w:rsidP="001968DC" w:rsidRDefault="000C1980" w14:paraId="4F1AD72A" w14:textId="77777777">
      <w:pPr>
        <w:pStyle w:val="Heading3"/>
        <w:ind w:left="2664"/>
      </w:pPr>
      <w:bookmarkStart w:name="_Toc69947965" w:id="303"/>
      <w:r>
        <w:t>Party Positions</w:t>
      </w:r>
      <w:bookmarkEnd w:id="303"/>
    </w:p>
    <w:p w:rsidR="000C1980" w:rsidP="001968DC" w:rsidRDefault="000C1980" w14:paraId="53BD481D" w14:textId="77777777">
      <w:pPr>
        <w:pStyle w:val="Heading4"/>
        <w:ind w:left="3600"/>
      </w:pPr>
      <w:bookmarkStart w:name="_Toc69947966" w:id="304"/>
      <w:r>
        <w:t>EEC</w:t>
      </w:r>
      <w:bookmarkEnd w:id="304"/>
    </w:p>
    <w:p w:rsidR="000C1980" w:rsidP="002965A3" w:rsidRDefault="000C1980" w14:paraId="1F8462EB" w14:textId="77777777">
      <w:pPr>
        <w:pStyle w:val="Standard"/>
      </w:pPr>
      <w:r w:rsidRPr="004E6F27">
        <w:rPr>
          <w:b/>
          <w:bCs/>
          <w:i/>
          <w:iCs/>
          <w:u w:val="single"/>
        </w:rPr>
        <w:t>PG&amp;E’s Proposed Measure Mix:</w:t>
      </w:r>
      <w:r>
        <w:t xml:space="preserve"> EEC</w:t>
      </w:r>
      <w:r w:rsidRPr="00273425">
        <w:t xml:space="preserve"> </w:t>
      </w:r>
      <w:r>
        <w:t>opposes</w:t>
      </w:r>
      <w:r w:rsidRPr="00273425">
        <w:t xml:space="preserve"> PG&amp;E’s proposed copays of $250 and $500 for </w:t>
      </w:r>
      <w:r>
        <w:t xml:space="preserve">water and </w:t>
      </w:r>
      <w:r w:rsidRPr="00273425">
        <w:t>furnace repair and replacement to renters in single family dwellings as arbitrary and inequitable</w:t>
      </w:r>
      <w:r>
        <w:t xml:space="preserve">.  </w:t>
      </w:r>
      <w:r w:rsidRPr="00273425">
        <w:t xml:space="preserve">EEC argues that copays for single </w:t>
      </w:r>
      <w:r w:rsidRPr="00273425">
        <w:lastRenderedPageBreak/>
        <w:t xml:space="preserve">family dwellings </w:t>
      </w:r>
      <w:r>
        <w:t>are</w:t>
      </w:r>
      <w:r w:rsidRPr="00273425">
        <w:t xml:space="preserve"> a barrier to providing for </w:t>
      </w:r>
      <w:r>
        <w:t>HCS</w:t>
      </w:r>
      <w:r w:rsidRPr="00273425">
        <w:t>, and unusual because renters in multifamily dwellings are not subject to paying it.</w:t>
      </w:r>
      <w:r w:rsidRPr="00273425">
        <w:rPr>
          <w:vertAlign w:val="superscript"/>
        </w:rPr>
        <w:footnoteReference w:id="404"/>
      </w:r>
    </w:p>
    <w:p w:rsidR="000C1980" w:rsidP="002965A3" w:rsidRDefault="000C1980" w14:paraId="34D397CE" w14:textId="77777777">
      <w:pPr>
        <w:pStyle w:val="Standard"/>
      </w:pPr>
      <w:r>
        <w:rPr>
          <w:b/>
          <w:bCs/>
          <w:i/>
          <w:iCs/>
          <w:u w:val="single"/>
        </w:rPr>
        <w:t>SC</w:t>
      </w:r>
      <w:r w:rsidRPr="004E6F27">
        <w:rPr>
          <w:b/>
          <w:bCs/>
          <w:i/>
          <w:iCs/>
          <w:u w:val="single"/>
        </w:rPr>
        <w:t>E’s Proposed Measure Mix:</w:t>
      </w:r>
      <w:r>
        <w:t xml:space="preserve"> EEC does not specifically oppose S</w:t>
      </w:r>
      <w:r w:rsidRPr="00CC22CF">
        <w:t xml:space="preserve">CE’s </w:t>
      </w:r>
      <w:r>
        <w:t xml:space="preserve">measure mix but recommends that the </w:t>
      </w:r>
      <w:r w:rsidRPr="00CC22CF">
        <w:t xml:space="preserve">Tier 2 </w:t>
      </w:r>
      <w:r>
        <w:t>measures</w:t>
      </w:r>
      <w:r w:rsidRPr="00CC22CF">
        <w:t xml:space="preserve"> </w:t>
      </w:r>
      <w:r>
        <w:t xml:space="preserve">be </w:t>
      </w:r>
      <w:r w:rsidRPr="00CC22CF">
        <w:t>provided to all those in need</w:t>
      </w:r>
      <w:r>
        <w:t>, not just the high users</w:t>
      </w:r>
      <w:r w:rsidRPr="00CC22CF">
        <w:t>.</w:t>
      </w:r>
      <w:r>
        <w:rPr>
          <w:rStyle w:val="FootnoteReference"/>
        </w:rPr>
        <w:footnoteReference w:id="405"/>
      </w:r>
    </w:p>
    <w:p w:rsidR="000C1980" w:rsidP="002965A3" w:rsidRDefault="000C1980" w14:paraId="347389C9" w14:textId="77777777">
      <w:pPr>
        <w:pStyle w:val="Standard"/>
      </w:pPr>
      <w:r>
        <w:rPr>
          <w:b/>
          <w:bCs/>
          <w:i/>
          <w:iCs/>
          <w:u w:val="single"/>
        </w:rPr>
        <w:t>SoCalGas</w:t>
      </w:r>
      <w:r w:rsidRPr="004E6F27">
        <w:rPr>
          <w:b/>
          <w:bCs/>
          <w:i/>
          <w:iCs/>
          <w:u w:val="single"/>
        </w:rPr>
        <w:t>’ Proposed Measure Mix:</w:t>
      </w:r>
      <w:r>
        <w:t xml:space="preserve"> EEC states that SoCalGas </w:t>
      </w:r>
      <w:r w:rsidRPr="008951D2">
        <w:t>should be required to install all feasible measures with no measure caps</w:t>
      </w:r>
      <w:r>
        <w:t xml:space="preserve">, and that </w:t>
      </w:r>
      <w:r w:rsidRPr="008951D2">
        <w:t>renters in all</w:t>
      </w:r>
      <w:r>
        <w:t xml:space="preserve"> </w:t>
      </w:r>
      <w:r w:rsidRPr="008951D2">
        <w:t xml:space="preserve">housing types </w:t>
      </w:r>
      <w:r>
        <w:t xml:space="preserve">should </w:t>
      </w:r>
      <w:r w:rsidRPr="008951D2">
        <w:t xml:space="preserve">receive </w:t>
      </w:r>
      <w:r>
        <w:t xml:space="preserve">the same measures </w:t>
      </w:r>
      <w:r w:rsidRPr="008951D2">
        <w:t xml:space="preserve">offered to multifamily </w:t>
      </w:r>
      <w:r>
        <w:t>renters</w:t>
      </w:r>
      <w:r w:rsidRPr="008951D2">
        <w:t xml:space="preserve"> under</w:t>
      </w:r>
      <w:r>
        <w:t xml:space="preserve"> </w:t>
      </w:r>
      <w:r w:rsidRPr="008951D2">
        <w:t>the multifamily proposal</w:t>
      </w:r>
      <w:r>
        <w:t>.  EEC claims that trying</w:t>
      </w:r>
      <w:r w:rsidRPr="008951D2">
        <w:t xml:space="preserve"> to optimize the measure mix in every home will create confusion, customer</w:t>
      </w:r>
      <w:r>
        <w:t xml:space="preserve"> </w:t>
      </w:r>
      <w:r w:rsidRPr="008951D2">
        <w:t>services issues, and missed opportunities</w:t>
      </w:r>
      <w:r>
        <w:t xml:space="preserve">.  EEC also questions SoCalGas’ </w:t>
      </w:r>
      <w:r w:rsidRPr="008951D2">
        <w:t>self-service proposal</w:t>
      </w:r>
      <w:r>
        <w:t xml:space="preserve"> claiming that it may lead to </w:t>
      </w:r>
      <w:r w:rsidRPr="008951D2">
        <w:t>poor customer service, incorrect home assessments,</w:t>
      </w:r>
      <w:r>
        <w:t xml:space="preserve"> </w:t>
      </w:r>
      <w:r w:rsidRPr="008951D2">
        <w:t>inadequate energy education, uninstalled measures, fraudulent enrollments, and a</w:t>
      </w:r>
      <w:r>
        <w:t xml:space="preserve"> </w:t>
      </w:r>
      <w:r w:rsidRPr="008951D2">
        <w:t>host of other problems.</w:t>
      </w:r>
      <w:r>
        <w:rPr>
          <w:rStyle w:val="FootnoteReference"/>
        </w:rPr>
        <w:footnoteReference w:id="406"/>
      </w:r>
    </w:p>
    <w:p w:rsidR="000C1980" w:rsidP="002965A3" w:rsidRDefault="000C1980" w14:paraId="4F79B697" w14:textId="77777777">
      <w:pPr>
        <w:pStyle w:val="Standard"/>
      </w:pPr>
      <w:r>
        <w:rPr>
          <w:b/>
          <w:bCs/>
          <w:i/>
          <w:iCs/>
          <w:u w:val="single"/>
        </w:rPr>
        <w:t>New Measures (A</w:t>
      </w:r>
      <w:r w:rsidRPr="008E00D9">
        <w:rPr>
          <w:b/>
          <w:bCs/>
          <w:i/>
          <w:iCs/>
          <w:u w:val="single"/>
        </w:rPr>
        <w:t>ll Energy Efficiency and Clean Energy Measures</w:t>
      </w:r>
      <w:r>
        <w:rPr>
          <w:b/>
          <w:bCs/>
          <w:i/>
          <w:iCs/>
          <w:u w:val="single"/>
        </w:rPr>
        <w:t>)</w:t>
      </w:r>
      <w:r w:rsidRPr="008E00D9">
        <w:rPr>
          <w:b/>
          <w:bCs/>
          <w:i/>
          <w:iCs/>
          <w:u w:val="single"/>
        </w:rPr>
        <w:t>:</w:t>
      </w:r>
      <w:r>
        <w:t xml:space="preserve">  EEC proposes that the Commission automatically add all Commission approved energy efficiency and clean energy measures, including solar to the ESA portfolio of measures, claiming that this can only improve the cost effectiveness of the overall program.</w:t>
      </w:r>
      <w:r>
        <w:rPr>
          <w:rStyle w:val="FootnoteReference"/>
        </w:rPr>
        <w:footnoteReference w:id="407"/>
      </w:r>
      <w:r>
        <w:t xml:space="preserve">  </w:t>
      </w:r>
    </w:p>
    <w:p w:rsidR="00255786" w:rsidP="002965A3" w:rsidRDefault="000C1980" w14:paraId="36B41AB9" w14:textId="379874C6">
      <w:pPr>
        <w:pStyle w:val="Standard"/>
      </w:pPr>
      <w:r>
        <w:rPr>
          <w:b/>
          <w:bCs/>
          <w:i/>
          <w:iCs/>
          <w:u w:val="single"/>
        </w:rPr>
        <w:t>Allowing ESA Contractors to Enroll and Install Solar</w:t>
      </w:r>
      <w:r w:rsidRPr="008E00D9">
        <w:rPr>
          <w:b/>
          <w:bCs/>
          <w:i/>
          <w:iCs/>
          <w:u w:val="single"/>
        </w:rPr>
        <w:t>:</w:t>
      </w:r>
      <w:r>
        <w:t xml:space="preserve">  EEC proposes that that E</w:t>
      </w:r>
      <w:r w:rsidRPr="009412C3">
        <w:t xml:space="preserve">SA </w:t>
      </w:r>
      <w:r>
        <w:t>c</w:t>
      </w:r>
      <w:r w:rsidRPr="009412C3">
        <w:t xml:space="preserve">ontractors be allowed to enroll </w:t>
      </w:r>
      <w:proofErr w:type="gramStart"/>
      <w:r w:rsidRPr="009412C3">
        <w:t>low income</w:t>
      </w:r>
      <w:proofErr w:type="gramEnd"/>
      <w:r w:rsidRPr="009412C3">
        <w:t xml:space="preserve"> families into</w:t>
      </w:r>
      <w:r>
        <w:t xml:space="preserve"> </w:t>
      </w:r>
      <w:r w:rsidRPr="009412C3">
        <w:t>ratepayer</w:t>
      </w:r>
      <w:r>
        <w:t xml:space="preserve"> </w:t>
      </w:r>
      <w:r w:rsidRPr="009412C3">
        <w:t>funded low</w:t>
      </w:r>
      <w:r>
        <w:t xml:space="preserve"> </w:t>
      </w:r>
      <w:r w:rsidRPr="009412C3">
        <w:t>income solar programs and to perform the installations or to</w:t>
      </w:r>
      <w:r>
        <w:t xml:space="preserve"> </w:t>
      </w:r>
      <w:r w:rsidRPr="009412C3">
        <w:lastRenderedPageBreak/>
        <w:t>subcontract them to qualified solar contractors</w:t>
      </w:r>
      <w:r>
        <w:t xml:space="preserve">, however </w:t>
      </w:r>
      <w:r w:rsidRPr="009412C3">
        <w:t xml:space="preserve">funding for such installations should </w:t>
      </w:r>
      <w:r>
        <w:t xml:space="preserve">still </w:t>
      </w:r>
      <w:r w:rsidRPr="009412C3">
        <w:t>come</w:t>
      </w:r>
      <w:r>
        <w:t xml:space="preserve"> </w:t>
      </w:r>
      <w:r w:rsidRPr="009412C3">
        <w:t xml:space="preserve">from the </w:t>
      </w:r>
      <w:r>
        <w:t>s</w:t>
      </w:r>
      <w:r w:rsidRPr="009412C3">
        <w:t xml:space="preserve">olar </w:t>
      </w:r>
      <w:r>
        <w:t>p</w:t>
      </w:r>
      <w:r w:rsidRPr="009412C3">
        <w:t xml:space="preserve">rogram, </w:t>
      </w:r>
      <w:r>
        <w:t xml:space="preserve">and </w:t>
      </w:r>
      <w:r w:rsidRPr="009412C3">
        <w:t>not from ESA</w:t>
      </w:r>
      <w:r>
        <w:t>.  EEC states that allowing ESA co</w:t>
      </w:r>
      <w:r w:rsidRPr="009412C3">
        <w:t xml:space="preserve">ntractors to offer </w:t>
      </w:r>
      <w:r>
        <w:t>solar w</w:t>
      </w:r>
      <w:r w:rsidRPr="009412C3">
        <w:t>ould open the program to</w:t>
      </w:r>
      <w:r>
        <w:t xml:space="preserve"> </w:t>
      </w:r>
      <w:r w:rsidRPr="009412C3">
        <w:t xml:space="preserve">hundreds of thousands of </w:t>
      </w:r>
      <w:proofErr w:type="gramStart"/>
      <w:r w:rsidRPr="009412C3">
        <w:t>low</w:t>
      </w:r>
      <w:r>
        <w:t xml:space="preserve"> </w:t>
      </w:r>
      <w:r w:rsidRPr="009412C3">
        <w:t>income</w:t>
      </w:r>
      <w:proofErr w:type="gramEnd"/>
      <w:r w:rsidRPr="009412C3">
        <w:t xml:space="preserve"> families not currently being reached by the single </w:t>
      </w:r>
      <w:r>
        <w:t>s</w:t>
      </w:r>
      <w:r w:rsidRPr="009412C3">
        <w:t>olar</w:t>
      </w:r>
      <w:r>
        <w:t xml:space="preserve"> c</w:t>
      </w:r>
      <w:r w:rsidRPr="009412C3">
        <w:t>ontractor now involved</w:t>
      </w:r>
      <w:r>
        <w:t>, w</w:t>
      </w:r>
      <w:r w:rsidRPr="009412C3">
        <w:t xml:space="preserve">ould </w:t>
      </w:r>
      <w:r>
        <w:t>simplify t</w:t>
      </w:r>
      <w:r w:rsidRPr="009412C3">
        <w:t>he process for the low</w:t>
      </w:r>
      <w:r>
        <w:t xml:space="preserve"> </w:t>
      </w:r>
      <w:r w:rsidRPr="009412C3">
        <w:t>income famil</w:t>
      </w:r>
      <w:r>
        <w:t xml:space="preserve">ies </w:t>
      </w:r>
      <w:r w:rsidRPr="009412C3">
        <w:t>who no longer need to deal with multiple companies and contacts.</w:t>
      </w:r>
      <w:r>
        <w:rPr>
          <w:rStyle w:val="FootnoteReference"/>
        </w:rPr>
        <w:footnoteReference w:id="408"/>
      </w:r>
      <w:r>
        <w:t xml:space="preserve">  </w:t>
      </w:r>
    </w:p>
    <w:p w:rsidRPr="00460054" w:rsidR="00555FDA" w:rsidP="002965A3" w:rsidRDefault="00555FDA" w14:paraId="6EC4A592" w14:textId="156A921D">
      <w:pPr>
        <w:pStyle w:val="Standard"/>
      </w:pPr>
      <w:r w:rsidRPr="00536DEE">
        <w:rPr>
          <w:b/>
          <w:bCs/>
          <w:i/>
          <w:iCs/>
          <w:u w:val="single"/>
        </w:rPr>
        <w:t>Establishment of an Online Marketplace for Measures</w:t>
      </w:r>
      <w:r w:rsidRPr="009C1870">
        <w:rPr>
          <w:b/>
          <w:bCs/>
          <w:i/>
          <w:iCs/>
          <w:u w:val="single"/>
        </w:rPr>
        <w:t>:</w:t>
      </w:r>
      <w:r w:rsidR="00460054">
        <w:t xml:space="preserve"> EEC recommends that the </w:t>
      </w:r>
      <w:r w:rsidRPr="00460054" w:rsidR="00460054">
        <w:t>Commission reject the use of ESA funds for third-party marketplace purchases.</w:t>
      </w:r>
      <w:r w:rsidR="00460054">
        <w:rPr>
          <w:rStyle w:val="FootnoteReference"/>
        </w:rPr>
        <w:footnoteReference w:id="409"/>
      </w:r>
    </w:p>
    <w:p w:rsidR="000C1980" w:rsidP="001968DC" w:rsidRDefault="000C1980" w14:paraId="480BEB37" w14:textId="77777777">
      <w:pPr>
        <w:pStyle w:val="Heading4"/>
        <w:ind w:left="3600"/>
      </w:pPr>
      <w:bookmarkStart w:name="_Toc69947967" w:id="305"/>
      <w:r w:rsidRPr="0094008A">
        <w:t xml:space="preserve">La </w:t>
      </w:r>
      <w:proofErr w:type="spellStart"/>
      <w:r w:rsidRPr="0094008A">
        <w:t>Cooperativa</w:t>
      </w:r>
      <w:proofErr w:type="spellEnd"/>
      <w:r w:rsidRPr="0094008A">
        <w:t xml:space="preserve"> et al.</w:t>
      </w:r>
      <w:bookmarkEnd w:id="305"/>
    </w:p>
    <w:p w:rsidR="000C1980" w:rsidP="002965A3" w:rsidRDefault="000C1980" w14:paraId="0C4B6D3B" w14:textId="77777777">
      <w:pPr>
        <w:pStyle w:val="Standard"/>
      </w:pPr>
      <w:r w:rsidRPr="00982DB0">
        <w:rPr>
          <w:b/>
          <w:bCs/>
          <w:i/>
          <w:iCs/>
          <w:u w:val="single"/>
        </w:rPr>
        <w:t>SCE’s Proposed Measure Mix</w:t>
      </w:r>
      <w:r>
        <w:t xml:space="preserve">: </w:t>
      </w:r>
      <w:r w:rsidRPr="000D72F5">
        <w:t xml:space="preserve">La </w:t>
      </w:r>
      <w:proofErr w:type="spellStart"/>
      <w:r w:rsidRPr="000D72F5">
        <w:t>Cooperativa</w:t>
      </w:r>
      <w:proofErr w:type="spellEnd"/>
      <w:r w:rsidRPr="000D72F5">
        <w:t xml:space="preserve"> </w:t>
      </w:r>
      <w:r>
        <w:t xml:space="preserve">et al. </w:t>
      </w:r>
      <w:r w:rsidRPr="00E35C96">
        <w:t>recommend</w:t>
      </w:r>
      <w:r>
        <w:t>s</w:t>
      </w:r>
      <w:r w:rsidRPr="00E35C96">
        <w:t xml:space="preserve"> that SCE </w:t>
      </w:r>
      <w:r>
        <w:t>add</w:t>
      </w:r>
      <w:r w:rsidRPr="00E35C96">
        <w:t xml:space="preserve"> HVAC</w:t>
      </w:r>
      <w:r>
        <w:t xml:space="preserve"> </w:t>
      </w:r>
      <w:r w:rsidRPr="00E35C96">
        <w:t>replacement</w:t>
      </w:r>
      <w:r>
        <w:t>s</w:t>
      </w:r>
      <w:r w:rsidRPr="00E35C96">
        <w:t xml:space="preserve"> in climate zones 13, 14 and 15 as part of the Tier 1</w:t>
      </w:r>
      <w:r>
        <w:t xml:space="preserve"> </w:t>
      </w:r>
      <w:r w:rsidRPr="00E35C96">
        <w:t>measure group</w:t>
      </w:r>
      <w:r>
        <w:t xml:space="preserve">, and all </w:t>
      </w:r>
      <w:r w:rsidRPr="00E35C96">
        <w:t xml:space="preserve">cooling measures, such as HVAC replacement in </w:t>
      </w:r>
      <w:r>
        <w:t xml:space="preserve">all climate zones as part of the Tier 2 Enhanced package.  La </w:t>
      </w:r>
      <w:proofErr w:type="spellStart"/>
      <w:r>
        <w:t>Cooperativa</w:t>
      </w:r>
      <w:proofErr w:type="spellEnd"/>
      <w:r>
        <w:t xml:space="preserve"> et al. also requests that the Commission </w:t>
      </w:r>
      <w:r w:rsidRPr="00E35C96">
        <w:t xml:space="preserve">require </w:t>
      </w:r>
      <w:r>
        <w:t xml:space="preserve">the </w:t>
      </w:r>
      <w:r w:rsidRPr="00E35C96">
        <w:t>IOUs to evaluate the expansion of cooling climate zones, conduct a study to</w:t>
      </w:r>
      <w:r>
        <w:t xml:space="preserve"> </w:t>
      </w:r>
      <w:r w:rsidRPr="00E35C96">
        <w:t>identify new geographical areas that have experienced an increase in cooling degree days</w:t>
      </w:r>
      <w:r>
        <w:t>.</w:t>
      </w:r>
      <w:r w:rsidRPr="00C35CCE">
        <w:rPr>
          <w:rStyle w:val="FootnoteReference"/>
        </w:rPr>
        <w:t xml:space="preserve"> </w:t>
      </w:r>
      <w:r>
        <w:rPr>
          <w:rStyle w:val="FootnoteReference"/>
        </w:rPr>
        <w:footnoteReference w:id="410"/>
      </w:r>
      <w:r>
        <w:t xml:space="preserve"> </w:t>
      </w:r>
    </w:p>
    <w:p w:rsidRPr="00C20F14" w:rsidR="000C1980" w:rsidP="002965A3" w:rsidRDefault="000C1980" w14:paraId="44AA3884" w14:textId="77777777">
      <w:pPr>
        <w:pStyle w:val="Standard"/>
      </w:pPr>
      <w:r>
        <w:rPr>
          <w:b/>
          <w:bCs/>
          <w:i/>
          <w:iCs/>
          <w:u w:val="single"/>
        </w:rPr>
        <w:t>Modified Measures (</w:t>
      </w:r>
      <w:r w:rsidRPr="00E02D05">
        <w:rPr>
          <w:b/>
          <w:bCs/>
          <w:i/>
          <w:iCs/>
          <w:u w:val="single"/>
        </w:rPr>
        <w:t>Refrigerator Replacement</w:t>
      </w:r>
      <w:r>
        <w:rPr>
          <w:b/>
          <w:bCs/>
          <w:i/>
          <w:iCs/>
          <w:u w:val="single"/>
        </w:rPr>
        <w:t>s)</w:t>
      </w:r>
      <w:r w:rsidRPr="00E02D05">
        <w:rPr>
          <w:b/>
          <w:bCs/>
          <w:i/>
          <w:iCs/>
          <w:u w:val="single"/>
        </w:rPr>
        <w:t>:</w:t>
      </w:r>
      <w:r>
        <w:t xml:space="preserve"> La </w:t>
      </w:r>
      <w:proofErr w:type="spellStart"/>
      <w:r>
        <w:t>Cooperativa</w:t>
      </w:r>
      <w:proofErr w:type="spellEnd"/>
      <w:r>
        <w:t xml:space="preserve"> et al. supports modifying the r</w:t>
      </w:r>
      <w:r w:rsidRPr="00B9550B">
        <w:t>efrigerator replacement policy</w:t>
      </w:r>
      <w:r>
        <w:t xml:space="preserve"> from one based on the age of the unit to </w:t>
      </w:r>
      <w:r w:rsidRPr="006935D7">
        <w:t>a 10-year replacement policy.</w:t>
      </w:r>
      <w:r w:rsidRPr="006935D7">
        <w:rPr>
          <w:vertAlign w:val="superscript"/>
        </w:rPr>
        <w:footnoteReference w:id="411"/>
      </w:r>
    </w:p>
    <w:p w:rsidR="000C1980" w:rsidP="001968DC" w:rsidRDefault="000C1980" w14:paraId="5146EFC0" w14:textId="77777777">
      <w:pPr>
        <w:pStyle w:val="Heading4"/>
        <w:ind w:left="3600"/>
      </w:pPr>
      <w:bookmarkStart w:name="_Toc69947968" w:id="306"/>
      <w:proofErr w:type="spellStart"/>
      <w:r w:rsidRPr="006428BB">
        <w:lastRenderedPageBreak/>
        <w:t>CforAT</w:t>
      </w:r>
      <w:bookmarkEnd w:id="306"/>
      <w:proofErr w:type="spellEnd"/>
    </w:p>
    <w:p w:rsidR="000C1980" w:rsidP="002965A3" w:rsidRDefault="000C1980" w14:paraId="296883C0" w14:textId="77777777">
      <w:pPr>
        <w:pStyle w:val="Standard"/>
      </w:pPr>
      <w:r w:rsidRPr="006733B2">
        <w:rPr>
          <w:b/>
          <w:bCs/>
          <w:i/>
          <w:iCs/>
          <w:u w:val="single"/>
        </w:rPr>
        <w:t>Cap on General Home Repair</w:t>
      </w:r>
      <w:r>
        <w:rPr>
          <w:b/>
          <w:bCs/>
          <w:i/>
          <w:iCs/>
          <w:u w:val="single"/>
        </w:rPr>
        <w:t xml:space="preserve"> Measures</w:t>
      </w:r>
      <w:r w:rsidRPr="006733B2">
        <w:rPr>
          <w:b/>
          <w:bCs/>
          <w:i/>
          <w:iCs/>
          <w:u w:val="single"/>
        </w:rPr>
        <w:t>:</w:t>
      </w:r>
      <w:r>
        <w:t xml:space="preserve"> </w:t>
      </w:r>
      <w:proofErr w:type="spellStart"/>
      <w:r w:rsidRPr="00EC1664">
        <w:t>CforAT</w:t>
      </w:r>
      <w:proofErr w:type="spellEnd"/>
      <w:r w:rsidRPr="00EC1664">
        <w:t xml:space="preserve"> </w:t>
      </w:r>
      <w:r>
        <w:t>proposes</w:t>
      </w:r>
      <w:r w:rsidRPr="00EC1664">
        <w:t xml:space="preserve"> a per-household cap on general home repairs</w:t>
      </w:r>
      <w:r>
        <w:t xml:space="preserve"> (modeled after the </w:t>
      </w:r>
      <w:r w:rsidRPr="00482385">
        <w:t xml:space="preserve">San Joaquin Valley </w:t>
      </w:r>
      <w:r>
        <w:t xml:space="preserve">Proceeding </w:t>
      </w:r>
      <w:r w:rsidRPr="00482385">
        <w:t>R.15-03-010)</w:t>
      </w:r>
      <w:r w:rsidRPr="00EC1664">
        <w:t>, to be set based on the</w:t>
      </w:r>
      <w:r>
        <w:t xml:space="preserve"> </w:t>
      </w:r>
      <w:r w:rsidRPr="00EC1664">
        <w:t>average cost of treatment in a particular tier</w:t>
      </w:r>
      <w:r>
        <w:t xml:space="preserve"> and set at n</w:t>
      </w:r>
      <w:r w:rsidRPr="00EC1664">
        <w:t>o more</w:t>
      </w:r>
      <w:r>
        <w:t xml:space="preserve"> t</w:t>
      </w:r>
      <w:r w:rsidRPr="00EC1664">
        <w:t>han 10</w:t>
      </w:r>
      <w:r w:rsidRPr="00E1050D">
        <w:t xml:space="preserve"> </w:t>
      </w:r>
      <w:r w:rsidRPr="0026503D">
        <w:t>percent</w:t>
      </w:r>
      <w:r w:rsidRPr="00EC1664">
        <w:t xml:space="preserve"> of the average cost for treatment in the tier to which the customer is assigned</w:t>
      </w:r>
      <w:r>
        <w:t xml:space="preserve">.  </w:t>
      </w:r>
      <w:r w:rsidRPr="00EC1664">
        <w:t>As more</w:t>
      </w:r>
      <w:r>
        <w:t xml:space="preserve"> </w:t>
      </w:r>
      <w:r w:rsidRPr="00EC1664">
        <w:t xml:space="preserve">data is collected both through the </w:t>
      </w:r>
      <w:r w:rsidRPr="00482385">
        <w:t xml:space="preserve">San Joaquin Valley </w:t>
      </w:r>
      <w:r>
        <w:t>p</w:t>
      </w:r>
      <w:r w:rsidRPr="00EC1664">
        <w:t>ilots and through ESA after such a cap is adopted, any cap can be revisited in the future if changes are determined to be appropriate.</w:t>
      </w:r>
      <w:r w:rsidRPr="005D421C">
        <w:rPr>
          <w:rStyle w:val="FootnoteReference"/>
          <w:rFonts w:eastAsia="Calibri" w:cs="Calibri"/>
        </w:rPr>
        <w:t xml:space="preserve"> </w:t>
      </w:r>
      <w:r>
        <w:rPr>
          <w:rStyle w:val="FootnoteReference"/>
          <w:rFonts w:eastAsia="Calibri" w:cs="Calibri"/>
        </w:rPr>
        <w:footnoteReference w:id="412"/>
      </w:r>
      <w:r w:rsidRPr="00EC1664">
        <w:t xml:space="preserve"> </w:t>
      </w:r>
    </w:p>
    <w:p w:rsidR="000C1980" w:rsidP="001968DC" w:rsidRDefault="000C1980" w14:paraId="29931EEA" w14:textId="77777777">
      <w:pPr>
        <w:pStyle w:val="Heading4"/>
        <w:ind w:left="3600"/>
      </w:pPr>
      <w:bookmarkStart w:name="_Toc69947969" w:id="307"/>
      <w:r>
        <w:t>Joint Parties</w:t>
      </w:r>
      <w:bookmarkEnd w:id="307"/>
    </w:p>
    <w:p w:rsidRPr="004C1CB6" w:rsidR="000C1980" w:rsidP="002965A3" w:rsidRDefault="000C1980" w14:paraId="0C15B966" w14:textId="77777777">
      <w:pPr>
        <w:pStyle w:val="Standard"/>
      </w:pPr>
      <w:r>
        <w:rPr>
          <w:b/>
          <w:bCs/>
          <w:i/>
          <w:iCs/>
          <w:u w:val="single"/>
        </w:rPr>
        <w:t>New Measures (</w:t>
      </w:r>
      <w:r w:rsidRPr="009A51C9">
        <w:rPr>
          <w:b/>
          <w:bCs/>
          <w:i/>
          <w:iCs/>
          <w:u w:val="single"/>
        </w:rPr>
        <w:t>Ideal Efficient State</w:t>
      </w:r>
      <w:r>
        <w:rPr>
          <w:b/>
          <w:bCs/>
          <w:i/>
          <w:iCs/>
          <w:u w:val="single"/>
        </w:rPr>
        <w:t>):</w:t>
      </w:r>
      <w:r>
        <w:t xml:space="preserve"> Under the J</w:t>
      </w:r>
      <w:r w:rsidRPr="004C1CB6">
        <w:t>oint Parties</w:t>
      </w:r>
      <w:r>
        <w:t>’ “ide</w:t>
      </w:r>
      <w:r w:rsidRPr="004C1CB6">
        <w:t xml:space="preserve">al efficient state” </w:t>
      </w:r>
      <w:r>
        <w:t xml:space="preserve">design, </w:t>
      </w:r>
      <w:r w:rsidRPr="004C1CB6">
        <w:t xml:space="preserve">a working group would </w:t>
      </w:r>
      <w:r>
        <w:t xml:space="preserve">be convened to </w:t>
      </w:r>
      <w:r w:rsidRPr="004C1CB6">
        <w:t>compile a list of measures based on building code, appliance standards, and efficiency programs, with each measure listed having an ideal state and a baseline state</w:t>
      </w:r>
      <w:r>
        <w:t xml:space="preserve">.  </w:t>
      </w:r>
      <w:r w:rsidRPr="004C1CB6">
        <w:t>A household with a measure that performs worse than either state would at least be upgraded to the baseline state and upgraded to the ideal state if the ESACET was 0.75 or greater.</w:t>
      </w:r>
      <w:r w:rsidRPr="004C1CB6">
        <w:rPr>
          <w:rStyle w:val="FootnoteReference"/>
        </w:rPr>
        <w:footnoteReference w:id="413"/>
      </w:r>
    </w:p>
    <w:p w:rsidRPr="002F1A72" w:rsidR="000C1980" w:rsidP="002965A3" w:rsidRDefault="000C1980" w14:paraId="38762EFC" w14:textId="77777777">
      <w:pPr>
        <w:pStyle w:val="Standard"/>
        <w:rPr>
          <w:rFonts w:eastAsia="Calibri" w:cs="Calibri"/>
        </w:rPr>
      </w:pPr>
      <w:r w:rsidRPr="24DCB1AB">
        <w:rPr>
          <w:b/>
          <w:bCs/>
          <w:i/>
          <w:iCs/>
          <w:u w:val="single"/>
        </w:rPr>
        <w:t>Requiring Healthy Building Materials:</w:t>
      </w:r>
      <w:r>
        <w:t xml:space="preserve"> The Joint Parties recommend that the Commission impose requirements for healthy building materials and support installing only those materials that pose minimal health risks if the gasses are inhaled or if materials are touched or ingested.  Specifically, the Joint Parties recommend </w:t>
      </w:r>
      <w:r w:rsidRPr="24DCB1AB">
        <w:rPr>
          <w:rFonts w:eastAsia="Calibri" w:cs="Calibri"/>
        </w:rPr>
        <w:t>the following regarding standards:</w:t>
      </w:r>
    </w:p>
    <w:p w:rsidR="000C1980" w:rsidP="00402362" w:rsidRDefault="000C1980" w14:paraId="28F5447A" w14:textId="77777777">
      <w:pPr>
        <w:pStyle w:val="ListBullet"/>
      </w:pPr>
      <w:r w:rsidRPr="002F1A72">
        <w:t xml:space="preserve">Add volatile organic chemical content limits for all materials to ESA Program caulking </w:t>
      </w:r>
      <w:proofErr w:type="gramStart"/>
      <w:r w:rsidRPr="002F1A72">
        <w:t>standards;</w:t>
      </w:r>
      <w:proofErr w:type="gramEnd"/>
      <w:r w:rsidRPr="002F1A72">
        <w:t xml:space="preserve"> </w:t>
      </w:r>
    </w:p>
    <w:p w:rsidR="000C1980" w:rsidP="00402362" w:rsidRDefault="000C1980" w14:paraId="6450C85F" w14:textId="77777777">
      <w:pPr>
        <w:pStyle w:val="ListBullet"/>
      </w:pPr>
      <w:r w:rsidRPr="002F1A72">
        <w:lastRenderedPageBreak/>
        <w:t>Add a definition of “non-toxic caulks/sealants” to ESA Program caulking standards fo</w:t>
      </w:r>
      <w:r>
        <w:t xml:space="preserve">r </w:t>
      </w:r>
      <w:r w:rsidRPr="002F1A72">
        <w:t xml:space="preserve">indoor/interior </w:t>
      </w:r>
      <w:proofErr w:type="gramStart"/>
      <w:r w:rsidRPr="002F1A72">
        <w:t>applications</w:t>
      </w:r>
      <w:r>
        <w:t>;</w:t>
      </w:r>
      <w:proofErr w:type="gramEnd"/>
    </w:p>
    <w:p w:rsidR="000C1980" w:rsidP="00402362" w:rsidRDefault="000C1980" w14:paraId="0A23CC5E" w14:textId="77777777">
      <w:pPr>
        <w:pStyle w:val="ListBullet"/>
      </w:pPr>
      <w:r w:rsidRPr="002F1A72">
        <w:t xml:space="preserve">Add a definition of “non-toxic caulks/sealants” to ESA Program duct sealing </w:t>
      </w:r>
      <w:proofErr w:type="gramStart"/>
      <w:r w:rsidRPr="002F1A72">
        <w:t>standards</w:t>
      </w:r>
      <w:r>
        <w:t>;</w:t>
      </w:r>
      <w:proofErr w:type="gramEnd"/>
      <w:r>
        <w:t xml:space="preserve"> </w:t>
      </w:r>
    </w:p>
    <w:p w:rsidR="000C1980" w:rsidP="00402362" w:rsidRDefault="000C1980" w14:paraId="1A63DC30" w14:textId="77777777">
      <w:pPr>
        <w:pStyle w:val="ListBullet"/>
      </w:pPr>
      <w:r w:rsidRPr="002F1A72">
        <w:t xml:space="preserve">Add polyurethane expanding foam tape to the list of approved materials in ESA Program caulking </w:t>
      </w:r>
      <w:proofErr w:type="gramStart"/>
      <w:r w:rsidRPr="002F1A72">
        <w:t>standards;</w:t>
      </w:r>
      <w:proofErr w:type="gramEnd"/>
      <w:r w:rsidRPr="002F1A72">
        <w:t xml:space="preserve"> </w:t>
      </w:r>
    </w:p>
    <w:p w:rsidR="000C1980" w:rsidP="00402362" w:rsidRDefault="000C1980" w14:paraId="0402CD19" w14:textId="77777777">
      <w:pPr>
        <w:pStyle w:val="ListBullet"/>
      </w:pPr>
      <w:r w:rsidRPr="002F1A72">
        <w:t xml:space="preserve">Prohibit 2-part spray polyurethane foam in ESA Program attic insulation </w:t>
      </w:r>
      <w:proofErr w:type="gramStart"/>
      <w:r w:rsidRPr="002F1A72">
        <w:t>standards;</w:t>
      </w:r>
      <w:proofErr w:type="gramEnd"/>
      <w:r w:rsidRPr="002F1A72">
        <w:t xml:space="preserve"> </w:t>
      </w:r>
    </w:p>
    <w:p w:rsidR="000C1980" w:rsidP="00402362" w:rsidRDefault="000C1980" w14:paraId="7A82D946" w14:textId="77777777">
      <w:pPr>
        <w:pStyle w:val="ListBullet"/>
      </w:pPr>
      <w:r w:rsidRPr="002F1A72">
        <w:t xml:space="preserve">Require batt insulation to be free of added formaldehyde in ESA Program attic insulation </w:t>
      </w:r>
      <w:proofErr w:type="gramStart"/>
      <w:r w:rsidRPr="002F1A72">
        <w:t>standards;</w:t>
      </w:r>
      <w:proofErr w:type="gramEnd"/>
      <w:r w:rsidRPr="002F1A72">
        <w:t xml:space="preserve"> </w:t>
      </w:r>
    </w:p>
    <w:p w:rsidR="000C1980" w:rsidP="00402362" w:rsidRDefault="000C1980" w14:paraId="08D63E2E" w14:textId="77777777">
      <w:pPr>
        <w:pStyle w:val="ListBullet"/>
      </w:pPr>
      <w:r w:rsidRPr="002F1A72">
        <w:t xml:space="preserve">Require duct board and duct insulation materials to be free of added formaldehyde in ESA Program duct sealing </w:t>
      </w:r>
      <w:proofErr w:type="gramStart"/>
      <w:r w:rsidRPr="002F1A72">
        <w:t>standards;</w:t>
      </w:r>
      <w:proofErr w:type="gramEnd"/>
      <w:r w:rsidRPr="002F1A72">
        <w:t xml:space="preserve"> </w:t>
      </w:r>
    </w:p>
    <w:p w:rsidR="000C1980" w:rsidP="00402362" w:rsidRDefault="000C1980" w14:paraId="1E1C25FB" w14:textId="77777777">
      <w:pPr>
        <w:pStyle w:val="ListBullet"/>
      </w:pPr>
      <w:r w:rsidRPr="002F1A72">
        <w:t xml:space="preserve">Collect data on insulation and caulk/sealant materials used by contractors and implementers in ESA Program retrofits; </w:t>
      </w:r>
      <w:r>
        <w:t>and</w:t>
      </w:r>
    </w:p>
    <w:p w:rsidR="000C1980" w:rsidP="00402362" w:rsidRDefault="000C1980" w14:paraId="38E9DBA9" w14:textId="77777777">
      <w:pPr>
        <w:pStyle w:val="ListBullet"/>
      </w:pPr>
      <w:r w:rsidRPr="002F1A72">
        <w:t>Provide ESA Program contractors information on the specification and installation of healthier materials.</w:t>
      </w:r>
      <w:r>
        <w:rPr>
          <w:rStyle w:val="FootnoteReference"/>
          <w:rFonts w:eastAsia="Calibri" w:cs="Calibri"/>
        </w:rPr>
        <w:footnoteReference w:id="414"/>
      </w:r>
    </w:p>
    <w:p w:rsidRPr="00470D56" w:rsidR="000C1980" w:rsidP="002965A3" w:rsidRDefault="000C1980" w14:paraId="7E9CB530" w14:textId="77777777">
      <w:pPr>
        <w:pStyle w:val="Standard"/>
      </w:pPr>
      <w:r>
        <w:rPr>
          <w:b/>
          <w:bCs/>
          <w:i/>
          <w:iCs/>
          <w:u w:val="single"/>
        </w:rPr>
        <w:t>Prioritization of Electrification</w:t>
      </w:r>
      <w:r w:rsidRPr="00FA1C50">
        <w:rPr>
          <w:b/>
          <w:bCs/>
          <w:i/>
          <w:iCs/>
          <w:u w:val="single"/>
        </w:rPr>
        <w:t xml:space="preserve"> and Clean Energy:</w:t>
      </w:r>
      <w:r>
        <w:t xml:space="preserve"> </w:t>
      </w:r>
      <w:r w:rsidRPr="00A66389">
        <w:t xml:space="preserve">The Joint </w:t>
      </w:r>
      <w:r>
        <w:t>P</w:t>
      </w:r>
      <w:r w:rsidRPr="00A66389">
        <w:t xml:space="preserve">arties also argue that the </w:t>
      </w:r>
      <w:r>
        <w:t xml:space="preserve">IOU </w:t>
      </w:r>
      <w:r w:rsidRPr="00A66389">
        <w:t>propos</w:t>
      </w:r>
      <w:r>
        <w:t>als</w:t>
      </w:r>
      <w:r w:rsidRPr="00A66389">
        <w:t xml:space="preserve"> largely fail to prioritize electrification to achieve customer cost savings, health benefits, and climate benefits.</w:t>
      </w:r>
      <w:r w:rsidRPr="00A66389">
        <w:rPr>
          <w:vertAlign w:val="superscript"/>
        </w:rPr>
        <w:footnoteReference w:id="415"/>
      </w:r>
      <w:r w:rsidRPr="00A66389">
        <w:t xml:space="preserve"> </w:t>
      </w:r>
      <w:r>
        <w:t xml:space="preserve"> </w:t>
      </w:r>
      <w:r w:rsidRPr="00A66389">
        <w:t>Several ESA applications mention building electrification, but none propose to make a significant investment through ESA to make electrification technologies widely available to low</w:t>
      </w:r>
      <w:r>
        <w:t xml:space="preserve"> </w:t>
      </w:r>
      <w:r w:rsidRPr="00A66389">
        <w:t>income households where appropriate.</w:t>
      </w:r>
      <w:r w:rsidRPr="00A66389">
        <w:rPr>
          <w:vertAlign w:val="superscript"/>
        </w:rPr>
        <w:footnoteReference w:id="416"/>
      </w:r>
      <w:r>
        <w:t xml:space="preserve">  The Joint Parties state that</w:t>
      </w:r>
      <w:r w:rsidRPr="00A66389">
        <w:t xml:space="preserve"> targeting investments in clean energy upgrades to customers and communities that will most benefit from them will align with State and local </w:t>
      </w:r>
      <w:r w:rsidRPr="00A66389">
        <w:lastRenderedPageBreak/>
        <w:t>government policies to transition to a clean energy economy equitably and affordably.</w:t>
      </w:r>
      <w:r w:rsidRPr="00A66389">
        <w:rPr>
          <w:vertAlign w:val="superscript"/>
        </w:rPr>
        <w:footnoteReference w:id="417"/>
      </w:r>
      <w:r w:rsidRPr="00A66389">
        <w:t xml:space="preserve"> </w:t>
      </w:r>
    </w:p>
    <w:p w:rsidR="000C1980" w:rsidP="001968DC" w:rsidRDefault="000C1980" w14:paraId="5CDFE7A0" w14:textId="77777777">
      <w:pPr>
        <w:pStyle w:val="Heading4"/>
        <w:ind w:left="3600"/>
      </w:pPr>
      <w:bookmarkStart w:name="_Toc69947970" w:id="308"/>
      <w:r w:rsidRPr="006428BB">
        <w:t>TURN</w:t>
      </w:r>
      <w:bookmarkEnd w:id="308"/>
    </w:p>
    <w:p w:rsidRPr="001308ED" w:rsidR="000C1980" w:rsidP="002965A3" w:rsidRDefault="000C1980" w14:paraId="14C5C244" w14:textId="4EC9A244">
      <w:pPr>
        <w:pStyle w:val="Standard"/>
      </w:pPr>
      <w:r>
        <w:rPr>
          <w:b/>
          <w:bCs/>
          <w:i/>
          <w:iCs/>
          <w:u w:val="single"/>
        </w:rPr>
        <w:t>New Measures (Mobile Homes):</w:t>
      </w:r>
      <w:r>
        <w:t xml:space="preserve"> T</w:t>
      </w:r>
      <w:r w:rsidRPr="001308ED">
        <w:t xml:space="preserve">URN </w:t>
      </w:r>
      <w:r>
        <w:t xml:space="preserve">states that challenges exist in treating </w:t>
      </w:r>
      <w:r w:rsidRPr="001308ED">
        <w:t>manufactured</w:t>
      </w:r>
      <w:r>
        <w:t xml:space="preserve">/mobile </w:t>
      </w:r>
      <w:r w:rsidRPr="001308ED">
        <w:t>homes</w:t>
      </w:r>
      <w:r>
        <w:t xml:space="preserve"> that</w:t>
      </w:r>
      <w:r w:rsidRPr="001308ED">
        <w:t xml:space="preserve"> require a different approach</w:t>
      </w:r>
      <w:r>
        <w:t xml:space="preserve"> than the IOUs are currently taking.  TURN recommends that the IOUs</w:t>
      </w:r>
      <w:r w:rsidRPr="001308ED">
        <w:t xml:space="preserve"> revise their plans to offer measures specific to </w:t>
      </w:r>
      <w:r>
        <w:t xml:space="preserve">mobile homes and be required to </w:t>
      </w:r>
      <w:r w:rsidRPr="001308ED">
        <w:t>collect data to better understand needs of</w:t>
      </w:r>
      <w:r>
        <w:t xml:space="preserve"> </w:t>
      </w:r>
      <w:r w:rsidRPr="001308ED">
        <w:t>mobile home residents.</w:t>
      </w:r>
      <w:r w:rsidRPr="001308ED">
        <w:rPr>
          <w:vertAlign w:val="superscript"/>
        </w:rPr>
        <w:footnoteReference w:id="418"/>
      </w:r>
      <w:r w:rsidRPr="001308ED">
        <w:t xml:space="preserve"> </w:t>
      </w:r>
      <w:r>
        <w:t xml:space="preserve"> These measures should include those that have been specifically identified to be </w:t>
      </w:r>
      <w:r w:rsidRPr="00E92D07">
        <w:t>effective for older mobile homes</w:t>
      </w:r>
      <w:r>
        <w:t xml:space="preserve"> including </w:t>
      </w:r>
      <w:r w:rsidRPr="001308ED">
        <w:t>belly insulation</w:t>
      </w:r>
      <w:r>
        <w:t xml:space="preserve">, </w:t>
      </w:r>
      <w:r w:rsidRPr="001308ED">
        <w:t>belly wrap</w:t>
      </w:r>
      <w:r>
        <w:t xml:space="preserve">, </w:t>
      </w:r>
      <w:r w:rsidRPr="001308ED">
        <w:t>insulated skirting</w:t>
      </w:r>
      <w:r>
        <w:t>, r</w:t>
      </w:r>
      <w:r w:rsidRPr="001308ED">
        <w:t>oof insulation or a roof cap</w:t>
      </w:r>
      <w:r>
        <w:t xml:space="preserve">, </w:t>
      </w:r>
      <w:r w:rsidRPr="001308ED">
        <w:t>energy-efficient windows and doors</w:t>
      </w:r>
      <w:r>
        <w:t xml:space="preserve">, </w:t>
      </w:r>
      <w:r w:rsidRPr="001308ED">
        <w:t>general repairs (caulking, ducts, etc.)</w:t>
      </w:r>
      <w:r>
        <w:t xml:space="preserve">, and </w:t>
      </w:r>
      <w:r w:rsidRPr="001308ED">
        <w:t>wall insulation</w:t>
      </w:r>
      <w:r>
        <w:t>.</w:t>
      </w:r>
      <w:r>
        <w:rPr>
          <w:rStyle w:val="FootnoteReference"/>
        </w:rPr>
        <w:footnoteReference w:id="419"/>
      </w:r>
      <w:r w:rsidR="008648C2">
        <w:t xml:space="preserve"> TURN also calls for </w:t>
      </w:r>
      <w:r w:rsidR="006979F4">
        <w:t xml:space="preserve">the IOUs to </w:t>
      </w:r>
      <w:r w:rsidRPr="006979F4" w:rsidR="006979F4">
        <w:t>collect data to better understand</w:t>
      </w:r>
      <w:r w:rsidR="006979F4">
        <w:t xml:space="preserve"> the </w:t>
      </w:r>
      <w:r w:rsidRPr="006979F4" w:rsidR="006979F4">
        <w:t>needs of mobile home residents</w:t>
      </w:r>
      <w:r w:rsidR="006979F4">
        <w:t>.</w:t>
      </w:r>
    </w:p>
    <w:p w:rsidR="000C1980" w:rsidP="002965A3" w:rsidRDefault="000C1980" w14:paraId="01BA55B7" w14:textId="77777777">
      <w:pPr>
        <w:pStyle w:val="Standard"/>
      </w:pPr>
      <w:r>
        <w:rPr>
          <w:b/>
          <w:bCs/>
          <w:i/>
          <w:iCs/>
          <w:u w:val="single"/>
        </w:rPr>
        <w:t>Prioritizing of Electrification</w:t>
      </w:r>
      <w:r w:rsidRPr="00FA1C50">
        <w:rPr>
          <w:b/>
          <w:bCs/>
          <w:i/>
          <w:iCs/>
          <w:u w:val="single"/>
        </w:rPr>
        <w:t xml:space="preserve"> </w:t>
      </w:r>
      <w:r>
        <w:rPr>
          <w:b/>
          <w:bCs/>
          <w:i/>
          <w:iCs/>
          <w:u w:val="single"/>
        </w:rPr>
        <w:t>Measures:</w:t>
      </w:r>
      <w:r>
        <w:t xml:space="preserve"> TURN proposes that the IOUs</w:t>
      </w:r>
      <w:r w:rsidRPr="005E556D">
        <w:t xml:space="preserve"> </w:t>
      </w:r>
      <w:r>
        <w:t xml:space="preserve">be directed </w:t>
      </w:r>
      <w:r w:rsidRPr="005E556D">
        <w:t>to prioritize efficient electrification</w:t>
      </w:r>
      <w:r>
        <w:t xml:space="preserve"> </w:t>
      </w:r>
      <w:r w:rsidRPr="005E556D">
        <w:t>measures over natural gas efficiency measures, particularly for long-lived</w:t>
      </w:r>
      <w:r>
        <w:t xml:space="preserve"> </w:t>
      </w:r>
      <w:r w:rsidRPr="005E556D">
        <w:t>measures</w:t>
      </w:r>
      <w:r>
        <w:t xml:space="preserve">, because the </w:t>
      </w:r>
      <w:r w:rsidRPr="00711752">
        <w:t>electrification of buildings</w:t>
      </w:r>
      <w:r w:rsidRPr="00F90DA9">
        <w:t xml:space="preserve"> </w:t>
      </w:r>
      <w:r>
        <w:t xml:space="preserve">will </w:t>
      </w:r>
      <w:r w:rsidRPr="00F90DA9">
        <w:t>lead to lower energy bills for customers over the long term than the use of renewable natural gas</w:t>
      </w:r>
      <w:r>
        <w:t xml:space="preserve"> and </w:t>
      </w:r>
      <w:r w:rsidRPr="0061447F">
        <w:t>lowers the total societal cost of meeting California’s long-term</w:t>
      </w:r>
      <w:r>
        <w:t xml:space="preserve"> </w:t>
      </w:r>
      <w:r w:rsidRPr="0061447F">
        <w:t>climate goal</w:t>
      </w:r>
      <w:r>
        <w:t xml:space="preserve">.  Specifically, TURN recommends installing </w:t>
      </w:r>
      <w:r w:rsidRPr="0061447F">
        <w:t>air-source heat pump</w:t>
      </w:r>
      <w:r>
        <w:t>s in place o</w:t>
      </w:r>
      <w:r w:rsidRPr="0061447F">
        <w:t>f repairing or replacing broken furnace</w:t>
      </w:r>
      <w:r>
        <w:t>s</w:t>
      </w:r>
      <w:r w:rsidRPr="0061447F">
        <w:t xml:space="preserve"> that may last</w:t>
      </w:r>
      <w:r>
        <w:t xml:space="preserve"> </w:t>
      </w:r>
      <w:r w:rsidRPr="0061447F">
        <w:t>for another 20 years,</w:t>
      </w:r>
      <w:r>
        <w:t xml:space="preserve"> and that the Commission </w:t>
      </w:r>
      <w:r w:rsidRPr="005E556D">
        <w:t>set a specific year as a</w:t>
      </w:r>
      <w:r>
        <w:t xml:space="preserve"> </w:t>
      </w:r>
      <w:r w:rsidRPr="005E556D">
        <w:t>benchmark for when ESA should be significantly</w:t>
      </w:r>
      <w:r>
        <w:t xml:space="preserve"> t</w:t>
      </w:r>
      <w:r w:rsidRPr="005E556D">
        <w:t>ransitioned away from</w:t>
      </w:r>
      <w:r>
        <w:t xml:space="preserve"> </w:t>
      </w:r>
      <w:r w:rsidRPr="005E556D">
        <w:lastRenderedPageBreak/>
        <w:t>measures that prolong natural gas end-uses</w:t>
      </w:r>
      <w:r>
        <w:t>.</w:t>
      </w:r>
      <w:r>
        <w:rPr>
          <w:rStyle w:val="FootnoteReference"/>
        </w:rPr>
        <w:footnoteReference w:id="420"/>
      </w:r>
      <w:r>
        <w:t xml:space="preserve">  TURN also recommends that </w:t>
      </w:r>
      <w:r w:rsidRPr="00AB1F26">
        <w:t>participants who receive electrification measures can</w:t>
      </w:r>
      <w:r>
        <w:t xml:space="preserve"> </w:t>
      </w:r>
      <w:r w:rsidRPr="00AB1F26">
        <w:t>additionally be encouraged to enroll in all other programs providing bill</w:t>
      </w:r>
      <w:r>
        <w:t xml:space="preserve"> r</w:t>
      </w:r>
      <w:r w:rsidRPr="00AB1F26">
        <w:t>eductions for which they might be eligible</w:t>
      </w:r>
      <w:r>
        <w:t>.</w:t>
      </w:r>
      <w:r w:rsidRPr="00AB1F26">
        <w:rPr>
          <w:vertAlign w:val="superscript"/>
        </w:rPr>
        <w:footnoteReference w:id="421"/>
      </w:r>
    </w:p>
    <w:p w:rsidR="00536DEE" w:rsidP="002965A3" w:rsidRDefault="000C1980" w14:paraId="2FE24902" w14:textId="5437E622">
      <w:pPr>
        <w:pStyle w:val="Standard"/>
      </w:pPr>
      <w:r w:rsidRPr="009C1870">
        <w:rPr>
          <w:b/>
          <w:bCs/>
          <w:i/>
          <w:iCs/>
          <w:u w:val="single"/>
        </w:rPr>
        <w:t>Cap</w:t>
      </w:r>
      <w:r>
        <w:rPr>
          <w:b/>
          <w:bCs/>
          <w:i/>
          <w:iCs/>
          <w:u w:val="single"/>
        </w:rPr>
        <w:t>s</w:t>
      </w:r>
      <w:r w:rsidRPr="009C1870">
        <w:rPr>
          <w:b/>
          <w:bCs/>
          <w:i/>
          <w:iCs/>
          <w:u w:val="single"/>
        </w:rPr>
        <w:t xml:space="preserve"> on Non-Resource Measures:</w:t>
      </w:r>
      <w:r>
        <w:t xml:space="preserve"> TURN</w:t>
      </w:r>
      <w:r w:rsidRPr="00F4370B">
        <w:t xml:space="preserve"> </w:t>
      </w:r>
      <w:r>
        <w:t xml:space="preserve">states that </w:t>
      </w:r>
      <w:r w:rsidRPr="00955B05">
        <w:t>non-resource measures should be</w:t>
      </w:r>
      <w:r>
        <w:t xml:space="preserve"> </w:t>
      </w:r>
      <w:r w:rsidRPr="00955B05">
        <w:t>implemented thoughtfully and carefully, and as feasible, coupled with energy</w:t>
      </w:r>
      <w:r>
        <w:t xml:space="preserve"> s</w:t>
      </w:r>
      <w:r w:rsidRPr="00955B05">
        <w:t>aving measures to minimize any upward pressure on customer bills</w:t>
      </w:r>
      <w:r>
        <w:t>.  T</w:t>
      </w:r>
      <w:r w:rsidRPr="00F4370B">
        <w:t>o ensure that most ESA funds go towards measures that</w:t>
      </w:r>
      <w:r>
        <w:t xml:space="preserve"> </w:t>
      </w:r>
      <w:r w:rsidRPr="00F4370B">
        <w:t>reduce energy use and burden</w:t>
      </w:r>
      <w:r>
        <w:t xml:space="preserve">, TURN recommends setting a </w:t>
      </w:r>
      <w:r w:rsidRPr="00F4370B">
        <w:t>cap on the</w:t>
      </w:r>
      <w:r>
        <w:t xml:space="preserve"> non-resource measures</w:t>
      </w:r>
      <w:r w:rsidRPr="00F4370B">
        <w:t xml:space="preserve"> budget or a cap on </w:t>
      </w:r>
      <w:r>
        <w:t xml:space="preserve">the </w:t>
      </w:r>
      <w:r w:rsidRPr="00F4370B">
        <w:t>per</w:t>
      </w:r>
      <w:r>
        <w:t>-</w:t>
      </w:r>
      <w:r w:rsidRPr="00F4370B">
        <w:t>home</w:t>
      </w:r>
      <w:r w:rsidRPr="00955B05">
        <w:t xml:space="preserve"> </w:t>
      </w:r>
      <w:r w:rsidRPr="00F4370B">
        <w:t>spending</w:t>
      </w:r>
      <w:r>
        <w:t xml:space="preserve"> budget for n</w:t>
      </w:r>
      <w:r w:rsidRPr="00955B05">
        <w:t>on</w:t>
      </w:r>
      <w:r>
        <w:t>- r</w:t>
      </w:r>
      <w:r w:rsidRPr="00F4370B">
        <w:t>esource measures</w:t>
      </w:r>
      <w:r>
        <w:t xml:space="preserve">, with some IOU flexibility.  TURN recommends that the </w:t>
      </w:r>
      <w:r w:rsidRPr="00054EFC">
        <w:t xml:space="preserve">cap </w:t>
      </w:r>
      <w:r>
        <w:t xml:space="preserve">be set </w:t>
      </w:r>
      <w:r w:rsidRPr="00054EFC">
        <w:t>immediately, adopting the limits used in</w:t>
      </w:r>
      <w:r>
        <w:t xml:space="preserve"> </w:t>
      </w:r>
      <w:r w:rsidRPr="00054EFC">
        <w:t>Massachusetts</w:t>
      </w:r>
      <w:r>
        <w:t>’ energy efficiency program, which can be updated after a target</w:t>
      </w:r>
      <w:r w:rsidR="00DF550E">
        <w:t>ed</w:t>
      </w:r>
      <w:r>
        <w:t xml:space="preserve"> potential study is complete.</w:t>
      </w:r>
      <w:r w:rsidRPr="00B40909">
        <w:rPr>
          <w:rStyle w:val="FootnoteReference"/>
        </w:rPr>
        <w:t xml:space="preserve"> </w:t>
      </w:r>
      <w:r>
        <w:rPr>
          <w:rStyle w:val="FootnoteReference"/>
        </w:rPr>
        <w:footnoteReference w:id="422"/>
      </w:r>
      <w:r w:rsidR="00C4098A">
        <w:t xml:space="preserve"> </w:t>
      </w:r>
      <w:r w:rsidR="007F37B2">
        <w:t xml:space="preserve"> Specifically, </w:t>
      </w:r>
      <w:r w:rsidR="00C4098A">
        <w:t xml:space="preserve">TURN </w:t>
      </w:r>
      <w:r w:rsidR="00364EEB">
        <w:t>proposes</w:t>
      </w:r>
      <w:r w:rsidR="00C4098A">
        <w:t xml:space="preserve"> </w:t>
      </w:r>
      <w:r w:rsidRPr="00C4098A" w:rsidR="00C4098A">
        <w:t>that 75% of spending on average across homes</w:t>
      </w:r>
      <w:r w:rsidR="000D06B3">
        <w:t xml:space="preserve">, </w:t>
      </w:r>
      <w:r w:rsidRPr="00C4098A" w:rsidR="00C4098A">
        <w:t>excluding</w:t>
      </w:r>
      <w:r w:rsidR="00C4098A">
        <w:t xml:space="preserve"> m</w:t>
      </w:r>
      <w:r w:rsidRPr="00C4098A" w:rsidR="00C4098A">
        <w:t xml:space="preserve">inor </w:t>
      </w:r>
      <w:r w:rsidR="00C4098A">
        <w:t>r</w:t>
      </w:r>
      <w:r w:rsidRPr="00C4098A" w:rsidR="00C4098A">
        <w:t>epairs</w:t>
      </w:r>
      <w:r w:rsidR="000D06B3">
        <w:t>, b</w:t>
      </w:r>
      <w:r w:rsidRPr="00C4098A" w:rsidR="00C4098A">
        <w:t xml:space="preserve">e on resource </w:t>
      </w:r>
      <w:r w:rsidRPr="00C4098A" w:rsidR="007F10BD">
        <w:t>measures</w:t>
      </w:r>
      <w:r w:rsidRPr="00C4098A" w:rsidR="00C4098A">
        <w:t xml:space="preserve">. </w:t>
      </w:r>
      <w:r w:rsidR="007F10BD">
        <w:rPr>
          <w:rStyle w:val="FootnoteReference"/>
        </w:rPr>
        <w:footnoteReference w:id="423"/>
      </w:r>
      <w:r w:rsidRPr="00536DEE" w:rsidR="00536DEE">
        <w:rPr>
          <w:b/>
          <w:bCs/>
          <w:i/>
          <w:iCs/>
          <w:u w:val="single"/>
        </w:rPr>
        <w:t>Establishment of an Online Marketplace for Measures</w:t>
      </w:r>
      <w:r w:rsidRPr="009C1870" w:rsidR="00536DEE">
        <w:rPr>
          <w:b/>
          <w:bCs/>
          <w:i/>
          <w:iCs/>
          <w:u w:val="single"/>
        </w:rPr>
        <w:t>:</w:t>
      </w:r>
      <w:r w:rsidR="00536DEE">
        <w:t xml:space="preserve"> TURN</w:t>
      </w:r>
      <w:r w:rsidRPr="00A976C7" w:rsidR="00A976C7">
        <w:rPr>
          <w:rFonts w:ascii="TimesNewRomanPSMT" w:hAnsi="TimesNewRomanPSMT" w:cs="TimesNewRomanPSMT"/>
          <w:sz w:val="24"/>
          <w:szCs w:val="24"/>
        </w:rPr>
        <w:t xml:space="preserve"> </w:t>
      </w:r>
      <w:r w:rsidR="00A976C7">
        <w:t xml:space="preserve">recommends that before </w:t>
      </w:r>
      <w:r w:rsidRPr="00A976C7" w:rsidR="00A976C7">
        <w:t>ratepayer funds are committed for implementing an online marketplace</w:t>
      </w:r>
      <w:r w:rsidR="00A976C7">
        <w:t xml:space="preserve"> </w:t>
      </w:r>
      <w:r w:rsidRPr="00A976C7" w:rsidR="00A976C7">
        <w:t>specifically for low-income customers, more information on the cost and benefits of an online</w:t>
      </w:r>
      <w:r w:rsidR="00A976C7">
        <w:t xml:space="preserve"> </w:t>
      </w:r>
      <w:r w:rsidRPr="00A976C7" w:rsidR="00A976C7">
        <w:t>marketplace for ESA participants or ESA-eligible customers should be provided to the</w:t>
      </w:r>
      <w:r w:rsidR="00A976C7">
        <w:t xml:space="preserve"> </w:t>
      </w:r>
      <w:r w:rsidRPr="00A976C7" w:rsidR="00A976C7">
        <w:t xml:space="preserve">Commission and to stakeholders. If </w:t>
      </w:r>
      <w:r w:rsidR="00A976C7">
        <w:t>the</w:t>
      </w:r>
      <w:r w:rsidRPr="00A976C7" w:rsidR="00A976C7">
        <w:t xml:space="preserve"> information supports implementation of such a portal,</w:t>
      </w:r>
      <w:r w:rsidR="00A976C7">
        <w:t xml:space="preserve"> </w:t>
      </w:r>
      <w:r w:rsidRPr="00A976C7" w:rsidR="00A976C7">
        <w:t xml:space="preserve">the contract for building it should be competitively procured </w:t>
      </w:r>
      <w:r w:rsidR="009C5774">
        <w:t xml:space="preserve">and </w:t>
      </w:r>
      <w:r w:rsidRPr="00A976C7" w:rsidR="00A976C7">
        <w:t xml:space="preserve">the measures </w:t>
      </w:r>
      <w:r w:rsidRPr="00A976C7" w:rsidR="00A976C7">
        <w:lastRenderedPageBreak/>
        <w:t>on the online marketplace should either be limited to the ones offered by</w:t>
      </w:r>
      <w:r w:rsidR="009C5774">
        <w:t xml:space="preserve"> </w:t>
      </w:r>
      <w:r w:rsidRPr="00A976C7" w:rsidR="00A976C7">
        <w:t>the ESA program be vetted to ensure that they provide verifiable savings</w:t>
      </w:r>
      <w:r w:rsidR="009C5774">
        <w:t>.</w:t>
      </w:r>
      <w:r w:rsidR="009C5774">
        <w:rPr>
          <w:rStyle w:val="FootnoteReference"/>
        </w:rPr>
        <w:footnoteReference w:id="424"/>
      </w:r>
    </w:p>
    <w:p w:rsidR="000C1980" w:rsidP="001968DC" w:rsidRDefault="000C1980" w14:paraId="45EDB759" w14:textId="77777777">
      <w:pPr>
        <w:pStyle w:val="Heading4"/>
        <w:ind w:left="3600"/>
      </w:pPr>
      <w:bookmarkStart w:name="_Toc69947971" w:id="309"/>
      <w:r>
        <w:t>TELACU et al.</w:t>
      </w:r>
      <w:bookmarkEnd w:id="309"/>
      <w:r>
        <w:t xml:space="preserve"> </w:t>
      </w:r>
    </w:p>
    <w:p w:rsidR="000C1980" w:rsidP="002965A3" w:rsidRDefault="000C1980" w14:paraId="4B9FB297" w14:textId="34B9B6EA">
      <w:pPr>
        <w:pStyle w:val="Standard"/>
      </w:pPr>
      <w:r w:rsidRPr="00982DB0">
        <w:rPr>
          <w:b/>
          <w:bCs/>
          <w:i/>
          <w:iCs/>
          <w:u w:val="single"/>
        </w:rPr>
        <w:t>SCE’s Proposed Measure Mix</w:t>
      </w:r>
      <w:r>
        <w:t xml:space="preserve">: TELACU et al. </w:t>
      </w:r>
      <w:r w:rsidRPr="000B3B39">
        <w:t xml:space="preserve">opposes </w:t>
      </w:r>
      <w:r>
        <w:t xml:space="preserve">SCE’s proposal to offer ACs to only high users in climates zones 13-15 and instead proposes that ACs be available in all climate zones.  TELACU et al. </w:t>
      </w:r>
      <w:r w:rsidRPr="000B3B39">
        <w:t xml:space="preserve">opposes </w:t>
      </w:r>
      <w:r>
        <w:t>SCE’s proposal to offer portable ACs in climates zones 13-15 if the AC is inoperable, and instead proposes offering a repair service in all climate zones.</w:t>
      </w:r>
      <w:r>
        <w:rPr>
          <w:rStyle w:val="FootnoteReference"/>
          <w:rFonts w:eastAsiaTheme="minorEastAsia"/>
        </w:rPr>
        <w:footnoteReference w:id="425"/>
      </w:r>
    </w:p>
    <w:p w:rsidRPr="00BF5E61" w:rsidR="00BF5E61" w:rsidP="002965A3" w:rsidRDefault="00BF5E61" w14:paraId="53AB0912" w14:textId="239801AA">
      <w:pPr>
        <w:pStyle w:val="Standard"/>
      </w:pPr>
      <w:r w:rsidRPr="00536DEE">
        <w:rPr>
          <w:b/>
          <w:bCs/>
          <w:i/>
          <w:iCs/>
          <w:u w:val="single"/>
        </w:rPr>
        <w:t>Establishment of an Online Marketplace for Measures</w:t>
      </w:r>
      <w:r w:rsidRPr="009C1870">
        <w:rPr>
          <w:b/>
          <w:bCs/>
          <w:i/>
          <w:iCs/>
          <w:u w:val="single"/>
        </w:rPr>
        <w:t>:</w:t>
      </w:r>
      <w:r>
        <w:t xml:space="preserve"> TELACU et al. recommends that the </w:t>
      </w:r>
      <w:r w:rsidRPr="00460054">
        <w:t>Commission reject the use of ESA funds for third-party marketplace purchases.</w:t>
      </w:r>
      <w:r>
        <w:rPr>
          <w:rStyle w:val="FootnoteReference"/>
        </w:rPr>
        <w:footnoteReference w:id="426"/>
      </w:r>
    </w:p>
    <w:p w:rsidR="000C1980" w:rsidP="001968DC" w:rsidRDefault="000C1980" w14:paraId="48931BDA" w14:textId="77777777">
      <w:pPr>
        <w:pStyle w:val="Heading4"/>
        <w:ind w:left="3600"/>
      </w:pPr>
      <w:bookmarkStart w:name="_Toc69947972" w:id="310"/>
      <w:r>
        <w:t>PCF</w:t>
      </w:r>
      <w:bookmarkEnd w:id="310"/>
    </w:p>
    <w:p w:rsidR="000C1980" w:rsidP="002965A3" w:rsidRDefault="000C1980" w14:paraId="4EA06199" w14:textId="77777777">
      <w:pPr>
        <w:pStyle w:val="Standard"/>
      </w:pPr>
      <w:r>
        <w:rPr>
          <w:b/>
          <w:bCs/>
          <w:i/>
          <w:iCs/>
          <w:u w:val="single"/>
        </w:rPr>
        <w:t>New Measures (Whole House Solar Battery + On Bill Financing):</w:t>
      </w:r>
      <w:r>
        <w:t xml:space="preserve"> PCF states that ESA s</w:t>
      </w:r>
      <w:r w:rsidRPr="0035180E">
        <w:t xml:space="preserve">hould </w:t>
      </w:r>
      <w:r>
        <w:t>offer</w:t>
      </w:r>
      <w:r w:rsidRPr="0035180E">
        <w:t xml:space="preserve"> whole house solar plus battery storage upgrades</w:t>
      </w:r>
      <w:r>
        <w:t xml:space="preserve"> and proposes </w:t>
      </w:r>
      <w:r w:rsidRPr="00721135">
        <w:t>a robust on-bill financing program</w:t>
      </w:r>
      <w:r>
        <w:t xml:space="preserve"> to help fund the measure.  PCF proposes that the </w:t>
      </w:r>
      <w:r w:rsidRPr="00721135">
        <w:t xml:space="preserve">financing be made available to all eligible ESA customers, owners and renters </w:t>
      </w:r>
      <w:r>
        <w:t xml:space="preserve">which will allow the </w:t>
      </w:r>
      <w:r w:rsidRPr="00721135">
        <w:t xml:space="preserve">ESA program </w:t>
      </w:r>
      <w:r>
        <w:t xml:space="preserve">to offer </w:t>
      </w:r>
      <w:r w:rsidRPr="00721135">
        <w:t>more comprehensive upgrades</w:t>
      </w:r>
      <w:r>
        <w:t xml:space="preserve">.  PCF claims that under their proposed financing model (using ESA grants and </w:t>
      </w:r>
      <w:r w:rsidRPr="00F31E7D">
        <w:t>private capital</w:t>
      </w:r>
      <w:r>
        <w:t>), the</w:t>
      </w:r>
      <w:r w:rsidRPr="00F31E7D">
        <w:t xml:space="preserve"> program would be cost</w:t>
      </w:r>
      <w:r>
        <w:noBreakHyphen/>
      </w:r>
      <w:r w:rsidRPr="00F31E7D">
        <w:t>effective when taking into consideration administrative costs, capital (measure) costs to landlords/third parties</w:t>
      </w:r>
      <w:r>
        <w:t>,</w:t>
      </w:r>
      <w:r w:rsidRPr="00F31E7D">
        <w:t xml:space="preserve"> and capital (measure) costs to utilities; </w:t>
      </w:r>
      <w:r w:rsidRPr="00F31E7D">
        <w:lastRenderedPageBreak/>
        <w:t xml:space="preserve">and the benefits </w:t>
      </w:r>
      <w:r>
        <w:t xml:space="preserve">of </w:t>
      </w:r>
      <w:r w:rsidRPr="00F31E7D">
        <w:t>avoided costs of</w:t>
      </w:r>
      <w:r w:rsidRPr="00F31E7D">
        <w:rPr>
          <w:rFonts w:ascii="Times New Roman" w:hAnsi="Times New Roman"/>
          <w:color w:val="000000"/>
          <w:sz w:val="23"/>
          <w:szCs w:val="23"/>
        </w:rPr>
        <w:t xml:space="preserve"> </w:t>
      </w:r>
      <w:r w:rsidRPr="00F31E7D">
        <w:t>supplying electricity</w:t>
      </w:r>
      <w:r>
        <w:t xml:space="preserve">, </w:t>
      </w:r>
      <w:r w:rsidRPr="00F31E7D">
        <w:t xml:space="preserve">participant </w:t>
      </w:r>
      <w:r>
        <w:t>Non-Energy Benefits (NEBs), and</w:t>
      </w:r>
      <w:r w:rsidRPr="00F31E7D">
        <w:t xml:space="preserve"> utility </w:t>
      </w:r>
      <w:r>
        <w:t>NEBs</w:t>
      </w:r>
      <w:r w:rsidRPr="00F31E7D">
        <w:t xml:space="preserve"> pursuant to ESACET.</w:t>
      </w:r>
      <w:r>
        <w:rPr>
          <w:rStyle w:val="FootnoteReference"/>
          <w:rFonts w:eastAsiaTheme="minorEastAsia"/>
        </w:rPr>
        <w:footnoteReference w:id="427"/>
      </w:r>
      <w:r w:rsidRPr="00F31E7D">
        <w:t xml:space="preserve"> </w:t>
      </w:r>
    </w:p>
    <w:p w:rsidR="000C1980" w:rsidP="001968DC" w:rsidRDefault="000C1980" w14:paraId="79CCF788" w14:textId="77777777">
      <w:pPr>
        <w:pStyle w:val="Heading4"/>
        <w:ind w:left="3600"/>
      </w:pPr>
      <w:bookmarkStart w:name="_Toc69947973" w:id="311"/>
      <w:proofErr w:type="spellStart"/>
      <w:r>
        <w:t>Enervee</w:t>
      </w:r>
      <w:bookmarkEnd w:id="311"/>
      <w:proofErr w:type="spellEnd"/>
    </w:p>
    <w:p w:rsidRPr="00666FCB" w:rsidR="000C1980" w:rsidP="002965A3" w:rsidRDefault="000C1980" w14:paraId="47410B26" w14:textId="7693F3A4">
      <w:pPr>
        <w:pStyle w:val="Standard"/>
      </w:pPr>
      <w:r>
        <w:rPr>
          <w:b/>
          <w:bCs/>
          <w:i/>
          <w:iCs/>
          <w:u w:val="single"/>
        </w:rPr>
        <w:t>Establishment of an O</w:t>
      </w:r>
      <w:r w:rsidRPr="00666FCB">
        <w:rPr>
          <w:b/>
          <w:bCs/>
          <w:i/>
          <w:iCs/>
          <w:u w:val="single"/>
        </w:rPr>
        <w:t>nline Marketplace</w:t>
      </w:r>
      <w:r>
        <w:rPr>
          <w:b/>
          <w:bCs/>
          <w:i/>
          <w:iCs/>
          <w:u w:val="single"/>
        </w:rPr>
        <w:t xml:space="preserve"> for Measures</w:t>
      </w:r>
      <w:r w:rsidRPr="00666FCB">
        <w:rPr>
          <w:b/>
          <w:bCs/>
          <w:i/>
          <w:iCs/>
          <w:u w:val="single"/>
        </w:rPr>
        <w:t>:</w:t>
      </w:r>
      <w:r w:rsidRPr="00666FCB">
        <w:t xml:space="preserve"> </w:t>
      </w:r>
      <w:proofErr w:type="spellStart"/>
      <w:r w:rsidRPr="00666FCB">
        <w:t>Enervee</w:t>
      </w:r>
      <w:proofErr w:type="spellEnd"/>
      <w:r w:rsidRPr="00666FCB">
        <w:t xml:space="preserve"> proposes that the IOUs leverage the utility marketplaces to implement an online retail product program that would deliver instant online point-of-sale discounts for income-qualified households tied to super-efficient products, to overcome the up-front purchase price barrier to early replacement.</w:t>
      </w:r>
      <w:r w:rsidRPr="00666FCB">
        <w:rPr>
          <w:vertAlign w:val="superscript"/>
        </w:rPr>
        <w:footnoteReference w:id="428"/>
      </w:r>
      <w:r w:rsidRPr="00666FCB">
        <w:t xml:space="preserve"> </w:t>
      </w:r>
      <w:r w:rsidR="002965A3">
        <w:t xml:space="preserve"> </w:t>
      </w:r>
      <w:proofErr w:type="spellStart"/>
      <w:r w:rsidRPr="00666FCB">
        <w:t>Enervee</w:t>
      </w:r>
      <w:proofErr w:type="spellEnd"/>
      <w:r w:rsidRPr="00666FCB">
        <w:t xml:space="preserve"> recommends two strategies: </w:t>
      </w:r>
      <w:r>
        <w:t xml:space="preserve"> </w:t>
      </w:r>
      <w:r w:rsidRPr="00666FCB">
        <w:t>1) nudging income-qualified households towards affordable and efficient purchases that will minimize total cost of ownership, and 2) offering targeted instant discounts on super-efficient products.</w:t>
      </w:r>
      <w:r w:rsidRPr="00666FCB">
        <w:rPr>
          <w:vertAlign w:val="superscript"/>
        </w:rPr>
        <w:footnoteReference w:id="429"/>
      </w:r>
      <w:r w:rsidRPr="00666FCB">
        <w:t xml:space="preserve">  </w:t>
      </w:r>
      <w:proofErr w:type="spellStart"/>
      <w:r w:rsidRPr="00666FCB">
        <w:t>Enervee</w:t>
      </w:r>
      <w:proofErr w:type="spellEnd"/>
      <w:r w:rsidRPr="00666FCB">
        <w:t xml:space="preserve"> notes that SCE has already integrated instant online discount functionality into its online marketplace,</w:t>
      </w:r>
      <w:r w:rsidRPr="00666FCB">
        <w:rPr>
          <w:vertAlign w:val="superscript"/>
        </w:rPr>
        <w:footnoteReference w:id="430"/>
      </w:r>
      <w:r w:rsidRPr="00666FCB">
        <w:t xml:space="preserve"> and argues that it has leveraged the online choice engine platform to tailor incentive levels based on data collected during checkout, and has been able to negotiate special pricing on products like thermostats</w:t>
      </w:r>
      <w:r>
        <w:t xml:space="preserve">.  </w:t>
      </w:r>
      <w:r w:rsidRPr="00666FCB">
        <w:t>These measures leveraged additional private investment to maximize the impact of utility efficiency program spending, in line with the goals of this program.</w:t>
      </w:r>
      <w:r w:rsidRPr="00666FCB">
        <w:rPr>
          <w:vertAlign w:val="superscript"/>
        </w:rPr>
        <w:footnoteReference w:id="431"/>
      </w:r>
      <w:r w:rsidR="00BD0B5B">
        <w:t xml:space="preserve"> </w:t>
      </w:r>
      <w:proofErr w:type="spellStart"/>
      <w:r w:rsidR="008D4FC2">
        <w:t>Enervee</w:t>
      </w:r>
      <w:proofErr w:type="spellEnd"/>
      <w:r w:rsidR="008D4FC2">
        <w:t xml:space="preserve"> also proposes</w:t>
      </w:r>
      <w:r w:rsidR="00DD5364">
        <w:t xml:space="preserve"> supporting</w:t>
      </w:r>
      <w:r w:rsidR="008D4FC2">
        <w:t xml:space="preserve"> </w:t>
      </w:r>
      <w:r w:rsidRPr="008D4FC2" w:rsidR="008D4FC2">
        <w:t xml:space="preserve">co-pays </w:t>
      </w:r>
      <w:r w:rsidR="00DD5364">
        <w:t>for l</w:t>
      </w:r>
      <w:r w:rsidRPr="008D4FC2" w:rsidR="008D4FC2">
        <w:t>ow-income households making</w:t>
      </w:r>
      <w:r w:rsidR="00DD5364">
        <w:t xml:space="preserve"> </w:t>
      </w:r>
      <w:r w:rsidRPr="008D4FC2" w:rsidR="008D4FC2">
        <w:lastRenderedPageBreak/>
        <w:t>investments outside of ESA treatments</w:t>
      </w:r>
      <w:r w:rsidR="00DD5364">
        <w:t>.</w:t>
      </w:r>
      <w:r w:rsidR="00DD5364">
        <w:rPr>
          <w:rStyle w:val="FootnoteReference"/>
          <w:rFonts w:eastAsiaTheme="minorEastAsia"/>
        </w:rPr>
        <w:footnoteReference w:id="432"/>
      </w:r>
      <w:r w:rsidR="00DD5364">
        <w:t xml:space="preserve">  </w:t>
      </w:r>
      <w:proofErr w:type="spellStart"/>
      <w:r w:rsidR="00BD0B5B">
        <w:t>Enervee</w:t>
      </w:r>
      <w:proofErr w:type="spellEnd"/>
      <w:r w:rsidR="00BD0B5B">
        <w:t xml:space="preserve"> later updated its </w:t>
      </w:r>
      <w:r w:rsidR="00DD5364">
        <w:t xml:space="preserve">recommendation </w:t>
      </w:r>
      <w:r w:rsidR="00BD0B5B">
        <w:t xml:space="preserve">to </w:t>
      </w:r>
      <w:r w:rsidRPr="00DD5364" w:rsidR="00DD5364">
        <w:t>implement the o</w:t>
      </w:r>
      <w:r w:rsidRPr="00DD5364" w:rsidR="00DD5364">
        <w:rPr>
          <w:u w:val="single"/>
        </w:rPr>
        <w:t xml:space="preserve">nline Marketplace </w:t>
      </w:r>
      <w:r w:rsidRPr="00DD5364" w:rsidR="00DD5364">
        <w:t>as a pilot</w:t>
      </w:r>
      <w:r w:rsidRPr="001B40CF" w:rsidR="001B40CF">
        <w:t>.</w:t>
      </w:r>
      <w:r w:rsidR="00717FEE">
        <w:rPr>
          <w:rStyle w:val="FootnoteReference"/>
          <w:rFonts w:eastAsiaTheme="minorEastAsia"/>
        </w:rPr>
        <w:footnoteReference w:id="433"/>
      </w:r>
    </w:p>
    <w:p w:rsidR="000C1980" w:rsidP="001968DC" w:rsidRDefault="000C1980" w14:paraId="25559CA1" w14:textId="6BEAEC01">
      <w:pPr>
        <w:pStyle w:val="Heading3"/>
        <w:ind w:left="2664"/>
      </w:pPr>
      <w:bookmarkStart w:name="_Toc69947974" w:id="312"/>
      <w:r>
        <w:t>IOU Response</w:t>
      </w:r>
      <w:r w:rsidR="00C5138A">
        <w:t>s</w:t>
      </w:r>
      <w:bookmarkEnd w:id="312"/>
    </w:p>
    <w:p w:rsidRPr="0066596E" w:rsidR="000C1980" w:rsidP="001968DC" w:rsidRDefault="000C1980" w14:paraId="60668E93" w14:textId="77777777">
      <w:pPr>
        <w:pStyle w:val="Heading4"/>
        <w:ind w:left="3600"/>
      </w:pPr>
      <w:bookmarkStart w:name="_Toc69947975" w:id="313"/>
      <w:r w:rsidRPr="0066596E">
        <w:t>PG&amp;E</w:t>
      </w:r>
      <w:bookmarkEnd w:id="313"/>
    </w:p>
    <w:p w:rsidRPr="001B3533" w:rsidR="000C1980" w:rsidP="002965A3" w:rsidRDefault="000C1980" w14:paraId="59787F2F" w14:textId="0968BB41">
      <w:pPr>
        <w:pStyle w:val="Standard"/>
      </w:pPr>
      <w:r w:rsidRPr="00452474">
        <w:rPr>
          <w:b/>
          <w:bCs/>
          <w:i/>
          <w:iCs/>
          <w:u w:val="single"/>
        </w:rPr>
        <w:t>Budget Caps:</w:t>
      </w:r>
      <w:r>
        <w:t xml:space="preserve"> </w:t>
      </w:r>
      <w:r w:rsidRPr="00226EDB">
        <w:t xml:space="preserve">PG&amp;E </w:t>
      </w:r>
      <w:r>
        <w:t xml:space="preserve">would </w:t>
      </w:r>
      <w:r w:rsidRPr="00226EDB">
        <w:t xml:space="preserve">support a </w:t>
      </w:r>
      <w:r w:rsidRPr="00C27BFA">
        <w:t xml:space="preserve">budget cap per treated household/ unit/ multifamily building </w:t>
      </w:r>
      <w:r w:rsidRPr="00226EDB">
        <w:t xml:space="preserve">under the Joint Parties’ “ideal efficient state” proposal, </w:t>
      </w:r>
      <w:r>
        <w:t xml:space="preserve">but </w:t>
      </w:r>
      <w:r w:rsidRPr="00226EDB">
        <w:t>stat</w:t>
      </w:r>
      <w:r>
        <w:t>es</w:t>
      </w:r>
      <w:r w:rsidRPr="00226EDB">
        <w:t xml:space="preserve"> that b</w:t>
      </w:r>
      <w:r w:rsidRPr="00C27BFA">
        <w:t>ringing an existing ESA home to current building code may be cost</w:t>
      </w:r>
      <w:r w:rsidRPr="00226EDB">
        <w:t xml:space="preserve"> </w:t>
      </w:r>
      <w:r w:rsidRPr="00C27BFA">
        <w:t>prohibitive for ESA</w:t>
      </w:r>
      <w:r>
        <w:t>.</w:t>
      </w:r>
      <w:r w:rsidRPr="00A65F60">
        <w:rPr>
          <w:vertAlign w:val="superscript"/>
        </w:rPr>
        <w:footnoteReference w:id="434"/>
      </w:r>
      <w:r w:rsidRPr="00A65F60" w:rsidR="00A65F60">
        <w:t xml:space="preserve"> </w:t>
      </w:r>
      <w:r w:rsidR="00A65F60">
        <w:t xml:space="preserve">PG&amp;E also </w:t>
      </w:r>
      <w:r w:rsidR="002D6148">
        <w:t>states that further analysis should be done prior to implementing any spending caps</w:t>
      </w:r>
      <w:r w:rsidRPr="001C1A30" w:rsidR="001C1A30">
        <w:rPr>
          <w:rFonts w:ascii="Times New Roman" w:hAnsi="Times New Roman"/>
          <w:color w:val="000000"/>
          <w:sz w:val="23"/>
          <w:szCs w:val="23"/>
        </w:rPr>
        <w:t xml:space="preserve"> </w:t>
      </w:r>
      <w:r w:rsidRPr="001C1A30" w:rsidR="001C1A30">
        <w:t>to determine whether such a cap would have unintended consequences of underserving the most vulnerable populations</w:t>
      </w:r>
      <w:r w:rsidR="002D6148">
        <w:t>.</w:t>
      </w:r>
      <w:r w:rsidR="002D6148">
        <w:rPr>
          <w:rStyle w:val="FootnoteReference"/>
        </w:rPr>
        <w:footnoteReference w:id="435"/>
      </w:r>
      <w:r w:rsidR="002D6148">
        <w:t xml:space="preserve"> </w:t>
      </w:r>
    </w:p>
    <w:p w:rsidR="000C1980" w:rsidP="002965A3" w:rsidRDefault="000C1980" w14:paraId="7EB4097C" w14:textId="77777777">
      <w:pPr>
        <w:pStyle w:val="Standard"/>
      </w:pPr>
      <w:r>
        <w:rPr>
          <w:b/>
          <w:bCs/>
          <w:i/>
          <w:iCs/>
          <w:u w:val="single"/>
        </w:rPr>
        <w:t>New Measures (A</w:t>
      </w:r>
      <w:r w:rsidRPr="008E00D9">
        <w:rPr>
          <w:b/>
          <w:bCs/>
          <w:i/>
          <w:iCs/>
          <w:u w:val="single"/>
        </w:rPr>
        <w:t>ll Energy Efficiency and Clean Energy Measures</w:t>
      </w:r>
      <w:r>
        <w:rPr>
          <w:b/>
          <w:bCs/>
          <w:i/>
          <w:iCs/>
          <w:u w:val="single"/>
        </w:rPr>
        <w:t>)</w:t>
      </w:r>
      <w:r w:rsidRPr="00A8601F">
        <w:rPr>
          <w:b/>
          <w:bCs/>
          <w:i/>
          <w:iCs/>
          <w:u w:val="single"/>
        </w:rPr>
        <w:t>:</w:t>
      </w:r>
      <w:r>
        <w:t xml:space="preserve"> </w:t>
      </w:r>
      <w:r w:rsidRPr="006F567D">
        <w:t>PG&amp;E</w:t>
      </w:r>
      <w:r>
        <w:t xml:space="preserve"> opposes </w:t>
      </w:r>
      <w:r w:rsidRPr="006F567D">
        <w:t>EEC</w:t>
      </w:r>
      <w:r>
        <w:t>’</w:t>
      </w:r>
      <w:r w:rsidRPr="006F567D">
        <w:t xml:space="preserve">s </w:t>
      </w:r>
      <w:r>
        <w:t>recommendation to a</w:t>
      </w:r>
      <w:r w:rsidRPr="006F567D">
        <w:t>dd in any or all</w:t>
      </w:r>
      <w:r>
        <w:t xml:space="preserve"> </w:t>
      </w:r>
      <w:r w:rsidRPr="006F567D">
        <w:t xml:space="preserve">currently approved residential </w:t>
      </w:r>
      <w:r>
        <w:t xml:space="preserve">energy efficiency </w:t>
      </w:r>
      <w:r w:rsidRPr="006F567D">
        <w:t>and clean energy measures into the ESA</w:t>
      </w:r>
      <w:r>
        <w:t xml:space="preserve"> p</w:t>
      </w:r>
      <w:r w:rsidRPr="006F567D">
        <w:t xml:space="preserve">rogram for </w:t>
      </w:r>
      <w:proofErr w:type="gramStart"/>
      <w:r w:rsidRPr="006F567D">
        <w:t>low income</w:t>
      </w:r>
      <w:proofErr w:type="gramEnd"/>
      <w:r w:rsidRPr="006F567D">
        <w:t xml:space="preserve"> homes</w:t>
      </w:r>
      <w:r>
        <w:t xml:space="preserve"> and states that EEC errs in claiming that the overall cost effectiveness of the program would increase as a result.  PG&amp;E states the energy efficiency and </w:t>
      </w:r>
      <w:r w:rsidRPr="006F567D">
        <w:t xml:space="preserve">clean energy programs </w:t>
      </w:r>
      <w:r>
        <w:t xml:space="preserve">measures </w:t>
      </w:r>
      <w:r w:rsidRPr="006F567D">
        <w:t>are not tailored specifically for income-qualified customers, unlike the ESA Program</w:t>
      </w:r>
      <w:r>
        <w:t xml:space="preserve"> where all</w:t>
      </w:r>
      <w:r w:rsidRPr="006F567D">
        <w:t xml:space="preserve"> measures </w:t>
      </w:r>
      <w:r>
        <w:t>are</w:t>
      </w:r>
      <w:r w:rsidRPr="006F567D">
        <w:t xml:space="preserve"> evaluated to ensure they are appropriate for the needs</w:t>
      </w:r>
      <w:r>
        <w:t xml:space="preserve"> </w:t>
      </w:r>
      <w:r w:rsidRPr="006F567D">
        <w:t>and unique characteristics of ESA's income-qualified customer sector</w:t>
      </w:r>
      <w:r>
        <w:t xml:space="preserve">.  PG&amp;E also points out that </w:t>
      </w:r>
      <w:r w:rsidRPr="006F567D">
        <w:t>EEC</w:t>
      </w:r>
      <w:r>
        <w:t xml:space="preserve"> errs in stating that </w:t>
      </w:r>
      <w:r w:rsidRPr="006F567D">
        <w:t xml:space="preserve">all </w:t>
      </w:r>
      <w:r>
        <w:t>energy efficiency r</w:t>
      </w:r>
      <w:r w:rsidRPr="006F567D">
        <w:t>esidential</w:t>
      </w:r>
      <w:r>
        <w:t xml:space="preserve"> </w:t>
      </w:r>
      <w:r w:rsidRPr="006F567D">
        <w:t>measures would improve ESA cost-effectiveness</w:t>
      </w:r>
      <w:r>
        <w:t xml:space="preserve"> because c</w:t>
      </w:r>
      <w:r w:rsidRPr="006F567D">
        <w:t>ost-effectiveness is</w:t>
      </w:r>
      <w:r>
        <w:t xml:space="preserve"> </w:t>
      </w:r>
      <w:r w:rsidRPr="006F567D">
        <w:t xml:space="preserve">highly dependent on the measure </w:t>
      </w:r>
      <w:r w:rsidRPr="006F567D">
        <w:lastRenderedPageBreak/>
        <w:t>delivery channel,</w:t>
      </w:r>
      <w:r>
        <w:t xml:space="preserve"> which differs for these programs (ESA s</w:t>
      </w:r>
      <w:r w:rsidRPr="006F567D">
        <w:t xml:space="preserve">erves customers through the direct install channel, while </w:t>
      </w:r>
      <w:r>
        <w:t xml:space="preserve">the </w:t>
      </w:r>
      <w:r w:rsidRPr="002965A3">
        <w:t>mainstream</w:t>
      </w:r>
      <w:r>
        <w:t xml:space="preserve"> energy efficiency </w:t>
      </w:r>
      <w:r w:rsidRPr="006F567D">
        <w:t>residential programs include both upstream and midstream channels</w:t>
      </w:r>
      <w:r>
        <w:t>), and cost effectiveness is calculated differently for each program (E</w:t>
      </w:r>
      <w:r w:rsidRPr="006F567D">
        <w:t>SA</w:t>
      </w:r>
      <w:r>
        <w:t xml:space="preserve"> includes</w:t>
      </w:r>
      <w:r w:rsidRPr="006F567D">
        <w:t xml:space="preserve"> labor costs </w:t>
      </w:r>
      <w:r>
        <w:t xml:space="preserve">whereas </w:t>
      </w:r>
      <w:r w:rsidRPr="006F567D">
        <w:t>upstream and midstream EE programs</w:t>
      </w:r>
      <w:r>
        <w:t xml:space="preserve"> do not)</w:t>
      </w:r>
      <w:r w:rsidRPr="006F567D">
        <w:t>.</w:t>
      </w:r>
      <w:r>
        <w:rPr>
          <w:rStyle w:val="FootnoteReference"/>
        </w:rPr>
        <w:footnoteReference w:id="436"/>
      </w:r>
    </w:p>
    <w:p w:rsidR="000C1980" w:rsidP="002965A3" w:rsidRDefault="000C1980" w14:paraId="5BDCCAF6" w14:textId="77777777">
      <w:pPr>
        <w:pStyle w:val="Standard"/>
      </w:pPr>
      <w:r>
        <w:rPr>
          <w:b/>
          <w:bCs/>
          <w:i/>
          <w:iCs/>
          <w:u w:val="single"/>
        </w:rPr>
        <w:t>Prioritizing Electrification Measures:</w:t>
      </w:r>
      <w:r>
        <w:t xml:space="preserve"> </w:t>
      </w:r>
      <w:r w:rsidRPr="001360E4">
        <w:t xml:space="preserve">PG&amp;E </w:t>
      </w:r>
      <w:r>
        <w:t xml:space="preserve">states that it is premature </w:t>
      </w:r>
      <w:r w:rsidRPr="008A19AD">
        <w:t xml:space="preserve">to </w:t>
      </w:r>
      <w:r w:rsidRPr="533FAECE">
        <w:t xml:space="preserve">implement electrification or fuel switching into the ESA </w:t>
      </w:r>
      <w:r>
        <w:t>p</w:t>
      </w:r>
      <w:r w:rsidRPr="533FAECE">
        <w:t>rogram in 2020 or 2021</w:t>
      </w:r>
      <w:r w:rsidRPr="533FAECE">
        <w:rPr>
          <w:rFonts w:cs="ArialMT"/>
        </w:rPr>
        <w:t xml:space="preserve"> and that it</w:t>
      </w:r>
      <w:r w:rsidRPr="533FAECE">
        <w:t xml:space="preserve"> will be most appropriate to wait until</w:t>
      </w:r>
      <w:r>
        <w:rPr>
          <w:szCs w:val="26"/>
        </w:rPr>
        <w:t xml:space="preserve"> </w:t>
      </w:r>
      <w:r w:rsidRPr="533FAECE">
        <w:t>the San Joaquin Valley DAC pilot p</w:t>
      </w:r>
      <w:r w:rsidRPr="00577763">
        <w:t xml:space="preserve">rogram results </w:t>
      </w:r>
      <w:r>
        <w:t xml:space="preserve">before </w:t>
      </w:r>
      <w:r w:rsidRPr="00577763">
        <w:t>determin</w:t>
      </w:r>
      <w:r>
        <w:t xml:space="preserve">ing which </w:t>
      </w:r>
      <w:r w:rsidRPr="00577763">
        <w:t xml:space="preserve">measures </w:t>
      </w:r>
      <w:r>
        <w:t xml:space="preserve">are </w:t>
      </w:r>
      <w:r w:rsidRPr="00577763">
        <w:t xml:space="preserve">economically feasible at scale </w:t>
      </w:r>
      <w:r>
        <w:t>to add to</w:t>
      </w:r>
      <w:r w:rsidRPr="00577763">
        <w:t xml:space="preserve"> the ESA Program.</w:t>
      </w:r>
      <w:r>
        <w:rPr>
          <w:rStyle w:val="FootnoteReference"/>
        </w:rPr>
        <w:footnoteReference w:id="437"/>
      </w:r>
      <w:r>
        <w:t xml:space="preserve">  </w:t>
      </w:r>
    </w:p>
    <w:p w:rsidR="000C1980" w:rsidP="002965A3" w:rsidRDefault="000C1980" w14:paraId="40633561" w14:textId="5ACD3FF9">
      <w:pPr>
        <w:pStyle w:val="Standard"/>
      </w:pPr>
      <w:r>
        <w:rPr>
          <w:b/>
          <w:bCs/>
          <w:i/>
          <w:iCs/>
          <w:u w:val="single"/>
        </w:rPr>
        <w:t>Allowing ESA Contractors to Enroll and Install Solar</w:t>
      </w:r>
      <w:r w:rsidRPr="008E00D9">
        <w:rPr>
          <w:b/>
          <w:bCs/>
          <w:i/>
          <w:iCs/>
          <w:u w:val="single"/>
        </w:rPr>
        <w:t>:</w:t>
      </w:r>
      <w:r>
        <w:t xml:space="preserve">  </w:t>
      </w:r>
      <w:r w:rsidRPr="0067239D">
        <w:t>PG&amp;E is generally supportive of exploring increased leveraging opportunities including with solar</w:t>
      </w:r>
      <w:r>
        <w:t xml:space="preserve"> </w:t>
      </w:r>
      <w:r w:rsidRPr="0067239D">
        <w:t>as long as these opportunities do not increase administrative, marketing and outreach, and energy education costs of the ESA program</w:t>
      </w:r>
      <w:r>
        <w:t xml:space="preserve"> but states that to </w:t>
      </w:r>
      <w:r w:rsidRPr="0067239D">
        <w:t>permit contractors to enroll customers in other non-ESA programs,</w:t>
      </w:r>
      <w:r>
        <w:t xml:space="preserve"> </w:t>
      </w:r>
      <w:r w:rsidRPr="0067239D">
        <w:t>especially programs that do not provide free services, would require a</w:t>
      </w:r>
      <w:r>
        <w:t xml:space="preserve"> </w:t>
      </w:r>
      <w:r w:rsidRPr="0067239D">
        <w:t>change to the Statewide ESA Policy and Procedures Manual</w:t>
      </w:r>
      <w:r>
        <w:t xml:space="preserve"> which cur</w:t>
      </w:r>
      <w:r w:rsidRPr="0067239D">
        <w:t>rently prohibits contractors from performing and billing</w:t>
      </w:r>
      <w:r>
        <w:t xml:space="preserve"> n</w:t>
      </w:r>
      <w:r w:rsidRPr="0067239D">
        <w:t>on-ESA work while providing ESA (including “selling” other services to ESA</w:t>
      </w:r>
      <w:r>
        <w:t xml:space="preserve"> </w:t>
      </w:r>
      <w:r w:rsidRPr="0067239D">
        <w:t>participants).</w:t>
      </w:r>
      <w:r>
        <w:rPr>
          <w:rStyle w:val="FootnoteReference"/>
          <w:b/>
          <w:bCs/>
        </w:rPr>
        <w:footnoteReference w:id="438"/>
      </w:r>
    </w:p>
    <w:p w:rsidR="001E7396" w:rsidP="002965A3" w:rsidRDefault="001E7396" w14:paraId="0F1C19E3" w14:textId="76EB6891">
      <w:pPr>
        <w:pStyle w:val="Standard"/>
      </w:pPr>
      <w:r>
        <w:rPr>
          <w:b/>
          <w:bCs/>
          <w:i/>
          <w:iCs/>
          <w:u w:val="single"/>
        </w:rPr>
        <w:t>Establishment of an Online Marketplace for Measures</w:t>
      </w:r>
      <w:r w:rsidRPr="00110EBD">
        <w:rPr>
          <w:b/>
          <w:bCs/>
          <w:i/>
          <w:iCs/>
          <w:u w:val="single"/>
        </w:rPr>
        <w:t>:</w:t>
      </w:r>
      <w:r>
        <w:t xml:space="preserve"> PG&amp;E </w:t>
      </w:r>
      <w:r w:rsidR="00605FBE">
        <w:t>states that an onl</w:t>
      </w:r>
      <w:r w:rsidRPr="00605FBE" w:rsidR="00605FBE">
        <w:t>ine retail marketplace needs further analysis to better</w:t>
      </w:r>
      <w:r w:rsidR="00605FBE">
        <w:t xml:space="preserve"> </w:t>
      </w:r>
      <w:r w:rsidRPr="00605FBE" w:rsidR="00605FBE">
        <w:t xml:space="preserve">understand the </w:t>
      </w:r>
      <w:r w:rsidRPr="00605FBE" w:rsidR="00605FBE">
        <w:lastRenderedPageBreak/>
        <w:t>savings potential and savings claims validity, cost implications and impacts to</w:t>
      </w:r>
      <w:r w:rsidR="00605FBE">
        <w:t xml:space="preserve"> </w:t>
      </w:r>
      <w:r w:rsidRPr="00605FBE" w:rsidR="00605FBE">
        <w:t>customer experience</w:t>
      </w:r>
      <w:r w:rsidR="00605FBE">
        <w:t>.</w:t>
      </w:r>
      <w:r w:rsidR="00605FBE">
        <w:rPr>
          <w:rStyle w:val="FootnoteReference"/>
          <w:rFonts w:eastAsiaTheme="minorEastAsia"/>
        </w:rPr>
        <w:footnoteReference w:id="439"/>
      </w:r>
    </w:p>
    <w:p w:rsidRPr="007F40CB" w:rsidR="000C1980" w:rsidP="001968DC" w:rsidRDefault="000C1980" w14:paraId="3903A74D" w14:textId="77777777">
      <w:pPr>
        <w:pStyle w:val="Heading4"/>
        <w:ind w:left="3600"/>
      </w:pPr>
      <w:bookmarkStart w:name="_Toc69947976" w:id="314"/>
      <w:r w:rsidRPr="007F40CB">
        <w:t>SCE</w:t>
      </w:r>
      <w:bookmarkEnd w:id="314"/>
    </w:p>
    <w:p w:rsidR="000C1980" w:rsidP="002965A3" w:rsidRDefault="000C1980" w14:paraId="5C35FF60" w14:textId="77777777">
      <w:pPr>
        <w:pStyle w:val="Standard"/>
      </w:pPr>
      <w:r>
        <w:rPr>
          <w:b/>
          <w:bCs/>
          <w:i/>
          <w:iCs/>
          <w:u w:val="single"/>
        </w:rPr>
        <w:t xml:space="preserve">Requiring </w:t>
      </w:r>
      <w:r w:rsidRPr="0049093A">
        <w:rPr>
          <w:b/>
          <w:bCs/>
          <w:i/>
          <w:iCs/>
          <w:u w:val="single"/>
        </w:rPr>
        <w:t>Healthy Building Materials:</w:t>
      </w:r>
      <w:r>
        <w:t xml:space="preserve"> S</w:t>
      </w:r>
      <w:r w:rsidRPr="00B22E28">
        <w:t xml:space="preserve">CE </w:t>
      </w:r>
      <w:r>
        <w:t xml:space="preserve">states that it </w:t>
      </w:r>
      <w:r w:rsidRPr="00B22E28">
        <w:t>is supportive of healthy building materials within the ESA program</w:t>
      </w:r>
      <w:r>
        <w:t xml:space="preserve"> but notes that </w:t>
      </w:r>
      <w:r w:rsidRPr="00B22E28">
        <w:t>there may</w:t>
      </w:r>
      <w:r>
        <w:t xml:space="preserve"> </w:t>
      </w:r>
      <w:r w:rsidRPr="00B22E28">
        <w:t>be significant cost challenges associated with measures when incorporating material standards that are</w:t>
      </w:r>
      <w:r>
        <w:t xml:space="preserve"> </w:t>
      </w:r>
      <w:r w:rsidRPr="00B22E28">
        <w:t>above code</w:t>
      </w:r>
      <w:r>
        <w:t xml:space="preserve"> and </w:t>
      </w:r>
      <w:r w:rsidRPr="00B22E28">
        <w:t xml:space="preserve">recommends </w:t>
      </w:r>
      <w:r>
        <w:t>that a</w:t>
      </w:r>
      <w:r w:rsidRPr="00A2141A">
        <w:t xml:space="preserve"> working group be delegated to address these issues</w:t>
      </w:r>
      <w:r w:rsidRPr="00B22E28">
        <w:t>.</w:t>
      </w:r>
      <w:r>
        <w:rPr>
          <w:rStyle w:val="FootnoteReference"/>
          <w:rFonts w:eastAsiaTheme="minorEastAsia"/>
        </w:rPr>
        <w:footnoteReference w:id="440"/>
      </w:r>
    </w:p>
    <w:p w:rsidR="000C1980" w:rsidP="002965A3" w:rsidRDefault="000C1980" w14:paraId="1E92EDE1" w14:textId="53198E25">
      <w:pPr>
        <w:pStyle w:val="Standard"/>
      </w:pPr>
      <w:r>
        <w:rPr>
          <w:b/>
          <w:bCs/>
          <w:i/>
          <w:iCs/>
          <w:u w:val="single"/>
        </w:rPr>
        <w:t>Establishment of an Online Marketplace for Measures</w:t>
      </w:r>
      <w:r w:rsidRPr="00110EBD">
        <w:rPr>
          <w:b/>
          <w:bCs/>
          <w:i/>
          <w:iCs/>
          <w:u w:val="single"/>
        </w:rPr>
        <w:t>:</w:t>
      </w:r>
      <w:r>
        <w:t xml:space="preserve"> SCE opposes </w:t>
      </w:r>
      <w:proofErr w:type="spellStart"/>
      <w:r w:rsidRPr="00A27FA0">
        <w:t>Enervee</w:t>
      </w:r>
      <w:r>
        <w:t>’s</w:t>
      </w:r>
      <w:proofErr w:type="spellEnd"/>
      <w:r w:rsidRPr="00A27FA0">
        <w:t xml:space="preserve"> recommend</w:t>
      </w:r>
      <w:r>
        <w:t>ation to</w:t>
      </w:r>
      <w:r w:rsidRPr="00A27FA0">
        <w:t xml:space="preserve"> augment the traditional direct-install delivery model in the ESA</w:t>
      </w:r>
      <w:r>
        <w:t xml:space="preserve"> </w:t>
      </w:r>
      <w:r w:rsidRPr="00A27FA0">
        <w:t>program with an online retail product channel</w:t>
      </w:r>
      <w:r>
        <w:t xml:space="preserve"> stating that it is not </w:t>
      </w:r>
      <w:r w:rsidRPr="00A27FA0">
        <w:t>a good fit for ESA</w:t>
      </w:r>
      <w:r>
        <w:t xml:space="preserve">, </w:t>
      </w:r>
      <w:r w:rsidRPr="00A27FA0">
        <w:t>could create unnecessary confusion</w:t>
      </w:r>
      <w:r>
        <w:t xml:space="preserve"> for low income customers </w:t>
      </w:r>
      <w:r w:rsidRPr="00A27FA0">
        <w:t xml:space="preserve">over what products are no-cost and for-cost in the ESA program, </w:t>
      </w:r>
      <w:r>
        <w:t xml:space="preserve">and </w:t>
      </w:r>
      <w:r w:rsidRPr="00A27FA0">
        <w:t>potentially deter new participants</w:t>
      </w:r>
      <w:r>
        <w:t xml:space="preserve"> </w:t>
      </w:r>
      <w:r w:rsidRPr="00A27FA0">
        <w:t>that may not know the difference.</w:t>
      </w:r>
      <w:r>
        <w:rPr>
          <w:rStyle w:val="FootnoteReference"/>
          <w:rFonts w:eastAsiaTheme="minorEastAsia"/>
        </w:rPr>
        <w:footnoteReference w:id="441"/>
      </w:r>
      <w:r w:rsidRPr="00B36BE0" w:rsidR="00B36BE0">
        <w:rPr>
          <w:rFonts w:ascii="TimesNewRoman" w:eastAsia="TimesNewRoman" w:cs="TimesNewRoman" w:hAnsiTheme="minorHAnsi"/>
          <w:sz w:val="24"/>
          <w:szCs w:val="24"/>
        </w:rPr>
        <w:t xml:space="preserve"> </w:t>
      </w:r>
      <w:r w:rsidRPr="00B36BE0" w:rsidR="00B36BE0">
        <w:t>However,</w:t>
      </w:r>
      <w:r w:rsidR="00B36BE0">
        <w:t xml:space="preserve"> </w:t>
      </w:r>
      <w:r w:rsidRPr="00B36BE0" w:rsidR="00B36BE0">
        <w:t xml:space="preserve">should the Commission adopt </w:t>
      </w:r>
      <w:proofErr w:type="spellStart"/>
      <w:r w:rsidRPr="00B36BE0" w:rsidR="00B36BE0">
        <w:t>Enervee</w:t>
      </w:r>
      <w:r w:rsidR="00FD3209">
        <w:t>’</w:t>
      </w:r>
      <w:r w:rsidRPr="00B36BE0" w:rsidR="00B36BE0">
        <w:t>s</w:t>
      </w:r>
      <w:proofErr w:type="spellEnd"/>
      <w:r w:rsidRPr="00B36BE0" w:rsidR="00B36BE0">
        <w:t xml:space="preserve"> recommendation, SCE suggests the Commission pilot</w:t>
      </w:r>
      <w:r w:rsidR="00FD3209">
        <w:t xml:space="preserve"> </w:t>
      </w:r>
      <w:r w:rsidRPr="00B36BE0" w:rsidR="00B36BE0">
        <w:t>an online delivery retail channel to other low-income customers (i.e. FERA customers who fall</w:t>
      </w:r>
      <w:r w:rsidR="00FD3209">
        <w:t xml:space="preserve"> </w:t>
      </w:r>
      <w:r w:rsidRPr="00B36BE0" w:rsidR="00B36BE0">
        <w:t xml:space="preserve">within 250 percent of </w:t>
      </w:r>
      <w:r w:rsidR="00FD3209">
        <w:t>FPG</w:t>
      </w:r>
      <w:r w:rsidRPr="00B36BE0" w:rsidR="00B36BE0">
        <w:t>) who may otherwise not be eligible to</w:t>
      </w:r>
      <w:r w:rsidR="00FD3209">
        <w:t xml:space="preserve"> </w:t>
      </w:r>
      <w:r w:rsidRPr="00B36BE0" w:rsidR="00B36BE0">
        <w:t>participate in ESA.</w:t>
      </w:r>
      <w:r w:rsidR="00FD3209">
        <w:rPr>
          <w:rStyle w:val="FootnoteReference"/>
          <w:rFonts w:eastAsiaTheme="minorEastAsia"/>
        </w:rPr>
        <w:footnoteReference w:id="442"/>
      </w:r>
    </w:p>
    <w:p w:rsidR="00D852EA" w:rsidP="002965A3" w:rsidRDefault="00D852EA" w14:paraId="328F7F20" w14:textId="494524DB">
      <w:pPr>
        <w:pStyle w:val="Standard"/>
      </w:pPr>
      <w:r w:rsidRPr="009C1870">
        <w:rPr>
          <w:b/>
          <w:bCs/>
          <w:i/>
          <w:iCs/>
          <w:u w:val="single"/>
        </w:rPr>
        <w:t>Cap</w:t>
      </w:r>
      <w:r>
        <w:rPr>
          <w:b/>
          <w:bCs/>
          <w:i/>
          <w:iCs/>
          <w:u w:val="single"/>
        </w:rPr>
        <w:t>s</w:t>
      </w:r>
      <w:r w:rsidRPr="009C1870">
        <w:rPr>
          <w:b/>
          <w:bCs/>
          <w:i/>
          <w:iCs/>
          <w:u w:val="single"/>
        </w:rPr>
        <w:t xml:space="preserve"> on Non-Resource Measures:</w:t>
      </w:r>
      <w:r>
        <w:t xml:space="preserve"> </w:t>
      </w:r>
      <w:r w:rsidR="004536EE">
        <w:t xml:space="preserve">SCE does not support </w:t>
      </w:r>
      <w:r>
        <w:t>TURN</w:t>
      </w:r>
      <w:r w:rsidR="004536EE">
        <w:t>’</w:t>
      </w:r>
      <w:r>
        <w:t>s</w:t>
      </w:r>
      <w:r w:rsidR="004536EE">
        <w:t xml:space="preserve"> recommendation to</w:t>
      </w:r>
      <w:r w:rsidRPr="005437AE" w:rsidR="005437AE">
        <w:t xml:space="preserve"> </w:t>
      </w:r>
      <w:r w:rsidR="005437AE">
        <w:t xml:space="preserve">establish spending </w:t>
      </w:r>
      <w:r w:rsidR="000F69FD">
        <w:t>parameters</w:t>
      </w:r>
      <w:r w:rsidR="005437AE">
        <w:t xml:space="preserve"> on </w:t>
      </w:r>
      <w:r w:rsidR="000F69FD">
        <w:t xml:space="preserve">non-resource measures </w:t>
      </w:r>
      <w:r w:rsidRPr="005437AE" w:rsidR="005437AE">
        <w:lastRenderedPageBreak/>
        <w:t>because restricting installations only to measures that provide the greatest per</w:t>
      </w:r>
      <w:r w:rsidR="000F69FD">
        <w:t xml:space="preserve"> </w:t>
      </w:r>
      <w:r w:rsidRPr="005437AE" w:rsidR="005437AE">
        <w:t>unit</w:t>
      </w:r>
      <w:r w:rsidR="000F69FD">
        <w:t xml:space="preserve"> </w:t>
      </w:r>
      <w:r w:rsidRPr="005437AE" w:rsidR="005437AE">
        <w:t>energy savings will directly result in lower energy savings per household</w:t>
      </w:r>
      <w:r w:rsidR="000F69FD">
        <w:t>.</w:t>
      </w:r>
      <w:r w:rsidR="000F69FD">
        <w:rPr>
          <w:rStyle w:val="FootnoteReference"/>
        </w:rPr>
        <w:footnoteReference w:id="443"/>
      </w:r>
    </w:p>
    <w:p w:rsidR="004508CB" w:rsidP="002965A3" w:rsidRDefault="004508CB" w14:paraId="7CA3BE58" w14:textId="2EE202BC">
      <w:pPr>
        <w:pStyle w:val="Standard"/>
        <w:rPr>
          <w:rFonts w:eastAsiaTheme="minorEastAsia"/>
        </w:rPr>
      </w:pPr>
      <w:r>
        <w:rPr>
          <w:b/>
          <w:bCs/>
          <w:i/>
          <w:iCs/>
          <w:u w:val="single"/>
        </w:rPr>
        <w:t>Prioritizing Electrification Measures:</w:t>
      </w:r>
      <w:r>
        <w:t xml:space="preserve"> SC</w:t>
      </w:r>
      <w:r w:rsidRPr="001360E4">
        <w:t>E</w:t>
      </w:r>
      <w:r w:rsidRPr="000E7643" w:rsidR="000E7643">
        <w:rPr>
          <w:rFonts w:ascii="TimesNewRoman" w:eastAsia="TimesNewRoman" w:cs="TimesNewRoman" w:hAnsiTheme="minorHAnsi"/>
          <w:sz w:val="24"/>
          <w:szCs w:val="24"/>
        </w:rPr>
        <w:t xml:space="preserve"> </w:t>
      </w:r>
      <w:r w:rsidR="000E7643">
        <w:t xml:space="preserve">supports </w:t>
      </w:r>
      <w:r w:rsidRPr="000E7643" w:rsidR="000E7643">
        <w:t xml:space="preserve">prioritizing electrification measures </w:t>
      </w:r>
      <w:r w:rsidR="000E7643">
        <w:t xml:space="preserve">as it </w:t>
      </w:r>
      <w:r w:rsidRPr="000E7643" w:rsidR="000E7643">
        <w:t>would benefit low-income</w:t>
      </w:r>
      <w:r w:rsidR="000E7643">
        <w:t xml:space="preserve"> </w:t>
      </w:r>
      <w:r w:rsidRPr="000E7643" w:rsidR="000E7643">
        <w:t xml:space="preserve">customers by improving </w:t>
      </w:r>
      <w:r w:rsidR="000E7643">
        <w:t>HCS</w:t>
      </w:r>
      <w:r w:rsidRPr="000E7643" w:rsidR="000E7643">
        <w:t>, and by cost-effectively converting customers</w:t>
      </w:r>
      <w:r w:rsidR="000E7643">
        <w:t xml:space="preserve"> </w:t>
      </w:r>
      <w:r w:rsidRPr="000E7643" w:rsidR="000E7643">
        <w:t>to electric measures at the end of the gas equipment</w:t>
      </w:r>
      <w:r w:rsidR="000E7643">
        <w:t xml:space="preserve">’s </w:t>
      </w:r>
      <w:r w:rsidRPr="000E7643" w:rsidR="000E7643">
        <w:t>useful life</w:t>
      </w:r>
      <w:r w:rsidR="000E7643">
        <w:t>.</w:t>
      </w:r>
      <w:r w:rsidR="000E7643">
        <w:rPr>
          <w:rStyle w:val="FootnoteReference"/>
        </w:rPr>
        <w:footnoteReference w:id="444"/>
      </w:r>
    </w:p>
    <w:p w:rsidRPr="007F40CB" w:rsidR="000C1980" w:rsidP="001968DC" w:rsidRDefault="000C1980" w14:paraId="05BC88B7" w14:textId="77777777">
      <w:pPr>
        <w:pStyle w:val="Heading4"/>
        <w:ind w:left="3600"/>
      </w:pPr>
      <w:bookmarkStart w:name="_Toc69947977" w:id="315"/>
      <w:r w:rsidRPr="007F40CB">
        <w:t>SoCalGas</w:t>
      </w:r>
      <w:bookmarkEnd w:id="315"/>
    </w:p>
    <w:p w:rsidR="000C1980" w:rsidP="002965A3" w:rsidRDefault="000C1980" w14:paraId="2CD57BE5" w14:textId="77777777">
      <w:pPr>
        <w:pStyle w:val="Standard"/>
      </w:pPr>
      <w:r>
        <w:rPr>
          <w:b/>
          <w:bCs/>
          <w:i/>
          <w:iCs/>
          <w:u w:val="single"/>
        </w:rPr>
        <w:t>Prioritizing Electrification Measures:</w:t>
      </w:r>
      <w:r>
        <w:t xml:space="preserve"> </w:t>
      </w:r>
      <w:r w:rsidRPr="00956C2D">
        <w:t xml:space="preserve">SoCalGas </w:t>
      </w:r>
      <w:r>
        <w:t>d</w:t>
      </w:r>
      <w:r w:rsidRPr="00956C2D">
        <w:t xml:space="preserve">isagrees with </w:t>
      </w:r>
      <w:r>
        <w:t xml:space="preserve">TURN and the </w:t>
      </w:r>
      <w:r w:rsidRPr="00956C2D">
        <w:t>Joint Parties</w:t>
      </w:r>
      <w:r>
        <w:t>’ r</w:t>
      </w:r>
      <w:r w:rsidRPr="00956C2D">
        <w:t xml:space="preserve">equest </w:t>
      </w:r>
      <w:r>
        <w:t>t</w:t>
      </w:r>
      <w:r w:rsidRPr="00956C2D">
        <w:t>hat the</w:t>
      </w:r>
      <w:r>
        <w:t xml:space="preserve"> </w:t>
      </w:r>
      <w:r w:rsidRPr="0029445A">
        <w:t xml:space="preserve">Commission </w:t>
      </w:r>
      <w:r>
        <w:t>p</w:t>
      </w:r>
      <w:r w:rsidRPr="0029445A">
        <w:t xml:space="preserve">rovide </w:t>
      </w:r>
      <w:r>
        <w:t>g</w:t>
      </w:r>
      <w:r w:rsidRPr="0029445A">
        <w:t xml:space="preserve">uidance on </w:t>
      </w:r>
      <w:r>
        <w:t>t</w:t>
      </w:r>
      <w:r w:rsidRPr="0029445A">
        <w:t xml:space="preserve">he </w:t>
      </w:r>
      <w:r>
        <w:t>r</w:t>
      </w:r>
      <w:r w:rsidRPr="0029445A">
        <w:t xml:space="preserve">epair or </w:t>
      </w:r>
      <w:r>
        <w:t>r</w:t>
      </w:r>
      <w:r w:rsidRPr="0029445A">
        <w:t xml:space="preserve">eplacement of </w:t>
      </w:r>
      <w:r>
        <w:t>l</w:t>
      </w:r>
      <w:r w:rsidRPr="0029445A">
        <w:t>ong-</w:t>
      </w:r>
      <w:r>
        <w:t>l</w:t>
      </w:r>
      <w:r w:rsidRPr="0029445A">
        <w:t>ived</w:t>
      </w:r>
      <w:r>
        <w:t xml:space="preserve"> f</w:t>
      </w:r>
      <w:r w:rsidRPr="0029445A">
        <w:t xml:space="preserve">ossil </w:t>
      </w:r>
      <w:r>
        <w:t>f</w:t>
      </w:r>
      <w:r w:rsidRPr="0029445A">
        <w:t xml:space="preserve">uel </w:t>
      </w:r>
      <w:r>
        <w:t>m</w:t>
      </w:r>
      <w:r w:rsidRPr="0029445A">
        <w:t xml:space="preserve">easures and </w:t>
      </w:r>
      <w:r>
        <w:t>t</w:t>
      </w:r>
      <w:r w:rsidRPr="0029445A">
        <w:t xml:space="preserve">hat </w:t>
      </w:r>
      <w:r>
        <w:t>r</w:t>
      </w:r>
      <w:r w:rsidRPr="0029445A">
        <w:t xml:space="preserve">eplacing </w:t>
      </w:r>
      <w:r>
        <w:t>f</w:t>
      </w:r>
      <w:r w:rsidRPr="0029445A">
        <w:t xml:space="preserve">ossil </w:t>
      </w:r>
      <w:r>
        <w:t>g</w:t>
      </w:r>
      <w:r w:rsidRPr="0029445A">
        <w:t xml:space="preserve">as with </w:t>
      </w:r>
      <w:r>
        <w:t>e</w:t>
      </w:r>
      <w:r w:rsidRPr="0029445A">
        <w:t xml:space="preserve">lectricity </w:t>
      </w:r>
      <w:r>
        <w:t>c</w:t>
      </w:r>
      <w:r w:rsidRPr="0029445A">
        <w:t>an</w:t>
      </w:r>
      <w:r>
        <w:t xml:space="preserve"> r</w:t>
      </w:r>
      <w:r w:rsidRPr="0029445A">
        <w:t>educe GHG</w:t>
      </w:r>
      <w:r>
        <w:t xml:space="preserve">.  </w:t>
      </w:r>
      <w:r w:rsidRPr="0029445A">
        <w:t>SoCalGas strongly disagrees</w:t>
      </w:r>
      <w:r>
        <w:t xml:space="preserve"> arguing that 1) m</w:t>
      </w:r>
      <w:r w:rsidRPr="0029445A">
        <w:t>oving away from low cost</w:t>
      </w:r>
      <w:r>
        <w:t xml:space="preserve"> </w:t>
      </w:r>
      <w:r w:rsidRPr="0029445A">
        <w:t xml:space="preserve">natural gas in favor </w:t>
      </w:r>
      <w:r w:rsidRPr="533FAECE">
        <w:t>of electricity is costly from both an initial investment standpoint as well as from an ongoing utility rate perspective and doing so would not make sense for low</w:t>
      </w:r>
      <w:r>
        <w:t xml:space="preserve"> </w:t>
      </w:r>
      <w:r w:rsidRPr="533FAECE">
        <w:t>income Californians, and 2) emissions will likely increase from use of electric appliances</w:t>
      </w:r>
      <w:r w:rsidRPr="533FAECE">
        <w:rPr>
          <w:rFonts w:cs="TimesNewRomanPSMT"/>
        </w:rPr>
        <w:t xml:space="preserve"> resulting from </w:t>
      </w:r>
      <w:r w:rsidRPr="533FAECE">
        <w:t>higher carbon intensity of the electric versus gas grid, potential increased leakage of super high global warming refrigerants</w:t>
      </w:r>
      <w:r w:rsidRPr="00713179">
        <w:t xml:space="preserve"> where none existed before, the increased electric load where</w:t>
      </w:r>
      <w:r>
        <w:t xml:space="preserve"> </w:t>
      </w:r>
      <w:r w:rsidRPr="00713179">
        <w:t xml:space="preserve">none existed before and the time of use of </w:t>
      </w:r>
      <w:r>
        <w:t>certain measures</w:t>
      </w:r>
      <w:r w:rsidRPr="00713179">
        <w:t xml:space="preserve"> where renewables are not dominant</w:t>
      </w:r>
      <w:r w:rsidRPr="0029445A">
        <w:t>.</w:t>
      </w:r>
      <w:r w:rsidRPr="00AC2EF9">
        <w:rPr>
          <w:rStyle w:val="FootnoteReference"/>
          <w:rFonts w:eastAsiaTheme="minorEastAsia"/>
        </w:rPr>
        <w:footnoteReference w:id="445"/>
      </w:r>
    </w:p>
    <w:p w:rsidR="000C1980" w:rsidP="002965A3" w:rsidRDefault="000C1980" w14:paraId="14FEC880" w14:textId="77777777">
      <w:pPr>
        <w:pStyle w:val="Standard"/>
      </w:pPr>
      <w:r>
        <w:rPr>
          <w:b/>
          <w:bCs/>
          <w:i/>
          <w:iCs/>
          <w:u w:val="single"/>
        </w:rPr>
        <w:t>New M</w:t>
      </w:r>
      <w:r w:rsidRPr="00332E4C">
        <w:rPr>
          <w:b/>
          <w:bCs/>
          <w:i/>
          <w:iCs/>
          <w:u w:val="single"/>
        </w:rPr>
        <w:t>easures</w:t>
      </w:r>
      <w:r>
        <w:rPr>
          <w:b/>
          <w:bCs/>
          <w:i/>
          <w:iCs/>
          <w:u w:val="single"/>
        </w:rPr>
        <w:t xml:space="preserve"> (</w:t>
      </w:r>
      <w:r w:rsidRPr="00332E4C">
        <w:rPr>
          <w:b/>
          <w:bCs/>
          <w:i/>
          <w:iCs/>
          <w:u w:val="single"/>
        </w:rPr>
        <w:t>Mobile Homes</w:t>
      </w:r>
      <w:r>
        <w:rPr>
          <w:b/>
          <w:bCs/>
          <w:i/>
          <w:iCs/>
          <w:u w:val="single"/>
        </w:rPr>
        <w:t>)</w:t>
      </w:r>
      <w:r w:rsidRPr="00332E4C">
        <w:rPr>
          <w:b/>
          <w:bCs/>
          <w:i/>
          <w:iCs/>
          <w:u w:val="single"/>
        </w:rPr>
        <w:t>:</w:t>
      </w:r>
      <w:r>
        <w:t xml:space="preserve"> SoCalGas opposes T</w:t>
      </w:r>
      <w:r w:rsidRPr="009F069B">
        <w:t>URN</w:t>
      </w:r>
      <w:r>
        <w:t>’s recommendation to</w:t>
      </w:r>
      <w:r w:rsidRPr="009F069B">
        <w:t xml:space="preserve"> require utilities to</w:t>
      </w:r>
      <w:r>
        <w:t xml:space="preserve"> </w:t>
      </w:r>
      <w:r w:rsidRPr="009F069B">
        <w:t>immediately and more specifically target and collect data on the mobile home segment</w:t>
      </w:r>
      <w:r>
        <w:t xml:space="preserve"> stating that it </w:t>
      </w:r>
      <w:r w:rsidRPr="009F069B">
        <w:t xml:space="preserve">has already taken significant steps towards collecting more data on the mobile home residents in its </w:t>
      </w:r>
      <w:r w:rsidRPr="009F069B">
        <w:lastRenderedPageBreak/>
        <w:t>service territory</w:t>
      </w:r>
      <w:r>
        <w:t xml:space="preserve"> through its </w:t>
      </w:r>
      <w:r w:rsidRPr="009F069B">
        <w:t>10-Year Mobile Home Park Safety</w:t>
      </w:r>
      <w:r>
        <w:t xml:space="preserve"> </w:t>
      </w:r>
      <w:r w:rsidRPr="009F069B">
        <w:t>Upgrade Program</w:t>
      </w:r>
      <w:r>
        <w:t xml:space="preserve">.  Also, </w:t>
      </w:r>
      <w:r w:rsidRPr="00350E42">
        <w:t xml:space="preserve">since </w:t>
      </w:r>
      <w:r>
        <w:t xml:space="preserve">the </w:t>
      </w:r>
      <w:r w:rsidRPr="00350E42">
        <w:t>mobile homes segment use</w:t>
      </w:r>
      <w:r>
        <w:t xml:space="preserve">s </w:t>
      </w:r>
      <w:r w:rsidRPr="00350E42">
        <w:t xml:space="preserve">significantly less energy than </w:t>
      </w:r>
      <w:proofErr w:type="gramStart"/>
      <w:r w:rsidRPr="00350E42">
        <w:t>site built</w:t>
      </w:r>
      <w:proofErr w:type="gramEnd"/>
      <w:r w:rsidRPr="00350E42">
        <w:t xml:space="preserve"> homes, these dwellings (as a whole) will have</w:t>
      </w:r>
      <w:r>
        <w:t xml:space="preserve"> </w:t>
      </w:r>
      <w:r w:rsidRPr="00350E42">
        <w:t xml:space="preserve">significantly less potential for deeper energy savings and should not be disproportionately prioritized. </w:t>
      </w:r>
      <w:r>
        <w:t xml:space="preserve"> </w:t>
      </w:r>
      <w:r w:rsidRPr="00350E42">
        <w:t>Therefore,</w:t>
      </w:r>
      <w:r>
        <w:t xml:space="preserve"> </w:t>
      </w:r>
      <w:r w:rsidRPr="00350E42">
        <w:t>SoCalGas</w:t>
      </w:r>
      <w:r>
        <w:t>’</w:t>
      </w:r>
      <w:r w:rsidRPr="00350E42">
        <w:t xml:space="preserve"> current approach of broadly addressing as many </w:t>
      </w:r>
      <w:proofErr w:type="gramStart"/>
      <w:r w:rsidRPr="00350E42">
        <w:t>low</w:t>
      </w:r>
      <w:r>
        <w:t xml:space="preserve"> </w:t>
      </w:r>
      <w:r w:rsidRPr="00350E42">
        <w:t>income</w:t>
      </w:r>
      <w:proofErr w:type="gramEnd"/>
      <w:r w:rsidRPr="00350E42">
        <w:t xml:space="preserve"> housing types as possible, including mobile homes, is a more effective approach to target ESA </w:t>
      </w:r>
      <w:r>
        <w:t>p</w:t>
      </w:r>
      <w:r w:rsidRPr="00350E42">
        <w:t>rogram eligible customers while also identifying customers with the most energy savings potential.</w:t>
      </w:r>
      <w:r>
        <w:rPr>
          <w:rStyle w:val="FootnoteReference"/>
          <w:rFonts w:eastAsiaTheme="minorEastAsia"/>
        </w:rPr>
        <w:footnoteReference w:id="446"/>
      </w:r>
    </w:p>
    <w:p w:rsidR="000C1980" w:rsidP="002965A3" w:rsidRDefault="000C1980" w14:paraId="0D5E94D8" w14:textId="77777777">
      <w:pPr>
        <w:pStyle w:val="Standard"/>
        <w:rPr>
          <w:rFonts w:eastAsiaTheme="minorEastAsia"/>
        </w:rPr>
      </w:pPr>
      <w:r>
        <w:rPr>
          <w:rFonts w:eastAsiaTheme="minorEastAsia"/>
        </w:rPr>
        <w:t xml:space="preserve">Specifically, SoCalGas </w:t>
      </w:r>
      <w:r w:rsidRPr="00521769">
        <w:t xml:space="preserve">identifies </w:t>
      </w:r>
      <w:r>
        <w:t xml:space="preserve">various </w:t>
      </w:r>
      <w:r w:rsidRPr="00521769">
        <w:t xml:space="preserve">barriers to treating mobile homes </w:t>
      </w:r>
      <w:r>
        <w:t>including p</w:t>
      </w:r>
      <w:r w:rsidRPr="00521769">
        <w:t xml:space="preserve">ermitting </w:t>
      </w:r>
      <w:r>
        <w:t>c</w:t>
      </w:r>
      <w:r w:rsidRPr="00521769">
        <w:t>hallenges</w:t>
      </w:r>
      <w:r>
        <w:t>, resident challenges, s</w:t>
      </w:r>
      <w:r w:rsidRPr="00536254">
        <w:t>tate-of-</w:t>
      </w:r>
      <w:r>
        <w:t>d</w:t>
      </w:r>
      <w:r w:rsidRPr="00536254">
        <w:t>ecay</w:t>
      </w:r>
      <w:r>
        <w:t>, wa</w:t>
      </w:r>
      <w:r w:rsidRPr="00536254">
        <w:t>ter and</w:t>
      </w:r>
      <w:r>
        <w:t xml:space="preserve"> s</w:t>
      </w:r>
      <w:r w:rsidRPr="00536254">
        <w:t xml:space="preserve">ewer </w:t>
      </w:r>
      <w:r>
        <w:t>h</w:t>
      </w:r>
      <w:r w:rsidRPr="00536254">
        <w:t xml:space="preserve">azards </w:t>
      </w:r>
      <w:r>
        <w:t>and m</w:t>
      </w:r>
      <w:r w:rsidRPr="00536254">
        <w:t xml:space="preserve">obile </w:t>
      </w:r>
      <w:r>
        <w:t>h</w:t>
      </w:r>
      <w:r w:rsidRPr="00536254">
        <w:t xml:space="preserve">ome </w:t>
      </w:r>
      <w:r>
        <w:t>l</w:t>
      </w:r>
      <w:r w:rsidRPr="00536254">
        <w:t xml:space="preserve">isted </w:t>
      </w:r>
      <w:r>
        <w:t>a</w:t>
      </w:r>
      <w:r w:rsidRPr="00536254">
        <w:t>ppliances</w:t>
      </w:r>
      <w:r>
        <w:t xml:space="preserve">.  SoCalGas also states that the measures proposed by TURN </w:t>
      </w:r>
      <w:r>
        <w:rPr>
          <w:rFonts w:eastAsiaTheme="minorEastAsia"/>
        </w:rPr>
        <w:t>(currently not offered to mobile homes)</w:t>
      </w:r>
      <w:r>
        <w:t xml:space="preserve"> either </w:t>
      </w:r>
      <w:r>
        <w:rPr>
          <w:rFonts w:eastAsiaTheme="minorEastAsia"/>
        </w:rPr>
        <w:t xml:space="preserve">lack </w:t>
      </w:r>
      <w:r w:rsidRPr="00536254">
        <w:t xml:space="preserve">cost effectiveness </w:t>
      </w:r>
      <w:r>
        <w:t>or</w:t>
      </w:r>
      <w:r w:rsidRPr="00536254">
        <w:t xml:space="preserve"> </w:t>
      </w:r>
      <w:r>
        <w:rPr>
          <w:rFonts w:eastAsiaTheme="minorEastAsia"/>
        </w:rPr>
        <w:t xml:space="preserve">present installation </w:t>
      </w:r>
      <w:r w:rsidRPr="009F069B">
        <w:rPr>
          <w:rFonts w:eastAsiaTheme="minorEastAsia"/>
        </w:rPr>
        <w:t>barriers</w:t>
      </w:r>
      <w:r>
        <w:rPr>
          <w:rFonts w:eastAsiaTheme="minorEastAsia"/>
        </w:rPr>
        <w:t xml:space="preserve"> which TURN fails to </w:t>
      </w:r>
      <w:r w:rsidRPr="00350E42">
        <w:rPr>
          <w:rFonts w:eastAsiaTheme="minorEastAsia"/>
        </w:rPr>
        <w:t>address or offer solution</w:t>
      </w:r>
      <w:r>
        <w:rPr>
          <w:rFonts w:eastAsiaTheme="minorEastAsia"/>
        </w:rPr>
        <w:t>s</w:t>
      </w:r>
      <w:r w:rsidRPr="00350E42">
        <w:rPr>
          <w:rFonts w:eastAsiaTheme="minorEastAsia"/>
        </w:rPr>
        <w:t xml:space="preserve"> to</w:t>
      </w:r>
      <w:r>
        <w:t xml:space="preserve">.  Lastly, SDG&amp;E states that TURN fails to </w:t>
      </w:r>
      <w:r w:rsidRPr="00536254">
        <w:t>address the cost ineffectiveness of the measures being suggested.</w:t>
      </w:r>
      <w:r>
        <w:rPr>
          <w:rStyle w:val="FootnoteReference"/>
        </w:rPr>
        <w:footnoteReference w:id="447"/>
      </w:r>
    </w:p>
    <w:p w:rsidR="000C1980" w:rsidP="002965A3" w:rsidRDefault="000C1980" w14:paraId="0080DABE" w14:textId="507774CC">
      <w:pPr>
        <w:pStyle w:val="Standard"/>
      </w:pPr>
      <w:r>
        <w:rPr>
          <w:b/>
          <w:bCs/>
          <w:i/>
          <w:iCs/>
          <w:u w:val="single"/>
        </w:rPr>
        <w:t xml:space="preserve">Requiring </w:t>
      </w:r>
      <w:r w:rsidRPr="0049093A">
        <w:rPr>
          <w:b/>
          <w:bCs/>
          <w:i/>
          <w:iCs/>
          <w:u w:val="single"/>
        </w:rPr>
        <w:t>Healthy Building Materials:</w:t>
      </w:r>
      <w:r>
        <w:t xml:space="preserve"> SoCalGas recommends the mid-cycle working group be delegated to address </w:t>
      </w:r>
      <w:r w:rsidRPr="00BF132F">
        <w:t>the</w:t>
      </w:r>
      <w:r>
        <w:t xml:space="preserve"> </w:t>
      </w:r>
      <w:r w:rsidRPr="00BF132F">
        <w:t>recommendations made by Joint Parties relative to healthy building materials</w:t>
      </w:r>
      <w:r>
        <w:t>.  H</w:t>
      </w:r>
      <w:r w:rsidRPr="00BF132F">
        <w:t>istorically</w:t>
      </w:r>
      <w:r>
        <w:t>, u</w:t>
      </w:r>
      <w:r w:rsidRPr="00BF132F">
        <w:t xml:space="preserve">pdates to the </w:t>
      </w:r>
      <w:r w:rsidRPr="00B37362">
        <w:t>Installation Standards</w:t>
      </w:r>
      <w:r>
        <w:t xml:space="preserve"> </w:t>
      </w:r>
      <w:r w:rsidRPr="00B37362">
        <w:t>Manual</w:t>
      </w:r>
      <w:r w:rsidRPr="00BF132F">
        <w:t xml:space="preserve"> </w:t>
      </w:r>
      <w:r>
        <w:t>have been</w:t>
      </w:r>
      <w:r w:rsidRPr="00BF132F">
        <w:t xml:space="preserve"> taken</w:t>
      </w:r>
      <w:r>
        <w:t xml:space="preserve"> </w:t>
      </w:r>
      <w:r w:rsidRPr="00BF132F">
        <w:t>up by a Commission</w:t>
      </w:r>
      <w:r>
        <w:t xml:space="preserve"> </w:t>
      </w:r>
      <w:r w:rsidRPr="00BF132F">
        <w:t>established mid-cycle working group</w:t>
      </w:r>
      <w:r>
        <w:t xml:space="preserve"> where the working group would </w:t>
      </w:r>
      <w:r w:rsidRPr="00BF132F">
        <w:t xml:space="preserve">recommend updates to the </w:t>
      </w:r>
      <w:r>
        <w:t>m</w:t>
      </w:r>
      <w:r w:rsidRPr="00BF132F">
        <w:t xml:space="preserve">anual </w:t>
      </w:r>
      <w:r>
        <w:t xml:space="preserve">and </w:t>
      </w:r>
      <w:r w:rsidRPr="00BF132F">
        <w:t>submit to the service list the</w:t>
      </w:r>
      <w:r>
        <w:t xml:space="preserve"> </w:t>
      </w:r>
      <w:r w:rsidRPr="00BF132F">
        <w:t>working group’s initial recommendations and schedule a workshop for vetting by the</w:t>
      </w:r>
      <w:r>
        <w:t xml:space="preserve"> </w:t>
      </w:r>
      <w:r w:rsidRPr="00BF132F">
        <w:t xml:space="preserve">public and/or </w:t>
      </w:r>
      <w:r w:rsidRPr="00BF132F">
        <w:lastRenderedPageBreak/>
        <w:t>interested stakeholders</w:t>
      </w:r>
      <w:r>
        <w:t xml:space="preserve">.  SoCalGas states that this </w:t>
      </w:r>
      <w:r w:rsidRPr="00BF132F">
        <w:t xml:space="preserve">process has been effective </w:t>
      </w:r>
      <w:r>
        <w:t>and</w:t>
      </w:r>
      <w:r w:rsidRPr="00BF132F">
        <w:t xml:space="preserve"> recommend that this practice continue in PY</w:t>
      </w:r>
      <w:r>
        <w:t>s</w:t>
      </w:r>
      <w:r w:rsidRPr="00BF132F">
        <w:t xml:space="preserve"> 2021-2026.</w:t>
      </w:r>
      <w:r>
        <w:rPr>
          <w:rStyle w:val="FootnoteReference"/>
          <w:rFonts w:eastAsiaTheme="minorEastAsia"/>
        </w:rPr>
        <w:footnoteReference w:id="448"/>
      </w:r>
    </w:p>
    <w:p w:rsidRPr="007F40CB" w:rsidR="000C1980" w:rsidP="001968DC" w:rsidRDefault="000C1980" w14:paraId="6A546E4F" w14:textId="77777777">
      <w:pPr>
        <w:pStyle w:val="Heading4"/>
        <w:ind w:left="3600"/>
      </w:pPr>
      <w:bookmarkStart w:name="_Toc69947978" w:id="316"/>
      <w:r w:rsidRPr="007F40CB">
        <w:t>SDG&amp;E</w:t>
      </w:r>
      <w:bookmarkEnd w:id="316"/>
    </w:p>
    <w:p w:rsidR="000C1980" w:rsidP="002965A3" w:rsidRDefault="000C1980" w14:paraId="4418AAE3" w14:textId="77777777">
      <w:pPr>
        <w:pStyle w:val="Standard"/>
      </w:pPr>
      <w:r>
        <w:rPr>
          <w:b/>
          <w:bCs/>
          <w:i/>
          <w:iCs/>
          <w:u w:val="single"/>
        </w:rPr>
        <w:t>New Measures (</w:t>
      </w:r>
      <w:r w:rsidRPr="009A51C9">
        <w:rPr>
          <w:b/>
          <w:bCs/>
          <w:i/>
          <w:iCs/>
          <w:u w:val="single"/>
        </w:rPr>
        <w:t>Ideal Efficient State</w:t>
      </w:r>
      <w:r>
        <w:rPr>
          <w:b/>
          <w:bCs/>
          <w:i/>
          <w:iCs/>
          <w:u w:val="single"/>
        </w:rPr>
        <w:t>)</w:t>
      </w:r>
      <w:r w:rsidRPr="009A51C9">
        <w:rPr>
          <w:b/>
          <w:bCs/>
          <w:i/>
          <w:iCs/>
          <w:u w:val="single"/>
        </w:rPr>
        <w:t>:</w:t>
      </w:r>
      <w:r>
        <w:t xml:space="preserve"> SDG&amp;E states that the Joint Parties’ proposal </w:t>
      </w:r>
      <w:r w:rsidRPr="007A1FC7">
        <w:t>disregards the budget implications and fails to provide information on the estimated costs</w:t>
      </w:r>
      <w:r>
        <w:t>.</w:t>
      </w:r>
      <w:r w:rsidRPr="00DE27EB">
        <w:rPr>
          <w:rStyle w:val="FootnoteReference"/>
        </w:rPr>
        <w:t xml:space="preserve"> </w:t>
      </w:r>
      <w:r w:rsidRPr="00F441C5">
        <w:rPr>
          <w:rStyle w:val="FootnoteReference"/>
        </w:rPr>
        <w:footnoteReference w:id="449"/>
      </w:r>
    </w:p>
    <w:p w:rsidRPr="007A1FC7" w:rsidR="000C1980" w:rsidP="002965A3" w:rsidRDefault="000C1980" w14:paraId="016091C6" w14:textId="77777777">
      <w:pPr>
        <w:pStyle w:val="Standard"/>
      </w:pPr>
      <w:r w:rsidRPr="009C1870">
        <w:rPr>
          <w:b/>
          <w:bCs/>
          <w:i/>
          <w:iCs/>
          <w:u w:val="single"/>
        </w:rPr>
        <w:t>Cap</w:t>
      </w:r>
      <w:r>
        <w:rPr>
          <w:b/>
          <w:bCs/>
          <w:i/>
          <w:iCs/>
          <w:u w:val="single"/>
        </w:rPr>
        <w:t>s</w:t>
      </w:r>
      <w:r w:rsidRPr="009C1870">
        <w:rPr>
          <w:b/>
          <w:bCs/>
          <w:i/>
          <w:iCs/>
          <w:u w:val="single"/>
        </w:rPr>
        <w:t xml:space="preserve"> on Non-Resource Measures:</w:t>
      </w:r>
      <w:r>
        <w:t xml:space="preserve"> SDG&amp;E states that TURN’s proposal to set caps on the budget</w:t>
      </w:r>
      <w:r w:rsidRPr="00FD56F3">
        <w:t xml:space="preserve"> </w:t>
      </w:r>
      <w:r>
        <w:t xml:space="preserve">or </w:t>
      </w:r>
      <w:r w:rsidRPr="007A1FC7">
        <w:t>cap</w:t>
      </w:r>
      <w:r>
        <w:t>s</w:t>
      </w:r>
      <w:r w:rsidRPr="007A1FC7">
        <w:t xml:space="preserve"> on spending per home</w:t>
      </w:r>
      <w:r w:rsidRPr="00F441C5">
        <w:t xml:space="preserve"> may deny</w:t>
      </w:r>
      <w:r w:rsidRPr="007A1FC7">
        <w:t xml:space="preserve"> </w:t>
      </w:r>
      <w:r w:rsidRPr="00F441C5">
        <w:t xml:space="preserve">some </w:t>
      </w:r>
      <w:r w:rsidRPr="00FD56F3">
        <w:t>customers</w:t>
      </w:r>
      <w:r w:rsidRPr="00F441C5">
        <w:t xml:space="preserve"> of HCS measures.</w:t>
      </w:r>
      <w:r w:rsidRPr="00F441C5">
        <w:rPr>
          <w:rStyle w:val="FootnoteReference"/>
        </w:rPr>
        <w:footnoteReference w:id="450"/>
      </w:r>
    </w:p>
    <w:p w:rsidR="000C1980" w:rsidP="002965A3" w:rsidRDefault="000C1980" w14:paraId="70C4FB18" w14:textId="77777777">
      <w:pPr>
        <w:pStyle w:val="Standard"/>
      </w:pPr>
      <w:r>
        <w:rPr>
          <w:b/>
          <w:bCs/>
          <w:i/>
          <w:iCs/>
          <w:u w:val="single"/>
        </w:rPr>
        <w:t xml:space="preserve">Requiring </w:t>
      </w:r>
      <w:r w:rsidRPr="0049093A">
        <w:rPr>
          <w:b/>
          <w:bCs/>
          <w:i/>
          <w:iCs/>
          <w:u w:val="single"/>
        </w:rPr>
        <w:t>Healthy Building Materials:</w:t>
      </w:r>
      <w:r>
        <w:t xml:space="preserve"> </w:t>
      </w:r>
      <w:proofErr w:type="gramStart"/>
      <w:r>
        <w:t>Similar to</w:t>
      </w:r>
      <w:proofErr w:type="gramEnd"/>
      <w:r>
        <w:t xml:space="preserve"> SoCalGas’ response, </w:t>
      </w:r>
      <w:r w:rsidRPr="00F441C5">
        <w:t>SD</w:t>
      </w:r>
      <w:r>
        <w:t>G</w:t>
      </w:r>
      <w:r w:rsidRPr="00F441C5">
        <w:t xml:space="preserve">&amp;E </w:t>
      </w:r>
      <w:r w:rsidRPr="00EC273C">
        <w:t>recommends the mid-cycle working group be delegated to address the recommendations made by Joint Parties relative to healthy building materials</w:t>
      </w:r>
      <w:r w:rsidRPr="00DD4F82">
        <w:t>.</w:t>
      </w:r>
      <w:r>
        <w:rPr>
          <w:rStyle w:val="FootnoteReference"/>
          <w:rFonts w:eastAsiaTheme="minorEastAsia"/>
        </w:rPr>
        <w:footnoteReference w:id="451"/>
      </w:r>
    </w:p>
    <w:p w:rsidR="000C1980" w:rsidP="002965A3" w:rsidRDefault="000C1980" w14:paraId="4FE1C154" w14:textId="77777777">
      <w:pPr>
        <w:pStyle w:val="Standard"/>
      </w:pPr>
      <w:r>
        <w:rPr>
          <w:b/>
          <w:bCs/>
          <w:i/>
          <w:iCs/>
          <w:u w:val="single"/>
        </w:rPr>
        <w:t>New</w:t>
      </w:r>
      <w:r w:rsidRPr="00332E4C">
        <w:rPr>
          <w:b/>
          <w:bCs/>
          <w:i/>
          <w:iCs/>
          <w:u w:val="single"/>
        </w:rPr>
        <w:t xml:space="preserve"> Measures </w:t>
      </w:r>
      <w:r>
        <w:rPr>
          <w:b/>
          <w:bCs/>
          <w:i/>
          <w:iCs/>
          <w:u w:val="single"/>
        </w:rPr>
        <w:t>(</w:t>
      </w:r>
      <w:r w:rsidRPr="00332E4C">
        <w:rPr>
          <w:b/>
          <w:bCs/>
          <w:i/>
          <w:iCs/>
          <w:u w:val="single"/>
        </w:rPr>
        <w:t>Mobile Homes</w:t>
      </w:r>
      <w:r>
        <w:rPr>
          <w:b/>
          <w:bCs/>
          <w:i/>
          <w:iCs/>
          <w:u w:val="single"/>
        </w:rPr>
        <w:t>)</w:t>
      </w:r>
      <w:r w:rsidRPr="00332E4C">
        <w:rPr>
          <w:b/>
          <w:bCs/>
          <w:i/>
          <w:iCs/>
          <w:u w:val="single"/>
        </w:rPr>
        <w:t>:</w:t>
      </w:r>
      <w:r>
        <w:t xml:space="preserve"> </w:t>
      </w:r>
      <w:r w:rsidRPr="00F441C5">
        <w:rPr>
          <w:rFonts w:eastAsiaTheme="minorEastAsia"/>
        </w:rPr>
        <w:t>SD</w:t>
      </w:r>
      <w:r>
        <w:rPr>
          <w:rFonts w:eastAsiaTheme="minorEastAsia"/>
        </w:rPr>
        <w:t>G</w:t>
      </w:r>
      <w:r w:rsidRPr="00F441C5">
        <w:rPr>
          <w:rFonts w:eastAsiaTheme="minorEastAsia"/>
        </w:rPr>
        <w:t xml:space="preserve">&amp;E </w:t>
      </w:r>
      <w:r>
        <w:t xml:space="preserve">states that it has already </w:t>
      </w:r>
      <w:r w:rsidRPr="00E765BE">
        <w:t>reviewed a large array of measures to identify opportunities for installation in the various customer segment</w:t>
      </w:r>
      <w:r>
        <w:t>s</w:t>
      </w:r>
      <w:r w:rsidRPr="00E765BE">
        <w:t xml:space="preserve">, </w:t>
      </w:r>
      <w:r>
        <w:t xml:space="preserve">including </w:t>
      </w:r>
      <w:r w:rsidRPr="00E765BE">
        <w:t>mobile home</w:t>
      </w:r>
      <w:r>
        <w:t xml:space="preserve">s, and notes that the measures proposed by TURN are either </w:t>
      </w:r>
      <w:r w:rsidRPr="00E765BE">
        <w:t xml:space="preserve">already included </w:t>
      </w:r>
      <w:r>
        <w:t xml:space="preserve">or were excluded due to them being not cost effective or </w:t>
      </w:r>
      <w:r w:rsidRPr="00E765BE">
        <w:t>provid</w:t>
      </w:r>
      <w:r>
        <w:t xml:space="preserve">ing little to no </w:t>
      </w:r>
      <w:r w:rsidRPr="00E765BE">
        <w:t>savings in SDG&amp;E’s service territory.</w:t>
      </w:r>
      <w:r>
        <w:rPr>
          <w:rStyle w:val="FootnoteReference"/>
        </w:rPr>
        <w:footnoteReference w:id="452"/>
      </w:r>
      <w:r w:rsidRPr="00536254">
        <w:t xml:space="preserve"> </w:t>
      </w:r>
    </w:p>
    <w:p w:rsidR="000C1980" w:rsidP="002965A3" w:rsidRDefault="000C1980" w14:paraId="22C29167" w14:textId="77777777">
      <w:pPr>
        <w:pStyle w:val="Standard"/>
      </w:pPr>
      <w:r>
        <w:rPr>
          <w:b/>
          <w:bCs/>
          <w:i/>
          <w:iCs/>
          <w:u w:val="single"/>
        </w:rPr>
        <w:t xml:space="preserve">New Measures (Whole House Solar Battery + On Bill Financing): </w:t>
      </w:r>
      <w:r>
        <w:t xml:space="preserve">SDG&amp;E states that PCF’s proposal for </w:t>
      </w:r>
      <w:r w:rsidRPr="00897FA3">
        <w:t>“a robust on-bill</w:t>
      </w:r>
      <w:r>
        <w:t xml:space="preserve"> </w:t>
      </w:r>
      <w:r w:rsidRPr="00897FA3">
        <w:t>financing program” neglects the fundamental premise that ESA delivers no-cost (</w:t>
      </w:r>
      <w:r w:rsidRPr="00EE7E9E">
        <w:rPr>
          <w:i/>
          <w:iCs/>
        </w:rPr>
        <w:t>i.e.</w:t>
      </w:r>
      <w:r w:rsidRPr="00897FA3">
        <w:t xml:space="preserve">, “free”) measures to low </w:t>
      </w:r>
      <w:r w:rsidRPr="00897FA3">
        <w:lastRenderedPageBreak/>
        <w:t>income customers</w:t>
      </w:r>
      <w:r>
        <w:t xml:space="preserve">, and points out that </w:t>
      </w:r>
      <w:r w:rsidRPr="00897FA3">
        <w:t>there is a separate</w:t>
      </w:r>
      <w:r>
        <w:t xml:space="preserve"> </w:t>
      </w:r>
      <w:r w:rsidRPr="00897FA3">
        <w:t>proceeding for</w:t>
      </w:r>
      <w:r w:rsidRPr="00490AE4">
        <w:t xml:space="preserve"> </w:t>
      </w:r>
      <w:r>
        <w:t>which PC</w:t>
      </w:r>
      <w:r w:rsidRPr="00897FA3">
        <w:t xml:space="preserve">F’s on-bill financing requests </w:t>
      </w:r>
      <w:r>
        <w:t xml:space="preserve">should be </w:t>
      </w:r>
      <w:r w:rsidRPr="00897FA3">
        <w:t xml:space="preserve">deliberated </w:t>
      </w:r>
      <w:r>
        <w:t>(O</w:t>
      </w:r>
      <w:r w:rsidRPr="00897FA3">
        <w:t>rder Instituting Rulemaking to</w:t>
      </w:r>
      <w:r>
        <w:t xml:space="preserve"> Investi</w:t>
      </w:r>
      <w:r w:rsidRPr="00897FA3">
        <w:t>gate and Design Clean Energy Financing Options</w:t>
      </w:r>
      <w:r>
        <w:t xml:space="preserve">, </w:t>
      </w:r>
      <w:r w:rsidRPr="00897FA3">
        <w:t>R.20</w:t>
      </w:r>
      <w:r>
        <w:noBreakHyphen/>
      </w:r>
      <w:r w:rsidRPr="00897FA3">
        <w:t>08</w:t>
      </w:r>
      <w:r>
        <w:noBreakHyphen/>
      </w:r>
      <w:r w:rsidRPr="00897FA3">
        <w:t>022</w:t>
      </w:r>
      <w:r>
        <w:t>).</w:t>
      </w:r>
      <w:r>
        <w:rPr>
          <w:rStyle w:val="FootnoteReference"/>
        </w:rPr>
        <w:footnoteReference w:id="453"/>
      </w:r>
    </w:p>
    <w:p w:rsidR="000C1980" w:rsidP="002965A3" w:rsidRDefault="000C1980" w14:paraId="1D50E6C0" w14:textId="77777777">
      <w:pPr>
        <w:pStyle w:val="Standard"/>
      </w:pPr>
      <w:r>
        <w:rPr>
          <w:b/>
          <w:bCs/>
          <w:i/>
          <w:iCs/>
          <w:u w:val="single"/>
        </w:rPr>
        <w:t xml:space="preserve">Establishment of an </w:t>
      </w:r>
      <w:r>
        <w:rPr>
          <w:rFonts w:eastAsiaTheme="minorEastAsia"/>
          <w:b/>
          <w:bCs/>
          <w:i/>
          <w:iCs/>
          <w:u w:val="single"/>
        </w:rPr>
        <w:t>Online Marketplace for Measures:</w:t>
      </w:r>
      <w:r w:rsidRPr="00386D66">
        <w:t xml:space="preserve"> </w:t>
      </w:r>
      <w:r>
        <w:t xml:space="preserve">SDG&amp;E opposes </w:t>
      </w:r>
      <w:proofErr w:type="spellStart"/>
      <w:r w:rsidRPr="00386D66">
        <w:t>Enervee’s</w:t>
      </w:r>
      <w:proofErr w:type="spellEnd"/>
      <w:r w:rsidRPr="00386D66">
        <w:t xml:space="preserve"> suggestion to incorporate utility-branded online marketplaces into the ESA </w:t>
      </w:r>
      <w:r>
        <w:t>p</w:t>
      </w:r>
      <w:r w:rsidRPr="00386D66">
        <w:t xml:space="preserve">rogram </w:t>
      </w:r>
      <w:r>
        <w:t xml:space="preserve">as it </w:t>
      </w:r>
      <w:r w:rsidRPr="00386D66">
        <w:t>is premature and inappropriate</w:t>
      </w:r>
      <w:r>
        <w:t xml:space="preserve">.  </w:t>
      </w:r>
      <w:r w:rsidRPr="00386D66">
        <w:t>SDG&amp;E</w:t>
      </w:r>
      <w:r>
        <w:t xml:space="preserve"> states that it</w:t>
      </w:r>
      <w:r w:rsidRPr="00386D66">
        <w:t>s marketplace is</w:t>
      </w:r>
      <w:r>
        <w:t xml:space="preserve"> already</w:t>
      </w:r>
      <w:r w:rsidRPr="00386D66">
        <w:t xml:space="preserve"> available on the SDG&amp;E website and is available to all customers,</w:t>
      </w:r>
      <w:r>
        <w:t xml:space="preserve"> </w:t>
      </w:r>
      <w:r w:rsidRPr="00386D66">
        <w:t xml:space="preserve">including </w:t>
      </w:r>
      <w:proofErr w:type="gramStart"/>
      <w:r w:rsidRPr="00386D66">
        <w:t>low</w:t>
      </w:r>
      <w:r>
        <w:t xml:space="preserve"> </w:t>
      </w:r>
      <w:r w:rsidRPr="00386D66">
        <w:t>income</w:t>
      </w:r>
      <w:proofErr w:type="gramEnd"/>
      <w:r w:rsidRPr="00386D66">
        <w:t xml:space="preserve"> customers</w:t>
      </w:r>
      <w:r>
        <w:t xml:space="preserve">.  </w:t>
      </w:r>
      <w:r w:rsidRPr="00386D66">
        <w:t xml:space="preserve">SDG&amp;E is </w:t>
      </w:r>
      <w:r>
        <w:t xml:space="preserve">also </w:t>
      </w:r>
      <w:r w:rsidRPr="00386D66">
        <w:t>committed to conducting open, fair, and</w:t>
      </w:r>
      <w:r>
        <w:t xml:space="preserve"> </w:t>
      </w:r>
      <w:r w:rsidRPr="00386D66">
        <w:t>transparent third-party solicitations</w:t>
      </w:r>
      <w:r>
        <w:t xml:space="preserve">, so </w:t>
      </w:r>
      <w:proofErr w:type="spellStart"/>
      <w:r w:rsidRPr="00386D66">
        <w:t>Enervee</w:t>
      </w:r>
      <w:proofErr w:type="spellEnd"/>
      <w:r w:rsidRPr="00386D66">
        <w:t xml:space="preserve"> </w:t>
      </w:r>
      <w:r>
        <w:t xml:space="preserve">should </w:t>
      </w:r>
      <w:r w:rsidRPr="00386D66">
        <w:t>participate as a third-party</w:t>
      </w:r>
      <w:r>
        <w:t xml:space="preserve"> </w:t>
      </w:r>
      <w:r w:rsidRPr="00386D66">
        <w:t>implementer or bidder in th</w:t>
      </w:r>
      <w:r>
        <w:t>at</w:t>
      </w:r>
      <w:r w:rsidRPr="00386D66">
        <w:t xml:space="preserve"> solicitation process</w:t>
      </w:r>
      <w:r>
        <w:t xml:space="preserve">.  SDG&amp;E states that </w:t>
      </w:r>
      <w:proofErr w:type="spellStart"/>
      <w:r>
        <w:t>Enervee’s</w:t>
      </w:r>
      <w:proofErr w:type="spellEnd"/>
      <w:r>
        <w:t xml:space="preserve"> </w:t>
      </w:r>
      <w:r w:rsidRPr="00386D66">
        <w:t>attempts to include their proprietary</w:t>
      </w:r>
      <w:r>
        <w:t xml:space="preserve"> </w:t>
      </w:r>
      <w:r w:rsidRPr="00386D66">
        <w:t>technology at this point in the proceeding is premature and inappropriate.</w:t>
      </w:r>
      <w:r>
        <w:rPr>
          <w:rStyle w:val="FootnoteReference"/>
        </w:rPr>
        <w:footnoteReference w:id="454"/>
      </w:r>
    </w:p>
    <w:p w:rsidR="000C1980" w:rsidP="001968DC" w:rsidRDefault="000C1980" w14:paraId="43B10E6B" w14:textId="77777777">
      <w:pPr>
        <w:pStyle w:val="Heading3"/>
        <w:ind w:left="2664"/>
      </w:pPr>
      <w:bookmarkStart w:name="_Toc69947979" w:id="317"/>
      <w:r>
        <w:t>Discussion</w:t>
      </w:r>
      <w:bookmarkEnd w:id="317"/>
    </w:p>
    <w:p w:rsidRPr="00481EA3" w:rsidR="000C1980" w:rsidP="001968DC" w:rsidRDefault="000C1980" w14:paraId="7A830153" w14:textId="77777777">
      <w:pPr>
        <w:pStyle w:val="Heading4"/>
        <w:ind w:left="3600"/>
      </w:pPr>
      <w:bookmarkStart w:name="_Toc69947980" w:id="318"/>
      <w:r w:rsidRPr="00481EA3">
        <w:t xml:space="preserve">IOUs’ Measure Mix: </w:t>
      </w:r>
      <w:r w:rsidRPr="00481EA3">
        <w:rPr>
          <w:u w:val="single"/>
        </w:rPr>
        <w:t>Approved</w:t>
      </w:r>
      <w:bookmarkEnd w:id="318"/>
    </w:p>
    <w:p w:rsidRPr="00097C2E" w:rsidR="000C1980" w:rsidP="002965A3" w:rsidRDefault="000C1980" w14:paraId="0ED6C0EB" w14:textId="49F6AB20">
      <w:pPr>
        <w:pStyle w:val="Standard"/>
      </w:pPr>
      <w:r>
        <w:t xml:space="preserve">We approve the IOUs’ </w:t>
      </w:r>
      <w:r w:rsidR="00806CCF">
        <w:t>ESA program</w:t>
      </w:r>
      <w:r>
        <w:t xml:space="preserve"> measure mixes, including their proposed new, modified, and retired measures.  The Commission’s approval is predicated on a higher-level regulatory touch such that the IOUs can meet their portfolio energy savings goals, and other directives, including increased program coordination.  The IOUs will be able to meet these goals without seeking regulatory approval or being subject to regulatory delay for each necessary measure program change.  As a result, we approve the use of monthly reports </w:t>
      </w:r>
      <w:r w:rsidRPr="00097C2E">
        <w:t>(for notification purposes) as the most efficient method to allow the IOUs flexibility to make measure and program changes to achieve the goals</w:t>
      </w:r>
      <w:r>
        <w:t xml:space="preserve">.  </w:t>
      </w:r>
      <w:r w:rsidRPr="00097C2E">
        <w:t xml:space="preserve">Given </w:t>
      </w:r>
      <w:r w:rsidRPr="00097C2E">
        <w:lastRenderedPageBreak/>
        <w:t xml:space="preserve">that we are </w:t>
      </w:r>
      <w:r>
        <w:t>allowing for</w:t>
      </w:r>
      <w:r w:rsidRPr="00097C2E">
        <w:t xml:space="preserve"> the IOUs to make measure changes through the monthly reports going forward, it would be superfluous for the Commission to make specific measure-by-measure determinations here.</w:t>
      </w:r>
    </w:p>
    <w:p w:rsidRPr="00097C2E" w:rsidR="000C1980" w:rsidP="002965A3" w:rsidRDefault="000C1980" w14:paraId="5FB3C346" w14:textId="6B3D03F8">
      <w:pPr>
        <w:pStyle w:val="Standard"/>
      </w:pPr>
      <w:r w:rsidRPr="00097C2E">
        <w:t>The delegation of measure updates and approvals from the Commission to the IOUs does not automatically guarantee or imply that any measure, energy efficiency or otherwise, should or will be added to the ESA program</w:t>
      </w:r>
      <w:r>
        <w:t xml:space="preserve">.  </w:t>
      </w:r>
      <w:r w:rsidRPr="00097C2E">
        <w:t>The Commission's delegation of</w:t>
      </w:r>
      <w:r w:rsidR="00271B30">
        <w:t xml:space="preserve"> this</w:t>
      </w:r>
      <w:r w:rsidRPr="00097C2E">
        <w:t xml:space="preserve"> responsibility will allow the IOUs, as the program administrators, to decide what is best for their customers, in collaboration with the ESA Working Group stakeholders, to propose and discuss measures that are appropriate for the customer to reduce energy use or hardship, are appropriate to be funded by ESA ratepayers or can be cost-shared with other programs, and generally fit within the cost-effective guidelines.</w:t>
      </w:r>
    </w:p>
    <w:p w:rsidRPr="00097C2E" w:rsidR="000C1980" w:rsidP="002965A3" w:rsidRDefault="000C1980" w14:paraId="0E572E59" w14:textId="77777777">
      <w:pPr>
        <w:pStyle w:val="Standard"/>
      </w:pPr>
      <w:r w:rsidRPr="00097C2E">
        <w:t xml:space="preserve">The measure approval process is also tied to the IOUs’ customer-centered prioritization model, which seeks to maximize the individual household’s energy savings, and </w:t>
      </w:r>
      <w:r>
        <w:t>HCS</w:t>
      </w:r>
      <w:r w:rsidRPr="00097C2E">
        <w:t xml:space="preserve"> benefits based on the household’s unique profile</w:t>
      </w:r>
      <w:r>
        <w:t xml:space="preserve">.  </w:t>
      </w:r>
      <w:r w:rsidRPr="00097C2E">
        <w:t xml:space="preserve">The IOUs will be able to add new measures and adapt to the evolving customer profile through a collaborative and flexible process. </w:t>
      </w:r>
    </w:p>
    <w:p w:rsidRPr="0081577C" w:rsidR="000C1980" w:rsidP="002965A3" w:rsidRDefault="000C1980" w14:paraId="4199BE9C" w14:textId="77777777">
      <w:pPr>
        <w:pStyle w:val="Standard"/>
        <w:rPr>
          <w:b/>
          <w:bCs/>
          <w:i/>
          <w:iCs/>
          <w:u w:val="single"/>
        </w:rPr>
      </w:pPr>
      <w:r>
        <w:t xml:space="preserve">As a result, we recommend that parties and stakeholders propose measure changes, and direct the IOUs to use the ESA Working Group as the venue to discuss these measure changes, as well as changes to measure co-pays and measure replacement criteria, before submitting them for notification through the monthly reports.      </w:t>
      </w:r>
    </w:p>
    <w:p w:rsidRPr="006209F7" w:rsidR="000C1980" w:rsidP="001968DC" w:rsidRDefault="000C1980" w14:paraId="42323BF1" w14:textId="77777777">
      <w:pPr>
        <w:pStyle w:val="Heading4"/>
        <w:ind w:left="3600"/>
      </w:pPr>
      <w:bookmarkStart w:name="_Toc69947981" w:id="319"/>
      <w:r w:rsidRPr="006209F7">
        <w:t xml:space="preserve">New Measures (Ideal Efficient State): </w:t>
      </w:r>
      <w:r w:rsidRPr="006209F7">
        <w:rPr>
          <w:u w:val="single"/>
        </w:rPr>
        <w:t>Denied</w:t>
      </w:r>
      <w:bookmarkEnd w:id="319"/>
      <w:r w:rsidRPr="006209F7">
        <w:t xml:space="preserve"> </w:t>
      </w:r>
    </w:p>
    <w:p w:rsidRPr="0081577C" w:rsidR="000C1980" w:rsidP="002965A3" w:rsidRDefault="000C1980" w14:paraId="1C325B27" w14:textId="77777777">
      <w:pPr>
        <w:pStyle w:val="Standard"/>
        <w:rPr>
          <w:b/>
          <w:bCs/>
          <w:i/>
          <w:iCs/>
          <w:u w:val="single"/>
        </w:rPr>
      </w:pPr>
      <w:r>
        <w:t>We</w:t>
      </w:r>
      <w:r w:rsidRPr="00CD3A50">
        <w:t xml:space="preserve"> </w:t>
      </w:r>
      <w:r>
        <w:t>deny the Joint Parties’ recommendation</w:t>
      </w:r>
      <w:r w:rsidRPr="00BA23A9">
        <w:t xml:space="preserve"> </w:t>
      </w:r>
      <w:r>
        <w:t xml:space="preserve">for new measures under the “ideal efficient state” design in conjunction with the recommendation to deny the “ideal efficient state” program delivery model in Section 6.4.  Instead, we </w:t>
      </w:r>
      <w:r>
        <w:lastRenderedPageBreak/>
        <w:t xml:space="preserve">approve the IOUs’ proposed measures in conjunction with their approved program goals, budgets, and delivery plans, and approve a process for parties and stakeholders to suggest new measures and remove measures through the ESA Working Group. </w:t>
      </w:r>
    </w:p>
    <w:p w:rsidRPr="00156832" w:rsidR="000C1980" w:rsidP="001968DC" w:rsidRDefault="000C1980" w14:paraId="52DFAF66" w14:textId="77777777">
      <w:pPr>
        <w:pStyle w:val="Heading4"/>
        <w:ind w:left="3600"/>
      </w:pPr>
      <w:bookmarkStart w:name="_Toc69947982" w:id="320"/>
      <w:r w:rsidRPr="00156832">
        <w:t xml:space="preserve">New Measures (Mobile Homes): </w:t>
      </w:r>
      <w:r w:rsidRPr="00156832">
        <w:rPr>
          <w:u w:val="single"/>
        </w:rPr>
        <w:t>Denied</w:t>
      </w:r>
      <w:bookmarkEnd w:id="320"/>
    </w:p>
    <w:p w:rsidR="000C1980" w:rsidP="002965A3" w:rsidRDefault="000C1980" w14:paraId="6A58B9CA" w14:textId="11C88C48">
      <w:pPr>
        <w:pStyle w:val="Standard"/>
      </w:pPr>
      <w:r>
        <w:t>We</w:t>
      </w:r>
      <w:r w:rsidRPr="00CD3A50">
        <w:t xml:space="preserve"> </w:t>
      </w:r>
      <w:r>
        <w:t>deny</w:t>
      </w:r>
      <w:r w:rsidRPr="00CD3A50">
        <w:t xml:space="preserve"> </w:t>
      </w:r>
      <w:r>
        <w:t xml:space="preserve">TURN’s recommendation to require the IOUs to </w:t>
      </w:r>
      <w:r w:rsidRPr="001308ED">
        <w:t>revise their</w:t>
      </w:r>
      <w:r>
        <w:t xml:space="preserve"> delivery models to prioritize </w:t>
      </w:r>
      <w:r>
        <w:rPr>
          <w:rFonts w:eastAsiaTheme="minorEastAsia"/>
        </w:rPr>
        <w:t xml:space="preserve">mobile </w:t>
      </w:r>
      <w:r>
        <w:t>homes and offer additional measures.  W</w:t>
      </w:r>
      <w:r w:rsidR="00153B2D">
        <w:t>e</w:t>
      </w:r>
      <w:r>
        <w:t xml:space="preserve"> agree that SoCalGas and SDG&amp;E have already taken steps towards more closely coordinating with the mobile home segment and its needs, </w:t>
      </w:r>
      <w:r>
        <w:rPr>
          <w:rFonts w:eastAsiaTheme="minorEastAsia"/>
        </w:rPr>
        <w:t xml:space="preserve">(SoCalGas through its </w:t>
      </w:r>
      <w:r w:rsidRPr="009F069B">
        <w:rPr>
          <w:rFonts w:eastAsiaTheme="minorEastAsia"/>
        </w:rPr>
        <w:t>10-Year Mobile Home Park Safety</w:t>
      </w:r>
      <w:r>
        <w:rPr>
          <w:rFonts w:eastAsiaTheme="minorEastAsia"/>
        </w:rPr>
        <w:t xml:space="preserve"> </w:t>
      </w:r>
      <w:r w:rsidRPr="009F069B">
        <w:rPr>
          <w:rFonts w:eastAsiaTheme="minorEastAsia"/>
        </w:rPr>
        <w:t>Upgrade Program</w:t>
      </w:r>
      <w:r>
        <w:rPr>
          <w:rFonts w:eastAsiaTheme="minorEastAsia"/>
        </w:rPr>
        <w:t xml:space="preserve"> and SDG&amp;E through its continual </w:t>
      </w:r>
      <w:r w:rsidRPr="00AC35BA">
        <w:rPr>
          <w:rFonts w:eastAsiaTheme="minorEastAsia"/>
        </w:rPr>
        <w:t>review</w:t>
      </w:r>
      <w:r>
        <w:rPr>
          <w:rFonts w:eastAsiaTheme="minorEastAsia"/>
        </w:rPr>
        <w:t xml:space="preserve"> of </w:t>
      </w:r>
      <w:r w:rsidRPr="00AC35BA">
        <w:rPr>
          <w:rFonts w:eastAsiaTheme="minorEastAsia"/>
        </w:rPr>
        <w:t xml:space="preserve">measures </w:t>
      </w:r>
      <w:r>
        <w:rPr>
          <w:rFonts w:eastAsiaTheme="minorEastAsia"/>
        </w:rPr>
        <w:t>for</w:t>
      </w:r>
      <w:r w:rsidRPr="00AC35BA">
        <w:rPr>
          <w:rFonts w:eastAsiaTheme="minorEastAsia"/>
        </w:rPr>
        <w:t xml:space="preserve"> </w:t>
      </w:r>
      <w:r>
        <w:rPr>
          <w:rFonts w:eastAsiaTheme="minorEastAsia"/>
        </w:rPr>
        <w:t xml:space="preserve">mobile homes), and we find this to be sufficient.  We also understand that the measures proposed by TURN have already been assessed and are either already included in the measure mix or were not included due to lack </w:t>
      </w:r>
      <w:r w:rsidR="009D76EE">
        <w:rPr>
          <w:rFonts w:eastAsiaTheme="minorEastAsia"/>
        </w:rPr>
        <w:t xml:space="preserve">of </w:t>
      </w:r>
      <w:r>
        <w:rPr>
          <w:rFonts w:eastAsiaTheme="minorEastAsia"/>
        </w:rPr>
        <w:t>cost</w:t>
      </w:r>
      <w:r w:rsidRPr="009F069B">
        <w:rPr>
          <w:rFonts w:eastAsiaTheme="minorEastAsia"/>
        </w:rPr>
        <w:t xml:space="preserve"> effectiveness </w:t>
      </w:r>
      <w:r>
        <w:rPr>
          <w:rFonts w:eastAsiaTheme="minorEastAsia"/>
        </w:rPr>
        <w:t xml:space="preserve">or installation </w:t>
      </w:r>
      <w:r w:rsidRPr="009F069B">
        <w:rPr>
          <w:rFonts w:eastAsiaTheme="minorEastAsia"/>
        </w:rPr>
        <w:t>barriers</w:t>
      </w:r>
      <w:r>
        <w:rPr>
          <w:rFonts w:eastAsiaTheme="minorEastAsia"/>
        </w:rPr>
        <w:t xml:space="preserve">.  Therefore, we see no need to reassess these measures.  Lastly, given that the </w:t>
      </w:r>
      <w:r w:rsidRPr="00350E42">
        <w:rPr>
          <w:rFonts w:eastAsiaTheme="minorEastAsia"/>
        </w:rPr>
        <w:t>mobile homes segment use</w:t>
      </w:r>
      <w:r>
        <w:rPr>
          <w:rFonts w:eastAsiaTheme="minorEastAsia"/>
        </w:rPr>
        <w:t xml:space="preserve">s </w:t>
      </w:r>
      <w:r w:rsidRPr="00350E42">
        <w:rPr>
          <w:rFonts w:eastAsiaTheme="minorEastAsia"/>
        </w:rPr>
        <w:t xml:space="preserve">significantly less energy than </w:t>
      </w:r>
      <w:r>
        <w:rPr>
          <w:rFonts w:eastAsiaTheme="minorEastAsia"/>
        </w:rPr>
        <w:t xml:space="preserve">single family and multifamily </w:t>
      </w:r>
      <w:r w:rsidRPr="00350E42">
        <w:rPr>
          <w:rFonts w:eastAsiaTheme="minorEastAsia"/>
        </w:rPr>
        <w:t xml:space="preserve">homes, </w:t>
      </w:r>
      <w:r>
        <w:rPr>
          <w:rFonts w:eastAsiaTheme="minorEastAsia"/>
        </w:rPr>
        <w:t>and therefore</w:t>
      </w:r>
      <w:r w:rsidRPr="00350E42">
        <w:rPr>
          <w:rFonts w:eastAsiaTheme="minorEastAsia"/>
        </w:rPr>
        <w:t xml:space="preserve"> </w:t>
      </w:r>
      <w:r w:rsidR="00D87114">
        <w:rPr>
          <w:rFonts w:eastAsiaTheme="minorEastAsia"/>
        </w:rPr>
        <w:t>has</w:t>
      </w:r>
      <w:r>
        <w:rPr>
          <w:rFonts w:eastAsiaTheme="minorEastAsia"/>
        </w:rPr>
        <w:t xml:space="preserve"> </w:t>
      </w:r>
      <w:r w:rsidRPr="00350E42">
        <w:rPr>
          <w:rFonts w:eastAsiaTheme="minorEastAsia"/>
        </w:rPr>
        <w:t>less potential for deeper energy savings</w:t>
      </w:r>
      <w:r>
        <w:rPr>
          <w:rFonts w:eastAsiaTheme="minorEastAsia"/>
        </w:rPr>
        <w:t xml:space="preserve">, we do not believe that </w:t>
      </w:r>
      <w:r w:rsidRPr="00C82B5E">
        <w:rPr>
          <w:rFonts w:eastAsiaTheme="minorEastAsia"/>
          <w:i/>
          <w:iCs/>
        </w:rPr>
        <w:t>disproportionately</w:t>
      </w:r>
      <w:r w:rsidRPr="00350E42">
        <w:rPr>
          <w:rFonts w:eastAsiaTheme="minorEastAsia"/>
        </w:rPr>
        <w:t xml:space="preserve"> prioritiz</w:t>
      </w:r>
      <w:r>
        <w:rPr>
          <w:rFonts w:eastAsiaTheme="minorEastAsia"/>
        </w:rPr>
        <w:t xml:space="preserve">ing this segment is reasonable.  </w:t>
      </w:r>
      <w:r>
        <w:t xml:space="preserve">So, although we determine that </w:t>
      </w:r>
      <w:r>
        <w:rPr>
          <w:rFonts w:eastAsiaTheme="minorEastAsia"/>
        </w:rPr>
        <w:t xml:space="preserve">the mobile homes segment shall not be </w:t>
      </w:r>
      <w:r w:rsidRPr="00C82B5E">
        <w:rPr>
          <w:rFonts w:eastAsiaTheme="minorEastAsia"/>
          <w:i/>
          <w:iCs/>
        </w:rPr>
        <w:t>disproportionately</w:t>
      </w:r>
      <w:r w:rsidRPr="00350E42">
        <w:rPr>
          <w:rFonts w:eastAsiaTheme="minorEastAsia"/>
        </w:rPr>
        <w:t xml:space="preserve"> prioritiz</w:t>
      </w:r>
      <w:r>
        <w:rPr>
          <w:rFonts w:eastAsiaTheme="minorEastAsia"/>
        </w:rPr>
        <w:t xml:space="preserve">ed, this does not mean that </w:t>
      </w:r>
      <w:r w:rsidR="00F508C9">
        <w:rPr>
          <w:rFonts w:eastAsiaTheme="minorEastAsia"/>
        </w:rPr>
        <w:t xml:space="preserve">the IOUs </w:t>
      </w:r>
      <w:r>
        <w:rPr>
          <w:rFonts w:eastAsiaTheme="minorEastAsia"/>
        </w:rPr>
        <w:t xml:space="preserve">should be neglecting this customer segment.  </w:t>
      </w:r>
      <w:r w:rsidRPr="62E936B5">
        <w:rPr>
          <w:rFonts w:eastAsiaTheme="minorEastAsia"/>
        </w:rPr>
        <w:t xml:space="preserve">The IOUs shall </w:t>
      </w:r>
      <w:r>
        <w:rPr>
          <w:rFonts w:eastAsiaTheme="minorEastAsia"/>
        </w:rPr>
        <w:t xml:space="preserve">continue to </w:t>
      </w:r>
      <w:r w:rsidRPr="62E936B5">
        <w:rPr>
          <w:rFonts w:eastAsiaTheme="minorEastAsia"/>
        </w:rPr>
        <w:t>target and treat customers within the mobile home sector who are a part of multiple need states</w:t>
      </w:r>
      <w:r>
        <w:rPr>
          <w:rFonts w:eastAsiaTheme="minorEastAsia"/>
        </w:rPr>
        <w:t xml:space="preserve">.  </w:t>
      </w:r>
      <w:r w:rsidRPr="62E936B5">
        <w:rPr>
          <w:rFonts w:eastAsiaTheme="minorEastAsia"/>
        </w:rPr>
        <w:t xml:space="preserve">In addition, </w:t>
      </w:r>
      <w:r w:rsidR="008E3EB3">
        <w:rPr>
          <w:rFonts w:eastAsiaTheme="minorEastAsia"/>
        </w:rPr>
        <w:t xml:space="preserve">we agree with TURN, </w:t>
      </w:r>
      <w:r w:rsidR="00CD6451">
        <w:rPr>
          <w:rFonts w:eastAsiaTheme="minorEastAsia"/>
        </w:rPr>
        <w:t>that</w:t>
      </w:r>
      <w:r w:rsidR="008E3EB3">
        <w:rPr>
          <w:rFonts w:eastAsiaTheme="minorEastAsia"/>
        </w:rPr>
        <w:t xml:space="preserve"> </w:t>
      </w:r>
      <w:r w:rsidRPr="62E936B5">
        <w:rPr>
          <w:rFonts w:eastAsiaTheme="minorEastAsia"/>
        </w:rPr>
        <w:t>the IOUs shall continue to report on and study this segment, understand its needs, proposes new measures as they become available, and propose modifications as they see fit and effective.</w:t>
      </w:r>
      <w:r>
        <w:rPr>
          <w:rFonts w:eastAsiaTheme="minorEastAsia"/>
        </w:rPr>
        <w:t xml:space="preserve"> </w:t>
      </w:r>
    </w:p>
    <w:p w:rsidRPr="00401F70" w:rsidR="000C1980" w:rsidP="001968DC" w:rsidRDefault="000C1980" w14:paraId="68DC5D23" w14:textId="77777777">
      <w:pPr>
        <w:pStyle w:val="Heading4"/>
        <w:ind w:left="3600"/>
      </w:pPr>
      <w:bookmarkStart w:name="_Toc69947983" w:id="321"/>
      <w:r w:rsidRPr="00401F70">
        <w:lastRenderedPageBreak/>
        <w:t xml:space="preserve">New Measures (Whole House Solar Battery </w:t>
      </w:r>
      <w:r>
        <w:t xml:space="preserve">and </w:t>
      </w:r>
      <w:r w:rsidRPr="00401F70">
        <w:t xml:space="preserve">On Bill Financing): </w:t>
      </w:r>
      <w:r w:rsidRPr="00401F70">
        <w:rPr>
          <w:u w:val="single"/>
        </w:rPr>
        <w:t>Denied</w:t>
      </w:r>
      <w:bookmarkEnd w:id="321"/>
      <w:r w:rsidRPr="00401F70">
        <w:t xml:space="preserve"> </w:t>
      </w:r>
    </w:p>
    <w:p w:rsidRPr="001C30AB" w:rsidR="000C1980" w:rsidP="002965A3" w:rsidRDefault="000C1980" w14:paraId="68EDF0FD" w14:textId="55BA5549">
      <w:pPr>
        <w:pStyle w:val="Standard"/>
        <w:rPr>
          <w:i/>
          <w:iCs/>
        </w:rPr>
      </w:pPr>
      <w:r w:rsidRPr="00FC302B">
        <w:t>We deny PCF’s proposal to add a new measure for whole house solar battery with on bill financing since these measures are available through other Commission</w:t>
      </w:r>
      <w:r>
        <w:t xml:space="preserve"> </w:t>
      </w:r>
      <w:r w:rsidRPr="00FC302B">
        <w:t>administered clean energy programs</w:t>
      </w:r>
      <w:r>
        <w:t>.  T</w:t>
      </w:r>
      <w:r w:rsidRPr="00FC302B">
        <w:t>o avoid duplication with these other programs, and to minimize the impacts on ESA funding</w:t>
      </w:r>
      <w:r>
        <w:t>, we i</w:t>
      </w:r>
      <w:r w:rsidRPr="00FC302B">
        <w:t>nstead direct the IOUs to refer customers who have already received “</w:t>
      </w:r>
      <w:r>
        <w:t>b</w:t>
      </w:r>
      <w:r w:rsidRPr="00FC302B">
        <w:t>asic</w:t>
      </w:r>
      <w:r w:rsidR="00BC6259">
        <w:t>,</w:t>
      </w:r>
      <w:r w:rsidRPr="00FC302B">
        <w:t>” “</w:t>
      </w:r>
      <w:r>
        <w:t>p</w:t>
      </w:r>
      <w:r w:rsidRPr="00FC302B">
        <w:t>lus” and/or “</w:t>
      </w:r>
      <w:r>
        <w:t>d</w:t>
      </w:r>
      <w:r w:rsidRPr="00FC302B">
        <w:t xml:space="preserve">eep” measure packages and who may be candidates for these additional measures to these existing programs (SOMAH, DAC-SASH, SGIP, etc.).  </w:t>
      </w:r>
    </w:p>
    <w:p w:rsidRPr="008D33B1" w:rsidR="000C1980" w:rsidP="001968DC" w:rsidRDefault="000C1980" w14:paraId="0B42FB9F" w14:textId="77777777">
      <w:pPr>
        <w:pStyle w:val="Heading4"/>
        <w:ind w:left="3600"/>
      </w:pPr>
      <w:bookmarkStart w:name="_Toc69947984" w:id="322"/>
      <w:r w:rsidRPr="008D33B1">
        <w:t xml:space="preserve">New Measures (All Energy Efficiency and Clean Energy Measures): </w:t>
      </w:r>
      <w:r w:rsidRPr="008D33B1">
        <w:rPr>
          <w:u w:val="single"/>
        </w:rPr>
        <w:t>Denied</w:t>
      </w:r>
      <w:bookmarkEnd w:id="322"/>
    </w:p>
    <w:p w:rsidR="000C1980" w:rsidP="002965A3" w:rsidRDefault="000C1980" w14:paraId="23BBB0D8" w14:textId="77777777">
      <w:pPr>
        <w:pStyle w:val="Standard"/>
      </w:pPr>
      <w:r>
        <w:t xml:space="preserve">We deny EEC’s </w:t>
      </w:r>
      <w:r w:rsidRPr="004F58A9">
        <w:t>propos</w:t>
      </w:r>
      <w:r>
        <w:t xml:space="preserve">al to </w:t>
      </w:r>
      <w:r w:rsidRPr="004F58A9">
        <w:t xml:space="preserve">automatically add all Commission approved energy efficiency and clean energy measures, including solar to the ESA portfolio of measures, </w:t>
      </w:r>
      <w:r>
        <w:t xml:space="preserve">and disagree that this would </w:t>
      </w:r>
      <w:r w:rsidRPr="004F58A9">
        <w:t>improve the cost effectiveness of the overall program</w:t>
      </w:r>
      <w:r>
        <w:t xml:space="preserve">.  We agree with PG&amp;E that the other energy efficiency and </w:t>
      </w:r>
      <w:r w:rsidRPr="006F567D">
        <w:t xml:space="preserve">clean energy programs </w:t>
      </w:r>
      <w:r>
        <w:t xml:space="preserve">measures </w:t>
      </w:r>
      <w:r w:rsidRPr="006F567D">
        <w:t>are not tailored specifically for income</w:t>
      </w:r>
      <w:r>
        <w:t xml:space="preserve"> </w:t>
      </w:r>
      <w:r w:rsidRPr="006F567D">
        <w:t>qualified customers and</w:t>
      </w:r>
      <w:r>
        <w:t xml:space="preserve"> have not been properly </w:t>
      </w:r>
      <w:r w:rsidRPr="006F567D">
        <w:t xml:space="preserve">evaluated to ensure they </w:t>
      </w:r>
      <w:r>
        <w:t>meet this population’s unique needs. It would not be prudent to a</w:t>
      </w:r>
      <w:r w:rsidRPr="004F58A9">
        <w:t>utomatically add</w:t>
      </w:r>
      <w:r>
        <w:t xml:space="preserve"> such measures into the ESA program without a proper evaluation and impact analysis, or consideration by the ESA Working Group.  For the reasons discussed, we deny this request.</w:t>
      </w:r>
    </w:p>
    <w:p w:rsidRPr="008D33B1" w:rsidR="000C1980" w:rsidP="001968DC" w:rsidRDefault="000C1980" w14:paraId="727C1D24" w14:textId="77777777">
      <w:pPr>
        <w:pStyle w:val="Heading4"/>
        <w:ind w:left="3600"/>
      </w:pPr>
      <w:bookmarkStart w:name="_Toc69947985" w:id="323"/>
      <w:r w:rsidRPr="009F7505">
        <w:rPr>
          <w:bCs/>
        </w:rPr>
        <w:t xml:space="preserve">Prioritization of </w:t>
      </w:r>
      <w:r w:rsidRPr="009F7505">
        <w:t>Electrification</w:t>
      </w:r>
      <w:r w:rsidRPr="008D33B1">
        <w:t xml:space="preserve"> Measures: </w:t>
      </w:r>
      <w:r w:rsidRPr="009F7505">
        <w:rPr>
          <w:u w:val="single"/>
        </w:rPr>
        <w:t>Denied</w:t>
      </w:r>
      <w:bookmarkEnd w:id="323"/>
    </w:p>
    <w:p w:rsidRPr="00863542" w:rsidR="000C1980" w:rsidP="002965A3" w:rsidRDefault="000C1980" w14:paraId="1E76E3A5" w14:textId="473B8969">
      <w:pPr>
        <w:pStyle w:val="Standard"/>
      </w:pPr>
      <w:r>
        <w:t>We deny TURN</w:t>
      </w:r>
      <w:r w:rsidR="0016521E">
        <w:t xml:space="preserve"> and the Joint Parties</w:t>
      </w:r>
      <w:r>
        <w:t xml:space="preserve">’ request to prioritize efficient electrification measures </w:t>
      </w:r>
      <w:proofErr w:type="gramStart"/>
      <w:r>
        <w:t>at this time</w:t>
      </w:r>
      <w:proofErr w:type="gramEnd"/>
      <w:r>
        <w:t xml:space="preserve">.  We affirm that ESA is funded by both gas and electric ratepayers and </w:t>
      </w:r>
      <w:r w:rsidR="009051C2">
        <w:t>has been</w:t>
      </w:r>
      <w:r w:rsidDel="009051C2" w:rsidR="009051C2">
        <w:t xml:space="preserve"> </w:t>
      </w:r>
      <w:r>
        <w:t xml:space="preserve">designed to include measures that achieve energy savings </w:t>
      </w:r>
      <w:r w:rsidR="0033431A">
        <w:t xml:space="preserve">from both gas and electric appliances, as well as </w:t>
      </w:r>
      <w:r>
        <w:t xml:space="preserve">hardship </w:t>
      </w:r>
      <w:r>
        <w:lastRenderedPageBreak/>
        <w:t xml:space="preserve">reduction </w:t>
      </w:r>
      <w:r w:rsidR="0033431A">
        <w:t>for</w:t>
      </w:r>
      <w:r>
        <w:t xml:space="preserve"> </w:t>
      </w:r>
      <w:proofErr w:type="gramStart"/>
      <w:r>
        <w:t>low income</w:t>
      </w:r>
      <w:proofErr w:type="gramEnd"/>
      <w:r>
        <w:t xml:space="preserve"> households.  </w:t>
      </w:r>
      <w:r w:rsidR="00445923">
        <w:t xml:space="preserve">We </w:t>
      </w:r>
      <w:r w:rsidR="00EC12E7">
        <w:t xml:space="preserve">also </w:t>
      </w:r>
      <w:r w:rsidR="00445923">
        <w:t xml:space="preserve">acknowledge the </w:t>
      </w:r>
      <w:r w:rsidR="003B750A">
        <w:t xml:space="preserve">various </w:t>
      </w:r>
      <w:r w:rsidR="00445923">
        <w:t xml:space="preserve">concerns about use of </w:t>
      </w:r>
      <w:r w:rsidRPr="005078BD" w:rsidR="00445923">
        <w:t>ESA funds over the long term to replace</w:t>
      </w:r>
      <w:r w:rsidR="00445923">
        <w:t xml:space="preserve"> gas appliances</w:t>
      </w:r>
      <w:r w:rsidR="00FE1ACB">
        <w:t xml:space="preserve"> and the potential</w:t>
      </w:r>
      <w:r w:rsidR="003B750A">
        <w:t xml:space="preserve"> bill impacts to low income </w:t>
      </w:r>
      <w:r w:rsidR="003E1DD9">
        <w:t xml:space="preserve">customers, </w:t>
      </w:r>
      <w:r w:rsidR="00445923">
        <w:t>in light of the Commission and other agencies’ recognition that building electrification is a necessary strategy to meet the state’s GHG reduction goals.</w:t>
      </w:r>
      <w:r w:rsidR="00445923">
        <w:rPr>
          <w:rStyle w:val="FootnoteReference"/>
        </w:rPr>
        <w:footnoteReference w:id="455"/>
      </w:r>
      <w:r w:rsidR="00445923">
        <w:t xml:space="preserve">  Accordingly, while it is important to further consider how to ensure that </w:t>
      </w:r>
      <w:r w:rsidR="00EC12E7">
        <w:t xml:space="preserve">the </w:t>
      </w:r>
      <w:r w:rsidR="00445923">
        <w:t xml:space="preserve">ESA program </w:t>
      </w:r>
      <w:r w:rsidR="00EC12E7">
        <w:t>is</w:t>
      </w:r>
      <w:r w:rsidR="00445923">
        <w:t xml:space="preserve"> consistent with the state’s building electrification goals, we </w:t>
      </w:r>
      <w:r w:rsidR="00895068">
        <w:t>decline</w:t>
      </w:r>
      <w:r w:rsidR="00445923">
        <w:t xml:space="preserve"> to impose new restrictions on ESA investments at this time. </w:t>
      </w:r>
      <w:r w:rsidR="000941A3">
        <w:t>However</w:t>
      </w:r>
      <w:r>
        <w:t xml:space="preserve">, we agree with PG&amp;E that these measures should be considered once more information has been gathered from the San Joaquin Valley DAC and SCE electrification pilots.  So, until </w:t>
      </w:r>
      <w:r w:rsidR="00EA247C">
        <w:t>more information is gathered from the various pilots</w:t>
      </w:r>
      <w:r>
        <w:t xml:space="preserve">, the IOUs shall continue to offer </w:t>
      </w:r>
      <w:r w:rsidR="00DB567C">
        <w:t>ESA</w:t>
      </w:r>
      <w:r>
        <w:t xml:space="preserve"> </w:t>
      </w:r>
      <w:r w:rsidR="00A314A2">
        <w:t>treatments</w:t>
      </w:r>
      <w:r>
        <w:t xml:space="preserve"> consisting of both gas and electric measures based on the customer’s need or need states. </w:t>
      </w:r>
      <w:r w:rsidR="00224B2E">
        <w:t>E</w:t>
      </w:r>
      <w:r w:rsidRPr="003C0120" w:rsidR="003C0120">
        <w:t>fficient electrification measures</w:t>
      </w:r>
      <w:r w:rsidR="003C0120">
        <w:t xml:space="preserve"> </w:t>
      </w:r>
      <w:r w:rsidR="00863542">
        <w:t xml:space="preserve">may be </w:t>
      </w:r>
      <w:r w:rsidR="007E5E9C">
        <w:t>considered</w:t>
      </w:r>
      <w:r w:rsidR="00224B2E">
        <w:t xml:space="preserve"> </w:t>
      </w:r>
      <w:r w:rsidRPr="00863542" w:rsidR="00863542">
        <w:t>later in this program</w:t>
      </w:r>
      <w:r w:rsidR="00863542">
        <w:t xml:space="preserve"> </w:t>
      </w:r>
      <w:r w:rsidRPr="00863542" w:rsidR="00863542">
        <w:t>cycle following the mid-cycle progress report</w:t>
      </w:r>
      <w:r w:rsidR="00863542">
        <w:t xml:space="preserve"> and/or </w:t>
      </w:r>
      <w:r w:rsidR="007E5E9C">
        <w:t xml:space="preserve">results from the various </w:t>
      </w:r>
      <w:r w:rsidR="00781514">
        <w:t xml:space="preserve">ongoing </w:t>
      </w:r>
      <w:r w:rsidR="007E5E9C">
        <w:t>pilots</w:t>
      </w:r>
      <w:r w:rsidR="00781514">
        <w:t xml:space="preserve"> and studies</w:t>
      </w:r>
      <w:r w:rsidR="007E5E9C">
        <w:t>.</w:t>
      </w:r>
    </w:p>
    <w:p w:rsidRPr="000C0DAB" w:rsidR="000C1980" w:rsidP="001968DC" w:rsidRDefault="000C1980" w14:paraId="5207E444" w14:textId="20EB5AD1">
      <w:pPr>
        <w:pStyle w:val="Heading4"/>
        <w:ind w:left="3600"/>
      </w:pPr>
      <w:bookmarkStart w:name="_Toc69947986" w:id="324"/>
      <w:r w:rsidRPr="000C0DAB">
        <w:t xml:space="preserve">Requiring Healthy Building Materials: </w:t>
      </w:r>
      <w:r>
        <w:br/>
      </w:r>
      <w:r w:rsidR="00D45D09">
        <w:rPr>
          <w:u w:val="single"/>
        </w:rPr>
        <w:t>Requires</w:t>
      </w:r>
      <w:r w:rsidRPr="007E6072" w:rsidR="00D45D09">
        <w:rPr>
          <w:u w:val="single"/>
        </w:rPr>
        <w:t xml:space="preserve"> </w:t>
      </w:r>
      <w:r>
        <w:rPr>
          <w:u w:val="single"/>
        </w:rPr>
        <w:t>Further Stud</w:t>
      </w:r>
      <w:r w:rsidR="00D45D09">
        <w:rPr>
          <w:u w:val="single"/>
        </w:rPr>
        <w:t>y</w:t>
      </w:r>
      <w:bookmarkEnd w:id="324"/>
    </w:p>
    <w:p w:rsidRPr="00462371" w:rsidR="000C1980" w:rsidP="002965A3" w:rsidRDefault="000C1980" w14:paraId="13CCEECE" w14:textId="30EB0DF8">
      <w:pPr>
        <w:pStyle w:val="Standard"/>
        <w:rPr>
          <w:b/>
          <w:bCs/>
          <w:u w:val="single"/>
        </w:rPr>
      </w:pPr>
      <w:r w:rsidRPr="00523347">
        <w:t xml:space="preserve">We direct the IOUs and parties </w:t>
      </w:r>
      <w:r>
        <w:t xml:space="preserve">to use the ESA Working Group to </w:t>
      </w:r>
      <w:r w:rsidRPr="00462371">
        <w:t xml:space="preserve">address the recommendations made by Joint Parties relative to healthy building materials. </w:t>
      </w:r>
      <w:r>
        <w:t xml:space="preserve"> We recommend t</w:t>
      </w:r>
      <w:r w:rsidR="00176FB3">
        <w:t>hat t</w:t>
      </w:r>
      <w:r>
        <w:t xml:space="preserve">he ESA Working Group consider the benefits of incorporating healthy building materials into the </w:t>
      </w:r>
      <w:r w:rsidRPr="00462371">
        <w:t xml:space="preserve">Installation Standards Manual </w:t>
      </w:r>
      <w:r>
        <w:t xml:space="preserve">against any additional costs to the program and potential adverse impacts to cost-effectiveness. In conjunction, we require the IOUs to gather information to </w:t>
      </w:r>
      <w:r>
        <w:lastRenderedPageBreak/>
        <w:t xml:space="preserve">consider the contractors’ use of healthy building materials through the contract solicitation and RFP process.  </w:t>
      </w:r>
    </w:p>
    <w:p w:rsidRPr="00B57DBF" w:rsidR="000C1980" w:rsidP="001968DC" w:rsidRDefault="000C1980" w14:paraId="37F2101B" w14:textId="77777777">
      <w:pPr>
        <w:pStyle w:val="Heading4"/>
        <w:ind w:left="3600"/>
      </w:pPr>
      <w:bookmarkStart w:name="_Toc69947987" w:id="325"/>
      <w:r w:rsidRPr="00B57DBF">
        <w:t xml:space="preserve">Allowing ESA Contractors to Enroll and Install Solar: </w:t>
      </w:r>
      <w:r w:rsidRPr="00B57DBF">
        <w:rPr>
          <w:u w:val="single"/>
        </w:rPr>
        <w:t>Denied</w:t>
      </w:r>
      <w:bookmarkEnd w:id="325"/>
      <w:r w:rsidRPr="00B57DBF">
        <w:t xml:space="preserve">  </w:t>
      </w:r>
    </w:p>
    <w:p w:rsidR="000C1980" w:rsidP="002965A3" w:rsidRDefault="000C1980" w14:paraId="5C60A948" w14:textId="035EDF44">
      <w:pPr>
        <w:pStyle w:val="Standard"/>
      </w:pPr>
      <w:r>
        <w:t xml:space="preserve">We deny </w:t>
      </w:r>
      <w:r w:rsidRPr="004A7602">
        <w:t xml:space="preserve">EEC’s proposal </w:t>
      </w:r>
      <w:r>
        <w:t>to allow E</w:t>
      </w:r>
      <w:r w:rsidRPr="009412C3">
        <w:t xml:space="preserve">SA </w:t>
      </w:r>
      <w:r>
        <w:t>c</w:t>
      </w:r>
      <w:r w:rsidRPr="009412C3">
        <w:t xml:space="preserve">ontractors to enroll </w:t>
      </w:r>
      <w:proofErr w:type="gramStart"/>
      <w:r w:rsidRPr="009412C3">
        <w:t>low income</w:t>
      </w:r>
      <w:proofErr w:type="gramEnd"/>
      <w:r w:rsidRPr="009412C3">
        <w:t xml:space="preserve"> families into</w:t>
      </w:r>
      <w:r>
        <w:t xml:space="preserve"> the</w:t>
      </w:r>
      <w:r w:rsidRPr="009412C3">
        <w:t xml:space="preserve"> low</w:t>
      </w:r>
      <w:r>
        <w:t xml:space="preserve"> </w:t>
      </w:r>
      <w:r w:rsidRPr="009412C3">
        <w:t>income solar programs and to perform the installations or to</w:t>
      </w:r>
      <w:r>
        <w:t xml:space="preserve"> </w:t>
      </w:r>
      <w:r w:rsidRPr="009412C3">
        <w:t>subcontract them to qualified solar contractors</w:t>
      </w:r>
      <w:r>
        <w:t xml:space="preserve">. </w:t>
      </w:r>
      <w:r w:rsidRPr="00442394">
        <w:t xml:space="preserve"> </w:t>
      </w:r>
      <w:r w:rsidR="00C713EB">
        <w:t xml:space="preserve">While </w:t>
      </w:r>
      <w:r>
        <w:t xml:space="preserve">we are </w:t>
      </w:r>
      <w:r w:rsidRPr="0067239D">
        <w:t xml:space="preserve">supportive of exploring increased leveraging opportunities </w:t>
      </w:r>
      <w:r>
        <w:t xml:space="preserve">with other </w:t>
      </w:r>
      <w:proofErr w:type="gramStart"/>
      <w:r>
        <w:t>low income</w:t>
      </w:r>
      <w:proofErr w:type="gramEnd"/>
      <w:r>
        <w:t xml:space="preserve"> programs, including clean energy programs, the impacts of this change are currently unknown.  For example, would this create customer confusion, introduce non</w:t>
      </w:r>
      <w:r>
        <w:noBreakHyphen/>
        <w:t xml:space="preserve">subsidized measures that would require investment from the </w:t>
      </w:r>
      <w:proofErr w:type="gramStart"/>
      <w:r>
        <w:t>low income</w:t>
      </w:r>
      <w:proofErr w:type="gramEnd"/>
      <w:r>
        <w:t xml:space="preserve"> household, dis-incentivize enrollment into the programs altogether if they are not interested in one of the offered programs, or create conflicts of interests with other program administrators.  For the reasons discussed, we deny this request.  That said, the Staff Proposal recommended greater coordination among clean energy programs and through the pilot approach outlined in Section 6.2 above, better coordination between the ESA program and solar programs may be further explored there. </w:t>
      </w:r>
    </w:p>
    <w:p w:rsidRPr="009E7E1B" w:rsidR="000C1980" w:rsidP="001968DC" w:rsidRDefault="000C1980" w14:paraId="034B2852" w14:textId="77777777">
      <w:pPr>
        <w:pStyle w:val="Heading4"/>
        <w:ind w:left="3600"/>
      </w:pPr>
      <w:bookmarkStart w:name="_Toc69947988" w:id="326"/>
      <w:r w:rsidRPr="009E7E1B">
        <w:t>Budget Caps (General, Home Repairs, Non-Resource Measures):</w:t>
      </w:r>
      <w:r>
        <w:t xml:space="preserve"> </w:t>
      </w:r>
      <w:r w:rsidRPr="00E44C6C">
        <w:rPr>
          <w:u w:val="single"/>
        </w:rPr>
        <w:t>Approved</w:t>
      </w:r>
      <w:r>
        <w:rPr>
          <w:u w:val="single"/>
        </w:rPr>
        <w:t xml:space="preserve"> with Modifications</w:t>
      </w:r>
      <w:bookmarkEnd w:id="326"/>
    </w:p>
    <w:p w:rsidR="000C1980" w:rsidP="002965A3" w:rsidRDefault="000C1980" w14:paraId="75567A3F" w14:textId="69A7F63D">
      <w:pPr>
        <w:pStyle w:val="Standard"/>
      </w:pPr>
      <w:r w:rsidRPr="00D814BB">
        <w:t xml:space="preserve">We approve PG&amp;E’s proposal to increase the minor home repair cap to up to $2,500 for </w:t>
      </w:r>
      <w:r w:rsidR="008C5534">
        <w:t>T</w:t>
      </w:r>
      <w:r w:rsidRPr="00D814BB">
        <w:t>ribal communities and apply this specific cap to all customer segments for all the IOUs</w:t>
      </w:r>
      <w:r>
        <w:t xml:space="preserve">.  </w:t>
      </w:r>
      <w:r w:rsidRPr="00D814BB">
        <w:t xml:space="preserve">The increased budget for this </w:t>
      </w:r>
      <w:r>
        <w:t>category</w:t>
      </w:r>
      <w:r w:rsidRPr="00D814BB">
        <w:t xml:space="preserve"> will help facilitate the assessment and installation of the IOU’s higher tiers Plus packages, as well as the Pilot </w:t>
      </w:r>
      <w:r>
        <w:t xml:space="preserve">Plus and Pilot Deep </w:t>
      </w:r>
      <w:r w:rsidRPr="00D814BB">
        <w:t xml:space="preserve">package(s) where average costs (measure installation and/or repair) per household are likely to exceed the IOUs’ proposed </w:t>
      </w:r>
      <w:r w:rsidRPr="00D814BB">
        <w:lastRenderedPageBreak/>
        <w:t>costs of about $1,700 per household.</w:t>
      </w:r>
      <w:r w:rsidRPr="00D814BB">
        <w:rPr>
          <w:vertAlign w:val="superscript"/>
        </w:rPr>
        <w:footnoteReference w:id="456"/>
      </w:r>
      <w:r w:rsidRPr="00D814BB" w:rsidDel="00D234DA">
        <w:t xml:space="preserve"> We also direct the IOUs to monitor the minor home repairs cap to ensure an appropriate share of total program budget, and delegate to the ESA Working Group the ability to adjust the cap based on average costs per household, as deeper retrofits result in higher average costs per household</w:t>
      </w:r>
      <w:r>
        <w:t xml:space="preserve">.  </w:t>
      </w:r>
      <w:r w:rsidRPr="00D814BB" w:rsidDel="00D234DA">
        <w:t>As the current ratio is about 150 percent ($2,500 cap divided by $1,700 average costs), we delegate to the ESA Working Group the ability to adjust the cap to up to 150 percent of average household costs</w:t>
      </w:r>
      <w:r>
        <w:t>.</w:t>
      </w:r>
    </w:p>
    <w:p w:rsidR="000C1980" w:rsidP="002965A3" w:rsidRDefault="000C1980" w14:paraId="119CC664" w14:textId="77777777">
      <w:pPr>
        <w:pStyle w:val="Standard"/>
        <w:rPr>
          <w:rFonts w:eastAsia="Calibri" w:cs="Calibri"/>
        </w:rPr>
      </w:pPr>
      <w:r w:rsidRPr="4FC83D76">
        <w:rPr>
          <w:rFonts w:eastAsia="Calibri" w:cs="Calibri"/>
        </w:rPr>
        <w:t xml:space="preserve">We deny </w:t>
      </w:r>
      <w:proofErr w:type="spellStart"/>
      <w:r w:rsidRPr="4FC83D76">
        <w:rPr>
          <w:rFonts w:eastAsia="Calibri" w:cs="Calibri"/>
        </w:rPr>
        <w:t>CforAT’s</w:t>
      </w:r>
      <w:proofErr w:type="spellEnd"/>
      <w:r w:rsidRPr="4FC83D76">
        <w:rPr>
          <w:rFonts w:eastAsia="Calibri" w:cs="Calibri"/>
        </w:rPr>
        <w:t xml:space="preserve"> proposal for a per-household cap on general home repairs to be modeled after the San Joaquin Valley pilot of no more than 10</w:t>
      </w:r>
      <w:r>
        <w:t> </w:t>
      </w:r>
      <w:r w:rsidRPr="0026503D">
        <w:t>percent</w:t>
      </w:r>
      <w:r w:rsidRPr="4FC83D76">
        <w:rPr>
          <w:rFonts w:eastAsia="Calibri" w:cs="Calibri"/>
        </w:rPr>
        <w:t xml:space="preserve"> of the average measure package treatment costs, given that the average measure package treatments costs will be determined based on future program operations and will likely </w:t>
      </w:r>
      <w:r w:rsidRPr="008401CC">
        <w:rPr>
          <w:rFonts w:eastAsia="Calibri" w:cs="Calibri"/>
        </w:rPr>
        <w:t xml:space="preserve">vary over time depending on any revisions the IOUs make to the measure packages.  Due to this variation, we believe a fixed cap is easier to implement and more appropriate. </w:t>
      </w:r>
    </w:p>
    <w:p w:rsidR="000C1980" w:rsidP="002965A3" w:rsidRDefault="000C1980" w14:paraId="4673AC57" w14:textId="77777777">
      <w:pPr>
        <w:pStyle w:val="Standard"/>
      </w:pPr>
      <w:r>
        <w:rPr>
          <w:rFonts w:eastAsia="Calibri" w:cs="Calibri"/>
        </w:rPr>
        <w:t xml:space="preserve">We deny </w:t>
      </w:r>
      <w:r>
        <w:t xml:space="preserve">TURN’s proposal to set a cap on </w:t>
      </w:r>
      <w:r w:rsidRPr="00955B05">
        <w:t xml:space="preserve">non-resource measures </w:t>
      </w:r>
      <w:r>
        <w:t xml:space="preserve">(HCS measures) based on the </w:t>
      </w:r>
      <w:r w:rsidRPr="00054EFC">
        <w:t>limits used in</w:t>
      </w:r>
      <w:r>
        <w:t xml:space="preserve"> </w:t>
      </w:r>
      <w:r w:rsidRPr="00054EFC">
        <w:t>Massachusetts</w:t>
      </w:r>
      <w:r>
        <w:t xml:space="preserve">’ energy efficiency program, of $2,500 per home, and a portfolio cap based on the equivalent of spending $500 per home on average, to avoid limiting the installation of non-resource measures on a household or portfolio-wide level in case the IOUs deem them necessary based on customer and home assessments.  The adoption of the IOUs’ proposed portfolio energy savings goals, which already </w:t>
      </w:r>
      <w:proofErr w:type="gramStart"/>
      <w:r>
        <w:t>takes into account</w:t>
      </w:r>
      <w:proofErr w:type="gramEnd"/>
      <w:r>
        <w:t xml:space="preserve"> the balance between energy savings and hardship reduction, will provide a limit to spending on health, comfort, and safety measures.</w:t>
      </w:r>
    </w:p>
    <w:p w:rsidRPr="007273B9" w:rsidR="000C1980" w:rsidP="001968DC" w:rsidRDefault="000C1980" w14:paraId="5EA7606B" w14:textId="77777777">
      <w:pPr>
        <w:pStyle w:val="Heading4"/>
        <w:ind w:left="3600"/>
      </w:pPr>
      <w:bookmarkStart w:name="_Toc69947989" w:id="327"/>
      <w:r w:rsidRPr="007273B9">
        <w:lastRenderedPageBreak/>
        <w:t xml:space="preserve">Establishment of an Online Marketplace for Measures: </w:t>
      </w:r>
      <w:r w:rsidRPr="007273B9">
        <w:rPr>
          <w:u w:val="single"/>
        </w:rPr>
        <w:t>Denied</w:t>
      </w:r>
      <w:bookmarkEnd w:id="327"/>
    </w:p>
    <w:p w:rsidR="000C1980" w:rsidP="002965A3" w:rsidRDefault="000C1980" w14:paraId="562AC867" w14:textId="528522C4">
      <w:pPr>
        <w:pStyle w:val="Standard"/>
      </w:pPr>
      <w:r w:rsidRPr="00386D66">
        <w:t xml:space="preserve"> </w:t>
      </w:r>
      <w:r>
        <w:t>We</w:t>
      </w:r>
      <w:r w:rsidRPr="004B4E59">
        <w:t xml:space="preserve"> </w:t>
      </w:r>
      <w:r>
        <w:t>deny</w:t>
      </w:r>
      <w:r w:rsidRPr="004B4E59">
        <w:t xml:space="preserve"> </w:t>
      </w:r>
      <w:proofErr w:type="spellStart"/>
      <w:r w:rsidRPr="004B4E59">
        <w:t>Enervee</w:t>
      </w:r>
      <w:r>
        <w:t>’s</w:t>
      </w:r>
      <w:proofErr w:type="spellEnd"/>
      <w:r>
        <w:t xml:space="preserve"> proposal </w:t>
      </w:r>
      <w:r w:rsidRPr="00386D66">
        <w:t xml:space="preserve">to incorporate utility-branded online marketplaces into the ESA </w:t>
      </w:r>
      <w:r>
        <w:t>p</w:t>
      </w:r>
      <w:r w:rsidRPr="00386D66">
        <w:t xml:space="preserve">rogram </w:t>
      </w:r>
      <w:r>
        <w:t xml:space="preserve">as it </w:t>
      </w:r>
      <w:r w:rsidRPr="00386D66">
        <w:t>is premature</w:t>
      </w:r>
      <w:r>
        <w:t xml:space="preserve">.  </w:t>
      </w:r>
      <w:proofErr w:type="spellStart"/>
      <w:r w:rsidRPr="004B4E59">
        <w:t>Enervee</w:t>
      </w:r>
      <w:r>
        <w:t>’s</w:t>
      </w:r>
      <w:proofErr w:type="spellEnd"/>
      <w:r>
        <w:t xml:space="preserve"> o</w:t>
      </w:r>
      <w:r w:rsidRPr="004B4E59">
        <w:t xml:space="preserve">nline energy efficiency marketplace is not </w:t>
      </w:r>
      <w:r>
        <w:t xml:space="preserve">specifically </w:t>
      </w:r>
      <w:r w:rsidRPr="004B4E59">
        <w:t xml:space="preserve">geared towards </w:t>
      </w:r>
      <w:proofErr w:type="gramStart"/>
      <w:r w:rsidRPr="004B4E59">
        <w:t>low</w:t>
      </w:r>
      <w:r>
        <w:t xml:space="preserve"> </w:t>
      </w:r>
      <w:r w:rsidRPr="004B4E59">
        <w:t>income</w:t>
      </w:r>
      <w:proofErr w:type="gramEnd"/>
      <w:r w:rsidRPr="004B4E59">
        <w:t xml:space="preserve"> customers </w:t>
      </w:r>
      <w:r>
        <w:t xml:space="preserve">or the ESA program, and therefore </w:t>
      </w:r>
      <w:r w:rsidRPr="004B4E59">
        <w:t xml:space="preserve">could </w:t>
      </w:r>
      <w:r>
        <w:t xml:space="preserve">cause customer </w:t>
      </w:r>
      <w:r w:rsidRPr="004B4E59">
        <w:t>confus</w:t>
      </w:r>
      <w:r>
        <w:t>ion on which</w:t>
      </w:r>
      <w:r w:rsidRPr="004B4E59">
        <w:t xml:space="preserve"> measures </w:t>
      </w:r>
      <w:r>
        <w:t xml:space="preserve">are </w:t>
      </w:r>
      <w:r w:rsidRPr="004B4E59">
        <w:t>free through ESA, and which ones are not</w:t>
      </w:r>
      <w:r>
        <w:t xml:space="preserve">.  </w:t>
      </w:r>
      <w:r w:rsidR="003E1C7E">
        <w:t xml:space="preserve">We also decline requiring or implementing any co-pays structures for </w:t>
      </w:r>
      <w:proofErr w:type="gramStart"/>
      <w:r w:rsidR="003E1C7E">
        <w:t>low income</w:t>
      </w:r>
      <w:proofErr w:type="gramEnd"/>
      <w:r w:rsidR="003E1C7E">
        <w:t xml:space="preserve"> customers. </w:t>
      </w:r>
      <w:r>
        <w:t>Given the labyrinth of offerings, and the challenges that already exist for customers to navigate just the IOU programs alone, we are not inclined to introduce another layer o</w:t>
      </w:r>
      <w:r w:rsidR="0047384B">
        <w:t>f</w:t>
      </w:r>
      <w:r>
        <w:t xml:space="preserve"> complexity.  </w:t>
      </w:r>
    </w:p>
    <w:p w:rsidRPr="007273B9" w:rsidR="000C1980" w:rsidP="001968DC" w:rsidRDefault="000C1980" w14:paraId="425707F6" w14:textId="77777777">
      <w:pPr>
        <w:pStyle w:val="Heading4"/>
        <w:ind w:left="3600"/>
        <w:rPr>
          <w:u w:val="single"/>
        </w:rPr>
      </w:pPr>
      <w:bookmarkStart w:name="_Toc69947990" w:id="328"/>
      <w:r w:rsidRPr="007273B9">
        <w:t xml:space="preserve">Process for Updating Measures: </w:t>
      </w:r>
      <w:r w:rsidRPr="007273B9">
        <w:rPr>
          <w:u w:val="single"/>
        </w:rPr>
        <w:t>Approved with Modifications</w:t>
      </w:r>
      <w:bookmarkEnd w:id="328"/>
      <w:r w:rsidRPr="007273B9">
        <w:rPr>
          <w:u w:val="single"/>
        </w:rPr>
        <w:t xml:space="preserve"> </w:t>
      </w:r>
    </w:p>
    <w:p w:rsidR="000C1980" w:rsidP="002965A3" w:rsidRDefault="000C1980" w14:paraId="1FD93B77" w14:textId="6686CD93">
      <w:pPr>
        <w:pStyle w:val="Standard"/>
      </w:pPr>
      <w:r w:rsidRPr="4FC83D76">
        <w:t>We allow the IOUs to add, remove, and/or modify measures, via the monthly CARE-</w:t>
      </w:r>
      <w:r w:rsidR="00F13D71">
        <w:t>FERA-</w:t>
      </w:r>
      <w:r w:rsidRPr="4FC83D76">
        <w:t xml:space="preserve">ESA reports, </w:t>
      </w:r>
      <w:r>
        <w:t>so long as</w:t>
      </w:r>
      <w:r w:rsidRPr="4FC83D76">
        <w:t xml:space="preserve"> it does not result in spending beyond the approved budgets or adversely impact cost-effectiveness results based on the guidelines in </w:t>
      </w:r>
      <w:r>
        <w:t>S</w:t>
      </w:r>
      <w:r w:rsidRPr="4FC83D76">
        <w:t>ection 6.1</w:t>
      </w:r>
      <w:r>
        <w:t>0.  We also</w:t>
      </w:r>
      <w:r w:rsidRPr="4FC83D76">
        <w:t xml:space="preserve"> direct the IOUs </w:t>
      </w:r>
      <w:r w:rsidR="007C1B66">
        <w:t xml:space="preserve">to </w:t>
      </w:r>
      <w:r>
        <w:t>d</w:t>
      </w:r>
      <w:r w:rsidRPr="4FC83D76">
        <w:t xml:space="preserve">evelop and maintain a list of measures, </w:t>
      </w:r>
      <w:r w:rsidRPr="3776745C" w:rsidR="00E5560E">
        <w:t>noting whether the measure is consistent or different across the utilities,</w:t>
      </w:r>
      <w:r w:rsidR="00E5560E">
        <w:t xml:space="preserve"> </w:t>
      </w:r>
      <w:r w:rsidRPr="4FC83D76">
        <w:t>both for the post-decision compliance filing as well as in the ongoing P</w:t>
      </w:r>
      <w:r>
        <w:t xml:space="preserve">olicies and Procedures </w:t>
      </w:r>
      <w:r w:rsidRPr="4FC83D76">
        <w:t>Manual</w:t>
      </w:r>
      <w:r>
        <w:t>,</w:t>
      </w:r>
      <w:r>
        <w:rPr>
          <w:rStyle w:val="FootnoteReference"/>
          <w:rFonts w:eastAsiaTheme="minorEastAsia"/>
        </w:rPr>
        <w:footnoteReference w:id="457"/>
      </w:r>
      <w:r w:rsidRPr="4FC83D76">
        <w:t xml:space="preserve"> across all IOU territories that should be offered throughout the state, even if a measure would only be installed if it is cost-effective </w:t>
      </w:r>
      <w:r w:rsidRPr="3776745C" w:rsidR="00E3775A">
        <w:t>for a specific utility or climate zone</w:t>
      </w:r>
      <w:r w:rsidRPr="4FC83D76" w:rsidDel="00E3775A" w:rsidR="00E3775A">
        <w:t xml:space="preserve"> </w:t>
      </w:r>
      <w:r w:rsidRPr="4FC83D76">
        <w:t xml:space="preserve">or offers a </w:t>
      </w:r>
      <w:r>
        <w:t>HCS</w:t>
      </w:r>
      <w:r w:rsidRPr="4FC83D76">
        <w:t xml:space="preserve"> benefit and is appropriate considering the IOUs’ proposed program delivery model and the customer segmentation.</w:t>
      </w:r>
    </w:p>
    <w:p w:rsidRPr="007E6CF8" w:rsidR="000C1980" w:rsidP="001968DC" w:rsidRDefault="000C1980" w14:paraId="6BCB0890" w14:textId="77777777">
      <w:pPr>
        <w:pStyle w:val="Heading4"/>
        <w:ind w:left="3600"/>
      </w:pPr>
      <w:bookmarkStart w:name="_Toc69947991" w:id="329"/>
      <w:r w:rsidRPr="007E6CF8">
        <w:lastRenderedPageBreak/>
        <w:t xml:space="preserve">Additional Reporting and Compliance: </w:t>
      </w:r>
      <w:r w:rsidRPr="007E6CF8">
        <w:rPr>
          <w:u w:val="single"/>
        </w:rPr>
        <w:t>New</w:t>
      </w:r>
      <w:bookmarkEnd w:id="329"/>
    </w:p>
    <w:p w:rsidRPr="00536809" w:rsidR="000C1980" w:rsidP="002965A3" w:rsidRDefault="000C1980" w14:paraId="67146F53" w14:textId="77777777">
      <w:pPr>
        <w:pStyle w:val="Standard"/>
      </w:pPr>
      <w:r>
        <w:t>We direct the IOUs to further map the list of measures to the</w:t>
      </w:r>
      <w:r w:rsidRPr="2473B838">
        <w:t xml:space="preserve"> proposed segments, as well as the treatment tiers, and to note where they are consistent or different across the IOUs</w:t>
      </w:r>
      <w:r>
        <w:t>, (</w:t>
      </w:r>
      <w:r w:rsidRPr="00EE7E9E">
        <w:rPr>
          <w:i/>
          <w:iCs/>
        </w:rPr>
        <w:t>see</w:t>
      </w:r>
      <w:r w:rsidRPr="2473B838">
        <w:t xml:space="preserve"> Section 6.16</w:t>
      </w:r>
      <w:r>
        <w:t>).</w:t>
      </w:r>
    </w:p>
    <w:p w:rsidRPr="00DB2D62" w:rsidR="000C1980" w:rsidP="001968DC" w:rsidRDefault="000C1980" w14:paraId="15FFBC77" w14:textId="77777777">
      <w:pPr>
        <w:pStyle w:val="Heading2"/>
        <w:ind w:left="1728"/>
      </w:pPr>
      <w:bookmarkStart w:name="_Toc69947992" w:id="330"/>
      <w:r w:rsidRPr="00DB2D62">
        <w:t>ESA Customer Segments</w:t>
      </w:r>
      <w:r>
        <w:t xml:space="preserve"> / </w:t>
      </w:r>
      <w:r w:rsidRPr="006428BB">
        <w:t>Market</w:t>
      </w:r>
      <w:r>
        <w:t xml:space="preserve"> Segmentation</w:t>
      </w:r>
      <w:bookmarkEnd w:id="330"/>
    </w:p>
    <w:p w:rsidR="000C1980" w:rsidP="001968DC" w:rsidRDefault="000C1980" w14:paraId="0EEDD7A2" w14:textId="77777777">
      <w:pPr>
        <w:pStyle w:val="Heading3"/>
        <w:ind w:left="2664"/>
      </w:pPr>
      <w:bookmarkStart w:name="_Toc69947993" w:id="331"/>
      <w:r>
        <w:t>Background</w:t>
      </w:r>
      <w:bookmarkEnd w:id="331"/>
    </w:p>
    <w:p w:rsidR="000C1980" w:rsidP="002965A3" w:rsidRDefault="000C1980" w14:paraId="55761062" w14:textId="74C4DCD2">
      <w:pPr>
        <w:pStyle w:val="Standard"/>
      </w:pPr>
      <w:r w:rsidRPr="001B7C6B">
        <w:t xml:space="preserve">Previous Commission directives have encouraged the IOUs to target those segments of the </w:t>
      </w:r>
      <w:proofErr w:type="gramStart"/>
      <w:r w:rsidRPr="001B7C6B">
        <w:t>low income</w:t>
      </w:r>
      <w:proofErr w:type="gramEnd"/>
      <w:r w:rsidRPr="001B7C6B">
        <w:t xml:space="preserve"> population that were underserved or hard to reach, including renters, customers in market rate multi-family properties, those in high poverty areas, </w:t>
      </w:r>
      <w:r w:rsidR="008C5534">
        <w:t>T</w:t>
      </w:r>
      <w:r w:rsidRPr="001B7C6B">
        <w:t xml:space="preserve">ribal communities, and rural </w:t>
      </w:r>
      <w:r>
        <w:t>communities</w:t>
      </w:r>
      <w:r w:rsidRPr="001B7C6B">
        <w:t xml:space="preserve">.  </w:t>
      </w:r>
      <w:r>
        <w:t xml:space="preserve">However, with the goal to treat all willing and eligible </w:t>
      </w:r>
      <w:proofErr w:type="gramStart"/>
      <w:r>
        <w:t>low income</w:t>
      </w:r>
      <w:proofErr w:type="gramEnd"/>
      <w:r>
        <w:t xml:space="preserve"> households by 2020, the IOUs were never required to prioritize specific segments of the population so long as the household was willing, eligible, and worked towards achieving the 2020 goal.  Additionally, those groups that fell into the underserved and hard to reach segments of the population</w:t>
      </w:r>
      <w:r w:rsidR="005D4F47">
        <w:t>,</w:t>
      </w:r>
      <w:r>
        <w:t xml:space="preserve"> at times</w:t>
      </w:r>
      <w:r w:rsidR="005D4F47">
        <w:t>,</w:t>
      </w:r>
      <w:r>
        <w:t xml:space="preserve"> varied among the IOU service areas due to a variety of factors, including the size of the IOUs’ eligible population, the number of multifamily buildings in its service area, the size of its rural populations, and the IOU/CBOs’ success in marketing and outreaching to specific groups or areas.  The IOUs were </w:t>
      </w:r>
      <w:r w:rsidR="005D4F47">
        <w:t>given</w:t>
      </w:r>
      <w:r>
        <w:t xml:space="preserve"> flexibility in how they prioritized segments based on their respective service areas and customer base to reach the 2020 goal.  However, now that most of the eligible </w:t>
      </w:r>
      <w:proofErr w:type="gramStart"/>
      <w:r>
        <w:t>low income</w:t>
      </w:r>
      <w:proofErr w:type="gramEnd"/>
      <w:r>
        <w:t xml:space="preserve"> households in California have received a “first touch” treatment by the ESA program, prioritizing segments of the low income population for the more enhanced levels and packages of retrofits might make sense.  For the 2021-2026 program cycle, the IOUs were asked to identify participant categories or housing types that will </w:t>
      </w:r>
      <w:r>
        <w:lastRenderedPageBreak/>
        <w:t>be specifically targeted for specific levels of treatment as well as discuss the approach used to identify and prioritize these groups.</w:t>
      </w:r>
      <w:r>
        <w:rPr>
          <w:rStyle w:val="FootnoteReference"/>
        </w:rPr>
        <w:footnoteReference w:id="458"/>
      </w:r>
    </w:p>
    <w:p w:rsidR="000C1980" w:rsidP="001968DC" w:rsidRDefault="000C1980" w14:paraId="2D5F51B9" w14:textId="77777777">
      <w:pPr>
        <w:pStyle w:val="Heading3"/>
        <w:ind w:left="2664"/>
      </w:pPr>
      <w:bookmarkStart w:name="_Toc69947994" w:id="332"/>
      <w:r>
        <w:t>PG&amp;E Proposal</w:t>
      </w:r>
      <w:bookmarkEnd w:id="332"/>
    </w:p>
    <w:p w:rsidR="000C1980" w:rsidP="002965A3" w:rsidRDefault="000C1980" w14:paraId="3CCF030B" w14:textId="77777777">
      <w:pPr>
        <w:pStyle w:val="Standard"/>
      </w:pPr>
      <w:r w:rsidRPr="000B799B">
        <w:t xml:space="preserve">PG&amp;E </w:t>
      </w:r>
      <w:r>
        <w:t xml:space="preserve">proposes to </w:t>
      </w:r>
      <w:r w:rsidRPr="000B799B">
        <w:t>prioritize households that are CARE but not ESA participants</w:t>
      </w:r>
      <w:r>
        <w:t>,</w:t>
      </w:r>
      <w:r w:rsidRPr="000B799B">
        <w:rPr>
          <w:vertAlign w:val="superscript"/>
        </w:rPr>
        <w:footnoteReference w:id="459"/>
      </w:r>
      <w:r>
        <w:t xml:space="preserve"> and those customers with significant needs or hardships.  </w:t>
      </w:r>
      <w:r w:rsidRPr="000B799B">
        <w:t xml:space="preserve">PG&amp;E proposes to identify </w:t>
      </w:r>
      <w:r>
        <w:t>those</w:t>
      </w:r>
      <w:r w:rsidRPr="000B799B">
        <w:t xml:space="preserve"> participant categories or housing types with significant need based on data from PG&amp;E’s own database to identify five categories to receive prioritized targeting: high usage,</w:t>
      </w:r>
      <w:r>
        <w:rPr>
          <w:rStyle w:val="FootnoteReference"/>
        </w:rPr>
        <w:footnoteReference w:id="460"/>
      </w:r>
      <w:r w:rsidRPr="000B799B">
        <w:t xml:space="preserve"> medical baseline participation,</w:t>
      </w:r>
      <w:r>
        <w:rPr>
          <w:rStyle w:val="FootnoteReference"/>
        </w:rPr>
        <w:footnoteReference w:id="461"/>
      </w:r>
      <w:r w:rsidRPr="000B799B">
        <w:t xml:space="preserve"> disconnections,</w:t>
      </w:r>
      <w:r>
        <w:rPr>
          <w:rStyle w:val="FootnoteReference"/>
        </w:rPr>
        <w:footnoteReference w:id="462"/>
      </w:r>
      <w:r w:rsidRPr="000B799B">
        <w:t xml:space="preserve"> geographical areas (DAC/Tribal/Rural), </w:t>
      </w:r>
      <w:r>
        <w:t xml:space="preserve">and </w:t>
      </w:r>
      <w:r w:rsidRPr="000B799B">
        <w:t>high wildfire threat zones.</w:t>
      </w:r>
      <w:r>
        <w:rPr>
          <w:rStyle w:val="FootnoteReference"/>
        </w:rPr>
        <w:footnoteReference w:id="463"/>
      </w:r>
      <w:r w:rsidRPr="000B799B">
        <w:t xml:space="preserve"> </w:t>
      </w:r>
      <w:r>
        <w:t xml:space="preserve"> </w:t>
      </w:r>
      <w:r w:rsidRPr="000B799B">
        <w:t>PG&amp;E will also leverage household income data to target areas where low</w:t>
      </w:r>
      <w:r>
        <w:t xml:space="preserve"> </w:t>
      </w:r>
      <w:r w:rsidRPr="000B799B">
        <w:t>income households are prevalent.</w:t>
      </w:r>
      <w:r w:rsidRPr="000B799B">
        <w:rPr>
          <w:vertAlign w:val="superscript"/>
        </w:rPr>
        <w:footnoteReference w:id="464"/>
      </w:r>
      <w:r w:rsidRPr="000B799B">
        <w:t xml:space="preserve"> </w:t>
      </w:r>
      <w:r>
        <w:t xml:space="preserve"> Specifically, PG&amp;E’s proposed Basic package will be targeted to all low income segments, while the </w:t>
      </w:r>
      <w:r w:rsidRPr="00DE5805">
        <w:t>Comprehensive Package</w:t>
      </w:r>
      <w:r>
        <w:t xml:space="preserve"> will be targeted </w:t>
      </w:r>
      <w:proofErr w:type="spellStart"/>
      <w:r>
        <w:t>to</w:t>
      </w:r>
      <w:proofErr w:type="spellEnd"/>
      <w:r>
        <w:t xml:space="preserve"> l</w:t>
      </w:r>
      <w:r w:rsidRPr="00DE5805">
        <w:t xml:space="preserve">ow to </w:t>
      </w:r>
      <w:r>
        <w:t>m</w:t>
      </w:r>
      <w:r w:rsidRPr="00DE5805">
        <w:t xml:space="preserve">oderate energy </w:t>
      </w:r>
      <w:r>
        <w:t>u</w:t>
      </w:r>
      <w:r w:rsidRPr="00DE5805">
        <w:t>sers</w:t>
      </w:r>
      <w:r>
        <w:t xml:space="preserve">, and the Comprehensive Plus package will be targeted to those </w:t>
      </w:r>
      <w:r w:rsidRPr="006166B2">
        <w:t xml:space="preserve">customers </w:t>
      </w:r>
      <w:r>
        <w:t>in</w:t>
      </w:r>
      <w:r w:rsidRPr="006166B2">
        <w:t xml:space="preserve"> a particular need state</w:t>
      </w:r>
      <w:r>
        <w:t xml:space="preserve"> (high usage, medical baseline, disconnections, DACs/Tribal/Rural Wildfire).</w:t>
      </w:r>
    </w:p>
    <w:p w:rsidR="000C1980" w:rsidP="001968DC" w:rsidRDefault="000C1980" w14:paraId="6CB498DB" w14:textId="77777777">
      <w:pPr>
        <w:pStyle w:val="Heading3"/>
        <w:ind w:left="2664"/>
      </w:pPr>
      <w:bookmarkStart w:name="_Toc69947995" w:id="333"/>
      <w:r>
        <w:lastRenderedPageBreak/>
        <w:t>SCE Proposal</w:t>
      </w:r>
      <w:bookmarkEnd w:id="333"/>
      <w:r>
        <w:t xml:space="preserve"> </w:t>
      </w:r>
    </w:p>
    <w:p w:rsidR="000C1980" w:rsidP="002965A3" w:rsidRDefault="000C1980" w14:paraId="6758FDEC" w14:textId="3F586338">
      <w:pPr>
        <w:pStyle w:val="Standard"/>
      </w:pPr>
      <w:r>
        <w:t xml:space="preserve">SCE proposes to </w:t>
      </w:r>
      <w:r w:rsidRPr="004975C9">
        <w:t>prioritize the customer segments who are hard to reach, living in DACs, are single-family renters, or living in hot climate zones.</w:t>
      </w:r>
      <w:r>
        <w:rPr>
          <w:rStyle w:val="FootnoteReference"/>
        </w:rPr>
        <w:footnoteReference w:id="465"/>
      </w:r>
      <w:r>
        <w:t xml:space="preserve"> Additionally SCE’s tiered offering will target the newly eligible, hard to reach (which include those </w:t>
      </w:r>
      <w:r w:rsidRPr="008600FF">
        <w:t>living in remote communities, customers living in high poverty areas, customers with language barriers, or customers subject to landlord/tenant barriers</w:t>
      </w:r>
      <w:r>
        <w:t xml:space="preserve">), medically disabled, </w:t>
      </w:r>
      <w:r w:rsidR="00C31FDA">
        <w:t>T</w:t>
      </w:r>
      <w:r>
        <w:t>ribal communities, seniors, low income communities in DACs, and those with a high propensity for disconnections.</w:t>
      </w:r>
      <w:r>
        <w:rPr>
          <w:rStyle w:val="FootnoteReference"/>
        </w:rPr>
        <w:footnoteReference w:id="466"/>
      </w:r>
      <w:r>
        <w:t xml:space="preserve">  Specifically, SCE’s Tier 1 package will target those households with low to moderate energy use, while the Tie</w:t>
      </w:r>
      <w:r w:rsidRPr="00C61948">
        <w:t xml:space="preserve">r 2 Enhanced package </w:t>
      </w:r>
      <w:r>
        <w:t xml:space="preserve">will be targeted to </w:t>
      </w:r>
      <w:r w:rsidRPr="00C61948">
        <w:t>high us</w:t>
      </w:r>
      <w:r>
        <w:t>ers,</w:t>
      </w:r>
      <w:r w:rsidRPr="00C61948">
        <w:t xml:space="preserve"> defined as those whose energy use exceeds 300</w:t>
      </w:r>
      <w:r w:rsidRPr="00E1050D">
        <w:t xml:space="preserve"> </w:t>
      </w:r>
      <w:r w:rsidRPr="0026503D">
        <w:t>percent</w:t>
      </w:r>
      <w:r w:rsidRPr="00C61948">
        <w:t xml:space="preserve"> of the baseline allowance at least once over a rolling 12-month period.</w:t>
      </w:r>
      <w:r w:rsidRPr="00C61948">
        <w:rPr>
          <w:vertAlign w:val="superscript"/>
        </w:rPr>
        <w:footnoteReference w:id="467"/>
      </w:r>
      <w:r w:rsidRPr="00C61948">
        <w:t xml:space="preserve">  </w:t>
      </w:r>
    </w:p>
    <w:p w:rsidR="000C1980" w:rsidP="001968DC" w:rsidRDefault="000C1980" w14:paraId="5C122405" w14:textId="77777777">
      <w:pPr>
        <w:pStyle w:val="Heading3"/>
        <w:ind w:left="2664"/>
      </w:pPr>
      <w:bookmarkStart w:name="_Toc69947996" w:id="334"/>
      <w:r>
        <w:t>SoCalGas Proposal</w:t>
      </w:r>
      <w:bookmarkEnd w:id="334"/>
      <w:r>
        <w:t xml:space="preserve"> </w:t>
      </w:r>
    </w:p>
    <w:p w:rsidRPr="00CA79D8" w:rsidR="000C1980" w:rsidP="002965A3" w:rsidRDefault="000C1980" w14:paraId="3EFCB320" w14:textId="3CE329CB">
      <w:pPr>
        <w:pStyle w:val="Standard"/>
      </w:pPr>
      <w:r>
        <w:t>S</w:t>
      </w:r>
      <w:r w:rsidRPr="00A231A5">
        <w:t xml:space="preserve">oCalGas proposes to use data analytics to identify </w:t>
      </w:r>
      <w:r>
        <w:t xml:space="preserve">and prioritize homes </w:t>
      </w:r>
      <w:r w:rsidRPr="00E14081">
        <w:t>that were</w:t>
      </w:r>
      <w:r>
        <w:t xml:space="preserve"> </w:t>
      </w:r>
      <w:r w:rsidRPr="00E14081">
        <w:t>deemed unwilling in PY</w:t>
      </w:r>
      <w:r>
        <w:t>s</w:t>
      </w:r>
      <w:r w:rsidRPr="00E14081">
        <w:t xml:space="preserve"> 2002-2020</w:t>
      </w:r>
      <w:r>
        <w:t xml:space="preserve">, underserved populations (including high energy burden, </w:t>
      </w:r>
      <w:r w:rsidR="00C31FDA">
        <w:t>T</w:t>
      </w:r>
      <w:r>
        <w:t xml:space="preserve">ribal, senior, disabled, veterans, DACs, hard-to-reach, rural, high poverty areas, limited English proficiency and undocumented, multifamily, renters), and </w:t>
      </w:r>
      <w:r w:rsidRPr="007E3B94">
        <w:t>customers with the</w:t>
      </w:r>
      <w:r>
        <w:t xml:space="preserve"> </w:t>
      </w:r>
      <w:r w:rsidRPr="007E3B94">
        <w:t>potential for high energy savings</w:t>
      </w:r>
      <w:r>
        <w:t>.</w:t>
      </w:r>
      <w:r>
        <w:rPr>
          <w:rStyle w:val="FootnoteReference"/>
          <w:rFonts w:eastAsia="Calibri" w:cs="Calibri"/>
        </w:rPr>
        <w:footnoteReference w:id="468"/>
      </w:r>
      <w:r w:rsidRPr="00A231A5">
        <w:rPr>
          <w:rStyle w:val="FootnoteReference"/>
          <w:rFonts w:eastAsia="Calibri" w:cs="Calibri"/>
        </w:rPr>
        <w:t xml:space="preserve"> </w:t>
      </w:r>
      <w:r>
        <w:t xml:space="preserve"> </w:t>
      </w:r>
      <w:r w:rsidRPr="002754A5">
        <w:t xml:space="preserve"> </w:t>
      </w:r>
      <w:r>
        <w:t xml:space="preserve"> </w:t>
      </w:r>
    </w:p>
    <w:p w:rsidR="000C1980" w:rsidP="001968DC" w:rsidRDefault="000C1980" w14:paraId="7F70AE42" w14:textId="77777777">
      <w:pPr>
        <w:pStyle w:val="Heading3"/>
        <w:ind w:left="2664"/>
      </w:pPr>
      <w:bookmarkStart w:name="_Toc69947997" w:id="335"/>
      <w:r>
        <w:t>SDG&amp;E Proposal</w:t>
      </w:r>
      <w:bookmarkEnd w:id="335"/>
      <w:r>
        <w:t xml:space="preserve"> </w:t>
      </w:r>
    </w:p>
    <w:p w:rsidR="000C1980" w:rsidP="002965A3" w:rsidRDefault="000C1980" w14:paraId="20DA1FCD" w14:textId="77777777">
      <w:pPr>
        <w:pStyle w:val="Standard"/>
      </w:pPr>
      <w:r w:rsidRPr="00D57524">
        <w:t>SDG&amp;E</w:t>
      </w:r>
      <w:r w:rsidRPr="007D6DF4">
        <w:rPr>
          <w:rFonts w:ascii="Times New Roman" w:hAnsi="Times New Roman"/>
          <w:sz w:val="24"/>
          <w:szCs w:val="24"/>
        </w:rPr>
        <w:t xml:space="preserve"> </w:t>
      </w:r>
      <w:r>
        <w:t>proposes to</w:t>
      </w:r>
      <w:r w:rsidRPr="007D6DF4">
        <w:t xml:space="preserve"> prioritiz</w:t>
      </w:r>
      <w:r>
        <w:t>e</w:t>
      </w:r>
      <w:r w:rsidRPr="007D6DF4">
        <w:t xml:space="preserve"> households based on housing type, focusing first on single family, multifamily and mobile homeowners, and renters in high </w:t>
      </w:r>
      <w:r w:rsidRPr="007D6DF4">
        <w:lastRenderedPageBreak/>
        <w:t>poverty areas with high energy usage or energy burden</w:t>
      </w:r>
      <w:r>
        <w:t>.  SDG&amp;E w</w:t>
      </w:r>
      <w:r w:rsidRPr="007D6DF4">
        <w:t>ill then focus on enrolling</w:t>
      </w:r>
      <w:r>
        <w:t xml:space="preserve"> </w:t>
      </w:r>
      <w:r w:rsidRPr="007D6DF4">
        <w:t xml:space="preserve">homes </w:t>
      </w:r>
      <w:r>
        <w:t xml:space="preserve">that have </w:t>
      </w:r>
      <w:r w:rsidRPr="007D6DF4">
        <w:t>never receiv</w:t>
      </w:r>
      <w:r>
        <w:t>ed</w:t>
      </w:r>
      <w:r w:rsidRPr="007D6DF4">
        <w:t xml:space="preserve"> ESA Program services or homes </w:t>
      </w:r>
      <w:r>
        <w:t>that</w:t>
      </w:r>
      <w:r w:rsidRPr="007D6DF4">
        <w:t xml:space="preserve"> may have been treated by the</w:t>
      </w:r>
      <w:r>
        <w:t xml:space="preserve"> </w:t>
      </w:r>
      <w:r w:rsidRPr="007D6DF4">
        <w:t>program but did not receive all measure installations at the time of previous enrollment</w:t>
      </w:r>
      <w:r>
        <w:t xml:space="preserve">.  </w:t>
      </w:r>
      <w:r w:rsidRPr="007D6DF4">
        <w:t>In</w:t>
      </w:r>
      <w:r>
        <w:t xml:space="preserve"> </w:t>
      </w:r>
      <w:r w:rsidRPr="007D6DF4">
        <w:t>addition, consideration will be given to homes treated more than 10 years ago where the potential</w:t>
      </w:r>
      <w:r>
        <w:t xml:space="preserve"> </w:t>
      </w:r>
      <w:r w:rsidRPr="007D6DF4">
        <w:t>for new measure installation is greater</w:t>
      </w:r>
      <w:r>
        <w:t xml:space="preserve">.  </w:t>
      </w:r>
      <w:r w:rsidRPr="007D6DF4">
        <w:t>Customers in need of heating and hot water heating measures will be</w:t>
      </w:r>
      <w:r>
        <w:t xml:space="preserve"> also be</w:t>
      </w:r>
      <w:r w:rsidRPr="007D6DF4">
        <w:t xml:space="preserve"> prioritized for </w:t>
      </w:r>
      <w:r>
        <w:t>HCS.</w:t>
      </w:r>
      <w:r>
        <w:rPr>
          <w:rStyle w:val="FootnoteReference"/>
          <w:rFonts w:eastAsia="Calibri" w:cs="Calibri"/>
        </w:rPr>
        <w:footnoteReference w:id="469"/>
      </w:r>
      <w:r>
        <w:t xml:space="preserve">  Specifically, SDG&amp;E’s Basic and Enhanced Tiers will be targeted to all low income households generally </w:t>
      </w:r>
      <w:r w:rsidRPr="005D4775">
        <w:t>hav</w:t>
      </w:r>
      <w:r>
        <w:t>ing</w:t>
      </w:r>
      <w:r w:rsidRPr="005D4775">
        <w:t xml:space="preserve"> low</w:t>
      </w:r>
      <w:r>
        <w:t xml:space="preserve"> to moderate</w:t>
      </w:r>
      <w:r w:rsidRPr="005D4775">
        <w:t xml:space="preserve"> savings</w:t>
      </w:r>
      <w:r>
        <w:t xml:space="preserve"> </w:t>
      </w:r>
      <w:r w:rsidRPr="005D4775">
        <w:t>potential</w:t>
      </w:r>
      <w:r>
        <w:t xml:space="preserve">, while SDG&amp;E’s Advanced Tier will be targeted to five customer </w:t>
      </w:r>
      <w:r w:rsidRPr="00D57524">
        <w:t xml:space="preserve">segments identified as high priority, </w:t>
      </w:r>
      <w:r>
        <w:t>including high usage, med</w:t>
      </w:r>
      <w:r w:rsidRPr="006C58C3">
        <w:t xml:space="preserve">ical </w:t>
      </w:r>
      <w:r>
        <w:t>b</w:t>
      </w:r>
      <w:r w:rsidRPr="006C58C3">
        <w:t xml:space="preserve">aseline, </w:t>
      </w:r>
      <w:r>
        <w:t xml:space="preserve">DACs, customers in high “disconnect” areas, and </w:t>
      </w:r>
      <w:r w:rsidRPr="006C58C3">
        <w:t>those in</w:t>
      </w:r>
      <w:r>
        <w:t xml:space="preserve"> </w:t>
      </w:r>
      <w:r w:rsidRPr="006C58C3">
        <w:t>high fire threat districts.</w:t>
      </w:r>
      <w:r>
        <w:t xml:space="preserve">  This Advanced Tier is also targeted to high using households, defined as those customers </w:t>
      </w:r>
      <w:r w:rsidRPr="00BA7333">
        <w:t>exceeding 400</w:t>
      </w:r>
      <w:r w:rsidRPr="00E1050D">
        <w:t xml:space="preserve"> </w:t>
      </w:r>
      <w:r w:rsidRPr="0026503D">
        <w:t>percent</w:t>
      </w:r>
      <w:r w:rsidRPr="00BA7333">
        <w:t xml:space="preserve"> of</w:t>
      </w:r>
      <w:r>
        <w:t xml:space="preserve"> </w:t>
      </w:r>
      <w:r w:rsidRPr="00BA7333">
        <w:t>baseline</w:t>
      </w:r>
      <w:r>
        <w:t xml:space="preserve"> three</w:t>
      </w:r>
      <w:r w:rsidRPr="00BA7333">
        <w:t xml:space="preserve"> or more times</w:t>
      </w:r>
      <w:r>
        <w:t xml:space="preserve"> </w:t>
      </w:r>
      <w:r w:rsidRPr="00BA7333">
        <w:t>in year in high heat zone</w:t>
      </w:r>
      <w:r w:rsidRPr="006C58C3">
        <w:t>.</w:t>
      </w:r>
      <w:r>
        <w:rPr>
          <w:rStyle w:val="FootnoteReference"/>
          <w:rFonts w:eastAsia="Calibri" w:cs="Calibri"/>
        </w:rPr>
        <w:footnoteReference w:id="470"/>
      </w:r>
    </w:p>
    <w:p w:rsidR="000C1980" w:rsidP="001968DC" w:rsidRDefault="000C1980" w14:paraId="6B02BED5" w14:textId="77777777">
      <w:pPr>
        <w:pStyle w:val="Heading3"/>
        <w:ind w:left="2664"/>
      </w:pPr>
      <w:bookmarkStart w:name="_Toc69947998" w:id="336"/>
      <w:r>
        <w:t>Party Positions</w:t>
      </w:r>
      <w:bookmarkEnd w:id="336"/>
    </w:p>
    <w:p w:rsidR="000C1980" w:rsidP="001968DC" w:rsidRDefault="000C1980" w14:paraId="635FD688" w14:textId="77777777">
      <w:pPr>
        <w:pStyle w:val="Heading4"/>
        <w:ind w:left="3600"/>
      </w:pPr>
      <w:bookmarkStart w:name="_Toc69947999" w:id="337"/>
      <w:proofErr w:type="spellStart"/>
      <w:r>
        <w:t>CforAT</w:t>
      </w:r>
      <w:bookmarkEnd w:id="337"/>
      <w:proofErr w:type="spellEnd"/>
    </w:p>
    <w:p w:rsidR="000C1980" w:rsidP="002965A3" w:rsidRDefault="000C1980" w14:paraId="6EB601A2" w14:textId="5D7C42B2">
      <w:pPr>
        <w:pStyle w:val="Standard"/>
      </w:pPr>
      <w:proofErr w:type="spellStart"/>
      <w:r>
        <w:t>CforAT</w:t>
      </w:r>
      <w:proofErr w:type="spellEnd"/>
      <w:r>
        <w:t xml:space="preserve"> states that the IOUs should prioritize medical baseline customers, </w:t>
      </w:r>
      <w:r w:rsidRPr="00823892">
        <w:t xml:space="preserve">customers with </w:t>
      </w:r>
      <w:r>
        <w:t xml:space="preserve">a </w:t>
      </w:r>
      <w:r w:rsidRPr="00823892">
        <w:t xml:space="preserve">disability or medical vulnerability </w:t>
      </w:r>
      <w:r>
        <w:t xml:space="preserve">around electricity, as well as those </w:t>
      </w:r>
      <w:r w:rsidRPr="00823892">
        <w:t xml:space="preserve">with high energy burden as identified in </w:t>
      </w:r>
      <w:r w:rsidR="004016CA">
        <w:t xml:space="preserve">the </w:t>
      </w:r>
      <w:r w:rsidRPr="00823892">
        <w:t>LINA</w:t>
      </w:r>
      <w:r w:rsidR="004016CA">
        <w:t xml:space="preserve"> study.</w:t>
      </w:r>
      <w:r>
        <w:rPr>
          <w:rStyle w:val="FootnoteReference"/>
          <w:rFonts w:eastAsia="Calibri" w:cs="Calibri"/>
        </w:rPr>
        <w:footnoteReference w:id="471"/>
      </w:r>
      <w:r w:rsidRPr="00823892">
        <w:t xml:space="preserve"> </w:t>
      </w:r>
    </w:p>
    <w:p w:rsidR="000C1980" w:rsidP="001968DC" w:rsidRDefault="000C1980" w14:paraId="5769A913" w14:textId="77777777">
      <w:pPr>
        <w:pStyle w:val="Heading4"/>
        <w:ind w:left="3600"/>
      </w:pPr>
      <w:bookmarkStart w:name="_Toc69948000" w:id="338"/>
      <w:r>
        <w:t>Joint Parties</w:t>
      </w:r>
      <w:bookmarkEnd w:id="338"/>
    </w:p>
    <w:p w:rsidRPr="002F1A72" w:rsidR="000C1980" w:rsidP="002965A3" w:rsidRDefault="000C1980" w14:paraId="0B88163F" w14:textId="71C73167">
      <w:pPr>
        <w:pStyle w:val="Standard"/>
      </w:pPr>
      <w:r>
        <w:t xml:space="preserve">The Joint Parties states that the IOUs should prioritize </w:t>
      </w:r>
      <w:r w:rsidRPr="00ED4FE1">
        <w:t xml:space="preserve">those with </w:t>
      </w:r>
      <w:r>
        <w:t xml:space="preserve">high </w:t>
      </w:r>
      <w:r w:rsidRPr="00ED4FE1">
        <w:t xml:space="preserve">disconnections, high arrearages, high pollution, </w:t>
      </w:r>
      <w:r>
        <w:t xml:space="preserve">on </w:t>
      </w:r>
      <w:r w:rsidRPr="00ED4FE1">
        <w:t xml:space="preserve">medical baseline, and </w:t>
      </w:r>
      <w:r>
        <w:t xml:space="preserve">have </w:t>
      </w:r>
      <w:r w:rsidRPr="00ED4FE1">
        <w:lastRenderedPageBreak/>
        <w:t>high heat/fire threat</w:t>
      </w:r>
      <w:r>
        <w:t xml:space="preserve">, </w:t>
      </w:r>
      <w:r w:rsidR="00AC6703">
        <w:t>while</w:t>
      </w:r>
      <w:r>
        <w:t xml:space="preserve"> f</w:t>
      </w:r>
      <w:r w:rsidRPr="00ED4FE1">
        <w:t>urther prioritization</w:t>
      </w:r>
      <w:r>
        <w:t xml:space="preserve"> </w:t>
      </w:r>
      <w:r w:rsidRPr="00DE2D4B">
        <w:t>should be based on metrics from the Commission’s Affordability proceeding (R.18-07-006)</w:t>
      </w:r>
      <w:r>
        <w:t>.</w:t>
      </w:r>
      <w:r>
        <w:rPr>
          <w:rStyle w:val="FootnoteReference"/>
          <w:rFonts w:eastAsia="Calibri" w:cs="Calibri"/>
        </w:rPr>
        <w:footnoteReference w:id="472"/>
      </w:r>
      <w:r w:rsidRPr="00DE2D4B">
        <w:t xml:space="preserve"> </w:t>
      </w:r>
    </w:p>
    <w:p w:rsidR="000C1980" w:rsidP="001968DC" w:rsidRDefault="000C1980" w14:paraId="7ECA2847" w14:textId="77777777">
      <w:pPr>
        <w:pStyle w:val="Heading4"/>
        <w:ind w:left="3600"/>
      </w:pPr>
      <w:bookmarkStart w:name="_Toc69948001" w:id="339"/>
      <w:r>
        <w:t>TURN</w:t>
      </w:r>
      <w:bookmarkEnd w:id="339"/>
    </w:p>
    <w:p w:rsidR="000C1980" w:rsidP="002965A3" w:rsidRDefault="000C1980" w14:paraId="2C78313E" w14:textId="77777777">
      <w:pPr>
        <w:pStyle w:val="Standard"/>
        <w:rPr>
          <w:rFonts w:eastAsia="Calibri" w:cs="Calibri"/>
        </w:rPr>
      </w:pPr>
      <w:r>
        <w:t xml:space="preserve">TURN recommends that the IOUs should </w:t>
      </w:r>
      <w:r>
        <w:rPr>
          <w:rFonts w:eastAsia="Calibri" w:cs="Calibri"/>
        </w:rPr>
        <w:t>prioritize</w:t>
      </w:r>
      <w:r>
        <w:t xml:space="preserve"> </w:t>
      </w:r>
      <w:r w:rsidRPr="00707FB1">
        <w:t xml:space="preserve">SEVI, </w:t>
      </w:r>
      <w:r>
        <w:t>those on m</w:t>
      </w:r>
      <w:r w:rsidRPr="00707FB1">
        <w:t xml:space="preserve">edical </w:t>
      </w:r>
      <w:r>
        <w:t>b</w:t>
      </w:r>
      <w:r w:rsidRPr="00707FB1">
        <w:t xml:space="preserve">aseline, </w:t>
      </w:r>
      <w:r>
        <w:t>those with high d</w:t>
      </w:r>
      <w:r w:rsidRPr="00707FB1">
        <w:t xml:space="preserve">isconnections, </w:t>
      </w:r>
      <w:r>
        <w:t xml:space="preserve">and </w:t>
      </w:r>
      <w:r w:rsidRPr="00707FB1">
        <w:t>some DACs (for example, in less affluent areas).</w:t>
      </w:r>
      <w:r>
        <w:rPr>
          <w:rStyle w:val="FootnoteReference"/>
        </w:rPr>
        <w:footnoteReference w:id="473"/>
      </w:r>
      <w:r w:rsidRPr="00707FB1">
        <w:t xml:space="preserve"> </w:t>
      </w:r>
      <w:r w:rsidRPr="00475484">
        <w:rPr>
          <w:rFonts w:eastAsia="Calibri" w:cs="Calibri"/>
        </w:rPr>
        <w:t xml:space="preserve"> </w:t>
      </w:r>
    </w:p>
    <w:p w:rsidR="000C1980" w:rsidP="001968DC" w:rsidRDefault="000C1980" w14:paraId="1A05DE55" w14:textId="77777777">
      <w:pPr>
        <w:pStyle w:val="Heading4"/>
        <w:ind w:left="3600"/>
      </w:pPr>
      <w:bookmarkStart w:name="_Toc69948002" w:id="340"/>
      <w:r w:rsidRPr="00992834">
        <w:t>California Efficiency + Demand Management Council</w:t>
      </w:r>
      <w:r>
        <w:t xml:space="preserve"> (CEDM)</w:t>
      </w:r>
      <w:bookmarkEnd w:id="340"/>
    </w:p>
    <w:p w:rsidRPr="00B2631A" w:rsidR="000C1980" w:rsidP="002965A3" w:rsidRDefault="000C1980" w14:paraId="6E2F2F4E" w14:textId="77777777">
      <w:pPr>
        <w:pStyle w:val="Standard"/>
      </w:pPr>
      <w:r>
        <w:t xml:space="preserve">CEDM states that </w:t>
      </w:r>
      <w:r w:rsidRPr="00AC1C72">
        <w:t xml:space="preserve">multifamily </w:t>
      </w:r>
      <w:proofErr w:type="gramStart"/>
      <w:r w:rsidRPr="00AC1C72">
        <w:t>low</w:t>
      </w:r>
      <w:r>
        <w:t xml:space="preserve"> </w:t>
      </w:r>
      <w:r w:rsidRPr="00AC1C72">
        <w:t>income</w:t>
      </w:r>
      <w:proofErr w:type="gramEnd"/>
      <w:r w:rsidRPr="00AC1C72">
        <w:t xml:space="preserve"> properties should be prioritized for treatment</w:t>
      </w:r>
      <w:r>
        <w:t>, and s</w:t>
      </w:r>
      <w:r w:rsidRPr="00AC1C72">
        <w:t>pecifically, multifamily properties located in</w:t>
      </w:r>
      <w:r>
        <w:t xml:space="preserve"> DACs</w:t>
      </w:r>
      <w:r w:rsidRPr="00AC1C72">
        <w:t>, the Central Valley, rural areas, and those located within a wildfire</w:t>
      </w:r>
      <w:r>
        <w:t xml:space="preserve"> </w:t>
      </w:r>
      <w:r w:rsidRPr="00AC1C72">
        <w:t>or Public Safety Power Shutoff zones.</w:t>
      </w:r>
      <w:r>
        <w:rPr>
          <w:rStyle w:val="FootnoteReference"/>
        </w:rPr>
        <w:footnoteReference w:id="474"/>
      </w:r>
    </w:p>
    <w:p w:rsidR="000C1980" w:rsidP="001968DC" w:rsidRDefault="000C1980" w14:paraId="2336A7AB" w14:textId="77777777">
      <w:pPr>
        <w:pStyle w:val="Heading4"/>
        <w:ind w:left="3600"/>
      </w:pPr>
      <w:bookmarkStart w:name="_Toc69948003" w:id="341"/>
      <w:r>
        <w:t>EEC</w:t>
      </w:r>
      <w:bookmarkEnd w:id="341"/>
    </w:p>
    <w:p w:rsidRPr="007A432E" w:rsidR="000C1980" w:rsidP="002965A3" w:rsidRDefault="000C1980" w14:paraId="02CB06FE" w14:textId="77777777">
      <w:pPr>
        <w:pStyle w:val="Standard"/>
      </w:pPr>
      <w:r>
        <w:t>EEC does not support an</w:t>
      </w:r>
      <w:r w:rsidRPr="00761622">
        <w:t xml:space="preserve">y prioritization </w:t>
      </w:r>
      <w:r>
        <w:t xml:space="preserve">of </w:t>
      </w:r>
      <w:r w:rsidRPr="00761622">
        <w:t xml:space="preserve">any homes with a “treat first” caveat, </w:t>
      </w:r>
      <w:r>
        <w:t>stating that this will i</w:t>
      </w:r>
      <w:r w:rsidRPr="00761622">
        <w:t>ncrease program outreach costs as well as IOU marketing costs and thus, increase costs to the program.</w:t>
      </w:r>
      <w:r>
        <w:rPr>
          <w:rStyle w:val="FootnoteReference"/>
        </w:rPr>
        <w:footnoteReference w:id="475"/>
      </w:r>
    </w:p>
    <w:p w:rsidR="000C1980" w:rsidP="001968DC" w:rsidRDefault="000C1980" w14:paraId="41D7F6C5" w14:textId="77777777">
      <w:pPr>
        <w:pStyle w:val="Heading4"/>
        <w:ind w:left="3600"/>
      </w:pPr>
      <w:bookmarkStart w:name="_Toc69948004" w:id="342"/>
      <w:r>
        <w:t>MCE</w:t>
      </w:r>
      <w:bookmarkEnd w:id="342"/>
    </w:p>
    <w:p w:rsidRPr="00C2739B" w:rsidR="000C1980" w:rsidP="002965A3" w:rsidRDefault="000C1980" w14:paraId="1522BBC3" w14:textId="77777777">
      <w:pPr>
        <w:pStyle w:val="Standard"/>
      </w:pPr>
      <w:r w:rsidRPr="00BE1F2B">
        <w:t xml:space="preserve">MCE </w:t>
      </w:r>
      <w:r>
        <w:t xml:space="preserve">does not support any </w:t>
      </w:r>
      <w:r w:rsidRPr="00BE1F2B">
        <w:t>prioritiz</w:t>
      </w:r>
      <w:r>
        <w:t>ation of</w:t>
      </w:r>
      <w:r w:rsidRPr="00BE1F2B">
        <w:t xml:space="preserve"> customer segments </w:t>
      </w:r>
      <w:r w:rsidRPr="00792B3B">
        <w:t>for treatment to ensure that</w:t>
      </w:r>
      <w:r>
        <w:t xml:space="preserve"> t</w:t>
      </w:r>
      <w:r w:rsidRPr="00BE1F2B">
        <w:t>he opportunity to participate in the program is available to all eligible customers</w:t>
      </w:r>
      <w:r>
        <w:t xml:space="preserve">.  </w:t>
      </w:r>
      <w:r w:rsidRPr="00BE1F2B">
        <w:t xml:space="preserve">However, </w:t>
      </w:r>
      <w:r>
        <w:t xml:space="preserve">MCE states that it </w:t>
      </w:r>
      <w:r w:rsidRPr="00BE1F2B">
        <w:t>may</w:t>
      </w:r>
      <w:r>
        <w:t xml:space="preserve"> </w:t>
      </w:r>
      <w:r w:rsidRPr="00BE1F2B">
        <w:t xml:space="preserve">be appropriate to prioritize certain customer segments for marketing and outreach, </w:t>
      </w:r>
      <w:r w:rsidRPr="00BE1F2B">
        <w:lastRenderedPageBreak/>
        <w:t>so that extra steps</w:t>
      </w:r>
      <w:r>
        <w:t xml:space="preserve"> </w:t>
      </w:r>
      <w:r w:rsidRPr="00BE1F2B">
        <w:t>are taken to promote participation by customer segments most in need of the benefits energy</w:t>
      </w:r>
      <w:r>
        <w:t xml:space="preserve"> </w:t>
      </w:r>
      <w:r w:rsidRPr="00BE1F2B">
        <w:t>efficiency upgrades can deliver.</w:t>
      </w:r>
      <w:r>
        <w:rPr>
          <w:rStyle w:val="FootnoteReference"/>
        </w:rPr>
        <w:footnoteReference w:id="476"/>
      </w:r>
    </w:p>
    <w:p w:rsidR="000C1980" w:rsidP="001968DC" w:rsidRDefault="000C1980" w14:paraId="7089EA4C" w14:textId="77777777">
      <w:pPr>
        <w:pStyle w:val="Heading4"/>
        <w:ind w:left="3600"/>
      </w:pPr>
      <w:bookmarkStart w:name="_Toc69948005" w:id="343"/>
      <w:r>
        <w:t>PCF</w:t>
      </w:r>
      <w:bookmarkEnd w:id="343"/>
    </w:p>
    <w:p w:rsidRPr="005E5464" w:rsidR="000C1980" w:rsidP="000D3EBD" w:rsidRDefault="000C1980" w14:paraId="75EE6A3B" w14:textId="77777777">
      <w:pPr>
        <w:pStyle w:val="Standard"/>
      </w:pPr>
      <w:r w:rsidRPr="005E5464">
        <w:t xml:space="preserve">PCF </w:t>
      </w:r>
      <w:r>
        <w:t xml:space="preserve">supports prioritizing </w:t>
      </w:r>
      <w:r w:rsidRPr="005E5464">
        <w:t xml:space="preserve">customers in </w:t>
      </w:r>
      <w:r>
        <w:t>DACs</w:t>
      </w:r>
      <w:r w:rsidRPr="005E5464">
        <w:t>, as well</w:t>
      </w:r>
      <w:r>
        <w:t xml:space="preserve"> a</w:t>
      </w:r>
      <w:r w:rsidRPr="005E5464">
        <w:t xml:space="preserve">s those in high fire threat districts and medical baseline customers </w:t>
      </w:r>
      <w:r>
        <w:t>for s</w:t>
      </w:r>
      <w:r w:rsidRPr="005E5464">
        <w:t>olar</w:t>
      </w:r>
      <w:r>
        <w:t xml:space="preserve"> </w:t>
      </w:r>
      <w:r w:rsidRPr="005E5464">
        <w:t>plus battery installations</w:t>
      </w:r>
      <w:r>
        <w:t>.</w:t>
      </w:r>
      <w:r>
        <w:rPr>
          <w:rStyle w:val="FootnoteReference"/>
        </w:rPr>
        <w:footnoteReference w:id="477"/>
      </w:r>
    </w:p>
    <w:p w:rsidRPr="00DC7D88" w:rsidR="000C1980" w:rsidP="001968DC" w:rsidRDefault="000C1980" w14:paraId="566E46C1" w14:textId="77777777">
      <w:pPr>
        <w:pStyle w:val="Heading3"/>
        <w:ind w:left="2664"/>
      </w:pPr>
      <w:bookmarkStart w:name="_Toc69948006" w:id="344"/>
      <w:r w:rsidRPr="00DC7D88">
        <w:t>Discussion</w:t>
      </w:r>
      <w:bookmarkEnd w:id="344"/>
    </w:p>
    <w:p w:rsidRPr="004C010C" w:rsidR="000C1980" w:rsidP="001968DC" w:rsidRDefault="000C1980" w14:paraId="5F9D348D" w14:textId="77777777">
      <w:pPr>
        <w:pStyle w:val="Heading4"/>
        <w:ind w:left="3600"/>
      </w:pPr>
      <w:bookmarkStart w:name="_Toc69948007" w:id="345"/>
      <w:r w:rsidRPr="004C010C">
        <w:t xml:space="preserve">IOUs Proposed Prioritizations: </w:t>
      </w:r>
      <w:r w:rsidRPr="00AF4FAE">
        <w:rPr>
          <w:u w:val="single"/>
        </w:rPr>
        <w:t>Approved with Additional Reporting Requirements</w:t>
      </w:r>
      <w:bookmarkEnd w:id="345"/>
    </w:p>
    <w:p w:rsidR="000C1980" w:rsidP="000D3EBD" w:rsidRDefault="000C1980" w14:paraId="2CF5E848" w14:textId="77777777">
      <w:pPr>
        <w:pStyle w:val="Standard"/>
      </w:pPr>
      <w:r w:rsidRPr="00374327">
        <w:t>We approve the IOUs’ proposed prioritizations</w:t>
      </w:r>
      <w:r>
        <w:t xml:space="preserve">.  </w:t>
      </w:r>
      <w:r w:rsidRPr="00374327">
        <w:t xml:space="preserve">The Commission’s approval is predicated on a </w:t>
      </w:r>
      <w:proofErr w:type="gramStart"/>
      <w:r w:rsidRPr="00374327">
        <w:t>higher</w:t>
      </w:r>
      <w:r>
        <w:t xml:space="preserve"> </w:t>
      </w:r>
      <w:r w:rsidRPr="00374327">
        <w:t>level</w:t>
      </w:r>
      <w:proofErr w:type="gramEnd"/>
      <w:r w:rsidRPr="00374327">
        <w:t xml:space="preserve"> regulatory touch such that the IOUs can meet their portfolio energy savings goals by treating customers based on the needs within their own service territories.</w:t>
      </w:r>
      <w:r>
        <w:t xml:space="preserve">  As part of approving the IOUs’ prioritizations, we also direct the IOUs to meet and confer, and jointly submit a compliance filing to develop a common set of measures within each treatment tier, and to further discuss what level of treatment will be provided to which customer segments and need states to provide greater statewide consistency, (</w:t>
      </w:r>
      <w:r w:rsidRPr="00D26B40">
        <w:rPr>
          <w:i/>
          <w:iCs/>
        </w:rPr>
        <w:t>see</w:t>
      </w:r>
      <w:r>
        <w:t xml:space="preserve"> Section 6.16).</w:t>
      </w:r>
    </w:p>
    <w:p w:rsidR="000C1980" w:rsidP="000D3EBD" w:rsidRDefault="000C1980" w14:paraId="70DCCA93" w14:textId="56BFF952">
      <w:pPr>
        <w:pStyle w:val="Standard"/>
      </w:pPr>
      <w:r>
        <w:rPr>
          <w:i/>
          <w:iCs/>
          <w:u w:val="single"/>
        </w:rPr>
        <w:t xml:space="preserve">Reporting on </w:t>
      </w:r>
      <w:r w:rsidRPr="008C7DCF">
        <w:rPr>
          <w:i/>
          <w:iCs/>
          <w:u w:val="single"/>
        </w:rPr>
        <w:t>Additional Metrics</w:t>
      </w:r>
      <w:r>
        <w:t xml:space="preserve">: In addition, the IOUs are required to report in their monthly and annual reports additional metrics for customer segments/need states including demographic, financial, location, and health conditions.  These metrics may include number of households eligible, number of households contacted, number of households treated, average energy savings per treated household, average cost per treated household, average NEBs per </w:t>
      </w:r>
      <w:r>
        <w:lastRenderedPageBreak/>
        <w:t xml:space="preserve">household, and average bill savings, etc.  The data will be used to develop comprehensive customer profiles and measure delivery approaches to track progress towards, and inform, set and/or meet program goals.  The reporting template approved by Energy Division will include the specifics of </w:t>
      </w:r>
      <w:r w:rsidR="00B23048">
        <w:t>these</w:t>
      </w:r>
      <w:r>
        <w:t xml:space="preserve"> reporting criteria.</w:t>
      </w:r>
    </w:p>
    <w:p w:rsidRPr="009B740E" w:rsidR="000C1980" w:rsidP="000D3EBD" w:rsidRDefault="000C1980" w14:paraId="615460FC" w14:textId="1C975EC6">
      <w:pPr>
        <w:pStyle w:val="Standard"/>
      </w:pPr>
      <w:r>
        <w:rPr>
          <w:i/>
          <w:iCs/>
          <w:u w:val="single"/>
        </w:rPr>
        <w:t>Reporting on Segmentation Efforts:</w:t>
      </w:r>
      <w:r w:rsidRPr="003374CF">
        <w:t xml:space="preserve"> We direct the IOUs </w:t>
      </w:r>
      <w:r>
        <w:t xml:space="preserve">to track </w:t>
      </w:r>
      <w:r w:rsidRPr="003374CF">
        <w:t>monthly</w:t>
      </w:r>
      <w:r>
        <w:t xml:space="preserve">, </w:t>
      </w:r>
      <w:r w:rsidR="002A24D0">
        <w:t xml:space="preserve">and </w:t>
      </w:r>
      <w:r w:rsidRPr="003374CF">
        <w:t xml:space="preserve">report </w:t>
      </w:r>
      <w:r>
        <w:t xml:space="preserve">annually, their </w:t>
      </w:r>
      <w:r w:rsidRPr="003374CF">
        <w:t xml:space="preserve">customer segmentation efforts, </w:t>
      </w:r>
      <w:r>
        <w:t xml:space="preserve">specifically </w:t>
      </w:r>
      <w:r w:rsidRPr="003374CF">
        <w:t>identifying</w:t>
      </w:r>
      <w:r>
        <w:t xml:space="preserve"> </w:t>
      </w:r>
      <w:r w:rsidRPr="003374CF">
        <w:t>highly vulnerable</w:t>
      </w:r>
      <w:r>
        <w:t xml:space="preserve"> </w:t>
      </w:r>
      <w:r w:rsidRPr="003374CF">
        <w:t>customers in multiple need states</w:t>
      </w:r>
      <w:r>
        <w:t>.  The reporting should include the counts of customers</w:t>
      </w:r>
      <w:r w:rsidRPr="003374CF">
        <w:t xml:space="preserve"> who qualify for multiple need states</w:t>
      </w:r>
      <w:r>
        <w:t xml:space="preserve">, as well as treatment counts, and the types of measures installed for these </w:t>
      </w:r>
      <w:r w:rsidRPr="003374CF">
        <w:t>highly vulnerable</w:t>
      </w:r>
      <w:r>
        <w:t xml:space="preserve"> customers.  This segmentation and prioritization</w:t>
      </w:r>
      <w:r w:rsidRPr="003374CF">
        <w:t xml:space="preserve"> also align with the Staff Proposal’s customer profile recommendations. </w:t>
      </w:r>
    </w:p>
    <w:p w:rsidRPr="009B740E" w:rsidR="000C1980" w:rsidP="000D3EBD" w:rsidRDefault="000C1980" w14:paraId="7D199FD9" w14:textId="4845F27E">
      <w:pPr>
        <w:pStyle w:val="Standard"/>
      </w:pPr>
      <w:r w:rsidRPr="009B740E">
        <w:t xml:space="preserve">Additionally, </w:t>
      </w:r>
      <w:r w:rsidRPr="007823E2">
        <w:t xml:space="preserve">we direct </w:t>
      </w:r>
      <w:r w:rsidRPr="009B740E">
        <w:t>the IOUs to identify a combination of variables that make a household eligible for different income-qualified programs, such as DAC</w:t>
      </w:r>
      <w:r w:rsidRPr="007823E2">
        <w:t>-</w:t>
      </w:r>
      <w:r w:rsidRPr="009B740E">
        <w:t>SASH or SGIP</w:t>
      </w:r>
      <w:r>
        <w:t xml:space="preserve">.  </w:t>
      </w:r>
      <w:r w:rsidRPr="009B740E">
        <w:t xml:space="preserve">The IOUs must also make sure that each contractor is aware and informs customers during treatment that there are additional opportunities </w:t>
      </w:r>
      <w:r w:rsidRPr="007823E2">
        <w:t xml:space="preserve">for which </w:t>
      </w:r>
      <w:r w:rsidRPr="009B740E">
        <w:t>they may qualify</w:t>
      </w:r>
      <w:r>
        <w:t>.  The</w:t>
      </w:r>
      <w:r w:rsidRPr="007823E2">
        <w:t xml:space="preserve"> IOUs </w:t>
      </w:r>
      <w:r>
        <w:t xml:space="preserve">shall also track </w:t>
      </w:r>
      <w:r w:rsidRPr="003374CF">
        <w:t>monthly</w:t>
      </w:r>
      <w:r>
        <w:t xml:space="preserve">, </w:t>
      </w:r>
      <w:r w:rsidR="004F2F49">
        <w:t xml:space="preserve">and </w:t>
      </w:r>
      <w:r w:rsidRPr="003374CF">
        <w:t xml:space="preserve">report </w:t>
      </w:r>
      <w:r>
        <w:t>annually</w:t>
      </w:r>
      <w:r w:rsidRPr="007823E2">
        <w:t xml:space="preserve">, the </w:t>
      </w:r>
      <w:r w:rsidR="0020043F">
        <w:t xml:space="preserve">information to demonstrate that the IOUs meet </w:t>
      </w:r>
      <w:r w:rsidRPr="007823E2">
        <w:t>the</w:t>
      </w:r>
      <w:r w:rsidR="0020043F">
        <w:t xml:space="preserve"> </w:t>
      </w:r>
      <w:r w:rsidRPr="007823E2">
        <w:t xml:space="preserve">leveraging, coordination, and referral requirements detailed in </w:t>
      </w:r>
      <w:r>
        <w:t>S</w:t>
      </w:r>
      <w:r w:rsidRPr="007823E2">
        <w:t>ection 6.12</w:t>
      </w:r>
      <w:r>
        <w:t>.  The reporting template approved by Energy Division will include the specifics of this reporting criteria</w:t>
      </w:r>
      <w:r w:rsidRPr="007823E2">
        <w:rPr>
          <w:rFonts w:eastAsia="Book Antiqua" w:cs="Book Antiqua"/>
          <w:szCs w:val="26"/>
        </w:rPr>
        <w:t>.</w:t>
      </w:r>
      <w:r w:rsidRPr="007823E2">
        <w:t xml:space="preserve"> </w:t>
      </w:r>
    </w:p>
    <w:p w:rsidR="000C1980" w:rsidP="001968DC" w:rsidRDefault="000C1980" w14:paraId="5B165525" w14:textId="77777777">
      <w:pPr>
        <w:pStyle w:val="Heading2"/>
        <w:ind w:left="1728"/>
      </w:pPr>
      <w:bookmarkStart w:name="_Toc69948008" w:id="346"/>
      <w:r>
        <w:lastRenderedPageBreak/>
        <w:t>ESA Goals – Energy Savings</w:t>
      </w:r>
      <w:bookmarkEnd w:id="346"/>
      <w:r>
        <w:t xml:space="preserve"> </w:t>
      </w:r>
    </w:p>
    <w:p w:rsidR="000C1980" w:rsidP="001968DC" w:rsidRDefault="000C1980" w14:paraId="02CD5C77" w14:textId="77777777">
      <w:pPr>
        <w:pStyle w:val="Heading3"/>
        <w:ind w:left="2664"/>
      </w:pPr>
      <w:bookmarkStart w:name="_Toc69948009" w:id="347"/>
      <w:r>
        <w:t>Background</w:t>
      </w:r>
      <w:bookmarkEnd w:id="347"/>
    </w:p>
    <w:p w:rsidRPr="00C65BE3" w:rsidR="000C1980" w:rsidP="000D3EBD" w:rsidRDefault="000C1980" w14:paraId="1B60E38D" w14:textId="357CA65B">
      <w:pPr>
        <w:pStyle w:val="Standard"/>
      </w:pPr>
      <w:r>
        <w:t>In 2016, the Commission adopted annual energy savings targets (not goals) for the ESA program for the first time.</w:t>
      </w:r>
      <w:r>
        <w:rPr>
          <w:rStyle w:val="FootnoteReference"/>
        </w:rPr>
        <w:footnoteReference w:id="478"/>
      </w:r>
      <w:r>
        <w:t xml:space="preserve">  Although it was made clear that these were savings </w:t>
      </w:r>
      <w:r w:rsidRPr="00B048E7">
        <w:rPr>
          <w:i/>
          <w:iCs/>
        </w:rPr>
        <w:t>targets</w:t>
      </w:r>
      <w:r>
        <w:t xml:space="preserve"> and not </w:t>
      </w:r>
      <w:r w:rsidRPr="00B048E7">
        <w:rPr>
          <w:i/>
          <w:iCs/>
        </w:rPr>
        <w:t>goals</w:t>
      </w:r>
      <w:r>
        <w:t xml:space="preserve">, this signaled that the Commission would be looking for to IOUs shift the focus of the program away from a unit focused program to one that would garner greater efficiencies in terms energy savings and cost effectiveness.  And though the IOUs were directed to work towards achieving both the household treatment goals and the energy savings targets, </w:t>
      </w:r>
      <w:r w:rsidRPr="6A220AF3">
        <w:t>funding allocation was never contingent on meeting these goals or targets.  The exception would be in 2019, where D</w:t>
      </w:r>
      <w:r>
        <w:rPr>
          <w:szCs w:val="26"/>
        </w:rPr>
        <w:t>.</w:t>
      </w:r>
      <w:r w:rsidRPr="6A220AF3">
        <w:t>19-06-022, later modified by D.20-08-033, made bridge funding for PY 2021 contingent on IOUs to meeting certain milestones</w:t>
      </w:r>
      <w:r w:rsidRPr="00C01D24">
        <w:rPr>
          <w:szCs w:val="26"/>
        </w:rPr>
        <w:t>.</w:t>
      </w:r>
      <w:r w:rsidRPr="6A220AF3">
        <w:rPr>
          <w:vertAlign w:val="superscript"/>
        </w:rPr>
        <w:footnoteReference w:id="479"/>
      </w:r>
      <w:r w:rsidRPr="00C01D24">
        <w:rPr>
          <w:szCs w:val="26"/>
        </w:rPr>
        <w:t xml:space="preserve">  </w:t>
      </w:r>
      <w:r w:rsidRPr="6A220AF3">
        <w:t>For the 2021-2026 program cycle, the IOUs were asked to provide at a minimum goals for</w:t>
      </w:r>
      <w:r w:rsidR="006A6C37">
        <w:t>:</w:t>
      </w:r>
      <w:r w:rsidRPr="6A220AF3">
        <w:t xml:space="preserve"> 1) portfolio level energy savings</w:t>
      </w:r>
      <w:r>
        <w:rPr>
          <w:szCs w:val="26"/>
        </w:rPr>
        <w:t xml:space="preserve">, </w:t>
      </w:r>
      <w:r w:rsidRPr="6A220AF3">
        <w:t xml:space="preserve">2) average annual </w:t>
      </w:r>
      <w:r>
        <w:rPr>
          <w:szCs w:val="26"/>
        </w:rPr>
        <w:t xml:space="preserve"> </w:t>
      </w:r>
      <w:r w:rsidRPr="6A220AF3">
        <w:t xml:space="preserve">household level energy savings for resource measures, and 3) another quantitative goal to reflect HCS benefits from non-resource measures (addressed in </w:t>
      </w:r>
      <w:r>
        <w:t>S</w:t>
      </w:r>
      <w:r w:rsidRPr="6A220AF3">
        <w:t>ection 6.</w:t>
      </w:r>
      <w:r>
        <w:t>8</w:t>
      </w:r>
      <w:r w:rsidRPr="6A220AF3">
        <w:t>)</w:t>
      </w:r>
      <w:r>
        <w:rPr>
          <w:szCs w:val="26"/>
        </w:rPr>
        <w:t>.</w:t>
      </w:r>
      <w:r w:rsidRPr="6A220AF3">
        <w:rPr>
          <w:rStyle w:val="FootnoteReference"/>
        </w:rPr>
        <w:footnoteReference w:id="480"/>
      </w:r>
      <w:r>
        <w:rPr>
          <w:szCs w:val="26"/>
        </w:rPr>
        <w:t xml:space="preserve">  </w:t>
      </w:r>
      <w:r w:rsidRPr="6A220AF3">
        <w:t>The IOUs were to reference any relevant information, including information from the mainstream energy efficiency (EE) Potential and Goals (P&amp;G) Study in setting their ESA energy savings goals.</w:t>
      </w:r>
    </w:p>
    <w:p w:rsidR="000C1980" w:rsidP="001968DC" w:rsidRDefault="000C1980" w14:paraId="6F06530B" w14:textId="77777777">
      <w:pPr>
        <w:pStyle w:val="Heading3"/>
        <w:ind w:left="2664"/>
      </w:pPr>
      <w:bookmarkStart w:name="_Toc69948010" w:id="348"/>
      <w:r>
        <w:t>PG&amp;E Proposal</w:t>
      </w:r>
      <w:bookmarkEnd w:id="348"/>
    </w:p>
    <w:p w:rsidR="000C1980" w:rsidP="000D3EBD" w:rsidRDefault="000C1980" w14:paraId="60ACAE07" w14:textId="77777777">
      <w:pPr>
        <w:pStyle w:val="Standard"/>
      </w:pPr>
      <w:r>
        <w:rPr>
          <w:b/>
          <w:bCs/>
          <w:i/>
          <w:iCs/>
          <w:u w:val="single"/>
        </w:rPr>
        <w:t xml:space="preserve">Portfolio Level </w:t>
      </w:r>
      <w:r w:rsidRPr="007359EB">
        <w:rPr>
          <w:b/>
          <w:bCs/>
          <w:i/>
          <w:iCs/>
          <w:u w:val="single"/>
        </w:rPr>
        <w:t>Energy Savings Target:</w:t>
      </w:r>
      <w:r>
        <w:t xml:space="preserve"> </w:t>
      </w:r>
      <w:r w:rsidRPr="00F3674C">
        <w:t xml:space="preserve">PG&amp;E </w:t>
      </w:r>
      <w:r>
        <w:t>proposes a total first-year</w:t>
      </w:r>
      <w:r w:rsidRPr="00F3674C">
        <w:t xml:space="preserve"> </w:t>
      </w:r>
      <w:r>
        <w:t xml:space="preserve">gross </w:t>
      </w:r>
      <w:r w:rsidRPr="00F3674C">
        <w:t xml:space="preserve">energy savings </w:t>
      </w:r>
      <w:r w:rsidRPr="009B315A">
        <w:rPr>
          <w:i/>
          <w:iCs/>
        </w:rPr>
        <w:t>target</w:t>
      </w:r>
      <w:r w:rsidRPr="00F3674C">
        <w:t xml:space="preserve"> of 103.6</w:t>
      </w:r>
      <w:r>
        <w:t xml:space="preserve"> GWh and </w:t>
      </w:r>
      <w:r w:rsidRPr="00F3674C">
        <w:t xml:space="preserve">4.5M </w:t>
      </w:r>
      <w:proofErr w:type="spellStart"/>
      <w:r w:rsidRPr="00F3674C">
        <w:t>Therms</w:t>
      </w:r>
      <w:proofErr w:type="spellEnd"/>
      <w:r>
        <w:t xml:space="preserve">, and a GHG </w:t>
      </w:r>
      <w:r>
        <w:lastRenderedPageBreak/>
        <w:t>reduction target of 106,981 tons for PYs 2021-2026.</w:t>
      </w:r>
      <w:r w:rsidRPr="00F3674C">
        <w:rPr>
          <w:vertAlign w:val="superscript"/>
        </w:rPr>
        <w:footnoteReference w:id="481"/>
      </w:r>
      <w:r w:rsidRPr="00F3674C">
        <w:t xml:space="preserve">  </w:t>
      </w:r>
      <w:r>
        <w:t xml:space="preserve">PG&amp;E expects that </w:t>
      </w:r>
      <w:r w:rsidRPr="004B321E">
        <w:t>energy</w:t>
      </w:r>
      <w:r>
        <w:t xml:space="preserve"> </w:t>
      </w:r>
      <w:r w:rsidRPr="004B321E">
        <w:t xml:space="preserve">savings will be realized for </w:t>
      </w:r>
      <w:r>
        <w:t>all</w:t>
      </w:r>
      <w:r w:rsidRPr="004B321E">
        <w:t xml:space="preserve"> level</w:t>
      </w:r>
      <w:r>
        <w:t xml:space="preserve">s </w:t>
      </w:r>
      <w:r w:rsidRPr="004B321E">
        <w:t xml:space="preserve">of services due to the degree of </w:t>
      </w:r>
      <w:r>
        <w:t>r</w:t>
      </w:r>
      <w:r w:rsidRPr="004B321E">
        <w:t xml:space="preserve">esource </w:t>
      </w:r>
      <w:r>
        <w:t>m</w:t>
      </w:r>
      <w:r w:rsidRPr="004B321E">
        <w:t>easures available</w:t>
      </w:r>
      <w:r>
        <w:t>, h</w:t>
      </w:r>
      <w:r w:rsidRPr="00F15B27">
        <w:t xml:space="preserve">owever, for </w:t>
      </w:r>
      <w:r>
        <w:t>some homes</w:t>
      </w:r>
      <w:r w:rsidRPr="00F15B27">
        <w:t>, the savings may not be as</w:t>
      </w:r>
      <w:r>
        <w:t xml:space="preserve"> </w:t>
      </w:r>
      <w:r w:rsidRPr="00F15B27">
        <w:t>great depending on what is installed for the need state.</w:t>
      </w:r>
      <w:r>
        <w:rPr>
          <w:rStyle w:val="FootnoteReference"/>
        </w:rPr>
        <w:footnoteReference w:id="482"/>
      </w:r>
      <w:r>
        <w:t xml:space="preserve">  </w:t>
      </w:r>
    </w:p>
    <w:p w:rsidR="000C1980" w:rsidP="000D3EBD" w:rsidRDefault="000C1980" w14:paraId="5B9D2513" w14:textId="77777777">
      <w:pPr>
        <w:pStyle w:val="Standard"/>
      </w:pPr>
      <w:r>
        <w:rPr>
          <w:b/>
          <w:bCs/>
          <w:i/>
          <w:iCs/>
          <w:u w:val="single"/>
        </w:rPr>
        <w:t xml:space="preserve">Measuring the Depth of </w:t>
      </w:r>
      <w:r w:rsidRPr="007359EB">
        <w:rPr>
          <w:b/>
          <w:bCs/>
          <w:i/>
          <w:iCs/>
          <w:u w:val="single"/>
        </w:rPr>
        <w:t>Energy Savings:</w:t>
      </w:r>
      <w:r>
        <w:t xml:space="preserve"> PG&amp;E proposes</w:t>
      </w:r>
      <w:r w:rsidRPr="003638DB">
        <w:t xml:space="preserve"> two quantitative </w:t>
      </w:r>
      <w:r>
        <w:t>metrics, (not goals)</w:t>
      </w:r>
      <w:r w:rsidRPr="003638DB">
        <w:t xml:space="preserve"> </w:t>
      </w:r>
      <w:r>
        <w:t xml:space="preserve">to measure the depth of energy savings, 1) </w:t>
      </w:r>
      <w:r w:rsidRPr="00393917">
        <w:rPr>
          <w:rFonts w:cs="ArialMT"/>
          <w:sz w:val="24"/>
          <w:szCs w:val="24"/>
        </w:rPr>
        <w:t>a</w:t>
      </w:r>
      <w:r w:rsidRPr="00393917">
        <w:t xml:space="preserve">verage lifecycle benefits per household from resource measures </w:t>
      </w:r>
      <w:r w:rsidRPr="00F44E7B">
        <w:t xml:space="preserve">where both energy savings and </w:t>
      </w:r>
      <w:r w:rsidRPr="00393917">
        <w:t>NEB are applicable and</w:t>
      </w:r>
      <w:r>
        <w:t>, 2)</w:t>
      </w:r>
      <w:r w:rsidRPr="00393917">
        <w:t xml:space="preserve"> average lifecycle benefits per</w:t>
      </w:r>
      <w:r w:rsidRPr="002C614C">
        <w:t xml:space="preserve"> </w:t>
      </w:r>
      <w:r>
        <w:t>h</w:t>
      </w:r>
      <w:r w:rsidRPr="002C614C">
        <w:t xml:space="preserve">ousehold from </w:t>
      </w:r>
      <w:r>
        <w:t>n</w:t>
      </w:r>
      <w:r w:rsidRPr="002C614C">
        <w:t>on-</w:t>
      </w:r>
      <w:r>
        <w:t>r</w:t>
      </w:r>
      <w:r w:rsidRPr="002C614C">
        <w:t>esource</w:t>
      </w:r>
      <w:r>
        <w:t xml:space="preserve"> m</w:t>
      </w:r>
      <w:r w:rsidRPr="002C614C">
        <w:t>easures where there are no energy savings and only NEBS are</w:t>
      </w:r>
      <w:r>
        <w:t xml:space="preserve"> </w:t>
      </w:r>
      <w:r w:rsidRPr="002C614C">
        <w:t>applicable</w:t>
      </w:r>
      <w:r>
        <w:t>.  For the former metric, PG&amp;E provides an example of an average lifecycle value of $906 per household, and the latter metric an average lifecycle value of $87 per household for PYs 2021-2026.</w:t>
      </w:r>
      <w:r>
        <w:rPr>
          <w:rStyle w:val="FootnoteReference"/>
        </w:rPr>
        <w:footnoteReference w:id="483"/>
      </w:r>
      <w:r>
        <w:t xml:space="preserve"> </w:t>
      </w:r>
      <w:r w:rsidRPr="003638DB">
        <w:t xml:space="preserve"> </w:t>
      </w:r>
    </w:p>
    <w:p w:rsidR="000C1980" w:rsidP="001968DC" w:rsidRDefault="000C1980" w14:paraId="36A41E46" w14:textId="77777777">
      <w:pPr>
        <w:pStyle w:val="Heading3"/>
        <w:ind w:left="2664"/>
      </w:pPr>
      <w:bookmarkStart w:name="_Toc69948011" w:id="349"/>
      <w:r>
        <w:t>SCE Proposal</w:t>
      </w:r>
      <w:bookmarkEnd w:id="349"/>
      <w:r>
        <w:t xml:space="preserve"> </w:t>
      </w:r>
    </w:p>
    <w:p w:rsidR="000C1980" w:rsidP="000D3EBD" w:rsidRDefault="000C1980" w14:paraId="512A2B23" w14:textId="77777777">
      <w:pPr>
        <w:pStyle w:val="Standard"/>
      </w:pPr>
      <w:r w:rsidRPr="4FC83D76">
        <w:rPr>
          <w:b/>
          <w:bCs/>
          <w:i/>
          <w:iCs/>
          <w:u w:val="single"/>
        </w:rPr>
        <w:t>Portfolio Level Energy Savings Target:</w:t>
      </w:r>
      <w:r>
        <w:t xml:space="preserve"> </w:t>
      </w:r>
      <w:r w:rsidRPr="00317607">
        <w:t xml:space="preserve">SCE </w:t>
      </w:r>
      <w:r>
        <w:t>proposes</w:t>
      </w:r>
      <w:r w:rsidRPr="00F3674C">
        <w:t xml:space="preserve"> </w:t>
      </w:r>
      <w:r>
        <w:t xml:space="preserve">a total first-year gross </w:t>
      </w:r>
      <w:r w:rsidRPr="00F3674C">
        <w:t xml:space="preserve">energy savings </w:t>
      </w:r>
      <w:r w:rsidRPr="4FC83D76">
        <w:rPr>
          <w:i/>
          <w:iCs/>
        </w:rPr>
        <w:t>target</w:t>
      </w:r>
      <w:r>
        <w:t xml:space="preserve"> </w:t>
      </w:r>
      <w:r w:rsidRPr="00317607">
        <w:t xml:space="preserve">of </w:t>
      </w:r>
      <w:r>
        <w:t xml:space="preserve">176 GWh and 1.55M </w:t>
      </w:r>
      <w:proofErr w:type="spellStart"/>
      <w:r>
        <w:t>therms</w:t>
      </w:r>
      <w:proofErr w:type="spellEnd"/>
      <w:r>
        <w:t xml:space="preserve">, and a total GHG reduction target of 13,411 metric tons (14,783 tons) for PYs 2021-2026.  </w:t>
      </w:r>
      <w:r w:rsidRPr="00D81376">
        <w:t xml:space="preserve">SCE </w:t>
      </w:r>
      <w:r>
        <w:t xml:space="preserve">is also </w:t>
      </w:r>
      <w:r w:rsidRPr="00D81376">
        <w:t>claiming gas savings for the first time, because of two proposed</w:t>
      </w:r>
      <w:r>
        <w:t xml:space="preserve"> </w:t>
      </w:r>
      <w:r w:rsidRPr="00D81376">
        <w:t>electrification pilots that will replace gas furnaces and water heaters with electric heat pumps.</w:t>
      </w:r>
      <w:r>
        <w:rPr>
          <w:rStyle w:val="FootnoteReference"/>
        </w:rPr>
        <w:footnoteReference w:id="484"/>
      </w:r>
    </w:p>
    <w:p w:rsidR="000C1980" w:rsidP="000D3EBD" w:rsidRDefault="000C1980" w14:paraId="59C5B109" w14:textId="77777777">
      <w:pPr>
        <w:pStyle w:val="Standard"/>
      </w:pPr>
      <w:r>
        <w:rPr>
          <w:b/>
          <w:bCs/>
          <w:i/>
          <w:iCs/>
          <w:u w:val="single"/>
        </w:rPr>
        <w:t xml:space="preserve">Measuring the Depth of </w:t>
      </w:r>
      <w:r w:rsidRPr="007359EB">
        <w:rPr>
          <w:b/>
          <w:bCs/>
          <w:i/>
          <w:iCs/>
          <w:u w:val="single"/>
        </w:rPr>
        <w:t>Energy Savings:</w:t>
      </w:r>
      <w:r>
        <w:t xml:space="preserve"> SCE proposes</w:t>
      </w:r>
      <w:r w:rsidRPr="003638DB">
        <w:t xml:space="preserve"> two quantitative </w:t>
      </w:r>
      <w:r>
        <w:t>metrics, (not goals)</w:t>
      </w:r>
      <w:r w:rsidRPr="003638DB">
        <w:t xml:space="preserve"> </w:t>
      </w:r>
      <w:r>
        <w:t xml:space="preserve">to measure the depth of energy savings, 1) </w:t>
      </w:r>
      <w:r w:rsidRPr="003638DB">
        <w:t xml:space="preserve">average annual </w:t>
      </w:r>
      <w:r>
        <w:t>r</w:t>
      </w:r>
      <w:r w:rsidRPr="003638DB">
        <w:t xml:space="preserve">esource measures energy </w:t>
      </w:r>
      <w:r>
        <w:t>s</w:t>
      </w:r>
      <w:r w:rsidRPr="003638DB">
        <w:t>avings per</w:t>
      </w:r>
      <w:r>
        <w:t xml:space="preserve"> </w:t>
      </w:r>
      <w:r w:rsidRPr="003638DB">
        <w:t xml:space="preserve">household </w:t>
      </w:r>
      <w:r>
        <w:t xml:space="preserve">and 2) bill savings displayed in </w:t>
      </w:r>
      <w:r>
        <w:lastRenderedPageBreak/>
        <w:t>dollars.  SCE proposes an a</w:t>
      </w:r>
      <w:r w:rsidRPr="0027012C">
        <w:t xml:space="preserve">verage </w:t>
      </w:r>
      <w:r>
        <w:t>a</w:t>
      </w:r>
      <w:r w:rsidRPr="0027012C">
        <w:t xml:space="preserve">nnual </w:t>
      </w:r>
      <w:r>
        <w:t>e</w:t>
      </w:r>
      <w:r w:rsidRPr="0027012C">
        <w:t xml:space="preserve">lectric </w:t>
      </w:r>
      <w:r>
        <w:t>s</w:t>
      </w:r>
      <w:r w:rsidRPr="0027012C">
        <w:t xml:space="preserve">avings per </w:t>
      </w:r>
      <w:r>
        <w:t>h</w:t>
      </w:r>
      <w:r w:rsidRPr="0027012C">
        <w:t xml:space="preserve">ousehold </w:t>
      </w:r>
      <w:r>
        <w:t>of around 530 kWh per year, and an a</w:t>
      </w:r>
      <w:r w:rsidRPr="00A53D8F">
        <w:t xml:space="preserve">verage </w:t>
      </w:r>
      <w:r>
        <w:t>a</w:t>
      </w:r>
      <w:r w:rsidRPr="00A53D8F">
        <w:t xml:space="preserve">nnual </w:t>
      </w:r>
      <w:r>
        <w:t>e</w:t>
      </w:r>
      <w:r w:rsidRPr="00A53D8F">
        <w:t xml:space="preserve">lectric </w:t>
      </w:r>
      <w:r>
        <w:t>b</w:t>
      </w:r>
      <w:r w:rsidRPr="00A53D8F">
        <w:t xml:space="preserve">ill </w:t>
      </w:r>
      <w:r>
        <w:t>s</w:t>
      </w:r>
      <w:r w:rsidRPr="00A53D8F">
        <w:t xml:space="preserve">avings per </w:t>
      </w:r>
      <w:r>
        <w:t>h</w:t>
      </w:r>
      <w:r w:rsidRPr="00A53D8F">
        <w:t>ousehold of $85 per year</w:t>
      </w:r>
      <w:r>
        <w:t>.</w:t>
      </w:r>
      <w:r>
        <w:rPr>
          <w:rStyle w:val="FootnoteReference"/>
        </w:rPr>
        <w:footnoteReference w:id="485"/>
      </w:r>
    </w:p>
    <w:p w:rsidR="000C1980" w:rsidP="001968DC" w:rsidRDefault="000C1980" w14:paraId="10257F83" w14:textId="77777777">
      <w:pPr>
        <w:pStyle w:val="Heading3"/>
        <w:ind w:left="2664"/>
      </w:pPr>
      <w:bookmarkStart w:name="_Toc69948012" w:id="350"/>
      <w:r>
        <w:t>SoCalGas Proposal</w:t>
      </w:r>
      <w:bookmarkEnd w:id="350"/>
      <w:r>
        <w:t xml:space="preserve"> </w:t>
      </w:r>
    </w:p>
    <w:p w:rsidR="000C1980" w:rsidP="000D3EBD" w:rsidRDefault="000C1980" w14:paraId="099984E2" w14:textId="77777777">
      <w:pPr>
        <w:pStyle w:val="Standard"/>
      </w:pPr>
      <w:r w:rsidRPr="4FC83D76">
        <w:rPr>
          <w:b/>
          <w:bCs/>
          <w:i/>
          <w:iCs/>
          <w:u w:val="single"/>
        </w:rPr>
        <w:t>Portfolio Level Energy Savings Target:</w:t>
      </w:r>
      <w:r>
        <w:t xml:space="preserve"> SoCalGas proposes a total first-year gross energy savings </w:t>
      </w:r>
      <w:r w:rsidRPr="4FC83D76">
        <w:rPr>
          <w:i/>
          <w:iCs/>
        </w:rPr>
        <w:t>target</w:t>
      </w:r>
      <w:r>
        <w:t xml:space="preserve"> of 10.01M </w:t>
      </w:r>
      <w:proofErr w:type="spellStart"/>
      <w:r>
        <w:t>therms</w:t>
      </w:r>
      <w:proofErr w:type="spellEnd"/>
      <w:r>
        <w:t xml:space="preserve"> and a total GHG reduction target of 44,071 tons for PYs 2021-2026.</w:t>
      </w:r>
      <w:r w:rsidRPr="4FC83D76">
        <w:rPr>
          <w:vertAlign w:val="superscript"/>
        </w:rPr>
        <w:t xml:space="preserve"> </w:t>
      </w:r>
      <w:r w:rsidRPr="00317607">
        <w:rPr>
          <w:vertAlign w:val="superscript"/>
        </w:rPr>
        <w:footnoteReference w:id="486"/>
      </w:r>
      <w:r>
        <w:t xml:space="preserve"> </w:t>
      </w:r>
    </w:p>
    <w:p w:rsidR="000C1980" w:rsidP="000D3EBD" w:rsidRDefault="000C1980" w14:paraId="618B7FBB" w14:textId="77777777">
      <w:pPr>
        <w:pStyle w:val="Standard"/>
      </w:pPr>
      <w:r>
        <w:rPr>
          <w:b/>
          <w:bCs/>
          <w:i/>
          <w:iCs/>
          <w:u w:val="single"/>
        </w:rPr>
        <w:t xml:space="preserve">Measuring the Depth of </w:t>
      </w:r>
      <w:r w:rsidRPr="007359EB">
        <w:rPr>
          <w:b/>
          <w:bCs/>
          <w:i/>
          <w:iCs/>
          <w:u w:val="single"/>
        </w:rPr>
        <w:t>Energy Savings:</w:t>
      </w:r>
      <w:r>
        <w:t xml:space="preserve"> SoCalGas proposes two metrics, (not goals), to measure the depth of the energy savings goals, 1) a</w:t>
      </w:r>
      <w:r w:rsidRPr="00662DFB">
        <w:t xml:space="preserve">verage </w:t>
      </w:r>
      <w:r>
        <w:t>e</w:t>
      </w:r>
      <w:r w:rsidRPr="00662DFB">
        <w:t xml:space="preserve">nergy </w:t>
      </w:r>
      <w:r>
        <w:t>s</w:t>
      </w:r>
      <w:r w:rsidRPr="00662DFB">
        <w:t xml:space="preserve">avings per </w:t>
      </w:r>
      <w:r>
        <w:t>h</w:t>
      </w:r>
      <w:r w:rsidRPr="00662DFB">
        <w:t>ousehold</w:t>
      </w:r>
      <w:r>
        <w:t xml:space="preserve"> (a</w:t>
      </w:r>
      <w:r w:rsidRPr="00DD5E93">
        <w:t xml:space="preserve">verage first-year energy savings in </w:t>
      </w:r>
      <w:proofErr w:type="spellStart"/>
      <w:r w:rsidRPr="00DD5E93">
        <w:t>therms</w:t>
      </w:r>
      <w:proofErr w:type="spellEnd"/>
      <w:r w:rsidRPr="00DD5E93">
        <w:t xml:space="preserve"> per household treated</w:t>
      </w:r>
      <w:r>
        <w:t xml:space="preserve"> </w:t>
      </w:r>
      <w:r w:rsidRPr="00DD5E93">
        <w:t>during reporting year</w:t>
      </w:r>
      <w:r>
        <w:t>)</w:t>
      </w:r>
      <w:r w:rsidRPr="00DD5E93">
        <w:t xml:space="preserve"> </w:t>
      </w:r>
      <w:r>
        <w:t xml:space="preserve">which they propose to be 13 </w:t>
      </w:r>
      <w:proofErr w:type="spellStart"/>
      <w:r>
        <w:t>therms</w:t>
      </w:r>
      <w:proofErr w:type="spellEnd"/>
      <w:r>
        <w:t xml:space="preserve"> per household per year, and 2) a</w:t>
      </w:r>
      <w:r w:rsidRPr="00662DFB">
        <w:t xml:space="preserve">verage </w:t>
      </w:r>
      <w:r>
        <w:t>c</w:t>
      </w:r>
      <w:r w:rsidRPr="00662DFB">
        <w:t xml:space="preserve">omfort </w:t>
      </w:r>
      <w:r>
        <w:t>i</w:t>
      </w:r>
      <w:r w:rsidRPr="00662DFB">
        <w:t xml:space="preserve">mprovements per </w:t>
      </w:r>
      <w:r>
        <w:t>h</w:t>
      </w:r>
      <w:r w:rsidRPr="00662DFB">
        <w:t>ousehold</w:t>
      </w:r>
      <w:r>
        <w:t xml:space="preserve"> (n</w:t>
      </w:r>
      <w:r w:rsidRPr="001569C0">
        <w:t>on-energy participant benefits per household for non-resource</w:t>
      </w:r>
      <w:r>
        <w:t xml:space="preserve"> </w:t>
      </w:r>
      <w:r w:rsidRPr="001569C0">
        <w:t>measures</w:t>
      </w:r>
      <w:r>
        <w:t xml:space="preserve">), which they propose to be $26 per household per year. </w:t>
      </w:r>
      <w:r>
        <w:rPr>
          <w:rStyle w:val="FootnoteReference"/>
        </w:rPr>
        <w:footnoteReference w:id="487"/>
      </w:r>
      <w:r>
        <w:t xml:space="preserve"> </w:t>
      </w:r>
    </w:p>
    <w:p w:rsidR="000C1980" w:rsidP="001968DC" w:rsidRDefault="000C1980" w14:paraId="3FB01A86" w14:textId="77777777">
      <w:pPr>
        <w:pStyle w:val="Heading3"/>
        <w:ind w:left="2664"/>
      </w:pPr>
      <w:bookmarkStart w:name="_Toc69948013" w:id="351"/>
      <w:r>
        <w:t>SDG&amp;E Proposal</w:t>
      </w:r>
      <w:bookmarkEnd w:id="351"/>
      <w:r>
        <w:t xml:space="preserve"> </w:t>
      </w:r>
    </w:p>
    <w:p w:rsidR="000C1980" w:rsidP="000D3EBD" w:rsidRDefault="000C1980" w14:paraId="61F66E9A" w14:textId="77777777">
      <w:pPr>
        <w:pStyle w:val="Standard"/>
      </w:pPr>
      <w:r>
        <w:rPr>
          <w:b/>
          <w:bCs/>
          <w:i/>
          <w:iCs/>
          <w:u w:val="single"/>
        </w:rPr>
        <w:t xml:space="preserve">Portfolio Level </w:t>
      </w:r>
      <w:r w:rsidRPr="007359EB">
        <w:rPr>
          <w:b/>
          <w:bCs/>
          <w:i/>
          <w:iCs/>
          <w:u w:val="single"/>
        </w:rPr>
        <w:t>Energy Savings Target:</w:t>
      </w:r>
      <w:r>
        <w:t xml:space="preserve"> </w:t>
      </w:r>
      <w:r w:rsidRPr="00FD7331">
        <w:t xml:space="preserve">SDG&amp;E </w:t>
      </w:r>
      <w:r>
        <w:t>proposes</w:t>
      </w:r>
      <w:r w:rsidRPr="00F3674C">
        <w:t xml:space="preserve"> </w:t>
      </w:r>
      <w:r>
        <w:t>a total first-year</w:t>
      </w:r>
      <w:r w:rsidRPr="00F3674C">
        <w:t xml:space="preserve"> </w:t>
      </w:r>
      <w:r>
        <w:t xml:space="preserve">gross </w:t>
      </w:r>
      <w:r w:rsidRPr="00F3674C">
        <w:t xml:space="preserve">energy savings </w:t>
      </w:r>
      <w:r w:rsidRPr="002C1C42">
        <w:rPr>
          <w:i/>
          <w:iCs/>
        </w:rPr>
        <w:t>target</w:t>
      </w:r>
      <w:r w:rsidRPr="00317607">
        <w:t xml:space="preserve"> of</w:t>
      </w:r>
      <w:r w:rsidRPr="00F3674C">
        <w:t xml:space="preserve"> </w:t>
      </w:r>
      <w:r>
        <w:t>21.1 GW</w:t>
      </w:r>
      <w:r w:rsidRPr="00B104C3">
        <w:t>h</w:t>
      </w:r>
      <w:r>
        <w:t>, 0.88 M</w:t>
      </w:r>
      <w:r w:rsidRPr="00B104C3">
        <w:t xml:space="preserve"> </w:t>
      </w:r>
      <w:proofErr w:type="spellStart"/>
      <w:r w:rsidRPr="00B104C3">
        <w:t>therms</w:t>
      </w:r>
      <w:proofErr w:type="spellEnd"/>
      <w:r w:rsidRPr="00B104C3">
        <w:t xml:space="preserve">, and 14,220 tons </w:t>
      </w:r>
      <w:r>
        <w:t>(</w:t>
      </w:r>
      <w:r w:rsidRPr="00B104C3">
        <w:t>GHG savings</w:t>
      </w:r>
      <w:r>
        <w:t>) for PYs 2021-2026.</w:t>
      </w:r>
      <w:r w:rsidRPr="00B104C3">
        <w:rPr>
          <w:vertAlign w:val="superscript"/>
        </w:rPr>
        <w:footnoteReference w:id="488"/>
      </w:r>
      <w:r>
        <w:t xml:space="preserve"> </w:t>
      </w:r>
    </w:p>
    <w:p w:rsidR="000C1980" w:rsidP="000D3EBD" w:rsidRDefault="000C1980" w14:paraId="45FE07AD" w14:textId="77777777">
      <w:pPr>
        <w:pStyle w:val="Standard"/>
      </w:pPr>
      <w:r>
        <w:rPr>
          <w:b/>
          <w:bCs/>
          <w:i/>
          <w:iCs/>
          <w:u w:val="single"/>
        </w:rPr>
        <w:t xml:space="preserve">Measuring the Depth of </w:t>
      </w:r>
      <w:r w:rsidRPr="007359EB">
        <w:rPr>
          <w:b/>
          <w:bCs/>
          <w:i/>
          <w:iCs/>
          <w:u w:val="single"/>
        </w:rPr>
        <w:t>Energy Savings:</w:t>
      </w:r>
      <w:r>
        <w:t xml:space="preserve"> SDG&amp;E propose two additional goals to measure the depth of energy savings: 1) a</w:t>
      </w:r>
      <w:r w:rsidRPr="006A4941">
        <w:t>verage</w:t>
      </w:r>
      <w:r>
        <w:t xml:space="preserve"> </w:t>
      </w:r>
      <w:r w:rsidRPr="006A4941">
        <w:t>annual</w:t>
      </w:r>
      <w:r>
        <w:t xml:space="preserve"> </w:t>
      </w:r>
      <w:r w:rsidRPr="006A4941">
        <w:t>resource</w:t>
      </w:r>
      <w:r>
        <w:t xml:space="preserve"> m</w:t>
      </w:r>
      <w:r w:rsidRPr="006A4941">
        <w:t>easures</w:t>
      </w:r>
      <w:r>
        <w:t xml:space="preserve"> </w:t>
      </w:r>
      <w:r w:rsidRPr="006A4941">
        <w:t>energy</w:t>
      </w:r>
      <w:r>
        <w:t xml:space="preserve"> </w:t>
      </w:r>
      <w:r w:rsidRPr="006A4941">
        <w:t>savings per</w:t>
      </w:r>
      <w:r>
        <w:t xml:space="preserve"> </w:t>
      </w:r>
      <w:r w:rsidRPr="006A4941">
        <w:t>household</w:t>
      </w:r>
      <w:r>
        <w:t xml:space="preserve"> (aiming for </w:t>
      </w:r>
      <w:r w:rsidRPr="00996786">
        <w:t xml:space="preserve">SF: 300 kWh, </w:t>
      </w:r>
      <w:r>
        <w:t xml:space="preserve">10 </w:t>
      </w:r>
      <w:proofErr w:type="spellStart"/>
      <w:r w:rsidRPr="00996786">
        <w:t>therms</w:t>
      </w:r>
      <w:proofErr w:type="spellEnd"/>
      <w:r>
        <w:t>, M</w:t>
      </w:r>
      <w:r w:rsidRPr="00996786">
        <w:t>F: 100 kWh, 5</w:t>
      </w:r>
      <w:r>
        <w:t xml:space="preserve"> </w:t>
      </w:r>
      <w:proofErr w:type="spellStart"/>
      <w:r>
        <w:t>t</w:t>
      </w:r>
      <w:r w:rsidRPr="00996786">
        <w:t>herms</w:t>
      </w:r>
      <w:proofErr w:type="spellEnd"/>
      <w:r>
        <w:t xml:space="preserve">, and </w:t>
      </w:r>
      <w:r w:rsidRPr="00996786">
        <w:t>MH: 250 kWh, 20</w:t>
      </w:r>
      <w:r>
        <w:t xml:space="preserve"> </w:t>
      </w:r>
      <w:proofErr w:type="spellStart"/>
      <w:r>
        <w:t>t</w:t>
      </w:r>
      <w:r w:rsidRPr="00996786">
        <w:t>herms</w:t>
      </w:r>
      <w:proofErr w:type="spellEnd"/>
      <w:r>
        <w:t>), and 2) a</w:t>
      </w:r>
      <w:r w:rsidRPr="00214B74">
        <w:t>verage</w:t>
      </w:r>
      <w:r>
        <w:t xml:space="preserve"> first-year </w:t>
      </w:r>
      <w:r w:rsidRPr="00214B74">
        <w:lastRenderedPageBreak/>
        <w:t>NEBs</w:t>
      </w:r>
      <w:r>
        <w:t xml:space="preserve"> </w:t>
      </w:r>
      <w:r w:rsidRPr="00214B74">
        <w:t>delivered per</w:t>
      </w:r>
      <w:r>
        <w:t xml:space="preserve"> </w:t>
      </w:r>
      <w:r w:rsidRPr="00214B74">
        <w:t>household</w:t>
      </w:r>
      <w:r>
        <w:t xml:space="preserve"> (aiming for </w:t>
      </w:r>
      <w:r w:rsidRPr="00214B74">
        <w:t>SF:</w:t>
      </w:r>
      <w:r>
        <w:t xml:space="preserve"> $</w:t>
      </w:r>
      <w:r w:rsidRPr="00214B74">
        <w:t>60</w:t>
      </w:r>
      <w:r>
        <w:t xml:space="preserve">, </w:t>
      </w:r>
      <w:r w:rsidRPr="00214B74">
        <w:t>MF: $60</w:t>
      </w:r>
      <w:r>
        <w:t xml:space="preserve">, and </w:t>
      </w:r>
      <w:r w:rsidRPr="00214B74">
        <w:t>MH: $60</w:t>
      </w:r>
      <w:r>
        <w:t xml:space="preserve">).  </w:t>
      </w:r>
      <w:r w:rsidRPr="00186E66">
        <w:t>These two goals aim to</w:t>
      </w:r>
      <w:r>
        <w:t xml:space="preserve"> </w:t>
      </w:r>
      <w:r w:rsidRPr="00186E66">
        <w:t>encourage deep energy savings per household through</w:t>
      </w:r>
      <w:r>
        <w:t xml:space="preserve"> r</w:t>
      </w:r>
      <w:r w:rsidRPr="00186E66">
        <w:t>esource</w:t>
      </w:r>
      <w:r>
        <w:t xml:space="preserve"> </w:t>
      </w:r>
      <w:r w:rsidRPr="00186E66">
        <w:t xml:space="preserve">measures, while also encouraging the installation of </w:t>
      </w:r>
      <w:r>
        <w:t>n</w:t>
      </w:r>
      <w:r w:rsidRPr="00186E66">
        <w:t>on-</w:t>
      </w:r>
      <w:r>
        <w:t>r</w:t>
      </w:r>
      <w:r w:rsidRPr="00186E66">
        <w:t>esource</w:t>
      </w:r>
      <w:r>
        <w:t xml:space="preserve"> </w:t>
      </w:r>
      <w:r w:rsidRPr="00186E66">
        <w:t xml:space="preserve">measures that promote </w:t>
      </w:r>
      <w:r>
        <w:t>HCS</w:t>
      </w:r>
      <w:r w:rsidRPr="00186E66">
        <w:t xml:space="preserve">. </w:t>
      </w:r>
      <w:r>
        <w:t xml:space="preserve"> SDG&amp;E plans to </w:t>
      </w:r>
      <w:r w:rsidRPr="00186E66">
        <w:t>meet the</w:t>
      </w:r>
      <w:r>
        <w:t xml:space="preserve"> </w:t>
      </w:r>
      <w:r w:rsidRPr="00186E66">
        <w:t>two goals on average across the IOU’s ESA portfolio of households</w:t>
      </w:r>
      <w:r>
        <w:t xml:space="preserve"> </w:t>
      </w:r>
      <w:r w:rsidRPr="00186E66">
        <w:t>treated</w:t>
      </w:r>
      <w:r>
        <w:t>, but note that o</w:t>
      </w:r>
      <w:r w:rsidRPr="00186E66">
        <w:t>n an individual basis, households may fall above or below</w:t>
      </w:r>
      <w:r>
        <w:t xml:space="preserve"> </w:t>
      </w:r>
      <w:r w:rsidRPr="00186E66">
        <w:t xml:space="preserve">the </w:t>
      </w:r>
      <w:r>
        <w:t>r</w:t>
      </w:r>
      <w:r w:rsidRPr="00186E66">
        <w:t>esource measure energy savings goals or by customer segment</w:t>
      </w:r>
      <w:r>
        <w:t xml:space="preserve">.  Because these additional </w:t>
      </w:r>
      <w:r w:rsidRPr="00162AF3">
        <w:t>proposed goals were developed using the forecasted number of homes to be treated,</w:t>
      </w:r>
      <w:r>
        <w:t xml:space="preserve"> </w:t>
      </w:r>
      <w:r w:rsidRPr="00162AF3">
        <w:t>the proposed budget and the estimated savings values</w:t>
      </w:r>
      <w:r>
        <w:t>, SDG&amp;E notes that i</w:t>
      </w:r>
      <w:r w:rsidRPr="00162AF3">
        <w:t>f any of the</w:t>
      </w:r>
      <w:r>
        <w:t xml:space="preserve"> above factors are </w:t>
      </w:r>
      <w:r w:rsidRPr="00162AF3">
        <w:t>modified during the program</w:t>
      </w:r>
      <w:r>
        <w:t xml:space="preserve"> </w:t>
      </w:r>
      <w:r w:rsidRPr="00162AF3">
        <w:t>cycle, the goals should be re-assessed at that time</w:t>
      </w:r>
      <w:r>
        <w:t>.</w:t>
      </w:r>
      <w:r>
        <w:rPr>
          <w:rStyle w:val="FootnoteReference"/>
        </w:rPr>
        <w:footnoteReference w:id="489"/>
      </w:r>
      <w:r>
        <w:t xml:space="preserve"> </w:t>
      </w:r>
    </w:p>
    <w:p w:rsidR="000C1980" w:rsidP="001968DC" w:rsidRDefault="000C1980" w14:paraId="3D7949BF" w14:textId="77777777">
      <w:pPr>
        <w:pStyle w:val="Heading3"/>
        <w:ind w:left="2664"/>
      </w:pPr>
      <w:bookmarkStart w:name="_Toc69948014" w:id="352"/>
      <w:r>
        <w:t>Party Positions</w:t>
      </w:r>
      <w:bookmarkEnd w:id="352"/>
    </w:p>
    <w:p w:rsidRPr="003174F2" w:rsidR="000C1980" w:rsidP="001968DC" w:rsidRDefault="000C1980" w14:paraId="710EEC51" w14:textId="77777777">
      <w:pPr>
        <w:pStyle w:val="Heading4"/>
        <w:ind w:left="3600"/>
      </w:pPr>
      <w:bookmarkStart w:name="_Toc69948015" w:id="353"/>
      <w:r w:rsidRPr="003174F2">
        <w:t>TURN</w:t>
      </w:r>
      <w:bookmarkEnd w:id="353"/>
    </w:p>
    <w:p w:rsidR="000C1980" w:rsidP="000D3EBD" w:rsidRDefault="000C1980" w14:paraId="648CC7A6" w14:textId="52136001">
      <w:pPr>
        <w:pStyle w:val="Standard"/>
      </w:pPr>
      <w:bookmarkStart w:name="_Hlk62219367" w:id="354"/>
      <w:r>
        <w:rPr>
          <w:b/>
          <w:bCs/>
          <w:i/>
          <w:iCs/>
          <w:u w:val="single"/>
        </w:rPr>
        <w:t xml:space="preserve">Additional </w:t>
      </w:r>
      <w:r w:rsidRPr="007359EB">
        <w:rPr>
          <w:b/>
          <w:bCs/>
          <w:i/>
          <w:iCs/>
          <w:u w:val="single"/>
        </w:rPr>
        <w:t xml:space="preserve">Energy Savings </w:t>
      </w:r>
      <w:r w:rsidRPr="0089034D">
        <w:rPr>
          <w:b/>
          <w:bCs/>
          <w:i/>
          <w:iCs/>
          <w:u w:val="single"/>
        </w:rPr>
        <w:t>Goals</w:t>
      </w:r>
      <w:r w:rsidRPr="008826BA">
        <w:rPr>
          <w:b/>
          <w:bCs/>
          <w:i/>
          <w:iCs/>
          <w:u w:val="single"/>
        </w:rPr>
        <w:t xml:space="preserve"> </w:t>
      </w:r>
      <w:r>
        <w:rPr>
          <w:b/>
          <w:bCs/>
          <w:i/>
          <w:iCs/>
          <w:u w:val="single"/>
        </w:rPr>
        <w:t>(Lifecyle)</w:t>
      </w:r>
      <w:r w:rsidRPr="0089034D">
        <w:rPr>
          <w:b/>
          <w:bCs/>
          <w:i/>
          <w:iCs/>
          <w:u w:val="single"/>
        </w:rPr>
        <w:t>:</w:t>
      </w:r>
      <w:r>
        <w:t xml:space="preserve"> </w:t>
      </w:r>
      <w:r w:rsidRPr="003174F2">
        <w:t xml:space="preserve">TURN </w:t>
      </w:r>
      <w:r w:rsidR="00E42636">
        <w:t xml:space="preserve">originally </w:t>
      </w:r>
      <w:r w:rsidRPr="003174F2">
        <w:t>recommend</w:t>
      </w:r>
      <w:r w:rsidR="00B57AE1">
        <w:t>ed</w:t>
      </w:r>
      <w:r w:rsidRPr="003174F2">
        <w:t xml:space="preserve"> that goals be set for </w:t>
      </w:r>
      <w:r>
        <w:t xml:space="preserve">1) </w:t>
      </w:r>
      <w:r w:rsidRPr="00281014">
        <w:t>total program lifecycle energy savings</w:t>
      </w:r>
      <w:r>
        <w:t xml:space="preserve"> and</w:t>
      </w:r>
      <w:r w:rsidRPr="003174F2">
        <w:t xml:space="preserve"> </w:t>
      </w:r>
      <w:r>
        <w:t xml:space="preserve">2) </w:t>
      </w:r>
      <w:r w:rsidRPr="00281014">
        <w:t>lifecycle energy savings per participating household</w:t>
      </w:r>
      <w:r w:rsidR="00595070">
        <w:t xml:space="preserve">, </w:t>
      </w:r>
      <w:r w:rsidR="00FF7C72">
        <w:t xml:space="preserve">and </w:t>
      </w:r>
      <w:r w:rsidR="00595070">
        <w:t xml:space="preserve">3) </w:t>
      </w:r>
      <w:r w:rsidRPr="008F7E81" w:rsidR="008F7E81">
        <w:t>lifecycle bill reductions per participating household</w:t>
      </w:r>
      <w:r>
        <w:t>.</w:t>
      </w:r>
      <w:r w:rsidR="008F7E81">
        <w:rPr>
          <w:rStyle w:val="FootnoteReference"/>
        </w:rPr>
        <w:footnoteReference w:id="490"/>
      </w:r>
      <w:r>
        <w:t xml:space="preserve">  These goals can </w:t>
      </w:r>
      <w:r w:rsidRPr="00281014">
        <w:t>vary by utility to consider the unique</w:t>
      </w:r>
      <w:r w:rsidRPr="003174F2">
        <w:t xml:space="preserve"> </w:t>
      </w:r>
      <w:r w:rsidRPr="00281014">
        <w:t>characteristics of their service areas</w:t>
      </w:r>
      <w:r w:rsidRPr="003174F2">
        <w:t xml:space="preserve"> (</w:t>
      </w:r>
      <w:r w:rsidRPr="00281014">
        <w:t>customers, climate, measure saturation, and</w:t>
      </w:r>
      <w:r w:rsidRPr="003174F2">
        <w:t xml:space="preserve"> </w:t>
      </w:r>
      <w:r w:rsidRPr="00281014">
        <w:t>building stock</w:t>
      </w:r>
      <w:r w:rsidRPr="003174F2">
        <w:t>), but the m</w:t>
      </w:r>
      <w:r w:rsidRPr="00281014">
        <w:t>ethodology for setting targets should be consistent</w:t>
      </w:r>
      <w:r w:rsidRPr="003174F2">
        <w:t xml:space="preserve"> </w:t>
      </w:r>
      <w:r w:rsidRPr="00281014">
        <w:t>across utilities</w:t>
      </w:r>
      <w:r w:rsidRPr="003174F2">
        <w:t xml:space="preserve">.  </w:t>
      </w:r>
      <w:r w:rsidR="00AE25A2">
        <w:t xml:space="preserve">TURN </w:t>
      </w:r>
      <w:r w:rsidR="00E42636">
        <w:t>later update</w:t>
      </w:r>
      <w:r w:rsidR="00DD5844">
        <w:t>d</w:t>
      </w:r>
      <w:r w:rsidR="00E42636">
        <w:t xml:space="preserve"> its </w:t>
      </w:r>
      <w:r w:rsidR="00AE25A2">
        <w:t>recommend</w:t>
      </w:r>
      <w:r w:rsidR="00E42636">
        <w:t xml:space="preserve">ation to setting </w:t>
      </w:r>
      <w:r w:rsidRPr="00E42636" w:rsidR="00E42636">
        <w:t xml:space="preserve">interim targets for </w:t>
      </w:r>
      <w:r w:rsidR="00E42636">
        <w:t>the above</w:t>
      </w:r>
      <w:r w:rsidRPr="00E42636" w:rsidR="00E42636">
        <w:t xml:space="preserve"> goals based</w:t>
      </w:r>
      <w:r w:rsidR="00CC6A22">
        <w:t xml:space="preserve"> </w:t>
      </w:r>
      <w:r w:rsidRPr="00E42636" w:rsidR="00E42636">
        <w:t>on the IOU applications</w:t>
      </w:r>
      <w:r w:rsidR="00CC6A22">
        <w:t xml:space="preserve"> w</w:t>
      </w:r>
      <w:r w:rsidRPr="00E42636" w:rsidR="00E42636">
        <w:t xml:space="preserve">hich will </w:t>
      </w:r>
      <w:r w:rsidR="00DD5844">
        <w:t xml:space="preserve">then be </w:t>
      </w:r>
      <w:r w:rsidRPr="00E42636" w:rsidR="00E42636">
        <w:t xml:space="preserve">replaced </w:t>
      </w:r>
      <w:r w:rsidR="00DD5844">
        <w:t xml:space="preserve">with </w:t>
      </w:r>
      <w:r w:rsidRPr="00E42636" w:rsidR="00E42636">
        <w:t>mid-cycle by targets derived from a low-income potential study</w:t>
      </w:r>
      <w:r w:rsidR="00CC6A22">
        <w:t>.</w:t>
      </w:r>
      <w:r w:rsidR="00CC6A22">
        <w:rPr>
          <w:rStyle w:val="FootnoteReference"/>
        </w:rPr>
        <w:footnoteReference w:id="491"/>
      </w:r>
      <w:r w:rsidR="00CC6A22">
        <w:t xml:space="preserve"> </w:t>
      </w:r>
    </w:p>
    <w:p w:rsidR="000C1980" w:rsidP="000D3EBD" w:rsidRDefault="000C1980" w14:paraId="07D41EA0" w14:textId="4C56DE8E">
      <w:pPr>
        <w:pStyle w:val="Standard"/>
      </w:pPr>
      <w:r w:rsidRPr="008826BA">
        <w:rPr>
          <w:b/>
          <w:bCs/>
          <w:i/>
          <w:iCs/>
          <w:u w:val="single"/>
        </w:rPr>
        <w:lastRenderedPageBreak/>
        <w:t xml:space="preserve">Targeted </w:t>
      </w:r>
      <w:r>
        <w:rPr>
          <w:b/>
          <w:bCs/>
          <w:i/>
          <w:iCs/>
          <w:u w:val="single"/>
        </w:rPr>
        <w:t xml:space="preserve">Low Income </w:t>
      </w:r>
      <w:r w:rsidRPr="008826BA">
        <w:rPr>
          <w:b/>
          <w:bCs/>
          <w:i/>
          <w:iCs/>
          <w:u w:val="single"/>
        </w:rPr>
        <w:t>Potential Study:</w:t>
      </w:r>
      <w:r>
        <w:t xml:space="preserve"> To establish these new goals, TURN </w:t>
      </w:r>
      <w:r w:rsidR="00310F75">
        <w:t xml:space="preserve">originally </w:t>
      </w:r>
      <w:r>
        <w:t>recommend</w:t>
      </w:r>
      <w:r w:rsidR="00310F75">
        <w:t>ed</w:t>
      </w:r>
      <w:r>
        <w:t xml:space="preserve"> that the IOUs conduct a targeted</w:t>
      </w:r>
      <w:r w:rsidRPr="003174F2">
        <w:t xml:space="preserve"> </w:t>
      </w:r>
      <w:r w:rsidRPr="00281014">
        <w:t>potential study</w:t>
      </w:r>
      <w:r>
        <w:t xml:space="preserve"> </w:t>
      </w:r>
      <w:r w:rsidRPr="003235AD">
        <w:t>focusing on</w:t>
      </w:r>
      <w:r>
        <w:t xml:space="preserve"> </w:t>
      </w:r>
      <w:r w:rsidRPr="003235AD">
        <w:t>energy and bill savings and eventually on cost-effectiveness</w:t>
      </w:r>
      <w:r>
        <w:t>.  The IOUs should then utilize the results of the study to inform and update the goals</w:t>
      </w:r>
      <w:r w:rsidRPr="008566D6">
        <w:t>.</w:t>
      </w:r>
      <w:r>
        <w:rPr>
          <w:rStyle w:val="FootnoteReference"/>
        </w:rPr>
        <w:footnoteReference w:id="492"/>
      </w:r>
      <w:r>
        <w:t xml:space="preserve">  </w:t>
      </w:r>
      <w:r w:rsidRPr="00555B77" w:rsidR="00555B77">
        <w:t xml:space="preserve">TURN </w:t>
      </w:r>
      <w:r w:rsidR="00F03DD7">
        <w:t xml:space="preserve">later </w:t>
      </w:r>
      <w:r w:rsidRPr="00555B77" w:rsidR="00555B77">
        <w:t xml:space="preserve">updated its recommendation </w:t>
      </w:r>
      <w:r w:rsidR="00F03DD7">
        <w:t>t</w:t>
      </w:r>
      <w:r w:rsidRPr="00555B77" w:rsidR="00555B77">
        <w:t xml:space="preserve">o use the 2021 </w:t>
      </w:r>
      <w:r w:rsidR="004E0D65">
        <w:t>P&amp;G</w:t>
      </w:r>
      <w:r w:rsidR="00F03DD7">
        <w:t xml:space="preserve"> s</w:t>
      </w:r>
      <w:r w:rsidRPr="00555B77" w:rsidR="00555B77">
        <w:t>tudy to inform ESA goals mid-cycle</w:t>
      </w:r>
      <w:r w:rsidRPr="00555B77" w:rsidR="00555B77">
        <w:rPr>
          <w:i/>
          <w:iCs/>
        </w:rPr>
        <w:t>.</w:t>
      </w:r>
      <w:r w:rsidR="00F03DD7">
        <w:rPr>
          <w:rStyle w:val="FootnoteReference"/>
          <w:i/>
          <w:iCs/>
        </w:rPr>
        <w:footnoteReference w:id="493"/>
      </w:r>
    </w:p>
    <w:p w:rsidRPr="00FF4FC2" w:rsidR="000C1980" w:rsidP="000D3EBD" w:rsidRDefault="000C1980" w14:paraId="6FA78224" w14:textId="66E7C15C">
      <w:pPr>
        <w:pStyle w:val="Standard"/>
        <w:rPr>
          <w:b/>
          <w:bCs/>
          <w:i/>
          <w:iCs/>
          <w:u w:val="single"/>
        </w:rPr>
      </w:pPr>
      <w:r>
        <w:rPr>
          <w:b/>
          <w:bCs/>
          <w:i/>
          <w:iCs/>
          <w:u w:val="single"/>
        </w:rPr>
        <w:t>Stakeholder Process for Setting/Updating Goals:</w:t>
      </w:r>
      <w:r>
        <w:t xml:space="preserve"> TURN recommends that upon </w:t>
      </w:r>
      <w:r w:rsidR="005D5804">
        <w:t xml:space="preserve">availability </w:t>
      </w:r>
      <w:r>
        <w:t xml:space="preserve">of the </w:t>
      </w:r>
      <w:proofErr w:type="gramStart"/>
      <w:r>
        <w:t>low income</w:t>
      </w:r>
      <w:proofErr w:type="gramEnd"/>
      <w:r>
        <w:t xml:space="preserve"> potential study, the Commission should establish a </w:t>
      </w:r>
      <w:r w:rsidRPr="003235AD">
        <w:t xml:space="preserve">formal regulatory process </w:t>
      </w:r>
      <w:r>
        <w:t xml:space="preserve">to set </w:t>
      </w:r>
      <w:r w:rsidRPr="003235AD">
        <w:t>goals for the ESA program</w:t>
      </w:r>
      <w:r>
        <w:t>, and require the IOUs</w:t>
      </w:r>
      <w:r w:rsidRPr="008566D6">
        <w:t xml:space="preserve"> </w:t>
      </w:r>
      <w:r>
        <w:t xml:space="preserve">to then </w:t>
      </w:r>
      <w:r w:rsidRPr="008566D6">
        <w:t>revise their current plans.</w:t>
      </w:r>
      <w:r>
        <w:rPr>
          <w:rStyle w:val="FootnoteReference"/>
        </w:rPr>
        <w:footnoteReference w:id="494"/>
      </w:r>
      <w:r>
        <w:t xml:space="preserve">  </w:t>
      </w:r>
    </w:p>
    <w:p w:rsidRPr="003174F2" w:rsidR="000C1980" w:rsidP="000D3EBD" w:rsidRDefault="000C1980" w14:paraId="08388AC1" w14:textId="5E7B8AF7">
      <w:pPr>
        <w:pStyle w:val="Standard"/>
      </w:pPr>
      <w:r>
        <w:rPr>
          <w:b/>
          <w:bCs/>
          <w:i/>
          <w:iCs/>
          <w:u w:val="single"/>
        </w:rPr>
        <w:t xml:space="preserve">Conditionally </w:t>
      </w:r>
      <w:r w:rsidRPr="008826BA">
        <w:rPr>
          <w:b/>
          <w:bCs/>
          <w:i/>
          <w:iCs/>
          <w:u w:val="single"/>
        </w:rPr>
        <w:t xml:space="preserve">Support IOU Proposed </w:t>
      </w:r>
      <w:r>
        <w:rPr>
          <w:b/>
          <w:bCs/>
          <w:i/>
          <w:iCs/>
          <w:u w:val="single"/>
        </w:rPr>
        <w:t>Targets</w:t>
      </w:r>
      <w:r w:rsidRPr="008826BA">
        <w:rPr>
          <w:b/>
          <w:bCs/>
          <w:i/>
          <w:iCs/>
          <w:u w:val="single"/>
        </w:rPr>
        <w:t xml:space="preserve"> in the Interim:</w:t>
      </w:r>
      <w:r>
        <w:t xml:space="preserve"> </w:t>
      </w:r>
      <w:r w:rsidR="0049788E">
        <w:t xml:space="preserve"> </w:t>
      </w:r>
      <w:r w:rsidRPr="003174F2">
        <w:t xml:space="preserve">But in the meantime, TURN recommends approving the IOUs’ proposed goals as </w:t>
      </w:r>
      <w:r w:rsidRPr="000E5278">
        <w:rPr>
          <w:i/>
          <w:iCs/>
        </w:rPr>
        <w:t>targets</w:t>
      </w:r>
      <w:r w:rsidRPr="003174F2">
        <w:t xml:space="preserve"> until a potential or baseline study could be developed to set new goals.</w:t>
      </w:r>
      <w:r w:rsidRPr="003174F2">
        <w:rPr>
          <w:rStyle w:val="FootnoteReference"/>
        </w:rPr>
        <w:footnoteReference w:id="495"/>
      </w:r>
      <w:r w:rsidRPr="003174F2">
        <w:t xml:space="preserve"> </w:t>
      </w:r>
    </w:p>
    <w:p w:rsidR="000C1980" w:rsidP="001968DC" w:rsidRDefault="000C1980" w14:paraId="7C2FC256" w14:textId="77777777">
      <w:pPr>
        <w:pStyle w:val="Heading4"/>
        <w:ind w:left="3600"/>
      </w:pPr>
      <w:bookmarkStart w:name="_Toc69948016" w:id="355"/>
      <w:bookmarkEnd w:id="354"/>
      <w:r>
        <w:t>Joint Parties</w:t>
      </w:r>
      <w:bookmarkEnd w:id="355"/>
    </w:p>
    <w:p w:rsidRPr="00655998" w:rsidR="000C1980" w:rsidP="000D3EBD" w:rsidRDefault="000C1980" w14:paraId="4F3F4E3C" w14:textId="77777777">
      <w:pPr>
        <w:pStyle w:val="Standard"/>
      </w:pPr>
      <w:r>
        <w:rPr>
          <w:b/>
          <w:bCs/>
          <w:i/>
          <w:iCs/>
          <w:u w:val="single"/>
        </w:rPr>
        <w:t xml:space="preserve">Set More Aggressive </w:t>
      </w:r>
      <w:r w:rsidRPr="007359EB">
        <w:rPr>
          <w:b/>
          <w:bCs/>
          <w:i/>
          <w:iCs/>
          <w:u w:val="single"/>
        </w:rPr>
        <w:t xml:space="preserve">Energy Savings </w:t>
      </w:r>
      <w:r w:rsidRPr="0089034D">
        <w:rPr>
          <w:b/>
          <w:bCs/>
          <w:i/>
          <w:iCs/>
          <w:u w:val="single"/>
        </w:rPr>
        <w:t>Goals:</w:t>
      </w:r>
      <w:r>
        <w:t xml:space="preserve"> </w:t>
      </w:r>
      <w:r w:rsidRPr="007C7A3C">
        <w:t>The Joint Parties recommend that the Commission set more aggressive energy saving goals to reach deeper energy savings and meet the urgency of the state’s affordability and climate crises</w:t>
      </w:r>
      <w:r>
        <w:t>.</w:t>
      </w:r>
      <w:r w:rsidRPr="007C7A3C">
        <w:rPr>
          <w:vertAlign w:val="superscript"/>
        </w:rPr>
        <w:footnoteReference w:id="496"/>
      </w:r>
      <w:r>
        <w:t xml:space="preserve">  </w:t>
      </w:r>
      <w:r w:rsidRPr="00655998">
        <w:t xml:space="preserve">The Joint Parties estimate that the ESA </w:t>
      </w:r>
      <w:r>
        <w:t xml:space="preserve">energy savings </w:t>
      </w:r>
      <w:r w:rsidRPr="00655998">
        <w:t>goals could be set much higher, and that the IOUs are falling far short of the Commission mandate to achieve deep energy savings, well below 2</w:t>
      </w:r>
      <w:r w:rsidRPr="006E22E7">
        <w:t xml:space="preserve"> </w:t>
      </w:r>
      <w:r w:rsidRPr="0026503D">
        <w:t>percent</w:t>
      </w:r>
      <w:r w:rsidRPr="00655998">
        <w:t xml:space="preserve"> of sales.</w:t>
      </w:r>
      <w:r w:rsidRPr="00655998">
        <w:rPr>
          <w:vertAlign w:val="superscript"/>
        </w:rPr>
        <w:footnoteReference w:id="497"/>
      </w:r>
    </w:p>
    <w:p w:rsidR="000C1980" w:rsidP="000D3EBD" w:rsidRDefault="000C1980" w14:paraId="4AA92A57" w14:textId="77777777">
      <w:pPr>
        <w:pStyle w:val="Standard"/>
      </w:pPr>
      <w:r>
        <w:rPr>
          <w:b/>
          <w:bCs/>
          <w:i/>
          <w:iCs/>
          <w:u w:val="single"/>
        </w:rPr>
        <w:lastRenderedPageBreak/>
        <w:t>Stakeholder Process for Setting/Updating Goals</w:t>
      </w:r>
      <w:r w:rsidRPr="0089034D">
        <w:rPr>
          <w:b/>
          <w:bCs/>
          <w:i/>
          <w:iCs/>
          <w:u w:val="single"/>
        </w:rPr>
        <w:t>:</w:t>
      </w:r>
      <w:r>
        <w:t xml:space="preserve"> The Joint Parties recommend that a formal process be established </w:t>
      </w:r>
      <w:r w:rsidRPr="007C7A3C">
        <w:t>through which IOUs and stakeholders can identify the long-term savings objective</w:t>
      </w:r>
      <w:r>
        <w:t xml:space="preserve">, </w:t>
      </w:r>
      <w:r w:rsidRPr="007C7A3C">
        <w:t>determ</w:t>
      </w:r>
      <w:r>
        <w:t>ine</w:t>
      </w:r>
      <w:r w:rsidRPr="007C7A3C">
        <w:t xml:space="preserve"> near-term goals, and </w:t>
      </w:r>
      <w:r>
        <w:t xml:space="preserve">set </w:t>
      </w:r>
      <w:r w:rsidRPr="007C7A3C">
        <w:t>appropriate budget</w:t>
      </w:r>
      <w:r>
        <w:t>s</w:t>
      </w:r>
      <w:r w:rsidRPr="007C7A3C">
        <w:t>.</w:t>
      </w:r>
      <w:r w:rsidRPr="007C7A3C">
        <w:rPr>
          <w:vertAlign w:val="superscript"/>
        </w:rPr>
        <w:footnoteReference w:id="498"/>
      </w:r>
      <w:r w:rsidRPr="007C7A3C">
        <w:t xml:space="preserve"> </w:t>
      </w:r>
      <w:r>
        <w:t xml:space="preserve"> T</w:t>
      </w:r>
      <w:r w:rsidRPr="00DF52E9">
        <w:t>he</w:t>
      </w:r>
      <w:r>
        <w:t xml:space="preserve">y </w:t>
      </w:r>
      <w:r w:rsidRPr="00DF52E9">
        <w:t>suggest that the Commission could use this process to achieve 85</w:t>
      </w:r>
      <w:r w:rsidRPr="006E22E7">
        <w:t xml:space="preserve"> </w:t>
      </w:r>
      <w:r w:rsidRPr="0026503D">
        <w:t>percent</w:t>
      </w:r>
      <w:r w:rsidRPr="00DF52E9">
        <w:t xml:space="preserve"> of the current technical </w:t>
      </w:r>
      <w:r>
        <w:t xml:space="preserve">energy savings </w:t>
      </w:r>
      <w:r w:rsidRPr="00DF52E9">
        <w:t xml:space="preserve">potential in the next 20 years, which could then be translated directly into annual ESA </w:t>
      </w:r>
      <w:r>
        <w:t>p</w:t>
      </w:r>
      <w:r w:rsidRPr="00DF52E9">
        <w:t xml:space="preserve">rogram </w:t>
      </w:r>
      <w:r>
        <w:t>energy savings</w:t>
      </w:r>
      <w:r w:rsidRPr="00DF52E9">
        <w:t xml:space="preserve"> goals.</w:t>
      </w:r>
      <w:r w:rsidRPr="00DF52E9">
        <w:rPr>
          <w:vertAlign w:val="superscript"/>
        </w:rPr>
        <w:footnoteReference w:id="499"/>
      </w:r>
      <w:r>
        <w:t xml:space="preserve">  </w:t>
      </w:r>
    </w:p>
    <w:p w:rsidR="000C1980" w:rsidP="000D3EBD" w:rsidRDefault="000C1980" w14:paraId="56CA1D93" w14:textId="59D11A5A">
      <w:pPr>
        <w:pStyle w:val="Standard"/>
      </w:pPr>
      <w:r>
        <w:rPr>
          <w:b/>
          <w:bCs/>
          <w:i/>
          <w:iCs/>
          <w:u w:val="single"/>
        </w:rPr>
        <w:t>Consistent Formatting</w:t>
      </w:r>
      <w:r w:rsidRPr="0089034D">
        <w:rPr>
          <w:b/>
          <w:bCs/>
          <w:i/>
          <w:iCs/>
          <w:u w:val="single"/>
        </w:rPr>
        <w:t>:</w:t>
      </w:r>
      <w:r>
        <w:t xml:space="preserve"> Lastly, the Joint Parties recommend </w:t>
      </w:r>
      <w:r w:rsidRPr="004C1CB6">
        <w:t xml:space="preserve">requiring the IOUs to provide ESA </w:t>
      </w:r>
      <w:r>
        <w:t>p</w:t>
      </w:r>
      <w:r w:rsidRPr="004C1CB6">
        <w:t>rogram goals in the same format to enable effective analyses</w:t>
      </w:r>
      <w:r>
        <w:t xml:space="preserve"> as t</w:t>
      </w:r>
      <w:r w:rsidRPr="004C1CB6">
        <w:t>he current applications vary significantly</w:t>
      </w:r>
      <w:r w:rsidRPr="007C7A3C">
        <w:t xml:space="preserve"> in describing goals.</w:t>
      </w:r>
      <w:r w:rsidRPr="007C7A3C">
        <w:rPr>
          <w:vertAlign w:val="superscript"/>
        </w:rPr>
        <w:footnoteReference w:id="500"/>
      </w:r>
      <w:r w:rsidRPr="007C7A3C">
        <w:t xml:space="preserve"> </w:t>
      </w:r>
    </w:p>
    <w:p w:rsidRPr="00792381" w:rsidR="009460D1" w:rsidP="000D3EBD" w:rsidRDefault="009460D1" w14:paraId="45ECC35D" w14:textId="1B1006A3">
      <w:pPr>
        <w:pStyle w:val="Standard"/>
      </w:pPr>
      <w:r w:rsidRPr="00BE6626">
        <w:rPr>
          <w:b/>
          <w:bCs/>
          <w:i/>
          <w:iCs/>
          <w:u w:val="single"/>
        </w:rPr>
        <w:t xml:space="preserve">P&amp;G Study to </w:t>
      </w:r>
      <w:r>
        <w:rPr>
          <w:b/>
          <w:bCs/>
          <w:i/>
          <w:iCs/>
          <w:u w:val="single"/>
        </w:rPr>
        <w:t>Inform</w:t>
      </w:r>
      <w:r w:rsidRPr="00BE6626">
        <w:rPr>
          <w:b/>
          <w:bCs/>
          <w:i/>
          <w:iCs/>
          <w:u w:val="single"/>
        </w:rPr>
        <w:t xml:space="preserve"> Goals:</w:t>
      </w:r>
      <w:r w:rsidRPr="00792381" w:rsidR="00792381">
        <w:rPr>
          <w:rFonts w:ascii="TimesNewRomanPSMT" w:hAnsi="TimesNewRomanPSMT" w:cs="TimesNewRomanPSMT"/>
          <w:sz w:val="24"/>
          <w:szCs w:val="24"/>
        </w:rPr>
        <w:t xml:space="preserve"> </w:t>
      </w:r>
      <w:r w:rsidRPr="00792381" w:rsidR="00792381">
        <w:t xml:space="preserve">The Joint Parties </w:t>
      </w:r>
      <w:r w:rsidR="00792381">
        <w:t>agree wi</w:t>
      </w:r>
      <w:r w:rsidRPr="00792381" w:rsidR="00792381">
        <w:t xml:space="preserve">th TURN that </w:t>
      </w:r>
      <w:r w:rsidR="00792381">
        <w:t>a</w:t>
      </w:r>
      <w:r w:rsidRPr="00792381" w:rsidR="00792381">
        <w:t xml:space="preserve"> low-income</w:t>
      </w:r>
      <w:r w:rsidR="00792381">
        <w:t xml:space="preserve"> </w:t>
      </w:r>
      <w:r w:rsidRPr="00792381" w:rsidR="00792381">
        <w:t>potential study should inform the approach that would authorize measures and set ESAP goals.</w:t>
      </w:r>
      <w:r w:rsidR="00792381">
        <w:rPr>
          <w:rStyle w:val="FootnoteReference"/>
        </w:rPr>
        <w:footnoteReference w:id="501"/>
      </w:r>
    </w:p>
    <w:p w:rsidRPr="00922D27" w:rsidR="000C1980" w:rsidP="001968DC" w:rsidRDefault="000C1980" w14:paraId="22DD85AB" w14:textId="77777777">
      <w:pPr>
        <w:pStyle w:val="Heading4"/>
        <w:ind w:left="3600"/>
      </w:pPr>
      <w:bookmarkStart w:name="_Toc69948017" w:id="356"/>
      <w:r w:rsidRPr="00922D27">
        <w:t>CEDMC</w:t>
      </w:r>
      <w:bookmarkEnd w:id="356"/>
      <w:r w:rsidRPr="00922D27">
        <w:t xml:space="preserve"> </w:t>
      </w:r>
    </w:p>
    <w:p w:rsidR="00F45977" w:rsidP="000D3EBD" w:rsidRDefault="000C1980" w14:paraId="72FB0BF2" w14:textId="3FC9B57A">
      <w:pPr>
        <w:pStyle w:val="Standard"/>
      </w:pPr>
      <w:r w:rsidRPr="00BE6626">
        <w:rPr>
          <w:b/>
          <w:bCs/>
          <w:i/>
          <w:iCs/>
          <w:u w:val="single"/>
        </w:rPr>
        <w:t xml:space="preserve">P&amp;G Study to </w:t>
      </w:r>
      <w:r>
        <w:rPr>
          <w:b/>
          <w:bCs/>
          <w:i/>
          <w:iCs/>
          <w:u w:val="single"/>
        </w:rPr>
        <w:t>Inform</w:t>
      </w:r>
      <w:r w:rsidRPr="00BE6626">
        <w:rPr>
          <w:b/>
          <w:bCs/>
          <w:i/>
          <w:iCs/>
          <w:u w:val="single"/>
        </w:rPr>
        <w:t xml:space="preserve"> Goals:</w:t>
      </w:r>
      <w:r>
        <w:t xml:space="preserve"> </w:t>
      </w:r>
      <w:r w:rsidRPr="00922D27">
        <w:t xml:space="preserve">CEDMC recommends using the </w:t>
      </w:r>
      <w:r>
        <w:t>EE P&amp;G</w:t>
      </w:r>
      <w:r w:rsidRPr="00922D27">
        <w:t xml:space="preserve"> study to develop true estimates of technical, economic, and market potential</w:t>
      </w:r>
      <w:r>
        <w:t xml:space="preserve"> before setting savings goals</w:t>
      </w:r>
      <w:r w:rsidRPr="00922D27">
        <w:t>.</w:t>
      </w:r>
      <w:r w:rsidRPr="00922D27">
        <w:rPr>
          <w:rStyle w:val="FootnoteReference"/>
        </w:rPr>
        <w:footnoteReference w:id="502"/>
      </w:r>
    </w:p>
    <w:p w:rsidRPr="00922D27" w:rsidR="006D4FD8" w:rsidP="006D4FD8" w:rsidRDefault="006D4FD8" w14:paraId="07C2EDE1" w14:textId="4B872C2F">
      <w:pPr>
        <w:pStyle w:val="Heading4"/>
        <w:ind w:left="3600"/>
      </w:pPr>
      <w:r>
        <w:t>EEC</w:t>
      </w:r>
    </w:p>
    <w:p w:rsidR="006D4FD8" w:rsidP="000D3EBD" w:rsidRDefault="006D4FD8" w14:paraId="3843EC4D" w14:textId="129BBFCA">
      <w:pPr>
        <w:pStyle w:val="Standard"/>
      </w:pPr>
      <w:r w:rsidRPr="4FC83D76">
        <w:rPr>
          <w:b/>
          <w:bCs/>
          <w:i/>
          <w:iCs/>
          <w:u w:val="single"/>
        </w:rPr>
        <w:t>Portfolio Level Energy Savings Target:</w:t>
      </w:r>
      <w:r w:rsidR="004315F0">
        <w:rPr>
          <w:b/>
          <w:bCs/>
          <w:i/>
          <w:iCs/>
          <w:u w:val="single"/>
        </w:rPr>
        <w:t xml:space="preserve"> </w:t>
      </w:r>
      <w:r w:rsidRPr="001D42D8" w:rsidR="001D42D8">
        <w:rPr>
          <w:rFonts w:ascii="Calibri" w:hAnsi="Calibri" w:cs="Calibri"/>
          <w:sz w:val="24"/>
          <w:szCs w:val="24"/>
        </w:rPr>
        <w:t xml:space="preserve"> </w:t>
      </w:r>
      <w:r w:rsidRPr="001D42D8" w:rsidR="001D42D8">
        <w:t xml:space="preserve">EEC does not support establishing energy savings goals </w:t>
      </w:r>
      <w:r w:rsidR="001C2509">
        <w:t>because</w:t>
      </w:r>
      <w:r w:rsidR="001D42D8">
        <w:t xml:space="preserve"> they</w:t>
      </w:r>
      <w:r w:rsidRPr="001D42D8" w:rsidR="001D42D8">
        <w:t xml:space="preserve"> will cause IOUs to focus on high energy</w:t>
      </w:r>
      <w:r w:rsidR="001D42D8">
        <w:t xml:space="preserve"> </w:t>
      </w:r>
      <w:r w:rsidRPr="001D42D8" w:rsidR="001D42D8">
        <w:t xml:space="preserve">users </w:t>
      </w:r>
      <w:r w:rsidRPr="001D42D8" w:rsidR="001D42D8">
        <w:lastRenderedPageBreak/>
        <w:t xml:space="preserve">at the expense of low-energy </w:t>
      </w:r>
      <w:r w:rsidRPr="001D42D8" w:rsidR="001C2509">
        <w:t>users</w:t>
      </w:r>
      <w:r w:rsidR="001C2509">
        <w:t xml:space="preserve"> and</w:t>
      </w:r>
      <w:r w:rsidR="001D42D8">
        <w:t xml:space="preserve"> </w:t>
      </w:r>
      <w:r w:rsidRPr="001D42D8" w:rsidR="001D42D8">
        <w:t>setting</w:t>
      </w:r>
      <w:r w:rsidR="001C2509">
        <w:t xml:space="preserve"> </w:t>
      </w:r>
      <w:r w:rsidRPr="001D42D8" w:rsidR="001D42D8">
        <w:t xml:space="preserve">arbitrary goals should not come at the expense of sacrificing </w:t>
      </w:r>
      <w:r w:rsidR="001C2509">
        <w:t xml:space="preserve">HCS </w:t>
      </w:r>
      <w:r w:rsidRPr="001D42D8" w:rsidR="001D42D8">
        <w:t>or low</w:t>
      </w:r>
      <w:r w:rsidR="001C2509">
        <w:t xml:space="preserve"> </w:t>
      </w:r>
      <w:r w:rsidRPr="001D42D8" w:rsidR="001D42D8">
        <w:t>energy</w:t>
      </w:r>
      <w:r w:rsidR="001C2509">
        <w:t xml:space="preserve"> </w:t>
      </w:r>
      <w:r w:rsidRPr="001D42D8" w:rsidR="001D42D8">
        <w:t>users' expense.</w:t>
      </w:r>
      <w:r w:rsidR="001C2509">
        <w:rPr>
          <w:rStyle w:val="FootnoteReference"/>
        </w:rPr>
        <w:footnoteReference w:id="503"/>
      </w:r>
    </w:p>
    <w:p w:rsidRPr="00922D27" w:rsidR="001C2509" w:rsidP="001C2509" w:rsidRDefault="001C2509" w14:paraId="74F40C6F" w14:textId="1DE5FE9B">
      <w:pPr>
        <w:pStyle w:val="Heading4"/>
        <w:ind w:left="3600"/>
      </w:pPr>
      <w:r>
        <w:t xml:space="preserve">TELACU </w:t>
      </w:r>
      <w:proofErr w:type="spellStart"/>
      <w:r>
        <w:t>eal</w:t>
      </w:r>
      <w:proofErr w:type="spellEnd"/>
      <w:r>
        <w:t>.</w:t>
      </w:r>
    </w:p>
    <w:p w:rsidRPr="004315F0" w:rsidR="001C2509" w:rsidP="000D3EBD" w:rsidRDefault="001C2509" w14:paraId="7C1962E6" w14:textId="10553191">
      <w:pPr>
        <w:pStyle w:val="Standard"/>
      </w:pPr>
      <w:r w:rsidRPr="4FC83D76">
        <w:rPr>
          <w:b/>
          <w:bCs/>
          <w:i/>
          <w:iCs/>
          <w:u w:val="single"/>
        </w:rPr>
        <w:t>Portfolio Level Energy Savings Target:</w:t>
      </w:r>
      <w:r>
        <w:rPr>
          <w:b/>
          <w:bCs/>
          <w:i/>
          <w:iCs/>
          <w:u w:val="single"/>
        </w:rPr>
        <w:t xml:space="preserve"> </w:t>
      </w:r>
      <w:r w:rsidRPr="001D42D8">
        <w:rPr>
          <w:rFonts w:ascii="Calibri" w:hAnsi="Calibri" w:cs="Calibri"/>
          <w:sz w:val="24"/>
          <w:szCs w:val="24"/>
        </w:rPr>
        <w:t xml:space="preserve"> </w:t>
      </w:r>
      <w:r>
        <w:t>TELACU et al.</w:t>
      </w:r>
      <w:r w:rsidRPr="001D42D8">
        <w:t xml:space="preserve"> does not support establishing energy savings goals </w:t>
      </w:r>
      <w:r>
        <w:t>because they</w:t>
      </w:r>
      <w:r w:rsidRPr="001D42D8">
        <w:t xml:space="preserve"> will cause</w:t>
      </w:r>
      <w:r w:rsidR="00AA7EDB">
        <w:t xml:space="preserve"> the</w:t>
      </w:r>
      <w:r w:rsidRPr="001D42D8">
        <w:t xml:space="preserve"> IOUs to focus on high energy</w:t>
      </w:r>
      <w:r>
        <w:t xml:space="preserve"> </w:t>
      </w:r>
      <w:r w:rsidRPr="001D42D8">
        <w:t>users at the expense of low-energy users</w:t>
      </w:r>
      <w:r>
        <w:t xml:space="preserve"> and </w:t>
      </w:r>
      <w:r w:rsidRPr="001D42D8">
        <w:t>setting</w:t>
      </w:r>
      <w:r>
        <w:t xml:space="preserve"> </w:t>
      </w:r>
      <w:r w:rsidRPr="001D42D8">
        <w:t xml:space="preserve">arbitrary goals should not come at the expense of sacrificing </w:t>
      </w:r>
      <w:r>
        <w:t xml:space="preserve">HCS </w:t>
      </w:r>
      <w:r w:rsidRPr="001D42D8">
        <w:t>or low</w:t>
      </w:r>
      <w:r>
        <w:t xml:space="preserve"> </w:t>
      </w:r>
      <w:r w:rsidRPr="001D42D8">
        <w:t>energy</w:t>
      </w:r>
      <w:r>
        <w:t xml:space="preserve"> </w:t>
      </w:r>
      <w:r w:rsidRPr="001D42D8">
        <w:t>users' expense.</w:t>
      </w:r>
      <w:r>
        <w:rPr>
          <w:rStyle w:val="FootnoteReference"/>
        </w:rPr>
        <w:footnoteReference w:id="504"/>
      </w:r>
    </w:p>
    <w:p w:rsidR="000C1980" w:rsidP="001968DC" w:rsidRDefault="000C1980" w14:paraId="500A2189" w14:textId="77777777">
      <w:pPr>
        <w:pStyle w:val="Heading3"/>
        <w:ind w:left="2664"/>
      </w:pPr>
      <w:bookmarkStart w:name="_Toc69948018" w:id="357"/>
      <w:r>
        <w:t>IOU Responses</w:t>
      </w:r>
      <w:bookmarkEnd w:id="357"/>
    </w:p>
    <w:p w:rsidR="000C1980" w:rsidP="001968DC" w:rsidRDefault="000C1980" w14:paraId="2FB56906" w14:textId="77777777">
      <w:pPr>
        <w:pStyle w:val="Heading4"/>
        <w:ind w:left="3600"/>
      </w:pPr>
      <w:bookmarkStart w:name="_Toc69948019" w:id="358"/>
      <w:r>
        <w:t>PG&amp;E</w:t>
      </w:r>
      <w:bookmarkEnd w:id="358"/>
    </w:p>
    <w:p w:rsidR="000C1980" w:rsidP="000D3EBD" w:rsidRDefault="000C1980" w14:paraId="5D8AE65E" w14:textId="736BCDE6">
      <w:pPr>
        <w:pStyle w:val="Standard"/>
      </w:pPr>
      <w:r>
        <w:rPr>
          <w:b/>
          <w:bCs/>
          <w:i/>
          <w:iCs/>
          <w:u w:val="single"/>
        </w:rPr>
        <w:t xml:space="preserve">Additional </w:t>
      </w:r>
      <w:r w:rsidRPr="007359EB">
        <w:rPr>
          <w:b/>
          <w:bCs/>
          <w:i/>
          <w:iCs/>
          <w:u w:val="single"/>
        </w:rPr>
        <w:t xml:space="preserve">Energy Savings </w:t>
      </w:r>
      <w:r w:rsidRPr="0089034D">
        <w:rPr>
          <w:b/>
          <w:bCs/>
          <w:i/>
          <w:iCs/>
          <w:u w:val="single"/>
        </w:rPr>
        <w:t>Goals</w:t>
      </w:r>
      <w:r w:rsidRPr="008826BA">
        <w:rPr>
          <w:b/>
          <w:bCs/>
          <w:i/>
          <w:iCs/>
          <w:u w:val="single"/>
        </w:rPr>
        <w:t xml:space="preserve"> </w:t>
      </w:r>
      <w:r>
        <w:rPr>
          <w:b/>
          <w:bCs/>
          <w:i/>
          <w:iCs/>
          <w:u w:val="single"/>
        </w:rPr>
        <w:t>(Lifecyle)</w:t>
      </w:r>
      <w:r w:rsidRPr="0089034D">
        <w:rPr>
          <w:b/>
          <w:bCs/>
          <w:i/>
          <w:iCs/>
          <w:u w:val="single"/>
        </w:rPr>
        <w:t>:</w:t>
      </w:r>
      <w:r>
        <w:t xml:space="preserve"> PG&amp;E opposes TURN’s additionally proposed goals stating that </w:t>
      </w:r>
      <w:r w:rsidRPr="004A70A0">
        <w:t>a focus on total and lifecycle energy</w:t>
      </w:r>
      <w:r>
        <w:t xml:space="preserve"> </w:t>
      </w:r>
      <w:r w:rsidRPr="004A70A0">
        <w:t>savings per household would encourage treatment of high potential savings</w:t>
      </w:r>
      <w:r w:rsidRPr="00393917">
        <w:t xml:space="preserve"> </w:t>
      </w:r>
      <w:r w:rsidRPr="004A70A0">
        <w:t>customers and reduce the incentive to treating households with lower</w:t>
      </w:r>
      <w:r w:rsidRPr="00393917">
        <w:t xml:space="preserve"> </w:t>
      </w:r>
      <w:r w:rsidRPr="004A70A0">
        <w:t>savings opportunities</w:t>
      </w:r>
      <w:r w:rsidR="000D6A50">
        <w:t>.</w:t>
      </w:r>
      <w:r w:rsidRPr="000D6A50" w:rsidR="000D6A50">
        <w:t xml:space="preserve"> </w:t>
      </w:r>
      <w:r w:rsidR="000D6A50">
        <w:t xml:space="preserve">PG&amp;E states that the tracking of these measurements is </w:t>
      </w:r>
      <w:r w:rsidRPr="00A4000B" w:rsidR="000D6A50">
        <w:rPr>
          <w:szCs w:val="26"/>
        </w:rPr>
        <w:t xml:space="preserve">more appropriate </w:t>
      </w:r>
      <w:r w:rsidRPr="003A397A" w:rsidR="000D6A50">
        <w:rPr>
          <w:szCs w:val="26"/>
        </w:rPr>
        <w:t xml:space="preserve">as </w:t>
      </w:r>
      <w:r w:rsidRPr="0057237F" w:rsidR="000D6A50">
        <w:rPr>
          <w:szCs w:val="26"/>
        </w:rPr>
        <w:t>metrics, a</w:t>
      </w:r>
      <w:r w:rsidRPr="001E7396" w:rsidR="000D6A50">
        <w:rPr>
          <w:szCs w:val="26"/>
        </w:rPr>
        <w:t>nd not go</w:t>
      </w:r>
      <w:r w:rsidRPr="00605FBE" w:rsidR="000D6A50">
        <w:rPr>
          <w:szCs w:val="26"/>
        </w:rPr>
        <w:t>al</w:t>
      </w:r>
      <w:r w:rsidRPr="00BB0EA1" w:rsidR="000D6A50">
        <w:rPr>
          <w:szCs w:val="26"/>
        </w:rPr>
        <w:t>s</w:t>
      </w:r>
      <w:r w:rsidRPr="00F91614">
        <w:rPr>
          <w:szCs w:val="26"/>
        </w:rPr>
        <w:t>.</w:t>
      </w:r>
      <w:r w:rsidRPr="00A4000B">
        <w:rPr>
          <w:rStyle w:val="FootnoteReference"/>
          <w:szCs w:val="26"/>
        </w:rPr>
        <w:footnoteReference w:id="505"/>
      </w:r>
      <w:r w:rsidRPr="00A4000B">
        <w:rPr>
          <w:szCs w:val="26"/>
        </w:rPr>
        <w:t xml:space="preserve">  </w:t>
      </w:r>
      <w:r w:rsidRPr="00B8716F">
        <w:rPr>
          <w:szCs w:val="26"/>
        </w:rPr>
        <w:t>PG&amp;E recommends</w:t>
      </w:r>
      <w:r w:rsidRPr="00A4000B">
        <w:rPr>
          <w:rFonts w:cs="ArialMT"/>
          <w:szCs w:val="26"/>
        </w:rPr>
        <w:t xml:space="preserve"> </w:t>
      </w:r>
      <w:r w:rsidRPr="00A4000B" w:rsidR="00A4000B">
        <w:rPr>
          <w:rFonts w:cs="ArialMT"/>
          <w:szCs w:val="26"/>
        </w:rPr>
        <w:t>tracking</w:t>
      </w:r>
      <w:r w:rsidR="00A4000B">
        <w:rPr>
          <w:rFonts w:cs="ArialMT"/>
          <w:sz w:val="24"/>
          <w:szCs w:val="24"/>
        </w:rPr>
        <w:t xml:space="preserve"> </w:t>
      </w:r>
      <w:r w:rsidRPr="00393917">
        <w:rPr>
          <w:rFonts w:cs="ArialMT"/>
          <w:sz w:val="24"/>
          <w:szCs w:val="24"/>
        </w:rPr>
        <w:t>a</w:t>
      </w:r>
      <w:r w:rsidRPr="00393917">
        <w:t xml:space="preserve">verage lifecycle benefits per household from resource measures </w:t>
      </w:r>
      <w:r w:rsidRPr="00F44E7B">
        <w:t xml:space="preserve">where both energy savings and </w:t>
      </w:r>
      <w:r w:rsidRPr="00393917">
        <w:t>NEB</w:t>
      </w:r>
      <w:r>
        <w:t>s</w:t>
      </w:r>
      <w:r w:rsidRPr="00393917">
        <w:t xml:space="preserve"> are applicable and average lifecycle benefits per</w:t>
      </w:r>
      <w:r w:rsidRPr="002C614C">
        <w:t xml:space="preserve"> </w:t>
      </w:r>
      <w:r>
        <w:t>h</w:t>
      </w:r>
      <w:r w:rsidRPr="002C614C">
        <w:t xml:space="preserve">ousehold from </w:t>
      </w:r>
      <w:r>
        <w:t>n</w:t>
      </w:r>
      <w:r w:rsidRPr="002C614C">
        <w:t>on-</w:t>
      </w:r>
      <w:r>
        <w:t>r</w:t>
      </w:r>
      <w:r w:rsidRPr="002C614C">
        <w:t>esource</w:t>
      </w:r>
      <w:r>
        <w:t xml:space="preserve"> m</w:t>
      </w:r>
      <w:r w:rsidRPr="002C614C">
        <w:t>easures where there are no energy savings and only NEB</w:t>
      </w:r>
      <w:r>
        <w:t>s</w:t>
      </w:r>
      <w:r w:rsidRPr="002C614C">
        <w:t xml:space="preserve"> are</w:t>
      </w:r>
      <w:r>
        <w:t xml:space="preserve"> </w:t>
      </w:r>
      <w:r w:rsidRPr="002C614C">
        <w:t>applicable.</w:t>
      </w:r>
      <w:r>
        <w:rPr>
          <w:rStyle w:val="FootnoteReference"/>
        </w:rPr>
        <w:footnoteReference w:id="506"/>
      </w:r>
      <w:r>
        <w:t xml:space="preserve"> </w:t>
      </w:r>
    </w:p>
    <w:p w:rsidRPr="002E0974" w:rsidR="000C1980" w:rsidP="000D3EBD" w:rsidRDefault="000C1980" w14:paraId="34B48029" w14:textId="77777777">
      <w:pPr>
        <w:pStyle w:val="Standard"/>
        <w:rPr>
          <w:b/>
          <w:bCs/>
          <w:i/>
          <w:iCs/>
          <w:u w:val="single"/>
        </w:rPr>
      </w:pPr>
      <w:r>
        <w:rPr>
          <w:b/>
          <w:bCs/>
          <w:i/>
          <w:iCs/>
          <w:u w:val="single"/>
        </w:rPr>
        <w:t xml:space="preserve">P&amp;G </w:t>
      </w:r>
      <w:r w:rsidRPr="008826BA">
        <w:rPr>
          <w:b/>
          <w:bCs/>
          <w:i/>
          <w:iCs/>
          <w:u w:val="single"/>
        </w:rPr>
        <w:t>Study</w:t>
      </w:r>
      <w:r w:rsidRPr="009C65F4">
        <w:rPr>
          <w:b/>
          <w:bCs/>
          <w:i/>
          <w:iCs/>
          <w:u w:val="single"/>
        </w:rPr>
        <w:t xml:space="preserve"> </w:t>
      </w:r>
      <w:r w:rsidRPr="00BE6626">
        <w:rPr>
          <w:b/>
          <w:bCs/>
          <w:i/>
          <w:iCs/>
          <w:u w:val="single"/>
        </w:rPr>
        <w:t xml:space="preserve">to </w:t>
      </w:r>
      <w:r>
        <w:rPr>
          <w:b/>
          <w:bCs/>
          <w:i/>
          <w:iCs/>
          <w:u w:val="single"/>
        </w:rPr>
        <w:t>Inform</w:t>
      </w:r>
      <w:r w:rsidRPr="00BE6626">
        <w:rPr>
          <w:b/>
          <w:bCs/>
          <w:i/>
          <w:iCs/>
          <w:u w:val="single"/>
        </w:rPr>
        <w:t xml:space="preserve"> Goals</w:t>
      </w:r>
      <w:r>
        <w:rPr>
          <w:b/>
          <w:bCs/>
          <w:i/>
          <w:iCs/>
          <w:u w:val="single"/>
        </w:rPr>
        <w:t>:</w:t>
      </w:r>
      <w:r>
        <w:t xml:space="preserve"> PG&amp;E opposes updating program</w:t>
      </w:r>
      <w:r w:rsidRPr="00831C3E">
        <w:t xml:space="preserve"> targets and goals </w:t>
      </w:r>
      <w:r>
        <w:t xml:space="preserve">upon completion of a potential study </w:t>
      </w:r>
      <w:r w:rsidRPr="0026542D">
        <w:t>if the currently</w:t>
      </w:r>
      <w:r>
        <w:t xml:space="preserve"> </w:t>
      </w:r>
      <w:r w:rsidRPr="0026542D">
        <w:t xml:space="preserve">planned </w:t>
      </w:r>
      <w:r w:rsidRPr="0026542D">
        <w:lastRenderedPageBreak/>
        <w:t xml:space="preserve">methodology for the 2021 </w:t>
      </w:r>
      <w:r>
        <w:t>P&amp;G</w:t>
      </w:r>
      <w:r w:rsidRPr="0026542D">
        <w:t xml:space="preserve"> </w:t>
      </w:r>
      <w:r>
        <w:t>s</w:t>
      </w:r>
      <w:r w:rsidRPr="0026542D">
        <w:t xml:space="preserve">tudy for the </w:t>
      </w:r>
      <w:proofErr w:type="gramStart"/>
      <w:r w:rsidRPr="0026542D">
        <w:t>low</w:t>
      </w:r>
      <w:r>
        <w:t xml:space="preserve"> </w:t>
      </w:r>
      <w:r w:rsidRPr="0026542D">
        <w:t>income</w:t>
      </w:r>
      <w:proofErr w:type="gramEnd"/>
      <w:r w:rsidRPr="0026542D">
        <w:t xml:space="preserve"> sector is</w:t>
      </w:r>
      <w:r>
        <w:t xml:space="preserve"> </w:t>
      </w:r>
      <w:r w:rsidRPr="0026542D">
        <w:t>pursued</w:t>
      </w:r>
      <w:r>
        <w:t xml:space="preserve">, arguing that </w:t>
      </w:r>
      <w:r w:rsidRPr="0026542D">
        <w:t>a different methodology is needed, or a new study focused exclusively on the low income sector</w:t>
      </w:r>
      <w:r>
        <w:t xml:space="preserve"> </w:t>
      </w:r>
      <w:r w:rsidRPr="0026542D">
        <w:t>should be conducted to provide results that are</w:t>
      </w:r>
      <w:r>
        <w:t xml:space="preserve"> more</w:t>
      </w:r>
      <w:r w:rsidRPr="0026542D">
        <w:t xml:space="preserve"> aligned with low</w:t>
      </w:r>
      <w:r>
        <w:t xml:space="preserve"> </w:t>
      </w:r>
      <w:r w:rsidRPr="0026542D">
        <w:t>income market characterization</w:t>
      </w:r>
      <w:r>
        <w:t xml:space="preserve">s.  PG&amp;E states that it is willing to work with </w:t>
      </w:r>
      <w:r w:rsidRPr="0026542D">
        <w:t>interested stakeholders to discuss mutually acceptable options for</w:t>
      </w:r>
      <w:r>
        <w:t xml:space="preserve"> </w:t>
      </w:r>
      <w:r w:rsidRPr="0026542D">
        <w:t>achieving such a study.</w:t>
      </w:r>
      <w:r>
        <w:t xml:space="preserve"> </w:t>
      </w:r>
    </w:p>
    <w:p w:rsidR="000C1980" w:rsidP="001968DC" w:rsidRDefault="000C1980" w14:paraId="0BA580D6" w14:textId="77777777">
      <w:pPr>
        <w:pStyle w:val="Heading4"/>
        <w:ind w:left="3600"/>
      </w:pPr>
      <w:bookmarkStart w:name="_Toc69948020" w:id="359"/>
      <w:r>
        <w:t>SCE</w:t>
      </w:r>
      <w:bookmarkEnd w:id="359"/>
    </w:p>
    <w:p w:rsidR="000C1980" w:rsidP="000D3EBD" w:rsidRDefault="000C1980" w14:paraId="674C4058" w14:textId="77777777">
      <w:pPr>
        <w:pStyle w:val="Standard"/>
      </w:pPr>
      <w:r w:rsidRPr="00BE6626">
        <w:rPr>
          <w:b/>
          <w:bCs/>
          <w:i/>
          <w:iCs/>
          <w:u w:val="single"/>
        </w:rPr>
        <w:t xml:space="preserve">P&amp;G Study to </w:t>
      </w:r>
      <w:r>
        <w:rPr>
          <w:b/>
          <w:bCs/>
          <w:i/>
          <w:iCs/>
          <w:u w:val="single"/>
        </w:rPr>
        <w:t>Inform</w:t>
      </w:r>
      <w:r w:rsidRPr="00BE6626">
        <w:rPr>
          <w:b/>
          <w:bCs/>
          <w:i/>
          <w:iCs/>
          <w:u w:val="single"/>
        </w:rPr>
        <w:t xml:space="preserve"> Goals</w:t>
      </w:r>
      <w:r>
        <w:rPr>
          <w:b/>
          <w:bCs/>
          <w:i/>
          <w:iCs/>
          <w:u w:val="single"/>
        </w:rPr>
        <w:t>:</w:t>
      </w:r>
      <w:r>
        <w:t xml:space="preserve"> SCE opposes establishing any new targets for lifecycle energy savings or updating their proposed targets for annual energy savings prior to </w:t>
      </w:r>
      <w:r w:rsidRPr="00EE181F">
        <w:t>the results of a potential study</w:t>
      </w:r>
      <w:r>
        <w:t xml:space="preserve"> but supports in</w:t>
      </w:r>
      <w:r w:rsidRPr="00EE181F">
        <w:t>clud</w:t>
      </w:r>
      <w:r>
        <w:t>ing</w:t>
      </w:r>
      <w:r w:rsidRPr="00EE181F">
        <w:t xml:space="preserve"> the </w:t>
      </w:r>
      <w:proofErr w:type="gramStart"/>
      <w:r w:rsidRPr="00EE181F">
        <w:t>low</w:t>
      </w:r>
      <w:r>
        <w:t xml:space="preserve"> </w:t>
      </w:r>
      <w:r w:rsidRPr="00EE181F">
        <w:t>income</w:t>
      </w:r>
      <w:proofErr w:type="gramEnd"/>
      <w:r w:rsidRPr="00EE181F">
        <w:t xml:space="preserve"> segment in an upcoming </w:t>
      </w:r>
      <w:r>
        <w:t>P&amp;G s</w:t>
      </w:r>
      <w:r w:rsidRPr="00EE181F">
        <w:t>tudy</w:t>
      </w:r>
      <w:r>
        <w:t xml:space="preserve"> and reassessing program energy savings targets using the results of this study with a m</w:t>
      </w:r>
      <w:r w:rsidRPr="005B6CEB">
        <w:t>id-</w:t>
      </w:r>
      <w:r>
        <w:t>c</w:t>
      </w:r>
      <w:r w:rsidRPr="005B6CEB">
        <w:t xml:space="preserve">ycle </w:t>
      </w:r>
      <w:r>
        <w:t>w</w:t>
      </w:r>
      <w:r w:rsidRPr="005B6CEB">
        <w:t xml:space="preserve">orking </w:t>
      </w:r>
      <w:r>
        <w:t>g</w:t>
      </w:r>
      <w:r w:rsidRPr="005B6CEB">
        <w:t>roup</w:t>
      </w:r>
      <w:r>
        <w:t>.</w:t>
      </w:r>
      <w:r>
        <w:rPr>
          <w:rStyle w:val="FootnoteReference"/>
        </w:rPr>
        <w:footnoteReference w:id="507"/>
      </w:r>
      <w:r>
        <w:t xml:space="preserve"> </w:t>
      </w:r>
    </w:p>
    <w:p w:rsidRPr="00235833" w:rsidR="000C1980" w:rsidP="000D3EBD" w:rsidRDefault="000C1980" w14:paraId="734D6F6B" w14:textId="77777777">
      <w:pPr>
        <w:pStyle w:val="Standard"/>
        <w:rPr>
          <w:b/>
          <w:bCs/>
          <w:i/>
          <w:iCs/>
          <w:u w:val="single"/>
        </w:rPr>
      </w:pPr>
      <w:r>
        <w:rPr>
          <w:b/>
          <w:bCs/>
          <w:i/>
          <w:iCs/>
          <w:u w:val="single"/>
        </w:rPr>
        <w:t>Stakeholder Process for Setting/Updating Goals:</w:t>
      </w:r>
      <w:r>
        <w:t xml:space="preserve"> SCE </w:t>
      </w:r>
      <w:r w:rsidRPr="00EE181F">
        <w:t xml:space="preserve">supports utilizing the </w:t>
      </w:r>
      <w:r>
        <w:t>m</w:t>
      </w:r>
      <w:r w:rsidRPr="005B6CEB">
        <w:t>id-</w:t>
      </w:r>
      <w:r>
        <w:t>c</w:t>
      </w:r>
      <w:r w:rsidRPr="005B6CEB">
        <w:t xml:space="preserve">ycle </w:t>
      </w:r>
      <w:r>
        <w:t>w</w:t>
      </w:r>
      <w:r w:rsidRPr="005B6CEB">
        <w:t xml:space="preserve">orking </w:t>
      </w:r>
      <w:r>
        <w:t>g</w:t>
      </w:r>
      <w:r w:rsidRPr="005B6CEB">
        <w:t>roup</w:t>
      </w:r>
      <w:r w:rsidRPr="00EE181F">
        <w:t>, in lieu of a formal regulatory process, to develop realistic and achievable targets for energy savings and other program goals.</w:t>
      </w:r>
      <w:r w:rsidRPr="00235833">
        <w:rPr>
          <w:rStyle w:val="FootnoteReference"/>
        </w:rPr>
        <w:t xml:space="preserve"> </w:t>
      </w:r>
      <w:r>
        <w:rPr>
          <w:rStyle w:val="FootnoteReference"/>
        </w:rPr>
        <w:footnoteReference w:id="508"/>
      </w:r>
      <w:r w:rsidRPr="00EE181F">
        <w:t xml:space="preserve"> </w:t>
      </w:r>
      <w:r>
        <w:t xml:space="preserve"> </w:t>
      </w:r>
    </w:p>
    <w:p w:rsidRPr="002E0974" w:rsidR="000C1980" w:rsidP="000D3EBD" w:rsidRDefault="000C1980" w14:paraId="7CB85AF2" w14:textId="77777777">
      <w:pPr>
        <w:pStyle w:val="Standard"/>
        <w:rPr>
          <w:b/>
          <w:bCs/>
          <w:i/>
          <w:iCs/>
          <w:u w:val="single"/>
        </w:rPr>
      </w:pPr>
      <w:r>
        <w:rPr>
          <w:b/>
          <w:bCs/>
          <w:i/>
          <w:iCs/>
          <w:u w:val="single"/>
        </w:rPr>
        <w:t xml:space="preserve">Additional </w:t>
      </w:r>
      <w:r w:rsidRPr="007359EB">
        <w:rPr>
          <w:b/>
          <w:bCs/>
          <w:i/>
          <w:iCs/>
          <w:u w:val="single"/>
        </w:rPr>
        <w:t xml:space="preserve">Energy Savings </w:t>
      </w:r>
      <w:r w:rsidRPr="0089034D">
        <w:rPr>
          <w:b/>
          <w:bCs/>
          <w:i/>
          <w:iCs/>
          <w:u w:val="single"/>
        </w:rPr>
        <w:t>Goals</w:t>
      </w:r>
      <w:r w:rsidRPr="008826BA">
        <w:rPr>
          <w:b/>
          <w:bCs/>
          <w:i/>
          <w:iCs/>
          <w:u w:val="single"/>
        </w:rPr>
        <w:t xml:space="preserve"> </w:t>
      </w:r>
      <w:r>
        <w:rPr>
          <w:b/>
          <w:bCs/>
          <w:i/>
          <w:iCs/>
          <w:u w:val="single"/>
        </w:rPr>
        <w:t>(Lifecyle)</w:t>
      </w:r>
      <w:r w:rsidRPr="0089034D">
        <w:rPr>
          <w:b/>
          <w:bCs/>
          <w:i/>
          <w:iCs/>
          <w:u w:val="single"/>
        </w:rPr>
        <w:t>:</w:t>
      </w:r>
      <w:r>
        <w:t xml:space="preserve"> U</w:t>
      </w:r>
      <w:r w:rsidRPr="00EE181F">
        <w:t>ntil the</w:t>
      </w:r>
      <w:r>
        <w:t xml:space="preserve"> P&amp;G s</w:t>
      </w:r>
      <w:r w:rsidRPr="00EE181F">
        <w:t>tudy is complete, and the realistic and achievable targets have been developed, SCE</w:t>
      </w:r>
      <w:r>
        <w:t xml:space="preserve"> </w:t>
      </w:r>
      <w:r w:rsidRPr="00EE181F">
        <w:t>recommends tracking TURN’s proposed goals as part of its monthly reporting process.</w:t>
      </w:r>
      <w:r>
        <w:rPr>
          <w:rStyle w:val="FootnoteReference"/>
        </w:rPr>
        <w:footnoteReference w:id="509"/>
      </w:r>
      <w:r w:rsidRPr="000878EA">
        <w:t xml:space="preserve"> </w:t>
      </w:r>
      <w:r>
        <w:t xml:space="preserve"> SCE also disputes TURN’s claims that its proposal results in a decrease in energy savings as TURN fails to account for the savings from its </w:t>
      </w:r>
      <w:r w:rsidRPr="00772CCF">
        <w:t>proposed Building Electrification pilot</w:t>
      </w:r>
      <w:r>
        <w:t>.</w:t>
      </w:r>
      <w:r>
        <w:rPr>
          <w:rStyle w:val="FootnoteReference"/>
        </w:rPr>
        <w:footnoteReference w:id="510"/>
      </w:r>
    </w:p>
    <w:p w:rsidR="000C1980" w:rsidP="001968DC" w:rsidRDefault="000C1980" w14:paraId="4785F884" w14:textId="77777777">
      <w:pPr>
        <w:pStyle w:val="Heading4"/>
        <w:ind w:left="3600"/>
      </w:pPr>
      <w:bookmarkStart w:name="_Toc69948021" w:id="360"/>
      <w:r>
        <w:lastRenderedPageBreak/>
        <w:t>SoCalGas</w:t>
      </w:r>
      <w:bookmarkEnd w:id="360"/>
    </w:p>
    <w:p w:rsidRPr="00A269F1" w:rsidR="000C1980" w:rsidP="000D3EBD" w:rsidRDefault="000C1980" w14:paraId="799BAA81" w14:textId="77777777">
      <w:pPr>
        <w:pStyle w:val="Standard"/>
        <w:rPr>
          <w:b/>
          <w:bCs/>
          <w:i/>
          <w:iCs/>
          <w:u w:val="single"/>
        </w:rPr>
      </w:pPr>
      <w:r w:rsidRPr="00BE6626">
        <w:rPr>
          <w:b/>
          <w:bCs/>
          <w:i/>
          <w:iCs/>
          <w:u w:val="single"/>
        </w:rPr>
        <w:t xml:space="preserve">P&amp;G Study to </w:t>
      </w:r>
      <w:r>
        <w:rPr>
          <w:b/>
          <w:bCs/>
          <w:i/>
          <w:iCs/>
          <w:u w:val="single"/>
        </w:rPr>
        <w:t>Inform</w:t>
      </w:r>
      <w:r w:rsidRPr="00BE6626">
        <w:rPr>
          <w:b/>
          <w:bCs/>
          <w:i/>
          <w:iCs/>
          <w:u w:val="single"/>
        </w:rPr>
        <w:t xml:space="preserve"> Goals</w:t>
      </w:r>
      <w:r>
        <w:rPr>
          <w:b/>
          <w:bCs/>
          <w:i/>
          <w:iCs/>
        </w:rPr>
        <w:t>:</w:t>
      </w:r>
      <w:r>
        <w:t xml:space="preserve"> SoCalGas opposes </w:t>
      </w:r>
      <w:r w:rsidRPr="007B0065">
        <w:t>TURN</w:t>
      </w:r>
      <w:r>
        <w:t>’s</w:t>
      </w:r>
      <w:r w:rsidRPr="007B0065">
        <w:t xml:space="preserve"> recommend</w:t>
      </w:r>
      <w:r>
        <w:t xml:space="preserve">ation for </w:t>
      </w:r>
      <w:r w:rsidRPr="007B0065">
        <w:t>a formal regulatory process to develop revised targets for energy</w:t>
      </w:r>
      <w:r>
        <w:t xml:space="preserve"> </w:t>
      </w:r>
      <w:r w:rsidRPr="007B0065">
        <w:t xml:space="preserve">savings and for other program goals upon the completion of a </w:t>
      </w:r>
      <w:r>
        <w:t xml:space="preserve">separate </w:t>
      </w:r>
      <w:r w:rsidRPr="007B0065">
        <w:t>potential study</w:t>
      </w:r>
      <w:r>
        <w:t xml:space="preserve">, and instead </w:t>
      </w:r>
      <w:r w:rsidRPr="007B0065">
        <w:t xml:space="preserve">recommends that the IOUs, stakeholders, and independent </w:t>
      </w:r>
      <w:proofErr w:type="gramStart"/>
      <w:r w:rsidRPr="007B0065">
        <w:t>low</w:t>
      </w:r>
      <w:r>
        <w:t xml:space="preserve"> </w:t>
      </w:r>
      <w:r w:rsidRPr="007B0065">
        <w:t>income</w:t>
      </w:r>
      <w:proofErr w:type="gramEnd"/>
      <w:r w:rsidRPr="007B0065">
        <w:t xml:space="preserve"> segment experts leverage the current </w:t>
      </w:r>
      <w:r>
        <w:t>P&amp;G</w:t>
      </w:r>
      <w:r w:rsidRPr="007B0065">
        <w:t xml:space="preserve"> study to provide better and more accurate input and perspective of the low</w:t>
      </w:r>
      <w:r>
        <w:t xml:space="preserve"> </w:t>
      </w:r>
      <w:r w:rsidRPr="007B0065">
        <w:t>income market.</w:t>
      </w:r>
      <w:r>
        <w:rPr>
          <w:rStyle w:val="FootnoteReference"/>
        </w:rPr>
        <w:footnoteReference w:id="511"/>
      </w:r>
    </w:p>
    <w:p w:rsidR="000C1980" w:rsidP="001968DC" w:rsidRDefault="000C1980" w14:paraId="63E90CCC" w14:textId="77777777">
      <w:pPr>
        <w:pStyle w:val="Heading4"/>
        <w:ind w:left="3600"/>
      </w:pPr>
      <w:bookmarkStart w:name="_Toc69948022" w:id="361"/>
      <w:r>
        <w:t>SDG&amp;E</w:t>
      </w:r>
      <w:bookmarkEnd w:id="361"/>
    </w:p>
    <w:p w:rsidRPr="00F97F43" w:rsidR="000C1980" w:rsidP="000D3EBD" w:rsidRDefault="000C1980" w14:paraId="7E9CEAB6" w14:textId="12AE771F">
      <w:pPr>
        <w:pStyle w:val="Standard"/>
        <w:rPr>
          <w:b/>
          <w:bCs/>
          <w:i/>
          <w:iCs/>
          <w:u w:val="single"/>
        </w:rPr>
      </w:pPr>
      <w:r w:rsidRPr="008826BA">
        <w:rPr>
          <w:b/>
          <w:bCs/>
          <w:i/>
          <w:iCs/>
          <w:u w:val="single"/>
        </w:rPr>
        <w:t>Targeted</w:t>
      </w:r>
      <w:r>
        <w:rPr>
          <w:b/>
          <w:bCs/>
          <w:i/>
          <w:iCs/>
          <w:u w:val="single"/>
        </w:rPr>
        <w:t xml:space="preserve"> Low Income</w:t>
      </w:r>
      <w:r w:rsidRPr="008826BA">
        <w:rPr>
          <w:b/>
          <w:bCs/>
          <w:i/>
          <w:iCs/>
          <w:u w:val="single"/>
        </w:rPr>
        <w:t xml:space="preserve"> Potential Study</w:t>
      </w:r>
      <w:r>
        <w:rPr>
          <w:b/>
          <w:bCs/>
          <w:i/>
          <w:iCs/>
          <w:u w:val="single"/>
        </w:rPr>
        <w:t>:</w:t>
      </w:r>
      <w:r>
        <w:t xml:space="preserve"> SDG&amp;E does not </w:t>
      </w:r>
      <w:r w:rsidR="0019497E">
        <w:t xml:space="preserve">categorically </w:t>
      </w:r>
      <w:r w:rsidRPr="00EA53D6">
        <w:t xml:space="preserve">object </w:t>
      </w:r>
      <w:r w:rsidR="0019497E">
        <w:t xml:space="preserve">to </w:t>
      </w:r>
      <w:r w:rsidRPr="00EA53D6">
        <w:t>TURN</w:t>
      </w:r>
      <w:r>
        <w:t>’s proposal f</w:t>
      </w:r>
      <w:r w:rsidRPr="00EA53D6">
        <w:t>or energy savings goals to be set</w:t>
      </w:r>
      <w:r w:rsidR="0019497E">
        <w:t xml:space="preserve">. </w:t>
      </w:r>
      <w:proofErr w:type="gramStart"/>
      <w:r w:rsidR="0019497E">
        <w:t>However</w:t>
      </w:r>
      <w:proofErr w:type="gramEnd"/>
      <w:r w:rsidR="0019497E">
        <w:t xml:space="preserve"> SDG&amp;E</w:t>
      </w:r>
      <w:r w:rsidRPr="00EA53D6">
        <w:t xml:space="preserve"> emphasize</w:t>
      </w:r>
      <w:r>
        <w:t>s</w:t>
      </w:r>
      <w:r w:rsidRPr="00EA53D6">
        <w:t xml:space="preserve"> the importance of setting goals that consider the unique</w:t>
      </w:r>
      <w:r>
        <w:t xml:space="preserve"> </w:t>
      </w:r>
      <w:r w:rsidRPr="00EA53D6">
        <w:t>characteristics of IOU service areas, customers, climate, measure saturation, and building stock</w:t>
      </w:r>
      <w:r>
        <w:t>.  SDG&amp;E supports a</w:t>
      </w:r>
      <w:r w:rsidRPr="00EA53D6">
        <w:t xml:space="preserve"> </w:t>
      </w:r>
      <w:r>
        <w:t>separate p</w:t>
      </w:r>
      <w:r w:rsidRPr="00EA53D6">
        <w:t xml:space="preserve">otential study specific to the ESA </w:t>
      </w:r>
      <w:r>
        <w:t>p</w:t>
      </w:r>
      <w:r w:rsidRPr="00EA53D6">
        <w:t xml:space="preserve">rogram and </w:t>
      </w:r>
      <w:proofErr w:type="gramStart"/>
      <w:r w:rsidRPr="00EA53D6">
        <w:t>low</w:t>
      </w:r>
      <w:r>
        <w:t xml:space="preserve"> </w:t>
      </w:r>
      <w:r w:rsidRPr="00EA53D6">
        <w:t>income</w:t>
      </w:r>
      <w:proofErr w:type="gramEnd"/>
      <w:r w:rsidRPr="00EA53D6">
        <w:t xml:space="preserve"> customers.</w:t>
      </w:r>
    </w:p>
    <w:p w:rsidR="000C1980" w:rsidP="001968DC" w:rsidRDefault="000C1980" w14:paraId="64E54AF1" w14:textId="77777777">
      <w:pPr>
        <w:pStyle w:val="Heading3"/>
        <w:ind w:left="2664"/>
      </w:pPr>
      <w:bookmarkStart w:name="_Ref65055441" w:id="362"/>
      <w:bookmarkStart w:name="_Toc69948023" w:id="363"/>
      <w:r>
        <w:t>Discussion</w:t>
      </w:r>
      <w:bookmarkEnd w:id="362"/>
      <w:bookmarkEnd w:id="363"/>
    </w:p>
    <w:p w:rsidRPr="009E5B4F" w:rsidR="000C1980" w:rsidP="001968DC" w:rsidRDefault="000C1980" w14:paraId="4B78DF15" w14:textId="77777777">
      <w:pPr>
        <w:pStyle w:val="Heading4"/>
        <w:ind w:left="3600"/>
      </w:pPr>
      <w:bookmarkStart w:name="_Toc69948024" w:id="364"/>
      <w:r w:rsidRPr="009E5B4F">
        <w:t xml:space="preserve">Portfolio Level Energy Savings Targets: </w:t>
      </w:r>
      <w:r w:rsidRPr="009E5B4F">
        <w:rPr>
          <w:u w:val="single"/>
        </w:rPr>
        <w:t>Approved with Modifications</w:t>
      </w:r>
      <w:bookmarkEnd w:id="364"/>
    </w:p>
    <w:p w:rsidR="000C1980" w:rsidP="000D3EBD" w:rsidRDefault="000C1980" w14:paraId="7713192B" w14:textId="09C6F448">
      <w:pPr>
        <w:pStyle w:val="Standard"/>
      </w:pPr>
      <w:r w:rsidRPr="007D03FF">
        <w:t xml:space="preserve">We approve the IOUs’ </w:t>
      </w:r>
      <w:r>
        <w:t xml:space="preserve">portfolio level </w:t>
      </w:r>
      <w:r w:rsidRPr="007D03FF">
        <w:t xml:space="preserve">energy savings </w:t>
      </w:r>
      <w:r w:rsidR="007B0DB8">
        <w:t>levels</w:t>
      </w:r>
      <w:r w:rsidRPr="007D03FF">
        <w:t xml:space="preserve"> for </w:t>
      </w:r>
      <w:r>
        <w:t>PYs 202</w:t>
      </w:r>
      <w:r w:rsidR="00344C11">
        <w:t>2</w:t>
      </w:r>
      <w:r>
        <w:noBreakHyphen/>
        <w:t>2026</w:t>
      </w:r>
      <w:r w:rsidRPr="007D03FF">
        <w:t xml:space="preserve"> </w:t>
      </w:r>
      <w:r>
        <w:t>but</w:t>
      </w:r>
      <w:r w:rsidRPr="007D03FF">
        <w:t xml:space="preserve"> set them as </w:t>
      </w:r>
      <w:r w:rsidRPr="009E5B4F">
        <w:rPr>
          <w:i/>
          <w:iCs/>
        </w:rPr>
        <w:t>goals</w:t>
      </w:r>
      <w:r>
        <w:t xml:space="preserve"> to acknowledge that portfolio energy savings is a priority over the number of households treated</w:t>
      </w:r>
      <w:r w:rsidRPr="007D03FF">
        <w:t xml:space="preserve">. </w:t>
      </w:r>
      <w:r>
        <w:t xml:space="preserve"> </w:t>
      </w:r>
      <w:r w:rsidRPr="007D03FF">
        <w:t xml:space="preserve">We acknowledge that </w:t>
      </w:r>
      <w:r>
        <w:t xml:space="preserve">some of these </w:t>
      </w:r>
      <w:r w:rsidRPr="007D03FF">
        <w:t xml:space="preserve">electric saving goals </w:t>
      </w:r>
      <w:r>
        <w:t xml:space="preserve">are </w:t>
      </w:r>
      <w:r w:rsidRPr="007D03FF">
        <w:t>lower as compared to previous years</w:t>
      </w:r>
      <w:r>
        <w:t>’</w:t>
      </w:r>
      <w:r w:rsidRPr="007D03FF">
        <w:t xml:space="preserve"> </w:t>
      </w:r>
      <w:r>
        <w:t xml:space="preserve">performance, but we attribute this </w:t>
      </w:r>
      <w:r w:rsidRPr="007D03FF">
        <w:t>to</w:t>
      </w:r>
      <w:r>
        <w:t xml:space="preserve"> various factors including 1) </w:t>
      </w:r>
      <w:r w:rsidRPr="007D03FF">
        <w:t>a shift from maximizing the number of homes treated to treating households based primarily on customer segment</w:t>
      </w:r>
      <w:r>
        <w:t>s/</w:t>
      </w:r>
      <w:r w:rsidRPr="007D03FF">
        <w:t>need state</w:t>
      </w:r>
      <w:r>
        <w:t>s, 2)</w:t>
      </w:r>
      <w:r w:rsidRPr="007D03FF">
        <w:t xml:space="preserve"> </w:t>
      </w:r>
      <w:r w:rsidR="001D4DAA">
        <w:t>lower</w:t>
      </w:r>
      <w:r w:rsidRPr="007D03FF">
        <w:t xml:space="preserve"> savings </w:t>
      </w:r>
      <w:r>
        <w:t xml:space="preserve">potential </w:t>
      </w:r>
      <w:r w:rsidRPr="007D03FF">
        <w:t>overall</w:t>
      </w:r>
      <w:r>
        <w:t xml:space="preserve"> as </w:t>
      </w:r>
      <w:proofErr w:type="spellStart"/>
      <w:r>
        <w:t>i</w:t>
      </w:r>
      <w:proofErr w:type="spellEnd"/>
      <w:r>
        <w:t xml:space="preserve">) codes </w:t>
      </w:r>
      <w:r>
        <w:lastRenderedPageBreak/>
        <w:t>and standards have been updated to more efficien</w:t>
      </w:r>
      <w:r w:rsidR="0036392A">
        <w:t>t</w:t>
      </w:r>
      <w:r>
        <w:t xml:space="preserve"> appliances,</w:t>
      </w:r>
      <w:r>
        <w:rPr>
          <w:rStyle w:val="FootnoteReference"/>
        </w:rPr>
        <w:footnoteReference w:id="512"/>
      </w:r>
      <w:r w:rsidRPr="007D03FF">
        <w:t xml:space="preserve"> </w:t>
      </w:r>
      <w:r>
        <w:t>ii)</w:t>
      </w:r>
      <w:r w:rsidRPr="007D03FF">
        <w:t xml:space="preserve"> the IOUs’ ex ante savings values </w:t>
      </w:r>
      <w:r>
        <w:t>being</w:t>
      </w:r>
      <w:r w:rsidRPr="007D03FF">
        <w:t xml:space="preserve"> reduced starting in 2019 as a result of a 2015-</w:t>
      </w:r>
      <w:r>
        <w:t>20</w:t>
      </w:r>
      <w:r w:rsidRPr="007D03FF">
        <w:t>17 evaluation study findings</w:t>
      </w:r>
      <w:r>
        <w:t>,</w:t>
      </w:r>
      <w:r>
        <w:rPr>
          <w:rStyle w:val="FootnoteReference"/>
        </w:rPr>
        <w:footnoteReference w:id="513"/>
      </w:r>
      <w:r w:rsidRPr="007D03FF">
        <w:t xml:space="preserve"> and </w:t>
      </w:r>
      <w:r>
        <w:t>iii)</w:t>
      </w:r>
      <w:r w:rsidRPr="007D03FF">
        <w:t xml:space="preserve"> the shift away from lighting measures, towards lower-saving and non-</w:t>
      </w:r>
      <w:r>
        <w:t xml:space="preserve">energy </w:t>
      </w:r>
      <w:r w:rsidRPr="007D03FF">
        <w:t>saving measures</w:t>
      </w:r>
      <w:r>
        <w:t>.  We therefore</w:t>
      </w:r>
      <w:r>
        <w:rPr>
          <w:rFonts w:eastAsiaTheme="minorEastAsia"/>
        </w:rPr>
        <w:t xml:space="preserve"> approve the </w:t>
      </w:r>
      <w:r w:rsidR="000904A2">
        <w:rPr>
          <w:rFonts w:eastAsiaTheme="minorEastAsia"/>
        </w:rPr>
        <w:t xml:space="preserve">following </w:t>
      </w:r>
      <w:r>
        <w:rPr>
          <w:rFonts w:eastAsiaTheme="minorEastAsia"/>
        </w:rPr>
        <w:t xml:space="preserve">portfolio energy savings goals.  We apply a ten percent reduction to align with </w:t>
      </w:r>
      <w:r>
        <w:t>the ten percent reduction in the proposed budgets (</w:t>
      </w:r>
      <w:r w:rsidRPr="007F40BA">
        <w:rPr>
          <w:i/>
          <w:iCs/>
        </w:rPr>
        <w:t>see</w:t>
      </w:r>
      <w:r>
        <w:t xml:space="preserve"> Section 6.15</w:t>
      </w:r>
      <w:r w:rsidR="00AE49CB">
        <w:t>.8.1</w:t>
      </w:r>
      <w:r>
        <w:t>), and a four percent adjustment to adjust for the Staff Proposed Pilot Plus and Pilot Deep treatments, (</w:t>
      </w:r>
      <w:r w:rsidRPr="007F40BA">
        <w:rPr>
          <w:i/>
          <w:iCs/>
        </w:rPr>
        <w:t>see</w:t>
      </w:r>
      <w:r>
        <w:t xml:space="preserve"> Section 6.2</w:t>
      </w:r>
      <w:r w:rsidR="00AE49CB">
        <w:t>.3.2</w:t>
      </w:r>
      <w:r>
        <w:t xml:space="preserve">). </w:t>
      </w:r>
    </w:p>
    <w:p w:rsidR="000C1980" w:rsidP="001968DC" w:rsidRDefault="000C1980" w14:paraId="32B98015" w14:textId="30962E39">
      <w:pPr>
        <w:pStyle w:val="BlockQuote"/>
        <w:ind w:left="360"/>
        <w:jc w:val="center"/>
        <w:rPr>
          <w:b/>
          <w:bCs/>
        </w:rPr>
      </w:pPr>
      <w:r w:rsidRPr="00D7398C">
        <w:rPr>
          <w:b/>
          <w:bCs/>
        </w:rPr>
        <w:t xml:space="preserve">Table </w:t>
      </w:r>
      <w:r>
        <w:rPr>
          <w:b/>
          <w:bCs/>
        </w:rPr>
        <w:t>10</w:t>
      </w:r>
      <w:r w:rsidRPr="00D7398C">
        <w:rPr>
          <w:b/>
          <w:bCs/>
        </w:rPr>
        <w:t>: Approved Portfolio Savings Goal, PYs 202</w:t>
      </w:r>
      <w:r w:rsidR="00BA4502">
        <w:rPr>
          <w:b/>
          <w:bCs/>
        </w:rPr>
        <w:t>2</w:t>
      </w:r>
      <w:r w:rsidRPr="00D7398C">
        <w:rPr>
          <w:b/>
          <w:bCs/>
        </w:rPr>
        <w:t>-2026</w:t>
      </w:r>
    </w:p>
    <w:tbl>
      <w:tblPr>
        <w:tblStyle w:val="TableTheme"/>
        <w:tblW w:w="8275" w:type="dxa"/>
        <w:jc w:val="center"/>
        <w:tblLayout w:type="fixed"/>
        <w:tblLook w:val="04A0" w:firstRow="1" w:lastRow="0" w:firstColumn="1" w:lastColumn="0" w:noHBand="0" w:noVBand="1"/>
      </w:tblPr>
      <w:tblGrid>
        <w:gridCol w:w="1112"/>
        <w:gridCol w:w="939"/>
        <w:gridCol w:w="940"/>
        <w:gridCol w:w="940"/>
        <w:gridCol w:w="941"/>
        <w:gridCol w:w="941"/>
        <w:gridCol w:w="940"/>
        <w:gridCol w:w="1522"/>
      </w:tblGrid>
      <w:tr w:rsidRPr="004307A8" w:rsidR="00BF6594" w:rsidTr="0049788E" w14:paraId="25368768" w14:textId="77777777">
        <w:trPr>
          <w:trHeight w:val="547"/>
          <w:jc w:val="center"/>
        </w:trPr>
        <w:tc>
          <w:tcPr>
            <w:tcW w:w="8275" w:type="dxa"/>
            <w:gridSpan w:val="8"/>
            <w:vAlign w:val="center"/>
          </w:tcPr>
          <w:p w:rsidRPr="004307A8" w:rsidR="00BF6594" w:rsidP="00AA455C" w:rsidRDefault="00BF6594" w14:paraId="256EC2DE" w14:textId="77777777">
            <w:pPr>
              <w:jc w:val="center"/>
              <w:rPr>
                <w:rFonts w:eastAsia="Times New Roman" w:cstheme="minorHAnsi"/>
                <w:b/>
                <w:bCs/>
                <w:color w:val="000000"/>
                <w:sz w:val="20"/>
              </w:rPr>
            </w:pPr>
            <w:r w:rsidRPr="004307A8">
              <w:rPr>
                <w:b/>
                <w:bCs/>
                <w:sz w:val="20"/>
              </w:rPr>
              <w:t>Approved ESA Portfolio Savings Goal, PYs 202</w:t>
            </w:r>
            <w:r>
              <w:rPr>
                <w:b/>
                <w:bCs/>
                <w:sz w:val="20"/>
              </w:rPr>
              <w:t>2</w:t>
            </w:r>
            <w:r w:rsidRPr="004307A8">
              <w:rPr>
                <w:b/>
                <w:bCs/>
                <w:sz w:val="20"/>
              </w:rPr>
              <w:t>-2026</w:t>
            </w:r>
          </w:p>
        </w:tc>
      </w:tr>
      <w:tr w:rsidRPr="004307A8" w:rsidR="00BF6594" w:rsidTr="0049788E" w14:paraId="14ADE552" w14:textId="77777777">
        <w:trPr>
          <w:trHeight w:val="547"/>
          <w:jc w:val="center"/>
        </w:trPr>
        <w:tc>
          <w:tcPr>
            <w:tcW w:w="2051" w:type="dxa"/>
            <w:gridSpan w:val="2"/>
            <w:vAlign w:val="center"/>
            <w:hideMark/>
          </w:tcPr>
          <w:p w:rsidRPr="004307A8" w:rsidR="00BF6594" w:rsidP="00AA455C" w:rsidRDefault="00BF6594" w14:paraId="37F56292" w14:textId="77777777">
            <w:pPr>
              <w:jc w:val="center"/>
              <w:rPr>
                <w:rFonts w:eastAsia="Times New Roman" w:cstheme="minorHAnsi"/>
                <w:b/>
                <w:bCs/>
                <w:color w:val="000000"/>
                <w:sz w:val="20"/>
              </w:rPr>
            </w:pPr>
            <w:r w:rsidRPr="004307A8">
              <w:rPr>
                <w:rFonts w:eastAsia="Times New Roman" w:cstheme="minorHAnsi"/>
                <w:b/>
                <w:bCs/>
                <w:color w:val="000000"/>
                <w:sz w:val="20"/>
              </w:rPr>
              <w:t>IOU</w:t>
            </w:r>
          </w:p>
        </w:tc>
        <w:tc>
          <w:tcPr>
            <w:tcW w:w="940" w:type="dxa"/>
            <w:noWrap/>
            <w:hideMark/>
          </w:tcPr>
          <w:p w:rsidRPr="004307A8" w:rsidR="00BF6594" w:rsidP="00AA455C" w:rsidRDefault="00BF6594" w14:paraId="526F6FCF" w14:textId="77777777">
            <w:pPr>
              <w:jc w:val="center"/>
              <w:rPr>
                <w:rFonts w:eastAsia="Times New Roman" w:cstheme="minorHAnsi"/>
                <w:b/>
                <w:bCs/>
                <w:color w:val="000000"/>
                <w:sz w:val="20"/>
              </w:rPr>
            </w:pPr>
            <w:r w:rsidRPr="004307A8">
              <w:rPr>
                <w:rFonts w:eastAsia="Times New Roman" w:cstheme="minorHAnsi"/>
                <w:b/>
                <w:bCs/>
                <w:color w:val="000000"/>
                <w:sz w:val="20"/>
              </w:rPr>
              <w:t>2022</w:t>
            </w:r>
          </w:p>
        </w:tc>
        <w:tc>
          <w:tcPr>
            <w:tcW w:w="940" w:type="dxa"/>
            <w:noWrap/>
            <w:hideMark/>
          </w:tcPr>
          <w:p w:rsidRPr="004307A8" w:rsidR="00BF6594" w:rsidP="00AA455C" w:rsidRDefault="00BF6594" w14:paraId="1821479F" w14:textId="77777777">
            <w:pPr>
              <w:jc w:val="center"/>
              <w:rPr>
                <w:rFonts w:eastAsia="Times New Roman" w:cstheme="minorHAnsi"/>
                <w:b/>
                <w:bCs/>
                <w:color w:val="000000"/>
                <w:sz w:val="20"/>
              </w:rPr>
            </w:pPr>
            <w:r w:rsidRPr="004307A8">
              <w:rPr>
                <w:rFonts w:eastAsia="Times New Roman" w:cstheme="minorHAnsi"/>
                <w:b/>
                <w:bCs/>
                <w:color w:val="000000"/>
                <w:sz w:val="20"/>
              </w:rPr>
              <w:t>2023</w:t>
            </w:r>
          </w:p>
        </w:tc>
        <w:tc>
          <w:tcPr>
            <w:tcW w:w="941" w:type="dxa"/>
            <w:noWrap/>
            <w:hideMark/>
          </w:tcPr>
          <w:p w:rsidRPr="004307A8" w:rsidR="00BF6594" w:rsidP="00AA455C" w:rsidRDefault="00BF6594" w14:paraId="4FC5560F" w14:textId="77777777">
            <w:pPr>
              <w:jc w:val="center"/>
              <w:rPr>
                <w:rFonts w:eastAsia="Times New Roman" w:cstheme="minorHAnsi"/>
                <w:b/>
                <w:bCs/>
                <w:color w:val="000000"/>
                <w:sz w:val="20"/>
              </w:rPr>
            </w:pPr>
            <w:r w:rsidRPr="004307A8">
              <w:rPr>
                <w:rFonts w:eastAsia="Times New Roman" w:cstheme="minorHAnsi"/>
                <w:b/>
                <w:bCs/>
                <w:color w:val="000000"/>
                <w:sz w:val="20"/>
              </w:rPr>
              <w:t>2024</w:t>
            </w:r>
          </w:p>
        </w:tc>
        <w:tc>
          <w:tcPr>
            <w:tcW w:w="941" w:type="dxa"/>
            <w:noWrap/>
            <w:hideMark/>
          </w:tcPr>
          <w:p w:rsidRPr="004307A8" w:rsidR="00BF6594" w:rsidP="00AA455C" w:rsidRDefault="00BF6594" w14:paraId="6083593C" w14:textId="77777777">
            <w:pPr>
              <w:jc w:val="center"/>
              <w:rPr>
                <w:rFonts w:eastAsia="Times New Roman" w:cstheme="minorHAnsi"/>
                <w:b/>
                <w:bCs/>
                <w:color w:val="000000"/>
                <w:sz w:val="20"/>
              </w:rPr>
            </w:pPr>
            <w:r w:rsidRPr="004307A8">
              <w:rPr>
                <w:rFonts w:eastAsia="Times New Roman" w:cstheme="minorHAnsi"/>
                <w:b/>
                <w:bCs/>
                <w:color w:val="000000"/>
                <w:sz w:val="20"/>
              </w:rPr>
              <w:t>2025</w:t>
            </w:r>
          </w:p>
        </w:tc>
        <w:tc>
          <w:tcPr>
            <w:tcW w:w="940" w:type="dxa"/>
            <w:noWrap/>
            <w:hideMark/>
          </w:tcPr>
          <w:p w:rsidRPr="004307A8" w:rsidR="00BF6594" w:rsidP="00AA455C" w:rsidRDefault="00BF6594" w14:paraId="2A034032" w14:textId="77777777">
            <w:pPr>
              <w:jc w:val="center"/>
              <w:rPr>
                <w:rFonts w:eastAsia="Times New Roman" w:cstheme="minorHAnsi"/>
                <w:b/>
                <w:bCs/>
                <w:color w:val="000000"/>
                <w:sz w:val="20"/>
              </w:rPr>
            </w:pPr>
            <w:r w:rsidRPr="004307A8">
              <w:rPr>
                <w:rFonts w:eastAsia="Times New Roman" w:cstheme="minorHAnsi"/>
                <w:b/>
                <w:bCs/>
                <w:color w:val="000000"/>
                <w:sz w:val="20"/>
              </w:rPr>
              <w:t>2026</w:t>
            </w:r>
          </w:p>
        </w:tc>
        <w:tc>
          <w:tcPr>
            <w:tcW w:w="1522" w:type="dxa"/>
            <w:noWrap/>
            <w:hideMark/>
          </w:tcPr>
          <w:p w:rsidRPr="004307A8" w:rsidR="00BF6594" w:rsidP="00AA455C" w:rsidRDefault="00BF6594" w14:paraId="59C27922" w14:textId="77777777">
            <w:pPr>
              <w:jc w:val="center"/>
              <w:rPr>
                <w:rFonts w:eastAsia="Times New Roman" w:cstheme="minorHAnsi"/>
                <w:b/>
                <w:bCs/>
                <w:color w:val="000000"/>
                <w:sz w:val="20"/>
              </w:rPr>
            </w:pPr>
            <w:r w:rsidRPr="004307A8">
              <w:rPr>
                <w:rFonts w:eastAsia="Times New Roman" w:cstheme="minorHAnsi"/>
                <w:b/>
                <w:bCs/>
                <w:color w:val="000000"/>
                <w:sz w:val="20"/>
              </w:rPr>
              <w:t>Total</w:t>
            </w:r>
          </w:p>
        </w:tc>
      </w:tr>
      <w:tr w:rsidRPr="004307A8" w:rsidR="00BF6594" w:rsidTr="0049788E" w14:paraId="691FC726" w14:textId="77777777">
        <w:trPr>
          <w:trHeight w:val="547"/>
          <w:jc w:val="center"/>
        </w:trPr>
        <w:tc>
          <w:tcPr>
            <w:tcW w:w="1112" w:type="dxa"/>
            <w:vMerge w:val="restart"/>
            <w:vAlign w:val="center"/>
            <w:hideMark/>
          </w:tcPr>
          <w:p w:rsidRPr="004307A8" w:rsidR="00BF6594" w:rsidP="00AA455C" w:rsidRDefault="00BF6594" w14:paraId="6E4337B4" w14:textId="77777777">
            <w:pPr>
              <w:rPr>
                <w:rFonts w:eastAsia="Times New Roman" w:cstheme="minorHAnsi"/>
                <w:color w:val="000000"/>
                <w:sz w:val="20"/>
              </w:rPr>
            </w:pPr>
            <w:r w:rsidRPr="004307A8">
              <w:rPr>
                <w:rFonts w:eastAsia="Times New Roman" w:cstheme="minorHAnsi"/>
                <w:color w:val="000000"/>
                <w:sz w:val="20"/>
              </w:rPr>
              <w:t>PG&amp;E</w:t>
            </w:r>
          </w:p>
        </w:tc>
        <w:tc>
          <w:tcPr>
            <w:tcW w:w="939" w:type="dxa"/>
          </w:tcPr>
          <w:p w:rsidRPr="004307A8" w:rsidR="00BF6594" w:rsidP="00AA455C" w:rsidRDefault="00BF6594" w14:paraId="23BCE815" w14:textId="77777777">
            <w:pPr>
              <w:jc w:val="both"/>
              <w:rPr>
                <w:rFonts w:eastAsia="Times New Roman" w:cstheme="minorHAnsi"/>
                <w:color w:val="000000"/>
                <w:sz w:val="20"/>
              </w:rPr>
            </w:pPr>
            <w:r w:rsidRPr="004307A8">
              <w:rPr>
                <w:sz w:val="20"/>
              </w:rPr>
              <w:t>GWh</w:t>
            </w:r>
          </w:p>
        </w:tc>
        <w:tc>
          <w:tcPr>
            <w:tcW w:w="940" w:type="dxa"/>
            <w:noWrap/>
            <w:hideMark/>
          </w:tcPr>
          <w:p w:rsidRPr="004307A8" w:rsidR="00BF6594" w:rsidP="00AA455C" w:rsidRDefault="00BF6594" w14:paraId="6B3DBC79" w14:textId="77777777">
            <w:pPr>
              <w:jc w:val="right"/>
              <w:rPr>
                <w:rFonts w:eastAsia="Times New Roman" w:cstheme="minorHAnsi"/>
                <w:color w:val="000000"/>
                <w:sz w:val="20"/>
              </w:rPr>
            </w:pPr>
            <w:r w:rsidRPr="004307A8">
              <w:rPr>
                <w:rFonts w:eastAsia="Times New Roman" w:cstheme="minorHAnsi"/>
                <w:color w:val="000000"/>
                <w:sz w:val="20"/>
              </w:rPr>
              <w:t xml:space="preserve">     15.1 </w:t>
            </w:r>
          </w:p>
        </w:tc>
        <w:tc>
          <w:tcPr>
            <w:tcW w:w="940" w:type="dxa"/>
            <w:noWrap/>
            <w:hideMark/>
          </w:tcPr>
          <w:p w:rsidRPr="004307A8" w:rsidR="00BF6594" w:rsidP="00AA455C" w:rsidRDefault="00BF6594" w14:paraId="3A7470B5"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35.8 </w:t>
            </w:r>
          </w:p>
        </w:tc>
        <w:tc>
          <w:tcPr>
            <w:tcW w:w="941" w:type="dxa"/>
            <w:noWrap/>
            <w:hideMark/>
          </w:tcPr>
          <w:p w:rsidRPr="004307A8" w:rsidR="00BF6594" w:rsidP="00AA455C" w:rsidRDefault="00BF6594" w14:paraId="2014A83F"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34.3  </w:t>
            </w:r>
          </w:p>
        </w:tc>
        <w:tc>
          <w:tcPr>
            <w:tcW w:w="941" w:type="dxa"/>
            <w:noWrap/>
            <w:hideMark/>
          </w:tcPr>
          <w:p w:rsidRPr="004307A8" w:rsidR="00BF6594" w:rsidP="00AA455C" w:rsidRDefault="00BF6594" w14:paraId="53874038"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33.8 </w:t>
            </w:r>
          </w:p>
        </w:tc>
        <w:tc>
          <w:tcPr>
            <w:tcW w:w="940" w:type="dxa"/>
            <w:noWrap/>
            <w:hideMark/>
          </w:tcPr>
          <w:p w:rsidRPr="004307A8" w:rsidR="00BF6594" w:rsidP="00AA455C" w:rsidRDefault="00BF6594" w14:paraId="06B77B31"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33.2 </w:t>
            </w:r>
          </w:p>
        </w:tc>
        <w:tc>
          <w:tcPr>
            <w:tcW w:w="1522" w:type="dxa"/>
            <w:noWrap/>
            <w:hideMark/>
          </w:tcPr>
          <w:p w:rsidRPr="004307A8" w:rsidR="00BF6594" w:rsidP="00AA455C" w:rsidRDefault="00BF6594" w14:paraId="47FDA7EB"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w:t>
            </w:r>
            <w:r>
              <w:rPr>
                <w:rFonts w:eastAsia="Times New Roman" w:cstheme="minorBidi"/>
                <w:color w:val="000000" w:themeColor="text1"/>
                <w:sz w:val="20"/>
              </w:rPr>
              <w:t>152.2</w:t>
            </w:r>
            <w:r w:rsidRPr="004307A8">
              <w:rPr>
                <w:rFonts w:eastAsia="Times New Roman" w:cstheme="minorBidi"/>
                <w:color w:val="000000" w:themeColor="text1"/>
                <w:sz w:val="20"/>
              </w:rPr>
              <w:t xml:space="preserve"> </w:t>
            </w:r>
          </w:p>
        </w:tc>
      </w:tr>
      <w:tr w:rsidRPr="004307A8" w:rsidR="00BF6594" w:rsidTr="0049788E" w14:paraId="5E68FB98" w14:textId="77777777">
        <w:trPr>
          <w:trHeight w:val="547"/>
          <w:jc w:val="center"/>
        </w:trPr>
        <w:tc>
          <w:tcPr>
            <w:tcW w:w="1112" w:type="dxa"/>
            <w:vMerge/>
            <w:vAlign w:val="center"/>
          </w:tcPr>
          <w:p w:rsidRPr="004307A8" w:rsidR="00BF6594" w:rsidP="00AA455C" w:rsidRDefault="00BF6594" w14:paraId="0327E269" w14:textId="77777777">
            <w:pPr>
              <w:rPr>
                <w:rFonts w:eastAsia="Times New Roman" w:cstheme="minorHAnsi"/>
                <w:color w:val="000000"/>
                <w:sz w:val="20"/>
              </w:rPr>
            </w:pPr>
          </w:p>
        </w:tc>
        <w:tc>
          <w:tcPr>
            <w:tcW w:w="939" w:type="dxa"/>
          </w:tcPr>
          <w:p w:rsidRPr="004307A8" w:rsidR="00BF6594" w:rsidP="00AA455C" w:rsidRDefault="00BF6594" w14:paraId="2C259550" w14:textId="77777777">
            <w:pPr>
              <w:jc w:val="both"/>
              <w:rPr>
                <w:rFonts w:eastAsia="Times New Roman" w:cstheme="minorHAnsi"/>
                <w:color w:val="000000"/>
                <w:sz w:val="20"/>
              </w:rPr>
            </w:pPr>
            <w:r w:rsidRPr="004307A8">
              <w:rPr>
                <w:sz w:val="20"/>
              </w:rPr>
              <w:t>MW</w:t>
            </w:r>
          </w:p>
        </w:tc>
        <w:tc>
          <w:tcPr>
            <w:tcW w:w="940" w:type="dxa"/>
            <w:noWrap/>
          </w:tcPr>
          <w:p w:rsidRPr="004307A8" w:rsidR="00BF6594" w:rsidP="00AA455C" w:rsidRDefault="00BF6594" w14:paraId="31719BA9" w14:textId="77777777">
            <w:pPr>
              <w:jc w:val="right"/>
              <w:rPr>
                <w:rFonts w:eastAsia="Times New Roman" w:cstheme="minorHAnsi"/>
                <w:color w:val="000000"/>
                <w:sz w:val="20"/>
              </w:rPr>
            </w:pPr>
            <w:r w:rsidRPr="004307A8">
              <w:rPr>
                <w:rFonts w:eastAsia="Times New Roman" w:cstheme="minorHAnsi"/>
                <w:color w:val="000000"/>
                <w:sz w:val="20"/>
              </w:rPr>
              <w:t xml:space="preserve">       2.9 </w:t>
            </w:r>
          </w:p>
        </w:tc>
        <w:tc>
          <w:tcPr>
            <w:tcW w:w="940" w:type="dxa"/>
            <w:noWrap/>
          </w:tcPr>
          <w:p w:rsidRPr="004307A8" w:rsidR="00BF6594" w:rsidP="00AA455C" w:rsidRDefault="00BF6594" w14:paraId="6E6D7BA2" w14:textId="77777777">
            <w:pPr>
              <w:jc w:val="right"/>
              <w:rPr>
                <w:rFonts w:eastAsia="Times New Roman" w:cstheme="minorHAnsi"/>
                <w:color w:val="000000"/>
                <w:sz w:val="20"/>
              </w:rPr>
            </w:pPr>
            <w:r w:rsidRPr="004307A8">
              <w:rPr>
                <w:rFonts w:eastAsia="Times New Roman" w:cstheme="minorHAnsi"/>
                <w:color w:val="000000"/>
                <w:sz w:val="20"/>
              </w:rPr>
              <w:t xml:space="preserve">       3.2 </w:t>
            </w:r>
          </w:p>
        </w:tc>
        <w:tc>
          <w:tcPr>
            <w:tcW w:w="941" w:type="dxa"/>
            <w:noWrap/>
          </w:tcPr>
          <w:p w:rsidRPr="004307A8" w:rsidR="00BF6594" w:rsidP="00AA455C" w:rsidRDefault="00BF6594" w14:paraId="792CDC80" w14:textId="77777777">
            <w:pPr>
              <w:jc w:val="right"/>
              <w:rPr>
                <w:rFonts w:eastAsia="Times New Roman" w:cstheme="minorHAnsi"/>
                <w:color w:val="000000"/>
                <w:sz w:val="20"/>
              </w:rPr>
            </w:pPr>
            <w:r w:rsidRPr="004307A8">
              <w:rPr>
                <w:rFonts w:eastAsia="Times New Roman" w:cstheme="minorHAnsi"/>
                <w:color w:val="000000"/>
                <w:sz w:val="20"/>
              </w:rPr>
              <w:t xml:space="preserve">       2.9 </w:t>
            </w:r>
          </w:p>
        </w:tc>
        <w:tc>
          <w:tcPr>
            <w:tcW w:w="941" w:type="dxa"/>
            <w:noWrap/>
          </w:tcPr>
          <w:p w:rsidRPr="004307A8" w:rsidR="00BF6594" w:rsidP="00AA455C" w:rsidRDefault="00BF6594" w14:paraId="49141502" w14:textId="77777777">
            <w:pPr>
              <w:jc w:val="right"/>
              <w:rPr>
                <w:rFonts w:eastAsia="Times New Roman" w:cstheme="minorHAnsi"/>
                <w:color w:val="000000"/>
                <w:sz w:val="20"/>
              </w:rPr>
            </w:pPr>
            <w:r w:rsidRPr="004307A8">
              <w:rPr>
                <w:rFonts w:eastAsia="Times New Roman" w:cstheme="minorHAnsi"/>
                <w:color w:val="000000"/>
                <w:sz w:val="20"/>
              </w:rPr>
              <w:t xml:space="preserve">       2.9 </w:t>
            </w:r>
          </w:p>
        </w:tc>
        <w:tc>
          <w:tcPr>
            <w:tcW w:w="940" w:type="dxa"/>
            <w:noWrap/>
          </w:tcPr>
          <w:p w:rsidRPr="004307A8" w:rsidR="00BF6594" w:rsidP="00AA455C" w:rsidRDefault="00BF6594" w14:paraId="2276C6F8" w14:textId="77777777">
            <w:pPr>
              <w:jc w:val="right"/>
              <w:rPr>
                <w:rFonts w:eastAsia="Times New Roman" w:cstheme="minorHAnsi"/>
                <w:color w:val="000000"/>
                <w:sz w:val="20"/>
              </w:rPr>
            </w:pPr>
            <w:r w:rsidRPr="004307A8">
              <w:rPr>
                <w:rFonts w:eastAsia="Times New Roman" w:cstheme="minorHAnsi"/>
                <w:color w:val="000000"/>
                <w:sz w:val="20"/>
              </w:rPr>
              <w:t xml:space="preserve">       2.7 </w:t>
            </w:r>
          </w:p>
        </w:tc>
        <w:tc>
          <w:tcPr>
            <w:tcW w:w="1522" w:type="dxa"/>
            <w:noWrap/>
          </w:tcPr>
          <w:p w:rsidRPr="004307A8" w:rsidR="00BF6594" w:rsidP="00AA455C" w:rsidRDefault="00BF6594" w14:paraId="41BBD862" w14:textId="77777777">
            <w:pPr>
              <w:jc w:val="right"/>
              <w:rPr>
                <w:rFonts w:eastAsia="Times New Roman" w:cstheme="minorHAnsi"/>
                <w:color w:val="000000"/>
                <w:sz w:val="20"/>
              </w:rPr>
            </w:pPr>
            <w:r w:rsidRPr="004307A8">
              <w:rPr>
                <w:rFonts w:eastAsia="Times New Roman" w:cstheme="minorHAnsi"/>
                <w:color w:val="000000"/>
                <w:sz w:val="20"/>
              </w:rPr>
              <w:t xml:space="preserve">        </w:t>
            </w:r>
            <w:r>
              <w:rPr>
                <w:rFonts w:eastAsia="Times New Roman" w:cstheme="minorHAnsi"/>
                <w:color w:val="000000"/>
                <w:sz w:val="20"/>
              </w:rPr>
              <w:t>14.6</w:t>
            </w:r>
            <w:r w:rsidRPr="004307A8">
              <w:rPr>
                <w:rFonts w:eastAsia="Times New Roman" w:cstheme="minorHAnsi"/>
                <w:color w:val="000000"/>
                <w:sz w:val="20"/>
              </w:rPr>
              <w:t xml:space="preserve"> </w:t>
            </w:r>
          </w:p>
        </w:tc>
      </w:tr>
      <w:tr w:rsidRPr="004307A8" w:rsidR="00BF6594" w:rsidTr="0049788E" w14:paraId="4782DB33" w14:textId="77777777">
        <w:trPr>
          <w:trHeight w:val="547"/>
          <w:jc w:val="center"/>
        </w:trPr>
        <w:tc>
          <w:tcPr>
            <w:tcW w:w="1112" w:type="dxa"/>
            <w:vMerge/>
            <w:vAlign w:val="center"/>
          </w:tcPr>
          <w:p w:rsidRPr="004307A8" w:rsidR="00BF6594" w:rsidP="00AA455C" w:rsidRDefault="00BF6594" w14:paraId="7C88E7CF" w14:textId="77777777">
            <w:pPr>
              <w:rPr>
                <w:rFonts w:eastAsia="Times New Roman" w:cstheme="minorHAnsi"/>
                <w:color w:val="000000"/>
                <w:sz w:val="20"/>
              </w:rPr>
            </w:pPr>
          </w:p>
        </w:tc>
        <w:tc>
          <w:tcPr>
            <w:tcW w:w="939" w:type="dxa"/>
          </w:tcPr>
          <w:p w:rsidRPr="004307A8" w:rsidR="00BF6594" w:rsidP="00AA455C" w:rsidRDefault="00BF6594" w14:paraId="2B31D820" w14:textId="77777777">
            <w:pPr>
              <w:jc w:val="both"/>
              <w:rPr>
                <w:rFonts w:eastAsia="Times New Roman" w:cstheme="minorHAnsi"/>
                <w:color w:val="000000"/>
                <w:sz w:val="20"/>
              </w:rPr>
            </w:pPr>
            <w:r w:rsidRPr="004307A8">
              <w:rPr>
                <w:sz w:val="20"/>
              </w:rPr>
              <w:t xml:space="preserve">Million </w:t>
            </w:r>
            <w:proofErr w:type="spellStart"/>
            <w:r w:rsidRPr="004307A8">
              <w:rPr>
                <w:sz w:val="20"/>
              </w:rPr>
              <w:t>Therms</w:t>
            </w:r>
            <w:proofErr w:type="spellEnd"/>
          </w:p>
        </w:tc>
        <w:tc>
          <w:tcPr>
            <w:tcW w:w="940" w:type="dxa"/>
            <w:noWrap/>
          </w:tcPr>
          <w:p w:rsidRPr="004307A8" w:rsidR="00BF6594" w:rsidP="00AA455C" w:rsidRDefault="00BF6594" w14:paraId="6D44340A" w14:textId="77777777">
            <w:pPr>
              <w:jc w:val="right"/>
              <w:rPr>
                <w:rFonts w:eastAsia="Times New Roman" w:cstheme="minorHAnsi"/>
                <w:color w:val="000000"/>
                <w:sz w:val="20"/>
              </w:rPr>
            </w:pPr>
            <w:r w:rsidRPr="004307A8">
              <w:rPr>
                <w:rFonts w:eastAsia="Times New Roman" w:cstheme="minorHAnsi"/>
                <w:color w:val="000000"/>
                <w:sz w:val="20"/>
              </w:rPr>
              <w:t xml:space="preserve">     0.63 </w:t>
            </w:r>
          </w:p>
        </w:tc>
        <w:tc>
          <w:tcPr>
            <w:tcW w:w="940" w:type="dxa"/>
            <w:noWrap/>
          </w:tcPr>
          <w:p w:rsidRPr="004307A8" w:rsidR="00BF6594" w:rsidP="00AA455C" w:rsidRDefault="00BF6594" w14:paraId="6C8D4DCE"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1.46 </w:t>
            </w:r>
          </w:p>
        </w:tc>
        <w:tc>
          <w:tcPr>
            <w:tcW w:w="941" w:type="dxa"/>
            <w:noWrap/>
          </w:tcPr>
          <w:p w:rsidRPr="004307A8" w:rsidR="00BF6594" w:rsidP="00AA455C" w:rsidRDefault="00BF6594" w14:paraId="03EEC084"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1.39  </w:t>
            </w:r>
          </w:p>
        </w:tc>
        <w:tc>
          <w:tcPr>
            <w:tcW w:w="941" w:type="dxa"/>
            <w:noWrap/>
          </w:tcPr>
          <w:p w:rsidRPr="004307A8" w:rsidR="00BF6594" w:rsidP="00AA455C" w:rsidRDefault="00BF6594" w14:paraId="795C31FC"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1.37</w:t>
            </w:r>
          </w:p>
        </w:tc>
        <w:tc>
          <w:tcPr>
            <w:tcW w:w="940" w:type="dxa"/>
            <w:noWrap/>
          </w:tcPr>
          <w:p w:rsidRPr="004307A8" w:rsidR="00BF6594" w:rsidP="00AA455C" w:rsidRDefault="00BF6594" w14:paraId="60F68CED"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1.35  </w:t>
            </w:r>
          </w:p>
        </w:tc>
        <w:tc>
          <w:tcPr>
            <w:tcW w:w="1522" w:type="dxa"/>
            <w:noWrap/>
          </w:tcPr>
          <w:p w:rsidRPr="004307A8" w:rsidR="00BF6594" w:rsidP="00AA455C" w:rsidRDefault="00BF6594" w14:paraId="6D894E04"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6.</w:t>
            </w:r>
            <w:r>
              <w:rPr>
                <w:rFonts w:eastAsia="Times New Roman" w:cstheme="minorBidi"/>
                <w:color w:val="000000" w:themeColor="text1"/>
                <w:sz w:val="20"/>
              </w:rPr>
              <w:t>20</w:t>
            </w:r>
            <w:r w:rsidRPr="004307A8">
              <w:rPr>
                <w:rFonts w:eastAsia="Times New Roman" w:cstheme="minorBidi"/>
                <w:color w:val="000000" w:themeColor="text1"/>
                <w:sz w:val="20"/>
              </w:rPr>
              <w:t xml:space="preserve"> </w:t>
            </w:r>
          </w:p>
        </w:tc>
      </w:tr>
      <w:tr w:rsidRPr="004307A8" w:rsidR="00BF6594" w:rsidTr="0049788E" w14:paraId="5F0B78DD" w14:textId="77777777">
        <w:trPr>
          <w:trHeight w:val="547"/>
          <w:jc w:val="center"/>
        </w:trPr>
        <w:tc>
          <w:tcPr>
            <w:tcW w:w="1112" w:type="dxa"/>
            <w:vMerge w:val="restart"/>
            <w:vAlign w:val="center"/>
            <w:hideMark/>
          </w:tcPr>
          <w:p w:rsidRPr="004307A8" w:rsidR="00BF6594" w:rsidP="00AA455C" w:rsidRDefault="00BF6594" w14:paraId="469A764F" w14:textId="5C920B98">
            <w:pPr>
              <w:rPr>
                <w:rFonts w:eastAsia="Times New Roman" w:cstheme="minorHAnsi"/>
                <w:color w:val="000000"/>
                <w:sz w:val="20"/>
              </w:rPr>
            </w:pPr>
            <w:r w:rsidRPr="004307A8">
              <w:rPr>
                <w:rFonts w:eastAsia="Times New Roman" w:cstheme="minorHAnsi"/>
                <w:color w:val="000000"/>
                <w:sz w:val="20"/>
              </w:rPr>
              <w:t>SCE</w:t>
            </w:r>
          </w:p>
        </w:tc>
        <w:tc>
          <w:tcPr>
            <w:tcW w:w="939" w:type="dxa"/>
          </w:tcPr>
          <w:p w:rsidRPr="004307A8" w:rsidR="00BF6594" w:rsidP="00AA455C" w:rsidRDefault="00BF6594" w14:paraId="2EB99A87" w14:textId="77777777">
            <w:pPr>
              <w:jc w:val="both"/>
              <w:rPr>
                <w:rFonts w:eastAsia="Times New Roman" w:cstheme="minorHAnsi"/>
                <w:color w:val="000000"/>
                <w:sz w:val="20"/>
              </w:rPr>
            </w:pPr>
            <w:r w:rsidRPr="004307A8">
              <w:rPr>
                <w:sz w:val="20"/>
              </w:rPr>
              <w:t>GWh</w:t>
            </w:r>
          </w:p>
        </w:tc>
        <w:tc>
          <w:tcPr>
            <w:tcW w:w="940" w:type="dxa"/>
            <w:noWrap/>
            <w:hideMark/>
          </w:tcPr>
          <w:p w:rsidRPr="004307A8" w:rsidR="00BF6594" w:rsidP="00AA455C" w:rsidRDefault="00BF6594" w14:paraId="7AB987BA" w14:textId="77777777">
            <w:pPr>
              <w:jc w:val="right"/>
              <w:rPr>
                <w:rFonts w:eastAsia="Times New Roman" w:cstheme="minorHAnsi"/>
                <w:color w:val="000000"/>
                <w:sz w:val="20"/>
              </w:rPr>
            </w:pPr>
            <w:r w:rsidRPr="004307A8">
              <w:rPr>
                <w:rFonts w:eastAsia="Times New Roman" w:cstheme="minorHAnsi"/>
                <w:color w:val="000000"/>
                <w:sz w:val="20"/>
              </w:rPr>
              <w:t xml:space="preserve">     18.8 </w:t>
            </w:r>
          </w:p>
        </w:tc>
        <w:tc>
          <w:tcPr>
            <w:tcW w:w="940" w:type="dxa"/>
            <w:noWrap/>
            <w:hideMark/>
          </w:tcPr>
          <w:p w:rsidRPr="004307A8" w:rsidR="00BF6594" w:rsidP="00AA455C" w:rsidRDefault="00BF6594" w14:paraId="3A98F4BD" w14:textId="77777777">
            <w:pPr>
              <w:jc w:val="right"/>
              <w:rPr>
                <w:rFonts w:eastAsia="Times New Roman" w:cstheme="minorHAnsi"/>
                <w:color w:val="000000"/>
                <w:sz w:val="20"/>
              </w:rPr>
            </w:pPr>
            <w:r w:rsidRPr="004307A8">
              <w:rPr>
                <w:rFonts w:eastAsia="Times New Roman" w:cstheme="minorHAnsi"/>
                <w:color w:val="000000"/>
                <w:sz w:val="20"/>
              </w:rPr>
              <w:t xml:space="preserve">     22.4 </w:t>
            </w:r>
          </w:p>
        </w:tc>
        <w:tc>
          <w:tcPr>
            <w:tcW w:w="941" w:type="dxa"/>
            <w:noWrap/>
            <w:hideMark/>
          </w:tcPr>
          <w:p w:rsidRPr="004307A8" w:rsidR="00BF6594" w:rsidP="00AA455C" w:rsidRDefault="00BF6594" w14:paraId="18F1CE67" w14:textId="77777777">
            <w:pPr>
              <w:jc w:val="right"/>
              <w:rPr>
                <w:rFonts w:eastAsia="Times New Roman" w:cstheme="minorHAnsi"/>
                <w:color w:val="000000"/>
                <w:sz w:val="20"/>
              </w:rPr>
            </w:pPr>
            <w:r w:rsidRPr="004307A8">
              <w:rPr>
                <w:rFonts w:eastAsia="Times New Roman" w:cstheme="minorHAnsi"/>
                <w:color w:val="000000"/>
                <w:sz w:val="20"/>
              </w:rPr>
              <w:t xml:space="preserve">     31.8 </w:t>
            </w:r>
          </w:p>
        </w:tc>
        <w:tc>
          <w:tcPr>
            <w:tcW w:w="941" w:type="dxa"/>
            <w:noWrap/>
            <w:hideMark/>
          </w:tcPr>
          <w:p w:rsidRPr="004307A8" w:rsidR="00BF6594" w:rsidP="00AA455C" w:rsidRDefault="00BF6594" w14:paraId="0F8813CC" w14:textId="77777777">
            <w:pPr>
              <w:jc w:val="right"/>
              <w:rPr>
                <w:rFonts w:eastAsia="Times New Roman" w:cstheme="minorHAnsi"/>
                <w:color w:val="000000"/>
                <w:sz w:val="20"/>
              </w:rPr>
            </w:pPr>
            <w:r w:rsidRPr="004307A8">
              <w:rPr>
                <w:rFonts w:eastAsia="Times New Roman" w:cstheme="minorHAnsi"/>
                <w:color w:val="000000"/>
                <w:sz w:val="20"/>
              </w:rPr>
              <w:t xml:space="preserve">     33.5 </w:t>
            </w:r>
          </w:p>
        </w:tc>
        <w:tc>
          <w:tcPr>
            <w:tcW w:w="940" w:type="dxa"/>
            <w:noWrap/>
            <w:hideMark/>
          </w:tcPr>
          <w:p w:rsidRPr="004307A8" w:rsidR="00BF6594" w:rsidP="00AA455C" w:rsidRDefault="00BF6594" w14:paraId="726C2C6F" w14:textId="77777777">
            <w:pPr>
              <w:jc w:val="right"/>
              <w:rPr>
                <w:rFonts w:eastAsia="Times New Roman" w:cstheme="minorHAnsi"/>
                <w:color w:val="000000"/>
                <w:sz w:val="20"/>
              </w:rPr>
            </w:pPr>
            <w:r w:rsidRPr="004307A8">
              <w:rPr>
                <w:rFonts w:eastAsia="Times New Roman" w:cstheme="minorHAnsi"/>
                <w:color w:val="000000"/>
                <w:sz w:val="20"/>
              </w:rPr>
              <w:t xml:space="preserve">     25.1 </w:t>
            </w:r>
          </w:p>
        </w:tc>
        <w:tc>
          <w:tcPr>
            <w:tcW w:w="1522" w:type="dxa"/>
            <w:noWrap/>
            <w:hideMark/>
          </w:tcPr>
          <w:p w:rsidRPr="004307A8" w:rsidR="00BF6594" w:rsidP="00AA455C" w:rsidRDefault="00BF6594" w14:paraId="3AF1886C" w14:textId="77777777">
            <w:pPr>
              <w:jc w:val="right"/>
              <w:rPr>
                <w:rFonts w:eastAsia="Times New Roman" w:cstheme="minorHAnsi"/>
                <w:color w:val="000000"/>
                <w:sz w:val="20"/>
              </w:rPr>
            </w:pPr>
            <w:r w:rsidRPr="004307A8">
              <w:rPr>
                <w:rFonts w:eastAsia="Times New Roman" w:cstheme="minorHAnsi"/>
                <w:color w:val="000000"/>
                <w:sz w:val="20"/>
              </w:rPr>
              <w:t xml:space="preserve">    </w:t>
            </w:r>
            <w:r>
              <w:rPr>
                <w:rFonts w:eastAsia="Times New Roman" w:cstheme="minorHAnsi"/>
                <w:color w:val="000000"/>
                <w:sz w:val="20"/>
              </w:rPr>
              <w:t>131.5</w:t>
            </w:r>
            <w:r w:rsidRPr="004307A8">
              <w:rPr>
                <w:rFonts w:eastAsia="Times New Roman" w:cstheme="minorHAnsi"/>
                <w:color w:val="000000"/>
                <w:sz w:val="20"/>
              </w:rPr>
              <w:t xml:space="preserve"> </w:t>
            </w:r>
          </w:p>
        </w:tc>
      </w:tr>
      <w:tr w:rsidRPr="004307A8" w:rsidR="00BF6594" w:rsidTr="0049788E" w14:paraId="670F8C01" w14:textId="77777777">
        <w:trPr>
          <w:trHeight w:val="547"/>
          <w:jc w:val="center"/>
        </w:trPr>
        <w:tc>
          <w:tcPr>
            <w:tcW w:w="1112" w:type="dxa"/>
            <w:vMerge/>
            <w:vAlign w:val="center"/>
          </w:tcPr>
          <w:p w:rsidRPr="004307A8" w:rsidR="00BF6594" w:rsidP="00AA455C" w:rsidRDefault="00BF6594" w14:paraId="5628AA20" w14:textId="77777777">
            <w:pPr>
              <w:rPr>
                <w:rFonts w:eastAsia="Times New Roman" w:cstheme="minorHAnsi"/>
                <w:color w:val="000000"/>
                <w:sz w:val="20"/>
              </w:rPr>
            </w:pPr>
          </w:p>
        </w:tc>
        <w:tc>
          <w:tcPr>
            <w:tcW w:w="939" w:type="dxa"/>
          </w:tcPr>
          <w:p w:rsidRPr="004307A8" w:rsidR="00BF6594" w:rsidP="00AA455C" w:rsidRDefault="00BF6594" w14:paraId="7113606B" w14:textId="77777777">
            <w:pPr>
              <w:jc w:val="both"/>
              <w:rPr>
                <w:rFonts w:eastAsia="Times New Roman" w:cstheme="minorHAnsi"/>
                <w:color w:val="000000"/>
                <w:sz w:val="20"/>
              </w:rPr>
            </w:pPr>
            <w:r w:rsidRPr="004307A8">
              <w:rPr>
                <w:sz w:val="20"/>
              </w:rPr>
              <w:t>MW</w:t>
            </w:r>
          </w:p>
        </w:tc>
        <w:tc>
          <w:tcPr>
            <w:tcW w:w="940" w:type="dxa"/>
            <w:noWrap/>
          </w:tcPr>
          <w:p w:rsidRPr="004307A8" w:rsidR="00BF6594" w:rsidP="00AA455C" w:rsidRDefault="00BF6594" w14:paraId="7861C295" w14:textId="77777777">
            <w:pPr>
              <w:jc w:val="right"/>
              <w:rPr>
                <w:rFonts w:eastAsia="Times New Roman" w:cstheme="minorHAnsi"/>
                <w:color w:val="000000"/>
                <w:sz w:val="20"/>
              </w:rPr>
            </w:pPr>
            <w:r w:rsidRPr="004307A8">
              <w:rPr>
                <w:rFonts w:eastAsia="Times New Roman" w:cstheme="minorHAnsi"/>
                <w:color w:val="000000"/>
                <w:sz w:val="20"/>
              </w:rPr>
              <w:t xml:space="preserve">       7.1 </w:t>
            </w:r>
          </w:p>
        </w:tc>
        <w:tc>
          <w:tcPr>
            <w:tcW w:w="940" w:type="dxa"/>
            <w:noWrap/>
          </w:tcPr>
          <w:p w:rsidRPr="004307A8" w:rsidR="00BF6594" w:rsidP="00AA455C" w:rsidRDefault="00BF6594" w14:paraId="5972C5DD" w14:textId="77777777">
            <w:pPr>
              <w:jc w:val="right"/>
              <w:rPr>
                <w:rFonts w:eastAsia="Times New Roman" w:cstheme="minorHAnsi"/>
                <w:color w:val="000000"/>
                <w:sz w:val="20"/>
              </w:rPr>
            </w:pPr>
            <w:r w:rsidRPr="004307A8">
              <w:rPr>
                <w:rFonts w:eastAsia="Times New Roman" w:cstheme="minorHAnsi"/>
                <w:color w:val="000000"/>
                <w:sz w:val="20"/>
              </w:rPr>
              <w:t xml:space="preserve">       8.8 </w:t>
            </w:r>
          </w:p>
        </w:tc>
        <w:tc>
          <w:tcPr>
            <w:tcW w:w="941" w:type="dxa"/>
            <w:noWrap/>
          </w:tcPr>
          <w:p w:rsidRPr="004307A8" w:rsidR="00BF6594" w:rsidP="00AA455C" w:rsidRDefault="00BF6594" w14:paraId="231D9351" w14:textId="77777777">
            <w:pPr>
              <w:jc w:val="right"/>
              <w:rPr>
                <w:rFonts w:eastAsia="Times New Roman" w:cstheme="minorHAnsi"/>
                <w:color w:val="000000"/>
                <w:sz w:val="20"/>
              </w:rPr>
            </w:pPr>
            <w:r w:rsidRPr="004307A8">
              <w:rPr>
                <w:rFonts w:eastAsia="Times New Roman" w:cstheme="minorHAnsi"/>
                <w:color w:val="000000"/>
                <w:sz w:val="20"/>
              </w:rPr>
              <w:t xml:space="preserve">     12.7 </w:t>
            </w:r>
          </w:p>
        </w:tc>
        <w:tc>
          <w:tcPr>
            <w:tcW w:w="941" w:type="dxa"/>
            <w:noWrap/>
          </w:tcPr>
          <w:p w:rsidRPr="004307A8" w:rsidR="00BF6594" w:rsidP="00AA455C" w:rsidRDefault="00BF6594" w14:paraId="40A950B5" w14:textId="77777777">
            <w:pPr>
              <w:jc w:val="right"/>
              <w:rPr>
                <w:rFonts w:eastAsia="Times New Roman" w:cstheme="minorHAnsi"/>
                <w:color w:val="000000"/>
                <w:sz w:val="20"/>
              </w:rPr>
            </w:pPr>
            <w:r w:rsidRPr="004307A8">
              <w:rPr>
                <w:rFonts w:eastAsia="Times New Roman" w:cstheme="minorHAnsi"/>
                <w:color w:val="000000"/>
                <w:sz w:val="20"/>
              </w:rPr>
              <w:t xml:space="preserve">     13.5 </w:t>
            </w:r>
          </w:p>
        </w:tc>
        <w:tc>
          <w:tcPr>
            <w:tcW w:w="940" w:type="dxa"/>
            <w:noWrap/>
          </w:tcPr>
          <w:p w:rsidRPr="004307A8" w:rsidR="00BF6594" w:rsidP="00AA455C" w:rsidRDefault="00BF6594" w14:paraId="3A8A1821" w14:textId="77777777">
            <w:pPr>
              <w:jc w:val="right"/>
              <w:rPr>
                <w:rFonts w:eastAsia="Times New Roman" w:cstheme="minorHAnsi"/>
                <w:color w:val="000000"/>
                <w:sz w:val="20"/>
              </w:rPr>
            </w:pPr>
            <w:r w:rsidRPr="004307A8">
              <w:rPr>
                <w:rFonts w:eastAsia="Times New Roman" w:cstheme="minorHAnsi"/>
                <w:color w:val="000000"/>
                <w:sz w:val="20"/>
              </w:rPr>
              <w:t xml:space="preserve">       9.9 </w:t>
            </w:r>
          </w:p>
        </w:tc>
        <w:tc>
          <w:tcPr>
            <w:tcW w:w="1522" w:type="dxa"/>
            <w:noWrap/>
          </w:tcPr>
          <w:p w:rsidRPr="004307A8" w:rsidR="00BF6594" w:rsidP="00AA455C" w:rsidRDefault="00BF6594" w14:paraId="5ECC84CD" w14:textId="77777777">
            <w:pPr>
              <w:jc w:val="right"/>
              <w:rPr>
                <w:rFonts w:eastAsia="Times New Roman" w:cstheme="minorHAnsi"/>
                <w:color w:val="000000"/>
                <w:sz w:val="20"/>
              </w:rPr>
            </w:pPr>
            <w:r w:rsidRPr="004307A8">
              <w:rPr>
                <w:rFonts w:eastAsia="Times New Roman" w:cstheme="minorHAnsi"/>
                <w:color w:val="000000"/>
                <w:sz w:val="20"/>
              </w:rPr>
              <w:t xml:space="preserve">        </w:t>
            </w:r>
            <w:r>
              <w:rPr>
                <w:rFonts w:eastAsia="Times New Roman" w:cstheme="minorHAnsi"/>
                <w:color w:val="000000"/>
                <w:sz w:val="20"/>
              </w:rPr>
              <w:t xml:space="preserve">52.0 </w:t>
            </w:r>
          </w:p>
        </w:tc>
      </w:tr>
      <w:tr w:rsidRPr="004307A8" w:rsidR="00BF6594" w:rsidTr="0049788E" w14:paraId="5B0C40A2" w14:textId="77777777">
        <w:trPr>
          <w:trHeight w:val="547"/>
          <w:jc w:val="center"/>
        </w:trPr>
        <w:tc>
          <w:tcPr>
            <w:tcW w:w="1112" w:type="dxa"/>
            <w:vMerge/>
            <w:vAlign w:val="center"/>
          </w:tcPr>
          <w:p w:rsidRPr="004307A8" w:rsidR="00BF6594" w:rsidP="00AA455C" w:rsidRDefault="00BF6594" w14:paraId="5A7AF2E7" w14:textId="77777777">
            <w:pPr>
              <w:rPr>
                <w:rFonts w:eastAsia="Times New Roman" w:cstheme="minorHAnsi"/>
                <w:color w:val="000000"/>
                <w:sz w:val="20"/>
              </w:rPr>
            </w:pPr>
          </w:p>
        </w:tc>
        <w:tc>
          <w:tcPr>
            <w:tcW w:w="939" w:type="dxa"/>
          </w:tcPr>
          <w:p w:rsidRPr="004307A8" w:rsidR="00BF6594" w:rsidP="00AA455C" w:rsidRDefault="00BF6594" w14:paraId="39C58161" w14:textId="77777777">
            <w:pPr>
              <w:jc w:val="both"/>
              <w:rPr>
                <w:rFonts w:eastAsia="Times New Roman" w:cstheme="minorHAnsi"/>
                <w:color w:val="000000"/>
                <w:sz w:val="20"/>
              </w:rPr>
            </w:pPr>
            <w:r w:rsidRPr="004307A8">
              <w:rPr>
                <w:sz w:val="20"/>
              </w:rPr>
              <w:t xml:space="preserve">Million </w:t>
            </w:r>
            <w:proofErr w:type="spellStart"/>
            <w:r w:rsidRPr="004307A8">
              <w:rPr>
                <w:sz w:val="20"/>
              </w:rPr>
              <w:t>Therms</w:t>
            </w:r>
            <w:proofErr w:type="spellEnd"/>
          </w:p>
        </w:tc>
        <w:tc>
          <w:tcPr>
            <w:tcW w:w="940" w:type="dxa"/>
            <w:noWrap/>
          </w:tcPr>
          <w:p w:rsidRPr="004307A8" w:rsidR="00BF6594" w:rsidP="00AA455C" w:rsidRDefault="00BF6594" w14:paraId="6CCB160D" w14:textId="77777777">
            <w:pPr>
              <w:jc w:val="right"/>
              <w:rPr>
                <w:rFonts w:eastAsia="Times New Roman" w:cstheme="minorHAnsi"/>
                <w:color w:val="000000"/>
                <w:sz w:val="20"/>
              </w:rPr>
            </w:pPr>
            <w:r w:rsidRPr="004307A8">
              <w:rPr>
                <w:rFonts w:eastAsia="Times New Roman" w:cstheme="minorHAnsi"/>
                <w:color w:val="000000"/>
                <w:sz w:val="20"/>
              </w:rPr>
              <w:t xml:space="preserve">     0.19 </w:t>
            </w:r>
          </w:p>
        </w:tc>
        <w:tc>
          <w:tcPr>
            <w:tcW w:w="940" w:type="dxa"/>
            <w:noWrap/>
          </w:tcPr>
          <w:p w:rsidRPr="004307A8" w:rsidR="00BF6594" w:rsidP="00AA455C" w:rsidRDefault="00BF6594" w14:paraId="4619E9F5" w14:textId="77777777">
            <w:pPr>
              <w:jc w:val="right"/>
              <w:rPr>
                <w:rFonts w:eastAsia="Times New Roman" w:cstheme="minorHAnsi"/>
                <w:color w:val="000000"/>
                <w:sz w:val="20"/>
              </w:rPr>
            </w:pPr>
            <w:r w:rsidRPr="004307A8">
              <w:rPr>
                <w:rFonts w:eastAsia="Times New Roman" w:cstheme="minorHAnsi"/>
                <w:color w:val="000000"/>
                <w:sz w:val="20"/>
              </w:rPr>
              <w:t xml:space="preserve">     0.24 </w:t>
            </w:r>
          </w:p>
        </w:tc>
        <w:tc>
          <w:tcPr>
            <w:tcW w:w="941" w:type="dxa"/>
            <w:noWrap/>
          </w:tcPr>
          <w:p w:rsidRPr="004307A8" w:rsidR="00BF6594" w:rsidP="00AA455C" w:rsidRDefault="00BF6594" w14:paraId="6B3131F2" w14:textId="77777777">
            <w:pPr>
              <w:jc w:val="right"/>
              <w:rPr>
                <w:rFonts w:eastAsia="Times New Roman" w:cstheme="minorHAnsi"/>
                <w:color w:val="000000"/>
                <w:sz w:val="20"/>
              </w:rPr>
            </w:pPr>
            <w:r w:rsidRPr="004307A8">
              <w:rPr>
                <w:rFonts w:eastAsia="Times New Roman" w:cstheme="minorHAnsi"/>
                <w:color w:val="000000"/>
                <w:sz w:val="20"/>
              </w:rPr>
              <w:t xml:space="preserve">     0.38 </w:t>
            </w:r>
          </w:p>
        </w:tc>
        <w:tc>
          <w:tcPr>
            <w:tcW w:w="941" w:type="dxa"/>
            <w:noWrap/>
          </w:tcPr>
          <w:p w:rsidRPr="004307A8" w:rsidR="00BF6594" w:rsidP="00AA455C" w:rsidRDefault="00BF6594" w14:paraId="5955F7DD" w14:textId="77777777">
            <w:pPr>
              <w:jc w:val="right"/>
              <w:rPr>
                <w:rFonts w:eastAsia="Times New Roman" w:cstheme="minorHAnsi"/>
                <w:color w:val="000000"/>
                <w:sz w:val="20"/>
              </w:rPr>
            </w:pPr>
            <w:r w:rsidRPr="004307A8">
              <w:rPr>
                <w:rFonts w:eastAsia="Times New Roman" w:cstheme="minorHAnsi"/>
                <w:color w:val="000000"/>
                <w:sz w:val="20"/>
              </w:rPr>
              <w:t xml:space="preserve">     0.36 </w:t>
            </w:r>
          </w:p>
        </w:tc>
        <w:tc>
          <w:tcPr>
            <w:tcW w:w="940" w:type="dxa"/>
            <w:noWrap/>
          </w:tcPr>
          <w:p w:rsidRPr="004307A8" w:rsidR="00BF6594" w:rsidP="00AA455C" w:rsidRDefault="00BF6594" w14:paraId="5212C94D" w14:textId="77777777">
            <w:pPr>
              <w:jc w:val="right"/>
              <w:rPr>
                <w:rFonts w:eastAsia="Times New Roman" w:cstheme="minorHAnsi"/>
                <w:color w:val="000000"/>
                <w:sz w:val="20"/>
              </w:rPr>
            </w:pPr>
            <w:r w:rsidRPr="004307A8">
              <w:rPr>
                <w:rFonts w:eastAsia="Times New Roman" w:cstheme="minorHAnsi"/>
                <w:color w:val="000000"/>
                <w:sz w:val="20"/>
              </w:rPr>
              <w:t xml:space="preserve">     0.29 </w:t>
            </w:r>
          </w:p>
        </w:tc>
        <w:tc>
          <w:tcPr>
            <w:tcW w:w="1522" w:type="dxa"/>
            <w:noWrap/>
          </w:tcPr>
          <w:p w:rsidRPr="004307A8" w:rsidR="00BF6594" w:rsidP="00AA455C" w:rsidRDefault="00BF6594" w14:paraId="35C17E04" w14:textId="77777777">
            <w:pPr>
              <w:jc w:val="right"/>
              <w:rPr>
                <w:rFonts w:eastAsia="Times New Roman" w:cstheme="minorHAnsi"/>
                <w:color w:val="000000"/>
                <w:sz w:val="20"/>
              </w:rPr>
            </w:pPr>
            <w:r w:rsidRPr="004307A8">
              <w:rPr>
                <w:rFonts w:eastAsia="Times New Roman" w:cstheme="minorHAnsi"/>
                <w:color w:val="000000"/>
                <w:sz w:val="20"/>
              </w:rPr>
              <w:t xml:space="preserve">        1.48 </w:t>
            </w:r>
          </w:p>
        </w:tc>
      </w:tr>
      <w:tr w:rsidRPr="004307A8" w:rsidR="00BF6594" w:rsidTr="0049788E" w14:paraId="72F9AA4F" w14:textId="77777777">
        <w:trPr>
          <w:trHeight w:val="547"/>
          <w:jc w:val="center"/>
        </w:trPr>
        <w:tc>
          <w:tcPr>
            <w:tcW w:w="1112" w:type="dxa"/>
            <w:vMerge w:val="restart"/>
            <w:vAlign w:val="center"/>
            <w:hideMark/>
          </w:tcPr>
          <w:p w:rsidRPr="004307A8" w:rsidR="00BF6594" w:rsidP="00AA455C" w:rsidRDefault="00BF6594" w14:paraId="00187740" w14:textId="77777777">
            <w:pPr>
              <w:rPr>
                <w:rFonts w:eastAsia="Times New Roman" w:cstheme="minorHAnsi"/>
                <w:color w:val="000000"/>
                <w:sz w:val="20"/>
              </w:rPr>
            </w:pPr>
            <w:r w:rsidRPr="004307A8">
              <w:rPr>
                <w:rFonts w:eastAsia="Times New Roman" w:cstheme="minorHAnsi"/>
                <w:color w:val="000000"/>
                <w:sz w:val="20"/>
              </w:rPr>
              <w:t>SoCalGas</w:t>
            </w:r>
          </w:p>
        </w:tc>
        <w:tc>
          <w:tcPr>
            <w:tcW w:w="939" w:type="dxa"/>
          </w:tcPr>
          <w:p w:rsidRPr="004307A8" w:rsidR="00BF6594" w:rsidP="00AA455C" w:rsidRDefault="00BF6594" w14:paraId="45A3710C" w14:textId="77777777">
            <w:pPr>
              <w:rPr>
                <w:rFonts w:eastAsia="Times New Roman" w:cstheme="minorHAnsi"/>
                <w:color w:val="000000"/>
                <w:sz w:val="20"/>
              </w:rPr>
            </w:pPr>
            <w:r w:rsidRPr="004307A8">
              <w:rPr>
                <w:sz w:val="20"/>
              </w:rPr>
              <w:t>GWh</w:t>
            </w:r>
          </w:p>
        </w:tc>
        <w:tc>
          <w:tcPr>
            <w:tcW w:w="940" w:type="dxa"/>
            <w:noWrap/>
            <w:hideMark/>
          </w:tcPr>
          <w:p w:rsidRPr="004307A8" w:rsidR="00BF6594" w:rsidP="00AA455C" w:rsidRDefault="00BF6594" w14:paraId="40CEC1BA"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0" w:type="dxa"/>
            <w:noWrap/>
            <w:hideMark/>
          </w:tcPr>
          <w:p w:rsidRPr="004307A8" w:rsidR="00BF6594" w:rsidP="00AA455C" w:rsidRDefault="00BF6594" w14:paraId="56EAD8BB"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1" w:type="dxa"/>
            <w:noWrap/>
            <w:hideMark/>
          </w:tcPr>
          <w:p w:rsidRPr="004307A8" w:rsidR="00BF6594" w:rsidP="00AA455C" w:rsidRDefault="00BF6594" w14:paraId="0A8967D0"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1" w:type="dxa"/>
            <w:noWrap/>
            <w:hideMark/>
          </w:tcPr>
          <w:p w:rsidRPr="004307A8" w:rsidR="00BF6594" w:rsidP="00AA455C" w:rsidRDefault="00BF6594" w14:paraId="54603CED"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0" w:type="dxa"/>
            <w:noWrap/>
            <w:hideMark/>
          </w:tcPr>
          <w:p w:rsidRPr="004307A8" w:rsidR="00BF6594" w:rsidP="00AA455C" w:rsidRDefault="00BF6594" w14:paraId="0B0E29F1"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1522" w:type="dxa"/>
            <w:noWrap/>
            <w:hideMark/>
          </w:tcPr>
          <w:p w:rsidRPr="004307A8" w:rsidR="00BF6594" w:rsidP="00AA455C" w:rsidRDefault="00BF6594" w14:paraId="396BADDC"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r>
      <w:tr w:rsidRPr="004307A8" w:rsidR="00BF6594" w:rsidTr="0049788E" w14:paraId="307094D0" w14:textId="77777777">
        <w:trPr>
          <w:trHeight w:val="547"/>
          <w:jc w:val="center"/>
        </w:trPr>
        <w:tc>
          <w:tcPr>
            <w:tcW w:w="1112" w:type="dxa"/>
            <w:vMerge/>
            <w:vAlign w:val="center"/>
          </w:tcPr>
          <w:p w:rsidRPr="004307A8" w:rsidR="00BF6594" w:rsidP="00AA455C" w:rsidRDefault="00BF6594" w14:paraId="6F078D49" w14:textId="77777777">
            <w:pPr>
              <w:rPr>
                <w:rFonts w:eastAsia="Times New Roman" w:cstheme="minorHAnsi"/>
                <w:color w:val="000000"/>
                <w:sz w:val="20"/>
              </w:rPr>
            </w:pPr>
          </w:p>
        </w:tc>
        <w:tc>
          <w:tcPr>
            <w:tcW w:w="939" w:type="dxa"/>
          </w:tcPr>
          <w:p w:rsidRPr="004307A8" w:rsidR="00BF6594" w:rsidP="00AA455C" w:rsidRDefault="00BF6594" w14:paraId="0FC41BA3" w14:textId="77777777">
            <w:pPr>
              <w:rPr>
                <w:rFonts w:eastAsia="Times New Roman" w:cstheme="minorHAnsi"/>
                <w:color w:val="000000"/>
                <w:sz w:val="20"/>
              </w:rPr>
            </w:pPr>
            <w:r w:rsidRPr="004307A8">
              <w:rPr>
                <w:sz w:val="20"/>
              </w:rPr>
              <w:t>MW</w:t>
            </w:r>
          </w:p>
        </w:tc>
        <w:tc>
          <w:tcPr>
            <w:tcW w:w="940" w:type="dxa"/>
            <w:noWrap/>
          </w:tcPr>
          <w:p w:rsidRPr="004307A8" w:rsidR="00BF6594" w:rsidP="00AA455C" w:rsidRDefault="00BF6594" w14:paraId="4BFB008E"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0" w:type="dxa"/>
            <w:noWrap/>
          </w:tcPr>
          <w:p w:rsidRPr="004307A8" w:rsidR="00BF6594" w:rsidP="00AA455C" w:rsidRDefault="00BF6594" w14:paraId="77511821"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1" w:type="dxa"/>
            <w:noWrap/>
          </w:tcPr>
          <w:p w:rsidRPr="004307A8" w:rsidR="00BF6594" w:rsidP="00AA455C" w:rsidRDefault="00BF6594" w14:paraId="7D17B44D"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1" w:type="dxa"/>
            <w:noWrap/>
          </w:tcPr>
          <w:p w:rsidRPr="004307A8" w:rsidR="00BF6594" w:rsidP="00AA455C" w:rsidRDefault="00BF6594" w14:paraId="116CFA2B"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940" w:type="dxa"/>
            <w:noWrap/>
          </w:tcPr>
          <w:p w:rsidRPr="004307A8" w:rsidR="00BF6594" w:rsidP="00AA455C" w:rsidRDefault="00BF6594" w14:paraId="1CC5F168"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c>
          <w:tcPr>
            <w:tcW w:w="1522" w:type="dxa"/>
            <w:noWrap/>
          </w:tcPr>
          <w:p w:rsidRPr="004307A8" w:rsidR="00BF6594" w:rsidP="00AA455C" w:rsidRDefault="00BF6594" w14:paraId="70CAD594" w14:textId="77777777">
            <w:pPr>
              <w:jc w:val="right"/>
              <w:rPr>
                <w:rFonts w:eastAsia="Times New Roman" w:cstheme="minorHAnsi"/>
                <w:color w:val="000000"/>
                <w:sz w:val="20"/>
              </w:rPr>
            </w:pPr>
            <w:r w:rsidRPr="004307A8">
              <w:rPr>
                <w:rFonts w:eastAsia="Times New Roman" w:cstheme="minorHAnsi"/>
                <w:color w:val="000000"/>
                <w:sz w:val="20"/>
              </w:rPr>
              <w:t xml:space="preserve">            -   </w:t>
            </w:r>
          </w:p>
        </w:tc>
      </w:tr>
      <w:tr w:rsidRPr="004307A8" w:rsidR="00BF6594" w:rsidTr="0049788E" w14:paraId="53444182" w14:textId="77777777">
        <w:trPr>
          <w:trHeight w:val="547"/>
          <w:jc w:val="center"/>
        </w:trPr>
        <w:tc>
          <w:tcPr>
            <w:tcW w:w="1112" w:type="dxa"/>
            <w:vMerge/>
            <w:vAlign w:val="center"/>
          </w:tcPr>
          <w:p w:rsidRPr="004307A8" w:rsidR="00BF6594" w:rsidP="00AA455C" w:rsidRDefault="00BF6594" w14:paraId="6A09C7C0" w14:textId="77777777">
            <w:pPr>
              <w:rPr>
                <w:rFonts w:eastAsia="Times New Roman" w:cstheme="minorHAnsi"/>
                <w:color w:val="000000"/>
                <w:sz w:val="20"/>
              </w:rPr>
            </w:pPr>
          </w:p>
        </w:tc>
        <w:tc>
          <w:tcPr>
            <w:tcW w:w="939" w:type="dxa"/>
          </w:tcPr>
          <w:p w:rsidRPr="004307A8" w:rsidR="00BF6594" w:rsidP="00AA455C" w:rsidRDefault="00BF6594" w14:paraId="144108F0" w14:textId="77777777">
            <w:pPr>
              <w:rPr>
                <w:rFonts w:eastAsia="Times New Roman" w:cstheme="minorHAnsi"/>
                <w:color w:val="000000"/>
                <w:sz w:val="20"/>
              </w:rPr>
            </w:pPr>
            <w:r w:rsidRPr="004307A8">
              <w:rPr>
                <w:sz w:val="20"/>
              </w:rPr>
              <w:t xml:space="preserve">Million </w:t>
            </w:r>
            <w:proofErr w:type="spellStart"/>
            <w:r w:rsidRPr="004307A8">
              <w:rPr>
                <w:sz w:val="20"/>
              </w:rPr>
              <w:t>Therms</w:t>
            </w:r>
            <w:proofErr w:type="spellEnd"/>
          </w:p>
        </w:tc>
        <w:tc>
          <w:tcPr>
            <w:tcW w:w="940" w:type="dxa"/>
            <w:noWrap/>
          </w:tcPr>
          <w:p w:rsidRPr="004307A8" w:rsidR="00BF6594" w:rsidP="00AA455C" w:rsidRDefault="00BF6594" w14:paraId="190CBE27" w14:textId="77777777">
            <w:pPr>
              <w:jc w:val="right"/>
              <w:rPr>
                <w:rFonts w:eastAsia="Times New Roman" w:cstheme="minorHAnsi"/>
                <w:color w:val="000000"/>
                <w:sz w:val="20"/>
              </w:rPr>
            </w:pPr>
            <w:r w:rsidRPr="004307A8">
              <w:rPr>
                <w:rFonts w:eastAsia="Times New Roman" w:cstheme="minorHAnsi"/>
                <w:color w:val="000000"/>
                <w:sz w:val="20"/>
              </w:rPr>
              <w:t xml:space="preserve">     1.44 </w:t>
            </w:r>
          </w:p>
        </w:tc>
        <w:tc>
          <w:tcPr>
            <w:tcW w:w="940" w:type="dxa"/>
            <w:noWrap/>
          </w:tcPr>
          <w:p w:rsidRPr="004307A8" w:rsidR="00BF6594" w:rsidP="00AA455C" w:rsidRDefault="00BF6594" w14:paraId="18E7AAAC" w14:textId="77777777">
            <w:pPr>
              <w:jc w:val="right"/>
              <w:rPr>
                <w:rFonts w:eastAsia="Times New Roman" w:cstheme="minorHAnsi"/>
                <w:color w:val="000000"/>
                <w:sz w:val="20"/>
              </w:rPr>
            </w:pPr>
            <w:r w:rsidRPr="004307A8">
              <w:rPr>
                <w:rFonts w:eastAsia="Times New Roman" w:cstheme="minorHAnsi"/>
                <w:color w:val="000000"/>
                <w:sz w:val="20"/>
              </w:rPr>
              <w:t xml:space="preserve">     1.44 </w:t>
            </w:r>
          </w:p>
        </w:tc>
        <w:tc>
          <w:tcPr>
            <w:tcW w:w="941" w:type="dxa"/>
            <w:noWrap/>
          </w:tcPr>
          <w:p w:rsidRPr="004307A8" w:rsidR="00BF6594" w:rsidP="00AA455C" w:rsidRDefault="00BF6594" w14:paraId="0A8B4D6C" w14:textId="77777777">
            <w:pPr>
              <w:jc w:val="right"/>
              <w:rPr>
                <w:rFonts w:eastAsia="Times New Roman" w:cstheme="minorHAnsi"/>
                <w:color w:val="000000"/>
                <w:sz w:val="20"/>
              </w:rPr>
            </w:pPr>
            <w:r w:rsidRPr="004307A8">
              <w:rPr>
                <w:rFonts w:eastAsia="Times New Roman" w:cstheme="minorHAnsi"/>
                <w:color w:val="000000"/>
                <w:sz w:val="20"/>
              </w:rPr>
              <w:t xml:space="preserve">     1.44 </w:t>
            </w:r>
          </w:p>
        </w:tc>
        <w:tc>
          <w:tcPr>
            <w:tcW w:w="941" w:type="dxa"/>
            <w:noWrap/>
          </w:tcPr>
          <w:p w:rsidRPr="004307A8" w:rsidR="00BF6594" w:rsidP="00AA455C" w:rsidRDefault="00BF6594" w14:paraId="1D25DFE9" w14:textId="77777777">
            <w:pPr>
              <w:jc w:val="right"/>
              <w:rPr>
                <w:rFonts w:eastAsia="Times New Roman" w:cstheme="minorHAnsi"/>
                <w:color w:val="000000"/>
                <w:sz w:val="20"/>
              </w:rPr>
            </w:pPr>
            <w:r w:rsidRPr="004307A8">
              <w:rPr>
                <w:rFonts w:eastAsia="Times New Roman" w:cstheme="minorHAnsi"/>
                <w:color w:val="000000"/>
                <w:sz w:val="20"/>
              </w:rPr>
              <w:t xml:space="preserve">     1.44 </w:t>
            </w:r>
          </w:p>
        </w:tc>
        <w:tc>
          <w:tcPr>
            <w:tcW w:w="940" w:type="dxa"/>
            <w:noWrap/>
          </w:tcPr>
          <w:p w:rsidRPr="004307A8" w:rsidR="00BF6594" w:rsidP="00AA455C" w:rsidRDefault="00BF6594" w14:paraId="510B9F8C" w14:textId="77777777">
            <w:pPr>
              <w:jc w:val="right"/>
              <w:rPr>
                <w:rFonts w:eastAsia="Times New Roman" w:cstheme="minorHAnsi"/>
                <w:color w:val="000000"/>
                <w:sz w:val="20"/>
              </w:rPr>
            </w:pPr>
            <w:r w:rsidRPr="004307A8">
              <w:rPr>
                <w:rFonts w:eastAsia="Times New Roman" w:cstheme="minorHAnsi"/>
                <w:color w:val="000000"/>
                <w:sz w:val="20"/>
              </w:rPr>
              <w:t xml:space="preserve">     1.44 </w:t>
            </w:r>
          </w:p>
        </w:tc>
        <w:tc>
          <w:tcPr>
            <w:tcW w:w="1522" w:type="dxa"/>
            <w:noWrap/>
          </w:tcPr>
          <w:p w:rsidRPr="004307A8" w:rsidR="00BF6594" w:rsidP="00AA455C" w:rsidRDefault="00BF6594" w14:paraId="45F496A6" w14:textId="77777777">
            <w:pPr>
              <w:jc w:val="right"/>
              <w:rPr>
                <w:rFonts w:eastAsia="Times New Roman" w:cstheme="minorHAnsi"/>
                <w:color w:val="000000"/>
                <w:sz w:val="20"/>
              </w:rPr>
            </w:pPr>
            <w:r w:rsidRPr="004307A8">
              <w:rPr>
                <w:rFonts w:eastAsia="Times New Roman" w:cstheme="minorHAnsi"/>
                <w:color w:val="000000"/>
                <w:sz w:val="20"/>
              </w:rPr>
              <w:t xml:space="preserve">        7.</w:t>
            </w:r>
            <w:r>
              <w:rPr>
                <w:rFonts w:eastAsia="Times New Roman" w:cstheme="minorHAnsi"/>
                <w:color w:val="000000"/>
                <w:sz w:val="20"/>
              </w:rPr>
              <w:t>18</w:t>
            </w:r>
            <w:r w:rsidRPr="004307A8">
              <w:rPr>
                <w:rFonts w:eastAsia="Times New Roman" w:cstheme="minorHAnsi"/>
                <w:color w:val="000000"/>
                <w:sz w:val="20"/>
              </w:rPr>
              <w:t xml:space="preserve"> </w:t>
            </w:r>
          </w:p>
        </w:tc>
      </w:tr>
      <w:tr w:rsidRPr="004307A8" w:rsidR="00BF6594" w:rsidTr="0049788E" w14:paraId="4B8898CB" w14:textId="77777777">
        <w:trPr>
          <w:trHeight w:val="547"/>
          <w:jc w:val="center"/>
        </w:trPr>
        <w:tc>
          <w:tcPr>
            <w:tcW w:w="1112" w:type="dxa"/>
            <w:vMerge w:val="restart"/>
            <w:vAlign w:val="center"/>
            <w:hideMark/>
          </w:tcPr>
          <w:p w:rsidRPr="004307A8" w:rsidR="00BF6594" w:rsidP="00AA455C" w:rsidRDefault="00BF6594" w14:paraId="7C9204F2" w14:textId="77777777">
            <w:pPr>
              <w:rPr>
                <w:rFonts w:eastAsia="Times New Roman" w:cstheme="minorHAnsi"/>
                <w:color w:val="000000"/>
                <w:sz w:val="20"/>
              </w:rPr>
            </w:pPr>
            <w:r w:rsidRPr="004307A8">
              <w:rPr>
                <w:rFonts w:eastAsia="Times New Roman" w:cstheme="minorHAnsi"/>
                <w:color w:val="000000"/>
                <w:sz w:val="20"/>
              </w:rPr>
              <w:lastRenderedPageBreak/>
              <w:t>SDG&amp;E</w:t>
            </w:r>
          </w:p>
        </w:tc>
        <w:tc>
          <w:tcPr>
            <w:tcW w:w="939" w:type="dxa"/>
          </w:tcPr>
          <w:p w:rsidRPr="004307A8" w:rsidR="00BF6594" w:rsidP="00AA455C" w:rsidRDefault="00BF6594" w14:paraId="08D4A743" w14:textId="77777777">
            <w:pPr>
              <w:rPr>
                <w:rFonts w:eastAsia="Times New Roman" w:cstheme="minorHAnsi"/>
                <w:color w:val="000000"/>
                <w:sz w:val="20"/>
              </w:rPr>
            </w:pPr>
            <w:r w:rsidRPr="004307A8">
              <w:rPr>
                <w:sz w:val="20"/>
              </w:rPr>
              <w:t>GWh</w:t>
            </w:r>
          </w:p>
        </w:tc>
        <w:tc>
          <w:tcPr>
            <w:tcW w:w="940" w:type="dxa"/>
            <w:noWrap/>
            <w:hideMark/>
          </w:tcPr>
          <w:p w:rsidRPr="004307A8" w:rsidR="00BF6594" w:rsidP="00AA455C" w:rsidRDefault="00BF6594" w14:paraId="594BF0C5" w14:textId="77777777">
            <w:pPr>
              <w:jc w:val="right"/>
              <w:rPr>
                <w:rFonts w:eastAsia="Times New Roman" w:cstheme="minorHAnsi"/>
                <w:color w:val="000000"/>
                <w:sz w:val="20"/>
              </w:rPr>
            </w:pPr>
            <w:r w:rsidRPr="004307A8">
              <w:rPr>
                <w:rFonts w:eastAsia="Times New Roman" w:cstheme="minorHAnsi"/>
                <w:color w:val="000000"/>
                <w:sz w:val="20"/>
              </w:rPr>
              <w:t xml:space="preserve">       3.0 </w:t>
            </w:r>
          </w:p>
        </w:tc>
        <w:tc>
          <w:tcPr>
            <w:tcW w:w="940" w:type="dxa"/>
            <w:noWrap/>
            <w:hideMark/>
          </w:tcPr>
          <w:p w:rsidRPr="004307A8" w:rsidR="00BF6594" w:rsidP="00AA455C" w:rsidRDefault="00BF6594" w14:paraId="51609A58" w14:textId="77777777">
            <w:pPr>
              <w:jc w:val="right"/>
              <w:rPr>
                <w:rFonts w:eastAsia="Times New Roman" w:cstheme="minorHAnsi"/>
                <w:color w:val="000000"/>
                <w:sz w:val="20"/>
              </w:rPr>
            </w:pPr>
            <w:r w:rsidRPr="004307A8">
              <w:rPr>
                <w:rFonts w:eastAsia="Times New Roman" w:cstheme="minorHAnsi"/>
                <w:color w:val="000000"/>
                <w:sz w:val="20"/>
              </w:rPr>
              <w:t xml:space="preserve">       2.6 </w:t>
            </w:r>
          </w:p>
        </w:tc>
        <w:tc>
          <w:tcPr>
            <w:tcW w:w="941" w:type="dxa"/>
            <w:noWrap/>
            <w:hideMark/>
          </w:tcPr>
          <w:p w:rsidRPr="004307A8" w:rsidR="00BF6594" w:rsidP="00AA455C" w:rsidRDefault="00BF6594" w14:paraId="020E0793" w14:textId="77777777">
            <w:pPr>
              <w:jc w:val="right"/>
              <w:rPr>
                <w:rFonts w:eastAsia="Times New Roman" w:cstheme="minorHAnsi"/>
                <w:color w:val="000000"/>
                <w:sz w:val="20"/>
              </w:rPr>
            </w:pPr>
            <w:r w:rsidRPr="004307A8">
              <w:rPr>
                <w:rFonts w:eastAsia="Times New Roman" w:cstheme="minorHAnsi"/>
                <w:color w:val="000000"/>
                <w:sz w:val="20"/>
              </w:rPr>
              <w:t xml:space="preserve">       2.8 </w:t>
            </w:r>
          </w:p>
        </w:tc>
        <w:tc>
          <w:tcPr>
            <w:tcW w:w="941" w:type="dxa"/>
            <w:noWrap/>
            <w:hideMark/>
          </w:tcPr>
          <w:p w:rsidRPr="004307A8" w:rsidR="00BF6594" w:rsidP="00AA455C" w:rsidRDefault="00BF6594" w14:paraId="6F455190" w14:textId="77777777">
            <w:pPr>
              <w:jc w:val="right"/>
              <w:rPr>
                <w:rFonts w:eastAsia="Times New Roman" w:cstheme="minorHAnsi"/>
                <w:color w:val="000000"/>
                <w:sz w:val="20"/>
              </w:rPr>
            </w:pPr>
            <w:r w:rsidRPr="004307A8">
              <w:rPr>
                <w:rFonts w:eastAsia="Times New Roman" w:cstheme="minorHAnsi"/>
                <w:color w:val="000000"/>
                <w:sz w:val="20"/>
              </w:rPr>
              <w:t xml:space="preserve">       2.9 </w:t>
            </w:r>
          </w:p>
        </w:tc>
        <w:tc>
          <w:tcPr>
            <w:tcW w:w="940" w:type="dxa"/>
            <w:noWrap/>
            <w:hideMark/>
          </w:tcPr>
          <w:p w:rsidRPr="004307A8" w:rsidR="00BF6594" w:rsidP="00AA455C" w:rsidRDefault="00BF6594" w14:paraId="5157063D" w14:textId="77777777">
            <w:pPr>
              <w:jc w:val="right"/>
              <w:rPr>
                <w:rFonts w:eastAsia="Times New Roman" w:cstheme="minorHAnsi"/>
                <w:color w:val="000000"/>
                <w:sz w:val="20"/>
              </w:rPr>
            </w:pPr>
            <w:r w:rsidRPr="004307A8">
              <w:rPr>
                <w:rFonts w:eastAsia="Times New Roman" w:cstheme="minorHAnsi"/>
                <w:color w:val="000000"/>
                <w:sz w:val="20"/>
              </w:rPr>
              <w:t xml:space="preserve">       3.2 </w:t>
            </w:r>
          </w:p>
        </w:tc>
        <w:tc>
          <w:tcPr>
            <w:tcW w:w="1522" w:type="dxa"/>
            <w:noWrap/>
            <w:hideMark/>
          </w:tcPr>
          <w:p w:rsidRPr="004307A8" w:rsidR="00BF6594" w:rsidP="00AA455C" w:rsidRDefault="00BF6594" w14:paraId="1297258F" w14:textId="77777777">
            <w:pPr>
              <w:jc w:val="right"/>
              <w:rPr>
                <w:rFonts w:eastAsia="Times New Roman" w:cstheme="minorHAnsi"/>
                <w:color w:val="000000"/>
                <w:sz w:val="20"/>
              </w:rPr>
            </w:pPr>
            <w:r w:rsidRPr="004307A8">
              <w:rPr>
                <w:rFonts w:eastAsia="Times New Roman" w:cstheme="minorHAnsi"/>
                <w:color w:val="000000"/>
                <w:sz w:val="20"/>
              </w:rPr>
              <w:t xml:space="preserve">      </w:t>
            </w:r>
            <w:r>
              <w:rPr>
                <w:rFonts w:eastAsia="Times New Roman" w:cstheme="minorHAnsi"/>
                <w:color w:val="000000"/>
                <w:sz w:val="20"/>
              </w:rPr>
              <w:t>14.4</w:t>
            </w:r>
            <w:r w:rsidRPr="004307A8">
              <w:rPr>
                <w:rFonts w:eastAsia="Times New Roman" w:cstheme="minorHAnsi"/>
                <w:color w:val="000000"/>
                <w:sz w:val="20"/>
              </w:rPr>
              <w:t xml:space="preserve"> </w:t>
            </w:r>
          </w:p>
        </w:tc>
      </w:tr>
      <w:tr w:rsidRPr="004307A8" w:rsidR="00BF6594" w:rsidTr="0049788E" w14:paraId="557E1E38" w14:textId="77777777">
        <w:trPr>
          <w:trHeight w:val="547"/>
          <w:jc w:val="center"/>
        </w:trPr>
        <w:tc>
          <w:tcPr>
            <w:tcW w:w="1112" w:type="dxa"/>
            <w:vMerge/>
            <w:vAlign w:val="center"/>
          </w:tcPr>
          <w:p w:rsidRPr="004307A8" w:rsidR="00BF6594" w:rsidP="00AA455C" w:rsidRDefault="00BF6594" w14:paraId="525A8647" w14:textId="77777777">
            <w:pPr>
              <w:rPr>
                <w:rFonts w:eastAsia="Times New Roman" w:cstheme="minorHAnsi"/>
                <w:color w:val="000000"/>
                <w:sz w:val="20"/>
              </w:rPr>
            </w:pPr>
          </w:p>
        </w:tc>
        <w:tc>
          <w:tcPr>
            <w:tcW w:w="939" w:type="dxa"/>
          </w:tcPr>
          <w:p w:rsidRPr="004307A8" w:rsidR="00BF6594" w:rsidP="00AA455C" w:rsidRDefault="00BF6594" w14:paraId="75DE2629" w14:textId="77777777">
            <w:pPr>
              <w:rPr>
                <w:rFonts w:eastAsia="Times New Roman" w:cstheme="minorHAnsi"/>
                <w:color w:val="000000"/>
                <w:sz w:val="20"/>
              </w:rPr>
            </w:pPr>
            <w:r w:rsidRPr="004307A8">
              <w:rPr>
                <w:sz w:val="20"/>
              </w:rPr>
              <w:t>MW</w:t>
            </w:r>
          </w:p>
        </w:tc>
        <w:tc>
          <w:tcPr>
            <w:tcW w:w="940" w:type="dxa"/>
            <w:noWrap/>
          </w:tcPr>
          <w:p w:rsidRPr="004307A8" w:rsidR="00BF6594" w:rsidP="00AA455C" w:rsidRDefault="00BF6594" w14:paraId="2D453721" w14:textId="77777777">
            <w:pPr>
              <w:jc w:val="right"/>
              <w:rPr>
                <w:rFonts w:eastAsia="Times New Roman" w:cstheme="minorHAnsi"/>
                <w:color w:val="000000"/>
                <w:sz w:val="20"/>
              </w:rPr>
            </w:pPr>
            <w:r w:rsidRPr="004307A8">
              <w:rPr>
                <w:rFonts w:eastAsia="Times New Roman" w:cstheme="minorHAnsi"/>
                <w:color w:val="000000"/>
                <w:sz w:val="20"/>
              </w:rPr>
              <w:t xml:space="preserve">       0.4 </w:t>
            </w:r>
          </w:p>
        </w:tc>
        <w:tc>
          <w:tcPr>
            <w:tcW w:w="940" w:type="dxa"/>
            <w:noWrap/>
          </w:tcPr>
          <w:p w:rsidRPr="004307A8" w:rsidR="00BF6594" w:rsidP="00AA455C" w:rsidRDefault="00BF6594" w14:paraId="5360A6D5" w14:textId="77777777">
            <w:pPr>
              <w:jc w:val="right"/>
              <w:rPr>
                <w:rFonts w:eastAsia="Times New Roman" w:cstheme="minorHAnsi"/>
                <w:color w:val="000000"/>
                <w:sz w:val="20"/>
              </w:rPr>
            </w:pPr>
            <w:r w:rsidRPr="004307A8">
              <w:rPr>
                <w:rFonts w:eastAsia="Times New Roman" w:cstheme="minorHAnsi"/>
                <w:color w:val="000000"/>
                <w:sz w:val="20"/>
              </w:rPr>
              <w:t xml:space="preserve">       0.4 </w:t>
            </w:r>
          </w:p>
        </w:tc>
        <w:tc>
          <w:tcPr>
            <w:tcW w:w="941" w:type="dxa"/>
            <w:noWrap/>
          </w:tcPr>
          <w:p w:rsidRPr="004307A8" w:rsidR="00BF6594" w:rsidP="00AA455C" w:rsidRDefault="00BF6594" w14:paraId="3DED1BE9" w14:textId="77777777">
            <w:pPr>
              <w:jc w:val="right"/>
              <w:rPr>
                <w:rFonts w:eastAsia="Times New Roman" w:cstheme="minorHAnsi"/>
                <w:color w:val="000000"/>
                <w:sz w:val="20"/>
              </w:rPr>
            </w:pPr>
            <w:r w:rsidRPr="004307A8">
              <w:rPr>
                <w:rFonts w:eastAsia="Times New Roman" w:cstheme="minorHAnsi"/>
                <w:color w:val="000000"/>
                <w:sz w:val="20"/>
              </w:rPr>
              <w:t xml:space="preserve">       0.4 </w:t>
            </w:r>
          </w:p>
        </w:tc>
        <w:tc>
          <w:tcPr>
            <w:tcW w:w="941" w:type="dxa"/>
            <w:noWrap/>
          </w:tcPr>
          <w:p w:rsidRPr="004307A8" w:rsidR="00BF6594" w:rsidP="00AA455C" w:rsidRDefault="00BF6594" w14:paraId="4C548E03" w14:textId="77777777">
            <w:pPr>
              <w:jc w:val="right"/>
              <w:rPr>
                <w:rFonts w:eastAsia="Times New Roman" w:cstheme="minorHAnsi"/>
                <w:color w:val="000000"/>
                <w:sz w:val="20"/>
              </w:rPr>
            </w:pPr>
            <w:r w:rsidRPr="004307A8">
              <w:rPr>
                <w:rFonts w:eastAsia="Times New Roman" w:cstheme="minorHAnsi"/>
                <w:color w:val="000000"/>
                <w:sz w:val="20"/>
              </w:rPr>
              <w:t xml:space="preserve">       0.4 </w:t>
            </w:r>
          </w:p>
        </w:tc>
        <w:tc>
          <w:tcPr>
            <w:tcW w:w="940" w:type="dxa"/>
            <w:noWrap/>
          </w:tcPr>
          <w:p w:rsidRPr="004307A8" w:rsidR="00BF6594" w:rsidP="00AA455C" w:rsidRDefault="00BF6594" w14:paraId="62D8F728" w14:textId="77777777">
            <w:pPr>
              <w:jc w:val="right"/>
              <w:rPr>
                <w:rFonts w:eastAsia="Times New Roman" w:cstheme="minorHAnsi"/>
                <w:color w:val="000000"/>
                <w:sz w:val="20"/>
              </w:rPr>
            </w:pPr>
            <w:r w:rsidRPr="004307A8">
              <w:rPr>
                <w:rFonts w:eastAsia="Times New Roman" w:cstheme="minorHAnsi"/>
                <w:color w:val="000000"/>
                <w:sz w:val="20"/>
              </w:rPr>
              <w:t xml:space="preserve">       0.5 </w:t>
            </w:r>
          </w:p>
        </w:tc>
        <w:tc>
          <w:tcPr>
            <w:tcW w:w="1522" w:type="dxa"/>
            <w:noWrap/>
          </w:tcPr>
          <w:p w:rsidRPr="004307A8" w:rsidR="00BF6594" w:rsidP="00AA455C" w:rsidRDefault="00BF6594" w14:paraId="388EB337" w14:textId="77777777">
            <w:pPr>
              <w:jc w:val="right"/>
              <w:rPr>
                <w:rFonts w:eastAsia="Times New Roman" w:cstheme="minorHAnsi"/>
                <w:color w:val="000000"/>
                <w:sz w:val="20"/>
              </w:rPr>
            </w:pPr>
            <w:r w:rsidRPr="004307A8">
              <w:rPr>
                <w:rFonts w:eastAsia="Times New Roman" w:cstheme="minorHAnsi"/>
                <w:color w:val="000000"/>
                <w:sz w:val="20"/>
              </w:rPr>
              <w:t xml:space="preserve">          2.</w:t>
            </w:r>
            <w:r>
              <w:rPr>
                <w:rFonts w:eastAsia="Times New Roman" w:cstheme="minorHAnsi"/>
                <w:color w:val="000000"/>
                <w:sz w:val="20"/>
              </w:rPr>
              <w:t>1</w:t>
            </w:r>
            <w:r w:rsidRPr="004307A8">
              <w:rPr>
                <w:rFonts w:eastAsia="Times New Roman" w:cstheme="minorHAnsi"/>
                <w:color w:val="000000"/>
                <w:sz w:val="20"/>
              </w:rPr>
              <w:t xml:space="preserve"> </w:t>
            </w:r>
          </w:p>
        </w:tc>
      </w:tr>
      <w:tr w:rsidRPr="004307A8" w:rsidR="00BF6594" w:rsidTr="0049788E" w14:paraId="577208F3" w14:textId="77777777">
        <w:trPr>
          <w:trHeight w:val="547"/>
          <w:jc w:val="center"/>
        </w:trPr>
        <w:tc>
          <w:tcPr>
            <w:tcW w:w="1112" w:type="dxa"/>
            <w:vMerge/>
            <w:vAlign w:val="center"/>
          </w:tcPr>
          <w:p w:rsidRPr="004307A8" w:rsidR="00BF6594" w:rsidP="00AA455C" w:rsidRDefault="00BF6594" w14:paraId="625A30FE" w14:textId="77777777">
            <w:pPr>
              <w:rPr>
                <w:rFonts w:eastAsia="Times New Roman" w:cstheme="minorHAnsi"/>
                <w:color w:val="000000"/>
                <w:sz w:val="20"/>
              </w:rPr>
            </w:pPr>
          </w:p>
        </w:tc>
        <w:tc>
          <w:tcPr>
            <w:tcW w:w="939" w:type="dxa"/>
          </w:tcPr>
          <w:p w:rsidRPr="004307A8" w:rsidR="00BF6594" w:rsidP="00AA455C" w:rsidRDefault="00BF6594" w14:paraId="39167AA2" w14:textId="77777777">
            <w:pPr>
              <w:rPr>
                <w:rFonts w:eastAsia="Times New Roman" w:cstheme="minorHAnsi"/>
                <w:color w:val="000000"/>
                <w:sz w:val="20"/>
              </w:rPr>
            </w:pPr>
            <w:r w:rsidRPr="004307A8">
              <w:rPr>
                <w:sz w:val="20"/>
              </w:rPr>
              <w:t xml:space="preserve">Million </w:t>
            </w:r>
            <w:proofErr w:type="spellStart"/>
            <w:r w:rsidRPr="004307A8">
              <w:rPr>
                <w:sz w:val="20"/>
              </w:rPr>
              <w:t>Therms</w:t>
            </w:r>
            <w:proofErr w:type="spellEnd"/>
          </w:p>
        </w:tc>
        <w:tc>
          <w:tcPr>
            <w:tcW w:w="940" w:type="dxa"/>
            <w:noWrap/>
          </w:tcPr>
          <w:p w:rsidRPr="004307A8" w:rsidR="00BF6594" w:rsidP="00AA455C" w:rsidRDefault="00BF6594" w14:paraId="68EB3B30" w14:textId="77777777">
            <w:pPr>
              <w:jc w:val="right"/>
              <w:rPr>
                <w:rFonts w:eastAsia="Times New Roman" w:cstheme="minorHAnsi"/>
                <w:color w:val="000000"/>
                <w:sz w:val="20"/>
              </w:rPr>
            </w:pPr>
            <w:r w:rsidRPr="004307A8">
              <w:rPr>
                <w:rFonts w:eastAsia="Times New Roman" w:cstheme="minorHAnsi"/>
                <w:color w:val="000000"/>
                <w:sz w:val="20"/>
              </w:rPr>
              <w:t xml:space="preserve">     0.13 </w:t>
            </w:r>
          </w:p>
        </w:tc>
        <w:tc>
          <w:tcPr>
            <w:tcW w:w="940" w:type="dxa"/>
            <w:noWrap/>
          </w:tcPr>
          <w:p w:rsidRPr="004307A8" w:rsidR="00BF6594" w:rsidP="00AA455C" w:rsidRDefault="00BF6594" w14:paraId="234A9E2B" w14:textId="77777777">
            <w:pPr>
              <w:jc w:val="right"/>
              <w:rPr>
                <w:rFonts w:eastAsia="Times New Roman" w:cstheme="minorHAnsi"/>
                <w:color w:val="000000"/>
                <w:sz w:val="20"/>
              </w:rPr>
            </w:pPr>
            <w:r w:rsidRPr="004307A8">
              <w:rPr>
                <w:rFonts w:eastAsia="Times New Roman" w:cstheme="minorHAnsi"/>
                <w:color w:val="000000"/>
                <w:sz w:val="20"/>
              </w:rPr>
              <w:t xml:space="preserve">     0.11 </w:t>
            </w:r>
          </w:p>
        </w:tc>
        <w:tc>
          <w:tcPr>
            <w:tcW w:w="941" w:type="dxa"/>
            <w:noWrap/>
          </w:tcPr>
          <w:p w:rsidRPr="004307A8" w:rsidR="00BF6594" w:rsidP="00AA455C" w:rsidRDefault="00BF6594" w14:paraId="00A2A986" w14:textId="77777777">
            <w:pPr>
              <w:jc w:val="right"/>
              <w:rPr>
                <w:rFonts w:eastAsia="Times New Roman" w:cstheme="minorHAnsi"/>
                <w:color w:val="000000"/>
                <w:sz w:val="20"/>
              </w:rPr>
            </w:pPr>
            <w:r w:rsidRPr="004307A8">
              <w:rPr>
                <w:rFonts w:eastAsia="Times New Roman" w:cstheme="minorHAnsi"/>
                <w:color w:val="000000"/>
                <w:sz w:val="20"/>
              </w:rPr>
              <w:t xml:space="preserve">     0.12 </w:t>
            </w:r>
          </w:p>
        </w:tc>
        <w:tc>
          <w:tcPr>
            <w:tcW w:w="941" w:type="dxa"/>
            <w:noWrap/>
          </w:tcPr>
          <w:p w:rsidRPr="004307A8" w:rsidR="00BF6594" w:rsidP="00AA455C" w:rsidRDefault="00BF6594" w14:paraId="7B4E1B3F" w14:textId="77777777">
            <w:pPr>
              <w:jc w:val="right"/>
              <w:rPr>
                <w:rFonts w:eastAsia="Times New Roman" w:cstheme="minorHAnsi"/>
                <w:color w:val="000000"/>
                <w:sz w:val="20"/>
              </w:rPr>
            </w:pPr>
            <w:r w:rsidRPr="004307A8">
              <w:rPr>
                <w:rFonts w:eastAsia="Times New Roman" w:cstheme="minorHAnsi"/>
                <w:color w:val="000000"/>
                <w:sz w:val="20"/>
              </w:rPr>
              <w:t xml:space="preserve">     0.12 </w:t>
            </w:r>
          </w:p>
        </w:tc>
        <w:tc>
          <w:tcPr>
            <w:tcW w:w="940" w:type="dxa"/>
            <w:noWrap/>
          </w:tcPr>
          <w:p w:rsidRPr="004307A8" w:rsidR="00BF6594" w:rsidP="00AA455C" w:rsidRDefault="00BF6594" w14:paraId="7E78281C" w14:textId="77777777">
            <w:pPr>
              <w:jc w:val="right"/>
              <w:rPr>
                <w:rFonts w:eastAsia="Times New Roman" w:cstheme="minorHAnsi"/>
                <w:color w:val="000000"/>
                <w:sz w:val="20"/>
              </w:rPr>
            </w:pPr>
            <w:r w:rsidRPr="004307A8">
              <w:rPr>
                <w:rFonts w:eastAsia="Times New Roman" w:cstheme="minorHAnsi"/>
                <w:color w:val="000000"/>
                <w:sz w:val="20"/>
              </w:rPr>
              <w:t xml:space="preserve">     0.13 </w:t>
            </w:r>
          </w:p>
        </w:tc>
        <w:tc>
          <w:tcPr>
            <w:tcW w:w="1522" w:type="dxa"/>
            <w:noWrap/>
          </w:tcPr>
          <w:p w:rsidRPr="004307A8" w:rsidR="00BF6594" w:rsidP="00AA455C" w:rsidRDefault="00BF6594" w14:paraId="62A7B906" w14:textId="77777777">
            <w:pPr>
              <w:jc w:val="right"/>
              <w:rPr>
                <w:rFonts w:eastAsia="Times New Roman" w:cstheme="minorHAnsi"/>
                <w:color w:val="000000"/>
                <w:sz w:val="20"/>
              </w:rPr>
            </w:pPr>
            <w:r w:rsidRPr="004307A8">
              <w:rPr>
                <w:rFonts w:eastAsia="Times New Roman" w:cstheme="minorHAnsi"/>
                <w:color w:val="000000"/>
                <w:sz w:val="20"/>
              </w:rPr>
              <w:t xml:space="preserve">        0.</w:t>
            </w:r>
            <w:r>
              <w:rPr>
                <w:rFonts w:eastAsia="Times New Roman" w:cstheme="minorHAnsi"/>
                <w:color w:val="000000"/>
                <w:sz w:val="20"/>
              </w:rPr>
              <w:t>60</w:t>
            </w:r>
            <w:r w:rsidRPr="004307A8">
              <w:rPr>
                <w:rFonts w:eastAsia="Times New Roman" w:cstheme="minorHAnsi"/>
                <w:color w:val="000000"/>
                <w:sz w:val="20"/>
              </w:rPr>
              <w:t xml:space="preserve"> </w:t>
            </w:r>
          </w:p>
        </w:tc>
      </w:tr>
      <w:tr w:rsidRPr="004307A8" w:rsidR="00BF6594" w:rsidTr="0049788E" w14:paraId="0BD6B82D" w14:textId="77777777">
        <w:trPr>
          <w:trHeight w:val="547"/>
          <w:jc w:val="center"/>
        </w:trPr>
        <w:tc>
          <w:tcPr>
            <w:tcW w:w="1112" w:type="dxa"/>
            <w:vMerge w:val="restart"/>
            <w:vAlign w:val="center"/>
            <w:hideMark/>
          </w:tcPr>
          <w:p w:rsidRPr="004307A8" w:rsidR="00BF6594" w:rsidP="00AA455C" w:rsidRDefault="00BF6594" w14:paraId="4CCE3016" w14:textId="77777777">
            <w:pPr>
              <w:rPr>
                <w:rFonts w:eastAsia="Times New Roman" w:cstheme="minorHAnsi"/>
                <w:color w:val="000000"/>
                <w:sz w:val="20"/>
              </w:rPr>
            </w:pPr>
            <w:r w:rsidRPr="004307A8">
              <w:rPr>
                <w:rFonts w:eastAsia="Times New Roman" w:cstheme="minorHAnsi"/>
                <w:color w:val="000000"/>
                <w:sz w:val="20"/>
              </w:rPr>
              <w:t>Annual Total</w:t>
            </w:r>
          </w:p>
        </w:tc>
        <w:tc>
          <w:tcPr>
            <w:tcW w:w="939" w:type="dxa"/>
          </w:tcPr>
          <w:p w:rsidRPr="004307A8" w:rsidR="00BF6594" w:rsidP="00AA455C" w:rsidRDefault="00BF6594" w14:paraId="1D17A5B8" w14:textId="77777777">
            <w:pPr>
              <w:rPr>
                <w:rFonts w:eastAsia="Times New Roman" w:cstheme="minorHAnsi"/>
                <w:color w:val="000000"/>
                <w:sz w:val="20"/>
              </w:rPr>
            </w:pPr>
            <w:r w:rsidRPr="004307A8">
              <w:rPr>
                <w:sz w:val="20"/>
              </w:rPr>
              <w:t>GWh</w:t>
            </w:r>
          </w:p>
        </w:tc>
        <w:tc>
          <w:tcPr>
            <w:tcW w:w="940" w:type="dxa"/>
            <w:noWrap/>
            <w:hideMark/>
          </w:tcPr>
          <w:p w:rsidRPr="004307A8" w:rsidR="00BF6594" w:rsidP="00AA455C" w:rsidRDefault="00BF6594" w14:paraId="5C3222EE" w14:textId="77777777">
            <w:pPr>
              <w:jc w:val="right"/>
              <w:rPr>
                <w:rFonts w:eastAsia="Times New Roman" w:cstheme="minorHAnsi"/>
                <w:color w:val="000000"/>
                <w:sz w:val="20"/>
              </w:rPr>
            </w:pPr>
            <w:r w:rsidRPr="004307A8">
              <w:rPr>
                <w:rFonts w:eastAsia="Times New Roman" w:cstheme="minorHAnsi"/>
                <w:color w:val="000000"/>
                <w:sz w:val="20"/>
              </w:rPr>
              <w:t xml:space="preserve">     36.8 </w:t>
            </w:r>
          </w:p>
        </w:tc>
        <w:tc>
          <w:tcPr>
            <w:tcW w:w="940" w:type="dxa"/>
            <w:noWrap/>
            <w:hideMark/>
          </w:tcPr>
          <w:p w:rsidRPr="004307A8" w:rsidR="00BF6594" w:rsidP="00AA455C" w:rsidRDefault="00BF6594" w14:paraId="0A72FBC0"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60.8 </w:t>
            </w:r>
          </w:p>
        </w:tc>
        <w:tc>
          <w:tcPr>
            <w:tcW w:w="941" w:type="dxa"/>
            <w:noWrap/>
            <w:hideMark/>
          </w:tcPr>
          <w:p w:rsidRPr="004307A8" w:rsidR="00BF6594" w:rsidP="00AA455C" w:rsidRDefault="00BF6594" w14:paraId="7830AED1"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68.8  </w:t>
            </w:r>
          </w:p>
        </w:tc>
        <w:tc>
          <w:tcPr>
            <w:tcW w:w="941" w:type="dxa"/>
            <w:noWrap/>
            <w:hideMark/>
          </w:tcPr>
          <w:p w:rsidRPr="004307A8" w:rsidR="00BF6594" w:rsidP="00AA455C" w:rsidRDefault="00BF6594" w14:paraId="7EAF7F5C"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70.2</w:t>
            </w:r>
          </w:p>
        </w:tc>
        <w:tc>
          <w:tcPr>
            <w:tcW w:w="940" w:type="dxa"/>
            <w:noWrap/>
            <w:hideMark/>
          </w:tcPr>
          <w:p w:rsidRPr="004307A8" w:rsidR="00BF6594" w:rsidP="00AA455C" w:rsidRDefault="00BF6594" w14:paraId="2DB5DAF1"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61.4  </w:t>
            </w:r>
          </w:p>
        </w:tc>
        <w:tc>
          <w:tcPr>
            <w:tcW w:w="1522" w:type="dxa"/>
            <w:noWrap/>
            <w:hideMark/>
          </w:tcPr>
          <w:p w:rsidRPr="004307A8" w:rsidR="00BF6594" w:rsidP="00AA455C" w:rsidRDefault="00BF6594" w14:paraId="349D2665"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w:t>
            </w:r>
            <w:r>
              <w:rPr>
                <w:rFonts w:eastAsia="Times New Roman" w:cstheme="minorBidi"/>
                <w:color w:val="000000" w:themeColor="text1"/>
                <w:sz w:val="20"/>
              </w:rPr>
              <w:t>298.1</w:t>
            </w:r>
            <w:r w:rsidRPr="004307A8">
              <w:rPr>
                <w:rFonts w:eastAsia="Times New Roman" w:cstheme="minorBidi"/>
                <w:color w:val="000000" w:themeColor="text1"/>
                <w:sz w:val="20"/>
              </w:rPr>
              <w:t xml:space="preserve"> </w:t>
            </w:r>
          </w:p>
        </w:tc>
      </w:tr>
      <w:tr w:rsidRPr="004307A8" w:rsidR="00BF6594" w:rsidTr="0049788E" w14:paraId="0CF85679" w14:textId="77777777">
        <w:trPr>
          <w:trHeight w:val="547"/>
          <w:jc w:val="center"/>
        </w:trPr>
        <w:tc>
          <w:tcPr>
            <w:tcW w:w="1112" w:type="dxa"/>
            <w:vMerge/>
          </w:tcPr>
          <w:p w:rsidRPr="004307A8" w:rsidR="00BF6594" w:rsidP="00AA455C" w:rsidRDefault="00BF6594" w14:paraId="476454C3" w14:textId="77777777">
            <w:pPr>
              <w:rPr>
                <w:rFonts w:eastAsia="Times New Roman" w:cstheme="minorHAnsi"/>
                <w:color w:val="000000"/>
                <w:sz w:val="20"/>
              </w:rPr>
            </w:pPr>
          </w:p>
        </w:tc>
        <w:tc>
          <w:tcPr>
            <w:tcW w:w="939" w:type="dxa"/>
          </w:tcPr>
          <w:p w:rsidRPr="004307A8" w:rsidR="00BF6594" w:rsidP="00AA455C" w:rsidRDefault="00BF6594" w14:paraId="6F14A271" w14:textId="77777777">
            <w:pPr>
              <w:rPr>
                <w:rFonts w:eastAsia="Times New Roman" w:cstheme="minorHAnsi"/>
                <w:color w:val="000000"/>
                <w:sz w:val="20"/>
              </w:rPr>
            </w:pPr>
            <w:r w:rsidRPr="004307A8">
              <w:rPr>
                <w:sz w:val="20"/>
              </w:rPr>
              <w:t>MW</w:t>
            </w:r>
          </w:p>
        </w:tc>
        <w:tc>
          <w:tcPr>
            <w:tcW w:w="940" w:type="dxa"/>
            <w:noWrap/>
          </w:tcPr>
          <w:p w:rsidRPr="004307A8" w:rsidR="00BF6594" w:rsidP="00AA455C" w:rsidRDefault="00BF6594" w14:paraId="333E4267" w14:textId="77777777">
            <w:pPr>
              <w:jc w:val="right"/>
              <w:rPr>
                <w:rFonts w:eastAsia="Times New Roman" w:cstheme="minorHAnsi"/>
                <w:color w:val="000000"/>
                <w:sz w:val="20"/>
              </w:rPr>
            </w:pPr>
            <w:r w:rsidRPr="004307A8">
              <w:rPr>
                <w:rFonts w:eastAsia="Times New Roman" w:cstheme="minorHAnsi"/>
                <w:color w:val="000000"/>
                <w:sz w:val="20"/>
              </w:rPr>
              <w:t xml:space="preserve">     10.4 </w:t>
            </w:r>
          </w:p>
        </w:tc>
        <w:tc>
          <w:tcPr>
            <w:tcW w:w="940" w:type="dxa"/>
            <w:noWrap/>
          </w:tcPr>
          <w:p w:rsidRPr="004307A8" w:rsidR="00BF6594" w:rsidP="00AA455C" w:rsidRDefault="00BF6594" w14:paraId="76862CB3" w14:textId="77777777">
            <w:pPr>
              <w:jc w:val="right"/>
              <w:rPr>
                <w:rFonts w:eastAsia="Times New Roman" w:cstheme="minorHAnsi"/>
                <w:color w:val="000000"/>
                <w:sz w:val="20"/>
              </w:rPr>
            </w:pPr>
            <w:r w:rsidRPr="004307A8">
              <w:rPr>
                <w:rFonts w:eastAsia="Times New Roman" w:cstheme="minorHAnsi"/>
                <w:color w:val="000000"/>
                <w:sz w:val="20"/>
              </w:rPr>
              <w:t xml:space="preserve">     12.4 </w:t>
            </w:r>
          </w:p>
        </w:tc>
        <w:tc>
          <w:tcPr>
            <w:tcW w:w="941" w:type="dxa"/>
            <w:noWrap/>
          </w:tcPr>
          <w:p w:rsidRPr="004307A8" w:rsidR="00BF6594" w:rsidP="00AA455C" w:rsidRDefault="00BF6594" w14:paraId="146DD394" w14:textId="77777777">
            <w:pPr>
              <w:jc w:val="right"/>
              <w:rPr>
                <w:rFonts w:eastAsia="Times New Roman" w:cstheme="minorHAnsi"/>
                <w:color w:val="000000"/>
                <w:sz w:val="20"/>
              </w:rPr>
            </w:pPr>
            <w:r w:rsidRPr="004307A8">
              <w:rPr>
                <w:rFonts w:eastAsia="Times New Roman" w:cstheme="minorHAnsi"/>
                <w:color w:val="000000"/>
                <w:sz w:val="20"/>
              </w:rPr>
              <w:t xml:space="preserve">     16.0 </w:t>
            </w:r>
          </w:p>
        </w:tc>
        <w:tc>
          <w:tcPr>
            <w:tcW w:w="941" w:type="dxa"/>
            <w:noWrap/>
          </w:tcPr>
          <w:p w:rsidRPr="004307A8" w:rsidR="00BF6594" w:rsidP="00AA455C" w:rsidRDefault="00BF6594" w14:paraId="545A94AE" w14:textId="77777777">
            <w:pPr>
              <w:jc w:val="right"/>
              <w:rPr>
                <w:rFonts w:eastAsia="Times New Roman" w:cstheme="minorHAnsi"/>
                <w:color w:val="000000"/>
                <w:sz w:val="20"/>
              </w:rPr>
            </w:pPr>
            <w:r w:rsidRPr="004307A8">
              <w:rPr>
                <w:rFonts w:eastAsia="Times New Roman" w:cstheme="minorHAnsi"/>
                <w:color w:val="000000"/>
                <w:sz w:val="20"/>
              </w:rPr>
              <w:t xml:space="preserve">     16.7 </w:t>
            </w:r>
          </w:p>
        </w:tc>
        <w:tc>
          <w:tcPr>
            <w:tcW w:w="940" w:type="dxa"/>
            <w:noWrap/>
          </w:tcPr>
          <w:p w:rsidRPr="004307A8" w:rsidR="00BF6594" w:rsidP="00AA455C" w:rsidRDefault="00BF6594" w14:paraId="3206AEBA" w14:textId="77777777">
            <w:pPr>
              <w:jc w:val="right"/>
              <w:rPr>
                <w:rFonts w:eastAsia="Times New Roman" w:cstheme="minorHAnsi"/>
                <w:color w:val="000000"/>
                <w:sz w:val="20"/>
              </w:rPr>
            </w:pPr>
            <w:r w:rsidRPr="004307A8">
              <w:rPr>
                <w:rFonts w:eastAsia="Times New Roman" w:cstheme="minorHAnsi"/>
                <w:color w:val="000000"/>
                <w:sz w:val="20"/>
              </w:rPr>
              <w:t xml:space="preserve">     13.1 </w:t>
            </w:r>
          </w:p>
        </w:tc>
        <w:tc>
          <w:tcPr>
            <w:tcW w:w="1522" w:type="dxa"/>
            <w:noWrap/>
          </w:tcPr>
          <w:p w:rsidRPr="004307A8" w:rsidR="00BF6594" w:rsidP="00AA455C" w:rsidRDefault="00BF6594" w14:paraId="4569F567" w14:textId="77777777">
            <w:pPr>
              <w:jc w:val="right"/>
              <w:rPr>
                <w:rFonts w:eastAsia="Times New Roman" w:cstheme="minorHAnsi"/>
                <w:color w:val="000000"/>
                <w:sz w:val="20"/>
              </w:rPr>
            </w:pPr>
            <w:r w:rsidRPr="004307A8">
              <w:rPr>
                <w:rFonts w:eastAsia="Times New Roman" w:cstheme="minorHAnsi"/>
                <w:color w:val="000000"/>
                <w:sz w:val="20"/>
              </w:rPr>
              <w:t xml:space="preserve">        </w:t>
            </w:r>
            <w:r>
              <w:rPr>
                <w:rFonts w:eastAsia="Times New Roman" w:cstheme="minorHAnsi"/>
                <w:color w:val="000000"/>
                <w:sz w:val="20"/>
              </w:rPr>
              <w:t>68.7</w:t>
            </w:r>
            <w:r w:rsidRPr="004307A8">
              <w:rPr>
                <w:rFonts w:eastAsia="Times New Roman" w:cstheme="minorHAnsi"/>
                <w:color w:val="000000"/>
                <w:sz w:val="20"/>
              </w:rPr>
              <w:t xml:space="preserve"> </w:t>
            </w:r>
          </w:p>
        </w:tc>
      </w:tr>
      <w:tr w:rsidRPr="004307A8" w:rsidR="00BF6594" w:rsidTr="0049788E" w14:paraId="2F456F17" w14:textId="77777777">
        <w:trPr>
          <w:trHeight w:val="547"/>
          <w:jc w:val="center"/>
        </w:trPr>
        <w:tc>
          <w:tcPr>
            <w:tcW w:w="1112" w:type="dxa"/>
            <w:vMerge/>
          </w:tcPr>
          <w:p w:rsidRPr="004307A8" w:rsidR="00BF6594" w:rsidP="00AA455C" w:rsidRDefault="00BF6594" w14:paraId="2E1A2292" w14:textId="77777777">
            <w:pPr>
              <w:rPr>
                <w:rFonts w:eastAsia="Times New Roman" w:cstheme="minorHAnsi"/>
                <w:color w:val="000000"/>
                <w:sz w:val="20"/>
              </w:rPr>
            </w:pPr>
          </w:p>
        </w:tc>
        <w:tc>
          <w:tcPr>
            <w:tcW w:w="939" w:type="dxa"/>
          </w:tcPr>
          <w:p w:rsidRPr="004307A8" w:rsidR="00BF6594" w:rsidP="00AA455C" w:rsidRDefault="00BF6594" w14:paraId="3BAD00DF" w14:textId="77777777">
            <w:pPr>
              <w:rPr>
                <w:rFonts w:eastAsia="Times New Roman" w:cstheme="minorHAnsi"/>
                <w:color w:val="000000"/>
                <w:sz w:val="20"/>
              </w:rPr>
            </w:pPr>
            <w:r w:rsidRPr="004307A8">
              <w:rPr>
                <w:sz w:val="20"/>
              </w:rPr>
              <w:t xml:space="preserve">Million </w:t>
            </w:r>
            <w:proofErr w:type="spellStart"/>
            <w:r w:rsidRPr="004307A8">
              <w:rPr>
                <w:sz w:val="20"/>
              </w:rPr>
              <w:t>Therms</w:t>
            </w:r>
            <w:proofErr w:type="spellEnd"/>
          </w:p>
        </w:tc>
        <w:tc>
          <w:tcPr>
            <w:tcW w:w="940" w:type="dxa"/>
            <w:noWrap/>
          </w:tcPr>
          <w:p w:rsidRPr="004307A8" w:rsidR="00BF6594" w:rsidP="00AA455C" w:rsidRDefault="00BF6594" w14:paraId="6E929DB9" w14:textId="77777777">
            <w:pPr>
              <w:jc w:val="right"/>
              <w:rPr>
                <w:rFonts w:eastAsia="Times New Roman" w:cstheme="minorHAnsi"/>
                <w:color w:val="000000"/>
                <w:sz w:val="20"/>
              </w:rPr>
            </w:pPr>
            <w:r w:rsidRPr="004307A8">
              <w:rPr>
                <w:rFonts w:eastAsia="Times New Roman" w:cstheme="minorHAnsi"/>
                <w:color w:val="000000"/>
                <w:sz w:val="20"/>
              </w:rPr>
              <w:t xml:space="preserve">     2.39 </w:t>
            </w:r>
          </w:p>
        </w:tc>
        <w:tc>
          <w:tcPr>
            <w:tcW w:w="940" w:type="dxa"/>
            <w:noWrap/>
          </w:tcPr>
          <w:p w:rsidRPr="004307A8" w:rsidR="00BF6594" w:rsidP="00AA455C" w:rsidRDefault="00BF6594" w14:paraId="09B9C602"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3.25 </w:t>
            </w:r>
          </w:p>
        </w:tc>
        <w:tc>
          <w:tcPr>
            <w:tcW w:w="941" w:type="dxa"/>
            <w:noWrap/>
          </w:tcPr>
          <w:p w:rsidRPr="004307A8" w:rsidR="00BF6594" w:rsidP="00AA455C" w:rsidRDefault="00BF6594" w14:paraId="36EE01AF"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3.33  </w:t>
            </w:r>
          </w:p>
        </w:tc>
        <w:tc>
          <w:tcPr>
            <w:tcW w:w="941" w:type="dxa"/>
            <w:noWrap/>
          </w:tcPr>
          <w:p w:rsidRPr="004307A8" w:rsidR="00BF6594" w:rsidP="00AA455C" w:rsidRDefault="00BF6594" w14:paraId="63C370F0"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3.29 </w:t>
            </w:r>
          </w:p>
        </w:tc>
        <w:tc>
          <w:tcPr>
            <w:tcW w:w="940" w:type="dxa"/>
            <w:noWrap/>
          </w:tcPr>
          <w:p w:rsidRPr="004307A8" w:rsidR="00BF6594" w:rsidP="00AA455C" w:rsidRDefault="00BF6594" w14:paraId="5BD08346"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3.20  </w:t>
            </w:r>
          </w:p>
        </w:tc>
        <w:tc>
          <w:tcPr>
            <w:tcW w:w="1522" w:type="dxa"/>
            <w:noWrap/>
          </w:tcPr>
          <w:p w:rsidRPr="004307A8" w:rsidR="00BF6594" w:rsidP="00AA455C" w:rsidRDefault="00BF6594" w14:paraId="6948F755" w14:textId="77777777">
            <w:pPr>
              <w:jc w:val="right"/>
              <w:rPr>
                <w:rFonts w:eastAsia="Times New Roman" w:cstheme="minorHAnsi"/>
                <w:color w:val="000000"/>
                <w:sz w:val="20"/>
              </w:rPr>
            </w:pPr>
            <w:r w:rsidRPr="004307A8">
              <w:rPr>
                <w:rFonts w:eastAsia="Times New Roman" w:cstheme="minorBidi"/>
                <w:color w:val="000000" w:themeColor="text1"/>
                <w:sz w:val="20"/>
              </w:rPr>
              <w:t xml:space="preserve">     </w:t>
            </w:r>
            <w:r>
              <w:rPr>
                <w:rFonts w:eastAsia="Times New Roman" w:cstheme="minorBidi"/>
                <w:color w:val="000000" w:themeColor="text1"/>
                <w:sz w:val="20"/>
              </w:rPr>
              <w:t>15.45</w:t>
            </w:r>
            <w:r w:rsidRPr="004307A8">
              <w:rPr>
                <w:rFonts w:eastAsia="Times New Roman" w:cstheme="minorBidi"/>
                <w:color w:val="000000" w:themeColor="text1"/>
                <w:sz w:val="20"/>
              </w:rPr>
              <w:t xml:space="preserve"> </w:t>
            </w:r>
          </w:p>
        </w:tc>
      </w:tr>
    </w:tbl>
    <w:p w:rsidRPr="00467CC0" w:rsidR="000C1980" w:rsidP="0023091F" w:rsidRDefault="000C1980" w14:paraId="54A968D4" w14:textId="77777777">
      <w:pPr>
        <w:pStyle w:val="ALJBodyText"/>
        <w:rPr>
          <w:sz w:val="10"/>
          <w:szCs w:val="10"/>
        </w:rPr>
      </w:pPr>
    </w:p>
    <w:p w:rsidRPr="00A719F6" w:rsidR="000C1980" w:rsidP="001968DC" w:rsidRDefault="000C1980" w14:paraId="022768A8" w14:textId="5B9CD98A">
      <w:pPr>
        <w:pStyle w:val="Heading4"/>
        <w:ind w:left="3600"/>
      </w:pPr>
      <w:bookmarkStart w:name="_Toc69948025" w:id="365"/>
      <w:r w:rsidRPr="00A719F6">
        <w:t xml:space="preserve">Additional Energy Metrics: </w:t>
      </w:r>
      <w:r w:rsidRPr="00A719F6">
        <w:rPr>
          <w:u w:val="single"/>
        </w:rPr>
        <w:t>Approved with Modifications</w:t>
      </w:r>
      <w:bookmarkEnd w:id="365"/>
    </w:p>
    <w:p w:rsidRPr="005E69EE" w:rsidR="000C1980" w:rsidP="000D3EBD" w:rsidRDefault="000C1980" w14:paraId="3CE6AE21" w14:textId="30B96EB4">
      <w:pPr>
        <w:pStyle w:val="Standard"/>
      </w:pPr>
      <w:r>
        <w:t xml:space="preserve">We also direct the IOUs to begin tracking the following three energy saving metrics and report them on an annual basis.  To limit confusion between the terminology used in this proceeding and the mainstream energy efficiency proceeding to describe measures that save energy and those that do not, we move away from using the historical terms of “resource” and “non-resource” measures for the ESA program.  Instead, this decision will use the terms </w:t>
      </w:r>
      <w:r w:rsidRPr="0042625B">
        <w:rPr>
          <w:i/>
          <w:iCs/>
        </w:rPr>
        <w:t>energy saving</w:t>
      </w:r>
      <w:r>
        <w:rPr>
          <w:i/>
          <w:iCs/>
        </w:rPr>
        <w:t xml:space="preserve"> measures</w:t>
      </w:r>
      <w:r>
        <w:t xml:space="preserve"> </w:t>
      </w:r>
      <w:r w:rsidRPr="00236126">
        <w:t>(</w:t>
      </w:r>
      <w:r w:rsidRPr="009D13CA">
        <w:t>formerly</w:t>
      </w:r>
      <w:r w:rsidRPr="00236126">
        <w:t xml:space="preserve"> </w:t>
      </w:r>
      <w:r w:rsidRPr="009D13CA">
        <w:t xml:space="preserve">resource measures), and </w:t>
      </w:r>
      <w:r>
        <w:rPr>
          <w:i/>
          <w:iCs/>
        </w:rPr>
        <w:t>health comfort and safety or HCS measures</w:t>
      </w:r>
      <w:r w:rsidRPr="009D13CA">
        <w:t xml:space="preserve"> (formerly non-resource</w:t>
      </w:r>
      <w:r w:rsidRPr="00236126">
        <w:t xml:space="preserve"> measures)</w:t>
      </w:r>
      <w:r>
        <w:t xml:space="preserve"> to describe measures that do not deliver energy savings but still provide critical benefits to households.</w:t>
      </w:r>
      <w:r w:rsidR="003A79E6">
        <w:rPr>
          <w:rStyle w:val="FootnoteReference"/>
        </w:rPr>
        <w:footnoteReference w:id="514"/>
      </w:r>
      <w:r>
        <w:t xml:space="preserve">  These new terms are not intended to suggest that just because a measure is designated as an energy savings measure that it could not also provide HCS benefits to households.  Rather, these new terms will be used and defined in the same way that resource and non-resource measures were previously used by the ESA program in the past.  </w:t>
      </w:r>
    </w:p>
    <w:p w:rsidRPr="005E69EE" w:rsidR="000C1980" w:rsidP="0023091F" w:rsidRDefault="000C1980" w14:paraId="78B2EB33" w14:textId="1FB6A446">
      <w:pPr>
        <w:pStyle w:val="ALJBodyText"/>
      </w:pPr>
      <w:r w:rsidRPr="005E69EE">
        <w:lastRenderedPageBreak/>
        <w:t>Energy Metric #1: Average Household First-Year Energy Saving Measures</w:t>
      </w:r>
      <w:r>
        <w:t xml:space="preserve"> </w:t>
      </w:r>
      <w:r w:rsidR="00E37EAC">
        <w:t>Metric</w:t>
      </w:r>
      <w:r w:rsidRPr="005E69EE">
        <w:t>):</w:t>
      </w:r>
      <w:r>
        <w:t xml:space="preserve"> </w:t>
      </w:r>
    </w:p>
    <w:p w:rsidR="000C1980" w:rsidP="000D3EBD" w:rsidRDefault="000C1980" w14:paraId="02F5F1C0" w14:textId="3CC8D790">
      <w:pPr>
        <w:pStyle w:val="Standard"/>
      </w:pPr>
      <w:r>
        <w:t xml:space="preserve">This metric shall be calculated by summing total first-year gross kWh and </w:t>
      </w:r>
      <w:proofErr w:type="spellStart"/>
      <w:r>
        <w:t>therms</w:t>
      </w:r>
      <w:proofErr w:type="spellEnd"/>
      <w:r>
        <w:t xml:space="preserve"> savings for </w:t>
      </w:r>
      <w:r w:rsidRPr="0042625B">
        <w:rPr>
          <w:i/>
          <w:iCs/>
        </w:rPr>
        <w:t>energy saving</w:t>
      </w:r>
      <w:r>
        <w:rPr>
          <w:i/>
          <w:iCs/>
        </w:rPr>
        <w:t xml:space="preserve"> measures</w:t>
      </w:r>
      <w:r w:rsidRPr="0042625B">
        <w:rPr>
          <w:i/>
          <w:iCs/>
        </w:rPr>
        <w:t xml:space="preserve"> </w:t>
      </w:r>
      <w:r>
        <w:t>installed for the program year divided by the total number of households treated for the same relevant period.  This data will be used to track the trend of how the program’s energy saving measure installations are impacting</w:t>
      </w:r>
      <w:r w:rsidRPr="00B52387">
        <w:t xml:space="preserve"> </w:t>
      </w:r>
      <w:r>
        <w:t xml:space="preserve">average amount of energy each household is saving.  The IOUs shall report this metric by housing type, ownership status, specific customer segments (including DACs, medical baseline, Tribal), rural households and climate zone groups.  The reporting template approved by Energy Division will include the specifics of this reporting criteria.  </w:t>
      </w:r>
    </w:p>
    <w:p w:rsidRPr="006554EE" w:rsidR="000C1980" w:rsidP="0023091F" w:rsidRDefault="000C1980" w14:paraId="30480DB8" w14:textId="4AE7F0D8">
      <w:pPr>
        <w:pStyle w:val="ALJBodyText"/>
      </w:pPr>
      <w:r w:rsidRPr="006554EE">
        <w:t xml:space="preserve">Energy Metric #2: Average Household First-Year </w:t>
      </w:r>
      <w:r w:rsidR="0090372A">
        <w:t>All Measures</w:t>
      </w:r>
      <w:r w:rsidRPr="006554EE" w:rsidR="0090372A">
        <w:t xml:space="preserve"> </w:t>
      </w:r>
      <w:r w:rsidRPr="006554EE">
        <w:t xml:space="preserve">Savings Metric: </w:t>
      </w:r>
    </w:p>
    <w:p w:rsidR="000C1980" w:rsidP="000D3EBD" w:rsidRDefault="000C1980" w14:paraId="574323D0" w14:textId="2BE2AC80">
      <w:pPr>
        <w:pStyle w:val="Standard"/>
      </w:pPr>
      <w:r>
        <w:t xml:space="preserve">This metric shall be calculated by summing total annual gross kWh and </w:t>
      </w:r>
      <w:proofErr w:type="spellStart"/>
      <w:r>
        <w:t>therms</w:t>
      </w:r>
      <w:proofErr w:type="spellEnd"/>
      <w:r>
        <w:t xml:space="preserve"> saving for all </w:t>
      </w:r>
      <w:r w:rsidRPr="003116ED">
        <w:rPr>
          <w:i/>
        </w:rPr>
        <w:t>energy savings</w:t>
      </w:r>
      <w:r>
        <w:t xml:space="preserve"> </w:t>
      </w:r>
      <w:r w:rsidRPr="0090642E">
        <w:rPr>
          <w:i/>
          <w:iCs/>
        </w:rPr>
        <w:t xml:space="preserve">and </w:t>
      </w:r>
      <w:r>
        <w:rPr>
          <w:i/>
          <w:iCs/>
        </w:rPr>
        <w:t>HCS</w:t>
      </w:r>
      <w:r>
        <w:t xml:space="preserve"> measures installed for the program year divided by the total number of households treated for the same period.  This data will be used to</w:t>
      </w:r>
      <w:r w:rsidRPr="00853664">
        <w:t xml:space="preserve"> </w:t>
      </w:r>
      <w:r>
        <w:t>track the trend of how all the program’s measure installations are impacting</w:t>
      </w:r>
      <w:r w:rsidRPr="00B52387">
        <w:t xml:space="preserve"> </w:t>
      </w:r>
      <w:r>
        <w:t xml:space="preserve">average amount of energy each household is saving, </w:t>
      </w:r>
      <w:proofErr w:type="gramStart"/>
      <w:r>
        <w:t>taking into account</w:t>
      </w:r>
      <w:proofErr w:type="gramEnd"/>
      <w:r>
        <w:t xml:space="preserve"> both energy saving measures and HCS measures (which can increase energy consumption in the home).  The IOUs shall report this metric by housing type, ownership status, specific customer segments (including DAC, Medical Baseline, Tribal), rural households and climate zone groups.  The reporting template approved by Energy Division will include the specifics of this reporting criteria.  </w:t>
      </w:r>
    </w:p>
    <w:p w:rsidRPr="00AE32A4" w:rsidR="000C1980" w:rsidP="0023091F" w:rsidRDefault="000C1980" w14:paraId="45C1B67B" w14:textId="77777777">
      <w:pPr>
        <w:pStyle w:val="ALJBodyText"/>
      </w:pPr>
      <w:r w:rsidRPr="00AE32A4">
        <w:lastRenderedPageBreak/>
        <w:t>Energy Metric #3: Average First-Year Household Energy Savings as a Percent of Estimated Total Annual Energy Consumption (</w:t>
      </w:r>
      <w:r>
        <w:t>Energy Savings and HCS</w:t>
      </w:r>
      <w:r w:rsidRPr="006554EE" w:rsidDel="00602626">
        <w:t xml:space="preserve"> </w:t>
      </w:r>
      <w:r w:rsidRPr="006554EE">
        <w:t>Measures</w:t>
      </w:r>
      <w:r w:rsidRPr="00AE32A4">
        <w:t xml:space="preserve">):  </w:t>
      </w:r>
    </w:p>
    <w:p w:rsidR="000C1980" w:rsidP="000D3EBD" w:rsidRDefault="000C1980" w14:paraId="3382774F" w14:textId="50042F22">
      <w:pPr>
        <w:pStyle w:val="Standard"/>
      </w:pPr>
      <w:r>
        <w:t>This metric shall be calculated as a ratio of average energy savings to average consumption for all households treated for the reporting year.  This data will be used to start documenting an annual baseline of ESA’s energy savings compared to household energy consumption (</w:t>
      </w:r>
      <w:proofErr w:type="gramStart"/>
      <w:r>
        <w:t>pre ESA</w:t>
      </w:r>
      <w:proofErr w:type="gramEnd"/>
      <w:r>
        <w:t xml:space="preserve"> treatment) and tracking the depth of energy savings that the ESA program is achieving at the household level over time.  The IOUs shall report this metric by housing type and climate zone groups.  The reporting template approved by Energy Division will include the specifics of this reporting criteria.</w:t>
      </w:r>
    </w:p>
    <w:p w:rsidRPr="00A66797" w:rsidR="000C1980" w:rsidP="001968DC" w:rsidRDefault="000C1980" w14:paraId="2F27D762" w14:textId="77777777">
      <w:pPr>
        <w:pStyle w:val="Heading4"/>
        <w:ind w:left="3600"/>
      </w:pPr>
      <w:bookmarkStart w:name="_Toc69948026" w:id="366"/>
      <w:r w:rsidRPr="00A66797">
        <w:t xml:space="preserve">Targeted Potential Study: </w:t>
      </w:r>
      <w:r w:rsidRPr="00A66797">
        <w:rPr>
          <w:u w:val="single"/>
        </w:rPr>
        <w:t>Denied</w:t>
      </w:r>
      <w:bookmarkEnd w:id="366"/>
    </w:p>
    <w:p w:rsidR="000C1980" w:rsidP="000D3EBD" w:rsidRDefault="000C1980" w14:paraId="267EA198" w14:textId="0C77FFCD">
      <w:pPr>
        <w:pStyle w:val="Standard"/>
      </w:pPr>
      <w:r>
        <w:t>We understand the concerns regarding the m</w:t>
      </w:r>
      <w:r w:rsidRPr="00DA68A2">
        <w:t xml:space="preserve">ethodology for the P&amp;G study </w:t>
      </w:r>
      <w:r>
        <w:t>for</w:t>
      </w:r>
      <w:r w:rsidRPr="00DA68A2">
        <w:t xml:space="preserve"> the </w:t>
      </w:r>
      <w:proofErr w:type="gramStart"/>
      <w:r w:rsidRPr="00DA68A2">
        <w:t>low</w:t>
      </w:r>
      <w:r>
        <w:t xml:space="preserve"> </w:t>
      </w:r>
      <w:r w:rsidRPr="00DA68A2">
        <w:t>income</w:t>
      </w:r>
      <w:proofErr w:type="gramEnd"/>
      <w:r w:rsidRPr="00DA68A2">
        <w:t xml:space="preserve"> sector, </w:t>
      </w:r>
      <w:r>
        <w:t>and its potential mis</w:t>
      </w:r>
      <w:r w:rsidRPr="00DA68A2">
        <w:t>align</w:t>
      </w:r>
      <w:r>
        <w:t>ment</w:t>
      </w:r>
      <w:r w:rsidRPr="00DA68A2">
        <w:t xml:space="preserve"> with low income market characterizations.</w:t>
      </w:r>
      <w:r>
        <w:t xml:space="preserve">  However, we do </w:t>
      </w:r>
      <w:r w:rsidRPr="00172C95">
        <w:t xml:space="preserve">not believe </w:t>
      </w:r>
      <w:r>
        <w:t xml:space="preserve">that </w:t>
      </w:r>
      <w:r w:rsidRPr="00172C95">
        <w:t xml:space="preserve">a separate </w:t>
      </w:r>
      <w:r>
        <w:t>targeted potential</w:t>
      </w:r>
      <w:r w:rsidRPr="00172C95">
        <w:t xml:space="preserve"> study is necessary</w:t>
      </w:r>
      <w:r>
        <w:t>, as it would be duplicative of the current mainstream energy efficiency P&amp;G efforts</w:t>
      </w:r>
      <w:r>
        <w:rPr>
          <w:rStyle w:val="FootnoteReference"/>
        </w:rPr>
        <w:footnoteReference w:id="515"/>
      </w:r>
      <w:r>
        <w:t xml:space="preserve"> to create a separate modelling analysis for the </w:t>
      </w:r>
      <w:proofErr w:type="gramStart"/>
      <w:r>
        <w:t>low income</w:t>
      </w:r>
      <w:proofErr w:type="gramEnd"/>
      <w:r>
        <w:t xml:space="preserve"> sector as part of its scope.  Instead, we will have Energy Division’s </w:t>
      </w:r>
      <w:proofErr w:type="gramStart"/>
      <w:r>
        <w:t>low income</w:t>
      </w:r>
      <w:proofErr w:type="gramEnd"/>
      <w:r>
        <w:t xml:space="preserve"> staff work with the mainstream energy efficiency P&amp;G team to ensure that all party concerns raised here will be addressed during the development of the next study. </w:t>
      </w:r>
    </w:p>
    <w:p w:rsidRPr="00800421" w:rsidR="000C1980" w:rsidP="001968DC" w:rsidRDefault="000C1980" w14:paraId="630A19A3" w14:textId="77777777">
      <w:pPr>
        <w:pStyle w:val="Heading4"/>
        <w:ind w:left="3600"/>
      </w:pPr>
      <w:bookmarkStart w:name="_Toc69948027" w:id="367"/>
      <w:r w:rsidRPr="00800421">
        <w:t xml:space="preserve">P&amp;G Study to Inform Goals: </w:t>
      </w:r>
      <w:r w:rsidRPr="00800421">
        <w:rPr>
          <w:u w:val="single"/>
        </w:rPr>
        <w:t>Approved</w:t>
      </w:r>
      <w:bookmarkEnd w:id="367"/>
    </w:p>
    <w:p w:rsidR="000C1980" w:rsidP="000D3EBD" w:rsidRDefault="000C1980" w14:paraId="15865EC1" w14:textId="17B18142">
      <w:pPr>
        <w:pStyle w:val="Standard"/>
      </w:pPr>
      <w:r>
        <w:t>Instead of initiating a separate potential study as proposed by TURN, we direct the IOUs to utilize the c</w:t>
      </w:r>
      <w:r w:rsidRPr="00172C95">
        <w:t xml:space="preserve">urrent </w:t>
      </w:r>
      <w:r>
        <w:t xml:space="preserve">P&amp;G </w:t>
      </w:r>
      <w:r w:rsidRPr="00172C95">
        <w:t xml:space="preserve">process </w:t>
      </w:r>
      <w:r w:rsidRPr="007161F6">
        <w:t xml:space="preserve">to </w:t>
      </w:r>
      <w:r>
        <w:t xml:space="preserve">help inform the goals for the </w:t>
      </w:r>
      <w:r>
        <w:lastRenderedPageBreak/>
        <w:t>ESA program</w:t>
      </w:r>
      <w:r w:rsidRPr="00172C95">
        <w:t xml:space="preserve">. </w:t>
      </w:r>
      <w:r>
        <w:t xml:space="preserve"> The c</w:t>
      </w:r>
      <w:r w:rsidRPr="00172C95">
        <w:t xml:space="preserve">urrent </w:t>
      </w:r>
      <w:r>
        <w:t>P&amp;G study</w:t>
      </w:r>
      <w:r w:rsidRPr="00172C95">
        <w:t xml:space="preserve"> </w:t>
      </w:r>
      <w:r w:rsidR="00F759BC">
        <w:t>has commenced</w:t>
      </w:r>
      <w:r>
        <w:t xml:space="preserve"> under the mainstream energy efficiency’s rulemaking proceeding R.13-11-005 and is </w:t>
      </w:r>
      <w:r w:rsidRPr="00172C95">
        <w:t xml:space="preserve">scheduled to deliver technical and achievable potential for the </w:t>
      </w:r>
      <w:proofErr w:type="gramStart"/>
      <w:r w:rsidRPr="00172C95">
        <w:t>low income</w:t>
      </w:r>
      <w:proofErr w:type="gramEnd"/>
      <w:r w:rsidRPr="00172C95">
        <w:t xml:space="preserve"> customer segment in 2021.</w:t>
      </w:r>
      <w:r>
        <w:t xml:space="preserve">  </w:t>
      </w:r>
      <w:r w:rsidRPr="00C223D6">
        <w:t>Due to the timing of the 2021 study, the technical and achievable potential calculated</w:t>
      </w:r>
      <w:r w:rsidRPr="00C5210B">
        <w:t xml:space="preserve"> for the</w:t>
      </w:r>
      <w:r>
        <w:t xml:space="preserve"> </w:t>
      </w:r>
      <w:proofErr w:type="gramStart"/>
      <w:r>
        <w:t>low income</w:t>
      </w:r>
      <w:proofErr w:type="gramEnd"/>
      <w:r>
        <w:t xml:space="preserve"> sector will </w:t>
      </w:r>
      <w:r w:rsidRPr="00486E3E">
        <w:t>only be</w:t>
      </w:r>
      <w:r w:rsidRPr="009D18E1">
        <w:t xml:space="preserve"> </w:t>
      </w:r>
      <w:r>
        <w:t xml:space="preserve">used </w:t>
      </w:r>
      <w:r w:rsidRPr="00C223D6">
        <w:t>for comparison purposes to the</w:t>
      </w:r>
      <w:r w:rsidRPr="007161F6">
        <w:t xml:space="preserve"> energy savings goals approved </w:t>
      </w:r>
      <w:r w:rsidRPr="00C223D6">
        <w:t>in this decision.</w:t>
      </w:r>
      <w:r w:rsidRPr="00321EB0">
        <w:t xml:space="preserve"> </w:t>
      </w:r>
    </w:p>
    <w:p w:rsidR="000C1980" w:rsidP="000D3EBD" w:rsidRDefault="000C1980" w14:paraId="5EEDD21A" w14:textId="77777777">
      <w:pPr>
        <w:pStyle w:val="Standard"/>
      </w:pPr>
      <w:r>
        <w:t>However, for the next P&amp;G study</w:t>
      </w:r>
      <w:r w:rsidRPr="00172C95">
        <w:t xml:space="preserve"> </w:t>
      </w:r>
      <w:r>
        <w:t>in 2023, Energy Division staff will work with stakeholders and the</w:t>
      </w:r>
      <w:r w:rsidRPr="005164FC">
        <w:t xml:space="preserve"> </w:t>
      </w:r>
      <w:r>
        <w:t>P&amp;G study consultants</w:t>
      </w:r>
      <w:r w:rsidRPr="007161F6">
        <w:t xml:space="preserve"> </w:t>
      </w:r>
      <w:r>
        <w:t xml:space="preserve">to refine and update the </w:t>
      </w:r>
      <w:r w:rsidRPr="00172C95">
        <w:t xml:space="preserve">methodology </w:t>
      </w:r>
      <w:r>
        <w:t xml:space="preserve">used </w:t>
      </w:r>
      <w:r w:rsidRPr="00172C95">
        <w:t xml:space="preserve">for the </w:t>
      </w:r>
      <w:proofErr w:type="gramStart"/>
      <w:r w:rsidRPr="00172C95">
        <w:t>low income</w:t>
      </w:r>
      <w:proofErr w:type="gramEnd"/>
      <w:r w:rsidRPr="00172C95">
        <w:t xml:space="preserve"> customer segment</w:t>
      </w:r>
      <w:r>
        <w:t xml:space="preserve"> to ensure better alignment with this market’s profile.</w:t>
      </w:r>
      <w:r w:rsidRPr="00DA68A2">
        <w:t xml:space="preserve"> </w:t>
      </w:r>
      <w:r>
        <w:t xml:space="preserve"> As mentioned, the concerns raised regarding the perceived shortcomings of utilizing the P&amp;G study to inform goals for the </w:t>
      </w:r>
      <w:proofErr w:type="gramStart"/>
      <w:r>
        <w:t>low income</w:t>
      </w:r>
      <w:proofErr w:type="gramEnd"/>
      <w:r>
        <w:t xml:space="preserve"> sector will be addressed through the P&amp;G study and proceeding.  This collaboration will be through the main P&amp;G study timeline and workshop process, but with specific attention and workshops dedicated to the </w:t>
      </w:r>
      <w:proofErr w:type="gramStart"/>
      <w:r>
        <w:t>low income</w:t>
      </w:r>
      <w:proofErr w:type="gramEnd"/>
      <w:r>
        <w:t xml:space="preserve"> sector modelling methodology and results.  The output of the 2023 P&amp;G study will be one of the data inputs considered upon reviewing and evaluating the progress of the program and IOUs energy saving efforts mid cycle.  Ideally, the results of the 2023 P&amp;G study will align with the goals set in this decision.  In the instance they are not, we have set up mid cycle review process that can address updates needed to the set goals.  (</w:t>
      </w:r>
      <w:r w:rsidRPr="007F40BA">
        <w:rPr>
          <w:i/>
          <w:iCs/>
        </w:rPr>
        <w:t>See</w:t>
      </w:r>
      <w:r>
        <w:t xml:space="preserve"> Section 10.3). </w:t>
      </w:r>
    </w:p>
    <w:p w:rsidRPr="000B6122" w:rsidR="000C1980" w:rsidP="001968DC" w:rsidRDefault="000C1980" w14:paraId="64A20DEE" w14:textId="77777777">
      <w:pPr>
        <w:pStyle w:val="Heading4"/>
        <w:ind w:left="3600"/>
      </w:pPr>
      <w:bookmarkStart w:name="_Toc69948028" w:id="368"/>
      <w:r w:rsidRPr="000B6122">
        <w:t xml:space="preserve">Stakeholder Process for Setting/Updating Goals: </w:t>
      </w:r>
      <w:r w:rsidRPr="000B6122">
        <w:rPr>
          <w:u w:val="single"/>
        </w:rPr>
        <w:t>Approved with Modifications</w:t>
      </w:r>
      <w:bookmarkEnd w:id="368"/>
      <w:r>
        <w:t xml:space="preserve">  </w:t>
      </w:r>
      <w:r w:rsidRPr="000B6122">
        <w:t xml:space="preserve"> </w:t>
      </w:r>
    </w:p>
    <w:p w:rsidR="000C1980" w:rsidP="000D3EBD" w:rsidRDefault="000C1980" w14:paraId="37FD3F2D" w14:textId="02FC5617">
      <w:pPr>
        <w:pStyle w:val="Standard"/>
      </w:pPr>
      <w:r>
        <w:t>We agree</w:t>
      </w:r>
      <w:r w:rsidR="00DB3566">
        <w:t>, in part,</w:t>
      </w:r>
      <w:r>
        <w:t xml:space="preserve"> with TURN and the Joint Parties that some process should be put in place to monitor IOU progress in between the </w:t>
      </w:r>
      <w:proofErr w:type="gramStart"/>
      <w:r>
        <w:t>six year</w:t>
      </w:r>
      <w:proofErr w:type="gramEnd"/>
      <w:r>
        <w:t xml:space="preserve"> cycle.  However, we do not agree that a separate regulatory process needs to be established from the various working group efforts already proposed in this </w:t>
      </w:r>
      <w:r>
        <w:lastRenderedPageBreak/>
        <w:t>proceeding.  We agree with SCE that a working group could take on this task, however we are not inclined to form yet another working group, in addition to what has already been proposed.  Therefore, this decision approves the formation of a single working group, the ESA Working Group or ESA WG, to be tasked with monitoring and reviewing of the ESA program’s progress, including the energy savings component for the ESA program</w:t>
      </w:r>
      <w:r w:rsidR="00B22FF2">
        <w:t xml:space="preserve"> (see Section </w:t>
      </w:r>
      <w:r w:rsidR="00395CED">
        <w:t>10.2.2.1)</w:t>
      </w:r>
      <w:r>
        <w:t xml:space="preserve">.  To ensure that a balanced approach is taken and that all potentially affected parties’ viewpoints are considered, the working group membership will include representation from the various groups of interest </w:t>
      </w:r>
      <w:r w:rsidR="00EE36D8">
        <w:t xml:space="preserve">in </w:t>
      </w:r>
      <w:r>
        <w:t xml:space="preserve">this proceeding. </w:t>
      </w:r>
      <w:r w:rsidRPr="007F40BA">
        <w:rPr>
          <w:i/>
          <w:iCs/>
        </w:rPr>
        <w:t xml:space="preserve"> See</w:t>
      </w:r>
      <w:r>
        <w:t xml:space="preserve"> Section</w:t>
      </w:r>
      <w:r w:rsidR="000D3EBD">
        <w:t> </w:t>
      </w:r>
      <w:r>
        <w:t>10.2</w:t>
      </w:r>
      <w:r w:rsidR="00395CED">
        <w:t>.2.1</w:t>
      </w:r>
      <w:r>
        <w:t xml:space="preserve"> for the ESA WG’s membership, role, and tasks.  </w:t>
      </w:r>
    </w:p>
    <w:p w:rsidRPr="009E5085" w:rsidR="000C1980" w:rsidP="001968DC" w:rsidRDefault="000C1980" w14:paraId="096D616A" w14:textId="77777777">
      <w:pPr>
        <w:pStyle w:val="Heading4"/>
        <w:ind w:left="3600"/>
      </w:pPr>
      <w:bookmarkStart w:name="_Toc69948029" w:id="369"/>
      <w:r w:rsidRPr="009E5085">
        <w:t xml:space="preserve">Consistent Formatting: </w:t>
      </w:r>
      <w:r w:rsidRPr="009E5085">
        <w:rPr>
          <w:u w:val="single"/>
        </w:rPr>
        <w:t>Approved</w:t>
      </w:r>
      <w:bookmarkEnd w:id="369"/>
      <w:r w:rsidRPr="009E5085">
        <w:t xml:space="preserve"> </w:t>
      </w:r>
    </w:p>
    <w:p w:rsidRPr="0069358D" w:rsidR="000C1980" w:rsidP="000D3EBD" w:rsidRDefault="000C1980" w14:paraId="443EDE99" w14:textId="413B47F2">
      <w:pPr>
        <w:pStyle w:val="Standard"/>
      </w:pPr>
      <w:r>
        <w:t xml:space="preserve">We agree with the </w:t>
      </w:r>
      <w:r w:rsidRPr="004C1CB6">
        <w:t>Joint Parties</w:t>
      </w:r>
      <w:r>
        <w:t xml:space="preserve"> and require the IOUs </w:t>
      </w:r>
      <w:r w:rsidRPr="004C1CB6">
        <w:t xml:space="preserve">provide </w:t>
      </w:r>
      <w:r>
        <w:t>consistent formats for tracking</w:t>
      </w:r>
      <w:r w:rsidRPr="004C1CB6">
        <w:t xml:space="preserve"> ESA </w:t>
      </w:r>
      <w:r>
        <w:t>p</w:t>
      </w:r>
      <w:r w:rsidRPr="004C1CB6">
        <w:t xml:space="preserve">rogram goals </w:t>
      </w:r>
      <w:r>
        <w:t xml:space="preserve">and other relevant data being collected.  Therefore, Energy Division will work with the IOUs to </w:t>
      </w:r>
      <w:r w:rsidR="00AA4027">
        <w:t xml:space="preserve">ensure </w:t>
      </w:r>
      <w:r>
        <w:t xml:space="preserve">consistent reporting </w:t>
      </w:r>
      <w:r w:rsidR="007567C2">
        <w:t xml:space="preserve">of goals and metrics </w:t>
      </w:r>
      <w:r>
        <w:t xml:space="preserve">in the monthly and annual ESA reports.  </w:t>
      </w:r>
    </w:p>
    <w:p w:rsidRPr="005F45AC" w:rsidR="000C1980" w:rsidP="001968DC" w:rsidRDefault="000C1980" w14:paraId="3AEE6B2D" w14:textId="77777777">
      <w:pPr>
        <w:pStyle w:val="Heading2"/>
        <w:ind w:left="1728"/>
      </w:pPr>
      <w:bookmarkStart w:name="_Toc69948030" w:id="370"/>
      <w:r w:rsidRPr="005F45AC">
        <w:t xml:space="preserve">ESA Goals – </w:t>
      </w:r>
      <w:r w:rsidRPr="00A123D0">
        <w:t>Health</w:t>
      </w:r>
      <w:r w:rsidRPr="005F45AC">
        <w:t>, Comfort, &amp; Safety,</w:t>
      </w:r>
      <w:r w:rsidRPr="005F45AC">
        <w:rPr>
          <w:rFonts w:ascii="Book Antiqua" w:hAnsi="Book Antiqua" w:cs="Times New Roman"/>
        </w:rPr>
        <w:t xml:space="preserve"> </w:t>
      </w:r>
      <w:r w:rsidRPr="005F45AC">
        <w:t>Energy Burden, Public Health, Climate Change</w:t>
      </w:r>
      <w:bookmarkEnd w:id="370"/>
    </w:p>
    <w:p w:rsidRPr="00E1518F" w:rsidR="000C1980" w:rsidP="001968DC" w:rsidRDefault="000C1980" w14:paraId="67925DC9" w14:textId="77777777">
      <w:pPr>
        <w:pStyle w:val="Heading3"/>
        <w:ind w:left="2664"/>
      </w:pPr>
      <w:bookmarkStart w:name="_Toc69948031" w:id="371"/>
      <w:r w:rsidRPr="00E1518F">
        <w:t>Background</w:t>
      </w:r>
      <w:bookmarkEnd w:id="371"/>
    </w:p>
    <w:p w:rsidRPr="0069358D" w:rsidR="000C1980" w:rsidP="000D3EBD" w:rsidRDefault="000C1980" w14:paraId="7524C9F3" w14:textId="77777777">
      <w:pPr>
        <w:pStyle w:val="Standard"/>
      </w:pPr>
      <w:r w:rsidRPr="6A220AF3">
        <w:t xml:space="preserve">Aside from household treatment and energy savings </w:t>
      </w:r>
      <w:r>
        <w:t>goals</w:t>
      </w:r>
      <w:r w:rsidRPr="6A220AF3">
        <w:t xml:space="preserve">, no other specific goals or targets have been </w:t>
      </w:r>
      <w:r>
        <w:t>previously</w:t>
      </w:r>
      <w:r w:rsidRPr="6A220AF3">
        <w:t xml:space="preserve"> established in this program related to </w:t>
      </w:r>
      <w:r>
        <w:t>H</w:t>
      </w:r>
      <w:r w:rsidRPr="6A220AF3">
        <w:t xml:space="preserve">CS, </w:t>
      </w:r>
      <w:r w:rsidRPr="0085379C">
        <w:t xml:space="preserve">energy burden, </w:t>
      </w:r>
      <w:r>
        <w:t xml:space="preserve">or </w:t>
      </w:r>
      <w:r w:rsidRPr="0085379C">
        <w:t>climate change</w:t>
      </w:r>
      <w:r>
        <w:t xml:space="preserve">.  </w:t>
      </w:r>
      <w:r w:rsidRPr="6A220AF3">
        <w:t>For the 2021-2026 cycle, the IOUs were asked to provide a quantitative goal to reflect HCS benefits from non-resource measures</w:t>
      </w:r>
      <w:r>
        <w:rPr>
          <w:szCs w:val="26"/>
        </w:rPr>
        <w:t>,</w:t>
      </w:r>
      <w:r w:rsidRPr="6A220AF3">
        <w:rPr>
          <w:rStyle w:val="FootnoteReference"/>
        </w:rPr>
        <w:footnoteReference w:id="516"/>
      </w:r>
      <w:r>
        <w:rPr>
          <w:szCs w:val="26"/>
        </w:rPr>
        <w:t xml:space="preserve">  </w:t>
      </w:r>
      <w:r w:rsidRPr="6A220AF3">
        <w:t xml:space="preserve">as well as discuss whether other such goals should be </w:t>
      </w:r>
      <w:r w:rsidRPr="6A220AF3">
        <w:lastRenderedPageBreak/>
        <w:t>considered, specifically those associated with energy burden, public health, and</w:t>
      </w:r>
      <w:r>
        <w:rPr>
          <w:szCs w:val="26"/>
        </w:rPr>
        <w:t xml:space="preserve"> </w:t>
      </w:r>
      <w:r w:rsidRPr="6A220AF3">
        <w:t>climate change.</w:t>
      </w:r>
      <w:r w:rsidRPr="6A220AF3">
        <w:rPr>
          <w:rStyle w:val="FootnoteReference"/>
        </w:rPr>
        <w:footnoteReference w:id="517"/>
      </w:r>
    </w:p>
    <w:p w:rsidR="000C1980" w:rsidP="001968DC" w:rsidRDefault="000C1980" w14:paraId="1F6458A1" w14:textId="77777777">
      <w:pPr>
        <w:pStyle w:val="Heading3"/>
        <w:ind w:left="2664"/>
      </w:pPr>
      <w:bookmarkStart w:name="_Toc69948032" w:id="372"/>
      <w:r>
        <w:t>PG&amp;E Proposal</w:t>
      </w:r>
      <w:bookmarkEnd w:id="372"/>
    </w:p>
    <w:p w:rsidR="000C1980" w:rsidP="000D3EBD" w:rsidRDefault="000C1980" w14:paraId="67A8DAF3" w14:textId="77777777">
      <w:pPr>
        <w:pStyle w:val="Standard"/>
        <w:rPr>
          <w:b/>
          <w:bCs/>
          <w:i/>
          <w:iCs/>
          <w:szCs w:val="26"/>
          <w:u w:val="single"/>
        </w:rPr>
      </w:pPr>
      <w:r w:rsidRPr="6A220AF3">
        <w:rPr>
          <w:b/>
          <w:i/>
          <w:u w:val="single"/>
        </w:rPr>
        <w:t>Quantitative HCS Goal (Non-Resource Measures)</w:t>
      </w:r>
      <w:r w:rsidRPr="007359EB">
        <w:rPr>
          <w:b/>
          <w:bCs/>
          <w:i/>
          <w:iCs/>
          <w:u w:val="single"/>
        </w:rPr>
        <w:t>:</w:t>
      </w:r>
      <w:r>
        <w:t xml:space="preserve"> PG&amp;E does not propose a specific goal but proposes to track as a metric HCS benefits </w:t>
      </w:r>
      <w:r w:rsidRPr="003638DB">
        <w:t xml:space="preserve">resulting from </w:t>
      </w:r>
      <w:r>
        <w:t>n</w:t>
      </w:r>
      <w:r w:rsidRPr="003638DB">
        <w:t>on-</w:t>
      </w:r>
      <w:r>
        <w:t>r</w:t>
      </w:r>
      <w:r w:rsidRPr="003638DB">
        <w:t>esource measures</w:t>
      </w:r>
      <w:r>
        <w:t xml:space="preserve"> (as NEB values displayed in dollars).</w:t>
      </w:r>
      <w:r>
        <w:rPr>
          <w:rStyle w:val="FootnoteReference"/>
        </w:rPr>
        <w:footnoteReference w:id="518"/>
      </w:r>
      <w:r>
        <w:t xml:space="preserve">  </w:t>
      </w:r>
      <w:r w:rsidRPr="003638DB">
        <w:t xml:space="preserve"> </w:t>
      </w:r>
    </w:p>
    <w:p w:rsidR="000C1980" w:rsidP="000D3EBD" w:rsidRDefault="000C1980" w14:paraId="53E47A89" w14:textId="77777777">
      <w:pPr>
        <w:pStyle w:val="Standard"/>
      </w:pPr>
      <w:r w:rsidRPr="6A220AF3">
        <w:rPr>
          <w:b/>
          <w:i/>
          <w:u w:val="single"/>
        </w:rPr>
        <w:t>Energy Burden, Public Health, Climate Change Goals:</w:t>
      </w:r>
      <w:r w:rsidRPr="00F3674C">
        <w:t xml:space="preserve"> PG&amp;E does not </w:t>
      </w:r>
      <w:r>
        <w:t xml:space="preserve">propose </w:t>
      </w:r>
      <w:r w:rsidRPr="00F3674C">
        <w:t>goals associated specifically with energy burdens, public health indicators, and climate change</w:t>
      </w:r>
      <w:r>
        <w:t xml:space="preserve">, stating that </w:t>
      </w:r>
      <w:r w:rsidRPr="00F3674C">
        <w:t>the energy burden is only minimally influenced by the ESA program, and as such</w:t>
      </w:r>
      <w:r>
        <w:t xml:space="preserve">, </w:t>
      </w:r>
      <w:r w:rsidRPr="00F3674C">
        <w:t>setting a reduction in energy burden as a goal of the program is incomplete and misleading.</w:t>
      </w:r>
      <w:r w:rsidRPr="00F3674C">
        <w:rPr>
          <w:vertAlign w:val="superscript"/>
        </w:rPr>
        <w:footnoteReference w:id="519"/>
      </w:r>
      <w:r w:rsidRPr="00F3674C">
        <w:t xml:space="preserve">  PG&amp;E also argues that public health indicators are beyond the scope of the ESA </w:t>
      </w:r>
      <w:r>
        <w:t>p</w:t>
      </w:r>
      <w:r w:rsidRPr="00F3674C">
        <w:t>rogram because the program is focused on the mix of energy savings and HCS improvements made to a customer’s home, and while some ESA measures may have incidental societal impacts, ESA should balance energy savings and cost effectiveness for all.</w:t>
      </w:r>
      <w:r w:rsidRPr="00F3674C">
        <w:rPr>
          <w:vertAlign w:val="superscript"/>
        </w:rPr>
        <w:footnoteReference w:id="520"/>
      </w:r>
      <w:r w:rsidRPr="00F3674C">
        <w:t xml:space="preserve"> Similarly, climate change and reduction in carbon emissions or GHGs is a by-product of the ESA program and not the primary motivation</w:t>
      </w:r>
      <w:r>
        <w:t>.  However, PG&amp;E does propose a total GHG reduction target of 106,981 tons between PYs 2021-2026.</w:t>
      </w:r>
      <w:r w:rsidRPr="00F3674C">
        <w:rPr>
          <w:vertAlign w:val="superscript"/>
        </w:rPr>
        <w:footnoteReference w:id="521"/>
      </w:r>
      <w:r w:rsidRPr="00F3674C">
        <w:t xml:space="preserve">  </w:t>
      </w:r>
      <w:r>
        <w:t>PG&amp;E acknowledges that e</w:t>
      </w:r>
      <w:r w:rsidRPr="00F3674C">
        <w:t xml:space="preserve">nergy efficiency products often positively contribute to reductions in negative climate </w:t>
      </w:r>
      <w:r w:rsidRPr="00F3674C">
        <w:lastRenderedPageBreak/>
        <w:t xml:space="preserve">outcomes but </w:t>
      </w:r>
      <w:r>
        <w:t xml:space="preserve">states that </w:t>
      </w:r>
      <w:r w:rsidRPr="00F3674C">
        <w:t>making it a goal would mean changing the focus and implementation model of the program completely.</w:t>
      </w:r>
      <w:r w:rsidRPr="00F3674C">
        <w:rPr>
          <w:vertAlign w:val="superscript"/>
        </w:rPr>
        <w:footnoteReference w:id="522"/>
      </w:r>
    </w:p>
    <w:p w:rsidR="000C1980" w:rsidP="001968DC" w:rsidRDefault="000C1980" w14:paraId="7F3DC6F0" w14:textId="77777777">
      <w:pPr>
        <w:pStyle w:val="Heading3"/>
        <w:ind w:left="2664"/>
      </w:pPr>
      <w:bookmarkStart w:name="_Toc69948033" w:id="373"/>
      <w:r>
        <w:t>SCE Proposal</w:t>
      </w:r>
      <w:bookmarkEnd w:id="373"/>
      <w:r>
        <w:t xml:space="preserve"> </w:t>
      </w:r>
    </w:p>
    <w:p w:rsidR="000C1980" w:rsidP="000D3EBD" w:rsidRDefault="000C1980" w14:paraId="0005D7FB" w14:textId="77777777">
      <w:pPr>
        <w:pStyle w:val="Standard"/>
      </w:pPr>
      <w:r w:rsidRPr="6A220AF3">
        <w:rPr>
          <w:b/>
          <w:i/>
          <w:u w:val="single"/>
        </w:rPr>
        <w:t>Quantitative HCS Goal (Non-Resource Measures)</w:t>
      </w:r>
      <w:r w:rsidRPr="007359EB">
        <w:rPr>
          <w:b/>
          <w:bCs/>
          <w:i/>
          <w:iCs/>
          <w:u w:val="single"/>
        </w:rPr>
        <w:t>:</w:t>
      </w:r>
      <w:r>
        <w:t xml:space="preserve"> </w:t>
      </w:r>
      <w:r w:rsidRPr="00C76325">
        <w:t>SCE</w:t>
      </w:r>
      <w:r w:rsidRPr="009D000C">
        <w:t xml:space="preserve"> </w:t>
      </w:r>
      <w:r>
        <w:t>does not propose a goal but proposes to track</w:t>
      </w:r>
      <w:r w:rsidRPr="00274044">
        <w:t xml:space="preserve"> the benefits provided by measures</w:t>
      </w:r>
      <w:r>
        <w:t xml:space="preserve"> that increase HCS using billing and </w:t>
      </w:r>
      <w:proofErr w:type="gramStart"/>
      <w:r>
        <w:t>NEBs</w:t>
      </w:r>
      <w:proofErr w:type="gramEnd"/>
      <w:r>
        <w:t xml:space="preserve"> data.</w:t>
      </w:r>
      <w:r w:rsidRPr="00C76325">
        <w:rPr>
          <w:vertAlign w:val="superscript"/>
        </w:rPr>
        <w:footnoteReference w:id="523"/>
      </w:r>
    </w:p>
    <w:p w:rsidR="000C1980" w:rsidP="000D3EBD" w:rsidRDefault="000C1980" w14:paraId="7B3B7625" w14:textId="77777777">
      <w:pPr>
        <w:pStyle w:val="Standard"/>
      </w:pPr>
      <w:r w:rsidRPr="6A220AF3">
        <w:rPr>
          <w:b/>
          <w:i/>
          <w:u w:val="single"/>
        </w:rPr>
        <w:t>Energy Burden, Public Health, Climate Change Goals:</w:t>
      </w:r>
      <w:r w:rsidRPr="00F3674C">
        <w:t xml:space="preserve"> </w:t>
      </w:r>
      <w:r>
        <w:t xml:space="preserve">SCE </w:t>
      </w:r>
      <w:r w:rsidRPr="0085379C">
        <w:t xml:space="preserve">proposes </w:t>
      </w:r>
      <w:r w:rsidRPr="00991681">
        <w:t xml:space="preserve">a </w:t>
      </w:r>
      <w:r>
        <w:t xml:space="preserve">total GHG reduction </w:t>
      </w:r>
      <w:r w:rsidRPr="0079283E">
        <w:rPr>
          <w:i/>
          <w:iCs/>
        </w:rPr>
        <w:t>target</w:t>
      </w:r>
      <w:r>
        <w:t xml:space="preserve"> of 13,411 metric tons for PYs 2021-2026,</w:t>
      </w:r>
      <w:r>
        <w:rPr>
          <w:rStyle w:val="FootnoteReference"/>
        </w:rPr>
        <w:footnoteReference w:id="524"/>
      </w:r>
      <w:r>
        <w:t xml:space="preserve"> and does not propose a specific hardship reduction goal but does propose to track and </w:t>
      </w:r>
      <w:r w:rsidRPr="00274044">
        <w:t>“monetize” the benefits provided by measures</w:t>
      </w:r>
      <w:r>
        <w:t xml:space="preserve"> that attribute to reducing fin</w:t>
      </w:r>
      <w:r w:rsidRPr="00274044">
        <w:t xml:space="preserve">ancial hardship </w:t>
      </w:r>
      <w:r>
        <w:t>and/or increasing HCS using billing and NEBs data.</w:t>
      </w:r>
      <w:r w:rsidRPr="00C76325">
        <w:rPr>
          <w:vertAlign w:val="superscript"/>
        </w:rPr>
        <w:footnoteReference w:id="525"/>
      </w:r>
      <w:r>
        <w:t xml:space="preserve"> These monetary values would be calculated and used together to</w:t>
      </w:r>
      <w:r w:rsidRPr="00DA4260">
        <w:t xml:space="preserve"> estimate overall net household hardship reductions</w:t>
      </w:r>
      <w:r>
        <w:t xml:space="preserve"> </w:t>
      </w:r>
      <w:r w:rsidRPr="00DA4260">
        <w:t xml:space="preserve">that </w:t>
      </w:r>
      <w:r>
        <w:t>can</w:t>
      </w:r>
      <w:r w:rsidRPr="00DA4260">
        <w:t xml:space="preserve"> be tracked over time</w:t>
      </w:r>
      <w:r>
        <w:t xml:space="preserve">. </w:t>
      </w:r>
    </w:p>
    <w:p w:rsidR="000C1980" w:rsidP="000D3EBD" w:rsidRDefault="000C1980" w14:paraId="333071F7" w14:textId="77777777">
      <w:pPr>
        <w:pStyle w:val="Standard"/>
      </w:pPr>
      <w:r>
        <w:t>Additionally, SCE proposes</w:t>
      </w:r>
      <w:r w:rsidRPr="003638DB">
        <w:t xml:space="preserve"> </w:t>
      </w:r>
      <w:r>
        <w:t>several</w:t>
      </w:r>
      <w:r w:rsidRPr="003638DB">
        <w:t xml:space="preserve"> quantitative </w:t>
      </w:r>
      <w:r>
        <w:t>metrics to track reduction in customer financial hardships, reduction in HCS hardships, combination of reduction in household financial and HCS hardships, and equity impacts via penetration of Hard-To-Reach markets.</w:t>
      </w:r>
      <w:r>
        <w:rPr>
          <w:rStyle w:val="FootnoteReference"/>
        </w:rPr>
        <w:footnoteReference w:id="526"/>
      </w:r>
      <w:r>
        <w:t xml:space="preserve">  </w:t>
      </w:r>
      <w:r w:rsidRPr="003638DB">
        <w:t xml:space="preserve"> </w:t>
      </w:r>
    </w:p>
    <w:p w:rsidR="000C1980" w:rsidP="001968DC" w:rsidRDefault="000C1980" w14:paraId="6490D031" w14:textId="77777777">
      <w:pPr>
        <w:pStyle w:val="Heading3"/>
        <w:ind w:left="2664"/>
      </w:pPr>
      <w:bookmarkStart w:name="_Toc69948034" w:id="374"/>
      <w:r>
        <w:t>SoCalGas Proposal</w:t>
      </w:r>
      <w:bookmarkEnd w:id="374"/>
      <w:r>
        <w:t xml:space="preserve"> </w:t>
      </w:r>
    </w:p>
    <w:p w:rsidR="000C1980" w:rsidP="000D3EBD" w:rsidRDefault="000C1980" w14:paraId="228FE23C" w14:textId="77777777">
      <w:pPr>
        <w:pStyle w:val="Standard"/>
      </w:pPr>
      <w:r w:rsidRPr="6A220AF3">
        <w:rPr>
          <w:b/>
          <w:i/>
          <w:u w:val="single"/>
        </w:rPr>
        <w:t>Quantitative HCS Goal (Non-Resource Measures)</w:t>
      </w:r>
      <w:r w:rsidRPr="007359EB">
        <w:rPr>
          <w:b/>
          <w:bCs/>
          <w:i/>
          <w:iCs/>
          <w:u w:val="single"/>
        </w:rPr>
        <w:t>:</w:t>
      </w:r>
      <w:r>
        <w:t xml:space="preserve"> SoCalGas proposes a metric that seeks to capture comfort improvements from non-resource measures that result in the improvement in participants’ HCS.  SoCalGas proposes a target </w:t>
      </w:r>
      <w:r>
        <w:lastRenderedPageBreak/>
        <w:t xml:space="preserve">annual benefit of $26 of non-energy participant benefits per household per year for non-resource measures. </w:t>
      </w:r>
      <w:r>
        <w:rPr>
          <w:rStyle w:val="FootnoteReference"/>
        </w:rPr>
        <w:footnoteReference w:id="527"/>
      </w:r>
    </w:p>
    <w:p w:rsidR="000C1980" w:rsidP="000D3EBD" w:rsidRDefault="000C1980" w14:paraId="04E6E9FF" w14:textId="77777777">
      <w:pPr>
        <w:pStyle w:val="Standard"/>
      </w:pPr>
      <w:r w:rsidRPr="6A220AF3">
        <w:rPr>
          <w:b/>
          <w:i/>
          <w:u w:val="single"/>
        </w:rPr>
        <w:t>Energy Burden, Public Health, Climate Change Goals:</w:t>
      </w:r>
      <w:r w:rsidRPr="00F3674C">
        <w:t xml:space="preserve"> </w:t>
      </w:r>
      <w:r>
        <w:t xml:space="preserve">SoCalGas proposes a total GHG reduction target of 44,071 tons for PYs 2021-2026.  </w:t>
      </w:r>
      <w:r w:rsidRPr="00317607">
        <w:rPr>
          <w:vertAlign w:val="superscript"/>
        </w:rPr>
        <w:footnoteReference w:id="528"/>
      </w:r>
      <w:r>
        <w:t xml:space="preserve">  SoCalGas does not propose any goals </w:t>
      </w:r>
      <w:r w:rsidRPr="00F3674C">
        <w:t xml:space="preserve">associated with energy burdens </w:t>
      </w:r>
      <w:r>
        <w:t>or</w:t>
      </w:r>
      <w:r w:rsidRPr="00F3674C">
        <w:t xml:space="preserve"> public health indicators</w:t>
      </w:r>
      <w:r>
        <w:t xml:space="preserve"> but does </w:t>
      </w:r>
      <w:r w:rsidRPr="008D0F5A">
        <w:t>propose</w:t>
      </w:r>
      <w:r>
        <w:t xml:space="preserve"> to track</w:t>
      </w:r>
      <w:r w:rsidRPr="008D0F5A">
        <w:t xml:space="preserve"> </w:t>
      </w:r>
      <w:r>
        <w:t>a</w:t>
      </w:r>
      <w:r w:rsidRPr="008D0F5A">
        <w:t xml:space="preserve"> household hardship reduction indicator</w:t>
      </w:r>
      <w:r>
        <w:t xml:space="preserve"> using participant benefits from measures installed.  This indicator identifies the value of the combination of energy savings and non-energy benefits to households treated during the reporting year.  All values are denominated in dollars and show first year participant benefits only, regardless of the lifetime of the measure or benefit.</w:t>
      </w:r>
      <w:r w:rsidRPr="008D0F5A">
        <w:rPr>
          <w:vertAlign w:val="superscript"/>
        </w:rPr>
        <w:footnoteReference w:id="529"/>
      </w:r>
      <w:r>
        <w:t xml:space="preserve">   </w:t>
      </w:r>
    </w:p>
    <w:p w:rsidR="000C1980" w:rsidP="001968DC" w:rsidRDefault="000C1980" w14:paraId="29AB9914" w14:textId="77777777">
      <w:pPr>
        <w:pStyle w:val="Heading3"/>
        <w:ind w:left="2664"/>
      </w:pPr>
      <w:bookmarkStart w:name="_Toc69948035" w:id="375"/>
      <w:r>
        <w:t>SDG&amp;E Proposal</w:t>
      </w:r>
      <w:bookmarkEnd w:id="375"/>
      <w:r>
        <w:t xml:space="preserve"> </w:t>
      </w:r>
    </w:p>
    <w:p w:rsidR="000C1980" w:rsidP="000D3EBD" w:rsidRDefault="000C1980" w14:paraId="371C6C02" w14:textId="77777777">
      <w:pPr>
        <w:pStyle w:val="Standard"/>
      </w:pPr>
      <w:r w:rsidRPr="6A220AF3">
        <w:rPr>
          <w:b/>
          <w:i/>
          <w:u w:val="single"/>
        </w:rPr>
        <w:t>Quantitative HCS Goal (Non-Resource Measures)</w:t>
      </w:r>
      <w:r w:rsidRPr="007359EB">
        <w:rPr>
          <w:b/>
          <w:bCs/>
          <w:i/>
          <w:iCs/>
          <w:u w:val="single"/>
        </w:rPr>
        <w:t>:</w:t>
      </w:r>
      <w:r>
        <w:t xml:space="preserve"> SDG&amp;E proposes an a</w:t>
      </w:r>
      <w:r w:rsidRPr="00214B74">
        <w:t>verage</w:t>
      </w:r>
      <w:r>
        <w:t xml:space="preserve"> </w:t>
      </w:r>
      <w:r w:rsidRPr="00214B74">
        <w:t>NEBs</w:t>
      </w:r>
      <w:r>
        <w:t xml:space="preserve"> </w:t>
      </w:r>
      <w:r w:rsidRPr="00214B74">
        <w:t>delivered per</w:t>
      </w:r>
      <w:r>
        <w:t xml:space="preserve"> </w:t>
      </w:r>
      <w:r w:rsidRPr="00214B74">
        <w:t>household</w:t>
      </w:r>
      <w:r>
        <w:t xml:space="preserve"> goal aiming for $60 in first-year benefits for single family treatments, $60 in first-year benefits for multifamily treatments, and </w:t>
      </w:r>
      <w:r w:rsidRPr="00214B74">
        <w:t>$60</w:t>
      </w:r>
      <w:r>
        <w:t xml:space="preserve"> in first-year benefits for mobile home treatments</w:t>
      </w:r>
      <w:r w:rsidRPr="00186E66">
        <w:t>.</w:t>
      </w:r>
      <w:r>
        <w:rPr>
          <w:rStyle w:val="FootnoteReference"/>
        </w:rPr>
        <w:footnoteReference w:id="530"/>
      </w:r>
      <w:r w:rsidRPr="00186E66">
        <w:t xml:space="preserve"> </w:t>
      </w:r>
      <w:r>
        <w:t xml:space="preserve"> SDG&amp;E notes that because these </w:t>
      </w:r>
      <w:r w:rsidRPr="00162AF3">
        <w:t>proposed goals were developed using the forecasted number of homes to be treated,</w:t>
      </w:r>
      <w:r>
        <w:t xml:space="preserve"> </w:t>
      </w:r>
      <w:r w:rsidRPr="00162AF3">
        <w:t>the proposed budget and the estimated savings values</w:t>
      </w:r>
      <w:r>
        <w:t>,</w:t>
      </w:r>
      <w:r w:rsidRPr="00162AF3">
        <w:t xml:space="preserve"> the goals </w:t>
      </w:r>
      <w:r>
        <w:t>will need to</w:t>
      </w:r>
      <w:r w:rsidRPr="00162AF3">
        <w:t xml:space="preserve"> be re-assessed </w:t>
      </w:r>
      <w:r>
        <w:t xml:space="preserve">if </w:t>
      </w:r>
      <w:r w:rsidRPr="00162AF3">
        <w:t>the</w:t>
      </w:r>
      <w:r>
        <w:t xml:space="preserve"> above factors are </w:t>
      </w:r>
      <w:r w:rsidRPr="00162AF3">
        <w:t>modified during the program</w:t>
      </w:r>
      <w:r>
        <w:t xml:space="preserve"> </w:t>
      </w:r>
      <w:r w:rsidRPr="00162AF3">
        <w:t>cycle</w:t>
      </w:r>
      <w:r>
        <w:t>.</w:t>
      </w:r>
      <w:r>
        <w:rPr>
          <w:rStyle w:val="FootnoteReference"/>
        </w:rPr>
        <w:footnoteReference w:id="531"/>
      </w:r>
      <w:r>
        <w:t xml:space="preserve"> </w:t>
      </w:r>
    </w:p>
    <w:p w:rsidR="000C1980" w:rsidP="000D3EBD" w:rsidRDefault="000C1980" w14:paraId="5868571A" w14:textId="77777777">
      <w:pPr>
        <w:pStyle w:val="Standard"/>
      </w:pPr>
      <w:r w:rsidRPr="6A220AF3">
        <w:rPr>
          <w:b/>
          <w:i/>
          <w:u w:val="single"/>
        </w:rPr>
        <w:lastRenderedPageBreak/>
        <w:t>Energy Burden, Public Health, Climate Change Goals:</w:t>
      </w:r>
      <w:r w:rsidRPr="00F3674C">
        <w:t xml:space="preserve"> </w:t>
      </w:r>
      <w:r w:rsidRPr="00B104C3">
        <w:t xml:space="preserve">SDG&amp;E </w:t>
      </w:r>
      <w:r>
        <w:t>proposes</w:t>
      </w:r>
      <w:r w:rsidRPr="008D47AE">
        <w:t xml:space="preserve"> </w:t>
      </w:r>
      <w:r w:rsidRPr="00877C6F">
        <w:t>a preliminary</w:t>
      </w:r>
      <w:r>
        <w:t xml:space="preserve"> average </w:t>
      </w:r>
      <w:r w:rsidRPr="00877C6F">
        <w:t xml:space="preserve">hardship reduction indicator, </w:t>
      </w:r>
      <w:r>
        <w:t>using</w:t>
      </w:r>
      <w:r w:rsidRPr="00877C6F">
        <w:t xml:space="preserve"> average household bill savings plus average household non-energy benefits</w:t>
      </w:r>
      <w:r>
        <w:t>, and suggests that</w:t>
      </w:r>
      <w:r w:rsidRPr="00877C6F">
        <w:t xml:space="preserve"> the next LINA </w:t>
      </w:r>
      <w:r>
        <w:t xml:space="preserve">study </w:t>
      </w:r>
      <w:r w:rsidRPr="00877C6F">
        <w:t>assess the usefulness</w:t>
      </w:r>
      <w:r>
        <w:t xml:space="preserve"> </w:t>
      </w:r>
      <w:r w:rsidRPr="00877C6F">
        <w:t>of this indicator and provide recommendations on improving it.</w:t>
      </w:r>
      <w:r>
        <w:rPr>
          <w:rStyle w:val="FootnoteReference"/>
        </w:rPr>
        <w:footnoteReference w:id="532"/>
      </w:r>
      <w:r>
        <w:t xml:space="preserve">  Otherwise, SDG&amp;E </w:t>
      </w:r>
      <w:r w:rsidRPr="00B104C3">
        <w:t xml:space="preserve">does not </w:t>
      </w:r>
      <w:r>
        <w:t>propose</w:t>
      </w:r>
      <w:r w:rsidRPr="00B104C3">
        <w:t xml:space="preserve"> any goals </w:t>
      </w:r>
      <w:r w:rsidRPr="00F3674C">
        <w:t xml:space="preserve">associated specifically with </w:t>
      </w:r>
      <w:r>
        <w:t xml:space="preserve">other </w:t>
      </w:r>
      <w:r w:rsidRPr="00F3674C">
        <w:t>energy burdens, public health indicators, and climate change</w:t>
      </w:r>
      <w:r>
        <w:t>.</w:t>
      </w:r>
    </w:p>
    <w:p w:rsidR="000C1980" w:rsidP="001968DC" w:rsidRDefault="000C1980" w14:paraId="35E25A23" w14:textId="77777777">
      <w:pPr>
        <w:pStyle w:val="Heading3"/>
        <w:ind w:left="2664"/>
      </w:pPr>
      <w:bookmarkStart w:name="_Toc69948036" w:id="376"/>
      <w:r>
        <w:t>Party Positions</w:t>
      </w:r>
      <w:bookmarkEnd w:id="376"/>
    </w:p>
    <w:p w:rsidRPr="003174F2" w:rsidR="000C1980" w:rsidP="001968DC" w:rsidRDefault="000C1980" w14:paraId="47A8B473" w14:textId="77777777">
      <w:pPr>
        <w:pStyle w:val="Heading4"/>
        <w:ind w:left="3600"/>
      </w:pPr>
      <w:bookmarkStart w:name="_Toc69948037" w:id="377"/>
      <w:proofErr w:type="spellStart"/>
      <w:r>
        <w:t>CforAT</w:t>
      </w:r>
      <w:bookmarkEnd w:id="377"/>
      <w:proofErr w:type="spellEnd"/>
    </w:p>
    <w:p w:rsidR="000C1980" w:rsidP="000D3EBD" w:rsidRDefault="000C1980" w14:paraId="2E1F8169" w14:textId="6077B826">
      <w:pPr>
        <w:pStyle w:val="Standard"/>
      </w:pPr>
      <w:r w:rsidRPr="004D017E">
        <w:rPr>
          <w:b/>
          <w:bCs/>
          <w:i/>
          <w:iCs/>
          <w:u w:val="single"/>
        </w:rPr>
        <w:t>F</w:t>
      </w:r>
      <w:r>
        <w:rPr>
          <w:b/>
          <w:bCs/>
          <w:i/>
          <w:iCs/>
          <w:u w:val="single"/>
        </w:rPr>
        <w:t>i</w:t>
      </w:r>
      <w:r w:rsidRPr="004D017E">
        <w:rPr>
          <w:b/>
          <w:bCs/>
          <w:i/>
          <w:iCs/>
          <w:u w:val="single"/>
        </w:rPr>
        <w:t>re Safety</w:t>
      </w:r>
      <w:r>
        <w:rPr>
          <w:b/>
          <w:bCs/>
          <w:i/>
          <w:iCs/>
          <w:u w:val="single"/>
        </w:rPr>
        <w:t xml:space="preserve"> &amp; Resiliency Benefits</w:t>
      </w:r>
      <w:r w:rsidRPr="004D017E">
        <w:rPr>
          <w:b/>
          <w:bCs/>
          <w:i/>
          <w:iCs/>
          <w:u w:val="single"/>
        </w:rPr>
        <w:t>:</w:t>
      </w:r>
      <w:r>
        <w:t xml:space="preserve"> </w:t>
      </w:r>
      <w:proofErr w:type="spellStart"/>
      <w:r>
        <w:t>CforAT</w:t>
      </w:r>
      <w:proofErr w:type="spellEnd"/>
      <w:r>
        <w:t xml:space="preserve"> recommends HCS targets </w:t>
      </w:r>
      <w:r w:rsidR="008F528A">
        <w:t>that</w:t>
      </w:r>
      <w:r w:rsidRPr="00F6650F" w:rsidR="008F528A">
        <w:t xml:space="preserve"> </w:t>
      </w:r>
      <w:r w:rsidRPr="00F6650F">
        <w:t>should include improved fire safety</w:t>
      </w:r>
      <w:r>
        <w:t xml:space="preserve"> and recommends that the </w:t>
      </w:r>
      <w:r w:rsidRPr="00F6650F">
        <w:t>Commission find a way to measure</w:t>
      </w:r>
      <w:r>
        <w:t xml:space="preserve"> </w:t>
      </w:r>
      <w:r w:rsidRPr="00F6650F">
        <w:t xml:space="preserve">resiliency benefits that account for the risk to </w:t>
      </w:r>
      <w:r>
        <w:t>me</w:t>
      </w:r>
      <w:r w:rsidRPr="00F6650F">
        <w:t xml:space="preserve">dical </w:t>
      </w:r>
      <w:r>
        <w:t>b</w:t>
      </w:r>
      <w:r w:rsidRPr="00F6650F">
        <w:t>aseline customers or other customers with serious</w:t>
      </w:r>
      <w:r>
        <w:t xml:space="preserve"> </w:t>
      </w:r>
      <w:r w:rsidRPr="00F6650F">
        <w:t>medical needs</w:t>
      </w:r>
      <w:r>
        <w:t xml:space="preserve"> </w:t>
      </w:r>
      <w:r w:rsidRPr="00F6650F">
        <w:t>from fires</w:t>
      </w:r>
      <w:r>
        <w:t xml:space="preserve"> </w:t>
      </w:r>
      <w:r w:rsidRPr="00F6650F">
        <w:t>or extended power outages that</w:t>
      </w:r>
      <w:r>
        <w:t xml:space="preserve"> </w:t>
      </w:r>
      <w:r w:rsidRPr="00F6650F">
        <w:t>would potentially be mitigated.</w:t>
      </w:r>
      <w:r w:rsidRPr="00B119F9">
        <w:rPr>
          <w:rStyle w:val="FootnoteReference"/>
        </w:rPr>
        <w:t xml:space="preserve"> </w:t>
      </w:r>
      <w:r>
        <w:rPr>
          <w:rStyle w:val="FootnoteReference"/>
        </w:rPr>
        <w:footnoteReference w:id="533"/>
      </w:r>
    </w:p>
    <w:p w:rsidRPr="003174F2" w:rsidR="000C1980" w:rsidP="001968DC" w:rsidRDefault="000C1980" w14:paraId="09B466A0" w14:textId="77777777">
      <w:pPr>
        <w:pStyle w:val="Heading4"/>
        <w:ind w:left="3600"/>
      </w:pPr>
      <w:bookmarkStart w:name="_Toc69948038" w:id="378"/>
      <w:r w:rsidRPr="003D2DF8">
        <w:t xml:space="preserve">La </w:t>
      </w:r>
      <w:proofErr w:type="spellStart"/>
      <w:r w:rsidRPr="003D2DF8">
        <w:t>Cooperativa</w:t>
      </w:r>
      <w:proofErr w:type="spellEnd"/>
      <w:r w:rsidRPr="003D2DF8">
        <w:t xml:space="preserve"> et al</w:t>
      </w:r>
      <w:r>
        <w:t>.</w:t>
      </w:r>
      <w:bookmarkEnd w:id="378"/>
    </w:p>
    <w:p w:rsidR="00C211AE" w:rsidP="000D3EBD" w:rsidRDefault="000C1980" w14:paraId="5117573D" w14:textId="4837B69E">
      <w:pPr>
        <w:pStyle w:val="Standard"/>
      </w:pPr>
      <w:r>
        <w:rPr>
          <w:b/>
          <w:bCs/>
          <w:i/>
          <w:iCs/>
          <w:u w:val="single"/>
        </w:rPr>
        <w:t xml:space="preserve">ESA as an </w:t>
      </w:r>
      <w:r w:rsidRPr="00C664E7">
        <w:rPr>
          <w:b/>
          <w:bCs/>
          <w:i/>
          <w:iCs/>
          <w:u w:val="single"/>
        </w:rPr>
        <w:t xml:space="preserve">Equity Program: </w:t>
      </w:r>
      <w:r>
        <w:t xml:space="preserve">La </w:t>
      </w:r>
      <w:proofErr w:type="spellStart"/>
      <w:r>
        <w:t>Cooperativa</w:t>
      </w:r>
      <w:proofErr w:type="spellEnd"/>
      <w:r>
        <w:t xml:space="preserve"> et al. recommends that ESA be designed as an equity program that includes o</w:t>
      </w:r>
      <w:r w:rsidRPr="001A1BB7">
        <w:t xml:space="preserve">bjectives to reduce energy burden, and to enhance energy efficiency practices to better ensure the </w:t>
      </w:r>
      <w:r>
        <w:t>HCS</w:t>
      </w:r>
      <w:r w:rsidRPr="001A1BB7">
        <w:t xml:space="preserve"> of the participating households</w:t>
      </w:r>
      <w:r>
        <w:t>.</w:t>
      </w:r>
      <w:r w:rsidRPr="001A1BB7">
        <w:rPr>
          <w:rStyle w:val="FootnoteReference"/>
        </w:rPr>
        <w:footnoteReference w:id="534"/>
      </w:r>
    </w:p>
    <w:p w:rsidRPr="00922D27" w:rsidR="00F93EF0" w:rsidP="00F93EF0" w:rsidRDefault="00F93EF0" w14:paraId="126E3894" w14:textId="77777777">
      <w:pPr>
        <w:pStyle w:val="Heading4"/>
        <w:ind w:left="3600"/>
      </w:pPr>
      <w:r>
        <w:lastRenderedPageBreak/>
        <w:t>EEC</w:t>
      </w:r>
    </w:p>
    <w:p w:rsidR="00F93EF0" w:rsidP="000D3EBD" w:rsidRDefault="00F93EF0" w14:paraId="1C65B50D" w14:textId="2566E8C3">
      <w:pPr>
        <w:pStyle w:val="Standard"/>
      </w:pPr>
      <w:r>
        <w:rPr>
          <w:b/>
          <w:bCs/>
          <w:i/>
          <w:iCs/>
          <w:u w:val="single"/>
        </w:rPr>
        <w:t xml:space="preserve">ESA as an </w:t>
      </w:r>
      <w:r w:rsidRPr="00D033CF">
        <w:rPr>
          <w:b/>
          <w:bCs/>
          <w:i/>
          <w:iCs/>
          <w:u w:val="single"/>
        </w:rPr>
        <w:t>Equity Program:</w:t>
      </w:r>
      <w:r>
        <w:t xml:space="preserve">  EEC states that improving the </w:t>
      </w:r>
      <w:r w:rsidRPr="0017243F">
        <w:t>quality of life and welfare through non-energy benefits</w:t>
      </w:r>
      <w:r>
        <w:t xml:space="preserve"> should remain the focus of the ESA program.</w:t>
      </w:r>
      <w:r>
        <w:rPr>
          <w:rStyle w:val="FootnoteReference"/>
        </w:rPr>
        <w:footnoteReference w:id="535"/>
      </w:r>
      <w:r>
        <w:t xml:space="preserve"> </w:t>
      </w:r>
    </w:p>
    <w:p w:rsidRPr="00922D27" w:rsidR="00DC5884" w:rsidP="00BB10E7" w:rsidRDefault="00BB10E7" w14:paraId="22898C6D" w14:textId="5C05A138">
      <w:pPr>
        <w:pStyle w:val="Heading4"/>
        <w:ind w:left="3600"/>
      </w:pPr>
      <w:r>
        <w:t>TELACU et al</w:t>
      </w:r>
    </w:p>
    <w:p w:rsidR="00DC5884" w:rsidP="000D3EBD" w:rsidRDefault="00DC5884" w14:paraId="77FC3BA8" w14:textId="127E2CBB">
      <w:pPr>
        <w:pStyle w:val="Standard"/>
      </w:pPr>
      <w:r>
        <w:rPr>
          <w:b/>
          <w:bCs/>
          <w:i/>
          <w:iCs/>
          <w:u w:val="single"/>
        </w:rPr>
        <w:t xml:space="preserve">ESA as an </w:t>
      </w:r>
      <w:r w:rsidRPr="00D033CF">
        <w:rPr>
          <w:b/>
          <w:bCs/>
          <w:i/>
          <w:iCs/>
          <w:u w:val="single"/>
        </w:rPr>
        <w:t>Equity Program:</w:t>
      </w:r>
      <w:r>
        <w:t xml:space="preserve">  </w:t>
      </w:r>
      <w:r w:rsidR="00BB10E7">
        <w:t>TELACU et al</w:t>
      </w:r>
      <w:r>
        <w:t xml:space="preserve"> states that </w:t>
      </w:r>
      <w:r w:rsidR="00BB10E7">
        <w:t xml:space="preserve">ESA is an equity program and </w:t>
      </w:r>
      <w:r>
        <w:t xml:space="preserve">should remain </w:t>
      </w:r>
      <w:r w:rsidR="00BB10E7">
        <w:t>as such</w:t>
      </w:r>
      <w:r>
        <w:t>.</w:t>
      </w:r>
      <w:r>
        <w:rPr>
          <w:rStyle w:val="FootnoteReference"/>
        </w:rPr>
        <w:footnoteReference w:id="536"/>
      </w:r>
      <w:r>
        <w:t xml:space="preserve"> </w:t>
      </w:r>
    </w:p>
    <w:p w:rsidR="000C1980" w:rsidP="001968DC" w:rsidRDefault="00931AAE" w14:paraId="5008A0C6" w14:textId="5EDB64B3">
      <w:pPr>
        <w:pStyle w:val="Heading3"/>
        <w:ind w:left="2664"/>
      </w:pPr>
      <w:bookmarkStart w:name="_Toc69948039" w:id="379"/>
      <w:r>
        <w:t>IOU Responses</w:t>
      </w:r>
      <w:bookmarkEnd w:id="379"/>
    </w:p>
    <w:p w:rsidR="000C1980" w:rsidP="001968DC" w:rsidRDefault="000C1980" w14:paraId="760CA910" w14:textId="77777777">
      <w:pPr>
        <w:pStyle w:val="Heading4"/>
        <w:ind w:left="3600"/>
      </w:pPr>
      <w:bookmarkStart w:name="_Toc69948040" w:id="380"/>
      <w:r>
        <w:t>SDG&amp;E</w:t>
      </w:r>
      <w:bookmarkEnd w:id="380"/>
    </w:p>
    <w:p w:rsidRPr="0051197A" w:rsidR="000C1980" w:rsidP="000D3EBD" w:rsidRDefault="000C1980" w14:paraId="5EBEC28C" w14:textId="77777777">
      <w:pPr>
        <w:pStyle w:val="Standard"/>
      </w:pPr>
      <w:r>
        <w:rPr>
          <w:b/>
          <w:bCs/>
          <w:i/>
          <w:iCs/>
          <w:u w:val="single"/>
        </w:rPr>
        <w:t xml:space="preserve">ESA as an </w:t>
      </w:r>
      <w:r w:rsidRPr="00D033CF">
        <w:rPr>
          <w:b/>
          <w:bCs/>
          <w:i/>
          <w:iCs/>
          <w:u w:val="single"/>
        </w:rPr>
        <w:t>Equity Program:</w:t>
      </w:r>
      <w:r>
        <w:t xml:space="preserve">  SDG&amp;E opposes the </w:t>
      </w:r>
      <w:r w:rsidRPr="007A1FC7">
        <w:t xml:space="preserve">La </w:t>
      </w:r>
      <w:proofErr w:type="spellStart"/>
      <w:r w:rsidRPr="007A1FC7">
        <w:t>Cooperativa</w:t>
      </w:r>
      <w:proofErr w:type="spellEnd"/>
      <w:r>
        <w:t xml:space="preserve"> et al. proposal to establish ESA as an equity program because it</w:t>
      </w:r>
      <w:r w:rsidRPr="00823BC2">
        <w:t xml:space="preserve"> neglect</w:t>
      </w:r>
      <w:r>
        <w:t>s</w:t>
      </w:r>
      <w:r w:rsidRPr="00823BC2">
        <w:t xml:space="preserve"> the balance that is necessary for</w:t>
      </w:r>
      <w:r>
        <w:t xml:space="preserve"> a</w:t>
      </w:r>
      <w:r w:rsidRPr="00823BC2">
        <w:t xml:space="preserve"> program that is mandated to deliver equity </w:t>
      </w:r>
      <w:r w:rsidRPr="00823BC2">
        <w:rPr>
          <w:i/>
          <w:iCs/>
        </w:rPr>
        <w:t xml:space="preserve">as well as </w:t>
      </w:r>
      <w:r w:rsidRPr="00823BC2">
        <w:t>energy efficiency while maintaining</w:t>
      </w:r>
      <w:r>
        <w:t xml:space="preserve"> </w:t>
      </w:r>
      <w:r w:rsidRPr="00823BC2">
        <w:t>program cost-effectiveness</w:t>
      </w:r>
      <w:r w:rsidRPr="00F441C5">
        <w:t>.</w:t>
      </w:r>
      <w:r w:rsidRPr="00F441C5">
        <w:rPr>
          <w:rStyle w:val="FootnoteReference"/>
        </w:rPr>
        <w:footnoteReference w:id="537"/>
      </w:r>
    </w:p>
    <w:p w:rsidR="000C1980" w:rsidP="001968DC" w:rsidRDefault="000C1980" w14:paraId="573A58E3" w14:textId="77777777">
      <w:pPr>
        <w:pStyle w:val="Heading3"/>
        <w:ind w:left="2664"/>
      </w:pPr>
      <w:bookmarkStart w:name="_Ref65057413" w:id="381"/>
      <w:bookmarkStart w:name="_Toc69948041" w:id="382"/>
      <w:r>
        <w:t>Discussion</w:t>
      </w:r>
      <w:bookmarkEnd w:id="381"/>
      <w:bookmarkEnd w:id="382"/>
    </w:p>
    <w:p w:rsidRPr="00154482" w:rsidR="000C1980" w:rsidP="001968DC" w:rsidRDefault="000C1980" w14:paraId="7470E91C" w14:textId="77777777">
      <w:pPr>
        <w:pStyle w:val="Heading4"/>
        <w:ind w:left="3600"/>
      </w:pPr>
      <w:bookmarkStart w:name="_Toc69948042" w:id="383"/>
      <w:r w:rsidRPr="00154482">
        <w:t xml:space="preserve">Quantitative HCS Goal: </w:t>
      </w:r>
      <w:r w:rsidRPr="0038298E">
        <w:rPr>
          <w:u w:val="single"/>
        </w:rPr>
        <w:t>Approved as Metrics with Additional Reporting</w:t>
      </w:r>
      <w:bookmarkEnd w:id="383"/>
      <w:r>
        <w:t xml:space="preserve"> </w:t>
      </w:r>
    </w:p>
    <w:p w:rsidR="000C1980" w:rsidP="000D3EBD" w:rsidRDefault="000C1980" w14:paraId="2AABBF8C" w14:textId="77777777">
      <w:pPr>
        <w:pStyle w:val="Standard"/>
      </w:pPr>
      <w:r>
        <w:t xml:space="preserve">Historically, the ESA program has not set goals for HCS impacts.  These impacts have been tracked tangentially through a NEBs calculation that has been rolled into the IOU ESA cost effectiveness test calculations as an additional benefit to be captured by the program.  While we applaud SDG&amp;E and SoCalGas for proposing a value for these types of HCS metrics, we are not inclined to set a specific value or level at this time given a variety of unknown impacts with the new program design approved in this decision.  We agree that although NEB values can provide some context for the HCS and hardship reduction impacts the </w:t>
      </w:r>
      <w:r>
        <w:lastRenderedPageBreak/>
        <w:t xml:space="preserve">ESA program provides, it does not provide the entire picture of the impacts the program is having on household budgets.  Instead, we direct the IOUs to track the below HCS and hardship-reduction metrics in their annual reports.  The data collected from the metrics below will allow the Commission to better understand the varying impacts of the measures installed to </w:t>
      </w:r>
      <w:proofErr w:type="gramStart"/>
      <w:r>
        <w:t>low income</w:t>
      </w:r>
      <w:proofErr w:type="gramEnd"/>
      <w:r>
        <w:t xml:space="preserve"> households and the degree of conflict these impacts have on one another as described by the IOUs.  It will better inform whether setting HCS and hardship reduction goals in addition to the energy savings goals set for the program is reasonable, or even feasible.  </w:t>
      </w:r>
    </w:p>
    <w:p w:rsidRPr="00596692" w:rsidR="000C1980" w:rsidP="000D3EBD" w:rsidRDefault="000C1980" w14:paraId="19E038C0" w14:textId="77777777">
      <w:pPr>
        <w:pStyle w:val="Standard"/>
        <w:rPr>
          <w:szCs w:val="26"/>
        </w:rPr>
      </w:pPr>
      <w:r>
        <w:rPr>
          <w:szCs w:val="26"/>
        </w:rPr>
        <w:t>T</w:t>
      </w:r>
      <w:r>
        <w:t xml:space="preserve">he ESA Working Group will be tasked to review the </w:t>
      </w:r>
      <w:proofErr w:type="gramStart"/>
      <w:r>
        <w:t>HCS</w:t>
      </w:r>
      <w:proofErr w:type="gramEnd"/>
      <w:r>
        <w:t xml:space="preserve"> </w:t>
      </w:r>
      <w:r>
        <w:rPr>
          <w:szCs w:val="26"/>
        </w:rPr>
        <w:t xml:space="preserve">and hardship reduction metrics </w:t>
      </w:r>
      <w:r>
        <w:t xml:space="preserve">data collected during the first half of this program cycle and will include in the mid-cycle progress report 1) whether HCS and hardship reduction </w:t>
      </w:r>
      <w:r>
        <w:rPr>
          <w:szCs w:val="26"/>
        </w:rPr>
        <w:t xml:space="preserve">goals should be set, why or why not, 2) </w:t>
      </w:r>
      <w:r>
        <w:t xml:space="preserve">how HCS and hardship reduction </w:t>
      </w:r>
      <w:r>
        <w:rPr>
          <w:szCs w:val="26"/>
        </w:rPr>
        <w:t xml:space="preserve">goals should be calculated, and 3) at what specific level should </w:t>
      </w:r>
      <w:r>
        <w:t xml:space="preserve">HCS and hardship reduction </w:t>
      </w:r>
      <w:r>
        <w:rPr>
          <w:szCs w:val="26"/>
        </w:rPr>
        <w:t>goals be set.</w:t>
      </w:r>
    </w:p>
    <w:p w:rsidRPr="00230903" w:rsidR="000C1980" w:rsidP="0023091F" w:rsidRDefault="000C1980" w14:paraId="49EDDDE3" w14:textId="77777777">
      <w:pPr>
        <w:pStyle w:val="ALJBodyText"/>
      </w:pPr>
      <w:r w:rsidRPr="00230903">
        <w:t xml:space="preserve">HCS </w:t>
      </w:r>
      <w:r>
        <w:t>Benefits per household Metric</w:t>
      </w:r>
      <w:r w:rsidRPr="00230903">
        <w:t xml:space="preserve"> (</w:t>
      </w:r>
      <w:r>
        <w:t>Energy Saving and HCS</w:t>
      </w:r>
      <w:r w:rsidRPr="00230903">
        <w:t xml:space="preserve"> measures)</w:t>
      </w:r>
      <w:r>
        <w:t>:</w:t>
      </w:r>
    </w:p>
    <w:p w:rsidR="000C1980" w:rsidP="000D3EBD" w:rsidRDefault="000C1980" w14:paraId="456639E3" w14:textId="1C6C6AD2">
      <w:pPr>
        <w:pStyle w:val="Standard"/>
      </w:pPr>
      <w:r>
        <w:t>We agree with PG&amp;E that energy saving measures can provide HCS benefits, and therefore a metric intended to quantify these HCS benefits per household should account for all measure types installed by the program.</w:t>
      </w:r>
      <w:r>
        <w:rPr>
          <w:rStyle w:val="FootnoteReference"/>
        </w:rPr>
        <w:footnoteReference w:id="538"/>
      </w:r>
      <w:r>
        <w:t xml:space="preserve"> The IOUs are directed to track 1) average first-year NEBs benefit per household by customer segment (by housing type, ownership status, specific customer segments (including DAC, medical baseline, Tribal), rural households and climate zone groups) and 2) average lifecycle NEBs benefit per household by customer segment (by housing type, ownership status, specific customer segments (including DAC, medical baseline, Tribal), rural households and </w:t>
      </w:r>
      <w:r>
        <w:lastRenderedPageBreak/>
        <w:t xml:space="preserve">climate zone groups).  The reporting template approved by Energy Division will include the specifics of this reporting criteria.  </w:t>
      </w:r>
    </w:p>
    <w:p w:rsidRPr="00230903" w:rsidR="000C1980" w:rsidP="0023091F" w:rsidRDefault="000C1980" w14:paraId="7DC78CEE" w14:textId="77777777">
      <w:pPr>
        <w:pStyle w:val="ALJBodyText"/>
      </w:pPr>
      <w:r w:rsidRPr="00230903">
        <w:t>Hardship Reduction Metric</w:t>
      </w:r>
      <w:r>
        <w:t>:</w:t>
      </w:r>
      <w:r w:rsidRPr="00230903">
        <w:t xml:space="preserve"> Bill Savings plus HCS Benefits (</w:t>
      </w:r>
      <w:r>
        <w:t>Energy Saving and HCS</w:t>
      </w:r>
      <w:r w:rsidRPr="00230903">
        <w:t xml:space="preserve"> </w:t>
      </w:r>
      <w:r>
        <w:t>m</w:t>
      </w:r>
      <w:r w:rsidRPr="00230903">
        <w:t xml:space="preserve">easures):  </w:t>
      </w:r>
    </w:p>
    <w:p w:rsidR="000C1980" w:rsidP="000D3EBD" w:rsidRDefault="000C1980" w14:paraId="6B769400" w14:textId="064AB676">
      <w:pPr>
        <w:pStyle w:val="Standard"/>
      </w:pPr>
      <w:r>
        <w:t xml:space="preserve">The IOUs are directed to track 1) average first-year energy bill savings + first-year NEBs per household by customer segments (by housing type, ownership status, specific customer segments (including DAC, Medical Baseline, Tribal), rural households and climate zone groups), and 2) average lifecycle energy bill savings + lifecycle NEBs per household by customer segments (by housing type, ownership status, specific customer segments (including DAC, Medical Baseline, Tribal), rural households and climate zone groups).  The reporting template approved by Energy Division will include the specifics of this reporting criteria.  </w:t>
      </w:r>
    </w:p>
    <w:p w:rsidRPr="00004E4D" w:rsidR="000C1980" w:rsidP="001968DC" w:rsidRDefault="000C1980" w14:paraId="3F18A27C" w14:textId="77777777">
      <w:pPr>
        <w:pStyle w:val="Heading4"/>
        <w:ind w:left="3600"/>
      </w:pPr>
      <w:bookmarkStart w:name="_Toc69948043" w:id="384"/>
      <w:r w:rsidRPr="00004E4D">
        <w:t xml:space="preserve">ESA as an Equity Program: </w:t>
      </w:r>
      <w:r w:rsidRPr="00004E4D">
        <w:rPr>
          <w:u w:val="single"/>
        </w:rPr>
        <w:t>Denied</w:t>
      </w:r>
      <w:bookmarkEnd w:id="384"/>
    </w:p>
    <w:p w:rsidR="000C1980" w:rsidP="000D3EBD" w:rsidRDefault="000C1980" w14:paraId="2F1E4AD6" w14:textId="77777777">
      <w:pPr>
        <w:pStyle w:val="Standard"/>
      </w:pPr>
      <w:r>
        <w:t>We deny setting ESA as an equity program because doing so would require us to ignore the statutory mandate of ensuring that this program delivers long term reductions in energy consumption</w:t>
      </w:r>
      <w:r>
        <w:rPr>
          <w:rStyle w:val="FootnoteReference"/>
        </w:rPr>
        <w:footnoteReference w:id="539"/>
      </w:r>
      <w:r>
        <w:t xml:space="preserve"> and takes into c</w:t>
      </w:r>
      <w:r w:rsidRPr="003223E2">
        <w:t>onsideration the cost-effectiveness of the services</w:t>
      </w:r>
      <w:r>
        <w:t>.</w:t>
      </w:r>
      <w:r w:rsidRPr="003223E2">
        <w:rPr>
          <w:vertAlign w:val="superscript"/>
        </w:rPr>
        <w:footnoteReference w:id="540"/>
      </w:r>
      <w:r w:rsidRPr="003223E2">
        <w:rPr>
          <w:vertAlign w:val="superscript"/>
        </w:rPr>
        <w:t xml:space="preserve"> </w:t>
      </w:r>
      <w:r>
        <w:rPr>
          <w:vertAlign w:val="superscript"/>
        </w:rPr>
        <w:t xml:space="preserve"> </w:t>
      </w:r>
      <w:r>
        <w:t xml:space="preserve">  The Commission agrees that HCS benefits and hardship reductions are critical benefits of the program that should be considered, shown by our directive here to require the IOUs to track these as metrics, however we do not believe that they should be the only priority at the expense of energy savings goals and cost effectiveness guidelines.  </w:t>
      </w:r>
    </w:p>
    <w:p w:rsidR="000C1980" w:rsidP="001968DC" w:rsidRDefault="000C1980" w14:paraId="3829BAC6" w14:textId="77777777">
      <w:pPr>
        <w:pStyle w:val="Heading2"/>
        <w:ind w:left="1728"/>
      </w:pPr>
      <w:bookmarkStart w:name="_Toc69948044" w:id="385"/>
      <w:r>
        <w:lastRenderedPageBreak/>
        <w:t xml:space="preserve">ESA Goals – Household </w:t>
      </w:r>
      <w:r w:rsidRPr="00A123D0">
        <w:t>Treatment</w:t>
      </w:r>
      <w:r>
        <w:t xml:space="preserve"> Targets</w:t>
      </w:r>
      <w:bookmarkEnd w:id="385"/>
      <w:r>
        <w:t xml:space="preserve"> </w:t>
      </w:r>
    </w:p>
    <w:p w:rsidR="000C1980" w:rsidP="001968DC" w:rsidRDefault="000C1980" w14:paraId="33EF1F43" w14:textId="77777777">
      <w:pPr>
        <w:pStyle w:val="Heading3"/>
        <w:ind w:left="2664"/>
      </w:pPr>
      <w:bookmarkStart w:name="_Toc69948045" w:id="386"/>
      <w:r>
        <w:t>Background</w:t>
      </w:r>
      <w:bookmarkEnd w:id="386"/>
    </w:p>
    <w:p w:rsidRPr="00C65BE3" w:rsidR="000C1980" w:rsidP="000D3EBD" w:rsidRDefault="000C1980" w14:paraId="778F254D" w14:textId="7B467ADF">
      <w:pPr>
        <w:pStyle w:val="Standard"/>
      </w:pPr>
      <w:r>
        <w:t xml:space="preserve">The goal for the ESA program has been historically based on the number of households treated, setting IOU specific annual household treatment goals to ensure that the </w:t>
      </w:r>
      <w:proofErr w:type="gramStart"/>
      <w:r>
        <w:t>low income</w:t>
      </w:r>
      <w:proofErr w:type="gramEnd"/>
      <w:r>
        <w:t xml:space="preserve"> population would be fully served by the end of 2020. In its simplest form, annual household treatment goals were derived based on the estimate of eligible </w:t>
      </w:r>
      <w:proofErr w:type="gramStart"/>
      <w:r>
        <w:t>low income</w:t>
      </w:r>
      <w:proofErr w:type="gramEnd"/>
      <w:r>
        <w:t xml:space="preserve"> households in the IOU’s service territory, removing households treated since 2002, removing households treated by the CSD programs, applying a 60 percent willingness and feasibility factor,</w:t>
      </w:r>
      <w:r>
        <w:rPr>
          <w:rStyle w:val="FootnoteReference"/>
        </w:rPr>
        <w:footnoteReference w:id="541"/>
      </w:r>
      <w:r>
        <w:t xml:space="preserve"> and then dividing that remaining eligible population by the number of years remaining until 2020.  For the 2021- 2026 program cycle, the Commission expected that the IOUs would have reached all willing and eligible </w:t>
      </w:r>
      <w:proofErr w:type="gramStart"/>
      <w:r>
        <w:t>low income</w:t>
      </w:r>
      <w:proofErr w:type="gramEnd"/>
      <w:r>
        <w:t xml:space="preserve"> households by the end of 2020, and therefore, the IOUs were provided with flexibility in proposing new household treatment goals for the new cycle. </w:t>
      </w:r>
    </w:p>
    <w:p w:rsidR="000C1980" w:rsidP="001968DC" w:rsidRDefault="000C1980" w14:paraId="4997049E" w14:textId="77777777">
      <w:pPr>
        <w:pStyle w:val="Heading3"/>
        <w:ind w:left="2664"/>
      </w:pPr>
      <w:bookmarkStart w:name="_Toc69948046" w:id="387"/>
      <w:r>
        <w:t>PG&amp;E Proposal</w:t>
      </w:r>
      <w:bookmarkEnd w:id="387"/>
    </w:p>
    <w:p w:rsidR="000C1980" w:rsidP="000D3EBD" w:rsidRDefault="000C1980" w14:paraId="4198EECD" w14:textId="77777777">
      <w:pPr>
        <w:pStyle w:val="Standard"/>
      </w:pPr>
      <w:r w:rsidRPr="008F4AD1">
        <w:rPr>
          <w:b/>
          <w:bCs/>
          <w:i/>
          <w:iCs/>
          <w:u w:val="single"/>
        </w:rPr>
        <w:t>Household Treatment Goal:</w:t>
      </w:r>
      <w:r>
        <w:t xml:space="preserve"> </w:t>
      </w:r>
      <w:r w:rsidRPr="00F3674C">
        <w:t xml:space="preserve">PG&amp;E </w:t>
      </w:r>
      <w:r>
        <w:t>proposes a</w:t>
      </w:r>
      <w:r w:rsidRPr="00F3674C">
        <w:t xml:space="preserve"> </w:t>
      </w:r>
      <w:r>
        <w:t>household treatment</w:t>
      </w:r>
      <w:r w:rsidRPr="00F3674C">
        <w:t xml:space="preserve"> goal of 400,726 </w:t>
      </w:r>
      <w:r>
        <w:t>for PYs 2021-2026,</w:t>
      </w:r>
      <w:r w:rsidRPr="00F3674C">
        <w:rPr>
          <w:vertAlign w:val="superscript"/>
        </w:rPr>
        <w:footnoteReference w:id="542"/>
      </w:r>
      <w:r>
        <w:t xml:space="preserve"> and proposes to </w:t>
      </w:r>
      <w:r w:rsidRPr="00B53EF4">
        <w:t>identify and prioritize</w:t>
      </w:r>
      <w:r>
        <w:t xml:space="preserve"> </w:t>
      </w:r>
      <w:r w:rsidRPr="00B53EF4">
        <w:t xml:space="preserve">households with a significant need for </w:t>
      </w:r>
      <w:r>
        <w:t>ESA</w:t>
      </w:r>
      <w:r w:rsidRPr="00B53EF4">
        <w:t xml:space="preserve"> services based on indicators of hardship.</w:t>
      </w:r>
      <w:r>
        <w:rPr>
          <w:rStyle w:val="FootnoteReference"/>
        </w:rPr>
        <w:footnoteReference w:id="543"/>
      </w:r>
      <w:r w:rsidRPr="00B53EF4">
        <w:t xml:space="preserve"> </w:t>
      </w:r>
      <w:r w:rsidRPr="0016098F">
        <w:t>PG&amp;E’s proposed number of treatments is lower than what it has historically achieved to reflect the shift in the delivery model from maximizing the number of homes treated to treating households based primarily on customer segment or need state.</w:t>
      </w:r>
    </w:p>
    <w:p w:rsidR="000C1980" w:rsidP="001968DC" w:rsidRDefault="000C1980" w14:paraId="230DFA4D" w14:textId="77777777">
      <w:pPr>
        <w:pStyle w:val="Heading3"/>
        <w:ind w:left="2664"/>
      </w:pPr>
      <w:bookmarkStart w:name="_Toc69948047" w:id="388"/>
      <w:r>
        <w:lastRenderedPageBreak/>
        <w:t>SCE Proposal</w:t>
      </w:r>
      <w:bookmarkEnd w:id="388"/>
      <w:r>
        <w:t xml:space="preserve"> </w:t>
      </w:r>
    </w:p>
    <w:p w:rsidR="000C1980" w:rsidP="000D3EBD" w:rsidRDefault="000C1980" w14:paraId="6A482EEB" w14:textId="77777777">
      <w:pPr>
        <w:pStyle w:val="Standard"/>
      </w:pPr>
      <w:r w:rsidRPr="008F4AD1">
        <w:rPr>
          <w:b/>
          <w:bCs/>
          <w:i/>
          <w:iCs/>
          <w:u w:val="single"/>
        </w:rPr>
        <w:t>Household Treatment Goal:</w:t>
      </w:r>
      <w:r>
        <w:t xml:space="preserve"> </w:t>
      </w:r>
      <w:r w:rsidRPr="00317607">
        <w:t xml:space="preserve">SCE </w:t>
      </w:r>
      <w:r>
        <w:t>proposes</w:t>
      </w:r>
      <w:r w:rsidRPr="00F3674C">
        <w:t xml:space="preserve"> a </w:t>
      </w:r>
      <w:r w:rsidRPr="00317607">
        <w:t xml:space="preserve">household treatment </w:t>
      </w:r>
      <w:r w:rsidRPr="00F3674C">
        <w:t xml:space="preserve">goal of </w:t>
      </w:r>
      <w:r w:rsidRPr="00317607">
        <w:t>33</w:t>
      </w:r>
      <w:r>
        <w:t>2</w:t>
      </w:r>
      <w:r w:rsidRPr="00317607">
        <w:t>,000</w:t>
      </w:r>
      <w:r w:rsidRPr="00F3674C">
        <w:t xml:space="preserve"> </w:t>
      </w:r>
      <w:r w:rsidRPr="00317607">
        <w:t>for PYs 2021-2026.</w:t>
      </w:r>
      <w:r w:rsidRPr="00317607">
        <w:rPr>
          <w:vertAlign w:val="superscript"/>
        </w:rPr>
        <w:footnoteReference w:id="544"/>
      </w:r>
      <w:r w:rsidRPr="00C76325">
        <w:t xml:space="preserve"> </w:t>
      </w:r>
      <w:r>
        <w:t xml:space="preserve">Although SCE identifies a household treatment goal, </w:t>
      </w:r>
      <w:r w:rsidRPr="004F6841">
        <w:t>SCE propose</w:t>
      </w:r>
      <w:r>
        <w:t xml:space="preserve">s to </w:t>
      </w:r>
      <w:r w:rsidRPr="004F6841">
        <w:t xml:space="preserve">cap the number of homes at the number that can be served within SCE’s annual budget allocation and </w:t>
      </w:r>
      <w:r>
        <w:t>will</w:t>
      </w:r>
      <w:r w:rsidRPr="004F6841">
        <w:t xml:space="preserve"> target those customers most in need of ESA services</w:t>
      </w:r>
      <w:r>
        <w:t xml:space="preserve">.  </w:t>
      </w:r>
      <w:r w:rsidRPr="00422114">
        <w:t xml:space="preserve">To the extent prior participation rates of the </w:t>
      </w:r>
      <w:r>
        <w:t>hard to reach</w:t>
      </w:r>
      <w:r w:rsidRPr="00422114">
        <w:t xml:space="preserve"> or vulnerable subgroups are</w:t>
      </w:r>
      <w:r>
        <w:t xml:space="preserve"> </w:t>
      </w:r>
      <w:r w:rsidRPr="00422114">
        <w:t>available, SCE will compare the total number of customers treated annually against the estimated</w:t>
      </w:r>
      <w:r>
        <w:t xml:space="preserve"> </w:t>
      </w:r>
      <w:r w:rsidRPr="00422114">
        <w:t>number of those eligible and willing to participate</w:t>
      </w:r>
      <w:r>
        <w:t xml:space="preserve">.  </w:t>
      </w:r>
      <w:r w:rsidRPr="00422114">
        <w:t>SCE will compare participation rates to past and</w:t>
      </w:r>
      <w:r>
        <w:t xml:space="preserve"> </w:t>
      </w:r>
      <w:r w:rsidRPr="00422114">
        <w:t>future participation rates to inform strategies to specifically assist these customers with unique and</w:t>
      </w:r>
      <w:r>
        <w:t xml:space="preserve"> </w:t>
      </w:r>
      <w:r w:rsidRPr="00422114">
        <w:t>potentially greater needs.</w:t>
      </w:r>
      <w:r>
        <w:rPr>
          <w:rStyle w:val="FootnoteReference"/>
        </w:rPr>
        <w:footnoteReference w:id="545"/>
      </w:r>
    </w:p>
    <w:p w:rsidR="000C1980" w:rsidP="001968DC" w:rsidRDefault="000C1980" w14:paraId="6E3CCA21" w14:textId="77777777">
      <w:pPr>
        <w:pStyle w:val="Heading3"/>
        <w:ind w:left="2664"/>
      </w:pPr>
      <w:bookmarkStart w:name="_Toc69948048" w:id="389"/>
      <w:r>
        <w:t>SoCalGas Proposal</w:t>
      </w:r>
      <w:bookmarkEnd w:id="389"/>
      <w:r>
        <w:t xml:space="preserve"> </w:t>
      </w:r>
    </w:p>
    <w:p w:rsidR="000C1980" w:rsidP="000D3EBD" w:rsidRDefault="000C1980" w14:paraId="2D234F3F" w14:textId="77777777">
      <w:pPr>
        <w:pStyle w:val="Standard"/>
      </w:pPr>
      <w:r w:rsidRPr="008F4AD1">
        <w:rPr>
          <w:b/>
          <w:bCs/>
          <w:i/>
          <w:iCs/>
          <w:u w:val="single"/>
        </w:rPr>
        <w:t>Household Treatment Goal:</w:t>
      </w:r>
      <w:r>
        <w:t xml:space="preserve"> </w:t>
      </w:r>
      <w:r w:rsidRPr="00EC3EC4">
        <w:t xml:space="preserve">SoCalGas </w:t>
      </w:r>
      <w:r>
        <w:t>proposes a</w:t>
      </w:r>
      <w:r w:rsidRPr="00EC3EC4">
        <w:t xml:space="preserve"> household treatment goal of 660,000 </w:t>
      </w:r>
      <w:r>
        <w:t>f</w:t>
      </w:r>
      <w:r w:rsidRPr="00EC3EC4">
        <w:t>or</w:t>
      </w:r>
      <w:r>
        <w:t xml:space="preserve"> PYs 2021-2026</w:t>
      </w:r>
      <w:r w:rsidRPr="008D0F5A">
        <w:t>.</w:t>
      </w:r>
      <w:r w:rsidRPr="008D0F5A">
        <w:rPr>
          <w:vertAlign w:val="superscript"/>
        </w:rPr>
        <w:footnoteReference w:id="546"/>
      </w:r>
      <w:r w:rsidRPr="008D0F5A">
        <w:t xml:space="preserve"> </w:t>
      </w:r>
      <w:r>
        <w:t xml:space="preserve">SoCalGas’ </w:t>
      </w:r>
      <w:r w:rsidRPr="00B936E3">
        <w:t xml:space="preserve">proposed number of treatments is </w:t>
      </w:r>
      <w:proofErr w:type="gramStart"/>
      <w:r w:rsidRPr="00B936E3">
        <w:t>similar to</w:t>
      </w:r>
      <w:proofErr w:type="gramEnd"/>
      <w:r w:rsidRPr="00B936E3">
        <w:t xml:space="preserve"> what </w:t>
      </w:r>
      <w:r>
        <w:t>it</w:t>
      </w:r>
      <w:r w:rsidRPr="00B936E3">
        <w:t xml:space="preserve"> ha</w:t>
      </w:r>
      <w:r>
        <w:t>s</w:t>
      </w:r>
      <w:r w:rsidRPr="00B936E3">
        <w:t xml:space="preserve"> been able to achieve in attempting to meet the 2020 goal. </w:t>
      </w:r>
    </w:p>
    <w:p w:rsidR="000C1980" w:rsidP="001968DC" w:rsidRDefault="000C1980" w14:paraId="3EA3F615" w14:textId="77777777">
      <w:pPr>
        <w:pStyle w:val="Heading3"/>
        <w:ind w:left="2664"/>
      </w:pPr>
      <w:bookmarkStart w:name="_Toc69948049" w:id="390"/>
      <w:r>
        <w:t>SDG&amp;E Proposal</w:t>
      </w:r>
      <w:bookmarkEnd w:id="390"/>
      <w:r>
        <w:t xml:space="preserve"> </w:t>
      </w:r>
    </w:p>
    <w:p w:rsidR="000C1980" w:rsidP="000D3EBD" w:rsidRDefault="000C1980" w14:paraId="3324676F" w14:textId="77777777">
      <w:pPr>
        <w:pStyle w:val="Standard"/>
      </w:pPr>
      <w:r w:rsidRPr="008F4AD1">
        <w:rPr>
          <w:b/>
          <w:bCs/>
          <w:i/>
          <w:iCs/>
          <w:u w:val="single"/>
        </w:rPr>
        <w:t>Household Treatment Goal:</w:t>
      </w:r>
      <w:r>
        <w:t xml:space="preserve"> </w:t>
      </w:r>
      <w:r w:rsidRPr="00FD7331">
        <w:t xml:space="preserve">SDG&amp;E </w:t>
      </w:r>
      <w:r w:rsidRPr="00B104C3">
        <w:t xml:space="preserve">proposes </w:t>
      </w:r>
      <w:r w:rsidRPr="00F3674C">
        <w:t xml:space="preserve">a </w:t>
      </w:r>
      <w:r>
        <w:t>household treatment</w:t>
      </w:r>
      <w:r w:rsidRPr="00F3674C">
        <w:t xml:space="preserve"> goal of </w:t>
      </w:r>
      <w:r w:rsidRPr="00B104C3">
        <w:t xml:space="preserve">91,000 </w:t>
      </w:r>
      <w:r>
        <w:t>in PYs 2021-2026.</w:t>
      </w:r>
      <w:r w:rsidRPr="00B104C3">
        <w:rPr>
          <w:vertAlign w:val="superscript"/>
        </w:rPr>
        <w:footnoteReference w:id="547"/>
      </w:r>
      <w:r w:rsidRPr="00B104C3">
        <w:t xml:space="preserve"> </w:t>
      </w:r>
      <w:r>
        <w:t xml:space="preserve"> </w:t>
      </w:r>
      <w:r w:rsidRPr="00FD7331">
        <w:t>SDG&amp;E</w:t>
      </w:r>
      <w:r w:rsidRPr="001D2E28">
        <w:t>’</w:t>
      </w:r>
      <w:r>
        <w:t>s</w:t>
      </w:r>
      <w:r w:rsidRPr="001D2E28">
        <w:t xml:space="preserve"> proposed number of treatments is lower than what </w:t>
      </w:r>
      <w:r>
        <w:t>it has</w:t>
      </w:r>
      <w:r w:rsidRPr="001D2E28">
        <w:t xml:space="preserve"> historically achieved, mainly because </w:t>
      </w:r>
      <w:r>
        <w:t>it has</w:t>
      </w:r>
      <w:r w:rsidRPr="001D2E28">
        <w:t xml:space="preserve"> been on track to achieve the long-term goal of treating all eligible and willing low</w:t>
      </w:r>
      <w:r>
        <w:t xml:space="preserve"> </w:t>
      </w:r>
      <w:r w:rsidRPr="001D2E28">
        <w:t>income households</w:t>
      </w:r>
      <w:r>
        <w:t xml:space="preserve"> but also due to the shift in the </w:t>
      </w:r>
      <w:r w:rsidRPr="001D2E28">
        <w:t>program delivery model that relies more on online audits towards the latter half of the program cycle.</w:t>
      </w:r>
    </w:p>
    <w:p w:rsidR="000C1980" w:rsidP="001968DC" w:rsidRDefault="000C1980" w14:paraId="16A0E511" w14:textId="77777777">
      <w:pPr>
        <w:pStyle w:val="Heading3"/>
        <w:ind w:left="2664"/>
      </w:pPr>
      <w:bookmarkStart w:name="_Toc69948050" w:id="391"/>
      <w:r>
        <w:lastRenderedPageBreak/>
        <w:t>Party Positions</w:t>
      </w:r>
      <w:bookmarkEnd w:id="391"/>
    </w:p>
    <w:p w:rsidRPr="003174F2" w:rsidR="000C1980" w:rsidP="001968DC" w:rsidRDefault="000C1980" w14:paraId="35808B8D" w14:textId="77777777">
      <w:pPr>
        <w:pStyle w:val="Heading4"/>
        <w:ind w:left="3600"/>
      </w:pPr>
      <w:bookmarkStart w:name="_Toc69948051" w:id="392"/>
      <w:r w:rsidRPr="003174F2">
        <w:t>TURN</w:t>
      </w:r>
      <w:bookmarkEnd w:id="392"/>
    </w:p>
    <w:p w:rsidR="000C1980" w:rsidP="000D3EBD" w:rsidRDefault="000C1980" w14:paraId="1F7679EA" w14:textId="6173AB58">
      <w:pPr>
        <w:pStyle w:val="Standard"/>
      </w:pPr>
      <w:r w:rsidRPr="008F4AD1">
        <w:rPr>
          <w:b/>
          <w:bCs/>
          <w:i/>
          <w:iCs/>
          <w:u w:val="single"/>
        </w:rPr>
        <w:t xml:space="preserve">Household </w:t>
      </w:r>
      <w:r>
        <w:rPr>
          <w:b/>
          <w:bCs/>
          <w:i/>
          <w:iCs/>
          <w:u w:val="single"/>
        </w:rPr>
        <w:t>Penetration</w:t>
      </w:r>
      <w:r w:rsidRPr="008F4AD1">
        <w:rPr>
          <w:b/>
          <w:bCs/>
          <w:i/>
          <w:iCs/>
          <w:u w:val="single"/>
        </w:rPr>
        <w:t xml:space="preserve"> Goal:</w:t>
      </w:r>
      <w:r>
        <w:t xml:space="preserve"> </w:t>
      </w:r>
      <w:r w:rsidRPr="003174F2">
        <w:t>TURN</w:t>
      </w:r>
      <w:r>
        <w:t xml:space="preserve"> recommends </w:t>
      </w:r>
      <w:r w:rsidRPr="003174F2">
        <w:t xml:space="preserve">that </w:t>
      </w:r>
      <w:r>
        <w:t xml:space="preserve">a </w:t>
      </w:r>
      <w:r w:rsidRPr="003174F2">
        <w:t xml:space="preserve">goal be set for </w:t>
      </w:r>
      <w:r w:rsidRPr="00281014">
        <w:t>participation as a percent of total eligible customers</w:t>
      </w:r>
      <w:r>
        <w:t xml:space="preserve"> but does not specifically recommend household treatment number for the IOUs.  TURN also r</w:t>
      </w:r>
      <w:r w:rsidRPr="003174F2">
        <w:t>ecommend</w:t>
      </w:r>
      <w:r>
        <w:t>s</w:t>
      </w:r>
      <w:r w:rsidRPr="003174F2">
        <w:t xml:space="preserve"> approving the IOUs’ proposed goals as targets </w:t>
      </w:r>
      <w:r>
        <w:t xml:space="preserve">for now, </w:t>
      </w:r>
      <w:r w:rsidRPr="003174F2">
        <w:t>until a potential or baseline study could be developed to set new goals.</w:t>
      </w:r>
      <w:r w:rsidRPr="003174F2">
        <w:rPr>
          <w:rStyle w:val="FootnoteReference"/>
        </w:rPr>
        <w:footnoteReference w:id="548"/>
      </w:r>
      <w:r w:rsidRPr="003174F2">
        <w:t xml:space="preserve"> </w:t>
      </w:r>
      <w:r w:rsidR="007F74A5">
        <w:t xml:space="preserve">Alternatively, </w:t>
      </w:r>
      <w:r w:rsidR="00E612BA">
        <w:t xml:space="preserve">if this is not adopted as a goal, </w:t>
      </w:r>
      <w:r w:rsidRPr="007F74A5" w:rsidR="007F74A5">
        <w:t xml:space="preserve">TURN urges the Commission to adopt it as </w:t>
      </w:r>
      <w:r w:rsidRPr="004172E1" w:rsidR="007F74A5">
        <w:t>a tracking metric</w:t>
      </w:r>
      <w:r w:rsidRPr="007F74A5" w:rsidR="007F74A5">
        <w:t>.</w:t>
      </w:r>
      <w:r w:rsidR="000731A6">
        <w:rPr>
          <w:rStyle w:val="FootnoteReference"/>
        </w:rPr>
        <w:footnoteReference w:id="549"/>
      </w:r>
    </w:p>
    <w:p w:rsidR="00F8125E" w:rsidP="00F8125E" w:rsidRDefault="00F8125E" w14:paraId="5DC6F79B" w14:textId="40D75557">
      <w:pPr>
        <w:pStyle w:val="Heading3"/>
        <w:ind w:left="2664"/>
      </w:pPr>
      <w:r>
        <w:t>IOU Responses</w:t>
      </w:r>
    </w:p>
    <w:p w:rsidRPr="003174F2" w:rsidR="00F8125E" w:rsidP="00F8125E" w:rsidRDefault="00F8125E" w14:paraId="163DAE92" w14:textId="3230B60A">
      <w:pPr>
        <w:pStyle w:val="Heading4"/>
        <w:ind w:left="3600"/>
      </w:pPr>
      <w:r>
        <w:t>PG&amp;E</w:t>
      </w:r>
    </w:p>
    <w:p w:rsidR="00F8125E" w:rsidP="000D3EBD" w:rsidRDefault="00A253A7" w14:paraId="785AC92D" w14:textId="16EBCBB6">
      <w:pPr>
        <w:pStyle w:val="Standard"/>
      </w:pPr>
      <w:r w:rsidRPr="008F4AD1">
        <w:rPr>
          <w:b/>
          <w:bCs/>
          <w:i/>
          <w:iCs/>
          <w:u w:val="single"/>
        </w:rPr>
        <w:t xml:space="preserve">Household </w:t>
      </w:r>
      <w:r>
        <w:rPr>
          <w:b/>
          <w:bCs/>
          <w:i/>
          <w:iCs/>
          <w:u w:val="single"/>
        </w:rPr>
        <w:t>Penetration</w:t>
      </w:r>
      <w:r w:rsidRPr="008F4AD1">
        <w:rPr>
          <w:b/>
          <w:bCs/>
          <w:i/>
          <w:iCs/>
          <w:u w:val="single"/>
        </w:rPr>
        <w:t xml:space="preserve"> Goal</w:t>
      </w:r>
      <w:r>
        <w:t xml:space="preserve">: </w:t>
      </w:r>
      <w:r w:rsidRPr="00A253A7">
        <w:t xml:space="preserve">PG&amp;E does not </w:t>
      </w:r>
      <w:r>
        <w:t>support this goal</w:t>
      </w:r>
      <w:r w:rsidRPr="00A253A7">
        <w:t xml:space="preserve"> because it appears to conflict with the first three measures</w:t>
      </w:r>
      <w:r w:rsidR="009A1F31">
        <w:t xml:space="preserve"> proposed by TURN in Section </w:t>
      </w:r>
      <w:r w:rsidR="00B8107D">
        <w:t>6.7.6.1</w:t>
      </w:r>
      <w:r w:rsidRPr="00A253A7">
        <w:t xml:space="preserve">. The definition of the term “eligible” </w:t>
      </w:r>
      <w:r w:rsidRPr="000D3EBD">
        <w:t>would</w:t>
      </w:r>
      <w:r w:rsidRPr="00A253A7">
        <w:t xml:space="preserve"> need to be changed to reflect a certain level of savings that is more in line with the savings goals before the fourth goal is implemented, if at all.</w:t>
      </w:r>
      <w:r w:rsidR="0023378C">
        <w:rPr>
          <w:rStyle w:val="FootnoteReference"/>
        </w:rPr>
        <w:footnoteReference w:id="550"/>
      </w:r>
      <w:r w:rsidRPr="00A253A7">
        <w:t xml:space="preserve"> </w:t>
      </w:r>
    </w:p>
    <w:p w:rsidR="000C1980" w:rsidP="001968DC" w:rsidRDefault="000C1980" w14:paraId="1F2FC9BF" w14:textId="77777777">
      <w:pPr>
        <w:pStyle w:val="Heading3"/>
        <w:ind w:left="2664"/>
      </w:pPr>
      <w:bookmarkStart w:name="_Toc69948052" w:id="393"/>
      <w:r>
        <w:t>Discussion</w:t>
      </w:r>
      <w:bookmarkEnd w:id="393"/>
    </w:p>
    <w:p w:rsidRPr="00ED15B4" w:rsidR="000C1980" w:rsidP="001968DC" w:rsidRDefault="000C1980" w14:paraId="075B5FA9" w14:textId="77777777">
      <w:pPr>
        <w:pStyle w:val="Heading4"/>
        <w:ind w:left="3600"/>
      </w:pPr>
      <w:bookmarkStart w:name="_Toc69948053" w:id="394"/>
      <w:r w:rsidRPr="00ED15B4">
        <w:t xml:space="preserve">Household Treatment Goals: </w:t>
      </w:r>
      <w:r w:rsidRPr="00ED15B4">
        <w:rPr>
          <w:u w:val="single"/>
        </w:rPr>
        <w:t>Approved with Modifications</w:t>
      </w:r>
      <w:bookmarkEnd w:id="394"/>
    </w:p>
    <w:p w:rsidRPr="00C75453" w:rsidR="00C75453" w:rsidP="000D3EBD" w:rsidRDefault="000C1980" w14:paraId="013801A5" w14:textId="1A43F844">
      <w:pPr>
        <w:pStyle w:val="Standard"/>
      </w:pPr>
      <w:r>
        <w:t>We approve the IOUs’ proposed household treatment numbers for PYs</w:t>
      </w:r>
      <w:r w:rsidR="000D3EBD">
        <w:t> </w:t>
      </w:r>
      <w:r>
        <w:t>202</w:t>
      </w:r>
      <w:r w:rsidR="00695740">
        <w:t>2</w:t>
      </w:r>
      <w:r>
        <w:t xml:space="preserve">-2026 as targets, as opposed to goals, prioritizing the program’s </w:t>
      </w:r>
      <w:r w:rsidR="00695740">
        <w:t xml:space="preserve">shifting </w:t>
      </w:r>
      <w:r>
        <w:t>emphasis on energy savings over the number of households treated.  (</w:t>
      </w:r>
      <w:r w:rsidRPr="007F40BA">
        <w:rPr>
          <w:i/>
          <w:iCs/>
        </w:rPr>
        <w:t>See</w:t>
      </w:r>
      <w:r>
        <w:t xml:space="preserve"> Section</w:t>
      </w:r>
      <w:r w:rsidR="000D3EBD">
        <w:t> </w:t>
      </w:r>
      <w:r>
        <w:t>6.7</w:t>
      </w:r>
      <w:r w:rsidR="00046314">
        <w:t>.8.1</w:t>
      </w:r>
      <w:r>
        <w:t xml:space="preserve"> for further information on the energy savings goals).  </w:t>
      </w:r>
      <w:r w:rsidRPr="00C75453" w:rsidR="00C75453">
        <w:t xml:space="preserve">For the remainder of the 2021 PY, the </w:t>
      </w:r>
      <w:r w:rsidR="006C200C">
        <w:t xml:space="preserve">IOU </w:t>
      </w:r>
      <w:r w:rsidR="00C75453">
        <w:t xml:space="preserve">household treatment </w:t>
      </w:r>
      <w:r w:rsidR="0025225D">
        <w:t xml:space="preserve">levels will be set </w:t>
      </w:r>
      <w:r w:rsidRPr="00C75453" w:rsidR="00C75453">
        <w:t xml:space="preserve">as goals </w:t>
      </w:r>
      <w:r w:rsidR="008100CD">
        <w:lastRenderedPageBreak/>
        <w:t xml:space="preserve">based on the </w:t>
      </w:r>
      <w:r w:rsidR="009C53FE">
        <w:t xml:space="preserve">first half of the 2021 </w:t>
      </w:r>
      <w:r w:rsidR="008100CD">
        <w:t xml:space="preserve">bridge </w:t>
      </w:r>
      <w:r w:rsidR="009C53FE">
        <w:t>year</w:t>
      </w:r>
      <w:r w:rsidR="009C53FE">
        <w:rPr>
          <w:rStyle w:val="FootnoteReference"/>
        </w:rPr>
        <w:footnoteReference w:id="551"/>
      </w:r>
      <w:r w:rsidRPr="00C75453" w:rsidR="00C75453">
        <w:t xml:space="preserve"> to align the IOUs’ 2021 bridge </w:t>
      </w:r>
      <w:r w:rsidR="006C200C">
        <w:t xml:space="preserve">period </w:t>
      </w:r>
      <w:r w:rsidRPr="00C75453" w:rsidR="00C75453">
        <w:t>funding and allow for an adequate transition period into the new program and structure.</w:t>
      </w:r>
    </w:p>
    <w:p w:rsidR="000C1980" w:rsidP="000D3EBD" w:rsidRDefault="000C1980" w14:paraId="57717D82" w14:textId="5CA3B609">
      <w:pPr>
        <w:pStyle w:val="Standard"/>
      </w:pPr>
      <w:r>
        <w:t xml:space="preserve">Although the projected household treatment numbers are lower than what they have been in previous years for some of the IOUs, we attribute this to the IOUs’ success in treating all willing and eligible homes by 2020, and therefore providing the opportunity in the new cycle for the IOUs to shift away from the quantity of treatments to quality of treatments.  We expect that there still exist a pool of households that have yet to be treated, those that were unwilling or unfeasible at the time, those that were hard to reach, or those newly eligible.  The IOUs should still work to enroll and treat these homes.  Now that most of the eligible </w:t>
      </w:r>
      <w:proofErr w:type="gramStart"/>
      <w:r>
        <w:t>low income</w:t>
      </w:r>
      <w:proofErr w:type="gramEnd"/>
      <w:r>
        <w:t xml:space="preserve"> households in California have received a “first touch” treatment by the ESA program, this decision’s shift towards deeper and likely more expensive retrofits, and the expectation that the IOUs would spend more time and investment per treatment, these household treatment targets (which may be lower than pre-2020 levels) are reasonable. </w:t>
      </w:r>
    </w:p>
    <w:p w:rsidR="000C1980" w:rsidP="000D3EBD" w:rsidRDefault="00071DD8" w14:paraId="37E8B706" w14:textId="3C980B04">
      <w:pPr>
        <w:pStyle w:val="Standard"/>
      </w:pPr>
      <w:r>
        <w:rPr>
          <w:rFonts w:eastAsiaTheme="minorEastAsia"/>
        </w:rPr>
        <w:t xml:space="preserve">Beginning in PY 2022, </w:t>
      </w:r>
      <w:r w:rsidR="00A32BD0">
        <w:rPr>
          <w:rFonts w:eastAsiaTheme="minorEastAsia"/>
        </w:rPr>
        <w:t>w</w:t>
      </w:r>
      <w:r w:rsidR="000C1980">
        <w:rPr>
          <w:rFonts w:eastAsiaTheme="minorEastAsia"/>
        </w:rPr>
        <w:t xml:space="preserve">e apply a ten percent reduction to align with </w:t>
      </w:r>
      <w:r w:rsidR="000C1980">
        <w:t>the ten percent reduction in the proposed budgets (</w:t>
      </w:r>
      <w:r w:rsidRPr="00C4057E" w:rsidR="000C1980">
        <w:rPr>
          <w:i/>
          <w:iCs/>
        </w:rPr>
        <w:t>see</w:t>
      </w:r>
      <w:r w:rsidR="000C1980">
        <w:t xml:space="preserve"> Section 6.15</w:t>
      </w:r>
      <w:r w:rsidR="00983FE1">
        <w:t>.8.1</w:t>
      </w:r>
      <w:r w:rsidR="000C1980">
        <w:t>), and a four percent adjustment to adjust for the Staff Proposed Pilot Plus and Pilot Deep treatments, (</w:t>
      </w:r>
      <w:r w:rsidRPr="007F40BA" w:rsidR="000C1980">
        <w:rPr>
          <w:i/>
          <w:iCs/>
        </w:rPr>
        <w:t>see</w:t>
      </w:r>
      <w:r w:rsidR="000C1980">
        <w:t xml:space="preserve"> Section 6.2</w:t>
      </w:r>
      <w:r w:rsidR="00983FE1">
        <w:t>.3.2</w:t>
      </w:r>
      <w:r w:rsidR="000C1980">
        <w:t xml:space="preserve">). </w:t>
      </w:r>
    </w:p>
    <w:p w:rsidR="000C1980" w:rsidP="00467CC0" w:rsidRDefault="000C1980" w14:paraId="75C23000" w14:textId="751F6957">
      <w:pPr>
        <w:pStyle w:val="BlockQuote"/>
        <w:keepNext/>
        <w:keepLines/>
        <w:ind w:left="360"/>
        <w:jc w:val="center"/>
        <w:rPr>
          <w:b/>
          <w:bCs/>
        </w:rPr>
      </w:pPr>
      <w:r w:rsidRPr="002E4E23">
        <w:rPr>
          <w:b/>
          <w:bCs/>
        </w:rPr>
        <w:lastRenderedPageBreak/>
        <w:t xml:space="preserve">Table 11: Approved Household Treatment </w:t>
      </w:r>
      <w:r w:rsidR="00CC3DCE">
        <w:rPr>
          <w:b/>
          <w:bCs/>
        </w:rPr>
        <w:t xml:space="preserve">Goals </w:t>
      </w:r>
      <w:r w:rsidR="00360ED3">
        <w:rPr>
          <w:b/>
          <w:bCs/>
        </w:rPr>
        <w:t xml:space="preserve">for PY 2021 </w:t>
      </w:r>
      <w:r w:rsidR="00CC3DCE">
        <w:rPr>
          <w:b/>
          <w:bCs/>
        </w:rPr>
        <w:t xml:space="preserve">and </w:t>
      </w:r>
      <w:r w:rsidRPr="002E4E23">
        <w:rPr>
          <w:b/>
          <w:bCs/>
        </w:rPr>
        <w:t>Targets</w:t>
      </w:r>
      <w:r w:rsidRPr="00F54DF3">
        <w:rPr>
          <w:b/>
          <w:bCs/>
        </w:rPr>
        <w:t xml:space="preserve"> </w:t>
      </w:r>
      <w:r w:rsidR="00360ED3">
        <w:rPr>
          <w:b/>
          <w:bCs/>
        </w:rPr>
        <w:t xml:space="preserve">for </w:t>
      </w:r>
      <w:r w:rsidRPr="00F54DF3">
        <w:rPr>
          <w:b/>
          <w:bCs/>
        </w:rPr>
        <w:t>PYs 202</w:t>
      </w:r>
      <w:r w:rsidR="00360ED3">
        <w:rPr>
          <w:b/>
          <w:bCs/>
        </w:rPr>
        <w:t>2</w:t>
      </w:r>
      <w:r w:rsidRPr="00F54DF3">
        <w:rPr>
          <w:b/>
          <w:bCs/>
        </w:rPr>
        <w:t>-2026</w:t>
      </w:r>
    </w:p>
    <w:tbl>
      <w:tblPr>
        <w:tblStyle w:val="TableGrid"/>
        <w:tblW w:w="10170" w:type="dxa"/>
        <w:tblInd w:w="-275" w:type="dxa"/>
        <w:tblLayout w:type="fixed"/>
        <w:tblLook w:val="06A0" w:firstRow="1" w:lastRow="0" w:firstColumn="1" w:lastColumn="0" w:noHBand="1" w:noVBand="1"/>
      </w:tblPr>
      <w:tblGrid>
        <w:gridCol w:w="1350"/>
        <w:gridCol w:w="1170"/>
        <w:gridCol w:w="1260"/>
        <w:gridCol w:w="1260"/>
        <w:gridCol w:w="1260"/>
        <w:gridCol w:w="1260"/>
        <w:gridCol w:w="1260"/>
        <w:gridCol w:w="1350"/>
      </w:tblGrid>
      <w:tr w:rsidRPr="003A4145" w:rsidR="00CC298D" w:rsidTr="00815B6D" w14:paraId="0B432DC6" w14:textId="77777777">
        <w:trPr>
          <w:trHeight w:val="477"/>
        </w:trPr>
        <w:tc>
          <w:tcPr>
            <w:tcW w:w="10170" w:type="dxa"/>
            <w:gridSpan w:val="8"/>
          </w:tcPr>
          <w:p w:rsidRPr="00CC298D" w:rsidR="00CC298D" w:rsidP="00467CC0" w:rsidRDefault="00CC298D" w14:paraId="32A8A809" w14:textId="23BFB638">
            <w:pPr>
              <w:keepNext/>
              <w:keepLines/>
              <w:rPr>
                <w:rFonts w:eastAsiaTheme="minorEastAsia" w:cstheme="minorBidi"/>
              </w:rPr>
            </w:pPr>
            <w:r w:rsidRPr="00CC298D">
              <w:t xml:space="preserve">Approved </w:t>
            </w:r>
            <w:r>
              <w:t xml:space="preserve">ESA </w:t>
            </w:r>
            <w:r w:rsidRPr="00CC298D">
              <w:t xml:space="preserve">Household Treatment </w:t>
            </w:r>
            <w:r w:rsidR="00360ED3">
              <w:t xml:space="preserve">Goals and </w:t>
            </w:r>
            <w:r w:rsidRPr="00CC298D">
              <w:t>Targets, PYs 2021-2026</w:t>
            </w:r>
          </w:p>
        </w:tc>
      </w:tr>
      <w:tr w:rsidRPr="003A4145" w:rsidR="000C1980" w:rsidTr="00815B6D" w14:paraId="1777A7BF" w14:textId="77777777">
        <w:trPr>
          <w:trHeight w:val="1625"/>
        </w:trPr>
        <w:tc>
          <w:tcPr>
            <w:tcW w:w="1350" w:type="dxa"/>
          </w:tcPr>
          <w:p w:rsidRPr="003A4145" w:rsidR="000C1980" w:rsidP="00467CC0" w:rsidRDefault="000C1980" w14:paraId="35B87380" w14:textId="77777777">
            <w:pPr>
              <w:keepNext/>
              <w:keepLines/>
            </w:pPr>
            <w:r>
              <w:t>IOU</w:t>
            </w:r>
          </w:p>
        </w:tc>
        <w:tc>
          <w:tcPr>
            <w:tcW w:w="1170" w:type="dxa"/>
          </w:tcPr>
          <w:p w:rsidR="000C1980" w:rsidP="00467CC0" w:rsidRDefault="000C1980" w14:paraId="35CA4929" w14:textId="55E4F9D2">
            <w:pPr>
              <w:keepNext/>
              <w:keepLines/>
            </w:pPr>
            <w:r w:rsidRPr="003A4145">
              <w:t>2021</w:t>
            </w:r>
          </w:p>
          <w:p w:rsidRPr="00D25E6F" w:rsidR="00CC3DCE" w:rsidP="00467CC0" w:rsidRDefault="00CC3DCE" w14:paraId="4C50D2F7" w14:textId="37306BF7">
            <w:pPr>
              <w:keepNext/>
              <w:keepLines/>
            </w:pPr>
            <w:r w:rsidRPr="00D25E6F">
              <w:t>(Goals)</w:t>
            </w:r>
          </w:p>
          <w:p w:rsidRPr="003A4145" w:rsidR="00240D4D" w:rsidP="00467CC0" w:rsidRDefault="00B31404" w14:paraId="0033C6F4" w14:textId="4E86BA9F">
            <w:pPr>
              <w:keepNext/>
              <w:keepLines/>
              <w:rPr>
                <w:rFonts w:eastAsiaTheme="minorEastAsia" w:cstheme="minorBidi"/>
              </w:rPr>
            </w:pPr>
            <w:r>
              <w:t>(July 1 - Dec. 31)</w:t>
            </w:r>
          </w:p>
        </w:tc>
        <w:tc>
          <w:tcPr>
            <w:tcW w:w="1260" w:type="dxa"/>
          </w:tcPr>
          <w:p w:rsidR="00CC3DCE" w:rsidP="00467CC0" w:rsidRDefault="000C1980" w14:paraId="6284494D" w14:textId="77777777">
            <w:pPr>
              <w:keepNext/>
              <w:keepLines/>
            </w:pPr>
            <w:r w:rsidRPr="003A4145">
              <w:t>2022</w:t>
            </w:r>
          </w:p>
          <w:p w:rsidRPr="003A4145" w:rsidR="00F9499B" w:rsidP="00467CC0" w:rsidRDefault="00F9499B" w14:paraId="5D641CC3" w14:textId="1906D030">
            <w:pPr>
              <w:keepNext/>
              <w:keepLines/>
              <w:rPr>
                <w:sz w:val="22"/>
                <w:szCs w:val="22"/>
              </w:rPr>
            </w:pPr>
            <w:r>
              <w:rPr>
                <w:sz w:val="22"/>
                <w:szCs w:val="22"/>
              </w:rPr>
              <w:t>(</w:t>
            </w:r>
            <w:r w:rsidRPr="00F9499B">
              <w:t>Targets)</w:t>
            </w:r>
          </w:p>
        </w:tc>
        <w:tc>
          <w:tcPr>
            <w:tcW w:w="1260" w:type="dxa"/>
          </w:tcPr>
          <w:p w:rsidRPr="003A4145" w:rsidR="00D25E6F" w:rsidP="00467CC0" w:rsidRDefault="000C1980" w14:paraId="64B03F6D" w14:textId="38E29E59">
            <w:pPr>
              <w:keepNext/>
              <w:keepLines/>
            </w:pPr>
            <w:r w:rsidRPr="003A4145">
              <w:rPr>
                <w:sz w:val="22"/>
                <w:szCs w:val="22"/>
              </w:rPr>
              <w:t>2023</w:t>
            </w:r>
            <w:r w:rsidR="00F9499B">
              <w:rPr>
                <w:sz w:val="22"/>
                <w:szCs w:val="22"/>
              </w:rPr>
              <w:t xml:space="preserve"> (</w:t>
            </w:r>
            <w:r w:rsidRPr="00F9499B" w:rsidR="00F9499B">
              <w:t>Targets)</w:t>
            </w:r>
          </w:p>
        </w:tc>
        <w:tc>
          <w:tcPr>
            <w:tcW w:w="1260" w:type="dxa"/>
          </w:tcPr>
          <w:p w:rsidRPr="003A4145" w:rsidR="000C1980" w:rsidP="00467CC0" w:rsidRDefault="000C1980" w14:paraId="587E37F9" w14:textId="67C380BE">
            <w:pPr>
              <w:keepNext/>
              <w:keepLines/>
              <w:rPr>
                <w:sz w:val="22"/>
                <w:szCs w:val="22"/>
              </w:rPr>
            </w:pPr>
            <w:r w:rsidRPr="003A4145">
              <w:rPr>
                <w:sz w:val="22"/>
                <w:szCs w:val="22"/>
              </w:rPr>
              <w:t>2024</w:t>
            </w:r>
            <w:r w:rsidR="00F9499B">
              <w:rPr>
                <w:sz w:val="22"/>
                <w:szCs w:val="22"/>
              </w:rPr>
              <w:t xml:space="preserve"> (</w:t>
            </w:r>
            <w:r w:rsidRPr="00F9499B" w:rsidR="00F9499B">
              <w:t>Targets)</w:t>
            </w:r>
          </w:p>
        </w:tc>
        <w:tc>
          <w:tcPr>
            <w:tcW w:w="1260" w:type="dxa"/>
          </w:tcPr>
          <w:p w:rsidRPr="003A4145" w:rsidR="000C1980" w:rsidP="00467CC0" w:rsidRDefault="000C1980" w14:paraId="7D364390" w14:textId="2F2F079A">
            <w:pPr>
              <w:keepNext/>
              <w:keepLines/>
              <w:rPr>
                <w:sz w:val="22"/>
                <w:szCs w:val="22"/>
              </w:rPr>
            </w:pPr>
            <w:r w:rsidRPr="003A4145">
              <w:rPr>
                <w:sz w:val="22"/>
                <w:szCs w:val="22"/>
              </w:rPr>
              <w:t>2025</w:t>
            </w:r>
            <w:r w:rsidR="00F9499B">
              <w:rPr>
                <w:sz w:val="22"/>
                <w:szCs w:val="22"/>
              </w:rPr>
              <w:t xml:space="preserve"> (</w:t>
            </w:r>
            <w:r w:rsidRPr="00F9499B" w:rsidR="00F9499B">
              <w:t>Targets)</w:t>
            </w:r>
          </w:p>
        </w:tc>
        <w:tc>
          <w:tcPr>
            <w:tcW w:w="1260" w:type="dxa"/>
          </w:tcPr>
          <w:p w:rsidR="000C1980" w:rsidP="00467CC0" w:rsidRDefault="000C1980" w14:paraId="41D78129" w14:textId="77777777">
            <w:pPr>
              <w:keepNext/>
              <w:keepLines/>
            </w:pPr>
            <w:r w:rsidRPr="003A4145">
              <w:rPr>
                <w:sz w:val="22"/>
                <w:szCs w:val="22"/>
              </w:rPr>
              <w:t>2026</w:t>
            </w:r>
            <w:r w:rsidR="00F9499B">
              <w:rPr>
                <w:sz w:val="22"/>
                <w:szCs w:val="22"/>
              </w:rPr>
              <w:t xml:space="preserve"> (</w:t>
            </w:r>
            <w:r w:rsidRPr="00F9499B" w:rsidR="00F9499B">
              <w:t>Targets)</w:t>
            </w:r>
          </w:p>
          <w:p w:rsidRPr="003A4145" w:rsidR="00815B6D" w:rsidP="00467CC0" w:rsidRDefault="00815B6D" w14:paraId="25CAF209" w14:textId="037BDCEF">
            <w:pPr>
              <w:keepNext/>
              <w:keepLines/>
            </w:pPr>
          </w:p>
        </w:tc>
        <w:tc>
          <w:tcPr>
            <w:tcW w:w="1350" w:type="dxa"/>
          </w:tcPr>
          <w:p w:rsidRPr="003A4145" w:rsidR="000C1980" w:rsidP="00467CC0" w:rsidRDefault="000C1980" w14:paraId="75B40D85" w14:textId="77777777">
            <w:pPr>
              <w:keepNext/>
              <w:keepLines/>
            </w:pPr>
            <w:r w:rsidRPr="003A4145">
              <w:t>Total</w:t>
            </w:r>
          </w:p>
        </w:tc>
      </w:tr>
      <w:tr w:rsidRPr="003A4145" w:rsidR="00AD7D2C" w:rsidTr="00815B6D" w14:paraId="0DCD63EB" w14:textId="77777777">
        <w:trPr>
          <w:trHeight w:val="970"/>
        </w:trPr>
        <w:tc>
          <w:tcPr>
            <w:tcW w:w="1350" w:type="dxa"/>
          </w:tcPr>
          <w:p w:rsidRPr="003A4145" w:rsidR="00AD7D2C" w:rsidP="00467CC0" w:rsidRDefault="00AD7D2C" w14:paraId="646B0AC0" w14:textId="77777777">
            <w:r w:rsidRPr="003A4145">
              <w:t>PG&amp;E</w:t>
            </w:r>
          </w:p>
        </w:tc>
        <w:tc>
          <w:tcPr>
            <w:tcW w:w="1170" w:type="dxa"/>
          </w:tcPr>
          <w:p w:rsidRPr="003A4145" w:rsidR="00AD7D2C" w:rsidP="00467CC0" w:rsidRDefault="00AD7D2C" w14:paraId="798842B6" w14:textId="511920A5">
            <w:r>
              <w:t>50,000</w:t>
            </w:r>
          </w:p>
        </w:tc>
        <w:tc>
          <w:tcPr>
            <w:tcW w:w="1260" w:type="dxa"/>
          </w:tcPr>
          <w:p w:rsidRPr="003A4145" w:rsidR="00AD7D2C" w:rsidP="00467CC0" w:rsidRDefault="00AD7D2C" w14:paraId="7B742D96" w14:textId="34841806">
            <w:r w:rsidRPr="003A4145">
              <w:t>59,340</w:t>
            </w:r>
          </w:p>
        </w:tc>
        <w:tc>
          <w:tcPr>
            <w:tcW w:w="1260" w:type="dxa"/>
          </w:tcPr>
          <w:p w:rsidRPr="003A4145" w:rsidR="00AD7D2C" w:rsidP="00467CC0" w:rsidRDefault="00AD7D2C" w14:paraId="3305BBDE" w14:textId="4A9A7E63">
            <w:r w:rsidRPr="003A4145">
              <w:t>60,437</w:t>
            </w:r>
          </w:p>
        </w:tc>
        <w:tc>
          <w:tcPr>
            <w:tcW w:w="1260" w:type="dxa"/>
          </w:tcPr>
          <w:p w:rsidRPr="003A4145" w:rsidR="00AD7D2C" w:rsidP="00467CC0" w:rsidRDefault="00AD7D2C" w14:paraId="7E050E88" w14:textId="23EF7E7F">
            <w:r w:rsidRPr="003A4145">
              <w:t>54,876</w:t>
            </w:r>
          </w:p>
        </w:tc>
        <w:tc>
          <w:tcPr>
            <w:tcW w:w="1260" w:type="dxa"/>
          </w:tcPr>
          <w:p w:rsidRPr="003A4145" w:rsidR="00AD7D2C" w:rsidP="00467CC0" w:rsidRDefault="00AD7D2C" w14:paraId="230B8446" w14:textId="35D4A282">
            <w:r w:rsidRPr="003A4145">
              <w:t>52,954</w:t>
            </w:r>
          </w:p>
        </w:tc>
        <w:tc>
          <w:tcPr>
            <w:tcW w:w="1260" w:type="dxa"/>
          </w:tcPr>
          <w:p w:rsidRPr="003A4145" w:rsidR="00AD7D2C" w:rsidP="00467CC0" w:rsidRDefault="00AD7D2C" w14:paraId="0BDE377E" w14:textId="396B1CEF">
            <w:r w:rsidRPr="003A4145">
              <w:t>51,099</w:t>
            </w:r>
          </w:p>
        </w:tc>
        <w:tc>
          <w:tcPr>
            <w:tcW w:w="1350" w:type="dxa"/>
          </w:tcPr>
          <w:p w:rsidRPr="003A4145" w:rsidR="00AD7D2C" w:rsidP="00467CC0" w:rsidRDefault="00AD7D2C" w14:paraId="670389E1" w14:textId="4C064577">
            <w:r>
              <w:t xml:space="preserve">328,705 </w:t>
            </w:r>
          </w:p>
        </w:tc>
      </w:tr>
      <w:tr w:rsidRPr="003A4145" w:rsidR="00AD7D2C" w:rsidTr="00815B6D" w14:paraId="71C62D60" w14:textId="77777777">
        <w:trPr>
          <w:trHeight w:val="970"/>
        </w:trPr>
        <w:tc>
          <w:tcPr>
            <w:tcW w:w="1350" w:type="dxa"/>
          </w:tcPr>
          <w:p w:rsidRPr="003A4145" w:rsidR="00AD7D2C" w:rsidP="00467CC0" w:rsidRDefault="00AD7D2C" w14:paraId="1B7EE66C" w14:textId="77777777">
            <w:r w:rsidRPr="003A4145">
              <w:t>SCE</w:t>
            </w:r>
          </w:p>
        </w:tc>
        <w:tc>
          <w:tcPr>
            <w:tcW w:w="1170" w:type="dxa"/>
          </w:tcPr>
          <w:p w:rsidRPr="003A4145" w:rsidR="00AD7D2C" w:rsidP="00467CC0" w:rsidRDefault="00AD7D2C" w14:paraId="6E5A6B9D" w14:textId="27A3B2CF">
            <w:r>
              <w:t>43,652</w:t>
            </w:r>
          </w:p>
        </w:tc>
        <w:tc>
          <w:tcPr>
            <w:tcW w:w="1260" w:type="dxa"/>
          </w:tcPr>
          <w:p w:rsidRPr="003A4145" w:rsidR="00AD7D2C" w:rsidP="00467CC0" w:rsidRDefault="00AD7D2C" w14:paraId="1DDF5096" w14:textId="2AE99DDD">
            <w:r w:rsidRPr="003A4145">
              <w:t>27,051</w:t>
            </w:r>
          </w:p>
        </w:tc>
        <w:tc>
          <w:tcPr>
            <w:tcW w:w="1260" w:type="dxa"/>
          </w:tcPr>
          <w:p w:rsidRPr="003A4145" w:rsidR="00AD7D2C" w:rsidP="00467CC0" w:rsidRDefault="00AD7D2C" w14:paraId="1B23495C" w14:textId="5F59FB47">
            <w:r w:rsidRPr="003A4145">
              <w:t>37,871</w:t>
            </w:r>
          </w:p>
        </w:tc>
        <w:tc>
          <w:tcPr>
            <w:tcW w:w="1260" w:type="dxa"/>
          </w:tcPr>
          <w:p w:rsidRPr="003A4145" w:rsidR="00AD7D2C" w:rsidP="00467CC0" w:rsidRDefault="00AD7D2C" w14:paraId="33C2111C" w14:textId="1A09C463">
            <w:r w:rsidRPr="003A4145">
              <w:t>64,922</w:t>
            </w:r>
          </w:p>
        </w:tc>
        <w:tc>
          <w:tcPr>
            <w:tcW w:w="1260" w:type="dxa"/>
          </w:tcPr>
          <w:p w:rsidRPr="003A4145" w:rsidR="00AD7D2C" w:rsidP="00467CC0" w:rsidRDefault="00AD7D2C" w14:paraId="37172BF9" w14:textId="03BFCB88">
            <w:r w:rsidRPr="003A4145">
              <w:t>59,512</w:t>
            </w:r>
          </w:p>
        </w:tc>
        <w:tc>
          <w:tcPr>
            <w:tcW w:w="1260" w:type="dxa"/>
          </w:tcPr>
          <w:p w:rsidRPr="003A4145" w:rsidR="00AD7D2C" w:rsidP="00467CC0" w:rsidRDefault="00AD7D2C" w14:paraId="0EFED045" w14:textId="6FEFD168">
            <w:r w:rsidRPr="003A4145">
              <w:t>56,806</w:t>
            </w:r>
          </w:p>
        </w:tc>
        <w:tc>
          <w:tcPr>
            <w:tcW w:w="1350" w:type="dxa"/>
          </w:tcPr>
          <w:p w:rsidRPr="003A4145" w:rsidR="00AD7D2C" w:rsidP="00467CC0" w:rsidRDefault="00AD7D2C" w14:paraId="60888E41" w14:textId="05567316">
            <w:r>
              <w:t xml:space="preserve">289,725 </w:t>
            </w:r>
          </w:p>
        </w:tc>
      </w:tr>
      <w:tr w:rsidRPr="003A4145" w:rsidR="00AD7D2C" w:rsidTr="00815B6D" w14:paraId="73A7E72B" w14:textId="77777777">
        <w:trPr>
          <w:trHeight w:val="970"/>
        </w:trPr>
        <w:tc>
          <w:tcPr>
            <w:tcW w:w="1350" w:type="dxa"/>
          </w:tcPr>
          <w:p w:rsidRPr="003A4145" w:rsidR="00AD7D2C" w:rsidP="00467CC0" w:rsidRDefault="00AD7D2C" w14:paraId="5AC7ACF1" w14:textId="77777777">
            <w:r w:rsidRPr="003A4145">
              <w:t>SoCalGas</w:t>
            </w:r>
          </w:p>
        </w:tc>
        <w:tc>
          <w:tcPr>
            <w:tcW w:w="1170" w:type="dxa"/>
          </w:tcPr>
          <w:p w:rsidRPr="003A4145" w:rsidR="00AD7D2C" w:rsidP="00467CC0" w:rsidRDefault="00AD7D2C" w14:paraId="39427723" w14:textId="221CDD88">
            <w:r>
              <w:t>60,000</w:t>
            </w:r>
          </w:p>
        </w:tc>
        <w:tc>
          <w:tcPr>
            <w:tcW w:w="1260" w:type="dxa"/>
          </w:tcPr>
          <w:p w:rsidRPr="003A4145" w:rsidR="00AD7D2C" w:rsidP="00467CC0" w:rsidRDefault="00AD7D2C" w14:paraId="45E14E89" w14:textId="31D77832">
            <w:r w:rsidRPr="003A4145">
              <w:t>94,600</w:t>
            </w:r>
          </w:p>
        </w:tc>
        <w:tc>
          <w:tcPr>
            <w:tcW w:w="1260" w:type="dxa"/>
          </w:tcPr>
          <w:p w:rsidRPr="003A4145" w:rsidR="00AD7D2C" w:rsidP="00467CC0" w:rsidRDefault="00AD7D2C" w14:paraId="6F8EA8EC" w14:textId="322ADEEC">
            <w:r w:rsidRPr="272DC7B3">
              <w:t>69,837</w:t>
            </w:r>
          </w:p>
        </w:tc>
        <w:tc>
          <w:tcPr>
            <w:tcW w:w="1260" w:type="dxa"/>
          </w:tcPr>
          <w:p w:rsidRPr="003A4145" w:rsidR="00AD7D2C" w:rsidP="00467CC0" w:rsidRDefault="00AD7D2C" w14:paraId="4EF346B1" w14:textId="31B6C586">
            <w:r w:rsidRPr="272DC7B3">
              <w:t>69,837</w:t>
            </w:r>
          </w:p>
        </w:tc>
        <w:tc>
          <w:tcPr>
            <w:tcW w:w="1260" w:type="dxa"/>
          </w:tcPr>
          <w:p w:rsidRPr="003A4145" w:rsidR="00AD7D2C" w:rsidP="00467CC0" w:rsidRDefault="00AD7D2C" w14:paraId="65EBCFF0" w14:textId="4BC46B96">
            <w:r w:rsidRPr="272DC7B3">
              <w:t>69,837</w:t>
            </w:r>
          </w:p>
        </w:tc>
        <w:tc>
          <w:tcPr>
            <w:tcW w:w="1260" w:type="dxa"/>
          </w:tcPr>
          <w:p w:rsidRPr="003A4145" w:rsidR="00AD7D2C" w:rsidP="00467CC0" w:rsidRDefault="00AD7D2C" w14:paraId="229509A6" w14:textId="49604564">
            <w:r w:rsidRPr="272DC7B3">
              <w:t>69,837</w:t>
            </w:r>
          </w:p>
        </w:tc>
        <w:tc>
          <w:tcPr>
            <w:tcW w:w="1350" w:type="dxa"/>
          </w:tcPr>
          <w:p w:rsidRPr="003A4145" w:rsidR="00AD7D2C" w:rsidP="00467CC0" w:rsidRDefault="00AD7D2C" w14:paraId="4A9FE884" w14:textId="486B6D51">
            <w:r>
              <w:t xml:space="preserve">433,948 </w:t>
            </w:r>
          </w:p>
        </w:tc>
      </w:tr>
      <w:tr w:rsidRPr="003A4145" w:rsidR="00AD7D2C" w:rsidTr="00815B6D" w14:paraId="65B442E4" w14:textId="77777777">
        <w:trPr>
          <w:trHeight w:val="970"/>
        </w:trPr>
        <w:tc>
          <w:tcPr>
            <w:tcW w:w="1350" w:type="dxa"/>
          </w:tcPr>
          <w:p w:rsidRPr="003A4145" w:rsidR="00AD7D2C" w:rsidP="00467CC0" w:rsidRDefault="00AD7D2C" w14:paraId="0B5C46F3" w14:textId="77777777">
            <w:r w:rsidRPr="003A4145">
              <w:t>SDG&amp;E</w:t>
            </w:r>
          </w:p>
        </w:tc>
        <w:tc>
          <w:tcPr>
            <w:tcW w:w="1170" w:type="dxa"/>
          </w:tcPr>
          <w:p w:rsidRPr="003A4145" w:rsidR="00AD7D2C" w:rsidP="00467CC0" w:rsidRDefault="00AD7D2C" w14:paraId="6E1A8229" w14:textId="5C4D9E22">
            <w:r>
              <w:t>5,973</w:t>
            </w:r>
          </w:p>
        </w:tc>
        <w:tc>
          <w:tcPr>
            <w:tcW w:w="1260" w:type="dxa"/>
          </w:tcPr>
          <w:p w:rsidRPr="003A4145" w:rsidR="00AD7D2C" w:rsidP="00467CC0" w:rsidRDefault="00AD7D2C" w14:paraId="0A004D58" w14:textId="530F2520">
            <w:r w:rsidRPr="003A4145">
              <w:t>13,760</w:t>
            </w:r>
          </w:p>
        </w:tc>
        <w:tc>
          <w:tcPr>
            <w:tcW w:w="1260" w:type="dxa"/>
          </w:tcPr>
          <w:p w:rsidRPr="003A4145" w:rsidR="00AD7D2C" w:rsidP="00467CC0" w:rsidRDefault="00AD7D2C" w14:paraId="48A3D28E" w14:textId="07102A06">
            <w:r w:rsidRPr="272DC7B3">
              <w:t>11,711</w:t>
            </w:r>
          </w:p>
        </w:tc>
        <w:tc>
          <w:tcPr>
            <w:tcW w:w="1260" w:type="dxa"/>
          </w:tcPr>
          <w:p w:rsidRPr="003A4145" w:rsidR="00AD7D2C" w:rsidP="00467CC0" w:rsidRDefault="00AD7D2C" w14:paraId="4FD16428" w14:textId="4B6E3617">
            <w:r w:rsidRPr="272DC7B3">
              <w:t>14,138</w:t>
            </w:r>
          </w:p>
        </w:tc>
        <w:tc>
          <w:tcPr>
            <w:tcW w:w="1260" w:type="dxa"/>
          </w:tcPr>
          <w:p w:rsidRPr="003A4145" w:rsidR="00AD7D2C" w:rsidP="00467CC0" w:rsidRDefault="00AD7D2C" w14:paraId="2EFC32D1" w14:textId="459F00C5">
            <w:r w:rsidRPr="272DC7B3">
              <w:t>14,780</w:t>
            </w:r>
          </w:p>
        </w:tc>
        <w:tc>
          <w:tcPr>
            <w:tcW w:w="1260" w:type="dxa"/>
          </w:tcPr>
          <w:p w:rsidRPr="003A4145" w:rsidR="00AD7D2C" w:rsidP="00467CC0" w:rsidRDefault="00AD7D2C" w14:paraId="1C363F10" w14:textId="7FED68D8">
            <w:r w:rsidRPr="272DC7B3">
              <w:t>16,065</w:t>
            </w:r>
          </w:p>
        </w:tc>
        <w:tc>
          <w:tcPr>
            <w:tcW w:w="1350" w:type="dxa"/>
          </w:tcPr>
          <w:p w:rsidRPr="003A4145" w:rsidR="00AD7D2C" w:rsidP="00467CC0" w:rsidRDefault="00AD7D2C" w14:paraId="681E190F" w14:textId="28B852CC">
            <w:r>
              <w:t xml:space="preserve">76,427 </w:t>
            </w:r>
          </w:p>
        </w:tc>
      </w:tr>
      <w:tr w:rsidRPr="003A4145" w:rsidR="00AD7D2C" w:rsidTr="00815B6D" w14:paraId="065F85B3" w14:textId="77777777">
        <w:trPr>
          <w:trHeight w:val="270"/>
        </w:trPr>
        <w:tc>
          <w:tcPr>
            <w:tcW w:w="1350" w:type="dxa"/>
          </w:tcPr>
          <w:p w:rsidRPr="003A4145" w:rsidR="00AD7D2C" w:rsidP="00467CC0" w:rsidRDefault="00AD7D2C" w14:paraId="4F771AFD" w14:textId="77777777">
            <w:r w:rsidRPr="003A4145">
              <w:t>Total</w:t>
            </w:r>
          </w:p>
        </w:tc>
        <w:tc>
          <w:tcPr>
            <w:tcW w:w="1170" w:type="dxa"/>
          </w:tcPr>
          <w:p w:rsidRPr="003A4145" w:rsidR="00AD7D2C" w:rsidP="00467CC0" w:rsidRDefault="00AD7D2C" w14:paraId="275346E9" w14:textId="3599ADF5">
            <w:r>
              <w:t xml:space="preserve">159,535 </w:t>
            </w:r>
          </w:p>
        </w:tc>
        <w:tc>
          <w:tcPr>
            <w:tcW w:w="1260" w:type="dxa"/>
          </w:tcPr>
          <w:p w:rsidRPr="003A4145" w:rsidR="00AD7D2C" w:rsidP="00467CC0" w:rsidRDefault="00AD7D2C" w14:paraId="40D41ACE" w14:textId="6AA0D22D">
            <w:r w:rsidRPr="003A4145">
              <w:t>194,751</w:t>
            </w:r>
          </w:p>
        </w:tc>
        <w:tc>
          <w:tcPr>
            <w:tcW w:w="1260" w:type="dxa"/>
          </w:tcPr>
          <w:p w:rsidRPr="003A4145" w:rsidR="00AD7D2C" w:rsidP="00467CC0" w:rsidRDefault="00AD7D2C" w14:paraId="24153996" w14:textId="36AC0B19">
            <w:pPr>
              <w:rPr>
                <w:rFonts w:eastAsiaTheme="minorEastAsia" w:cstheme="minorBidi"/>
              </w:rPr>
            </w:pPr>
            <w:r w:rsidRPr="00FA7826">
              <w:t>179,857</w:t>
            </w:r>
          </w:p>
        </w:tc>
        <w:tc>
          <w:tcPr>
            <w:tcW w:w="1260" w:type="dxa"/>
          </w:tcPr>
          <w:p w:rsidRPr="00AA455C" w:rsidR="00AD7D2C" w:rsidP="00467CC0" w:rsidRDefault="00AD7D2C" w14:paraId="5D4F06C8" w14:textId="35C0340E">
            <w:pPr>
              <w:rPr>
                <w:rFonts w:eastAsiaTheme="minorEastAsia" w:cstheme="minorBidi"/>
                <w:szCs w:val="26"/>
              </w:rPr>
            </w:pPr>
            <w:r w:rsidRPr="00AA455C">
              <w:rPr>
                <w:rFonts w:eastAsia="Book Antiqua" w:cs="Book Antiqua"/>
                <w:color w:val="000000" w:themeColor="text1"/>
                <w:szCs w:val="26"/>
              </w:rPr>
              <w:t>203,773</w:t>
            </w:r>
          </w:p>
        </w:tc>
        <w:tc>
          <w:tcPr>
            <w:tcW w:w="1260" w:type="dxa"/>
          </w:tcPr>
          <w:p w:rsidRPr="003A4145" w:rsidR="00AD7D2C" w:rsidP="00467CC0" w:rsidRDefault="00AD7D2C" w14:paraId="3BC417F3" w14:textId="0CC46CDE">
            <w:r w:rsidRPr="1856E895">
              <w:t>197,083</w:t>
            </w:r>
          </w:p>
        </w:tc>
        <w:tc>
          <w:tcPr>
            <w:tcW w:w="1260" w:type="dxa"/>
          </w:tcPr>
          <w:p w:rsidRPr="003A4145" w:rsidR="00AD7D2C" w:rsidP="00467CC0" w:rsidRDefault="00AD7D2C" w14:paraId="6CD79154" w14:textId="6691353F">
            <w:r w:rsidRPr="1856E895">
              <w:t>193,807</w:t>
            </w:r>
          </w:p>
        </w:tc>
        <w:tc>
          <w:tcPr>
            <w:tcW w:w="1350" w:type="dxa"/>
          </w:tcPr>
          <w:p w:rsidRPr="003A4145" w:rsidR="00AD7D2C" w:rsidP="00467CC0" w:rsidRDefault="00AD7D2C" w14:paraId="24EF2B5E" w14:textId="63B37322">
            <w:r>
              <w:t>1,128,805</w:t>
            </w:r>
          </w:p>
        </w:tc>
      </w:tr>
    </w:tbl>
    <w:p w:rsidRPr="00467CC0" w:rsidR="000C1980" w:rsidP="00467CC0" w:rsidRDefault="000C1980" w14:paraId="1998E19F" w14:textId="77777777">
      <w:pPr>
        <w:rPr>
          <w:rStyle w:val="normaltextrun"/>
        </w:rPr>
      </w:pPr>
    </w:p>
    <w:p w:rsidRPr="00C076DC" w:rsidR="000C1980" w:rsidP="001968DC" w:rsidRDefault="000C1980" w14:paraId="19145014" w14:textId="143BDAF8">
      <w:pPr>
        <w:pStyle w:val="Heading4"/>
        <w:ind w:left="3600"/>
      </w:pPr>
      <w:bookmarkStart w:name="_Toc69948054" w:id="395"/>
      <w:r w:rsidRPr="00C076DC">
        <w:t xml:space="preserve">Household Penetration Goal: </w:t>
      </w:r>
      <w:r w:rsidRPr="00C076DC">
        <w:rPr>
          <w:u w:val="single"/>
        </w:rPr>
        <w:t>Denied</w:t>
      </w:r>
      <w:bookmarkEnd w:id="395"/>
    </w:p>
    <w:p w:rsidR="000C1980" w:rsidP="000D3EBD" w:rsidRDefault="000C1980" w14:paraId="3B50D566" w14:textId="77777777">
      <w:pPr>
        <w:pStyle w:val="Standard"/>
      </w:pPr>
      <w:r>
        <w:t>We deny TU</w:t>
      </w:r>
      <w:r w:rsidRPr="003174F2">
        <w:t>RN</w:t>
      </w:r>
      <w:r>
        <w:t xml:space="preserve">’s recommendation to establish a </w:t>
      </w:r>
      <w:r w:rsidRPr="003174F2">
        <w:t xml:space="preserve">goal for </w:t>
      </w:r>
      <w:r w:rsidRPr="00281014">
        <w:t>participation as a percent of total eligible customers</w:t>
      </w:r>
      <w:r>
        <w:t>, or a household penetration goal due to lack of support.  TURN does not propose a percentage at which this goal should be set at, and we are not convinced that this metric of evaluating treatment levels is any more effective than setting household treatment targets.</w:t>
      </w:r>
    </w:p>
    <w:p w:rsidR="000C1980" w:rsidP="001968DC" w:rsidRDefault="000C1980" w14:paraId="2717847F" w14:textId="77777777">
      <w:pPr>
        <w:pStyle w:val="Heading2"/>
        <w:ind w:left="1728"/>
      </w:pPr>
      <w:bookmarkStart w:name="_Toc65342698" w:id="396"/>
      <w:bookmarkStart w:name="_Toc65342699" w:id="397"/>
      <w:bookmarkStart w:name="_Toc65342700" w:id="398"/>
      <w:bookmarkStart w:name="_Toc69948055" w:id="399"/>
      <w:bookmarkEnd w:id="396"/>
      <w:bookmarkEnd w:id="397"/>
      <w:bookmarkEnd w:id="398"/>
      <w:r>
        <w:t xml:space="preserve">ESA Cost </w:t>
      </w:r>
      <w:r w:rsidRPr="00A123D0">
        <w:t>Effectiveness</w:t>
      </w:r>
      <w:bookmarkEnd w:id="399"/>
      <w:r>
        <w:t xml:space="preserve"> </w:t>
      </w:r>
    </w:p>
    <w:p w:rsidR="000C1980" w:rsidP="001968DC" w:rsidRDefault="000C1980" w14:paraId="4C42B8D4" w14:textId="77777777">
      <w:pPr>
        <w:pStyle w:val="Heading3"/>
        <w:ind w:left="2664"/>
      </w:pPr>
      <w:bookmarkStart w:name="_Toc69948056" w:id="400"/>
      <w:r>
        <w:t>Background</w:t>
      </w:r>
      <w:bookmarkEnd w:id="400"/>
    </w:p>
    <w:p w:rsidR="000C1980" w:rsidP="000D3EBD" w:rsidRDefault="000C1980" w14:paraId="36B97BCD" w14:textId="7654C51A">
      <w:pPr>
        <w:pStyle w:val="Standard"/>
      </w:pPr>
      <w:r>
        <w:t xml:space="preserve">Public </w:t>
      </w:r>
      <w:r w:rsidRPr="00777799">
        <w:t>Util.</w:t>
      </w:r>
      <w:r>
        <w:t xml:space="preserve"> </w:t>
      </w:r>
      <w:r w:rsidRPr="00271F2E">
        <w:t xml:space="preserve">Code </w:t>
      </w:r>
      <w:r>
        <w:t xml:space="preserve">Section </w:t>
      </w:r>
      <w:r w:rsidRPr="00271F2E">
        <w:t>2790</w:t>
      </w:r>
      <w:r>
        <w:t xml:space="preserve"> states that the ESA program </w:t>
      </w:r>
      <w:r w:rsidRPr="00271F2E">
        <w:t>should “</w:t>
      </w:r>
      <w:proofErr w:type="spellStart"/>
      <w:r w:rsidRPr="00271F2E">
        <w:t>tak</w:t>
      </w:r>
      <w:proofErr w:type="spellEnd"/>
      <w:r w:rsidRPr="00271F2E">
        <w:t>[e] into consideration both the cost-effectiveness of the services and the policy of reducing the hardships facing low</w:t>
      </w:r>
      <w:r w:rsidR="008B4E70">
        <w:t>-</w:t>
      </w:r>
      <w:r w:rsidRPr="00271F2E">
        <w:t>income households.”</w:t>
      </w:r>
      <w:r>
        <w:t xml:space="preserve">  In trying to balance </w:t>
      </w:r>
      <w:r>
        <w:lastRenderedPageBreak/>
        <w:t>energy savings, program costs, and HCS benefits, the Commission has attempted to determine the appropriate level of cost effectiveness for the ESA program without significantly compromising these competing efforts.  Currently the ESA program does not set a specific portfolio cost effectiveness threshold or goal, although past decisions have placed cost effectiveness level thresholds at the measure level.</w:t>
      </w:r>
      <w:r>
        <w:rPr>
          <w:rStyle w:val="FootnoteReference"/>
        </w:rPr>
        <w:footnoteReference w:id="552"/>
      </w:r>
      <w:r>
        <w:t xml:space="preserve">  </w:t>
      </w:r>
    </w:p>
    <w:p w:rsidRPr="00F2607B" w:rsidR="000C1980" w:rsidP="000D3EBD" w:rsidRDefault="000C1980" w14:paraId="04CF38B3" w14:textId="77777777">
      <w:pPr>
        <w:pStyle w:val="Standard"/>
      </w:pPr>
      <w:r>
        <w:t xml:space="preserve">Currently, two </w:t>
      </w:r>
      <w:r w:rsidRPr="00CB3EB3">
        <w:t>adopted tests</w:t>
      </w:r>
      <w:r>
        <w:t xml:space="preserve"> are used to measure cost effectiveness of the program: </w:t>
      </w:r>
      <w:r w:rsidRPr="00CB3EB3">
        <w:t xml:space="preserve"> the ESA</w:t>
      </w:r>
      <w:r>
        <w:t xml:space="preserve"> </w:t>
      </w:r>
      <w:r w:rsidRPr="00CB3EB3">
        <w:t>C</w:t>
      </w:r>
      <w:r>
        <w:t xml:space="preserve">ost </w:t>
      </w:r>
      <w:r w:rsidRPr="00CB3EB3">
        <w:t>E</w:t>
      </w:r>
      <w:r>
        <w:t xml:space="preserve">ffectiveness </w:t>
      </w:r>
      <w:r w:rsidRPr="00CB3EB3">
        <w:t>T</w:t>
      </w:r>
      <w:r>
        <w:t>est (ESACET)</w:t>
      </w:r>
      <w:r w:rsidRPr="00CB3EB3">
        <w:t xml:space="preserve"> and the Resource </w:t>
      </w:r>
      <w:r>
        <w:t>Test</w:t>
      </w:r>
      <w:r w:rsidRPr="00B2381E">
        <w:t xml:space="preserve"> </w:t>
      </w:r>
      <w:r>
        <w:t xml:space="preserve">(formerly called Resource TRC).  Both are </w:t>
      </w:r>
      <w:r w:rsidRPr="00CB3EB3">
        <w:t xml:space="preserve">used for information purposes only and </w:t>
      </w:r>
      <w:r>
        <w:t xml:space="preserve">are not </w:t>
      </w:r>
      <w:r w:rsidRPr="00CB3EB3">
        <w:t>used for program approval</w:t>
      </w:r>
      <w:r>
        <w:t>.  The current</w:t>
      </w:r>
      <w:r w:rsidRPr="00042599">
        <w:t xml:space="preserve"> ESA</w:t>
      </w:r>
      <w:r>
        <w:t>CET</w:t>
      </w:r>
      <w:r w:rsidRPr="00042599">
        <w:t xml:space="preserve"> is the primary cost effectiveness test for the program and includes all measures and all known benefits and costs, including NEBs and administrative costs</w:t>
      </w:r>
      <w:r>
        <w:t xml:space="preserve">.  </w:t>
      </w:r>
      <w:r w:rsidRPr="006B2A3F">
        <w:t>This test includes both “resource” (</w:t>
      </w:r>
      <w:r w:rsidRPr="006B7E5A">
        <w:t>now defined as energy saving measures</w:t>
      </w:r>
      <w:r w:rsidRPr="006B2A3F">
        <w:t>) and “non-resource” measures (</w:t>
      </w:r>
      <w:r w:rsidRPr="006B7E5A">
        <w:t>now defined as</w:t>
      </w:r>
      <w:r w:rsidRPr="006B2A3F">
        <w:t xml:space="preserve"> HCS</w:t>
      </w:r>
      <w:r w:rsidRPr="006B7E5A">
        <w:t xml:space="preserve"> measures</w:t>
      </w:r>
      <w:r w:rsidRPr="006B2A3F">
        <w:t>).</w:t>
      </w:r>
      <w:r>
        <w:rPr>
          <w:rStyle w:val="FootnoteReference"/>
        </w:rPr>
        <w:footnoteReference w:id="553"/>
      </w:r>
      <w:r w:rsidRPr="00042599">
        <w:t xml:space="preserve"> </w:t>
      </w:r>
      <w:r>
        <w:t xml:space="preserve"> The</w:t>
      </w:r>
      <w:r w:rsidRPr="00042599">
        <w:t xml:space="preserve"> Resource </w:t>
      </w:r>
      <w:r>
        <w:t>Test</w:t>
      </w:r>
      <w:r w:rsidRPr="00042599">
        <w:t xml:space="preserve"> includes only avoided cost benefits and the installation costs for </w:t>
      </w:r>
      <w:r>
        <w:t xml:space="preserve">energy saving measures.  </w:t>
      </w:r>
      <w:r w:rsidRPr="00042599">
        <w:t xml:space="preserve">The two tests are not comparable, but the Resource </w:t>
      </w:r>
      <w:r>
        <w:t>Test</w:t>
      </w:r>
      <w:r w:rsidRPr="00042599">
        <w:t xml:space="preserve"> does provide some information on the contribution of </w:t>
      </w:r>
      <w:r>
        <w:t>energy saving</w:t>
      </w:r>
      <w:r w:rsidRPr="00042599">
        <w:t xml:space="preserve"> measures to the program.</w:t>
      </w:r>
      <w:r>
        <w:t xml:space="preserve">  Below are the formulas for </w:t>
      </w:r>
      <w:r w:rsidRPr="00F2607B">
        <w:t>both cost effectiveness tests.</w:t>
      </w:r>
    </w:p>
    <w:p w:rsidRPr="00EE33EA" w:rsidR="000C1980" w:rsidP="0023091F" w:rsidRDefault="000C1980" w14:paraId="1CBEDA9C" w14:textId="77777777">
      <w:pPr>
        <w:pStyle w:val="ALJBodyText"/>
      </w:pPr>
      <m:oMath>
        <m:r>
          <w:rPr>
            <w:rFonts w:ascii="Cambria Math" w:hAnsi="Cambria Math"/>
          </w:rPr>
          <m:t>ESACET</m:t>
        </m:r>
        <m:r>
          <m:rPr>
            <m:sty m:val="p"/>
          </m:rPr>
          <w:rPr>
            <w:rFonts w:ascii="Cambria Math" w:hAnsi="Cambria Math"/>
          </w:rPr>
          <m:t xml:space="preserve">= </m:t>
        </m:r>
        <m:f>
          <m:fPr>
            <m:ctrlPr>
              <w:rPr>
                <w:rFonts w:ascii="Cambria Math" w:hAnsi="Cambria Math"/>
              </w:rPr>
            </m:ctrlPr>
          </m:fPr>
          <m:num>
            <m:r>
              <w:rPr>
                <w:rFonts w:ascii="Cambria Math" w:hAnsi="Cambria Math"/>
              </w:rPr>
              <m:t>Avoided</m:t>
            </m:r>
            <m:r>
              <m:rPr>
                <m:sty m:val="p"/>
              </m:rPr>
              <w:rPr>
                <w:rFonts w:ascii="Cambria Math" w:hAnsi="Cambria Math"/>
              </w:rPr>
              <m:t xml:space="preserve"> </m:t>
            </m:r>
            <m:r>
              <w:rPr>
                <w:rFonts w:ascii="Cambria Math" w:hAnsi="Cambria Math"/>
              </w:rPr>
              <m:t>costs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supplying</m:t>
            </m:r>
            <m:r>
              <m:rPr>
                <m:sty m:val="p"/>
              </m:rPr>
              <w:rPr>
                <w:rFonts w:ascii="Cambria Math" w:hAnsi="Cambria Math"/>
              </w:rPr>
              <m:t xml:space="preserve"> </m:t>
            </m:r>
            <m:r>
              <w:rPr>
                <w:rFonts w:ascii="Cambria Math" w:hAnsi="Cambria Math"/>
              </w:rPr>
              <m:t>enegy</m:t>
            </m:r>
            <m:r>
              <m:rPr>
                <m:sty m:val="p"/>
              </m:rPr>
              <w:rPr>
                <w:rFonts w:ascii="Cambria Math" w:hAnsi="Cambria Math"/>
              </w:rPr>
              <m:t>​+</m:t>
            </m:r>
            <m:r>
              <w:rPr>
                <w:rFonts w:ascii="Cambria Math" w:hAnsi="Cambria Math"/>
              </w:rPr>
              <m:t>Participant</m:t>
            </m:r>
            <m:r>
              <m:rPr>
                <m:sty m:val="p"/>
              </m:rPr>
              <w:rPr>
                <w:rFonts w:ascii="Cambria Math" w:hAnsi="Cambria Math"/>
              </w:rPr>
              <m:t xml:space="preserve"> </m:t>
            </m:r>
            <m:r>
              <w:rPr>
                <w:rFonts w:ascii="Cambria Math" w:hAnsi="Cambria Math"/>
              </w:rPr>
              <m:t>NEBs</m:t>
            </m:r>
            <m:r>
              <m:rPr>
                <m:sty m:val="p"/>
              </m:rPr>
              <w:rPr>
                <w:rFonts w:ascii="Cambria Math" w:hAnsi="Cambria Math"/>
              </w:rPr>
              <m:t>+</m:t>
            </m:r>
            <m:r>
              <w:rPr>
                <w:rFonts w:ascii="Cambria Math" w:hAnsi="Cambria Math"/>
              </w:rPr>
              <m:t>Utility</m:t>
            </m:r>
            <m:r>
              <m:rPr>
                <m:sty m:val="p"/>
              </m:rPr>
              <w:rPr>
                <w:rFonts w:ascii="Cambria Math" w:hAnsi="Cambria Math"/>
              </w:rPr>
              <m:t xml:space="preserve"> </m:t>
            </m:r>
            <m:r>
              <w:rPr>
                <w:rFonts w:ascii="Cambria Math" w:hAnsi="Cambria Math"/>
              </w:rPr>
              <m:t>NEBs</m:t>
            </m:r>
          </m:num>
          <m:den>
            <m:r>
              <w:rPr>
                <w:rFonts w:ascii="Cambria Math" w:hAnsi="Cambria Math"/>
              </w:rPr>
              <m:t>Measure</m:t>
            </m:r>
            <m:r>
              <m:rPr>
                <m:sty m:val="p"/>
              </m:rPr>
              <w:rPr>
                <w:rFonts w:ascii="Cambria Math" w:hAnsi="Cambria Math"/>
              </w:rPr>
              <m:t xml:space="preserve"> </m:t>
            </m:r>
            <m:r>
              <w:rPr>
                <w:rFonts w:ascii="Cambria Math" w:hAnsi="Cambria Math"/>
              </w:rPr>
              <m:t>Installation</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Program</m:t>
            </m:r>
            <m:r>
              <m:rPr>
                <m:sty m:val="p"/>
              </m:rPr>
              <w:rPr>
                <w:rFonts w:ascii="Cambria Math" w:hAnsi="Cambria Math"/>
              </w:rPr>
              <m:t xml:space="preserve"> </m:t>
            </m:r>
            <m:r>
              <w:rPr>
                <w:rFonts w:ascii="Cambria Math" w:hAnsi="Cambria Math"/>
              </w:rPr>
              <m:t>Administrative</m:t>
            </m:r>
            <m:r>
              <m:rPr>
                <m:sty m:val="p"/>
              </m:rPr>
              <w:rPr>
                <w:rFonts w:ascii="Cambria Math" w:hAnsi="Cambria Math"/>
              </w:rPr>
              <m:t xml:space="preserve"> </m:t>
            </m:r>
            <m:r>
              <w:rPr>
                <w:rFonts w:ascii="Cambria Math" w:hAnsi="Cambria Math"/>
              </w:rPr>
              <m:t>Costs</m:t>
            </m:r>
          </m:den>
        </m:f>
      </m:oMath>
      <w:r w:rsidRPr="00EE33EA">
        <w:t xml:space="preserve"> </w:t>
      </w:r>
    </w:p>
    <w:p w:rsidRPr="00EE33EA" w:rsidR="000C1980" w:rsidP="0023091F" w:rsidRDefault="000C1980" w14:paraId="60D55342" w14:textId="77777777">
      <w:pPr>
        <w:pStyle w:val="ALJBodyText"/>
      </w:pPr>
    </w:p>
    <w:p w:rsidRPr="00EE33EA" w:rsidR="000C1980" w:rsidP="0023091F" w:rsidRDefault="000C1980" w14:paraId="72E7FAD7" w14:textId="77777777">
      <w:pPr>
        <w:pStyle w:val="ALJBodyText"/>
      </w:pPr>
      <m:oMathPara>
        <m:oMath>
          <m:r>
            <w:rPr>
              <w:rFonts w:ascii="Cambria Math" w:hAnsi="Cambria Math"/>
            </w:rPr>
            <m:t>Resource</m:t>
          </m:r>
          <m:r>
            <m:rPr>
              <m:sty m:val="p"/>
            </m:rPr>
            <w:rPr>
              <w:rFonts w:ascii="Cambria Math" w:hAnsi="Cambria Math"/>
            </w:rPr>
            <m:t xml:space="preserve"> </m:t>
          </m:r>
          <m:r>
            <w:rPr>
              <w:rFonts w:ascii="Cambria Math" w:hAnsi="Cambria Math"/>
            </w:rPr>
            <m:t>Test</m:t>
          </m:r>
          <m:r>
            <m:rPr>
              <m:sty m:val="p"/>
            </m:rPr>
            <w:rPr>
              <w:rFonts w:ascii="Cambria Math" w:hAnsi="Cambria Math"/>
            </w:rPr>
            <m:t xml:space="preserve">= </m:t>
          </m:r>
          <m:f>
            <m:fPr>
              <m:ctrlPr>
                <w:rPr>
                  <w:rFonts w:ascii="Cambria Math" w:hAnsi="Cambria Math"/>
                </w:rPr>
              </m:ctrlPr>
            </m:fPr>
            <m:num>
              <m:r>
                <w:rPr>
                  <w:rFonts w:ascii="Cambria Math" w:hAnsi="Cambria Math"/>
                </w:rPr>
                <m:t>Avoided</m:t>
              </m:r>
              <m:r>
                <m:rPr>
                  <m:sty m:val="p"/>
                </m:rPr>
                <w:rPr>
                  <w:rFonts w:ascii="Cambria Math" w:hAnsi="Cambria Math"/>
                </w:rPr>
                <m:t xml:space="preserve"> </m:t>
              </m:r>
              <m:r>
                <w:rPr>
                  <w:rFonts w:ascii="Cambria Math" w:hAnsi="Cambria Math"/>
                </w:rPr>
                <m:t>costs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supplying</m:t>
              </m:r>
              <m:r>
                <m:rPr>
                  <m:sty m:val="p"/>
                </m:rPr>
                <w:rPr>
                  <w:rFonts w:ascii="Cambria Math" w:hAnsi="Cambria Math"/>
                </w:rPr>
                <m:t xml:space="preserve"> </m:t>
              </m:r>
              <m:r>
                <w:rPr>
                  <w:rFonts w:ascii="Cambria Math" w:hAnsi="Cambria Math"/>
                </w:rPr>
                <m:t>energy</m:t>
              </m:r>
              <m:r>
                <m:rPr>
                  <m:sty m:val="p"/>
                </m:rPr>
                <w:rPr>
                  <w:rFonts w:ascii="Cambria Math" w:hAnsi="Cambria Math"/>
                </w:rPr>
                <m:t>​</m:t>
              </m:r>
            </m:num>
            <m:den>
              <m:r>
                <w:rPr>
                  <w:rFonts w:ascii="Cambria Math" w:hAnsi="Cambria Math"/>
                </w:rPr>
                <m:t>Measure</m:t>
              </m:r>
              <m:r>
                <m:rPr>
                  <m:sty m:val="p"/>
                </m:rPr>
                <w:rPr>
                  <w:rFonts w:ascii="Cambria Math" w:hAnsi="Cambria Math"/>
                </w:rPr>
                <m:t xml:space="preserve"> </m:t>
              </m:r>
              <m:r>
                <w:rPr>
                  <w:rFonts w:ascii="Cambria Math" w:hAnsi="Cambria Math"/>
                </w:rPr>
                <m:t>Installation</m:t>
              </m:r>
              <m:r>
                <m:rPr>
                  <m:sty m:val="p"/>
                </m:rPr>
                <w:rPr>
                  <w:rFonts w:ascii="Cambria Math" w:hAnsi="Cambria Math"/>
                </w:rPr>
                <m:t xml:space="preserve"> </m:t>
              </m:r>
              <m:r>
                <w:rPr>
                  <w:rFonts w:ascii="Cambria Math" w:hAnsi="Cambria Math"/>
                </w:rPr>
                <m:t>Costs</m:t>
              </m:r>
            </m:den>
          </m:f>
        </m:oMath>
      </m:oMathPara>
    </w:p>
    <w:p w:rsidRPr="000D3EBD" w:rsidR="000C1980" w:rsidP="0023091F" w:rsidRDefault="000C1980" w14:paraId="488F1193" w14:textId="77777777">
      <w:pPr>
        <w:pStyle w:val="ALJBodyText"/>
      </w:pPr>
    </w:p>
    <w:p w:rsidRPr="00A24784" w:rsidR="000C1980" w:rsidP="000D3EBD" w:rsidRDefault="000C1980" w14:paraId="33A21DD4" w14:textId="77777777">
      <w:pPr>
        <w:pStyle w:val="Standard"/>
        <w:rPr>
          <w:szCs w:val="26"/>
        </w:rPr>
      </w:pPr>
      <w:r w:rsidRPr="00F2607B">
        <w:lastRenderedPageBreak/>
        <w:t>Although not specifically mandated to meet a specific cost effectiveness</w:t>
      </w:r>
      <w:r>
        <w:t xml:space="preserve"> level for the program, </w:t>
      </w:r>
      <w:r w:rsidRPr="533FAECE">
        <w:t>the IOUs have been encouraged to seek ways to increase the program’s costs effectiveness, whether through installing measures that yield deeper savings, accurately valuing and accounting for NEBs, or through reduced costs in administration and overhead</w:t>
      </w:r>
      <w:r>
        <w:t xml:space="preserve">.  </w:t>
      </w:r>
      <w:r w:rsidRPr="533FAECE">
        <w:t xml:space="preserve">Some stakeholders have argued that this lack of accountability </w:t>
      </w:r>
      <w:r>
        <w:t>does</w:t>
      </w:r>
      <w:r w:rsidRPr="533FAECE">
        <w:t xml:space="preserve"> not incentiv</w:t>
      </w:r>
      <w:r>
        <w:t>ize</w:t>
      </w:r>
      <w:r w:rsidRPr="533FAECE">
        <w:t xml:space="preserve"> the IOUs enough to push for greater efficiencies by focusing on producing energy savings and demonstrating higher cost-effectiveness; while other have argued setting cost effectiveness goals disproportionately impede HCS objectives</w:t>
      </w:r>
      <w:r>
        <w:t xml:space="preserve">.  </w:t>
      </w:r>
      <w:r w:rsidRPr="533FAECE">
        <w:t>For the 2021-2026 program cycle, the IOUs were asked to discuss the criteria used to compose the proposed portfolio, cost effectiveness of the proposed portfolio, as well as provide justification for including any non-</w:t>
      </w:r>
      <w:proofErr w:type="gramStart"/>
      <w:r w:rsidRPr="533FAECE">
        <w:t>cost effective</w:t>
      </w:r>
      <w:proofErr w:type="gramEnd"/>
      <w:r w:rsidRPr="533FAECE">
        <w:t xml:space="preserve"> measures.</w:t>
      </w:r>
      <w:r w:rsidRPr="533FAECE">
        <w:rPr>
          <w:rStyle w:val="FootnoteReference"/>
          <w:rFonts w:cstheme="minorBidi"/>
        </w:rPr>
        <w:footnoteReference w:id="554"/>
      </w:r>
    </w:p>
    <w:p w:rsidR="000C1980" w:rsidP="001968DC" w:rsidRDefault="000C1980" w14:paraId="6D5F174B" w14:textId="77777777">
      <w:pPr>
        <w:pStyle w:val="Heading3"/>
        <w:ind w:left="2664"/>
      </w:pPr>
      <w:bookmarkStart w:name="_Toc69948057" w:id="401"/>
      <w:r>
        <w:t>PG&amp;E Proposal</w:t>
      </w:r>
      <w:bookmarkEnd w:id="401"/>
    </w:p>
    <w:p w:rsidR="000C1980" w:rsidP="000D3EBD" w:rsidRDefault="000C1980" w14:paraId="740D8ACF" w14:textId="77777777">
      <w:pPr>
        <w:pStyle w:val="Standard"/>
      </w:pPr>
      <w:r w:rsidRPr="00093A9C">
        <w:rPr>
          <w:b/>
          <w:bCs/>
          <w:i/>
          <w:iCs/>
          <w:u w:val="single"/>
        </w:rPr>
        <w:t>ESACET Calculation:</w:t>
      </w:r>
      <w:r>
        <w:t xml:space="preserve"> </w:t>
      </w:r>
      <w:r w:rsidRPr="00042599">
        <w:t xml:space="preserve">PG&amp;E </w:t>
      </w:r>
      <w:r>
        <w:t>proposes an update to the discounting methodology used when calculating ESACET.</w:t>
      </w:r>
      <w:r w:rsidRPr="00042599">
        <w:rPr>
          <w:vertAlign w:val="superscript"/>
        </w:rPr>
        <w:footnoteReference w:id="555"/>
      </w:r>
      <w:r>
        <w:rPr>
          <w:vertAlign w:val="superscript"/>
        </w:rPr>
        <w:t xml:space="preserve">  </w:t>
      </w:r>
      <w:r>
        <w:t>When P</w:t>
      </w:r>
      <w:r w:rsidRPr="00D0268A">
        <w:t>G&amp;E engaged an external consultant to assist with review of its 2021-2026</w:t>
      </w:r>
      <w:r>
        <w:t xml:space="preserve"> </w:t>
      </w:r>
      <w:r w:rsidRPr="00D0268A">
        <w:t>ESACET calculations</w:t>
      </w:r>
      <w:r>
        <w:t>, the</w:t>
      </w:r>
      <w:r w:rsidRPr="00947075">
        <w:t xml:space="preserve"> consultant discovered that as part of the ESACET score calculations used in its application, the Net Present Value (NPV) of the Low</w:t>
      </w:r>
      <w:r>
        <w:t xml:space="preserve"> </w:t>
      </w:r>
      <w:r w:rsidRPr="00947075">
        <w:t>Income Public Purpose Test (LIPPT) model</w:t>
      </w:r>
      <w:r>
        <w:t xml:space="preserve"> (used to calculate Participant and Utility NEBs</w:t>
      </w:r>
      <w:r w:rsidRPr="00947075">
        <w:t xml:space="preserve"> results</w:t>
      </w:r>
      <w:r>
        <w:t>)</w:t>
      </w:r>
      <w:r w:rsidRPr="00947075">
        <w:t xml:space="preserve"> were not aligned with the NPV of the Cost Effectiveness Tool (CET) outputs</w:t>
      </w:r>
      <w:r>
        <w:t xml:space="preserve"> (used to calculate avoided costs of supply energy).</w:t>
      </w:r>
      <w:r w:rsidRPr="00947075">
        <w:t xml:space="preserve">  </w:t>
      </w:r>
      <w:r>
        <w:t xml:space="preserve">The result of this review and PG&amp;E’s recommendation going forward is that the CET be run to calculate NPV results for each program year, instead of having all future program years discounted to </w:t>
      </w:r>
      <w:r>
        <w:lastRenderedPageBreak/>
        <w:t>a single starting year (such as 2020).  PG&amp;E recommends this methodology because it takes advantage of the latest updates to the CET tool, and would require no changes or manual post-processing of data in the LIPPT model</w:t>
      </w:r>
      <w:r w:rsidRPr="00625652">
        <w:t>.</w:t>
      </w:r>
      <w:r>
        <w:rPr>
          <w:rStyle w:val="FootnoteReference"/>
        </w:rPr>
        <w:footnoteReference w:id="556"/>
      </w:r>
      <w:r>
        <w:t xml:space="preserve"> PG&amp;E’s review and recommendation for updating ESACET discounting calculation methodology was done in consultation with SCE, SDG&amp;E and SoCalGas.  </w:t>
      </w:r>
    </w:p>
    <w:p w:rsidR="000C1980" w:rsidP="000D3EBD" w:rsidRDefault="000C1980" w14:paraId="46931D10" w14:textId="39C54BF8">
      <w:pPr>
        <w:pStyle w:val="Standard"/>
      </w:pPr>
      <w:r w:rsidRPr="00B95628">
        <w:rPr>
          <w:b/>
          <w:bCs/>
          <w:i/>
          <w:iCs/>
          <w:u w:val="single"/>
        </w:rPr>
        <w:t>ESACET Threshold</w:t>
      </w:r>
      <w:r>
        <w:rPr>
          <w:b/>
          <w:bCs/>
          <w:i/>
          <w:iCs/>
          <w:u w:val="single"/>
        </w:rPr>
        <w:t xml:space="preserve"> (Portfolio or Measure Level)</w:t>
      </w:r>
      <w:r w:rsidRPr="00B95628">
        <w:rPr>
          <w:b/>
          <w:bCs/>
          <w:i/>
          <w:iCs/>
          <w:u w:val="single"/>
        </w:rPr>
        <w:t>:</w:t>
      </w:r>
      <w:r>
        <w:t xml:space="preserve">  </w:t>
      </w:r>
      <w:r w:rsidRPr="00042599">
        <w:t xml:space="preserve">PG&amp;E </w:t>
      </w:r>
      <w:r>
        <w:t>does not propose applying a cost effectiveness threshold in the program,</w:t>
      </w:r>
      <w:r w:rsidRPr="00042599">
        <w:rPr>
          <w:vertAlign w:val="superscript"/>
        </w:rPr>
        <w:footnoteReference w:id="557"/>
      </w:r>
      <w:r w:rsidRPr="00042599">
        <w:t xml:space="preserve"> </w:t>
      </w:r>
      <w:r>
        <w:t>and states that i</w:t>
      </w:r>
      <w:r w:rsidRPr="00042599">
        <w:t xml:space="preserve">n lieu of a mandatory requirement, PG&amp;E </w:t>
      </w:r>
      <w:r>
        <w:t xml:space="preserve">will continue to </w:t>
      </w:r>
      <w:r w:rsidRPr="00042599">
        <w:t>us</w:t>
      </w:r>
      <w:r>
        <w:t>es</w:t>
      </w:r>
      <w:r w:rsidRPr="00042599">
        <w:t xml:space="preserve"> </w:t>
      </w:r>
      <w:r>
        <w:t>a measure level ESACET score minimum of 0.3 and measure volume to consider measures for removal due to low cost effectiveness</w:t>
      </w:r>
      <w:r w:rsidRPr="00042599">
        <w:t>.</w:t>
      </w:r>
      <w:r>
        <w:rPr>
          <w:rStyle w:val="FootnoteReference"/>
        </w:rPr>
        <w:footnoteReference w:id="558"/>
      </w:r>
      <w:r w:rsidRPr="00042599">
        <w:t xml:space="preserve"> </w:t>
      </w:r>
      <w:r w:rsidR="000D3EBD">
        <w:t xml:space="preserve"> </w:t>
      </w:r>
      <w:r>
        <w:t>G</w:t>
      </w:r>
      <w:r w:rsidRPr="00042599">
        <w:t>enerally, measures that do not meet this cost-effectiveness level are removed from the program</w:t>
      </w:r>
      <w:r>
        <w:t>, with exceptions for s</w:t>
      </w:r>
      <w:r w:rsidRPr="00042599">
        <w:t xml:space="preserve">ome measures </w:t>
      </w:r>
      <w:r>
        <w:t>that</w:t>
      </w:r>
      <w:r w:rsidRPr="00042599">
        <w:t xml:space="preserve"> provide </w:t>
      </w:r>
      <w:r>
        <w:t>HCS</w:t>
      </w:r>
      <w:r w:rsidRPr="00042599">
        <w:t xml:space="preserve"> benefits.</w:t>
      </w:r>
      <w:r w:rsidRPr="00042599">
        <w:rPr>
          <w:vertAlign w:val="superscript"/>
        </w:rPr>
        <w:footnoteReference w:id="559"/>
      </w:r>
      <w:r>
        <w:t xml:space="preserve">  Accordingly, P</w:t>
      </w:r>
      <w:r w:rsidRPr="00042599">
        <w:t xml:space="preserve">G&amp;E </w:t>
      </w:r>
      <w:r>
        <w:t xml:space="preserve">states that they have already made </w:t>
      </w:r>
      <w:r w:rsidRPr="00042599">
        <w:t xml:space="preserve">modifications to </w:t>
      </w:r>
      <w:r>
        <w:t>the measures portfolio</w:t>
      </w:r>
      <w:r w:rsidRPr="00042599">
        <w:t xml:space="preserve"> to increase the potential energy savings for customers, assist in reducing hardship for customers, and minimize the negative impact to the portfolio’s cost effectiveness for high volume measures with significantly reduced energy savings.</w:t>
      </w:r>
      <w:r w:rsidRPr="00042599">
        <w:rPr>
          <w:vertAlign w:val="superscript"/>
        </w:rPr>
        <w:footnoteReference w:id="560"/>
      </w:r>
      <w:r w:rsidRPr="00042599">
        <w:t xml:space="preserve"> </w:t>
      </w:r>
    </w:p>
    <w:p w:rsidR="000C1980" w:rsidP="000D3EBD" w:rsidRDefault="000C1980" w14:paraId="14CEBE04" w14:textId="77777777">
      <w:pPr>
        <w:pStyle w:val="Standard"/>
      </w:pPr>
      <w:r>
        <w:rPr>
          <w:b/>
          <w:bCs/>
          <w:i/>
          <w:iCs/>
          <w:u w:val="single"/>
        </w:rPr>
        <w:t>Other Test Considerations</w:t>
      </w:r>
      <w:r w:rsidRPr="00F01682">
        <w:rPr>
          <w:b/>
          <w:bCs/>
          <w:i/>
          <w:iCs/>
          <w:u w:val="single"/>
        </w:rPr>
        <w:t>:</w:t>
      </w:r>
      <w:r>
        <w:t xml:space="preserve"> P</w:t>
      </w:r>
      <w:r w:rsidRPr="00042599">
        <w:t>G&amp;E propose</w:t>
      </w:r>
      <w:r>
        <w:t>s</w:t>
      </w:r>
      <w:r w:rsidRPr="00042599">
        <w:t xml:space="preserve"> that the Resource Test be discontinued because it must be calculated separately</w:t>
      </w:r>
      <w:r>
        <w:t xml:space="preserve"> and </w:t>
      </w:r>
      <w:r w:rsidRPr="00042599">
        <w:t xml:space="preserve">provides little </w:t>
      </w:r>
      <w:r w:rsidRPr="00042599">
        <w:lastRenderedPageBreak/>
        <w:t>additional value for the extra effort of being calculated separately, when compared with ESACET.</w:t>
      </w:r>
      <w:r w:rsidRPr="00042599">
        <w:rPr>
          <w:vertAlign w:val="superscript"/>
        </w:rPr>
        <w:footnoteReference w:id="561"/>
      </w:r>
      <w:r w:rsidRPr="00492C65">
        <w:t xml:space="preserve"> </w:t>
      </w:r>
    </w:p>
    <w:p w:rsidR="000C1980" w:rsidP="000D3EBD" w:rsidRDefault="000C1980" w14:paraId="5A5C52B4" w14:textId="77777777">
      <w:pPr>
        <w:pStyle w:val="Standard"/>
      </w:pPr>
      <w:r>
        <w:rPr>
          <w:b/>
          <w:bCs/>
          <w:i/>
          <w:iCs/>
          <w:u w:val="single"/>
        </w:rPr>
        <w:t>E</w:t>
      </w:r>
      <w:r w:rsidRPr="007F6851">
        <w:rPr>
          <w:b/>
          <w:bCs/>
          <w:i/>
          <w:iCs/>
          <w:u w:val="single"/>
        </w:rPr>
        <w:t>SACET</w:t>
      </w:r>
      <w:r>
        <w:rPr>
          <w:b/>
          <w:bCs/>
          <w:i/>
          <w:iCs/>
          <w:u w:val="single"/>
        </w:rPr>
        <w:t xml:space="preserve"> Levels </w:t>
      </w:r>
      <w:r w:rsidRPr="007F6851">
        <w:rPr>
          <w:b/>
          <w:bCs/>
          <w:i/>
          <w:iCs/>
          <w:u w:val="single"/>
        </w:rPr>
        <w:t>in 2021-2026:</w:t>
      </w:r>
      <w:r>
        <w:t xml:space="preserve"> Lastly, </w:t>
      </w:r>
      <w:r w:rsidRPr="00042599">
        <w:t xml:space="preserve">PG&amp;E </w:t>
      </w:r>
      <w:r>
        <w:t>notes that b</w:t>
      </w:r>
      <w:r w:rsidRPr="00042599">
        <w:t xml:space="preserve">ecause cost effectiveness is tied to energy savings and energy savings </w:t>
      </w:r>
      <w:r>
        <w:t xml:space="preserve">is </w:t>
      </w:r>
      <w:r w:rsidRPr="00042599">
        <w:t xml:space="preserve">decreasing, the expectation is that cost effectiveness of </w:t>
      </w:r>
      <w:r>
        <w:t xml:space="preserve">PG&amp;E’s </w:t>
      </w:r>
      <w:r w:rsidRPr="00042599">
        <w:t xml:space="preserve">ESA </w:t>
      </w:r>
      <w:r>
        <w:t>p</w:t>
      </w:r>
      <w:r w:rsidRPr="00042599">
        <w:t>rogram will also decrease to unacceptable levels without NEBs factored into the equation.</w:t>
      </w:r>
      <w:r w:rsidRPr="00042599">
        <w:rPr>
          <w:vertAlign w:val="superscript"/>
        </w:rPr>
        <w:footnoteReference w:id="562"/>
      </w:r>
      <w:r>
        <w:t xml:space="preserve">  PG&amp;E’s proposed portfolio estimates an ESACET of 0.53.</w:t>
      </w:r>
    </w:p>
    <w:p w:rsidR="000C1980" w:rsidP="001968DC" w:rsidRDefault="000C1980" w14:paraId="22DDA686" w14:textId="77777777">
      <w:pPr>
        <w:pStyle w:val="Heading3"/>
        <w:ind w:left="2664"/>
      </w:pPr>
      <w:bookmarkStart w:name="_Toc69948058" w:id="402"/>
      <w:r>
        <w:t>SCE Proposal</w:t>
      </w:r>
      <w:bookmarkEnd w:id="402"/>
      <w:r>
        <w:t xml:space="preserve"> </w:t>
      </w:r>
    </w:p>
    <w:p w:rsidR="000C1980" w:rsidP="000D3EBD" w:rsidRDefault="000C1980" w14:paraId="2C4A2212" w14:textId="77777777">
      <w:pPr>
        <w:pStyle w:val="Standard"/>
      </w:pPr>
      <w:r w:rsidRPr="00B71D45">
        <w:rPr>
          <w:b/>
          <w:bCs/>
          <w:i/>
          <w:iCs/>
          <w:u w:val="single"/>
        </w:rPr>
        <w:t>ESACET Calculation:</w:t>
      </w:r>
      <w:r w:rsidRPr="00B71D45">
        <w:t xml:space="preserve"> </w:t>
      </w:r>
      <w:r w:rsidRPr="009B48DD">
        <w:t xml:space="preserve">SCE </w:t>
      </w:r>
      <w:r>
        <w:t>proposes no changes to the ESACET test, stating that it continues to be the</w:t>
      </w:r>
      <w:r w:rsidRPr="009B48DD">
        <w:t xml:space="preserve"> most appropriate measure of cost</w:t>
      </w:r>
      <w:r>
        <w:noBreakHyphen/>
      </w:r>
      <w:r w:rsidRPr="009B48DD">
        <w:t>effectiveness.</w:t>
      </w:r>
      <w:r w:rsidRPr="009B48DD">
        <w:rPr>
          <w:vertAlign w:val="superscript"/>
        </w:rPr>
        <w:footnoteReference w:id="563"/>
      </w:r>
      <w:r w:rsidRPr="009B48DD">
        <w:t xml:space="preserve"> </w:t>
      </w:r>
    </w:p>
    <w:p w:rsidR="000C1980" w:rsidP="000D3EBD" w:rsidRDefault="000C1980" w14:paraId="3309D9A4" w14:textId="77777777">
      <w:pPr>
        <w:pStyle w:val="Standard"/>
      </w:pPr>
      <w:r w:rsidRPr="00B95628">
        <w:rPr>
          <w:b/>
          <w:bCs/>
          <w:i/>
          <w:iCs/>
          <w:u w:val="single"/>
        </w:rPr>
        <w:t>ESACET Threshold</w:t>
      </w:r>
      <w:r>
        <w:rPr>
          <w:b/>
          <w:bCs/>
          <w:i/>
          <w:iCs/>
          <w:u w:val="single"/>
        </w:rPr>
        <w:t xml:space="preserve"> (Portfolio or Measure Level)</w:t>
      </w:r>
      <w:r w:rsidRPr="00B95628">
        <w:rPr>
          <w:b/>
          <w:bCs/>
          <w:i/>
          <w:iCs/>
          <w:u w:val="single"/>
        </w:rPr>
        <w:t>:</w:t>
      </w:r>
      <w:r>
        <w:t xml:space="preserve">  SCE does not propose applying a </w:t>
      </w:r>
      <w:r w:rsidRPr="00042599">
        <w:t xml:space="preserve">mandated cost effectiveness criterion at the portfolio or measure </w:t>
      </w:r>
      <w:bookmarkStart w:name="_Hlk60841138" w:id="403"/>
      <w:r w:rsidRPr="00042599">
        <w:t>level</w:t>
      </w:r>
      <w:r>
        <w:t xml:space="preserve"> but</w:t>
      </w:r>
      <w:r w:rsidRPr="00461561">
        <w:t xml:space="preserve"> expects to still be able to find opportunities for improving the efficiency of </w:t>
      </w:r>
      <w:proofErr w:type="gramStart"/>
      <w:r w:rsidRPr="00461561">
        <w:t>low</w:t>
      </w:r>
      <w:r>
        <w:t xml:space="preserve"> </w:t>
      </w:r>
      <w:r w:rsidRPr="00461561">
        <w:t>income</w:t>
      </w:r>
      <w:proofErr w:type="gramEnd"/>
      <w:r w:rsidRPr="00461561">
        <w:t xml:space="preserve"> households at reduced but acceptable cost effectiveness levels.</w:t>
      </w:r>
      <w:r>
        <w:t xml:space="preserve"> </w:t>
      </w:r>
    </w:p>
    <w:p w:rsidRPr="00E20C9E" w:rsidR="000C1980" w:rsidP="000D3EBD" w:rsidRDefault="000C1980" w14:paraId="1BEF3EE6" w14:textId="77777777">
      <w:pPr>
        <w:pStyle w:val="Standard"/>
      </w:pPr>
      <w:r w:rsidRPr="007F6851">
        <w:rPr>
          <w:b/>
          <w:bCs/>
          <w:i/>
          <w:iCs/>
          <w:u w:val="single"/>
        </w:rPr>
        <w:t xml:space="preserve">ESACET </w:t>
      </w:r>
      <w:r>
        <w:rPr>
          <w:b/>
          <w:bCs/>
          <w:i/>
          <w:iCs/>
          <w:u w:val="single"/>
        </w:rPr>
        <w:t xml:space="preserve">Levels </w:t>
      </w:r>
      <w:r w:rsidRPr="007F6851">
        <w:rPr>
          <w:b/>
          <w:bCs/>
          <w:i/>
          <w:iCs/>
          <w:u w:val="single"/>
        </w:rPr>
        <w:t>in 2021-2026:</w:t>
      </w:r>
      <w:r>
        <w:t xml:space="preserve"> </w:t>
      </w:r>
      <w:r w:rsidRPr="00461561">
        <w:t>SCE propose</w:t>
      </w:r>
      <w:r>
        <w:t>s a new m</w:t>
      </w:r>
      <w:r w:rsidRPr="00461561">
        <w:t>easure</w:t>
      </w:r>
      <w:r>
        <w:t xml:space="preserve"> mix</w:t>
      </w:r>
      <w:r w:rsidRPr="00461561">
        <w:t xml:space="preserve"> </w:t>
      </w:r>
      <w:r>
        <w:t>that is</w:t>
      </w:r>
      <w:r w:rsidRPr="00461561">
        <w:t xml:space="preserve"> expected to provide deeper, longer lasting energy savings</w:t>
      </w:r>
      <w:r>
        <w:t>,</w:t>
      </w:r>
      <w:r w:rsidRPr="00461561">
        <w:rPr>
          <w:vertAlign w:val="superscript"/>
        </w:rPr>
        <w:footnoteReference w:id="564"/>
      </w:r>
      <w:r w:rsidRPr="00461561">
        <w:t xml:space="preserve"> </w:t>
      </w:r>
      <w:r>
        <w:t xml:space="preserve">while </w:t>
      </w:r>
      <w:r w:rsidRPr="00461561">
        <w:t xml:space="preserve">also </w:t>
      </w:r>
      <w:r>
        <w:t>i</w:t>
      </w:r>
      <w:r w:rsidRPr="00461561">
        <w:t>mprov</w:t>
      </w:r>
      <w:r>
        <w:t>ing</w:t>
      </w:r>
      <w:r w:rsidRPr="00461561">
        <w:t xml:space="preserve"> the </w:t>
      </w:r>
      <w:r>
        <w:t>HCS</w:t>
      </w:r>
      <w:r w:rsidRPr="00461561">
        <w:t xml:space="preserve"> of households.</w:t>
      </w:r>
      <w:r w:rsidRPr="00461561">
        <w:rPr>
          <w:vertAlign w:val="superscript"/>
        </w:rPr>
        <w:footnoteReference w:id="565"/>
      </w:r>
      <w:r w:rsidRPr="00461561">
        <w:t xml:space="preserve"> </w:t>
      </w:r>
      <w:r>
        <w:t xml:space="preserve"> SCE’s proposed portfolio estimates an ESACET of 0.63.</w:t>
      </w:r>
    </w:p>
    <w:p w:rsidR="000C1980" w:rsidP="001968DC" w:rsidRDefault="000C1980" w14:paraId="444CBA9F" w14:textId="77777777">
      <w:pPr>
        <w:pStyle w:val="Heading3"/>
        <w:ind w:left="2664"/>
      </w:pPr>
      <w:bookmarkStart w:name="_Toc69948059" w:id="404"/>
      <w:bookmarkEnd w:id="403"/>
      <w:r>
        <w:t>SoCalGas Proposal</w:t>
      </w:r>
      <w:bookmarkEnd w:id="404"/>
      <w:r>
        <w:t xml:space="preserve"> </w:t>
      </w:r>
    </w:p>
    <w:p w:rsidR="000C1980" w:rsidP="000D3EBD" w:rsidRDefault="000C1980" w14:paraId="4EA04106" w14:textId="77777777">
      <w:pPr>
        <w:pStyle w:val="Standard"/>
      </w:pPr>
      <w:bookmarkStart w:name="_Hlk54786040" w:id="405"/>
      <w:r w:rsidRPr="00093A9C">
        <w:rPr>
          <w:b/>
          <w:bCs/>
          <w:i/>
          <w:iCs/>
          <w:u w:val="single"/>
        </w:rPr>
        <w:t>ESACET Calculation:</w:t>
      </w:r>
      <w:r>
        <w:t xml:space="preserve"> SoCalGas</w:t>
      </w:r>
      <w:r w:rsidRPr="00042599">
        <w:t xml:space="preserve"> </w:t>
      </w:r>
      <w:r>
        <w:t xml:space="preserve">proposes no changes the ESACET. </w:t>
      </w:r>
    </w:p>
    <w:p w:rsidR="000C1980" w:rsidP="000D3EBD" w:rsidRDefault="000C1980" w14:paraId="74EB6628" w14:textId="77777777">
      <w:pPr>
        <w:pStyle w:val="Standard"/>
      </w:pPr>
      <w:r w:rsidRPr="00B95628">
        <w:rPr>
          <w:b/>
          <w:bCs/>
          <w:i/>
          <w:iCs/>
          <w:u w:val="single"/>
        </w:rPr>
        <w:lastRenderedPageBreak/>
        <w:t>ESACET Threshold</w:t>
      </w:r>
      <w:r>
        <w:rPr>
          <w:b/>
          <w:bCs/>
          <w:i/>
          <w:iCs/>
          <w:u w:val="single"/>
        </w:rPr>
        <w:t xml:space="preserve"> (Portfolio or Measure Level)</w:t>
      </w:r>
      <w:r w:rsidRPr="00B95628">
        <w:rPr>
          <w:b/>
          <w:bCs/>
          <w:i/>
          <w:iCs/>
          <w:u w:val="single"/>
        </w:rPr>
        <w:t>:</w:t>
      </w:r>
      <w:r>
        <w:t xml:space="preserve">  SoCalGas</w:t>
      </w:r>
      <w:r w:rsidRPr="00042599">
        <w:t xml:space="preserve"> </w:t>
      </w:r>
      <w:r>
        <w:t>does not propose any</w:t>
      </w:r>
      <w:r w:rsidRPr="00042599">
        <w:t xml:space="preserve"> cost effectiveness criterion at the portfolio or measure level</w:t>
      </w:r>
      <w:r>
        <w:t>.</w:t>
      </w:r>
    </w:p>
    <w:p w:rsidRPr="00223470" w:rsidR="000C1980" w:rsidP="000D3EBD" w:rsidRDefault="000C1980" w14:paraId="05BB0AB7" w14:textId="77777777">
      <w:pPr>
        <w:pStyle w:val="Standard"/>
      </w:pPr>
      <w:r w:rsidRPr="007F6851">
        <w:rPr>
          <w:b/>
          <w:bCs/>
          <w:i/>
          <w:iCs/>
          <w:u w:val="single"/>
        </w:rPr>
        <w:t xml:space="preserve">ESACET </w:t>
      </w:r>
      <w:r>
        <w:rPr>
          <w:b/>
          <w:bCs/>
          <w:i/>
          <w:iCs/>
          <w:u w:val="single"/>
        </w:rPr>
        <w:t xml:space="preserve">Levels </w:t>
      </w:r>
      <w:r w:rsidRPr="007F6851">
        <w:rPr>
          <w:b/>
          <w:bCs/>
          <w:i/>
          <w:iCs/>
          <w:u w:val="single"/>
        </w:rPr>
        <w:t>in 2021-2026:</w:t>
      </w:r>
      <w:r>
        <w:t xml:space="preserve"> SoCalGas’ proposed portfolio estimates an ESACET of 0.56.</w:t>
      </w:r>
    </w:p>
    <w:p w:rsidR="000C1980" w:rsidP="001968DC" w:rsidRDefault="000C1980" w14:paraId="7396BD75" w14:textId="77777777">
      <w:pPr>
        <w:pStyle w:val="Heading3"/>
        <w:ind w:left="2664"/>
      </w:pPr>
      <w:bookmarkStart w:name="_Toc69948060" w:id="406"/>
      <w:bookmarkEnd w:id="405"/>
      <w:r>
        <w:t>SDG&amp;E Proposal</w:t>
      </w:r>
      <w:bookmarkEnd w:id="406"/>
      <w:r>
        <w:t xml:space="preserve"> </w:t>
      </w:r>
    </w:p>
    <w:p w:rsidR="000C1980" w:rsidP="000D3EBD" w:rsidRDefault="000C1980" w14:paraId="78EF2D6F" w14:textId="77777777">
      <w:pPr>
        <w:pStyle w:val="Standard"/>
      </w:pPr>
      <w:r w:rsidRPr="00093A9C">
        <w:rPr>
          <w:b/>
          <w:bCs/>
          <w:i/>
          <w:iCs/>
          <w:u w:val="single"/>
        </w:rPr>
        <w:t>ESACET Calculation:</w:t>
      </w:r>
      <w:r>
        <w:t xml:space="preserve"> SDG&amp;E</w:t>
      </w:r>
      <w:r w:rsidRPr="00042599">
        <w:t xml:space="preserve"> </w:t>
      </w:r>
      <w:r>
        <w:t xml:space="preserve">proposes no changes the ESACET. </w:t>
      </w:r>
    </w:p>
    <w:p w:rsidR="000C1980" w:rsidP="000D3EBD" w:rsidRDefault="000C1980" w14:paraId="0AAEE5F3" w14:textId="77777777">
      <w:pPr>
        <w:pStyle w:val="Standard"/>
      </w:pPr>
      <w:r w:rsidRPr="00B95628">
        <w:rPr>
          <w:b/>
          <w:bCs/>
          <w:i/>
          <w:iCs/>
          <w:u w:val="single"/>
        </w:rPr>
        <w:t>ESACET Threshold</w:t>
      </w:r>
      <w:r>
        <w:rPr>
          <w:b/>
          <w:bCs/>
          <w:i/>
          <w:iCs/>
          <w:u w:val="single"/>
        </w:rPr>
        <w:t xml:space="preserve"> (Portfolio or Measure Level)</w:t>
      </w:r>
      <w:r w:rsidRPr="00B95628">
        <w:rPr>
          <w:b/>
          <w:bCs/>
          <w:i/>
          <w:iCs/>
          <w:u w:val="single"/>
        </w:rPr>
        <w:t>:</w:t>
      </w:r>
      <w:r>
        <w:t xml:space="preserve">  SDG&amp;E</w:t>
      </w:r>
      <w:r w:rsidRPr="00042599">
        <w:t xml:space="preserve"> </w:t>
      </w:r>
      <w:r>
        <w:t>does not propose any</w:t>
      </w:r>
      <w:r w:rsidRPr="00042599">
        <w:t xml:space="preserve"> cost effectiveness criterion at the portfolio or measure level</w:t>
      </w:r>
      <w:r>
        <w:t>.</w:t>
      </w:r>
    </w:p>
    <w:p w:rsidRPr="006D3408" w:rsidR="000C1980" w:rsidP="000D3EBD" w:rsidRDefault="000C1980" w14:paraId="72B86108" w14:textId="77777777">
      <w:pPr>
        <w:pStyle w:val="Standard"/>
      </w:pPr>
      <w:r w:rsidRPr="007F6851">
        <w:rPr>
          <w:b/>
          <w:bCs/>
          <w:i/>
          <w:iCs/>
          <w:u w:val="single"/>
        </w:rPr>
        <w:t>ESACET</w:t>
      </w:r>
      <w:r>
        <w:rPr>
          <w:b/>
          <w:bCs/>
          <w:i/>
          <w:iCs/>
          <w:u w:val="single"/>
        </w:rPr>
        <w:t xml:space="preserve"> Levels</w:t>
      </w:r>
      <w:r w:rsidRPr="007F6851">
        <w:rPr>
          <w:b/>
          <w:bCs/>
          <w:i/>
          <w:iCs/>
          <w:u w:val="single"/>
        </w:rPr>
        <w:t xml:space="preserve"> in 2021-2026:</w:t>
      </w:r>
      <w:r>
        <w:t xml:space="preserve"> SDG&amp;E’s proposed portfolio estimates an ESACET of 0.70.</w:t>
      </w:r>
    </w:p>
    <w:p w:rsidR="000C1980" w:rsidP="001968DC" w:rsidRDefault="000C1980" w14:paraId="266F743B" w14:textId="77777777">
      <w:pPr>
        <w:pStyle w:val="Heading3"/>
        <w:ind w:left="2664"/>
      </w:pPr>
      <w:bookmarkStart w:name="_Toc69948061" w:id="407"/>
      <w:r>
        <w:t>Party Positions</w:t>
      </w:r>
      <w:bookmarkEnd w:id="407"/>
    </w:p>
    <w:p w:rsidR="000C1980" w:rsidP="001968DC" w:rsidRDefault="000C1980" w14:paraId="1CCACCE2" w14:textId="77777777">
      <w:pPr>
        <w:pStyle w:val="Heading4"/>
        <w:ind w:left="3600"/>
      </w:pPr>
      <w:bookmarkStart w:name="_Toc69948062" w:id="408"/>
      <w:r>
        <w:t>Cal Advocates</w:t>
      </w:r>
      <w:bookmarkEnd w:id="408"/>
    </w:p>
    <w:p w:rsidRPr="005517C1" w:rsidR="000C1980" w:rsidP="000D3EBD" w:rsidRDefault="000C1980" w14:paraId="2B22BE96" w14:textId="77777777">
      <w:pPr>
        <w:pStyle w:val="Standard"/>
      </w:pPr>
      <w:r w:rsidRPr="0065426F">
        <w:rPr>
          <w:b/>
          <w:bCs/>
          <w:i/>
          <w:iCs/>
          <w:u w:val="single"/>
        </w:rPr>
        <w:t>ESACET Threshold</w:t>
      </w:r>
      <w:r>
        <w:rPr>
          <w:b/>
          <w:bCs/>
          <w:i/>
          <w:iCs/>
          <w:u w:val="single"/>
        </w:rPr>
        <w:t xml:space="preserve"> (Portfolio Level)</w:t>
      </w:r>
      <w:r w:rsidRPr="0065426F">
        <w:rPr>
          <w:b/>
          <w:bCs/>
          <w:i/>
          <w:iCs/>
          <w:u w:val="single"/>
        </w:rPr>
        <w:t>:</w:t>
      </w:r>
      <w:r>
        <w:t xml:space="preserve"> </w:t>
      </w:r>
      <w:r w:rsidRPr="75456E51">
        <w:t>Cal</w:t>
      </w:r>
      <w:r>
        <w:t xml:space="preserve"> Advocates</w:t>
      </w:r>
      <w:r w:rsidRPr="75456E51">
        <w:t xml:space="preserve"> </w:t>
      </w:r>
      <w:r>
        <w:t xml:space="preserve">proposes an ESACET </w:t>
      </w:r>
      <w:r w:rsidRPr="00B57B3F">
        <w:t xml:space="preserve">threshold of 1.0 </w:t>
      </w:r>
      <w:r>
        <w:t xml:space="preserve">for </w:t>
      </w:r>
      <w:r w:rsidRPr="00B57B3F">
        <w:t>the</w:t>
      </w:r>
      <w:r>
        <w:t xml:space="preserve"> </w:t>
      </w:r>
      <w:r w:rsidRPr="00B57B3F">
        <w:t>portfolio of resource measures</w:t>
      </w:r>
      <w:r>
        <w:t>,</w:t>
      </w:r>
      <w:r>
        <w:rPr>
          <w:rStyle w:val="FootnoteReference"/>
        </w:rPr>
        <w:footnoteReference w:id="566"/>
      </w:r>
      <w:r w:rsidRPr="00B57B3F">
        <w:t xml:space="preserve"> </w:t>
      </w:r>
      <w:r>
        <w:t xml:space="preserve">arguing that the </w:t>
      </w:r>
      <w:r w:rsidRPr="00B57B3F">
        <w:t>1.0</w:t>
      </w:r>
      <w:r>
        <w:t> </w:t>
      </w:r>
      <w:r w:rsidRPr="00B57B3F">
        <w:t>threshold and treatment of HCS</w:t>
      </w:r>
      <w:r>
        <w:t xml:space="preserve"> </w:t>
      </w:r>
      <w:r w:rsidRPr="00B57B3F">
        <w:t>objectives will ensure that all benefits from the portfolio of resource measures are at least</w:t>
      </w:r>
      <w:r>
        <w:t xml:space="preserve"> </w:t>
      </w:r>
      <w:r w:rsidRPr="00B57B3F">
        <w:t>equivalent to their costs without discouraging HCS benefits</w:t>
      </w:r>
      <w:r>
        <w:t xml:space="preserve">.  </w:t>
      </w:r>
      <w:r w:rsidRPr="75456E51">
        <w:t>Cal</w:t>
      </w:r>
      <w:r>
        <w:t xml:space="preserve"> Advocates</w:t>
      </w:r>
      <w:r w:rsidRPr="75456E51">
        <w:t xml:space="preserve"> </w:t>
      </w:r>
      <w:r>
        <w:t>claims that implementing a</w:t>
      </w:r>
      <w:r w:rsidRPr="00B57B3F">
        <w:t xml:space="preserve"> cost</w:t>
      </w:r>
      <w:r>
        <w:noBreakHyphen/>
      </w:r>
      <w:r w:rsidRPr="00B57B3F">
        <w:t xml:space="preserve">effectiveness threshold </w:t>
      </w:r>
      <w:r>
        <w:t xml:space="preserve">will 1) </w:t>
      </w:r>
      <w:r w:rsidRPr="00B57B3F">
        <w:t>focus treatments on homes where the aggregate benefits of such treatments are greater than their costs</w:t>
      </w:r>
      <w:r>
        <w:t xml:space="preserve">, 2) is </w:t>
      </w:r>
      <w:r w:rsidRPr="00B57B3F">
        <w:t xml:space="preserve">consistent with the Energy Division Staff Proposal’s shift </w:t>
      </w:r>
      <w:r>
        <w:t xml:space="preserve">to </w:t>
      </w:r>
      <w:r w:rsidRPr="00B57B3F">
        <w:t>deeper energy savings</w:t>
      </w:r>
      <w:r>
        <w:t>,</w:t>
      </w:r>
      <w:r>
        <w:rPr>
          <w:rStyle w:val="FootnoteReference"/>
        </w:rPr>
        <w:footnoteReference w:id="567"/>
      </w:r>
      <w:r>
        <w:t xml:space="preserve"> and 3) will </w:t>
      </w:r>
      <w:r w:rsidRPr="00B57B3F">
        <w:t>maximize total funding,</w:t>
      </w:r>
      <w:r>
        <w:t xml:space="preserve"> while</w:t>
      </w:r>
      <w:r w:rsidRPr="00B57B3F">
        <w:t xml:space="preserve"> free</w:t>
      </w:r>
      <w:r>
        <w:t>ing</w:t>
      </w:r>
      <w:r w:rsidRPr="00B57B3F">
        <w:t xml:space="preserve"> up funding for other, more cost</w:t>
      </w:r>
      <w:r>
        <w:noBreakHyphen/>
      </w:r>
      <w:r w:rsidRPr="00B57B3F">
        <w:t>effective low</w:t>
      </w:r>
      <w:r>
        <w:t xml:space="preserve"> </w:t>
      </w:r>
      <w:r w:rsidRPr="00B57B3F">
        <w:t>income</w:t>
      </w:r>
      <w:r>
        <w:t xml:space="preserve"> </w:t>
      </w:r>
      <w:r w:rsidRPr="00B57B3F">
        <w:t>programs.</w:t>
      </w:r>
      <w:r>
        <w:rPr>
          <w:rStyle w:val="FootnoteReference"/>
        </w:rPr>
        <w:footnoteReference w:id="568"/>
      </w:r>
      <w:r w:rsidRPr="00096835">
        <w:t xml:space="preserve"> </w:t>
      </w:r>
      <w:r>
        <w:t xml:space="preserve"> </w:t>
      </w:r>
      <w:r w:rsidRPr="005517C1">
        <w:t xml:space="preserve">Cal Advocates </w:t>
      </w:r>
      <w:r>
        <w:t xml:space="preserve">support this recommendation by </w:t>
      </w:r>
      <w:r w:rsidRPr="005517C1">
        <w:t>argu</w:t>
      </w:r>
      <w:r>
        <w:t xml:space="preserve">ing that the ESA program has historically adopted a </w:t>
      </w:r>
      <w:r>
        <w:lastRenderedPageBreak/>
        <w:t>c</w:t>
      </w:r>
      <w:r w:rsidRPr="005517C1">
        <w:t>ost-effectiveness threshold in the ESA program</w:t>
      </w:r>
      <w:r>
        <w:t xml:space="preserve"> </w:t>
      </w:r>
      <w:r w:rsidRPr="005517C1">
        <w:t>in prior program years</w:t>
      </w:r>
      <w:r>
        <w:t>.  F</w:t>
      </w:r>
      <w:r w:rsidRPr="005517C1">
        <w:t>or PYs</w:t>
      </w:r>
      <w:r>
        <w:t> </w:t>
      </w:r>
      <w:r w:rsidRPr="005517C1">
        <w:t>2009-2011, the Commission adopted a measure level cost-effectiveness threshold of 0.25 (using the Utility Cost Test and Modified Participant Cost)</w:t>
      </w:r>
      <w:r>
        <w:t>,</w:t>
      </w:r>
      <w:r w:rsidRPr="005517C1">
        <w:rPr>
          <w:vertAlign w:val="superscript"/>
        </w:rPr>
        <w:footnoteReference w:id="569"/>
      </w:r>
      <w:r w:rsidRPr="005517C1">
        <w:t xml:space="preserve"> </w:t>
      </w:r>
      <w:r>
        <w:t>which was later modified</w:t>
      </w:r>
      <w:r w:rsidRPr="005517C1">
        <w:t xml:space="preserve"> pursuant to recommendations from the Cost</w:t>
      </w:r>
      <w:r>
        <w:noBreakHyphen/>
      </w:r>
      <w:r w:rsidRPr="005517C1">
        <w:t>Effectiveness Working Group</w:t>
      </w:r>
      <w:r>
        <w:t>.</w:t>
      </w:r>
      <w:r w:rsidRPr="005517C1">
        <w:rPr>
          <w:vertAlign w:val="superscript"/>
        </w:rPr>
        <w:footnoteReference w:id="570"/>
      </w:r>
      <w:r w:rsidRPr="005517C1">
        <w:t xml:space="preserve"> </w:t>
      </w:r>
      <w:r>
        <w:t xml:space="preserve"> In place of a </w:t>
      </w:r>
      <w:r w:rsidRPr="005517C1">
        <w:t>measure level cost</w:t>
      </w:r>
      <w:r>
        <w:noBreakHyphen/>
      </w:r>
      <w:r w:rsidRPr="005517C1">
        <w:t xml:space="preserve">effectiveness threshold </w:t>
      </w:r>
      <w:r>
        <w:t>the</w:t>
      </w:r>
      <w:r w:rsidRPr="005517C1">
        <w:t xml:space="preserve"> Cost</w:t>
      </w:r>
      <w:r>
        <w:t>-</w:t>
      </w:r>
      <w:r w:rsidRPr="005517C1">
        <w:t xml:space="preserve">Effectiveness Working Group </w:t>
      </w:r>
      <w:r>
        <w:t xml:space="preserve">was </w:t>
      </w:r>
      <w:r w:rsidRPr="005517C1">
        <w:t>tasked to develop a program-level cost-effectiveness threshold that would be applied at the program-level.</w:t>
      </w:r>
      <w:r w:rsidRPr="005517C1">
        <w:rPr>
          <w:vertAlign w:val="superscript"/>
        </w:rPr>
        <w:footnoteReference w:id="571"/>
      </w:r>
      <w:r w:rsidRPr="005517C1">
        <w:t xml:space="preserve"> </w:t>
      </w:r>
      <w:r>
        <w:t xml:space="preserve"> </w:t>
      </w:r>
      <w:r w:rsidRPr="005517C1">
        <w:t xml:space="preserve">However, that program-level threshold was never established, </w:t>
      </w:r>
      <w:r>
        <w:t>t</w:t>
      </w:r>
      <w:r w:rsidRPr="005517C1">
        <w:t>he ESA program was left without any cost-effectiveness threshold at either of the program or measure-level</w:t>
      </w:r>
      <w:r>
        <w:t xml:space="preserve">, and as </w:t>
      </w:r>
      <w:r w:rsidRPr="005517C1">
        <w:t xml:space="preserve">a result, the ESA program is </w:t>
      </w:r>
      <w:r>
        <w:t xml:space="preserve">left </w:t>
      </w:r>
      <w:r w:rsidRPr="005517C1">
        <w:t>without any framework to ensure the reasonable and cost-effective use of ratepayer funds</w:t>
      </w:r>
      <w:r>
        <w:t xml:space="preserve">.  Therefore, a 1.0 ESACET </w:t>
      </w:r>
      <w:r w:rsidRPr="000D3EBD">
        <w:t>threshold</w:t>
      </w:r>
      <w:r>
        <w:t xml:space="preserve"> should be established to ensure </w:t>
      </w:r>
      <w:r w:rsidRPr="005517C1">
        <w:t xml:space="preserve">reasonable </w:t>
      </w:r>
      <w:r>
        <w:t xml:space="preserve">use of ratepayer funds </w:t>
      </w:r>
      <w:r w:rsidRPr="005517C1">
        <w:t xml:space="preserve">in providing energy efficiency and tangible value and benefits for all </w:t>
      </w:r>
      <w:proofErr w:type="gramStart"/>
      <w:r w:rsidRPr="005517C1">
        <w:t>low</w:t>
      </w:r>
      <w:r>
        <w:t xml:space="preserve"> </w:t>
      </w:r>
      <w:r w:rsidRPr="005517C1">
        <w:t>income</w:t>
      </w:r>
      <w:proofErr w:type="gramEnd"/>
      <w:r w:rsidRPr="005517C1">
        <w:t xml:space="preserve"> customers. </w:t>
      </w:r>
    </w:p>
    <w:p w:rsidRPr="002A7F2A" w:rsidR="000C1980" w:rsidP="000D3EBD" w:rsidRDefault="000C1980" w14:paraId="6EF65B14" w14:textId="77777777">
      <w:pPr>
        <w:pStyle w:val="Standard"/>
      </w:pPr>
      <w:r w:rsidRPr="0065426F">
        <w:rPr>
          <w:b/>
          <w:bCs/>
          <w:i/>
          <w:iCs/>
          <w:u w:val="single"/>
        </w:rPr>
        <w:t>ESACET Threshold</w:t>
      </w:r>
      <w:r>
        <w:rPr>
          <w:b/>
          <w:bCs/>
          <w:i/>
          <w:iCs/>
          <w:u w:val="single"/>
        </w:rPr>
        <w:t xml:space="preserve"> (Measure Level)</w:t>
      </w:r>
      <w:r w:rsidRPr="0065426F">
        <w:rPr>
          <w:b/>
          <w:bCs/>
          <w:i/>
          <w:iCs/>
          <w:u w:val="single"/>
        </w:rPr>
        <w:t>:</w:t>
      </w:r>
      <w:r>
        <w:t xml:space="preserve"> Cal Advocates also recommends that </w:t>
      </w:r>
      <w:r w:rsidRPr="002A7F2A">
        <w:t xml:space="preserve">individual resource measures with </w:t>
      </w:r>
      <w:r w:rsidRPr="000D3EBD">
        <w:t>ESACET</w:t>
      </w:r>
      <w:r w:rsidRPr="002A7F2A">
        <w:t xml:space="preserve"> scores less than</w:t>
      </w:r>
      <w:r>
        <w:t xml:space="preserve"> </w:t>
      </w:r>
      <w:r w:rsidRPr="002A7F2A">
        <w:t>0.30</w:t>
      </w:r>
      <w:r>
        <w:t xml:space="preserve"> be removed, and that those funds be refocused t</w:t>
      </w:r>
      <w:r w:rsidRPr="002A7F2A">
        <w:t>o measures with higher cost-effectiveness scores, more cost-effective</w:t>
      </w:r>
      <w:r>
        <w:t xml:space="preserve"> </w:t>
      </w:r>
      <w:proofErr w:type="gramStart"/>
      <w:r w:rsidRPr="002A7F2A">
        <w:t>low</w:t>
      </w:r>
      <w:r>
        <w:t xml:space="preserve"> </w:t>
      </w:r>
      <w:r w:rsidRPr="002A7F2A">
        <w:t>income</w:t>
      </w:r>
      <w:proofErr w:type="gramEnd"/>
      <w:r w:rsidRPr="002A7F2A">
        <w:t xml:space="preserve"> programs, or refund</w:t>
      </w:r>
      <w:r>
        <w:t xml:space="preserve">ed </w:t>
      </w:r>
      <w:r w:rsidRPr="002A7F2A">
        <w:t>back to ratepayers.</w:t>
      </w:r>
      <w:r>
        <w:rPr>
          <w:rStyle w:val="FootnoteReference"/>
        </w:rPr>
        <w:footnoteReference w:id="572"/>
      </w:r>
      <w:r w:rsidRPr="002A7F2A">
        <w:t xml:space="preserve"> </w:t>
      </w:r>
      <w:r>
        <w:t xml:space="preserve"> Cal Advocates also state that </w:t>
      </w:r>
      <w:r w:rsidRPr="002A7F2A">
        <w:t>PG&amp;E</w:t>
      </w:r>
      <w:r>
        <w:t>’s</w:t>
      </w:r>
      <w:r w:rsidRPr="002A7F2A">
        <w:t xml:space="preserve"> propose</w:t>
      </w:r>
      <w:r>
        <w:t>d</w:t>
      </w:r>
      <w:r w:rsidRPr="002A7F2A">
        <w:t xml:space="preserve"> 0.30 measure-level </w:t>
      </w:r>
      <w:r w:rsidRPr="002A7F2A">
        <w:lastRenderedPageBreak/>
        <w:t>ESACET threshold should serve as a</w:t>
      </w:r>
      <w:r>
        <w:t xml:space="preserve"> </w:t>
      </w:r>
      <w:r w:rsidRPr="002A7F2A">
        <w:t xml:space="preserve">standard measure-level ESACET threshold </w:t>
      </w:r>
      <w:r>
        <w:t xml:space="preserve">and be applied to all the </w:t>
      </w:r>
      <w:r w:rsidRPr="002A7F2A">
        <w:t>IOU</w:t>
      </w:r>
      <w:r>
        <w:t xml:space="preserve">s.  As support, Cal Advocates states that SCE’s budget for PY 2021-2026 could be reduced by </w:t>
      </w:r>
      <w:r w:rsidRPr="00A60B97">
        <w:t>$33.9</w:t>
      </w:r>
      <w:r>
        <w:t xml:space="preserve">M (or </w:t>
      </w:r>
      <w:r w:rsidRPr="00A60B97">
        <w:t>$22.8</w:t>
      </w:r>
      <w:r>
        <w:t xml:space="preserve">M </w:t>
      </w:r>
      <w:r w:rsidRPr="00A60B97">
        <w:t>excluding pilot measures</w:t>
      </w:r>
      <w:r>
        <w:t>) simply by removing such low performing measures.</w:t>
      </w:r>
      <w:r>
        <w:rPr>
          <w:rStyle w:val="FootnoteReference"/>
        </w:rPr>
        <w:footnoteReference w:id="573"/>
      </w:r>
    </w:p>
    <w:p w:rsidR="000C1980" w:rsidP="000D3EBD" w:rsidRDefault="000C1980" w14:paraId="7C10FF41" w14:textId="77777777">
      <w:pPr>
        <w:pStyle w:val="Standard"/>
      </w:pPr>
      <w:r w:rsidRPr="0065426F">
        <w:rPr>
          <w:b/>
          <w:bCs/>
          <w:i/>
          <w:iCs/>
          <w:u w:val="single"/>
        </w:rPr>
        <w:t>ESACET</w:t>
      </w:r>
      <w:r>
        <w:rPr>
          <w:b/>
          <w:bCs/>
          <w:i/>
          <w:iCs/>
          <w:u w:val="single"/>
        </w:rPr>
        <w:t xml:space="preserve"> Threshold for Budgeting</w:t>
      </w:r>
      <w:r w:rsidRPr="0065426F">
        <w:rPr>
          <w:b/>
          <w:bCs/>
          <w:i/>
          <w:iCs/>
          <w:u w:val="single"/>
        </w:rPr>
        <w:t>:</w:t>
      </w:r>
      <w:r>
        <w:t xml:space="preserve"> C</w:t>
      </w:r>
      <w:r w:rsidRPr="000B0367">
        <w:t>al</w:t>
      </w:r>
      <w:r>
        <w:t xml:space="preserve"> Advocates proposes that the 1.0 </w:t>
      </w:r>
      <w:r w:rsidRPr="00096835">
        <w:t xml:space="preserve">ESACET threshold </w:t>
      </w:r>
      <w:r>
        <w:t xml:space="preserve">be used </w:t>
      </w:r>
      <w:r w:rsidRPr="00096835">
        <w:t>as a</w:t>
      </w:r>
      <w:r>
        <w:t xml:space="preserve"> </w:t>
      </w:r>
      <w:r w:rsidRPr="002A7F2A">
        <w:t>criterion to develop the appropriate ratepayer collection levels</w:t>
      </w:r>
      <w:r>
        <w:t>,</w:t>
      </w:r>
      <w:r>
        <w:rPr>
          <w:rStyle w:val="FootnoteReference"/>
        </w:rPr>
        <w:footnoteReference w:id="574"/>
      </w:r>
      <w:r w:rsidRPr="002A7F2A">
        <w:t xml:space="preserve"> </w:t>
      </w:r>
      <w:r>
        <w:t xml:space="preserve">stating that the </w:t>
      </w:r>
      <w:r w:rsidRPr="002A7F2A">
        <w:t>program should</w:t>
      </w:r>
      <w:r>
        <w:t xml:space="preserve"> </w:t>
      </w:r>
      <w:r w:rsidRPr="002A7F2A">
        <w:t xml:space="preserve">invest ratepayer funds </w:t>
      </w:r>
      <w:r>
        <w:t>in</w:t>
      </w:r>
      <w:r w:rsidRPr="002A7F2A">
        <w:t xml:space="preserve"> measures that provide more energy and NEBs than they cost,</w:t>
      </w:r>
      <w:r>
        <w:t xml:space="preserve"> </w:t>
      </w:r>
      <w:r w:rsidRPr="002A7F2A">
        <w:t xml:space="preserve">which will minimize rate impacts on all customers, especially </w:t>
      </w:r>
      <w:proofErr w:type="gramStart"/>
      <w:r w:rsidRPr="002A7F2A">
        <w:t>low</w:t>
      </w:r>
      <w:r>
        <w:t xml:space="preserve"> </w:t>
      </w:r>
      <w:r w:rsidRPr="002A7F2A">
        <w:t>income</w:t>
      </w:r>
      <w:proofErr w:type="gramEnd"/>
      <w:r w:rsidRPr="002A7F2A">
        <w:t xml:space="preserve"> customers,</w:t>
      </w:r>
      <w:r>
        <w:t xml:space="preserve"> </w:t>
      </w:r>
      <w:r w:rsidRPr="002A7F2A">
        <w:t>who also pay for ESA.</w:t>
      </w:r>
      <w:r>
        <w:t xml:space="preserve">  Cal Advocates acknowledge that a</w:t>
      </w:r>
      <w:r w:rsidRPr="002A7F2A">
        <w:t xml:space="preserve"> 1.0 ESACET </w:t>
      </w:r>
      <w:r>
        <w:t xml:space="preserve">threshold </w:t>
      </w:r>
      <w:r w:rsidRPr="002A7F2A">
        <w:t>may have the effect of limiting the number of</w:t>
      </w:r>
      <w:r>
        <w:t xml:space="preserve"> </w:t>
      </w:r>
      <w:r w:rsidRPr="002A7F2A">
        <w:t>measures installed in favor of more cost-effective treatments to fewer households</w:t>
      </w:r>
      <w:r>
        <w:t>, but in return,</w:t>
      </w:r>
      <w:r w:rsidRPr="002A7F2A">
        <w:t xml:space="preserve"> the threshold </w:t>
      </w:r>
      <w:r>
        <w:t>would</w:t>
      </w:r>
      <w:r w:rsidRPr="002A7F2A">
        <w:t xml:space="preserve"> reduce the overall number of treatments that require</w:t>
      </w:r>
      <w:r>
        <w:t xml:space="preserve"> p</w:t>
      </w:r>
      <w:r w:rsidRPr="002A7F2A">
        <w:t>rogram funds without delivering energy savings or HCS benefits</w:t>
      </w:r>
      <w:r>
        <w:t xml:space="preserve">.  </w:t>
      </w:r>
      <w:r w:rsidRPr="002A7F2A">
        <w:t>Cal Advocates</w:t>
      </w:r>
      <w:r>
        <w:t xml:space="preserve"> support this argument by providing detailed analysis </w:t>
      </w:r>
      <w:r w:rsidRPr="002A7F2A">
        <w:t xml:space="preserve">on </w:t>
      </w:r>
      <w:r>
        <w:t xml:space="preserve">the impacts to </w:t>
      </w:r>
      <w:r w:rsidRPr="002A7F2A">
        <w:t>ESA budget</w:t>
      </w:r>
      <w:r>
        <w:t xml:space="preserve">s if a 1.0 ESACET threshold for resource measures is applied.  The analysis illustrates that </w:t>
      </w:r>
      <w:r w:rsidRPr="002A7F2A">
        <w:t>PG&amp;E could meet the</w:t>
      </w:r>
      <w:r>
        <w:t xml:space="preserve"> </w:t>
      </w:r>
      <w:r w:rsidRPr="002A7F2A">
        <w:t>1.0 ESACET threshold for the portfolio of resource measures while still retaining its</w:t>
      </w:r>
      <w:r>
        <w:t xml:space="preserve"> </w:t>
      </w:r>
      <w:r w:rsidRPr="002A7F2A">
        <w:t>proposed non-resource measures and reducing its total resource costs from $629 million to $418 million</w:t>
      </w:r>
      <w:r>
        <w:t xml:space="preserve">.  </w:t>
      </w:r>
      <w:r w:rsidRPr="002A7F2A">
        <w:t>Similarly, SCE could meet the 1.0 ESACET threshold by prioritizing</w:t>
      </w:r>
      <w:r>
        <w:t xml:space="preserve"> </w:t>
      </w:r>
      <w:r w:rsidRPr="002A7F2A">
        <w:t>resource measures with measurable benefits (greater than 0.60) and reduce its total</w:t>
      </w:r>
      <w:r>
        <w:t xml:space="preserve"> </w:t>
      </w:r>
      <w:r w:rsidRPr="002A7F2A">
        <w:t>resource costs from $362 million to $247 million.</w:t>
      </w:r>
      <w:r>
        <w:rPr>
          <w:rStyle w:val="FootnoteReference"/>
        </w:rPr>
        <w:footnoteReference w:id="575"/>
      </w:r>
    </w:p>
    <w:p w:rsidRPr="00695AF1" w:rsidR="000C1980" w:rsidP="000D3EBD" w:rsidRDefault="000C1980" w14:paraId="331D5D85" w14:textId="31AAA76E">
      <w:pPr>
        <w:pStyle w:val="Standard"/>
      </w:pPr>
      <w:r>
        <w:rPr>
          <w:b/>
          <w:bCs/>
          <w:i/>
          <w:iCs/>
          <w:u w:val="single"/>
        </w:rPr>
        <w:lastRenderedPageBreak/>
        <w:t>Updating NEBs</w:t>
      </w:r>
      <w:r w:rsidRPr="008C0972">
        <w:rPr>
          <w:b/>
          <w:bCs/>
          <w:i/>
          <w:iCs/>
          <w:u w:val="single"/>
        </w:rPr>
        <w:t>:</w:t>
      </w:r>
      <w:r>
        <w:t xml:space="preserve"> Lastly, Cal Advocates recommend that the </w:t>
      </w:r>
      <w:r w:rsidRPr="00096835">
        <w:t xml:space="preserve">Commission </w:t>
      </w:r>
      <w:r>
        <w:t>reinstate the</w:t>
      </w:r>
      <w:r w:rsidRPr="00096835">
        <w:t xml:space="preserve"> </w:t>
      </w:r>
      <w:r w:rsidRPr="0024106A">
        <w:t xml:space="preserve">Cost-Effectiveness Working Group and order </w:t>
      </w:r>
      <w:r w:rsidR="002E523A">
        <w:t>it</w:t>
      </w:r>
      <w:r w:rsidRPr="0024106A" w:rsidR="002E523A">
        <w:t xml:space="preserve"> </w:t>
      </w:r>
      <w:r>
        <w:t xml:space="preserve">to </w:t>
      </w:r>
      <w:r w:rsidRPr="0024106A">
        <w:t>revisit the categorization of resource versus non-resource</w:t>
      </w:r>
      <w:r>
        <w:t xml:space="preserve"> measures,</w:t>
      </w:r>
      <w:r>
        <w:rPr>
          <w:rStyle w:val="FootnoteReference"/>
        </w:rPr>
        <w:footnoteReference w:id="576"/>
      </w:r>
      <w:r>
        <w:t xml:space="preserve"> direct the IOUs to hire an i</w:t>
      </w:r>
      <w:r w:rsidRPr="00695AF1">
        <w:t xml:space="preserve">ndependent evaluator to </w:t>
      </w:r>
      <w:r>
        <w:t xml:space="preserve">review and </w:t>
      </w:r>
      <w:r w:rsidRPr="00695AF1">
        <w:t>validate the NEB outputs</w:t>
      </w:r>
      <w:r w:rsidRPr="002419A8">
        <w:t xml:space="preserve"> </w:t>
      </w:r>
      <w:r w:rsidRPr="00695AF1">
        <w:t>and ESACET values prior to the submission of the ESA applications</w:t>
      </w:r>
      <w:r>
        <w:t>,</w:t>
      </w:r>
      <w:r>
        <w:rPr>
          <w:rStyle w:val="FootnoteReference"/>
        </w:rPr>
        <w:footnoteReference w:id="577"/>
      </w:r>
      <w:r>
        <w:t xml:space="preserve"> and direct the IOUs</w:t>
      </w:r>
      <w:r w:rsidRPr="0024106A">
        <w:t xml:space="preserve"> to update NEB</w:t>
      </w:r>
      <w:r>
        <w:t xml:space="preserve">s, </w:t>
      </w:r>
      <w:r w:rsidRPr="0024106A">
        <w:t xml:space="preserve">ESACET </w:t>
      </w:r>
      <w:r>
        <w:t xml:space="preserve">and </w:t>
      </w:r>
      <w:r w:rsidRPr="0024106A">
        <w:t>propose modifications to ESA measures and budgets</w:t>
      </w:r>
      <w:r>
        <w:t xml:space="preserve"> via a </w:t>
      </w:r>
      <w:r w:rsidRPr="0024106A">
        <w:t>Tier 3 advice letter</w:t>
      </w:r>
      <w:r>
        <w:t xml:space="preserve"> upon </w:t>
      </w:r>
      <w:r w:rsidRPr="0024106A">
        <w:t>completion of the APPRISE NEB</w:t>
      </w:r>
      <w:r>
        <w:rPr>
          <w:rStyle w:val="FootnoteReference"/>
        </w:rPr>
        <w:footnoteReference w:id="578"/>
      </w:r>
      <w:r w:rsidRPr="0024106A">
        <w:t xml:space="preserve"> study.</w:t>
      </w:r>
      <w:r>
        <w:rPr>
          <w:rStyle w:val="FootnoteReference"/>
        </w:rPr>
        <w:footnoteReference w:id="579"/>
      </w:r>
    </w:p>
    <w:p w:rsidR="000C1980" w:rsidP="001968DC" w:rsidRDefault="000C1980" w14:paraId="0899895E" w14:textId="77777777">
      <w:pPr>
        <w:pStyle w:val="Heading4"/>
        <w:ind w:left="3600"/>
      </w:pPr>
      <w:bookmarkStart w:name="_Toc69948063" w:id="409"/>
      <w:r>
        <w:t>TURN</w:t>
      </w:r>
      <w:bookmarkEnd w:id="409"/>
    </w:p>
    <w:p w:rsidRPr="00896C91" w:rsidR="000C1980" w:rsidP="000D3EBD" w:rsidRDefault="000C1980" w14:paraId="05378AA8" w14:textId="72E7220A">
      <w:pPr>
        <w:pStyle w:val="Standard"/>
      </w:pPr>
      <w:r w:rsidRPr="00B95628">
        <w:rPr>
          <w:b/>
          <w:bCs/>
          <w:i/>
          <w:iCs/>
          <w:u w:val="single"/>
        </w:rPr>
        <w:t>ESACET Threshold</w:t>
      </w:r>
      <w:r>
        <w:rPr>
          <w:b/>
          <w:bCs/>
          <w:i/>
          <w:iCs/>
          <w:u w:val="single"/>
        </w:rPr>
        <w:t xml:space="preserve"> (Portfolio Level)</w:t>
      </w:r>
      <w:r w:rsidRPr="00B95628">
        <w:rPr>
          <w:b/>
          <w:bCs/>
          <w:i/>
          <w:iCs/>
          <w:u w:val="single"/>
        </w:rPr>
        <w:t>:</w:t>
      </w:r>
      <w:r>
        <w:t xml:space="preserve">  TURN does not support establishing a cost effectiveness threshold at this time, stating that a</w:t>
      </w:r>
      <w:r w:rsidRPr="00896C91">
        <w:t xml:space="preserve"> comprehensive accounting</w:t>
      </w:r>
      <w:r>
        <w:t xml:space="preserve"> </w:t>
      </w:r>
      <w:r w:rsidRPr="00896C91">
        <w:t xml:space="preserve">for all applicable NEBs </w:t>
      </w:r>
      <w:r>
        <w:t>should first be completed</w:t>
      </w:r>
      <w:r w:rsidRPr="00896C91">
        <w:t>.</w:t>
      </w:r>
      <w:r>
        <w:rPr>
          <w:rStyle w:val="FootnoteReference"/>
        </w:rPr>
        <w:footnoteReference w:id="580"/>
      </w:r>
      <w:r w:rsidRPr="00896C91">
        <w:t xml:space="preserve"> </w:t>
      </w:r>
      <w:r>
        <w:t xml:space="preserve"> TURN does support setting cost </w:t>
      </w:r>
      <w:r w:rsidRPr="00FB6F00">
        <w:t xml:space="preserve">effectiveness as a target </w:t>
      </w:r>
      <w:r>
        <w:t>because it</w:t>
      </w:r>
      <w:r w:rsidRPr="00FB6F00">
        <w:t xml:space="preserve"> would be helpful for guiding utility performance</w:t>
      </w:r>
      <w:r>
        <w:t>,</w:t>
      </w:r>
      <w:r>
        <w:rPr>
          <w:rStyle w:val="FootnoteReference"/>
        </w:rPr>
        <w:footnoteReference w:id="581"/>
      </w:r>
      <w:r>
        <w:t xml:space="preserve"> stating that a</w:t>
      </w:r>
      <w:r w:rsidRPr="002A5DBB">
        <w:t xml:space="preserve"> cost-effectiveness requirement </w:t>
      </w:r>
      <w:r>
        <w:t xml:space="preserve">may </w:t>
      </w:r>
      <w:r w:rsidRPr="002A5DBB">
        <w:t xml:space="preserve">prove constraining as the </w:t>
      </w:r>
      <w:r>
        <w:t>IOUs</w:t>
      </w:r>
      <w:r w:rsidRPr="002A5DBB">
        <w:t xml:space="preserve"> shift to a new program</w:t>
      </w:r>
      <w:r>
        <w:t xml:space="preserve"> </w:t>
      </w:r>
      <w:r w:rsidRPr="002A5DBB">
        <w:t>model</w:t>
      </w:r>
      <w:r>
        <w:t xml:space="preserve">.  Instead, TURN proposes </w:t>
      </w:r>
      <w:proofErr w:type="spellStart"/>
      <w:r>
        <w:t>that</w:t>
      </w:r>
      <w:r w:rsidR="00D0546D">
        <w:t>a</w:t>
      </w:r>
      <w:r w:rsidR="000047CD">
        <w:t>fter</w:t>
      </w:r>
      <w:proofErr w:type="spellEnd"/>
      <w:r w:rsidR="000047CD">
        <w:t xml:space="preserve"> </w:t>
      </w:r>
      <w:r w:rsidRPr="000047CD" w:rsidR="000047CD">
        <w:t xml:space="preserve">a more complete accounting for NEBs, </w:t>
      </w:r>
      <w:r w:rsidR="004C4FE2">
        <w:t xml:space="preserve">a </w:t>
      </w:r>
      <w:r w:rsidRPr="000047CD" w:rsidR="000047CD">
        <w:t>benefit-cost ratio target of 1.0 for the ESA program</w:t>
      </w:r>
      <w:r w:rsidR="00116FFF">
        <w:t xml:space="preserve"> should be adopted</w:t>
      </w:r>
      <w:r w:rsidR="006A552B">
        <w:t>.</w:t>
      </w:r>
      <w:r w:rsidRPr="006A552B" w:rsidR="006A552B">
        <w:t xml:space="preserve"> TURN also recommends </w:t>
      </w:r>
      <w:r w:rsidRPr="006A552B" w:rsidR="006A552B">
        <w:lastRenderedPageBreak/>
        <w:t>that a sensitivity analysis be</w:t>
      </w:r>
      <w:r w:rsidR="006A552B">
        <w:t xml:space="preserve"> </w:t>
      </w:r>
      <w:r w:rsidRPr="006A552B" w:rsidR="006A552B">
        <w:t xml:space="preserve">conducted once the NEBs </w:t>
      </w:r>
      <w:r w:rsidRPr="006A552B" w:rsidR="00653D2C">
        <w:t>updating,</w:t>
      </w:r>
      <w:r w:rsidRPr="006A552B" w:rsidR="006A552B">
        <w:t xml:space="preserve"> and expansion process is complete to assess the impact of</w:t>
      </w:r>
      <w:r w:rsidR="006A552B">
        <w:t xml:space="preserve"> </w:t>
      </w:r>
      <w:r w:rsidRPr="006A552B" w:rsidR="006A552B">
        <w:t xml:space="preserve">removing </w:t>
      </w:r>
      <w:proofErr w:type="gramStart"/>
      <w:r w:rsidRPr="006A552B" w:rsidR="006A552B">
        <w:t>Non-Resource</w:t>
      </w:r>
      <w:proofErr w:type="gramEnd"/>
      <w:r w:rsidRPr="006A552B" w:rsidR="006A552B">
        <w:t xml:space="preserve"> measures from the ESACET target</w:t>
      </w:r>
      <w:r w:rsidR="004C4FE2">
        <w:t>.</w:t>
      </w:r>
      <w:r w:rsidR="00116FFF">
        <w:rPr>
          <w:rStyle w:val="FootnoteReference"/>
        </w:rPr>
        <w:footnoteReference w:id="582"/>
      </w:r>
    </w:p>
    <w:p w:rsidR="000C1980" w:rsidP="000D3EBD" w:rsidRDefault="000C1980" w14:paraId="3ECF08A7" w14:textId="77777777">
      <w:pPr>
        <w:pStyle w:val="Standard"/>
      </w:pPr>
      <w:r w:rsidRPr="00B95628">
        <w:rPr>
          <w:b/>
          <w:bCs/>
          <w:i/>
          <w:iCs/>
          <w:u w:val="single"/>
        </w:rPr>
        <w:t>ESACET Threshold</w:t>
      </w:r>
      <w:r>
        <w:rPr>
          <w:b/>
          <w:bCs/>
          <w:i/>
          <w:iCs/>
          <w:u w:val="single"/>
        </w:rPr>
        <w:t xml:space="preserve"> (Measure Level)</w:t>
      </w:r>
      <w:r w:rsidRPr="00B95628">
        <w:rPr>
          <w:b/>
          <w:bCs/>
          <w:i/>
          <w:iCs/>
          <w:u w:val="single"/>
        </w:rPr>
        <w:t>:</w:t>
      </w:r>
      <w:r>
        <w:t xml:space="preserve">  TURN does not support adopting a </w:t>
      </w:r>
      <w:r w:rsidRPr="00896C91">
        <w:t>measure-level cost-effectiveness threshold</w:t>
      </w:r>
      <w:r>
        <w:t xml:space="preserve"> for resource measures as proposed by Cal Advocates stating that a </w:t>
      </w:r>
      <w:r w:rsidRPr="00E77B35">
        <w:t>strict measure-level threshold would prevent utilities from installing non-</w:t>
      </w:r>
      <w:proofErr w:type="gramStart"/>
      <w:r w:rsidRPr="00E77B35">
        <w:t>cost</w:t>
      </w:r>
      <w:r>
        <w:t xml:space="preserve"> </w:t>
      </w:r>
      <w:r w:rsidRPr="00615EA5">
        <w:t>effective</w:t>
      </w:r>
      <w:proofErr w:type="gramEnd"/>
      <w:r w:rsidRPr="00615EA5">
        <w:t xml:space="preserve"> measures that work well with or are required to install cost-effective measures</w:t>
      </w:r>
      <w:r>
        <w:t xml:space="preserve"> and may</w:t>
      </w:r>
      <w:r w:rsidRPr="00615EA5">
        <w:t xml:space="preserve"> </w:t>
      </w:r>
      <w:r>
        <w:t xml:space="preserve">also </w:t>
      </w:r>
      <w:r w:rsidRPr="00615EA5">
        <w:t>exclude measures that are useful for bringing</w:t>
      </w:r>
      <w:r>
        <w:t xml:space="preserve"> </w:t>
      </w:r>
      <w:r w:rsidRPr="00E77B35">
        <w:t>customers into the program</w:t>
      </w:r>
      <w:r>
        <w:t xml:space="preserve">.  TURN also recommends the </w:t>
      </w:r>
      <w:r w:rsidRPr="00896C91">
        <w:t>definitions of “resource measures” and “non</w:t>
      </w:r>
      <w:r>
        <w:t xml:space="preserve"> </w:t>
      </w:r>
      <w:r w:rsidRPr="00896C91">
        <w:t>resource measures”</w:t>
      </w:r>
      <w:r>
        <w:t xml:space="preserve"> should first be standardized as each IOU </w:t>
      </w:r>
      <w:r w:rsidRPr="00C179BF">
        <w:t>currently use</w:t>
      </w:r>
      <w:r>
        <w:t xml:space="preserve">s </w:t>
      </w:r>
      <w:r w:rsidRPr="00C179BF">
        <w:t>different criteria for non-resource measures</w:t>
      </w:r>
      <w:r>
        <w:t>.</w:t>
      </w:r>
      <w:r>
        <w:rPr>
          <w:rStyle w:val="FootnoteReference"/>
        </w:rPr>
        <w:footnoteReference w:id="583"/>
      </w:r>
    </w:p>
    <w:p w:rsidR="000C1980" w:rsidP="000D3EBD" w:rsidRDefault="000C1980" w14:paraId="278BBC4C" w14:textId="77777777">
      <w:pPr>
        <w:pStyle w:val="Standard"/>
      </w:pPr>
      <w:r w:rsidRPr="0065426F">
        <w:rPr>
          <w:b/>
          <w:bCs/>
          <w:i/>
          <w:iCs/>
          <w:u w:val="single"/>
        </w:rPr>
        <w:t>ESACET</w:t>
      </w:r>
      <w:r>
        <w:rPr>
          <w:b/>
          <w:bCs/>
          <w:i/>
          <w:iCs/>
          <w:u w:val="single"/>
        </w:rPr>
        <w:t xml:space="preserve"> Threshold for Budgeting</w:t>
      </w:r>
      <w:r w:rsidRPr="0065426F">
        <w:rPr>
          <w:b/>
          <w:bCs/>
          <w:i/>
          <w:iCs/>
          <w:u w:val="single"/>
        </w:rPr>
        <w:t>:</w:t>
      </w:r>
      <w:r>
        <w:t xml:space="preserve"> TURN does not support using t</w:t>
      </w:r>
      <w:r w:rsidRPr="00896C91">
        <w:t xml:space="preserve">he ESACET in </w:t>
      </w:r>
      <w:r>
        <w:t xml:space="preserve">setting the budget, stating that this should not be </w:t>
      </w:r>
      <w:r w:rsidRPr="00896C91">
        <w:t>the determining facto</w:t>
      </w:r>
      <w:r>
        <w:t>r.  Rather, TURN recommends that a</w:t>
      </w:r>
      <w:r w:rsidRPr="00896C91">
        <w:t xml:space="preserve"> targeted potential</w:t>
      </w:r>
      <w:r>
        <w:t xml:space="preserve"> </w:t>
      </w:r>
      <w:r w:rsidRPr="00896C91">
        <w:t xml:space="preserve">study of the </w:t>
      </w:r>
      <w:proofErr w:type="gramStart"/>
      <w:r w:rsidRPr="00896C91">
        <w:t>low</w:t>
      </w:r>
      <w:r>
        <w:t xml:space="preserve"> </w:t>
      </w:r>
      <w:r w:rsidRPr="00896C91">
        <w:t>income</w:t>
      </w:r>
      <w:proofErr w:type="gramEnd"/>
      <w:r w:rsidRPr="00896C91">
        <w:t xml:space="preserve"> sector, specific to the ESA program, should be</w:t>
      </w:r>
      <w:r>
        <w:t xml:space="preserve"> </w:t>
      </w:r>
      <w:r w:rsidRPr="00896C91">
        <w:t>conducted first, followed by the development of IOU</w:t>
      </w:r>
      <w:r>
        <w:t xml:space="preserve"> </w:t>
      </w:r>
      <w:r w:rsidRPr="00896C91">
        <w:t>specific savings goals</w:t>
      </w:r>
      <w:r>
        <w:t xml:space="preserve">.  </w:t>
      </w:r>
      <w:r w:rsidRPr="00896C91">
        <w:t>Once</w:t>
      </w:r>
      <w:r>
        <w:t xml:space="preserve"> </w:t>
      </w:r>
      <w:r w:rsidRPr="00896C91">
        <w:t>these parameters are set, the IOUs should use cost effectiveness as a guide in the</w:t>
      </w:r>
      <w:r>
        <w:t xml:space="preserve"> </w:t>
      </w:r>
      <w:r w:rsidRPr="00896C91">
        <w:t>development of their overall measure mix to achieve their savings goals</w:t>
      </w:r>
      <w:r>
        <w:t xml:space="preserve">.  </w:t>
      </w:r>
      <w:r w:rsidRPr="00896C91">
        <w:t>After</w:t>
      </w:r>
      <w:r>
        <w:t xml:space="preserve"> </w:t>
      </w:r>
      <w:r w:rsidRPr="00896C91">
        <w:t xml:space="preserve">this exercise is completed, the total budget should </w:t>
      </w:r>
      <w:r>
        <w:t xml:space="preserve">then </w:t>
      </w:r>
      <w:r w:rsidRPr="00896C91">
        <w:t>be assessed for reasonableness</w:t>
      </w:r>
      <w:r>
        <w:t xml:space="preserve"> </w:t>
      </w:r>
      <w:r w:rsidRPr="00896C91">
        <w:t>and if necessary, cuts or reallocations can be made.</w:t>
      </w:r>
      <w:r>
        <w:rPr>
          <w:rStyle w:val="FootnoteReference"/>
        </w:rPr>
        <w:footnoteReference w:id="584"/>
      </w:r>
      <w:r w:rsidRPr="00896C91">
        <w:t xml:space="preserve"> </w:t>
      </w:r>
    </w:p>
    <w:p w:rsidRPr="00896C91" w:rsidR="000C1980" w:rsidP="000D3EBD" w:rsidRDefault="000C1980" w14:paraId="36C369FB" w14:textId="2811DC3C">
      <w:pPr>
        <w:pStyle w:val="Standard"/>
      </w:pPr>
      <w:r>
        <w:rPr>
          <w:b/>
          <w:bCs/>
          <w:i/>
          <w:iCs/>
          <w:u w:val="single"/>
        </w:rPr>
        <w:t>Updating NEBs</w:t>
      </w:r>
      <w:r w:rsidRPr="008C0972">
        <w:rPr>
          <w:b/>
          <w:bCs/>
          <w:i/>
          <w:iCs/>
          <w:u w:val="single"/>
        </w:rPr>
        <w:t>:</w:t>
      </w:r>
      <w:r>
        <w:t xml:space="preserve"> TURN does support Cal Advocates’ proposal to </w:t>
      </w:r>
      <w:r w:rsidRPr="00896C91">
        <w:t>establish a stakeholder process to</w:t>
      </w:r>
      <w:r>
        <w:t xml:space="preserve"> </w:t>
      </w:r>
      <w:r w:rsidRPr="00896C91">
        <w:t xml:space="preserve">improve energy benefits and </w:t>
      </w:r>
      <w:r>
        <w:t>NEB</w:t>
      </w:r>
      <w:r w:rsidRPr="00896C91">
        <w:t xml:space="preserve"> measurements</w:t>
      </w:r>
      <w:r>
        <w:t xml:space="preserve">.  </w:t>
      </w:r>
      <w:r w:rsidRPr="00896C91">
        <w:t xml:space="preserve">But </w:t>
      </w:r>
      <w:r w:rsidRPr="00896C91">
        <w:lastRenderedPageBreak/>
        <w:t>while Cal Advocates calls for addressing the update to the</w:t>
      </w:r>
      <w:r>
        <w:t xml:space="preserve"> </w:t>
      </w:r>
      <w:r w:rsidRPr="00896C91">
        <w:t>NEB study with an advice letter process,</w:t>
      </w:r>
      <w:r>
        <w:t xml:space="preserve"> TURN </w:t>
      </w:r>
      <w:r w:rsidRPr="00896C91">
        <w:t>recommend</w:t>
      </w:r>
      <w:r>
        <w:t xml:space="preserve">s </w:t>
      </w:r>
      <w:r w:rsidRPr="00896C91">
        <w:t xml:space="preserve">that the results of the NEB study inform a mid-term program update process that also considers the results of </w:t>
      </w:r>
      <w:r w:rsidR="007A099D">
        <w:t>the</w:t>
      </w:r>
      <w:r w:rsidR="00BF79DE">
        <w:t xml:space="preserve"> </w:t>
      </w:r>
      <w:proofErr w:type="gramStart"/>
      <w:r w:rsidR="00BF79DE">
        <w:t>low income</w:t>
      </w:r>
      <w:proofErr w:type="gramEnd"/>
      <w:r w:rsidRPr="00896C91">
        <w:t xml:space="preserve"> potential study.</w:t>
      </w:r>
      <w:r>
        <w:rPr>
          <w:rStyle w:val="FootnoteReference"/>
        </w:rPr>
        <w:footnoteReference w:id="585"/>
      </w:r>
    </w:p>
    <w:p w:rsidR="000C1980" w:rsidP="001968DC" w:rsidRDefault="000C1980" w14:paraId="01C588C5" w14:textId="77777777">
      <w:pPr>
        <w:pStyle w:val="Heading4"/>
        <w:ind w:left="3600"/>
      </w:pPr>
      <w:bookmarkStart w:name="_Toc69948064" w:id="410"/>
      <w:r>
        <w:t>Joint Parties</w:t>
      </w:r>
      <w:bookmarkEnd w:id="410"/>
    </w:p>
    <w:p w:rsidR="000C1980" w:rsidP="000D3EBD" w:rsidRDefault="000C1980" w14:paraId="121CA517" w14:textId="77777777">
      <w:pPr>
        <w:pStyle w:val="Standard"/>
      </w:pPr>
      <w:r w:rsidRPr="00B95628">
        <w:rPr>
          <w:b/>
          <w:bCs/>
          <w:i/>
          <w:iCs/>
          <w:u w:val="single"/>
        </w:rPr>
        <w:t>ESACET Threshold</w:t>
      </w:r>
      <w:r>
        <w:rPr>
          <w:b/>
          <w:bCs/>
          <w:i/>
          <w:iCs/>
          <w:u w:val="single"/>
        </w:rPr>
        <w:t xml:space="preserve"> (Portfolio or Measure Level)</w:t>
      </w:r>
      <w:r w:rsidRPr="00B95628">
        <w:rPr>
          <w:b/>
          <w:bCs/>
          <w:i/>
          <w:iCs/>
          <w:u w:val="single"/>
        </w:rPr>
        <w:t>:</w:t>
      </w:r>
      <w:r>
        <w:t xml:space="preserve">  The </w:t>
      </w:r>
      <w:r w:rsidRPr="75456E51">
        <w:t xml:space="preserve">Joint Parties </w:t>
      </w:r>
      <w:r>
        <w:t xml:space="preserve">recommend a 0.75 ESACET threshold under an “ideal efficient state” delivery model (see Section 6.4) while </w:t>
      </w:r>
      <w:r w:rsidRPr="007B084B">
        <w:t xml:space="preserve">allowing </w:t>
      </w:r>
      <w:r>
        <w:t>for</w:t>
      </w:r>
      <w:r w:rsidRPr="007B084B">
        <w:t xml:space="preserve"> qualifying HCS measures.</w:t>
      </w:r>
      <w:r>
        <w:t xml:space="preserve">  The Joint Parties state that</w:t>
      </w:r>
      <w:r w:rsidRPr="007B084B">
        <w:t xml:space="preserve"> a combination of all applicable measures that pass the ESACET threshold and applicable HCS measures together will</w:t>
      </w:r>
      <w:r>
        <w:t xml:space="preserve"> </w:t>
      </w:r>
      <w:r w:rsidRPr="007B084B">
        <w:t>provide energy savings and reduced bills, while ensuring that the treated home meets a minimum</w:t>
      </w:r>
      <w:r>
        <w:t xml:space="preserve"> </w:t>
      </w:r>
      <w:r w:rsidRPr="007B084B">
        <w:t>standard of health and comfort.</w:t>
      </w:r>
      <w:r>
        <w:rPr>
          <w:rStyle w:val="FootnoteReference"/>
        </w:rPr>
        <w:footnoteReference w:id="586"/>
      </w:r>
    </w:p>
    <w:p w:rsidR="000C1980" w:rsidP="001968DC" w:rsidRDefault="000C1980" w14:paraId="6FF62DAF" w14:textId="77777777">
      <w:pPr>
        <w:pStyle w:val="Heading4"/>
        <w:ind w:left="3600"/>
      </w:pPr>
      <w:bookmarkStart w:name="_Toc69948065" w:id="411"/>
      <w:r>
        <w:t>EEC and TELACU et al.</w:t>
      </w:r>
      <w:bookmarkEnd w:id="411"/>
      <w:r>
        <w:t xml:space="preserve"> </w:t>
      </w:r>
    </w:p>
    <w:p w:rsidRPr="00EA1365" w:rsidR="000C1980" w:rsidP="000D3EBD" w:rsidRDefault="0091544A" w14:paraId="52438A9C" w14:textId="06D39139">
      <w:pPr>
        <w:pStyle w:val="Standard"/>
      </w:pPr>
      <w:r w:rsidRPr="00B95628">
        <w:rPr>
          <w:b/>
          <w:bCs/>
          <w:i/>
          <w:iCs/>
          <w:u w:val="single"/>
        </w:rPr>
        <w:t>ESACET Threshold</w:t>
      </w:r>
      <w:r>
        <w:rPr>
          <w:b/>
          <w:bCs/>
          <w:i/>
          <w:iCs/>
          <w:u w:val="single"/>
        </w:rPr>
        <w:t xml:space="preserve"> (Portfolio or Measure Level)</w:t>
      </w:r>
      <w:r w:rsidRPr="00B95628">
        <w:rPr>
          <w:b/>
          <w:bCs/>
          <w:i/>
          <w:iCs/>
          <w:u w:val="single"/>
        </w:rPr>
        <w:t>:</w:t>
      </w:r>
      <w:r>
        <w:t xml:space="preserve"> </w:t>
      </w:r>
      <w:r w:rsidR="000C1980">
        <w:t xml:space="preserve">EEC and TELACU et al. do not support any </w:t>
      </w:r>
      <w:r w:rsidRPr="00675468" w:rsidR="000C1980">
        <w:t>minimum threshold for program cost</w:t>
      </w:r>
      <w:r w:rsidR="000C1980">
        <w:t xml:space="preserve"> </w:t>
      </w:r>
      <w:r w:rsidRPr="00675468" w:rsidR="000C1980">
        <w:t>effectiveness</w:t>
      </w:r>
      <w:r w:rsidR="000C1980">
        <w:t xml:space="preserve"> but fail to provide any specific reasoning.</w:t>
      </w:r>
      <w:r w:rsidR="000C1980">
        <w:rPr>
          <w:rStyle w:val="FootnoteReference"/>
        </w:rPr>
        <w:footnoteReference w:id="587"/>
      </w:r>
    </w:p>
    <w:p w:rsidR="000C1980" w:rsidP="001968DC" w:rsidRDefault="000C1980" w14:paraId="04295C37" w14:textId="77777777">
      <w:pPr>
        <w:pStyle w:val="Heading4"/>
        <w:ind w:left="3600"/>
      </w:pPr>
      <w:bookmarkStart w:name="_Toc69948066" w:id="412"/>
      <w:r>
        <w:t>PCF</w:t>
      </w:r>
      <w:bookmarkEnd w:id="412"/>
    </w:p>
    <w:p w:rsidR="000C1980" w:rsidP="000D3EBD" w:rsidRDefault="000C1980" w14:paraId="41C35FC7" w14:textId="79B280FF">
      <w:pPr>
        <w:pStyle w:val="Standard"/>
      </w:pPr>
      <w:r>
        <w:rPr>
          <w:b/>
          <w:bCs/>
          <w:i/>
          <w:iCs/>
          <w:u w:val="single"/>
        </w:rPr>
        <w:t>Other Test Considerations</w:t>
      </w:r>
      <w:r w:rsidRPr="00F01682">
        <w:rPr>
          <w:b/>
          <w:bCs/>
          <w:i/>
          <w:iCs/>
          <w:u w:val="single"/>
        </w:rPr>
        <w:t>:</w:t>
      </w:r>
      <w:r>
        <w:t xml:space="preserve"> P</w:t>
      </w:r>
      <w:r w:rsidRPr="003306BE">
        <w:t xml:space="preserve">CF supports the </w:t>
      </w:r>
      <w:r>
        <w:t xml:space="preserve">use of a </w:t>
      </w:r>
      <w:r w:rsidRPr="003306BE">
        <w:t>societal cost test and submits that implementing the societal cost test should not be delayed.</w:t>
      </w:r>
      <w:r>
        <w:rPr>
          <w:rStyle w:val="FootnoteReference"/>
        </w:rPr>
        <w:footnoteReference w:id="588"/>
      </w:r>
    </w:p>
    <w:p w:rsidR="000C1980" w:rsidP="001968DC" w:rsidRDefault="000C1980" w14:paraId="7F3E3F2A" w14:textId="2D1B6024">
      <w:pPr>
        <w:pStyle w:val="Heading3"/>
        <w:ind w:left="2664"/>
      </w:pPr>
      <w:bookmarkStart w:name="_Toc69948067" w:id="413"/>
      <w:r>
        <w:lastRenderedPageBreak/>
        <w:t>IOU Response</w:t>
      </w:r>
      <w:r w:rsidR="00C5138A">
        <w:t>s</w:t>
      </w:r>
      <w:bookmarkEnd w:id="413"/>
    </w:p>
    <w:p w:rsidRPr="00732D27" w:rsidR="000C1980" w:rsidP="001968DC" w:rsidRDefault="000C1980" w14:paraId="120A215A" w14:textId="77777777">
      <w:pPr>
        <w:pStyle w:val="Heading4"/>
        <w:ind w:left="3600"/>
      </w:pPr>
      <w:bookmarkStart w:name="_Toc69948068" w:id="414"/>
      <w:r w:rsidRPr="00732D27">
        <w:t>PG&amp;E</w:t>
      </w:r>
      <w:bookmarkEnd w:id="414"/>
    </w:p>
    <w:p w:rsidR="000C1980" w:rsidP="000D3EBD" w:rsidRDefault="000C1980" w14:paraId="29AE2D2C" w14:textId="5BD897F4">
      <w:pPr>
        <w:pStyle w:val="Standard"/>
      </w:pPr>
      <w:r w:rsidRPr="0065426F">
        <w:rPr>
          <w:b/>
          <w:bCs/>
          <w:i/>
          <w:iCs/>
          <w:u w:val="single"/>
        </w:rPr>
        <w:t>ESACET Threshold</w:t>
      </w:r>
      <w:r>
        <w:rPr>
          <w:b/>
          <w:bCs/>
          <w:i/>
          <w:iCs/>
          <w:u w:val="single"/>
        </w:rPr>
        <w:t xml:space="preserve"> (Portfolio Level)</w:t>
      </w:r>
      <w:r w:rsidRPr="0065426F">
        <w:rPr>
          <w:b/>
          <w:bCs/>
          <w:i/>
          <w:iCs/>
          <w:u w:val="single"/>
        </w:rPr>
        <w:t>:</w:t>
      </w:r>
      <w:r>
        <w:t xml:space="preserve"> P</w:t>
      </w:r>
      <w:r w:rsidRPr="00616B11">
        <w:t xml:space="preserve">G&amp;E opposes Cal Advocates’ proposal to </w:t>
      </w:r>
      <w:r w:rsidRPr="004348B0">
        <w:t xml:space="preserve">establish a 1.0 ESACET portfolio threshold </w:t>
      </w:r>
      <w:r>
        <w:t xml:space="preserve">as a </w:t>
      </w:r>
      <w:r w:rsidRPr="004348B0">
        <w:t>goal for ESA at this time</w:t>
      </w:r>
      <w:r>
        <w:t>, arguing that r</w:t>
      </w:r>
      <w:r w:rsidRPr="00C634FE">
        <w:t xml:space="preserve">equiring a 1.0 </w:t>
      </w:r>
      <w:r>
        <w:t>ESACET</w:t>
      </w:r>
      <w:r w:rsidRPr="00C634FE">
        <w:t xml:space="preserve"> score may have inadvertent consequences of undermining the Commission’s dual goal of providing both</w:t>
      </w:r>
      <w:r>
        <w:t xml:space="preserve"> </w:t>
      </w:r>
      <w:r w:rsidRPr="00C634FE">
        <w:t>deeper energy savings as well as HCS benefits</w:t>
      </w:r>
      <w:r>
        <w:t xml:space="preserve">.  </w:t>
      </w:r>
      <w:r w:rsidRPr="001B3533">
        <w:t xml:space="preserve">PG&amp;E </w:t>
      </w:r>
      <w:r>
        <w:t xml:space="preserve">agrees with TURN in </w:t>
      </w:r>
      <w:r w:rsidRPr="001B3533">
        <w:t xml:space="preserve">setting a cost-effectiveness threshold </w:t>
      </w:r>
      <w:r w:rsidRPr="001B3533">
        <w:rPr>
          <w:i/>
          <w:iCs/>
        </w:rPr>
        <w:t>target</w:t>
      </w:r>
      <w:r>
        <w:rPr>
          <w:i/>
          <w:iCs/>
        </w:rPr>
        <w:t xml:space="preserve">, not a goal, </w:t>
      </w:r>
      <w:r w:rsidRPr="001B3533">
        <w:t xml:space="preserve">using 1.0 for the ESA portfolio </w:t>
      </w:r>
      <w:r>
        <w:t>excluding</w:t>
      </w:r>
      <w:r w:rsidRPr="001B3533">
        <w:t xml:space="preserve"> </w:t>
      </w:r>
      <w:r>
        <w:t>n</w:t>
      </w:r>
      <w:r w:rsidRPr="001B3533">
        <w:t>on-resource measure</w:t>
      </w:r>
      <w:r>
        <w:t xml:space="preserve">s, stating </w:t>
      </w:r>
      <w:r w:rsidRPr="001B3533">
        <w:t>several factors contributing to the uncertainties</w:t>
      </w:r>
      <w:r>
        <w:t xml:space="preserve"> </w:t>
      </w:r>
      <w:r w:rsidRPr="001B3533">
        <w:t>surrounding ESA cost-effectiveness</w:t>
      </w:r>
      <w:r>
        <w:t xml:space="preserve">.  </w:t>
      </w:r>
      <w:r w:rsidRPr="001B3533">
        <w:t>PG&amp;E supports TURN’s request for not setting a cost-effectiveness</w:t>
      </w:r>
      <w:r>
        <w:t xml:space="preserve"> </w:t>
      </w:r>
      <w:r w:rsidRPr="001B3533">
        <w:t>threshold goal for the ESA portfolio until the program has been up and</w:t>
      </w:r>
      <w:r>
        <w:t xml:space="preserve"> </w:t>
      </w:r>
      <w:r w:rsidRPr="001B3533">
        <w:t>running for a few years and the new NEBs results are available to</w:t>
      </w:r>
      <w:r>
        <w:t xml:space="preserve"> </w:t>
      </w:r>
      <w:r w:rsidRPr="001B3533">
        <w:t xml:space="preserve">comprehensively assess all the included </w:t>
      </w:r>
      <w:r>
        <w:t>n</w:t>
      </w:r>
      <w:r w:rsidRPr="001B3533">
        <w:t>on-resource measures.</w:t>
      </w:r>
      <w:r>
        <w:t xml:space="preserve">  </w:t>
      </w:r>
      <w:r w:rsidRPr="00616B11">
        <w:t xml:space="preserve">PG&amp;E </w:t>
      </w:r>
      <w:r>
        <w:t>also notes that</w:t>
      </w:r>
      <w:r w:rsidRPr="00616B11">
        <w:t xml:space="preserve"> </w:t>
      </w:r>
      <w:r>
        <w:t>ex</w:t>
      </w:r>
      <w:r w:rsidRPr="00616B11">
        <w:t xml:space="preserve">cluding </w:t>
      </w:r>
      <w:r>
        <w:t>n</w:t>
      </w:r>
      <w:r w:rsidRPr="00616B11">
        <w:t xml:space="preserve">on-resource measures </w:t>
      </w:r>
      <w:r>
        <w:t>from the</w:t>
      </w:r>
      <w:r w:rsidRPr="00616B11">
        <w:t xml:space="preserve"> ESACET is an</w:t>
      </w:r>
      <w:r>
        <w:t xml:space="preserve"> </w:t>
      </w:r>
      <w:r w:rsidRPr="00616B11">
        <w:t>interesting idea that requires further evaluation before implementation.</w:t>
      </w:r>
      <w:r>
        <w:rPr>
          <w:rStyle w:val="FootnoteReference"/>
        </w:rPr>
        <w:footnoteReference w:id="589"/>
      </w:r>
      <w:r w:rsidR="003A397A">
        <w:t xml:space="preserve"> </w:t>
      </w:r>
      <w:r w:rsidR="00483D46">
        <w:t xml:space="preserve">Lastly, </w:t>
      </w:r>
      <w:r w:rsidR="003A397A">
        <w:t xml:space="preserve">PG&amp;E supports </w:t>
      </w:r>
      <w:r w:rsidRPr="0057237F" w:rsidR="0057237F">
        <w:t>TURN’s proposed</w:t>
      </w:r>
      <w:r w:rsidR="0057237F">
        <w:t xml:space="preserve"> </w:t>
      </w:r>
      <w:r w:rsidRPr="0057237F" w:rsidR="0057237F">
        <w:t>sensitivity analysis.</w:t>
      </w:r>
      <w:r w:rsidR="0057237F">
        <w:rPr>
          <w:rStyle w:val="FootnoteReference"/>
        </w:rPr>
        <w:footnoteReference w:id="590"/>
      </w:r>
    </w:p>
    <w:p w:rsidR="000C1980" w:rsidP="000D3EBD" w:rsidRDefault="000C1980" w14:paraId="1A07C2A9" w14:textId="77777777">
      <w:pPr>
        <w:pStyle w:val="Standard"/>
      </w:pPr>
      <w:r w:rsidRPr="0065426F">
        <w:rPr>
          <w:b/>
          <w:bCs/>
          <w:i/>
          <w:iCs/>
          <w:u w:val="single"/>
        </w:rPr>
        <w:t>ESACET Threshold</w:t>
      </w:r>
      <w:r>
        <w:rPr>
          <w:b/>
          <w:bCs/>
          <w:i/>
          <w:iCs/>
          <w:u w:val="single"/>
        </w:rPr>
        <w:t xml:space="preserve"> (Measure Level)</w:t>
      </w:r>
      <w:r w:rsidRPr="0065426F">
        <w:rPr>
          <w:b/>
          <w:bCs/>
          <w:i/>
          <w:iCs/>
          <w:u w:val="single"/>
        </w:rPr>
        <w:t>:</w:t>
      </w:r>
      <w:r>
        <w:t xml:space="preserve"> </w:t>
      </w:r>
      <w:r w:rsidRPr="00FC3B78">
        <w:t>PG&amp;E</w:t>
      </w:r>
      <w:r>
        <w:t xml:space="preserve"> opposes Cal Advocates’ proposal to </w:t>
      </w:r>
      <w:r w:rsidRPr="00FC3B78">
        <w:t>remov</w:t>
      </w:r>
      <w:r>
        <w:t>e r</w:t>
      </w:r>
      <w:r w:rsidRPr="00FC3B78">
        <w:t>esource measures with scores below</w:t>
      </w:r>
      <w:r>
        <w:t xml:space="preserve"> </w:t>
      </w:r>
      <w:r w:rsidRPr="00FC3B78">
        <w:t>0.3 or establishing an absolute minimum measure threshold</w:t>
      </w:r>
      <w:r>
        <w:t xml:space="preserve"> stating that the </w:t>
      </w:r>
      <w:r w:rsidRPr="00FC3B78">
        <w:t>ESACET is</w:t>
      </w:r>
      <w:r>
        <w:t xml:space="preserve"> </w:t>
      </w:r>
      <w:r w:rsidRPr="00FC3B78">
        <w:t>run at the portfolio level without an individual measure level threshold</w:t>
      </w:r>
      <w:r>
        <w:t xml:space="preserve"> which allows some l</w:t>
      </w:r>
      <w:r w:rsidRPr="00FC3B78">
        <w:t xml:space="preserve">ow scoring measures </w:t>
      </w:r>
      <w:r>
        <w:t>to be</w:t>
      </w:r>
      <w:r w:rsidRPr="00FC3B78">
        <w:t xml:space="preserve"> kept in the program and monitor</w:t>
      </w:r>
      <w:r>
        <w:t>ed</w:t>
      </w:r>
      <w:r w:rsidRPr="00FC3B78">
        <w:t xml:space="preserve"> to reassess their</w:t>
      </w:r>
      <w:r w:rsidRPr="00FC3B78">
        <w:rPr>
          <w:rFonts w:ascii="ArialMT" w:hAnsi="ArialMT" w:cs="ArialMT"/>
          <w:sz w:val="24"/>
          <w:szCs w:val="24"/>
        </w:rPr>
        <w:t xml:space="preserve"> </w:t>
      </w:r>
      <w:r w:rsidRPr="00FC3B78">
        <w:t>cost-effectiveness following additional implementation experience, or evaluations</w:t>
      </w:r>
      <w:r>
        <w:t xml:space="preserve">.  PG&amp;E also claims that in reviewing </w:t>
      </w:r>
      <w:r w:rsidRPr="00FC3B78">
        <w:t xml:space="preserve">the cost-effectiveness of its </w:t>
      </w:r>
      <w:r w:rsidRPr="00FC3B78">
        <w:lastRenderedPageBreak/>
        <w:t xml:space="preserve">program, </w:t>
      </w:r>
      <w:r>
        <w:t xml:space="preserve">PG&amp;E already conducts an individual assessment of </w:t>
      </w:r>
      <w:r w:rsidRPr="00FC3B78">
        <w:t>measures</w:t>
      </w:r>
      <w:r>
        <w:t>, and measures that</w:t>
      </w:r>
      <w:r w:rsidRPr="00FC3B78">
        <w:t xml:space="preserve"> ha</w:t>
      </w:r>
      <w:r>
        <w:t>ve</w:t>
      </w:r>
      <w:r w:rsidRPr="00FC3B78">
        <w:t xml:space="preserve"> the lowest scores</w:t>
      </w:r>
      <w:r>
        <w:t xml:space="preserve">, </w:t>
      </w:r>
      <w:r w:rsidRPr="00FC3B78">
        <w:t>minimal NEBs</w:t>
      </w:r>
      <w:r>
        <w:t>, or</w:t>
      </w:r>
      <w:r w:rsidRPr="00FC3B78">
        <w:t xml:space="preserve"> could not be justified</w:t>
      </w:r>
      <w:r>
        <w:t>,</w:t>
      </w:r>
      <w:r w:rsidRPr="00FC3B78">
        <w:t xml:space="preserve"> were removed from the portfolio until the ESA portfolio achieved an acceptable ESACET score.</w:t>
      </w:r>
      <w:r>
        <w:rPr>
          <w:rStyle w:val="FootnoteReference"/>
        </w:rPr>
        <w:footnoteReference w:id="591"/>
      </w:r>
    </w:p>
    <w:p w:rsidRPr="00DA5F1A" w:rsidR="000C1980" w:rsidP="000D3EBD" w:rsidRDefault="000C1980" w14:paraId="36C3806C" w14:textId="77777777">
      <w:pPr>
        <w:pStyle w:val="Standard"/>
      </w:pPr>
      <w:r>
        <w:rPr>
          <w:b/>
          <w:bCs/>
          <w:i/>
          <w:iCs/>
          <w:u w:val="single"/>
        </w:rPr>
        <w:t>Updating NEBs</w:t>
      </w:r>
      <w:r w:rsidRPr="008C0972">
        <w:rPr>
          <w:b/>
          <w:bCs/>
          <w:i/>
          <w:iCs/>
          <w:u w:val="single"/>
        </w:rPr>
        <w:t>:</w:t>
      </w:r>
      <w:r>
        <w:t xml:space="preserve"> </w:t>
      </w:r>
      <w:r w:rsidRPr="00DA5F1A">
        <w:t xml:space="preserve">PG&amp;E does not oppose updating </w:t>
      </w:r>
      <w:r>
        <w:t xml:space="preserve">the </w:t>
      </w:r>
      <w:r w:rsidRPr="00DA5F1A">
        <w:t>ESACET using new NEB</w:t>
      </w:r>
      <w:r>
        <w:t xml:space="preserve"> </w:t>
      </w:r>
      <w:r w:rsidRPr="00DA5F1A">
        <w:t xml:space="preserve">values </w:t>
      </w:r>
      <w:r>
        <w:t>from the</w:t>
      </w:r>
      <w:r w:rsidRPr="00DA5F1A">
        <w:t xml:space="preserve"> NEBs </w:t>
      </w:r>
      <w:r>
        <w:t>s</w:t>
      </w:r>
      <w:r w:rsidRPr="00DA5F1A">
        <w:t>tudy</w:t>
      </w:r>
      <w:r>
        <w:t>, once competed, but opposes</w:t>
      </w:r>
      <w:r w:rsidRPr="00DA5F1A">
        <w:t xml:space="preserve"> redesigning its 2021-2026</w:t>
      </w:r>
      <w:r>
        <w:t xml:space="preserve"> </w:t>
      </w:r>
      <w:r w:rsidRPr="00DA5F1A">
        <w:t xml:space="preserve">ESA </w:t>
      </w:r>
      <w:r>
        <w:t>portfolio</w:t>
      </w:r>
      <w:r w:rsidRPr="00DA5F1A">
        <w:t xml:space="preserve"> based on the updated NEBs because of the magnitude of</w:t>
      </w:r>
      <w:r>
        <w:t xml:space="preserve"> </w:t>
      </w:r>
      <w:r w:rsidRPr="00DA5F1A">
        <w:t>effort that will be involved with a redesign</w:t>
      </w:r>
      <w:r>
        <w:t xml:space="preserve">, which would likely cause a delay in a </w:t>
      </w:r>
      <w:r w:rsidRPr="00DA5F1A">
        <w:t>final decision in this</w:t>
      </w:r>
      <w:r>
        <w:t xml:space="preserve"> p</w:t>
      </w:r>
      <w:r w:rsidRPr="00DA5F1A">
        <w:t>roceeding</w:t>
      </w:r>
      <w:r>
        <w:t>.  Instead, P</w:t>
      </w:r>
      <w:r w:rsidRPr="00DA5F1A">
        <w:t>G&amp;E recommends incorporating new</w:t>
      </w:r>
      <w:r>
        <w:t xml:space="preserve"> </w:t>
      </w:r>
      <w:r w:rsidRPr="00DA5F1A">
        <w:t>ESACET values through adjustments via the ESA Working Group and</w:t>
      </w:r>
      <w:r>
        <w:t xml:space="preserve"> </w:t>
      </w:r>
      <w:r w:rsidRPr="00DA5F1A">
        <w:t>mid-cycle processes, as needed.</w:t>
      </w:r>
      <w:r>
        <w:t xml:space="preserve">  </w:t>
      </w:r>
    </w:p>
    <w:p w:rsidRPr="00EB5440" w:rsidR="000C1980" w:rsidP="000D3EBD" w:rsidRDefault="000C1980" w14:paraId="05227D77" w14:textId="77777777">
      <w:pPr>
        <w:pStyle w:val="Standard"/>
      </w:pPr>
      <w:r w:rsidRPr="00DA5F1A">
        <w:t>PG&amp;E is not opposed to hiring an independent consultant to</w:t>
      </w:r>
      <w:r>
        <w:t xml:space="preserve"> </w:t>
      </w:r>
      <w:r w:rsidRPr="00DA5F1A">
        <w:t>validate NEB outputs during the next application process</w:t>
      </w:r>
      <w:r>
        <w:t xml:space="preserve"> but does oppose </w:t>
      </w:r>
      <w:r w:rsidRPr="00EB5440">
        <w:t xml:space="preserve">Cal Advocates’ </w:t>
      </w:r>
      <w:r>
        <w:t xml:space="preserve">proposal of requiring the </w:t>
      </w:r>
      <w:r w:rsidRPr="00EB5440">
        <w:t>IOUs</w:t>
      </w:r>
      <w:r>
        <w:t xml:space="preserve"> to</w:t>
      </w:r>
      <w:r w:rsidRPr="00EB5440">
        <w:t xml:space="preserve"> file</w:t>
      </w:r>
      <w:r>
        <w:t xml:space="preserve"> </w:t>
      </w:r>
      <w:r w:rsidRPr="00EB5440">
        <w:t>Tier 3 advice letters providing updated NEB values</w:t>
      </w:r>
      <w:r>
        <w:t xml:space="preserve">, </w:t>
      </w:r>
      <w:r w:rsidRPr="00EB5440">
        <w:t>ESACET scores</w:t>
      </w:r>
      <w:r>
        <w:t>, and modification</w:t>
      </w:r>
      <w:r w:rsidRPr="00EB5440">
        <w:t>s to ESA measures and budgets</w:t>
      </w:r>
      <w:r>
        <w:t xml:space="preserve">.  Instead, PG&amp;E proposes a </w:t>
      </w:r>
      <w:r w:rsidRPr="00EB5440">
        <w:t>Tier 2 advice letter</w:t>
      </w:r>
      <w:r>
        <w:t xml:space="preserve"> option</w:t>
      </w:r>
      <w:r w:rsidRPr="00EB5440">
        <w:t xml:space="preserve"> to minimize the administrative burden on</w:t>
      </w:r>
      <w:r>
        <w:t xml:space="preserve"> </w:t>
      </w:r>
      <w:r w:rsidRPr="00EB5440">
        <w:t>the Commission and Commission staff.</w:t>
      </w:r>
    </w:p>
    <w:p w:rsidR="000C1980" w:rsidP="000D3EBD" w:rsidRDefault="000C1980" w14:paraId="1733E39F" w14:textId="77777777">
      <w:pPr>
        <w:pStyle w:val="Standard"/>
      </w:pPr>
      <w:r w:rsidRPr="00EB5440">
        <w:t xml:space="preserve">PG&amp;E does not oppose establishing a </w:t>
      </w:r>
      <w:r>
        <w:t>c</w:t>
      </w:r>
      <w:r w:rsidRPr="00EB5440">
        <w:t>ost-</w:t>
      </w:r>
      <w:r>
        <w:t>e</w:t>
      </w:r>
      <w:r w:rsidRPr="00EB5440">
        <w:t>ffectiveness subcommittee of the ESA Working Group to discuss an ESACET threshold level</w:t>
      </w:r>
      <w:r>
        <w:t xml:space="preserve"> but </w:t>
      </w:r>
      <w:r w:rsidRPr="00EB5440">
        <w:t xml:space="preserve">recommends that the Commission provide the </w:t>
      </w:r>
      <w:r>
        <w:t>c</w:t>
      </w:r>
      <w:r w:rsidRPr="00EB5440">
        <w:t>ost-</w:t>
      </w:r>
      <w:r>
        <w:t>e</w:t>
      </w:r>
      <w:r w:rsidRPr="00EB5440">
        <w:t>ffectiveness subcommittee with a purpose and specific issues to be</w:t>
      </w:r>
      <w:r>
        <w:t xml:space="preserve"> </w:t>
      </w:r>
      <w:r w:rsidRPr="00EB5440">
        <w:t>addressed.</w:t>
      </w:r>
      <w:r>
        <w:rPr>
          <w:rStyle w:val="FootnoteReference"/>
        </w:rPr>
        <w:footnoteReference w:id="592"/>
      </w:r>
    </w:p>
    <w:p w:rsidR="000C1980" w:rsidP="000D3EBD" w:rsidRDefault="000C1980" w14:paraId="3CB016BD" w14:textId="77777777">
      <w:pPr>
        <w:pStyle w:val="Standard"/>
      </w:pPr>
      <w:r w:rsidRPr="00012D0E">
        <w:t xml:space="preserve">PG&amp;E agrees with TURN’s position that parameters </w:t>
      </w:r>
      <w:r>
        <w:t xml:space="preserve">be established </w:t>
      </w:r>
      <w:r w:rsidRPr="00012D0E">
        <w:t xml:space="preserve">for </w:t>
      </w:r>
      <w:r>
        <w:t>n</w:t>
      </w:r>
      <w:r w:rsidRPr="00012D0E">
        <w:t>on-resource measures, and that a clear vision and</w:t>
      </w:r>
      <w:r>
        <w:t xml:space="preserve"> </w:t>
      </w:r>
      <w:r w:rsidRPr="00012D0E">
        <w:t xml:space="preserve">implementation strategy for </w:t>
      </w:r>
      <w:r w:rsidRPr="00012D0E">
        <w:lastRenderedPageBreak/>
        <w:t xml:space="preserve">ESA on equity and </w:t>
      </w:r>
      <w:r>
        <w:t>HCS</w:t>
      </w:r>
      <w:r w:rsidRPr="00012D0E">
        <w:t xml:space="preserve"> be defined</w:t>
      </w:r>
      <w:r>
        <w:t>, however PG&amp;E notes that e</w:t>
      </w:r>
      <w:r w:rsidRPr="00012D0E">
        <w:t>stablishing a separate budget, goals and per home spending caps for</w:t>
      </w:r>
      <w:r>
        <w:t xml:space="preserve"> n</w:t>
      </w:r>
      <w:r w:rsidRPr="00012D0E">
        <w:t>on-resource measures should be explored further prior to implementation</w:t>
      </w:r>
      <w:r>
        <w:t xml:space="preserve"> and recommends that the </w:t>
      </w:r>
      <w:r w:rsidRPr="00012D0E">
        <w:t>ESA Working Group conduct and present its analysis on this topic.</w:t>
      </w:r>
      <w:r>
        <w:rPr>
          <w:rStyle w:val="FootnoteReference"/>
        </w:rPr>
        <w:footnoteReference w:id="593"/>
      </w:r>
    </w:p>
    <w:p w:rsidRPr="001C6CB9" w:rsidR="000C1980" w:rsidP="001968DC" w:rsidRDefault="000C1980" w14:paraId="4A65318B" w14:textId="77777777">
      <w:pPr>
        <w:pStyle w:val="Heading4"/>
        <w:ind w:left="3600"/>
      </w:pPr>
      <w:bookmarkStart w:name="_Toc69948069" w:id="415"/>
      <w:r w:rsidRPr="001C6CB9">
        <w:t>SCE</w:t>
      </w:r>
      <w:bookmarkEnd w:id="415"/>
    </w:p>
    <w:p w:rsidRPr="00C90C55" w:rsidR="000C1980" w:rsidP="000D3EBD" w:rsidRDefault="000C1980" w14:paraId="272A7604" w14:textId="77777777">
      <w:pPr>
        <w:pStyle w:val="Standard"/>
      </w:pPr>
      <w:r w:rsidRPr="0065426F">
        <w:rPr>
          <w:b/>
          <w:bCs/>
          <w:i/>
          <w:iCs/>
          <w:u w:val="single"/>
        </w:rPr>
        <w:t>ESACET Threshold</w:t>
      </w:r>
      <w:r>
        <w:rPr>
          <w:b/>
          <w:bCs/>
          <w:i/>
          <w:iCs/>
          <w:u w:val="single"/>
        </w:rPr>
        <w:t xml:space="preserve"> (Portfolio Level or Measure Level)</w:t>
      </w:r>
      <w:r w:rsidRPr="0065426F">
        <w:rPr>
          <w:b/>
          <w:bCs/>
          <w:i/>
          <w:iCs/>
          <w:u w:val="single"/>
        </w:rPr>
        <w:t>:</w:t>
      </w:r>
      <w:r>
        <w:t xml:space="preserve">  SCE opposes </w:t>
      </w:r>
      <w:r w:rsidRPr="00E2755E">
        <w:t>Cal</w:t>
      </w:r>
      <w:r>
        <w:t> </w:t>
      </w:r>
      <w:r w:rsidRPr="00E2755E">
        <w:t>Advocates</w:t>
      </w:r>
      <w:r>
        <w:t>’</w:t>
      </w:r>
      <w:r w:rsidRPr="00E2755E">
        <w:t xml:space="preserve"> </w:t>
      </w:r>
      <w:r>
        <w:t>proposal of</w:t>
      </w:r>
      <w:r w:rsidRPr="00E2755E">
        <w:t xml:space="preserve"> a</w:t>
      </w:r>
      <w:r>
        <w:t xml:space="preserve"> 1.0</w:t>
      </w:r>
      <w:r w:rsidRPr="00E2755E">
        <w:t xml:space="preserve"> ESACET threshold for the</w:t>
      </w:r>
      <w:r>
        <w:t xml:space="preserve"> </w:t>
      </w:r>
      <w:r w:rsidRPr="00E2755E">
        <w:t>portfolio of resource measures</w:t>
      </w:r>
      <w:r>
        <w:t xml:space="preserve"> and the proposal to retire measures with E</w:t>
      </w:r>
      <w:r w:rsidRPr="00E2755E">
        <w:t xml:space="preserve">SACET scores below </w:t>
      </w:r>
      <w:r>
        <w:t>0</w:t>
      </w:r>
      <w:r w:rsidRPr="00E2755E">
        <w:t>.30</w:t>
      </w:r>
      <w:r>
        <w:t xml:space="preserve"> claiming that these rules would neglect the HCS </w:t>
      </w:r>
      <w:r w:rsidRPr="00E2755E">
        <w:t xml:space="preserve">policy objectives </w:t>
      </w:r>
      <w:r>
        <w:t xml:space="preserve">of the program and would have </w:t>
      </w:r>
      <w:r w:rsidRPr="00E2755E">
        <w:t>a detrimental</w:t>
      </w:r>
      <w:r>
        <w:t xml:space="preserve"> </w:t>
      </w:r>
      <w:r w:rsidRPr="00E2755E">
        <w:t xml:space="preserve">effect on </w:t>
      </w:r>
      <w:proofErr w:type="gramStart"/>
      <w:r w:rsidRPr="00E2755E">
        <w:t>low income</w:t>
      </w:r>
      <w:proofErr w:type="gramEnd"/>
      <w:r w:rsidRPr="00E2755E">
        <w:t xml:space="preserve"> customers by significantly limiting the available measures</w:t>
      </w:r>
      <w:r>
        <w:t xml:space="preserve">.  SCE also urges the Commission to reject </w:t>
      </w:r>
      <w:r w:rsidRPr="00714912">
        <w:t>Cal</w:t>
      </w:r>
      <w:r>
        <w:t> </w:t>
      </w:r>
      <w:r w:rsidRPr="00714912">
        <w:t>Advocates’ suggestion to exclude non-resource measures from the ESACET</w:t>
      </w:r>
      <w:r>
        <w:t xml:space="preserve"> </w:t>
      </w:r>
      <w:r w:rsidRPr="00714912">
        <w:t xml:space="preserve">calculation </w:t>
      </w:r>
      <w:r>
        <w:t>because this has already been examined (“</w:t>
      </w:r>
      <w:r w:rsidRPr="00714912">
        <w:t>adjusted ESACET” which remove</w:t>
      </w:r>
      <w:r>
        <w:t>d</w:t>
      </w:r>
      <w:r w:rsidRPr="00714912">
        <w:t xml:space="preserve"> all non-resource</w:t>
      </w:r>
      <w:r>
        <w:t xml:space="preserve"> </w:t>
      </w:r>
      <w:r w:rsidRPr="00714912">
        <w:t>measures from the ESACET calculation</w:t>
      </w:r>
      <w:r>
        <w:t>), and the r</w:t>
      </w:r>
      <w:r w:rsidRPr="00714912">
        <w:t xml:space="preserve">esults </w:t>
      </w:r>
      <w:r>
        <w:t xml:space="preserve">showed that </w:t>
      </w:r>
      <w:r w:rsidRPr="00714912">
        <w:t>removal of</w:t>
      </w:r>
      <w:r>
        <w:t xml:space="preserve"> </w:t>
      </w:r>
      <w:r w:rsidRPr="00714912">
        <w:t>these measures provided virtually no change to the test result</w:t>
      </w:r>
      <w:r>
        <w:t xml:space="preserve">. </w:t>
      </w:r>
    </w:p>
    <w:p w:rsidRPr="00765A7C" w:rsidR="000C1980" w:rsidP="000D3EBD" w:rsidRDefault="000C1980" w14:paraId="22FE4D19" w14:textId="77777777">
      <w:pPr>
        <w:pStyle w:val="Standard"/>
      </w:pPr>
      <w:r>
        <w:rPr>
          <w:b/>
          <w:bCs/>
          <w:i/>
          <w:iCs/>
          <w:u w:val="single"/>
        </w:rPr>
        <w:t>Updating NEBs</w:t>
      </w:r>
      <w:r w:rsidRPr="008C0972">
        <w:rPr>
          <w:b/>
          <w:bCs/>
          <w:i/>
          <w:iCs/>
          <w:u w:val="single"/>
        </w:rPr>
        <w:t>:</w:t>
      </w:r>
      <w:r>
        <w:t xml:space="preserve"> SCE opposes </w:t>
      </w:r>
      <w:r w:rsidRPr="00E2755E">
        <w:t>Cal Advocates</w:t>
      </w:r>
      <w:r>
        <w:t>’</w:t>
      </w:r>
      <w:r w:rsidRPr="00E2755E">
        <w:t xml:space="preserve"> recommend</w:t>
      </w:r>
      <w:r>
        <w:t xml:space="preserve">ation to </w:t>
      </w:r>
      <w:r w:rsidRPr="00E2755E">
        <w:t>hire independent evaluators to create an</w:t>
      </w:r>
      <w:r>
        <w:t xml:space="preserve"> </w:t>
      </w:r>
      <w:r w:rsidRPr="00E2755E">
        <w:t>oversight process in validating the NEB outputs</w:t>
      </w:r>
      <w:r>
        <w:t xml:space="preserve"> </w:t>
      </w:r>
      <w:r w:rsidRPr="001D2AD0">
        <w:t>because 1</w:t>
      </w:r>
      <w:r>
        <w:t>)</w:t>
      </w:r>
      <w:r w:rsidRPr="001D2AD0">
        <w:t xml:space="preserve"> an independent contractor has historically been used to develop the tool to estimate the NEBs</w:t>
      </w:r>
      <w:r>
        <w:t>,</w:t>
      </w:r>
      <w:r w:rsidRPr="001D2AD0">
        <w:t xml:space="preserve"> and </w:t>
      </w:r>
      <w:r>
        <w:t>2)</w:t>
      </w:r>
      <w:r w:rsidRPr="001D2AD0">
        <w:t xml:space="preserve"> the ESA application process should be the forum to validate the utility inputs that are associated with NEB outputs and ESACET values</w:t>
      </w:r>
      <w:r>
        <w:t>.  Instead</w:t>
      </w:r>
      <w:r w:rsidRPr="001D2AD0">
        <w:t xml:space="preserve">, SCE recommends </w:t>
      </w:r>
      <w:r>
        <w:t xml:space="preserve">that </w:t>
      </w:r>
      <w:r w:rsidRPr="001D2AD0">
        <w:t>the Commission</w:t>
      </w:r>
      <w:r>
        <w:t xml:space="preserve"> </w:t>
      </w:r>
      <w:r w:rsidRPr="001D2AD0">
        <w:t>adopt</w:t>
      </w:r>
      <w:r>
        <w:t xml:space="preserve"> a</w:t>
      </w:r>
      <w:r w:rsidRPr="001D2AD0">
        <w:t xml:space="preserve"> continuation of the Mid-cycle Working Group to make recommendations on future adjustments to</w:t>
      </w:r>
      <w:r>
        <w:t xml:space="preserve"> </w:t>
      </w:r>
      <w:r w:rsidRPr="001D2AD0">
        <w:t xml:space="preserve">the ESACET, allocation of NEBs and future studies, and </w:t>
      </w:r>
      <w:r w:rsidRPr="001D2AD0">
        <w:lastRenderedPageBreak/>
        <w:t>administrative costs to the measure level.</w:t>
      </w:r>
      <w:r>
        <w:t xml:space="preserve">  SCE also opposes </w:t>
      </w:r>
      <w:r w:rsidRPr="001D2AD0">
        <w:t>Cal Advocates’ suggestion that the IOUs re-file updated NEB</w:t>
      </w:r>
      <w:r>
        <w:t>s</w:t>
      </w:r>
      <w:r w:rsidRPr="001D2AD0">
        <w:t xml:space="preserve"> and ESACET values via Tier 3 </w:t>
      </w:r>
      <w:r>
        <w:t>a</w:t>
      </w:r>
      <w:r w:rsidRPr="001D2AD0">
        <w:t xml:space="preserve">dvice </w:t>
      </w:r>
      <w:r>
        <w:t>l</w:t>
      </w:r>
      <w:r w:rsidRPr="001D2AD0">
        <w:t>etters and “propose modification to ESA measures and budgets, based on the results of the APPRISE NEB study</w:t>
      </w:r>
      <w:r>
        <w:t>,</w:t>
      </w:r>
      <w:r w:rsidRPr="001D2AD0">
        <w:t>”</w:t>
      </w:r>
      <w:r>
        <w:t xml:space="preserve"> because </w:t>
      </w:r>
      <w:r w:rsidRPr="001D2AD0">
        <w:t>NEB</w:t>
      </w:r>
      <w:r>
        <w:t>s</w:t>
      </w:r>
      <w:r w:rsidRPr="001D2AD0">
        <w:t xml:space="preserve"> and ESACET values</w:t>
      </w:r>
      <w:r>
        <w:t xml:space="preserve"> </w:t>
      </w:r>
      <w:r w:rsidRPr="001D2AD0">
        <w:t xml:space="preserve">are not critical metrics applied to determine the ESA program value or program success, </w:t>
      </w:r>
      <w:r>
        <w:t xml:space="preserve">there is no </w:t>
      </w:r>
      <w:r w:rsidRPr="001D2AD0">
        <w:t>specific requirement for a cost-effectiveness threshold</w:t>
      </w:r>
      <w:r>
        <w:t>, and updates to N</w:t>
      </w:r>
      <w:r w:rsidRPr="001D2AD0">
        <w:t>EB and ESACET values do not warrant update</w:t>
      </w:r>
      <w:r>
        <w:t>s</w:t>
      </w:r>
      <w:r w:rsidRPr="001D2AD0">
        <w:t xml:space="preserve"> to SCE’s applicatio</w:t>
      </w:r>
      <w:r>
        <w:t>n</w:t>
      </w:r>
      <w:r w:rsidRPr="001D2AD0">
        <w:t>.</w:t>
      </w:r>
      <w:r>
        <w:rPr>
          <w:rStyle w:val="FootnoteReference"/>
        </w:rPr>
        <w:footnoteReference w:id="594"/>
      </w:r>
      <w:r w:rsidRPr="001D2AD0">
        <w:rPr>
          <w:rFonts w:ascii="TimesNewRoman" w:hAnsi="TimesNewRoman" w:cs="TimesNewRoman"/>
          <w:sz w:val="24"/>
          <w:szCs w:val="24"/>
        </w:rPr>
        <w:t xml:space="preserve"> </w:t>
      </w:r>
    </w:p>
    <w:p w:rsidRPr="00765A7C" w:rsidR="000C1980" w:rsidP="001968DC" w:rsidRDefault="000C1980" w14:paraId="10E0832A" w14:textId="77777777">
      <w:pPr>
        <w:pStyle w:val="Heading4"/>
        <w:ind w:left="3600"/>
      </w:pPr>
      <w:bookmarkStart w:name="_Toc69948070" w:id="416"/>
      <w:r w:rsidRPr="00765A7C">
        <w:t>SoCalGas</w:t>
      </w:r>
      <w:bookmarkEnd w:id="416"/>
    </w:p>
    <w:p w:rsidRPr="001B40AF" w:rsidR="0048438C" w:rsidP="000D3EBD" w:rsidRDefault="000C1980" w14:paraId="56F0C724" w14:textId="791AEE33">
      <w:pPr>
        <w:pStyle w:val="Standard"/>
      </w:pPr>
      <w:r w:rsidRPr="0065426F">
        <w:rPr>
          <w:b/>
          <w:bCs/>
          <w:i/>
          <w:iCs/>
          <w:u w:val="single"/>
        </w:rPr>
        <w:t>ESACET Threshold</w:t>
      </w:r>
      <w:r>
        <w:rPr>
          <w:b/>
          <w:bCs/>
          <w:i/>
          <w:iCs/>
          <w:u w:val="single"/>
        </w:rPr>
        <w:t xml:space="preserve"> (Portfolio Level or Measure Level)</w:t>
      </w:r>
      <w:r w:rsidRPr="0065426F">
        <w:rPr>
          <w:b/>
          <w:bCs/>
          <w:i/>
          <w:iCs/>
          <w:u w:val="single"/>
        </w:rPr>
        <w:t>:</w:t>
      </w:r>
      <w:r>
        <w:t xml:space="preserve">  SoCalGas opposes s</w:t>
      </w:r>
      <w:r w:rsidRPr="00443346">
        <w:t>etting a</w:t>
      </w:r>
      <w:r>
        <w:t>ny</w:t>
      </w:r>
      <w:r w:rsidRPr="00443346">
        <w:t xml:space="preserve"> threshold for the ESA </w:t>
      </w:r>
      <w:r>
        <w:t>p</w:t>
      </w:r>
      <w:r w:rsidRPr="00443346">
        <w:t xml:space="preserve">rogram </w:t>
      </w:r>
      <w:r>
        <w:t xml:space="preserve">because a threshold </w:t>
      </w:r>
      <w:r w:rsidRPr="00443346">
        <w:t>can have unintended consequences that can negatively</w:t>
      </w:r>
      <w:r>
        <w:t xml:space="preserve"> </w:t>
      </w:r>
      <w:r w:rsidRPr="00443346">
        <w:t xml:space="preserve">impact the customers’ </w:t>
      </w:r>
      <w:r>
        <w:t>HCS, would p</w:t>
      </w:r>
      <w:r w:rsidRPr="00443346">
        <w:t xml:space="preserve">rohibit valuable </w:t>
      </w:r>
      <w:r>
        <w:t xml:space="preserve">HCS </w:t>
      </w:r>
      <w:r w:rsidRPr="00443346">
        <w:t xml:space="preserve">measures from </w:t>
      </w:r>
      <w:r w:rsidRPr="000D3EBD">
        <w:t>being</w:t>
      </w:r>
      <w:r w:rsidRPr="00443346">
        <w:t xml:space="preserve"> offered</w:t>
      </w:r>
      <w:r>
        <w:t>, and would not be a</w:t>
      </w:r>
      <w:r w:rsidRPr="00443346">
        <w:t xml:space="preserve"> complete measurement of how successful the</w:t>
      </w:r>
      <w:r>
        <w:t xml:space="preserve"> </w:t>
      </w:r>
      <w:r w:rsidRPr="00443346">
        <w:t>program is at serving customers</w:t>
      </w:r>
      <w:r>
        <w:t>.  SoCalGas also opposes</w:t>
      </w:r>
      <w:r w:rsidRPr="00443346">
        <w:t xml:space="preserve"> Cal Advocates’ recommendation of retiring resource measures with ESACET scores below 0.30 </w:t>
      </w:r>
      <w:r>
        <w:t>arguing that t</w:t>
      </w:r>
      <w:r w:rsidRPr="00443346">
        <w:t xml:space="preserve">aking away </w:t>
      </w:r>
      <w:r>
        <w:t>such measures would d</w:t>
      </w:r>
      <w:r w:rsidRPr="00443346">
        <w:t xml:space="preserve">isregard the needs that </w:t>
      </w:r>
      <w:proofErr w:type="gramStart"/>
      <w:r w:rsidRPr="00443346">
        <w:t>low</w:t>
      </w:r>
      <w:r>
        <w:t xml:space="preserve"> </w:t>
      </w:r>
      <w:r w:rsidRPr="00443346">
        <w:t>income</w:t>
      </w:r>
      <w:proofErr w:type="gramEnd"/>
      <w:r w:rsidRPr="00443346">
        <w:t xml:space="preserve"> customers have and </w:t>
      </w:r>
      <w:r w:rsidRPr="001B40AF">
        <w:t>may eliminate benefits that</w:t>
      </w:r>
      <w:r w:rsidRPr="001B40AF">
        <w:rPr>
          <w:rFonts w:ascii="TimesNewRomanPSMT" w:hAnsi="TimesNewRomanPSMT" w:cs="TimesNewRomanPSMT"/>
          <w:sz w:val="24"/>
          <w:szCs w:val="24"/>
        </w:rPr>
        <w:t xml:space="preserve"> </w:t>
      </w:r>
      <w:r w:rsidRPr="001B40AF">
        <w:t>they deserve.</w:t>
      </w:r>
      <w:r w:rsidRPr="001B40AF">
        <w:rPr>
          <w:rStyle w:val="FootnoteReference"/>
        </w:rPr>
        <w:footnoteReference w:id="595"/>
      </w:r>
    </w:p>
    <w:p w:rsidRPr="00765A7C" w:rsidR="000C1980" w:rsidP="001968DC" w:rsidRDefault="000C1980" w14:paraId="00C6DEB7" w14:textId="77777777">
      <w:pPr>
        <w:pStyle w:val="Heading4"/>
        <w:ind w:left="3600"/>
      </w:pPr>
      <w:bookmarkStart w:name="_Toc69948071" w:id="417"/>
      <w:r w:rsidRPr="00765A7C">
        <w:t>SDG&amp;E</w:t>
      </w:r>
      <w:bookmarkEnd w:id="417"/>
      <w:r w:rsidRPr="00765A7C">
        <w:t xml:space="preserve"> </w:t>
      </w:r>
    </w:p>
    <w:p w:rsidRPr="004D4B1A" w:rsidR="000C1980" w:rsidP="000D3EBD" w:rsidRDefault="000C1980" w14:paraId="685ABD43" w14:textId="77777777">
      <w:pPr>
        <w:pStyle w:val="Standard"/>
      </w:pPr>
      <w:r w:rsidRPr="0065426F">
        <w:rPr>
          <w:b/>
          <w:bCs/>
          <w:i/>
          <w:iCs/>
          <w:u w:val="single"/>
        </w:rPr>
        <w:t>ESACET Threshold</w:t>
      </w:r>
      <w:r>
        <w:rPr>
          <w:b/>
          <w:bCs/>
          <w:i/>
          <w:iCs/>
          <w:u w:val="single"/>
        </w:rPr>
        <w:t xml:space="preserve"> (Portfolio Level or Measure Level)</w:t>
      </w:r>
      <w:r w:rsidRPr="0065426F">
        <w:rPr>
          <w:b/>
          <w:bCs/>
          <w:i/>
          <w:iCs/>
          <w:u w:val="single"/>
        </w:rPr>
        <w:t>:</w:t>
      </w:r>
      <w:r>
        <w:t xml:space="preserve"> SDG&amp;E opposes Cal Advocates proposal for a 1.0 ESACET threshold arguing that this has been considered before and never adopted for reasons including lack of confidence in the tests being used, too many measures being </w:t>
      </w:r>
      <w:r w:rsidRPr="00543B82">
        <w:t>eliminated as a result of adopting the 1.0 threshold</w:t>
      </w:r>
      <w:r>
        <w:t xml:space="preserve">, lack of consensus, and inability to </w:t>
      </w:r>
      <w:r w:rsidRPr="000E53BD">
        <w:t>determin</w:t>
      </w:r>
      <w:r>
        <w:t>e</w:t>
      </w:r>
      <w:r w:rsidRPr="000E53BD">
        <w:t xml:space="preserve"> which measures </w:t>
      </w:r>
      <w:r w:rsidRPr="000E53BD">
        <w:lastRenderedPageBreak/>
        <w:t>should be deemed non-resource and omitted from the test</w:t>
      </w:r>
      <w:r>
        <w:t>.</w:t>
      </w:r>
      <w:r>
        <w:rPr>
          <w:rStyle w:val="FootnoteReference"/>
        </w:rPr>
        <w:footnoteReference w:id="596"/>
      </w:r>
      <w:r>
        <w:t xml:space="preserve">  SDG&amp;E also opposes </w:t>
      </w:r>
      <w:r w:rsidRPr="00004FEE">
        <w:t>Cal Advocates recommend</w:t>
      </w:r>
      <w:r>
        <w:t>ation to e</w:t>
      </w:r>
      <w:r w:rsidRPr="00004FEE">
        <w:t>liminate all resource measures with an ESACET</w:t>
      </w:r>
      <w:r>
        <w:t xml:space="preserve"> </w:t>
      </w:r>
      <w:r w:rsidRPr="00004FEE">
        <w:t xml:space="preserve">value of </w:t>
      </w:r>
      <w:r>
        <w:t xml:space="preserve">0.30 or less because this </w:t>
      </w:r>
      <w:r w:rsidRPr="00004FEE">
        <w:t xml:space="preserve">would not be sufficient </w:t>
      </w:r>
      <w:r>
        <w:t xml:space="preserve">in </w:t>
      </w:r>
      <w:r w:rsidRPr="00004FEE">
        <w:t>achiev</w:t>
      </w:r>
      <w:r>
        <w:t>ing</w:t>
      </w:r>
      <w:r w:rsidRPr="00004FEE">
        <w:t xml:space="preserve"> the 1.0</w:t>
      </w:r>
      <w:r>
        <w:t xml:space="preserve"> </w:t>
      </w:r>
      <w:r w:rsidRPr="00004FEE">
        <w:t>threshold</w:t>
      </w:r>
      <w:r>
        <w:t xml:space="preserve">, would remove measures that are “favorable” with customers, and may </w:t>
      </w:r>
      <w:r w:rsidRPr="004D4B1A">
        <w:t>decrease participation in</w:t>
      </w:r>
      <w:r>
        <w:t xml:space="preserve"> </w:t>
      </w:r>
      <w:r w:rsidRPr="004D4B1A">
        <w:t>the program</w:t>
      </w:r>
      <w:r>
        <w:t>.</w:t>
      </w:r>
      <w:r>
        <w:rPr>
          <w:rStyle w:val="FootnoteReference"/>
        </w:rPr>
        <w:footnoteReference w:id="597"/>
      </w:r>
    </w:p>
    <w:p w:rsidR="000C1980" w:rsidP="000D3EBD" w:rsidRDefault="000C1980" w14:paraId="7C1BA8AD" w14:textId="77777777">
      <w:pPr>
        <w:pStyle w:val="Standard"/>
      </w:pPr>
      <w:r>
        <w:rPr>
          <w:b/>
          <w:bCs/>
          <w:i/>
          <w:iCs/>
          <w:u w:val="single"/>
        </w:rPr>
        <w:t>Updating NEBs</w:t>
      </w:r>
      <w:r w:rsidRPr="008C0972">
        <w:rPr>
          <w:b/>
          <w:bCs/>
          <w:i/>
          <w:iCs/>
          <w:u w:val="single"/>
        </w:rPr>
        <w:t>:</w:t>
      </w:r>
      <w:r>
        <w:t xml:space="preserve"> SDG&amp;E opposes </w:t>
      </w:r>
      <w:r w:rsidRPr="004D4B1A">
        <w:t>Cal Advocates</w:t>
      </w:r>
      <w:r>
        <w:t xml:space="preserve">’ recommendation to require the </w:t>
      </w:r>
      <w:r w:rsidRPr="004D4B1A">
        <w:t xml:space="preserve">IOUs file updated NEB and ESACET values after the current NEB Study is completed </w:t>
      </w:r>
      <w:r>
        <w:t xml:space="preserve">because 1) </w:t>
      </w:r>
      <w:r w:rsidRPr="004D4B1A">
        <w:t xml:space="preserve">SDG&amp;E’s </w:t>
      </w:r>
      <w:r>
        <w:t>a</w:t>
      </w:r>
      <w:r w:rsidRPr="004D4B1A">
        <w:t xml:space="preserve">pplication </w:t>
      </w:r>
      <w:r>
        <w:t>is ba</w:t>
      </w:r>
      <w:r w:rsidRPr="004D4B1A">
        <w:t xml:space="preserve">sed on a </w:t>
      </w:r>
      <w:r>
        <w:t>s</w:t>
      </w:r>
      <w:r w:rsidRPr="004D4B1A">
        <w:t xml:space="preserve">napshot in </w:t>
      </w:r>
      <w:r>
        <w:t>t</w:t>
      </w:r>
      <w:r w:rsidRPr="004D4B1A">
        <w:t xml:space="preserve">ime and </w:t>
      </w:r>
      <w:r>
        <w:t>s</w:t>
      </w:r>
      <w:r w:rsidRPr="004D4B1A">
        <w:t>hould</w:t>
      </w:r>
      <w:r>
        <w:t xml:space="preserve"> not be amended ever</w:t>
      </w:r>
      <w:r w:rsidRPr="004D4B1A">
        <w:t xml:space="preserve">y </w:t>
      </w:r>
      <w:r>
        <w:t>t</w:t>
      </w:r>
      <w:r w:rsidRPr="004D4B1A">
        <w:t>ime</w:t>
      </w:r>
      <w:r>
        <w:t xml:space="preserve"> a c</w:t>
      </w:r>
      <w:r w:rsidRPr="004D4B1A">
        <w:t>ost-</w:t>
      </w:r>
      <w:r>
        <w:t>e</w:t>
      </w:r>
      <w:r w:rsidRPr="004D4B1A">
        <w:t xml:space="preserve">ffectiveness </w:t>
      </w:r>
      <w:r>
        <w:t xml:space="preserve">input changes, 2) </w:t>
      </w:r>
      <w:r w:rsidRPr="004D4B1A">
        <w:t xml:space="preserve"> </w:t>
      </w:r>
      <w:r>
        <w:t xml:space="preserve">ESACET is not the </w:t>
      </w:r>
      <w:r w:rsidRPr="00F5752C">
        <w:t>sole determinant for program approval and is only one</w:t>
      </w:r>
      <w:r>
        <w:t xml:space="preserve"> </w:t>
      </w:r>
      <w:r w:rsidRPr="00F5752C">
        <w:t>indicator considered along with the remaining data</w:t>
      </w:r>
      <w:r>
        <w:t xml:space="preserve">, and 3) </w:t>
      </w:r>
      <w:r w:rsidRPr="00F5752C">
        <w:t>NEB estimates are not precise values and in many cases are based on uncertain data that is not specifically representative of low</w:t>
      </w:r>
      <w:r>
        <w:t xml:space="preserve"> </w:t>
      </w:r>
      <w:r w:rsidRPr="00F5752C">
        <w:t>income customers, California’s climate, or ESA’s specific measure mix.</w:t>
      </w:r>
      <w:r>
        <w:rPr>
          <w:rStyle w:val="FootnoteReference"/>
        </w:rPr>
        <w:footnoteReference w:id="598"/>
      </w:r>
    </w:p>
    <w:p w:rsidR="000C1980" w:rsidP="001968DC" w:rsidRDefault="000C1980" w14:paraId="4C22EB62" w14:textId="77777777">
      <w:pPr>
        <w:pStyle w:val="Heading3"/>
        <w:ind w:left="2664"/>
      </w:pPr>
      <w:bookmarkStart w:name="_Ref65074749" w:id="418"/>
      <w:bookmarkStart w:name="_Toc69948072" w:id="419"/>
      <w:r>
        <w:t>Discussion</w:t>
      </w:r>
      <w:bookmarkEnd w:id="418"/>
      <w:bookmarkEnd w:id="419"/>
    </w:p>
    <w:p w:rsidRPr="00D810AC" w:rsidR="000C1980" w:rsidP="001968DC" w:rsidRDefault="000C1980" w14:paraId="72ACF63A" w14:textId="77777777">
      <w:pPr>
        <w:pStyle w:val="Heading4"/>
        <w:ind w:left="3600"/>
      </w:pPr>
      <w:bookmarkStart w:name="_Toc69948073" w:id="420"/>
      <w:r w:rsidRPr="00D810AC">
        <w:t xml:space="preserve">ESACET Threshold (Portfolio Level): </w:t>
      </w:r>
      <w:r>
        <w:rPr>
          <w:u w:val="single"/>
        </w:rPr>
        <w:t>Approved as a Target at 0.70 ESACET</w:t>
      </w:r>
      <w:bookmarkEnd w:id="420"/>
      <w:r>
        <w:rPr>
          <w:u w:val="single"/>
        </w:rPr>
        <w:t xml:space="preserve"> </w:t>
      </w:r>
    </w:p>
    <w:p w:rsidR="000C1980" w:rsidP="000D3EBD" w:rsidRDefault="000C1980" w14:paraId="706EF0ED" w14:textId="77777777">
      <w:pPr>
        <w:pStyle w:val="Standard"/>
      </w:pPr>
      <w:r>
        <w:t xml:space="preserve">We deny setting a 1.0 ESACET requirement for the ESA portfolio of energy saving measures </w:t>
      </w:r>
      <w:proofErr w:type="gramStart"/>
      <w:r>
        <w:t>at this time</w:t>
      </w:r>
      <w:proofErr w:type="gramEnd"/>
      <w:r>
        <w:t xml:space="preserve">, and instead </w:t>
      </w:r>
      <w:r w:rsidRPr="00693C10">
        <w:t xml:space="preserve">require all the IOUs to use an average 0.7 ESACET </w:t>
      </w:r>
      <w:r>
        <w:t xml:space="preserve">target for the </w:t>
      </w:r>
      <w:r w:rsidRPr="00693C10">
        <w:t xml:space="preserve">portfolio level </w:t>
      </w:r>
      <w:r>
        <w:t>as</w:t>
      </w:r>
      <w:r w:rsidRPr="00693C10">
        <w:t xml:space="preserve"> a guideline when developing their ESA portfolio measure mix each program year.  </w:t>
      </w:r>
    </w:p>
    <w:p w:rsidR="000C1980" w:rsidP="000D3EBD" w:rsidRDefault="000C1980" w14:paraId="6B1D96A0" w14:textId="77777777">
      <w:pPr>
        <w:pStyle w:val="Standard"/>
      </w:pPr>
      <w:r>
        <w:t xml:space="preserve">We agree with TURN that it is premature given the disagreement among parties as to whether the energy benefits and NEBs are being fully realized, and </w:t>
      </w:r>
      <w:r>
        <w:lastRenderedPageBreak/>
        <w:t>the possibility that a 1.0 requirement m</w:t>
      </w:r>
      <w:r w:rsidRPr="00086F20">
        <w:t xml:space="preserve">ay exclude </w:t>
      </w:r>
      <w:r>
        <w:t xml:space="preserve">valuable </w:t>
      </w:r>
      <w:r w:rsidRPr="00086F20">
        <w:t xml:space="preserve">measures that </w:t>
      </w:r>
      <w:r>
        <w:t xml:space="preserve">do not perform well on the ESACET.  </w:t>
      </w:r>
      <w:r w:rsidRPr="00C45988">
        <w:t xml:space="preserve">Further, </w:t>
      </w:r>
      <w:r>
        <w:t xml:space="preserve">given the shift of the ESA program design and delivery model towards deeper and more targeted treatments, </w:t>
      </w:r>
      <w:r w:rsidRPr="00C45988">
        <w:t xml:space="preserve">it is </w:t>
      </w:r>
      <w:r>
        <w:t>un</w:t>
      </w:r>
      <w:r w:rsidRPr="00C45988">
        <w:t xml:space="preserve">clear </w:t>
      </w:r>
      <w:r>
        <w:t>if</w:t>
      </w:r>
      <w:r w:rsidRPr="00C45988">
        <w:t xml:space="preserve"> a cost-effectiveness requirement</w:t>
      </w:r>
      <w:r>
        <w:t xml:space="preserve"> or goal</w:t>
      </w:r>
      <w:r w:rsidRPr="00C45988">
        <w:t xml:space="preserve"> is needed at this point</w:t>
      </w:r>
      <w:r>
        <w:t>.</w:t>
      </w:r>
    </w:p>
    <w:p w:rsidR="000C1980" w:rsidP="000D3EBD" w:rsidRDefault="000C1980" w14:paraId="692872EE" w14:textId="503AB45A">
      <w:pPr>
        <w:pStyle w:val="Standard"/>
      </w:pPr>
      <w:r>
        <w:t xml:space="preserve">Although we </w:t>
      </w:r>
      <w:r w:rsidR="002201A8">
        <w:t xml:space="preserve">decline </w:t>
      </w:r>
      <w:r>
        <w:t xml:space="preserve">adopting an </w:t>
      </w:r>
      <w:r w:rsidRPr="00E66A87">
        <w:t>adjusted</w:t>
      </w:r>
      <w:r>
        <w:t xml:space="preserve"> </w:t>
      </w:r>
      <w:r w:rsidR="00A229A7">
        <w:t xml:space="preserve">1.0 </w:t>
      </w:r>
      <w:r>
        <w:t>ESACET (</w:t>
      </w:r>
      <w:r w:rsidRPr="00322728">
        <w:rPr>
          <w:i/>
          <w:iCs/>
        </w:rPr>
        <w:t>i.e</w:t>
      </w:r>
      <w:r>
        <w:t xml:space="preserve">. ESACET of energy saving measures only) requirement in this decision, it is not because we agree with the IOUs that having such a threshold would </w:t>
      </w:r>
      <w:r w:rsidRPr="00C634FE">
        <w:t>undermin</w:t>
      </w:r>
      <w:r>
        <w:t xml:space="preserve">e the </w:t>
      </w:r>
      <w:r w:rsidRPr="00C634FE">
        <w:t>dual goal of providing both</w:t>
      </w:r>
      <w:r>
        <w:t xml:space="preserve"> </w:t>
      </w:r>
      <w:r w:rsidRPr="00C634FE">
        <w:t>deeper energy savings as well as HCS benefits</w:t>
      </w:r>
      <w:r>
        <w:t>, as this threshold would have only applied to the energy saving measures in the portfolio, and therefore would not have affected the HCS measures in the portfolio.  We agree with Cal Advocates that setting a</w:t>
      </w:r>
      <w:r w:rsidRPr="007B751D">
        <w:t xml:space="preserve"> 1.0</w:t>
      </w:r>
      <w:r>
        <w:t xml:space="preserve"> requirement</w:t>
      </w:r>
      <w:r w:rsidRPr="007B751D">
        <w:t xml:space="preserve"> </w:t>
      </w:r>
      <w:r>
        <w:t xml:space="preserve">for the energy saving portion of the portfolio will guarantee that </w:t>
      </w:r>
      <w:r w:rsidRPr="007B751D">
        <w:t>all benefits from th</w:t>
      </w:r>
      <w:r>
        <w:t>at</w:t>
      </w:r>
      <w:r w:rsidRPr="007B751D">
        <w:t xml:space="preserve"> portfolio </w:t>
      </w:r>
      <w:r>
        <w:t xml:space="preserve">will be </w:t>
      </w:r>
      <w:r w:rsidRPr="007B751D">
        <w:t>at least</w:t>
      </w:r>
      <w:r>
        <w:t xml:space="preserve"> </w:t>
      </w:r>
      <w:r w:rsidRPr="007B751D">
        <w:t>equivalent to their costs</w:t>
      </w:r>
      <w:r>
        <w:t xml:space="preserve"> and would be moving in the right direction.  However, we are not confident </w:t>
      </w:r>
      <w:r w:rsidR="00FD4EC2">
        <w:t xml:space="preserve">that </w:t>
      </w:r>
      <w:r>
        <w:t xml:space="preserve">all the energy benefits and NEBs are currently being fully and accurately realized.  Without this confidence, setting a 1.0 threshold may be impractical.  We are also not convinced that the IOUs would be able to currently meet the </w:t>
      </w:r>
      <w:r w:rsidRPr="00BE2489">
        <w:t xml:space="preserve">1.0 ESACET threshold </w:t>
      </w:r>
      <w:r>
        <w:t xml:space="preserve">without leaving behind some of projected households under the new design.  Based on the proposed portfolio measure mix, applying this requirement would remove measures that may be the critical factor in whether a household decides to participate in the program.  According to Cal Advocates analysis, applying this requirement would lead to measures such as central system replacements and insulation being removed, while measures such as </w:t>
      </w:r>
      <w:r w:rsidRPr="00F64E95">
        <w:t>LED lamps, smart power strips, faucet aerators, and low flow showerheads</w:t>
      </w:r>
      <w:r>
        <w:t xml:space="preserve"> would be promoted, (generally measures offered in the basic or Tier 1 level of services).  This approach may lead to the </w:t>
      </w:r>
      <w:r w:rsidRPr="00F64E95">
        <w:t>delivery of highly cost-effective, but relatively lower savings measures</w:t>
      </w:r>
      <w:r>
        <w:t xml:space="preserve">, </w:t>
      </w:r>
      <w:r>
        <w:lastRenderedPageBreak/>
        <w:t>and potentially lead to an i</w:t>
      </w:r>
      <w:r w:rsidRPr="00F64E95">
        <w:t xml:space="preserve">ncrease </w:t>
      </w:r>
      <w:r>
        <w:t xml:space="preserve">in </w:t>
      </w:r>
      <w:r w:rsidRPr="00F64E95">
        <w:t xml:space="preserve">the quantity of </w:t>
      </w:r>
      <w:r>
        <w:t>b</w:t>
      </w:r>
      <w:r w:rsidRPr="00F64E95">
        <w:t>asic packages</w:t>
      </w:r>
      <w:r>
        <w:t xml:space="preserve"> offered, which would be </w:t>
      </w:r>
      <w:proofErr w:type="gramStart"/>
      <w:r w:rsidRPr="00F64E95">
        <w:t>similar to</w:t>
      </w:r>
      <w:proofErr w:type="gramEnd"/>
      <w:r w:rsidRPr="00F64E95">
        <w:t xml:space="preserve"> </w:t>
      </w:r>
      <w:r>
        <w:t xml:space="preserve">the </w:t>
      </w:r>
      <w:r w:rsidRPr="00F64E95">
        <w:t xml:space="preserve">previous program design that emphasized reaching all </w:t>
      </w:r>
      <w:r>
        <w:t>households. Additionally, excluding the HCS measures from the threshold may be inadvertently</w:t>
      </w:r>
      <w:r w:rsidR="006C2B1A">
        <w:t xml:space="preserve"> </w:t>
      </w:r>
      <w:r w:rsidRPr="00A14346">
        <w:t>incentiviz</w:t>
      </w:r>
      <w:r>
        <w:t>ing</w:t>
      </w:r>
      <w:r w:rsidRPr="00A14346">
        <w:t xml:space="preserve"> the use of </w:t>
      </w:r>
      <w:r>
        <w:t>mainly HCS</w:t>
      </w:r>
      <w:r w:rsidRPr="00A14346">
        <w:t xml:space="preserve"> measures at the expense of </w:t>
      </w:r>
      <w:r>
        <w:t>energy saving</w:t>
      </w:r>
      <w:r w:rsidRPr="00A14346">
        <w:t xml:space="preserve"> measures</w:t>
      </w:r>
      <w:r>
        <w:t xml:space="preserve"> for participation purposes, and thus moving against the goal of achieving deeper savings</w:t>
      </w:r>
      <w:r w:rsidRPr="00A14346">
        <w:t xml:space="preserve">. </w:t>
      </w:r>
      <w:r>
        <w:t xml:space="preserve"> Lastly, setting this requirement would require moving beyond the current definitions of energy saving versus HCS measures (as defined by previous Cost-Effectiveness Working Groups) which we do not plan on doing for reasons described later in this discussion. </w:t>
      </w:r>
    </w:p>
    <w:p w:rsidR="000C1980" w:rsidP="000D3EBD" w:rsidRDefault="000C1980" w14:paraId="4FCE0993" w14:textId="7725B044">
      <w:pPr>
        <w:pStyle w:val="Standard"/>
      </w:pPr>
      <w:r>
        <w:t xml:space="preserve">For the reasons </w:t>
      </w:r>
      <w:r w:rsidR="00B33F88">
        <w:t xml:space="preserve">set forth </w:t>
      </w:r>
      <w:r>
        <w:t xml:space="preserve">above, we deny setting a 1.0 ESACET requirement or goal for the ESA portfolio of energy saving measures.  </w:t>
      </w:r>
      <w:r w:rsidR="00A229A7">
        <w:t>W</w:t>
      </w:r>
      <w:r>
        <w:t xml:space="preserve">e also deny the Joint </w:t>
      </w:r>
      <w:proofErr w:type="gramStart"/>
      <w:r>
        <w:t>Parties’</w:t>
      </w:r>
      <w:proofErr w:type="gramEnd"/>
      <w:r>
        <w:t xml:space="preserve"> proposed 0.75 ESACET goal for the entire portfolio.  However, because statute does require cost effectiveness to be a consideration in how the ESA program is run and based on the proposed portfolio ESACET scores from the IOU applications, we require all the IOUs to use an </w:t>
      </w:r>
      <w:r w:rsidRPr="0075773F">
        <w:t xml:space="preserve">average </w:t>
      </w:r>
      <w:r>
        <w:t>portfolio level 0.7</w:t>
      </w:r>
      <w:r w:rsidR="000D3EBD">
        <w:t xml:space="preserve"> </w:t>
      </w:r>
      <w:r w:rsidRPr="0075773F">
        <w:t xml:space="preserve">ESACET score </w:t>
      </w:r>
      <w:r>
        <w:t xml:space="preserve">as a guideline when </w:t>
      </w:r>
      <w:r w:rsidRPr="0075773F">
        <w:t>developing the</w:t>
      </w:r>
      <w:r>
        <w:t xml:space="preserve">ir </w:t>
      </w:r>
      <w:r w:rsidRPr="0075773F">
        <w:t>ESA portfolio</w:t>
      </w:r>
      <w:r>
        <w:t xml:space="preserve"> measure mix</w:t>
      </w:r>
      <w:r w:rsidRPr="0075773F">
        <w:t xml:space="preserve"> </w:t>
      </w:r>
      <w:r>
        <w:t>each program year.  And to</w:t>
      </w:r>
      <w:r w:rsidRPr="0075773F">
        <w:t xml:space="preserve"> </w:t>
      </w:r>
      <w:r>
        <w:t xml:space="preserve">aim for </w:t>
      </w:r>
      <w:r w:rsidRPr="0075773F">
        <w:t xml:space="preserve">a </w:t>
      </w:r>
      <w:r>
        <w:t xml:space="preserve">portfolio level of 0.7 </w:t>
      </w:r>
      <w:r w:rsidRPr="0075773F">
        <w:t>ESACET</w:t>
      </w:r>
      <w:r>
        <w:t xml:space="preserve">, the IOUs shall re-evaluate all measures with </w:t>
      </w:r>
      <w:r w:rsidRPr="002A7F2A">
        <w:t xml:space="preserve">ESACET scores </w:t>
      </w:r>
      <w:r>
        <w:t xml:space="preserve">of </w:t>
      </w:r>
      <w:r w:rsidRPr="002A7F2A">
        <w:t>less than</w:t>
      </w:r>
      <w:r>
        <w:t xml:space="preserve"> </w:t>
      </w:r>
      <w:r w:rsidRPr="002A7F2A">
        <w:t>0.30</w:t>
      </w:r>
      <w:r>
        <w:t xml:space="preserve"> to determine if the </w:t>
      </w:r>
      <w:r w:rsidRPr="0075773F">
        <w:t xml:space="preserve">measure should </w:t>
      </w:r>
      <w:r>
        <w:t>be removed from the p</w:t>
      </w:r>
      <w:r w:rsidRPr="0075773F">
        <w:t>ortfolio</w:t>
      </w:r>
      <w:r>
        <w:t>,</w:t>
      </w:r>
      <w:r>
        <w:rPr>
          <w:rStyle w:val="FootnoteReference"/>
        </w:rPr>
        <w:footnoteReference w:id="599"/>
      </w:r>
      <w:r>
        <w:t xml:space="preserve"> giving limited exceptions to measures that provide valuable HCS benefits, high energy savings, or other programmatic benefits.  The IOUs shall complete a review of the measure mix using the above criteria and identify the results when submitting the compliance filing detailing out all the measures being offered by treatment tiers (as discussed </w:t>
      </w:r>
      <w:r>
        <w:lastRenderedPageBreak/>
        <w:t xml:space="preserve">in Section </w:t>
      </w:r>
      <w:r>
        <w:fldChar w:fldCharType="begin"/>
      </w:r>
      <w:r>
        <w:instrText xml:space="preserve"> REF _Ref65423349 \r \h </w:instrText>
      </w:r>
      <w:r>
        <w:fldChar w:fldCharType="separate"/>
      </w:r>
      <w:r w:rsidR="004C2E01">
        <w:t>6.15</w:t>
      </w:r>
      <w:r>
        <w:fldChar w:fldCharType="end"/>
      </w:r>
      <w:r>
        <w:t>).  We reiterate that this is not a requirement that overall portfolio must meet the 0.7 ESACET threshold, or that every measure must meet the 0.</w:t>
      </w:r>
      <w:r w:rsidRPr="00334D04">
        <w:t>3</w:t>
      </w:r>
      <w:r>
        <w:t> </w:t>
      </w:r>
      <w:r w:rsidRPr="00334D04">
        <w:t xml:space="preserve">ESACET minimum, but that these are the guidelines to be used, with discretion for exceptions for measures </w:t>
      </w:r>
      <w:r>
        <w:t>as described above</w:t>
      </w:r>
      <w:r w:rsidRPr="00334D04">
        <w:t xml:space="preserve">.  </w:t>
      </w:r>
      <w:r>
        <w:t xml:space="preserve">The final measure mix proposed in the compliance filing will be reviewed for compliance with these guidelines and will be disposed of accordingly. </w:t>
      </w:r>
    </w:p>
    <w:p w:rsidR="000C1980" w:rsidP="000D3EBD" w:rsidRDefault="000C1980" w14:paraId="2E522292" w14:textId="77777777">
      <w:pPr>
        <w:pStyle w:val="Standard"/>
      </w:pPr>
      <w:r>
        <w:t>A</w:t>
      </w:r>
      <w:r w:rsidRPr="00334D04">
        <w:t xml:space="preserve">lthough </w:t>
      </w:r>
      <w:r>
        <w:t xml:space="preserve">we do not </w:t>
      </w:r>
      <w:r w:rsidRPr="00334D04">
        <w:t xml:space="preserve">mandate a </w:t>
      </w:r>
      <w:r>
        <w:t xml:space="preserve">1.0 ESACET </w:t>
      </w:r>
      <w:r w:rsidRPr="00334D04">
        <w:t xml:space="preserve">requirement, </w:t>
      </w:r>
      <w:r>
        <w:t xml:space="preserve">we continue to encourage the IOUs to seek ways to increase the program’s cost effectiveness through implementation of the above guidelines, through providing deeper treatments, accurately valuing and accounting for NEBs, and through reduced costs in administration and overhead to achieve a 0.70 ESACET portfolio average. </w:t>
      </w:r>
    </w:p>
    <w:p w:rsidRPr="00E75129" w:rsidR="000C1980" w:rsidP="001968DC" w:rsidRDefault="000C1980" w14:paraId="20051089" w14:textId="77777777">
      <w:pPr>
        <w:pStyle w:val="Heading4"/>
        <w:ind w:left="3600"/>
      </w:pPr>
      <w:bookmarkStart w:name="_Toc69948074" w:id="421"/>
      <w:r w:rsidRPr="00E75129">
        <w:t xml:space="preserve">ESACET Threshold (Measure Level): </w:t>
      </w:r>
      <w:r w:rsidRPr="00E75129">
        <w:rPr>
          <w:u w:val="single"/>
        </w:rPr>
        <w:t>Approved with Modification</w:t>
      </w:r>
      <w:r>
        <w:rPr>
          <w:u w:val="single"/>
        </w:rPr>
        <w:t>s</w:t>
      </w:r>
      <w:bookmarkEnd w:id="421"/>
    </w:p>
    <w:p w:rsidR="000C1980" w:rsidP="000D3EBD" w:rsidRDefault="000C1980" w14:paraId="7D5814E8" w14:textId="77777777">
      <w:pPr>
        <w:pStyle w:val="Standard"/>
        <w:rPr>
          <w:b/>
          <w:bCs/>
          <w:i/>
          <w:iCs/>
          <w:u w:val="single"/>
        </w:rPr>
      </w:pPr>
      <w:r>
        <w:t>This decision requires a re-evaluation of all measures with less than 0.30 ESACETs per the guidance provided above, with limited exceptions for those measures that provide valuable HCS benefits, high energy savings, or other programmatic benefits, to be proposed by the IOUs and approved by the Commission in the subsequent compliance filing (see Section 6.16).  This</w:t>
      </w:r>
      <w:r w:rsidRPr="00CA2A68">
        <w:t xml:space="preserve"> approach </w:t>
      </w:r>
      <w:r>
        <w:t xml:space="preserve">will </w:t>
      </w:r>
      <w:r w:rsidRPr="00CA2A68">
        <w:t xml:space="preserve">serve the </w:t>
      </w:r>
      <w:r w:rsidRPr="006053C0">
        <w:t xml:space="preserve">same purpose and will yield similar outcomes as envisioned by Cal Advocates while still allowing the IOUs flexibility in offering limited lower performing ESACET measures that provide benefits not captured by the test, or are attractive enough to </w:t>
      </w:r>
      <w:proofErr w:type="gramStart"/>
      <w:r w:rsidRPr="006053C0">
        <w:t>low income</w:t>
      </w:r>
      <w:proofErr w:type="gramEnd"/>
      <w:r w:rsidRPr="006053C0">
        <w:t xml:space="preserve"> customers, thus incentivizing them to enroll into the program.</w:t>
      </w:r>
      <w:r w:rsidRPr="00CA2A68">
        <w:t xml:space="preserve"> </w:t>
      </w:r>
    </w:p>
    <w:p w:rsidRPr="009B4793" w:rsidR="000C1980" w:rsidP="001968DC" w:rsidRDefault="000C1980" w14:paraId="372710E0" w14:textId="77777777">
      <w:pPr>
        <w:pStyle w:val="Heading4"/>
        <w:ind w:left="3600"/>
      </w:pPr>
      <w:bookmarkStart w:name="_Toc69948075" w:id="422"/>
      <w:r w:rsidRPr="009B4793">
        <w:t xml:space="preserve">ESACET Threshold for Budgeting: </w:t>
      </w:r>
      <w:r w:rsidRPr="009B4793">
        <w:rPr>
          <w:u w:val="single"/>
        </w:rPr>
        <w:t>Denied</w:t>
      </w:r>
      <w:bookmarkEnd w:id="422"/>
    </w:p>
    <w:p w:rsidR="000C1980" w:rsidP="000D3EBD" w:rsidRDefault="000C1980" w14:paraId="70BF404E" w14:textId="77777777">
      <w:pPr>
        <w:pStyle w:val="Standard"/>
      </w:pPr>
      <w:r>
        <w:t xml:space="preserve">In denying the 1.0 ESACET requirement for the energy saving portfolio, we also deny Cal Advocate’s proposal to use the 1.0 ESACET value to set </w:t>
      </w:r>
      <w:r>
        <w:lastRenderedPageBreak/>
        <w:t xml:space="preserve">budgets.  We believe that using cost effectiveness is one method of budget setting, </w:t>
      </w:r>
      <w:r w:rsidRPr="00FC437E">
        <w:t xml:space="preserve">and potentially more rational than relying on historical budgets, </w:t>
      </w:r>
      <w:r>
        <w:t xml:space="preserve">however, </w:t>
      </w:r>
      <w:r w:rsidRPr="00FC437E">
        <w:t xml:space="preserve">using </w:t>
      </w:r>
      <w:r>
        <w:t xml:space="preserve">a 1.0 </w:t>
      </w:r>
      <w:r w:rsidRPr="00FC437E">
        <w:t xml:space="preserve">ESACET </w:t>
      </w:r>
      <w:r>
        <w:t xml:space="preserve">requirement </w:t>
      </w:r>
      <w:r w:rsidRPr="00FC437E">
        <w:t>would have a disproportionately large impact on determining the program design.</w:t>
      </w:r>
      <w:r>
        <w:t xml:space="preserve">  We believe that </w:t>
      </w:r>
      <w:r w:rsidRPr="00FC437E">
        <w:t>goals should be set first, followed by budgets to meet the goals, followed by program design (which includes cost-effectiveness)</w:t>
      </w:r>
      <w:r>
        <w:t xml:space="preserve">.  Requiring a cost-effectiveness threshold on budgeting would elevate ESACET as a primary goal of the ESA program, which does not align with priorities and goals set within this decision.   </w:t>
      </w:r>
    </w:p>
    <w:p w:rsidRPr="009B4793" w:rsidR="000C1980" w:rsidP="001968DC" w:rsidRDefault="000C1980" w14:paraId="7412F5DB" w14:textId="77777777">
      <w:pPr>
        <w:pStyle w:val="Heading4"/>
        <w:ind w:left="3600"/>
      </w:pPr>
      <w:bookmarkStart w:name="_Toc69948076" w:id="423"/>
      <w:r w:rsidRPr="009B4793">
        <w:t xml:space="preserve">Reconvening Cost-Effectiveness Working Group: </w:t>
      </w:r>
      <w:r w:rsidRPr="009B4793">
        <w:rPr>
          <w:u w:val="single"/>
        </w:rPr>
        <w:t>Approved</w:t>
      </w:r>
      <w:bookmarkEnd w:id="423"/>
    </w:p>
    <w:p w:rsidR="000C1980" w:rsidP="000D3EBD" w:rsidRDefault="000C1980" w14:paraId="166EC6C6" w14:textId="7BE81D28">
      <w:pPr>
        <w:pStyle w:val="Standard"/>
      </w:pPr>
      <w:r w:rsidRPr="008D7F7C">
        <w:t>We agree with TURN that a stakeholder process should be established to review the cost-effectiveness protocols and recommend changes</w:t>
      </w:r>
      <w:r>
        <w:t>.  Instead of creating yet another separate working group as proposed, we include the below tasks for the ESA W</w:t>
      </w:r>
      <w:r w:rsidR="00BD6261">
        <w:t xml:space="preserve">orking </w:t>
      </w:r>
      <w:r>
        <w:t>G</w:t>
      </w:r>
      <w:r w:rsidR="00BD6261">
        <w:t>roup</w:t>
      </w:r>
      <w:r>
        <w:t xml:space="preserve"> (see Section 10.2</w:t>
      </w:r>
      <w:r w:rsidR="005A7AA5">
        <w:t>.2.1</w:t>
      </w:r>
      <w:r>
        <w:t>) to address</w:t>
      </w:r>
      <w:r w:rsidR="00490EFE">
        <w:t xml:space="preserve"> the following:</w:t>
      </w:r>
      <w:r>
        <w:t xml:space="preserve"> </w:t>
      </w:r>
    </w:p>
    <w:p w:rsidRPr="003F736E" w:rsidR="000C1980" w:rsidP="0023091F" w:rsidRDefault="000C1980" w14:paraId="32CC6948" w14:textId="77777777">
      <w:pPr>
        <w:pStyle w:val="ALJBodyText"/>
      </w:pPr>
      <w:r w:rsidRPr="003F736E">
        <w:t xml:space="preserve">Task 1: Cost-Effectiveness Test Considerations </w:t>
      </w:r>
    </w:p>
    <w:p w:rsidR="000C1980" w:rsidP="000D3EBD" w:rsidRDefault="000C1980" w14:paraId="66EFB058" w14:textId="2206CF62">
      <w:pPr>
        <w:pStyle w:val="Standard"/>
      </w:pPr>
      <w:r>
        <w:t xml:space="preserve">The objective of this effort is to provide recommendations on the following issues listed below.  The cost effectiveness subgroup of the ESA Working Group will provide these recommendations via a progress report to be distributed to the service list no later than </w:t>
      </w:r>
      <w:r w:rsidR="00ED4A38">
        <w:t xml:space="preserve">the end of </w:t>
      </w:r>
      <w:r>
        <w:t xml:space="preserve">the first quarter of 2023. </w:t>
      </w:r>
    </w:p>
    <w:p w:rsidRPr="00A3715C" w:rsidR="000C1980" w:rsidP="00402362" w:rsidRDefault="000C1980" w14:paraId="144CFADC" w14:textId="77777777">
      <w:pPr>
        <w:pStyle w:val="ListBullet"/>
      </w:pPr>
      <w:r w:rsidRPr="00A3715C">
        <w:t>How should the cost-effectiveness guidelines in this decision be used by the IOUs to inform ESA program design?</w:t>
      </w:r>
    </w:p>
    <w:p w:rsidRPr="00A3715C" w:rsidR="000C1980" w:rsidP="00402362" w:rsidRDefault="000C1980" w14:paraId="68408A0F" w14:textId="77777777">
      <w:pPr>
        <w:pStyle w:val="ListBullet"/>
      </w:pPr>
      <w:r w:rsidRPr="00A3715C">
        <w:t>Are there are any recommendations around how the cost-effectiveness guidelines in this decision should be changed?</w:t>
      </w:r>
    </w:p>
    <w:p w:rsidRPr="00A3715C" w:rsidR="000C1980" w:rsidP="00402362" w:rsidRDefault="000C1980" w14:paraId="0EFD4DE0" w14:textId="77777777">
      <w:pPr>
        <w:pStyle w:val="ListBullet"/>
      </w:pPr>
      <w:r w:rsidRPr="00A3715C">
        <w:t xml:space="preserve">Are there any recommendations on how the IOUs could better use cost-effectiveness tools to make program design decisions while also meeting the other goals laid out in this decision? </w:t>
      </w:r>
    </w:p>
    <w:p w:rsidRPr="00A3715C" w:rsidR="000C1980" w:rsidP="00402362" w:rsidRDefault="000C1980" w14:paraId="26A1377C" w14:textId="77777777">
      <w:pPr>
        <w:pStyle w:val="ListBullet"/>
      </w:pPr>
      <w:r w:rsidRPr="00A3715C">
        <w:t xml:space="preserve">How can the Resource Test continue to provide benefit to ESA program decision making and program design? Should the Resource Test be continued or discontinued? </w:t>
      </w:r>
    </w:p>
    <w:p w:rsidRPr="00A3715C" w:rsidR="000C1980" w:rsidP="00402362" w:rsidRDefault="000C1980" w14:paraId="11DA50DD" w14:textId="77777777">
      <w:pPr>
        <w:pStyle w:val="ListBullet"/>
      </w:pPr>
      <w:r w:rsidRPr="00A3715C">
        <w:lastRenderedPageBreak/>
        <w:t>Can the Societal Cost Test be used as another cost-effectiveness assessment for the ESA program? Are the pros and cons of using this test for ESA?</w:t>
      </w:r>
    </w:p>
    <w:p w:rsidRPr="00A3715C" w:rsidR="000C1980" w:rsidP="00402362" w:rsidRDefault="000C1980" w14:paraId="7F5CE654" w14:textId="77777777">
      <w:pPr>
        <w:pStyle w:val="ListBullet"/>
      </w:pPr>
      <w:r w:rsidRPr="00A3715C">
        <w:t>Should societal NEBs be included in ESACET? If yes, which ones? How would including societal NEBs interact with societal impacts already taken into consideration in the CET’s Total Resource Cost and Societal Cost Test?</w:t>
      </w:r>
    </w:p>
    <w:p w:rsidRPr="003F736E" w:rsidR="000C1980" w:rsidP="0023091F" w:rsidRDefault="000C1980" w14:paraId="29FD1FA0" w14:textId="77777777">
      <w:pPr>
        <w:pStyle w:val="ALJBodyText"/>
      </w:pPr>
      <w:r w:rsidRPr="003F736E">
        <w:t>Task 2: NEBs Study and Stakeholder Process</w:t>
      </w:r>
    </w:p>
    <w:p w:rsidR="000C1980" w:rsidP="000D3EBD" w:rsidRDefault="000C1980" w14:paraId="6EB30162" w14:textId="77777777">
      <w:pPr>
        <w:pStyle w:val="Standard"/>
      </w:pPr>
      <w:r>
        <w:t xml:space="preserve">The objective of this effort is to provide recommendations that will help facilitate the NEB study plan process.  The cost effectiveness subgroup of the ESA Working Group will provide these recommendations via a progress report to be distributed to the service list no later than the December 31, 2022.  </w:t>
      </w:r>
    </w:p>
    <w:p w:rsidR="000C1980" w:rsidP="00402362" w:rsidRDefault="000C1980" w14:paraId="6448F8A5" w14:textId="77777777">
      <w:pPr>
        <w:pStyle w:val="ListBullet"/>
      </w:pPr>
      <w:r>
        <w:t>What research areas, including specific types of NEBs, should be considered priority for the NEBs research study budget approved in this decision?</w:t>
      </w:r>
    </w:p>
    <w:p w:rsidR="000C1980" w:rsidP="00402362" w:rsidRDefault="000C1980" w14:paraId="5E77CF72" w14:textId="77777777">
      <w:pPr>
        <w:pStyle w:val="ListBullet"/>
      </w:pPr>
      <w:r>
        <w:t>What is a reasonable timeline to conduct the NEB study?</w:t>
      </w:r>
    </w:p>
    <w:p w:rsidR="000C1980" w:rsidP="00402362" w:rsidRDefault="000C1980" w14:paraId="355E2BC5" w14:textId="77777777">
      <w:pPr>
        <w:pStyle w:val="ListBullet"/>
      </w:pPr>
      <w:r>
        <w:t xml:space="preserve">Who will be involved on the NEB study team? </w:t>
      </w:r>
    </w:p>
    <w:p w:rsidR="000C1980" w:rsidP="00402362" w:rsidRDefault="000C1980" w14:paraId="78C1F8DC" w14:textId="77777777">
      <w:pPr>
        <w:pStyle w:val="ListBullet"/>
      </w:pPr>
      <w:r>
        <w:t>How will the results be used for ESACET updates?</w:t>
      </w:r>
    </w:p>
    <w:p w:rsidR="000C1980" w:rsidP="00402362" w:rsidRDefault="000C1980" w14:paraId="4474F706" w14:textId="77777777">
      <w:pPr>
        <w:pStyle w:val="ListBullet"/>
      </w:pPr>
      <w:r>
        <w:t>When would these updated ESACET results be calculated?</w:t>
      </w:r>
    </w:p>
    <w:p w:rsidR="000C1980" w:rsidP="00402362" w:rsidRDefault="000C1980" w14:paraId="5635789F" w14:textId="77777777">
      <w:pPr>
        <w:pStyle w:val="ListBullet"/>
      </w:pPr>
      <w:r>
        <w:t>How will stakeholders be kept involved during the NEBs study?</w:t>
      </w:r>
    </w:p>
    <w:p w:rsidRPr="00BE5D02" w:rsidR="000C1980" w:rsidP="00402362" w:rsidRDefault="000C1980" w14:paraId="5C6144A0" w14:textId="77777777">
      <w:pPr>
        <w:pStyle w:val="ListBullet"/>
      </w:pPr>
      <w:r>
        <w:t xml:space="preserve">Beyond NEBs researched funded by this decision, what should the process be for the IOUs to consider and incorporate new NEB research, either from the Commission or other secondary sources, into the NEB model on an ongoing basis? </w:t>
      </w:r>
    </w:p>
    <w:p w:rsidRPr="00BF44D2" w:rsidR="000C1980" w:rsidP="000D3EBD" w:rsidRDefault="000C1980" w14:paraId="1A92984D" w14:textId="12B37C7F">
      <w:pPr>
        <w:pStyle w:val="Standard"/>
      </w:pPr>
      <w:r>
        <w:t xml:space="preserve">Following the conclusion of Task 2, the IOUs shall submit a joint Tier 1 advice letter informing the Commission of the next steps they will be taking to begin the NEBs study, and how the recommendations from </w:t>
      </w:r>
      <w:r w:rsidR="00413428">
        <w:t>T</w:t>
      </w:r>
      <w:r>
        <w:t xml:space="preserve">ask 2 of the ESA Working Group will be taken into consideration.  </w:t>
      </w:r>
    </w:p>
    <w:p w:rsidRPr="007C6058" w:rsidR="000C1980" w:rsidP="001968DC" w:rsidRDefault="000C1980" w14:paraId="04E98437" w14:textId="77777777">
      <w:pPr>
        <w:pStyle w:val="Heading4"/>
        <w:ind w:left="3600"/>
      </w:pPr>
      <w:bookmarkStart w:name="_Toc69948077" w:id="424"/>
      <w:r w:rsidRPr="007C6058">
        <w:lastRenderedPageBreak/>
        <w:t>Defining Resource Measures and Non</w:t>
      </w:r>
      <w:r>
        <w:noBreakHyphen/>
      </w:r>
      <w:r w:rsidRPr="007C6058">
        <w:t xml:space="preserve">Resource Measures: </w:t>
      </w:r>
      <w:r w:rsidRPr="007C6058">
        <w:rPr>
          <w:u w:val="single"/>
        </w:rPr>
        <w:t>Denied</w:t>
      </w:r>
      <w:bookmarkEnd w:id="424"/>
    </w:p>
    <w:p w:rsidRPr="001E2EF9" w:rsidR="000C1980" w:rsidP="000D3EBD" w:rsidRDefault="000C1980" w14:paraId="0D81D4FA" w14:textId="6404BFC1">
      <w:pPr>
        <w:pStyle w:val="Standard"/>
      </w:pPr>
      <w:r w:rsidRPr="0063604A">
        <w:t xml:space="preserve">We </w:t>
      </w:r>
      <w:r w:rsidR="001B3715">
        <w:t>decline</w:t>
      </w:r>
      <w:r w:rsidRPr="0063604A" w:rsidR="001B3715">
        <w:t xml:space="preserve"> </w:t>
      </w:r>
      <w:r>
        <w:t xml:space="preserve">requiring the IOUs to define which ESA measures are classified as energy saving (formerly “resource) or HCS (formerly “non-resource”) measures beyond the current ad-hoc definition used by IOUs to define HCS measures as </w:t>
      </w:r>
      <w:r w:rsidRPr="00ED6712">
        <w:t xml:space="preserve">those having less than one kWh or one </w:t>
      </w:r>
      <w:proofErr w:type="spellStart"/>
      <w:r w:rsidRPr="00ED6712">
        <w:t>therm</w:t>
      </w:r>
      <w:proofErr w:type="spellEnd"/>
      <w:r w:rsidRPr="00ED6712">
        <w:t xml:space="preserve"> of annual energy savings</w:t>
      </w:r>
      <w:r>
        <w:t>.</w:t>
      </w:r>
      <w:r>
        <w:rPr>
          <w:rStyle w:val="FootnoteReference"/>
        </w:rPr>
        <w:footnoteReference w:id="600"/>
      </w:r>
      <w:r>
        <w:t xml:space="preserve"> Previous Cost-Effectiveness Working Groups have grappled with this question before, and their conclusions would not likely change by rehashing this issue in another working group setting.  As described by SDG&amp;E, the previous Cost-Effectiveness Working Group that met between </w:t>
      </w:r>
      <w:r w:rsidRPr="00863A86">
        <w:t>2015 through 2018 concluded in a 2018 report that “none stood out as a reasonable and appropriate set of criteria”</w:t>
      </w:r>
      <w:r>
        <w:t xml:space="preserve"> to consistently differentiate between resource and non-resource measures.</w:t>
      </w:r>
      <w:r>
        <w:rPr>
          <w:rStyle w:val="FootnoteReference"/>
        </w:rPr>
        <w:footnoteReference w:id="601"/>
      </w:r>
      <w:r>
        <w:t xml:space="preserve">  One of the main reasons for the working group’s difficulty is the fact that ESA program measures can vary in energy and HCS savings impact depending on where and when the measures are installed.  For example, </w:t>
      </w:r>
      <w:r w:rsidRPr="00521BAC">
        <w:t>weatherization measures may provide significant savings when installed under appropriate conditions with use of heating and cooling measures.  They</w:t>
      </w:r>
      <w:r>
        <w:t xml:space="preserve"> </w:t>
      </w:r>
      <w:r w:rsidRPr="00521BAC">
        <w:t xml:space="preserve">also result in </w:t>
      </w:r>
      <w:r>
        <w:t>HCS</w:t>
      </w:r>
      <w:r w:rsidRPr="00521BAC">
        <w:t xml:space="preserve"> benefits by reducing drafts, stabilizing indoor</w:t>
      </w:r>
      <w:r>
        <w:t xml:space="preserve"> </w:t>
      </w:r>
      <w:r w:rsidRPr="00521BAC">
        <w:t>temperatures, improving home security, and building integrity.</w:t>
      </w:r>
      <w:r>
        <w:rPr>
          <w:rStyle w:val="FootnoteReference"/>
        </w:rPr>
        <w:footnoteReference w:id="602"/>
      </w:r>
    </w:p>
    <w:p w:rsidR="000C1980" w:rsidP="000D3EBD" w:rsidRDefault="000C1980" w14:paraId="48D427A1" w14:textId="5DFC296D">
      <w:pPr>
        <w:pStyle w:val="Standard"/>
      </w:pPr>
      <w:r>
        <w:t>Since this decision is not authorizing the use of an “adjusted” ESACET calculation that would only rely on energy saving measures, the cost</w:t>
      </w:r>
      <w:r>
        <w:noBreakHyphen/>
        <w:t xml:space="preserve">effectiveness guidelines provided above are not driven by a Resource Test, </w:t>
      </w:r>
      <w:r>
        <w:lastRenderedPageBreak/>
        <w:t xml:space="preserve">and previous Cost-Effectiveness Working Groups have already grappled with this topic and have created an ad-hoc definition that the IOUs have been using, we deny the request to spend more time differentiating ESA program measures beyond their current definitions of energy saving and HCS measures. </w:t>
      </w:r>
    </w:p>
    <w:p w:rsidRPr="00E41EA6" w:rsidR="000C1980" w:rsidP="001968DC" w:rsidRDefault="000C1980" w14:paraId="0E0116CB" w14:textId="77777777">
      <w:pPr>
        <w:pStyle w:val="Heading4"/>
        <w:ind w:left="3600"/>
      </w:pPr>
      <w:bookmarkStart w:name="_Toc69948078" w:id="425"/>
      <w:r w:rsidRPr="00E41EA6">
        <w:t xml:space="preserve">Updated Discounting Methodology for ESACET Calculation: </w:t>
      </w:r>
      <w:r w:rsidRPr="00E41EA6">
        <w:rPr>
          <w:u w:val="single"/>
        </w:rPr>
        <w:t>Approved</w:t>
      </w:r>
      <w:bookmarkEnd w:id="425"/>
    </w:p>
    <w:p w:rsidR="000C1980" w:rsidP="000D3EBD" w:rsidRDefault="000C1980" w14:paraId="5AD43246" w14:textId="065AE466">
      <w:pPr>
        <w:pStyle w:val="Standard"/>
      </w:pPr>
      <w:r>
        <w:t xml:space="preserve">We approve </w:t>
      </w:r>
      <w:r w:rsidR="001A3907">
        <w:t>the</w:t>
      </w:r>
      <w:r>
        <w:t xml:space="preserve"> update to the ESACET discounting methodology, which is to use the latest </w:t>
      </w:r>
      <w:r w:rsidR="009D26B3">
        <w:t xml:space="preserve">California Energy Data and Reporting System (CEDARS) </w:t>
      </w:r>
      <w:r>
        <w:t xml:space="preserve">CET functionality to express outputs from the CET in the relevant program year NPV.  This updated discounting methodology shall be used by PG&amp;E, SCE, SDG&amp;E and SoCalGas when calculating their ESACET values. If the IOUs decide to update this methodology again, they will file a joint Tier 1 advice letter alerting Energy Division and parties how the ESACET discounting methodology is changing, and the impacts this change will have on ESACET.  </w:t>
      </w:r>
    </w:p>
    <w:p w:rsidR="000C1980" w:rsidP="000D3EBD" w:rsidRDefault="001A3907" w14:paraId="1999A10A" w14:textId="297A786D">
      <w:pPr>
        <w:pStyle w:val="Standard"/>
      </w:pPr>
      <w:r>
        <w:t>This updated</w:t>
      </w:r>
      <w:r w:rsidR="000C1980">
        <w:t xml:space="preserve"> methodology is a logical solution to allow the outputs of the CET and LIPPT to be discounted to the same program year, which is an important step when combining these outputs in the numerator of the ESACET calculation.  Further, us</w:t>
      </w:r>
      <w:r>
        <w:t>ing</w:t>
      </w:r>
      <w:r w:rsidR="000C1980">
        <w:t xml:space="preserve"> the latest CET functionality instead of requiring a manual post-processing of the LIPPT model output is the more efficient and less error prone methodology to correct this issue. </w:t>
      </w:r>
    </w:p>
    <w:p w:rsidRPr="00307565" w:rsidR="000C1980" w:rsidP="001968DC" w:rsidRDefault="000C1980" w14:paraId="35C3CEE8" w14:textId="77777777">
      <w:pPr>
        <w:pStyle w:val="Heading4"/>
        <w:ind w:left="3600"/>
      </w:pPr>
      <w:bookmarkStart w:name="_Toc69948079" w:id="426"/>
      <w:r w:rsidRPr="00307565">
        <w:t xml:space="preserve">Discontinuing the Resource Test: </w:t>
      </w:r>
      <w:r w:rsidRPr="00307565">
        <w:rPr>
          <w:u w:val="single"/>
        </w:rPr>
        <w:t>Denied</w:t>
      </w:r>
      <w:bookmarkEnd w:id="426"/>
    </w:p>
    <w:p w:rsidR="000C1980" w:rsidP="000D3EBD" w:rsidRDefault="000C1980" w14:paraId="33E55EB1" w14:textId="77777777">
      <w:pPr>
        <w:pStyle w:val="Standard"/>
      </w:pPr>
      <w:r>
        <w:t>We deny PG&amp;E’s request to discontinue the Resource Test. Given the new cost-effectiveness guidance in this decision, having both the Resource Test and ESACET will be useful to</w:t>
      </w:r>
      <w:r w:rsidRPr="00D657C7">
        <w:rPr>
          <w:rFonts w:eastAsia="Book Antiqua" w:cs="Book Antiqua"/>
          <w:szCs w:val="26"/>
        </w:rPr>
        <w:t xml:space="preserve"> help inform goals, budgets, and program design</w:t>
      </w:r>
      <w:r w:rsidRPr="4FC83D76">
        <w:rPr>
          <w:rFonts w:eastAsia="Book Antiqua" w:cs="Book Antiqua"/>
          <w:szCs w:val="26"/>
        </w:rPr>
        <w:t>,</w:t>
      </w:r>
      <w:r w:rsidRPr="00D657C7">
        <w:rPr>
          <w:rFonts w:eastAsia="Book Antiqua" w:cs="Book Antiqua"/>
          <w:szCs w:val="26"/>
        </w:rPr>
        <w:t xml:space="preserve"> as well as for validation and calibration. </w:t>
      </w:r>
      <w:r>
        <w:rPr>
          <w:rFonts w:eastAsia="Book Antiqua" w:cs="Book Antiqua"/>
          <w:szCs w:val="26"/>
        </w:rPr>
        <w:t xml:space="preserve"> </w:t>
      </w:r>
      <w:r w:rsidRPr="4FC83D76">
        <w:rPr>
          <w:rFonts w:eastAsia="Book Antiqua" w:cs="Book Antiqua"/>
          <w:szCs w:val="26"/>
        </w:rPr>
        <w:t>In addition, w</w:t>
      </w:r>
      <w:r w:rsidRPr="00D657C7">
        <w:rPr>
          <w:rFonts w:eastAsia="Book Antiqua" w:cs="Book Antiqua"/>
          <w:szCs w:val="26"/>
        </w:rPr>
        <w:t xml:space="preserve">e </w:t>
      </w:r>
      <w:r>
        <w:rPr>
          <w:rFonts w:eastAsia="Book Antiqua" w:cs="Book Antiqua"/>
          <w:szCs w:val="26"/>
        </w:rPr>
        <w:t xml:space="preserve">have </w:t>
      </w:r>
      <w:r w:rsidRPr="00D657C7">
        <w:rPr>
          <w:rFonts w:eastAsia="Book Antiqua" w:cs="Book Antiqua"/>
          <w:szCs w:val="26"/>
        </w:rPr>
        <w:t>delegate</w:t>
      </w:r>
      <w:r>
        <w:rPr>
          <w:rFonts w:eastAsia="Book Antiqua" w:cs="Book Antiqua"/>
          <w:szCs w:val="26"/>
        </w:rPr>
        <w:t>d</w:t>
      </w:r>
      <w:r w:rsidRPr="00D657C7">
        <w:rPr>
          <w:rFonts w:eastAsia="Book Antiqua" w:cs="Book Antiqua"/>
          <w:szCs w:val="26"/>
        </w:rPr>
        <w:t xml:space="preserve"> to the </w:t>
      </w:r>
      <w:r>
        <w:rPr>
          <w:rFonts w:eastAsia="Book Antiqua" w:cs="Book Antiqua"/>
          <w:szCs w:val="26"/>
        </w:rPr>
        <w:t xml:space="preserve">ESA </w:t>
      </w:r>
      <w:r w:rsidRPr="00D657C7">
        <w:rPr>
          <w:rFonts w:eastAsia="Book Antiqua" w:cs="Book Antiqua"/>
          <w:szCs w:val="26"/>
        </w:rPr>
        <w:t>W</w:t>
      </w:r>
      <w:r>
        <w:rPr>
          <w:rFonts w:eastAsia="Book Antiqua" w:cs="Book Antiqua"/>
          <w:szCs w:val="26"/>
        </w:rPr>
        <w:t xml:space="preserve">orking </w:t>
      </w:r>
      <w:r w:rsidRPr="00D657C7">
        <w:rPr>
          <w:rFonts w:eastAsia="Book Antiqua" w:cs="Book Antiqua"/>
          <w:szCs w:val="26"/>
        </w:rPr>
        <w:t>G</w:t>
      </w:r>
      <w:r>
        <w:rPr>
          <w:rFonts w:eastAsia="Book Antiqua" w:cs="Book Antiqua"/>
          <w:szCs w:val="26"/>
        </w:rPr>
        <w:t>roup</w:t>
      </w:r>
      <w:r w:rsidRPr="00D657C7">
        <w:rPr>
          <w:rFonts w:eastAsia="Book Antiqua" w:cs="Book Antiqua"/>
          <w:szCs w:val="26"/>
        </w:rPr>
        <w:t xml:space="preserve"> to evaluate and recommend whether the Resource Test should continue to be used. </w:t>
      </w:r>
    </w:p>
    <w:p w:rsidRPr="00F21531" w:rsidR="000C1980" w:rsidP="001968DC" w:rsidRDefault="000C1980" w14:paraId="016E7FED" w14:textId="77777777">
      <w:pPr>
        <w:pStyle w:val="Heading2"/>
        <w:ind w:left="1728"/>
      </w:pPr>
      <w:bookmarkStart w:name="_Toc65342742" w:id="427"/>
      <w:bookmarkStart w:name="_Toc65342743" w:id="428"/>
      <w:bookmarkStart w:name="_Toc69948080" w:id="429"/>
      <w:bookmarkEnd w:id="427"/>
      <w:bookmarkEnd w:id="428"/>
      <w:r w:rsidRPr="00F21531">
        <w:lastRenderedPageBreak/>
        <w:t xml:space="preserve">ESA Marketing, </w:t>
      </w:r>
      <w:r w:rsidRPr="00A123D0">
        <w:t>Education</w:t>
      </w:r>
      <w:r w:rsidRPr="00F21531">
        <w:t xml:space="preserve"> and Outreach</w:t>
      </w:r>
      <w:bookmarkEnd w:id="429"/>
    </w:p>
    <w:p w:rsidR="000C1980" w:rsidP="001968DC" w:rsidRDefault="000C1980" w14:paraId="072E4F7D" w14:textId="77777777">
      <w:pPr>
        <w:pStyle w:val="Heading3"/>
        <w:ind w:left="2664"/>
      </w:pPr>
      <w:bookmarkStart w:name="_Toc69948081" w:id="430"/>
      <w:r>
        <w:t>Background</w:t>
      </w:r>
      <w:bookmarkEnd w:id="430"/>
    </w:p>
    <w:p w:rsidRPr="0053608C" w:rsidR="000C1980" w:rsidP="000D3EBD" w:rsidRDefault="000C1980" w14:paraId="16AC1E38" w14:textId="77777777">
      <w:pPr>
        <w:pStyle w:val="Standard"/>
      </w:pPr>
      <w:r>
        <w:t>Each of the IOUs carry out extensive and specific ME&amp;O initiatives to s</w:t>
      </w:r>
      <w:r w:rsidRPr="0053608C">
        <w:t xml:space="preserve">upport the </w:t>
      </w:r>
      <w:r>
        <w:t>ESA p</w:t>
      </w:r>
      <w:r w:rsidRPr="0053608C">
        <w:t>rogram</w:t>
      </w:r>
      <w:r>
        <w:t xml:space="preserve"> goals.  In the past these have included co-marketing with the CARE program, marketing campaigns </w:t>
      </w:r>
      <w:r w:rsidRPr="0053608C">
        <w:t xml:space="preserve">including direct mail, e-mail, and targeted digital media, </w:t>
      </w:r>
      <w:r>
        <w:t>use of p</w:t>
      </w:r>
      <w:r w:rsidRPr="005229BF">
        <w:t>ropensity</w:t>
      </w:r>
      <w:r>
        <w:t xml:space="preserve"> m</w:t>
      </w:r>
      <w:r w:rsidRPr="005229BF">
        <w:t>odel</w:t>
      </w:r>
      <w:r>
        <w:t>s</w:t>
      </w:r>
      <w:r w:rsidRPr="005229BF">
        <w:t xml:space="preserve"> for customer targeting</w:t>
      </w:r>
      <w:r>
        <w:t>, and outreach campaigns to b</w:t>
      </w:r>
      <w:r w:rsidRPr="0053608C">
        <w:t>uild awareness</w:t>
      </w:r>
      <w:r w:rsidRPr="003738A0">
        <w:t xml:space="preserve"> about holistic energy management and</w:t>
      </w:r>
      <w:r>
        <w:t xml:space="preserve"> </w:t>
      </w:r>
      <w:r w:rsidRPr="003738A0">
        <w:t>cost-savings opportunities</w:t>
      </w:r>
      <w:r>
        <w:t>.  For the 2021-2026 program cycle, the IOUs were asked to discuss how their ME&amp;O plans support the proposed goals, including plans for improving participation and targeting multifamily households.</w:t>
      </w:r>
      <w:r>
        <w:rPr>
          <w:rStyle w:val="FootnoteReference"/>
        </w:rPr>
        <w:footnoteReference w:id="603"/>
      </w:r>
      <w:r>
        <w:t xml:space="preserve"> </w:t>
      </w:r>
    </w:p>
    <w:p w:rsidRPr="008368D7" w:rsidR="000C1980" w:rsidP="001968DC" w:rsidRDefault="000C1980" w14:paraId="641004F9" w14:textId="77777777">
      <w:pPr>
        <w:pStyle w:val="Heading3"/>
        <w:ind w:left="2664"/>
      </w:pPr>
      <w:bookmarkStart w:name="_Toc69948082" w:id="431"/>
      <w:r>
        <w:t>PG&amp;E Proposal</w:t>
      </w:r>
      <w:bookmarkEnd w:id="431"/>
    </w:p>
    <w:p w:rsidR="000C1980" w:rsidP="000D3EBD" w:rsidRDefault="000C1980" w14:paraId="559BB69C" w14:textId="61D3EB82">
      <w:pPr>
        <w:pStyle w:val="Standard"/>
      </w:pPr>
      <w:r>
        <w:t xml:space="preserve">PG&amp;E’s proposed ME&amp;O strategy consists of </w:t>
      </w:r>
      <w:r w:rsidRPr="009C353C">
        <w:t>focus</w:t>
      </w:r>
      <w:r>
        <w:t xml:space="preserve">ing on </w:t>
      </w:r>
      <w:r w:rsidRPr="009C353C">
        <w:t xml:space="preserve">those </w:t>
      </w:r>
      <w:r>
        <w:t xml:space="preserve">customers </w:t>
      </w:r>
      <w:r w:rsidRPr="009C353C">
        <w:t xml:space="preserve">who have not participated in ESA previously and </w:t>
      </w:r>
      <w:proofErr w:type="gramStart"/>
      <w:r w:rsidRPr="009C353C">
        <w:t>newly-enrolled</w:t>
      </w:r>
      <w:proofErr w:type="gramEnd"/>
      <w:r w:rsidRPr="009C353C">
        <w:t xml:space="preserve"> CARE customers, </w:t>
      </w:r>
      <w:r>
        <w:t>with</w:t>
      </w:r>
      <w:r w:rsidRPr="009C353C">
        <w:t xml:space="preserve"> specific outreach developed for customer groups with the greatest needs to help reduce hardship</w:t>
      </w:r>
      <w:r>
        <w:t xml:space="preserve"> (including those in the </w:t>
      </w:r>
      <w:r w:rsidRPr="009C353C">
        <w:t>five need states: high energy users</w:t>
      </w:r>
      <w:r>
        <w:t>,</w:t>
      </w:r>
      <w:r w:rsidRPr="009C353C">
        <w:t xml:space="preserve"> customers previously disconnected for non-payment of services</w:t>
      </w:r>
      <w:r>
        <w:t>,</w:t>
      </w:r>
      <w:r w:rsidRPr="009C353C">
        <w:t xml:space="preserve"> medical baseline, rural, </w:t>
      </w:r>
      <w:r w:rsidR="00182990">
        <w:t>T</w:t>
      </w:r>
      <w:r w:rsidRPr="009C353C">
        <w:t xml:space="preserve">ribal, </w:t>
      </w:r>
      <w:r>
        <w:t>DACs</w:t>
      </w:r>
      <w:r w:rsidRPr="009C353C">
        <w:t>, and wildfire threat zones</w:t>
      </w:r>
      <w:r>
        <w:t>)</w:t>
      </w:r>
      <w:r w:rsidRPr="009C353C">
        <w:t xml:space="preserve">. </w:t>
      </w:r>
      <w:r>
        <w:t xml:space="preserve"> PG&amp;E is </w:t>
      </w:r>
      <w:r w:rsidRPr="00BF344A">
        <w:t>request</w:t>
      </w:r>
      <w:r>
        <w:t>ing</w:t>
      </w:r>
      <w:r w:rsidRPr="00BF344A">
        <w:t xml:space="preserve"> $12,410,807 to support </w:t>
      </w:r>
      <w:r>
        <w:t xml:space="preserve">these </w:t>
      </w:r>
      <w:r w:rsidRPr="00BF344A">
        <w:t>marketing efforts</w:t>
      </w:r>
      <w:r>
        <w:t xml:space="preserve"> and estimates a marketing investment between </w:t>
      </w:r>
      <w:r w:rsidRPr="001873F7">
        <w:t>$21</w:t>
      </w:r>
      <w:r>
        <w:t>-</w:t>
      </w:r>
      <w:r w:rsidRPr="001873F7">
        <w:t>$31 per household treated.</w:t>
      </w:r>
      <w:r>
        <w:rPr>
          <w:rStyle w:val="FootnoteReference"/>
        </w:rPr>
        <w:footnoteReference w:id="604"/>
      </w:r>
    </w:p>
    <w:p w:rsidR="000C1980" w:rsidP="000D3EBD" w:rsidRDefault="000C1980" w14:paraId="51B96147" w14:textId="77777777">
      <w:pPr>
        <w:pStyle w:val="Standard"/>
      </w:pPr>
      <w:r>
        <w:t xml:space="preserve">Specifically, </w:t>
      </w:r>
      <w:r w:rsidRPr="009C353C">
        <w:t xml:space="preserve">PG&amp;E </w:t>
      </w:r>
      <w:r>
        <w:t>will continue proven and successful strategies from the prior cycle while adding some modifications and new strategies. These include:</w:t>
      </w:r>
    </w:p>
    <w:p w:rsidR="000C1980" w:rsidP="00402362" w:rsidRDefault="000C1980" w14:paraId="4FD5BC21" w14:textId="77777777">
      <w:pPr>
        <w:pStyle w:val="ListBullet"/>
      </w:pPr>
      <w:r>
        <w:t xml:space="preserve">Continuing </w:t>
      </w:r>
      <w:r w:rsidRPr="00512AFD">
        <w:t xml:space="preserve">to leverage the power of repetition, based on the finding that exposing customers to ESA messaging multiple </w:t>
      </w:r>
      <w:r w:rsidRPr="00512AFD">
        <w:lastRenderedPageBreak/>
        <w:t>times is more successful in achieving customer action than a single communication.</w:t>
      </w:r>
      <w:r w:rsidRPr="00512AFD">
        <w:rPr>
          <w:vertAlign w:val="superscript"/>
        </w:rPr>
        <w:footnoteReference w:id="605"/>
      </w:r>
    </w:p>
    <w:p w:rsidR="000C1980" w:rsidP="00402362" w:rsidRDefault="000C1980" w14:paraId="559F27F0" w14:textId="77777777">
      <w:pPr>
        <w:pStyle w:val="ListBullet"/>
      </w:pPr>
      <w:r>
        <w:t xml:space="preserve">Continuing </w:t>
      </w:r>
      <w:r w:rsidRPr="00512AFD">
        <w:t>to coordinate outreach and engagement with CARE marketing campaigns</w:t>
      </w:r>
      <w:r>
        <w:t xml:space="preserve">, including </w:t>
      </w:r>
      <w:r w:rsidRPr="00512AFD">
        <w:t>add</w:t>
      </w:r>
      <w:r>
        <w:t>ing</w:t>
      </w:r>
      <w:r w:rsidRPr="00512AFD">
        <w:t xml:space="preserve"> partially pre-filled ESA application forms and postage-paid replies to the direct mail version of the CARE Program Welcome Kit.</w:t>
      </w:r>
      <w:r w:rsidRPr="00C51704">
        <w:rPr>
          <w:vertAlign w:val="superscript"/>
        </w:rPr>
        <w:t xml:space="preserve"> </w:t>
      </w:r>
      <w:r w:rsidRPr="00512AFD">
        <w:rPr>
          <w:vertAlign w:val="superscript"/>
        </w:rPr>
        <w:footnoteReference w:id="606"/>
      </w:r>
    </w:p>
    <w:p w:rsidR="000C1980" w:rsidP="00402362" w:rsidRDefault="000C1980" w14:paraId="55CBF5E2" w14:textId="77777777">
      <w:pPr>
        <w:pStyle w:val="ListBullet"/>
      </w:pPr>
      <w:r>
        <w:t>C</w:t>
      </w:r>
      <w:r w:rsidRPr="00512AFD">
        <w:t>ontinu</w:t>
      </w:r>
      <w:r>
        <w:t xml:space="preserve">ing to use </w:t>
      </w:r>
      <w:r w:rsidRPr="00512AFD">
        <w:t>the ESA Propensity Model for customer targeting, which currently includes CARE Propensity Model scoring as a component.</w:t>
      </w:r>
      <w:r w:rsidRPr="00512AFD">
        <w:rPr>
          <w:vertAlign w:val="superscript"/>
        </w:rPr>
        <w:footnoteReference w:id="607"/>
      </w:r>
      <w:r w:rsidRPr="00512AFD">
        <w:t xml:space="preserve">  </w:t>
      </w:r>
    </w:p>
    <w:p w:rsidR="000C1980" w:rsidP="00402362" w:rsidRDefault="000C1980" w14:paraId="0CA4B4D3" w14:textId="77777777">
      <w:pPr>
        <w:pStyle w:val="ListBullet"/>
      </w:pPr>
      <w:r>
        <w:t xml:space="preserve">Easing the </w:t>
      </w:r>
      <w:r w:rsidRPr="009C353C">
        <w:t>enrollment processes for qualified customers to participate</w:t>
      </w:r>
      <w:r>
        <w:t xml:space="preserve"> such as allowing for </w:t>
      </w:r>
      <w:r w:rsidRPr="009C353C">
        <w:t>self-certification for simple measures</w:t>
      </w:r>
      <w:r>
        <w:t xml:space="preserve"> and removing the property owner waivers for basic/ simple measures</w:t>
      </w:r>
      <w:r w:rsidRPr="009C353C">
        <w:t>.</w:t>
      </w:r>
      <w:r w:rsidRPr="009C353C">
        <w:rPr>
          <w:vertAlign w:val="superscript"/>
        </w:rPr>
        <w:footnoteReference w:id="608"/>
      </w:r>
      <w:r w:rsidRPr="009C353C">
        <w:t xml:space="preserve"> </w:t>
      </w:r>
    </w:p>
    <w:p w:rsidR="000C1980" w:rsidP="00402362" w:rsidRDefault="000C1980" w14:paraId="25B9AE56" w14:textId="77777777">
      <w:pPr>
        <w:pStyle w:val="ListBullet"/>
      </w:pPr>
      <w:r>
        <w:t>Introducing need-</w:t>
      </w:r>
      <w:r w:rsidRPr="00512AFD">
        <w:t>based targeting of specific customer groups</w:t>
      </w:r>
      <w:r>
        <w:t>.</w:t>
      </w:r>
      <w:r w:rsidRPr="00512AFD">
        <w:rPr>
          <w:vertAlign w:val="superscript"/>
        </w:rPr>
        <w:footnoteReference w:id="609"/>
      </w:r>
    </w:p>
    <w:p w:rsidR="000C1980" w:rsidP="00402362" w:rsidRDefault="000C1980" w14:paraId="5F61EF1C" w14:textId="77777777">
      <w:pPr>
        <w:pStyle w:val="ListBullet"/>
      </w:pPr>
      <w:r>
        <w:t xml:space="preserve">Working with </w:t>
      </w:r>
      <w:r w:rsidRPr="00512AFD">
        <w:t>local community action agencies or contractors who have connections in the community and having a local resource or someone known in the community on-site to perform in-home assessment to make initial ESA visits less threatening or intimidating.</w:t>
      </w:r>
      <w:r w:rsidRPr="00512AFD">
        <w:rPr>
          <w:vertAlign w:val="superscript"/>
        </w:rPr>
        <w:footnoteReference w:id="610"/>
      </w:r>
      <w:r w:rsidRPr="00512AFD">
        <w:t xml:space="preserve"> </w:t>
      </w:r>
    </w:p>
    <w:p w:rsidR="000C1980" w:rsidP="001968DC" w:rsidRDefault="000C1980" w14:paraId="4B1EE528" w14:textId="77777777">
      <w:pPr>
        <w:pStyle w:val="Heading3"/>
        <w:ind w:left="2664"/>
      </w:pPr>
      <w:bookmarkStart w:name="_Toc69948083" w:id="432"/>
      <w:r>
        <w:t>SCE Proposal</w:t>
      </w:r>
      <w:bookmarkEnd w:id="432"/>
      <w:r>
        <w:t xml:space="preserve"> </w:t>
      </w:r>
    </w:p>
    <w:p w:rsidR="000C1980" w:rsidP="000D3EBD" w:rsidRDefault="000C1980" w14:paraId="7B49FD27" w14:textId="77777777">
      <w:pPr>
        <w:pStyle w:val="Standard"/>
      </w:pPr>
      <w:proofErr w:type="gramStart"/>
      <w:r w:rsidRPr="007E5074">
        <w:t>SCE’s</w:t>
      </w:r>
      <w:proofErr w:type="gramEnd"/>
      <w:r w:rsidRPr="007E5074">
        <w:t xml:space="preserve"> </w:t>
      </w:r>
      <w:r w:rsidRPr="00394900">
        <w:t xml:space="preserve">proposed ME&amp;O strategy </w:t>
      </w:r>
      <w:r>
        <w:t>includes focusing</w:t>
      </w:r>
      <w:r w:rsidRPr="007E5074">
        <w:t xml:space="preserve"> on providing energy education over a span of time rather than as a one-time measure in order to leverage the existing utility-customer relationship, build</w:t>
      </w:r>
      <w:r>
        <w:t>ing</w:t>
      </w:r>
      <w:r w:rsidRPr="007E5074">
        <w:t xml:space="preserve"> on trust customers already have in the information IOUs provide, and reinforc</w:t>
      </w:r>
      <w:r>
        <w:t>ing</w:t>
      </w:r>
      <w:r w:rsidRPr="007E5074">
        <w:t xml:space="preserve"> the ways that </w:t>
      </w:r>
      <w:r w:rsidRPr="007E5074">
        <w:lastRenderedPageBreak/>
        <w:t>households can reduce their own energy bills.</w:t>
      </w:r>
      <w:r w:rsidRPr="007E5074">
        <w:rPr>
          <w:vertAlign w:val="superscript"/>
        </w:rPr>
        <w:footnoteReference w:id="611"/>
      </w:r>
      <w:r>
        <w:t xml:space="preserve">  SCE</w:t>
      </w:r>
      <w:r w:rsidRPr="00394900">
        <w:t xml:space="preserve"> is requesting $</w:t>
      </w:r>
      <w:r>
        <w:t>13,342,414</w:t>
      </w:r>
      <w:r w:rsidRPr="00394900">
        <w:t xml:space="preserve"> to support these marketing efforts and estimates a marketing investment </w:t>
      </w:r>
      <w:r>
        <w:t xml:space="preserve">of about </w:t>
      </w:r>
      <w:r w:rsidRPr="00394900">
        <w:t>$</w:t>
      </w:r>
      <w:r>
        <w:t>40</w:t>
      </w:r>
      <w:r w:rsidRPr="00394900">
        <w:t xml:space="preserve"> per household treated.</w:t>
      </w:r>
      <w:r>
        <w:rPr>
          <w:rStyle w:val="FootnoteReference"/>
        </w:rPr>
        <w:footnoteReference w:id="612"/>
      </w:r>
      <w:r>
        <w:t xml:space="preserve"> </w:t>
      </w:r>
    </w:p>
    <w:p w:rsidR="000C1980" w:rsidP="000D3EBD" w:rsidRDefault="000C1980" w14:paraId="6081C843" w14:textId="77777777">
      <w:pPr>
        <w:pStyle w:val="Standard"/>
      </w:pPr>
      <w:r>
        <w:t xml:space="preserve">Specifically, SCE will focus on the following ME&amp;O elements: </w:t>
      </w:r>
    </w:p>
    <w:p w:rsidR="000C1980" w:rsidP="00402362" w:rsidRDefault="000C1980" w14:paraId="6DEC9F5C" w14:textId="77777777">
      <w:pPr>
        <w:pStyle w:val="ListBullet"/>
      </w:pPr>
      <w:r>
        <w:t>U</w:t>
      </w:r>
      <w:r w:rsidRPr="007E5074">
        <w:t>tiliz</w:t>
      </w:r>
      <w:r>
        <w:t>ing</w:t>
      </w:r>
      <w:r w:rsidRPr="007E5074">
        <w:t xml:space="preserve"> ESA contractors to provide ongoing customer support and </w:t>
      </w:r>
      <w:r>
        <w:t xml:space="preserve">energy education </w:t>
      </w:r>
      <w:r w:rsidRPr="007E5074">
        <w:t>on how to correctly use newly installed measures, provide updates on unfamiliar technologies, and direct customers to other SCE and non-SCE programs and resources to help alleviate energy burden and insecurity.</w:t>
      </w:r>
      <w:r w:rsidRPr="007E5074">
        <w:rPr>
          <w:vertAlign w:val="superscript"/>
        </w:rPr>
        <w:footnoteReference w:id="613"/>
      </w:r>
    </w:p>
    <w:p w:rsidR="000C1980" w:rsidP="00402362" w:rsidRDefault="000C1980" w14:paraId="29AA7147" w14:textId="77777777">
      <w:pPr>
        <w:pStyle w:val="ListBullet"/>
      </w:pPr>
      <w:r>
        <w:t xml:space="preserve">Targeting </w:t>
      </w:r>
      <w:r w:rsidRPr="007E5074">
        <w:t xml:space="preserve">customers that fall into </w:t>
      </w:r>
      <w:r>
        <w:t xml:space="preserve">the following </w:t>
      </w:r>
      <w:r w:rsidRPr="007E5074">
        <w:t>prioritized classifications: low income, hard to reach, customers located in DACs, single family renters, and customers located in hot climate zones.</w:t>
      </w:r>
      <w:r w:rsidRPr="007E5074">
        <w:rPr>
          <w:vertAlign w:val="superscript"/>
        </w:rPr>
        <w:footnoteReference w:id="614"/>
      </w:r>
      <w:r w:rsidRPr="007E5074">
        <w:t xml:space="preserve"> </w:t>
      </w:r>
      <w:r>
        <w:t xml:space="preserve"> </w:t>
      </w:r>
    </w:p>
    <w:p w:rsidR="000C1980" w:rsidP="00402362" w:rsidRDefault="000C1980" w14:paraId="0AC87727" w14:textId="77777777">
      <w:pPr>
        <w:pStyle w:val="ListBullet"/>
      </w:pPr>
      <w:r>
        <w:t xml:space="preserve">Implementing a holistic marketing and outreach strategy including </w:t>
      </w:r>
      <w:r w:rsidRPr="007E5074">
        <w:t xml:space="preserve">direct mail, email, digital banners, mass media, and social media marketing to promote </w:t>
      </w:r>
      <w:r>
        <w:t>the</w:t>
      </w:r>
      <w:r w:rsidRPr="007E5074">
        <w:t xml:space="preserve"> program. SCE </w:t>
      </w:r>
      <w:r>
        <w:t>plans to</w:t>
      </w:r>
      <w:r w:rsidRPr="007E5074">
        <w:t xml:space="preserve"> create multi-touch marketing materials to deliver customized messages to promote energy-saving measures coupled with personalized education, tools, tips, and resources.</w:t>
      </w:r>
      <w:r w:rsidRPr="007E5074">
        <w:rPr>
          <w:vertAlign w:val="superscript"/>
        </w:rPr>
        <w:footnoteReference w:id="615"/>
      </w:r>
      <w:r w:rsidRPr="007E5074">
        <w:t xml:space="preserve"> </w:t>
      </w:r>
    </w:p>
    <w:p w:rsidR="000C1980" w:rsidP="00402362" w:rsidRDefault="000C1980" w14:paraId="478FDC26" w14:textId="77777777">
      <w:pPr>
        <w:pStyle w:val="ListBullet"/>
      </w:pPr>
      <w:r>
        <w:t xml:space="preserve">Offering credit to </w:t>
      </w:r>
      <w:r w:rsidRPr="00725E05">
        <w:t>customers participating in the Enhanced (Tier 2) Package who reduced their energy use</w:t>
      </w:r>
      <w:r>
        <w:t xml:space="preserve"> (via </w:t>
      </w:r>
      <w:r w:rsidRPr="006807A8">
        <w:t>home improvement gift cards or movie theatre</w:t>
      </w:r>
      <w:r>
        <w:t xml:space="preserve"> p</w:t>
      </w:r>
      <w:r w:rsidRPr="006807A8">
        <w:t>asses as alternatives to bill credits</w:t>
      </w:r>
      <w:r>
        <w:t xml:space="preserve">) and a </w:t>
      </w:r>
      <w:r w:rsidRPr="00725E05">
        <w:t>“referral fee” for</w:t>
      </w:r>
      <w:r>
        <w:t xml:space="preserve"> </w:t>
      </w:r>
      <w:r w:rsidRPr="00725E05">
        <w:t xml:space="preserve">leads that result in measures being installed at a different qualifying </w:t>
      </w:r>
      <w:proofErr w:type="gramStart"/>
      <w:r w:rsidRPr="00725E05">
        <w:t>low</w:t>
      </w:r>
      <w:r>
        <w:t xml:space="preserve"> </w:t>
      </w:r>
      <w:r w:rsidRPr="00725E05">
        <w:t>income</w:t>
      </w:r>
      <w:proofErr w:type="gramEnd"/>
      <w:r>
        <w:t xml:space="preserve"> </w:t>
      </w:r>
      <w:r w:rsidRPr="00725E05">
        <w:t>household in SCE’s service territory.</w:t>
      </w:r>
      <w:r>
        <w:rPr>
          <w:rStyle w:val="FootnoteReference"/>
        </w:rPr>
        <w:footnoteReference w:id="616"/>
      </w:r>
    </w:p>
    <w:p w:rsidR="000C1980" w:rsidP="001968DC" w:rsidRDefault="000C1980" w14:paraId="74FD747E" w14:textId="77777777">
      <w:pPr>
        <w:pStyle w:val="Heading3"/>
        <w:ind w:left="2664"/>
      </w:pPr>
      <w:bookmarkStart w:name="_Toc69948084" w:id="433"/>
      <w:r>
        <w:lastRenderedPageBreak/>
        <w:t>SoCalGas Proposal</w:t>
      </w:r>
      <w:bookmarkEnd w:id="433"/>
      <w:r>
        <w:t xml:space="preserve"> </w:t>
      </w:r>
    </w:p>
    <w:p w:rsidRPr="00FA2057" w:rsidR="000C1980" w:rsidP="000D3EBD" w:rsidRDefault="000C1980" w14:paraId="3A6B0C0C" w14:textId="77777777">
      <w:pPr>
        <w:pStyle w:val="Standard"/>
      </w:pPr>
      <w:r w:rsidRPr="00D1175C">
        <w:t xml:space="preserve">SoCalGas </w:t>
      </w:r>
      <w:r>
        <w:t>proposes to</w:t>
      </w:r>
      <w:r w:rsidRPr="00D1175C">
        <w:t xml:space="preserve"> continue </w:t>
      </w:r>
      <w:r>
        <w:t xml:space="preserve">proven and successful strategies from the prior cycle while adding some modifications and new strategies.  </w:t>
      </w:r>
      <w:r w:rsidRPr="00FA2057">
        <w:t>S</w:t>
      </w:r>
      <w:r>
        <w:t>oCalGas</w:t>
      </w:r>
      <w:r w:rsidRPr="00FA2057">
        <w:t xml:space="preserve"> is requesting $</w:t>
      </w:r>
      <w:r>
        <w:t>9,856,902</w:t>
      </w:r>
      <w:r w:rsidRPr="00FA2057">
        <w:t xml:space="preserve"> to support these marketing efforts and estimates a marketing investment </w:t>
      </w:r>
      <w:r>
        <w:t xml:space="preserve">of about </w:t>
      </w:r>
      <w:r w:rsidRPr="00FA2057">
        <w:t>$</w:t>
      </w:r>
      <w:r>
        <w:t>15</w:t>
      </w:r>
      <w:r w:rsidRPr="00FA2057">
        <w:t xml:space="preserve"> per household treated.</w:t>
      </w:r>
    </w:p>
    <w:p w:rsidRPr="00FA2057" w:rsidR="000C1980" w:rsidP="000D3EBD" w:rsidRDefault="000C1980" w14:paraId="37B9EF05" w14:textId="77777777">
      <w:pPr>
        <w:pStyle w:val="Standard"/>
      </w:pPr>
      <w:r w:rsidRPr="00FA2057">
        <w:t xml:space="preserve">Specifically, </w:t>
      </w:r>
      <w:r>
        <w:t xml:space="preserve">SoCalGas </w:t>
      </w:r>
      <w:r w:rsidRPr="00FA2057">
        <w:t xml:space="preserve">will focus on the following ME&amp;O elements: </w:t>
      </w:r>
    </w:p>
    <w:p w:rsidR="000C1980" w:rsidP="00402362" w:rsidRDefault="000C1980" w14:paraId="7313514E" w14:textId="77777777">
      <w:pPr>
        <w:pStyle w:val="ListBullet"/>
      </w:pPr>
      <w:r>
        <w:t xml:space="preserve">Continuing </w:t>
      </w:r>
      <w:r w:rsidRPr="004167CF">
        <w:t xml:space="preserve">existing direct marketing efforts including mass media campaigns, monthly direct mail and email, monthly social media posts, and providing collateral material at community events to increase awareness of the ESA </w:t>
      </w:r>
      <w:r>
        <w:t>p</w:t>
      </w:r>
      <w:r w:rsidRPr="004167CF">
        <w:t>rogram.</w:t>
      </w:r>
      <w:r w:rsidRPr="004167CF">
        <w:rPr>
          <w:vertAlign w:val="superscript"/>
        </w:rPr>
        <w:footnoteReference w:id="617"/>
      </w:r>
      <w:r w:rsidRPr="004167CF">
        <w:t xml:space="preserve"> </w:t>
      </w:r>
    </w:p>
    <w:p w:rsidR="000C1980" w:rsidP="00402362" w:rsidRDefault="000C1980" w14:paraId="472309E8" w14:textId="77777777">
      <w:pPr>
        <w:pStyle w:val="ListBullet"/>
      </w:pPr>
      <w:r>
        <w:t xml:space="preserve">Leveraging the new </w:t>
      </w:r>
      <w:r w:rsidRPr="004167CF">
        <w:t xml:space="preserve">technology platform to </w:t>
      </w:r>
      <w:r>
        <w:t xml:space="preserve">educate and </w:t>
      </w:r>
      <w:r w:rsidRPr="004167CF">
        <w:t xml:space="preserve">provide customers with a venue to immediately apply and schedule online appointments, which </w:t>
      </w:r>
      <w:r>
        <w:t>will</w:t>
      </w:r>
      <w:r w:rsidRPr="004167CF">
        <w:t xml:space="preserve"> improve participation and the customer experience.</w:t>
      </w:r>
      <w:r w:rsidRPr="004167CF">
        <w:rPr>
          <w:vertAlign w:val="superscript"/>
        </w:rPr>
        <w:footnoteReference w:id="618"/>
      </w:r>
    </w:p>
    <w:p w:rsidR="000C1980" w:rsidP="00402362" w:rsidRDefault="000C1980" w14:paraId="263FEAC4" w14:textId="77777777">
      <w:pPr>
        <w:pStyle w:val="ListBullet"/>
      </w:pPr>
      <w:r>
        <w:t>Continuing to co-market ESA with CARE and</w:t>
      </w:r>
      <w:r w:rsidRPr="004167CF">
        <w:t xml:space="preserve"> targeting CARE customers not enrolled in ESA through email, direct mail, and local community events.</w:t>
      </w:r>
      <w:r w:rsidRPr="004167CF">
        <w:rPr>
          <w:vertAlign w:val="superscript"/>
        </w:rPr>
        <w:footnoteReference w:id="619"/>
      </w:r>
      <w:r>
        <w:t xml:space="preserve">  </w:t>
      </w:r>
    </w:p>
    <w:p w:rsidRPr="00BD4FDB" w:rsidR="000C1980" w:rsidP="00402362" w:rsidRDefault="000C1980" w14:paraId="7D1E20BD" w14:textId="77777777">
      <w:pPr>
        <w:pStyle w:val="ListBullet"/>
      </w:pPr>
      <w:r>
        <w:t>Leverage relationships with local community-based organizations (CBOs) to reach prioritized customer segments detailed in Section 6.9.</w:t>
      </w:r>
      <w:r>
        <w:rPr>
          <w:rStyle w:val="FootnoteReference"/>
        </w:rPr>
        <w:footnoteReference w:id="620"/>
      </w:r>
      <w:r>
        <w:t xml:space="preserve">  </w:t>
      </w:r>
    </w:p>
    <w:p w:rsidR="000C1980" w:rsidP="001968DC" w:rsidRDefault="000C1980" w14:paraId="07DAF411" w14:textId="77777777">
      <w:pPr>
        <w:pStyle w:val="Heading3"/>
        <w:ind w:left="2664"/>
      </w:pPr>
      <w:bookmarkStart w:name="_Toc69948085" w:id="434"/>
      <w:r>
        <w:t>SDG&amp;E Proposal</w:t>
      </w:r>
      <w:bookmarkEnd w:id="434"/>
      <w:r>
        <w:t xml:space="preserve"> </w:t>
      </w:r>
    </w:p>
    <w:p w:rsidRPr="00FA2057" w:rsidR="000C1980" w:rsidP="000D3EBD" w:rsidRDefault="000C1980" w14:paraId="75D1D7F6" w14:textId="77777777">
      <w:pPr>
        <w:pStyle w:val="Standard"/>
      </w:pPr>
      <w:r w:rsidRPr="000C200D">
        <w:t xml:space="preserve">SDG&amp;E proposes </w:t>
      </w:r>
      <w:r>
        <w:t>to</w:t>
      </w:r>
      <w:r w:rsidRPr="00D1175C">
        <w:t xml:space="preserve"> </w:t>
      </w:r>
      <w:r>
        <w:t>implement</w:t>
      </w:r>
      <w:r w:rsidRPr="008B3C6E">
        <w:t xml:space="preserve"> a comprehensive and integrated </w:t>
      </w:r>
      <w:r>
        <w:t>ME&amp;O</w:t>
      </w:r>
      <w:r w:rsidRPr="008B3C6E">
        <w:t xml:space="preserve"> strategy that includes a coordinated mix of general awareness, direct marketing, and community engagement.</w:t>
      </w:r>
      <w:r w:rsidRPr="008B3C6E">
        <w:rPr>
          <w:vertAlign w:val="superscript"/>
        </w:rPr>
        <w:footnoteReference w:id="621"/>
      </w:r>
      <w:r w:rsidRPr="008B3C6E">
        <w:t xml:space="preserve"> </w:t>
      </w:r>
      <w:r>
        <w:t xml:space="preserve"> </w:t>
      </w:r>
      <w:r w:rsidRPr="00FA2057">
        <w:t>S</w:t>
      </w:r>
      <w:r>
        <w:t>DG&amp;E</w:t>
      </w:r>
      <w:r w:rsidRPr="00FA2057">
        <w:t xml:space="preserve"> is requesting $</w:t>
      </w:r>
      <w:r>
        <w:t>9,899,578</w:t>
      </w:r>
      <w:r w:rsidRPr="00FA2057">
        <w:t xml:space="preserve"> to support these </w:t>
      </w:r>
      <w:r w:rsidRPr="00FA2057">
        <w:lastRenderedPageBreak/>
        <w:t>marketing efforts and estimates a marketing investment between $</w:t>
      </w:r>
      <w:r>
        <w:t>75</w:t>
      </w:r>
      <w:r w:rsidRPr="00FA2057">
        <w:t xml:space="preserve"> per household treated.</w:t>
      </w:r>
    </w:p>
    <w:p w:rsidRPr="00FA2057" w:rsidR="000C1980" w:rsidP="000D3EBD" w:rsidRDefault="000C1980" w14:paraId="0E56E385" w14:textId="77777777">
      <w:pPr>
        <w:pStyle w:val="Standard"/>
      </w:pPr>
      <w:r w:rsidRPr="00FA2057">
        <w:t xml:space="preserve">Specifically, </w:t>
      </w:r>
      <w:r>
        <w:t xml:space="preserve">SDG&amp;E </w:t>
      </w:r>
      <w:r w:rsidRPr="00FA2057">
        <w:t xml:space="preserve">will focus on the following ME&amp;O elements: </w:t>
      </w:r>
    </w:p>
    <w:p w:rsidR="000C1980" w:rsidP="00402362" w:rsidRDefault="000C1980" w14:paraId="36630F34" w14:textId="77777777">
      <w:pPr>
        <w:pStyle w:val="ListBullet"/>
      </w:pPr>
      <w:r>
        <w:t xml:space="preserve">Continuing to </w:t>
      </w:r>
      <w:r w:rsidRPr="00D82BCF">
        <w:t>use broad advertising tactics such as television, print, online ads, email</w:t>
      </w:r>
      <w:r>
        <w:t xml:space="preserve">, and </w:t>
      </w:r>
      <w:r w:rsidRPr="00D82BCF">
        <w:t>direct mail.</w:t>
      </w:r>
      <w:r w:rsidRPr="00D82BCF">
        <w:rPr>
          <w:vertAlign w:val="superscript"/>
        </w:rPr>
        <w:footnoteReference w:id="622"/>
      </w:r>
      <w:r w:rsidRPr="00D82BCF">
        <w:t xml:space="preserve"> </w:t>
      </w:r>
    </w:p>
    <w:p w:rsidR="000C1980" w:rsidP="00402362" w:rsidRDefault="000C1980" w14:paraId="114B05FA" w14:textId="77777777">
      <w:pPr>
        <w:pStyle w:val="ListBullet"/>
      </w:pPr>
      <w:r>
        <w:t xml:space="preserve">Utilizing </w:t>
      </w:r>
      <w:r w:rsidRPr="00D82BCF">
        <w:t xml:space="preserve">community outreach and engagement such as attending community events, educating employees on </w:t>
      </w:r>
      <w:proofErr w:type="gramStart"/>
      <w:r w:rsidRPr="00D82BCF">
        <w:t>low income</w:t>
      </w:r>
      <w:proofErr w:type="gramEnd"/>
      <w:r w:rsidRPr="00D82BCF">
        <w:t xml:space="preserve"> programs, targeted outbound telephone campaigns, and engaging with SDG&amp;E’s Energy Solutions Partner and </w:t>
      </w:r>
      <w:r>
        <w:t>CBO</w:t>
      </w:r>
      <w:r w:rsidRPr="00D82BCF">
        <w:t xml:space="preserve"> networks to educate and engage customers about the low</w:t>
      </w:r>
      <w:r>
        <w:t xml:space="preserve"> </w:t>
      </w:r>
      <w:r w:rsidRPr="00D82BCF">
        <w:t>income programs.</w:t>
      </w:r>
      <w:r w:rsidRPr="00D82BCF">
        <w:rPr>
          <w:vertAlign w:val="superscript"/>
        </w:rPr>
        <w:footnoteReference w:id="623"/>
      </w:r>
    </w:p>
    <w:p w:rsidR="000C1980" w:rsidP="001968DC" w:rsidRDefault="000C1980" w14:paraId="0630F142" w14:textId="77777777">
      <w:pPr>
        <w:pStyle w:val="Heading3"/>
        <w:ind w:left="2664"/>
      </w:pPr>
      <w:bookmarkStart w:name="_Toc69948086" w:id="435"/>
      <w:r>
        <w:t>Party Positions</w:t>
      </w:r>
      <w:bookmarkEnd w:id="435"/>
    </w:p>
    <w:p w:rsidR="000C1980" w:rsidP="001968DC" w:rsidRDefault="000C1980" w14:paraId="1EA4359D" w14:textId="77777777">
      <w:pPr>
        <w:pStyle w:val="Heading4"/>
        <w:ind w:left="3600"/>
      </w:pPr>
      <w:bookmarkStart w:name="_Toc69948087" w:id="436"/>
      <w:r>
        <w:t>Cal Advocates</w:t>
      </w:r>
      <w:bookmarkEnd w:id="436"/>
    </w:p>
    <w:p w:rsidR="000C1980" w:rsidP="000D3EBD" w:rsidRDefault="000C1980" w14:paraId="1CA98A33" w14:textId="19FECF0B">
      <w:pPr>
        <w:pStyle w:val="Standard"/>
      </w:pPr>
      <w:r>
        <w:rPr>
          <w:b/>
          <w:bCs/>
          <w:i/>
          <w:iCs/>
          <w:u w:val="single"/>
        </w:rPr>
        <w:t>Evaluation</w:t>
      </w:r>
      <w:r w:rsidRPr="008768A0">
        <w:rPr>
          <w:b/>
          <w:bCs/>
          <w:i/>
          <w:iCs/>
          <w:u w:val="single"/>
        </w:rPr>
        <w:t xml:space="preserve"> of ME&amp;O:</w:t>
      </w:r>
      <w:r>
        <w:t xml:space="preserve"> </w:t>
      </w:r>
      <w:r w:rsidRPr="004F63F4">
        <w:t xml:space="preserve">Cal Advocates recommend that the IOUs review the </w:t>
      </w:r>
      <w:r>
        <w:t xml:space="preserve">cost </w:t>
      </w:r>
      <w:r w:rsidRPr="004F63F4">
        <w:t xml:space="preserve">effectiveness of their </w:t>
      </w:r>
      <w:r w:rsidRPr="00BD003E">
        <w:t>ME&amp;O activities</w:t>
      </w:r>
      <w:r w:rsidRPr="004F63F4">
        <w:t xml:space="preserve"> </w:t>
      </w:r>
      <w:r w:rsidRPr="00BD003E">
        <w:t>and tactics including the recent changes made in response</w:t>
      </w:r>
      <w:r w:rsidRPr="004F63F4">
        <w:t xml:space="preserve"> </w:t>
      </w:r>
      <w:r w:rsidRPr="00BD003E">
        <w:t>to the COVID-19 pandemic and modify their ME&amp;O</w:t>
      </w:r>
      <w:r w:rsidRPr="004F63F4">
        <w:t xml:space="preserve"> </w:t>
      </w:r>
      <w:r w:rsidRPr="00BD003E">
        <w:t>budgets accordingly.</w:t>
      </w:r>
      <w:r w:rsidRPr="004F63F4">
        <w:rPr>
          <w:rStyle w:val="FootnoteReference"/>
        </w:rPr>
        <w:footnoteReference w:id="624"/>
      </w:r>
      <w:r>
        <w:t xml:space="preserve">  During PY 2020, the IOUs made shifts to their ME&amp;O strategies </w:t>
      </w:r>
      <w:r w:rsidRPr="00BD003E">
        <w:t xml:space="preserve">due to </w:t>
      </w:r>
      <w:r>
        <w:t xml:space="preserve">the </w:t>
      </w:r>
      <w:r w:rsidRPr="00BD003E">
        <w:t>COVID-19</w:t>
      </w:r>
      <w:r>
        <w:t xml:space="preserve"> pandemic, which Cal Advocates state</w:t>
      </w:r>
      <w:r w:rsidR="007100D9">
        <w:t>s</w:t>
      </w:r>
      <w:r>
        <w:t xml:space="preserve"> should be evaluated as it may p</w:t>
      </w:r>
      <w:r w:rsidRPr="00BD003E">
        <w:t>rovide valuable</w:t>
      </w:r>
      <w:r>
        <w:t xml:space="preserve"> </w:t>
      </w:r>
      <w:r w:rsidRPr="00BD003E">
        <w:t>data for future approaches and designs for effective ME&amp;O strategies at lower costs</w:t>
      </w:r>
      <w:r>
        <w:t>.  T</w:t>
      </w:r>
      <w:r w:rsidRPr="00BD003E">
        <w:t>he COVID-19 emergency forced the IOUs to rethink their ME&amp;O activities and</w:t>
      </w:r>
      <w:r>
        <w:t xml:space="preserve"> </w:t>
      </w:r>
      <w:r w:rsidRPr="00BD003E">
        <w:t>implement new tactics to continue to promote the ESA and CARE programs while cutting back on more traditional ME&amp;O tactics.</w:t>
      </w:r>
      <w:r>
        <w:t xml:space="preserve"> </w:t>
      </w:r>
      <w:r w:rsidRPr="00BD003E">
        <w:t xml:space="preserve"> </w:t>
      </w:r>
      <w:r>
        <w:t>Cal Advocates states that t</w:t>
      </w:r>
      <w:r w:rsidRPr="00BD003E">
        <w:t>he</w:t>
      </w:r>
      <w:r>
        <w:t xml:space="preserve">se strategies should be evaluated to determine how </w:t>
      </w:r>
      <w:r w:rsidRPr="00BD003E">
        <w:t xml:space="preserve">best </w:t>
      </w:r>
      <w:r>
        <w:t xml:space="preserve">to </w:t>
      </w:r>
      <w:r w:rsidRPr="00BD003E">
        <w:t xml:space="preserve">optimize </w:t>
      </w:r>
      <w:r>
        <w:t>the</w:t>
      </w:r>
      <w:r w:rsidRPr="00BD003E">
        <w:t xml:space="preserve"> ME&amp;O budget</w:t>
      </w:r>
      <w:r>
        <w:t>, and the</w:t>
      </w:r>
      <w:r w:rsidRPr="00BD003E">
        <w:t xml:space="preserve"> IOUs should file a Tier 2 </w:t>
      </w:r>
      <w:r>
        <w:t>a</w:t>
      </w:r>
      <w:r w:rsidRPr="00BD003E">
        <w:t>dvice</w:t>
      </w:r>
      <w:r>
        <w:t xml:space="preserve"> l</w:t>
      </w:r>
      <w:r w:rsidRPr="00BD003E">
        <w:t xml:space="preserve">etter within 6 months of approval of their ESA applications </w:t>
      </w:r>
      <w:r w:rsidRPr="00BD003E">
        <w:lastRenderedPageBreak/>
        <w:t>describing the results of</w:t>
      </w:r>
      <w:r>
        <w:t xml:space="preserve"> </w:t>
      </w:r>
      <w:r w:rsidRPr="00BD003E">
        <w:t>their evaluation and what actions they will take to adjust their ME&amp;O budgets</w:t>
      </w:r>
      <w:r>
        <w:t xml:space="preserve"> a</w:t>
      </w:r>
      <w:r w:rsidRPr="00BD003E">
        <w:t>ccordingly</w:t>
      </w:r>
      <w:r>
        <w:t>.</w:t>
      </w:r>
      <w:r>
        <w:rPr>
          <w:rStyle w:val="FootnoteReference"/>
        </w:rPr>
        <w:footnoteReference w:id="625"/>
      </w:r>
    </w:p>
    <w:p w:rsidR="000C1980" w:rsidP="000D3EBD" w:rsidRDefault="000C1980" w14:paraId="2F2788EA" w14:textId="77777777">
      <w:pPr>
        <w:pStyle w:val="Standard"/>
      </w:pPr>
      <w:r>
        <w:rPr>
          <w:b/>
          <w:bCs/>
          <w:i/>
          <w:iCs/>
          <w:u w:val="single"/>
        </w:rPr>
        <w:t>Evaluation of</w:t>
      </w:r>
      <w:r w:rsidRPr="008768A0">
        <w:rPr>
          <w:b/>
          <w:bCs/>
          <w:i/>
          <w:iCs/>
          <w:u w:val="single"/>
        </w:rPr>
        <w:t xml:space="preserve"> </w:t>
      </w:r>
      <w:r>
        <w:rPr>
          <w:b/>
          <w:bCs/>
          <w:i/>
          <w:iCs/>
          <w:u w:val="single"/>
        </w:rPr>
        <w:t>Energy Education</w:t>
      </w:r>
      <w:r w:rsidRPr="008768A0">
        <w:rPr>
          <w:b/>
          <w:bCs/>
          <w:i/>
          <w:iCs/>
          <w:u w:val="single"/>
        </w:rPr>
        <w:t>:</w:t>
      </w:r>
      <w:r>
        <w:t xml:space="preserve"> </w:t>
      </w:r>
      <w:r w:rsidRPr="00CB4E24">
        <w:t xml:space="preserve">Cal Advocates </w:t>
      </w:r>
      <w:r>
        <w:t xml:space="preserve">also </w:t>
      </w:r>
      <w:r w:rsidRPr="00CB4E24">
        <w:t xml:space="preserve">recommends that the IOUs be required to track and evaluate whether the proposed </w:t>
      </w:r>
      <w:r>
        <w:t>e</w:t>
      </w:r>
      <w:r w:rsidRPr="00CB4E24">
        <w:t xml:space="preserve">nergy </w:t>
      </w:r>
      <w:r>
        <w:t>e</w:t>
      </w:r>
      <w:r w:rsidRPr="00CB4E24">
        <w:t>ducation programs provide actual energy and bill savings, arguing that the IOUs’ current methods for tracking and evaluating the effectiveness of these programs are inadequate, as they lack clear and consistent evaluation goals or methods to ensure that these programs are indeed a cost effective way to help low</w:t>
      </w:r>
      <w:r>
        <w:t xml:space="preserve"> </w:t>
      </w:r>
      <w:r w:rsidRPr="00CB4E24">
        <w:t>income customers save energy and reduce bills.</w:t>
      </w:r>
      <w:r w:rsidRPr="00CB4E24">
        <w:rPr>
          <w:vertAlign w:val="superscript"/>
        </w:rPr>
        <w:footnoteReference w:id="626"/>
      </w:r>
      <w:r w:rsidRPr="00CB4E24">
        <w:t xml:space="preserve">  As a result, the Commission and ratepayers lack insight into the value of or how to improve </w:t>
      </w:r>
      <w:r>
        <w:t>en</w:t>
      </w:r>
      <w:r w:rsidRPr="00CB4E24">
        <w:t xml:space="preserve">ergy </w:t>
      </w:r>
      <w:r>
        <w:t>e</w:t>
      </w:r>
      <w:r w:rsidRPr="00CB4E24">
        <w:t>ducation to achieve bill savings</w:t>
      </w:r>
      <w:r>
        <w:t xml:space="preserve">.  </w:t>
      </w:r>
      <w:r w:rsidRPr="00CB4E24">
        <w:t>Cal Advocates also points out that the energy education strategies and cost per households vary widely between the IOUs, resulting in a lack of data to assess the reasonableness of the energy education program designs or budgets.  Therefore, to inform future education programs and reasonable budgets, Cal Advocates recommends that IOUs track energy and bill savings associated with their education programs using a randomized control trial and complete the evaluation in two years to allow the IOUs to update their energy education programs through a mid-cycle review.</w:t>
      </w:r>
      <w:r w:rsidRPr="00CB4E24">
        <w:rPr>
          <w:vertAlign w:val="superscript"/>
        </w:rPr>
        <w:footnoteReference w:id="627"/>
      </w:r>
      <w:r w:rsidRPr="00CB4E24">
        <w:t xml:space="preserve">  </w:t>
      </w:r>
    </w:p>
    <w:p w:rsidRPr="005C6DDA" w:rsidR="000C1980" w:rsidP="000D3EBD" w:rsidRDefault="000C1980" w14:paraId="1ABC504D" w14:textId="3710E209">
      <w:pPr>
        <w:pStyle w:val="Standard"/>
      </w:pPr>
      <w:r w:rsidRPr="00A45A4C">
        <w:rPr>
          <w:b/>
          <w:bCs/>
          <w:i/>
          <w:iCs/>
          <w:u w:val="single"/>
        </w:rPr>
        <w:t>Home Energy Reports</w:t>
      </w:r>
      <w:r>
        <w:rPr>
          <w:b/>
          <w:bCs/>
          <w:i/>
          <w:iCs/>
          <w:u w:val="single"/>
        </w:rPr>
        <w:t xml:space="preserve"> In lieu of Energy Education</w:t>
      </w:r>
      <w:r>
        <w:t xml:space="preserve">: Lastly, Cal Advocates state that the </w:t>
      </w:r>
      <w:r w:rsidRPr="005C6DDA">
        <w:t>IOUs</w:t>
      </w:r>
      <w:r>
        <w:t xml:space="preserve"> should</w:t>
      </w:r>
      <w:r w:rsidRPr="005C6DDA">
        <w:t xml:space="preserve"> evaluate whether </w:t>
      </w:r>
      <w:r>
        <w:t>b</w:t>
      </w:r>
      <w:r w:rsidRPr="005C6DDA">
        <w:t xml:space="preserve">ehavioral programs like HERs are effective alternatives to </w:t>
      </w:r>
      <w:r>
        <w:t>e</w:t>
      </w:r>
      <w:r w:rsidRPr="005C6DDA">
        <w:t xml:space="preserve">nergy </w:t>
      </w:r>
      <w:r>
        <w:t>e</w:t>
      </w:r>
      <w:r w:rsidRPr="005C6DDA">
        <w:t>ducation</w:t>
      </w:r>
      <w:r>
        <w:t xml:space="preserve"> and recommends that the</w:t>
      </w:r>
      <w:r w:rsidRPr="005C6DDA">
        <w:t xml:space="preserve"> IOUs should do this by developing proposals to see if targeting </w:t>
      </w:r>
      <w:proofErr w:type="gramStart"/>
      <w:r w:rsidRPr="005C6DDA">
        <w:t>low income</w:t>
      </w:r>
      <w:proofErr w:type="gramEnd"/>
      <w:r w:rsidRPr="005C6DDA">
        <w:t xml:space="preserve"> households with HERs is more effective than current </w:t>
      </w:r>
      <w:r>
        <w:t>e</w:t>
      </w:r>
      <w:r w:rsidRPr="005C6DDA">
        <w:t xml:space="preserve">nergy </w:t>
      </w:r>
      <w:r>
        <w:t>e</w:t>
      </w:r>
      <w:r w:rsidRPr="005C6DDA">
        <w:t>ducation</w:t>
      </w:r>
      <w:r>
        <w:t xml:space="preserve"> efforts.  Cal Advocates </w:t>
      </w:r>
      <w:r>
        <w:lastRenderedPageBreak/>
        <w:t xml:space="preserve">propose that this effort </w:t>
      </w:r>
      <w:r w:rsidRPr="005C6DDA">
        <w:t xml:space="preserve">be funded through </w:t>
      </w:r>
      <w:r>
        <w:t>the mainstream energy efficiency budget,</w:t>
      </w:r>
      <w:r w:rsidRPr="005C6DDA">
        <w:t xml:space="preserve"> with any </w:t>
      </w:r>
      <w:proofErr w:type="gramStart"/>
      <w:r w:rsidRPr="005C6DDA">
        <w:t>low</w:t>
      </w:r>
      <w:r>
        <w:t xml:space="preserve"> </w:t>
      </w:r>
      <w:r w:rsidRPr="005C6DDA">
        <w:t>income</w:t>
      </w:r>
      <w:proofErr w:type="gramEnd"/>
      <w:r w:rsidRPr="005C6DDA">
        <w:t xml:space="preserve"> specific ME&amp;O through ESA budgets.</w:t>
      </w:r>
      <w:r>
        <w:rPr>
          <w:rStyle w:val="FootnoteReference"/>
        </w:rPr>
        <w:footnoteReference w:id="628"/>
      </w:r>
      <w:r w:rsidRPr="005C6DDA">
        <w:t xml:space="preserve"> </w:t>
      </w:r>
    </w:p>
    <w:p w:rsidR="000C1980" w:rsidP="001968DC" w:rsidRDefault="000C1980" w14:paraId="456164E7" w14:textId="77777777">
      <w:pPr>
        <w:pStyle w:val="Heading4"/>
        <w:ind w:left="3600"/>
      </w:pPr>
      <w:bookmarkStart w:name="_Toc69948088" w:id="437"/>
      <w:r>
        <w:t>TURN</w:t>
      </w:r>
      <w:bookmarkEnd w:id="437"/>
    </w:p>
    <w:p w:rsidR="000C1980" w:rsidP="000D3EBD" w:rsidRDefault="000C1980" w14:paraId="4468BDF8" w14:textId="77777777">
      <w:pPr>
        <w:pStyle w:val="Standard"/>
        <w:rPr>
          <w:b/>
          <w:bCs/>
          <w:i/>
          <w:iCs/>
          <w:u w:val="single"/>
        </w:rPr>
      </w:pPr>
      <w:r>
        <w:rPr>
          <w:b/>
          <w:bCs/>
          <w:i/>
          <w:iCs/>
          <w:u w:val="single"/>
        </w:rPr>
        <w:t>Evaluation</w:t>
      </w:r>
      <w:r w:rsidRPr="008768A0">
        <w:rPr>
          <w:b/>
          <w:bCs/>
          <w:i/>
          <w:iCs/>
          <w:u w:val="single"/>
        </w:rPr>
        <w:t xml:space="preserve"> of ME&amp;O:</w:t>
      </w:r>
      <w:r>
        <w:t xml:space="preserve"> TURN </w:t>
      </w:r>
      <w:r w:rsidRPr="007B6B7F">
        <w:t>recommend</w:t>
      </w:r>
      <w:r>
        <w:t xml:space="preserve">s that if </w:t>
      </w:r>
      <w:r w:rsidRPr="007B6B7F">
        <w:t>changes are made</w:t>
      </w:r>
      <w:r>
        <w:t xml:space="preserve"> after completing the </w:t>
      </w:r>
      <w:r w:rsidRPr="007B6B7F">
        <w:t>review</w:t>
      </w:r>
      <w:r w:rsidRPr="00D452C2">
        <w:t xml:space="preserve"> </w:t>
      </w:r>
      <w:r>
        <w:t xml:space="preserve">proposed by Cal Advocates, the IOUs should be required to </w:t>
      </w:r>
      <w:r w:rsidRPr="007B6B7F">
        <w:t>monitor the impacts</w:t>
      </w:r>
      <w:r>
        <w:t xml:space="preserve">, and if the impacts result </w:t>
      </w:r>
      <w:r w:rsidRPr="007B6B7F">
        <w:t>in a reduction in overall participation or in different customer segments, the</w:t>
      </w:r>
      <w:r>
        <w:t xml:space="preserve"> </w:t>
      </w:r>
      <w:r w:rsidRPr="007B6B7F">
        <w:t>changes</w:t>
      </w:r>
      <w:r>
        <w:t xml:space="preserve"> should be revisited</w:t>
      </w:r>
      <w:r w:rsidRPr="007B6B7F">
        <w:t>.</w:t>
      </w:r>
      <w:r>
        <w:rPr>
          <w:rStyle w:val="FootnoteReference"/>
        </w:rPr>
        <w:footnoteReference w:id="629"/>
      </w:r>
      <w:r w:rsidRPr="00483E38">
        <w:rPr>
          <w:b/>
          <w:bCs/>
          <w:i/>
          <w:iCs/>
          <w:u w:val="single"/>
        </w:rPr>
        <w:t xml:space="preserve"> </w:t>
      </w:r>
    </w:p>
    <w:p w:rsidR="000C1980" w:rsidP="000D3EBD" w:rsidRDefault="000C1980" w14:paraId="014CBAF3" w14:textId="77777777">
      <w:pPr>
        <w:pStyle w:val="Standard"/>
      </w:pPr>
      <w:r>
        <w:rPr>
          <w:b/>
          <w:bCs/>
          <w:i/>
          <w:iCs/>
          <w:u w:val="single"/>
        </w:rPr>
        <w:t>Evaluation of</w:t>
      </w:r>
      <w:r w:rsidRPr="008768A0">
        <w:rPr>
          <w:b/>
          <w:bCs/>
          <w:i/>
          <w:iCs/>
          <w:u w:val="single"/>
        </w:rPr>
        <w:t xml:space="preserve"> </w:t>
      </w:r>
      <w:r>
        <w:rPr>
          <w:b/>
          <w:bCs/>
          <w:i/>
          <w:iCs/>
          <w:u w:val="single"/>
        </w:rPr>
        <w:t>Energy Education</w:t>
      </w:r>
      <w:r w:rsidRPr="008768A0">
        <w:rPr>
          <w:b/>
          <w:bCs/>
          <w:i/>
          <w:iCs/>
          <w:u w:val="single"/>
        </w:rPr>
        <w:t>:</w:t>
      </w:r>
      <w:r>
        <w:t xml:space="preserve"> TURN supports Cal Advocates’ proposal to evaluate the IOUs’ energy education programs, noting that the Commission has launched previous efforts </w:t>
      </w:r>
      <w:r w:rsidRPr="00984924">
        <w:t>to study the effectiveness of energy</w:t>
      </w:r>
      <w:r>
        <w:t xml:space="preserve"> e</w:t>
      </w:r>
      <w:r w:rsidRPr="00984924">
        <w:t>ducation through ESA</w:t>
      </w:r>
      <w:r>
        <w:t xml:space="preserve">.  Specifically, </w:t>
      </w:r>
      <w:r w:rsidRPr="00984924">
        <w:t>D.12-08-044</w:t>
      </w:r>
      <w:r>
        <w:t xml:space="preserve"> ordered an </w:t>
      </w:r>
      <w:r w:rsidRPr="00984924">
        <w:t xml:space="preserve">Energy Education Study </w:t>
      </w:r>
      <w:r>
        <w:t xml:space="preserve">(Phase 1) during the </w:t>
      </w:r>
      <w:r w:rsidRPr="00984924">
        <w:t>2012-2014 program cycle</w:t>
      </w:r>
      <w:r>
        <w:t xml:space="preserve"> which resulted in various recommendations.  Consequently, </w:t>
      </w:r>
      <w:r w:rsidRPr="00984924">
        <w:t>D.16-11-022</w:t>
      </w:r>
      <w:r>
        <w:t xml:space="preserve"> </w:t>
      </w:r>
      <w:r w:rsidRPr="00984924">
        <w:t>denied the IOU proposal for a Phase 2 study based on</w:t>
      </w:r>
      <w:r>
        <w:t xml:space="preserve"> </w:t>
      </w:r>
      <w:r w:rsidRPr="00984924">
        <w:t>a finding that the utilities failed to implement many of the Phase 1</w:t>
      </w:r>
      <w:r>
        <w:t xml:space="preserve"> </w:t>
      </w:r>
      <w:r w:rsidRPr="00984924">
        <w:t>recommendations, a prerequisite for Phase 2 to measure their effectiveness.</w:t>
      </w:r>
      <w:r>
        <w:rPr>
          <w:rStyle w:val="FootnoteReference"/>
        </w:rPr>
        <w:footnoteReference w:id="630"/>
      </w:r>
      <w:r>
        <w:t xml:space="preserve">  The IOUs were also </w:t>
      </w:r>
      <w:r w:rsidRPr="00984924">
        <w:t xml:space="preserve">directed to coordinate internally to align ME&amp;O strategies and campaigns across the </w:t>
      </w:r>
      <w:r>
        <w:t>l</w:t>
      </w:r>
      <w:r w:rsidRPr="00984924">
        <w:t xml:space="preserve">ow </w:t>
      </w:r>
      <w:r>
        <w:t>i</w:t>
      </w:r>
      <w:r w:rsidRPr="00984924">
        <w:t xml:space="preserve">ncome and </w:t>
      </w:r>
      <w:r>
        <w:t>r</w:t>
      </w:r>
      <w:r w:rsidRPr="00984924">
        <w:t>ates proceedings</w:t>
      </w:r>
      <w:r>
        <w:t>, yet to TURN’s knowledge, no</w:t>
      </w:r>
      <w:r w:rsidRPr="00984924">
        <w:t xml:space="preserve"> follow-up on assessment of the</w:t>
      </w:r>
      <w:r>
        <w:t xml:space="preserve"> </w:t>
      </w:r>
      <w:r w:rsidRPr="00984924">
        <w:t xml:space="preserve">effectiveness of energy education </w:t>
      </w:r>
      <w:r>
        <w:t>has been made</w:t>
      </w:r>
      <w:r w:rsidRPr="00984924">
        <w:t xml:space="preserve">. </w:t>
      </w:r>
      <w:r>
        <w:t xml:space="preserve"> TURN recommends that the IOUs</w:t>
      </w:r>
      <w:r w:rsidRPr="00984924">
        <w:t xml:space="preserve"> provide an account of the progress made</w:t>
      </w:r>
      <w:r>
        <w:t xml:space="preserve"> in </w:t>
      </w:r>
      <w:r w:rsidRPr="00984924">
        <w:t>implementing the Phase 1 recommendations</w:t>
      </w:r>
      <w:r>
        <w:t xml:space="preserve">, and that the </w:t>
      </w:r>
      <w:r w:rsidRPr="00984924">
        <w:t xml:space="preserve">scope of the </w:t>
      </w:r>
      <w:r>
        <w:t xml:space="preserve">evaluation proposed by </w:t>
      </w:r>
      <w:r w:rsidRPr="00984924">
        <w:t>Cal Advocates be informed by the utilities’ update.</w:t>
      </w:r>
      <w:r>
        <w:t xml:space="preserve">  TURN recommends that the IOUs </w:t>
      </w:r>
      <w:r w:rsidRPr="00984924">
        <w:t xml:space="preserve">consult with an </w:t>
      </w:r>
      <w:r w:rsidRPr="00984924">
        <w:lastRenderedPageBreak/>
        <w:t>independent program evaluator</w:t>
      </w:r>
      <w:r>
        <w:t xml:space="preserve"> to </w:t>
      </w:r>
      <w:r w:rsidRPr="00984924">
        <w:t>design the study</w:t>
      </w:r>
      <w:r>
        <w:t>/evaluation</w:t>
      </w:r>
      <w:r w:rsidRPr="00984924">
        <w:t xml:space="preserve">, </w:t>
      </w:r>
      <w:r>
        <w:t xml:space="preserve">and then </w:t>
      </w:r>
      <w:r w:rsidRPr="00984924">
        <w:t xml:space="preserve">propose a study plan for review via the advice letter process. </w:t>
      </w:r>
      <w:r>
        <w:t xml:space="preserve"> TURN also states that they do not support</w:t>
      </w:r>
      <w:r w:rsidRPr="00984924">
        <w:t xml:space="preserve"> including households that receive ESA measures in the control group,</w:t>
      </w:r>
      <w:r>
        <w:t xml:space="preserve"> </w:t>
      </w:r>
      <w:r w:rsidRPr="00984924">
        <w:t>as this would mean that they do not get instruction on how to use those measures</w:t>
      </w:r>
      <w:r>
        <w:t xml:space="preserve"> t</w:t>
      </w:r>
      <w:r w:rsidRPr="00984924">
        <w:t>o effectively manage energy use.</w:t>
      </w:r>
      <w:r>
        <w:rPr>
          <w:rStyle w:val="FootnoteReference"/>
        </w:rPr>
        <w:footnoteReference w:id="631"/>
      </w:r>
    </w:p>
    <w:p w:rsidRPr="00F64AA8" w:rsidR="000C1980" w:rsidP="001968DC" w:rsidRDefault="000C1980" w14:paraId="77ACA64F" w14:textId="77777777">
      <w:pPr>
        <w:pStyle w:val="Heading4"/>
        <w:ind w:left="3600"/>
      </w:pPr>
      <w:bookmarkStart w:name="_Toc69948089" w:id="438"/>
      <w:r w:rsidRPr="00F64AA8">
        <w:t xml:space="preserve">La </w:t>
      </w:r>
      <w:proofErr w:type="spellStart"/>
      <w:r w:rsidRPr="00F64AA8">
        <w:t>Cooperativa</w:t>
      </w:r>
      <w:proofErr w:type="spellEnd"/>
      <w:r>
        <w:t xml:space="preserve"> et al.</w:t>
      </w:r>
      <w:bookmarkEnd w:id="438"/>
      <w:r>
        <w:t xml:space="preserve"> </w:t>
      </w:r>
    </w:p>
    <w:p w:rsidR="000C1980" w:rsidP="000D3EBD" w:rsidRDefault="000C1980" w14:paraId="35752115" w14:textId="77777777">
      <w:pPr>
        <w:pStyle w:val="Standard"/>
      </w:pPr>
      <w:r>
        <w:rPr>
          <w:b/>
          <w:bCs/>
          <w:i/>
          <w:iCs/>
          <w:u w:val="single"/>
        </w:rPr>
        <w:t>Evaluation of</w:t>
      </w:r>
      <w:r w:rsidRPr="008768A0">
        <w:rPr>
          <w:b/>
          <w:bCs/>
          <w:i/>
          <w:iCs/>
          <w:u w:val="single"/>
        </w:rPr>
        <w:t xml:space="preserve"> </w:t>
      </w:r>
      <w:r>
        <w:rPr>
          <w:b/>
          <w:bCs/>
          <w:i/>
          <w:iCs/>
          <w:u w:val="single"/>
        </w:rPr>
        <w:t>Energy Education:</w:t>
      </w:r>
      <w:r w:rsidRPr="00073E4F">
        <w:t xml:space="preserve"> La </w:t>
      </w:r>
      <w:proofErr w:type="spellStart"/>
      <w:r w:rsidRPr="00073E4F">
        <w:t>Cooperativa</w:t>
      </w:r>
      <w:proofErr w:type="spellEnd"/>
      <w:r w:rsidRPr="00073E4F">
        <w:t xml:space="preserve"> et al</w:t>
      </w:r>
      <w:r>
        <w:t>. claims that the c</w:t>
      </w:r>
      <w:r w:rsidRPr="00F64AA8">
        <w:t>urrent model of energy education does not allow for enough time in the home</w:t>
      </w:r>
      <w:r>
        <w:t xml:space="preserve"> and that the </w:t>
      </w:r>
      <w:r w:rsidRPr="00F64AA8">
        <w:t xml:space="preserve">energy education </w:t>
      </w:r>
      <w:r>
        <w:t xml:space="preserve">module </w:t>
      </w:r>
      <w:r w:rsidRPr="00F64AA8">
        <w:t>should be re-oriented towards smart technologies, including smart thermostats and use of smart meter data, as well as simple HVAC and appliance maintenance</w:t>
      </w:r>
      <w:r>
        <w:t xml:space="preserve">.  </w:t>
      </w:r>
      <w:r w:rsidRPr="00F64AA8">
        <w:t xml:space="preserve">La </w:t>
      </w:r>
      <w:proofErr w:type="spellStart"/>
      <w:r w:rsidRPr="00F64AA8">
        <w:t>Cooperativa</w:t>
      </w:r>
      <w:proofErr w:type="spellEnd"/>
      <w:r w:rsidRPr="00F64AA8">
        <w:t xml:space="preserve"> </w:t>
      </w:r>
      <w:r>
        <w:t xml:space="preserve">et al. also proposes the </w:t>
      </w:r>
      <w:r w:rsidRPr="00F64AA8">
        <w:t>establish</w:t>
      </w:r>
      <w:r>
        <w:t>ment of</w:t>
      </w:r>
      <w:r w:rsidRPr="00F64AA8">
        <w:t xml:space="preserve"> an </w:t>
      </w:r>
      <w:r>
        <w:t>energy e</w:t>
      </w:r>
      <w:r w:rsidRPr="00F64AA8">
        <w:t>ducation working group.</w:t>
      </w:r>
      <w:r>
        <w:rPr>
          <w:rStyle w:val="FootnoteReference"/>
        </w:rPr>
        <w:footnoteReference w:id="632"/>
      </w:r>
      <w:r w:rsidRPr="00F64AA8">
        <w:t xml:space="preserve"> </w:t>
      </w:r>
    </w:p>
    <w:p w:rsidR="000C1980" w:rsidP="001968DC" w:rsidRDefault="000C1980" w14:paraId="6982F5B9" w14:textId="77777777">
      <w:pPr>
        <w:pStyle w:val="Heading4"/>
        <w:ind w:left="3600"/>
      </w:pPr>
      <w:bookmarkStart w:name="_Toc69948090" w:id="439"/>
      <w:r>
        <w:t>CETF</w:t>
      </w:r>
      <w:bookmarkEnd w:id="439"/>
    </w:p>
    <w:p w:rsidRPr="005A5A08" w:rsidR="000C1980" w:rsidP="000D3EBD" w:rsidRDefault="000C1980" w14:paraId="6019A4E7" w14:textId="77777777">
      <w:pPr>
        <w:pStyle w:val="Standard"/>
      </w:pPr>
      <w:r>
        <w:rPr>
          <w:b/>
          <w:bCs/>
          <w:i/>
          <w:iCs/>
          <w:u w:val="single"/>
        </w:rPr>
        <w:t>Coordination with Broadband Outreach and Referrals</w:t>
      </w:r>
      <w:r w:rsidRPr="008768A0">
        <w:rPr>
          <w:b/>
          <w:bCs/>
          <w:i/>
          <w:iCs/>
          <w:u w:val="single"/>
        </w:rPr>
        <w:t>:</w:t>
      </w:r>
      <w:r>
        <w:t xml:space="preserve"> </w:t>
      </w:r>
      <w:r w:rsidRPr="00902254">
        <w:t xml:space="preserve">CETF </w:t>
      </w:r>
      <w:r>
        <w:t xml:space="preserve">states that all the IOUs </w:t>
      </w:r>
      <w:r w:rsidRPr="00902254">
        <w:t>fail to include outreach to all low</w:t>
      </w:r>
      <w:r>
        <w:t xml:space="preserve"> </w:t>
      </w:r>
      <w:r w:rsidRPr="00902254">
        <w:t xml:space="preserve">income households about affordable </w:t>
      </w:r>
      <w:r>
        <w:t>i</w:t>
      </w:r>
      <w:r w:rsidRPr="00902254">
        <w:t>nternet offers as an innovative way to get households enrolled in ESA</w:t>
      </w:r>
      <w:r>
        <w:t>,</w:t>
      </w:r>
      <w:r w:rsidRPr="00902254">
        <w:rPr>
          <w:vertAlign w:val="superscript"/>
        </w:rPr>
        <w:footnoteReference w:id="633"/>
      </w:r>
      <w:r>
        <w:t xml:space="preserve"> asserting that such</w:t>
      </w:r>
      <w:r w:rsidRPr="00902254">
        <w:t xml:space="preserve"> outreach, done by CETF and its affiliated </w:t>
      </w:r>
      <w:r>
        <w:t>CBO</w:t>
      </w:r>
      <w:r w:rsidRPr="00902254">
        <w:t xml:space="preserve"> network would improve penetration of information about ESA, reduce costs for the IOUs, and help to achieve Commission and state mandated goals for treatments.</w:t>
      </w:r>
      <w:r w:rsidRPr="00902254">
        <w:rPr>
          <w:vertAlign w:val="superscript"/>
        </w:rPr>
        <w:footnoteReference w:id="634"/>
      </w:r>
      <w:r>
        <w:t xml:space="preserve">  </w:t>
      </w:r>
      <w:r w:rsidRPr="00902254">
        <w:t xml:space="preserve">CETF </w:t>
      </w:r>
      <w:r>
        <w:t xml:space="preserve">proposes that the </w:t>
      </w:r>
      <w:r w:rsidRPr="00902254">
        <w:t xml:space="preserve">Commission order </w:t>
      </w:r>
      <w:r>
        <w:t>the IOUs</w:t>
      </w:r>
      <w:r w:rsidRPr="00902254">
        <w:t xml:space="preserve"> to partner </w:t>
      </w:r>
      <w:r w:rsidRPr="00902254">
        <w:lastRenderedPageBreak/>
        <w:t xml:space="preserve">with experienced CBOs and CETF to reach out to all CARE customers to inform them about their available home </w:t>
      </w:r>
      <w:r>
        <w:t>i</w:t>
      </w:r>
      <w:r w:rsidRPr="00902254">
        <w:t>nternet offers and make referrals to CBOs.</w:t>
      </w:r>
      <w:r w:rsidRPr="00902254">
        <w:rPr>
          <w:vertAlign w:val="superscript"/>
        </w:rPr>
        <w:footnoteReference w:id="635"/>
      </w:r>
    </w:p>
    <w:p w:rsidR="000C1980" w:rsidP="001968DC" w:rsidRDefault="000C1980" w14:paraId="52D824EF" w14:textId="77777777">
      <w:pPr>
        <w:pStyle w:val="Heading3"/>
        <w:ind w:left="2664"/>
      </w:pPr>
      <w:bookmarkStart w:name="_Toc69948091" w:id="440"/>
      <w:r>
        <w:t>IOU Responses</w:t>
      </w:r>
      <w:bookmarkEnd w:id="440"/>
    </w:p>
    <w:p w:rsidR="000C1980" w:rsidP="001968DC" w:rsidRDefault="000C1980" w14:paraId="490DB7B2" w14:textId="77777777">
      <w:pPr>
        <w:pStyle w:val="Heading4"/>
        <w:ind w:left="3600"/>
      </w:pPr>
      <w:bookmarkStart w:name="_Toc69948092" w:id="441"/>
      <w:r>
        <w:t>PG&amp;E</w:t>
      </w:r>
      <w:bookmarkEnd w:id="441"/>
    </w:p>
    <w:p w:rsidR="000C1980" w:rsidP="000D3EBD" w:rsidRDefault="000C1980" w14:paraId="2E4CFD75" w14:textId="77777777">
      <w:pPr>
        <w:pStyle w:val="Standard"/>
      </w:pPr>
      <w:r>
        <w:rPr>
          <w:b/>
          <w:bCs/>
          <w:i/>
          <w:iCs/>
          <w:u w:val="single"/>
        </w:rPr>
        <w:t>Evaluation</w:t>
      </w:r>
      <w:r w:rsidRPr="008768A0">
        <w:rPr>
          <w:b/>
          <w:bCs/>
          <w:i/>
          <w:iCs/>
          <w:u w:val="single"/>
        </w:rPr>
        <w:t xml:space="preserve"> of ME&amp;O:</w:t>
      </w:r>
      <w:r>
        <w:t xml:space="preserve"> </w:t>
      </w:r>
      <w:r w:rsidRPr="00735CD7">
        <w:t xml:space="preserve">PG&amp;E </w:t>
      </w:r>
      <w:r>
        <w:t xml:space="preserve">opposes </w:t>
      </w:r>
      <w:r w:rsidRPr="00735CD7">
        <w:t>Cal Advocates</w:t>
      </w:r>
      <w:r>
        <w:t>’</w:t>
      </w:r>
      <w:r w:rsidRPr="00735CD7">
        <w:t xml:space="preserve"> recommendation </w:t>
      </w:r>
      <w:r w:rsidRPr="006C7F33">
        <w:t xml:space="preserve">that </w:t>
      </w:r>
      <w:r>
        <w:t xml:space="preserve">the </w:t>
      </w:r>
      <w:r w:rsidRPr="006C7F33">
        <w:t>IOUs</w:t>
      </w:r>
      <w:r>
        <w:t xml:space="preserve"> </w:t>
      </w:r>
      <w:r w:rsidRPr="006C7F33">
        <w:t xml:space="preserve">file Tier 2 </w:t>
      </w:r>
      <w:r>
        <w:t>a</w:t>
      </w:r>
      <w:r w:rsidRPr="006C7F33">
        <w:t xml:space="preserve">dvice </w:t>
      </w:r>
      <w:r>
        <w:t>l</w:t>
      </w:r>
      <w:r w:rsidRPr="006C7F33">
        <w:t xml:space="preserve">etter within 6 months of </w:t>
      </w:r>
      <w:r>
        <w:t>this decision d</w:t>
      </w:r>
      <w:r w:rsidRPr="006C7F33">
        <w:t xml:space="preserve">escribing the results of </w:t>
      </w:r>
      <w:r>
        <w:t>the proposed evaluation of the ME&amp;O tactics</w:t>
      </w:r>
      <w:r w:rsidRPr="006C7F33">
        <w:t xml:space="preserve"> and what actions </w:t>
      </w:r>
      <w:r>
        <w:t xml:space="preserve">they </w:t>
      </w:r>
      <w:r w:rsidRPr="006C7F33">
        <w:t>will take to adjust their ME&amp;O budgets accordingly</w:t>
      </w:r>
      <w:r>
        <w:t xml:space="preserve"> because </w:t>
      </w:r>
      <w:r w:rsidRPr="00735CD7">
        <w:t>PG&amp;E is already continually managing and optimizing ME&amp;O to improve</w:t>
      </w:r>
      <w:r>
        <w:t xml:space="preserve"> </w:t>
      </w:r>
      <w:r w:rsidRPr="00735CD7">
        <w:t>effectiveness of efforts</w:t>
      </w:r>
      <w:r>
        <w:t xml:space="preserve">, and the </w:t>
      </w:r>
      <w:r w:rsidRPr="008D7C29">
        <w:t>timing of filing a Tier 2 Advice Letter</w:t>
      </w:r>
      <w:r>
        <w:t xml:space="preserve"> d</w:t>
      </w:r>
      <w:r w:rsidRPr="008D7C29">
        <w:t>oes not account for new 2021</w:t>
      </w:r>
      <w:r>
        <w:t> </w:t>
      </w:r>
      <w:r w:rsidRPr="008D7C29">
        <w:t>–</w:t>
      </w:r>
      <w:r>
        <w:t> </w:t>
      </w:r>
      <w:r w:rsidRPr="008D7C29">
        <w:t>2026 program design or other changes</w:t>
      </w:r>
      <w:r>
        <w:t xml:space="preserve"> </w:t>
      </w:r>
      <w:r w:rsidRPr="008D7C29">
        <w:t xml:space="preserve">to ESA that may arise from a </w:t>
      </w:r>
      <w:r>
        <w:t>f</w:t>
      </w:r>
      <w:r w:rsidRPr="008D7C29">
        <w:t xml:space="preserve">inal </w:t>
      </w:r>
      <w:r>
        <w:t>d</w:t>
      </w:r>
      <w:r w:rsidRPr="008D7C29">
        <w:t>ecision in this proceeding.</w:t>
      </w:r>
      <w:r>
        <w:rPr>
          <w:rStyle w:val="FootnoteReference"/>
        </w:rPr>
        <w:footnoteReference w:id="636"/>
      </w:r>
    </w:p>
    <w:p w:rsidRPr="00497220" w:rsidR="000C1980" w:rsidP="000D3EBD" w:rsidRDefault="000C1980" w14:paraId="5AA44A84" w14:textId="77777777">
      <w:pPr>
        <w:pStyle w:val="Standard"/>
      </w:pPr>
      <w:r w:rsidRPr="00A45A4C">
        <w:rPr>
          <w:b/>
          <w:bCs/>
          <w:i/>
          <w:iCs/>
          <w:u w:val="single"/>
        </w:rPr>
        <w:t>Home Energy Reports</w:t>
      </w:r>
      <w:r>
        <w:rPr>
          <w:b/>
          <w:bCs/>
          <w:i/>
          <w:iCs/>
          <w:u w:val="single"/>
        </w:rPr>
        <w:t xml:space="preserve"> </w:t>
      </w:r>
      <w:proofErr w:type="gramStart"/>
      <w:r>
        <w:rPr>
          <w:b/>
          <w:bCs/>
          <w:i/>
          <w:iCs/>
          <w:u w:val="single"/>
        </w:rPr>
        <w:t>in Lieu of</w:t>
      </w:r>
      <w:proofErr w:type="gramEnd"/>
      <w:r>
        <w:rPr>
          <w:b/>
          <w:bCs/>
          <w:i/>
          <w:iCs/>
          <w:u w:val="single"/>
        </w:rPr>
        <w:t xml:space="preserve"> Energy Education: </w:t>
      </w:r>
      <w:r w:rsidRPr="00497220">
        <w:t xml:space="preserve">PG&amp;E </w:t>
      </w:r>
      <w:r>
        <w:t xml:space="preserve">opposes the use of </w:t>
      </w:r>
      <w:r w:rsidRPr="00497220">
        <w:t>HER</w:t>
      </w:r>
      <w:r>
        <w:t>s</w:t>
      </w:r>
      <w:r w:rsidRPr="00497220">
        <w:t xml:space="preserve"> as an alternative to </w:t>
      </w:r>
      <w:r>
        <w:t>e</w:t>
      </w:r>
      <w:r w:rsidRPr="00497220">
        <w:t xml:space="preserve">nergy </w:t>
      </w:r>
      <w:r>
        <w:t>e</w:t>
      </w:r>
      <w:r w:rsidRPr="00497220">
        <w:t>ducation</w:t>
      </w:r>
      <w:r>
        <w:t xml:space="preserve"> stating that </w:t>
      </w:r>
      <w:r w:rsidRPr="00A37A58">
        <w:t>PG&amp;E would be open to expand</w:t>
      </w:r>
      <w:r>
        <w:t>ing</w:t>
      </w:r>
      <w:r w:rsidRPr="00A37A58">
        <w:t xml:space="preserve"> the HERs to more CARE enrolled customers as a behavioral</w:t>
      </w:r>
      <w:r>
        <w:t xml:space="preserve"> </w:t>
      </w:r>
      <w:r w:rsidRPr="00A37A58">
        <w:t xml:space="preserve">change mechanism, </w:t>
      </w:r>
      <w:r>
        <w:t xml:space="preserve">but </w:t>
      </w:r>
      <w:r w:rsidRPr="00A37A58">
        <w:t xml:space="preserve">not as an alternative to ESA </w:t>
      </w:r>
      <w:r>
        <w:t>e</w:t>
      </w:r>
      <w:r w:rsidRPr="00A37A58">
        <w:t xml:space="preserve">nergy </w:t>
      </w:r>
      <w:r>
        <w:t>e</w:t>
      </w:r>
      <w:r w:rsidRPr="00A37A58">
        <w:t>ducation offering.</w:t>
      </w:r>
      <w:r>
        <w:t xml:space="preserve">  PG&amp;E further explains that there are c</w:t>
      </w:r>
      <w:r w:rsidRPr="00A37A58">
        <w:t>omponents</w:t>
      </w:r>
      <w:r>
        <w:t xml:space="preserve"> </w:t>
      </w:r>
      <w:r w:rsidRPr="00A37A58">
        <w:t xml:space="preserve">of </w:t>
      </w:r>
      <w:r>
        <w:t>e</w:t>
      </w:r>
      <w:r w:rsidRPr="00A37A58">
        <w:t xml:space="preserve">nergy </w:t>
      </w:r>
      <w:r>
        <w:t>e</w:t>
      </w:r>
      <w:r w:rsidRPr="00A37A58">
        <w:t>ducation</w:t>
      </w:r>
      <w:r w:rsidRPr="00E35EF6">
        <w:t xml:space="preserve"> </w:t>
      </w:r>
      <w:r>
        <w:t>which HERs alone cannot do or offer,</w:t>
      </w:r>
      <w:r w:rsidRPr="00A37A58">
        <w:t xml:space="preserve"> include helping the customer sign up for </w:t>
      </w:r>
      <w:proofErr w:type="spellStart"/>
      <w:r w:rsidRPr="00A37A58">
        <w:t>YourAccount</w:t>
      </w:r>
      <w:proofErr w:type="spellEnd"/>
      <w:r>
        <w:t xml:space="preserve"> </w:t>
      </w:r>
      <w:r w:rsidRPr="00A37A58">
        <w:t>and Energy Alerts, explaining questions about their bill, educating the</w:t>
      </w:r>
      <w:r>
        <w:t xml:space="preserve"> </w:t>
      </w:r>
      <w:r w:rsidRPr="00A37A58">
        <w:t>customer about rate options, instructing the customer on how to enroll in the</w:t>
      </w:r>
      <w:r>
        <w:t xml:space="preserve"> m</w:t>
      </w:r>
      <w:r w:rsidRPr="00A37A58">
        <w:t xml:space="preserve">edical </w:t>
      </w:r>
      <w:r>
        <w:t>b</w:t>
      </w:r>
      <w:r w:rsidRPr="00A37A58">
        <w:t xml:space="preserve">aseline </w:t>
      </w:r>
      <w:r>
        <w:t>p</w:t>
      </w:r>
      <w:r w:rsidRPr="00A37A58">
        <w:t>rogram, offering behavioral tips based on observations</w:t>
      </w:r>
      <w:r>
        <w:t xml:space="preserve"> </w:t>
      </w:r>
      <w:r w:rsidRPr="00A37A58">
        <w:t>made during the home assessment, advising about payment options and</w:t>
      </w:r>
      <w:r>
        <w:t xml:space="preserve"> </w:t>
      </w:r>
      <w:r w:rsidRPr="00A37A58">
        <w:t>financial assistance programs, and sharing various leave-behind</w:t>
      </w:r>
      <w:r>
        <w:t xml:space="preserve"> </w:t>
      </w:r>
      <w:r w:rsidRPr="00A37A58">
        <w:t>materials.</w:t>
      </w:r>
      <w:r>
        <w:rPr>
          <w:rStyle w:val="FootnoteReference"/>
        </w:rPr>
        <w:footnoteReference w:id="637"/>
      </w:r>
    </w:p>
    <w:p w:rsidR="000C1980" w:rsidP="001968DC" w:rsidRDefault="000C1980" w14:paraId="6BCBA210" w14:textId="77777777">
      <w:pPr>
        <w:pStyle w:val="Heading4"/>
        <w:ind w:left="3600"/>
      </w:pPr>
      <w:bookmarkStart w:name="_Toc69948093" w:id="442"/>
      <w:r>
        <w:lastRenderedPageBreak/>
        <w:t>SCE</w:t>
      </w:r>
      <w:bookmarkEnd w:id="442"/>
    </w:p>
    <w:p w:rsidR="004508CB" w:rsidP="000D3EBD" w:rsidRDefault="000C1980" w14:paraId="6DB9B8F2" w14:textId="0A745CA2">
      <w:pPr>
        <w:pStyle w:val="Standard"/>
      </w:pPr>
      <w:r>
        <w:rPr>
          <w:b/>
          <w:bCs/>
          <w:i/>
          <w:iCs/>
          <w:u w:val="single"/>
        </w:rPr>
        <w:t>Evaluation</w:t>
      </w:r>
      <w:r w:rsidRPr="008768A0">
        <w:rPr>
          <w:b/>
          <w:bCs/>
          <w:i/>
          <w:iCs/>
          <w:u w:val="single"/>
        </w:rPr>
        <w:t xml:space="preserve"> of </w:t>
      </w:r>
      <w:r>
        <w:rPr>
          <w:b/>
          <w:bCs/>
          <w:i/>
          <w:iCs/>
          <w:u w:val="single"/>
        </w:rPr>
        <w:t>Energy Education</w:t>
      </w:r>
      <w:r w:rsidRPr="008768A0">
        <w:rPr>
          <w:b/>
          <w:bCs/>
          <w:i/>
          <w:iCs/>
          <w:u w:val="single"/>
        </w:rPr>
        <w:t>:</w:t>
      </w:r>
      <w:r>
        <w:t xml:space="preserve"> SCE opposes </w:t>
      </w:r>
      <w:r w:rsidRPr="00246524">
        <w:t>Cal Advocates</w:t>
      </w:r>
      <w:r>
        <w:t xml:space="preserve">’ request to </w:t>
      </w:r>
      <w:r w:rsidRPr="00246524">
        <w:t xml:space="preserve">evaluate whether </w:t>
      </w:r>
      <w:r>
        <w:t>e</w:t>
      </w:r>
      <w:r w:rsidRPr="00246524">
        <w:t xml:space="preserve">nergy </w:t>
      </w:r>
      <w:r>
        <w:t>e</w:t>
      </w:r>
      <w:r w:rsidRPr="00246524">
        <w:t>ducation provides energy and bill savings</w:t>
      </w:r>
      <w:r>
        <w:t xml:space="preserve">, because this has already been </w:t>
      </w:r>
      <w:r w:rsidRPr="00246524">
        <w:t>extensively explored in prior program cycles</w:t>
      </w:r>
      <w:r>
        <w:t xml:space="preserve"> and that such an assessment as proposed is not </w:t>
      </w:r>
      <w:r w:rsidRPr="00246524">
        <w:t>technically feasible</w:t>
      </w:r>
      <w:r w:rsidRPr="00F66B3C">
        <w:t>.</w:t>
      </w:r>
      <w:r>
        <w:rPr>
          <w:rStyle w:val="FootnoteReference"/>
        </w:rPr>
        <w:footnoteReference w:id="638"/>
      </w:r>
    </w:p>
    <w:p w:rsidR="000E7643" w:rsidP="000D3EBD" w:rsidRDefault="000E7643" w14:paraId="2D12692D" w14:textId="3877952C">
      <w:pPr>
        <w:pStyle w:val="Standard"/>
      </w:pPr>
      <w:r>
        <w:rPr>
          <w:b/>
          <w:bCs/>
          <w:i/>
          <w:iCs/>
          <w:u w:val="single"/>
        </w:rPr>
        <w:t>Evaluation</w:t>
      </w:r>
      <w:r w:rsidRPr="008768A0">
        <w:rPr>
          <w:b/>
          <w:bCs/>
          <w:i/>
          <w:iCs/>
          <w:u w:val="single"/>
        </w:rPr>
        <w:t xml:space="preserve"> of ME&amp;O:</w:t>
      </w:r>
      <w:r>
        <w:t xml:space="preserve"> </w:t>
      </w:r>
      <w:r w:rsidRPr="009A4EE2" w:rsidR="009A4EE2">
        <w:t>SCE supports utiliz</w:t>
      </w:r>
      <w:r w:rsidR="009A4EE2">
        <w:t>ing t</w:t>
      </w:r>
      <w:r w:rsidRPr="009A4EE2" w:rsidR="009A4EE2">
        <w:t>he</w:t>
      </w:r>
      <w:r w:rsidR="009A4EE2">
        <w:t xml:space="preserve"> </w:t>
      </w:r>
      <w:r w:rsidRPr="009A4EE2" w:rsidR="009A4EE2">
        <w:t xml:space="preserve">mid-cycle review process to make any necessary adjustments </w:t>
      </w:r>
      <w:r w:rsidR="001C7B39">
        <w:t xml:space="preserve">to the </w:t>
      </w:r>
      <w:r w:rsidRPr="009A4EE2" w:rsidR="001C7B39">
        <w:t>ME&amp;O strategies and</w:t>
      </w:r>
      <w:r w:rsidR="001C7B39">
        <w:t xml:space="preserve"> </w:t>
      </w:r>
      <w:r w:rsidRPr="009A4EE2" w:rsidR="001C7B39">
        <w:t xml:space="preserve">budgets </w:t>
      </w:r>
      <w:r w:rsidRPr="009A4EE2" w:rsidR="009A4EE2">
        <w:t>after the IOUs have had time to</w:t>
      </w:r>
      <w:r w:rsidR="009A4EE2">
        <w:t xml:space="preserve"> </w:t>
      </w:r>
      <w:r w:rsidRPr="009A4EE2" w:rsidR="009A4EE2">
        <w:t>evaluate the need for further continuance of their modified ME&amp;O strategies and budgets. SCE</w:t>
      </w:r>
      <w:r w:rsidR="009A4EE2">
        <w:t xml:space="preserve"> also supports </w:t>
      </w:r>
      <w:r w:rsidRPr="009A4EE2" w:rsidR="009A4EE2">
        <w:t>report</w:t>
      </w:r>
      <w:r w:rsidR="001C7B39">
        <w:t>ing on</w:t>
      </w:r>
      <w:r w:rsidRPr="009A4EE2" w:rsidR="009A4EE2">
        <w:t xml:space="preserve"> what ME&amp;O strategies</w:t>
      </w:r>
      <w:r w:rsidR="009A4EE2">
        <w:t xml:space="preserve"> </w:t>
      </w:r>
      <w:r w:rsidRPr="009A4EE2" w:rsidR="009A4EE2">
        <w:t>they employ, the costs of those various strategies, and the effectiveness of those strategies on</w:t>
      </w:r>
      <w:r w:rsidRPr="001C7B39" w:rsidR="001C7B39">
        <w:rPr>
          <w:rFonts w:ascii="TimesNewRoman" w:eastAsia="TimesNewRoman" w:cs="TimesNewRoman" w:hAnsiTheme="minorHAnsi"/>
          <w:sz w:val="24"/>
          <w:szCs w:val="24"/>
        </w:rPr>
        <w:t xml:space="preserve"> </w:t>
      </w:r>
      <w:r w:rsidRPr="001C7B39" w:rsidR="001C7B39">
        <w:t>customer enrollment rates</w:t>
      </w:r>
      <w:r w:rsidR="001C7B39">
        <w:t xml:space="preserve"> in the IOU annual reports.</w:t>
      </w:r>
      <w:r w:rsidR="001C7B39">
        <w:rPr>
          <w:rStyle w:val="FootnoteReference"/>
        </w:rPr>
        <w:footnoteReference w:id="639"/>
      </w:r>
    </w:p>
    <w:p w:rsidR="000C1980" w:rsidP="001968DC" w:rsidRDefault="000C1980" w14:paraId="0B80023E" w14:textId="77777777">
      <w:pPr>
        <w:pStyle w:val="Heading4"/>
        <w:ind w:left="3600"/>
      </w:pPr>
      <w:bookmarkStart w:name="_Toc69948094" w:id="443"/>
      <w:r>
        <w:t>SDG&amp;E</w:t>
      </w:r>
      <w:bookmarkEnd w:id="443"/>
    </w:p>
    <w:p w:rsidR="000C1980" w:rsidP="000D3EBD" w:rsidRDefault="000C1980" w14:paraId="48E2B84C" w14:textId="77777777">
      <w:pPr>
        <w:pStyle w:val="Standard"/>
      </w:pPr>
      <w:r>
        <w:rPr>
          <w:b/>
          <w:bCs/>
          <w:i/>
          <w:iCs/>
          <w:u w:val="single"/>
        </w:rPr>
        <w:t>Evaluation</w:t>
      </w:r>
      <w:r w:rsidRPr="008768A0">
        <w:rPr>
          <w:b/>
          <w:bCs/>
          <w:i/>
          <w:iCs/>
          <w:u w:val="single"/>
        </w:rPr>
        <w:t xml:space="preserve"> of </w:t>
      </w:r>
      <w:r>
        <w:rPr>
          <w:b/>
          <w:bCs/>
          <w:i/>
          <w:iCs/>
          <w:u w:val="single"/>
        </w:rPr>
        <w:t>Energy Education</w:t>
      </w:r>
      <w:r w:rsidRPr="008768A0">
        <w:rPr>
          <w:b/>
          <w:bCs/>
          <w:i/>
          <w:iCs/>
          <w:u w:val="single"/>
        </w:rPr>
        <w:t>:</w:t>
      </w:r>
      <w:r>
        <w:t xml:space="preserve"> SD</w:t>
      </w:r>
      <w:r w:rsidRPr="00735CD7">
        <w:t xml:space="preserve">G&amp;E </w:t>
      </w:r>
      <w:r>
        <w:t xml:space="preserve">opposes </w:t>
      </w:r>
      <w:r w:rsidRPr="00735CD7">
        <w:t>Cal</w:t>
      </w:r>
      <w:r>
        <w:t xml:space="preserve"> </w:t>
      </w:r>
      <w:r w:rsidRPr="00CE325B">
        <w:t>Advocates</w:t>
      </w:r>
      <w:r>
        <w:t xml:space="preserve">’ </w:t>
      </w:r>
      <w:r w:rsidRPr="00CE325B">
        <w:t>recommend</w:t>
      </w:r>
      <w:r>
        <w:t xml:space="preserve">ation to </w:t>
      </w:r>
      <w:r w:rsidRPr="00CE325B">
        <w:t xml:space="preserve">require the IOUs to track and evaluate the </w:t>
      </w:r>
      <w:r>
        <w:t>e</w:t>
      </w:r>
      <w:r w:rsidRPr="00CE325B">
        <w:t>nergy</w:t>
      </w:r>
      <w:r>
        <w:t xml:space="preserve"> e</w:t>
      </w:r>
      <w:r w:rsidRPr="00CE325B">
        <w:t xml:space="preserve">ducation programs to determine if </w:t>
      </w:r>
      <w:r>
        <w:t xml:space="preserve">it </w:t>
      </w:r>
      <w:r w:rsidRPr="00CE325B">
        <w:t>provides actual bill savings</w:t>
      </w:r>
      <w:r>
        <w:t xml:space="preserve"> arguing that a</w:t>
      </w:r>
      <w:r w:rsidRPr="00CE325B">
        <w:t>ny energy savings resulting from the</w:t>
      </w:r>
      <w:r>
        <w:t xml:space="preserve"> </w:t>
      </w:r>
      <w:r w:rsidRPr="00CE325B">
        <w:t>educational component of the program are expected to be minimal</w:t>
      </w:r>
      <w:r>
        <w:t>, v</w:t>
      </w:r>
      <w:r w:rsidRPr="00CE325B">
        <w:t>ery difficult to measure</w:t>
      </w:r>
      <w:r>
        <w:t xml:space="preserve">, and such an effort </w:t>
      </w:r>
      <w:r w:rsidRPr="00CE325B">
        <w:t>would be expensive with inconclusive results</w:t>
      </w:r>
      <w:r>
        <w:t>.</w:t>
      </w:r>
      <w:r>
        <w:rPr>
          <w:rStyle w:val="FootnoteReference"/>
        </w:rPr>
        <w:footnoteReference w:id="640"/>
      </w:r>
      <w:r>
        <w:t xml:space="preserve">  </w:t>
      </w:r>
    </w:p>
    <w:p w:rsidR="000C1980" w:rsidP="001968DC" w:rsidRDefault="000C1980" w14:paraId="3CC52928" w14:textId="77777777">
      <w:pPr>
        <w:pStyle w:val="Heading3"/>
        <w:ind w:left="2664"/>
      </w:pPr>
      <w:bookmarkStart w:name="_Toc69948095" w:id="444"/>
      <w:r>
        <w:lastRenderedPageBreak/>
        <w:t>Discussion</w:t>
      </w:r>
      <w:bookmarkEnd w:id="444"/>
    </w:p>
    <w:p w:rsidRPr="00D242F9" w:rsidR="000C1980" w:rsidP="001968DC" w:rsidRDefault="000C1980" w14:paraId="72C8AC6F" w14:textId="77777777">
      <w:pPr>
        <w:pStyle w:val="Heading4"/>
        <w:ind w:left="3600"/>
      </w:pPr>
      <w:bookmarkStart w:name="_Toc69948096" w:id="445"/>
      <w:r w:rsidRPr="00D242F9">
        <w:t>IOUs’ ME&amp;O</w:t>
      </w:r>
      <w:r>
        <w:t xml:space="preserve"> </w:t>
      </w:r>
      <w:r w:rsidRPr="00D242F9">
        <w:t xml:space="preserve">Strategies: </w:t>
      </w:r>
      <w:r w:rsidRPr="004D107B">
        <w:rPr>
          <w:u w:val="single"/>
        </w:rPr>
        <w:t>Approved with Additional Reporting</w:t>
      </w:r>
      <w:bookmarkEnd w:id="445"/>
    </w:p>
    <w:p w:rsidRPr="00095DD3" w:rsidR="000C1980" w:rsidP="000D3EBD" w:rsidRDefault="000C1980" w14:paraId="178C146A" w14:textId="77777777">
      <w:pPr>
        <w:pStyle w:val="Standard"/>
      </w:pPr>
      <w:r>
        <w:t>We approve the IOUs' overall approach towards a more targeted customer-centric campaign that allows the IOUs to reach their energy savings and participation goals overall</w:t>
      </w:r>
      <w:r w:rsidRPr="00095DD3">
        <w:t xml:space="preserve">. </w:t>
      </w:r>
      <w:r>
        <w:t xml:space="preserve"> We also support PG&amp;E’s use of the</w:t>
      </w:r>
      <w:r w:rsidRPr="00875F6F">
        <w:t xml:space="preserve"> advanced pro</w:t>
      </w:r>
      <w:r>
        <w:t>pensity</w:t>
      </w:r>
      <w:r w:rsidRPr="00875F6F">
        <w:t xml:space="preserve"> model and </w:t>
      </w:r>
      <w:r>
        <w:t xml:space="preserve">recommend that all the IOUs use these types of models and </w:t>
      </w:r>
      <w:r w:rsidRPr="00875F6F">
        <w:t>segmentation analys</w:t>
      </w:r>
      <w:r>
        <w:t>e</w:t>
      </w:r>
      <w:r w:rsidRPr="00875F6F">
        <w:t xml:space="preserve">s currently incorporated into </w:t>
      </w:r>
      <w:r>
        <w:t xml:space="preserve">the </w:t>
      </w:r>
      <w:r w:rsidRPr="00875F6F">
        <w:t xml:space="preserve">CARE </w:t>
      </w:r>
      <w:r>
        <w:t xml:space="preserve">ME&amp;O and </w:t>
      </w:r>
      <w:r w:rsidRPr="00875F6F">
        <w:t xml:space="preserve">apply </w:t>
      </w:r>
      <w:r>
        <w:t xml:space="preserve">it </w:t>
      </w:r>
      <w:r w:rsidRPr="00875F6F">
        <w:t>to ESA</w:t>
      </w:r>
      <w:r>
        <w:t>.</w:t>
      </w:r>
      <w:r>
        <w:tab/>
      </w:r>
    </w:p>
    <w:p w:rsidR="000C1980" w:rsidP="000D3EBD" w:rsidRDefault="000C1980" w14:paraId="73F7E42C" w14:textId="1C31A831">
      <w:pPr>
        <w:pStyle w:val="Standard"/>
      </w:pPr>
      <w:r>
        <w:t>We reiterate the findings of the 2019 LINA study, which showed that long term CARE participants were more likely to participate in ESA.</w:t>
      </w:r>
      <w:r>
        <w:rPr>
          <w:rStyle w:val="FootnoteReference"/>
        </w:rPr>
        <w:footnoteReference w:id="641"/>
      </w:r>
      <w:r>
        <w:t xml:space="preserve">  Therefore we direct the IOUs to continue to market and outreach to long term CARE customers in conjunction with the prioritized customer segments detailed in Section 6.6.</w:t>
      </w:r>
      <w:r w:rsidR="00C65236">
        <w:t>7.1</w:t>
      </w:r>
      <w:r>
        <w:t xml:space="preserve"> </w:t>
      </w:r>
    </w:p>
    <w:p w:rsidR="000C1980" w:rsidP="000D3EBD" w:rsidRDefault="000C1980" w14:paraId="07F958A2" w14:textId="4C6FCD70">
      <w:pPr>
        <w:pStyle w:val="Standard"/>
      </w:pPr>
      <w:r>
        <w:t>With regards to energy education, the IOUs shall continue to report and track contractor energy education efforts, which have been found to result in greater HCS improvements.</w:t>
      </w:r>
      <w:r>
        <w:rPr>
          <w:rStyle w:val="FootnoteReference"/>
        </w:rPr>
        <w:footnoteReference w:id="642"/>
      </w:r>
      <w:r>
        <w:t xml:space="preserve">  In addition, we direct the IOUs to leverage the contractors’ in-home visit and energy education to assist customers with other utility account services, including, but not limited to, </w:t>
      </w:r>
      <w:r w:rsidRPr="358783ED">
        <w:t xml:space="preserve">online account creation, and enrollment in </w:t>
      </w:r>
      <w:r>
        <w:t xml:space="preserve">bill </w:t>
      </w:r>
      <w:r w:rsidRPr="358783ED">
        <w:t>payment plan programs</w:t>
      </w:r>
      <w:r>
        <w:t xml:space="preserve"> such as Arrearage Management Plan</w:t>
      </w:r>
      <w:r w:rsidR="00A12AB4">
        <w:t>s</w:t>
      </w:r>
      <w:r>
        <w:t xml:space="preserve"> if </w:t>
      </w:r>
      <w:r w:rsidR="00A12AB4">
        <w:t xml:space="preserve">the </w:t>
      </w:r>
      <w:r>
        <w:t>customer is eligible</w:t>
      </w:r>
      <w:r w:rsidRPr="358783ED">
        <w:t xml:space="preserve">, per the recommendations of SCE and PG&amp;E. </w:t>
      </w:r>
    </w:p>
    <w:p w:rsidRPr="00095DD3" w:rsidR="000C1980" w:rsidP="000D3EBD" w:rsidRDefault="000C1980" w14:paraId="03CA0104" w14:textId="77777777">
      <w:pPr>
        <w:pStyle w:val="Standard"/>
      </w:pPr>
      <w:r>
        <w:t xml:space="preserve">The IOUs shall also continue to establish relationships with local organizations, including PG&amp;E’s approach with local community action </w:t>
      </w:r>
      <w:r>
        <w:lastRenderedPageBreak/>
        <w:t xml:space="preserve">agencies, SoCalGas’ approach with CBOs, and SDG&amp;E’s Energy Solutions Partners network, that have existing relationships with the households. </w:t>
      </w:r>
    </w:p>
    <w:p w:rsidRPr="00C93612" w:rsidR="000C1980" w:rsidP="000D3EBD" w:rsidRDefault="000C1980" w14:paraId="7795B8D6" w14:textId="20B97CD5">
      <w:pPr>
        <w:pStyle w:val="Standard"/>
      </w:pPr>
      <w:r>
        <w:t xml:space="preserve">Lastly, </w:t>
      </w:r>
      <w:r w:rsidRPr="00C93612">
        <w:t xml:space="preserve">to measure the effectiveness of </w:t>
      </w:r>
      <w:r>
        <w:t>the IOU</w:t>
      </w:r>
      <w:r w:rsidRPr="00C93612">
        <w:t xml:space="preserve"> campaigns, </w:t>
      </w:r>
      <w:r>
        <w:t>w</w:t>
      </w:r>
      <w:r w:rsidRPr="00C93612">
        <w:t xml:space="preserve">e direct </w:t>
      </w:r>
      <w:r w:rsidR="00C65236">
        <w:t>the IOUs</w:t>
      </w:r>
      <w:r w:rsidR="00A12AB4">
        <w:t xml:space="preserve"> to</w:t>
      </w:r>
      <w:r w:rsidRPr="00C93612">
        <w:t xml:space="preserve"> continue to report ME&amp;O activities</w:t>
      </w:r>
      <w:r>
        <w:t xml:space="preserve"> in their monthly reports, </w:t>
      </w:r>
      <w:r w:rsidRPr="00C93612">
        <w:t xml:space="preserve">including </w:t>
      </w:r>
      <w:r>
        <w:t>two</w:t>
      </w:r>
      <w:r w:rsidRPr="00C93612">
        <w:t xml:space="preserve"> </w:t>
      </w:r>
      <w:r>
        <w:t xml:space="preserve">new </w:t>
      </w:r>
      <w:r w:rsidRPr="00C93612">
        <w:t>metrics</w:t>
      </w:r>
      <w:r w:rsidR="008D63F5">
        <w:t xml:space="preserve">: </w:t>
      </w:r>
      <w:r>
        <w:t>1) whether c</w:t>
      </w:r>
      <w:r w:rsidRPr="00C93612">
        <w:t>ustomers know where to get more information about how to manage their energy use,</w:t>
      </w:r>
      <w:r>
        <w:t xml:space="preserve"> </w:t>
      </w:r>
      <w:r w:rsidRPr="00C93612">
        <w:t xml:space="preserve">and </w:t>
      </w:r>
      <w:r>
        <w:t>2) whether c</w:t>
      </w:r>
      <w:r w:rsidRPr="00C93612">
        <w:t>ustomers were provided with information and services to help reduce their energy bill</w:t>
      </w:r>
      <w:r>
        <w:t>.  The reporting template approved by Energy Division will include the specifics of this reporting criteria.</w:t>
      </w:r>
    </w:p>
    <w:p w:rsidR="000C1980" w:rsidP="001968DC" w:rsidRDefault="000C1980" w14:paraId="45E0E766" w14:textId="77777777">
      <w:pPr>
        <w:pStyle w:val="Heading4"/>
        <w:ind w:left="3600"/>
      </w:pPr>
      <w:bookmarkStart w:name="_Toc69948097" w:id="446"/>
      <w:r w:rsidRPr="00D02037">
        <w:t xml:space="preserve">Evaluation of IOUs’ ME&amp;O: </w:t>
      </w:r>
      <w:r w:rsidRPr="00D02037">
        <w:rPr>
          <w:u w:val="single"/>
        </w:rPr>
        <w:t>Denied</w:t>
      </w:r>
      <w:bookmarkEnd w:id="446"/>
    </w:p>
    <w:p w:rsidRPr="00773F8A" w:rsidR="000C1980" w:rsidP="000D3EBD" w:rsidRDefault="000C1980" w14:paraId="6019FF0E" w14:textId="77777777">
      <w:pPr>
        <w:pStyle w:val="Standard"/>
      </w:pPr>
      <w:r>
        <w:t>We disagree with Cal Advocates that a re-examination of the IOUs</w:t>
      </w:r>
      <w:r w:rsidRPr="00773F8A">
        <w:t xml:space="preserve"> existing ME&amp;O plans </w:t>
      </w:r>
      <w:r>
        <w:t xml:space="preserve">is needed </w:t>
      </w:r>
      <w:r w:rsidRPr="00773F8A">
        <w:t>because of the Covid-19 pandemic</w:t>
      </w:r>
      <w:r>
        <w:t>.  Gi</w:t>
      </w:r>
      <w:r w:rsidRPr="00773F8A">
        <w:t xml:space="preserve">ven that the IOUs </w:t>
      </w:r>
      <w:r>
        <w:t>will be required to</w:t>
      </w:r>
      <w:r w:rsidRPr="00773F8A">
        <w:t xml:space="preserve"> continuously update their ME&amp;O plans based on metrics tracking</w:t>
      </w:r>
      <w:r>
        <w:t xml:space="preserve">, we do not believe this separate evaluation is needed at this time.  </w:t>
      </w:r>
    </w:p>
    <w:p w:rsidRPr="00D02037" w:rsidR="000C1980" w:rsidP="001968DC" w:rsidRDefault="000C1980" w14:paraId="605AB578" w14:textId="77777777">
      <w:pPr>
        <w:pStyle w:val="Heading4"/>
        <w:ind w:left="3600"/>
      </w:pPr>
      <w:bookmarkStart w:name="_Toc69948098" w:id="447"/>
      <w:r w:rsidRPr="00D02037">
        <w:t xml:space="preserve">Evaluation of Energy Education: </w:t>
      </w:r>
      <w:r>
        <w:rPr>
          <w:u w:val="single"/>
        </w:rPr>
        <w:t>Denied</w:t>
      </w:r>
      <w:bookmarkEnd w:id="447"/>
    </w:p>
    <w:p w:rsidR="000C1980" w:rsidP="000D3EBD" w:rsidRDefault="000C1980" w14:paraId="12F0A054" w14:textId="77777777">
      <w:pPr>
        <w:pStyle w:val="Standard"/>
      </w:pPr>
      <w:r>
        <w:t>We</w:t>
      </w:r>
      <w:r w:rsidRPr="000B7883">
        <w:t xml:space="preserve"> </w:t>
      </w:r>
      <w:r>
        <w:t xml:space="preserve">deny Cal Advocates’ request to require an evaluation of energy education.  We agree with SCE and SDG&amp;E that previous proceedings have discussed and litigated this issue, and instead </w:t>
      </w:r>
      <w:r w:rsidRPr="000B7883">
        <w:t xml:space="preserve">recommend deferring to the </w:t>
      </w:r>
      <w:r>
        <w:t xml:space="preserve">ESA/CARE </w:t>
      </w:r>
      <w:r w:rsidRPr="000B7883">
        <w:t xml:space="preserve">Study Working Group as to whether an </w:t>
      </w:r>
      <w:r>
        <w:t>e</w:t>
      </w:r>
      <w:r w:rsidRPr="000B7883">
        <w:t xml:space="preserve">nergy </w:t>
      </w:r>
      <w:r>
        <w:t>e</w:t>
      </w:r>
      <w:r w:rsidRPr="000B7883">
        <w:t>ducation evaluation study is necessary</w:t>
      </w:r>
      <w:r>
        <w:t xml:space="preserve"> and if so, how it should be designed.  We also deny La </w:t>
      </w:r>
      <w:proofErr w:type="spellStart"/>
      <w:r w:rsidRPr="00090FD1">
        <w:t>Cooperativa</w:t>
      </w:r>
      <w:proofErr w:type="spellEnd"/>
      <w:r>
        <w:t xml:space="preserve"> et al.’s </w:t>
      </w:r>
      <w:r w:rsidRPr="00090FD1">
        <w:t>request</w:t>
      </w:r>
      <w:r>
        <w:t xml:space="preserve"> for a separate energy education working group; instead, we encourage parties to address energy education through the ESA Working Group. </w:t>
      </w:r>
    </w:p>
    <w:p w:rsidR="000C1980" w:rsidP="001968DC" w:rsidRDefault="000C1980" w14:paraId="344360ED" w14:textId="77777777">
      <w:pPr>
        <w:pStyle w:val="Heading4"/>
        <w:ind w:left="3600"/>
      </w:pPr>
      <w:bookmarkStart w:name="_Toc69948099" w:id="448"/>
      <w:r w:rsidRPr="00D02037">
        <w:t xml:space="preserve">Transition to Online Energy Education: </w:t>
      </w:r>
      <w:r w:rsidRPr="00F47152">
        <w:rPr>
          <w:u w:val="single"/>
        </w:rPr>
        <w:t>Approved</w:t>
      </w:r>
      <w:bookmarkEnd w:id="448"/>
      <w:r>
        <w:t xml:space="preserve"> </w:t>
      </w:r>
    </w:p>
    <w:p w:rsidR="000C1980" w:rsidP="000D3EBD" w:rsidRDefault="000C1980" w14:paraId="17EA3699" w14:textId="04845ADC">
      <w:pPr>
        <w:pStyle w:val="Standard"/>
        <w:rPr>
          <w:b/>
          <w:bCs/>
          <w:i/>
          <w:iCs/>
          <w:u w:val="single"/>
        </w:rPr>
      </w:pPr>
      <w:r>
        <w:t xml:space="preserve">Given the advancement of technology, and with this program’s carbon footprint in mind, we direct the </w:t>
      </w:r>
      <w:r w:rsidRPr="00773F8A">
        <w:t>IOUs</w:t>
      </w:r>
      <w:r>
        <w:t xml:space="preserve"> to begin the transition</w:t>
      </w:r>
      <w:r w:rsidRPr="00773F8A">
        <w:t xml:space="preserve"> away from hard </w:t>
      </w:r>
      <w:r w:rsidRPr="00773F8A">
        <w:lastRenderedPageBreak/>
        <w:t xml:space="preserve">copy education booklets </w:t>
      </w:r>
      <w:r w:rsidR="00871B62">
        <w:t xml:space="preserve">and </w:t>
      </w:r>
      <w:r w:rsidRPr="00773F8A">
        <w:t>towards customized online energy education modules that customers can access at their ongoing convenience</w:t>
      </w:r>
      <w:r>
        <w:t xml:space="preserve">.  The online modules shall replace the hard copy </w:t>
      </w:r>
      <w:r w:rsidRPr="00773F8A">
        <w:t>education booklets</w:t>
      </w:r>
      <w:r>
        <w:t xml:space="preserve"> and shall</w:t>
      </w:r>
      <w:r w:rsidRPr="00773F8A">
        <w:t xml:space="preserve"> </w:t>
      </w:r>
      <w:r>
        <w:t>be offered to all customers enrolled into the ESA program except for those that are limited by broadband access</w:t>
      </w:r>
      <w:r w:rsidR="001155BB">
        <w:t xml:space="preserve"> or </w:t>
      </w:r>
      <w:r w:rsidR="00C00CCF">
        <w:t>do not have access to online resources</w:t>
      </w:r>
      <w:r>
        <w:t xml:space="preserve">.  In these instances, the IOUs can provide hard copies. </w:t>
      </w:r>
    </w:p>
    <w:p w:rsidRPr="00D02037" w:rsidR="000C1980" w:rsidP="001968DC" w:rsidRDefault="000C1980" w14:paraId="0F3D3E89" w14:textId="77777777">
      <w:pPr>
        <w:pStyle w:val="Heading4"/>
        <w:ind w:left="3600"/>
      </w:pPr>
      <w:bookmarkStart w:name="_Toc69948100" w:id="449"/>
      <w:r w:rsidRPr="00D02037">
        <w:t xml:space="preserve">Home Energy Reports In lieu of Energy Education: </w:t>
      </w:r>
      <w:r w:rsidRPr="00847DC3">
        <w:rPr>
          <w:u w:val="single"/>
        </w:rPr>
        <w:t>Denied</w:t>
      </w:r>
      <w:bookmarkEnd w:id="449"/>
      <w:r w:rsidRPr="00D02037">
        <w:t xml:space="preserve"> </w:t>
      </w:r>
    </w:p>
    <w:p w:rsidR="000C1980" w:rsidP="000D3EBD" w:rsidRDefault="000C1980" w14:paraId="3B94D507" w14:textId="77777777">
      <w:pPr>
        <w:pStyle w:val="Standard"/>
      </w:pPr>
      <w:r>
        <w:t>We agree that with Cal Advocates that b</w:t>
      </w:r>
      <w:r w:rsidRPr="00A55BF4">
        <w:t xml:space="preserve">ehavioral programs including </w:t>
      </w:r>
      <w:r>
        <w:t>HERs</w:t>
      </w:r>
      <w:r w:rsidRPr="00A55BF4">
        <w:t xml:space="preserve"> can provide benefits to </w:t>
      </w:r>
      <w:proofErr w:type="gramStart"/>
      <w:r w:rsidRPr="00A55BF4">
        <w:t>low income</w:t>
      </w:r>
      <w:proofErr w:type="gramEnd"/>
      <w:r w:rsidRPr="00A55BF4">
        <w:t xml:space="preserve"> customers, but these programs should be complementary to ESA program</w:t>
      </w:r>
      <w:r>
        <w:t>’s energy education modules</w:t>
      </w:r>
      <w:r w:rsidRPr="00A55BF4">
        <w:t xml:space="preserve">, not replace </w:t>
      </w:r>
      <w:r>
        <w:t>it</w:t>
      </w:r>
      <w:r w:rsidRPr="00A55BF4">
        <w:t>.</w:t>
      </w:r>
      <w:r>
        <w:t xml:space="preserve">  Therefore, we deny Cal Advocates proposal to replace the IOU’s ESA program energy education with the HERs.  The IOUs shall always complement the energy education component with the household’s HERs when feasible.   </w:t>
      </w:r>
      <w:r w:rsidRPr="00A55BF4">
        <w:t xml:space="preserve"> </w:t>
      </w:r>
    </w:p>
    <w:p w:rsidR="000C1980" w:rsidP="001968DC" w:rsidRDefault="000C1980" w14:paraId="57BD3D6A" w14:textId="77777777">
      <w:pPr>
        <w:pStyle w:val="Heading4"/>
        <w:ind w:left="3600"/>
        <w:rPr>
          <w:u w:val="single"/>
        </w:rPr>
      </w:pPr>
      <w:bookmarkStart w:name="_Toc69948101" w:id="450"/>
      <w:r w:rsidRPr="00D02037">
        <w:t>Coordination with Broadband Outreach and Referrals</w:t>
      </w:r>
      <w:r>
        <w:t xml:space="preserve">: </w:t>
      </w:r>
      <w:r w:rsidRPr="00BD6D05">
        <w:rPr>
          <w:u w:val="single"/>
        </w:rPr>
        <w:t>Approved per Joint Stipulation</w:t>
      </w:r>
      <w:bookmarkEnd w:id="450"/>
    </w:p>
    <w:p w:rsidRPr="00D57007" w:rsidR="000C1980" w:rsidP="000D3EBD" w:rsidRDefault="000C1980" w14:paraId="11E9FD7A" w14:textId="5C8DB557">
      <w:pPr>
        <w:pStyle w:val="Standard"/>
      </w:pPr>
      <w:r>
        <w:t xml:space="preserve">As discussed </w:t>
      </w:r>
      <w:r w:rsidR="0092202E">
        <w:t>above</w:t>
      </w:r>
      <w:r>
        <w:t>, w</w:t>
      </w:r>
      <w:r w:rsidRPr="00CB412C">
        <w:t xml:space="preserve">e direct the IOUs to coordinate cross-promotion of the </w:t>
      </w:r>
      <w:proofErr w:type="spellStart"/>
      <w:r w:rsidRPr="00CB412C">
        <w:t>LifeLine</w:t>
      </w:r>
      <w:proofErr w:type="spellEnd"/>
      <w:r w:rsidRPr="00CB412C">
        <w:t xml:space="preserve"> and affordable broadband programs with current ESA/CARE/FERA marketing efforts</w:t>
      </w:r>
      <w:r>
        <w:t xml:space="preserve">.  </w:t>
      </w:r>
      <w:r w:rsidRPr="00595F5F">
        <w:rPr>
          <w:i/>
          <w:iCs/>
        </w:rPr>
        <w:t>See</w:t>
      </w:r>
      <w:r w:rsidRPr="00CB412C">
        <w:t xml:space="preserve"> </w:t>
      </w:r>
      <w:r>
        <w:t>Section 4.3.8.2 for full details per the Joint Stipulation and funding arrangements.</w:t>
      </w:r>
    </w:p>
    <w:p w:rsidRPr="00EE20D1" w:rsidR="000C1980" w:rsidP="001968DC" w:rsidRDefault="000C1980" w14:paraId="58ADEF5C" w14:textId="77777777">
      <w:pPr>
        <w:pStyle w:val="Heading2"/>
        <w:ind w:left="1728"/>
      </w:pPr>
      <w:bookmarkStart w:name="_Toc69948102" w:id="451"/>
      <w:r w:rsidRPr="00EE20D1">
        <w:t xml:space="preserve">ESA Referral, Leveraging, </w:t>
      </w:r>
      <w:r w:rsidRPr="007F3C60">
        <w:t>Coordination</w:t>
      </w:r>
      <w:bookmarkEnd w:id="451"/>
    </w:p>
    <w:p w:rsidR="000C1980" w:rsidP="001968DC" w:rsidRDefault="000C1980" w14:paraId="23C4858C" w14:textId="77777777">
      <w:pPr>
        <w:pStyle w:val="Heading3"/>
        <w:ind w:left="2664"/>
      </w:pPr>
      <w:bookmarkStart w:name="_Toc69948103" w:id="452"/>
      <w:r>
        <w:t>Background</w:t>
      </w:r>
      <w:bookmarkEnd w:id="452"/>
    </w:p>
    <w:p w:rsidRPr="0053608C" w:rsidR="000C1980" w:rsidP="000D3EBD" w:rsidRDefault="000C1980" w14:paraId="45441FA1" w14:textId="4B5574B1">
      <w:pPr>
        <w:pStyle w:val="Standard"/>
      </w:pPr>
      <w:r>
        <w:t xml:space="preserve">In terms of referrals, leveraging, and coordination efforts, the IOUs have been directed in the past to work with, data share with, </w:t>
      </w:r>
      <w:r w:rsidR="00CC1BD0">
        <w:t>and/</w:t>
      </w:r>
      <w:r>
        <w:t xml:space="preserve">or establish MOUs with the CSD, the California </w:t>
      </w:r>
      <w:proofErr w:type="spellStart"/>
      <w:r>
        <w:t>Life</w:t>
      </w:r>
      <w:r w:rsidR="003B1DBB">
        <w:t>L</w:t>
      </w:r>
      <w:r>
        <w:t>ine</w:t>
      </w:r>
      <w:proofErr w:type="spellEnd"/>
      <w:r>
        <w:t xml:space="preserve"> program, local water agencies, </w:t>
      </w:r>
      <w:r w:rsidR="00182990">
        <w:t>T</w:t>
      </w:r>
      <w:r>
        <w:t xml:space="preserve">ribal communities, among other federal, state, and local </w:t>
      </w:r>
      <w:r w:rsidRPr="00512AFD">
        <w:t>income-qualified programs</w:t>
      </w:r>
      <w:r>
        <w:t xml:space="preserve">.  For the 2021-2026 program cycle, the IOUs were asked to review its existing </w:t>
      </w:r>
      <w:r>
        <w:lastRenderedPageBreak/>
        <w:t>referral pipeline received from/made to other programs (including CARE, LIWP, and the multifamily programs), address leveraging efforts with the San</w:t>
      </w:r>
      <w:r w:rsidR="000D3EBD">
        <w:t> </w:t>
      </w:r>
      <w:r>
        <w:t xml:space="preserve">Joaquin Valley pilot, consider new leveraging efforts for building electrification, discuss lessons learned from existing efforts (including with </w:t>
      </w:r>
      <w:r w:rsidR="00182990">
        <w:t>T</w:t>
      </w:r>
      <w:r>
        <w:t xml:space="preserve">ribal, DACs, water agencies, </w:t>
      </w:r>
      <w:proofErr w:type="spellStart"/>
      <w:r>
        <w:t>Life</w:t>
      </w:r>
      <w:r w:rsidR="003B1DBB">
        <w:t>L</w:t>
      </w:r>
      <w:r>
        <w:t>ine</w:t>
      </w:r>
      <w:proofErr w:type="spellEnd"/>
      <w:r>
        <w:t>, CSD, etc.), and lastly identify additional opportunities.</w:t>
      </w:r>
      <w:r>
        <w:rPr>
          <w:rStyle w:val="FootnoteReference"/>
        </w:rPr>
        <w:footnoteReference w:id="643"/>
      </w:r>
    </w:p>
    <w:p w:rsidRPr="008368D7" w:rsidR="000C1980" w:rsidP="001968DC" w:rsidRDefault="000C1980" w14:paraId="617E402C" w14:textId="77777777">
      <w:pPr>
        <w:pStyle w:val="Heading3"/>
        <w:ind w:left="2664"/>
      </w:pPr>
      <w:bookmarkStart w:name="_Toc69948104" w:id="453"/>
      <w:r>
        <w:t>PG&amp;E Proposal</w:t>
      </w:r>
      <w:bookmarkEnd w:id="453"/>
    </w:p>
    <w:p w:rsidR="000C1980" w:rsidP="000D3EBD" w:rsidRDefault="000C1980" w14:paraId="4370CC46" w14:textId="77777777">
      <w:pPr>
        <w:pStyle w:val="Standard"/>
      </w:pPr>
      <w:r w:rsidRPr="009C353C">
        <w:t xml:space="preserve">PG&amp;E </w:t>
      </w:r>
      <w:r>
        <w:t>will continue the following strategies from the prior cycle including:</w:t>
      </w:r>
    </w:p>
    <w:p w:rsidR="000C1980" w:rsidP="00402362" w:rsidRDefault="000C1980" w14:paraId="59596FAC" w14:textId="77777777">
      <w:pPr>
        <w:pStyle w:val="ListBullet"/>
      </w:pPr>
      <w:r>
        <w:t>Continuing to share data with</w:t>
      </w:r>
      <w:r w:rsidRPr="00204F23">
        <w:t xml:space="preserve"> the</w:t>
      </w:r>
      <w:r>
        <w:t xml:space="preserve"> Commission’s </w:t>
      </w:r>
      <w:r w:rsidRPr="00204F23">
        <w:t xml:space="preserve">Communications Division for enrollment purposes between </w:t>
      </w:r>
      <w:proofErr w:type="spellStart"/>
      <w:r w:rsidRPr="00204F23">
        <w:t>LifeLine</w:t>
      </w:r>
      <w:proofErr w:type="spellEnd"/>
      <w:r w:rsidRPr="00204F23">
        <w:t xml:space="preserve"> and the CARE and ESA </w:t>
      </w:r>
      <w:r>
        <w:t>p</w:t>
      </w:r>
      <w:r w:rsidRPr="00204F23">
        <w:t>rograms</w:t>
      </w:r>
      <w:r>
        <w:t>.</w:t>
      </w:r>
      <w:r>
        <w:rPr>
          <w:rStyle w:val="FootnoteReference"/>
        </w:rPr>
        <w:footnoteReference w:id="644"/>
      </w:r>
    </w:p>
    <w:p w:rsidR="000C1980" w:rsidP="00402362" w:rsidRDefault="000C1980" w14:paraId="571DF5F2" w14:textId="77777777">
      <w:pPr>
        <w:pStyle w:val="ListBullet"/>
      </w:pPr>
      <w:r>
        <w:t>Continuing leveraging efforts and referral with existing</w:t>
      </w:r>
      <w:r w:rsidRPr="00512AFD">
        <w:t xml:space="preserve"> PG&amp;E programs and external programs, </w:t>
      </w:r>
      <w:r>
        <w:t xml:space="preserve">including CARE, </w:t>
      </w:r>
      <w:r w:rsidRPr="00512AFD">
        <w:t xml:space="preserve">Community Action Plans, pilot projects in the San Joaquin Valley </w:t>
      </w:r>
      <w:r>
        <w:t>DACs</w:t>
      </w:r>
      <w:r w:rsidRPr="00512AFD">
        <w:t>, and through the Multi-Family Affordable Solar Homes Program (MASH).</w:t>
      </w:r>
      <w:r w:rsidRPr="00EE2D8E">
        <w:rPr>
          <w:vertAlign w:val="superscript"/>
        </w:rPr>
        <w:t xml:space="preserve"> </w:t>
      </w:r>
      <w:r w:rsidRPr="00512AFD">
        <w:rPr>
          <w:vertAlign w:val="superscript"/>
        </w:rPr>
        <w:footnoteReference w:id="645"/>
      </w:r>
    </w:p>
    <w:p w:rsidR="000C1980" w:rsidP="00402362" w:rsidRDefault="000C1980" w14:paraId="3371244D" w14:textId="77777777">
      <w:pPr>
        <w:pStyle w:val="ListBullet"/>
      </w:pPr>
      <w:r>
        <w:t>Continuing leveraging efforts with CSD</w:t>
      </w:r>
      <w:r w:rsidRPr="00512AFD">
        <w:t xml:space="preserve"> by co-funding ESA measures available in-unit to income qualified PG&amp;E multifamily tenants.</w:t>
      </w:r>
      <w:r w:rsidRPr="00512AFD">
        <w:rPr>
          <w:vertAlign w:val="superscript"/>
        </w:rPr>
        <w:footnoteReference w:id="646"/>
      </w:r>
    </w:p>
    <w:p w:rsidR="000C1980" w:rsidP="00402362" w:rsidRDefault="000C1980" w14:paraId="168A5A38" w14:textId="77777777">
      <w:pPr>
        <w:pStyle w:val="ListBullet"/>
      </w:pPr>
      <w:r>
        <w:t xml:space="preserve">Continuing leveraging </w:t>
      </w:r>
      <w:r w:rsidRPr="00512AFD">
        <w:t>activities with identified water wholesalers and retailers</w:t>
      </w:r>
      <w:r>
        <w:t>.</w:t>
      </w:r>
      <w:r w:rsidRPr="00512AFD">
        <w:rPr>
          <w:vertAlign w:val="superscript"/>
        </w:rPr>
        <w:footnoteReference w:id="647"/>
      </w:r>
      <w:r w:rsidRPr="00512AFD">
        <w:t xml:space="preserve"> </w:t>
      </w:r>
    </w:p>
    <w:p w:rsidR="000C1980" w:rsidP="00402362" w:rsidRDefault="000C1980" w14:paraId="54B3CB51" w14:textId="77777777">
      <w:pPr>
        <w:pStyle w:val="ListBullet"/>
      </w:pPr>
      <w:r>
        <w:t xml:space="preserve">Continuing leveraging </w:t>
      </w:r>
      <w:r w:rsidRPr="00512AFD">
        <w:t xml:space="preserve">activities with the SMUD </w:t>
      </w:r>
      <w:r>
        <w:t xml:space="preserve">and use </w:t>
      </w:r>
      <w:r w:rsidRPr="00512AFD">
        <w:t>the same contractor for their programs.</w:t>
      </w:r>
      <w:r w:rsidRPr="00512AFD">
        <w:rPr>
          <w:vertAlign w:val="superscript"/>
        </w:rPr>
        <w:footnoteReference w:id="648"/>
      </w:r>
      <w:r w:rsidRPr="00512AFD">
        <w:t xml:space="preserve"> </w:t>
      </w:r>
    </w:p>
    <w:p w:rsidR="000C1980" w:rsidP="00402362" w:rsidRDefault="000C1980" w14:paraId="108BCC61" w14:textId="77777777">
      <w:pPr>
        <w:pStyle w:val="ListBullet"/>
      </w:pPr>
      <w:r>
        <w:lastRenderedPageBreak/>
        <w:t xml:space="preserve">Coordinating with </w:t>
      </w:r>
      <w:r w:rsidRPr="00512AFD">
        <w:t>Redding Energy Utility to reach over 700 homes in that utility’s service area.</w:t>
      </w:r>
      <w:r w:rsidRPr="00512AFD">
        <w:rPr>
          <w:vertAlign w:val="superscript"/>
        </w:rPr>
        <w:footnoteReference w:id="649"/>
      </w:r>
    </w:p>
    <w:p w:rsidR="000C1980" w:rsidP="00402362" w:rsidRDefault="000C1980" w14:paraId="5E2C5292" w14:textId="083F4E05">
      <w:pPr>
        <w:pStyle w:val="ListBullet"/>
      </w:pPr>
      <w:r>
        <w:t xml:space="preserve">Continuing leveraging </w:t>
      </w:r>
      <w:r w:rsidRPr="00512AFD">
        <w:t xml:space="preserve">efforts with Tribal </w:t>
      </w:r>
      <w:r>
        <w:t>c</w:t>
      </w:r>
      <w:r w:rsidRPr="00512AFD">
        <w:t xml:space="preserve">ommunities and </w:t>
      </w:r>
      <w:r>
        <w:t xml:space="preserve">DACs by </w:t>
      </w:r>
      <w:r w:rsidRPr="00512AFD">
        <w:t xml:space="preserve">developing relationships with local </w:t>
      </w:r>
      <w:r w:rsidR="00182990">
        <w:t>T</w:t>
      </w:r>
      <w:r w:rsidRPr="00512AFD">
        <w:t xml:space="preserve">ribal government and administrative staff to help communicate with </w:t>
      </w:r>
      <w:r w:rsidR="00182990">
        <w:t>T</w:t>
      </w:r>
      <w:r w:rsidRPr="00512AFD">
        <w:t>ribal members and promote the programs.</w:t>
      </w:r>
      <w:r w:rsidRPr="00512AFD">
        <w:rPr>
          <w:vertAlign w:val="superscript"/>
        </w:rPr>
        <w:footnoteReference w:id="650"/>
      </w:r>
      <w:r w:rsidRPr="00512AFD">
        <w:t xml:space="preserve"> </w:t>
      </w:r>
    </w:p>
    <w:p w:rsidR="000C1980" w:rsidP="001968DC" w:rsidRDefault="000C1980" w14:paraId="656880C1" w14:textId="77777777">
      <w:pPr>
        <w:pStyle w:val="Heading3"/>
        <w:ind w:left="2664"/>
      </w:pPr>
      <w:bookmarkStart w:name="_Toc69948105" w:id="454"/>
      <w:r>
        <w:t>SCE Proposal</w:t>
      </w:r>
      <w:bookmarkEnd w:id="454"/>
      <w:r>
        <w:t xml:space="preserve"> </w:t>
      </w:r>
    </w:p>
    <w:p w:rsidR="000C1980" w:rsidP="000D3EBD" w:rsidRDefault="000C1980" w14:paraId="75206485" w14:textId="77777777">
      <w:pPr>
        <w:pStyle w:val="Standard"/>
      </w:pPr>
      <w:r w:rsidRPr="007E5074">
        <w:t xml:space="preserve">SCE’s </w:t>
      </w:r>
      <w:r>
        <w:t xml:space="preserve">will continue the following strategies from the prior cycle including: </w:t>
      </w:r>
    </w:p>
    <w:p w:rsidR="000C1980" w:rsidP="00402362" w:rsidRDefault="000C1980" w14:paraId="76BD3E8B" w14:textId="77777777">
      <w:pPr>
        <w:pStyle w:val="ListBullet"/>
      </w:pPr>
      <w:r>
        <w:t>Leveraging w</w:t>
      </w:r>
      <w:r w:rsidRPr="007E5074">
        <w:t>ith other utility providers including SASH and DAC</w:t>
      </w:r>
      <w:r>
        <w:noBreakHyphen/>
      </w:r>
      <w:r w:rsidRPr="007E5074">
        <w:t xml:space="preserve">SASH, SOMAH, water agencies, LIWP, </w:t>
      </w:r>
      <w:r>
        <w:t xml:space="preserve">and </w:t>
      </w:r>
      <w:r w:rsidRPr="007E5074">
        <w:t>LIHEAP.</w:t>
      </w:r>
      <w:r w:rsidRPr="007E5074">
        <w:rPr>
          <w:vertAlign w:val="superscript"/>
        </w:rPr>
        <w:footnoteReference w:id="651"/>
      </w:r>
      <w:r w:rsidRPr="007E5074">
        <w:t xml:space="preserve"> </w:t>
      </w:r>
    </w:p>
    <w:p w:rsidR="000C1980" w:rsidP="00402362" w:rsidRDefault="000C1980" w14:paraId="551560FE" w14:textId="77777777">
      <w:pPr>
        <w:pStyle w:val="ListBullet"/>
      </w:pPr>
      <w:r>
        <w:t>Partnering with Me</w:t>
      </w:r>
      <w:r w:rsidRPr="007E5074">
        <w:t>tropolitan Water District to share costs on providing other measures such as shower heads, faucet aerators, and heat pump water heaters.</w:t>
      </w:r>
      <w:r w:rsidRPr="007E5074">
        <w:rPr>
          <w:vertAlign w:val="superscript"/>
        </w:rPr>
        <w:footnoteReference w:id="652"/>
      </w:r>
      <w:r>
        <w:t xml:space="preserve">  </w:t>
      </w:r>
    </w:p>
    <w:p w:rsidR="000C1980" w:rsidP="00402362" w:rsidRDefault="000C1980" w14:paraId="3036CBE9" w14:textId="77777777">
      <w:pPr>
        <w:pStyle w:val="ListBullet"/>
      </w:pPr>
      <w:r>
        <w:t>P</w:t>
      </w:r>
      <w:r w:rsidRPr="007E5074">
        <w:t>ursuing a data sharing agreement with CSD to ensure overlapping enrollment between LIHEAP and ESA.</w:t>
      </w:r>
      <w:r w:rsidRPr="007E5074">
        <w:rPr>
          <w:vertAlign w:val="superscript"/>
        </w:rPr>
        <w:footnoteReference w:id="653"/>
      </w:r>
      <w:r w:rsidRPr="007E5074">
        <w:t xml:space="preserve"> </w:t>
      </w:r>
    </w:p>
    <w:p w:rsidR="000C1980" w:rsidP="00402362" w:rsidRDefault="000C1980" w14:paraId="4139891A" w14:textId="77777777">
      <w:pPr>
        <w:pStyle w:val="ListBullet"/>
      </w:pPr>
      <w:r>
        <w:t>L</w:t>
      </w:r>
      <w:r w:rsidRPr="007E5074">
        <w:t>everag</w:t>
      </w:r>
      <w:r>
        <w:t xml:space="preserve">ing </w:t>
      </w:r>
      <w:r w:rsidRPr="007E5074">
        <w:t xml:space="preserve">ESA for qualified </w:t>
      </w:r>
      <w:r w:rsidRPr="00512AFD">
        <w:t xml:space="preserve">San Joaquin Valley </w:t>
      </w:r>
      <w:r>
        <w:t>p</w:t>
      </w:r>
      <w:r w:rsidRPr="007E5074">
        <w:t xml:space="preserve">ilot participants, using a single contractor to install all </w:t>
      </w:r>
      <w:r w:rsidRPr="00512AFD">
        <w:t xml:space="preserve">San Joaquin Valley </w:t>
      </w:r>
      <w:r>
        <w:t>p</w:t>
      </w:r>
      <w:r w:rsidRPr="007E5074">
        <w:t xml:space="preserve">ilot and ESA measures </w:t>
      </w:r>
      <w:proofErr w:type="gramStart"/>
      <w:r w:rsidRPr="007E5074">
        <w:t>in a given</w:t>
      </w:r>
      <w:proofErr w:type="gramEnd"/>
      <w:r w:rsidRPr="007E5074">
        <w:t xml:space="preserve"> community, and us</w:t>
      </w:r>
      <w:r>
        <w:t>ing</w:t>
      </w:r>
      <w:r w:rsidRPr="007E5074">
        <w:t xml:space="preserve"> the ESA </w:t>
      </w:r>
      <w:r>
        <w:t>p</w:t>
      </w:r>
      <w:r w:rsidRPr="007E5074">
        <w:t>rogram’s self</w:t>
      </w:r>
      <w:r>
        <w:noBreakHyphen/>
      </w:r>
      <w:r w:rsidRPr="007E5074">
        <w:t>certification approach to determine pilot participants’ income eligibility to receive ESA measures.</w:t>
      </w:r>
      <w:r w:rsidRPr="007E5074">
        <w:rPr>
          <w:vertAlign w:val="superscript"/>
        </w:rPr>
        <w:footnoteReference w:id="654"/>
      </w:r>
    </w:p>
    <w:p w:rsidR="000C1980" w:rsidP="001968DC" w:rsidRDefault="000C1980" w14:paraId="574D9405" w14:textId="77777777">
      <w:pPr>
        <w:pStyle w:val="Heading3"/>
        <w:ind w:left="2664"/>
      </w:pPr>
      <w:bookmarkStart w:name="_Toc69948106" w:id="455"/>
      <w:r>
        <w:t>SoCalGas Proposal</w:t>
      </w:r>
      <w:bookmarkEnd w:id="455"/>
      <w:r>
        <w:t xml:space="preserve"> </w:t>
      </w:r>
    </w:p>
    <w:p w:rsidRPr="00FA2057" w:rsidR="000C1980" w:rsidP="000D3EBD" w:rsidRDefault="000C1980" w14:paraId="56345B08" w14:textId="77777777">
      <w:pPr>
        <w:pStyle w:val="Standard"/>
      </w:pPr>
      <w:r w:rsidRPr="00D1175C">
        <w:t xml:space="preserve">SoCalGas </w:t>
      </w:r>
      <w:r>
        <w:t>will continue the following strategies from the prior cycle including:</w:t>
      </w:r>
      <w:r w:rsidRPr="00FA2057">
        <w:t xml:space="preserve"> </w:t>
      </w:r>
    </w:p>
    <w:p w:rsidR="000C1980" w:rsidP="00402362" w:rsidRDefault="000C1980" w14:paraId="31952C3B" w14:textId="77777777">
      <w:pPr>
        <w:pStyle w:val="ListBullet"/>
      </w:pPr>
      <w:r>
        <w:t xml:space="preserve">Continuing to share data </w:t>
      </w:r>
      <w:r w:rsidRPr="006C3A2A">
        <w:t>and</w:t>
      </w:r>
      <w:r>
        <w:t xml:space="preserve"> </w:t>
      </w:r>
      <w:r w:rsidRPr="006C3A2A">
        <w:t xml:space="preserve">joint enrollment </w:t>
      </w:r>
      <w:r>
        <w:t xml:space="preserve">efforts </w:t>
      </w:r>
      <w:r w:rsidRPr="006C3A2A">
        <w:t>with SCE</w:t>
      </w:r>
      <w:r>
        <w:t>.</w:t>
      </w:r>
      <w:r>
        <w:rPr>
          <w:rStyle w:val="FootnoteReference"/>
        </w:rPr>
        <w:footnoteReference w:id="655"/>
      </w:r>
    </w:p>
    <w:p w:rsidRPr="00F41ADC" w:rsidR="000C1980" w:rsidP="00402362" w:rsidRDefault="000C1980" w14:paraId="42CEA39B" w14:textId="77777777">
      <w:pPr>
        <w:pStyle w:val="ListBullet"/>
      </w:pPr>
      <w:r>
        <w:lastRenderedPageBreak/>
        <w:t>Continuing co</w:t>
      </w:r>
      <w:r w:rsidRPr="006C3A2A">
        <w:t xml:space="preserve">-funding and </w:t>
      </w:r>
      <w:r>
        <w:t>leveraging partnerships with the</w:t>
      </w:r>
      <w:r w:rsidRPr="00F41ADC">
        <w:t xml:space="preserve"> </w:t>
      </w:r>
      <w:r>
        <w:t>CSD,</w:t>
      </w:r>
      <w:r>
        <w:rPr>
          <w:rStyle w:val="FootnoteReference"/>
        </w:rPr>
        <w:footnoteReference w:id="656"/>
      </w:r>
      <w:r>
        <w:t xml:space="preserve"> </w:t>
      </w:r>
      <w:r w:rsidRPr="00A11626">
        <w:t>Los Angeles Department of Water &amp; Power</w:t>
      </w:r>
      <w:r>
        <w:t xml:space="preserve">, </w:t>
      </w:r>
      <w:r w:rsidRPr="00A11626">
        <w:t>Anaheim Public Utilities</w:t>
      </w:r>
      <w:r>
        <w:t xml:space="preserve">, </w:t>
      </w:r>
      <w:r w:rsidRPr="00A11626">
        <w:t>Colton Public Utilities</w:t>
      </w:r>
      <w:r>
        <w:t>, P</w:t>
      </w:r>
      <w:r w:rsidRPr="00A11626">
        <w:t>asadena Water &amp; Power</w:t>
      </w:r>
      <w:r>
        <w:t xml:space="preserve">, and </w:t>
      </w:r>
      <w:r w:rsidRPr="00A11626">
        <w:t>Riverside Public Utilities</w:t>
      </w:r>
      <w:r>
        <w:t>.</w:t>
      </w:r>
      <w:r>
        <w:rPr>
          <w:rStyle w:val="FootnoteReference"/>
        </w:rPr>
        <w:footnoteReference w:id="657"/>
      </w:r>
    </w:p>
    <w:p w:rsidR="000C1980" w:rsidP="00402362" w:rsidRDefault="000C1980" w14:paraId="0C6758CA" w14:textId="77777777">
      <w:pPr>
        <w:pStyle w:val="ListBullet"/>
      </w:pPr>
      <w:r>
        <w:t>Continuing leveraging efforts and referral with existing</w:t>
      </w:r>
      <w:r w:rsidRPr="00512AFD">
        <w:t xml:space="preserve"> </w:t>
      </w:r>
      <w:r>
        <w:t>SoCalGas</w:t>
      </w:r>
      <w:r w:rsidRPr="00512AFD">
        <w:t xml:space="preserve"> programs and external programs, </w:t>
      </w:r>
      <w:r>
        <w:t>including CARE,</w:t>
      </w:r>
      <w:r w:rsidRPr="00216E42">
        <w:rPr>
          <w:rStyle w:val="FootnoteReference"/>
        </w:rPr>
        <w:t xml:space="preserve"> </w:t>
      </w:r>
      <w:r>
        <w:rPr>
          <w:rStyle w:val="FootnoteReference"/>
        </w:rPr>
        <w:footnoteReference w:id="658"/>
      </w:r>
      <w:r>
        <w:t xml:space="preserve"> multifamily programs via SPOC,</w:t>
      </w:r>
      <w:r>
        <w:rPr>
          <w:rStyle w:val="FootnoteReference"/>
        </w:rPr>
        <w:footnoteReference w:id="659"/>
      </w:r>
      <w:r w:rsidRPr="00512AFD">
        <w:t xml:space="preserve"> </w:t>
      </w:r>
      <w:r>
        <w:t xml:space="preserve">and </w:t>
      </w:r>
      <w:r w:rsidRPr="00512AFD">
        <w:t xml:space="preserve">pilot projects in the San Joaquin Valley </w:t>
      </w:r>
      <w:r>
        <w:t>DACs.</w:t>
      </w:r>
      <w:r>
        <w:rPr>
          <w:rStyle w:val="FootnoteReference"/>
        </w:rPr>
        <w:footnoteReference w:id="660"/>
      </w:r>
    </w:p>
    <w:p w:rsidRPr="00BD4FDB" w:rsidR="000C1980" w:rsidP="00402362" w:rsidRDefault="000C1980" w14:paraId="73C5EAF0" w14:textId="77777777">
      <w:pPr>
        <w:pStyle w:val="ListBullet"/>
      </w:pPr>
      <w:r>
        <w:t>Continuing co-funding relationships with various water agencies including A</w:t>
      </w:r>
      <w:r w:rsidRPr="00516B51">
        <w:t>naheim Public Utilities</w:t>
      </w:r>
      <w:r>
        <w:t xml:space="preserve">, </w:t>
      </w:r>
      <w:r w:rsidRPr="00516B51">
        <w:t>California American Water</w:t>
      </w:r>
      <w:r>
        <w:t>, E</w:t>
      </w:r>
      <w:r w:rsidRPr="00516B51">
        <w:t>astern Municipal Water District</w:t>
      </w:r>
      <w:r>
        <w:t xml:space="preserve">, </w:t>
      </w:r>
      <w:r w:rsidRPr="00516B51">
        <w:t>Elsinore Valley Municipal Water District</w:t>
      </w:r>
      <w:r>
        <w:t xml:space="preserve">, </w:t>
      </w:r>
      <w:r w:rsidRPr="00516B51">
        <w:t>Fontana Water Company</w:t>
      </w:r>
      <w:r>
        <w:t xml:space="preserve">, </w:t>
      </w:r>
      <w:r w:rsidRPr="00CE7168">
        <w:t>Irvine Ranch Water District</w:t>
      </w:r>
      <w:r>
        <w:t>, L</w:t>
      </w:r>
      <w:r w:rsidRPr="00CE7168">
        <w:t>iberty Utilities</w:t>
      </w:r>
      <w:r>
        <w:t xml:space="preserve">, </w:t>
      </w:r>
      <w:r w:rsidRPr="00CE7168">
        <w:t>Metropolitan Water Distric</w:t>
      </w:r>
      <w:r>
        <w:t xml:space="preserve">t, </w:t>
      </w:r>
      <w:r w:rsidRPr="00CE7168">
        <w:t>Moulton Niguel Water District</w:t>
      </w:r>
      <w:r>
        <w:t xml:space="preserve">, </w:t>
      </w:r>
      <w:r w:rsidRPr="00CE7168">
        <w:t>San</w:t>
      </w:r>
      <w:r>
        <w:t> </w:t>
      </w:r>
      <w:r w:rsidRPr="00CE7168">
        <w:t>Gabriel Valley Wate</w:t>
      </w:r>
      <w:r>
        <w:t xml:space="preserve">r, and </w:t>
      </w:r>
      <w:r w:rsidRPr="00CE7168">
        <w:t>Western Municipal Water District</w:t>
      </w:r>
      <w:r>
        <w:t>.</w:t>
      </w:r>
      <w:r>
        <w:rPr>
          <w:rStyle w:val="FootnoteReference"/>
        </w:rPr>
        <w:footnoteReference w:id="661"/>
      </w:r>
    </w:p>
    <w:p w:rsidR="000C1980" w:rsidP="001968DC" w:rsidRDefault="000C1980" w14:paraId="0AD2E3D0" w14:textId="77777777">
      <w:pPr>
        <w:pStyle w:val="Heading3"/>
        <w:ind w:left="2664"/>
      </w:pPr>
      <w:bookmarkStart w:name="_Toc69948107" w:id="456"/>
      <w:r>
        <w:t>SDG&amp;E Proposal</w:t>
      </w:r>
      <w:bookmarkEnd w:id="456"/>
      <w:r>
        <w:t xml:space="preserve"> </w:t>
      </w:r>
    </w:p>
    <w:p w:rsidR="000C1980" w:rsidP="0023091F" w:rsidRDefault="000C1980" w14:paraId="577A6852" w14:textId="77777777">
      <w:pPr>
        <w:pStyle w:val="ALJBodyText"/>
      </w:pPr>
      <w:r w:rsidRPr="000C200D">
        <w:t xml:space="preserve">SDG&amp;E </w:t>
      </w:r>
      <w:r>
        <w:t xml:space="preserve">will continue the following </w:t>
      </w:r>
      <w:r w:rsidRPr="00BD1C05">
        <w:t>strategies</w:t>
      </w:r>
      <w:r>
        <w:t xml:space="preserve"> from the prior cycle including</w:t>
      </w:r>
      <w:r w:rsidRPr="00FA2057">
        <w:t xml:space="preserve">: </w:t>
      </w:r>
    </w:p>
    <w:p w:rsidR="000C1980" w:rsidP="00402362" w:rsidRDefault="000C1980" w14:paraId="0E00EFC1" w14:textId="77777777">
      <w:pPr>
        <w:pStyle w:val="ListBullet"/>
      </w:pPr>
      <w:r>
        <w:t>Continuing leveraging efforts and referral with existing</w:t>
      </w:r>
      <w:r w:rsidRPr="00512AFD">
        <w:t xml:space="preserve"> </w:t>
      </w:r>
      <w:r>
        <w:t>SDG&amp;E</w:t>
      </w:r>
      <w:r w:rsidRPr="00512AFD">
        <w:t xml:space="preserve"> programs and external programs, </w:t>
      </w:r>
      <w:r>
        <w:t xml:space="preserve">including CARE, SOMAH, </w:t>
      </w:r>
      <w:r w:rsidRPr="00603EA3">
        <w:t>Multifamily</w:t>
      </w:r>
      <w:r>
        <w:t xml:space="preserve"> E</w:t>
      </w:r>
      <w:r w:rsidRPr="00603EA3">
        <w:t>nergy</w:t>
      </w:r>
      <w:r>
        <w:t xml:space="preserve"> </w:t>
      </w:r>
      <w:r w:rsidRPr="00603EA3">
        <w:t>Efficiency</w:t>
      </w:r>
      <w:r>
        <w:t xml:space="preserve"> </w:t>
      </w:r>
      <w:r w:rsidRPr="00603EA3">
        <w:t>Rebates</w:t>
      </w:r>
      <w:r>
        <w:t xml:space="preserve"> program, and SPOC.</w:t>
      </w:r>
      <w:r w:rsidRPr="00603EA3">
        <w:rPr>
          <w:rStyle w:val="FootnoteReference"/>
        </w:rPr>
        <w:t xml:space="preserve"> </w:t>
      </w:r>
      <w:r>
        <w:rPr>
          <w:rStyle w:val="FootnoteReference"/>
        </w:rPr>
        <w:footnoteReference w:id="662"/>
      </w:r>
      <w:r>
        <w:t xml:space="preserve"> </w:t>
      </w:r>
    </w:p>
    <w:p w:rsidR="000C1980" w:rsidP="00402362" w:rsidRDefault="000C1980" w14:paraId="54FA6A0C" w14:textId="77777777">
      <w:pPr>
        <w:pStyle w:val="ListBullet"/>
      </w:pPr>
      <w:r>
        <w:t>Continuing leveraging with CSD.</w:t>
      </w:r>
      <w:r>
        <w:rPr>
          <w:rStyle w:val="FootnoteReference"/>
        </w:rPr>
        <w:footnoteReference w:id="663"/>
      </w:r>
    </w:p>
    <w:p w:rsidR="000C1980" w:rsidP="00402362" w:rsidRDefault="000C1980" w14:paraId="25C32B46" w14:textId="77777777">
      <w:pPr>
        <w:pStyle w:val="ListBullet"/>
      </w:pPr>
      <w:r>
        <w:lastRenderedPageBreak/>
        <w:t xml:space="preserve">Continuing co-funding relationships with the </w:t>
      </w:r>
      <w:r w:rsidRPr="0083289E">
        <w:t>San Diego County Water Authority</w:t>
      </w:r>
      <w:r>
        <w:t>.</w:t>
      </w:r>
      <w:r>
        <w:rPr>
          <w:rStyle w:val="FootnoteReference"/>
        </w:rPr>
        <w:footnoteReference w:id="664"/>
      </w:r>
    </w:p>
    <w:p w:rsidRPr="00FA2057" w:rsidR="000C1980" w:rsidP="00402362" w:rsidRDefault="000C1980" w14:paraId="4B5FD8E5" w14:textId="77777777">
      <w:pPr>
        <w:pStyle w:val="ListBullet"/>
      </w:pPr>
      <w:r>
        <w:t xml:space="preserve">Continuing </w:t>
      </w:r>
      <w:r w:rsidRPr="00374AE1">
        <w:t>existing partnership with the San Diego County Health and Human Services Agency</w:t>
      </w:r>
      <w:r>
        <w:t>.</w:t>
      </w:r>
      <w:r>
        <w:rPr>
          <w:rStyle w:val="FootnoteReference"/>
        </w:rPr>
        <w:footnoteReference w:id="665"/>
      </w:r>
    </w:p>
    <w:p w:rsidR="000C1980" w:rsidP="001968DC" w:rsidRDefault="000C1980" w14:paraId="3710B96F" w14:textId="77777777">
      <w:pPr>
        <w:pStyle w:val="Heading3"/>
        <w:ind w:left="2664"/>
      </w:pPr>
      <w:bookmarkStart w:name="_Toc69948108" w:id="457"/>
      <w:r>
        <w:t>Party Positions</w:t>
      </w:r>
      <w:bookmarkEnd w:id="457"/>
    </w:p>
    <w:p w:rsidR="000C1980" w:rsidP="001968DC" w:rsidRDefault="000C1980" w14:paraId="17A6B4EA" w14:textId="77777777">
      <w:pPr>
        <w:pStyle w:val="Heading4"/>
        <w:ind w:left="3600"/>
      </w:pPr>
      <w:bookmarkStart w:name="_Toc69948109" w:id="458"/>
      <w:proofErr w:type="spellStart"/>
      <w:r>
        <w:t>CforAT</w:t>
      </w:r>
      <w:bookmarkEnd w:id="458"/>
      <w:proofErr w:type="spellEnd"/>
    </w:p>
    <w:p w:rsidRPr="005A5A08" w:rsidR="000C1980" w:rsidP="00BD1C05" w:rsidRDefault="000C1980" w14:paraId="71772376" w14:textId="7FA0C338">
      <w:pPr>
        <w:pStyle w:val="Standard"/>
      </w:pPr>
      <w:r>
        <w:rPr>
          <w:b/>
          <w:bCs/>
          <w:i/>
          <w:iCs/>
          <w:u w:val="single"/>
        </w:rPr>
        <w:t>Coordinate/Leverage with SGIP</w:t>
      </w:r>
      <w:r w:rsidRPr="008768A0">
        <w:rPr>
          <w:b/>
          <w:bCs/>
          <w:i/>
          <w:iCs/>
          <w:u w:val="single"/>
        </w:rPr>
        <w:t>:</w:t>
      </w:r>
      <w:r>
        <w:t xml:space="preserve"> </w:t>
      </w:r>
      <w:proofErr w:type="spellStart"/>
      <w:r>
        <w:t>CforAT</w:t>
      </w:r>
      <w:proofErr w:type="spellEnd"/>
      <w:r>
        <w:t xml:space="preserve"> specifies that </w:t>
      </w:r>
      <w:r w:rsidRPr="00F924C6">
        <w:t>coordination with SGIP is a high priority</w:t>
      </w:r>
      <w:r>
        <w:t xml:space="preserve"> for</w:t>
      </w:r>
      <w:r w:rsidRPr="00F924C6">
        <w:t xml:space="preserve"> customers with medical needs that require reliable access to electricity, and particular</w:t>
      </w:r>
      <w:r>
        <w:t xml:space="preserve"> </w:t>
      </w:r>
      <w:r w:rsidRPr="00F924C6">
        <w:t xml:space="preserve">those </w:t>
      </w:r>
      <w:r w:rsidRPr="00BD1C05">
        <w:t>customers</w:t>
      </w:r>
      <w:r w:rsidRPr="00F924C6">
        <w:t xml:space="preserve"> who live in areas at ongoing risk of extended power losses due to </w:t>
      </w:r>
      <w:proofErr w:type="spellStart"/>
      <w:r w:rsidRPr="00F924C6">
        <w:t>deenergization</w:t>
      </w:r>
      <w:proofErr w:type="spellEnd"/>
      <w:r w:rsidRPr="00F924C6">
        <w:t>.</w:t>
      </w:r>
      <w:r>
        <w:rPr>
          <w:rStyle w:val="FootnoteReference"/>
        </w:rPr>
        <w:footnoteReference w:id="666"/>
      </w:r>
    </w:p>
    <w:p w:rsidR="000C1980" w:rsidP="001968DC" w:rsidRDefault="000C1980" w14:paraId="02985763" w14:textId="77777777">
      <w:pPr>
        <w:pStyle w:val="Heading3"/>
        <w:ind w:left="2664"/>
      </w:pPr>
      <w:bookmarkStart w:name="_Toc69948110" w:id="459"/>
      <w:r>
        <w:t>Discussion</w:t>
      </w:r>
      <w:bookmarkEnd w:id="459"/>
    </w:p>
    <w:p w:rsidRPr="00564B27" w:rsidR="000C1980" w:rsidP="001968DC" w:rsidRDefault="000C1980" w14:paraId="295D2BA3" w14:textId="77777777">
      <w:pPr>
        <w:pStyle w:val="Heading4"/>
        <w:ind w:left="3600"/>
      </w:pPr>
      <w:bookmarkStart w:name="_Toc69948111" w:id="460"/>
      <w:r w:rsidRPr="00564B27">
        <w:t xml:space="preserve">IOUs’ Referral, Leveraging, and Coordination Efforts: </w:t>
      </w:r>
      <w:r w:rsidRPr="00564B27">
        <w:rPr>
          <w:u w:val="single"/>
        </w:rPr>
        <w:t>Approved</w:t>
      </w:r>
      <w:bookmarkEnd w:id="460"/>
    </w:p>
    <w:p w:rsidRPr="005B43E1" w:rsidR="000C1980" w:rsidP="00BD1C05" w:rsidRDefault="000C1980" w14:paraId="765FC84F" w14:textId="77777777">
      <w:pPr>
        <w:pStyle w:val="Standard"/>
      </w:pPr>
      <w:bookmarkStart w:name="_Hlk65672573" w:id="461"/>
      <w:r w:rsidRPr="002F5CC2">
        <w:t xml:space="preserve">We </w:t>
      </w:r>
      <w:r>
        <w:t>direct the IOUs to continue their referral, leveraging, and coordination relationships as detailed above, including the ongoing relationship with CSD to provide funding for measures common to the ESA and LIWP programs, should CSD desire to continue and/or extend the relevant agreements.</w:t>
      </w:r>
    </w:p>
    <w:p w:rsidRPr="00564B27" w:rsidR="000C1980" w:rsidP="001968DC" w:rsidRDefault="000C1980" w14:paraId="5394631A" w14:textId="77777777">
      <w:pPr>
        <w:pStyle w:val="Heading4"/>
        <w:ind w:left="3600"/>
      </w:pPr>
      <w:bookmarkStart w:name="_Toc69948112" w:id="462"/>
      <w:bookmarkEnd w:id="461"/>
      <w:r w:rsidRPr="00564B27">
        <w:t xml:space="preserve">Coordinate/Leverage with SGIP: </w:t>
      </w:r>
      <w:r w:rsidRPr="00564B27">
        <w:rPr>
          <w:u w:val="single"/>
        </w:rPr>
        <w:t>Approved</w:t>
      </w:r>
      <w:bookmarkEnd w:id="462"/>
    </w:p>
    <w:p w:rsidRPr="005B43E1" w:rsidR="000C1980" w:rsidP="00BD1C05" w:rsidRDefault="000C1980" w14:paraId="7EAAC591" w14:textId="77777777">
      <w:pPr>
        <w:pStyle w:val="Standard"/>
      </w:pPr>
      <w:r w:rsidRPr="005B43E1">
        <w:t xml:space="preserve">We agree with </w:t>
      </w:r>
      <w:proofErr w:type="spellStart"/>
      <w:r w:rsidRPr="005B43E1">
        <w:t>C</w:t>
      </w:r>
      <w:r>
        <w:t>fo</w:t>
      </w:r>
      <w:r w:rsidRPr="005B43E1">
        <w:t>rAT</w:t>
      </w:r>
      <w:proofErr w:type="spellEnd"/>
      <w:r w:rsidRPr="005B43E1">
        <w:t xml:space="preserve"> that the IOUs should coordinate with SGIP to assist customers at risk for </w:t>
      </w:r>
      <w:proofErr w:type="spellStart"/>
      <w:r w:rsidRPr="005B43E1">
        <w:t>deenergization</w:t>
      </w:r>
      <w:proofErr w:type="spellEnd"/>
      <w:r w:rsidRPr="005B43E1">
        <w:t xml:space="preserve">, especially as the IOUs have identified customers who live in </w:t>
      </w:r>
      <w:r w:rsidRPr="005B43E1">
        <w:rPr>
          <w:rStyle w:val="acopre"/>
        </w:rPr>
        <w:t>Public Safety Power Shutoff (</w:t>
      </w:r>
      <w:r w:rsidRPr="005B43E1">
        <w:t xml:space="preserve">PSPS) and </w:t>
      </w:r>
      <w:r>
        <w:t>w</w:t>
      </w:r>
      <w:r w:rsidRPr="005B43E1">
        <w:t>ildfire zones as priority to target and treat</w:t>
      </w:r>
      <w:r>
        <w:t xml:space="preserve">.  </w:t>
      </w:r>
      <w:r w:rsidRPr="005B43E1">
        <w:t>Therefore, we direct the IOUs to coordinate with SGIP, as well as other programs aligned with prioritized customer segments, as described below</w:t>
      </w:r>
      <w:r>
        <w:t xml:space="preserve"> in the advice letter requirements</w:t>
      </w:r>
      <w:r w:rsidRPr="005B43E1">
        <w:t xml:space="preserve">.   </w:t>
      </w:r>
    </w:p>
    <w:p w:rsidRPr="008B67CF" w:rsidR="000C1980" w:rsidP="001968DC" w:rsidRDefault="000C1980" w14:paraId="786A45CE" w14:textId="77777777">
      <w:pPr>
        <w:pStyle w:val="Heading4"/>
        <w:ind w:left="3600"/>
      </w:pPr>
      <w:bookmarkStart w:name="_Toc69948113" w:id="463"/>
      <w:r w:rsidRPr="008B67CF">
        <w:lastRenderedPageBreak/>
        <w:t xml:space="preserve">Workshop on Coordinating with Clean Energy Programs: </w:t>
      </w:r>
      <w:r w:rsidRPr="008B67CF">
        <w:rPr>
          <w:u w:val="single"/>
        </w:rPr>
        <w:t>New</w:t>
      </w:r>
      <w:bookmarkEnd w:id="463"/>
    </w:p>
    <w:p w:rsidRPr="00E42491" w:rsidR="000C1980" w:rsidP="00BD1C05" w:rsidRDefault="000C1980" w14:paraId="2004F30A" w14:textId="0E9E926A">
      <w:pPr>
        <w:pStyle w:val="Standard"/>
      </w:pPr>
      <w:r>
        <w:t>In addition to the efforts above, and t</w:t>
      </w:r>
      <w:r w:rsidRPr="005B43E1">
        <w:t>o establish effective coordination efforts among low</w:t>
      </w:r>
      <w:r>
        <w:t xml:space="preserve"> </w:t>
      </w:r>
      <w:r w:rsidRPr="005B43E1">
        <w:t>income and clean energy program</w:t>
      </w:r>
      <w:r>
        <w:t>s</w:t>
      </w:r>
      <w:r w:rsidRPr="005B43E1">
        <w:t xml:space="preserve">, we direct the IOUs hold a </w:t>
      </w:r>
      <w:r>
        <w:t xml:space="preserve">public </w:t>
      </w:r>
      <w:r w:rsidRPr="005B43E1">
        <w:t>workshop, within 120 days</w:t>
      </w:r>
      <w:r w:rsidRPr="006C42C7" w:rsidR="006C42C7">
        <w:t xml:space="preserve"> </w:t>
      </w:r>
      <w:r w:rsidRPr="00C47214" w:rsidR="006C42C7">
        <w:t>after the approval</w:t>
      </w:r>
      <w:r w:rsidRPr="005B43E1">
        <w:t xml:space="preserve"> of the decision, </w:t>
      </w:r>
      <w:r w:rsidRPr="00165BEA">
        <w:t>among the IOUs and other low income and/or clean energy program administrators (</w:t>
      </w:r>
      <w:r>
        <w:t>at a minimum to include</w:t>
      </w:r>
      <w:r w:rsidRPr="00165BEA">
        <w:t xml:space="preserve"> </w:t>
      </w:r>
      <w:r>
        <w:t>ESA, CARE, FERA, SGIP, SOMAH, Arrearage Management Plan (AMP), Percentage of Income Payment Plan (PIPP), CSD low income assistance programs</w:t>
      </w:r>
      <w:r w:rsidRPr="00165BEA">
        <w:t>, DAC programs)</w:t>
      </w:r>
      <w:r>
        <w:t xml:space="preserve">.  </w:t>
      </w:r>
      <w:r w:rsidRPr="00595F5F">
        <w:rPr>
          <w:i/>
          <w:iCs/>
        </w:rPr>
        <w:t>See</w:t>
      </w:r>
      <w:r>
        <w:t xml:space="preserve"> Section 6.2.3.4 for purpose and requirements of this workshop.</w:t>
      </w:r>
    </w:p>
    <w:p w:rsidRPr="00852EF7" w:rsidR="000C1980" w:rsidP="001968DC" w:rsidRDefault="000C1980" w14:paraId="78EC7C34" w14:textId="77777777">
      <w:pPr>
        <w:pStyle w:val="Heading2"/>
        <w:ind w:left="1728"/>
      </w:pPr>
      <w:bookmarkStart w:name="_Toc69948114" w:id="464"/>
      <w:r w:rsidRPr="00852EF7">
        <w:t xml:space="preserve">ESA Workforce, Education and </w:t>
      </w:r>
      <w:r w:rsidRPr="007F3C60">
        <w:t>Training</w:t>
      </w:r>
      <w:bookmarkEnd w:id="464"/>
    </w:p>
    <w:p w:rsidR="000C1980" w:rsidP="001968DC" w:rsidRDefault="000C1980" w14:paraId="2365D23A" w14:textId="77777777">
      <w:pPr>
        <w:pStyle w:val="Heading3"/>
        <w:ind w:left="2664"/>
      </w:pPr>
      <w:bookmarkStart w:name="_Toc69948115" w:id="465"/>
      <w:r>
        <w:t>Background</w:t>
      </w:r>
      <w:bookmarkEnd w:id="465"/>
    </w:p>
    <w:p w:rsidRPr="00C6131C" w:rsidR="000C1980" w:rsidP="00BD1C05" w:rsidRDefault="000C1980" w14:paraId="143EADF3" w14:textId="77777777">
      <w:pPr>
        <w:pStyle w:val="Standard"/>
      </w:pPr>
      <w:r>
        <w:t>The ESA program has a long history of promoting workforce, education and training (WE&amp;T) efforts in support of the statutory requirements for contractors to utilize and employ people from the local area and provide local job training.</w:t>
      </w:r>
      <w:r>
        <w:rPr>
          <w:rStyle w:val="FootnoteReference"/>
        </w:rPr>
        <w:footnoteReference w:id="667"/>
      </w:r>
      <w:r>
        <w:t xml:space="preserve">  For the 2021-2026 program cycle, the IOUs were asked to discuss what workforce development opportunities or efforts were being provided or should be provided to support the existing ESA workforce and ensure hiring within local communities, especially those within DACs.</w:t>
      </w:r>
      <w:r>
        <w:rPr>
          <w:rStyle w:val="FootnoteReference"/>
        </w:rPr>
        <w:footnoteReference w:id="668"/>
      </w:r>
      <w:r>
        <w:t xml:space="preserve">  </w:t>
      </w:r>
    </w:p>
    <w:p w:rsidR="000C1980" w:rsidP="001968DC" w:rsidRDefault="000C1980" w14:paraId="43A40391" w14:textId="77777777">
      <w:pPr>
        <w:pStyle w:val="Heading3"/>
        <w:ind w:left="2664"/>
      </w:pPr>
      <w:bookmarkStart w:name="_Toc69948116" w:id="466"/>
      <w:r>
        <w:t>PG&amp;E Proposal</w:t>
      </w:r>
      <w:bookmarkEnd w:id="466"/>
    </w:p>
    <w:p w:rsidR="000C1980" w:rsidP="00BD1C05" w:rsidRDefault="000C1980" w14:paraId="0629A5AD" w14:textId="77777777">
      <w:pPr>
        <w:pStyle w:val="Standard"/>
      </w:pPr>
      <w:r w:rsidRPr="008D6C87">
        <w:t xml:space="preserve">PG&amp;E proposes to update its WE&amp;T program administered by PG&amp;E’s </w:t>
      </w:r>
      <w:r>
        <w:t>t</w:t>
      </w:r>
      <w:r w:rsidRPr="008D6C87">
        <w:t xml:space="preserve">echnical </w:t>
      </w:r>
      <w:r>
        <w:t>s</w:t>
      </w:r>
      <w:r w:rsidRPr="008D6C87">
        <w:t>pecialists for ESA contractors with requirements for new measures, customer need states and customer education.</w:t>
      </w:r>
      <w:r w:rsidRPr="008D6C87">
        <w:rPr>
          <w:vertAlign w:val="superscript"/>
        </w:rPr>
        <w:footnoteReference w:id="669"/>
      </w:r>
      <w:r>
        <w:t xml:space="preserve">  </w:t>
      </w:r>
    </w:p>
    <w:p w:rsidR="000C1980" w:rsidP="0023091F" w:rsidRDefault="000C1980" w14:paraId="06C582B7" w14:textId="77777777">
      <w:pPr>
        <w:pStyle w:val="ALJBodyText"/>
      </w:pPr>
      <w:r w:rsidRPr="00BD1C05">
        <w:lastRenderedPageBreak/>
        <w:t>New and Existing Training:</w:t>
      </w:r>
      <w:r>
        <w:t xml:space="preserve"> These efforts include:</w:t>
      </w:r>
    </w:p>
    <w:p w:rsidR="000C1980" w:rsidP="00402362" w:rsidRDefault="000C1980" w14:paraId="6234680A" w14:textId="77777777">
      <w:pPr>
        <w:pStyle w:val="ListBullet"/>
      </w:pPr>
      <w:r>
        <w:t>S</w:t>
      </w:r>
      <w:r w:rsidRPr="008D6C87">
        <w:t xml:space="preserve">pecific training </w:t>
      </w:r>
      <w:r>
        <w:t xml:space="preserve">provided </w:t>
      </w:r>
      <w:r w:rsidRPr="008D6C87">
        <w:t xml:space="preserve">to </w:t>
      </w:r>
      <w:r>
        <w:t xml:space="preserve">contractors to </w:t>
      </w:r>
      <w:r w:rsidRPr="008D6C87">
        <w:t xml:space="preserve">familiarize themselves with the reports and </w:t>
      </w:r>
      <w:r>
        <w:t>p</w:t>
      </w:r>
      <w:r w:rsidRPr="008D6C87">
        <w:t>ilot since they will be the primary channel for enrollment.</w:t>
      </w:r>
      <w:r w:rsidRPr="008D6C87">
        <w:rPr>
          <w:vertAlign w:val="superscript"/>
        </w:rPr>
        <w:footnoteReference w:id="670"/>
      </w:r>
      <w:r w:rsidRPr="008D6C87">
        <w:t xml:space="preserve"> </w:t>
      </w:r>
    </w:p>
    <w:p w:rsidR="000C1980" w:rsidP="00402362" w:rsidRDefault="000C1980" w14:paraId="0F88455E" w14:textId="77777777">
      <w:pPr>
        <w:pStyle w:val="ListBullet"/>
      </w:pPr>
      <w:r>
        <w:t>N</w:t>
      </w:r>
      <w:r w:rsidRPr="008D6C87">
        <w:t xml:space="preserve">ew curriculum </w:t>
      </w:r>
      <w:r>
        <w:t>included to cover</w:t>
      </w:r>
      <w:r w:rsidRPr="008D6C87">
        <w:t xml:space="preserve"> potential risks and challenges that the new activities outlined for the first ESA contractor visit may present</w:t>
      </w:r>
      <w:r>
        <w:t>, including c</w:t>
      </w:r>
      <w:r w:rsidRPr="008D6C87">
        <w:t>ontractor confusion about the customer need states</w:t>
      </w:r>
      <w:r>
        <w:t xml:space="preserve">, </w:t>
      </w:r>
      <w:r w:rsidRPr="008D6C87">
        <w:t>determin</w:t>
      </w:r>
      <w:r>
        <w:t xml:space="preserve">ing </w:t>
      </w:r>
      <w:r w:rsidRPr="008D6C87">
        <w:t xml:space="preserve">the validity of the need state, </w:t>
      </w:r>
      <w:r>
        <w:t>and</w:t>
      </w:r>
      <w:r w:rsidRPr="008D6C87">
        <w:t xml:space="preserve"> the corresponding requirements and feasible conditions for measure installation.</w:t>
      </w:r>
      <w:r w:rsidRPr="008D6C87">
        <w:rPr>
          <w:vertAlign w:val="superscript"/>
        </w:rPr>
        <w:footnoteReference w:id="671"/>
      </w:r>
      <w:r w:rsidRPr="003C2C86">
        <w:rPr>
          <w:i/>
          <w:iCs/>
          <w:u w:val="single"/>
        </w:rPr>
        <w:t xml:space="preserve"> </w:t>
      </w:r>
    </w:p>
    <w:p w:rsidRPr="009C24B5" w:rsidR="000C1980" w:rsidP="00BD1C05" w:rsidRDefault="000C1980" w14:paraId="79D9D2AE" w14:textId="77777777">
      <w:pPr>
        <w:pStyle w:val="Standard"/>
      </w:pPr>
      <w:r w:rsidRPr="00BD1C05">
        <w:rPr>
          <w:b/>
          <w:bCs/>
          <w:i/>
          <w:iCs/>
          <w:u w:val="single"/>
        </w:rPr>
        <w:t>Focus on Hiring from Within Local Communities, Specifically DACs</w:t>
      </w:r>
      <w:r w:rsidRPr="005D5A87">
        <w:t xml:space="preserve">: </w:t>
      </w:r>
      <w:r w:rsidRPr="009C24B5">
        <w:t xml:space="preserve">These </w:t>
      </w:r>
      <w:r>
        <w:t>efforts include:</w:t>
      </w:r>
    </w:p>
    <w:p w:rsidR="000C1980" w:rsidP="00402362" w:rsidRDefault="000C1980" w14:paraId="34744B82" w14:textId="77777777">
      <w:pPr>
        <w:pStyle w:val="ListBullet"/>
      </w:pPr>
      <w:r>
        <w:t>N</w:t>
      </w:r>
      <w:r w:rsidRPr="008D6C87">
        <w:t>otifying local and regional workforce development organizations about ESA employment opportunities in their areas, who would then communicate opportunities to people who are seeking work.</w:t>
      </w:r>
      <w:r w:rsidRPr="008D6C87">
        <w:rPr>
          <w:vertAlign w:val="superscript"/>
        </w:rPr>
        <w:footnoteReference w:id="672"/>
      </w:r>
      <w:r w:rsidRPr="008D6C87">
        <w:t xml:space="preserve"> </w:t>
      </w:r>
    </w:p>
    <w:p w:rsidR="000C1980" w:rsidP="00402362" w:rsidRDefault="000C1980" w14:paraId="6C817C16" w14:textId="77777777">
      <w:pPr>
        <w:pStyle w:val="ListBullet"/>
      </w:pPr>
      <w:r>
        <w:t>R</w:t>
      </w:r>
      <w:r w:rsidRPr="008D6C87">
        <w:t>equest</w:t>
      </w:r>
      <w:r>
        <w:t>ing</w:t>
      </w:r>
      <w:r w:rsidRPr="008D6C87">
        <w:t xml:space="preserve"> that bidders </w:t>
      </w:r>
      <w:r>
        <w:t>(</w:t>
      </w:r>
      <w:r w:rsidRPr="008D6C87">
        <w:t xml:space="preserve">in the </w:t>
      </w:r>
      <w:r>
        <w:t>multifamily p</w:t>
      </w:r>
      <w:r w:rsidRPr="008D6C87">
        <w:t>rogram solicitation</w:t>
      </w:r>
      <w:r>
        <w:t>)</w:t>
      </w:r>
      <w:r w:rsidRPr="008D6C87">
        <w:t xml:space="preserve"> define local hiring practices and engagement with local job training programs for placement into job opportunities, prior to listing with the public.</w:t>
      </w:r>
      <w:r w:rsidRPr="008D6C87">
        <w:rPr>
          <w:vertAlign w:val="superscript"/>
        </w:rPr>
        <w:footnoteReference w:id="673"/>
      </w:r>
      <w:r w:rsidRPr="008D6C87">
        <w:t xml:space="preserve"> </w:t>
      </w:r>
    </w:p>
    <w:p w:rsidR="000C1980" w:rsidP="00402362" w:rsidRDefault="000C1980" w14:paraId="3E824B3B" w14:textId="77777777">
      <w:pPr>
        <w:pStyle w:val="ListBullet"/>
      </w:pPr>
      <w:r>
        <w:t>R</w:t>
      </w:r>
      <w:r w:rsidRPr="008D6C87">
        <w:t>equest</w:t>
      </w:r>
      <w:r>
        <w:t>ing that</w:t>
      </w:r>
      <w:r w:rsidRPr="008D6C87">
        <w:t xml:space="preserve"> bidders </w:t>
      </w:r>
      <w:r>
        <w:t>(</w:t>
      </w:r>
      <w:r w:rsidRPr="008D6C87">
        <w:t xml:space="preserve">in the </w:t>
      </w:r>
      <w:r>
        <w:t>multifamily p</w:t>
      </w:r>
      <w:r w:rsidRPr="008D6C87">
        <w:t>rogram solicitation</w:t>
      </w:r>
      <w:r>
        <w:t>)</w:t>
      </w:r>
      <w:r w:rsidRPr="008D6C87">
        <w:t xml:space="preserve"> explore other opportunities to encourage workforce development including requiring building operator training, pathways to employment for members of low</w:t>
      </w:r>
      <w:r>
        <w:t xml:space="preserve"> </w:t>
      </w:r>
      <w:r w:rsidRPr="008D6C87">
        <w:t xml:space="preserve">income or disadvantaged communities participating in local job training </w:t>
      </w:r>
      <w:proofErr w:type="gramStart"/>
      <w:r w:rsidRPr="008D6C87">
        <w:t>programs</w:t>
      </w:r>
      <w:r>
        <w:t>,</w:t>
      </w:r>
      <w:r w:rsidRPr="008D6C87">
        <w:t xml:space="preserve"> and</w:t>
      </w:r>
      <w:proofErr w:type="gramEnd"/>
      <w:r w:rsidRPr="008D6C87">
        <w:t xml:space="preserve"> coordinating and leveraging relationships with workforce development and contractor associations.</w:t>
      </w:r>
      <w:r w:rsidRPr="008D6C87">
        <w:rPr>
          <w:vertAlign w:val="superscript"/>
        </w:rPr>
        <w:footnoteReference w:id="674"/>
      </w:r>
      <w:r w:rsidRPr="008D6C87">
        <w:t xml:space="preserve"> </w:t>
      </w:r>
    </w:p>
    <w:p w:rsidR="000C1980" w:rsidP="00402362" w:rsidRDefault="000C1980" w14:paraId="278CFE5C" w14:textId="77777777">
      <w:pPr>
        <w:pStyle w:val="ListBullet"/>
      </w:pPr>
      <w:r>
        <w:lastRenderedPageBreak/>
        <w:t xml:space="preserve">Encouraging </w:t>
      </w:r>
      <w:r w:rsidRPr="008D6C87">
        <w:t xml:space="preserve">third party vendors </w:t>
      </w:r>
      <w:r>
        <w:t xml:space="preserve">to </w:t>
      </w:r>
      <w:r w:rsidRPr="008D6C87">
        <w:t>provide supplemental training of subcontractors or full training of its workforce if applicable.</w:t>
      </w:r>
      <w:r w:rsidRPr="008D6C87">
        <w:rPr>
          <w:vertAlign w:val="superscript"/>
        </w:rPr>
        <w:footnoteReference w:id="675"/>
      </w:r>
    </w:p>
    <w:p w:rsidRPr="0015480D" w:rsidR="000C1980" w:rsidP="00BD1C05" w:rsidRDefault="000C1980" w14:paraId="6706E6C9" w14:textId="77777777">
      <w:pPr>
        <w:pStyle w:val="Standard"/>
      </w:pPr>
      <w:r>
        <w:rPr>
          <w:b/>
          <w:bCs/>
          <w:i/>
          <w:iCs/>
          <w:u w:val="single"/>
        </w:rPr>
        <w:t>WE&amp;T Funding Source</w:t>
      </w:r>
      <w:r w:rsidRPr="00F15685">
        <w:rPr>
          <w:b/>
          <w:bCs/>
          <w:i/>
          <w:iCs/>
          <w:u w:val="single"/>
        </w:rPr>
        <w:t>:</w:t>
      </w:r>
      <w:r>
        <w:t xml:space="preserve"> </w:t>
      </w:r>
      <w:r w:rsidRPr="0015480D">
        <w:t xml:space="preserve"> </w:t>
      </w:r>
      <w:r>
        <w:t>PG&amp;E is not requesting any ESA funds to support its WE&amp;T program</w:t>
      </w:r>
      <w:r w:rsidRPr="0015480D">
        <w:t>.</w:t>
      </w:r>
      <w:r>
        <w:t xml:space="preserve"> </w:t>
      </w:r>
    </w:p>
    <w:p w:rsidR="000C1980" w:rsidP="001968DC" w:rsidRDefault="000C1980" w14:paraId="0ED0A548" w14:textId="77777777">
      <w:pPr>
        <w:pStyle w:val="Heading3"/>
        <w:ind w:left="2664"/>
      </w:pPr>
      <w:bookmarkStart w:name="_Toc69948117" w:id="467"/>
      <w:r>
        <w:t>SCE Proposal</w:t>
      </w:r>
      <w:bookmarkEnd w:id="467"/>
      <w:r>
        <w:t xml:space="preserve"> </w:t>
      </w:r>
    </w:p>
    <w:p w:rsidR="000C1980" w:rsidP="00BD1C05" w:rsidRDefault="000C1980" w14:paraId="75618316" w14:textId="77777777">
      <w:pPr>
        <w:pStyle w:val="Standard"/>
      </w:pPr>
      <w:r>
        <w:t xml:space="preserve">SCE proposes to combine all its </w:t>
      </w:r>
      <w:r w:rsidRPr="00C140CD">
        <w:t xml:space="preserve">local energy efficiency training into one program (including both </w:t>
      </w:r>
      <w:r>
        <w:t xml:space="preserve">mainstream energy efficiency and </w:t>
      </w:r>
      <w:r w:rsidRPr="00C140CD">
        <w:t>ESA), focusing on all demand-side management and greenhouse gas</w:t>
      </w:r>
      <w:r>
        <w:t xml:space="preserve"> reduction technologies</w:t>
      </w:r>
      <w:r w:rsidRPr="00C140CD">
        <w:t>.</w:t>
      </w:r>
      <w:r>
        <w:rPr>
          <w:rStyle w:val="FootnoteReference"/>
        </w:rPr>
        <w:footnoteReference w:id="676"/>
      </w:r>
      <w:r w:rsidRPr="00C140CD">
        <w:t xml:space="preserve"> </w:t>
      </w:r>
      <w:r>
        <w:t xml:space="preserve"> </w:t>
      </w:r>
    </w:p>
    <w:p w:rsidR="000C1980" w:rsidP="0023091F" w:rsidRDefault="000C1980" w14:paraId="38EECB38" w14:textId="77777777">
      <w:pPr>
        <w:pStyle w:val="ALJBodyText"/>
      </w:pPr>
      <w:r>
        <w:rPr>
          <w:b/>
          <w:bCs/>
          <w:i/>
          <w:iCs/>
          <w:u w:val="single"/>
        </w:rPr>
        <w:t>Third Party S</w:t>
      </w:r>
      <w:r w:rsidRPr="002116CA">
        <w:rPr>
          <w:b/>
          <w:bCs/>
          <w:i/>
          <w:iCs/>
          <w:u w:val="single"/>
        </w:rPr>
        <w:t>olicitation</w:t>
      </w:r>
      <w:r w:rsidRPr="00F15685">
        <w:rPr>
          <w:b/>
          <w:bCs/>
          <w:i/>
          <w:iCs/>
          <w:u w:val="single"/>
        </w:rPr>
        <w:t>:</w:t>
      </w:r>
      <w:r>
        <w:t xml:space="preserve"> SCE proposes to have its</w:t>
      </w:r>
      <w:r w:rsidRPr="008D6C87">
        <w:t xml:space="preserve"> WE&amp;T program designed and delivered by a third party selected through an open and competitive solicitation process</w:t>
      </w:r>
      <w:r>
        <w:rPr>
          <w:vertAlign w:val="superscript"/>
        </w:rPr>
        <w:t xml:space="preserve"> </w:t>
      </w:r>
      <w:r>
        <w:t>stating that a</w:t>
      </w:r>
      <w:r w:rsidRPr="008D6C87">
        <w:t xml:space="preserve"> third-party approach will better engage and serve the programs and customers.</w:t>
      </w:r>
      <w:r w:rsidRPr="008D6C87">
        <w:rPr>
          <w:vertAlign w:val="superscript"/>
        </w:rPr>
        <w:footnoteReference w:id="677"/>
      </w:r>
      <w:r>
        <w:t xml:space="preserve">  SCE states that benefits to consolidating all its local WE&amp;T efforts include a </w:t>
      </w:r>
      <w:r w:rsidRPr="00853611">
        <w:t>greater range of potential job growth and</w:t>
      </w:r>
      <w:r>
        <w:t xml:space="preserve"> c</w:t>
      </w:r>
      <w:r w:rsidRPr="00853611">
        <w:t>areer-ladder development</w:t>
      </w:r>
      <w:r>
        <w:t xml:space="preserve"> for energy efficiency workers, a greater </w:t>
      </w:r>
      <w:r w:rsidRPr="00853611">
        <w:t>focus on training and educating workers located in historically under-served areas such as DACs, with the additional</w:t>
      </w:r>
      <w:r>
        <w:t xml:space="preserve"> </w:t>
      </w:r>
      <w:r w:rsidRPr="00853611">
        <w:t xml:space="preserve">benefit of participation and review by the </w:t>
      </w:r>
      <w:r>
        <w:t>LIOB.</w:t>
      </w:r>
      <w:r>
        <w:rPr>
          <w:rStyle w:val="FootnoteReference"/>
        </w:rPr>
        <w:footnoteReference w:id="678"/>
      </w:r>
    </w:p>
    <w:p w:rsidR="000C1980" w:rsidP="00BD1C05" w:rsidRDefault="000C1980" w14:paraId="3BF6F04C" w14:textId="77777777">
      <w:pPr>
        <w:pStyle w:val="Standard"/>
      </w:pPr>
      <w:r>
        <w:rPr>
          <w:b/>
          <w:bCs/>
          <w:i/>
          <w:iCs/>
          <w:u w:val="single"/>
        </w:rPr>
        <w:t>New and Existing Efforts</w:t>
      </w:r>
      <w:r w:rsidRPr="00F15685">
        <w:rPr>
          <w:b/>
          <w:bCs/>
          <w:i/>
          <w:iCs/>
          <w:u w:val="single"/>
        </w:rPr>
        <w:t>:</w:t>
      </w:r>
      <w:r>
        <w:t xml:space="preserve"> The WE&amp;T program and efforts will include:</w:t>
      </w:r>
    </w:p>
    <w:p w:rsidR="000C1980" w:rsidP="00402362" w:rsidRDefault="000C1980" w14:paraId="0B6D5BFE" w14:textId="77777777">
      <w:pPr>
        <w:pStyle w:val="ListBullet"/>
      </w:pPr>
      <w:r>
        <w:t>S</w:t>
      </w:r>
      <w:r w:rsidRPr="00F85EC5">
        <w:t>upport</w:t>
      </w:r>
      <w:r>
        <w:t>ing</w:t>
      </w:r>
      <w:r w:rsidRPr="00F85EC5">
        <w:t xml:space="preserve"> a more robust workforce that can better serve SCE’s customers</w:t>
      </w:r>
      <w:r>
        <w:t>.</w:t>
      </w:r>
      <w:r w:rsidRPr="00F85EC5">
        <w:rPr>
          <w:vertAlign w:val="superscript"/>
        </w:rPr>
        <w:footnoteReference w:id="679"/>
      </w:r>
    </w:p>
    <w:p w:rsidR="000C1980" w:rsidP="00402362" w:rsidRDefault="000C1980" w14:paraId="7D6EE494" w14:textId="77777777">
      <w:pPr>
        <w:pStyle w:val="ListBullet"/>
      </w:pPr>
      <w:r>
        <w:lastRenderedPageBreak/>
        <w:t>P</w:t>
      </w:r>
      <w:r w:rsidRPr="00F85EC5">
        <w:t>rovid</w:t>
      </w:r>
      <w:r>
        <w:t>ing</w:t>
      </w:r>
      <w:r w:rsidRPr="00F85EC5">
        <w:t xml:space="preserve"> community employment benefits</w:t>
      </w:r>
      <w:r>
        <w:t>.</w:t>
      </w:r>
      <w:r w:rsidRPr="00F85EC5">
        <w:rPr>
          <w:vertAlign w:val="superscript"/>
        </w:rPr>
        <w:footnoteReference w:id="680"/>
      </w:r>
    </w:p>
    <w:p w:rsidR="000C1980" w:rsidP="00402362" w:rsidRDefault="000C1980" w14:paraId="224402A5" w14:textId="77777777">
      <w:pPr>
        <w:pStyle w:val="ListBullet"/>
      </w:pPr>
      <w:r>
        <w:t>C</w:t>
      </w:r>
      <w:r w:rsidRPr="00F85EC5">
        <w:t>reat</w:t>
      </w:r>
      <w:r>
        <w:t>ing</w:t>
      </w:r>
      <w:r w:rsidRPr="00F85EC5">
        <w:t xml:space="preserve"> opportunities for career growth.</w:t>
      </w:r>
      <w:r w:rsidRPr="00F85EC5">
        <w:rPr>
          <w:vertAlign w:val="superscript"/>
        </w:rPr>
        <w:footnoteReference w:id="681"/>
      </w:r>
      <w:r w:rsidRPr="00F85EC5">
        <w:t xml:space="preserve"> </w:t>
      </w:r>
    </w:p>
    <w:p w:rsidR="000C1980" w:rsidP="00402362" w:rsidRDefault="000C1980" w14:paraId="2626379B" w14:textId="77777777">
      <w:pPr>
        <w:pStyle w:val="ListBullet"/>
      </w:pPr>
      <w:r>
        <w:t>Working</w:t>
      </w:r>
      <w:r w:rsidRPr="008D6C87">
        <w:t xml:space="preserve"> with community colleges and trade schools, community-based organizations, workforce development boards, and others to develop curriculum and design programs to deliver the training.</w:t>
      </w:r>
      <w:r w:rsidRPr="008D6C87">
        <w:rPr>
          <w:vertAlign w:val="superscript"/>
        </w:rPr>
        <w:footnoteReference w:id="682"/>
      </w:r>
      <w:r w:rsidRPr="008D6C87">
        <w:t xml:space="preserve"> </w:t>
      </w:r>
    </w:p>
    <w:p w:rsidR="000C1980" w:rsidP="00402362" w:rsidRDefault="000C1980" w14:paraId="232FE99C" w14:textId="77777777">
      <w:pPr>
        <w:pStyle w:val="ListBullet"/>
      </w:pPr>
      <w:r>
        <w:t>Providing</w:t>
      </w:r>
      <w:r w:rsidRPr="008D6C87">
        <w:t xml:space="preserve"> train</w:t>
      </w:r>
      <w:r>
        <w:t>ing to</w:t>
      </w:r>
      <w:r w:rsidRPr="008D6C87">
        <w:t xml:space="preserve"> individuals to properly install, commission and maintain equipment.</w:t>
      </w:r>
      <w:r w:rsidRPr="008D6C87">
        <w:rPr>
          <w:vertAlign w:val="superscript"/>
        </w:rPr>
        <w:footnoteReference w:id="683"/>
      </w:r>
      <w:r w:rsidRPr="008D6C87">
        <w:t xml:space="preserve"> </w:t>
      </w:r>
    </w:p>
    <w:p w:rsidR="000C1980" w:rsidP="00BD1C05" w:rsidRDefault="000C1980" w14:paraId="0021D746" w14:textId="77777777">
      <w:pPr>
        <w:pStyle w:val="Standard"/>
      </w:pPr>
      <w:r w:rsidRPr="005D5A87">
        <w:rPr>
          <w:b/>
          <w:bCs/>
          <w:i/>
          <w:iCs/>
          <w:u w:val="single"/>
        </w:rPr>
        <w:t>Focus on Hiring from Within Local Communities, Specifically DACs:</w:t>
      </w:r>
      <w:r>
        <w:t xml:space="preserve"> SCE does not identify any specific strategies regarding hiring efforts within the local communities, other than stating that it is</w:t>
      </w:r>
      <w:r w:rsidRPr="006B073F">
        <w:t xml:space="preserve"> commit</w:t>
      </w:r>
      <w:r>
        <w:t>ted</w:t>
      </w:r>
      <w:r w:rsidRPr="006B073F">
        <w:t xml:space="preserve"> to workforce development for a clean energy</w:t>
      </w:r>
      <w:r>
        <w:t xml:space="preserve"> </w:t>
      </w:r>
      <w:r w:rsidRPr="006B073F">
        <w:t>economy targeted to low</w:t>
      </w:r>
      <w:r>
        <w:t xml:space="preserve"> </w:t>
      </w:r>
      <w:r w:rsidRPr="006B073F">
        <w:t>income and DACs</w:t>
      </w:r>
      <w:r>
        <w:t>.</w:t>
      </w:r>
      <w:r>
        <w:rPr>
          <w:rStyle w:val="FootnoteReference"/>
        </w:rPr>
        <w:footnoteReference w:id="684"/>
      </w:r>
      <w:r>
        <w:t xml:space="preserve"> </w:t>
      </w:r>
    </w:p>
    <w:p w:rsidRPr="008D6C87" w:rsidR="000C1980" w:rsidP="0023091F" w:rsidRDefault="000C1980" w14:paraId="2D4C447D" w14:textId="77777777">
      <w:pPr>
        <w:pStyle w:val="ALJBodyText"/>
      </w:pPr>
      <w:r>
        <w:rPr>
          <w:b/>
          <w:bCs/>
          <w:i/>
          <w:iCs/>
          <w:u w:val="single"/>
        </w:rPr>
        <w:t>WE&amp;T Funding Source</w:t>
      </w:r>
      <w:r w:rsidRPr="00F15685">
        <w:rPr>
          <w:b/>
          <w:bCs/>
          <w:i/>
          <w:iCs/>
          <w:u w:val="single"/>
        </w:rPr>
        <w:t>:</w:t>
      </w:r>
      <w:r>
        <w:t xml:space="preserve"> </w:t>
      </w:r>
      <w:r w:rsidRPr="008D6C87">
        <w:t>SCE</w:t>
      </w:r>
      <w:r>
        <w:t xml:space="preserve"> </w:t>
      </w:r>
      <w:r w:rsidRPr="0015480D">
        <w:t>is requesting</w:t>
      </w:r>
      <w:r>
        <w:t xml:space="preserve"> to shift</w:t>
      </w:r>
      <w:r w:rsidRPr="0015480D">
        <w:t xml:space="preserve"> $</w:t>
      </w:r>
      <w:r>
        <w:t>30 million</w:t>
      </w:r>
      <w:r w:rsidRPr="0015480D">
        <w:t xml:space="preserve"> to support </w:t>
      </w:r>
      <w:r>
        <w:t>the</w:t>
      </w:r>
      <w:r w:rsidRPr="0015480D">
        <w:t xml:space="preserve"> </w:t>
      </w:r>
      <w:r>
        <w:t xml:space="preserve">ESA portion of the </w:t>
      </w:r>
      <w:r w:rsidRPr="0015480D">
        <w:t>WE&amp;T program</w:t>
      </w:r>
      <w:r>
        <w:t xml:space="preserve">, from the mainstream </w:t>
      </w:r>
      <w:r w:rsidRPr="008D6C87">
        <w:t xml:space="preserve">energy efficiency </w:t>
      </w:r>
      <w:r>
        <w:t xml:space="preserve">budget to the ESA budget.  SCE states that this will allow them to </w:t>
      </w:r>
      <w:r w:rsidRPr="008D6C87">
        <w:t xml:space="preserve">consolidate some of </w:t>
      </w:r>
      <w:r>
        <w:t>its</w:t>
      </w:r>
      <w:r w:rsidRPr="008D6C87">
        <w:t xml:space="preserve"> services for customers in DACs and align its effort more closely with the ESA </w:t>
      </w:r>
      <w:r>
        <w:t>p</w:t>
      </w:r>
      <w:r w:rsidRPr="008D6C87">
        <w:t>rogram.</w:t>
      </w:r>
      <w:r w:rsidRPr="008D6C87">
        <w:rPr>
          <w:vertAlign w:val="superscript"/>
        </w:rPr>
        <w:footnoteReference w:id="685"/>
      </w:r>
    </w:p>
    <w:p w:rsidR="000C1980" w:rsidP="001968DC" w:rsidRDefault="000C1980" w14:paraId="61EC41C2" w14:textId="1352CC2D">
      <w:pPr>
        <w:pStyle w:val="Heading3"/>
        <w:ind w:left="2664"/>
      </w:pPr>
      <w:bookmarkStart w:name="_Toc69948118" w:id="468"/>
      <w:r>
        <w:t>SoCalGas Proposal</w:t>
      </w:r>
      <w:bookmarkEnd w:id="468"/>
      <w:r>
        <w:t xml:space="preserve"> </w:t>
      </w:r>
    </w:p>
    <w:p w:rsidR="000C1980" w:rsidP="0023091F" w:rsidRDefault="000C1980" w14:paraId="3FA3893E" w14:textId="77777777">
      <w:pPr>
        <w:pStyle w:val="ALJBodyText"/>
      </w:pPr>
      <w:r>
        <w:rPr>
          <w:b/>
          <w:bCs/>
          <w:i/>
          <w:iCs/>
          <w:u w:val="single"/>
        </w:rPr>
        <w:t>Third Party S</w:t>
      </w:r>
      <w:r w:rsidRPr="002116CA">
        <w:rPr>
          <w:b/>
          <w:bCs/>
          <w:i/>
          <w:iCs/>
          <w:u w:val="single"/>
        </w:rPr>
        <w:t>olicitation</w:t>
      </w:r>
      <w:r w:rsidRPr="00F15685">
        <w:rPr>
          <w:b/>
          <w:bCs/>
          <w:i/>
          <w:iCs/>
          <w:u w:val="single"/>
        </w:rPr>
        <w:t>:</w:t>
      </w:r>
      <w:r>
        <w:t xml:space="preserve"> SoCalGas proposes to </w:t>
      </w:r>
      <w:r w:rsidRPr="008E3E43">
        <w:t xml:space="preserve">use a </w:t>
      </w:r>
      <w:proofErr w:type="gramStart"/>
      <w:r w:rsidRPr="008E3E43">
        <w:t>third</w:t>
      </w:r>
      <w:r>
        <w:t xml:space="preserve"> p</w:t>
      </w:r>
      <w:r w:rsidRPr="008E3E43">
        <w:t>arty</w:t>
      </w:r>
      <w:proofErr w:type="gramEnd"/>
      <w:r w:rsidRPr="008E3E43">
        <w:t xml:space="preserve"> implementer to identify skills and competencies, develop curriculum, create a career</w:t>
      </w:r>
      <w:r>
        <w:t xml:space="preserve"> </w:t>
      </w:r>
      <w:r w:rsidRPr="008E3E43">
        <w:t xml:space="preserve">pathway and potential ladders of opportunities in the ESA </w:t>
      </w:r>
      <w:r>
        <w:t>p</w:t>
      </w:r>
      <w:r w:rsidRPr="008E3E43">
        <w:t xml:space="preserve">rogram and the </w:t>
      </w:r>
      <w:r>
        <w:t xml:space="preserve">energy efficiency </w:t>
      </w:r>
      <w:r w:rsidRPr="008E3E43">
        <w:t xml:space="preserve">sector. </w:t>
      </w:r>
      <w:r>
        <w:t xml:space="preserve"> </w:t>
      </w:r>
    </w:p>
    <w:p w:rsidR="000C1980" w:rsidP="0023091F" w:rsidRDefault="000C1980" w14:paraId="7FD4DA39" w14:textId="77777777">
      <w:pPr>
        <w:pStyle w:val="ALJBodyText"/>
      </w:pPr>
      <w:r>
        <w:lastRenderedPageBreak/>
        <w:t>New and Existing Efforts</w:t>
      </w:r>
      <w:r w:rsidRPr="00F15685">
        <w:t>:</w:t>
      </w:r>
      <w:r>
        <w:t xml:space="preserve"> These include:</w:t>
      </w:r>
      <w:r w:rsidRPr="00F1593F">
        <w:rPr>
          <w:rStyle w:val="FootnoteReference"/>
        </w:rPr>
        <w:t xml:space="preserve"> </w:t>
      </w:r>
      <w:r>
        <w:rPr>
          <w:rStyle w:val="FootnoteReference"/>
        </w:rPr>
        <w:footnoteReference w:id="686"/>
      </w:r>
    </w:p>
    <w:p w:rsidR="000C1980" w:rsidP="00402362" w:rsidRDefault="000C1980" w14:paraId="23C4C095" w14:textId="77777777">
      <w:pPr>
        <w:pStyle w:val="ListBullet"/>
      </w:pPr>
      <w:r>
        <w:t xml:space="preserve">Expanding </w:t>
      </w:r>
      <w:r w:rsidRPr="00EB3C9C">
        <w:t>training offerings of online soft skills training</w:t>
      </w:r>
      <w:r>
        <w:t>.</w:t>
      </w:r>
    </w:p>
    <w:p w:rsidR="000C1980" w:rsidP="00402362" w:rsidRDefault="000C1980" w14:paraId="4E1CE1FB" w14:textId="77777777">
      <w:pPr>
        <w:pStyle w:val="ListBullet"/>
      </w:pPr>
      <w:r>
        <w:t>Working wi</w:t>
      </w:r>
      <w:r w:rsidRPr="004E1166">
        <w:t xml:space="preserve">th the SoCalGas </w:t>
      </w:r>
      <w:r>
        <w:t xml:space="preserve">mainstream </w:t>
      </w:r>
      <w:r w:rsidRPr="004E1166">
        <w:t>energy efficiency WE&amp;T program</w:t>
      </w:r>
      <w:r>
        <w:t>.</w:t>
      </w:r>
    </w:p>
    <w:p w:rsidR="000C1980" w:rsidP="00402362" w:rsidRDefault="000C1980" w14:paraId="45162975" w14:textId="77777777">
      <w:pPr>
        <w:pStyle w:val="ListBullet"/>
      </w:pPr>
      <w:r>
        <w:t>E</w:t>
      </w:r>
      <w:r w:rsidRPr="008C5630">
        <w:t>xplor</w:t>
      </w:r>
      <w:r>
        <w:t>ing the</w:t>
      </w:r>
      <w:r w:rsidRPr="008C5630">
        <w:t xml:space="preserve"> feasibility of coordinating with</w:t>
      </w:r>
      <w:r>
        <w:t xml:space="preserve"> </w:t>
      </w:r>
      <w:r w:rsidRPr="008C5630">
        <w:t>other existing job training programs</w:t>
      </w:r>
      <w:r>
        <w:t>/centers</w:t>
      </w:r>
      <w:r w:rsidRPr="008C5630">
        <w:t xml:space="preserve"> for minority and disadvantaged groups</w:t>
      </w:r>
      <w:r>
        <w:t>.</w:t>
      </w:r>
    </w:p>
    <w:p w:rsidRPr="00377971" w:rsidR="000C1980" w:rsidP="0023091F" w:rsidRDefault="000C1980" w14:paraId="7E414E15" w14:textId="77777777">
      <w:pPr>
        <w:pStyle w:val="ALJBodyText"/>
      </w:pPr>
      <w:r w:rsidRPr="005D5A87">
        <w:rPr>
          <w:b/>
          <w:bCs/>
          <w:i/>
          <w:iCs/>
          <w:u w:val="single"/>
        </w:rPr>
        <w:t xml:space="preserve">Focus on Hiring from Within Local Communities, Specifically DACs: </w:t>
      </w:r>
      <w:r>
        <w:t xml:space="preserve"> So</w:t>
      </w:r>
      <w:r w:rsidRPr="00377971">
        <w:t>C</w:t>
      </w:r>
      <w:r>
        <w:t>al</w:t>
      </w:r>
      <w:r w:rsidRPr="00377971">
        <w:t>G</w:t>
      </w:r>
      <w:r>
        <w:t>as</w:t>
      </w:r>
      <w:r w:rsidRPr="00377971">
        <w:t xml:space="preserve"> </w:t>
      </w:r>
      <w:r>
        <w:t>proposes</w:t>
      </w:r>
      <w:r w:rsidRPr="00377971">
        <w:t xml:space="preserve"> develop</w:t>
      </w:r>
      <w:r>
        <w:t>ing</w:t>
      </w:r>
      <w:r w:rsidRPr="00377971">
        <w:t xml:space="preserve"> a three year WE&amp;T program for workers in DACs </w:t>
      </w:r>
      <w:proofErr w:type="gramStart"/>
      <w:r w:rsidRPr="00377971">
        <w:t>similar to</w:t>
      </w:r>
      <w:proofErr w:type="gramEnd"/>
      <w:r w:rsidRPr="00377971">
        <w:t xml:space="preserve"> </w:t>
      </w:r>
      <w:r>
        <w:t xml:space="preserve">the </w:t>
      </w:r>
      <w:r w:rsidRPr="00377971">
        <w:t xml:space="preserve">Los Angeles Trade Tech College’s Utilities Construction Prep </w:t>
      </w:r>
      <w:r>
        <w:t>p</w:t>
      </w:r>
      <w:r w:rsidRPr="00377971">
        <w:t xml:space="preserve">rogram. </w:t>
      </w:r>
      <w:r>
        <w:t xml:space="preserve"> </w:t>
      </w:r>
      <w:r w:rsidRPr="00377971">
        <w:t>S</w:t>
      </w:r>
      <w:r>
        <w:t>o</w:t>
      </w:r>
      <w:r w:rsidRPr="00377971">
        <w:t>C</w:t>
      </w:r>
      <w:r>
        <w:t>al</w:t>
      </w:r>
      <w:r w:rsidRPr="00377971">
        <w:t>G</w:t>
      </w:r>
      <w:r>
        <w:t>as</w:t>
      </w:r>
      <w:r w:rsidRPr="00377971">
        <w:t xml:space="preserve"> would use a 3P implementer to provide administration, student recruitment, class materials, tuition, and job placement with existing ESA contractors.</w:t>
      </w:r>
      <w:r>
        <w:rPr>
          <w:rStyle w:val="FootnoteReference"/>
        </w:rPr>
        <w:footnoteReference w:id="687"/>
      </w:r>
      <w:r w:rsidRPr="00377971">
        <w:t xml:space="preserve"> </w:t>
      </w:r>
    </w:p>
    <w:p w:rsidR="000C1980" w:rsidP="0023091F" w:rsidRDefault="000C1980" w14:paraId="2A5D8101" w14:textId="77777777">
      <w:pPr>
        <w:pStyle w:val="ALJBodyText"/>
      </w:pPr>
      <w:r>
        <w:rPr>
          <w:b/>
          <w:bCs/>
          <w:i/>
          <w:iCs/>
          <w:u w:val="single"/>
        </w:rPr>
        <w:t>WE&amp;T Funding Source</w:t>
      </w:r>
      <w:r w:rsidRPr="00F15685">
        <w:rPr>
          <w:b/>
          <w:bCs/>
          <w:i/>
          <w:iCs/>
          <w:u w:val="single"/>
        </w:rPr>
        <w:t>:</w:t>
      </w:r>
      <w:r>
        <w:t xml:space="preserve"> </w:t>
      </w:r>
      <w:r w:rsidRPr="008D6C87">
        <w:t>S</w:t>
      </w:r>
      <w:r>
        <w:t xml:space="preserve">oCalGas </w:t>
      </w:r>
      <w:r w:rsidRPr="0015480D">
        <w:t>is requesting $</w:t>
      </w:r>
      <w:r>
        <w:t>6.5 million</w:t>
      </w:r>
      <w:r w:rsidRPr="0015480D">
        <w:t xml:space="preserve"> to support its WE&amp;T program</w:t>
      </w:r>
      <w:r>
        <w:t xml:space="preserve"> to be funded from the ESA program. </w:t>
      </w:r>
    </w:p>
    <w:p w:rsidR="000C1980" w:rsidP="001968DC" w:rsidRDefault="000C1980" w14:paraId="602AC320" w14:textId="68076B93">
      <w:pPr>
        <w:pStyle w:val="Heading3"/>
        <w:ind w:left="2664"/>
      </w:pPr>
      <w:bookmarkStart w:name="_Toc69948119" w:id="469"/>
      <w:r>
        <w:t>SDG&amp;E Proposal</w:t>
      </w:r>
      <w:bookmarkEnd w:id="469"/>
      <w:r>
        <w:t xml:space="preserve"> </w:t>
      </w:r>
    </w:p>
    <w:p w:rsidR="000C1980" w:rsidP="0023091F" w:rsidRDefault="000C1980" w14:paraId="638C9291" w14:textId="77777777">
      <w:pPr>
        <w:pStyle w:val="ALJBodyText"/>
      </w:pPr>
      <w:r w:rsidRPr="00996C7A">
        <w:rPr>
          <w:b/>
          <w:bCs/>
          <w:i/>
          <w:iCs/>
          <w:u w:val="single"/>
        </w:rPr>
        <w:t>Leveraging with Energy Efficiency</w:t>
      </w:r>
      <w:r>
        <w:t xml:space="preserve">: SDG&amp;E </w:t>
      </w:r>
      <w:r>
        <w:rPr>
          <w:szCs w:val="26"/>
        </w:rPr>
        <w:t>proposes to</w:t>
      </w:r>
      <w:r w:rsidRPr="00B2017C">
        <w:rPr>
          <w:szCs w:val="26"/>
        </w:rPr>
        <w:t xml:space="preserve"> fully leverage the existing </w:t>
      </w:r>
      <w:r>
        <w:rPr>
          <w:szCs w:val="26"/>
        </w:rPr>
        <w:t xml:space="preserve">mainstream energy efficiency </w:t>
      </w:r>
      <w:r w:rsidRPr="006E1550">
        <w:rPr>
          <w:szCs w:val="26"/>
        </w:rPr>
        <w:t xml:space="preserve">WE&amp;T program </w:t>
      </w:r>
      <w:r>
        <w:rPr>
          <w:szCs w:val="26"/>
        </w:rPr>
        <w:t>which</w:t>
      </w:r>
      <w:r>
        <w:t xml:space="preserve"> </w:t>
      </w:r>
      <w:r w:rsidRPr="0072038D">
        <w:t>offer</w:t>
      </w:r>
      <w:r>
        <w:t>s</w:t>
      </w:r>
      <w:r w:rsidRPr="0072038D">
        <w:t xml:space="preserve"> energy efficiency education to</w:t>
      </w:r>
      <w:r>
        <w:t xml:space="preserve"> </w:t>
      </w:r>
      <w:r w:rsidRPr="0072038D">
        <w:t>incumbent and potential workers and customers so that they may recognize and act on</w:t>
      </w:r>
      <w:r>
        <w:t xml:space="preserve"> </w:t>
      </w:r>
      <w:r w:rsidRPr="0072038D">
        <w:t>opportunities to save energy</w:t>
      </w:r>
      <w:r>
        <w:t xml:space="preserve">.  The program </w:t>
      </w:r>
      <w:r w:rsidRPr="00F225BD">
        <w:t>primarily focuse</w:t>
      </w:r>
      <w:r>
        <w:t>s</w:t>
      </w:r>
      <w:r w:rsidRPr="00F225BD">
        <w:t xml:space="preserve"> on upskilling incumbent workers,</w:t>
      </w:r>
      <w:r>
        <w:t xml:space="preserve"> </w:t>
      </w:r>
      <w:r w:rsidRPr="00A9478B">
        <w:t>but the new Career &amp; Workforce Readiness (CWR) program will address the unique needs of the</w:t>
      </w:r>
      <w:r>
        <w:t xml:space="preserve"> </w:t>
      </w:r>
      <w:r w:rsidRPr="00A9478B">
        <w:t>disadvantaged worker.</w:t>
      </w:r>
      <w:r>
        <w:t xml:space="preserve"> </w:t>
      </w:r>
    </w:p>
    <w:p w:rsidR="000C1980" w:rsidP="0023091F" w:rsidRDefault="000C1980" w14:paraId="22DFACC1" w14:textId="77777777">
      <w:pPr>
        <w:pStyle w:val="ALJBodyText"/>
      </w:pPr>
      <w:r w:rsidRPr="00BD1C05">
        <w:t>New and Existing Efforts:</w:t>
      </w:r>
      <w:r>
        <w:t xml:space="preserve"> These efforts include:</w:t>
      </w:r>
      <w:r>
        <w:rPr>
          <w:rStyle w:val="FootnoteReference"/>
        </w:rPr>
        <w:footnoteReference w:id="688"/>
      </w:r>
    </w:p>
    <w:p w:rsidR="000C1980" w:rsidP="00402362" w:rsidRDefault="000C1980" w14:paraId="79F3270D" w14:textId="77777777">
      <w:pPr>
        <w:pStyle w:val="ListBullet"/>
      </w:pPr>
      <w:r w:rsidRPr="00233EAB">
        <w:lastRenderedPageBreak/>
        <w:t>Increas</w:t>
      </w:r>
      <w:r>
        <w:t>ing</w:t>
      </w:r>
      <w:r w:rsidRPr="00233EAB">
        <w:t xml:space="preserve"> awareness of and appreciation for </w:t>
      </w:r>
      <w:r>
        <w:rPr>
          <w:szCs w:val="26"/>
        </w:rPr>
        <w:t xml:space="preserve">energy efficiency </w:t>
      </w:r>
      <w:r w:rsidRPr="00233EAB">
        <w:t>jobs</w:t>
      </w:r>
      <w:r>
        <w:t>.</w:t>
      </w:r>
    </w:p>
    <w:p w:rsidR="000C1980" w:rsidP="00402362" w:rsidRDefault="000C1980" w14:paraId="002E0DBF" w14:textId="77777777">
      <w:pPr>
        <w:pStyle w:val="ListBullet"/>
      </w:pPr>
      <w:r w:rsidRPr="00233EAB">
        <w:t>Increas</w:t>
      </w:r>
      <w:r>
        <w:t>ing</w:t>
      </w:r>
      <w:r w:rsidRPr="00233EAB">
        <w:t xml:space="preserve"> awareness of workforce development organizations’ services and programs</w:t>
      </w:r>
      <w:r>
        <w:t xml:space="preserve">. </w:t>
      </w:r>
    </w:p>
    <w:p w:rsidR="000C1980" w:rsidP="00402362" w:rsidRDefault="000C1980" w14:paraId="01D1FAC8" w14:textId="77777777">
      <w:pPr>
        <w:pStyle w:val="ListBullet"/>
      </w:pPr>
      <w:r>
        <w:t>I</w:t>
      </w:r>
      <w:r w:rsidRPr="00233EAB">
        <w:t>nclud</w:t>
      </w:r>
      <w:r>
        <w:t>ing</w:t>
      </w:r>
      <w:r w:rsidRPr="00233EAB">
        <w:t xml:space="preserve"> relevant and current </w:t>
      </w:r>
      <w:r>
        <w:rPr>
          <w:szCs w:val="26"/>
        </w:rPr>
        <w:t>energy efficiency</w:t>
      </w:r>
      <w:r w:rsidRPr="00233EAB">
        <w:t xml:space="preserve"> content with a focus on adult learning best practices to impart technical knowledge and skills</w:t>
      </w:r>
      <w:r>
        <w:t xml:space="preserve">. </w:t>
      </w:r>
    </w:p>
    <w:p w:rsidR="000C1980" w:rsidP="00402362" w:rsidRDefault="000C1980" w14:paraId="6F8E8C71" w14:textId="77777777">
      <w:pPr>
        <w:pStyle w:val="ListBullet"/>
      </w:pPr>
      <w:r>
        <w:t>Providing s</w:t>
      </w:r>
      <w:r w:rsidRPr="00233EAB">
        <w:t>olutions that incorporate training programs and services across all IOU territories to address the unique needs of disadvantaged workers and local</w:t>
      </w:r>
      <w:r>
        <w:t xml:space="preserve"> </w:t>
      </w:r>
      <w:r w:rsidRPr="00233EAB">
        <w:t>economies</w:t>
      </w:r>
      <w:r>
        <w:t xml:space="preserve">. </w:t>
      </w:r>
    </w:p>
    <w:p w:rsidR="000C1980" w:rsidP="00402362" w:rsidRDefault="000C1980" w14:paraId="4AAEC5B2" w14:textId="77777777">
      <w:pPr>
        <w:pStyle w:val="ListBullet"/>
      </w:pPr>
      <w:r>
        <w:t>L</w:t>
      </w:r>
      <w:r w:rsidRPr="00233EAB">
        <w:t>everag</w:t>
      </w:r>
      <w:r>
        <w:t>ing</w:t>
      </w:r>
      <w:r w:rsidRPr="00233EAB">
        <w:t xml:space="preserve"> workforce development organizations’ social services to address participants’ unique barriers to program participation and employment</w:t>
      </w:r>
      <w:r>
        <w:t>.</w:t>
      </w:r>
    </w:p>
    <w:p w:rsidR="000C1980" w:rsidP="00402362" w:rsidRDefault="000C1980" w14:paraId="2DE324FE" w14:textId="77777777">
      <w:pPr>
        <w:pStyle w:val="ListBullet"/>
      </w:pPr>
      <w:r>
        <w:t>C</w:t>
      </w:r>
      <w:r w:rsidRPr="00233EAB">
        <w:t>reat</w:t>
      </w:r>
      <w:r>
        <w:t>ing</w:t>
      </w:r>
      <w:r w:rsidRPr="00233EAB">
        <w:t xml:space="preserve"> opportunity for “high road” employment</w:t>
      </w:r>
      <w:r>
        <w:t xml:space="preserve">. </w:t>
      </w:r>
    </w:p>
    <w:p w:rsidR="000C1980" w:rsidP="00402362" w:rsidRDefault="000C1980" w14:paraId="7E0EEA41" w14:textId="77777777">
      <w:pPr>
        <w:pStyle w:val="ListBullet"/>
      </w:pPr>
      <w:r>
        <w:t>P</w:t>
      </w:r>
      <w:r w:rsidRPr="00233EAB">
        <w:t>repar</w:t>
      </w:r>
      <w:r>
        <w:t>ing</w:t>
      </w:r>
      <w:r w:rsidRPr="00233EAB">
        <w:t xml:space="preserve"> participants to support the IOUs </w:t>
      </w:r>
      <w:r w:rsidRPr="008E1EB2">
        <w:rPr>
          <w:szCs w:val="26"/>
        </w:rPr>
        <w:t xml:space="preserve">energy efficiency </w:t>
      </w:r>
      <w:r w:rsidRPr="00233EAB">
        <w:t xml:space="preserve">and </w:t>
      </w:r>
      <w:proofErr w:type="gramStart"/>
      <w:r w:rsidRPr="00233EAB">
        <w:t>low</w:t>
      </w:r>
      <w:r>
        <w:t xml:space="preserve"> i</w:t>
      </w:r>
      <w:r w:rsidRPr="00233EAB">
        <w:t>ncome</w:t>
      </w:r>
      <w:proofErr w:type="gramEnd"/>
      <w:r w:rsidRPr="00233EAB">
        <w:t xml:space="preserve"> resource programs.</w:t>
      </w:r>
    </w:p>
    <w:p w:rsidRPr="007E077B" w:rsidR="000C1980" w:rsidP="0023091F" w:rsidRDefault="000C1980" w14:paraId="1D3DB27B" w14:textId="77777777">
      <w:pPr>
        <w:pStyle w:val="ALJBodyText"/>
        <w:rPr>
          <w:szCs w:val="26"/>
        </w:rPr>
      </w:pPr>
      <w:r w:rsidRPr="005D5A87">
        <w:rPr>
          <w:b/>
          <w:bCs/>
          <w:i/>
          <w:iCs/>
          <w:u w:val="single"/>
        </w:rPr>
        <w:t>Focus on Hiring from Within Local Communities, Specifically DACs</w:t>
      </w:r>
      <w:r w:rsidRPr="533FAECE">
        <w:rPr>
          <w:b/>
          <w:i/>
          <w:u w:val="single"/>
        </w:rPr>
        <w:t>:</w:t>
      </w:r>
      <w:r>
        <w:rPr>
          <w:szCs w:val="26"/>
        </w:rPr>
        <w:t xml:space="preserve"> </w:t>
      </w:r>
      <w:r w:rsidRPr="533FAECE">
        <w:t>SDG&amp;E states that the energy efficiency WE&amp;T CWR program will</w:t>
      </w:r>
      <w:r>
        <w:rPr>
          <w:szCs w:val="26"/>
        </w:rPr>
        <w:t xml:space="preserve"> </w:t>
      </w:r>
      <w:r w:rsidRPr="533FAECE">
        <w:t>offer a formalized</w:t>
      </w:r>
      <w:r>
        <w:rPr>
          <w:szCs w:val="26"/>
        </w:rPr>
        <w:t xml:space="preserve"> </w:t>
      </w:r>
      <w:r w:rsidRPr="533FAECE">
        <w:t>and easily accessible WE&amp;T sub-program that will</w:t>
      </w:r>
      <w:r w:rsidRPr="00056528">
        <w:rPr>
          <w:szCs w:val="26"/>
        </w:rPr>
        <w:t xml:space="preserve"> </w:t>
      </w:r>
      <w:r w:rsidRPr="533FAECE">
        <w:t>focus on disadvantaged workers, leverage and complement existing social services (soft skills, case management, job</w:t>
      </w:r>
      <w:r>
        <w:rPr>
          <w:szCs w:val="26"/>
        </w:rPr>
        <w:t xml:space="preserve"> </w:t>
      </w:r>
      <w:r w:rsidRPr="533FAECE">
        <w:t>placement)</w:t>
      </w:r>
      <w:r>
        <w:rPr>
          <w:szCs w:val="26"/>
        </w:rPr>
        <w:t>,</w:t>
      </w:r>
      <w:r w:rsidRPr="533FAECE">
        <w:t xml:space="preserve"> allow direct access to employment and/or energy education pathways via</w:t>
      </w:r>
      <w:r>
        <w:rPr>
          <w:szCs w:val="26"/>
        </w:rPr>
        <w:t xml:space="preserve"> </w:t>
      </w:r>
      <w:r>
        <w:t>w</w:t>
      </w:r>
      <w:r w:rsidRPr="533FAECE">
        <w:t xml:space="preserve">orkforce </w:t>
      </w:r>
      <w:r>
        <w:t>d</w:t>
      </w:r>
      <w:r w:rsidRPr="533FAECE">
        <w:t xml:space="preserve">evelopment </w:t>
      </w:r>
      <w:r>
        <w:t>o</w:t>
      </w:r>
      <w:r w:rsidRPr="533FAECE">
        <w:t>rganizations (community colleges, apprenticeship programs,</w:t>
      </w:r>
      <w:r>
        <w:rPr>
          <w:szCs w:val="26"/>
        </w:rPr>
        <w:t xml:space="preserve"> </w:t>
      </w:r>
      <w:r w:rsidRPr="533FAECE">
        <w:t>workforce development boards, non-profits), and provide new and skilled</w:t>
      </w:r>
      <w:r>
        <w:rPr>
          <w:szCs w:val="26"/>
        </w:rPr>
        <w:t xml:space="preserve"> </w:t>
      </w:r>
      <w:r w:rsidRPr="533FAECE">
        <w:t>members of the energy efficiency workforce a path to future employment supporting IOU resource programs</w:t>
      </w:r>
      <w:r>
        <w:rPr>
          <w:szCs w:val="26"/>
        </w:rPr>
        <w:t>.</w:t>
      </w:r>
      <w:r w:rsidRPr="533FAECE">
        <w:rPr>
          <w:rStyle w:val="FootnoteReference"/>
        </w:rPr>
        <w:footnoteReference w:id="689"/>
      </w:r>
      <w:r w:rsidRPr="007E077B">
        <w:rPr>
          <w:szCs w:val="26"/>
        </w:rPr>
        <w:t xml:space="preserve"> </w:t>
      </w:r>
    </w:p>
    <w:p w:rsidR="000C1980" w:rsidP="0023091F" w:rsidRDefault="000C1980" w14:paraId="62F4DDB1" w14:textId="77777777">
      <w:pPr>
        <w:pStyle w:val="ALJBodyText"/>
      </w:pPr>
      <w:r>
        <w:rPr>
          <w:b/>
          <w:bCs/>
          <w:i/>
          <w:iCs/>
          <w:u w:val="single"/>
        </w:rPr>
        <w:t>WE&amp;T Funding Source</w:t>
      </w:r>
      <w:r w:rsidRPr="00F15685">
        <w:rPr>
          <w:b/>
          <w:bCs/>
          <w:i/>
          <w:iCs/>
          <w:u w:val="single"/>
        </w:rPr>
        <w:t>:</w:t>
      </w:r>
      <w:r>
        <w:t xml:space="preserve"> SDG&amp;E proposes that WE&amp;T efforts will be funded from the mainstream energy efficiency WE&amp;T budget, and not the </w:t>
      </w:r>
      <w:proofErr w:type="gramStart"/>
      <w:r>
        <w:t>low income</w:t>
      </w:r>
      <w:proofErr w:type="gramEnd"/>
      <w:r>
        <w:t xml:space="preserve"> programs.</w:t>
      </w:r>
    </w:p>
    <w:p w:rsidR="000C1980" w:rsidP="001968DC" w:rsidRDefault="000C1980" w14:paraId="66E9B44D" w14:textId="4D5AFD23">
      <w:pPr>
        <w:pStyle w:val="Heading3"/>
        <w:ind w:left="2664"/>
      </w:pPr>
      <w:bookmarkStart w:name="_Toc69948120" w:id="470"/>
      <w:r>
        <w:lastRenderedPageBreak/>
        <w:t>Party Positions</w:t>
      </w:r>
      <w:bookmarkEnd w:id="470"/>
    </w:p>
    <w:p w:rsidR="000C1980" w:rsidP="001968DC" w:rsidRDefault="000C1980" w14:paraId="2EB6E87B" w14:textId="77777777">
      <w:pPr>
        <w:pStyle w:val="Heading4"/>
        <w:ind w:left="3600"/>
      </w:pPr>
      <w:bookmarkStart w:name="_Toc69948121" w:id="471"/>
      <w:r>
        <w:t>Joint Parties</w:t>
      </w:r>
      <w:bookmarkEnd w:id="471"/>
    </w:p>
    <w:p w:rsidRPr="00A33910" w:rsidR="000C1980" w:rsidP="0023091F" w:rsidRDefault="000C1980" w14:paraId="3A018FD9" w14:textId="77777777">
      <w:pPr>
        <w:pStyle w:val="ALJBodyText"/>
      </w:pPr>
      <w:r>
        <w:t>The Joint Parties propose the following to</w:t>
      </w:r>
      <w:r w:rsidRPr="00A33910">
        <w:t xml:space="preserve"> improve the workforce quality, access,</w:t>
      </w:r>
      <w:r>
        <w:t xml:space="preserve"> </w:t>
      </w:r>
      <w:r w:rsidRPr="00A33910">
        <w:t>and growth for workers</w:t>
      </w:r>
      <w:r>
        <w:t>, stating that m</w:t>
      </w:r>
      <w:r w:rsidRPr="00A33910">
        <w:t>aking these improvements will not only support a growing strong workforce but will</w:t>
      </w:r>
      <w:r>
        <w:t xml:space="preserve"> </w:t>
      </w:r>
      <w:r w:rsidRPr="00A33910">
        <w:t>also improve the quality of installations, thereby supporting the state’s climate goals</w:t>
      </w:r>
      <w:r>
        <w:rPr>
          <w:rFonts w:ascii="TimesNewRomanPSMT" w:hAnsi="TimesNewRomanPSMT" w:cs="TimesNewRomanPSMT"/>
          <w:sz w:val="24"/>
          <w:szCs w:val="24"/>
        </w:rPr>
        <w:t>.</w:t>
      </w:r>
      <w:r>
        <w:rPr>
          <w:rStyle w:val="FootnoteReference"/>
          <w:rFonts w:ascii="TimesNewRomanPSMT" w:hAnsi="TimesNewRomanPSMT" w:cs="TimesNewRomanPSMT"/>
          <w:sz w:val="24"/>
          <w:szCs w:val="24"/>
        </w:rPr>
        <w:footnoteReference w:id="690"/>
      </w:r>
      <w:r>
        <w:rPr>
          <w:rFonts w:ascii="TimesNewRomanPSMT" w:hAnsi="TimesNewRomanPSMT" w:cs="TimesNewRomanPSMT"/>
          <w:sz w:val="24"/>
          <w:szCs w:val="24"/>
        </w:rPr>
        <w:t xml:space="preserve">  </w:t>
      </w:r>
      <w:r w:rsidRPr="533FAECE">
        <w:rPr>
          <w:rFonts w:cs="TimesNewRomanPSMT"/>
        </w:rPr>
        <w:t>These new efforts include:</w:t>
      </w:r>
      <w:r>
        <w:rPr>
          <w:rFonts w:ascii="TimesNewRomanPSMT" w:hAnsi="TimesNewRomanPSMT" w:cs="TimesNewRomanPSMT"/>
          <w:sz w:val="24"/>
          <w:szCs w:val="24"/>
        </w:rPr>
        <w:t xml:space="preserve"> </w:t>
      </w:r>
    </w:p>
    <w:p w:rsidRPr="009E75E9" w:rsidR="000C1980" w:rsidP="0023091F" w:rsidRDefault="000C1980" w14:paraId="68F85783" w14:textId="77777777">
      <w:pPr>
        <w:pStyle w:val="ALJBodyText"/>
      </w:pPr>
      <w:r w:rsidRPr="009E75E9">
        <w:t xml:space="preserve">Improving the Type/Quality of Training: </w:t>
      </w:r>
    </w:p>
    <w:p w:rsidRPr="002051E2" w:rsidR="000C1980" w:rsidP="00402362" w:rsidRDefault="000C1980" w14:paraId="1A423B12" w14:textId="77777777">
      <w:pPr>
        <w:pStyle w:val="ListBullet"/>
      </w:pPr>
      <w:r w:rsidRPr="002051E2">
        <w:t>Aligning ESA training with established curricula, which provides the flexibility for different program needs while providing participants with an industry recognized credential.</w:t>
      </w:r>
    </w:p>
    <w:p w:rsidRPr="002051E2" w:rsidR="000C1980" w:rsidP="00402362" w:rsidRDefault="000C1980" w14:paraId="79E0EC64" w14:textId="77777777">
      <w:pPr>
        <w:pStyle w:val="ListBullet"/>
      </w:pPr>
      <w:r w:rsidRPr="002051E2">
        <w:t>Solidifying and formalizing the role of ESA as entry level earn-as-you-learn energy efficiency training.</w:t>
      </w:r>
    </w:p>
    <w:p w:rsidRPr="009E75E9" w:rsidR="000C1980" w:rsidP="0023091F" w:rsidRDefault="000C1980" w14:paraId="44D9A3C6" w14:textId="77777777">
      <w:pPr>
        <w:pStyle w:val="ALJBodyText"/>
      </w:pPr>
      <w:r w:rsidRPr="009E75E9">
        <w:t>Forming Partnerships:</w:t>
      </w:r>
    </w:p>
    <w:p w:rsidRPr="002B4BDB" w:rsidR="000C1980" w:rsidP="00402362" w:rsidRDefault="000C1980" w14:paraId="6C6CCF0C" w14:textId="77777777">
      <w:pPr>
        <w:pStyle w:val="ListBullet"/>
      </w:pPr>
      <w:r w:rsidRPr="002051E2">
        <w:t>Aligning with the California Workforce Development</w:t>
      </w:r>
      <w:r w:rsidRPr="002B4BDB">
        <w:t xml:space="preserve"> Board’s Energy, Climate, and </w:t>
      </w:r>
      <w:proofErr w:type="gramStart"/>
      <w:r w:rsidRPr="002B4BDB">
        <w:t>Jobs</w:t>
      </w:r>
      <w:proofErr w:type="gramEnd"/>
      <w:r w:rsidRPr="002B4BDB">
        <w:t xml:space="preserve"> initiatives to pursue how </w:t>
      </w:r>
      <w:r>
        <w:t xml:space="preserve">the </w:t>
      </w:r>
      <w:r w:rsidRPr="002B4BDB">
        <w:t>ESA program can contribute to equitable high-road workforce development.</w:t>
      </w:r>
    </w:p>
    <w:p w:rsidRPr="002B4BDB" w:rsidR="000C1980" w:rsidP="00402362" w:rsidRDefault="000C1980" w14:paraId="255003AF" w14:textId="77777777">
      <w:pPr>
        <w:pStyle w:val="ListBullet"/>
      </w:pPr>
      <w:r w:rsidRPr="002B4BDB">
        <w:t>Establishing formal partnerships and hiring agreements between utilities, efficiency contractors, apprenticeship, or community college programs and ESA contractors to ensure commitments to integrating ESA into broader workforce education and training infrastructure and the broader energy efficiency industry.</w:t>
      </w:r>
    </w:p>
    <w:p w:rsidRPr="002B4BDB" w:rsidR="000C1980" w:rsidP="00402362" w:rsidRDefault="000C1980" w14:paraId="09AA2206" w14:textId="77777777">
      <w:pPr>
        <w:pStyle w:val="ListBullet"/>
      </w:pPr>
      <w:r w:rsidRPr="002B4BDB">
        <w:t>Partnering with organizations who can provide case management, placement, and tracking services to support workers in accessing more advanced energy efficiency jobs and ensure that the broader energy efficiency field in California is able to pull qualified workers from ESA.</w:t>
      </w:r>
    </w:p>
    <w:p w:rsidRPr="002B4BDB" w:rsidR="000C1980" w:rsidP="00402362" w:rsidRDefault="000C1980" w14:paraId="5EE804AA" w14:textId="77777777">
      <w:pPr>
        <w:pStyle w:val="ListBullet"/>
      </w:pPr>
      <w:r w:rsidRPr="002B4BDB">
        <w:t xml:space="preserve">Partnering with CBOs providing or able to provide wrap around services to targeted populations who are under-represented in </w:t>
      </w:r>
      <w:r w:rsidRPr="002B4BDB">
        <w:lastRenderedPageBreak/>
        <w:t>efficiency work or who are members of disadvantaged communities.</w:t>
      </w:r>
    </w:p>
    <w:p w:rsidRPr="009E75E9" w:rsidR="000C1980" w:rsidP="0023091F" w:rsidRDefault="000C1980" w14:paraId="0607C85A" w14:textId="77777777">
      <w:pPr>
        <w:pStyle w:val="ALJBodyText"/>
      </w:pPr>
      <w:r w:rsidRPr="009E75E9">
        <w:t xml:space="preserve">Ensuring Adequate Wages: </w:t>
      </w:r>
    </w:p>
    <w:p w:rsidRPr="002B4BDB" w:rsidR="000C1980" w:rsidP="00402362" w:rsidRDefault="000C1980" w14:paraId="739DC8F5" w14:textId="77777777">
      <w:pPr>
        <w:pStyle w:val="ListBullet"/>
      </w:pPr>
      <w:r w:rsidRPr="002B4BDB">
        <w:t>Establishing a living wage floor for all ESA workers.</w:t>
      </w:r>
    </w:p>
    <w:p w:rsidRPr="002B4BDB" w:rsidR="000C1980" w:rsidP="00402362" w:rsidRDefault="000C1980" w14:paraId="07335BEA" w14:textId="77777777">
      <w:pPr>
        <w:pStyle w:val="ListBullet"/>
      </w:pPr>
      <w:r w:rsidRPr="002B4BDB">
        <w:t>Calibrating additional requirements with increased compensation for ESA contractors to meet new requirements, and institute an enforcement mechanism.</w:t>
      </w:r>
    </w:p>
    <w:p w:rsidRPr="002B4BDB" w:rsidR="000C1980" w:rsidP="00402362" w:rsidRDefault="000C1980" w14:paraId="5859CBB1" w14:textId="77777777">
      <w:pPr>
        <w:pStyle w:val="ListBullet"/>
        <w:rPr>
          <w:rFonts w:cs="TimesNewRomanPSMT"/>
          <w:szCs w:val="26"/>
        </w:rPr>
      </w:pPr>
      <w:r w:rsidRPr="002B4BDB">
        <w:t xml:space="preserve">Immediately implementing a system to track all ESA workers’ starting wages </w:t>
      </w:r>
      <w:r w:rsidRPr="002B4BDB">
        <w:rPr>
          <w:rFonts w:cs="TimesNewRomanPSMT"/>
          <w:szCs w:val="26"/>
        </w:rPr>
        <w:t>and career and compensation trajectories for at least three years.</w:t>
      </w:r>
    </w:p>
    <w:p w:rsidR="000C1980" w:rsidP="001968DC" w:rsidRDefault="000C1980" w14:paraId="07E81B2C" w14:textId="77777777">
      <w:pPr>
        <w:pStyle w:val="Heading4"/>
        <w:ind w:left="3600"/>
      </w:pPr>
      <w:bookmarkStart w:name="_Toc69948122" w:id="472"/>
      <w:r>
        <w:t>Cal Advocates</w:t>
      </w:r>
      <w:bookmarkEnd w:id="472"/>
    </w:p>
    <w:p w:rsidRPr="00B87AE8" w:rsidR="000C1980" w:rsidP="0023091F" w:rsidRDefault="000C1980" w14:paraId="6E67209A" w14:textId="1D8C0C56">
      <w:pPr>
        <w:pStyle w:val="ALJBodyText"/>
      </w:pPr>
      <w:r>
        <w:rPr>
          <w:b/>
          <w:bCs/>
          <w:i/>
          <w:iCs/>
          <w:u w:val="single"/>
        </w:rPr>
        <w:t>WE&amp;T Funding Source</w:t>
      </w:r>
      <w:r w:rsidRPr="00F15685">
        <w:rPr>
          <w:b/>
          <w:bCs/>
          <w:i/>
          <w:iCs/>
          <w:u w:val="single"/>
        </w:rPr>
        <w:t>:</w:t>
      </w:r>
      <w:r>
        <w:t xml:space="preserve"> Cal Advocates opposes</w:t>
      </w:r>
      <w:r w:rsidRPr="00003493">
        <w:t xml:space="preserve"> SCE’s </w:t>
      </w:r>
      <w:r>
        <w:t>p</w:t>
      </w:r>
      <w:r w:rsidRPr="00003493">
        <w:t>roposal to</w:t>
      </w:r>
      <w:r>
        <w:t xml:space="preserve"> t</w:t>
      </w:r>
      <w:r w:rsidRPr="00B87AE8">
        <w:t xml:space="preserve">ransfer </w:t>
      </w:r>
      <w:r>
        <w:t>WE&amp;T funding from it</w:t>
      </w:r>
      <w:r w:rsidR="00DD3588">
        <w:t>s</w:t>
      </w:r>
      <w:r>
        <w:t xml:space="preserve"> e</w:t>
      </w:r>
      <w:r w:rsidRPr="00B87AE8">
        <w:t xml:space="preserve">nergy </w:t>
      </w:r>
      <w:r>
        <w:t>e</w:t>
      </w:r>
      <w:r w:rsidRPr="00B87AE8">
        <w:t xml:space="preserve">fficiency </w:t>
      </w:r>
      <w:r>
        <w:t>p</w:t>
      </w:r>
      <w:r w:rsidRPr="00B87AE8">
        <w:t xml:space="preserve">ortfolio to </w:t>
      </w:r>
      <w:r>
        <w:t>its low income q</w:t>
      </w:r>
      <w:r w:rsidRPr="00B87AE8">
        <w:t xml:space="preserve">ualified </w:t>
      </w:r>
      <w:r>
        <w:t>p</w:t>
      </w:r>
      <w:r w:rsidRPr="00B87AE8">
        <w:t xml:space="preserve">rograms </w:t>
      </w:r>
      <w:r>
        <w:t>p</w:t>
      </w:r>
      <w:r w:rsidRPr="00B87AE8">
        <w:t>ortfolio</w:t>
      </w:r>
      <w:r>
        <w:t xml:space="preserve"> arguing that 1) </w:t>
      </w:r>
      <w:r w:rsidRPr="00B87AE8">
        <w:t xml:space="preserve">SCE </w:t>
      </w:r>
      <w:r>
        <w:t>fails to</w:t>
      </w:r>
      <w:r w:rsidRPr="00B87AE8">
        <w:t xml:space="preserve"> provide adequate support </w:t>
      </w:r>
      <w:r>
        <w:t xml:space="preserve">for why </w:t>
      </w:r>
      <w:r w:rsidRPr="00B87AE8">
        <w:t>benefits cannot be</w:t>
      </w:r>
      <w:r>
        <w:t xml:space="preserve"> </w:t>
      </w:r>
      <w:r w:rsidRPr="00B87AE8">
        <w:t>realized under the current funding mechanism</w:t>
      </w:r>
      <w:r>
        <w:t xml:space="preserve">, </w:t>
      </w:r>
      <w:r w:rsidRPr="00B87AE8">
        <w:t xml:space="preserve">and </w:t>
      </w:r>
      <w:r>
        <w:t>2) </w:t>
      </w:r>
      <w:r w:rsidRPr="00B87AE8">
        <w:t>the proposal would eliminate</w:t>
      </w:r>
      <w:r>
        <w:t xml:space="preserve"> </w:t>
      </w:r>
      <w:r w:rsidRPr="00B87AE8">
        <w:t>the ratepayer protection of a cost-effectiveness analysis</w:t>
      </w:r>
      <w:r>
        <w:t xml:space="preserve"> (by </w:t>
      </w:r>
      <w:r w:rsidRPr="00B87AE8">
        <w:t>artificially inflat</w:t>
      </w:r>
      <w:r>
        <w:t xml:space="preserve">ing </w:t>
      </w:r>
      <w:r w:rsidRPr="00B87AE8">
        <w:t xml:space="preserve">its mainstream </w:t>
      </w:r>
      <w:r>
        <w:t xml:space="preserve">energy efficiency </w:t>
      </w:r>
      <w:r w:rsidRPr="00B87AE8">
        <w:t>portfolio’s overall cost-effectiveness</w:t>
      </w:r>
      <w:r>
        <w:t xml:space="preserve"> through excluding these costs from the mainstream</w:t>
      </w:r>
      <w:r w:rsidRPr="001467E4">
        <w:t xml:space="preserve"> </w:t>
      </w:r>
      <w:r>
        <w:t xml:space="preserve">energy efficiency </w:t>
      </w:r>
      <w:r w:rsidRPr="00B87AE8">
        <w:t>portfolio</w:t>
      </w:r>
      <w:r>
        <w:t>)</w:t>
      </w:r>
      <w:r w:rsidRPr="00B87AE8">
        <w:t>.</w:t>
      </w:r>
      <w:r>
        <w:rPr>
          <w:rStyle w:val="FootnoteReference"/>
        </w:rPr>
        <w:footnoteReference w:id="691"/>
      </w:r>
      <w:r>
        <w:t xml:space="preserve">  Cal Advocates states that this shift would lead to </w:t>
      </w:r>
      <w:r w:rsidRPr="00B87AE8">
        <w:t>significantly less oversight of WE&amp;T costs and effectiveness in ESA, given the current lack of a cost-effectiveness threshold requirement</w:t>
      </w:r>
      <w:r>
        <w:t xml:space="preserve">, and therefore should be rejected </w:t>
      </w:r>
    </w:p>
    <w:p w:rsidR="000C1980" w:rsidP="001968DC" w:rsidRDefault="000C1980" w14:paraId="055AA7F0" w14:textId="68588A64">
      <w:pPr>
        <w:pStyle w:val="Heading4"/>
        <w:ind w:left="3600"/>
      </w:pPr>
      <w:bookmarkStart w:name="_Toc69948123" w:id="473"/>
      <w:r>
        <w:t>EEC</w:t>
      </w:r>
      <w:bookmarkEnd w:id="473"/>
    </w:p>
    <w:p w:rsidR="000C1980" w:rsidP="00BD1C05" w:rsidRDefault="000C1980" w14:paraId="01E95C90" w14:textId="18BC6B34">
      <w:pPr>
        <w:pStyle w:val="Standard"/>
      </w:pPr>
      <w:r>
        <w:rPr>
          <w:b/>
          <w:bCs/>
          <w:i/>
          <w:iCs/>
          <w:u w:val="single"/>
        </w:rPr>
        <w:t>WE&amp;T Funding Source</w:t>
      </w:r>
      <w:r w:rsidRPr="00F15685">
        <w:rPr>
          <w:b/>
          <w:bCs/>
          <w:i/>
          <w:iCs/>
          <w:u w:val="single"/>
        </w:rPr>
        <w:t>:</w:t>
      </w:r>
      <w:r>
        <w:t xml:space="preserve"> EEC questions whether SCE’s </w:t>
      </w:r>
      <w:r w:rsidRPr="00C72DF6">
        <w:t>recommendation to use ESA funds to train non-</w:t>
      </w:r>
      <w:proofErr w:type="gramStart"/>
      <w:r w:rsidRPr="00C72DF6">
        <w:t>low</w:t>
      </w:r>
      <w:r>
        <w:t xml:space="preserve"> </w:t>
      </w:r>
      <w:r w:rsidRPr="00C72DF6">
        <w:t>income</w:t>
      </w:r>
      <w:proofErr w:type="gramEnd"/>
      <w:r w:rsidRPr="00C72DF6">
        <w:t xml:space="preserve"> individuals to perform non-low</w:t>
      </w:r>
      <w:r>
        <w:t xml:space="preserve"> </w:t>
      </w:r>
      <w:r w:rsidRPr="00C72DF6">
        <w:t>income work</w:t>
      </w:r>
      <w:r>
        <w:t xml:space="preserve"> </w:t>
      </w:r>
      <w:r w:rsidRPr="00C72DF6">
        <w:t>is a reasonable use of funds marked specifically to benefit low</w:t>
      </w:r>
      <w:r>
        <w:t xml:space="preserve"> </w:t>
      </w:r>
      <w:r w:rsidRPr="00C72DF6">
        <w:t xml:space="preserve">income </w:t>
      </w:r>
      <w:r w:rsidRPr="00C72DF6">
        <w:lastRenderedPageBreak/>
        <w:t xml:space="preserve">communities. </w:t>
      </w:r>
      <w:r>
        <w:t xml:space="preserve"> EEC states what w</w:t>
      </w:r>
      <w:r w:rsidRPr="00C72DF6">
        <w:t>hile SCE envisions</w:t>
      </w:r>
      <w:r>
        <w:t xml:space="preserve"> </w:t>
      </w:r>
      <w:r w:rsidRPr="00C72DF6">
        <w:t xml:space="preserve">focusing training </w:t>
      </w:r>
      <w:proofErr w:type="gramStart"/>
      <w:r w:rsidRPr="00C72DF6">
        <w:t>in</w:t>
      </w:r>
      <w:proofErr w:type="gramEnd"/>
      <w:r w:rsidRPr="00C72DF6">
        <w:t xml:space="preserve"> </w:t>
      </w:r>
      <w:r>
        <w:t>d</w:t>
      </w:r>
      <w:r w:rsidRPr="00C72DF6">
        <w:t>isadvantaged</w:t>
      </w:r>
      <w:r>
        <w:t xml:space="preserve"> c</w:t>
      </w:r>
      <w:r w:rsidRPr="00C72DF6">
        <w:t>ommunities</w:t>
      </w:r>
      <w:r>
        <w:t>,</w:t>
      </w:r>
      <w:r w:rsidRPr="00C72DF6">
        <w:t xml:space="preserve"> it is not clear how they will ensure ESA funds are</w:t>
      </w:r>
      <w:r>
        <w:t xml:space="preserve"> </w:t>
      </w:r>
      <w:r w:rsidRPr="00C72DF6">
        <w:t>used for their intended purpose</w:t>
      </w:r>
      <w:r w:rsidR="002C18C8">
        <w:t xml:space="preserve">, and should therefore be </w:t>
      </w:r>
      <w:r w:rsidR="00BE7BC3">
        <w:t>rejected</w:t>
      </w:r>
      <w:r w:rsidRPr="00C72DF6">
        <w:t>.</w:t>
      </w:r>
      <w:r>
        <w:rPr>
          <w:rStyle w:val="FootnoteReference"/>
        </w:rPr>
        <w:footnoteReference w:id="692"/>
      </w:r>
    </w:p>
    <w:p w:rsidR="000C1980" w:rsidP="001968DC" w:rsidRDefault="000C1980" w14:paraId="7090A087" w14:textId="77777777">
      <w:pPr>
        <w:pStyle w:val="Heading4"/>
        <w:ind w:left="3600"/>
      </w:pPr>
      <w:bookmarkStart w:name="_Toc69948124" w:id="474"/>
      <w:r>
        <w:t>Free Energy Savings Company</w:t>
      </w:r>
      <w:bookmarkEnd w:id="474"/>
    </w:p>
    <w:p w:rsidR="000C1980" w:rsidP="00BD1C05" w:rsidRDefault="000C1980" w14:paraId="776B5F4A" w14:textId="77777777">
      <w:pPr>
        <w:pStyle w:val="Standard"/>
      </w:pPr>
      <w:r>
        <w:t xml:space="preserve">Free Energy Savings Company proposes the following to </w:t>
      </w:r>
      <w:r w:rsidRPr="00856002">
        <w:t>secure</w:t>
      </w:r>
      <w:r w:rsidRPr="00B71360">
        <w:t xml:space="preserve"> </w:t>
      </w:r>
      <w:r>
        <w:t>a more</w:t>
      </w:r>
      <w:r w:rsidRPr="00B71360">
        <w:t xml:space="preserve"> quality </w:t>
      </w:r>
      <w:r>
        <w:t>workforce for the ESA program:</w:t>
      </w:r>
      <w:r>
        <w:rPr>
          <w:rStyle w:val="FootnoteReference"/>
        </w:rPr>
        <w:footnoteReference w:id="693"/>
      </w:r>
    </w:p>
    <w:p w:rsidR="000C1980" w:rsidP="00BD1C05" w:rsidRDefault="000C1980" w14:paraId="6D33A193" w14:textId="77777777">
      <w:pPr>
        <w:pStyle w:val="Standard"/>
      </w:pPr>
      <w:r w:rsidRPr="009E75E9">
        <w:rPr>
          <w:b/>
          <w:bCs/>
          <w:i/>
          <w:iCs/>
          <w:u w:val="single"/>
        </w:rPr>
        <w:t>Aiding Prior to Hiring:</w:t>
      </w:r>
      <w:r w:rsidRPr="00B8716F">
        <w:rPr>
          <w:b/>
          <w:bCs/>
          <w:i/>
          <w:iCs/>
        </w:rPr>
        <w:t xml:space="preserve"> </w:t>
      </w:r>
      <w:r>
        <w:t xml:space="preserve">Free Energy Savings proposes that </w:t>
      </w:r>
      <w:r w:rsidRPr="00856002">
        <w:t xml:space="preserve">prospective </w:t>
      </w:r>
      <w:r>
        <w:t>u</w:t>
      </w:r>
      <w:r w:rsidRPr="00856002">
        <w:t xml:space="preserve">tility </w:t>
      </w:r>
      <w:r>
        <w:t>o</w:t>
      </w:r>
      <w:r w:rsidRPr="00856002">
        <w:t xml:space="preserve">utreach </w:t>
      </w:r>
      <w:r>
        <w:t>s</w:t>
      </w:r>
      <w:r w:rsidRPr="00856002">
        <w:t>pecialist</w:t>
      </w:r>
      <w:r>
        <w:t>s</w:t>
      </w:r>
      <w:r w:rsidRPr="00856002">
        <w:t xml:space="preserve"> </w:t>
      </w:r>
      <w:r>
        <w:t xml:space="preserve">receive </w:t>
      </w:r>
      <w:r w:rsidRPr="00856002">
        <w:t>training and certification as part of the job</w:t>
      </w:r>
      <w:r>
        <w:t xml:space="preserve"> </w:t>
      </w:r>
      <w:r w:rsidRPr="00856002">
        <w:t xml:space="preserve">training programs </w:t>
      </w:r>
      <w:r w:rsidRPr="00856002">
        <w:rPr>
          <w:i/>
          <w:iCs/>
        </w:rPr>
        <w:t xml:space="preserve">prior to </w:t>
      </w:r>
      <w:r w:rsidRPr="00856002">
        <w:t>ESA hiring</w:t>
      </w:r>
      <w:r>
        <w:t xml:space="preserve">, and that they be assisted with securing </w:t>
      </w:r>
      <w:r w:rsidRPr="00856002">
        <w:t xml:space="preserve">their legally mandated listing on </w:t>
      </w:r>
      <w:r>
        <w:t xml:space="preserve">the </w:t>
      </w:r>
      <w:r w:rsidRPr="00856002">
        <w:t>Home Improvement Salesperson Registry by the California Contractors State Licensing Board</w:t>
      </w:r>
      <w:r>
        <w:t xml:space="preserve"> as part of the </w:t>
      </w:r>
      <w:r w:rsidRPr="00856002">
        <w:t>pre-hiring job training</w:t>
      </w:r>
      <w:r>
        <w:t xml:space="preserve">.  </w:t>
      </w:r>
    </w:p>
    <w:p w:rsidR="000C1980" w:rsidP="0023091F" w:rsidRDefault="000C1980" w14:paraId="70CA82CE" w14:textId="77777777">
      <w:pPr>
        <w:pStyle w:val="ALJBodyText"/>
      </w:pPr>
      <w:r w:rsidRPr="009E75E9">
        <w:rPr>
          <w:b/>
          <w:bCs/>
          <w:i/>
          <w:iCs/>
          <w:u w:val="single"/>
        </w:rPr>
        <w:t>Reimbursing Training/ Certification Fees:</w:t>
      </w:r>
      <w:r>
        <w:t xml:space="preserve"> Free Energy Savings proposes that contractors receive assistance with payments for </w:t>
      </w:r>
      <w:r w:rsidRPr="00856002">
        <w:t xml:space="preserve">training or certification fees or </w:t>
      </w:r>
      <w:r>
        <w:t xml:space="preserve">offered </w:t>
      </w:r>
      <w:r w:rsidRPr="00856002">
        <w:t>forgivable loan</w:t>
      </w:r>
      <w:r>
        <w:t>s</w:t>
      </w:r>
      <w:r w:rsidRPr="00856002">
        <w:t xml:space="preserve">, with the IOU or the hiring ESA </w:t>
      </w:r>
      <w:r>
        <w:t>c</w:t>
      </w:r>
      <w:r w:rsidRPr="00856002">
        <w:t>ontractor reimbursing them for</w:t>
      </w:r>
      <w:r>
        <w:t xml:space="preserve"> </w:t>
      </w:r>
      <w:r w:rsidRPr="00856002">
        <w:t>such fees</w:t>
      </w:r>
      <w:r>
        <w:t>.</w:t>
      </w:r>
      <w:r>
        <w:rPr>
          <w:rStyle w:val="FootnoteReference"/>
        </w:rPr>
        <w:footnoteReference w:id="694"/>
      </w:r>
      <w:r>
        <w:t xml:space="preserve"> </w:t>
      </w:r>
    </w:p>
    <w:p w:rsidRPr="00512167" w:rsidR="000C1980" w:rsidP="0023091F" w:rsidRDefault="000C1980" w14:paraId="24090329" w14:textId="77777777">
      <w:pPr>
        <w:pStyle w:val="ALJBodyText"/>
        <w:rPr>
          <w:b/>
          <w:bCs/>
          <w:i/>
          <w:iCs/>
          <w:u w:val="single"/>
        </w:rPr>
      </w:pPr>
      <w:r w:rsidRPr="009E75E9">
        <w:rPr>
          <w:b/>
          <w:bCs/>
          <w:i/>
          <w:iCs/>
          <w:u w:val="single"/>
        </w:rPr>
        <w:t>Modifying Background Checks:</w:t>
      </w:r>
      <w:r>
        <w:t xml:space="preserve"> Free Energy Savings Company requests that </w:t>
      </w:r>
      <w:r w:rsidRPr="00856002">
        <w:t xml:space="preserve">regulations and contract restrictions with respect to </w:t>
      </w:r>
      <w:r>
        <w:t xml:space="preserve">hiring </w:t>
      </w:r>
      <w:r w:rsidRPr="00856002">
        <w:t xml:space="preserve">ex-offenders </w:t>
      </w:r>
      <w:r>
        <w:t xml:space="preserve">in the ESA program </w:t>
      </w:r>
      <w:r w:rsidRPr="00856002">
        <w:t>be reviewed</w:t>
      </w:r>
      <w:r>
        <w:t xml:space="preserve"> </w:t>
      </w:r>
      <w:r w:rsidRPr="00856002">
        <w:t>for reasonableness with the intent of keeping restrictions only on those which clearly should</w:t>
      </w:r>
      <w:r>
        <w:t xml:space="preserve"> </w:t>
      </w:r>
      <w:r w:rsidRPr="00856002">
        <w:t>not be welcomed.</w:t>
      </w:r>
      <w:r>
        <w:rPr>
          <w:rStyle w:val="FootnoteReference"/>
        </w:rPr>
        <w:footnoteReference w:id="695"/>
      </w:r>
      <w:r>
        <w:t xml:space="preserve">  </w:t>
      </w:r>
    </w:p>
    <w:p w:rsidRPr="00801003" w:rsidR="000C1980" w:rsidP="0023091F" w:rsidRDefault="000C1980" w14:paraId="08CB0C25" w14:textId="77777777">
      <w:pPr>
        <w:pStyle w:val="ALJBodyText"/>
        <w:rPr>
          <w:b/>
          <w:bCs/>
          <w:i/>
          <w:iCs/>
          <w:u w:val="single"/>
        </w:rPr>
      </w:pPr>
      <w:r w:rsidRPr="009E75E9">
        <w:rPr>
          <w:b/>
          <w:bCs/>
          <w:i/>
          <w:iCs/>
          <w:u w:val="single"/>
        </w:rPr>
        <w:t>Ensuring Adequate Wages:</w:t>
      </w:r>
      <w:r>
        <w:t xml:space="preserve"> Free Energy Savings Company requests that ESA contractors be provided with </w:t>
      </w:r>
      <w:r w:rsidRPr="00856002">
        <w:t>assurances that the per unit</w:t>
      </w:r>
      <w:r>
        <w:t xml:space="preserve"> </w:t>
      </w:r>
      <w:r w:rsidRPr="00856002">
        <w:t xml:space="preserve">reimbursements </w:t>
      </w:r>
      <w:r w:rsidRPr="00856002">
        <w:lastRenderedPageBreak/>
        <w:t xml:space="preserve">will be increased at the same rate as </w:t>
      </w:r>
      <w:r>
        <w:t>that being</w:t>
      </w:r>
      <w:r w:rsidRPr="00856002">
        <w:t xml:space="preserve"> provided to the IOUs</w:t>
      </w:r>
      <w:r>
        <w:t>, al</w:t>
      </w:r>
      <w:r w:rsidRPr="00856002">
        <w:t>low</w:t>
      </w:r>
      <w:r>
        <w:t xml:space="preserve">ing </w:t>
      </w:r>
      <w:r w:rsidRPr="00856002">
        <w:t xml:space="preserve">the </w:t>
      </w:r>
      <w:r>
        <w:t>c</w:t>
      </w:r>
      <w:r w:rsidRPr="00856002">
        <w:t>ontractors to make long term investments in staffing, equipment, and other</w:t>
      </w:r>
      <w:r>
        <w:t xml:space="preserve"> </w:t>
      </w:r>
      <w:r w:rsidRPr="00856002">
        <w:t>infrastructure</w:t>
      </w:r>
      <w:r>
        <w:t xml:space="preserve">, which will </w:t>
      </w:r>
      <w:r w:rsidRPr="00856002">
        <w:t xml:space="preserve">allow </w:t>
      </w:r>
      <w:r>
        <w:t>c</w:t>
      </w:r>
      <w:r w:rsidRPr="00856002">
        <w:t>ontractors to assure employees of regular cost of living</w:t>
      </w:r>
      <w:r>
        <w:t xml:space="preserve"> </w:t>
      </w:r>
      <w:r w:rsidRPr="00856002">
        <w:t>increases over time</w:t>
      </w:r>
      <w:r>
        <w:t>.</w:t>
      </w:r>
      <w:r>
        <w:rPr>
          <w:rStyle w:val="FootnoteReference"/>
        </w:rPr>
        <w:footnoteReference w:id="696"/>
      </w:r>
    </w:p>
    <w:p w:rsidR="000C1980" w:rsidP="001968DC" w:rsidRDefault="000C1980" w14:paraId="709DAF85" w14:textId="29EC1994">
      <w:pPr>
        <w:pStyle w:val="Heading4"/>
        <w:ind w:left="3600"/>
      </w:pPr>
      <w:bookmarkStart w:name="_Toc69948125" w:id="475"/>
      <w:r>
        <w:t>TURN</w:t>
      </w:r>
      <w:bookmarkEnd w:id="475"/>
      <w:r>
        <w:t xml:space="preserve"> </w:t>
      </w:r>
    </w:p>
    <w:p w:rsidR="000C1980" w:rsidP="00BD1C05" w:rsidRDefault="000C1980" w14:paraId="6C63777A" w14:textId="0268A423">
      <w:pPr>
        <w:pStyle w:val="Standard"/>
      </w:pPr>
      <w:r>
        <w:rPr>
          <w:b/>
          <w:bCs/>
          <w:i/>
          <w:iCs/>
          <w:u w:val="single"/>
        </w:rPr>
        <w:t>Modifying Background Checks:</w:t>
      </w:r>
      <w:r>
        <w:t xml:space="preserve"> </w:t>
      </w:r>
      <w:r w:rsidRPr="00CB1B23">
        <w:t xml:space="preserve">TURN recommends that the Commission evaluate the ESA contracts used by the </w:t>
      </w:r>
      <w:r>
        <w:t>IOU</w:t>
      </w:r>
      <w:r w:rsidR="00202F46">
        <w:t>s</w:t>
      </w:r>
      <w:r>
        <w:t xml:space="preserve"> and</w:t>
      </w:r>
      <w:r w:rsidRPr="00CB1B23">
        <w:t xml:space="preserve"> their </w:t>
      </w:r>
      <w:r>
        <w:t>p</w:t>
      </w:r>
      <w:r w:rsidRPr="00CB1B23">
        <w:t xml:space="preserve">rime </w:t>
      </w:r>
      <w:r>
        <w:t>c</w:t>
      </w:r>
      <w:r w:rsidRPr="00CB1B23">
        <w:t>ontractors to consider the reasonableness and legality</w:t>
      </w:r>
      <w:r>
        <w:t xml:space="preserve"> </w:t>
      </w:r>
      <w:r w:rsidRPr="00CB1B23">
        <w:t>of terms related to background checks, as well as their alignment with the Commission’s</w:t>
      </w:r>
      <w:r>
        <w:t xml:space="preserve"> e</w:t>
      </w:r>
      <w:r w:rsidRPr="00CB1B23">
        <w:t xml:space="preserve">nvironmental and </w:t>
      </w:r>
      <w:r>
        <w:t>s</w:t>
      </w:r>
      <w:r w:rsidRPr="00CB1B23">
        <w:t xml:space="preserve">ocial </w:t>
      </w:r>
      <w:r>
        <w:t>j</w:t>
      </w:r>
      <w:r w:rsidRPr="00CB1B23">
        <w:t xml:space="preserve">ustice </w:t>
      </w:r>
      <w:r>
        <w:t>a</w:t>
      </w:r>
      <w:r w:rsidRPr="00CB1B23">
        <w:t xml:space="preserve">ction </w:t>
      </w:r>
      <w:r>
        <w:t>p</w:t>
      </w:r>
      <w:r w:rsidRPr="00CB1B23">
        <w:t>lan.</w:t>
      </w:r>
      <w:r>
        <w:t xml:space="preserve"> </w:t>
      </w:r>
      <w:r w:rsidRPr="00CB1B23">
        <w:t xml:space="preserve"> T</w:t>
      </w:r>
      <w:r>
        <w:t>URN also recommends that the</w:t>
      </w:r>
      <w:r w:rsidRPr="00CB1B23">
        <w:t xml:space="preserve"> Commission adopt policies related to the use of background checks with an opportunity for public input in the development of such</w:t>
      </w:r>
      <w:r>
        <w:t xml:space="preserve"> </w:t>
      </w:r>
      <w:r w:rsidRPr="00CB1B23">
        <w:t>policies.</w:t>
      </w:r>
      <w:r>
        <w:rPr>
          <w:rStyle w:val="FootnoteReference"/>
        </w:rPr>
        <w:footnoteReference w:id="697"/>
      </w:r>
      <w:r>
        <w:t xml:space="preserve">  To support this recommendation, TURN n</w:t>
      </w:r>
      <w:r w:rsidRPr="00CB1B23">
        <w:t>otes that the Commission recently addressed criminal background check</w:t>
      </w:r>
      <w:r>
        <w:t xml:space="preserve"> </w:t>
      </w:r>
      <w:r w:rsidRPr="00CB1B23">
        <w:t>requirements in contracts between utilities and third party energy efficiency program</w:t>
      </w:r>
      <w:r>
        <w:t xml:space="preserve"> </w:t>
      </w:r>
      <w:r w:rsidRPr="00CB1B23">
        <w:t xml:space="preserve">implementers </w:t>
      </w:r>
      <w:r>
        <w:t xml:space="preserve">and </w:t>
      </w:r>
      <w:r w:rsidRPr="00CB1B23">
        <w:t>adopted standard</w:t>
      </w:r>
      <w:r>
        <w:t xml:space="preserve"> </w:t>
      </w:r>
      <w:r w:rsidRPr="00CB1B23">
        <w:t>contract terms regarding background checks for employees of third party program implementers</w:t>
      </w:r>
      <w:r w:rsidRPr="00CB1B23">
        <w:rPr>
          <w:rFonts w:ascii="TimesNewRomanPSMT" w:hAnsi="TimesNewRomanPSMT" w:cs="TimesNewRomanPSMT"/>
          <w:sz w:val="24"/>
          <w:szCs w:val="24"/>
        </w:rPr>
        <w:t xml:space="preserve"> </w:t>
      </w:r>
      <w:r w:rsidRPr="00CB1B23">
        <w:t>that will have access to the utility’s assets, premises, or customer property.</w:t>
      </w:r>
      <w:r>
        <w:rPr>
          <w:rStyle w:val="FootnoteReference"/>
        </w:rPr>
        <w:footnoteReference w:id="698"/>
      </w:r>
      <w:r>
        <w:t xml:space="preserve">  </w:t>
      </w:r>
    </w:p>
    <w:p w:rsidR="000C1980" w:rsidP="001968DC" w:rsidRDefault="000C1980" w14:paraId="3EEB6E65" w14:textId="1B4A24FB">
      <w:pPr>
        <w:pStyle w:val="Heading3"/>
        <w:ind w:left="2664"/>
      </w:pPr>
      <w:bookmarkStart w:name="_Toc69948126" w:id="476"/>
      <w:r>
        <w:t>IOU Response</w:t>
      </w:r>
      <w:r w:rsidR="004425FC">
        <w:t>s</w:t>
      </w:r>
      <w:bookmarkEnd w:id="476"/>
    </w:p>
    <w:p w:rsidRPr="000A2189" w:rsidR="000C1980" w:rsidP="001968DC" w:rsidRDefault="000C1980" w14:paraId="68F6E1E5" w14:textId="77777777">
      <w:pPr>
        <w:pStyle w:val="Heading4"/>
        <w:ind w:left="3600"/>
      </w:pPr>
      <w:bookmarkStart w:name="_Toc69948127" w:id="477"/>
      <w:r w:rsidRPr="000A2189">
        <w:t>PG&amp;E</w:t>
      </w:r>
      <w:bookmarkEnd w:id="477"/>
    </w:p>
    <w:p w:rsidR="000C1980" w:rsidP="0023091F" w:rsidRDefault="000C1980" w14:paraId="6244F9C9" w14:textId="77777777">
      <w:pPr>
        <w:pStyle w:val="ALJBodyText"/>
      </w:pPr>
      <w:r>
        <w:rPr>
          <w:b/>
          <w:bCs/>
          <w:i/>
          <w:iCs/>
          <w:u w:val="single"/>
        </w:rPr>
        <w:t>Aiding Prior to Hiring</w:t>
      </w:r>
      <w:r w:rsidRPr="003047C2">
        <w:rPr>
          <w:b/>
          <w:bCs/>
          <w:i/>
          <w:iCs/>
          <w:u w:val="single"/>
        </w:rPr>
        <w:t>:</w:t>
      </w:r>
      <w:r>
        <w:rPr>
          <w:b/>
          <w:bCs/>
          <w:i/>
          <w:iCs/>
          <w:u w:val="single"/>
        </w:rPr>
        <w:t xml:space="preserve"> </w:t>
      </w:r>
      <w:r>
        <w:t xml:space="preserve">PG&amp;E opposes Free Energy Savings Company’s recommendation </w:t>
      </w:r>
      <w:r w:rsidRPr="009C395B">
        <w:t xml:space="preserve">regarding </w:t>
      </w:r>
      <w:r>
        <w:t>u</w:t>
      </w:r>
      <w:r w:rsidRPr="009C395B">
        <w:t>tility</w:t>
      </w:r>
      <w:r>
        <w:t xml:space="preserve"> o</w:t>
      </w:r>
      <w:r w:rsidRPr="009C395B">
        <w:t xml:space="preserve">utreach </w:t>
      </w:r>
      <w:r>
        <w:t>s</w:t>
      </w:r>
      <w:r w:rsidRPr="009C395B">
        <w:t>pecialist training and certification</w:t>
      </w:r>
      <w:r>
        <w:t xml:space="preserve">, </w:t>
      </w:r>
      <w:r>
        <w:lastRenderedPageBreak/>
        <w:t xml:space="preserve">claiming that PG&amp;E already provides this training (although not prior to hiring) </w:t>
      </w:r>
      <w:r w:rsidRPr="009C395B">
        <w:t>early in the onboarding process as a stand-alone, self-paced training.</w:t>
      </w:r>
      <w:r>
        <w:t xml:space="preserve">  </w:t>
      </w:r>
    </w:p>
    <w:p w:rsidR="000C1980" w:rsidP="0023091F" w:rsidRDefault="000C1980" w14:paraId="0B2F8DEE" w14:textId="77777777">
      <w:pPr>
        <w:pStyle w:val="ALJBodyText"/>
      </w:pPr>
      <w:r>
        <w:rPr>
          <w:b/>
          <w:bCs/>
          <w:i/>
          <w:iCs/>
          <w:u w:val="single"/>
        </w:rPr>
        <w:t>Reimbursing</w:t>
      </w:r>
      <w:r w:rsidRPr="00651122">
        <w:rPr>
          <w:b/>
          <w:bCs/>
          <w:i/>
          <w:iCs/>
          <w:u w:val="single"/>
        </w:rPr>
        <w:t xml:space="preserve"> Training/ Certification Fees</w:t>
      </w:r>
      <w:r w:rsidRPr="003047C2">
        <w:rPr>
          <w:b/>
          <w:bCs/>
          <w:i/>
          <w:iCs/>
          <w:u w:val="single"/>
        </w:rPr>
        <w:t>:</w:t>
      </w:r>
      <w:r>
        <w:t xml:space="preserve"> PG&amp;E also opposes Free Energy Savings Company’s recommendation to r</w:t>
      </w:r>
      <w:r w:rsidRPr="009C395B">
        <w:t>eimburse trainee certification and fees prior to</w:t>
      </w:r>
      <w:r>
        <w:t xml:space="preserve"> </w:t>
      </w:r>
      <w:r w:rsidRPr="009C395B">
        <w:t>employment</w:t>
      </w:r>
      <w:r>
        <w:t xml:space="preserve"> </w:t>
      </w:r>
      <w:r w:rsidRPr="009C395B">
        <w:t xml:space="preserve">based on low completion rates for the ESA </w:t>
      </w:r>
      <w:r>
        <w:t>p</w:t>
      </w:r>
      <w:r w:rsidRPr="009C395B">
        <w:t>rogram onboarding class with those already employed</w:t>
      </w:r>
      <w:r>
        <w:t>.</w:t>
      </w:r>
    </w:p>
    <w:p w:rsidRPr="00461026" w:rsidR="000C1980" w:rsidP="0023091F" w:rsidRDefault="000C1980" w14:paraId="3A64AB3E" w14:textId="3142D82B">
      <w:pPr>
        <w:pStyle w:val="ALJBodyText"/>
        <w:rPr>
          <w:i/>
          <w:iCs/>
        </w:rPr>
      </w:pPr>
      <w:r>
        <w:rPr>
          <w:b/>
          <w:bCs/>
          <w:i/>
          <w:iCs/>
          <w:u w:val="single"/>
        </w:rPr>
        <w:t>Modifying Background Checks:</w:t>
      </w:r>
      <w:r>
        <w:t xml:space="preserve"> </w:t>
      </w:r>
      <w:r w:rsidRPr="009C395B">
        <w:t xml:space="preserve">PG&amp;E agrees in part with Free Energy’s recommendation regarding ex-offenders and </w:t>
      </w:r>
      <w:r>
        <w:t>proposes</w:t>
      </w:r>
      <w:r w:rsidRPr="009C395B">
        <w:t xml:space="preserve"> </w:t>
      </w:r>
      <w:r>
        <w:t xml:space="preserve">that </w:t>
      </w:r>
      <w:r w:rsidRPr="009C395B">
        <w:t xml:space="preserve">modifications </w:t>
      </w:r>
      <w:r>
        <w:t xml:space="preserve">related to background checks be </w:t>
      </w:r>
      <w:r w:rsidRPr="009C395B">
        <w:t xml:space="preserve">based on </w:t>
      </w:r>
      <w:r>
        <w:t xml:space="preserve">the </w:t>
      </w:r>
      <w:r w:rsidRPr="009C395B">
        <w:t xml:space="preserve">current direction for </w:t>
      </w:r>
      <w:r>
        <w:t xml:space="preserve">energy efficiency </w:t>
      </w:r>
      <w:r w:rsidRPr="009C395B">
        <w:t xml:space="preserve">contractors </w:t>
      </w:r>
      <w:r>
        <w:t xml:space="preserve">as </w:t>
      </w:r>
      <w:r w:rsidRPr="009C395B">
        <w:t>ordered in D.18-10-008</w:t>
      </w:r>
      <w:r>
        <w:t>, later corrected in</w:t>
      </w:r>
      <w:r w:rsidRPr="00C51CB8">
        <w:t xml:space="preserve"> </w:t>
      </w:r>
      <w:r w:rsidRPr="009C395B">
        <w:t>D.19-07-016</w:t>
      </w:r>
      <w:r>
        <w:t>,</w:t>
      </w:r>
      <w:r>
        <w:rPr>
          <w:i/>
          <w:iCs/>
        </w:rPr>
        <w:t xml:space="preserve"> </w:t>
      </w:r>
      <w:r>
        <w:t>where the I</w:t>
      </w:r>
      <w:r w:rsidRPr="008D148E">
        <w:t xml:space="preserve">OUs </w:t>
      </w:r>
      <w:r>
        <w:t xml:space="preserve">would </w:t>
      </w:r>
      <w:r w:rsidRPr="008D148E">
        <w:t>require proposed standard term</w:t>
      </w:r>
      <w:r>
        <w:t xml:space="preserve"> </w:t>
      </w:r>
      <w:r w:rsidRPr="008D148E">
        <w:t>background checks of third-party employees or representatives who have</w:t>
      </w:r>
      <w:r>
        <w:t xml:space="preserve"> </w:t>
      </w:r>
      <w:r w:rsidRPr="008D148E">
        <w:t>direct contact with IOU facilities or assets, and/or access to customer</w:t>
      </w:r>
      <w:r>
        <w:t xml:space="preserve"> </w:t>
      </w:r>
      <w:r w:rsidRPr="008D148E">
        <w:t>premises.</w:t>
      </w:r>
      <w:r>
        <w:rPr>
          <w:b/>
          <w:bCs/>
        </w:rPr>
        <w:t xml:space="preserve">  </w:t>
      </w:r>
      <w:r w:rsidRPr="008D148E">
        <w:t xml:space="preserve">The standard background check </w:t>
      </w:r>
      <w:r>
        <w:t xml:space="preserve">would not </w:t>
      </w:r>
      <w:r w:rsidR="00F0757A">
        <w:t>result in</w:t>
      </w:r>
      <w:r w:rsidRPr="008D148E" w:rsidR="00F0757A">
        <w:t xml:space="preserve"> </w:t>
      </w:r>
      <w:r w:rsidRPr="008D148E">
        <w:t>a lifetime ban but</w:t>
      </w:r>
      <w:r>
        <w:t xml:space="preserve"> </w:t>
      </w:r>
      <w:r w:rsidRPr="008D148E">
        <w:t xml:space="preserve">considers the individual’s court record for the </w:t>
      </w:r>
      <w:proofErr w:type="gramStart"/>
      <w:r w:rsidRPr="008D148E">
        <w:t>seven year</w:t>
      </w:r>
      <w:proofErr w:type="gramEnd"/>
      <w:r w:rsidRPr="008D148E">
        <w:t xml:space="preserve"> period</w:t>
      </w:r>
      <w:r>
        <w:t xml:space="preserve"> </w:t>
      </w:r>
      <w:r w:rsidRPr="008D148E">
        <w:t>immediately preceding the individual’s date of hire.</w:t>
      </w:r>
      <w:r w:rsidRPr="008D148E">
        <w:rPr>
          <w:b/>
          <w:bCs/>
        </w:rPr>
        <w:t xml:space="preserve"> </w:t>
      </w:r>
      <w:r>
        <w:rPr>
          <w:b/>
          <w:bCs/>
        </w:rPr>
        <w:t xml:space="preserve"> </w:t>
      </w:r>
      <w:r w:rsidRPr="008D148E">
        <w:t>D</w:t>
      </w:r>
      <w:r>
        <w:t>.</w:t>
      </w:r>
      <w:r w:rsidRPr="008D148E">
        <w:t>18-10-008 also</w:t>
      </w:r>
      <w:r>
        <w:t xml:space="preserve"> </w:t>
      </w:r>
      <w:r w:rsidRPr="008D148E">
        <w:t>scales back terms for third-party employees and contractors to be</w:t>
      </w:r>
      <w:r>
        <w:t xml:space="preserve"> </w:t>
      </w:r>
      <w:r w:rsidRPr="008D148E">
        <w:t>appropriate to the job task to avoid barriers for disadvantaged</w:t>
      </w:r>
      <w:r>
        <w:t xml:space="preserve"> w</w:t>
      </w:r>
      <w:r w:rsidRPr="008D148E">
        <w:t>orkers.</w:t>
      </w:r>
      <w:r>
        <w:rPr>
          <w:rStyle w:val="FootnoteReference"/>
        </w:rPr>
        <w:footnoteReference w:id="699"/>
      </w:r>
    </w:p>
    <w:p w:rsidRPr="00E60754" w:rsidR="000C1980" w:rsidP="001968DC" w:rsidRDefault="000C1980" w14:paraId="430A43D0" w14:textId="7B336862">
      <w:pPr>
        <w:pStyle w:val="Heading4"/>
        <w:ind w:left="3600"/>
      </w:pPr>
      <w:bookmarkStart w:name="_Toc69948128" w:id="478"/>
      <w:r w:rsidRPr="00E60754">
        <w:t>SDG&amp;E</w:t>
      </w:r>
      <w:bookmarkEnd w:id="478"/>
      <w:r w:rsidRPr="00E60754">
        <w:t xml:space="preserve"> </w:t>
      </w:r>
    </w:p>
    <w:p w:rsidR="000C1980" w:rsidP="0023091F" w:rsidRDefault="000C1980" w14:paraId="7BD857AD" w14:textId="3EAAAC0C">
      <w:pPr>
        <w:pStyle w:val="ALJBodyText"/>
      </w:pPr>
      <w:r>
        <w:rPr>
          <w:b/>
          <w:bCs/>
          <w:i/>
          <w:iCs/>
          <w:u w:val="single"/>
        </w:rPr>
        <w:t>Joint Parties’ Proposals:</w:t>
      </w:r>
      <w:r>
        <w:t xml:space="preserve"> SDG&amp;E claims that many of the Joint Parties’ re</w:t>
      </w:r>
      <w:r w:rsidRPr="00CF1A4D">
        <w:t xml:space="preserve">commendations </w:t>
      </w:r>
      <w:r>
        <w:t>1) are d</w:t>
      </w:r>
      <w:r w:rsidRPr="00CF1A4D">
        <w:t>uplicat</w:t>
      </w:r>
      <w:r>
        <w:t>ive of e</w:t>
      </w:r>
      <w:r w:rsidRPr="00CF1A4D">
        <w:t>xisting</w:t>
      </w:r>
      <w:r>
        <w:t xml:space="preserve"> e</w:t>
      </w:r>
      <w:r w:rsidRPr="0014172B">
        <w:t xml:space="preserve">fforts in the </w:t>
      </w:r>
      <w:r>
        <w:t>mainstream e</w:t>
      </w:r>
      <w:r w:rsidRPr="0014172B">
        <w:t xml:space="preserve">nergy </w:t>
      </w:r>
      <w:r>
        <w:t>e</w:t>
      </w:r>
      <w:r w:rsidRPr="0014172B">
        <w:t xml:space="preserve">fficiency </w:t>
      </w:r>
      <w:r>
        <w:t>p</w:t>
      </w:r>
      <w:r w:rsidRPr="0014172B">
        <w:t>roceeding</w:t>
      </w:r>
      <w:r>
        <w:t xml:space="preserve">, 2) </w:t>
      </w:r>
      <w:r w:rsidRPr="0014172B">
        <w:t xml:space="preserve">have </w:t>
      </w:r>
      <w:r>
        <w:t xml:space="preserve">already </w:t>
      </w:r>
      <w:r w:rsidRPr="0014172B">
        <w:t>been studied and/or litigated</w:t>
      </w:r>
      <w:r w:rsidRPr="00D477A7">
        <w:t xml:space="preserve"> </w:t>
      </w:r>
      <w:r w:rsidRPr="0014172B">
        <w:t xml:space="preserve">in the </w:t>
      </w:r>
      <w:r>
        <w:t>mainstream e</w:t>
      </w:r>
      <w:r w:rsidRPr="0014172B">
        <w:t xml:space="preserve">nergy </w:t>
      </w:r>
      <w:r>
        <w:t>e</w:t>
      </w:r>
      <w:r w:rsidRPr="0014172B">
        <w:t xml:space="preserve">fficiency </w:t>
      </w:r>
      <w:r>
        <w:t>p</w:t>
      </w:r>
      <w:r w:rsidRPr="0014172B">
        <w:t>roceeding</w:t>
      </w:r>
      <w:r>
        <w:t xml:space="preserve">, 3) are </w:t>
      </w:r>
      <w:r w:rsidRPr="0014172B">
        <w:t>outside the bounds of utility responsibility</w:t>
      </w:r>
      <w:r>
        <w:t xml:space="preserve">, and 4) would </w:t>
      </w:r>
      <w:r w:rsidRPr="0014172B">
        <w:t>add an expensive burden</w:t>
      </w:r>
      <w:r>
        <w:t xml:space="preserve"> </w:t>
      </w:r>
      <w:r w:rsidRPr="0014172B">
        <w:t>to a program that is already struggling with cost effectiveness</w:t>
      </w:r>
      <w:r>
        <w:t>.</w:t>
      </w:r>
      <w:r w:rsidRPr="00D477A7">
        <w:t xml:space="preserve"> </w:t>
      </w:r>
      <w:r>
        <w:t xml:space="preserve"> </w:t>
      </w:r>
      <w:r w:rsidRPr="0014172B">
        <w:t>SDG&amp;E</w:t>
      </w:r>
      <w:r>
        <w:t xml:space="preserve"> reiterates that the mission of </w:t>
      </w:r>
      <w:r>
        <w:lastRenderedPageBreak/>
        <w:t>it</w:t>
      </w:r>
      <w:r w:rsidRPr="0014172B">
        <w:t>s WE&amp;T program is to facilitate, support and provide subject matter</w:t>
      </w:r>
      <w:r>
        <w:t xml:space="preserve"> </w:t>
      </w:r>
      <w:r w:rsidRPr="0014172B">
        <w:t>expertise for the transfer of energy efficiency knowledge and skills to the industry across all</w:t>
      </w:r>
      <w:r>
        <w:t xml:space="preserve"> </w:t>
      </w:r>
      <w:r w:rsidRPr="0014172B">
        <w:t>sectors, balancing the needs of the state, customers, and community</w:t>
      </w:r>
      <w:r>
        <w:t xml:space="preserve">.  SDG&amp;E further notes </w:t>
      </w:r>
      <w:r w:rsidRPr="00025CCB">
        <w:t>that workforce development and job creation activities are not</w:t>
      </w:r>
      <w:r w:rsidRPr="0014172B">
        <w:t xml:space="preserve"> core functions</w:t>
      </w:r>
      <w:r>
        <w:t xml:space="preserve"> </w:t>
      </w:r>
      <w:r w:rsidRPr="0014172B">
        <w:t xml:space="preserve">of utility energy efficiency programs </w:t>
      </w:r>
      <w:r>
        <w:t>as</w:t>
      </w:r>
      <w:r w:rsidRPr="0014172B">
        <w:t xml:space="preserve"> other organizations and agencies receive taxpayer</w:t>
      </w:r>
      <w:r>
        <w:t xml:space="preserve"> </w:t>
      </w:r>
      <w:r w:rsidRPr="0014172B">
        <w:t>funds to provide these services</w:t>
      </w:r>
      <w:r>
        <w:t xml:space="preserve">, and therefore </w:t>
      </w:r>
      <w:r w:rsidRPr="0014172B">
        <w:t>it would not be in the best interest of rate payers to duplicate services.</w:t>
      </w:r>
      <w:r w:rsidRPr="0072516B">
        <w:t xml:space="preserve">  </w:t>
      </w:r>
      <w:r>
        <w:t>With regards to the Joint Parties’ proposals on p</w:t>
      </w:r>
      <w:r w:rsidRPr="00294A2D">
        <w:t xml:space="preserve">revailing </w:t>
      </w:r>
      <w:r>
        <w:t>w</w:t>
      </w:r>
      <w:r w:rsidRPr="00294A2D">
        <w:t>age</w:t>
      </w:r>
      <w:r>
        <w:t>s</w:t>
      </w:r>
      <w:r w:rsidRPr="00294A2D">
        <w:t xml:space="preserve"> and </w:t>
      </w:r>
      <w:r>
        <w:t>h</w:t>
      </w:r>
      <w:r w:rsidRPr="00294A2D">
        <w:t>iring</w:t>
      </w:r>
      <w:r>
        <w:t xml:space="preserve"> r</w:t>
      </w:r>
      <w:r w:rsidRPr="00294A2D">
        <w:t>equirements</w:t>
      </w:r>
      <w:r>
        <w:t xml:space="preserve">, </w:t>
      </w:r>
      <w:r w:rsidRPr="0072516B">
        <w:t>SDG&amp;E recommends that st</w:t>
      </w:r>
      <w:r w:rsidRPr="00294A2D">
        <w:t xml:space="preserve">udies and </w:t>
      </w:r>
      <w:r>
        <w:t>o</w:t>
      </w:r>
      <w:r w:rsidRPr="00294A2D">
        <w:t xml:space="preserve">utcomes </w:t>
      </w:r>
      <w:r>
        <w:t>f</w:t>
      </w:r>
      <w:r w:rsidRPr="00294A2D">
        <w:t xml:space="preserve">rom the </w:t>
      </w:r>
      <w:r>
        <w:t>mainstream e</w:t>
      </w:r>
      <w:r w:rsidRPr="00294A2D">
        <w:t xml:space="preserve">nergy </w:t>
      </w:r>
      <w:r>
        <w:t>e</w:t>
      </w:r>
      <w:r w:rsidRPr="00294A2D">
        <w:t>fficiency</w:t>
      </w:r>
      <w:r>
        <w:t xml:space="preserve"> p</w:t>
      </w:r>
      <w:r w:rsidRPr="00294A2D">
        <w:t xml:space="preserve">roceeding </w:t>
      </w:r>
      <w:r>
        <w:t>be considered when d</w:t>
      </w:r>
      <w:r w:rsidRPr="00294A2D">
        <w:t>etermining the</w:t>
      </w:r>
      <w:r>
        <w:t xml:space="preserve"> r</w:t>
      </w:r>
      <w:r w:rsidRPr="00294A2D">
        <w:t xml:space="preserve">easonableness of </w:t>
      </w:r>
      <w:r>
        <w:t>the re</w:t>
      </w:r>
      <w:r w:rsidRPr="00294A2D">
        <w:t>commendations</w:t>
      </w:r>
      <w:r w:rsidRPr="00013FDC">
        <w:t>.</w:t>
      </w:r>
      <w:r w:rsidRPr="00013FDC">
        <w:rPr>
          <w:rStyle w:val="FootnoteReference"/>
        </w:rPr>
        <w:footnoteReference w:id="700"/>
      </w:r>
    </w:p>
    <w:p w:rsidRPr="000A2189" w:rsidR="00137409" w:rsidP="00137409" w:rsidRDefault="00137409" w14:paraId="2549ED3A" w14:textId="0B47BE04">
      <w:pPr>
        <w:pStyle w:val="Heading4"/>
        <w:ind w:left="3600"/>
      </w:pPr>
      <w:r>
        <w:t>SCE</w:t>
      </w:r>
    </w:p>
    <w:p w:rsidRPr="00E9012F" w:rsidR="00137409" w:rsidP="0023091F" w:rsidRDefault="00137409" w14:paraId="349723EC" w14:textId="6F81EEFA">
      <w:pPr>
        <w:pStyle w:val="ALJBodyText"/>
        <w:rPr>
          <w:b/>
          <w:bCs/>
          <w:i/>
          <w:iCs/>
          <w:u w:val="single"/>
        </w:rPr>
      </w:pPr>
      <w:r>
        <w:rPr>
          <w:b/>
          <w:bCs/>
          <w:i/>
          <w:iCs/>
          <w:u w:val="single"/>
        </w:rPr>
        <w:t>Modifying Background Checks:</w:t>
      </w:r>
      <w:r>
        <w:t xml:space="preserve"> SC</w:t>
      </w:r>
      <w:r w:rsidRPr="009C395B">
        <w:t xml:space="preserve">E agrees </w:t>
      </w:r>
      <w:r>
        <w:t xml:space="preserve">with PG&amp;E’s </w:t>
      </w:r>
      <w:r w:rsidRPr="00694FAA" w:rsidR="00694FAA">
        <w:t>propos</w:t>
      </w:r>
      <w:r w:rsidR="00694FAA">
        <w:t>al</w:t>
      </w:r>
      <w:r w:rsidRPr="00694FAA" w:rsidR="00694FAA">
        <w:t xml:space="preserve"> that </w:t>
      </w:r>
      <w:r w:rsidR="00694FAA">
        <w:t xml:space="preserve">require </w:t>
      </w:r>
      <w:r w:rsidRPr="00694FAA" w:rsidR="00694FAA">
        <w:t xml:space="preserve">ESA contractors </w:t>
      </w:r>
      <w:r w:rsidR="00694FAA">
        <w:t>w</w:t>
      </w:r>
      <w:r w:rsidRPr="00694FAA" w:rsidR="00694FAA">
        <w:t>ith direct contact to customer premises and/or data be</w:t>
      </w:r>
      <w:r w:rsidRPr="00694FAA" w:rsidR="00694FAA">
        <w:rPr>
          <w:rFonts w:ascii="TimesNewRoman" w:eastAsia="TimesNewRoman" w:cs="TimesNewRoman" w:hAnsiTheme="minorHAnsi"/>
          <w:sz w:val="24"/>
          <w:szCs w:val="24"/>
        </w:rPr>
        <w:t xml:space="preserve"> </w:t>
      </w:r>
      <w:r w:rsidRPr="00694FAA" w:rsidR="00694FAA">
        <w:t>subject to the standard background check outlined in D.18-10-008 and corrected in D.19-07-016, with those background checks applying to court records within the seven years</w:t>
      </w:r>
      <w:r w:rsidR="00694FAA">
        <w:t xml:space="preserve"> </w:t>
      </w:r>
      <w:r w:rsidRPr="00694FAA" w:rsidR="00694FAA">
        <w:t>immediately preceding the date of hire</w:t>
      </w:r>
      <w:r w:rsidR="00694FAA">
        <w:t>.</w:t>
      </w:r>
      <w:r w:rsidR="00694FAA">
        <w:rPr>
          <w:rStyle w:val="FootnoteReference"/>
        </w:rPr>
        <w:footnoteReference w:id="701"/>
      </w:r>
    </w:p>
    <w:p w:rsidR="000C1980" w:rsidP="001968DC" w:rsidRDefault="000C1980" w14:paraId="35A8953D" w14:textId="482F6B27">
      <w:pPr>
        <w:pStyle w:val="Heading3"/>
        <w:ind w:left="2664"/>
      </w:pPr>
      <w:bookmarkStart w:name="_Toc69948129" w:id="479"/>
      <w:r>
        <w:t>Discussion</w:t>
      </w:r>
      <w:bookmarkEnd w:id="479"/>
    </w:p>
    <w:p w:rsidRPr="00025CCB" w:rsidR="000C1980" w:rsidP="001968DC" w:rsidRDefault="000C1980" w14:paraId="1F7215B6" w14:textId="77777777">
      <w:pPr>
        <w:pStyle w:val="Heading4"/>
        <w:ind w:left="3600"/>
      </w:pPr>
      <w:bookmarkStart w:name="_Toc69948130" w:id="480"/>
      <w:r w:rsidRPr="00025CCB">
        <w:t xml:space="preserve">IOUs’ WE&amp;T Programs: </w:t>
      </w:r>
      <w:r w:rsidRPr="00CC1E38">
        <w:rPr>
          <w:u w:val="single"/>
        </w:rPr>
        <w:t>Approved with Modifications</w:t>
      </w:r>
      <w:bookmarkEnd w:id="480"/>
    </w:p>
    <w:p w:rsidRPr="00FB63CF" w:rsidR="000C1980" w:rsidP="0023091F" w:rsidRDefault="000C1980" w14:paraId="76B7A4B5" w14:textId="77777777">
      <w:pPr>
        <w:pStyle w:val="ALJBodyText"/>
      </w:pPr>
      <w:r w:rsidRPr="00FB63CF">
        <w:t xml:space="preserve">The Commission acknowledges that the ESA contractor workforce is the backbone of the program and contributes largely to the success of the program and the achievements of </w:t>
      </w:r>
      <w:r>
        <w:t>program</w:t>
      </w:r>
      <w:r w:rsidRPr="00FB63CF">
        <w:t xml:space="preserve"> goals.  </w:t>
      </w:r>
      <w:r>
        <w:t xml:space="preserve">In this decision, we authorize portfolio budgets for the ESA program through PY 2026 which extends equitable </w:t>
      </w:r>
      <w:r>
        <w:lastRenderedPageBreak/>
        <w:t>opportunities to the</w:t>
      </w:r>
      <w:r w:rsidRPr="00FB63CF">
        <w:t xml:space="preserve"> workforce</w:t>
      </w:r>
      <w:r>
        <w:t xml:space="preserve">.  The WE&amp;T strategies approved here are intended to develop a better skilled workforce that will help the IOUs achieve the goals set out in this decision, bring about efficiencies to program implementation, and create greater trust with the customers and communities it serves. </w:t>
      </w:r>
    </w:p>
    <w:p w:rsidR="000C1980" w:rsidP="0023091F" w:rsidRDefault="000C1980" w14:paraId="7E36996E" w14:textId="77777777">
      <w:pPr>
        <w:pStyle w:val="ALJBodyText"/>
      </w:pPr>
      <w:r>
        <w:t xml:space="preserve">With that, we approve the IOUs’ overall WE&amp;T efforts with modifications and new reporting metrics.  We will also require the IOUs to incorporate training related to the new tiered measure offerings by customer segments/ need state to ensure that all contractors are well versed in distinguishing which tier might best fit the customer prior to the </w:t>
      </w:r>
      <w:proofErr w:type="gramStart"/>
      <w:r>
        <w:t>in home</w:t>
      </w:r>
      <w:proofErr w:type="gramEnd"/>
      <w:r>
        <w:t xml:space="preserve"> visits.  Although this type of training is specific to the new ESA design, the IOUs shall ensure that all the training provided builds upon existing soft and technical skills and promotes direct access to employment (to ESA and the broader energy efficiency industry).  The IOUs shall also explore the feasibility of coordinating with other existing job training programs, centers, or community colleges to target WE&amp;T efforts towards </w:t>
      </w:r>
      <w:proofErr w:type="gramStart"/>
      <w:r>
        <w:t>low income</w:t>
      </w:r>
      <w:proofErr w:type="gramEnd"/>
      <w:r>
        <w:t xml:space="preserve"> areas and DACs.  This includes emulating individual IOUs’ WE&amp;T plans for their territories, such as PG&amp;E’s Energize Colleges program, and SoCalGas’ effort to coordinate with the Employment Development Department’s One Stop Career Centers, for consideration by the other IOUs in their territories.  We also direct the IOUs to inquire of potential bidders how the ESA program can facilitate </w:t>
      </w:r>
      <w:r w:rsidRPr="7B436DD4">
        <w:rPr>
          <w:rFonts w:eastAsia="Book Antiqua" w:cs="Book Antiqua"/>
          <w:color w:val="000000" w:themeColor="text1"/>
          <w:szCs w:val="26"/>
        </w:rPr>
        <w:t>the hiring of local and disadvantaged workers, worker training, and career-ladder job development, as well as any new metrics to track these efforts.</w:t>
      </w:r>
    </w:p>
    <w:p w:rsidR="000C1980" w:rsidP="0023091F" w:rsidRDefault="000C1980" w14:paraId="0FA8FD89" w14:textId="5B4A1C8F">
      <w:pPr>
        <w:pStyle w:val="ALJBodyText"/>
      </w:pPr>
      <w:r>
        <w:t xml:space="preserve">We go further and direct the IOUs to leverage fully the statewide CWR program.  Approved as a statewide program through D.18-05-041, the CWR program’s primary objective is to prepare and place disadvantaged workers for </w:t>
      </w:r>
      <w:r>
        <w:lastRenderedPageBreak/>
        <w:t>the energy efficiency workforce. CWR will target workers in disadvantaged areas with specific training, as well as partner with organizations that provide training and job-related services.</w:t>
      </w:r>
    </w:p>
    <w:p w:rsidRPr="001D0920" w:rsidR="000C1980" w:rsidP="0023091F" w:rsidRDefault="000C1980" w14:paraId="61132BE3" w14:textId="4372C184">
      <w:pPr>
        <w:pStyle w:val="ALJBodyText"/>
      </w:pPr>
      <w:r>
        <w:t xml:space="preserve">Lastly, we </w:t>
      </w:r>
      <w:r w:rsidRPr="001D0920">
        <w:t xml:space="preserve">direct the IOUs to include the following metrics related to WE&amp;T that are currently reported through the IOUs’ </w:t>
      </w:r>
      <w:r>
        <w:t>main</w:t>
      </w:r>
      <w:r w:rsidRPr="001D0920">
        <w:t xml:space="preserve"> </w:t>
      </w:r>
      <w:r>
        <w:t>energy efficiency</w:t>
      </w:r>
      <w:r w:rsidRPr="001D0920">
        <w:t xml:space="preserve"> </w:t>
      </w:r>
      <w:r>
        <w:t>a</w:t>
      </w:r>
      <w:r w:rsidRPr="001D0920">
        <w:t xml:space="preserve">nnual </w:t>
      </w:r>
      <w:r>
        <w:t>re</w:t>
      </w:r>
      <w:r w:rsidRPr="001D0920">
        <w:t xml:space="preserve">ports, in </w:t>
      </w:r>
      <w:r>
        <w:t xml:space="preserve">the </w:t>
      </w:r>
      <w:r w:rsidRPr="001D0920">
        <w:t xml:space="preserve">ESA </w:t>
      </w:r>
      <w:r>
        <w:t>a</w:t>
      </w:r>
      <w:r w:rsidRPr="001D0920">
        <w:t xml:space="preserve">nnual </w:t>
      </w:r>
      <w:r>
        <w:t>r</w:t>
      </w:r>
      <w:r w:rsidRPr="001D0920">
        <w:t xml:space="preserve">eports, in support of the </w:t>
      </w:r>
      <w:r>
        <w:t>Commission’s</w:t>
      </w:r>
      <w:r w:rsidRPr="001D0920">
        <w:t xml:space="preserve"> </w:t>
      </w:r>
      <w:r>
        <w:t>effort</w:t>
      </w:r>
      <w:r w:rsidRPr="001D0920">
        <w:t xml:space="preserve"> to increase workforce opportunities for workers in disadvantaged areas</w:t>
      </w:r>
      <w:r>
        <w:t xml:space="preserve">.  The monthly and annual reporting templates to be approved by Energy Division will provide the details of the reporting criteria. </w:t>
      </w:r>
    </w:p>
    <w:p w:rsidRPr="001D0920" w:rsidR="000C1980" w:rsidP="00402362" w:rsidRDefault="000C1980" w14:paraId="3787895E" w14:textId="77777777">
      <w:pPr>
        <w:pStyle w:val="ListBullet"/>
      </w:pPr>
      <w:r w:rsidRPr="001D0920">
        <w:t>Percent of incentive dollars spent on contracts with a demonstrated commitment to provide career pathways to disadvantaged workers.</w:t>
      </w:r>
    </w:p>
    <w:p w:rsidR="000C1980" w:rsidP="00402362" w:rsidRDefault="000C1980" w14:paraId="65ADB62F" w14:textId="77777777">
      <w:pPr>
        <w:pStyle w:val="ListBullet"/>
      </w:pPr>
      <w:r w:rsidRPr="001D0920">
        <w:t xml:space="preserve">Number </w:t>
      </w:r>
      <w:r>
        <w:t>of C</w:t>
      </w:r>
      <w:r w:rsidRPr="001D0920">
        <w:t>WR participants who have been employed for 12 months after receiving the training.</w:t>
      </w:r>
    </w:p>
    <w:p w:rsidRPr="001D0920" w:rsidR="000C1980" w:rsidP="00402362" w:rsidRDefault="000C1980" w14:paraId="54331D83" w14:textId="77777777">
      <w:pPr>
        <w:pStyle w:val="ListBullet"/>
      </w:pPr>
      <w:r w:rsidRPr="001D0920">
        <w:t>Percent of total WE&amp;T training program participants that meet the definition of disadvantaged worker.</w:t>
      </w:r>
    </w:p>
    <w:p w:rsidRPr="002D71B8" w:rsidR="000C1980" w:rsidP="001968DC" w:rsidRDefault="000C1980" w14:paraId="48000EC5" w14:textId="77777777">
      <w:pPr>
        <w:pStyle w:val="Heading4"/>
        <w:ind w:left="3600"/>
      </w:pPr>
      <w:bookmarkStart w:name="_Toc69948131" w:id="481"/>
      <w:r w:rsidRPr="002D71B8">
        <w:t xml:space="preserve">WE&amp;T Funding Source: </w:t>
      </w:r>
      <w:r w:rsidRPr="00192D4D">
        <w:rPr>
          <w:u w:val="single"/>
        </w:rPr>
        <w:t>Denied for SCE and SoCalGas</w:t>
      </w:r>
      <w:bookmarkEnd w:id="481"/>
      <w:r>
        <w:t xml:space="preserve">  </w:t>
      </w:r>
      <w:r w:rsidRPr="002D71B8">
        <w:t xml:space="preserve"> </w:t>
      </w:r>
    </w:p>
    <w:p w:rsidRPr="001D0920" w:rsidR="000C1980" w:rsidP="0023091F" w:rsidRDefault="000C1980" w14:paraId="45436FC9" w14:textId="7DF4147A">
      <w:pPr>
        <w:pStyle w:val="ALJBodyText"/>
      </w:pPr>
      <w:r w:rsidRPr="001D0920">
        <w:t xml:space="preserve">We </w:t>
      </w:r>
      <w:r>
        <w:t xml:space="preserve">deny SCE’s request to transfer </w:t>
      </w:r>
      <w:r w:rsidR="009635E4">
        <w:t xml:space="preserve">the funding of WE&amp;T </w:t>
      </w:r>
      <w:r w:rsidR="008F6535">
        <w:t xml:space="preserve">efforts </w:t>
      </w:r>
      <w:r>
        <w:t xml:space="preserve">from the mainstream energy efficiency budget to the ESA </w:t>
      </w:r>
      <w:r w:rsidR="008F6535">
        <w:t>program</w:t>
      </w:r>
      <w:r>
        <w:t xml:space="preserve"> because it is inconsistent with what the other IOUs have proposed, and what we have approved for WE&amp;T funding.  Through their individual mainstream energy efficiency business plans, the IOUs have collectively proposed about $25 million per year for WE&amp;T efforts for PYs 2018-2025, with the specific amounts determined in their annual budget advice letters.</w:t>
      </w:r>
      <w:r w:rsidRPr="2E733787">
        <w:rPr>
          <w:vertAlign w:val="superscript"/>
        </w:rPr>
        <w:footnoteReference w:id="702"/>
      </w:r>
      <w:r>
        <w:t xml:space="preserve"> We agree with Cal Advocates and EEC that SCE has not adequately justified why all WE&amp;T funding should be </w:t>
      </w:r>
      <w:r>
        <w:lastRenderedPageBreak/>
        <w:t xml:space="preserve">part of the ESA budget, as opposed to the mainstream energy efficiency WE&amp;T budgets.  We reaffirm that the mainstream energy efficiency portfolio </w:t>
      </w:r>
      <w:r w:rsidR="008F6535">
        <w:t>remains to be the</w:t>
      </w:r>
      <w:r>
        <w:t xml:space="preserve"> more appropriate </w:t>
      </w:r>
      <w:r w:rsidR="008F6535">
        <w:t xml:space="preserve">source </w:t>
      </w:r>
      <w:r>
        <w:t xml:space="preserve">for </w:t>
      </w:r>
      <w:proofErr w:type="gramStart"/>
      <w:r>
        <w:t>the majority of</w:t>
      </w:r>
      <w:proofErr w:type="gramEnd"/>
      <w:r>
        <w:t xml:space="preserve"> WE&amp;T budgets, including the ESA WE&amp;T efforts.  Similarly, we deny SoCalGas’ request to support its WE&amp;T program from the ESA program, as it duplicates the existing statewide CWR program</w:t>
      </w:r>
      <w:r w:rsidRPr="001D0920">
        <w:t>.</w:t>
      </w:r>
    </w:p>
    <w:p w:rsidRPr="000550D7" w:rsidR="000C1980" w:rsidP="001968DC" w:rsidRDefault="000C1980" w14:paraId="47245227" w14:textId="5C3A655A">
      <w:pPr>
        <w:pStyle w:val="Heading4"/>
        <w:ind w:left="3600"/>
      </w:pPr>
      <w:bookmarkStart w:name="_Toc69948132" w:id="482"/>
      <w:r w:rsidRPr="000550D7">
        <w:t xml:space="preserve">Joint Parties’ Proposals: </w:t>
      </w:r>
      <w:r w:rsidRPr="000550D7">
        <w:rPr>
          <w:u w:val="single"/>
        </w:rPr>
        <w:t>Approved</w:t>
      </w:r>
      <w:r>
        <w:rPr>
          <w:u w:val="single"/>
        </w:rPr>
        <w:t xml:space="preserve"> in Part</w:t>
      </w:r>
      <w:bookmarkEnd w:id="482"/>
    </w:p>
    <w:p w:rsidRPr="00AD0021" w:rsidR="000C1980" w:rsidP="0023091F" w:rsidRDefault="000C1980" w14:paraId="57707DBB" w14:textId="77777777">
      <w:pPr>
        <w:pStyle w:val="ALJBodyText"/>
      </w:pPr>
      <w:r w:rsidRPr="00AD0021">
        <w:t xml:space="preserve">We </w:t>
      </w:r>
      <w:r>
        <w:t>appreciate the Joint Parties’ substantial comments on how the IOUs can support WE&amp;T within the ESA program.  We agree with their recommendations regarding the establishment of partnerships with educational and employment organizations that provide and coordinate delivery of services to potential and current members of the ESA workforce.  Additionally, w</w:t>
      </w:r>
      <w:r w:rsidRPr="00AD0021">
        <w:t>e direct the IOUs to comply with the following additional efforts:</w:t>
      </w:r>
    </w:p>
    <w:p w:rsidRPr="00AD0021" w:rsidR="000C1980" w:rsidP="00402362" w:rsidRDefault="000C1980" w14:paraId="1194476D" w14:textId="77777777">
      <w:pPr>
        <w:pStyle w:val="ListBullet"/>
      </w:pPr>
      <w:r w:rsidRPr="00AD0021">
        <w:t>Alignment with the California Workforce Development Board’s Energy and Climate Jobs initiatives</w:t>
      </w:r>
      <w:r>
        <w:t>.</w:t>
      </w:r>
    </w:p>
    <w:p w:rsidRPr="00AD0021" w:rsidR="000C1980" w:rsidP="00402362" w:rsidRDefault="000C1980" w14:paraId="0084E7EF" w14:textId="77777777">
      <w:pPr>
        <w:pStyle w:val="ListBullet"/>
      </w:pPr>
      <w:r w:rsidRPr="00AD0021">
        <w:t xml:space="preserve">Alignment of ESA training with </w:t>
      </w:r>
      <w:r>
        <w:t xml:space="preserve">the </w:t>
      </w:r>
      <w:r w:rsidRPr="00AD0021">
        <w:t>Multi-Craft Core Curriculum</w:t>
      </w:r>
      <w:r>
        <w:t>.</w:t>
      </w:r>
    </w:p>
    <w:p w:rsidRPr="00AD0021" w:rsidR="000C1980" w:rsidP="00402362" w:rsidRDefault="000C1980" w14:paraId="05C26C4F" w14:textId="77777777">
      <w:pPr>
        <w:pStyle w:val="ListBullet"/>
      </w:pPr>
      <w:r w:rsidRPr="00AD0021">
        <w:t xml:space="preserve">Establishment of formal partnerships between </w:t>
      </w:r>
      <w:r>
        <w:t xml:space="preserve">the </w:t>
      </w:r>
      <w:r w:rsidRPr="00AD0021">
        <w:t xml:space="preserve">IOUs, contractors, apprenticeships, and community college programs to better integrate ESA into </w:t>
      </w:r>
      <w:r>
        <w:t xml:space="preserve">energy efficiency </w:t>
      </w:r>
      <w:r w:rsidRPr="00AD0021">
        <w:t>workforce education, as well as organizations that provide services to assist in developing ESA workers into more advanced positions, and CBOs that provide services to assist those in DACs or who are underrepresented</w:t>
      </w:r>
      <w:r w:rsidRPr="001D0920">
        <w:t>.</w:t>
      </w:r>
    </w:p>
    <w:p w:rsidRPr="00AD0021" w:rsidR="000C1980" w:rsidP="0023091F" w:rsidRDefault="000C1980" w14:paraId="0EC1B3D2" w14:textId="77777777">
      <w:pPr>
        <w:pStyle w:val="ALJBodyText"/>
      </w:pPr>
      <w:r>
        <w:t>However, we deny the Joint Parties’ proposal of calibrating additional program requirements with increased compensation for ESA contractors, or implementing a system to track all ESA workers’ wages and compensation trajectories</w:t>
      </w:r>
      <w:r w:rsidRPr="001D0920">
        <w:t>.</w:t>
      </w:r>
    </w:p>
    <w:p w:rsidRPr="00E817C0" w:rsidR="000C1980" w:rsidP="001968DC" w:rsidRDefault="00E05F09" w14:paraId="381C4934" w14:textId="7C0651F5">
      <w:pPr>
        <w:pStyle w:val="Heading4"/>
        <w:ind w:left="3600"/>
      </w:pPr>
      <w:bookmarkStart w:name="_Toc69948133" w:id="483"/>
      <w:r>
        <w:lastRenderedPageBreak/>
        <w:t>Establishing A Living Floor</w:t>
      </w:r>
      <w:r w:rsidRPr="00E817C0" w:rsidR="000C1980">
        <w:t xml:space="preserve"> Wage: </w:t>
      </w:r>
      <w:r w:rsidRPr="00E817C0" w:rsidR="000C1980">
        <w:rPr>
          <w:u w:val="single"/>
        </w:rPr>
        <w:t>Denied</w:t>
      </w:r>
      <w:bookmarkEnd w:id="483"/>
      <w:r w:rsidRPr="00E817C0" w:rsidR="000C1980">
        <w:t xml:space="preserve"> </w:t>
      </w:r>
    </w:p>
    <w:p w:rsidRPr="00592490" w:rsidR="000C1980" w:rsidP="00BD1C05" w:rsidRDefault="000C1980" w14:paraId="30311628" w14:textId="27DC8DA4">
      <w:pPr>
        <w:pStyle w:val="Standard"/>
        <w:rPr>
          <w:b/>
          <w:bCs/>
          <w:i/>
          <w:iCs/>
          <w:u w:val="single"/>
        </w:rPr>
      </w:pPr>
      <w:r w:rsidRPr="001D0920">
        <w:t xml:space="preserve">While the Commission is interested in ensuring a quality workforce for the program, we </w:t>
      </w:r>
      <w:r w:rsidR="008564E4">
        <w:t>decline</w:t>
      </w:r>
      <w:r w:rsidRPr="001D0920" w:rsidR="008564E4">
        <w:t xml:space="preserve"> </w:t>
      </w:r>
      <w:r w:rsidRPr="001D0920">
        <w:t>establishing a living floor wage for all ESA</w:t>
      </w:r>
      <w:r>
        <w:t xml:space="preserve"> workers</w:t>
      </w:r>
      <w:r w:rsidR="008564E4">
        <w:t xml:space="preserve"> at this time</w:t>
      </w:r>
      <w:r>
        <w:t xml:space="preserve">.  </w:t>
      </w:r>
      <w:r w:rsidR="000D138F">
        <w:t>The</w:t>
      </w:r>
      <w:r w:rsidRPr="00592490">
        <w:t xml:space="preserve"> potential territorial or geographic inequities in setting </w:t>
      </w:r>
      <w:r>
        <w:t xml:space="preserve">such statewide and program wide </w:t>
      </w:r>
      <w:r w:rsidRPr="00592490">
        <w:t>wage requirements</w:t>
      </w:r>
      <w:r w:rsidR="000D138F">
        <w:t xml:space="preserve"> and its impacts are unknown</w:t>
      </w:r>
      <w:r w:rsidRPr="00592490">
        <w:t>.</w:t>
      </w:r>
      <w:r>
        <w:t xml:space="preserve">  T</w:t>
      </w:r>
      <w:r w:rsidR="00E44323">
        <w:t xml:space="preserve">herefore, </w:t>
      </w:r>
      <w:r w:rsidR="008A1BA6">
        <w:t>we will consider this issue further in the future</w:t>
      </w:r>
      <w:r>
        <w:t xml:space="preserve">.  </w:t>
      </w:r>
      <w:r w:rsidR="001A0EA3">
        <w:t>W</w:t>
      </w:r>
      <w:r>
        <w:t xml:space="preserve">e also deny Free Energy </w:t>
      </w:r>
      <w:r w:rsidR="003B3975">
        <w:t xml:space="preserve">Savings </w:t>
      </w:r>
      <w:r>
        <w:t xml:space="preserve">Company’s request to require the Commission to </w:t>
      </w:r>
      <w:r w:rsidRPr="00856002">
        <w:t>assur</w:t>
      </w:r>
      <w:r>
        <w:t>e that all p</w:t>
      </w:r>
      <w:r w:rsidRPr="00856002">
        <w:t>er unit</w:t>
      </w:r>
      <w:r>
        <w:t xml:space="preserve"> </w:t>
      </w:r>
      <w:r w:rsidRPr="00856002">
        <w:t>reimbursements increase</w:t>
      </w:r>
      <w:r>
        <w:t xml:space="preserve">s are passed on at the same </w:t>
      </w:r>
      <w:r w:rsidRPr="00856002">
        <w:t xml:space="preserve">rate as </w:t>
      </w:r>
      <w:r>
        <w:t>that being</w:t>
      </w:r>
      <w:r w:rsidRPr="00856002">
        <w:t xml:space="preserve"> </w:t>
      </w:r>
      <w:r w:rsidRPr="009D60F0">
        <w:t xml:space="preserve">approved for the IOUs in our decisions.  </w:t>
      </w:r>
      <w:r>
        <w:t>Lastly, we</w:t>
      </w:r>
      <w:r w:rsidRPr="009D60F0">
        <w:t xml:space="preserve"> deny the request to track ESA contractors’ employees’ compensation</w:t>
      </w:r>
      <w:r w:rsidR="008A1BA6">
        <w:t xml:space="preserve"> at this time, and Energy Division staff may</w:t>
      </w:r>
      <w:r w:rsidRPr="00E118FA" w:rsidR="00E118FA">
        <w:t xml:space="preserve"> </w:t>
      </w:r>
      <w:r w:rsidR="00E118FA">
        <w:t>request this information through a data request</w:t>
      </w:r>
      <w:r>
        <w:t xml:space="preserve">.  </w:t>
      </w:r>
      <w:r w:rsidR="00E118FA">
        <w:t>T</w:t>
      </w:r>
      <w:r w:rsidRPr="009D60F0">
        <w:t>he Commission wants to ensure fair compensation for these employees</w:t>
      </w:r>
      <w:r>
        <w:t xml:space="preserve">, and the tracking of such information would </w:t>
      </w:r>
      <w:r w:rsidR="00E118FA">
        <w:t xml:space="preserve">be useful for </w:t>
      </w:r>
      <w:r w:rsidR="000827DF">
        <w:t>evaluating</w:t>
      </w:r>
      <w:r w:rsidR="006F61D0">
        <w:t xml:space="preserve"> future options</w:t>
      </w:r>
      <w:r>
        <w:t>.</w:t>
      </w:r>
    </w:p>
    <w:p w:rsidRPr="00D24DFE" w:rsidR="000C1980" w:rsidP="001968DC" w:rsidRDefault="000C1980" w14:paraId="662BC669" w14:textId="77777777">
      <w:pPr>
        <w:pStyle w:val="Heading4"/>
        <w:ind w:left="3600"/>
      </w:pPr>
      <w:bookmarkStart w:name="_Toc69948134" w:id="484"/>
      <w:r w:rsidRPr="00D24DFE">
        <w:t xml:space="preserve">Aid Prior to Hiring: </w:t>
      </w:r>
      <w:r w:rsidRPr="00D24DFE">
        <w:rPr>
          <w:u w:val="single"/>
        </w:rPr>
        <w:t>Denied</w:t>
      </w:r>
      <w:bookmarkEnd w:id="484"/>
      <w:r w:rsidRPr="00D24DFE">
        <w:t xml:space="preserve"> </w:t>
      </w:r>
    </w:p>
    <w:p w:rsidR="000C1980" w:rsidP="0023091F" w:rsidRDefault="000C1980" w14:paraId="386787BB" w14:textId="454A0910">
      <w:pPr>
        <w:pStyle w:val="ALJBodyText"/>
      </w:pPr>
      <w:r>
        <w:t xml:space="preserve">We deny </w:t>
      </w:r>
      <w:r w:rsidRPr="0013035F">
        <w:t>Free Energy Savings</w:t>
      </w:r>
      <w:r w:rsidR="003B3975">
        <w:t xml:space="preserve"> Company</w:t>
      </w:r>
      <w:r w:rsidRPr="0013035F">
        <w:t>’</w:t>
      </w:r>
      <w:r w:rsidR="003B3975">
        <w:t>s</w:t>
      </w:r>
      <w:r w:rsidRPr="0013035F">
        <w:t xml:space="preserve"> recommendations regarding pre-hiring training </w:t>
      </w:r>
      <w:r>
        <w:t xml:space="preserve">as it </w:t>
      </w:r>
      <w:r w:rsidRPr="0013035F">
        <w:t>is redundan</w:t>
      </w:r>
      <w:r>
        <w:t>t</w:t>
      </w:r>
      <w:r w:rsidRPr="0013035F">
        <w:t xml:space="preserve"> </w:t>
      </w:r>
      <w:r>
        <w:t xml:space="preserve">and agree with PG&amp;E that such training is unnecessary </w:t>
      </w:r>
      <w:r w:rsidRPr="0013035F">
        <w:t xml:space="preserve">given that </w:t>
      </w:r>
      <w:r>
        <w:t>they</w:t>
      </w:r>
      <w:r w:rsidRPr="0013035F">
        <w:t xml:space="preserve"> already provide training early in the ESA </w:t>
      </w:r>
      <w:r>
        <w:t xml:space="preserve">contractor employment </w:t>
      </w:r>
      <w:r w:rsidRPr="0013035F">
        <w:t xml:space="preserve">process. </w:t>
      </w:r>
    </w:p>
    <w:p w:rsidR="000C1980" w:rsidP="001968DC" w:rsidRDefault="000C1980" w14:paraId="76CEE5C0" w14:textId="1B32F50B">
      <w:pPr>
        <w:pStyle w:val="Heading4"/>
        <w:ind w:left="3600"/>
      </w:pPr>
      <w:bookmarkStart w:name="_Toc69948135" w:id="485"/>
      <w:r w:rsidRPr="000D1DF3">
        <w:t xml:space="preserve">Reimbursing Training/ Certification Fees: </w:t>
      </w:r>
      <w:r w:rsidRPr="000D1DF3">
        <w:rPr>
          <w:u w:val="single"/>
        </w:rPr>
        <w:t>Denied</w:t>
      </w:r>
      <w:bookmarkEnd w:id="485"/>
      <w:r>
        <w:t xml:space="preserve"> </w:t>
      </w:r>
    </w:p>
    <w:p w:rsidRPr="009D60F0" w:rsidR="000C1980" w:rsidP="0023091F" w:rsidRDefault="000C1980" w14:paraId="7A50E843" w14:textId="77777777">
      <w:pPr>
        <w:pStyle w:val="ALJBodyText"/>
        <w:rPr>
          <w:b/>
          <w:u w:val="single"/>
        </w:rPr>
      </w:pPr>
      <w:r>
        <w:t xml:space="preserve">We deny Free Energy Savings Company’s request for reimbursement of training and certification fees and agree with </w:t>
      </w:r>
      <w:r w:rsidRPr="0013035F">
        <w:t xml:space="preserve">PG&amp;E </w:t>
      </w:r>
      <w:r>
        <w:t>that this request is not a good use of ratepayer funds</w:t>
      </w:r>
      <w:r w:rsidRPr="0013035F">
        <w:t>, given the low rate of course completion.</w:t>
      </w:r>
    </w:p>
    <w:p w:rsidRPr="00DC5D39" w:rsidR="000C1980" w:rsidP="001968DC" w:rsidRDefault="000C1980" w14:paraId="0CEB59BD" w14:textId="276CFD30">
      <w:pPr>
        <w:pStyle w:val="Heading4"/>
        <w:ind w:left="3600"/>
      </w:pPr>
      <w:bookmarkStart w:name="_Toc69948136" w:id="486"/>
      <w:r w:rsidRPr="00DC5D39">
        <w:t xml:space="preserve">Modifying Background Checks: </w:t>
      </w:r>
      <w:r w:rsidRPr="00DC5D39">
        <w:rPr>
          <w:u w:val="single"/>
        </w:rPr>
        <w:t>Approved with Modifications</w:t>
      </w:r>
      <w:bookmarkEnd w:id="486"/>
    </w:p>
    <w:p w:rsidR="000C1980" w:rsidP="0023091F" w:rsidRDefault="000C1980" w14:paraId="3BDE63D4" w14:textId="77777777">
      <w:pPr>
        <w:pStyle w:val="ALJBodyText"/>
      </w:pPr>
      <w:r>
        <w:t xml:space="preserve">We approve in part Free Energy Company’s recommendation regarding ex-offenders and modify the policy related to background checks for the ESA </w:t>
      </w:r>
      <w:r>
        <w:lastRenderedPageBreak/>
        <w:t xml:space="preserve">program to be consistent with the current direction for energy efficiency contractors as ordered in D.18-10-008 and corrected in D.19-07-016.  We direct the IOUs to include the following changes in their agreements with contractors: requiring standard term background checks of third-party employees or representatives who have direct contact with IOU facilities or assets, and/or access to customer premises, where an individual’s court record for the </w:t>
      </w:r>
      <w:proofErr w:type="gramStart"/>
      <w:r>
        <w:t>seven year</w:t>
      </w:r>
      <w:proofErr w:type="gramEnd"/>
      <w:r>
        <w:t xml:space="preserve"> period immediately preceding the individual’s date of hire would be considered. </w:t>
      </w:r>
    </w:p>
    <w:p w:rsidRPr="009C46CB" w:rsidR="000C1980" w:rsidP="001968DC" w:rsidRDefault="000C1980" w14:paraId="5DA89062" w14:textId="2D632103">
      <w:pPr>
        <w:pStyle w:val="Heading2"/>
        <w:ind w:left="1728"/>
      </w:pPr>
      <w:bookmarkStart w:name="_Toc69948137" w:id="487"/>
      <w:r w:rsidRPr="009C46CB">
        <w:t>ESA Program Solicitation</w:t>
      </w:r>
      <w:r>
        <w:t>/</w:t>
      </w:r>
      <w:r w:rsidRPr="009C46CB">
        <w:t>Contract</w:t>
      </w:r>
      <w:r>
        <w:t>ing</w:t>
      </w:r>
      <w:bookmarkEnd w:id="487"/>
      <w:r w:rsidRPr="009C46CB">
        <w:t xml:space="preserve"> </w:t>
      </w:r>
    </w:p>
    <w:p w:rsidRPr="00B82F6B" w:rsidR="000C1980" w:rsidP="001968DC" w:rsidRDefault="000C1980" w14:paraId="26B7EDAC" w14:textId="77777777">
      <w:pPr>
        <w:pStyle w:val="Heading3"/>
        <w:ind w:left="2664"/>
      </w:pPr>
      <w:bookmarkStart w:name="_Toc69948138" w:id="488"/>
      <w:r>
        <w:t>Background</w:t>
      </w:r>
      <w:bookmarkEnd w:id="488"/>
    </w:p>
    <w:p w:rsidR="000C1980" w:rsidP="00BD1C05" w:rsidRDefault="000C1980" w14:paraId="7925B2CD" w14:textId="77777777">
      <w:pPr>
        <w:pStyle w:val="Standard"/>
      </w:pPr>
      <w:r>
        <w:t>Decision 19-06-022 asked the IOUs to list the solicitations, including whether they were standard competitive or third-party solicitations for the 2021</w:t>
      </w:r>
      <w:r>
        <w:noBreakHyphen/>
        <w:t>2026 program cycle.  The IOUs were also asked about other contract terms and timelines</w:t>
      </w:r>
      <w:r w:rsidRPr="00595F5F">
        <w:t>.  This section will focus on the solicitation and contracting proposals for the main ESA program, as the multifamily whole building program will be discussed in Section 7 and Attachment 4.</w:t>
      </w:r>
    </w:p>
    <w:p w:rsidRPr="00103D4D" w:rsidR="000C1980" w:rsidP="001968DC" w:rsidRDefault="000C1980" w14:paraId="36496214" w14:textId="77777777">
      <w:pPr>
        <w:pStyle w:val="Heading3"/>
        <w:ind w:left="2664"/>
      </w:pPr>
      <w:bookmarkStart w:name="_Toc69948139" w:id="489"/>
      <w:r>
        <w:t>PG&amp;E Proposal</w:t>
      </w:r>
      <w:bookmarkEnd w:id="489"/>
    </w:p>
    <w:p w:rsidRPr="002F05C3" w:rsidR="000C1980" w:rsidP="00BD1C05" w:rsidRDefault="000C1980" w14:paraId="384459A1" w14:textId="6ACA7EC8">
      <w:pPr>
        <w:pStyle w:val="Standard"/>
      </w:pPr>
      <w:r>
        <w:t xml:space="preserve">PG&amp;E proposes to conduct competitive solicitations for the implementation of the ESA program with a PRG and IE similar to </w:t>
      </w:r>
      <w:r w:rsidR="007D6CFA">
        <w:t xml:space="preserve">the </w:t>
      </w:r>
      <w:r>
        <w:t>main energy efficiency’s third-party solicitation process outlined in D.18-01-004.</w:t>
      </w:r>
      <w:r>
        <w:rPr>
          <w:rStyle w:val="FootnoteReference"/>
        </w:rPr>
        <w:footnoteReference w:id="703"/>
      </w:r>
      <w:r>
        <w:t xml:space="preserve">  PG&amp;E also plans a two-part RFP process, consisting first of a written bid, and second, interviews with the bidders.</w:t>
      </w:r>
      <w:r>
        <w:rPr>
          <w:rStyle w:val="FootnoteReference"/>
        </w:rPr>
        <w:footnoteReference w:id="704"/>
      </w:r>
      <w:r>
        <w:t xml:space="preserve">  PG&amp;E expects the process to take </w:t>
      </w:r>
      <w:r>
        <w:lastRenderedPageBreak/>
        <w:t>between 9 to 11 months.</w:t>
      </w:r>
      <w:r>
        <w:rPr>
          <w:rStyle w:val="FootnoteReference"/>
        </w:rPr>
        <w:footnoteReference w:id="705"/>
      </w:r>
      <w:r>
        <w:t xml:space="preserve">  PG&amp;E proposes to maintain the design and administration of the program in house.</w:t>
      </w:r>
    </w:p>
    <w:p w:rsidR="000C1980" w:rsidP="001968DC" w:rsidRDefault="000C1980" w14:paraId="312F5074" w14:textId="77777777">
      <w:pPr>
        <w:pStyle w:val="Heading3"/>
        <w:ind w:left="2664"/>
      </w:pPr>
      <w:bookmarkStart w:name="_Toc69948140" w:id="490"/>
      <w:r>
        <w:t>SCE Proposal</w:t>
      </w:r>
      <w:bookmarkEnd w:id="490"/>
      <w:r>
        <w:t xml:space="preserve"> </w:t>
      </w:r>
    </w:p>
    <w:p w:rsidRPr="006A4F8D" w:rsidR="000C1980" w:rsidP="0023091F" w:rsidRDefault="000C1980" w14:paraId="7F2E393E" w14:textId="4E175305">
      <w:pPr>
        <w:pStyle w:val="ALJBodyText"/>
      </w:pPr>
      <w:r>
        <w:t>SCE proposes to conduct competitive solicitations for the implementation of the ESA program and electrification pilots.</w:t>
      </w:r>
      <w:r>
        <w:rPr>
          <w:rStyle w:val="FootnoteReference"/>
        </w:rPr>
        <w:footnoteReference w:id="706"/>
      </w:r>
      <w:r>
        <w:t xml:space="preserve">  SCE does not plan to use a PRG or IE, is planning for a one-stage RFP process, expects the RFP process to take 7 to 9 months, and the full process to take 12-18 months.</w:t>
      </w:r>
      <w:r>
        <w:rPr>
          <w:rStyle w:val="FootnoteReference"/>
        </w:rPr>
        <w:footnoteReference w:id="707"/>
      </w:r>
      <w:r w:rsidRPr="00B9601B">
        <w:t xml:space="preserve"> </w:t>
      </w:r>
      <w:r>
        <w:t>SCE proposes to maintain the design and administration of the SCE ESA program in house.</w:t>
      </w:r>
      <w:r>
        <w:rPr>
          <w:rStyle w:val="FootnoteReference"/>
        </w:rPr>
        <w:footnoteReference w:id="708"/>
      </w:r>
    </w:p>
    <w:p w:rsidR="000C1980" w:rsidP="001968DC" w:rsidRDefault="000C1980" w14:paraId="2B570E30" w14:textId="0CFF98FC">
      <w:pPr>
        <w:pStyle w:val="Heading3"/>
        <w:ind w:left="2664"/>
      </w:pPr>
      <w:bookmarkStart w:name="_Toc69948141" w:id="491"/>
      <w:r>
        <w:t>SoCalGas Proposal</w:t>
      </w:r>
      <w:bookmarkEnd w:id="491"/>
      <w:r>
        <w:t xml:space="preserve"> </w:t>
      </w:r>
    </w:p>
    <w:p w:rsidRPr="005D467F" w:rsidR="000C1980" w:rsidP="0023091F" w:rsidRDefault="000C1980" w14:paraId="45C81B48" w14:textId="77777777">
      <w:pPr>
        <w:pStyle w:val="ALJBodyText"/>
      </w:pPr>
      <w:r>
        <w:t>SoCalGas proposes to conduct competitive solicitations for the implementation of the ESA program by service bundles: i</w:t>
      </w:r>
      <w:r w:rsidRPr="00406ACB">
        <w:t>n-person outreach, energy education, assessment, and simple measures</w:t>
      </w:r>
      <w:r>
        <w:t>; i</w:t>
      </w:r>
      <w:r w:rsidRPr="00406ACB">
        <w:t>nfiltration measures and NGAT</w:t>
      </w:r>
      <w:r>
        <w:t>; w</w:t>
      </w:r>
      <w:r w:rsidRPr="00D64586">
        <w:t>ater measure installation</w:t>
      </w:r>
      <w:r>
        <w:t>; attic insulation; g</w:t>
      </w:r>
      <w:r w:rsidRPr="00D64586">
        <w:t>as appliance assessment, repair, and replacement</w:t>
      </w:r>
      <w:r>
        <w:t>; s</w:t>
      </w:r>
      <w:r w:rsidRPr="00814B23">
        <w:t>pecialized appliance delivery</w:t>
      </w:r>
      <w:r>
        <w:t>; and inspections.</w:t>
      </w:r>
      <w:r>
        <w:rPr>
          <w:rStyle w:val="FootnoteReference"/>
        </w:rPr>
        <w:footnoteReference w:id="709"/>
      </w:r>
      <w:r>
        <w:t xml:space="preserve"> SoCalGas will refine or introduce other service bundles as needed and does not plan to use a PRG or IE.  SoCalGas proposes to maintain the design and administration of the program in house.</w:t>
      </w:r>
    </w:p>
    <w:p w:rsidR="000C1980" w:rsidP="001968DC" w:rsidRDefault="000C1980" w14:paraId="28CB7CD0" w14:textId="5ABE0B5B">
      <w:pPr>
        <w:pStyle w:val="Heading3"/>
        <w:ind w:left="2664"/>
      </w:pPr>
      <w:bookmarkStart w:name="_Toc69948142" w:id="492"/>
      <w:r>
        <w:t>SDG&amp;E Proposal</w:t>
      </w:r>
      <w:bookmarkEnd w:id="492"/>
      <w:r>
        <w:t xml:space="preserve"> </w:t>
      </w:r>
    </w:p>
    <w:p w:rsidRPr="001A2D8B" w:rsidR="000C1980" w:rsidP="00BD1C05" w:rsidRDefault="000C1980" w14:paraId="2180015E" w14:textId="77777777">
      <w:pPr>
        <w:pStyle w:val="Standard"/>
      </w:pPr>
      <w:r>
        <w:t xml:space="preserve">SDG&amp;E proposes to conduct competitive solicitations for the implementation of the ESA program and the IT/online audit and program </w:t>
      </w:r>
      <w:r>
        <w:lastRenderedPageBreak/>
        <w:t>delivery platform,</w:t>
      </w:r>
      <w:r>
        <w:rPr>
          <w:rStyle w:val="FootnoteReference"/>
        </w:rPr>
        <w:footnoteReference w:id="710"/>
      </w:r>
      <w:r>
        <w:t xml:space="preserve"> but proposes to maintain the design and administration of the program in house.</w:t>
      </w:r>
    </w:p>
    <w:p w:rsidRPr="00103D4D" w:rsidR="000C1980" w:rsidP="001968DC" w:rsidRDefault="000C1980" w14:paraId="46C149C4" w14:textId="77777777">
      <w:pPr>
        <w:pStyle w:val="Heading3"/>
        <w:ind w:left="2664"/>
      </w:pPr>
      <w:bookmarkStart w:name="_Toc69948143" w:id="493"/>
      <w:r>
        <w:t>Party Positions</w:t>
      </w:r>
      <w:bookmarkEnd w:id="493"/>
    </w:p>
    <w:p w:rsidRPr="00103D4D" w:rsidR="000C1980" w:rsidP="001968DC" w:rsidRDefault="000C1980" w14:paraId="0037BD26" w14:textId="77777777">
      <w:pPr>
        <w:pStyle w:val="Heading4"/>
        <w:ind w:left="3600"/>
      </w:pPr>
      <w:bookmarkStart w:name="_Toc69948144" w:id="494"/>
      <w:r>
        <w:t>Cal Advocates</w:t>
      </w:r>
      <w:bookmarkEnd w:id="494"/>
    </w:p>
    <w:p w:rsidRPr="00FF1C6B" w:rsidR="000C1980" w:rsidP="0023091F" w:rsidRDefault="000C1980" w14:paraId="755FFF38" w14:textId="77777777">
      <w:pPr>
        <w:pStyle w:val="ALJBodyText"/>
      </w:pPr>
      <w:r w:rsidRPr="00A64A40">
        <w:rPr>
          <w:b/>
          <w:bCs/>
          <w:i/>
          <w:iCs/>
          <w:u w:val="single"/>
        </w:rPr>
        <w:t>Third Party Solicitations:</w:t>
      </w:r>
      <w:r w:rsidRPr="00A64A40">
        <w:t xml:space="preserve"> Cal Advocates propose that the Commission </w:t>
      </w:r>
      <w:r>
        <w:t>require the IOUs to</w:t>
      </w:r>
      <w:r w:rsidRPr="00A64A40">
        <w:t xml:space="preserve"> implement a third-party procurement mechanism </w:t>
      </w:r>
      <w:r>
        <w:t xml:space="preserve">for the whole ESA program to </w:t>
      </w:r>
      <w:r w:rsidRPr="00A64A40">
        <w:t>promote greater competition and transparency for bidders, reduce unduly high measure costs, and encourage innovation to a greater extent than the current ESA procurement process.</w:t>
      </w:r>
      <w:r w:rsidRPr="00A64A40">
        <w:rPr>
          <w:vertAlign w:val="superscript"/>
        </w:rPr>
        <w:footnoteReference w:id="711"/>
      </w:r>
      <w:r w:rsidRPr="00FF1C6B">
        <w:t xml:space="preserve"> </w:t>
      </w:r>
      <w:r>
        <w:t xml:space="preserve"> </w:t>
      </w:r>
      <w:r w:rsidRPr="00FF1C6B">
        <w:t xml:space="preserve">The ESA program would then be proposed, designed, implemented, and delivered by non-utility personnel under contract to a utility program administrator, while the IOUs’ role would be limited to running solicitations and providing advice on program design after third-party bids have been solicited. </w:t>
      </w:r>
    </w:p>
    <w:p w:rsidRPr="00FF1C6B" w:rsidR="000C1980" w:rsidP="0023091F" w:rsidRDefault="000C1980" w14:paraId="7ECEEBD2" w14:textId="77777777">
      <w:pPr>
        <w:pStyle w:val="ALJBodyText"/>
      </w:pPr>
      <w:r w:rsidRPr="00FF1C6B">
        <w:t xml:space="preserve">Cal Advocates state that third-party programs are superior to the current model where the IOUs serve as both the administrator and implementer because they 1) address the lack of adequate oversight in the current model, which disincentivizes cost containment and strict oversight by allowing contractors to be the party responsible for implementing the program and verifying their own program performance, 2) ensure cost-competitive pricing, transparency, and oversight in the delivery of ESA measures to customers, and 3) align with the goal to encourage deeper energy savings per household because they would enable new program designs proposed by third-party bidders and encourage new market entrants.   </w:t>
      </w:r>
    </w:p>
    <w:p w:rsidRPr="00FF1C6B" w:rsidR="000C1980" w:rsidP="0023091F" w:rsidRDefault="000C1980" w14:paraId="6339D5D7" w14:textId="7E96277E">
      <w:pPr>
        <w:pStyle w:val="ALJBodyText"/>
      </w:pPr>
      <w:r w:rsidRPr="00FF1C6B">
        <w:lastRenderedPageBreak/>
        <w:t>Cal Advocates state that to further promote effectiveness and transparency, the Commission should order oversight of the third-party programs using a PRG and IE</w:t>
      </w:r>
      <w:r>
        <w:t xml:space="preserve">.  </w:t>
      </w:r>
      <w:r w:rsidRPr="00FF1C6B">
        <w:t xml:space="preserve">Cal Advocates recommend that the Commission establish a reasonable timeline for phasing in the third-party procurement mode to allow adequate time for the IOUs to transition from the current programs and for the Commission and stakeholders to identify how to adopt or adapt third-party program rules to the ESA program.  Therefore, the Commission should require the IOUs to complete solicitations for all single-family and mobile home ESA programs within 24 months of the Commission’s </w:t>
      </w:r>
      <w:r w:rsidR="00FF34BE">
        <w:t xml:space="preserve">approval of the </w:t>
      </w:r>
      <w:r w:rsidRPr="00FF1C6B">
        <w:t>final decision</w:t>
      </w:r>
      <w:r>
        <w:t xml:space="preserve">.  </w:t>
      </w:r>
      <w:r w:rsidRPr="00FF1C6B">
        <w:t xml:space="preserve">This process should include both resource and non-resource measures, though goals will have to be carefully selected for HCS targets for non-resource measures.  These solicitations should include a two-step process, including both a </w:t>
      </w:r>
      <w:r>
        <w:t>r</w:t>
      </w:r>
      <w:r w:rsidRPr="00FF1C6B">
        <w:t xml:space="preserve">equest for </w:t>
      </w:r>
      <w:r>
        <w:t>a</w:t>
      </w:r>
      <w:r w:rsidRPr="00FF1C6B">
        <w:t xml:space="preserve">bstracts and </w:t>
      </w:r>
      <w:r>
        <w:t>a r</w:t>
      </w:r>
      <w:r w:rsidRPr="00FF1C6B">
        <w:t xml:space="preserve">equest for </w:t>
      </w:r>
      <w:r>
        <w:t>p</w:t>
      </w:r>
      <w:r w:rsidRPr="00FF1C6B">
        <w:t xml:space="preserve">roposal stage. </w:t>
      </w:r>
    </w:p>
    <w:p w:rsidRPr="00103D4D" w:rsidR="000C1980" w:rsidP="0023091F" w:rsidRDefault="000C1980" w14:paraId="3CCD915E" w14:textId="2C623635">
      <w:pPr>
        <w:pStyle w:val="ALJBodyText"/>
      </w:pPr>
      <w:r w:rsidRPr="00FF1C6B">
        <w:t xml:space="preserve">The Commission should also require that </w:t>
      </w:r>
      <w:r>
        <w:t xml:space="preserve">the </w:t>
      </w:r>
      <w:r w:rsidRPr="00FF1C6B">
        <w:t xml:space="preserve">IOUs file Tier 2 </w:t>
      </w:r>
      <w:r>
        <w:t>a</w:t>
      </w:r>
      <w:r w:rsidRPr="00FF1C6B">
        <w:t xml:space="preserve">dvice </w:t>
      </w:r>
      <w:r>
        <w:t>l</w:t>
      </w:r>
      <w:r w:rsidRPr="00FF1C6B">
        <w:t>etters within 90 days</w:t>
      </w:r>
      <w:r w:rsidRPr="006C42C7" w:rsidR="006C42C7">
        <w:t xml:space="preserve"> </w:t>
      </w:r>
      <w:r w:rsidRPr="00C47214" w:rsidR="006C42C7">
        <w:t>after the approval</w:t>
      </w:r>
      <w:r w:rsidRPr="00FF1C6B">
        <w:t xml:space="preserve"> of </w:t>
      </w:r>
      <w:r>
        <w:t>this</w:t>
      </w:r>
      <w:r w:rsidRPr="00FF1C6B">
        <w:t xml:space="preserve"> decision</w:t>
      </w:r>
      <w:r>
        <w:t xml:space="preserve">.  </w:t>
      </w:r>
      <w:r w:rsidRPr="00FF1C6B">
        <w:t xml:space="preserve">These advice letters should contain the timeline for completing each of the required steps in the third-party solicitation process, including the engagement of the IEs and PRG, timing of </w:t>
      </w:r>
      <w:r>
        <w:t>r</w:t>
      </w:r>
      <w:r w:rsidRPr="00FF1C6B">
        <w:t xml:space="preserve">equest for </w:t>
      </w:r>
      <w:r>
        <w:t>a</w:t>
      </w:r>
      <w:r w:rsidRPr="00FF1C6B">
        <w:t>bstract</w:t>
      </w:r>
      <w:r>
        <w:t>s/p</w:t>
      </w:r>
      <w:r w:rsidRPr="00FF1C6B">
        <w:t>roposal</w:t>
      </w:r>
      <w:r>
        <w:t>s</w:t>
      </w:r>
      <w:r w:rsidRPr="00FF1C6B">
        <w:t xml:space="preserve">, and </w:t>
      </w:r>
      <w:r>
        <w:t xml:space="preserve">the </w:t>
      </w:r>
      <w:r w:rsidRPr="00FF1C6B">
        <w:t>deadlines for contract advice letter filings</w:t>
      </w:r>
      <w:r>
        <w:t xml:space="preserve">.  </w:t>
      </w:r>
      <w:r w:rsidRPr="00FF1C6B">
        <w:t>The advice letters should define the solicitation categories, including detailed descriptions of the IOU regions, household types, and other proposed solicitation categories.</w:t>
      </w:r>
      <w:r w:rsidRPr="00FF1C6B">
        <w:rPr>
          <w:vertAlign w:val="superscript"/>
        </w:rPr>
        <w:footnoteReference w:id="712"/>
      </w:r>
    </w:p>
    <w:p w:rsidRPr="00103D4D" w:rsidR="000C1980" w:rsidP="001968DC" w:rsidRDefault="000C1980" w14:paraId="354E8B15" w14:textId="434C24A5">
      <w:pPr>
        <w:pStyle w:val="Heading4"/>
        <w:ind w:left="3600"/>
      </w:pPr>
      <w:bookmarkStart w:name="_Toc69948145" w:id="495"/>
      <w:r>
        <w:t>EEC</w:t>
      </w:r>
      <w:bookmarkEnd w:id="495"/>
    </w:p>
    <w:p w:rsidR="000C1980" w:rsidP="0023091F" w:rsidRDefault="000C1980" w14:paraId="213A667E" w14:textId="4255F14E">
      <w:pPr>
        <w:pStyle w:val="ALJBodyText"/>
      </w:pPr>
      <w:r>
        <w:t xml:space="preserve">EEC proposes that agreements between the IOUs and contractors should have minimum production language, instead of maximum production language.  </w:t>
      </w:r>
      <w:r>
        <w:lastRenderedPageBreak/>
        <w:t>EEC believes that contractors will benefit by going beyond a set number of treatments, rather than having to not exceed that same number.</w:t>
      </w:r>
      <w:r>
        <w:rPr>
          <w:rStyle w:val="FootnoteReference"/>
        </w:rPr>
        <w:footnoteReference w:id="713"/>
      </w:r>
      <w:r>
        <w:t xml:space="preserve"> </w:t>
      </w:r>
    </w:p>
    <w:p w:rsidRPr="00103D4D" w:rsidR="00693668" w:rsidP="00693668" w:rsidRDefault="00693668" w14:paraId="6EB2ED16" w14:textId="05B59EB8">
      <w:pPr>
        <w:pStyle w:val="Heading4"/>
        <w:ind w:left="3600"/>
      </w:pPr>
      <w:r>
        <w:t>TURN</w:t>
      </w:r>
    </w:p>
    <w:p w:rsidRPr="002F05C3" w:rsidR="00693668" w:rsidP="0023091F" w:rsidRDefault="00923A5B" w14:paraId="761715F9" w14:textId="2BC94917">
      <w:pPr>
        <w:pStyle w:val="ALJBodyText"/>
      </w:pPr>
      <w:r w:rsidRPr="00A64A40">
        <w:rPr>
          <w:b/>
          <w:bCs/>
          <w:i/>
          <w:iCs/>
          <w:u w:val="single"/>
        </w:rPr>
        <w:t>Third Party Solicitations:</w:t>
      </w:r>
      <w:r w:rsidRPr="00A64A40">
        <w:t xml:space="preserve"> </w:t>
      </w:r>
      <w:r w:rsidRPr="00BB764E" w:rsidR="00BB764E">
        <w:t xml:space="preserve">TURN </w:t>
      </w:r>
      <w:r w:rsidR="00BB764E">
        <w:t>supports a</w:t>
      </w:r>
      <w:r w:rsidRPr="00BB764E" w:rsidR="00BB764E">
        <w:t xml:space="preserve"> third-party</w:t>
      </w:r>
      <w:r w:rsidR="00BB764E">
        <w:t xml:space="preserve"> </w:t>
      </w:r>
      <w:r w:rsidRPr="00BB764E" w:rsidR="00BB764E">
        <w:t>procurement mechanism with increased oversight for both procurement of measures and</w:t>
      </w:r>
      <w:r w:rsidRPr="00BB764E" w:rsidR="00BB764E">
        <w:rPr>
          <w:rFonts w:ascii="TimesNewRomanPSMT" w:hAnsi="TimesNewRomanPSMT" w:cs="TimesNewRomanPSMT"/>
          <w:sz w:val="24"/>
          <w:szCs w:val="24"/>
        </w:rPr>
        <w:t xml:space="preserve"> </w:t>
      </w:r>
      <w:r w:rsidRPr="00BB764E" w:rsidR="00BB764E">
        <w:t>procurement of program implementation services. For measure procurement in particular,</w:t>
      </w:r>
      <w:r w:rsidR="00BB764E">
        <w:t xml:space="preserve"> </w:t>
      </w:r>
      <w:r w:rsidRPr="00BB764E" w:rsidR="00BB764E">
        <w:t xml:space="preserve">TURN recommends that the </w:t>
      </w:r>
      <w:r w:rsidR="00BB764E">
        <w:t>IOUs</w:t>
      </w:r>
      <w:r w:rsidRPr="00BB764E" w:rsidR="00BB764E">
        <w:t xml:space="preserve"> explore statewide procurements to obtain</w:t>
      </w:r>
      <w:r w:rsidR="00BB764E">
        <w:t xml:space="preserve"> </w:t>
      </w:r>
      <w:r w:rsidRPr="00BB764E" w:rsidR="00BB764E">
        <w:t>greater economies of scale</w:t>
      </w:r>
      <w:r w:rsidR="00F45172">
        <w:t xml:space="preserve">, or at a minimum </w:t>
      </w:r>
      <w:r w:rsidRPr="00BB764E" w:rsidR="00BB764E">
        <w:t>look for</w:t>
      </w:r>
      <w:r w:rsidR="00BB764E">
        <w:t xml:space="preserve"> </w:t>
      </w:r>
      <w:r w:rsidRPr="00BB764E" w:rsidR="00BB764E">
        <w:t xml:space="preserve">opportunities to coordinate or leverage procurement across the mainstream </w:t>
      </w:r>
      <w:r w:rsidR="00F45172">
        <w:t xml:space="preserve">energy efficiency </w:t>
      </w:r>
      <w:r w:rsidRPr="00BB764E" w:rsidR="00BB764E">
        <w:t>portfolio and</w:t>
      </w:r>
      <w:r w:rsidR="00BB764E">
        <w:t xml:space="preserve"> </w:t>
      </w:r>
      <w:r w:rsidRPr="00BB764E" w:rsidR="00BB764E">
        <w:t>ESA</w:t>
      </w:r>
      <w:r w:rsidR="002A2A1D">
        <w:t>.</w:t>
      </w:r>
      <w:r w:rsidR="00BB764E">
        <w:rPr>
          <w:rStyle w:val="FootnoteReference"/>
        </w:rPr>
        <w:footnoteReference w:id="714"/>
      </w:r>
    </w:p>
    <w:p w:rsidR="000C1980" w:rsidP="001968DC" w:rsidRDefault="000C1980" w14:paraId="587ABCA6" w14:textId="4A33450D">
      <w:pPr>
        <w:pStyle w:val="Heading3"/>
        <w:ind w:left="2664"/>
      </w:pPr>
      <w:bookmarkStart w:name="_Toc69948146" w:id="496"/>
      <w:r>
        <w:t>IOU Response</w:t>
      </w:r>
      <w:r w:rsidR="004425FC">
        <w:t>s</w:t>
      </w:r>
      <w:bookmarkEnd w:id="496"/>
    </w:p>
    <w:p w:rsidR="000C1980" w:rsidP="001968DC" w:rsidRDefault="000C1980" w14:paraId="77A41414" w14:textId="77777777">
      <w:pPr>
        <w:pStyle w:val="Heading4"/>
        <w:ind w:left="3600"/>
      </w:pPr>
      <w:bookmarkStart w:name="_Toc69948147" w:id="497"/>
      <w:r>
        <w:t>PG&amp;E</w:t>
      </w:r>
      <w:bookmarkEnd w:id="497"/>
    </w:p>
    <w:p w:rsidR="000C1980" w:rsidP="0023091F" w:rsidRDefault="000C1980" w14:paraId="6CA3330E" w14:textId="77777777">
      <w:pPr>
        <w:pStyle w:val="ALJBodyText"/>
      </w:pPr>
      <w:r w:rsidRPr="00625F1E">
        <w:rPr>
          <w:b/>
          <w:i/>
          <w:u w:val="single"/>
        </w:rPr>
        <w:t xml:space="preserve">Third Party Solicitations: </w:t>
      </w:r>
      <w:r w:rsidRPr="00625F1E">
        <w:t xml:space="preserve">PG&amp;E </w:t>
      </w:r>
      <w:r>
        <w:t xml:space="preserve">states that it is already </w:t>
      </w:r>
      <w:r w:rsidRPr="00625F1E">
        <w:t>propos</w:t>
      </w:r>
      <w:r>
        <w:t xml:space="preserve">ing </w:t>
      </w:r>
      <w:r w:rsidRPr="00625F1E">
        <w:t xml:space="preserve">to outsource program delivery </w:t>
      </w:r>
      <w:r>
        <w:t xml:space="preserve">to a third party and opposes the solicitation of the whole ESA program because the IOUs should be able to </w:t>
      </w:r>
      <w:r w:rsidRPr="00625F1E">
        <w:t>leverage its experience in ESA program administration.</w:t>
      </w:r>
      <w:r w:rsidRPr="00625F1E">
        <w:rPr>
          <w:vertAlign w:val="superscript"/>
        </w:rPr>
        <w:footnoteReference w:id="715"/>
      </w:r>
      <w:r w:rsidRPr="00625F1E">
        <w:t xml:space="preserve"> </w:t>
      </w:r>
      <w:r>
        <w:t xml:space="preserve"> </w:t>
      </w:r>
      <w:r w:rsidRPr="00625F1E">
        <w:t xml:space="preserve">PG&amp;E also states that they are already proposing the use of the PRG/IE model </w:t>
      </w:r>
      <w:r w:rsidRPr="00B64D07">
        <w:t>to ensure a fair, unbiased, transparent, and rigorous</w:t>
      </w:r>
      <w:r w:rsidRPr="00625F1E">
        <w:t xml:space="preserve"> </w:t>
      </w:r>
      <w:r w:rsidRPr="00B64D07">
        <w:t>solicitation process from RFP design, through bidder evaluation, to contract</w:t>
      </w:r>
      <w:r w:rsidRPr="00625F1E">
        <w:t xml:space="preserve"> negotiation.</w:t>
      </w:r>
      <w:r w:rsidRPr="00625F1E">
        <w:rPr>
          <w:vertAlign w:val="superscript"/>
        </w:rPr>
        <w:footnoteReference w:id="716"/>
      </w:r>
    </w:p>
    <w:p w:rsidRPr="00C545CE" w:rsidR="000C1980" w:rsidP="001968DC" w:rsidRDefault="000C1980" w14:paraId="4BEAA096" w14:textId="40BE4A21">
      <w:pPr>
        <w:pStyle w:val="Heading4"/>
        <w:ind w:left="3600"/>
      </w:pPr>
      <w:bookmarkStart w:name="_Toc69948148" w:id="498"/>
      <w:r w:rsidRPr="00C545CE">
        <w:t>SDG&amp;E</w:t>
      </w:r>
      <w:bookmarkEnd w:id="498"/>
    </w:p>
    <w:p w:rsidR="00A16DB2" w:rsidP="0023091F" w:rsidRDefault="000C1980" w14:paraId="2A334BBA" w14:textId="20B08FF6">
      <w:pPr>
        <w:pStyle w:val="ALJBodyText"/>
      </w:pPr>
      <w:r>
        <w:rPr>
          <w:b/>
          <w:i/>
          <w:u w:val="single"/>
        </w:rPr>
        <w:t>Third Party Solicitations:</w:t>
      </w:r>
      <w:r w:rsidRPr="00FD37DB">
        <w:rPr>
          <w:b/>
          <w:i/>
        </w:rPr>
        <w:t xml:space="preserve"> </w:t>
      </w:r>
      <w:r w:rsidRPr="00FD37DB">
        <w:t xml:space="preserve">SDG&amp;E supports the IOUs administering the ESA program in their local territories, with third parties selected to design, </w:t>
      </w:r>
      <w:r w:rsidRPr="00FD37DB">
        <w:lastRenderedPageBreak/>
        <w:t>propose, and deliver the program based on outsourcing parameters established in D.18-01-041.</w:t>
      </w:r>
      <w:r w:rsidRPr="00FD37DB">
        <w:rPr>
          <w:rStyle w:val="FootnoteReference"/>
          <w:bCs/>
          <w:iCs/>
        </w:rPr>
        <w:footnoteReference w:id="717"/>
      </w:r>
      <w:r>
        <w:t xml:space="preserve">  However SDG&amp;E disagrees with the arguments made by Cal Advocates regarding the </w:t>
      </w:r>
      <w:r w:rsidRPr="00261525">
        <w:t>procurement processes and structure</w:t>
      </w:r>
      <w:r>
        <w:t xml:space="preserve"> stating that they </w:t>
      </w:r>
      <w:r w:rsidRPr="00261525">
        <w:t>are overly burdensome</w:t>
      </w:r>
      <w:r>
        <w:t xml:space="preserve">, </w:t>
      </w:r>
      <w:r w:rsidRPr="00261525">
        <w:t>add administrative difficulty</w:t>
      </w:r>
      <w:r>
        <w:t xml:space="preserve"> </w:t>
      </w:r>
      <w:r w:rsidRPr="00261525">
        <w:t>and cost to the programs</w:t>
      </w:r>
      <w:r>
        <w:t xml:space="preserve">, and impacts cost effectiveness. </w:t>
      </w:r>
    </w:p>
    <w:p w:rsidRPr="0030268C" w:rsidR="000C1980" w:rsidP="001968DC" w:rsidRDefault="000C1980" w14:paraId="6BB59068" w14:textId="68C73FD9">
      <w:pPr>
        <w:pStyle w:val="Heading3"/>
        <w:ind w:left="2664"/>
      </w:pPr>
      <w:bookmarkStart w:name="_Toc69948149" w:id="499"/>
      <w:r>
        <w:t>Discussion</w:t>
      </w:r>
      <w:bookmarkEnd w:id="499"/>
    </w:p>
    <w:p w:rsidR="000C1980" w:rsidP="0023091F" w:rsidRDefault="000C1980" w14:paraId="2F71D7C0" w14:textId="77777777">
      <w:pPr>
        <w:pStyle w:val="ALJBodyText"/>
      </w:pPr>
      <w:r>
        <w:t>We first identify and clarify the different types of solicitations and procurement options that are proposed and discussed in this decision:</w:t>
      </w:r>
    </w:p>
    <w:p w:rsidR="000C1980" w:rsidP="00402362" w:rsidRDefault="000C1980" w14:paraId="3D6EB5CB" w14:textId="77777777">
      <w:pPr>
        <w:pStyle w:val="ListBullet"/>
      </w:pPr>
      <w:r w:rsidRPr="004E2DA3">
        <w:rPr>
          <w:i/>
          <w:iCs/>
          <w:u w:val="single"/>
        </w:rPr>
        <w:t>Closed Competitive Bidding</w:t>
      </w:r>
      <w:r>
        <w:t>: Solicitation requests to a prequalified or preapproved list of bidders.</w:t>
      </w:r>
    </w:p>
    <w:p w:rsidR="000C1980" w:rsidP="00402362" w:rsidRDefault="000C1980" w14:paraId="5B410CCE" w14:textId="77777777">
      <w:pPr>
        <w:pStyle w:val="ListBullet"/>
      </w:pPr>
      <w:r w:rsidRPr="004E2DA3">
        <w:rPr>
          <w:i/>
          <w:iCs/>
          <w:u w:val="single"/>
        </w:rPr>
        <w:t>Open Competitive Bidding</w:t>
      </w:r>
      <w:r>
        <w:t xml:space="preserve">: Solicitation requests open to any qualified bidder. </w:t>
      </w:r>
    </w:p>
    <w:p w:rsidR="000C1980" w:rsidP="00402362" w:rsidRDefault="000C1980" w14:paraId="69950F6E" w14:textId="77777777">
      <w:pPr>
        <w:pStyle w:val="ListBullet"/>
      </w:pPr>
      <w:r w:rsidRPr="004E2DA3">
        <w:rPr>
          <w:i/>
          <w:iCs/>
          <w:u w:val="single"/>
        </w:rPr>
        <w:t>Modified third-party solicitation process</w:t>
      </w:r>
      <w:r>
        <w:t xml:space="preserve">: Solicitation requests leaving open only certain components for design and delivery to be proposed by </w:t>
      </w:r>
      <w:proofErr w:type="gramStart"/>
      <w:r>
        <w:t>third-parties</w:t>
      </w:r>
      <w:proofErr w:type="gramEnd"/>
      <w:r>
        <w:t xml:space="preserve"> and is open to any qualified bidder.</w:t>
      </w:r>
    </w:p>
    <w:p w:rsidR="000C1980" w:rsidP="00402362" w:rsidRDefault="000C1980" w14:paraId="167DCB93" w14:textId="77777777">
      <w:pPr>
        <w:pStyle w:val="ListBullet"/>
      </w:pPr>
      <w:r w:rsidRPr="004E2DA3">
        <w:rPr>
          <w:i/>
          <w:iCs/>
          <w:u w:val="single"/>
        </w:rPr>
        <w:t>Third-party solicitation process</w:t>
      </w:r>
      <w:r>
        <w:rPr>
          <w:i/>
          <w:iCs/>
          <w:u w:val="single"/>
        </w:rPr>
        <w:t>:</w:t>
      </w:r>
      <w:r>
        <w:rPr>
          <w:rStyle w:val="FootnoteReference"/>
        </w:rPr>
        <w:footnoteReference w:id="718"/>
      </w:r>
      <w:r>
        <w:t xml:space="preserve"> Solicitation requests where all aspects are proposed by </w:t>
      </w:r>
      <w:proofErr w:type="gramStart"/>
      <w:r>
        <w:t>third-parties</w:t>
      </w:r>
      <w:proofErr w:type="gramEnd"/>
      <w:r w:rsidRPr="00F63B7C">
        <w:t xml:space="preserve"> </w:t>
      </w:r>
      <w:r>
        <w:t>and is open to any qualified bidder.</w:t>
      </w:r>
    </w:p>
    <w:p w:rsidRPr="00DF7504" w:rsidR="000C1980" w:rsidP="001968DC" w:rsidRDefault="000C1980" w14:paraId="72F78D5B" w14:textId="77777777">
      <w:pPr>
        <w:pStyle w:val="Heading4"/>
        <w:ind w:left="3600"/>
      </w:pPr>
      <w:bookmarkStart w:name="_Toc69948150" w:id="500"/>
      <w:r w:rsidRPr="00DF7504">
        <w:t xml:space="preserve">Open Competitive Bidding: </w:t>
      </w:r>
      <w:r w:rsidRPr="00DF7504">
        <w:rPr>
          <w:u w:val="single"/>
        </w:rPr>
        <w:t>Approved with Modification</w:t>
      </w:r>
      <w:bookmarkEnd w:id="500"/>
      <w:r w:rsidRPr="00DF7504">
        <w:rPr>
          <w:u w:val="single"/>
        </w:rPr>
        <w:t xml:space="preserve"> </w:t>
      </w:r>
    </w:p>
    <w:p w:rsidR="000C1980" w:rsidP="0023091F" w:rsidRDefault="000C1980" w14:paraId="1DF6DCCA" w14:textId="3EDFD6FC">
      <w:pPr>
        <w:pStyle w:val="ALJBodyText"/>
      </w:pPr>
      <w:r>
        <w:t xml:space="preserve">We approve with modifications SCE, SDG&amp;E, and SoCalGas’ requests to perform competitive solicitations for the implementation </w:t>
      </w:r>
      <w:r w:rsidR="00756236">
        <w:t>and/or program delivery</w:t>
      </w:r>
      <w:r w:rsidR="00F07AB3">
        <w:t xml:space="preserve"> </w:t>
      </w:r>
      <w:r>
        <w:t xml:space="preserve">of the ESA program and will require all IOUs proposing to issue solicitations for ESA implementation and/or program delivery to use an open competitive bidding process.  The IOUs shall establish new ESA program implementation/delivery contracts to reflect updated components of the ESA </w:t>
      </w:r>
      <w:r>
        <w:lastRenderedPageBreak/>
        <w:t xml:space="preserve">program approved in this decision using an open competitive process.  The open competitive bidding process must include posting RFPs as open to all qualified entities, beyond the existing ESA contractor workforce.  Notification to a larger pool of bidders can provide competitive ESA contractor pricing and potentially address Cal Advocates’ concerns about varying measure costs among IOU current program implementers.   </w:t>
      </w:r>
    </w:p>
    <w:p w:rsidR="000C1980" w:rsidP="0023091F" w:rsidRDefault="00C017B3" w14:paraId="2280E742" w14:textId="6C6BC495">
      <w:pPr>
        <w:pStyle w:val="ALJBodyText"/>
      </w:pPr>
      <w:r>
        <w:t>Regarding</w:t>
      </w:r>
      <w:r w:rsidR="000C1980">
        <w:t xml:space="preserve"> oversight, we are not convinced that a PRG and IE is required for the single family and mobile home components of the ESA program given the added </w:t>
      </w:r>
      <w:r w:rsidRPr="009C04F1" w:rsidR="000C1980">
        <w:rPr>
          <w:bCs/>
          <w:iCs/>
        </w:rPr>
        <w:t>cost and complexity that may not be necessary</w:t>
      </w:r>
      <w:r w:rsidR="000C1980">
        <w:t xml:space="preserve"> at this stage.  Therefore, we deny PG&amp;E’s request to use a PRG and IE.  This decision is clear on the design, implementation and goals of the single family and mobile home components of the program, unlike the multifamily whole building program which remains to be developed and finalized.  We are confident that there is enough transparency and oversight with the additional processes and reporting requirements put in place through this decision to address Cal Advocates’ concerns.    </w:t>
      </w:r>
    </w:p>
    <w:p w:rsidRPr="00CD323D" w:rsidR="000C1980" w:rsidP="001968DC" w:rsidRDefault="000C1980" w14:paraId="46349975" w14:textId="3F6FD029">
      <w:pPr>
        <w:pStyle w:val="Heading4"/>
        <w:ind w:left="3600"/>
      </w:pPr>
      <w:bookmarkStart w:name="_Toc69948151" w:id="501"/>
      <w:r w:rsidRPr="00CD323D">
        <w:t xml:space="preserve">Third Party Solicitation: </w:t>
      </w:r>
      <w:r w:rsidRPr="00CD323D">
        <w:rPr>
          <w:u w:val="single"/>
        </w:rPr>
        <w:t>Denied</w:t>
      </w:r>
      <w:bookmarkEnd w:id="501"/>
    </w:p>
    <w:p w:rsidR="000C1980" w:rsidP="0023091F" w:rsidRDefault="000C1980" w14:paraId="6AEFE61B" w14:textId="7D617599">
      <w:pPr>
        <w:pStyle w:val="ALJBodyText"/>
      </w:pPr>
      <w:r w:rsidRPr="0B39E345">
        <w:rPr>
          <w:rFonts w:eastAsia="Calibri"/>
        </w:rPr>
        <w:t xml:space="preserve">We deny Cal Advocates’ proposal to </w:t>
      </w:r>
      <w:r>
        <w:t>implement a third-party procurement mechanism for all aspects of the ESA program, which would outsource the program design, implementation, delivery, and require a PRG and IE to oversee the solicitation process.  We find that a</w:t>
      </w:r>
      <w:r w:rsidRPr="00B86323">
        <w:t xml:space="preserve"> </w:t>
      </w:r>
      <w:proofErr w:type="gramStart"/>
      <w:r w:rsidRPr="00B86323">
        <w:t>third party</w:t>
      </w:r>
      <w:proofErr w:type="gramEnd"/>
      <w:r w:rsidRPr="00B86323">
        <w:t xml:space="preserve"> solicitation process for the full ESA program </w:t>
      </w:r>
      <w:r>
        <w:t>may</w:t>
      </w:r>
      <w:r w:rsidRPr="00B86323">
        <w:t xml:space="preserve"> not</w:t>
      </w:r>
      <w:r>
        <w:t xml:space="preserve"> be</w:t>
      </w:r>
      <w:r w:rsidRPr="00B86323">
        <w:t xml:space="preserve"> appropriate</w:t>
      </w:r>
      <w:r>
        <w:t xml:space="preserve"> given the maturity of the ESA program, unlike the multifamily whole building program that is still being designed and developed.  Additionally, given that the design of the program has already been determined through this decision, little remains for a third party to </w:t>
      </w:r>
      <w:r w:rsidR="0097665E">
        <w:t>add</w:t>
      </w:r>
      <w:r>
        <w:t xml:space="preserve">. </w:t>
      </w:r>
      <w:r w:rsidRPr="00B86323">
        <w:t xml:space="preserve"> </w:t>
      </w:r>
      <w:r>
        <w:t xml:space="preserve">A </w:t>
      </w:r>
      <w:proofErr w:type="gramStart"/>
      <w:r>
        <w:t>third party</w:t>
      </w:r>
      <w:proofErr w:type="gramEnd"/>
      <w:r>
        <w:t xml:space="preserve"> solicitation may also </w:t>
      </w:r>
      <w:r w:rsidRPr="00B86323">
        <w:t>cause delays</w:t>
      </w:r>
      <w:r>
        <w:t xml:space="preserve">, </w:t>
      </w:r>
      <w:r w:rsidRPr="00B86323">
        <w:t xml:space="preserve">overlook efficiencies offered by IOU </w:t>
      </w:r>
      <w:r w:rsidRPr="00B86323">
        <w:lastRenderedPageBreak/>
        <w:t>management and expertis</w:t>
      </w:r>
      <w:r>
        <w:t xml:space="preserve">e, and </w:t>
      </w:r>
      <w:r w:rsidR="0097665E">
        <w:t xml:space="preserve">potentially </w:t>
      </w:r>
      <w:r w:rsidRPr="00B86323">
        <w:t xml:space="preserve">add costs and administrative burden to the program.  </w:t>
      </w:r>
    </w:p>
    <w:p w:rsidR="000C1980" w:rsidP="0023091F" w:rsidRDefault="000C1980" w14:paraId="105B9A64" w14:textId="77777777">
      <w:pPr>
        <w:pStyle w:val="ALJBodyText"/>
      </w:pPr>
      <w:r>
        <w:t>Our approval of an open competitive bidding process will be sufficient in encouraging competition.  We also provide additional guidance to add transparency and create alignment which meets the spirit of Cal Advocates’ proposal.  We note that all the IOUs already propose to solicit and contract with an outside party for certain components of the ESA program, mainly implementation and outreach, with the design and administration components remaining in-house at the IOU</w:t>
      </w:r>
      <w:r w:rsidRPr="0040151E">
        <w:t>.  Therefore, the approach proposed by the IOUs</w:t>
      </w:r>
      <w:r>
        <w:t>, and approved in this decision</w:t>
      </w:r>
      <w:r w:rsidRPr="0040151E">
        <w:t xml:space="preserve"> is reasonabl</w:t>
      </w:r>
      <w:r>
        <w:t>e</w:t>
      </w:r>
      <w:r w:rsidRPr="0040151E">
        <w:t>.</w:t>
      </w:r>
      <w:r>
        <w:t xml:space="preserve">  </w:t>
      </w:r>
    </w:p>
    <w:p w:rsidRPr="00CC249F" w:rsidR="000C1980" w:rsidP="001968DC" w:rsidRDefault="000C1980" w14:paraId="253E961E" w14:textId="7C7ACF47">
      <w:pPr>
        <w:pStyle w:val="Heading4"/>
        <w:ind w:left="3600"/>
      </w:pPr>
      <w:bookmarkStart w:name="_Toc69948152" w:id="502"/>
      <w:r w:rsidRPr="00CC249F">
        <w:t xml:space="preserve">Requirements for All Solicitation Processes: </w:t>
      </w:r>
      <w:r w:rsidRPr="00CC249F">
        <w:rPr>
          <w:u w:val="single"/>
        </w:rPr>
        <w:t>New</w:t>
      </w:r>
      <w:bookmarkEnd w:id="502"/>
    </w:p>
    <w:p w:rsidRPr="006B7E5A" w:rsidR="000C1980" w:rsidP="0023091F" w:rsidRDefault="000C1980" w14:paraId="6D11C1AE" w14:textId="4EC65802">
      <w:pPr>
        <w:pStyle w:val="ALJBodyText"/>
        <w:rPr>
          <w:b/>
          <w:bCs/>
          <w:i/>
          <w:iCs/>
          <w:u w:val="single"/>
        </w:rPr>
      </w:pPr>
      <w:r w:rsidRPr="0B39E345">
        <w:t xml:space="preserve">We require the IOUs, in attracting a broad pool of entities to bid in response to solicitations for </w:t>
      </w:r>
      <w:r>
        <w:t xml:space="preserve">the </w:t>
      </w:r>
      <w:r w:rsidRPr="0B39E345">
        <w:t xml:space="preserve">ESA </w:t>
      </w:r>
      <w:r>
        <w:t>p</w:t>
      </w:r>
      <w:r w:rsidRPr="0B39E345">
        <w:t>ortfolio in-home programs’ and pilots’ design, delivery, and/or implementation, to jointly communicate</w:t>
      </w:r>
      <w:r w:rsidRPr="00A760D1">
        <w:t xml:space="preserve"> </w:t>
      </w:r>
      <w:r w:rsidRPr="0B39E345">
        <w:t xml:space="preserve">to the proceeding </w:t>
      </w:r>
      <w:r>
        <w:t>service list</w:t>
      </w:r>
      <w:r w:rsidRPr="0B39E345">
        <w:t xml:space="preserve"> within 90 days </w:t>
      </w:r>
      <w:r w:rsidRPr="00C47214" w:rsidR="006C42C7">
        <w:t xml:space="preserve">after the approval </w:t>
      </w:r>
      <w:r w:rsidRPr="0B39E345">
        <w:t xml:space="preserve">of this </w:t>
      </w:r>
      <w:r>
        <w:t>d</w:t>
      </w:r>
      <w:r w:rsidRPr="0B39E345">
        <w:t xml:space="preserve">ecision a) projected solicitation timing, b) </w:t>
      </w:r>
      <w:r>
        <w:t xml:space="preserve">an </w:t>
      </w:r>
      <w:r w:rsidRPr="0B39E345">
        <w:t xml:space="preserve">overview of stages/process the solicitation will follow, c) </w:t>
      </w:r>
      <w:r>
        <w:t xml:space="preserve">the </w:t>
      </w:r>
      <w:r w:rsidRPr="0B39E345">
        <w:t>platform</w:t>
      </w:r>
      <w:r>
        <w:t>s</w:t>
      </w:r>
      <w:r w:rsidRPr="0B39E345">
        <w:t>/website</w:t>
      </w:r>
      <w:r>
        <w:t>s</w:t>
      </w:r>
      <w:r w:rsidRPr="0B39E345">
        <w:t xml:space="preserve"> bidders can expect to find, or be alerted </w:t>
      </w:r>
      <w:r>
        <w:t>of</w:t>
      </w:r>
      <w:r w:rsidRPr="0B39E345">
        <w:t xml:space="preserve"> upcoming solicitation</w:t>
      </w:r>
      <w:r>
        <w:t>s</w:t>
      </w:r>
      <w:r w:rsidRPr="0B39E345">
        <w:t>, d) any other already known contract scope, bidder eligibility requirements, or other information to help potential bidders prepare and e) whether a PRG and IE will be used in the solicitation process</w:t>
      </w:r>
      <w:r>
        <w:t xml:space="preserve">. </w:t>
      </w:r>
      <w:r w:rsidRPr="0B39E345">
        <w:t>If there are new solicitation opportunities during the program cycle, the IOUs shall provide a timely update to the proceeding service list</w:t>
      </w:r>
      <w:r>
        <w:t xml:space="preserve">.  </w:t>
      </w:r>
      <w:r w:rsidRPr="0B39E345">
        <w:t xml:space="preserve">For finalized contracts, </w:t>
      </w:r>
      <w:r>
        <w:t xml:space="preserve">the </w:t>
      </w:r>
      <w:r w:rsidRPr="0B39E345">
        <w:t xml:space="preserve">IOUs must </w:t>
      </w:r>
      <w:r>
        <w:t>comply with</w:t>
      </w:r>
      <w:r w:rsidRPr="0B39E345">
        <w:t xml:space="preserve"> D.18-01-004 Attachment A Standard Contract Terms.</w:t>
      </w:r>
    </w:p>
    <w:p w:rsidR="000C1980" w:rsidP="0023091F" w:rsidRDefault="000C1980" w14:paraId="5D4026AC" w14:textId="77777777">
      <w:pPr>
        <w:pStyle w:val="ALJBodyText"/>
        <w:rPr>
          <w:rFonts w:eastAsia="Book Antiqua" w:cs="Book Antiqua"/>
          <w:color w:val="000000" w:themeColor="text1"/>
        </w:rPr>
      </w:pPr>
      <w:r>
        <w:rPr>
          <w:rStyle w:val="ALJBodyTextChar"/>
        </w:rPr>
        <w:lastRenderedPageBreak/>
        <w:t>T</w:t>
      </w:r>
      <w:r w:rsidRPr="0B39E345">
        <w:rPr>
          <w:rStyle w:val="ALJBodyTextChar"/>
        </w:rPr>
        <w:t xml:space="preserve">o create statewide alignment, </w:t>
      </w:r>
      <w:r w:rsidRPr="4FC83D76">
        <w:rPr>
          <w:rStyle w:val="ALJBodyTextChar"/>
        </w:rPr>
        <w:t xml:space="preserve">the IOUs </w:t>
      </w:r>
      <w:r>
        <w:rPr>
          <w:rStyle w:val="ALJBodyTextChar"/>
        </w:rPr>
        <w:t>shall</w:t>
      </w:r>
      <w:r w:rsidRPr="4FC83D76">
        <w:rPr>
          <w:rStyle w:val="ALJBodyTextChar"/>
        </w:rPr>
        <w:t xml:space="preserve"> include the following questions</w:t>
      </w:r>
      <w:r>
        <w:rPr>
          <w:rStyle w:val="FootnoteReference"/>
        </w:rPr>
        <w:footnoteReference w:id="719"/>
      </w:r>
      <w:r w:rsidRPr="4FC83D76">
        <w:rPr>
          <w:rStyle w:val="ALJBodyTextChar"/>
        </w:rPr>
        <w:t xml:space="preserve"> </w:t>
      </w:r>
      <w:r>
        <w:rPr>
          <w:rStyle w:val="ALJBodyTextChar"/>
        </w:rPr>
        <w:t xml:space="preserve">to bidders </w:t>
      </w:r>
      <w:r w:rsidRPr="4FC83D76">
        <w:rPr>
          <w:rStyle w:val="ALJBodyTextChar"/>
        </w:rPr>
        <w:t xml:space="preserve">in </w:t>
      </w:r>
      <w:r w:rsidRPr="0B39E345">
        <w:rPr>
          <w:rStyle w:val="ALJBodyTextChar"/>
        </w:rPr>
        <w:t xml:space="preserve">any </w:t>
      </w:r>
      <w:r>
        <w:rPr>
          <w:rStyle w:val="ALJBodyTextChar"/>
        </w:rPr>
        <w:t>request for proposals</w:t>
      </w:r>
      <w:r w:rsidRPr="4FC83D76">
        <w:rPr>
          <w:rStyle w:val="ALJBodyTextChar"/>
        </w:rPr>
        <w:t xml:space="preserve"> </w:t>
      </w:r>
      <w:r w:rsidRPr="0B39E345">
        <w:rPr>
          <w:rStyle w:val="ALJBodyTextChar"/>
        </w:rPr>
        <w:t xml:space="preserve">which cover </w:t>
      </w:r>
      <w:r>
        <w:rPr>
          <w:rStyle w:val="ALJBodyTextChar"/>
        </w:rPr>
        <w:t xml:space="preserve">solicitations for </w:t>
      </w:r>
      <w:r w:rsidRPr="0B39E345">
        <w:rPr>
          <w:rStyle w:val="ALJBodyTextChar"/>
        </w:rPr>
        <w:t xml:space="preserve">the ESA </w:t>
      </w:r>
      <w:r>
        <w:rPr>
          <w:rStyle w:val="ALJBodyTextChar"/>
        </w:rPr>
        <w:t>programs’</w:t>
      </w:r>
      <w:r w:rsidRPr="0B39E345">
        <w:rPr>
          <w:rStyle w:val="ALJBodyTextChar"/>
        </w:rPr>
        <w:t xml:space="preserve"> delivery and/or implementation, including in-home programs and pilots</w:t>
      </w:r>
      <w:r w:rsidRPr="4FC83D76">
        <w:rPr>
          <w:rStyle w:val="ALJBodyTextChar"/>
        </w:rPr>
        <w:t xml:space="preserve">: </w:t>
      </w:r>
    </w:p>
    <w:p w:rsidR="000C1980" w:rsidP="00402362" w:rsidRDefault="000C1980" w14:paraId="01187512" w14:textId="77777777">
      <w:pPr>
        <w:pStyle w:val="ListBullet"/>
      </w:pPr>
      <w:r w:rsidRPr="471A7AFB">
        <w:t xml:space="preserve">How the ESA WE&amp;T objectives described in </w:t>
      </w:r>
      <w:r>
        <w:t>S</w:t>
      </w:r>
      <w:r w:rsidRPr="471A7AFB">
        <w:t>ection 6.13 will be met, including the hiring of local and disadvantaged workers, worker training, and career-ladder job development, as well as any new metrics to track these objectives.</w:t>
      </w:r>
    </w:p>
    <w:p w:rsidRPr="00366655" w:rsidR="000C1980" w:rsidP="00402362" w:rsidRDefault="000C1980" w14:paraId="224FEC30" w14:textId="77777777">
      <w:pPr>
        <w:pStyle w:val="ListBullet"/>
        <w:rPr>
          <w:szCs w:val="26"/>
        </w:rPr>
      </w:pPr>
      <w:r w:rsidRPr="0B39E345">
        <w:t xml:space="preserve">Where applicable, a payment term structure that reflects the program design shift away from </w:t>
      </w:r>
      <w:proofErr w:type="gramStart"/>
      <w:r>
        <w:t xml:space="preserve">a </w:t>
      </w:r>
      <w:r w:rsidRPr="0B39E345">
        <w:t>number of</w:t>
      </w:r>
      <w:proofErr w:type="gramEnd"/>
      <w:r w:rsidRPr="0B39E345">
        <w:t xml:space="preserve"> homes treated goal to the portfolio energy savings goal, including deeper energy savings per household</w:t>
      </w:r>
      <w:r>
        <w:t>.</w:t>
      </w:r>
    </w:p>
    <w:p w:rsidR="000C1980" w:rsidP="00402362" w:rsidRDefault="000C1980" w14:paraId="6F24AD33" w14:textId="77777777">
      <w:pPr>
        <w:pStyle w:val="ListBullet"/>
      </w:pPr>
      <w:r w:rsidRPr="4FC83D76">
        <w:t>How to provide q</w:t>
      </w:r>
      <w:r w:rsidRPr="007B182D">
        <w:t xml:space="preserve">uality of service to </w:t>
      </w:r>
      <w:r w:rsidRPr="4FC83D76">
        <w:t xml:space="preserve">the </w:t>
      </w:r>
      <w:r w:rsidRPr="007B182D">
        <w:t xml:space="preserve">customer, including managing customer expectations on what </w:t>
      </w:r>
      <w:r>
        <w:t>measures</w:t>
      </w:r>
      <w:r w:rsidRPr="007B182D">
        <w:t xml:space="preserve">/benefits they will receive </w:t>
      </w:r>
      <w:r>
        <w:t>at what program phase.</w:t>
      </w:r>
      <w:r w:rsidRPr="007B182D">
        <w:t xml:space="preserve"> </w:t>
      </w:r>
    </w:p>
    <w:p w:rsidR="000C1980" w:rsidP="00402362" w:rsidRDefault="000C1980" w14:paraId="6D1578F8" w14:textId="77777777">
      <w:pPr>
        <w:pStyle w:val="ListBullet"/>
      </w:pPr>
      <w:r w:rsidRPr="471A7AFB">
        <w:t>How community input will be incorporated to develop ideas that increase customer willingness to participate, are practical to implement, and will result in high quality of service from the customer’s perspective.</w:t>
      </w:r>
    </w:p>
    <w:p w:rsidRPr="00754EBB" w:rsidR="000C1980" w:rsidP="0023091F" w:rsidRDefault="000C1980" w14:paraId="6BCEB8DA" w14:textId="77777777">
      <w:pPr>
        <w:pStyle w:val="ALJBodyText"/>
        <w:rPr>
          <w:color w:val="000000" w:themeColor="text1"/>
        </w:rPr>
      </w:pPr>
      <w:r w:rsidRPr="7B2E1A8B">
        <w:rPr>
          <w:rFonts w:eastAsia="Book Antiqua" w:cs="Book Antiqua"/>
          <w:color w:val="000000" w:themeColor="text1"/>
        </w:rPr>
        <w:t xml:space="preserve">Lastly, </w:t>
      </w:r>
      <w:r>
        <w:t xml:space="preserve">we deny EEC’s request to revise contract terms, as the Commission cannot authorize the IOUs’ spending on contractors to exceed approved budgets.  Additionally, the Commission does not intend to enter into direct agreement with contractors or plan to micromanage the IOU contract terms so long as the terms comply with this decision and work towards achieving the program goals.  </w:t>
      </w:r>
      <w:r w:rsidRPr="00EA1BE3">
        <w:t xml:space="preserve">  </w:t>
      </w:r>
    </w:p>
    <w:p w:rsidRPr="00817C73" w:rsidR="000C1980" w:rsidP="001968DC" w:rsidRDefault="000C1980" w14:paraId="74967FA6" w14:textId="77777777">
      <w:pPr>
        <w:pStyle w:val="Heading2"/>
        <w:ind w:left="1728"/>
      </w:pPr>
      <w:bookmarkStart w:name="_Toc69948153" w:id="503"/>
      <w:bookmarkStart w:name="_Ref65422876" w:id="504"/>
      <w:bookmarkStart w:name="_Ref65423349" w:id="505"/>
      <w:bookmarkStart w:name="_Ref64995840" w:id="506"/>
      <w:r w:rsidRPr="00817C73">
        <w:lastRenderedPageBreak/>
        <w:t xml:space="preserve">ESA </w:t>
      </w:r>
      <w:r w:rsidRPr="007F3C60">
        <w:t>Budgets</w:t>
      </w:r>
      <w:bookmarkEnd w:id="503"/>
    </w:p>
    <w:p w:rsidR="000C1980" w:rsidP="001968DC" w:rsidRDefault="000C1980" w14:paraId="4CABF844" w14:textId="77777777">
      <w:pPr>
        <w:pStyle w:val="Heading3"/>
        <w:ind w:left="2664"/>
      </w:pPr>
      <w:bookmarkStart w:name="_Toc69948154" w:id="507"/>
      <w:r>
        <w:t>Background</w:t>
      </w:r>
      <w:bookmarkEnd w:id="507"/>
    </w:p>
    <w:p w:rsidR="000C1980" w:rsidP="0023091F" w:rsidRDefault="000C1980" w14:paraId="7C60375E" w14:textId="77777777">
      <w:pPr>
        <w:pStyle w:val="ALJBodyText"/>
      </w:pPr>
      <w:r>
        <w:t>Table 12 provides a summary of the average annual budgets authorized (for PYs 2017-2020), spent (for PYs 2017-2020), and proposed (for PYs 2021-2026) by IOU.</w:t>
      </w:r>
    </w:p>
    <w:p w:rsidRPr="00467CC0" w:rsidR="000C1980" w:rsidP="00467CC0" w:rsidRDefault="000C1980" w14:paraId="12391C38" w14:textId="77777777">
      <w:pPr>
        <w:jc w:val="center"/>
        <w:rPr>
          <w:b/>
          <w:bCs/>
        </w:rPr>
      </w:pPr>
      <w:r w:rsidRPr="00467CC0">
        <w:rPr>
          <w:b/>
          <w:bCs/>
        </w:rPr>
        <w:t>Table 12: Average Annual ESA Budgets</w:t>
      </w:r>
    </w:p>
    <w:p w:rsidRPr="00467CC0" w:rsidR="000C1980" w:rsidP="00467CC0" w:rsidRDefault="000C1980" w14:paraId="33FC489E" w14:textId="77777777">
      <w:pPr>
        <w:pStyle w:val="ALJBodyText"/>
        <w:jc w:val="center"/>
        <w:rPr>
          <w:b/>
          <w:bCs/>
        </w:rPr>
      </w:pPr>
      <w:r w:rsidRPr="00467CC0">
        <w:rPr>
          <w:b/>
          <w:bCs/>
        </w:rPr>
        <w:t>(Authorized, Spent, Proposed)</w:t>
      </w:r>
    </w:p>
    <w:tbl>
      <w:tblPr>
        <w:tblStyle w:val="TableGrid"/>
        <w:tblW w:w="0" w:type="auto"/>
        <w:tblInd w:w="-365" w:type="dxa"/>
        <w:tblLook w:val="04A0" w:firstRow="1" w:lastRow="0" w:firstColumn="1" w:lastColumn="0" w:noHBand="0" w:noVBand="1"/>
      </w:tblPr>
      <w:tblGrid>
        <w:gridCol w:w="1387"/>
        <w:gridCol w:w="1388"/>
        <w:gridCol w:w="1388"/>
        <w:gridCol w:w="1388"/>
        <w:gridCol w:w="1388"/>
        <w:gridCol w:w="1388"/>
        <w:gridCol w:w="1388"/>
      </w:tblGrid>
      <w:tr w:rsidRPr="007B2879" w:rsidR="000C1980" w:rsidTr="000C1980" w14:paraId="0F5BBC79" w14:textId="77777777">
        <w:tc>
          <w:tcPr>
            <w:tcW w:w="1387" w:type="dxa"/>
            <w:vMerge w:val="restart"/>
            <w:vAlign w:val="center"/>
          </w:tcPr>
          <w:p w:rsidRPr="007B2879" w:rsidR="000C1980" w:rsidP="00467CC0" w:rsidRDefault="000C1980" w14:paraId="707A98AE" w14:textId="77777777">
            <w:r w:rsidRPr="007B2879">
              <w:t>IOU</w:t>
            </w:r>
          </w:p>
        </w:tc>
        <w:tc>
          <w:tcPr>
            <w:tcW w:w="2304" w:type="dxa"/>
            <w:gridSpan w:val="2"/>
          </w:tcPr>
          <w:p w:rsidRPr="007B2879" w:rsidR="000C1980" w:rsidP="00467CC0" w:rsidRDefault="000C1980" w14:paraId="2A404FC3" w14:textId="77777777">
            <w:r w:rsidRPr="007B2879">
              <w:t>AUTHORIZED</w:t>
            </w:r>
          </w:p>
          <w:p w:rsidRPr="007B2879" w:rsidR="000C1980" w:rsidP="00467CC0" w:rsidRDefault="000C1980" w14:paraId="0040ABC2" w14:textId="77777777">
            <w:r w:rsidRPr="007B2879">
              <w:t>(2017-2020)</w:t>
            </w:r>
          </w:p>
        </w:tc>
        <w:tc>
          <w:tcPr>
            <w:tcW w:w="2304" w:type="dxa"/>
            <w:gridSpan w:val="2"/>
          </w:tcPr>
          <w:p w:rsidRPr="007B2879" w:rsidR="000C1980" w:rsidP="00467CC0" w:rsidRDefault="000C1980" w14:paraId="4C09E2A1" w14:textId="77777777">
            <w:r w:rsidRPr="007B2879">
              <w:t>SPENT</w:t>
            </w:r>
          </w:p>
          <w:p w:rsidRPr="007B2879" w:rsidR="000C1980" w:rsidP="00467CC0" w:rsidRDefault="000C1980" w14:paraId="32481A53" w14:textId="77777777">
            <w:r w:rsidRPr="007B2879">
              <w:t>(2017-2020)</w:t>
            </w:r>
          </w:p>
        </w:tc>
        <w:tc>
          <w:tcPr>
            <w:tcW w:w="2304" w:type="dxa"/>
            <w:gridSpan w:val="2"/>
          </w:tcPr>
          <w:p w:rsidRPr="007B2879" w:rsidR="000C1980" w:rsidP="00467CC0" w:rsidRDefault="000C1980" w14:paraId="1326B03B" w14:textId="77777777">
            <w:r w:rsidRPr="007B2879">
              <w:t>PROPOSED</w:t>
            </w:r>
          </w:p>
          <w:p w:rsidRPr="007B2879" w:rsidR="000C1980" w:rsidP="00467CC0" w:rsidRDefault="000C1980" w14:paraId="4E438540" w14:textId="77777777">
            <w:r w:rsidRPr="007B2879">
              <w:t>(2021-2026)</w:t>
            </w:r>
          </w:p>
        </w:tc>
      </w:tr>
      <w:tr w:rsidRPr="007B2879" w:rsidR="000C1980" w:rsidTr="000C1980" w14:paraId="224AEA0E" w14:textId="77777777">
        <w:trPr>
          <w:trHeight w:val="43"/>
        </w:trPr>
        <w:tc>
          <w:tcPr>
            <w:tcW w:w="1387" w:type="dxa"/>
            <w:vMerge/>
          </w:tcPr>
          <w:p w:rsidRPr="007B2879" w:rsidR="000C1980" w:rsidP="00467CC0" w:rsidRDefault="000C1980" w14:paraId="4D5A27BA" w14:textId="77777777"/>
        </w:tc>
        <w:tc>
          <w:tcPr>
            <w:tcW w:w="1388" w:type="dxa"/>
          </w:tcPr>
          <w:p w:rsidRPr="00870391" w:rsidR="000C1980" w:rsidP="00467CC0" w:rsidRDefault="000C1980" w14:paraId="16B2E623" w14:textId="77777777">
            <w:r w:rsidRPr="00870391">
              <w:t>Avg. Annual Budget</w:t>
            </w:r>
          </w:p>
        </w:tc>
        <w:tc>
          <w:tcPr>
            <w:tcW w:w="1388" w:type="dxa"/>
          </w:tcPr>
          <w:p w:rsidRPr="00870391" w:rsidR="000C1980" w:rsidP="00467CC0" w:rsidRDefault="000C1980" w14:paraId="68337ED7" w14:textId="77777777">
            <w:r w:rsidRPr="00870391">
              <w:t>Avg. Annual Budget / HH</w:t>
            </w:r>
          </w:p>
        </w:tc>
        <w:tc>
          <w:tcPr>
            <w:tcW w:w="1388" w:type="dxa"/>
          </w:tcPr>
          <w:p w:rsidRPr="00870391" w:rsidR="000C1980" w:rsidP="00467CC0" w:rsidRDefault="000C1980" w14:paraId="1A95EBCE" w14:textId="77777777">
            <w:r w:rsidRPr="00870391">
              <w:t>Avg. Annual Budget</w:t>
            </w:r>
          </w:p>
        </w:tc>
        <w:tc>
          <w:tcPr>
            <w:tcW w:w="1388" w:type="dxa"/>
          </w:tcPr>
          <w:p w:rsidRPr="00870391" w:rsidR="000C1980" w:rsidP="00467CC0" w:rsidRDefault="000C1980" w14:paraId="0483EE52" w14:textId="77777777">
            <w:r w:rsidRPr="00870391">
              <w:t>Avg. Annual Budget / HH</w:t>
            </w:r>
          </w:p>
        </w:tc>
        <w:tc>
          <w:tcPr>
            <w:tcW w:w="1388" w:type="dxa"/>
          </w:tcPr>
          <w:p w:rsidRPr="00870391" w:rsidR="000C1980" w:rsidP="00467CC0" w:rsidRDefault="000C1980" w14:paraId="545A60E8" w14:textId="77777777">
            <w:r w:rsidRPr="00870391">
              <w:t xml:space="preserve">Avg. Annual Budget </w:t>
            </w:r>
          </w:p>
        </w:tc>
        <w:tc>
          <w:tcPr>
            <w:tcW w:w="1388" w:type="dxa"/>
          </w:tcPr>
          <w:p w:rsidRPr="00870391" w:rsidR="000C1980" w:rsidP="00467CC0" w:rsidRDefault="000C1980" w14:paraId="2A448910" w14:textId="77777777">
            <w:r w:rsidRPr="00870391">
              <w:t>Avg. Annual Budget / HH</w:t>
            </w:r>
          </w:p>
        </w:tc>
      </w:tr>
      <w:tr w:rsidRPr="007B2879" w:rsidR="000C1980" w:rsidTr="000C1980" w14:paraId="6002C697" w14:textId="77777777">
        <w:tc>
          <w:tcPr>
            <w:tcW w:w="1387" w:type="dxa"/>
          </w:tcPr>
          <w:p w:rsidRPr="007B2879" w:rsidR="000C1980" w:rsidP="00467CC0" w:rsidRDefault="000C1980" w14:paraId="2F01DA40" w14:textId="77777777">
            <w:r w:rsidRPr="007B2879">
              <w:t>PG&amp;E</w:t>
            </w:r>
          </w:p>
        </w:tc>
        <w:tc>
          <w:tcPr>
            <w:tcW w:w="1388" w:type="dxa"/>
          </w:tcPr>
          <w:p w:rsidRPr="007B2879" w:rsidR="000C1980" w:rsidP="00467CC0" w:rsidRDefault="000C1980" w14:paraId="751EA7CE" w14:textId="77777777">
            <w:r w:rsidRPr="007B2879">
              <w:t>$185M</w:t>
            </w:r>
          </w:p>
        </w:tc>
        <w:tc>
          <w:tcPr>
            <w:tcW w:w="1388" w:type="dxa"/>
          </w:tcPr>
          <w:p w:rsidRPr="007B2879" w:rsidR="000C1980" w:rsidP="00467CC0" w:rsidRDefault="000C1980" w14:paraId="341892E1" w14:textId="77777777">
            <w:r w:rsidRPr="007B2879">
              <w:t>$1,643</w:t>
            </w:r>
          </w:p>
        </w:tc>
        <w:tc>
          <w:tcPr>
            <w:tcW w:w="1388" w:type="dxa"/>
          </w:tcPr>
          <w:p w:rsidRPr="007B2879" w:rsidR="000C1980" w:rsidP="00467CC0" w:rsidRDefault="000C1980" w14:paraId="2DC7A41F" w14:textId="77777777">
            <w:r w:rsidRPr="007B2879">
              <w:t>$136M</w:t>
            </w:r>
          </w:p>
        </w:tc>
        <w:tc>
          <w:tcPr>
            <w:tcW w:w="1388" w:type="dxa"/>
          </w:tcPr>
          <w:p w:rsidRPr="007B2879" w:rsidR="000C1980" w:rsidP="00467CC0" w:rsidRDefault="000C1980" w14:paraId="5EEFFFB1" w14:textId="77777777">
            <w:r w:rsidRPr="007B2879">
              <w:t>$1,491</w:t>
            </w:r>
          </w:p>
        </w:tc>
        <w:tc>
          <w:tcPr>
            <w:tcW w:w="1388" w:type="dxa"/>
          </w:tcPr>
          <w:p w:rsidRPr="007B2879" w:rsidR="000C1980" w:rsidP="00467CC0" w:rsidRDefault="000C1980" w14:paraId="38311F9D" w14:textId="77777777">
            <w:r w:rsidRPr="007B2879">
              <w:t>$183M</w:t>
            </w:r>
          </w:p>
        </w:tc>
        <w:tc>
          <w:tcPr>
            <w:tcW w:w="1388" w:type="dxa"/>
          </w:tcPr>
          <w:p w:rsidRPr="007B2879" w:rsidR="000C1980" w:rsidP="00467CC0" w:rsidRDefault="000C1980" w14:paraId="4F969C9B" w14:textId="77777777">
            <w:r w:rsidRPr="007B2879">
              <w:t>$2,740</w:t>
            </w:r>
          </w:p>
        </w:tc>
      </w:tr>
      <w:tr w:rsidRPr="007B2879" w:rsidR="000C1980" w:rsidTr="000C1980" w14:paraId="3850DEF0" w14:textId="77777777">
        <w:tc>
          <w:tcPr>
            <w:tcW w:w="1387" w:type="dxa"/>
          </w:tcPr>
          <w:p w:rsidRPr="007B2879" w:rsidR="000C1980" w:rsidP="00467CC0" w:rsidRDefault="000C1980" w14:paraId="6589785A" w14:textId="77777777">
            <w:r w:rsidRPr="007B2879">
              <w:t>SCE</w:t>
            </w:r>
          </w:p>
        </w:tc>
        <w:tc>
          <w:tcPr>
            <w:tcW w:w="1388" w:type="dxa"/>
          </w:tcPr>
          <w:p w:rsidRPr="007B2879" w:rsidR="000C1980" w:rsidP="00467CC0" w:rsidRDefault="000C1980" w14:paraId="65DB0B4E" w14:textId="77777777">
            <w:r w:rsidRPr="007B2879">
              <w:t>$63M</w:t>
            </w:r>
          </w:p>
        </w:tc>
        <w:tc>
          <w:tcPr>
            <w:tcW w:w="1388" w:type="dxa"/>
          </w:tcPr>
          <w:p w:rsidRPr="007B2879" w:rsidR="000C1980" w:rsidP="00467CC0" w:rsidRDefault="000C1980" w14:paraId="1F4D9DC8" w14:textId="77777777">
            <w:r w:rsidRPr="007B2879">
              <w:t>$1,093</w:t>
            </w:r>
          </w:p>
        </w:tc>
        <w:tc>
          <w:tcPr>
            <w:tcW w:w="1388" w:type="dxa"/>
          </w:tcPr>
          <w:p w:rsidRPr="007B2879" w:rsidR="000C1980" w:rsidP="00467CC0" w:rsidRDefault="000C1980" w14:paraId="7FAAD174" w14:textId="77777777">
            <w:r w:rsidRPr="007B2879">
              <w:t>$62M</w:t>
            </w:r>
          </w:p>
        </w:tc>
        <w:tc>
          <w:tcPr>
            <w:tcW w:w="1388" w:type="dxa"/>
          </w:tcPr>
          <w:p w:rsidRPr="007B2879" w:rsidR="000C1980" w:rsidP="00467CC0" w:rsidRDefault="000C1980" w14:paraId="57323A23" w14:textId="77777777">
            <w:r w:rsidRPr="007B2879">
              <w:t>$766</w:t>
            </w:r>
          </w:p>
        </w:tc>
        <w:tc>
          <w:tcPr>
            <w:tcW w:w="1388" w:type="dxa"/>
          </w:tcPr>
          <w:p w:rsidRPr="007B2879" w:rsidR="000C1980" w:rsidP="00467CC0" w:rsidRDefault="000C1980" w14:paraId="3CED393E" w14:textId="77777777">
            <w:r w:rsidRPr="007B2879">
              <w:t>$81M</w:t>
            </w:r>
          </w:p>
        </w:tc>
        <w:tc>
          <w:tcPr>
            <w:tcW w:w="1388" w:type="dxa"/>
          </w:tcPr>
          <w:p w:rsidRPr="007B2879" w:rsidR="000C1980" w:rsidP="00467CC0" w:rsidRDefault="000C1980" w14:paraId="73B9C1E8" w14:textId="77777777">
            <w:r w:rsidRPr="007B2879">
              <w:t>$1,463</w:t>
            </w:r>
          </w:p>
        </w:tc>
      </w:tr>
      <w:tr w:rsidRPr="007B2879" w:rsidR="000C1980" w:rsidTr="000C1980" w14:paraId="0DFE5B35" w14:textId="77777777">
        <w:tc>
          <w:tcPr>
            <w:tcW w:w="1387" w:type="dxa"/>
          </w:tcPr>
          <w:p w:rsidRPr="007B2879" w:rsidR="000C1980" w:rsidP="00467CC0" w:rsidRDefault="000C1980" w14:paraId="11856832" w14:textId="77777777">
            <w:r w:rsidRPr="007B2879">
              <w:t>SoCalGas</w:t>
            </w:r>
          </w:p>
        </w:tc>
        <w:tc>
          <w:tcPr>
            <w:tcW w:w="1388" w:type="dxa"/>
          </w:tcPr>
          <w:p w:rsidRPr="007B2879" w:rsidR="000C1980" w:rsidP="00467CC0" w:rsidRDefault="000C1980" w14:paraId="45FAF2D2" w14:textId="77777777">
            <w:r w:rsidRPr="007B2879">
              <w:t>$132M</w:t>
            </w:r>
          </w:p>
        </w:tc>
        <w:tc>
          <w:tcPr>
            <w:tcW w:w="1388" w:type="dxa"/>
          </w:tcPr>
          <w:p w:rsidRPr="007B2879" w:rsidR="000C1980" w:rsidP="00467CC0" w:rsidRDefault="000C1980" w14:paraId="47424605" w14:textId="77777777">
            <w:r w:rsidRPr="007B2879">
              <w:t>$1,115</w:t>
            </w:r>
          </w:p>
        </w:tc>
        <w:tc>
          <w:tcPr>
            <w:tcW w:w="1388" w:type="dxa"/>
          </w:tcPr>
          <w:p w:rsidRPr="007B2879" w:rsidR="000C1980" w:rsidP="00467CC0" w:rsidRDefault="000C1980" w14:paraId="5484FE97" w14:textId="77777777">
            <w:r w:rsidRPr="007B2879">
              <w:t>$92M</w:t>
            </w:r>
          </w:p>
        </w:tc>
        <w:tc>
          <w:tcPr>
            <w:tcW w:w="1388" w:type="dxa"/>
          </w:tcPr>
          <w:p w:rsidRPr="007B2879" w:rsidR="000C1980" w:rsidP="00467CC0" w:rsidRDefault="000C1980" w14:paraId="0D27B95B" w14:textId="77777777">
            <w:r w:rsidRPr="007B2879">
              <w:t>$873</w:t>
            </w:r>
          </w:p>
        </w:tc>
        <w:tc>
          <w:tcPr>
            <w:tcW w:w="1388" w:type="dxa"/>
          </w:tcPr>
          <w:p w:rsidRPr="007B2879" w:rsidR="000C1980" w:rsidP="00467CC0" w:rsidRDefault="000C1980" w14:paraId="47FE8B02" w14:textId="77777777">
            <w:r w:rsidRPr="007B2879">
              <w:t>$136M</w:t>
            </w:r>
          </w:p>
        </w:tc>
        <w:tc>
          <w:tcPr>
            <w:tcW w:w="1388" w:type="dxa"/>
          </w:tcPr>
          <w:p w:rsidRPr="007B2879" w:rsidR="000C1980" w:rsidP="00467CC0" w:rsidRDefault="000C1980" w14:paraId="0B27B95A" w14:textId="77777777">
            <w:r w:rsidRPr="007B2879">
              <w:t>$1,233</w:t>
            </w:r>
          </w:p>
        </w:tc>
      </w:tr>
      <w:tr w:rsidRPr="007B2879" w:rsidR="000C1980" w:rsidTr="000C1980" w14:paraId="386E21FC" w14:textId="77777777">
        <w:tc>
          <w:tcPr>
            <w:tcW w:w="1387" w:type="dxa"/>
          </w:tcPr>
          <w:p w:rsidRPr="007B2879" w:rsidR="000C1980" w:rsidP="00467CC0" w:rsidRDefault="000C1980" w14:paraId="71FDCBDB" w14:textId="77777777">
            <w:r w:rsidRPr="007B2879">
              <w:t>SDG&amp;E</w:t>
            </w:r>
          </w:p>
        </w:tc>
        <w:tc>
          <w:tcPr>
            <w:tcW w:w="1388" w:type="dxa"/>
          </w:tcPr>
          <w:p w:rsidRPr="007B2879" w:rsidR="000C1980" w:rsidP="00467CC0" w:rsidRDefault="000C1980" w14:paraId="308274F7" w14:textId="77777777">
            <w:r w:rsidRPr="007B2879">
              <w:t>$31M</w:t>
            </w:r>
          </w:p>
        </w:tc>
        <w:tc>
          <w:tcPr>
            <w:tcW w:w="1388" w:type="dxa"/>
          </w:tcPr>
          <w:p w:rsidRPr="007B2879" w:rsidR="000C1980" w:rsidP="00467CC0" w:rsidRDefault="000C1980" w14:paraId="17CDEA7F" w14:textId="77777777">
            <w:r w:rsidRPr="007B2879">
              <w:t>$1,473</w:t>
            </w:r>
          </w:p>
        </w:tc>
        <w:tc>
          <w:tcPr>
            <w:tcW w:w="1388" w:type="dxa"/>
          </w:tcPr>
          <w:p w:rsidRPr="007B2879" w:rsidR="000C1980" w:rsidP="00467CC0" w:rsidRDefault="000C1980" w14:paraId="51A9B78B" w14:textId="77777777">
            <w:r w:rsidRPr="007B2879">
              <w:t>$18M</w:t>
            </w:r>
          </w:p>
        </w:tc>
        <w:tc>
          <w:tcPr>
            <w:tcW w:w="1388" w:type="dxa"/>
          </w:tcPr>
          <w:p w:rsidRPr="007B2879" w:rsidR="000C1980" w:rsidP="00467CC0" w:rsidRDefault="000C1980" w14:paraId="76F32C2E" w14:textId="77777777">
            <w:r w:rsidRPr="007B2879">
              <w:t>$1,061</w:t>
            </w:r>
          </w:p>
        </w:tc>
        <w:tc>
          <w:tcPr>
            <w:tcW w:w="1388" w:type="dxa"/>
          </w:tcPr>
          <w:p w:rsidRPr="007B2879" w:rsidR="000C1980" w:rsidP="00467CC0" w:rsidRDefault="000C1980" w14:paraId="69F2D4FF" w14:textId="77777777">
            <w:r w:rsidRPr="007B2879">
              <w:t>$32M</w:t>
            </w:r>
          </w:p>
        </w:tc>
        <w:tc>
          <w:tcPr>
            <w:tcW w:w="1388" w:type="dxa"/>
          </w:tcPr>
          <w:p w:rsidRPr="007B2879" w:rsidR="000C1980" w:rsidP="00467CC0" w:rsidRDefault="000C1980" w14:paraId="23E2373F" w14:textId="77777777">
            <w:r w:rsidRPr="007B2879">
              <w:t>$1,460</w:t>
            </w:r>
          </w:p>
        </w:tc>
      </w:tr>
    </w:tbl>
    <w:p w:rsidRPr="00467CC0" w:rsidR="000C1980" w:rsidP="00467CC0" w:rsidRDefault="000C1980" w14:paraId="741A9FEE" w14:textId="77777777">
      <w:pPr>
        <w:rPr>
          <w:sz w:val="10"/>
          <w:szCs w:val="10"/>
        </w:rPr>
      </w:pPr>
    </w:p>
    <w:p w:rsidR="000C1980" w:rsidP="0023091F" w:rsidRDefault="000C1980" w14:paraId="3C765011" w14:textId="77777777">
      <w:pPr>
        <w:pStyle w:val="ALJBodyText"/>
      </w:pPr>
      <w:r>
        <w:t>For the 2021-2026 program cycle, the IOUs were asked to propose budgets that balance a funding level which would achieve deeper energy savings and hardship reductions.</w:t>
      </w:r>
      <w:r>
        <w:rPr>
          <w:rStyle w:val="FootnoteReference"/>
        </w:rPr>
        <w:footnoteReference w:id="720"/>
      </w:r>
      <w:r>
        <w:t xml:space="preserve">  </w:t>
      </w:r>
    </w:p>
    <w:p w:rsidR="000C1980" w:rsidP="001968DC" w:rsidRDefault="000C1980" w14:paraId="21EA7784" w14:textId="77777777">
      <w:pPr>
        <w:pStyle w:val="Heading3"/>
        <w:ind w:left="2664"/>
      </w:pPr>
      <w:bookmarkStart w:name="_Toc69948155" w:id="508"/>
      <w:r>
        <w:t>PG&amp;E Proposal</w:t>
      </w:r>
      <w:bookmarkEnd w:id="508"/>
    </w:p>
    <w:p w:rsidR="000C1980" w:rsidP="0023091F" w:rsidRDefault="000C1980" w14:paraId="3AF7C68A" w14:textId="77777777">
      <w:pPr>
        <w:pStyle w:val="ALJBodyText"/>
      </w:pPr>
      <w:r w:rsidRPr="001E5711">
        <w:t xml:space="preserve">PG&amp;E </w:t>
      </w:r>
      <w:r>
        <w:t>requests</w:t>
      </w:r>
      <w:r w:rsidRPr="001E5711">
        <w:t xml:space="preserve"> approximately $</w:t>
      </w:r>
      <w:r>
        <w:t>1,098</w:t>
      </w:r>
      <w:r w:rsidRPr="001E5711">
        <w:t xml:space="preserve"> million total</w:t>
      </w:r>
      <w:r>
        <w:t xml:space="preserve"> for PYs 2021-2026</w:t>
      </w:r>
      <w:r w:rsidRPr="001E5711">
        <w:t xml:space="preserve">, </w:t>
      </w:r>
      <w:r>
        <w:t xml:space="preserve">or $183 million annually, </w:t>
      </w:r>
      <w:r w:rsidRPr="001E5711">
        <w:t>with administrative costs under 10</w:t>
      </w:r>
      <w:r w:rsidRPr="00E1050D">
        <w:t xml:space="preserve"> </w:t>
      </w:r>
      <w:r w:rsidRPr="0026503D">
        <w:t>percent</w:t>
      </w:r>
      <w:r w:rsidRPr="001E5711">
        <w:t xml:space="preserve"> for the program cycle</w:t>
      </w:r>
      <w:r>
        <w:t xml:space="preserve">.  Approximately $735 million is allocated to energy efficiency measures (including pilots and implementation) for single family and mobile homes units, $263 million for efficiency measures for multifamily, $51 million for general administration, and $49 million for studies, training, WE&amp;T, ME&amp;O, </w:t>
      </w:r>
      <w:r>
        <w:lastRenderedPageBreak/>
        <w:t>regulatory compliance, and inspections.</w:t>
      </w:r>
      <w:r>
        <w:rPr>
          <w:rStyle w:val="FootnoteReference"/>
        </w:rPr>
        <w:footnoteReference w:id="721"/>
      </w:r>
      <w:r>
        <w:t xml:space="preserve">  PG&amp;E does not anticipate carrying over</w:t>
      </w:r>
      <w:r w:rsidRPr="00CB7C86">
        <w:t xml:space="preserve"> </w:t>
      </w:r>
      <w:r>
        <w:t xml:space="preserve">any </w:t>
      </w:r>
      <w:r w:rsidRPr="00CB7C86">
        <w:t>unspent funds from the</w:t>
      </w:r>
      <w:r>
        <w:t xml:space="preserve"> previous </w:t>
      </w:r>
      <w:r w:rsidRPr="00CB7C86">
        <w:t xml:space="preserve">program cycles </w:t>
      </w:r>
      <w:r w:rsidRPr="001E0FB3">
        <w:t>to offset 2021-2026 collections</w:t>
      </w:r>
      <w:r>
        <w:t>.</w:t>
      </w:r>
      <w:r>
        <w:rPr>
          <w:rStyle w:val="FootnoteReference"/>
        </w:rPr>
        <w:footnoteReference w:id="722"/>
      </w:r>
      <w:r>
        <w:t xml:space="preserve">   </w:t>
      </w:r>
    </w:p>
    <w:p w:rsidR="000C1980" w:rsidP="001968DC" w:rsidRDefault="000C1980" w14:paraId="4E886FD4" w14:textId="77777777">
      <w:pPr>
        <w:pStyle w:val="Heading3"/>
        <w:ind w:left="2664"/>
      </w:pPr>
      <w:bookmarkStart w:name="_Toc69948156" w:id="509"/>
      <w:r>
        <w:t>SCE Proposal</w:t>
      </w:r>
      <w:bookmarkEnd w:id="509"/>
      <w:r>
        <w:t xml:space="preserve"> </w:t>
      </w:r>
    </w:p>
    <w:p w:rsidRPr="00886C25" w:rsidR="000C1980" w:rsidP="0023091F" w:rsidRDefault="000C1980" w14:paraId="6336EDBB" w14:textId="4E9F65B3">
      <w:pPr>
        <w:pStyle w:val="ALJBodyText"/>
      </w:pPr>
      <w:r>
        <w:t>SCE</w:t>
      </w:r>
      <w:r w:rsidRPr="001E5711">
        <w:t xml:space="preserve"> </w:t>
      </w:r>
      <w:r>
        <w:t>requests</w:t>
      </w:r>
      <w:r w:rsidRPr="001E5711">
        <w:t xml:space="preserve"> approximately $</w:t>
      </w:r>
      <w:r>
        <w:t>486</w:t>
      </w:r>
      <w:r w:rsidRPr="001E5711">
        <w:t xml:space="preserve"> million total</w:t>
      </w:r>
      <w:r>
        <w:t xml:space="preserve"> for PYs 2021-2026</w:t>
      </w:r>
      <w:r w:rsidRPr="001E5711">
        <w:t xml:space="preserve">, </w:t>
      </w:r>
      <w:r>
        <w:t xml:space="preserve">or $81 million annually, </w:t>
      </w:r>
      <w:r w:rsidRPr="001E5711">
        <w:t xml:space="preserve">with administrative costs </w:t>
      </w:r>
      <w:r>
        <w:t>at about 14</w:t>
      </w:r>
      <w:r w:rsidRPr="00E1050D">
        <w:t xml:space="preserve"> </w:t>
      </w:r>
      <w:r w:rsidRPr="0026503D">
        <w:t>percent</w:t>
      </w:r>
      <w:r w:rsidRPr="001E5711">
        <w:t xml:space="preserve"> for the program cycle.</w:t>
      </w:r>
      <w:r w:rsidRPr="00870EC0">
        <w:t xml:space="preserve"> </w:t>
      </w:r>
      <w:r>
        <w:t xml:space="preserve"> SCE notes that this request i</w:t>
      </w:r>
      <w:r w:rsidRPr="00886C25">
        <w:t>s approximately $4 million less than SCE’s 2020 ESA annual budget.</w:t>
      </w:r>
      <w:r w:rsidRPr="00886C25">
        <w:rPr>
          <w:vertAlign w:val="superscript"/>
        </w:rPr>
        <w:footnoteReference w:id="723"/>
      </w:r>
      <w:r w:rsidRPr="00886C25">
        <w:t xml:space="preserve"> </w:t>
      </w:r>
      <w:r>
        <w:t xml:space="preserve"> Approximately $417 million is allocated to energy efficiency measures (including pilots and implementation) for single family, mobile </w:t>
      </w:r>
      <w:proofErr w:type="gramStart"/>
      <w:r>
        <w:t>homes</w:t>
      </w:r>
      <w:proofErr w:type="gramEnd"/>
      <w:r>
        <w:t xml:space="preserve"> and the multifamily sector, $35 million for general administration, and $33 million for studies, training, WE&amp;T, ME&amp;O, regulatory compliance, and inspections.  </w:t>
      </w:r>
      <w:r>
        <w:rPr>
          <w:rStyle w:val="FootnoteReference"/>
        </w:rPr>
        <w:footnoteReference w:id="724"/>
      </w:r>
      <w:r>
        <w:t xml:space="preserve">  SCE also proposes to carry over</w:t>
      </w:r>
      <w:r w:rsidRPr="00CB7C86">
        <w:t xml:space="preserve"> $</w:t>
      </w:r>
      <w:r>
        <w:t>72</w:t>
      </w:r>
      <w:r w:rsidRPr="00CB7C86">
        <w:t xml:space="preserve"> million in unspent funds from the</w:t>
      </w:r>
      <w:r>
        <w:t xml:space="preserve"> PYs 2</w:t>
      </w:r>
      <w:r w:rsidRPr="00886C25">
        <w:t>009-2020</w:t>
      </w:r>
      <w:r>
        <w:t xml:space="preserve"> </w:t>
      </w:r>
      <w:r w:rsidRPr="001E0FB3">
        <w:t>to offset 2021-2026 collections</w:t>
      </w:r>
      <w:r>
        <w:t>, and further pro</w:t>
      </w:r>
      <w:r w:rsidRPr="00886C25">
        <w:t>poses that during the upcoming program period any uncommitted funds that remain unspent at the end of the year offset the next year’s expenditures in the program cycle.</w:t>
      </w:r>
      <w:r w:rsidRPr="00886C25">
        <w:rPr>
          <w:vertAlign w:val="superscript"/>
        </w:rPr>
        <w:footnoteReference w:id="725"/>
      </w:r>
      <w:r w:rsidR="0070324A">
        <w:t xml:space="preserve"> </w:t>
      </w:r>
      <w:r w:rsidRPr="0070324A" w:rsidR="0070324A">
        <w:t>SCE also proposes to spend about $5 million to upgrade the Energy Management Assistance Partnership System (EMAPS) that supports program delivery, including contractor inventory, customer requests, and overall program reporting.</w:t>
      </w:r>
      <w:r w:rsidRPr="0070324A" w:rsidR="0070324A">
        <w:rPr>
          <w:vertAlign w:val="superscript"/>
        </w:rPr>
        <w:footnoteReference w:id="726"/>
      </w:r>
    </w:p>
    <w:p w:rsidR="000C1980" w:rsidP="001968DC" w:rsidRDefault="000C1980" w14:paraId="4D4B1758" w14:textId="77777777">
      <w:pPr>
        <w:pStyle w:val="Heading3"/>
        <w:ind w:left="2664"/>
      </w:pPr>
      <w:bookmarkStart w:name="_Toc69948157" w:id="510"/>
      <w:r>
        <w:lastRenderedPageBreak/>
        <w:t>SoCalGas Proposal</w:t>
      </w:r>
      <w:bookmarkEnd w:id="510"/>
      <w:r>
        <w:t xml:space="preserve"> </w:t>
      </w:r>
    </w:p>
    <w:p w:rsidRPr="00886C25" w:rsidR="000C1980" w:rsidP="0023091F" w:rsidRDefault="000C1980" w14:paraId="54CB60D6" w14:textId="77777777">
      <w:pPr>
        <w:pStyle w:val="ALJBodyText"/>
      </w:pPr>
      <w:r w:rsidRPr="00637D5D">
        <w:t xml:space="preserve">SoCalGas </w:t>
      </w:r>
      <w:r>
        <w:t>requests</w:t>
      </w:r>
      <w:r w:rsidRPr="001E5711">
        <w:t xml:space="preserve"> approximately $</w:t>
      </w:r>
      <w:r w:rsidRPr="00637D5D">
        <w:t>81</w:t>
      </w:r>
      <w:r>
        <w:t>4</w:t>
      </w:r>
      <w:r w:rsidRPr="00637D5D">
        <w:t xml:space="preserve"> million</w:t>
      </w:r>
      <w:r w:rsidRPr="001E5711">
        <w:t xml:space="preserve"> </w:t>
      </w:r>
      <w:r>
        <w:t>for PYs 2021-2026</w:t>
      </w:r>
      <w:r w:rsidRPr="001E5711">
        <w:t xml:space="preserve">, </w:t>
      </w:r>
      <w:r>
        <w:t xml:space="preserve">or $136 million annually, </w:t>
      </w:r>
      <w:r w:rsidRPr="001E5711">
        <w:t xml:space="preserve">with administrative costs </w:t>
      </w:r>
      <w:r>
        <w:t>at about 14</w:t>
      </w:r>
      <w:r w:rsidRPr="00E1050D">
        <w:t xml:space="preserve"> </w:t>
      </w:r>
      <w:r w:rsidRPr="0026503D">
        <w:t>percent</w:t>
      </w:r>
      <w:r>
        <w:t xml:space="preserve"> </w:t>
      </w:r>
      <w:r w:rsidRPr="001E5711">
        <w:t>for the program cycle.</w:t>
      </w:r>
      <w:r w:rsidRPr="00870EC0">
        <w:t xml:space="preserve"> </w:t>
      </w:r>
      <w:r>
        <w:t xml:space="preserve"> Approximately $702 million is allocated to energy efficiency measures (including pilots and implementation) for single family, mobile homes and multifamily, $52 million for general administration, and $59 million for studies, training, WE&amp;T, ME&amp;O, regulatory compliance, and inspections.</w:t>
      </w:r>
      <w:r>
        <w:rPr>
          <w:rStyle w:val="FootnoteReference"/>
        </w:rPr>
        <w:footnoteReference w:id="727"/>
      </w:r>
      <w:r>
        <w:t xml:space="preserve">  SoCalGas notes that due to the difficulty of forecasting customer behavior under the new program, budget flexibility should be granted.  SoCalGas does not anticipate having to carry over</w:t>
      </w:r>
      <w:r w:rsidRPr="00CB7C86">
        <w:t xml:space="preserve"> </w:t>
      </w:r>
      <w:r>
        <w:t>any</w:t>
      </w:r>
      <w:r w:rsidRPr="00CB7C86">
        <w:t xml:space="preserve"> unspent funds from the</w:t>
      </w:r>
      <w:r>
        <w:t xml:space="preserve"> previous </w:t>
      </w:r>
      <w:r w:rsidRPr="00CB7C86">
        <w:t xml:space="preserve">program cycles </w:t>
      </w:r>
      <w:r w:rsidRPr="001E0FB3">
        <w:t>to offset 2021-2026 collections</w:t>
      </w:r>
      <w:r>
        <w:t>.</w:t>
      </w:r>
      <w:r>
        <w:rPr>
          <w:rStyle w:val="FootnoteReference"/>
        </w:rPr>
        <w:footnoteReference w:id="728"/>
      </w:r>
      <w:r>
        <w:t xml:space="preserve"> </w:t>
      </w:r>
    </w:p>
    <w:p w:rsidR="000C1980" w:rsidP="001968DC" w:rsidRDefault="000C1980" w14:paraId="194ED1BA" w14:textId="77777777">
      <w:pPr>
        <w:pStyle w:val="Heading3"/>
        <w:ind w:left="2664"/>
      </w:pPr>
      <w:bookmarkStart w:name="_Toc69948158" w:id="511"/>
      <w:r>
        <w:t>SDG&amp;E Proposal</w:t>
      </w:r>
      <w:bookmarkEnd w:id="511"/>
      <w:r>
        <w:t xml:space="preserve"> </w:t>
      </w:r>
    </w:p>
    <w:p w:rsidR="000C1980" w:rsidP="0023091F" w:rsidRDefault="000C1980" w14:paraId="7FD09A31" w14:textId="77777777">
      <w:pPr>
        <w:pStyle w:val="ALJBodyText"/>
      </w:pPr>
      <w:r w:rsidRPr="00336777">
        <w:t xml:space="preserve">SDG&amp;E </w:t>
      </w:r>
      <w:r>
        <w:t>requests</w:t>
      </w:r>
      <w:r w:rsidRPr="001E5711">
        <w:t xml:space="preserve"> approximately $</w:t>
      </w:r>
      <w:r>
        <w:t xml:space="preserve">191 </w:t>
      </w:r>
      <w:r w:rsidRPr="00637D5D">
        <w:t>million</w:t>
      </w:r>
      <w:r w:rsidRPr="001E5711">
        <w:t xml:space="preserve"> </w:t>
      </w:r>
      <w:r>
        <w:t>for PYs 2021-2026</w:t>
      </w:r>
      <w:r w:rsidRPr="001E5711">
        <w:t xml:space="preserve">, </w:t>
      </w:r>
      <w:r>
        <w:t xml:space="preserve">or $32 million annually, </w:t>
      </w:r>
      <w:r w:rsidRPr="001E5711">
        <w:t xml:space="preserve">with administrative costs </w:t>
      </w:r>
      <w:r>
        <w:t>at about 22</w:t>
      </w:r>
      <w:r w:rsidRPr="00E1050D">
        <w:t xml:space="preserve"> </w:t>
      </w:r>
      <w:r w:rsidRPr="0026503D">
        <w:t>percent</w:t>
      </w:r>
      <w:r w:rsidRPr="001E5711">
        <w:t xml:space="preserve"> for the program cycle.</w:t>
      </w:r>
      <w:r w:rsidRPr="00870EC0">
        <w:t xml:space="preserve"> </w:t>
      </w:r>
      <w:r>
        <w:t xml:space="preserve"> Approximately $149 million is allocated to energy efficiency measures (including pilots and implementation) for single family, mobile homes units and multifamily, $22 million for general administration, and $20 million for studies, training, WE&amp;T, ME&amp;O, regulatory compliance, and inspections.</w:t>
      </w:r>
      <w:r>
        <w:rPr>
          <w:rStyle w:val="FootnoteReference"/>
        </w:rPr>
        <w:footnoteReference w:id="729"/>
      </w:r>
      <w:r>
        <w:t xml:space="preserve">  SDG&amp;E proposes to carry over</w:t>
      </w:r>
      <w:r w:rsidRPr="00CB7C86">
        <w:t xml:space="preserve"> </w:t>
      </w:r>
      <w:r>
        <w:t xml:space="preserve">$4 </w:t>
      </w:r>
      <w:r w:rsidRPr="00CB7C86">
        <w:t xml:space="preserve">million in unspent funds from </w:t>
      </w:r>
      <w:r>
        <w:t xml:space="preserve">PYs 2009-2020 </w:t>
      </w:r>
      <w:r w:rsidRPr="001E0FB3">
        <w:t>to offset 2021-2026 collections</w:t>
      </w:r>
      <w:r>
        <w:t>.</w:t>
      </w:r>
      <w:r>
        <w:rPr>
          <w:rStyle w:val="FootnoteReference"/>
        </w:rPr>
        <w:footnoteReference w:id="730"/>
      </w:r>
      <w:r>
        <w:t xml:space="preserve"> </w:t>
      </w:r>
    </w:p>
    <w:p w:rsidR="000C1980" w:rsidP="001968DC" w:rsidRDefault="000C1980" w14:paraId="00B850E7" w14:textId="77777777">
      <w:pPr>
        <w:pStyle w:val="Heading3"/>
        <w:ind w:left="2664"/>
      </w:pPr>
      <w:bookmarkStart w:name="_Toc69948159" w:id="512"/>
      <w:r>
        <w:lastRenderedPageBreak/>
        <w:t>Party Positions</w:t>
      </w:r>
      <w:bookmarkEnd w:id="512"/>
    </w:p>
    <w:p w:rsidR="000C1980" w:rsidP="001968DC" w:rsidRDefault="000C1980" w14:paraId="3A044E36" w14:textId="77777777">
      <w:pPr>
        <w:pStyle w:val="Heading4"/>
        <w:ind w:left="3600"/>
      </w:pPr>
      <w:bookmarkStart w:name="_Toc69948160" w:id="513"/>
      <w:r>
        <w:t>Cal Advocates</w:t>
      </w:r>
      <w:bookmarkEnd w:id="513"/>
    </w:p>
    <w:p w:rsidRPr="00835951" w:rsidR="000C1980" w:rsidP="0023091F" w:rsidRDefault="000C1980" w14:paraId="52395279" w14:textId="77777777">
      <w:pPr>
        <w:pStyle w:val="ALJBodyText"/>
      </w:pPr>
      <w:r w:rsidRPr="0065426F">
        <w:rPr>
          <w:b/>
          <w:bCs/>
          <w:i/>
          <w:iCs/>
          <w:u w:val="single"/>
        </w:rPr>
        <w:t>ESACET</w:t>
      </w:r>
      <w:r>
        <w:rPr>
          <w:b/>
          <w:bCs/>
          <w:i/>
          <w:iCs/>
          <w:u w:val="single"/>
        </w:rPr>
        <w:t xml:space="preserve"> Threshold for Budgeting</w:t>
      </w:r>
      <w:r w:rsidRPr="0065426F">
        <w:rPr>
          <w:b/>
          <w:bCs/>
          <w:i/>
          <w:iCs/>
          <w:u w:val="single"/>
        </w:rPr>
        <w:t>:</w:t>
      </w:r>
      <w:r>
        <w:t xml:space="preserve"> As discussed in Section 6.10.4.1, </w:t>
      </w:r>
      <w:r w:rsidRPr="001F60BD">
        <w:t>Cal</w:t>
      </w:r>
      <w:r>
        <w:t> </w:t>
      </w:r>
      <w:r w:rsidRPr="001F60BD">
        <w:t>Advocates proposes that the 1.0 ESACET threshold be used as a criterion to develop the appropriate ratepayer collection levels,</w:t>
      </w:r>
      <w:r w:rsidRPr="001F60BD">
        <w:rPr>
          <w:vertAlign w:val="superscript"/>
        </w:rPr>
        <w:footnoteReference w:id="731"/>
      </w:r>
      <w:r w:rsidRPr="001F60BD">
        <w:t xml:space="preserve"> stating that the program should invest ratepayer funds on measures that provide more energy and NEBs than they cost, which will minimize rate impacts on all customers, especially </w:t>
      </w:r>
      <w:proofErr w:type="gramStart"/>
      <w:r w:rsidRPr="001F60BD">
        <w:t>low</w:t>
      </w:r>
      <w:r>
        <w:t xml:space="preserve"> </w:t>
      </w:r>
      <w:r w:rsidRPr="001F60BD">
        <w:t>income</w:t>
      </w:r>
      <w:proofErr w:type="gramEnd"/>
      <w:r w:rsidRPr="001F60BD">
        <w:t xml:space="preserve"> customers, who also pay for ESA.  </w:t>
      </w:r>
      <w:r>
        <w:t xml:space="preserve">Cal Advocates provide analysis to illustrate that </w:t>
      </w:r>
      <w:r w:rsidRPr="00835951">
        <w:t>PG&amp;E could meet the 1.0 ESACET threshold for the portfolio of resource measures while still retaining its proposed non-resource measures</w:t>
      </w:r>
      <w:r>
        <w:t xml:space="preserve"> </w:t>
      </w:r>
      <w:r w:rsidRPr="00835951">
        <w:t>and reducing its total resource costs from $629</w:t>
      </w:r>
      <w:r>
        <w:t xml:space="preserve">M </w:t>
      </w:r>
      <w:r w:rsidRPr="00835951">
        <w:t>to $327</w:t>
      </w:r>
      <w:r>
        <w:t xml:space="preserve">M; and likewise, </w:t>
      </w:r>
      <w:r w:rsidRPr="00835951">
        <w:t>SCE could meet the 1.0 ESACET threshold by prioritizing resource measures with</w:t>
      </w:r>
      <w:r w:rsidRPr="533FAECE">
        <w:rPr>
          <w:rFonts w:ascii="TimesNewRomanPSMT" w:hAnsi="TimesNewRomanPSMT" w:cs="TimesNewRomanPSMT"/>
          <w:color w:val="000000"/>
        </w:rPr>
        <w:t xml:space="preserve"> </w:t>
      </w:r>
      <w:r w:rsidRPr="00835951">
        <w:t>measurable benefits (greater than 0.60) and reduce its total resource costs from $362</w:t>
      </w:r>
      <w:r>
        <w:t xml:space="preserve">M to </w:t>
      </w:r>
      <w:r w:rsidRPr="00835951">
        <w:t>$247</w:t>
      </w:r>
      <w:r>
        <w:t>M.</w:t>
      </w:r>
      <w:r>
        <w:rPr>
          <w:rStyle w:val="FootnoteReference"/>
        </w:rPr>
        <w:footnoteReference w:id="732"/>
      </w:r>
      <w:r>
        <w:t xml:space="preserve"> </w:t>
      </w:r>
      <w:r w:rsidRPr="00835951">
        <w:t xml:space="preserve"> </w:t>
      </w:r>
    </w:p>
    <w:p w:rsidR="000C1980" w:rsidP="0023091F" w:rsidRDefault="000C1980" w14:paraId="7C1DBDA0" w14:textId="77777777">
      <w:pPr>
        <w:pStyle w:val="ALJBodyText"/>
      </w:pPr>
      <w:r>
        <w:rPr>
          <w:b/>
          <w:bCs/>
          <w:i/>
          <w:iCs/>
          <w:u w:val="single"/>
        </w:rPr>
        <w:t>10</w:t>
      </w:r>
      <w:r w:rsidRPr="00E1050D">
        <w:rPr>
          <w:b/>
          <w:bCs/>
          <w:i/>
          <w:iCs/>
          <w:u w:val="single"/>
        </w:rPr>
        <w:t xml:space="preserve"> percent</w:t>
      </w:r>
      <w:r>
        <w:rPr>
          <w:b/>
          <w:bCs/>
          <w:i/>
          <w:iCs/>
          <w:u w:val="single"/>
        </w:rPr>
        <w:t xml:space="preserve"> Administrative Cap</w:t>
      </w:r>
      <w:r w:rsidRPr="0065426F">
        <w:rPr>
          <w:b/>
          <w:bCs/>
          <w:i/>
          <w:iCs/>
          <w:u w:val="single"/>
        </w:rPr>
        <w:t>:</w:t>
      </w:r>
      <w:r>
        <w:t xml:space="preserve"> </w:t>
      </w:r>
      <w:r w:rsidRPr="000F14C5">
        <w:t xml:space="preserve">Cal Advocates </w:t>
      </w:r>
      <w:r>
        <w:t>propose</w:t>
      </w:r>
      <w:r w:rsidRPr="000F14C5">
        <w:t xml:space="preserve"> that the Commission implement a 10</w:t>
      </w:r>
      <w:r w:rsidRPr="00E1050D">
        <w:t xml:space="preserve"> </w:t>
      </w:r>
      <w:r w:rsidRPr="0026503D">
        <w:t>percent</w:t>
      </w:r>
      <w:r w:rsidRPr="000F14C5">
        <w:t xml:space="preserve"> administrative cost cap for the ESA program </w:t>
      </w:r>
      <w:r>
        <w:t>arguing that 10</w:t>
      </w:r>
      <w:r w:rsidRPr="00E1050D">
        <w:t xml:space="preserve"> </w:t>
      </w:r>
      <w:r w:rsidRPr="0026503D">
        <w:t>percent</w:t>
      </w:r>
      <w:r>
        <w:t xml:space="preserve"> is reasonable and </w:t>
      </w:r>
      <w:r w:rsidRPr="000F14C5">
        <w:t>achievable</w:t>
      </w:r>
      <w:r>
        <w:t xml:space="preserve"> because 1) </w:t>
      </w:r>
      <w:r w:rsidRPr="00CD06CE">
        <w:t xml:space="preserve">previous Commission decisions </w:t>
      </w:r>
      <w:r>
        <w:t xml:space="preserve">have </w:t>
      </w:r>
      <w:r w:rsidRPr="00CD06CE">
        <w:t>established that a 10</w:t>
      </w:r>
      <w:r w:rsidRPr="00E1050D">
        <w:t xml:space="preserve"> </w:t>
      </w:r>
      <w:r w:rsidRPr="0026503D">
        <w:t>percent</w:t>
      </w:r>
      <w:r>
        <w:t xml:space="preserve"> </w:t>
      </w:r>
      <w:r w:rsidRPr="00CD06CE">
        <w:t>cap on administrative cost is a reasonable limit</w:t>
      </w:r>
      <w:r>
        <w:t>,</w:t>
      </w:r>
      <w:r>
        <w:rPr>
          <w:rStyle w:val="FootnoteReference"/>
        </w:rPr>
        <w:footnoteReference w:id="733"/>
      </w:r>
      <w:r>
        <w:t xml:space="preserve"> and 2) a cap </w:t>
      </w:r>
      <w:r w:rsidRPr="00CD06CE">
        <w:t>ensures that ratepayer funds</w:t>
      </w:r>
      <w:r>
        <w:t xml:space="preserve"> </w:t>
      </w:r>
      <w:r w:rsidRPr="00CD06CE">
        <w:t>are used to directly benefit as many eligible customers as possible by directing more</w:t>
      </w:r>
      <w:r>
        <w:t xml:space="preserve"> </w:t>
      </w:r>
      <w:r w:rsidRPr="00CD06CE">
        <w:t>funds to ESA measures</w:t>
      </w:r>
      <w:r>
        <w:t xml:space="preserve">.  </w:t>
      </w:r>
    </w:p>
    <w:p w:rsidR="000C1980" w:rsidP="0023091F" w:rsidRDefault="000C1980" w14:paraId="1C00A2E1" w14:textId="606F36EF">
      <w:pPr>
        <w:pStyle w:val="ALJBodyText"/>
      </w:pPr>
      <w:r>
        <w:rPr>
          <w:b/>
          <w:bCs/>
          <w:i/>
          <w:iCs/>
          <w:u w:val="single"/>
        </w:rPr>
        <w:lastRenderedPageBreak/>
        <w:t>SCE’s Administrative Costs</w:t>
      </w:r>
      <w:r w:rsidRPr="0065426F">
        <w:rPr>
          <w:b/>
          <w:bCs/>
          <w:i/>
          <w:iCs/>
          <w:u w:val="single"/>
        </w:rPr>
        <w:t>:</w:t>
      </w:r>
      <w:r>
        <w:t xml:space="preserve"> </w:t>
      </w:r>
      <w:r w:rsidRPr="533FAECE">
        <w:rPr>
          <w:rFonts w:cs="TimesNewRomanPSMT"/>
        </w:rPr>
        <w:t>Cal Advocates state that SCE</w:t>
      </w:r>
      <w:r w:rsidR="00276E2B">
        <w:rPr>
          <w:rFonts w:cs="TimesNewRomanPSMT"/>
        </w:rPr>
        <w:t>’s</w:t>
      </w:r>
      <w:r w:rsidRPr="533FAECE">
        <w:rPr>
          <w:rFonts w:cs="TimesNewRomanPSMT"/>
        </w:rPr>
        <w:t xml:space="preserve"> propos</w:t>
      </w:r>
      <w:r w:rsidR="00276E2B">
        <w:rPr>
          <w:rFonts w:cs="TimesNewRomanPSMT"/>
        </w:rPr>
        <w:t>al</w:t>
      </w:r>
      <w:r w:rsidRPr="533FAECE">
        <w:rPr>
          <w:rFonts w:cs="TimesNewRomanPSMT"/>
        </w:rPr>
        <w:t xml:space="preserve"> to increase its a</w:t>
      </w:r>
      <w:r w:rsidRPr="001805EC">
        <w:t xml:space="preserve">dministrative costs </w:t>
      </w:r>
      <w:r>
        <w:t>from 1</w:t>
      </w:r>
      <w:r w:rsidRPr="001805EC">
        <w:t>0.8</w:t>
      </w:r>
      <w:r w:rsidRPr="00E1050D">
        <w:t xml:space="preserve"> </w:t>
      </w:r>
      <w:r w:rsidRPr="0026503D">
        <w:t>percent</w:t>
      </w:r>
      <w:r w:rsidRPr="001805EC">
        <w:t xml:space="preserve"> </w:t>
      </w:r>
      <w:r>
        <w:t>(</w:t>
      </w:r>
      <w:r w:rsidRPr="001805EC">
        <w:t>2017-2020</w:t>
      </w:r>
      <w:r>
        <w:t>) to</w:t>
      </w:r>
      <w:r w:rsidRPr="001805EC">
        <w:t xml:space="preserve"> 14</w:t>
      </w:r>
      <w:r w:rsidRPr="00E1050D">
        <w:t xml:space="preserve"> </w:t>
      </w:r>
      <w:r w:rsidRPr="0026503D">
        <w:t>percent</w:t>
      </w:r>
      <w:r w:rsidRPr="001805EC">
        <w:t xml:space="preserve"> </w:t>
      </w:r>
      <w:r>
        <w:t xml:space="preserve">(2021-2026) </w:t>
      </w:r>
      <w:r w:rsidRPr="001805EC">
        <w:t>of the total ESA</w:t>
      </w:r>
      <w:r>
        <w:t xml:space="preserve"> budget without adequate justification.  While</w:t>
      </w:r>
      <w:r w:rsidRPr="001805EC">
        <w:t xml:space="preserve"> SCE </w:t>
      </w:r>
      <w:r>
        <w:t>explains that it expects to</w:t>
      </w:r>
      <w:r w:rsidRPr="001805EC">
        <w:t xml:space="preserve"> incur significantly higher</w:t>
      </w:r>
      <w:r>
        <w:t xml:space="preserve"> </w:t>
      </w:r>
      <w:r w:rsidRPr="001805EC">
        <w:t>administrative costs as a percentage of the overall ESA program budget during the early</w:t>
      </w:r>
      <w:r>
        <w:t xml:space="preserve"> </w:t>
      </w:r>
      <w:r w:rsidRPr="001805EC">
        <w:t>ramp up period of the 2021-2026 cycle</w:t>
      </w:r>
      <w:r>
        <w:t>, SCE falls short in justifying the need.</w:t>
      </w:r>
      <w:r>
        <w:rPr>
          <w:rStyle w:val="FootnoteReference"/>
        </w:rPr>
        <w:footnoteReference w:id="734"/>
      </w:r>
    </w:p>
    <w:p w:rsidR="000C1980" w:rsidP="0023091F" w:rsidRDefault="000C1980" w14:paraId="5F756009" w14:textId="77777777">
      <w:pPr>
        <w:pStyle w:val="ALJBodyText"/>
      </w:pPr>
      <w:r>
        <w:rPr>
          <w:b/>
          <w:bCs/>
          <w:i/>
          <w:iCs/>
          <w:u w:val="single"/>
        </w:rPr>
        <w:t>SoCalGas’ Administrative Costs</w:t>
      </w:r>
      <w:r w:rsidRPr="0065426F">
        <w:rPr>
          <w:b/>
          <w:bCs/>
          <w:i/>
          <w:iCs/>
          <w:u w:val="single"/>
        </w:rPr>
        <w:t>:</w:t>
      </w:r>
      <w:r>
        <w:t xml:space="preserve"> </w:t>
      </w:r>
      <w:r w:rsidRPr="533FAECE">
        <w:rPr>
          <w:rFonts w:cs="TimesNewRomanPSMT"/>
        </w:rPr>
        <w:t>Cal Advocates state that SoCalGas proposes to increase its a</w:t>
      </w:r>
      <w:r w:rsidRPr="001805EC">
        <w:t xml:space="preserve">dministrative costs </w:t>
      </w:r>
      <w:r>
        <w:t xml:space="preserve">from </w:t>
      </w:r>
      <w:r w:rsidRPr="001805EC">
        <w:t>8.6</w:t>
      </w:r>
      <w:r w:rsidRPr="00E1050D">
        <w:t xml:space="preserve"> </w:t>
      </w:r>
      <w:r w:rsidRPr="0026503D">
        <w:t>percent</w:t>
      </w:r>
      <w:r w:rsidRPr="001805EC">
        <w:t xml:space="preserve"> </w:t>
      </w:r>
      <w:r>
        <w:t>(</w:t>
      </w:r>
      <w:r w:rsidRPr="001805EC">
        <w:t>2017-2020</w:t>
      </w:r>
      <w:r>
        <w:t xml:space="preserve">) to </w:t>
      </w:r>
      <w:r w:rsidRPr="001805EC">
        <w:t>13.7</w:t>
      </w:r>
      <w:r>
        <w:t> </w:t>
      </w:r>
      <w:r w:rsidRPr="0026503D">
        <w:t>percent</w:t>
      </w:r>
      <w:r w:rsidRPr="001805EC">
        <w:t xml:space="preserve"> </w:t>
      </w:r>
      <w:r>
        <w:t xml:space="preserve">(2021-2026) </w:t>
      </w:r>
      <w:r w:rsidRPr="001805EC">
        <w:t>of the total ESA</w:t>
      </w:r>
      <w:r>
        <w:t xml:space="preserve"> budget due to increases in spending on the m</w:t>
      </w:r>
      <w:r w:rsidRPr="001805EC">
        <w:t xml:space="preserve">ultifamily </w:t>
      </w:r>
      <w:r>
        <w:t>treatments</w:t>
      </w:r>
      <w:r w:rsidRPr="00112F59">
        <w:t>.</w:t>
      </w:r>
      <w:r>
        <w:rPr>
          <w:rStyle w:val="FootnoteReference"/>
        </w:rPr>
        <w:footnoteReference w:id="735"/>
      </w:r>
      <w:r>
        <w:t xml:space="preserve"> </w:t>
      </w:r>
      <w:r w:rsidRPr="00112F59">
        <w:t xml:space="preserve"> </w:t>
      </w:r>
      <w:r>
        <w:t xml:space="preserve">However, Cal Advocates point out that </w:t>
      </w:r>
      <w:r w:rsidRPr="004E32E3">
        <w:t>SoCalGas proposes an average annual increase in its ESA</w:t>
      </w:r>
      <w:r>
        <w:t xml:space="preserve"> </w:t>
      </w:r>
      <w:r w:rsidRPr="004E32E3">
        <w:t>administrative budget of approximately 54</w:t>
      </w:r>
      <w:r w:rsidRPr="00E1050D">
        <w:t xml:space="preserve"> </w:t>
      </w:r>
      <w:r w:rsidRPr="0026503D">
        <w:t>percent</w:t>
      </w:r>
      <w:r w:rsidRPr="004E32E3">
        <w:t xml:space="preserve">, despite a </w:t>
      </w:r>
      <w:r w:rsidRPr="004E32E3">
        <w:rPr>
          <w:i/>
          <w:iCs/>
        </w:rPr>
        <w:t xml:space="preserve">decrease </w:t>
      </w:r>
      <w:r w:rsidRPr="004E32E3">
        <w:t>in its average annual</w:t>
      </w:r>
      <w:r>
        <w:t xml:space="preserve"> </w:t>
      </w:r>
      <w:r w:rsidRPr="004E32E3">
        <w:t>overall ESA budget of 3.4</w:t>
      </w:r>
      <w:r w:rsidRPr="00E1050D">
        <w:t xml:space="preserve"> </w:t>
      </w:r>
      <w:r w:rsidRPr="0026503D">
        <w:t>percent</w:t>
      </w:r>
      <w:r>
        <w:t>, and has h</w:t>
      </w:r>
      <w:r w:rsidRPr="001805EC">
        <w:t>istorically, overestimate</w:t>
      </w:r>
      <w:r>
        <w:t>d</w:t>
      </w:r>
      <w:r w:rsidRPr="001805EC">
        <w:t xml:space="preserve"> its administrative costs,</w:t>
      </w:r>
      <w:r>
        <w:t xml:space="preserve"> </w:t>
      </w:r>
      <w:r w:rsidRPr="001805EC">
        <w:t>spending only approximately 75</w:t>
      </w:r>
      <w:r w:rsidRPr="00E1050D">
        <w:t xml:space="preserve"> </w:t>
      </w:r>
      <w:r w:rsidRPr="0026503D">
        <w:t>percent</w:t>
      </w:r>
      <w:r w:rsidRPr="001805EC">
        <w:t xml:space="preserve"> of its approved administrative budget</w:t>
      </w:r>
      <w:r>
        <w:t xml:space="preserve">.  </w:t>
      </w:r>
      <w:r w:rsidRPr="004E32E3">
        <w:t xml:space="preserve">Cal Advocates also </w:t>
      </w:r>
      <w:r>
        <w:t>point out that</w:t>
      </w:r>
      <w:r w:rsidRPr="004E32E3">
        <w:t xml:space="preserve"> the a</w:t>
      </w:r>
      <w:r w:rsidRPr="001805EC">
        <w:t xml:space="preserve">dministration costs </w:t>
      </w:r>
      <w:r w:rsidRPr="004E32E3">
        <w:t xml:space="preserve">for the multifamily efforts are </w:t>
      </w:r>
      <w:r w:rsidRPr="001805EC">
        <w:t>unreasonably high and unjustified.</w:t>
      </w:r>
      <w:r>
        <w:rPr>
          <w:rStyle w:val="FootnoteReference"/>
        </w:rPr>
        <w:footnoteReference w:id="736"/>
      </w:r>
    </w:p>
    <w:p w:rsidRPr="00BF0BCA" w:rsidR="000C1980" w:rsidP="0023091F" w:rsidRDefault="000C1980" w14:paraId="34F2325B" w14:textId="77777777">
      <w:pPr>
        <w:pStyle w:val="ALJBodyText"/>
      </w:pPr>
      <w:r>
        <w:rPr>
          <w:b/>
          <w:bCs/>
          <w:i/>
          <w:iCs/>
          <w:u w:val="single"/>
        </w:rPr>
        <w:t>SDG&amp;E’s Administrative Costs</w:t>
      </w:r>
      <w:r w:rsidRPr="0065426F">
        <w:rPr>
          <w:b/>
          <w:bCs/>
          <w:i/>
          <w:iCs/>
          <w:u w:val="single"/>
        </w:rPr>
        <w:t>:</w:t>
      </w:r>
      <w:r>
        <w:t xml:space="preserve"> </w:t>
      </w:r>
      <w:r w:rsidRPr="533FAECE">
        <w:rPr>
          <w:rFonts w:cs="TimesNewRomanPSMT"/>
        </w:rPr>
        <w:t xml:space="preserve">Cal Advocates state that </w:t>
      </w:r>
      <w:r w:rsidRPr="00CD06CE">
        <w:t>SDG&amp;E</w:t>
      </w:r>
      <w:r w:rsidRPr="533FAECE">
        <w:rPr>
          <w:rFonts w:cs="TimesNewRomanPSMT"/>
        </w:rPr>
        <w:t xml:space="preserve"> proposes to increase its a</w:t>
      </w:r>
      <w:r w:rsidRPr="001805EC">
        <w:t xml:space="preserve">dministrative costs </w:t>
      </w:r>
      <w:r>
        <w:t>from 18</w:t>
      </w:r>
      <w:r w:rsidRPr="00E1050D">
        <w:t xml:space="preserve"> </w:t>
      </w:r>
      <w:r w:rsidRPr="0026503D">
        <w:t>percent</w:t>
      </w:r>
      <w:r w:rsidRPr="001805EC">
        <w:t xml:space="preserve"> </w:t>
      </w:r>
      <w:r>
        <w:t>(</w:t>
      </w:r>
      <w:r w:rsidRPr="001805EC">
        <w:t>2017-2020</w:t>
      </w:r>
      <w:r>
        <w:t>) to 22 </w:t>
      </w:r>
      <w:r w:rsidRPr="0026503D">
        <w:t>percent</w:t>
      </w:r>
      <w:r w:rsidRPr="001805EC">
        <w:t xml:space="preserve"> </w:t>
      </w:r>
      <w:r>
        <w:t xml:space="preserve">(2021-2026) </w:t>
      </w:r>
      <w:r w:rsidRPr="001805EC">
        <w:t>of the total ESA</w:t>
      </w:r>
      <w:r>
        <w:t xml:space="preserve"> budget.  </w:t>
      </w:r>
      <w:r w:rsidRPr="00CD06CE">
        <w:t xml:space="preserve">Cal Advocates </w:t>
      </w:r>
      <w:r>
        <w:t xml:space="preserve">point out </w:t>
      </w:r>
      <w:r w:rsidRPr="00CD06CE">
        <w:t>that SDG&amp;E proposes an average annual increase in its ESA administrative budget of approximately 25</w:t>
      </w:r>
      <w:r w:rsidRPr="00E1050D">
        <w:t xml:space="preserve"> </w:t>
      </w:r>
      <w:r w:rsidRPr="0026503D">
        <w:t>percent</w:t>
      </w:r>
      <w:r w:rsidRPr="00CD06CE">
        <w:t xml:space="preserve">, despite </w:t>
      </w:r>
      <w:r w:rsidRPr="002A6810">
        <w:t>only a 6</w:t>
      </w:r>
      <w:r w:rsidRPr="00E1050D">
        <w:t xml:space="preserve"> </w:t>
      </w:r>
      <w:r w:rsidRPr="0026503D">
        <w:t>percent</w:t>
      </w:r>
      <w:r w:rsidRPr="002A6810">
        <w:t xml:space="preserve"> increase in its average</w:t>
      </w:r>
      <w:r w:rsidRPr="00CD06CE">
        <w:t xml:space="preserve"> annual overall ESA budget</w:t>
      </w:r>
      <w:r>
        <w:t xml:space="preserve">, and fails to provide any justification.  </w:t>
      </w:r>
      <w:r w:rsidRPr="00CD06CE">
        <w:t>SDG&amp;E</w:t>
      </w:r>
      <w:r w:rsidRPr="00C675A2">
        <w:t xml:space="preserve"> </w:t>
      </w:r>
      <w:r>
        <w:t xml:space="preserve">proposes </w:t>
      </w:r>
      <w:r w:rsidRPr="00CD06CE">
        <w:t xml:space="preserve">unreasonably high </w:t>
      </w:r>
      <w:r>
        <w:t>administrative costs without being</w:t>
      </w:r>
      <w:r w:rsidRPr="00CD06CE">
        <w:t xml:space="preserve"> </w:t>
      </w:r>
      <w:r>
        <w:t>able</w:t>
      </w:r>
      <w:r w:rsidRPr="00CD06CE">
        <w:t xml:space="preserve"> to explain why it is </w:t>
      </w:r>
      <w:r w:rsidRPr="00CD06CE">
        <w:lastRenderedPageBreak/>
        <w:t>unable to achieve administrative costs at the similar level of other IOUs.</w:t>
      </w:r>
      <w:r>
        <w:rPr>
          <w:rStyle w:val="FootnoteReference"/>
        </w:rPr>
        <w:footnoteReference w:id="737"/>
      </w:r>
      <w:r>
        <w:t xml:space="preserve">   </w:t>
      </w:r>
      <w:r w:rsidRPr="00BF0BCA">
        <w:t>Lastly, Cal Advocates point out that SDG&amp;E has historically overestimated its administrative budgets and has only spent approximately 70</w:t>
      </w:r>
      <w:r w:rsidRPr="00E1050D">
        <w:t xml:space="preserve"> </w:t>
      </w:r>
      <w:r w:rsidRPr="0026503D">
        <w:t>percent</w:t>
      </w:r>
      <w:r w:rsidRPr="00BF0BCA">
        <w:t xml:space="preserve"> of the administrative budget in previous years.</w:t>
      </w:r>
      <w:r w:rsidRPr="00BF0BCA">
        <w:rPr>
          <w:vertAlign w:val="superscript"/>
        </w:rPr>
        <w:footnoteReference w:id="738"/>
      </w:r>
      <w:r w:rsidRPr="00BF0BCA">
        <w:t xml:space="preserve"> </w:t>
      </w:r>
    </w:p>
    <w:p w:rsidR="000C1980" w:rsidP="0023091F" w:rsidRDefault="000C1980" w14:paraId="4A8294EA" w14:textId="77777777">
      <w:pPr>
        <w:pStyle w:val="ALJBodyText"/>
      </w:pPr>
      <w:r>
        <w:rPr>
          <w:b/>
          <w:bCs/>
          <w:i/>
          <w:iCs/>
          <w:u w:val="single"/>
        </w:rPr>
        <w:t>Audit of SDG&amp;E’s Administrative Costs</w:t>
      </w:r>
      <w:r w:rsidRPr="0065426F">
        <w:rPr>
          <w:b/>
          <w:bCs/>
          <w:i/>
          <w:iCs/>
          <w:u w:val="single"/>
        </w:rPr>
        <w:t>:</w:t>
      </w:r>
      <w:r>
        <w:t xml:space="preserve"> Because of </w:t>
      </w:r>
      <w:r w:rsidRPr="00180E47">
        <w:t xml:space="preserve">SDG&amp;E’s </w:t>
      </w:r>
      <w:r>
        <w:t xml:space="preserve">inability to explain its needs for an </w:t>
      </w:r>
      <w:r w:rsidRPr="00180E47">
        <w:t xml:space="preserve">administrative </w:t>
      </w:r>
      <w:r>
        <w:t xml:space="preserve">budget that is </w:t>
      </w:r>
      <w:r w:rsidRPr="00180E47">
        <w:t>substantially higher</w:t>
      </w:r>
      <w:r>
        <w:t xml:space="preserve"> </w:t>
      </w:r>
      <w:r w:rsidRPr="00180E47">
        <w:t>than the other IOUs,</w:t>
      </w:r>
      <w:r>
        <w:t xml:space="preserve"> Cal Advocates propose that the C</w:t>
      </w:r>
      <w:r w:rsidRPr="00180E47">
        <w:t>ommission</w:t>
      </w:r>
      <w:r>
        <w:t xml:space="preserve"> </w:t>
      </w:r>
      <w:r w:rsidRPr="00180E47">
        <w:t>order SDG&amp;E to hire an independent auditor to assess</w:t>
      </w:r>
      <w:r>
        <w:t xml:space="preserve"> its </w:t>
      </w:r>
      <w:r w:rsidRPr="00180E47">
        <w:t>administrative costs and to identify ways SDG&amp;E can reduce those costs</w:t>
      </w:r>
      <w:r>
        <w:t xml:space="preserve"> (to be </w:t>
      </w:r>
      <w:r w:rsidRPr="00180E47">
        <w:t>funded by SDG&amp;E shareholders</w:t>
      </w:r>
      <w:r>
        <w:t>)</w:t>
      </w:r>
      <w:r w:rsidRPr="00180E47">
        <w:t>.</w:t>
      </w:r>
      <w:r>
        <w:t xml:space="preserve">  The i</w:t>
      </w:r>
      <w:r w:rsidRPr="00180E47">
        <w:t xml:space="preserve">ndependent audit should begin within </w:t>
      </w:r>
      <w:r>
        <w:t>thirty</w:t>
      </w:r>
      <w:r w:rsidRPr="00180E47">
        <w:t xml:space="preserve"> days after the Commission issues a</w:t>
      </w:r>
      <w:r>
        <w:t xml:space="preserve"> </w:t>
      </w:r>
      <w:r w:rsidRPr="00180E47">
        <w:t>final decision in this proceeding and the final audit report should be issued in a</w:t>
      </w:r>
      <w:r>
        <w:t xml:space="preserve"> </w:t>
      </w:r>
      <w:r w:rsidRPr="00180E47">
        <w:t xml:space="preserve">compliance filing within </w:t>
      </w:r>
      <w:r>
        <w:t>six</w:t>
      </w:r>
      <w:r w:rsidRPr="00180E47">
        <w:t xml:space="preserve"> months</w:t>
      </w:r>
      <w:r>
        <w:t xml:space="preserve">.  </w:t>
      </w:r>
      <w:r w:rsidRPr="00180E47">
        <w:t>Any cost savings identified in the audit should be</w:t>
      </w:r>
      <w:r>
        <w:t xml:space="preserve"> </w:t>
      </w:r>
      <w:r w:rsidRPr="00180E47">
        <w:t>implemented no later than year two of SDG&amp;E’s program to limit its administrative costs</w:t>
      </w:r>
      <w:r>
        <w:t xml:space="preserve"> </w:t>
      </w:r>
      <w:r w:rsidRPr="00180E47">
        <w:t>at 10</w:t>
      </w:r>
      <w:r w:rsidRPr="00E1050D">
        <w:t xml:space="preserve"> </w:t>
      </w:r>
      <w:r w:rsidRPr="0026503D">
        <w:t>percent</w:t>
      </w:r>
      <w:r w:rsidRPr="00180E47">
        <w:t xml:space="preserve"> of the total ESA expenses</w:t>
      </w:r>
      <w:r>
        <w:t xml:space="preserve">.  </w:t>
      </w:r>
      <w:r w:rsidRPr="00180E47">
        <w:t xml:space="preserve">SDG&amp;E </w:t>
      </w:r>
      <w:r>
        <w:t xml:space="preserve">shall then </w:t>
      </w:r>
      <w:r w:rsidRPr="00180E47">
        <w:t>file a Tier</w:t>
      </w:r>
      <w:r>
        <w:t xml:space="preserve"> </w:t>
      </w:r>
      <w:r w:rsidRPr="00180E47">
        <w:t xml:space="preserve">3 advice letter to reflect those cost savings, and its administrative budget for </w:t>
      </w:r>
      <w:r>
        <w:t xml:space="preserve">PY </w:t>
      </w:r>
      <w:r w:rsidRPr="00180E47">
        <w:t>2021-2026 should be reduced accordingly and capped at 10</w:t>
      </w:r>
      <w:r w:rsidRPr="00E1050D">
        <w:t xml:space="preserve"> </w:t>
      </w:r>
      <w:r w:rsidRPr="0026503D">
        <w:t>percent</w:t>
      </w:r>
      <w:r>
        <w:t xml:space="preserve">.  </w:t>
      </w:r>
      <w:r w:rsidRPr="00180E47">
        <w:t>If the audit is</w:t>
      </w:r>
      <w:r>
        <w:t xml:space="preserve"> </w:t>
      </w:r>
      <w:r w:rsidRPr="00180E47">
        <w:t>found effective in reducing administrative costs for SDG&amp;E, the Commission should</w:t>
      </w:r>
      <w:r>
        <w:t xml:space="preserve"> </w:t>
      </w:r>
      <w:r w:rsidRPr="00180E47">
        <w:t>order independent audits for all other IOUs to further limit ESA funds that are spent on</w:t>
      </w:r>
      <w:r>
        <w:t xml:space="preserve"> </w:t>
      </w:r>
      <w:r w:rsidRPr="00180E47">
        <w:t>administrative activities.</w:t>
      </w:r>
      <w:r>
        <w:t xml:space="preserve">  Cal Advocates argue that this audit should be funded by </w:t>
      </w:r>
      <w:r w:rsidRPr="00180E47">
        <w:t>shareholder</w:t>
      </w:r>
      <w:r>
        <w:t xml:space="preserve"> as r</w:t>
      </w:r>
      <w:r w:rsidRPr="00180E47">
        <w:t>atepayers should not bear the cost of the audits to cure any of SDG&amp;E’s</w:t>
      </w:r>
      <w:r>
        <w:t xml:space="preserve"> </w:t>
      </w:r>
      <w:r w:rsidRPr="00180E47">
        <w:t>inefficienc</w:t>
      </w:r>
      <w:r>
        <w:t>ies</w:t>
      </w:r>
      <w:r w:rsidRPr="00180E47">
        <w:t xml:space="preserve"> in administrative activities</w:t>
      </w:r>
      <w:r>
        <w:t>.  I</w:t>
      </w:r>
      <w:r w:rsidRPr="00180E47">
        <w:t>ndependent audits by external entities offer transparent, thorough, and impartial</w:t>
      </w:r>
      <w:r>
        <w:t xml:space="preserve"> </w:t>
      </w:r>
      <w:r w:rsidRPr="00180E47">
        <w:t xml:space="preserve">examination of the program, and </w:t>
      </w:r>
      <w:r w:rsidRPr="00180E47">
        <w:lastRenderedPageBreak/>
        <w:t xml:space="preserve">allow </w:t>
      </w:r>
      <w:r>
        <w:t xml:space="preserve">for </w:t>
      </w:r>
      <w:r w:rsidRPr="00180E47">
        <w:t>a detailed look at the longstanding problem of</w:t>
      </w:r>
      <w:r>
        <w:t xml:space="preserve"> </w:t>
      </w:r>
      <w:r w:rsidRPr="00180E47">
        <w:t>SDG&amp;E’s high administrative cost.</w:t>
      </w:r>
      <w:r>
        <w:rPr>
          <w:rStyle w:val="FootnoteReference"/>
        </w:rPr>
        <w:footnoteReference w:id="739"/>
      </w:r>
    </w:p>
    <w:p w:rsidRPr="002D0C2C" w:rsidR="000C1980" w:rsidP="0023091F" w:rsidRDefault="000C1980" w14:paraId="0E97B645" w14:textId="77777777">
      <w:pPr>
        <w:pStyle w:val="ALJBodyText"/>
        <w:rPr>
          <w:b/>
          <w:bCs/>
          <w:i/>
          <w:iCs/>
          <w:u w:val="single"/>
        </w:rPr>
      </w:pPr>
      <w:r>
        <w:rPr>
          <w:b/>
          <w:bCs/>
          <w:i/>
          <w:iCs/>
          <w:u w:val="single"/>
        </w:rPr>
        <w:t>Require Lowest Cost for Measures</w:t>
      </w:r>
      <w:r w:rsidRPr="0065426F">
        <w:rPr>
          <w:b/>
          <w:bCs/>
          <w:i/>
          <w:iCs/>
          <w:u w:val="single"/>
        </w:rPr>
        <w:t>:</w:t>
      </w:r>
      <w:r>
        <w:t xml:space="preserve"> </w:t>
      </w:r>
      <w:r w:rsidRPr="000F14C5">
        <w:t>Cal Advocates recommend that the Commission require SCE to provide measures at the lowest cost achieved by other IOUs or the statewide cost (whichever is lower)</w:t>
      </w:r>
      <w:r>
        <w:t>.</w:t>
      </w:r>
      <w:r w:rsidRPr="000F14C5">
        <w:rPr>
          <w:rStyle w:val="FootnoteReference"/>
        </w:rPr>
        <w:footnoteReference w:id="740"/>
      </w:r>
      <w:r w:rsidRPr="533FAECE">
        <w:rPr>
          <w:rFonts w:cs="TimesNewRomanPSMT"/>
        </w:rPr>
        <w:t xml:space="preserve"> </w:t>
      </w:r>
      <w:r>
        <w:rPr>
          <w:rFonts w:cs="TimesNewRomanPSMT"/>
        </w:rPr>
        <w:t xml:space="preserve"> </w:t>
      </w:r>
      <w:r>
        <w:t xml:space="preserve">Cal Advocates state that SCE’s measure costs are much higher compared to the other IOUs, are unreasonable and should be contained.  Cal Advocates claim that </w:t>
      </w:r>
      <w:r w:rsidRPr="001805EC">
        <w:t>SCE</w:t>
      </w:r>
      <w:r>
        <w:t xml:space="preserve"> fails to p</w:t>
      </w:r>
      <w:r w:rsidRPr="001805EC">
        <w:t xml:space="preserve">rovide </w:t>
      </w:r>
      <w:r>
        <w:t xml:space="preserve">any reasons or </w:t>
      </w:r>
      <w:r w:rsidRPr="001805EC">
        <w:t xml:space="preserve">justification for its relative high unit costs </w:t>
      </w:r>
      <w:r>
        <w:t>and therefore s</w:t>
      </w:r>
      <w:r w:rsidRPr="001805EC">
        <w:t>hould be required to provide measures at the lowest cost achieved by other IOUs or the statewide cost (if it is lower than the measure unit cost achieved by all other IOUs)</w:t>
      </w:r>
      <w:r>
        <w:t xml:space="preserve">.  These measures include the costs </w:t>
      </w:r>
      <w:r w:rsidRPr="001805EC">
        <w:t>of a smart thermostat</w:t>
      </w:r>
      <w:r>
        <w:t xml:space="preserve"> (which is </w:t>
      </w:r>
      <w:r w:rsidRPr="001805EC">
        <w:t>48</w:t>
      </w:r>
      <w:r w:rsidRPr="00E1050D">
        <w:t xml:space="preserve"> </w:t>
      </w:r>
      <w:r w:rsidRPr="0026503D">
        <w:t>percent</w:t>
      </w:r>
      <w:r w:rsidRPr="001805EC">
        <w:t xml:space="preserve"> higher than SDG&amp;E’s projected cost</w:t>
      </w:r>
      <w:r>
        <w:t>), refrigerators (which is 10 </w:t>
      </w:r>
      <w:r w:rsidRPr="0026503D">
        <w:t>percent</w:t>
      </w:r>
      <w:r>
        <w:t xml:space="preserve"> higher than PG&amp;E’s projected costs), and evaporative coolers (which is 128</w:t>
      </w:r>
      <w:r w:rsidRPr="00E1050D">
        <w:t xml:space="preserve"> </w:t>
      </w:r>
      <w:r w:rsidRPr="0026503D">
        <w:t>percent</w:t>
      </w:r>
      <w:r>
        <w:t xml:space="preserve"> higher than PG&amp;E’s</w:t>
      </w:r>
      <w:r w:rsidRPr="00E956B6">
        <w:t xml:space="preserve"> </w:t>
      </w:r>
      <w:r>
        <w:t>projected costs).</w:t>
      </w:r>
      <w:r>
        <w:rPr>
          <w:rStyle w:val="FootnoteReference"/>
        </w:rPr>
        <w:footnoteReference w:id="741"/>
      </w:r>
      <w:r>
        <w:t xml:space="preserve"> </w:t>
      </w:r>
    </w:p>
    <w:p w:rsidR="000C1980" w:rsidP="001968DC" w:rsidRDefault="000C1980" w14:paraId="6D381FB3" w14:textId="77777777">
      <w:pPr>
        <w:pStyle w:val="Heading4"/>
        <w:ind w:left="3600"/>
      </w:pPr>
      <w:bookmarkStart w:name="_Toc69948161" w:id="514"/>
      <w:r>
        <w:t>TURN</w:t>
      </w:r>
      <w:bookmarkEnd w:id="514"/>
    </w:p>
    <w:p w:rsidRPr="002574B8" w:rsidR="000C1980" w:rsidP="0023091F" w:rsidRDefault="000C1980" w14:paraId="1D24FD6E" w14:textId="2262FB35">
      <w:pPr>
        <w:pStyle w:val="ALJBodyText"/>
      </w:pPr>
      <w:r>
        <w:rPr>
          <w:b/>
          <w:bCs/>
          <w:i/>
          <w:iCs/>
          <w:u w:val="single"/>
        </w:rPr>
        <w:t>10</w:t>
      </w:r>
      <w:r w:rsidRPr="00E1050D">
        <w:rPr>
          <w:b/>
          <w:bCs/>
          <w:i/>
          <w:iCs/>
          <w:u w:val="single"/>
        </w:rPr>
        <w:t xml:space="preserve"> percent</w:t>
      </w:r>
      <w:r>
        <w:rPr>
          <w:b/>
          <w:bCs/>
          <w:i/>
          <w:iCs/>
          <w:u w:val="single"/>
        </w:rPr>
        <w:t xml:space="preserve"> Administrative Cap</w:t>
      </w:r>
      <w:r w:rsidRPr="0065426F">
        <w:rPr>
          <w:b/>
          <w:bCs/>
          <w:i/>
          <w:iCs/>
          <w:u w:val="single"/>
        </w:rPr>
        <w:t>:</w:t>
      </w:r>
      <w:r>
        <w:t xml:space="preserve"> TURN shares </w:t>
      </w:r>
      <w:r w:rsidRPr="008F3C57">
        <w:t>Cal Advocates’ concern</w:t>
      </w:r>
      <w:r>
        <w:t xml:space="preserve">s regarding </w:t>
      </w:r>
      <w:r w:rsidRPr="008F3C57">
        <w:t>SDG&amp;E and SCE</w:t>
      </w:r>
      <w:r>
        <w:t>’s</w:t>
      </w:r>
      <w:r w:rsidRPr="008F3C57">
        <w:t xml:space="preserve"> administrative budgets </w:t>
      </w:r>
      <w:r>
        <w:t xml:space="preserve">but expresses concerns about the </w:t>
      </w:r>
      <w:r w:rsidRPr="008F3C57">
        <w:t>implementation of a firm cap on all budget</w:t>
      </w:r>
      <w:r>
        <w:t xml:space="preserve"> </w:t>
      </w:r>
      <w:r w:rsidRPr="008F3C57">
        <w:t>categories</w:t>
      </w:r>
      <w:r>
        <w:t xml:space="preserve"> stating that it may</w:t>
      </w:r>
      <w:r w:rsidRPr="008F3C57">
        <w:t xml:space="preserve"> create unintended consequences for the categories of</w:t>
      </w:r>
      <w:r>
        <w:t xml:space="preserve"> </w:t>
      </w:r>
      <w:r w:rsidRPr="008F3C57">
        <w:t xml:space="preserve">inspections, marketing and outreach, and </w:t>
      </w:r>
      <w:r>
        <w:t xml:space="preserve">evaluation, measurement and verification </w:t>
      </w:r>
      <w:r w:rsidRPr="008F3C57">
        <w:t>studies</w:t>
      </w:r>
      <w:r>
        <w:t xml:space="preserve"> which are </w:t>
      </w:r>
      <w:r w:rsidRPr="008F3C57">
        <w:t>critical to the effectiveness, transparency, and accountability of the ESA</w:t>
      </w:r>
      <w:r>
        <w:t xml:space="preserve"> </w:t>
      </w:r>
      <w:r w:rsidRPr="008F3C57">
        <w:t xml:space="preserve">program. </w:t>
      </w:r>
      <w:r>
        <w:t xml:space="preserve"> </w:t>
      </w:r>
      <w:r>
        <w:lastRenderedPageBreak/>
        <w:t>Instead, TURN recommends that i</w:t>
      </w:r>
      <w:r w:rsidRPr="008F3C57">
        <w:t xml:space="preserve">f a cap is implemented, </w:t>
      </w:r>
      <w:r>
        <w:t>that</w:t>
      </w:r>
      <w:r w:rsidRPr="008F3C57">
        <w:t xml:space="preserve"> it applies only to the categories of</w:t>
      </w:r>
      <w:r>
        <w:t xml:space="preserve"> </w:t>
      </w:r>
      <w:r w:rsidRPr="008F3C57">
        <w:t>regulatory compliance and general administration.</w:t>
      </w:r>
      <w:r>
        <w:rPr>
          <w:rStyle w:val="FootnoteReference"/>
        </w:rPr>
        <w:footnoteReference w:id="742"/>
      </w:r>
    </w:p>
    <w:p w:rsidR="000C1980" w:rsidP="001968DC" w:rsidRDefault="000C1980" w14:paraId="2F1B31EA" w14:textId="77777777">
      <w:pPr>
        <w:pStyle w:val="Heading4"/>
        <w:ind w:left="3600"/>
      </w:pPr>
      <w:bookmarkStart w:name="_Toc69948162" w:id="515"/>
      <w:r>
        <w:t>CETF</w:t>
      </w:r>
      <w:bookmarkEnd w:id="515"/>
    </w:p>
    <w:p w:rsidRPr="00A16F2A" w:rsidR="000C1980" w:rsidP="0023091F" w:rsidRDefault="000C1980" w14:paraId="4156A664" w14:textId="77777777">
      <w:pPr>
        <w:pStyle w:val="ALJBodyText"/>
      </w:pPr>
      <w:r>
        <w:rPr>
          <w:b/>
          <w:bCs/>
          <w:i/>
          <w:iCs/>
          <w:u w:val="single"/>
        </w:rPr>
        <w:t>Funding for Broadband Efforts:</w:t>
      </w:r>
      <w:r>
        <w:t xml:space="preserve"> C</w:t>
      </w:r>
      <w:r w:rsidRPr="004F1829">
        <w:t xml:space="preserve">ETF protests the failure of the IOUs to include funding to distribute information about available home </w:t>
      </w:r>
      <w:r>
        <w:t>i</w:t>
      </w:r>
      <w:r w:rsidRPr="004F1829">
        <w:t>nternet service offers, as provided by CETF and its network of CBOs</w:t>
      </w:r>
      <w:r>
        <w:t xml:space="preserve">.  </w:t>
      </w:r>
      <w:r w:rsidRPr="004F1829">
        <w:t xml:space="preserve">It also protests the failure to include consideration of funding of CBOs currently working with IOUs on energy assistance and weatherization programs to specifically ask customers about their </w:t>
      </w:r>
      <w:r>
        <w:t>i</w:t>
      </w:r>
      <w:r w:rsidRPr="004F1829">
        <w:t>nternet service and to provide referrals to CBOs to assist customers in getting online.</w:t>
      </w:r>
      <w:r w:rsidRPr="004F1829">
        <w:rPr>
          <w:vertAlign w:val="superscript"/>
        </w:rPr>
        <w:footnoteReference w:id="743"/>
      </w:r>
      <w:r w:rsidRPr="004F1829">
        <w:t xml:space="preserve"> CETF argues that it would require only modest funding to provide training to CBOs already working with the IOUs</w:t>
      </w:r>
      <w:r>
        <w:t>,</w:t>
      </w:r>
      <w:r w:rsidRPr="004F1829">
        <w:rPr>
          <w:vertAlign w:val="superscript"/>
        </w:rPr>
        <w:footnoteReference w:id="744"/>
      </w:r>
      <w:r w:rsidRPr="004F1829">
        <w:t xml:space="preserve"> </w:t>
      </w:r>
      <w:r>
        <w:t xml:space="preserve">and </w:t>
      </w:r>
      <w:r w:rsidRPr="004F1829">
        <w:t>asserts that resources exist to implement its proposed outreach recommendations because of the unspent balances in ESA budgets across all the IOUs.</w:t>
      </w:r>
      <w:r w:rsidRPr="004F1829">
        <w:rPr>
          <w:vertAlign w:val="superscript"/>
        </w:rPr>
        <w:footnoteReference w:id="745"/>
      </w:r>
    </w:p>
    <w:p w:rsidR="000C1980" w:rsidP="001968DC" w:rsidRDefault="000C1980" w14:paraId="343A0FA3" w14:textId="77777777">
      <w:pPr>
        <w:pStyle w:val="Heading4"/>
        <w:ind w:left="3600"/>
      </w:pPr>
      <w:bookmarkStart w:name="_Toc69948163" w:id="516"/>
      <w:r>
        <w:t>EEC</w:t>
      </w:r>
      <w:bookmarkEnd w:id="516"/>
    </w:p>
    <w:p w:rsidR="000C1980" w:rsidP="0023091F" w:rsidRDefault="000C1980" w14:paraId="3276BABB" w14:textId="10BCE77F">
      <w:pPr>
        <w:pStyle w:val="ALJBodyText"/>
      </w:pPr>
      <w:r>
        <w:rPr>
          <w:b/>
          <w:bCs/>
          <w:i/>
          <w:iCs/>
          <w:u w:val="single"/>
        </w:rPr>
        <w:t>SCE’s Administrative Costs</w:t>
      </w:r>
      <w:r w:rsidRPr="0065426F">
        <w:rPr>
          <w:b/>
          <w:bCs/>
          <w:i/>
          <w:iCs/>
          <w:u w:val="single"/>
        </w:rPr>
        <w:t>:</w:t>
      </w:r>
      <w:r>
        <w:t xml:space="preserve"> </w:t>
      </w:r>
      <w:r w:rsidRPr="004D2E13">
        <w:t>EEC protests SCE’s proposed ESA total budget because it is reduced by almost 50</w:t>
      </w:r>
      <w:r w:rsidRPr="00E1050D">
        <w:t xml:space="preserve"> </w:t>
      </w:r>
      <w:r w:rsidRPr="0026503D">
        <w:t>percent</w:t>
      </w:r>
      <w:r w:rsidRPr="004D2E13">
        <w:t xml:space="preserve"> in 2021 however their </w:t>
      </w:r>
      <w:r>
        <w:t>g</w:t>
      </w:r>
      <w:r w:rsidRPr="004D2E13">
        <w:t xml:space="preserve">eneral </w:t>
      </w:r>
      <w:r>
        <w:t>a</w:t>
      </w:r>
      <w:r w:rsidRPr="004D2E13">
        <w:t>dministration costs have increased by 52.75</w:t>
      </w:r>
      <w:r w:rsidRPr="00E1050D">
        <w:t xml:space="preserve"> </w:t>
      </w:r>
      <w:r w:rsidRPr="0026503D">
        <w:t>percent</w:t>
      </w:r>
      <w:r w:rsidRPr="004D2E13">
        <w:t>.</w:t>
      </w:r>
      <w:r>
        <w:rPr>
          <w:rStyle w:val="FootnoteReference"/>
        </w:rPr>
        <w:footnoteReference w:id="746"/>
      </w:r>
    </w:p>
    <w:p w:rsidRPr="004D2E13" w:rsidR="00E74F44" w:rsidP="0023091F" w:rsidRDefault="00E74F44" w14:paraId="3A09B633" w14:textId="6E735044">
      <w:pPr>
        <w:pStyle w:val="ALJBodyText"/>
      </w:pPr>
      <w:r w:rsidRPr="00F8780D">
        <w:rPr>
          <w:b/>
          <w:bCs/>
          <w:i/>
          <w:iCs/>
          <w:u w:val="single"/>
        </w:rPr>
        <w:lastRenderedPageBreak/>
        <w:t>Maintaining 2020 Levels</w:t>
      </w:r>
      <w:r>
        <w:t xml:space="preserve">: </w:t>
      </w:r>
      <w:r w:rsidR="00590EB5">
        <w:t xml:space="preserve">EEC recommends that </w:t>
      </w:r>
      <w:r w:rsidRPr="00590EB5" w:rsidR="00590EB5">
        <w:t>unspent funds</w:t>
      </w:r>
      <w:r w:rsidR="00590EB5">
        <w:t xml:space="preserve"> be used</w:t>
      </w:r>
      <w:r w:rsidRPr="00590EB5" w:rsidR="00590EB5">
        <w:t xml:space="preserve"> to maintain the 2020 budget levels for program years 2021 and 2022 until</w:t>
      </w:r>
      <w:r w:rsidR="00590EB5">
        <w:t xml:space="preserve"> </w:t>
      </w:r>
      <w:r w:rsidRPr="00590EB5" w:rsidR="00590EB5">
        <w:t>such time as a new Needs Assessment report can be issued and evaluated.</w:t>
      </w:r>
      <w:r w:rsidR="00590EB5">
        <w:rPr>
          <w:rStyle w:val="FootnoteReference"/>
        </w:rPr>
        <w:footnoteReference w:id="747"/>
      </w:r>
      <w:r w:rsidRPr="00590EB5" w:rsidR="00590EB5">
        <w:t xml:space="preserve"> </w:t>
      </w:r>
    </w:p>
    <w:p w:rsidR="000C1980" w:rsidP="001968DC" w:rsidRDefault="000C1980" w14:paraId="0FE65B99" w14:textId="77777777">
      <w:pPr>
        <w:pStyle w:val="Heading4"/>
        <w:ind w:left="3600"/>
      </w:pPr>
      <w:bookmarkStart w:name="_Toc69948164" w:id="517"/>
      <w:proofErr w:type="spellStart"/>
      <w:r>
        <w:t>CforAT</w:t>
      </w:r>
      <w:bookmarkEnd w:id="517"/>
      <w:proofErr w:type="spellEnd"/>
    </w:p>
    <w:p w:rsidR="000C1980" w:rsidP="0023091F" w:rsidRDefault="000C1980" w14:paraId="1354B0E3" w14:textId="4F24EB47">
      <w:pPr>
        <w:pStyle w:val="ALJBodyText"/>
      </w:pPr>
      <w:r>
        <w:rPr>
          <w:b/>
          <w:bCs/>
          <w:i/>
          <w:iCs/>
          <w:u w:val="single"/>
        </w:rPr>
        <w:t>SCE’s Administrative Costs</w:t>
      </w:r>
      <w:r w:rsidRPr="0065426F">
        <w:rPr>
          <w:b/>
          <w:bCs/>
          <w:i/>
          <w:iCs/>
          <w:u w:val="single"/>
        </w:rPr>
        <w:t>:</w:t>
      </w:r>
      <w:r>
        <w:t xml:space="preserve"> </w:t>
      </w:r>
      <w:proofErr w:type="spellStart"/>
      <w:r w:rsidRPr="00A52127">
        <w:t>CforAT</w:t>
      </w:r>
      <w:proofErr w:type="spellEnd"/>
      <w:r w:rsidRPr="00A52127">
        <w:t xml:space="preserve"> protests SCE’s ESA application </w:t>
      </w:r>
      <w:r>
        <w:t>because</w:t>
      </w:r>
      <w:r w:rsidRPr="00A52127">
        <w:t xml:space="preserve"> it</w:t>
      </w:r>
      <w:r>
        <w:t xml:space="preserve"> proposes to reduce the 2021 budget </w:t>
      </w:r>
      <w:r w:rsidRPr="00A52127">
        <w:t>by nearly 50</w:t>
      </w:r>
      <w:r w:rsidRPr="00E1050D">
        <w:t xml:space="preserve"> </w:t>
      </w:r>
      <w:r w:rsidRPr="0026503D">
        <w:t>percent</w:t>
      </w:r>
      <w:r w:rsidRPr="00A52127">
        <w:t xml:space="preserve">, but </w:t>
      </w:r>
      <w:r>
        <w:t xml:space="preserve">increases the </w:t>
      </w:r>
      <w:r w:rsidRPr="00A52127">
        <w:t>general administration costs by 52.75</w:t>
      </w:r>
      <w:r w:rsidRPr="00E1050D">
        <w:t xml:space="preserve"> </w:t>
      </w:r>
      <w:r w:rsidRPr="0026503D">
        <w:t>percent</w:t>
      </w:r>
      <w:r w:rsidRPr="00A52127">
        <w:t>.</w:t>
      </w:r>
      <w:r w:rsidRPr="00A52127">
        <w:rPr>
          <w:vertAlign w:val="superscript"/>
        </w:rPr>
        <w:footnoteReference w:id="748"/>
      </w:r>
      <w:r w:rsidRPr="00A52127">
        <w:t xml:space="preserve"> </w:t>
      </w:r>
      <w:proofErr w:type="spellStart"/>
      <w:r w:rsidRPr="00A52127">
        <w:t>CforAT</w:t>
      </w:r>
      <w:proofErr w:type="spellEnd"/>
      <w:r w:rsidRPr="00A52127">
        <w:t xml:space="preserve"> recommends that the Commission require SCE to clarify this budget disparity so that it can be reviewed for reasonableness.</w:t>
      </w:r>
      <w:r w:rsidRPr="00A52127">
        <w:rPr>
          <w:vertAlign w:val="superscript"/>
        </w:rPr>
        <w:footnoteReference w:id="749"/>
      </w:r>
      <w:r w:rsidRPr="00A52127">
        <w:t xml:space="preserve"> </w:t>
      </w:r>
      <w:r>
        <w:t xml:space="preserve"> </w:t>
      </w:r>
      <w:proofErr w:type="spellStart"/>
      <w:r w:rsidRPr="00A52127">
        <w:t>CforAT</w:t>
      </w:r>
      <w:proofErr w:type="spellEnd"/>
      <w:r w:rsidRPr="00A52127">
        <w:t xml:space="preserve"> also recommends that SCE’s request to use ESA funds for new construction projects be reviewed further to ensure that the funds are used for their intended purposes, not just to supplement new building construction projects unrelated to low</w:t>
      </w:r>
      <w:r>
        <w:t xml:space="preserve"> </w:t>
      </w:r>
      <w:r w:rsidRPr="00A52127">
        <w:t>income customers.</w:t>
      </w:r>
      <w:r w:rsidRPr="00A52127">
        <w:rPr>
          <w:vertAlign w:val="superscript"/>
        </w:rPr>
        <w:footnoteReference w:id="750"/>
      </w:r>
      <w:r w:rsidRPr="00A52127">
        <w:t xml:space="preserve"> </w:t>
      </w:r>
      <w:r>
        <w:t xml:space="preserve"> </w:t>
      </w:r>
      <w:proofErr w:type="spellStart"/>
      <w:r w:rsidRPr="00A52127">
        <w:t>CforAT</w:t>
      </w:r>
      <w:proofErr w:type="spellEnd"/>
      <w:r w:rsidRPr="00A52127">
        <w:t xml:space="preserve"> recommends that the Commission require detailed plans be reviewed by stakeholders to </w:t>
      </w:r>
      <w:r>
        <w:t xml:space="preserve">ensure that </w:t>
      </w:r>
      <w:r w:rsidRPr="00A52127">
        <w:t>ESA funds are used appropriately.</w:t>
      </w:r>
      <w:r w:rsidRPr="00A52127">
        <w:rPr>
          <w:vertAlign w:val="superscript"/>
        </w:rPr>
        <w:footnoteReference w:id="751"/>
      </w:r>
    </w:p>
    <w:p w:rsidR="001D2823" w:rsidP="00F35A80" w:rsidRDefault="001D2823" w14:paraId="2883725D" w14:textId="22CF5BE2">
      <w:pPr>
        <w:pStyle w:val="Heading4"/>
        <w:ind w:left="3600"/>
      </w:pPr>
      <w:r>
        <w:t>PCF</w:t>
      </w:r>
    </w:p>
    <w:p w:rsidR="00851858" w:rsidP="0023091F" w:rsidRDefault="00851858" w14:paraId="7FE8CDAA" w14:textId="77777777">
      <w:pPr>
        <w:pStyle w:val="ALJBodyText"/>
      </w:pPr>
      <w:r>
        <w:rPr>
          <w:b/>
          <w:bCs/>
          <w:i/>
          <w:iCs/>
          <w:u w:val="single"/>
        </w:rPr>
        <w:t>10</w:t>
      </w:r>
      <w:r w:rsidRPr="00E1050D">
        <w:rPr>
          <w:b/>
          <w:bCs/>
          <w:i/>
          <w:iCs/>
          <w:u w:val="single"/>
        </w:rPr>
        <w:t xml:space="preserve"> percent</w:t>
      </w:r>
      <w:r>
        <w:rPr>
          <w:b/>
          <w:bCs/>
          <w:i/>
          <w:iCs/>
          <w:u w:val="single"/>
        </w:rPr>
        <w:t xml:space="preserve"> Administrative Cap</w:t>
      </w:r>
      <w:r w:rsidRPr="0065426F">
        <w:rPr>
          <w:b/>
          <w:bCs/>
          <w:i/>
          <w:iCs/>
          <w:u w:val="single"/>
        </w:rPr>
        <w:t>:</w:t>
      </w:r>
      <w:r>
        <w:t xml:space="preserve"> </w:t>
      </w:r>
      <w:r w:rsidRPr="00E23522">
        <w:t xml:space="preserve">PCF supports Cal Advocates’ recommendation </w:t>
      </w:r>
      <w:r>
        <w:t>to</w:t>
      </w:r>
      <w:r w:rsidRPr="00E23522">
        <w:t xml:space="preserve"> cap the IOUs’ </w:t>
      </w:r>
      <w:r w:rsidRPr="00F35A80">
        <w:t>administrative expenses</w:t>
      </w:r>
      <w:r w:rsidRPr="00E23522">
        <w:t>.</w:t>
      </w:r>
      <w:r w:rsidRPr="00E23522">
        <w:rPr>
          <w:vertAlign w:val="superscript"/>
        </w:rPr>
        <w:footnoteReference w:id="752"/>
      </w:r>
    </w:p>
    <w:p w:rsidR="000C1980" w:rsidP="00BD1C05" w:rsidRDefault="00E23522" w14:paraId="33129FB3" w14:textId="53329C87">
      <w:pPr>
        <w:pStyle w:val="Standard"/>
      </w:pPr>
      <w:r>
        <w:rPr>
          <w:b/>
          <w:bCs/>
          <w:i/>
          <w:iCs/>
          <w:u w:val="single"/>
        </w:rPr>
        <w:t>Audit of SDG&amp;E’s Administrative Costs</w:t>
      </w:r>
      <w:r w:rsidRPr="0065426F">
        <w:rPr>
          <w:b/>
          <w:bCs/>
          <w:i/>
          <w:iCs/>
          <w:u w:val="single"/>
        </w:rPr>
        <w:t>:</w:t>
      </w:r>
      <w:r>
        <w:t xml:space="preserve"> </w:t>
      </w:r>
      <w:r w:rsidR="00F35A80">
        <w:t xml:space="preserve">PCF supports </w:t>
      </w:r>
      <w:r w:rsidRPr="00F35A80" w:rsidR="00F35A80">
        <w:t xml:space="preserve">Cal Advocates’ recommendation </w:t>
      </w:r>
      <w:r>
        <w:t xml:space="preserve">for an </w:t>
      </w:r>
      <w:r w:rsidRPr="00F35A80" w:rsidR="00F35A80">
        <w:t>audit of SDG&amp;E’s</w:t>
      </w:r>
      <w:r w:rsidR="00F35A80">
        <w:t xml:space="preserve"> </w:t>
      </w:r>
      <w:r w:rsidRPr="00F35A80" w:rsidR="00F35A80">
        <w:t>administrative practices</w:t>
      </w:r>
      <w:r w:rsidR="00851858">
        <w:t xml:space="preserve"> regardless of a cap</w:t>
      </w:r>
      <w:r w:rsidRPr="00F35A80" w:rsidR="00F35A80">
        <w:t>.</w:t>
      </w:r>
      <w:r w:rsidR="00F35A80">
        <w:rPr>
          <w:rStyle w:val="FootnoteReference"/>
        </w:rPr>
        <w:footnoteReference w:id="753"/>
      </w:r>
      <w:bookmarkStart w:name="_Toc69948165" w:id="518"/>
      <w:r w:rsidR="000C1980">
        <w:t xml:space="preserve">IOU </w:t>
      </w:r>
      <w:proofErr w:type="gramStart"/>
      <w:r w:rsidR="000C1980">
        <w:t>Responses</w:t>
      </w:r>
      <w:bookmarkEnd w:id="518"/>
      <w:proofErr w:type="gramEnd"/>
    </w:p>
    <w:p w:rsidRPr="000A468A" w:rsidR="000C1980" w:rsidP="001968DC" w:rsidRDefault="000C1980" w14:paraId="6C856872" w14:textId="77777777">
      <w:pPr>
        <w:pStyle w:val="Heading4"/>
        <w:ind w:left="3600"/>
      </w:pPr>
      <w:bookmarkStart w:name="_Toc69948166" w:id="519"/>
      <w:r w:rsidRPr="000A468A">
        <w:lastRenderedPageBreak/>
        <w:t>PG&amp;E</w:t>
      </w:r>
      <w:bookmarkEnd w:id="519"/>
    </w:p>
    <w:p w:rsidR="000C1980" w:rsidP="0023091F" w:rsidRDefault="000C1980" w14:paraId="5504D61F" w14:textId="77777777">
      <w:pPr>
        <w:pStyle w:val="ALJBodyText"/>
      </w:pPr>
      <w:r w:rsidRPr="0065426F">
        <w:rPr>
          <w:b/>
          <w:bCs/>
          <w:i/>
          <w:iCs/>
          <w:u w:val="single"/>
        </w:rPr>
        <w:t>ESACET</w:t>
      </w:r>
      <w:r>
        <w:rPr>
          <w:b/>
          <w:bCs/>
          <w:i/>
          <w:iCs/>
          <w:u w:val="single"/>
        </w:rPr>
        <w:t xml:space="preserve"> Threshold for Budgeting</w:t>
      </w:r>
      <w:r w:rsidRPr="0065426F">
        <w:rPr>
          <w:b/>
          <w:bCs/>
          <w:i/>
          <w:iCs/>
          <w:u w:val="single"/>
        </w:rPr>
        <w:t>:</w:t>
      </w:r>
      <w:r>
        <w:t xml:space="preserve"> PG&amp;E disputes Cal Advocates’ claim that </w:t>
      </w:r>
      <w:r w:rsidRPr="00AA1352">
        <w:t>PG&amp;E could meet a 1.0 ESACET</w:t>
      </w:r>
      <w:r>
        <w:t xml:space="preserve"> </w:t>
      </w:r>
      <w:r w:rsidRPr="00AA1352">
        <w:t>threshold for the portfolio of resource measures while retaining its</w:t>
      </w:r>
      <w:r>
        <w:t xml:space="preserve"> </w:t>
      </w:r>
      <w:r w:rsidRPr="00AA1352">
        <w:t>proposed non-resource measures</w:t>
      </w:r>
      <w:r w:rsidRPr="007F2CD9">
        <w:t>, and reducing its total resource costs from $629M</w:t>
      </w:r>
      <w:r w:rsidRPr="00AA1352">
        <w:t xml:space="preserve"> to $418</w:t>
      </w:r>
      <w:r w:rsidRPr="007F2CD9">
        <w:t xml:space="preserve">M claiming that </w:t>
      </w:r>
      <w:r>
        <w:t xml:space="preserve">Cal Advocates’ analysis 1) </w:t>
      </w:r>
      <w:r w:rsidRPr="00AA1352">
        <w:t>was based on an obsolete input data set,</w:t>
      </w:r>
      <w:r>
        <w:t xml:space="preserve"> 2) </w:t>
      </w:r>
      <w:r w:rsidRPr="00AA1352">
        <w:t>was based on incomplete analysis,</w:t>
      </w:r>
      <w:r>
        <w:t xml:space="preserve"> 3) </w:t>
      </w:r>
      <w:r w:rsidRPr="00AA1352">
        <w:t>is subject to error,</w:t>
      </w:r>
      <w:r>
        <w:t xml:space="preserve"> 4) w</w:t>
      </w:r>
      <w:r w:rsidRPr="00AA1352">
        <w:t>ill create unintended consequences that are out-of-line with program</w:t>
      </w:r>
      <w:r>
        <w:t xml:space="preserve"> g</w:t>
      </w:r>
      <w:r w:rsidRPr="00AA1352">
        <w:t>oals, and</w:t>
      </w:r>
      <w:r>
        <w:t xml:space="preserve"> 5) </w:t>
      </w:r>
      <w:r w:rsidRPr="00AA1352">
        <w:t>was not developed or provided in terms of annual or program cycle</w:t>
      </w:r>
      <w:r>
        <w:t xml:space="preserve"> </w:t>
      </w:r>
      <w:r w:rsidRPr="00AA1352">
        <w:t>budget.</w:t>
      </w:r>
      <w:r>
        <w:rPr>
          <w:rStyle w:val="FootnoteReference"/>
        </w:rPr>
        <w:footnoteReference w:id="754"/>
      </w:r>
      <w:r>
        <w:t xml:space="preserve">  </w:t>
      </w:r>
    </w:p>
    <w:p w:rsidR="000C1980" w:rsidP="0023091F" w:rsidRDefault="000C1980" w14:paraId="35975514" w14:textId="7D579C0B">
      <w:pPr>
        <w:pStyle w:val="ALJBodyText"/>
      </w:pPr>
      <w:r>
        <w:rPr>
          <w:b/>
          <w:bCs/>
          <w:i/>
          <w:iCs/>
          <w:u w:val="single"/>
        </w:rPr>
        <w:t>Require Lowest Cost for Measures</w:t>
      </w:r>
      <w:r w:rsidRPr="0065426F">
        <w:rPr>
          <w:b/>
          <w:bCs/>
          <w:i/>
          <w:iCs/>
          <w:u w:val="single"/>
        </w:rPr>
        <w:t>:</w:t>
      </w:r>
      <w:r>
        <w:t xml:space="preserve"> PG&amp;E states that variations exist among the IOU measure costs because 1) the IOUs have di</w:t>
      </w:r>
      <w:r w:rsidRPr="009F3490">
        <w:t>fferent</w:t>
      </w:r>
      <w:r>
        <w:t xml:space="preserve"> </w:t>
      </w:r>
      <w:r w:rsidRPr="009F3490">
        <w:t>contractor/implementer arrangement</w:t>
      </w:r>
      <w:r>
        <w:t>s</w:t>
      </w:r>
      <w:r w:rsidRPr="009F3490">
        <w:t xml:space="preserve"> and labor cost structure</w:t>
      </w:r>
      <w:r>
        <w:t>s</w:t>
      </w:r>
      <w:r w:rsidRPr="009F3490">
        <w:t xml:space="preserve"> that </w:t>
      </w:r>
      <w:r>
        <w:t xml:space="preserve">are </w:t>
      </w:r>
      <w:r w:rsidRPr="009F3490">
        <w:t>negotiated, confidential and proprietary</w:t>
      </w:r>
      <w:r>
        <w:t xml:space="preserve">, 2) the type and material of the measures differ </w:t>
      </w:r>
      <w:r w:rsidRPr="009F3490">
        <w:t>depending on what best suits their customer needs, climate zone, and housing stock</w:t>
      </w:r>
      <w:r>
        <w:t xml:space="preserve">, and 3) the </w:t>
      </w:r>
      <w:r w:rsidRPr="009F3490">
        <w:t>IOUs may have</w:t>
      </w:r>
      <w:r>
        <w:t xml:space="preserve"> </w:t>
      </w:r>
      <w:r w:rsidRPr="009F3490">
        <w:t>different definitions of what is all-inclusive in a measure cost, such as</w:t>
      </w:r>
      <w:r>
        <w:t xml:space="preserve"> </w:t>
      </w:r>
      <w:r w:rsidRPr="009F3490">
        <w:t>permitting fees</w:t>
      </w:r>
      <w:r>
        <w:t>.  Therefore, PG&amp;E argues that a</w:t>
      </w:r>
      <w:r w:rsidRPr="009F3490">
        <w:t>ny comparison of IOU cost information in this situation</w:t>
      </w:r>
      <w:r>
        <w:t xml:space="preserve"> </w:t>
      </w:r>
      <w:r w:rsidRPr="009F3490">
        <w:t>may not be plausible due to confidentiality concerns.</w:t>
      </w:r>
      <w:r w:rsidRPr="00500FA5">
        <w:rPr>
          <w:rStyle w:val="FootnoteReference"/>
        </w:rPr>
        <w:footnoteReference w:id="755"/>
      </w:r>
    </w:p>
    <w:p w:rsidR="00500FA5" w:rsidP="0023091F" w:rsidRDefault="00500FA5" w14:paraId="250A4AA2" w14:textId="4F25C0E3">
      <w:pPr>
        <w:pStyle w:val="ALJBodyText"/>
      </w:pPr>
      <w:r w:rsidRPr="00F8780D">
        <w:rPr>
          <w:b/>
          <w:bCs/>
          <w:i/>
          <w:iCs/>
          <w:u w:val="single"/>
        </w:rPr>
        <w:t>Maintaining 2020 Levels</w:t>
      </w:r>
      <w:r>
        <w:t>: PG&amp;E</w:t>
      </w:r>
      <w:r w:rsidR="004C746F">
        <w:t xml:space="preserve"> </w:t>
      </w:r>
      <w:r>
        <w:t>supports</w:t>
      </w:r>
      <w:r w:rsidR="00BB0EA1">
        <w:t xml:space="preserve"> in part, </w:t>
      </w:r>
      <w:r w:rsidR="004C746F">
        <w:t xml:space="preserve">EEC’s request to </w:t>
      </w:r>
      <w:r w:rsidRPr="004C746F" w:rsidR="004C746F">
        <w:t xml:space="preserve">hold </w:t>
      </w:r>
      <w:r w:rsidR="004C746F">
        <w:t xml:space="preserve">the </w:t>
      </w:r>
      <w:r w:rsidRPr="004C746F" w:rsidR="004C746F">
        <w:t>IOUs’ 2021 ESA budgets and homes treated</w:t>
      </w:r>
      <w:r w:rsidR="004C746F">
        <w:t xml:space="preserve"> </w:t>
      </w:r>
      <w:r w:rsidRPr="004C746F" w:rsidR="004C746F">
        <w:t>goals at 2020 levels</w:t>
      </w:r>
      <w:r w:rsidR="00BD07AA">
        <w:t xml:space="preserve">. </w:t>
      </w:r>
      <w:r w:rsidR="009A4A42">
        <w:t xml:space="preserve">But </w:t>
      </w:r>
      <w:r w:rsidR="00BB0EA1">
        <w:t>b</w:t>
      </w:r>
      <w:r w:rsidRPr="00BB0EA1" w:rsidR="00BB0EA1">
        <w:t>ecause of the unknowns with the COVID-19 pandemic and the effects of the vaccines</w:t>
      </w:r>
      <w:r w:rsidR="00BB0EA1">
        <w:t xml:space="preserve"> </w:t>
      </w:r>
      <w:r w:rsidRPr="00BB0EA1" w:rsidR="00BB0EA1">
        <w:t>that are anticipated to be delivered throughout 2021, PG&amp;E has not completed any analysis</w:t>
      </w:r>
      <w:r w:rsidR="00BB0EA1">
        <w:t xml:space="preserve"> </w:t>
      </w:r>
      <w:r w:rsidRPr="00BB0EA1" w:rsidR="00BB0EA1">
        <w:t xml:space="preserve">related to increasing its homes treated goal or budget for 2022. </w:t>
      </w:r>
      <w:r w:rsidRPr="00BB0EA1" w:rsidR="00BB0EA1">
        <w:lastRenderedPageBreak/>
        <w:t xml:space="preserve">However, </w:t>
      </w:r>
      <w:r w:rsidR="00BB0EA1">
        <w:t xml:space="preserve">PG&amp;E states that if </w:t>
      </w:r>
      <w:r w:rsidRPr="00BB0EA1" w:rsidR="00BB0EA1">
        <w:t>the</w:t>
      </w:r>
      <w:r w:rsidR="00BB0EA1">
        <w:t xml:space="preserve"> </w:t>
      </w:r>
      <w:r w:rsidRPr="00BB0EA1" w:rsidR="00BB0EA1">
        <w:t>Commission approve</w:t>
      </w:r>
      <w:r w:rsidR="00BB0EA1">
        <w:t>s</w:t>
      </w:r>
      <w:r w:rsidRPr="00BB0EA1" w:rsidR="00BB0EA1">
        <w:t xml:space="preserve"> </w:t>
      </w:r>
      <w:r w:rsidR="00BB0EA1">
        <w:t>the proposal</w:t>
      </w:r>
      <w:r w:rsidRPr="00BB0EA1" w:rsidR="00BB0EA1">
        <w:t xml:space="preserve"> request to hold 2022 homes treated and budget </w:t>
      </w:r>
      <w:proofErr w:type="gramStart"/>
      <w:r w:rsidRPr="00BB0EA1" w:rsidR="00BB0EA1">
        <w:t>at</w:t>
      </w:r>
      <w:proofErr w:type="gramEnd"/>
      <w:r w:rsidRPr="00BB0EA1" w:rsidR="00BB0EA1">
        <w:t xml:space="preserve"> 2020</w:t>
      </w:r>
      <w:r w:rsidR="00BB0EA1">
        <w:t xml:space="preserve"> </w:t>
      </w:r>
      <w:r w:rsidRPr="00BB0EA1" w:rsidR="00BB0EA1">
        <w:t>authorized levels, PG&amp;E requests the Commission provide a Tier 2 advice letter filing</w:t>
      </w:r>
      <w:r w:rsidR="00BB0EA1">
        <w:t xml:space="preserve"> </w:t>
      </w:r>
      <w:r w:rsidRPr="00BB0EA1" w:rsidR="00BB0EA1">
        <w:t>mechanism for additional cost recovery, as necessary.</w:t>
      </w:r>
      <w:r w:rsidR="00BB0EA1">
        <w:rPr>
          <w:rStyle w:val="FootnoteReference"/>
        </w:rPr>
        <w:footnoteReference w:id="756"/>
      </w:r>
    </w:p>
    <w:p w:rsidRPr="000A468A" w:rsidR="000C1980" w:rsidP="001968DC" w:rsidRDefault="000C1980" w14:paraId="09A7B6BD" w14:textId="77777777">
      <w:pPr>
        <w:pStyle w:val="Heading4"/>
        <w:ind w:left="3600"/>
      </w:pPr>
      <w:bookmarkStart w:name="_Toc69948167" w:id="520"/>
      <w:r>
        <w:t>SC</w:t>
      </w:r>
      <w:r w:rsidRPr="000A468A">
        <w:t>E</w:t>
      </w:r>
      <w:bookmarkEnd w:id="520"/>
    </w:p>
    <w:p w:rsidRPr="00610F77" w:rsidR="000C1980" w:rsidP="0023091F" w:rsidRDefault="000C1980" w14:paraId="021A154E" w14:textId="77777777">
      <w:pPr>
        <w:pStyle w:val="ALJBodyText"/>
      </w:pPr>
      <w:r>
        <w:rPr>
          <w:b/>
          <w:bCs/>
          <w:i/>
          <w:iCs/>
          <w:u w:val="single"/>
        </w:rPr>
        <w:t>10</w:t>
      </w:r>
      <w:r w:rsidRPr="00E1050D">
        <w:rPr>
          <w:b/>
          <w:bCs/>
          <w:i/>
          <w:iCs/>
          <w:u w:val="single"/>
        </w:rPr>
        <w:t xml:space="preserve"> percent</w:t>
      </w:r>
      <w:r>
        <w:rPr>
          <w:b/>
          <w:bCs/>
          <w:i/>
          <w:iCs/>
          <w:u w:val="single"/>
        </w:rPr>
        <w:t xml:space="preserve"> Administrative Cap</w:t>
      </w:r>
      <w:r w:rsidRPr="0065426F">
        <w:rPr>
          <w:b/>
          <w:bCs/>
          <w:i/>
          <w:iCs/>
          <w:u w:val="single"/>
        </w:rPr>
        <w:t>:</w:t>
      </w:r>
      <w:r>
        <w:t xml:space="preserve"> S</w:t>
      </w:r>
      <w:r w:rsidRPr="00610F77">
        <w:t xml:space="preserve">CE does not oppose </w:t>
      </w:r>
      <w:r>
        <w:t>this cap</w:t>
      </w:r>
      <w:r w:rsidRPr="00610F77">
        <w:t xml:space="preserve">, but requests Commission guidance on defining “administrative costs” prior to establishing such a cap. SCE claims that Cal Advocates err in assessing its true administrative costs because Cal Advocates’ calculation assumes that everything “below the line” is an administrative function, which should not be the case, and states that if taking into consideration only administrative functions (as considered in the mainstream </w:t>
      </w:r>
      <w:r>
        <w:t>e</w:t>
      </w:r>
      <w:r w:rsidRPr="00610F77">
        <w:t xml:space="preserve">nergy </w:t>
      </w:r>
      <w:r>
        <w:t>e</w:t>
      </w:r>
      <w:r w:rsidRPr="00610F77">
        <w:t>fficiency programs), SCE’s administrative costs would make up a total of 5</w:t>
      </w:r>
      <w:r w:rsidRPr="00E1050D">
        <w:t xml:space="preserve"> </w:t>
      </w:r>
      <w:r w:rsidRPr="0026503D">
        <w:t>percent</w:t>
      </w:r>
      <w:r w:rsidRPr="00610F77">
        <w:t xml:space="preserve"> for PY 2021, 5</w:t>
      </w:r>
      <w:r w:rsidRPr="00E1050D">
        <w:t xml:space="preserve"> </w:t>
      </w:r>
      <w:r w:rsidRPr="0026503D">
        <w:t>percent</w:t>
      </w:r>
      <w:r w:rsidRPr="00610F77">
        <w:t xml:space="preserve"> for PY 2022, 5</w:t>
      </w:r>
      <w:r w:rsidRPr="00E1050D">
        <w:t xml:space="preserve"> </w:t>
      </w:r>
      <w:r w:rsidRPr="0026503D">
        <w:t>percent</w:t>
      </w:r>
      <w:r w:rsidRPr="00610F77">
        <w:t xml:space="preserve"> for PY 2023, and an overall 4</w:t>
      </w:r>
      <w:r w:rsidRPr="00E1050D">
        <w:t xml:space="preserve"> </w:t>
      </w:r>
      <w:r w:rsidRPr="0026503D">
        <w:t>percent</w:t>
      </w:r>
      <w:r w:rsidRPr="00610F77">
        <w:t xml:space="preserve"> for SCE’s 2021-2026 program cycle.  Therefore, SCE is amenable to a 10</w:t>
      </w:r>
      <w:r w:rsidRPr="00E1050D">
        <w:t xml:space="preserve"> </w:t>
      </w:r>
      <w:r w:rsidRPr="0026503D">
        <w:t>percent</w:t>
      </w:r>
      <w:r>
        <w:t xml:space="preserve"> </w:t>
      </w:r>
      <w:r w:rsidRPr="00610F77">
        <w:t>limit provided that the Commission adopts the definition for “administrative costs” that has been established for the energy efficiency portfolios to provide clarity and consistency in the ESA program prior to establishing such a cap.</w:t>
      </w:r>
      <w:r w:rsidRPr="00610F77">
        <w:rPr>
          <w:vertAlign w:val="superscript"/>
        </w:rPr>
        <w:footnoteReference w:id="757"/>
      </w:r>
    </w:p>
    <w:p w:rsidRPr="00610F77" w:rsidR="000C1980" w:rsidP="0023091F" w:rsidRDefault="000C1980" w14:paraId="3DAFFDFE" w14:textId="77777777">
      <w:pPr>
        <w:pStyle w:val="ALJBodyText"/>
      </w:pPr>
      <w:r>
        <w:rPr>
          <w:b/>
          <w:bCs/>
          <w:i/>
          <w:iCs/>
          <w:u w:val="single"/>
        </w:rPr>
        <w:t>Require Lowest Cost for Measures</w:t>
      </w:r>
      <w:r w:rsidRPr="0065426F">
        <w:rPr>
          <w:b/>
          <w:bCs/>
          <w:i/>
          <w:iCs/>
          <w:u w:val="single"/>
        </w:rPr>
        <w:t>:</w:t>
      </w:r>
      <w:r>
        <w:t xml:space="preserve"> </w:t>
      </w:r>
      <w:r w:rsidRPr="00610F77">
        <w:t>SCE oppose</w:t>
      </w:r>
      <w:r>
        <w:t>s</w:t>
      </w:r>
      <w:r w:rsidRPr="00610F77">
        <w:t xml:space="preserve"> </w:t>
      </w:r>
      <w:r>
        <w:t>this</w:t>
      </w:r>
      <w:r w:rsidRPr="00610F77">
        <w:t xml:space="preserve"> recommendation because Cal Advocates’ analysis is not an apples-to-apples comparison of </w:t>
      </w:r>
      <w:r>
        <w:t xml:space="preserve">the </w:t>
      </w:r>
      <w:r w:rsidRPr="00610F77">
        <w:t xml:space="preserve">IOUs’ or statewide costs of the measures identified in its analysis.  SCE states that its measure costs are all-inclusive, combining both the cost of the unit and the installation which may be different from the statewide cost calculations.  </w:t>
      </w:r>
      <w:r w:rsidRPr="00610F77">
        <w:lastRenderedPageBreak/>
        <w:t xml:space="preserve">SCE’s measures costs are based on the market rate to better support ESA contractors and represents the portion of the budget that is provided directly to SCE’s contractors to help sustain the workforce and ensure that customers receive standard, quality, product. </w:t>
      </w:r>
      <w:r>
        <w:t xml:space="preserve"> </w:t>
      </w:r>
      <w:r w:rsidRPr="00610F77">
        <w:t>Additionally, IOU program offerings are not the same across service territories, which should also be considered when comparing across IOUs</w:t>
      </w:r>
      <w:r>
        <w:t xml:space="preserve">.  </w:t>
      </w:r>
      <w:r w:rsidRPr="00610F77">
        <w:t>Lastly, SCE states that Cal Advocates’ recommendation is unnecessary as SCE proposes to conduct a competitive solicitation that will help the ESA program acquire market competitive rates for future program measures that include labor and cost of equipment.</w:t>
      </w:r>
      <w:r w:rsidRPr="00610F77">
        <w:rPr>
          <w:vertAlign w:val="superscript"/>
        </w:rPr>
        <w:footnoteReference w:id="758"/>
      </w:r>
    </w:p>
    <w:p w:rsidRPr="000A468A" w:rsidR="000C1980" w:rsidP="001968DC" w:rsidRDefault="000C1980" w14:paraId="23AFDD02" w14:textId="77777777">
      <w:pPr>
        <w:pStyle w:val="Heading4"/>
        <w:ind w:left="3600"/>
      </w:pPr>
      <w:bookmarkStart w:name="_Toc69948168" w:id="521"/>
      <w:r>
        <w:t>SoCalGas</w:t>
      </w:r>
      <w:bookmarkEnd w:id="521"/>
    </w:p>
    <w:p w:rsidR="000C1980" w:rsidP="0023091F" w:rsidRDefault="000C1980" w14:paraId="2CBE5724" w14:textId="77777777">
      <w:pPr>
        <w:pStyle w:val="ALJBodyText"/>
      </w:pPr>
      <w:r>
        <w:rPr>
          <w:b/>
          <w:bCs/>
          <w:i/>
          <w:iCs/>
          <w:u w:val="single"/>
        </w:rPr>
        <w:t>10</w:t>
      </w:r>
      <w:r w:rsidRPr="00E1050D">
        <w:rPr>
          <w:b/>
          <w:bCs/>
          <w:i/>
          <w:iCs/>
          <w:u w:val="single"/>
        </w:rPr>
        <w:t xml:space="preserve"> percent</w:t>
      </w:r>
      <w:r>
        <w:rPr>
          <w:b/>
          <w:bCs/>
          <w:i/>
          <w:iCs/>
          <w:u w:val="single"/>
        </w:rPr>
        <w:t xml:space="preserve"> Administrative Cap</w:t>
      </w:r>
      <w:r w:rsidRPr="0065426F">
        <w:rPr>
          <w:b/>
          <w:bCs/>
          <w:i/>
          <w:iCs/>
          <w:u w:val="single"/>
        </w:rPr>
        <w:t>:</w:t>
      </w:r>
      <w:r>
        <w:t xml:space="preserve"> S</w:t>
      </w:r>
      <w:r w:rsidRPr="001551CA">
        <w:t xml:space="preserve">oCalGas </w:t>
      </w:r>
      <w:r>
        <w:t xml:space="preserve">opposes this cap and </w:t>
      </w:r>
      <w:r w:rsidRPr="007F6F05">
        <w:t>clarifies that SoCalGas’ administrative budget is not 13.7</w:t>
      </w:r>
      <w:r w:rsidRPr="00E1050D">
        <w:t xml:space="preserve"> </w:t>
      </w:r>
      <w:r w:rsidRPr="0026503D">
        <w:t>percent</w:t>
      </w:r>
      <w:r w:rsidRPr="007F6F05">
        <w:t xml:space="preserve"> of its total ESA </w:t>
      </w:r>
      <w:r>
        <w:t>p</w:t>
      </w:r>
      <w:r w:rsidRPr="007F6F05">
        <w:t>rogram budget for PY 2021-2026 but rather only 6.9</w:t>
      </w:r>
      <w:r w:rsidRPr="00E1050D">
        <w:t xml:space="preserve"> </w:t>
      </w:r>
      <w:r w:rsidRPr="0026503D">
        <w:t>percent</w:t>
      </w:r>
      <w:r w:rsidRPr="007F6F05">
        <w:t xml:space="preserve"> (claiming that Cal Advocates may be including other “below-the-line” categories in its calculations)</w:t>
      </w:r>
      <w:r>
        <w:t>.  SoCalGas requests</w:t>
      </w:r>
      <w:r w:rsidRPr="00193814">
        <w:t xml:space="preserve"> </w:t>
      </w:r>
      <w:r>
        <w:t xml:space="preserve">that the </w:t>
      </w:r>
      <w:r w:rsidRPr="007F6F05">
        <w:t>Commission issue clear guidance on cost categorization before any establishment of an administrative cap</w:t>
      </w:r>
      <w:r>
        <w:t xml:space="preserve"> and </w:t>
      </w:r>
      <w:r w:rsidRPr="007F6F05">
        <w:t xml:space="preserve">recommends developing guidance </w:t>
      </w:r>
      <w:proofErr w:type="gramStart"/>
      <w:r w:rsidRPr="007F6F05">
        <w:t>similar to</w:t>
      </w:r>
      <w:proofErr w:type="gramEnd"/>
      <w:r w:rsidRPr="007F6F05">
        <w:t xml:space="preserve"> the cost categories in the mainstream energy efficiency proceeding to be achieved through a stakeholder working group, and then put forth as a motion for the Commission to adopt.</w:t>
      </w:r>
      <w:r w:rsidRPr="007F6F05">
        <w:rPr>
          <w:vertAlign w:val="superscript"/>
        </w:rPr>
        <w:footnoteReference w:id="759"/>
      </w:r>
      <w:r>
        <w:t xml:space="preserve"> </w:t>
      </w:r>
    </w:p>
    <w:p w:rsidRPr="000A468A" w:rsidR="000C1980" w:rsidP="001968DC" w:rsidRDefault="000C1980" w14:paraId="1D21C983" w14:textId="77777777">
      <w:pPr>
        <w:pStyle w:val="Heading4"/>
        <w:ind w:left="3600"/>
      </w:pPr>
      <w:bookmarkStart w:name="_Toc69948169" w:id="522"/>
      <w:r>
        <w:t>SD</w:t>
      </w:r>
      <w:r w:rsidRPr="000A468A">
        <w:t>G&amp;E</w:t>
      </w:r>
      <w:bookmarkEnd w:id="522"/>
    </w:p>
    <w:p w:rsidRPr="0042551A" w:rsidR="000C1980" w:rsidP="0023091F" w:rsidRDefault="000C1980" w14:paraId="343C5A5E" w14:textId="77777777">
      <w:pPr>
        <w:pStyle w:val="ALJBodyText"/>
      </w:pPr>
      <w:r>
        <w:rPr>
          <w:b/>
          <w:bCs/>
          <w:i/>
          <w:iCs/>
          <w:u w:val="single"/>
        </w:rPr>
        <w:t>10</w:t>
      </w:r>
      <w:r w:rsidRPr="00E1050D">
        <w:rPr>
          <w:b/>
          <w:bCs/>
          <w:i/>
          <w:iCs/>
          <w:u w:val="single"/>
        </w:rPr>
        <w:t xml:space="preserve"> percent</w:t>
      </w:r>
      <w:r>
        <w:rPr>
          <w:b/>
          <w:bCs/>
          <w:i/>
          <w:iCs/>
          <w:u w:val="single"/>
        </w:rPr>
        <w:t xml:space="preserve"> Administrative Cap</w:t>
      </w:r>
      <w:r w:rsidRPr="0065426F">
        <w:rPr>
          <w:b/>
          <w:bCs/>
          <w:i/>
          <w:iCs/>
          <w:u w:val="single"/>
        </w:rPr>
        <w:t>:</w:t>
      </w:r>
      <w:r>
        <w:t xml:space="preserve"> SDG&amp;E recommends that </w:t>
      </w:r>
      <w:r w:rsidRPr="00F4085F">
        <w:t>the Commission assess the</w:t>
      </w:r>
      <w:r>
        <w:t xml:space="preserve"> </w:t>
      </w:r>
      <w:r w:rsidRPr="00F4085F">
        <w:t xml:space="preserve">administrative budget categories currently in the ESA </w:t>
      </w:r>
      <w:r>
        <w:t>p</w:t>
      </w:r>
      <w:r w:rsidRPr="00F4085F">
        <w:t>rogram to determine which categories</w:t>
      </w:r>
      <w:r>
        <w:t xml:space="preserve"> </w:t>
      </w:r>
      <w:r w:rsidRPr="00F4085F">
        <w:t>should fall under administrative</w:t>
      </w:r>
      <w:r>
        <w:t xml:space="preserve"> as they are inconsistent with other programs such as the </w:t>
      </w:r>
      <w:r w:rsidRPr="00F4085F">
        <w:t>California Solar Initiative</w:t>
      </w:r>
      <w:r>
        <w:t xml:space="preserve"> and the </w:t>
      </w:r>
      <w:r>
        <w:lastRenderedPageBreak/>
        <w:t xml:space="preserve">mainstream energy efficiency programs.  And if </w:t>
      </w:r>
      <w:r w:rsidRPr="00F4085F">
        <w:t xml:space="preserve">the Commission decides to </w:t>
      </w:r>
      <w:r>
        <w:t xml:space="preserve">set a </w:t>
      </w:r>
      <w:r w:rsidRPr="00F4085F">
        <w:t xml:space="preserve">cap </w:t>
      </w:r>
      <w:r>
        <w:t xml:space="preserve">on </w:t>
      </w:r>
      <w:r w:rsidRPr="00F4085F">
        <w:t>administrative costs</w:t>
      </w:r>
      <w:r>
        <w:t xml:space="preserve">, </w:t>
      </w:r>
      <w:r w:rsidRPr="00F4085F">
        <w:t xml:space="preserve">the Commission </w:t>
      </w:r>
      <w:r>
        <w:t xml:space="preserve">should </w:t>
      </w:r>
      <w:r w:rsidRPr="00F4085F">
        <w:t>assess the administrative</w:t>
      </w:r>
      <w:r>
        <w:t xml:space="preserve"> </w:t>
      </w:r>
      <w:r w:rsidRPr="00F4085F">
        <w:t xml:space="preserve">categories specifically for the ESA </w:t>
      </w:r>
      <w:r>
        <w:t>p</w:t>
      </w:r>
      <w:r w:rsidRPr="00F4085F">
        <w:t>rogram to establish a record of the administrative budget</w:t>
      </w:r>
      <w:r>
        <w:t xml:space="preserve"> c</w:t>
      </w:r>
      <w:r w:rsidRPr="00F4085F">
        <w:t>ategories and to better align with other Commission programs (</w:t>
      </w:r>
      <w:r w:rsidRPr="003363EC">
        <w:rPr>
          <w:i/>
          <w:iCs/>
        </w:rPr>
        <w:t>e.g.</w:t>
      </w:r>
      <w:r w:rsidRPr="00F4085F">
        <w:t xml:space="preserve">, </w:t>
      </w:r>
      <w:r>
        <w:t>e</w:t>
      </w:r>
      <w:r w:rsidRPr="00F4085F">
        <w:t xml:space="preserve">nergy </w:t>
      </w:r>
      <w:r>
        <w:t>e</w:t>
      </w:r>
      <w:r w:rsidRPr="00F4085F">
        <w:t>fficiency and C</w:t>
      </w:r>
      <w:r>
        <w:t xml:space="preserve">alifornia </w:t>
      </w:r>
      <w:r w:rsidRPr="00F4085F">
        <w:t>S</w:t>
      </w:r>
      <w:r>
        <w:t xml:space="preserve">olar </w:t>
      </w:r>
      <w:r w:rsidRPr="00F4085F">
        <w:t>I</w:t>
      </w:r>
      <w:r>
        <w:t>nitiative</w:t>
      </w:r>
      <w:r w:rsidRPr="00F4085F">
        <w:t>)</w:t>
      </w:r>
      <w:r>
        <w:t xml:space="preserve"> </w:t>
      </w:r>
      <w:r w:rsidRPr="00F4085F">
        <w:t xml:space="preserve">so </w:t>
      </w:r>
      <w:r>
        <w:t>that the</w:t>
      </w:r>
      <w:r w:rsidRPr="00F4085F">
        <w:t xml:space="preserve"> classification</w:t>
      </w:r>
      <w:r>
        <w:t xml:space="preserve">s are </w:t>
      </w:r>
      <w:r w:rsidRPr="00F4085F">
        <w:t>consistent.</w:t>
      </w:r>
      <w:r w:rsidRPr="009C5747">
        <w:rPr>
          <w:rStyle w:val="FootnoteReference"/>
        </w:rPr>
        <w:t xml:space="preserve"> </w:t>
      </w:r>
      <w:r>
        <w:rPr>
          <w:rStyle w:val="FootnoteReference"/>
        </w:rPr>
        <w:footnoteReference w:id="760"/>
      </w:r>
      <w:r>
        <w:t xml:space="preserve">  SDG&amp;E also opposes </w:t>
      </w:r>
      <w:r w:rsidRPr="0088355F">
        <w:t>Cal Advocates</w:t>
      </w:r>
      <w:r>
        <w:t>’</w:t>
      </w:r>
      <w:r w:rsidRPr="0088355F">
        <w:t xml:space="preserve"> recommend</w:t>
      </w:r>
      <w:r>
        <w:t xml:space="preserve">ation </w:t>
      </w:r>
      <w:r w:rsidRPr="0088355F">
        <w:t>that an independent audi</w:t>
      </w:r>
      <w:r>
        <w:t>t</w:t>
      </w:r>
      <w:r w:rsidRPr="0088355F">
        <w:t xml:space="preserve"> </w:t>
      </w:r>
      <w:r>
        <w:t>on SDG&amp;E’s</w:t>
      </w:r>
      <w:r w:rsidRPr="0088355F">
        <w:t xml:space="preserve"> ESA </w:t>
      </w:r>
      <w:r>
        <w:t>p</w:t>
      </w:r>
      <w:r w:rsidRPr="0088355F">
        <w:t>rogram administrative costs</w:t>
      </w:r>
      <w:r>
        <w:t xml:space="preserve"> be conducted, </w:t>
      </w:r>
      <w:r w:rsidRPr="0088355F">
        <w:t>assert</w:t>
      </w:r>
      <w:r>
        <w:t xml:space="preserve">ing that </w:t>
      </w:r>
      <w:r w:rsidRPr="0088355F">
        <w:t>existing Commission policy to conduct audits is appropriate and should continue.</w:t>
      </w:r>
      <w:r>
        <w:rPr>
          <w:rStyle w:val="FootnoteReference"/>
        </w:rPr>
        <w:footnoteReference w:id="761"/>
      </w:r>
    </w:p>
    <w:p w:rsidR="000C1980" w:rsidP="001968DC" w:rsidRDefault="000C1980" w14:paraId="0A638F55" w14:textId="77777777">
      <w:pPr>
        <w:pStyle w:val="Heading3"/>
        <w:ind w:left="2664"/>
      </w:pPr>
      <w:bookmarkStart w:name="_Toc69948170" w:id="523"/>
      <w:r>
        <w:t>Discussion</w:t>
      </w:r>
      <w:bookmarkEnd w:id="523"/>
    </w:p>
    <w:p w:rsidRPr="009032D9" w:rsidR="000C1980" w:rsidP="001968DC" w:rsidRDefault="000C1980" w14:paraId="287E78C9" w14:textId="77777777">
      <w:pPr>
        <w:pStyle w:val="Heading4"/>
        <w:ind w:left="3600"/>
      </w:pPr>
      <w:bookmarkStart w:name="_Toc69948171" w:id="524"/>
      <w:r w:rsidRPr="009032D9">
        <w:t xml:space="preserve">IOUs’ Budgets: </w:t>
      </w:r>
      <w:r w:rsidRPr="00F2256D">
        <w:rPr>
          <w:u w:val="single"/>
        </w:rPr>
        <w:t>Approved with Modifications</w:t>
      </w:r>
      <w:bookmarkEnd w:id="524"/>
    </w:p>
    <w:p w:rsidR="00A40ADE" w:rsidP="0023091F" w:rsidRDefault="000C1980" w14:paraId="360B37DF" w14:textId="242B51A1">
      <w:pPr>
        <w:pStyle w:val="ALJBodyText"/>
      </w:pPr>
      <w:r>
        <w:t>Beginning in PY 2009, we have observed that the IOUs have consistently underspent their approved budgets by about 20</w:t>
      </w:r>
      <w:r w:rsidRPr="00E1050D">
        <w:t xml:space="preserve"> </w:t>
      </w:r>
      <w:r w:rsidRPr="0026503D">
        <w:t>percent</w:t>
      </w:r>
      <w:r>
        <w:t>, including the same 20</w:t>
      </w:r>
      <w:r w:rsidRPr="00E1050D">
        <w:t xml:space="preserve"> </w:t>
      </w:r>
      <w:r w:rsidRPr="0026503D">
        <w:t>percent</w:t>
      </w:r>
      <w:r>
        <w:t xml:space="preserve"> figure for PYs 2017-2019.  The underspend figure for the full 2017-2020 program cycle increases to 25</w:t>
      </w:r>
      <w:r w:rsidRPr="00E1050D">
        <w:t xml:space="preserve"> </w:t>
      </w:r>
      <w:r w:rsidRPr="0026503D">
        <w:t>percent</w:t>
      </w:r>
      <w:r>
        <w:t xml:space="preserve">, when including the pandemic-impacted program year of 2020. </w:t>
      </w:r>
    </w:p>
    <w:p w:rsidRPr="00467CC0" w:rsidR="000C1980" w:rsidP="001E1890" w:rsidRDefault="000C1980" w14:paraId="0AFA0B0E" w14:textId="77777777">
      <w:pPr>
        <w:spacing w:after="120"/>
        <w:jc w:val="center"/>
        <w:rPr>
          <w:b/>
          <w:bCs/>
        </w:rPr>
      </w:pPr>
      <w:r w:rsidRPr="00467CC0">
        <w:rPr>
          <w:b/>
          <w:bCs/>
        </w:rPr>
        <w:t>Table 13: IOUs’ Actual Expenditures vs Authorized, PYs 2009-2020</w:t>
      </w:r>
    </w:p>
    <w:tbl>
      <w:tblPr>
        <w:tblStyle w:val="TableGrid"/>
        <w:tblW w:w="9535" w:type="dxa"/>
        <w:tblLayout w:type="fixed"/>
        <w:tblLook w:val="06A0" w:firstRow="1" w:lastRow="0" w:firstColumn="1" w:lastColumn="0" w:noHBand="1" w:noVBand="1"/>
      </w:tblPr>
      <w:tblGrid>
        <w:gridCol w:w="3055"/>
        <w:gridCol w:w="1350"/>
        <w:gridCol w:w="1260"/>
        <w:gridCol w:w="1260"/>
        <w:gridCol w:w="1260"/>
        <w:gridCol w:w="1350"/>
      </w:tblGrid>
      <w:tr w:rsidRPr="00E643B0" w:rsidR="00F2256D" w:rsidTr="00A40ADE" w14:paraId="5A53F83B" w14:textId="77777777">
        <w:tc>
          <w:tcPr>
            <w:tcW w:w="9535" w:type="dxa"/>
            <w:gridSpan w:val="6"/>
          </w:tcPr>
          <w:p w:rsidRPr="00F2256D" w:rsidR="00F2256D" w:rsidP="00467CC0" w:rsidRDefault="00F2256D" w14:paraId="07D03A29" w14:textId="34390462">
            <w:r w:rsidRPr="00F2256D">
              <w:t xml:space="preserve">IOUs’ Actual </w:t>
            </w:r>
            <w:r>
              <w:t xml:space="preserve">ESA Program </w:t>
            </w:r>
            <w:r w:rsidRPr="00F2256D">
              <w:t xml:space="preserve">Expenditures </w:t>
            </w:r>
            <w:r w:rsidR="001111CB">
              <w:t>Levels</w:t>
            </w:r>
            <w:r w:rsidRPr="00F2256D">
              <w:t>, PYs 2009-2020</w:t>
            </w:r>
          </w:p>
        </w:tc>
      </w:tr>
      <w:tr w:rsidRPr="00E643B0" w:rsidR="000C1980" w:rsidTr="00BD1C05" w14:paraId="1A900FD2" w14:textId="77777777">
        <w:tc>
          <w:tcPr>
            <w:tcW w:w="3055" w:type="dxa"/>
          </w:tcPr>
          <w:p w:rsidRPr="00E643B0" w:rsidR="000C1980" w:rsidP="00467CC0" w:rsidRDefault="000C1980" w14:paraId="3586DE5F" w14:textId="77777777"/>
        </w:tc>
        <w:tc>
          <w:tcPr>
            <w:tcW w:w="1350" w:type="dxa"/>
            <w:vAlign w:val="center"/>
          </w:tcPr>
          <w:p w:rsidRPr="00BD1C05" w:rsidR="000C1980" w:rsidP="00467CC0" w:rsidRDefault="000C1980" w14:paraId="120DA487" w14:textId="6EBC14EE">
            <w:r w:rsidRPr="00BD1C05">
              <w:t>2009-</w:t>
            </w:r>
            <w:r w:rsidRPr="00BD1C05" w:rsidR="00A40ADE">
              <w:t>20</w:t>
            </w:r>
            <w:r w:rsidRPr="00BD1C05">
              <w:t>11</w:t>
            </w:r>
          </w:p>
        </w:tc>
        <w:tc>
          <w:tcPr>
            <w:tcW w:w="1260" w:type="dxa"/>
            <w:vAlign w:val="center"/>
          </w:tcPr>
          <w:p w:rsidRPr="00BD1C05" w:rsidR="000C1980" w:rsidP="00467CC0" w:rsidRDefault="000C1980" w14:paraId="306D837E" w14:textId="77777777">
            <w:r w:rsidRPr="00BD1C05">
              <w:t>2012-2014</w:t>
            </w:r>
          </w:p>
        </w:tc>
        <w:tc>
          <w:tcPr>
            <w:tcW w:w="1260" w:type="dxa"/>
            <w:vAlign w:val="center"/>
          </w:tcPr>
          <w:p w:rsidRPr="00BD1C05" w:rsidR="000C1980" w:rsidP="00467CC0" w:rsidRDefault="000C1980" w14:paraId="745A584E" w14:textId="6927537A">
            <w:r w:rsidRPr="00BD1C05">
              <w:t>2015-</w:t>
            </w:r>
            <w:r w:rsidRPr="00BD1C05" w:rsidR="00A40ADE">
              <w:t>20</w:t>
            </w:r>
            <w:r w:rsidRPr="00BD1C05">
              <w:t>16</w:t>
            </w:r>
          </w:p>
        </w:tc>
        <w:tc>
          <w:tcPr>
            <w:tcW w:w="1260" w:type="dxa"/>
            <w:vAlign w:val="center"/>
          </w:tcPr>
          <w:p w:rsidRPr="00BD1C05" w:rsidR="000C1980" w:rsidP="00467CC0" w:rsidRDefault="000C1980" w14:paraId="48FA98E1" w14:textId="77777777">
            <w:r w:rsidRPr="00BD1C05">
              <w:t>2017-2020</w:t>
            </w:r>
          </w:p>
        </w:tc>
        <w:tc>
          <w:tcPr>
            <w:tcW w:w="1350" w:type="dxa"/>
            <w:vAlign w:val="center"/>
          </w:tcPr>
          <w:p w:rsidRPr="00BD1C05" w:rsidR="000C1980" w:rsidP="00467CC0" w:rsidRDefault="00541A32" w14:paraId="50C7C2FC" w14:textId="1659FDF6">
            <w:r w:rsidRPr="00BD1C05">
              <w:t xml:space="preserve">2009-2020 </w:t>
            </w:r>
            <w:r w:rsidRPr="00BD1C05" w:rsidR="00A40ADE">
              <w:t>(Avg)</w:t>
            </w:r>
          </w:p>
        </w:tc>
      </w:tr>
      <w:tr w:rsidRPr="00E643B0" w:rsidR="000C1980" w:rsidTr="00BD1C05" w14:paraId="7196BC7E" w14:textId="77777777">
        <w:tc>
          <w:tcPr>
            <w:tcW w:w="3055" w:type="dxa"/>
          </w:tcPr>
          <w:p w:rsidRPr="00E643B0" w:rsidR="000C1980" w:rsidP="00467CC0" w:rsidRDefault="000C1980" w14:paraId="23BBAFB3" w14:textId="0C691F69">
            <w:r>
              <w:t>Avg.</w:t>
            </w:r>
            <w:r w:rsidRPr="00E643B0">
              <w:t xml:space="preserve"> </w:t>
            </w:r>
            <w:r w:rsidR="00075EF2">
              <w:t xml:space="preserve">Annual </w:t>
            </w:r>
            <w:r w:rsidRPr="00E643B0">
              <w:t xml:space="preserve">Authorized Budget </w:t>
            </w:r>
            <w:r>
              <w:t>(</w:t>
            </w:r>
            <w:r w:rsidRPr="00E643B0">
              <w:t>$M</w:t>
            </w:r>
            <w:r>
              <w:t>)</w:t>
            </w:r>
          </w:p>
        </w:tc>
        <w:tc>
          <w:tcPr>
            <w:tcW w:w="1350" w:type="dxa"/>
            <w:vAlign w:val="center"/>
          </w:tcPr>
          <w:p w:rsidRPr="00BD1C05" w:rsidR="000C1980" w:rsidP="00467CC0" w:rsidRDefault="000C1980" w14:paraId="725039A5" w14:textId="77777777">
            <w:r w:rsidRPr="00BD1C05">
              <w:t>$306</w:t>
            </w:r>
          </w:p>
        </w:tc>
        <w:tc>
          <w:tcPr>
            <w:tcW w:w="1260" w:type="dxa"/>
            <w:vAlign w:val="center"/>
          </w:tcPr>
          <w:p w:rsidRPr="00BD1C05" w:rsidR="000C1980" w:rsidP="00467CC0" w:rsidRDefault="000C1980" w14:paraId="0AC0640F" w14:textId="77777777">
            <w:r w:rsidRPr="00BD1C05">
              <w:t>$374</w:t>
            </w:r>
          </w:p>
        </w:tc>
        <w:tc>
          <w:tcPr>
            <w:tcW w:w="1260" w:type="dxa"/>
            <w:vAlign w:val="center"/>
          </w:tcPr>
          <w:p w:rsidRPr="00BD1C05" w:rsidR="000C1980" w:rsidP="00467CC0" w:rsidRDefault="000C1980" w14:paraId="11CB4355" w14:textId="77777777">
            <w:r w:rsidRPr="00BD1C05">
              <w:t>$392</w:t>
            </w:r>
          </w:p>
        </w:tc>
        <w:tc>
          <w:tcPr>
            <w:tcW w:w="1260" w:type="dxa"/>
            <w:vAlign w:val="center"/>
          </w:tcPr>
          <w:p w:rsidRPr="00BD1C05" w:rsidR="000C1980" w:rsidP="00467CC0" w:rsidRDefault="000C1980" w14:paraId="3DE2C9FA" w14:textId="77777777">
            <w:r w:rsidRPr="00BD1C05">
              <w:t>$410</w:t>
            </w:r>
          </w:p>
        </w:tc>
        <w:tc>
          <w:tcPr>
            <w:tcW w:w="1350" w:type="dxa"/>
            <w:vAlign w:val="center"/>
          </w:tcPr>
          <w:p w:rsidRPr="00BD1C05" w:rsidR="000C1980" w:rsidP="00467CC0" w:rsidRDefault="000C1980" w14:paraId="406B5B34" w14:textId="77777777">
            <w:r w:rsidRPr="00BD1C05">
              <w:t>$372</w:t>
            </w:r>
          </w:p>
        </w:tc>
      </w:tr>
      <w:tr w:rsidRPr="00E643B0" w:rsidR="000C1980" w:rsidTr="00BD1C05" w14:paraId="1A6C8C23" w14:textId="77777777">
        <w:tc>
          <w:tcPr>
            <w:tcW w:w="3055" w:type="dxa"/>
          </w:tcPr>
          <w:p w:rsidRPr="00E643B0" w:rsidR="000C1980" w:rsidP="00467CC0" w:rsidRDefault="000C1980" w14:paraId="3ECA2F7A" w14:textId="55CF507A">
            <w:r>
              <w:t>Avg.</w:t>
            </w:r>
            <w:r w:rsidRPr="00E643B0">
              <w:t xml:space="preserve"> </w:t>
            </w:r>
            <w:r w:rsidR="00541A32">
              <w:t xml:space="preserve">Annual </w:t>
            </w:r>
            <w:r w:rsidRPr="00E643B0">
              <w:t xml:space="preserve">Actual </w:t>
            </w:r>
            <w:r>
              <w:t>Expenditures (</w:t>
            </w:r>
            <w:r w:rsidRPr="00E643B0">
              <w:t>$M</w:t>
            </w:r>
            <w:r>
              <w:t>)</w:t>
            </w:r>
          </w:p>
        </w:tc>
        <w:tc>
          <w:tcPr>
            <w:tcW w:w="1350" w:type="dxa"/>
            <w:vAlign w:val="center"/>
          </w:tcPr>
          <w:p w:rsidRPr="00BD1C05" w:rsidR="000C1980" w:rsidP="00467CC0" w:rsidRDefault="000C1980" w14:paraId="6D8C1EFA" w14:textId="77777777">
            <w:r w:rsidRPr="00BD1C05">
              <w:t>$274</w:t>
            </w:r>
          </w:p>
        </w:tc>
        <w:tc>
          <w:tcPr>
            <w:tcW w:w="1260" w:type="dxa"/>
            <w:vAlign w:val="center"/>
          </w:tcPr>
          <w:p w:rsidRPr="00BD1C05" w:rsidR="000C1980" w:rsidP="00467CC0" w:rsidRDefault="000C1980" w14:paraId="338D5DD9" w14:textId="77777777">
            <w:r w:rsidRPr="00BD1C05">
              <w:t>$301</w:t>
            </w:r>
          </w:p>
        </w:tc>
        <w:tc>
          <w:tcPr>
            <w:tcW w:w="1260" w:type="dxa"/>
            <w:vAlign w:val="center"/>
          </w:tcPr>
          <w:p w:rsidRPr="00BD1C05" w:rsidR="000C1980" w:rsidP="00467CC0" w:rsidRDefault="000C1980" w14:paraId="51561F94" w14:textId="77777777">
            <w:r w:rsidRPr="00BD1C05">
              <w:t>$259</w:t>
            </w:r>
          </w:p>
        </w:tc>
        <w:tc>
          <w:tcPr>
            <w:tcW w:w="1260" w:type="dxa"/>
            <w:vAlign w:val="center"/>
          </w:tcPr>
          <w:p w:rsidRPr="00BD1C05" w:rsidR="000C1980" w:rsidP="00467CC0" w:rsidRDefault="000C1980" w14:paraId="7006511F" w14:textId="77777777">
            <w:r w:rsidRPr="00BD1C05">
              <w:t>$308</w:t>
            </w:r>
          </w:p>
        </w:tc>
        <w:tc>
          <w:tcPr>
            <w:tcW w:w="1350" w:type="dxa"/>
            <w:vAlign w:val="center"/>
          </w:tcPr>
          <w:p w:rsidRPr="00BD1C05" w:rsidR="000C1980" w:rsidP="00467CC0" w:rsidRDefault="000C1980" w14:paraId="3D6302BB" w14:textId="77777777">
            <w:r w:rsidRPr="00BD1C05">
              <w:t>$290</w:t>
            </w:r>
          </w:p>
        </w:tc>
      </w:tr>
      <w:tr w:rsidRPr="00E643B0" w:rsidR="000C1980" w:rsidTr="00BD1C05" w14:paraId="4AC0950C" w14:textId="77777777">
        <w:tc>
          <w:tcPr>
            <w:tcW w:w="3055" w:type="dxa"/>
          </w:tcPr>
          <w:p w:rsidRPr="00E643B0" w:rsidR="000C1980" w:rsidP="00467CC0" w:rsidRDefault="000C1980" w14:paraId="5148EA23" w14:textId="77777777">
            <w:r w:rsidRPr="00E643B0">
              <w:t>% Underspend</w:t>
            </w:r>
          </w:p>
        </w:tc>
        <w:tc>
          <w:tcPr>
            <w:tcW w:w="1350" w:type="dxa"/>
            <w:vAlign w:val="center"/>
          </w:tcPr>
          <w:p w:rsidRPr="00BD1C05" w:rsidR="000C1980" w:rsidP="00467CC0" w:rsidRDefault="000C1980" w14:paraId="754B2F3B" w14:textId="77777777">
            <w:r w:rsidRPr="00BD1C05">
              <w:t>10%</w:t>
            </w:r>
          </w:p>
        </w:tc>
        <w:tc>
          <w:tcPr>
            <w:tcW w:w="1260" w:type="dxa"/>
            <w:vAlign w:val="center"/>
          </w:tcPr>
          <w:p w:rsidRPr="00BD1C05" w:rsidR="000C1980" w:rsidP="00467CC0" w:rsidRDefault="000C1980" w14:paraId="605FE790" w14:textId="77777777">
            <w:r w:rsidRPr="00BD1C05">
              <w:t>20%</w:t>
            </w:r>
          </w:p>
        </w:tc>
        <w:tc>
          <w:tcPr>
            <w:tcW w:w="1260" w:type="dxa"/>
            <w:vAlign w:val="center"/>
          </w:tcPr>
          <w:p w:rsidRPr="00BD1C05" w:rsidR="000C1980" w:rsidP="00467CC0" w:rsidRDefault="000C1980" w14:paraId="5A436656" w14:textId="77777777">
            <w:r w:rsidRPr="00BD1C05">
              <w:t>34%</w:t>
            </w:r>
          </w:p>
        </w:tc>
        <w:tc>
          <w:tcPr>
            <w:tcW w:w="1260" w:type="dxa"/>
            <w:vAlign w:val="center"/>
          </w:tcPr>
          <w:p w:rsidRPr="00BD1C05" w:rsidR="000C1980" w:rsidP="00467CC0" w:rsidRDefault="000C1980" w14:paraId="66B9E814" w14:textId="77777777">
            <w:r w:rsidRPr="00BD1C05">
              <w:t>25%</w:t>
            </w:r>
          </w:p>
        </w:tc>
        <w:tc>
          <w:tcPr>
            <w:tcW w:w="1350" w:type="dxa"/>
            <w:vAlign w:val="center"/>
          </w:tcPr>
          <w:p w:rsidRPr="00BD1C05" w:rsidR="000C1980" w:rsidP="00467CC0" w:rsidRDefault="000C1980" w14:paraId="05092441" w14:textId="77777777">
            <w:r w:rsidRPr="00BD1C05">
              <w:t>22%</w:t>
            </w:r>
          </w:p>
        </w:tc>
      </w:tr>
    </w:tbl>
    <w:p w:rsidRPr="00467CC0" w:rsidR="000C1980" w:rsidP="00467CC0" w:rsidRDefault="000C1980" w14:paraId="5922D97B" w14:textId="77777777">
      <w:pPr>
        <w:rPr>
          <w:sz w:val="10"/>
          <w:szCs w:val="10"/>
        </w:rPr>
      </w:pPr>
    </w:p>
    <w:p w:rsidR="000C1980" w:rsidP="0023091F" w:rsidRDefault="000C1980" w14:paraId="28FE21A5" w14:textId="77777777">
      <w:pPr>
        <w:pStyle w:val="ALJBodyText"/>
      </w:pPr>
      <w:r>
        <w:lastRenderedPageBreak/>
        <w:t>The IOUs have also underspent on a per household level, ranging from about 10</w:t>
      </w:r>
      <w:r w:rsidRPr="00E1050D">
        <w:t xml:space="preserve"> </w:t>
      </w:r>
      <w:r w:rsidRPr="0026503D">
        <w:t>percent</w:t>
      </w:r>
      <w:r>
        <w:t xml:space="preserve"> to 30</w:t>
      </w:r>
      <w:r w:rsidRPr="00E1050D">
        <w:t xml:space="preserve"> </w:t>
      </w:r>
      <w:r w:rsidRPr="0026503D">
        <w:t>percent</w:t>
      </w:r>
      <w:r>
        <w:t xml:space="preserve"> less than the average budget allocation per household, based on past approved budget and household treatment goals.  Upon reviewing the IOU annual reports, we find that the underspending was not always a direct result of the IOUs treating less households than originally projected or not meeting the energy savings targets, as all the IOUs except for SoCalGas, generally met or exceeded their annual household treatment goals and energy savings targets while still underspending the authorized budget.  This has led to a significant accrual of unspent funds accumulating since 2009 and suggests that the IOUs have generally taken a conservative approach to budgeting.  We understand that it may be reasonable to do so to ensure that the program is adequately funded based on the treatment goals, and to anticipate any underestimation of measure and program costs, but such misalignment gives an inaccurate perception of the true program needs.      </w:t>
      </w:r>
    </w:p>
    <w:p w:rsidR="000C1980" w:rsidP="0023091F" w:rsidRDefault="005B4253" w14:paraId="385D883D" w14:textId="79AEBBA9">
      <w:pPr>
        <w:pStyle w:val="ALJBodyText"/>
      </w:pPr>
      <w:r>
        <w:t>R</w:t>
      </w:r>
      <w:r w:rsidR="000C1980">
        <w:t>egard</w:t>
      </w:r>
      <w:r>
        <w:t>ing</w:t>
      </w:r>
      <w:r w:rsidR="000C1980">
        <w:t xml:space="preserve"> the significant increase in budget requests from past authorizations, and considering the underspending, we agree with Cal Advocates that the IOUs failed to provide adequate justification for the areas of significant increase, especially where the administrative costs have increased without a proportional increase in the overall budget.  However, we do not agree with Cal Advocates’ proposal to use a 1.0 ESACET threshold to set budgets, as discussed and denied in S</w:t>
      </w:r>
      <w:r w:rsidRPr="00914F18" w:rsidR="000C1980">
        <w:t>ection 6.1</w:t>
      </w:r>
      <w:r w:rsidR="000C1980">
        <w:t>0.5.3.  Doing so would likely decrease the IOU proposed budgets by 30 percent,</w:t>
      </w:r>
      <w:r w:rsidRPr="4BB901B5" w:rsidR="000C1980">
        <w:rPr>
          <w:vertAlign w:val="superscript"/>
        </w:rPr>
        <w:footnoteReference w:id="762"/>
      </w:r>
      <w:r w:rsidR="000C1980">
        <w:t xml:space="preserve"> which is too drastic given the shift to the new design.</w:t>
      </w:r>
    </w:p>
    <w:p w:rsidR="000C1980" w:rsidP="0023091F" w:rsidRDefault="000C1980" w14:paraId="77406911" w14:textId="57ABB99D">
      <w:pPr>
        <w:pStyle w:val="ALJBodyText"/>
      </w:pPr>
      <w:r>
        <w:lastRenderedPageBreak/>
        <w:t>Therefore, based on this program’s spending history, the misalignment of the authorized versus the true expenditures, the lack of justification for the significant increase in requests, and our determination that a 30 percent reduction is not feasible under the new design, we reduce the IOUs’ proposed budget spend for PYs 202</w:t>
      </w:r>
      <w:r w:rsidR="00D81398">
        <w:t>2</w:t>
      </w:r>
      <w:r>
        <w:t xml:space="preserve">-2026 by 10 percent.  A 30 percent reduction would not have been feasible as proposed by Cal Advocates for the reasons discussed above and in Section 6.10.  A 20 percent reduction to align with historical spend levels would not have been appropriate given that we are approving a new design for the cycle.  We also do not expect the exact same level of spending given the modification to the measure mix and the tiered offerings.  Therefore, 10 percent is reasonable, will provide enough flexibility for the IOUs to manage the programs within the limits, and still results in an increased annual budget as compared to previous years.  We reiterate the point that even with this 10 percent budget reduction, the overall budgets approved here result in about a 25 percent increase in actual spending from the prior program cycle.  Therefore, there should be no concerns regarding negative impacts to existing workforce opportunities or job displacement.  This allows for workforce opportunities to remain intact while still being able to ensure program cost containment and responsible use of ratepayer funds based on the new program design.  The 10 percent reduction will be applied to the “Energy Efficiency Total” (“above the line”) and “Non-Energy Efficiency Total” budgets but will exclude studies that have specified budgets.  </w:t>
      </w:r>
    </w:p>
    <w:p w:rsidR="00BA0CA8" w:rsidP="0023091F" w:rsidRDefault="00DA4862" w14:paraId="193544BE" w14:textId="0D942C59">
      <w:pPr>
        <w:pStyle w:val="ALJBodyText"/>
      </w:pPr>
      <w:r w:rsidRPr="00C75453">
        <w:lastRenderedPageBreak/>
        <w:t xml:space="preserve">For the remainder of </w:t>
      </w:r>
      <w:r w:rsidR="005B1547">
        <w:t>PY</w:t>
      </w:r>
      <w:r w:rsidRPr="00C75453">
        <w:t xml:space="preserve"> 2021, </w:t>
      </w:r>
      <w:r w:rsidR="006179A8">
        <w:t xml:space="preserve">we approve the </w:t>
      </w:r>
      <w:r>
        <w:t xml:space="preserve">IOU </w:t>
      </w:r>
      <w:r w:rsidR="006179A8">
        <w:t xml:space="preserve">budgets </w:t>
      </w:r>
      <w:r>
        <w:t>based on the first half of the 2021 bridge year</w:t>
      </w:r>
      <w:r>
        <w:rPr>
          <w:rStyle w:val="FootnoteReference"/>
        </w:rPr>
        <w:footnoteReference w:id="763"/>
      </w:r>
      <w:r w:rsidRPr="00C75453">
        <w:t xml:space="preserve"> to align the IOUs’ 2021 bridge </w:t>
      </w:r>
      <w:r>
        <w:t xml:space="preserve">period </w:t>
      </w:r>
      <w:r w:rsidR="006179A8">
        <w:t xml:space="preserve">goals </w:t>
      </w:r>
      <w:r w:rsidRPr="00C75453">
        <w:t>and allow for an adequate transition period into the new program and structure</w:t>
      </w:r>
      <w:r w:rsidR="006179A8">
        <w:t xml:space="preserve">. </w:t>
      </w:r>
    </w:p>
    <w:p w:rsidR="000C1980" w:rsidP="0023091F" w:rsidRDefault="000C1980" w14:paraId="7D0BBA5E" w14:textId="21F5FDB5">
      <w:pPr>
        <w:pStyle w:val="ALJBodyText"/>
      </w:pPr>
      <w:r>
        <w:t xml:space="preserve">In addition, as discussed in Section 6.2.3.2, approximately $103.5 million of the collective IOU budgets (or 4 percent of each IOU’s respective budgets) has been set aside for implementation of the Pilot Plus and Pilot Deep </w:t>
      </w:r>
      <w:r w:rsidR="00A80571">
        <w:t>program</w:t>
      </w:r>
      <w:r>
        <w:t>.  In summary, the total approved ESA budgets are provided below.</w:t>
      </w:r>
    </w:p>
    <w:p w:rsidRPr="001E1890" w:rsidR="000C1980" w:rsidP="001E1890" w:rsidRDefault="000C1980" w14:paraId="45F99877" w14:textId="1E14CECD">
      <w:pPr>
        <w:spacing w:after="120"/>
        <w:jc w:val="center"/>
        <w:rPr>
          <w:b/>
          <w:bCs/>
        </w:rPr>
      </w:pPr>
      <w:r w:rsidRPr="001E1890">
        <w:rPr>
          <w:b/>
          <w:bCs/>
        </w:rPr>
        <w:t>Table 14: Approved ESA Budgets, PYs 2021-2026</w:t>
      </w:r>
      <w:r w:rsidRPr="001E1890" w:rsidR="005E3B9A">
        <w:rPr>
          <w:rStyle w:val="FootnoteReference"/>
          <w:b/>
          <w:bCs/>
        </w:rPr>
        <w:footnoteReference w:id="764"/>
      </w:r>
    </w:p>
    <w:tbl>
      <w:tblPr>
        <w:tblW w:w="10440" w:type="dxa"/>
        <w:tblInd w:w="-815" w:type="dxa"/>
        <w:tblLayout w:type="fixed"/>
        <w:tblLook w:val="04A0" w:firstRow="1" w:lastRow="0" w:firstColumn="1" w:lastColumn="0" w:noHBand="0" w:noVBand="1"/>
      </w:tblPr>
      <w:tblGrid>
        <w:gridCol w:w="1607"/>
        <w:gridCol w:w="1009"/>
        <w:gridCol w:w="231"/>
        <w:gridCol w:w="824"/>
        <w:gridCol w:w="251"/>
        <w:gridCol w:w="805"/>
        <w:gridCol w:w="1009"/>
        <w:gridCol w:w="1009"/>
        <w:gridCol w:w="1009"/>
        <w:gridCol w:w="1246"/>
        <w:gridCol w:w="1440"/>
      </w:tblGrid>
      <w:tr w:rsidRPr="00473ED0" w:rsidR="00BD50CD" w:rsidTr="00473ED0" w14:paraId="366C13E4" w14:textId="77777777">
        <w:trPr>
          <w:trHeight w:val="307"/>
        </w:trPr>
        <w:tc>
          <w:tcPr>
            <w:tcW w:w="1607"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73ED0" w:rsidR="00581F69" w:rsidP="00BD1C05" w:rsidRDefault="00581F69" w14:paraId="375DA7E8" w14:textId="77777777">
            <w:pPr>
              <w:keepNext/>
              <w:keepLines/>
              <w:ind w:left="360"/>
              <w:jc w:val="center"/>
              <w:rPr>
                <w:rFonts w:eastAsia="Times New Roman" w:cs="Calibri"/>
                <w:b/>
                <w:bCs/>
                <w:color w:val="000000"/>
                <w:sz w:val="20"/>
              </w:rPr>
            </w:pPr>
            <w:r w:rsidRPr="00473ED0">
              <w:rPr>
                <w:rFonts w:eastAsia="Times New Roman" w:cs="Calibri"/>
                <w:b/>
                <w:bCs/>
                <w:color w:val="000000"/>
                <w:sz w:val="20"/>
              </w:rPr>
              <w:t>IOU</w:t>
            </w:r>
          </w:p>
        </w:tc>
        <w:tc>
          <w:tcPr>
            <w:tcW w:w="1240" w:type="dxa"/>
            <w:gridSpan w:val="2"/>
            <w:tcBorders>
              <w:top w:val="single" w:color="auto" w:sz="4" w:space="0"/>
              <w:left w:val="nil"/>
              <w:bottom w:val="single" w:color="auto" w:sz="4" w:space="0"/>
              <w:right w:val="nil"/>
            </w:tcBorders>
          </w:tcPr>
          <w:p w:rsidRPr="00473ED0" w:rsidR="00581F69" w:rsidP="00BD1C05" w:rsidRDefault="00581F69" w14:paraId="1EFF3F9C" w14:textId="77777777">
            <w:pPr>
              <w:keepNext/>
              <w:keepLines/>
              <w:ind w:left="360"/>
              <w:jc w:val="center"/>
              <w:rPr>
                <w:rFonts w:eastAsia="Times New Roman" w:cs="Calibri"/>
                <w:b/>
                <w:bCs/>
                <w:color w:val="000000"/>
                <w:sz w:val="20"/>
              </w:rPr>
            </w:pPr>
          </w:p>
        </w:tc>
        <w:tc>
          <w:tcPr>
            <w:tcW w:w="1075" w:type="dxa"/>
            <w:gridSpan w:val="2"/>
            <w:tcBorders>
              <w:top w:val="single" w:color="auto" w:sz="4" w:space="0"/>
              <w:left w:val="nil"/>
              <w:bottom w:val="single" w:color="auto" w:sz="4" w:space="0"/>
              <w:right w:val="nil"/>
            </w:tcBorders>
          </w:tcPr>
          <w:p w:rsidRPr="00473ED0" w:rsidR="00581F69" w:rsidP="00BD1C05" w:rsidRDefault="00581F69" w14:paraId="4138035C" w14:textId="77777777">
            <w:pPr>
              <w:keepNext/>
              <w:keepLines/>
              <w:ind w:left="360"/>
              <w:jc w:val="center"/>
              <w:rPr>
                <w:rFonts w:eastAsia="Times New Roman" w:cs="Calibri"/>
                <w:b/>
                <w:bCs/>
                <w:color w:val="000000"/>
                <w:sz w:val="20"/>
              </w:rPr>
            </w:pPr>
          </w:p>
        </w:tc>
        <w:tc>
          <w:tcPr>
            <w:tcW w:w="6518" w:type="dxa"/>
            <w:gridSpan w:val="6"/>
            <w:tcBorders>
              <w:top w:val="single" w:color="auto" w:sz="4" w:space="0"/>
              <w:left w:val="nil"/>
              <w:bottom w:val="single" w:color="auto" w:sz="4" w:space="0"/>
              <w:right w:val="single" w:color="auto" w:sz="4" w:space="0"/>
            </w:tcBorders>
            <w:shd w:val="clear" w:color="auto" w:fill="auto"/>
            <w:noWrap/>
            <w:vAlign w:val="bottom"/>
            <w:hideMark/>
          </w:tcPr>
          <w:p w:rsidRPr="00473ED0" w:rsidR="00581F69" w:rsidP="00BD1C05" w:rsidRDefault="00581F69" w14:paraId="1CE5C966" w14:textId="77777777">
            <w:pPr>
              <w:keepNext/>
              <w:keepLines/>
              <w:ind w:left="360"/>
              <w:rPr>
                <w:rFonts w:eastAsia="Times New Roman" w:cs="Calibri"/>
                <w:b/>
                <w:bCs/>
                <w:color w:val="000000"/>
                <w:sz w:val="20"/>
              </w:rPr>
            </w:pPr>
            <w:r w:rsidRPr="00473ED0">
              <w:rPr>
                <w:rFonts w:eastAsia="Times New Roman" w:cs="Calibri"/>
                <w:b/>
                <w:bCs/>
                <w:color w:val="000000"/>
                <w:sz w:val="20"/>
              </w:rPr>
              <w:t>Approved ESA Budgets</w:t>
            </w:r>
          </w:p>
        </w:tc>
      </w:tr>
      <w:tr w:rsidRPr="00473ED0" w:rsidR="00AE7F75" w:rsidTr="00473ED0" w14:paraId="72718255" w14:textId="77777777">
        <w:trPr>
          <w:trHeight w:val="307"/>
        </w:trPr>
        <w:tc>
          <w:tcPr>
            <w:tcW w:w="1607" w:type="dxa"/>
            <w:vMerge/>
            <w:tcBorders>
              <w:top w:val="single" w:color="auto" w:sz="4" w:space="0"/>
              <w:left w:val="single" w:color="auto" w:sz="4" w:space="0"/>
              <w:bottom w:val="single" w:color="auto" w:sz="4" w:space="0"/>
              <w:right w:val="single" w:color="auto" w:sz="4" w:space="0"/>
            </w:tcBorders>
            <w:vAlign w:val="center"/>
            <w:hideMark/>
          </w:tcPr>
          <w:p w:rsidRPr="00473ED0" w:rsidR="00AE7F75" w:rsidP="00BD1C05" w:rsidRDefault="00AE7F75" w14:paraId="6B43D064" w14:textId="77777777">
            <w:pPr>
              <w:keepNext/>
              <w:keepLines/>
              <w:ind w:left="360"/>
              <w:rPr>
                <w:rFonts w:eastAsia="Times New Roman" w:cs="Calibri"/>
                <w:b/>
                <w:bCs/>
                <w:color w:val="000000"/>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rsidRPr="00473ED0" w:rsidR="00AE7F75" w:rsidP="00BD1C05" w:rsidRDefault="00AE7F75" w14:paraId="129C4516" w14:textId="547FA7ED">
            <w:pPr>
              <w:keepNext/>
              <w:keepLines/>
              <w:rPr>
                <w:rFonts w:eastAsia="Times New Roman" w:cs="Calibri"/>
                <w:b/>
                <w:bCs/>
                <w:color w:val="000000"/>
                <w:sz w:val="21"/>
                <w:szCs w:val="21"/>
              </w:rPr>
            </w:pPr>
            <w:r w:rsidRPr="00473ED0">
              <w:rPr>
                <w:rFonts w:eastAsia="Times New Roman" w:cs="Calibri"/>
                <w:b/>
                <w:bCs/>
                <w:color w:val="000000"/>
                <w:sz w:val="21"/>
                <w:szCs w:val="21"/>
              </w:rPr>
              <w:t>2021 (Jan. 1 - June 30)</w:t>
            </w:r>
          </w:p>
        </w:tc>
        <w:tc>
          <w:tcPr>
            <w:tcW w:w="1055" w:type="dxa"/>
            <w:gridSpan w:val="2"/>
            <w:tcBorders>
              <w:top w:val="nil"/>
              <w:left w:val="single" w:color="auto" w:sz="4" w:space="0"/>
              <w:bottom w:val="single" w:color="auto" w:sz="4" w:space="0"/>
              <w:right w:val="single" w:color="auto" w:sz="4" w:space="0"/>
            </w:tcBorders>
            <w:shd w:val="clear" w:color="auto" w:fill="auto"/>
            <w:noWrap/>
            <w:vAlign w:val="center"/>
            <w:hideMark/>
          </w:tcPr>
          <w:p w:rsidRPr="00473ED0" w:rsidR="00AE7F75" w:rsidP="00BD1C05" w:rsidRDefault="00AE7F75" w14:paraId="101323E1" w14:textId="415F7818">
            <w:pPr>
              <w:keepNext/>
              <w:keepLines/>
              <w:rPr>
                <w:rFonts w:eastAsia="Times New Roman" w:cs="Calibri"/>
                <w:b/>
                <w:bCs/>
                <w:color w:val="000000"/>
                <w:sz w:val="21"/>
                <w:szCs w:val="21"/>
              </w:rPr>
            </w:pPr>
            <w:r w:rsidRPr="00473ED0">
              <w:rPr>
                <w:rFonts w:eastAsia="Times New Roman" w:cs="Calibri"/>
                <w:b/>
                <w:bCs/>
                <w:color w:val="000000"/>
                <w:sz w:val="21"/>
                <w:szCs w:val="21"/>
              </w:rPr>
              <w:t>2021 (July 1 - Dec. 31)</w:t>
            </w:r>
          </w:p>
        </w:tc>
        <w:tc>
          <w:tcPr>
            <w:tcW w:w="1056" w:type="dxa"/>
            <w:gridSpan w:val="2"/>
            <w:tcBorders>
              <w:top w:val="nil"/>
              <w:left w:val="nil"/>
              <w:bottom w:val="single" w:color="auto" w:sz="4" w:space="0"/>
              <w:right w:val="single" w:color="auto" w:sz="4" w:space="0"/>
            </w:tcBorders>
            <w:shd w:val="clear" w:color="auto" w:fill="auto"/>
            <w:noWrap/>
            <w:vAlign w:val="center"/>
            <w:hideMark/>
          </w:tcPr>
          <w:p w:rsidRPr="00473ED0" w:rsidR="00AE7F75" w:rsidP="00BD1C05" w:rsidRDefault="00AE7F75" w14:paraId="49541BC5" w14:textId="77777777">
            <w:pPr>
              <w:keepNext/>
              <w:keepLines/>
              <w:rPr>
                <w:rFonts w:eastAsia="Times New Roman" w:cs="Calibri"/>
                <w:b/>
                <w:bCs/>
                <w:color w:val="000000"/>
                <w:sz w:val="21"/>
                <w:szCs w:val="21"/>
              </w:rPr>
            </w:pPr>
            <w:r w:rsidRPr="00473ED0">
              <w:rPr>
                <w:rFonts w:eastAsia="Times New Roman" w:cs="Calibri"/>
                <w:b/>
                <w:bCs/>
                <w:color w:val="000000"/>
                <w:sz w:val="21"/>
                <w:szCs w:val="21"/>
              </w:rPr>
              <w:t>2022</w:t>
            </w:r>
          </w:p>
        </w:tc>
        <w:tc>
          <w:tcPr>
            <w:tcW w:w="1009" w:type="dxa"/>
            <w:tcBorders>
              <w:top w:val="nil"/>
              <w:left w:val="nil"/>
              <w:bottom w:val="single" w:color="auto" w:sz="4" w:space="0"/>
              <w:right w:val="single" w:color="auto" w:sz="4" w:space="0"/>
            </w:tcBorders>
            <w:shd w:val="clear" w:color="auto" w:fill="auto"/>
            <w:noWrap/>
            <w:vAlign w:val="center"/>
            <w:hideMark/>
          </w:tcPr>
          <w:p w:rsidRPr="00473ED0" w:rsidR="00AE7F75" w:rsidP="00BD1C05" w:rsidRDefault="00AE7F75" w14:paraId="3ABA34C6" w14:textId="77777777">
            <w:pPr>
              <w:keepNext/>
              <w:keepLines/>
              <w:rPr>
                <w:rFonts w:eastAsia="Times New Roman" w:cs="Calibri"/>
                <w:b/>
                <w:bCs/>
                <w:color w:val="000000"/>
                <w:sz w:val="21"/>
                <w:szCs w:val="21"/>
              </w:rPr>
            </w:pPr>
            <w:r w:rsidRPr="00473ED0">
              <w:rPr>
                <w:rFonts w:eastAsia="Times New Roman" w:cs="Calibri"/>
                <w:b/>
                <w:bCs/>
                <w:color w:val="000000"/>
                <w:sz w:val="21"/>
                <w:szCs w:val="21"/>
              </w:rPr>
              <w:t>2023</w:t>
            </w:r>
          </w:p>
        </w:tc>
        <w:tc>
          <w:tcPr>
            <w:tcW w:w="1009" w:type="dxa"/>
            <w:tcBorders>
              <w:top w:val="nil"/>
              <w:left w:val="nil"/>
              <w:bottom w:val="single" w:color="auto" w:sz="4" w:space="0"/>
              <w:right w:val="single" w:color="auto" w:sz="4" w:space="0"/>
            </w:tcBorders>
            <w:shd w:val="clear" w:color="auto" w:fill="auto"/>
            <w:noWrap/>
            <w:vAlign w:val="center"/>
            <w:hideMark/>
          </w:tcPr>
          <w:p w:rsidRPr="00473ED0" w:rsidR="00AE7F75" w:rsidP="00BD1C05" w:rsidRDefault="00AE7F75" w14:paraId="14877277" w14:textId="77777777">
            <w:pPr>
              <w:keepNext/>
              <w:keepLines/>
              <w:rPr>
                <w:rFonts w:eastAsia="Times New Roman" w:cs="Calibri"/>
                <w:b/>
                <w:bCs/>
                <w:color w:val="000000"/>
                <w:sz w:val="21"/>
                <w:szCs w:val="21"/>
              </w:rPr>
            </w:pPr>
            <w:r w:rsidRPr="00473ED0">
              <w:rPr>
                <w:rFonts w:eastAsia="Times New Roman" w:cs="Calibri"/>
                <w:b/>
                <w:bCs/>
                <w:color w:val="000000"/>
                <w:sz w:val="21"/>
                <w:szCs w:val="21"/>
              </w:rPr>
              <w:t>2024</w:t>
            </w:r>
          </w:p>
        </w:tc>
        <w:tc>
          <w:tcPr>
            <w:tcW w:w="1009" w:type="dxa"/>
            <w:tcBorders>
              <w:top w:val="nil"/>
              <w:left w:val="nil"/>
              <w:bottom w:val="single" w:color="auto" w:sz="4" w:space="0"/>
              <w:right w:val="single" w:color="auto" w:sz="4" w:space="0"/>
            </w:tcBorders>
            <w:shd w:val="clear" w:color="auto" w:fill="auto"/>
            <w:noWrap/>
            <w:vAlign w:val="center"/>
            <w:hideMark/>
          </w:tcPr>
          <w:p w:rsidRPr="00473ED0" w:rsidR="00AE7F75" w:rsidP="00BD1C05" w:rsidRDefault="00AE7F75" w14:paraId="2B3EED3D" w14:textId="77777777">
            <w:pPr>
              <w:keepNext/>
              <w:keepLines/>
              <w:rPr>
                <w:rFonts w:eastAsia="Times New Roman" w:cs="Calibri"/>
                <w:b/>
                <w:bCs/>
                <w:color w:val="000000"/>
                <w:sz w:val="21"/>
                <w:szCs w:val="21"/>
              </w:rPr>
            </w:pPr>
            <w:r w:rsidRPr="00473ED0">
              <w:rPr>
                <w:rFonts w:eastAsia="Times New Roman" w:cs="Calibri"/>
                <w:b/>
                <w:bCs/>
                <w:color w:val="000000"/>
                <w:sz w:val="21"/>
                <w:szCs w:val="21"/>
              </w:rPr>
              <w:t>2025</w:t>
            </w:r>
          </w:p>
        </w:tc>
        <w:tc>
          <w:tcPr>
            <w:tcW w:w="1246" w:type="dxa"/>
            <w:tcBorders>
              <w:top w:val="nil"/>
              <w:left w:val="nil"/>
              <w:bottom w:val="single" w:color="auto" w:sz="4" w:space="0"/>
              <w:right w:val="single" w:color="auto" w:sz="4" w:space="0"/>
            </w:tcBorders>
            <w:shd w:val="clear" w:color="auto" w:fill="auto"/>
            <w:noWrap/>
            <w:vAlign w:val="center"/>
            <w:hideMark/>
          </w:tcPr>
          <w:p w:rsidRPr="00473ED0" w:rsidR="00AE7F75" w:rsidP="00BD1C05" w:rsidRDefault="00AE7F75" w14:paraId="282004DE" w14:textId="77777777">
            <w:pPr>
              <w:keepNext/>
              <w:keepLines/>
              <w:rPr>
                <w:rFonts w:eastAsia="Times New Roman" w:cs="Calibri"/>
                <w:b/>
                <w:bCs/>
                <w:color w:val="000000"/>
                <w:sz w:val="21"/>
                <w:szCs w:val="21"/>
              </w:rPr>
            </w:pPr>
            <w:r w:rsidRPr="00473ED0">
              <w:rPr>
                <w:rFonts w:eastAsia="Times New Roman" w:cs="Calibri"/>
                <w:b/>
                <w:bCs/>
                <w:color w:val="000000"/>
                <w:sz w:val="21"/>
                <w:szCs w:val="21"/>
              </w:rPr>
              <w:t>2026</w:t>
            </w:r>
          </w:p>
        </w:tc>
        <w:tc>
          <w:tcPr>
            <w:tcW w:w="1440" w:type="dxa"/>
            <w:tcBorders>
              <w:top w:val="nil"/>
              <w:left w:val="nil"/>
              <w:bottom w:val="single" w:color="auto" w:sz="4" w:space="0"/>
              <w:right w:val="single" w:color="auto" w:sz="4" w:space="0"/>
            </w:tcBorders>
            <w:shd w:val="clear" w:color="auto" w:fill="auto"/>
            <w:noWrap/>
            <w:vAlign w:val="center"/>
            <w:hideMark/>
          </w:tcPr>
          <w:p w:rsidRPr="00473ED0" w:rsidR="00AE7F75" w:rsidP="00BD1C05" w:rsidRDefault="00AE7F75" w14:paraId="6F678BF7" w14:textId="77777777">
            <w:pPr>
              <w:keepNext/>
              <w:keepLines/>
              <w:rPr>
                <w:rFonts w:eastAsia="Times New Roman" w:cs="Calibri"/>
                <w:b/>
                <w:bCs/>
                <w:color w:val="000000"/>
                <w:sz w:val="21"/>
                <w:szCs w:val="21"/>
              </w:rPr>
            </w:pPr>
            <w:r w:rsidRPr="00473ED0">
              <w:rPr>
                <w:rFonts w:eastAsia="Times New Roman" w:cs="Calibri"/>
                <w:b/>
                <w:bCs/>
                <w:color w:val="000000"/>
                <w:sz w:val="21"/>
                <w:szCs w:val="21"/>
              </w:rPr>
              <w:t>Total – Decision Authorized</w:t>
            </w:r>
          </w:p>
        </w:tc>
      </w:tr>
      <w:tr w:rsidRPr="00473ED0" w:rsidR="000D1A6B" w:rsidTr="00473ED0" w14:paraId="750291BA" w14:textId="77777777">
        <w:trPr>
          <w:trHeight w:val="307"/>
        </w:trPr>
        <w:tc>
          <w:tcPr>
            <w:tcW w:w="1607" w:type="dxa"/>
            <w:tcBorders>
              <w:top w:val="nil"/>
              <w:left w:val="single" w:color="auto" w:sz="4" w:space="0"/>
              <w:bottom w:val="single" w:color="auto" w:sz="4" w:space="0"/>
              <w:right w:val="single" w:color="auto" w:sz="4" w:space="0"/>
            </w:tcBorders>
            <w:shd w:val="clear" w:color="auto" w:fill="auto"/>
            <w:noWrap/>
            <w:vAlign w:val="bottom"/>
            <w:hideMark/>
          </w:tcPr>
          <w:p w:rsidRPr="00473ED0" w:rsidR="000D1A6B" w:rsidP="00BD1C05" w:rsidRDefault="000D1A6B" w14:paraId="07A1DD9C" w14:textId="77777777">
            <w:pPr>
              <w:keepNext/>
              <w:keepLines/>
              <w:ind w:left="360"/>
              <w:rPr>
                <w:rFonts w:eastAsia="Times New Roman" w:cs="Calibri"/>
                <w:color w:val="000000"/>
                <w:sz w:val="21"/>
                <w:szCs w:val="21"/>
              </w:rPr>
            </w:pPr>
            <w:r w:rsidRPr="00473ED0">
              <w:rPr>
                <w:rFonts w:eastAsia="Times New Roman" w:cs="Calibri"/>
                <w:color w:val="000000"/>
                <w:sz w:val="21"/>
                <w:szCs w:val="21"/>
              </w:rPr>
              <w:t>PG&amp;E</w:t>
            </w:r>
          </w:p>
        </w:tc>
        <w:tc>
          <w:tcPr>
            <w:tcW w:w="1009" w:type="dxa"/>
            <w:tcBorders>
              <w:top w:val="single" w:color="auto" w:sz="4" w:space="0"/>
              <w:left w:val="single" w:color="auto" w:sz="4" w:space="0"/>
              <w:bottom w:val="single" w:color="auto" w:sz="4" w:space="0"/>
              <w:right w:val="single" w:color="auto" w:sz="4" w:space="0"/>
            </w:tcBorders>
          </w:tcPr>
          <w:p w:rsidRPr="00473ED0" w:rsidR="000D1A6B" w:rsidP="00BD1C05" w:rsidRDefault="000D1A6B" w14:paraId="33934A69" w14:textId="77777777">
            <w:pPr>
              <w:keepNext/>
              <w:keepLines/>
              <w:rPr>
                <w:sz w:val="21"/>
                <w:szCs w:val="21"/>
              </w:rPr>
            </w:pPr>
            <w:r w:rsidRPr="00473ED0">
              <w:rPr>
                <w:sz w:val="21"/>
                <w:szCs w:val="21"/>
              </w:rPr>
              <w:t>$89M</w:t>
            </w:r>
          </w:p>
        </w:tc>
        <w:tc>
          <w:tcPr>
            <w:tcW w:w="1055" w:type="dxa"/>
            <w:gridSpan w:val="2"/>
            <w:tcBorders>
              <w:top w:val="nil"/>
              <w:left w:val="single" w:color="auto" w:sz="4" w:space="0"/>
              <w:bottom w:val="single" w:color="auto" w:sz="4" w:space="0"/>
              <w:right w:val="single" w:color="auto" w:sz="4" w:space="0"/>
            </w:tcBorders>
            <w:shd w:val="clear" w:color="auto" w:fill="auto"/>
            <w:noWrap/>
          </w:tcPr>
          <w:p w:rsidRPr="00473ED0" w:rsidR="000D1A6B" w:rsidP="00BD1C05" w:rsidRDefault="000D1A6B" w14:paraId="349A5BF6" w14:textId="08761A6B">
            <w:pPr>
              <w:keepNext/>
              <w:keepLines/>
              <w:rPr>
                <w:rFonts w:eastAsia="Times New Roman" w:cs="Calibri"/>
                <w:color w:val="000000"/>
                <w:sz w:val="21"/>
                <w:szCs w:val="21"/>
              </w:rPr>
            </w:pPr>
            <w:r w:rsidRPr="600AE545">
              <w:rPr>
                <w:sz w:val="21"/>
                <w:szCs w:val="21"/>
              </w:rPr>
              <w:t>$89M</w:t>
            </w:r>
          </w:p>
        </w:tc>
        <w:tc>
          <w:tcPr>
            <w:tcW w:w="1056" w:type="dxa"/>
            <w:gridSpan w:val="2"/>
            <w:tcBorders>
              <w:top w:val="nil"/>
              <w:left w:val="nil"/>
              <w:bottom w:val="single" w:color="auto" w:sz="4" w:space="0"/>
              <w:right w:val="single" w:color="auto" w:sz="4" w:space="0"/>
            </w:tcBorders>
            <w:shd w:val="clear" w:color="auto" w:fill="auto"/>
            <w:noWrap/>
          </w:tcPr>
          <w:p w:rsidRPr="00473ED0" w:rsidR="000D1A6B" w:rsidP="00BD1C05" w:rsidRDefault="000D1A6B" w14:paraId="20C6C097" w14:textId="77777777">
            <w:pPr>
              <w:keepNext/>
              <w:keepLines/>
              <w:rPr>
                <w:rFonts w:eastAsia="Times New Roman" w:cs="Calibri"/>
                <w:color w:val="000000"/>
                <w:sz w:val="21"/>
                <w:szCs w:val="21"/>
              </w:rPr>
            </w:pPr>
            <w:r w:rsidRPr="00473ED0">
              <w:rPr>
                <w:sz w:val="21"/>
                <w:szCs w:val="21"/>
              </w:rPr>
              <w:t>$153M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03D71AA1" w14:textId="77777777">
            <w:pPr>
              <w:keepNext/>
              <w:keepLines/>
              <w:rPr>
                <w:rFonts w:eastAsia="Times New Roman" w:cs="Calibri"/>
                <w:color w:val="000000"/>
                <w:sz w:val="21"/>
                <w:szCs w:val="21"/>
              </w:rPr>
            </w:pPr>
            <w:r w:rsidRPr="00473ED0">
              <w:rPr>
                <w:sz w:val="21"/>
                <w:szCs w:val="21"/>
              </w:rPr>
              <w:t>$172M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6E2547AF" w14:textId="77777777">
            <w:pPr>
              <w:keepNext/>
              <w:keepLines/>
              <w:rPr>
                <w:rFonts w:eastAsia="Times New Roman" w:cs="Calibri"/>
                <w:color w:val="000000"/>
                <w:sz w:val="21"/>
                <w:szCs w:val="21"/>
              </w:rPr>
            </w:pPr>
            <w:r w:rsidRPr="00473ED0">
              <w:rPr>
                <w:sz w:val="21"/>
                <w:szCs w:val="21"/>
              </w:rPr>
              <w:t>$172M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273C036E" w14:textId="77777777">
            <w:pPr>
              <w:keepNext/>
              <w:keepLines/>
              <w:rPr>
                <w:rFonts w:eastAsia="Times New Roman" w:cs="Calibri"/>
                <w:color w:val="000000"/>
                <w:sz w:val="21"/>
                <w:szCs w:val="21"/>
              </w:rPr>
            </w:pPr>
            <w:r w:rsidRPr="00473ED0">
              <w:rPr>
                <w:sz w:val="21"/>
                <w:szCs w:val="21"/>
              </w:rPr>
              <w:t>$171M</w:t>
            </w:r>
          </w:p>
        </w:tc>
        <w:tc>
          <w:tcPr>
            <w:tcW w:w="1246" w:type="dxa"/>
            <w:tcBorders>
              <w:top w:val="nil"/>
              <w:left w:val="nil"/>
              <w:bottom w:val="single" w:color="auto" w:sz="4" w:space="0"/>
              <w:right w:val="single" w:color="auto" w:sz="4" w:space="0"/>
            </w:tcBorders>
            <w:shd w:val="clear" w:color="auto" w:fill="auto"/>
            <w:noWrap/>
          </w:tcPr>
          <w:p w:rsidRPr="00473ED0" w:rsidR="000D1A6B" w:rsidP="00BD1C05" w:rsidRDefault="000D1A6B" w14:paraId="445C5A5E" w14:textId="77777777">
            <w:pPr>
              <w:keepNext/>
              <w:keepLines/>
              <w:ind w:left="360"/>
              <w:jc w:val="right"/>
              <w:rPr>
                <w:rFonts w:eastAsia="Times New Roman" w:cs="Calibri"/>
                <w:color w:val="000000"/>
                <w:sz w:val="21"/>
                <w:szCs w:val="21"/>
              </w:rPr>
            </w:pPr>
            <w:r w:rsidRPr="00473ED0">
              <w:rPr>
                <w:sz w:val="21"/>
                <w:szCs w:val="21"/>
              </w:rPr>
              <w:t>$171M</w:t>
            </w:r>
          </w:p>
        </w:tc>
        <w:tc>
          <w:tcPr>
            <w:tcW w:w="1440" w:type="dxa"/>
            <w:tcBorders>
              <w:top w:val="nil"/>
              <w:left w:val="nil"/>
              <w:bottom w:val="single" w:color="auto" w:sz="4" w:space="0"/>
              <w:right w:val="single" w:color="auto" w:sz="4" w:space="0"/>
            </w:tcBorders>
            <w:shd w:val="clear" w:color="auto" w:fill="auto"/>
            <w:noWrap/>
          </w:tcPr>
          <w:p w:rsidRPr="00473ED0" w:rsidR="000D1A6B" w:rsidP="00BD1C05" w:rsidRDefault="000D1A6B" w14:paraId="2603A5F6" w14:textId="35E03B4F">
            <w:pPr>
              <w:keepNext/>
              <w:keepLines/>
              <w:ind w:left="360"/>
              <w:jc w:val="right"/>
              <w:rPr>
                <w:rFonts w:eastAsia="Times New Roman" w:cs="Calibri"/>
                <w:color w:val="000000"/>
                <w:sz w:val="21"/>
                <w:szCs w:val="21"/>
              </w:rPr>
            </w:pPr>
            <w:r w:rsidRPr="600AE545">
              <w:rPr>
                <w:sz w:val="21"/>
                <w:szCs w:val="21"/>
              </w:rPr>
              <w:t>$92</w:t>
            </w:r>
            <w:r>
              <w:rPr>
                <w:sz w:val="21"/>
                <w:szCs w:val="21"/>
              </w:rPr>
              <w:t>8</w:t>
            </w:r>
            <w:r w:rsidRPr="600AE545">
              <w:rPr>
                <w:sz w:val="21"/>
                <w:szCs w:val="21"/>
              </w:rPr>
              <w:t>M</w:t>
            </w:r>
          </w:p>
        </w:tc>
      </w:tr>
      <w:tr w:rsidRPr="00473ED0" w:rsidR="000D1A6B" w:rsidTr="00473ED0" w14:paraId="564262CE" w14:textId="77777777">
        <w:trPr>
          <w:trHeight w:val="307"/>
        </w:trPr>
        <w:tc>
          <w:tcPr>
            <w:tcW w:w="1607" w:type="dxa"/>
            <w:tcBorders>
              <w:top w:val="nil"/>
              <w:left w:val="single" w:color="auto" w:sz="4" w:space="0"/>
              <w:bottom w:val="single" w:color="auto" w:sz="4" w:space="0"/>
              <w:right w:val="single" w:color="auto" w:sz="4" w:space="0"/>
            </w:tcBorders>
            <w:shd w:val="clear" w:color="auto" w:fill="auto"/>
            <w:noWrap/>
            <w:vAlign w:val="bottom"/>
            <w:hideMark/>
          </w:tcPr>
          <w:p w:rsidRPr="00473ED0" w:rsidR="000D1A6B" w:rsidP="00BD1C05" w:rsidRDefault="000D1A6B" w14:paraId="7E9D71B8" w14:textId="77777777">
            <w:pPr>
              <w:keepNext/>
              <w:keepLines/>
              <w:ind w:left="360"/>
              <w:rPr>
                <w:rFonts w:eastAsia="Times New Roman" w:cs="Calibri"/>
                <w:color w:val="000000"/>
                <w:sz w:val="21"/>
                <w:szCs w:val="21"/>
              </w:rPr>
            </w:pPr>
            <w:r w:rsidRPr="00473ED0">
              <w:rPr>
                <w:rFonts w:eastAsia="Times New Roman" w:cs="Calibri"/>
                <w:color w:val="000000"/>
                <w:sz w:val="21"/>
                <w:szCs w:val="21"/>
              </w:rPr>
              <w:t>SCE</w:t>
            </w:r>
          </w:p>
        </w:tc>
        <w:tc>
          <w:tcPr>
            <w:tcW w:w="1009" w:type="dxa"/>
            <w:tcBorders>
              <w:top w:val="single" w:color="auto" w:sz="4" w:space="0"/>
              <w:left w:val="single" w:color="auto" w:sz="4" w:space="0"/>
              <w:bottom w:val="single" w:color="auto" w:sz="4" w:space="0"/>
              <w:right w:val="single" w:color="auto" w:sz="4" w:space="0"/>
            </w:tcBorders>
          </w:tcPr>
          <w:p w:rsidRPr="00473ED0" w:rsidR="000D1A6B" w:rsidP="00BD1C05" w:rsidRDefault="000D1A6B" w14:paraId="74EAAF9E" w14:textId="77777777">
            <w:pPr>
              <w:keepNext/>
              <w:keepLines/>
              <w:rPr>
                <w:sz w:val="21"/>
                <w:szCs w:val="21"/>
              </w:rPr>
            </w:pPr>
            <w:r w:rsidRPr="00473ED0">
              <w:rPr>
                <w:sz w:val="21"/>
                <w:szCs w:val="21"/>
              </w:rPr>
              <w:t>$41M</w:t>
            </w:r>
          </w:p>
        </w:tc>
        <w:tc>
          <w:tcPr>
            <w:tcW w:w="1055" w:type="dxa"/>
            <w:gridSpan w:val="2"/>
            <w:tcBorders>
              <w:top w:val="nil"/>
              <w:left w:val="single" w:color="auto" w:sz="4" w:space="0"/>
              <w:bottom w:val="single" w:color="auto" w:sz="4" w:space="0"/>
              <w:right w:val="single" w:color="auto" w:sz="4" w:space="0"/>
            </w:tcBorders>
            <w:shd w:val="clear" w:color="auto" w:fill="auto"/>
            <w:noWrap/>
          </w:tcPr>
          <w:p w:rsidRPr="00473ED0" w:rsidR="000D1A6B" w:rsidP="00BD1C05" w:rsidRDefault="000D1A6B" w14:paraId="6A6045FE" w14:textId="765027A1">
            <w:pPr>
              <w:keepNext/>
              <w:keepLines/>
              <w:rPr>
                <w:rFonts w:eastAsia="Times New Roman" w:cs="Calibri"/>
                <w:color w:val="000000"/>
                <w:sz w:val="21"/>
                <w:szCs w:val="21"/>
              </w:rPr>
            </w:pPr>
            <w:r w:rsidRPr="600AE545">
              <w:rPr>
                <w:sz w:val="21"/>
                <w:szCs w:val="21"/>
              </w:rPr>
              <w:t>$41M</w:t>
            </w:r>
          </w:p>
        </w:tc>
        <w:tc>
          <w:tcPr>
            <w:tcW w:w="1056" w:type="dxa"/>
            <w:gridSpan w:val="2"/>
            <w:tcBorders>
              <w:top w:val="nil"/>
              <w:left w:val="nil"/>
              <w:bottom w:val="single" w:color="auto" w:sz="4" w:space="0"/>
              <w:right w:val="single" w:color="auto" w:sz="4" w:space="0"/>
            </w:tcBorders>
            <w:shd w:val="clear" w:color="auto" w:fill="auto"/>
            <w:noWrap/>
          </w:tcPr>
          <w:p w:rsidRPr="00473ED0" w:rsidR="000D1A6B" w:rsidP="00BD1C05" w:rsidRDefault="000D1A6B" w14:paraId="0A6A1C62" w14:textId="77777777">
            <w:pPr>
              <w:keepNext/>
              <w:keepLines/>
              <w:rPr>
                <w:rFonts w:eastAsia="Times New Roman" w:cs="Calibri"/>
                <w:color w:val="000000"/>
                <w:sz w:val="21"/>
                <w:szCs w:val="21"/>
              </w:rPr>
            </w:pPr>
            <w:r w:rsidRPr="00473ED0">
              <w:rPr>
                <w:sz w:val="21"/>
                <w:szCs w:val="21"/>
              </w:rPr>
              <w:t>$59M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23CF9FCA" w14:textId="77777777">
            <w:pPr>
              <w:keepNext/>
              <w:keepLines/>
              <w:rPr>
                <w:rFonts w:eastAsia="Times New Roman" w:cs="Calibri"/>
                <w:color w:val="000000"/>
                <w:sz w:val="21"/>
                <w:szCs w:val="21"/>
              </w:rPr>
            </w:pPr>
            <w:r w:rsidRPr="00473ED0">
              <w:rPr>
                <w:sz w:val="21"/>
                <w:szCs w:val="21"/>
              </w:rPr>
              <w:t>$69M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6F31C718" w14:textId="77777777">
            <w:pPr>
              <w:keepNext/>
              <w:keepLines/>
              <w:rPr>
                <w:rFonts w:eastAsia="Times New Roman" w:cs="Calibri"/>
                <w:color w:val="000000"/>
                <w:sz w:val="21"/>
                <w:szCs w:val="21"/>
              </w:rPr>
            </w:pPr>
            <w:r w:rsidRPr="00473ED0">
              <w:rPr>
                <w:sz w:val="21"/>
                <w:szCs w:val="21"/>
              </w:rPr>
              <w:t>$91M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63AFE531" w14:textId="77777777">
            <w:pPr>
              <w:keepNext/>
              <w:keepLines/>
              <w:rPr>
                <w:rFonts w:eastAsia="Times New Roman" w:cs="Calibri"/>
                <w:color w:val="000000"/>
                <w:sz w:val="21"/>
                <w:szCs w:val="21"/>
              </w:rPr>
            </w:pPr>
            <w:r w:rsidRPr="00473ED0">
              <w:rPr>
                <w:sz w:val="21"/>
                <w:szCs w:val="21"/>
              </w:rPr>
              <w:t>$96M</w:t>
            </w:r>
          </w:p>
        </w:tc>
        <w:tc>
          <w:tcPr>
            <w:tcW w:w="1246" w:type="dxa"/>
            <w:tcBorders>
              <w:top w:val="nil"/>
              <w:left w:val="nil"/>
              <w:bottom w:val="single" w:color="auto" w:sz="4" w:space="0"/>
              <w:right w:val="single" w:color="auto" w:sz="4" w:space="0"/>
            </w:tcBorders>
            <w:shd w:val="clear" w:color="auto" w:fill="auto"/>
            <w:noWrap/>
          </w:tcPr>
          <w:p w:rsidRPr="00473ED0" w:rsidR="000D1A6B" w:rsidP="00BD1C05" w:rsidRDefault="000D1A6B" w14:paraId="6DF88435" w14:textId="77777777">
            <w:pPr>
              <w:keepNext/>
              <w:keepLines/>
              <w:ind w:left="360"/>
              <w:jc w:val="right"/>
              <w:rPr>
                <w:rFonts w:eastAsia="Times New Roman" w:cs="Calibri"/>
                <w:color w:val="000000"/>
                <w:sz w:val="21"/>
                <w:szCs w:val="21"/>
              </w:rPr>
            </w:pPr>
            <w:r w:rsidRPr="00473ED0">
              <w:rPr>
                <w:sz w:val="21"/>
                <w:szCs w:val="21"/>
              </w:rPr>
              <w:t>$75M</w:t>
            </w:r>
          </w:p>
        </w:tc>
        <w:tc>
          <w:tcPr>
            <w:tcW w:w="1440" w:type="dxa"/>
            <w:tcBorders>
              <w:top w:val="nil"/>
              <w:left w:val="nil"/>
              <w:bottom w:val="single" w:color="auto" w:sz="4" w:space="0"/>
              <w:right w:val="single" w:color="auto" w:sz="4" w:space="0"/>
            </w:tcBorders>
            <w:shd w:val="clear" w:color="auto" w:fill="auto"/>
            <w:noWrap/>
          </w:tcPr>
          <w:p w:rsidRPr="00473ED0" w:rsidR="000D1A6B" w:rsidP="00BD1C05" w:rsidRDefault="000D1A6B" w14:paraId="71F4C54F" w14:textId="7C0D34D6">
            <w:pPr>
              <w:keepNext/>
              <w:keepLines/>
              <w:ind w:left="360"/>
              <w:jc w:val="right"/>
              <w:rPr>
                <w:rFonts w:eastAsia="Times New Roman" w:cs="Calibri"/>
                <w:color w:val="000000"/>
                <w:sz w:val="21"/>
                <w:szCs w:val="21"/>
              </w:rPr>
            </w:pPr>
            <w:r w:rsidRPr="600AE545">
              <w:rPr>
                <w:sz w:val="21"/>
                <w:szCs w:val="21"/>
              </w:rPr>
              <w:t>$43</w:t>
            </w:r>
            <w:r>
              <w:rPr>
                <w:sz w:val="21"/>
                <w:szCs w:val="21"/>
              </w:rPr>
              <w:t>1</w:t>
            </w:r>
            <w:r w:rsidRPr="600AE545">
              <w:rPr>
                <w:sz w:val="21"/>
                <w:szCs w:val="21"/>
              </w:rPr>
              <w:t>M</w:t>
            </w:r>
          </w:p>
        </w:tc>
      </w:tr>
      <w:tr w:rsidRPr="00473ED0" w:rsidR="000D1A6B" w:rsidTr="00473ED0" w14:paraId="03424C2C" w14:textId="77777777">
        <w:trPr>
          <w:trHeight w:val="307"/>
        </w:trPr>
        <w:tc>
          <w:tcPr>
            <w:tcW w:w="1607" w:type="dxa"/>
            <w:tcBorders>
              <w:top w:val="nil"/>
              <w:left w:val="single" w:color="auto" w:sz="4" w:space="0"/>
              <w:bottom w:val="single" w:color="auto" w:sz="4" w:space="0"/>
              <w:right w:val="single" w:color="auto" w:sz="4" w:space="0"/>
            </w:tcBorders>
            <w:shd w:val="clear" w:color="auto" w:fill="auto"/>
            <w:noWrap/>
            <w:vAlign w:val="bottom"/>
            <w:hideMark/>
          </w:tcPr>
          <w:p w:rsidRPr="00473ED0" w:rsidR="000D1A6B" w:rsidP="00BD1C05" w:rsidRDefault="000D1A6B" w14:paraId="4BD56375" w14:textId="77777777">
            <w:pPr>
              <w:keepNext/>
              <w:keepLines/>
              <w:ind w:left="360"/>
              <w:rPr>
                <w:rFonts w:eastAsia="Times New Roman" w:cs="Calibri"/>
                <w:color w:val="000000"/>
                <w:sz w:val="21"/>
                <w:szCs w:val="21"/>
              </w:rPr>
            </w:pPr>
            <w:r w:rsidRPr="00473ED0">
              <w:rPr>
                <w:rFonts w:eastAsia="Times New Roman" w:cs="Calibri"/>
                <w:color w:val="000000"/>
                <w:sz w:val="21"/>
                <w:szCs w:val="21"/>
              </w:rPr>
              <w:t>SoCalGas</w:t>
            </w:r>
          </w:p>
        </w:tc>
        <w:tc>
          <w:tcPr>
            <w:tcW w:w="1009" w:type="dxa"/>
            <w:tcBorders>
              <w:top w:val="single" w:color="auto" w:sz="4" w:space="0"/>
              <w:left w:val="single" w:color="auto" w:sz="4" w:space="0"/>
              <w:bottom w:val="single" w:color="auto" w:sz="4" w:space="0"/>
              <w:right w:val="single" w:color="auto" w:sz="4" w:space="0"/>
            </w:tcBorders>
          </w:tcPr>
          <w:p w:rsidRPr="00473ED0" w:rsidR="000D1A6B" w:rsidP="00BD1C05" w:rsidRDefault="000D1A6B" w14:paraId="6C0BD736" w14:textId="77777777">
            <w:pPr>
              <w:keepNext/>
              <w:keepLines/>
              <w:rPr>
                <w:sz w:val="21"/>
                <w:szCs w:val="21"/>
              </w:rPr>
            </w:pPr>
            <w:r w:rsidRPr="00473ED0">
              <w:rPr>
                <w:sz w:val="21"/>
                <w:szCs w:val="21"/>
              </w:rPr>
              <w:t>$67M</w:t>
            </w:r>
          </w:p>
        </w:tc>
        <w:tc>
          <w:tcPr>
            <w:tcW w:w="1055" w:type="dxa"/>
            <w:gridSpan w:val="2"/>
            <w:tcBorders>
              <w:top w:val="nil"/>
              <w:left w:val="single" w:color="auto" w:sz="4" w:space="0"/>
              <w:bottom w:val="single" w:color="auto" w:sz="4" w:space="0"/>
              <w:right w:val="single" w:color="auto" w:sz="4" w:space="0"/>
            </w:tcBorders>
            <w:shd w:val="clear" w:color="auto" w:fill="auto"/>
            <w:noWrap/>
          </w:tcPr>
          <w:p w:rsidRPr="00473ED0" w:rsidR="000D1A6B" w:rsidP="00BD1C05" w:rsidRDefault="000D1A6B" w14:paraId="1D4C2E67" w14:textId="21B0DE92">
            <w:pPr>
              <w:keepNext/>
              <w:keepLines/>
              <w:rPr>
                <w:rFonts w:eastAsia="Times New Roman" w:cs="Calibri"/>
                <w:color w:val="000000"/>
                <w:sz w:val="21"/>
                <w:szCs w:val="21"/>
              </w:rPr>
            </w:pPr>
            <w:r w:rsidRPr="600AE545">
              <w:rPr>
                <w:sz w:val="21"/>
                <w:szCs w:val="21"/>
              </w:rPr>
              <w:t>$67M</w:t>
            </w:r>
          </w:p>
        </w:tc>
        <w:tc>
          <w:tcPr>
            <w:tcW w:w="1056" w:type="dxa"/>
            <w:gridSpan w:val="2"/>
            <w:tcBorders>
              <w:top w:val="nil"/>
              <w:left w:val="nil"/>
              <w:bottom w:val="single" w:color="auto" w:sz="4" w:space="0"/>
              <w:right w:val="single" w:color="auto" w:sz="4" w:space="0"/>
            </w:tcBorders>
            <w:shd w:val="clear" w:color="auto" w:fill="auto"/>
            <w:noWrap/>
          </w:tcPr>
          <w:p w:rsidRPr="00473ED0" w:rsidR="000D1A6B" w:rsidP="00BD1C05" w:rsidRDefault="000D1A6B" w14:paraId="0E9CDB98" w14:textId="77777777">
            <w:pPr>
              <w:keepNext/>
              <w:keepLines/>
              <w:rPr>
                <w:rFonts w:eastAsia="Times New Roman" w:cs="Calibri"/>
                <w:color w:val="000000"/>
                <w:sz w:val="21"/>
                <w:szCs w:val="21"/>
              </w:rPr>
            </w:pPr>
            <w:r w:rsidRPr="00473ED0">
              <w:rPr>
                <w:sz w:val="21"/>
                <w:szCs w:val="21"/>
              </w:rPr>
              <w:t>$123M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32A11635" w14:textId="77777777">
            <w:pPr>
              <w:keepNext/>
              <w:keepLines/>
              <w:rPr>
                <w:rFonts w:eastAsia="Times New Roman" w:cs="Calibri"/>
                <w:color w:val="000000"/>
                <w:sz w:val="21"/>
                <w:szCs w:val="21"/>
              </w:rPr>
            </w:pPr>
            <w:r w:rsidRPr="00473ED0">
              <w:rPr>
                <w:sz w:val="21"/>
                <w:szCs w:val="21"/>
              </w:rPr>
              <w:t>$123M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68DDCDBC" w14:textId="77777777">
            <w:pPr>
              <w:keepNext/>
              <w:keepLines/>
              <w:rPr>
                <w:rFonts w:eastAsia="Times New Roman" w:cs="Calibri"/>
                <w:color w:val="000000"/>
                <w:sz w:val="21"/>
                <w:szCs w:val="21"/>
              </w:rPr>
            </w:pPr>
            <w:r w:rsidRPr="00473ED0">
              <w:rPr>
                <w:sz w:val="21"/>
                <w:szCs w:val="21"/>
              </w:rPr>
              <w:t>$123M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202AA760" w14:textId="77777777">
            <w:pPr>
              <w:keepNext/>
              <w:keepLines/>
              <w:rPr>
                <w:rFonts w:eastAsia="Times New Roman" w:cs="Calibri"/>
                <w:color w:val="000000"/>
                <w:sz w:val="21"/>
                <w:szCs w:val="21"/>
              </w:rPr>
            </w:pPr>
            <w:r w:rsidRPr="00473ED0">
              <w:rPr>
                <w:sz w:val="21"/>
                <w:szCs w:val="21"/>
              </w:rPr>
              <w:t>$123M</w:t>
            </w:r>
          </w:p>
        </w:tc>
        <w:tc>
          <w:tcPr>
            <w:tcW w:w="1246" w:type="dxa"/>
            <w:tcBorders>
              <w:top w:val="nil"/>
              <w:left w:val="nil"/>
              <w:bottom w:val="single" w:color="auto" w:sz="4" w:space="0"/>
              <w:right w:val="single" w:color="auto" w:sz="4" w:space="0"/>
            </w:tcBorders>
            <w:shd w:val="clear" w:color="auto" w:fill="auto"/>
            <w:noWrap/>
          </w:tcPr>
          <w:p w:rsidRPr="00473ED0" w:rsidR="000D1A6B" w:rsidP="00BD1C05" w:rsidRDefault="000D1A6B" w14:paraId="1F63CDF1" w14:textId="77777777">
            <w:pPr>
              <w:keepNext/>
              <w:keepLines/>
              <w:ind w:left="360"/>
              <w:jc w:val="right"/>
              <w:rPr>
                <w:rFonts w:eastAsia="Times New Roman" w:cs="Calibri"/>
                <w:color w:val="000000"/>
                <w:sz w:val="21"/>
                <w:szCs w:val="21"/>
              </w:rPr>
            </w:pPr>
            <w:r w:rsidRPr="00473ED0">
              <w:rPr>
                <w:sz w:val="21"/>
                <w:szCs w:val="21"/>
              </w:rPr>
              <w:t>$123M</w:t>
            </w:r>
          </w:p>
        </w:tc>
        <w:tc>
          <w:tcPr>
            <w:tcW w:w="1440" w:type="dxa"/>
            <w:tcBorders>
              <w:top w:val="nil"/>
              <w:left w:val="nil"/>
              <w:bottom w:val="single" w:color="auto" w:sz="4" w:space="0"/>
              <w:right w:val="single" w:color="auto" w:sz="4" w:space="0"/>
            </w:tcBorders>
            <w:shd w:val="clear" w:color="auto" w:fill="auto"/>
            <w:noWrap/>
          </w:tcPr>
          <w:p w:rsidRPr="00473ED0" w:rsidR="000D1A6B" w:rsidP="00BD1C05" w:rsidRDefault="000D1A6B" w14:paraId="52E055A4" w14:textId="19573F03">
            <w:pPr>
              <w:keepNext/>
              <w:keepLines/>
              <w:ind w:left="360"/>
              <w:jc w:val="right"/>
              <w:rPr>
                <w:rFonts w:eastAsia="Times New Roman" w:cs="Calibri"/>
                <w:color w:val="000000"/>
                <w:sz w:val="21"/>
                <w:szCs w:val="21"/>
              </w:rPr>
            </w:pPr>
            <w:r w:rsidRPr="600AE545">
              <w:rPr>
                <w:sz w:val="21"/>
                <w:szCs w:val="21"/>
              </w:rPr>
              <w:t>$68</w:t>
            </w:r>
            <w:r>
              <w:rPr>
                <w:sz w:val="21"/>
                <w:szCs w:val="21"/>
              </w:rPr>
              <w:t>1</w:t>
            </w:r>
            <w:r w:rsidRPr="600AE545">
              <w:rPr>
                <w:sz w:val="21"/>
                <w:szCs w:val="21"/>
              </w:rPr>
              <w:t>M</w:t>
            </w:r>
          </w:p>
        </w:tc>
      </w:tr>
      <w:tr w:rsidRPr="00473ED0" w:rsidR="000D1A6B" w:rsidTr="00473ED0" w14:paraId="3CD1F63B" w14:textId="77777777">
        <w:trPr>
          <w:trHeight w:val="307"/>
        </w:trPr>
        <w:tc>
          <w:tcPr>
            <w:tcW w:w="1607" w:type="dxa"/>
            <w:tcBorders>
              <w:top w:val="nil"/>
              <w:left w:val="single" w:color="auto" w:sz="4" w:space="0"/>
              <w:bottom w:val="single" w:color="auto" w:sz="4" w:space="0"/>
              <w:right w:val="single" w:color="auto" w:sz="4" w:space="0"/>
            </w:tcBorders>
            <w:shd w:val="clear" w:color="auto" w:fill="auto"/>
            <w:noWrap/>
            <w:vAlign w:val="bottom"/>
            <w:hideMark/>
          </w:tcPr>
          <w:p w:rsidRPr="00473ED0" w:rsidR="000D1A6B" w:rsidP="00BD1C05" w:rsidRDefault="000D1A6B" w14:paraId="2170F46D" w14:textId="77777777">
            <w:pPr>
              <w:keepNext/>
              <w:keepLines/>
              <w:ind w:left="360"/>
              <w:rPr>
                <w:rFonts w:eastAsia="Times New Roman" w:cs="Calibri"/>
                <w:color w:val="000000"/>
                <w:sz w:val="21"/>
                <w:szCs w:val="21"/>
              </w:rPr>
            </w:pPr>
            <w:r w:rsidRPr="00473ED0">
              <w:rPr>
                <w:rFonts w:eastAsia="Times New Roman" w:cs="Calibri"/>
                <w:color w:val="000000"/>
                <w:sz w:val="21"/>
                <w:szCs w:val="21"/>
              </w:rPr>
              <w:t>SDG&amp;E</w:t>
            </w:r>
          </w:p>
        </w:tc>
        <w:tc>
          <w:tcPr>
            <w:tcW w:w="1009" w:type="dxa"/>
            <w:tcBorders>
              <w:top w:val="single" w:color="auto" w:sz="4" w:space="0"/>
              <w:left w:val="single" w:color="auto" w:sz="4" w:space="0"/>
              <w:bottom w:val="single" w:color="auto" w:sz="4" w:space="0"/>
              <w:right w:val="single" w:color="auto" w:sz="4" w:space="0"/>
            </w:tcBorders>
          </w:tcPr>
          <w:p w:rsidRPr="00473ED0" w:rsidR="000D1A6B" w:rsidP="00BD1C05" w:rsidRDefault="000D1A6B" w14:paraId="76FC0C9B" w14:textId="77777777">
            <w:pPr>
              <w:keepNext/>
              <w:keepLines/>
              <w:rPr>
                <w:sz w:val="21"/>
                <w:szCs w:val="21"/>
              </w:rPr>
            </w:pPr>
            <w:r w:rsidRPr="00473ED0">
              <w:rPr>
                <w:sz w:val="21"/>
                <w:szCs w:val="21"/>
              </w:rPr>
              <w:t>$11M</w:t>
            </w:r>
          </w:p>
        </w:tc>
        <w:tc>
          <w:tcPr>
            <w:tcW w:w="1055" w:type="dxa"/>
            <w:gridSpan w:val="2"/>
            <w:tcBorders>
              <w:top w:val="nil"/>
              <w:left w:val="single" w:color="auto" w:sz="4" w:space="0"/>
              <w:bottom w:val="single" w:color="auto" w:sz="4" w:space="0"/>
              <w:right w:val="single" w:color="auto" w:sz="4" w:space="0"/>
            </w:tcBorders>
            <w:shd w:val="clear" w:color="auto" w:fill="auto"/>
            <w:noWrap/>
          </w:tcPr>
          <w:p w:rsidRPr="00473ED0" w:rsidR="000D1A6B" w:rsidP="00BD1C05" w:rsidRDefault="000D1A6B" w14:paraId="3E7C9C48" w14:textId="431923DE">
            <w:pPr>
              <w:keepNext/>
              <w:keepLines/>
              <w:rPr>
                <w:rFonts w:eastAsia="Times New Roman" w:cs="Calibri"/>
                <w:color w:val="000000"/>
                <w:sz w:val="21"/>
                <w:szCs w:val="21"/>
              </w:rPr>
            </w:pPr>
            <w:r w:rsidRPr="00473ED0">
              <w:rPr>
                <w:sz w:val="21"/>
                <w:szCs w:val="21"/>
              </w:rPr>
              <w:t>$1</w:t>
            </w:r>
            <w:r>
              <w:rPr>
                <w:sz w:val="21"/>
                <w:szCs w:val="21"/>
              </w:rPr>
              <w:t>1</w:t>
            </w:r>
            <w:r w:rsidRPr="00473ED0">
              <w:rPr>
                <w:sz w:val="21"/>
                <w:szCs w:val="21"/>
              </w:rPr>
              <w:t>M</w:t>
            </w:r>
          </w:p>
        </w:tc>
        <w:tc>
          <w:tcPr>
            <w:tcW w:w="1056" w:type="dxa"/>
            <w:gridSpan w:val="2"/>
            <w:tcBorders>
              <w:top w:val="nil"/>
              <w:left w:val="nil"/>
              <w:bottom w:val="single" w:color="auto" w:sz="4" w:space="0"/>
              <w:right w:val="single" w:color="auto" w:sz="4" w:space="0"/>
            </w:tcBorders>
            <w:shd w:val="clear" w:color="auto" w:fill="auto"/>
            <w:noWrap/>
          </w:tcPr>
          <w:p w:rsidRPr="00473ED0" w:rsidR="000D1A6B" w:rsidP="00BD1C05" w:rsidRDefault="000D1A6B" w14:paraId="4D84474E" w14:textId="77777777">
            <w:pPr>
              <w:keepNext/>
              <w:keepLines/>
              <w:rPr>
                <w:rFonts w:eastAsia="Times New Roman" w:cs="Calibri"/>
                <w:color w:val="000000"/>
                <w:sz w:val="21"/>
                <w:szCs w:val="21"/>
              </w:rPr>
            </w:pPr>
            <w:r w:rsidRPr="00473ED0">
              <w:rPr>
                <w:sz w:val="21"/>
                <w:szCs w:val="21"/>
              </w:rPr>
              <w:t>$26M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66B04A4F" w14:textId="77777777">
            <w:pPr>
              <w:keepNext/>
              <w:keepLines/>
              <w:rPr>
                <w:rFonts w:eastAsia="Times New Roman" w:cs="Calibri"/>
                <w:color w:val="000000"/>
                <w:sz w:val="21"/>
                <w:szCs w:val="21"/>
              </w:rPr>
            </w:pPr>
            <w:r w:rsidRPr="00473ED0">
              <w:rPr>
                <w:sz w:val="21"/>
                <w:szCs w:val="21"/>
              </w:rPr>
              <w:t>$27M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141FA3C6" w14:textId="77777777">
            <w:pPr>
              <w:keepNext/>
              <w:keepLines/>
              <w:rPr>
                <w:rFonts w:eastAsia="Times New Roman" w:cs="Calibri"/>
                <w:color w:val="000000"/>
                <w:sz w:val="21"/>
                <w:szCs w:val="21"/>
              </w:rPr>
            </w:pPr>
            <w:r w:rsidRPr="00473ED0">
              <w:rPr>
                <w:sz w:val="21"/>
                <w:szCs w:val="21"/>
              </w:rPr>
              <w:t>$30M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1CDAAC10" w14:textId="77777777">
            <w:pPr>
              <w:keepNext/>
              <w:keepLines/>
              <w:rPr>
                <w:rFonts w:eastAsia="Times New Roman" w:cs="Calibri"/>
                <w:color w:val="000000"/>
                <w:sz w:val="21"/>
                <w:szCs w:val="21"/>
              </w:rPr>
            </w:pPr>
            <w:r w:rsidRPr="00473ED0">
              <w:rPr>
                <w:sz w:val="21"/>
                <w:szCs w:val="21"/>
              </w:rPr>
              <w:t>$32M</w:t>
            </w:r>
          </w:p>
        </w:tc>
        <w:tc>
          <w:tcPr>
            <w:tcW w:w="1246" w:type="dxa"/>
            <w:tcBorders>
              <w:top w:val="nil"/>
              <w:left w:val="nil"/>
              <w:bottom w:val="single" w:color="auto" w:sz="4" w:space="0"/>
              <w:right w:val="single" w:color="auto" w:sz="4" w:space="0"/>
            </w:tcBorders>
            <w:shd w:val="clear" w:color="auto" w:fill="auto"/>
            <w:noWrap/>
          </w:tcPr>
          <w:p w:rsidRPr="00473ED0" w:rsidR="000D1A6B" w:rsidP="00BD1C05" w:rsidRDefault="000D1A6B" w14:paraId="0C07A015" w14:textId="77777777">
            <w:pPr>
              <w:keepNext/>
              <w:keepLines/>
              <w:ind w:left="360"/>
              <w:jc w:val="right"/>
              <w:rPr>
                <w:rFonts w:eastAsia="Times New Roman" w:cs="Calibri"/>
                <w:color w:val="000000"/>
                <w:sz w:val="21"/>
                <w:szCs w:val="21"/>
              </w:rPr>
            </w:pPr>
            <w:r w:rsidRPr="00473ED0">
              <w:rPr>
                <w:sz w:val="21"/>
                <w:szCs w:val="21"/>
              </w:rPr>
              <w:t>$33M</w:t>
            </w:r>
          </w:p>
        </w:tc>
        <w:tc>
          <w:tcPr>
            <w:tcW w:w="1440" w:type="dxa"/>
            <w:tcBorders>
              <w:top w:val="nil"/>
              <w:left w:val="nil"/>
              <w:bottom w:val="single" w:color="auto" w:sz="4" w:space="0"/>
              <w:right w:val="single" w:color="auto" w:sz="4" w:space="0"/>
            </w:tcBorders>
            <w:shd w:val="clear" w:color="auto" w:fill="auto"/>
            <w:noWrap/>
          </w:tcPr>
          <w:p w:rsidRPr="00473ED0" w:rsidR="000D1A6B" w:rsidP="00BD1C05" w:rsidRDefault="000D1A6B" w14:paraId="1B94F6EF" w14:textId="3681C3F5">
            <w:pPr>
              <w:keepNext/>
              <w:keepLines/>
              <w:ind w:left="360"/>
              <w:jc w:val="right"/>
              <w:rPr>
                <w:rFonts w:eastAsia="Times New Roman" w:cs="Calibri"/>
                <w:color w:val="000000"/>
                <w:sz w:val="21"/>
                <w:szCs w:val="21"/>
              </w:rPr>
            </w:pPr>
            <w:r w:rsidRPr="00473ED0">
              <w:rPr>
                <w:sz w:val="21"/>
                <w:szCs w:val="21"/>
              </w:rPr>
              <w:t>$1</w:t>
            </w:r>
            <w:r>
              <w:rPr>
                <w:sz w:val="21"/>
                <w:szCs w:val="21"/>
              </w:rPr>
              <w:t>59</w:t>
            </w:r>
            <w:r w:rsidRPr="00473ED0">
              <w:rPr>
                <w:sz w:val="21"/>
                <w:szCs w:val="21"/>
              </w:rPr>
              <w:t>M</w:t>
            </w:r>
          </w:p>
        </w:tc>
      </w:tr>
      <w:tr w:rsidRPr="00473ED0" w:rsidR="000D1A6B" w:rsidTr="00473ED0" w14:paraId="5B59C7B8" w14:textId="77777777">
        <w:trPr>
          <w:trHeight w:val="307"/>
        </w:trPr>
        <w:tc>
          <w:tcPr>
            <w:tcW w:w="1607" w:type="dxa"/>
            <w:tcBorders>
              <w:top w:val="nil"/>
              <w:left w:val="single" w:color="auto" w:sz="4" w:space="0"/>
              <w:bottom w:val="single" w:color="auto" w:sz="4" w:space="0"/>
              <w:right w:val="single" w:color="auto" w:sz="4" w:space="0"/>
            </w:tcBorders>
            <w:shd w:val="clear" w:color="auto" w:fill="auto"/>
            <w:noWrap/>
            <w:vAlign w:val="bottom"/>
            <w:hideMark/>
          </w:tcPr>
          <w:p w:rsidRPr="00473ED0" w:rsidR="000D1A6B" w:rsidP="00BD1C05" w:rsidRDefault="000D1A6B" w14:paraId="5DE0133E" w14:textId="77777777">
            <w:pPr>
              <w:keepNext/>
              <w:keepLines/>
              <w:ind w:left="360"/>
              <w:rPr>
                <w:rFonts w:eastAsia="Times New Roman" w:cs="Calibri"/>
                <w:color w:val="000000"/>
                <w:sz w:val="21"/>
                <w:szCs w:val="21"/>
              </w:rPr>
            </w:pPr>
            <w:r w:rsidRPr="00473ED0">
              <w:rPr>
                <w:rFonts w:eastAsia="Times New Roman" w:cs="Calibri"/>
                <w:color w:val="000000"/>
                <w:sz w:val="21"/>
                <w:szCs w:val="21"/>
              </w:rPr>
              <w:t>Total</w:t>
            </w:r>
          </w:p>
        </w:tc>
        <w:tc>
          <w:tcPr>
            <w:tcW w:w="1009" w:type="dxa"/>
            <w:tcBorders>
              <w:top w:val="single" w:color="auto" w:sz="4" w:space="0"/>
              <w:left w:val="single" w:color="auto" w:sz="4" w:space="0"/>
              <w:bottom w:val="single" w:color="auto" w:sz="4" w:space="0"/>
              <w:right w:val="single" w:color="auto" w:sz="4" w:space="0"/>
            </w:tcBorders>
          </w:tcPr>
          <w:p w:rsidRPr="00473ED0" w:rsidR="000D1A6B" w:rsidP="00BD1C05" w:rsidRDefault="000D1A6B" w14:paraId="0DD5250B" w14:textId="77777777">
            <w:pPr>
              <w:keepNext/>
              <w:keepLines/>
              <w:rPr>
                <w:sz w:val="21"/>
                <w:szCs w:val="21"/>
              </w:rPr>
            </w:pPr>
            <w:r w:rsidRPr="00473ED0">
              <w:rPr>
                <w:sz w:val="21"/>
                <w:szCs w:val="21"/>
              </w:rPr>
              <w:t>$208M</w:t>
            </w:r>
          </w:p>
        </w:tc>
        <w:tc>
          <w:tcPr>
            <w:tcW w:w="1055" w:type="dxa"/>
            <w:gridSpan w:val="2"/>
            <w:tcBorders>
              <w:top w:val="nil"/>
              <w:left w:val="single" w:color="auto" w:sz="4" w:space="0"/>
              <w:bottom w:val="single" w:color="auto" w:sz="4" w:space="0"/>
              <w:right w:val="single" w:color="auto" w:sz="4" w:space="0"/>
            </w:tcBorders>
            <w:shd w:val="clear" w:color="auto" w:fill="auto"/>
            <w:noWrap/>
          </w:tcPr>
          <w:p w:rsidRPr="00473ED0" w:rsidR="000D1A6B" w:rsidP="00BD1C05" w:rsidRDefault="000D1A6B" w14:paraId="44FAD2DD" w14:textId="2B474C59">
            <w:pPr>
              <w:keepNext/>
              <w:keepLines/>
              <w:rPr>
                <w:rFonts w:eastAsia="Times New Roman" w:cs="Calibri"/>
                <w:color w:val="000000"/>
                <w:sz w:val="21"/>
                <w:szCs w:val="21"/>
              </w:rPr>
            </w:pPr>
            <w:r w:rsidRPr="600AE545">
              <w:rPr>
                <w:sz w:val="21"/>
                <w:szCs w:val="21"/>
              </w:rPr>
              <w:t>$20</w:t>
            </w:r>
            <w:r>
              <w:rPr>
                <w:sz w:val="21"/>
                <w:szCs w:val="21"/>
              </w:rPr>
              <w:t>8</w:t>
            </w:r>
            <w:r w:rsidRPr="600AE545">
              <w:rPr>
                <w:sz w:val="21"/>
                <w:szCs w:val="21"/>
              </w:rPr>
              <w:t>M</w:t>
            </w:r>
          </w:p>
        </w:tc>
        <w:tc>
          <w:tcPr>
            <w:tcW w:w="1056" w:type="dxa"/>
            <w:gridSpan w:val="2"/>
            <w:tcBorders>
              <w:top w:val="nil"/>
              <w:left w:val="nil"/>
              <w:bottom w:val="single" w:color="auto" w:sz="4" w:space="0"/>
              <w:right w:val="single" w:color="auto" w:sz="4" w:space="0"/>
            </w:tcBorders>
            <w:shd w:val="clear" w:color="auto" w:fill="auto"/>
            <w:noWrap/>
          </w:tcPr>
          <w:p w:rsidRPr="00473ED0" w:rsidR="000D1A6B" w:rsidP="00BD1C05" w:rsidRDefault="000D1A6B" w14:paraId="65784724" w14:textId="77777777">
            <w:pPr>
              <w:keepNext/>
              <w:keepLines/>
              <w:rPr>
                <w:rFonts w:eastAsia="Times New Roman" w:cs="Calibri"/>
                <w:color w:val="000000"/>
                <w:sz w:val="21"/>
                <w:szCs w:val="21"/>
              </w:rPr>
            </w:pPr>
            <w:r w:rsidRPr="00473ED0">
              <w:rPr>
                <w:sz w:val="21"/>
                <w:szCs w:val="21"/>
              </w:rPr>
              <w:t>$360M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524E2EA2" w14:textId="77777777">
            <w:pPr>
              <w:keepNext/>
              <w:keepLines/>
              <w:rPr>
                <w:rFonts w:eastAsia="Times New Roman" w:cs="Calibri"/>
                <w:color w:val="000000"/>
                <w:sz w:val="21"/>
                <w:szCs w:val="21"/>
              </w:rPr>
            </w:pPr>
            <w:r w:rsidRPr="00473ED0">
              <w:rPr>
                <w:sz w:val="21"/>
                <w:szCs w:val="21"/>
              </w:rPr>
              <w:t>$391M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1C5FCEAD" w14:textId="77777777">
            <w:pPr>
              <w:keepNext/>
              <w:keepLines/>
              <w:rPr>
                <w:rFonts w:eastAsia="Times New Roman" w:cs="Calibri"/>
                <w:color w:val="000000"/>
                <w:sz w:val="21"/>
                <w:szCs w:val="21"/>
              </w:rPr>
            </w:pPr>
            <w:r w:rsidRPr="00473ED0">
              <w:rPr>
                <w:sz w:val="21"/>
                <w:szCs w:val="21"/>
              </w:rPr>
              <w:t>$416M</w:t>
            </w:r>
          </w:p>
        </w:tc>
        <w:tc>
          <w:tcPr>
            <w:tcW w:w="1009" w:type="dxa"/>
            <w:tcBorders>
              <w:top w:val="nil"/>
              <w:left w:val="nil"/>
              <w:bottom w:val="single" w:color="auto" w:sz="4" w:space="0"/>
              <w:right w:val="single" w:color="auto" w:sz="4" w:space="0"/>
            </w:tcBorders>
            <w:shd w:val="clear" w:color="auto" w:fill="auto"/>
            <w:noWrap/>
          </w:tcPr>
          <w:p w:rsidRPr="00473ED0" w:rsidR="000D1A6B" w:rsidP="00BD1C05" w:rsidRDefault="000D1A6B" w14:paraId="228883D0" w14:textId="77777777">
            <w:pPr>
              <w:keepNext/>
              <w:keepLines/>
              <w:rPr>
                <w:rFonts w:eastAsia="Times New Roman" w:cs="Calibri"/>
                <w:color w:val="000000"/>
                <w:sz w:val="21"/>
                <w:szCs w:val="21"/>
              </w:rPr>
            </w:pPr>
            <w:r w:rsidRPr="00473ED0">
              <w:rPr>
                <w:sz w:val="21"/>
                <w:szCs w:val="21"/>
              </w:rPr>
              <w:t>$422M</w:t>
            </w:r>
          </w:p>
        </w:tc>
        <w:tc>
          <w:tcPr>
            <w:tcW w:w="1246" w:type="dxa"/>
            <w:tcBorders>
              <w:top w:val="nil"/>
              <w:left w:val="nil"/>
              <w:bottom w:val="single" w:color="auto" w:sz="4" w:space="0"/>
              <w:right w:val="single" w:color="auto" w:sz="4" w:space="0"/>
            </w:tcBorders>
            <w:shd w:val="clear" w:color="auto" w:fill="auto"/>
            <w:noWrap/>
          </w:tcPr>
          <w:p w:rsidRPr="00473ED0" w:rsidR="000D1A6B" w:rsidP="00BD1C05" w:rsidRDefault="000D1A6B" w14:paraId="6A35888B" w14:textId="77777777">
            <w:pPr>
              <w:keepNext/>
              <w:keepLines/>
              <w:ind w:left="360"/>
              <w:jc w:val="right"/>
              <w:rPr>
                <w:rFonts w:eastAsia="Times New Roman" w:cs="Calibri"/>
                <w:color w:val="000000"/>
                <w:sz w:val="21"/>
                <w:szCs w:val="21"/>
              </w:rPr>
            </w:pPr>
            <w:r w:rsidRPr="00473ED0">
              <w:rPr>
                <w:sz w:val="21"/>
                <w:szCs w:val="21"/>
              </w:rPr>
              <w:t>$402M</w:t>
            </w:r>
          </w:p>
        </w:tc>
        <w:tc>
          <w:tcPr>
            <w:tcW w:w="1440" w:type="dxa"/>
            <w:tcBorders>
              <w:top w:val="nil"/>
              <w:left w:val="nil"/>
              <w:bottom w:val="single" w:color="auto" w:sz="4" w:space="0"/>
              <w:right w:val="single" w:color="auto" w:sz="4" w:space="0"/>
            </w:tcBorders>
            <w:shd w:val="clear" w:color="auto" w:fill="auto"/>
            <w:noWrap/>
          </w:tcPr>
          <w:p w:rsidRPr="00473ED0" w:rsidR="000D1A6B" w:rsidP="00BD1C05" w:rsidRDefault="000D1A6B" w14:paraId="22C42F5D" w14:textId="6948AA9A">
            <w:pPr>
              <w:keepNext/>
              <w:keepLines/>
              <w:ind w:left="360"/>
              <w:jc w:val="right"/>
              <w:rPr>
                <w:rFonts w:eastAsia="Times New Roman" w:cs="Calibri"/>
                <w:color w:val="000000"/>
                <w:sz w:val="21"/>
                <w:szCs w:val="21"/>
              </w:rPr>
            </w:pPr>
            <w:r w:rsidRPr="600AE545">
              <w:rPr>
                <w:sz w:val="21"/>
                <w:szCs w:val="21"/>
              </w:rPr>
              <w:t>$2,</w:t>
            </w:r>
            <w:r>
              <w:rPr>
                <w:sz w:val="21"/>
                <w:szCs w:val="21"/>
              </w:rPr>
              <w:t>199</w:t>
            </w:r>
            <w:r w:rsidRPr="600AE545">
              <w:rPr>
                <w:sz w:val="21"/>
                <w:szCs w:val="21"/>
              </w:rPr>
              <w:t>M</w:t>
            </w:r>
          </w:p>
        </w:tc>
      </w:tr>
    </w:tbl>
    <w:p w:rsidRPr="001E1890" w:rsidR="000C1980" w:rsidP="001E1890" w:rsidRDefault="000C1980" w14:paraId="6BA6E44A" w14:textId="77777777">
      <w:pPr>
        <w:rPr>
          <w:sz w:val="10"/>
          <w:szCs w:val="10"/>
        </w:rPr>
      </w:pPr>
    </w:p>
    <w:p w:rsidRPr="00CB7331" w:rsidR="000C1980" w:rsidP="001968DC" w:rsidRDefault="000C1980" w14:paraId="7C90DDF8" w14:textId="77777777">
      <w:pPr>
        <w:pStyle w:val="Heading4"/>
        <w:ind w:left="3600"/>
      </w:pPr>
      <w:bookmarkStart w:name="_Toc69948172" w:id="525"/>
      <w:r w:rsidRPr="00CB7331">
        <w:t xml:space="preserve">PG&amp;E Budgets: </w:t>
      </w:r>
      <w:r w:rsidRPr="00A80571">
        <w:rPr>
          <w:u w:val="single"/>
        </w:rPr>
        <w:t>Approved with Modifications</w:t>
      </w:r>
      <w:bookmarkEnd w:id="525"/>
    </w:p>
    <w:p w:rsidR="000C1980" w:rsidP="00BD1C05" w:rsidRDefault="000C1980" w14:paraId="5CA0734B" w14:textId="74540867">
      <w:pPr>
        <w:pStyle w:val="Standard"/>
      </w:pPr>
      <w:r>
        <w:t>We approve PG&amp;E’s proposed budget spend for PYs 202</w:t>
      </w:r>
      <w:r w:rsidR="00D755FC">
        <w:t>2</w:t>
      </w:r>
      <w:r>
        <w:t>-2026, less 10 percent</w:t>
      </w:r>
      <w:r w:rsidR="000E7B44">
        <w:t>,</w:t>
      </w:r>
      <w:r w:rsidRPr="000E7B44" w:rsidR="000E7B44">
        <w:t xml:space="preserve"> </w:t>
      </w:r>
      <w:r w:rsidR="000E7B44">
        <w:t xml:space="preserve">and the </w:t>
      </w:r>
      <w:r w:rsidR="00D755FC">
        <w:t>bridge funding budget</w:t>
      </w:r>
      <w:r w:rsidR="000E7B44">
        <w:t xml:space="preserve"> for </w:t>
      </w:r>
      <w:r w:rsidR="00D755FC">
        <w:t xml:space="preserve">the remainder of </w:t>
      </w:r>
      <w:r w:rsidR="000E7B44">
        <w:t>PY 2021,</w:t>
      </w:r>
      <w:r>
        <w:t xml:space="preserve"> as discussed above.  </w:t>
      </w:r>
      <w:r w:rsidRPr="003F0481">
        <w:t xml:space="preserve">From 2017 to 2019 PG&amp;E exceeded </w:t>
      </w:r>
      <w:r>
        <w:t>its</w:t>
      </w:r>
      <w:r w:rsidRPr="003F0481">
        <w:t xml:space="preserve"> electric savings targets </w:t>
      </w:r>
      <w:r>
        <w:t>by about 21</w:t>
      </w:r>
      <w:r w:rsidRPr="00E1050D">
        <w:t xml:space="preserve"> </w:t>
      </w:r>
      <w:r w:rsidRPr="0026503D">
        <w:t>percent</w:t>
      </w:r>
      <w:r>
        <w:t xml:space="preserve"> while </w:t>
      </w:r>
      <w:r w:rsidRPr="003F0481">
        <w:t xml:space="preserve">under spending the budget </w:t>
      </w:r>
      <w:r>
        <w:t>by at least 15</w:t>
      </w:r>
      <w:r w:rsidRPr="00E1050D">
        <w:t xml:space="preserve"> </w:t>
      </w:r>
      <w:r w:rsidRPr="0026503D">
        <w:t>percent</w:t>
      </w:r>
      <w:r>
        <w:t xml:space="preserve"> </w:t>
      </w:r>
      <w:r w:rsidRPr="003F0481">
        <w:t xml:space="preserve">each year, </w:t>
      </w:r>
      <w:r>
        <w:t>collectively spending approximately 74</w:t>
      </w:r>
      <w:r w:rsidRPr="00E1050D">
        <w:t xml:space="preserve"> </w:t>
      </w:r>
      <w:r w:rsidRPr="0026503D">
        <w:t>percent</w:t>
      </w:r>
      <w:r>
        <w:t xml:space="preserve"> of its authorized budget, </w:t>
      </w:r>
      <w:r>
        <w:lastRenderedPageBreak/>
        <w:t>with an average investment per home of about $1,491.  The budget approved here, even after the 10</w:t>
      </w:r>
      <w:r w:rsidRPr="00E1050D">
        <w:t xml:space="preserve"> </w:t>
      </w:r>
      <w:r w:rsidRPr="0026503D">
        <w:t>percent</w:t>
      </w:r>
      <w:r>
        <w:t xml:space="preserve"> reduction, will provide an average program investment per treated home of $2,740, which is an 84</w:t>
      </w:r>
      <w:r w:rsidRPr="00E1050D">
        <w:t xml:space="preserve"> </w:t>
      </w:r>
      <w:r w:rsidRPr="0026503D">
        <w:t>percent</w:t>
      </w:r>
      <w:r>
        <w:t xml:space="preserve"> increase from previous years.  Given PG&amp;E’s new design to target to a variety of customer segments and need states with a combination of resource and non-resource measures, we believe that a modest reduction in the budget and the number of household treatments does not affect the proposed program design or the average program investment per home and will allow PG&amp;E to still reach its program goals.  We have also set aside 4</w:t>
      </w:r>
      <w:r w:rsidRPr="00E1050D">
        <w:t xml:space="preserve"> </w:t>
      </w:r>
      <w:r w:rsidRPr="0026503D">
        <w:t>percent</w:t>
      </w:r>
      <w:r>
        <w:t>, or $44 million of this budget for the Staff Proposal Pilot Plus and Pilot Deep measure packages</w:t>
      </w:r>
      <w:r w:rsidRPr="00FF590C">
        <w:t xml:space="preserve">. </w:t>
      </w:r>
      <w:r>
        <w:t xml:space="preserve"> Accordingly, PG&amp;E’</w:t>
      </w:r>
      <w:r w:rsidRPr="00FF590C">
        <w:t xml:space="preserve">s portfolio savings </w:t>
      </w:r>
      <w:r>
        <w:t xml:space="preserve">goals </w:t>
      </w:r>
      <w:r w:rsidRPr="00FF590C">
        <w:t xml:space="preserve">and </w:t>
      </w:r>
      <w:r>
        <w:t xml:space="preserve">household </w:t>
      </w:r>
      <w:r w:rsidRPr="00FF590C">
        <w:t>treatments</w:t>
      </w:r>
      <w:r>
        <w:t xml:space="preserve"> targets have been reduced to </w:t>
      </w:r>
      <w:r w:rsidRPr="00FF590C">
        <w:t xml:space="preserve">account for </w:t>
      </w:r>
      <w:r>
        <w:t xml:space="preserve">the budget reduction and </w:t>
      </w:r>
      <w:r w:rsidRPr="00FF590C">
        <w:t>this set-aside</w:t>
      </w:r>
      <w:r>
        <w:t>, (</w:t>
      </w:r>
      <w:r w:rsidRPr="00024B41">
        <w:rPr>
          <w:i/>
          <w:iCs/>
        </w:rPr>
        <w:t>see</w:t>
      </w:r>
      <w:r>
        <w:t xml:space="preserve"> Attachment 1).</w:t>
      </w:r>
      <w:r w:rsidRPr="00FF590C">
        <w:t xml:space="preserve"> </w:t>
      </w:r>
    </w:p>
    <w:p w:rsidRPr="00CB7331" w:rsidR="000C1980" w:rsidP="001968DC" w:rsidRDefault="000C1980" w14:paraId="1273FC5C" w14:textId="77777777">
      <w:pPr>
        <w:pStyle w:val="Heading4"/>
        <w:ind w:left="3600"/>
      </w:pPr>
      <w:bookmarkStart w:name="_Toc69948173" w:id="526"/>
      <w:r w:rsidRPr="00CB7331">
        <w:t xml:space="preserve">SCE Budgets: </w:t>
      </w:r>
      <w:r w:rsidRPr="00A06183">
        <w:rPr>
          <w:u w:val="single"/>
        </w:rPr>
        <w:t>Approved with Modifications</w:t>
      </w:r>
      <w:bookmarkEnd w:id="526"/>
    </w:p>
    <w:p w:rsidR="000C1980" w:rsidP="0023091F" w:rsidRDefault="000C1980" w14:paraId="06A50F6C" w14:textId="00EFCD50">
      <w:pPr>
        <w:pStyle w:val="ALJBodyText"/>
      </w:pPr>
      <w:r>
        <w:t>We approve SCE’s proposed budget spend for PYs 202</w:t>
      </w:r>
      <w:r w:rsidR="000356C8">
        <w:t>2</w:t>
      </w:r>
      <w:r>
        <w:t>-2026, less 10 percent</w:t>
      </w:r>
      <w:r w:rsidR="00240A3F">
        <w:t>,</w:t>
      </w:r>
      <w:r w:rsidRPr="00240A3F" w:rsidR="00240A3F">
        <w:t xml:space="preserve"> </w:t>
      </w:r>
      <w:r w:rsidR="00240A3F">
        <w:t xml:space="preserve">and the </w:t>
      </w:r>
      <w:r w:rsidR="000356C8">
        <w:t xml:space="preserve">bridge funding budget </w:t>
      </w:r>
      <w:r w:rsidR="00240A3F">
        <w:t xml:space="preserve">for </w:t>
      </w:r>
      <w:r w:rsidR="000356C8">
        <w:t xml:space="preserve">the remainder of </w:t>
      </w:r>
      <w:r w:rsidR="00240A3F">
        <w:t>PY 2021,</w:t>
      </w:r>
      <w:r>
        <w:t xml:space="preserve"> as discussed above.  </w:t>
      </w:r>
      <w:r w:rsidRPr="003F0481">
        <w:t>From 2017 to 20</w:t>
      </w:r>
      <w:r>
        <w:t>20</w:t>
      </w:r>
      <w:r w:rsidRPr="003F0481">
        <w:t xml:space="preserve"> </w:t>
      </w:r>
      <w:r>
        <w:t>SCE</w:t>
      </w:r>
      <w:r w:rsidRPr="003F0481">
        <w:t xml:space="preserve"> exceeded </w:t>
      </w:r>
      <w:r>
        <w:t>its</w:t>
      </w:r>
      <w:r w:rsidRPr="003F0481">
        <w:t xml:space="preserve"> electric savings targets </w:t>
      </w:r>
      <w:r>
        <w:t>by about 27</w:t>
      </w:r>
      <w:r w:rsidRPr="00E1050D">
        <w:t xml:space="preserve"> </w:t>
      </w:r>
      <w:r w:rsidRPr="0026503D">
        <w:t>percent</w:t>
      </w:r>
      <w:r>
        <w:t xml:space="preserve"> while </w:t>
      </w:r>
      <w:r w:rsidRPr="003F0481">
        <w:t xml:space="preserve">spending </w:t>
      </w:r>
      <w:r>
        <w:t xml:space="preserve">at or above </w:t>
      </w:r>
      <w:r w:rsidRPr="003F0481">
        <w:t>the budget each year</w:t>
      </w:r>
      <w:r>
        <w:t xml:space="preserve"> (except pandemic-impacted 2020)</w:t>
      </w:r>
      <w:r w:rsidRPr="003F0481">
        <w:t xml:space="preserve">, </w:t>
      </w:r>
      <w:r>
        <w:t>collectively</w:t>
      </w:r>
      <w:r w:rsidRPr="003F0481">
        <w:t xml:space="preserve"> </w:t>
      </w:r>
      <w:r>
        <w:t>spending approximately 98 </w:t>
      </w:r>
      <w:r w:rsidRPr="0026503D">
        <w:t>percent</w:t>
      </w:r>
      <w:r>
        <w:t xml:space="preserve"> of its authorized budget, with an average investment per home of $766. The budget approved here, even after the 10</w:t>
      </w:r>
      <w:r w:rsidRPr="00E1050D">
        <w:t xml:space="preserve"> </w:t>
      </w:r>
      <w:r w:rsidRPr="0026503D">
        <w:t>percent</w:t>
      </w:r>
      <w:r>
        <w:t xml:space="preserve"> reduction, will provide an average program investment per treated home of $1,463, which is a 91</w:t>
      </w:r>
      <w:r w:rsidRPr="00E1050D">
        <w:t xml:space="preserve"> </w:t>
      </w:r>
      <w:r w:rsidRPr="0026503D">
        <w:t>percent</w:t>
      </w:r>
      <w:r>
        <w:t xml:space="preserve"> increase from previous years. Given SCE’s new design to target high energy users, we believe that a modest reduction in the budget and the number of household treatments does not affect the savings potential per home or the average program investment per home and will allow SCE to still reach its savings goals.  We have </w:t>
      </w:r>
      <w:r>
        <w:lastRenderedPageBreak/>
        <w:t>also set aside 4</w:t>
      </w:r>
      <w:r w:rsidRPr="00E1050D">
        <w:t xml:space="preserve"> </w:t>
      </w:r>
      <w:r w:rsidRPr="0026503D">
        <w:t>percent</w:t>
      </w:r>
      <w:r>
        <w:t>, or $19 million of this budget for the Staff Proposal Pilot Plus and Pilot Deep measure packages</w:t>
      </w:r>
      <w:r w:rsidRPr="00FF590C">
        <w:t xml:space="preserve">. </w:t>
      </w:r>
      <w:r>
        <w:t xml:space="preserve"> Accordingly, SCE’</w:t>
      </w:r>
      <w:r w:rsidRPr="00FF590C">
        <w:t>s portfolio savings</w:t>
      </w:r>
      <w:r>
        <w:t xml:space="preserve"> goals</w:t>
      </w:r>
      <w:r w:rsidRPr="00FF590C">
        <w:t xml:space="preserve"> and </w:t>
      </w:r>
      <w:r>
        <w:t xml:space="preserve">household </w:t>
      </w:r>
      <w:r w:rsidRPr="00FF590C">
        <w:t>treatments</w:t>
      </w:r>
      <w:r>
        <w:t xml:space="preserve"> targets have been reduced to </w:t>
      </w:r>
      <w:r w:rsidRPr="00FF590C">
        <w:t xml:space="preserve">account for </w:t>
      </w:r>
      <w:r>
        <w:t xml:space="preserve">the budget reduction and </w:t>
      </w:r>
      <w:r w:rsidRPr="00FF590C">
        <w:t>this set-aside</w:t>
      </w:r>
      <w:r>
        <w:t>, (</w:t>
      </w:r>
      <w:r w:rsidRPr="00024B41">
        <w:rPr>
          <w:i/>
          <w:iCs/>
        </w:rPr>
        <w:t>see</w:t>
      </w:r>
      <w:r>
        <w:t xml:space="preserve"> Attachment 1).</w:t>
      </w:r>
    </w:p>
    <w:p w:rsidRPr="00CB7331" w:rsidR="000C1980" w:rsidP="001968DC" w:rsidRDefault="000C1980" w14:paraId="054D45FB" w14:textId="77777777">
      <w:pPr>
        <w:pStyle w:val="Heading4"/>
        <w:ind w:left="3600"/>
      </w:pPr>
      <w:bookmarkStart w:name="_Toc69948174" w:id="527"/>
      <w:r w:rsidRPr="00CB7331">
        <w:t xml:space="preserve">SoCalGas Budgets: </w:t>
      </w:r>
      <w:r w:rsidRPr="00A06183">
        <w:rPr>
          <w:u w:val="single"/>
        </w:rPr>
        <w:t>Approved with Modifications</w:t>
      </w:r>
      <w:bookmarkEnd w:id="527"/>
    </w:p>
    <w:p w:rsidR="000C1980" w:rsidP="0023091F" w:rsidRDefault="000C1980" w14:paraId="008253F4" w14:textId="585E7358">
      <w:pPr>
        <w:pStyle w:val="ALJBodyText"/>
      </w:pPr>
      <w:r>
        <w:t>We approve SoCalGas’ proposed budget spend for PYs 202</w:t>
      </w:r>
      <w:r w:rsidR="00C36E77">
        <w:t>2</w:t>
      </w:r>
      <w:r>
        <w:t>-2026, less 10 percent</w:t>
      </w:r>
      <w:r w:rsidR="00240A3F">
        <w:t>,</w:t>
      </w:r>
      <w:r w:rsidRPr="00240A3F" w:rsidR="00240A3F">
        <w:t xml:space="preserve"> </w:t>
      </w:r>
      <w:r w:rsidR="00240A3F">
        <w:t xml:space="preserve">and the </w:t>
      </w:r>
      <w:r w:rsidR="00C36E77">
        <w:t>bridge funding</w:t>
      </w:r>
      <w:r w:rsidR="005D30DF">
        <w:t xml:space="preserve"> budget</w:t>
      </w:r>
      <w:r w:rsidR="00240A3F">
        <w:t xml:space="preserve"> for </w:t>
      </w:r>
      <w:r w:rsidR="005D30DF">
        <w:t xml:space="preserve">the remainder of </w:t>
      </w:r>
      <w:r w:rsidR="00240A3F">
        <w:t>PY 2021</w:t>
      </w:r>
      <w:r w:rsidR="006D7D0F">
        <w:t>,</w:t>
      </w:r>
      <w:r>
        <w:t xml:space="preserve"> as discussed above.  </w:t>
      </w:r>
      <w:r w:rsidRPr="003F0481">
        <w:t>From 2017 to 20</w:t>
      </w:r>
      <w:r>
        <w:t>20</w:t>
      </w:r>
      <w:r w:rsidRPr="003F0481">
        <w:t xml:space="preserve"> </w:t>
      </w:r>
      <w:r>
        <w:t>SoCalGas</w:t>
      </w:r>
      <w:r w:rsidRPr="003F0481">
        <w:t xml:space="preserve"> </w:t>
      </w:r>
      <w:r>
        <w:t xml:space="preserve">fell short of its energy </w:t>
      </w:r>
      <w:r w:rsidRPr="003F0481">
        <w:t xml:space="preserve">savings targets </w:t>
      </w:r>
      <w:r>
        <w:t>(below 25</w:t>
      </w:r>
      <w:r w:rsidRPr="00E1050D">
        <w:t xml:space="preserve"> </w:t>
      </w:r>
      <w:r w:rsidRPr="0026503D">
        <w:t>percent</w:t>
      </w:r>
      <w:r>
        <w:t>) and under</w:t>
      </w:r>
      <w:r w:rsidRPr="003F0481">
        <w:t>spen</w:t>
      </w:r>
      <w:r>
        <w:t>t its</w:t>
      </w:r>
      <w:r w:rsidRPr="003F0481">
        <w:t xml:space="preserve"> budget </w:t>
      </w:r>
      <w:r>
        <w:t>by at least 24</w:t>
      </w:r>
      <w:r w:rsidRPr="00E1050D">
        <w:t xml:space="preserve"> </w:t>
      </w:r>
      <w:r w:rsidRPr="0026503D">
        <w:t>percent</w:t>
      </w:r>
      <w:r>
        <w:t xml:space="preserve"> </w:t>
      </w:r>
      <w:r w:rsidRPr="003F0481">
        <w:t xml:space="preserve">each year, </w:t>
      </w:r>
      <w:r>
        <w:t>collectively spending approximately 70</w:t>
      </w:r>
      <w:r w:rsidRPr="00E1050D">
        <w:t xml:space="preserve"> </w:t>
      </w:r>
      <w:r w:rsidRPr="0026503D">
        <w:t>percent</w:t>
      </w:r>
      <w:r>
        <w:t xml:space="preserve"> of its authorized budget, with an average investment per home of $873.  The budget approved here, even after the 10</w:t>
      </w:r>
      <w:r w:rsidRPr="00E1050D">
        <w:t xml:space="preserve"> </w:t>
      </w:r>
      <w:r w:rsidRPr="0026503D">
        <w:t>percent</w:t>
      </w:r>
      <w:r>
        <w:t xml:space="preserve"> reduction, will provide an average program investment per treated home of $1,233, which is a 41</w:t>
      </w:r>
      <w:r w:rsidRPr="00E1050D">
        <w:t xml:space="preserve"> </w:t>
      </w:r>
      <w:r w:rsidRPr="0026503D">
        <w:t>percent</w:t>
      </w:r>
      <w:r>
        <w:t xml:space="preserve"> increase from previous years.  Given SoCalGas’ new design to balance energy savings with HCS improvements, we believe that a modest reduction in the budget and the number of household treatments does not affect the customer-centric program design and average program investment per home and will allow SoCalGas to still reach its program goals.  We also set aside 4</w:t>
      </w:r>
      <w:r w:rsidRPr="00E1050D">
        <w:t xml:space="preserve"> </w:t>
      </w:r>
      <w:r w:rsidRPr="0026503D">
        <w:t>percent</w:t>
      </w:r>
      <w:r>
        <w:t>, or $33 million for the Staff Proposal Pilot Plus and Pilot Deep measure packages</w:t>
      </w:r>
      <w:r w:rsidRPr="00FF590C">
        <w:t xml:space="preserve">. </w:t>
      </w:r>
      <w:r>
        <w:t>Accordingly, SoCalGas’</w:t>
      </w:r>
      <w:r w:rsidRPr="00FF590C">
        <w:t xml:space="preserve"> portfolio savings </w:t>
      </w:r>
      <w:r>
        <w:t xml:space="preserve">goals </w:t>
      </w:r>
      <w:r w:rsidRPr="00FF590C">
        <w:t xml:space="preserve">and </w:t>
      </w:r>
      <w:r>
        <w:t xml:space="preserve">household </w:t>
      </w:r>
      <w:r w:rsidRPr="00FF590C">
        <w:t>treatments</w:t>
      </w:r>
      <w:r>
        <w:t xml:space="preserve"> targets have been reduced to </w:t>
      </w:r>
      <w:r w:rsidRPr="00FF590C">
        <w:t xml:space="preserve">account for </w:t>
      </w:r>
      <w:r>
        <w:t xml:space="preserve">the budget reduction and </w:t>
      </w:r>
      <w:r w:rsidRPr="00FF590C">
        <w:t>this set-aside</w:t>
      </w:r>
      <w:r>
        <w:t>,</w:t>
      </w:r>
      <w:r w:rsidRPr="00967DD8">
        <w:t xml:space="preserve"> </w:t>
      </w:r>
      <w:r>
        <w:t>(</w:t>
      </w:r>
      <w:r w:rsidRPr="00024B41">
        <w:rPr>
          <w:i/>
          <w:iCs/>
        </w:rPr>
        <w:t>see</w:t>
      </w:r>
      <w:r>
        <w:t xml:space="preserve"> Attachment 1).</w:t>
      </w:r>
      <w:r w:rsidRPr="00FF590C">
        <w:t xml:space="preserve">   </w:t>
      </w:r>
    </w:p>
    <w:p w:rsidRPr="00CB7331" w:rsidR="000C1980" w:rsidP="001968DC" w:rsidRDefault="000C1980" w14:paraId="22DB59BC" w14:textId="77777777">
      <w:pPr>
        <w:pStyle w:val="Heading4"/>
        <w:ind w:left="3600"/>
      </w:pPr>
      <w:bookmarkStart w:name="_Toc69948175" w:id="528"/>
      <w:r w:rsidRPr="00CB7331">
        <w:t xml:space="preserve">SDG&amp;E Budgets: </w:t>
      </w:r>
      <w:r w:rsidRPr="00A06183">
        <w:rPr>
          <w:u w:val="single"/>
        </w:rPr>
        <w:t>Approved with Modifications</w:t>
      </w:r>
      <w:bookmarkEnd w:id="528"/>
    </w:p>
    <w:p w:rsidR="000C1980" w:rsidP="0023091F" w:rsidRDefault="000C1980" w14:paraId="540E4D93" w14:textId="3A7BEEF8">
      <w:pPr>
        <w:pStyle w:val="ALJBodyText"/>
      </w:pPr>
      <w:r>
        <w:t>We approve SDG&amp;E’s proposed budget spend for PYs 2021-2026, less 10 percent</w:t>
      </w:r>
      <w:r w:rsidR="006D7D0F">
        <w:t>,</w:t>
      </w:r>
      <w:r w:rsidRPr="006D7D0F" w:rsidR="006D7D0F">
        <w:t xml:space="preserve"> </w:t>
      </w:r>
      <w:r w:rsidR="006D7D0F">
        <w:t xml:space="preserve">and the </w:t>
      </w:r>
      <w:r w:rsidR="005D30DF">
        <w:t>bridge funding budget</w:t>
      </w:r>
      <w:r w:rsidR="006D7D0F">
        <w:t xml:space="preserve"> for </w:t>
      </w:r>
      <w:r w:rsidR="005D30DF">
        <w:t xml:space="preserve">the remainder of </w:t>
      </w:r>
      <w:r w:rsidR="006D7D0F">
        <w:t>PY 2021,</w:t>
      </w:r>
      <w:r>
        <w:t xml:space="preserve"> as discussed above.  From 2017 to 2020 SDG&amp;E fell short of its energy savings targets (below 50</w:t>
      </w:r>
      <w:r w:rsidRPr="00976186">
        <w:t xml:space="preserve"> </w:t>
      </w:r>
      <w:r w:rsidRPr="0026503D">
        <w:t>percent</w:t>
      </w:r>
      <w:r>
        <w:t>) and underspent its budget by at least 28 </w:t>
      </w:r>
      <w:r w:rsidRPr="0026503D">
        <w:t>percent</w:t>
      </w:r>
      <w:r>
        <w:t xml:space="preserve"> each </w:t>
      </w:r>
      <w:r>
        <w:lastRenderedPageBreak/>
        <w:t>year, collectively spending approximately 58</w:t>
      </w:r>
      <w:r w:rsidRPr="00976186">
        <w:t xml:space="preserve"> </w:t>
      </w:r>
      <w:r w:rsidRPr="0026503D">
        <w:t>percent</w:t>
      </w:r>
      <w:r>
        <w:t xml:space="preserve"> of its authorized budget, with an average investment per home of $1,061.  The budget approved here, even after the 10</w:t>
      </w:r>
      <w:r w:rsidRPr="00976186">
        <w:t xml:space="preserve"> </w:t>
      </w:r>
      <w:r w:rsidRPr="0026503D">
        <w:t>percent</w:t>
      </w:r>
      <w:r>
        <w:t xml:space="preserve"> reduction, will provide an average program investment per treated home of $1,460, which is a 38</w:t>
      </w:r>
      <w:r w:rsidRPr="00976186">
        <w:t xml:space="preserve"> </w:t>
      </w:r>
      <w:r w:rsidRPr="0026503D">
        <w:t>percent</w:t>
      </w:r>
      <w:r>
        <w:t xml:space="preserve"> increase from previous years. Given SDG&amp;E’s new design targeting need states with audits and a tiered approach, we believe that a modest reduction in the budget does not affect the proposed program design and average program investment per home and will allow SDG&amp;E to still reach its program goals.  We also set aside 4</w:t>
      </w:r>
      <w:r w:rsidRPr="00976186">
        <w:t xml:space="preserve"> </w:t>
      </w:r>
      <w:r w:rsidRPr="0026503D">
        <w:t>percent</w:t>
      </w:r>
      <w:r>
        <w:t xml:space="preserve">, or $8 million of this budget for the Staff Proposal Pilot Plus and Pilot Deep measure packages.  Accordingly, SDG&amp;E’s </w:t>
      </w:r>
      <w:r w:rsidRPr="00FF590C">
        <w:t xml:space="preserve">portfolio savings </w:t>
      </w:r>
      <w:r>
        <w:t xml:space="preserve">goals </w:t>
      </w:r>
      <w:r w:rsidRPr="00FF590C">
        <w:t xml:space="preserve">and </w:t>
      </w:r>
      <w:r>
        <w:t xml:space="preserve">household </w:t>
      </w:r>
      <w:r w:rsidRPr="00FF590C">
        <w:t>treatments</w:t>
      </w:r>
      <w:r>
        <w:t xml:space="preserve"> targets have been reduced to </w:t>
      </w:r>
      <w:r w:rsidRPr="00FF590C">
        <w:t xml:space="preserve">account for </w:t>
      </w:r>
      <w:r>
        <w:t xml:space="preserve">the budget reduction and </w:t>
      </w:r>
      <w:r w:rsidRPr="00FF590C">
        <w:t>this set-aside</w:t>
      </w:r>
      <w:r>
        <w:t>,</w:t>
      </w:r>
      <w:r w:rsidRPr="00967DD8">
        <w:t xml:space="preserve"> </w:t>
      </w:r>
      <w:r>
        <w:t>(</w:t>
      </w:r>
      <w:r w:rsidRPr="00024B41">
        <w:rPr>
          <w:i/>
          <w:iCs/>
        </w:rPr>
        <w:t>see</w:t>
      </w:r>
      <w:r>
        <w:t xml:space="preserve"> Attachment 1).   </w:t>
      </w:r>
    </w:p>
    <w:p w:rsidRPr="00CB7331" w:rsidR="000C1980" w:rsidP="001968DC" w:rsidRDefault="000C1980" w14:paraId="43C2E24C" w14:textId="77777777">
      <w:pPr>
        <w:pStyle w:val="Heading4"/>
        <w:ind w:left="3600"/>
      </w:pPr>
      <w:bookmarkStart w:name="_Toc69948176" w:id="529"/>
      <w:r w:rsidRPr="00CB7331">
        <w:t xml:space="preserve">10 percent Administrative Cap: </w:t>
      </w:r>
      <w:r w:rsidRPr="009F1C03">
        <w:rPr>
          <w:u w:val="single"/>
        </w:rPr>
        <w:t>Approved with Modifications</w:t>
      </w:r>
      <w:bookmarkEnd w:id="529"/>
    </w:p>
    <w:p w:rsidR="000C1980" w:rsidP="0023091F" w:rsidRDefault="000C1980" w14:paraId="26705055" w14:textId="2973A699">
      <w:pPr>
        <w:pStyle w:val="ALJBodyText"/>
      </w:pPr>
      <w:r>
        <w:t xml:space="preserve">We approve a </w:t>
      </w:r>
      <w:r w:rsidRPr="00FF72D0">
        <w:t xml:space="preserve">cap on administrative </w:t>
      </w:r>
      <w:r w:rsidRPr="001126F1">
        <w:t xml:space="preserve">expenses for the ESA program </w:t>
      </w:r>
      <w:r w:rsidR="00A06183">
        <w:t>at</w:t>
      </w:r>
      <w:r w:rsidRPr="001126F1">
        <w:t xml:space="preserve"> either 10 percent of total program costs, or the IOU’s historical five-year average spend on administrative costs as a percentage of total program costs, whichever is greater. </w:t>
      </w:r>
      <w:r>
        <w:t xml:space="preserve"> We phase out the use of the historical five-year average spend such that the IOUs must propose to spend no more than 10 percent of total program costs on administrative costs starting in program year 2024.  We agree with Cal Advocates that a closer examination of administrative costs is needed and believe that this cap will a</w:t>
      </w:r>
      <w:r w:rsidRPr="00FF72D0">
        <w:t xml:space="preserve">dd budgeting and spending discipline to the </w:t>
      </w:r>
      <w:r>
        <w:t xml:space="preserve">program and encourage the IOUs to seek administrative efficiencies while </w:t>
      </w:r>
      <w:r w:rsidRPr="00FF72D0">
        <w:t>direct</w:t>
      </w:r>
      <w:r>
        <w:t>ing</w:t>
      </w:r>
      <w:r w:rsidRPr="00FF72D0">
        <w:t xml:space="preserve"> more funds to customers. </w:t>
      </w:r>
    </w:p>
    <w:p w:rsidRPr="00CB7331" w:rsidR="000C1980" w:rsidP="001968DC" w:rsidRDefault="000C1980" w14:paraId="3DC694BC" w14:textId="77777777">
      <w:pPr>
        <w:pStyle w:val="Heading4"/>
        <w:ind w:left="3600"/>
      </w:pPr>
      <w:bookmarkStart w:name="_Toc69948177" w:id="530"/>
      <w:r w:rsidRPr="00CB7331">
        <w:lastRenderedPageBreak/>
        <w:t xml:space="preserve">Assessment of Administrative Cost Categories: </w:t>
      </w:r>
      <w:r w:rsidRPr="004E5156">
        <w:rPr>
          <w:u w:val="single"/>
        </w:rPr>
        <w:t>Denied</w:t>
      </w:r>
      <w:bookmarkEnd w:id="530"/>
    </w:p>
    <w:p w:rsidR="000C1980" w:rsidP="0023091F" w:rsidRDefault="000C1980" w14:paraId="0644D18F" w14:textId="4B0A992D">
      <w:pPr>
        <w:pStyle w:val="ALJBodyText"/>
      </w:pPr>
      <w:r>
        <w:t xml:space="preserve">We deny the proposal to form a separate working group </w:t>
      </w:r>
      <w:r w:rsidRPr="00FF72D0">
        <w:t xml:space="preserve">dedicated </w:t>
      </w:r>
      <w:r>
        <w:t xml:space="preserve">specifically to </w:t>
      </w:r>
      <w:r w:rsidRPr="00FF72D0">
        <w:t>defin</w:t>
      </w:r>
      <w:r>
        <w:t>ing</w:t>
      </w:r>
      <w:r w:rsidRPr="00FF72D0">
        <w:t xml:space="preserve"> the administrative cost categories</w:t>
      </w:r>
      <w:r>
        <w:t xml:space="preserve"> because of the </w:t>
      </w:r>
      <w:r w:rsidR="00CB3D31">
        <w:t>history</w:t>
      </w:r>
      <w:r>
        <w:t xml:space="preserve"> of spending no more than 10 percent of total program costs on administrative costs for both the ESA common area measures program in the 2017-2020 program cycle and the 2021 ESA bridge funding period.  </w:t>
      </w:r>
      <w:r w:rsidR="00AC28C4">
        <w:t>Instead, the</w:t>
      </w:r>
      <w:r w:rsidR="00915AB4">
        <w:t xml:space="preserve"> definition </w:t>
      </w:r>
      <w:r w:rsidR="00AC28C4">
        <w:t xml:space="preserve">and categorization </w:t>
      </w:r>
      <w:r w:rsidR="00915AB4">
        <w:t xml:space="preserve">of administrative cost </w:t>
      </w:r>
      <w:r w:rsidR="00AC28C4">
        <w:t>for the ESA program shall be made consistent with that of the m</w:t>
      </w:r>
      <w:r w:rsidR="00A00343">
        <w:t>ain energy efficiency program</w:t>
      </w:r>
      <w:r w:rsidR="00AD1617">
        <w:t>.</w:t>
      </w:r>
      <w:r>
        <w:t xml:space="preserve">  We do not see a reason to deviate from this definition, as collectively, the IOUs have generally kept administrative costs at or below the 10 percent figure. In this decision, we affirm the need for each IOU to keep administrative costs at or below the 10 percent figure. </w:t>
      </w:r>
    </w:p>
    <w:p w:rsidRPr="00CB7331" w:rsidR="000C1980" w:rsidP="001968DC" w:rsidRDefault="000C1980" w14:paraId="19280596" w14:textId="77777777">
      <w:pPr>
        <w:pStyle w:val="Heading4"/>
        <w:ind w:left="3600"/>
      </w:pPr>
      <w:bookmarkStart w:name="_Toc69948178" w:id="531"/>
      <w:r w:rsidRPr="00CB7331">
        <w:t xml:space="preserve">Audit of SDG&amp;E’s Administrative Costs: </w:t>
      </w:r>
      <w:r w:rsidRPr="006637B9">
        <w:rPr>
          <w:u w:val="single"/>
        </w:rPr>
        <w:t>Denied</w:t>
      </w:r>
      <w:bookmarkEnd w:id="531"/>
    </w:p>
    <w:p w:rsidR="000C1980" w:rsidP="0023091F" w:rsidRDefault="000C1980" w14:paraId="2F6B0C88" w14:textId="77777777">
      <w:pPr>
        <w:pStyle w:val="ALJBodyText"/>
        <w:rPr>
          <w:b/>
          <w:bCs/>
          <w:i/>
          <w:iCs/>
          <w:u w:val="single"/>
        </w:rPr>
      </w:pPr>
      <w:r>
        <w:t xml:space="preserve">At this time, we will not require a separate audit of SDG&amp;E’s administrative cost and spending.  We believe that the administrative cost cap adopted in this decision will address the issue of SDG&amp;E’s excessive spending in this category, making an audit moot.  Additionally, annual audits performed by the Commission’s Water and Audits group should be sufficient in the oversight and review of SDG&amp;E’s administrative expenses.  </w:t>
      </w:r>
    </w:p>
    <w:p w:rsidRPr="00CB7331" w:rsidR="000C1980" w:rsidP="001968DC" w:rsidRDefault="000C1980" w14:paraId="38CC8A5C" w14:textId="77777777">
      <w:pPr>
        <w:pStyle w:val="Heading4"/>
        <w:ind w:left="3600"/>
      </w:pPr>
      <w:bookmarkStart w:name="_Toc69948179" w:id="532"/>
      <w:r w:rsidRPr="00CB7331">
        <w:t xml:space="preserve">Requirement of Lowest Cost for Measures: </w:t>
      </w:r>
      <w:r w:rsidRPr="006637B9">
        <w:rPr>
          <w:u w:val="single"/>
        </w:rPr>
        <w:t>Denied</w:t>
      </w:r>
      <w:bookmarkEnd w:id="532"/>
    </w:p>
    <w:p w:rsidRPr="0056667A" w:rsidR="000C1980" w:rsidP="0023091F" w:rsidRDefault="000C1980" w14:paraId="19E4B3CE" w14:textId="0F3A5DC0">
      <w:pPr>
        <w:pStyle w:val="ALJBodyText"/>
      </w:pPr>
      <w:r w:rsidRPr="0056667A">
        <w:t xml:space="preserve">We deny Cal Advocates’ request to require the IOUs to use the lowest cost for measures. </w:t>
      </w:r>
      <w:r>
        <w:t xml:space="preserve"> </w:t>
      </w:r>
      <w:r w:rsidR="00587471">
        <w:t>M</w:t>
      </w:r>
      <w:r w:rsidRPr="0056667A">
        <w:t xml:space="preserve">easure costs can vary by IOU for a variety of reasons, including differences in geography, climate, and housing type, as well as contractor operations. </w:t>
      </w:r>
      <w:r>
        <w:t xml:space="preserve"> </w:t>
      </w:r>
      <w:r w:rsidRPr="0056667A">
        <w:t xml:space="preserve">We </w:t>
      </w:r>
      <w:r>
        <w:t xml:space="preserve">find that </w:t>
      </w:r>
      <w:r w:rsidRPr="0056667A">
        <w:t xml:space="preserve">the contracting requirements outlined in </w:t>
      </w:r>
      <w:r>
        <w:t>Section 6.14.8.1</w:t>
      </w:r>
      <w:r w:rsidRPr="0056667A">
        <w:t xml:space="preserve"> of this decision will bring about an open, transparent, and competitive </w:t>
      </w:r>
      <w:r w:rsidRPr="0056667A">
        <w:lastRenderedPageBreak/>
        <w:t xml:space="preserve">solicitation process to deliver the ESA program to customers that balances energy savings and hardship reduction with proper use of ratepayer funds.   </w:t>
      </w:r>
    </w:p>
    <w:p w:rsidRPr="00CB7331" w:rsidR="000C1980" w:rsidP="001968DC" w:rsidRDefault="000C1980" w14:paraId="75D2AB24" w14:textId="77777777">
      <w:pPr>
        <w:pStyle w:val="Heading4"/>
        <w:ind w:left="3960" w:hanging="1440"/>
      </w:pPr>
      <w:bookmarkStart w:name="_Toc69948180" w:id="533"/>
      <w:r w:rsidRPr="00CB7331">
        <w:t xml:space="preserve">Funding for Broadband Efforts: </w:t>
      </w:r>
      <w:r w:rsidRPr="007F01B2">
        <w:rPr>
          <w:u w:val="single"/>
        </w:rPr>
        <w:t>Approved per Joint Stipulation</w:t>
      </w:r>
      <w:bookmarkEnd w:id="533"/>
    </w:p>
    <w:p w:rsidR="000C1980" w:rsidP="0023091F" w:rsidRDefault="000C1980" w14:paraId="2DFC84F5" w14:textId="57B88758">
      <w:pPr>
        <w:pStyle w:val="ALJBodyText"/>
      </w:pPr>
      <w:r>
        <w:t>As discussed in Sections 4.3.8.2 of this decision, w</w:t>
      </w:r>
      <w:r w:rsidRPr="00CB412C">
        <w:t xml:space="preserve">e direct the IOUs to coordinate cross-promotion of the </w:t>
      </w:r>
      <w:proofErr w:type="spellStart"/>
      <w:r w:rsidRPr="00CB412C">
        <w:t>LifeLine</w:t>
      </w:r>
      <w:proofErr w:type="spellEnd"/>
      <w:r w:rsidRPr="00CB412C">
        <w:t xml:space="preserve"> and affordable broadband programs with current ESA/CARE/FERA marketing efforts.</w:t>
      </w:r>
      <w:r>
        <w:t xml:space="preserve"> See</w:t>
      </w:r>
      <w:r w:rsidRPr="00CB412C">
        <w:t xml:space="preserve"> </w:t>
      </w:r>
      <w:r>
        <w:t xml:space="preserve">Section 4.3.8.2 for </w:t>
      </w:r>
      <w:r w:rsidR="006E54B7">
        <w:t xml:space="preserve">more </w:t>
      </w:r>
      <w:r>
        <w:t xml:space="preserve">details per the Joint Stipulation and funding arrangements. </w:t>
      </w:r>
    </w:p>
    <w:p w:rsidRPr="00355BF2" w:rsidR="000C1980" w:rsidP="001968DC" w:rsidRDefault="000C1980" w14:paraId="4B856EAA" w14:textId="77777777">
      <w:pPr>
        <w:pStyle w:val="Heading4"/>
        <w:ind w:left="3960" w:hanging="1440"/>
        <w:rPr>
          <w:u w:val="single"/>
        </w:rPr>
      </w:pPr>
      <w:bookmarkStart w:name="_Toc69948181" w:id="534"/>
      <w:r w:rsidRPr="00CB7331">
        <w:t xml:space="preserve">Use of Unspent Funds to Offset Future Collections: </w:t>
      </w:r>
      <w:r w:rsidRPr="00355BF2">
        <w:rPr>
          <w:u w:val="single"/>
        </w:rPr>
        <w:t>Approved with Modifications</w:t>
      </w:r>
      <w:bookmarkEnd w:id="534"/>
    </w:p>
    <w:p w:rsidR="000C1980" w:rsidP="0023091F" w:rsidRDefault="000C1980" w14:paraId="58F34A6B" w14:textId="1E638901">
      <w:pPr>
        <w:pStyle w:val="ALJBodyText"/>
      </w:pPr>
      <w:r>
        <w:t>We approve the IOUs’ requests to use all unspent and uncommitted funds remaining at the end of the 2020 program cycle</w:t>
      </w:r>
      <w:r w:rsidRPr="00150EE1">
        <w:t xml:space="preserve"> </w:t>
      </w:r>
      <w:r>
        <w:t xml:space="preserve">and the 2021 bridge period to offset future collections.  We also approve SCE’s request to annually carry over any unspent and uncommitted funds remaining at the end of each year to offset </w:t>
      </w:r>
      <w:r w:rsidRPr="008A4262">
        <w:t xml:space="preserve">the next year’s </w:t>
      </w:r>
      <w:r>
        <w:t>collections.  This change will ease the accounting and tracking of ESA expenditures, bring clarity and transparency to where the underspending occurs and why, and will avoid the large accumulation of unspent funds that has become too common in previous years. This change will apply to all the IOUs and their treatment of unspent and uncommitted funds.  Lastly, we reaffirm that any unspent funds shall not be s</w:t>
      </w:r>
      <w:r w:rsidRPr="007734DC">
        <w:t xml:space="preserve">pent for non-ESA programs for ratepayer efficiency and legal reasons. </w:t>
      </w:r>
    </w:p>
    <w:p w:rsidRPr="007263F4" w:rsidR="000C1980" w:rsidP="001968DC" w:rsidRDefault="000C1980" w14:paraId="087AE2D6" w14:textId="77777777">
      <w:pPr>
        <w:pStyle w:val="Heading2"/>
        <w:ind w:left="1728"/>
      </w:pPr>
      <w:bookmarkStart w:name="_Toc69948182" w:id="535"/>
      <w:r>
        <w:t xml:space="preserve">ESA </w:t>
      </w:r>
      <w:r w:rsidRPr="007263F4">
        <w:t xml:space="preserve">Compliance </w:t>
      </w:r>
      <w:r w:rsidRPr="00E92F4B">
        <w:t>Filing</w:t>
      </w:r>
      <w:bookmarkEnd w:id="504"/>
      <w:bookmarkEnd w:id="505"/>
      <w:bookmarkEnd w:id="535"/>
      <w:r w:rsidRPr="007263F4">
        <w:t xml:space="preserve"> </w:t>
      </w:r>
    </w:p>
    <w:bookmarkEnd w:id="506"/>
    <w:p w:rsidR="000C1980" w:rsidP="00022F55" w:rsidRDefault="000C1980" w14:paraId="6D5CD7CC" w14:textId="273BB6C2">
      <w:pPr>
        <w:pStyle w:val="Standard"/>
      </w:pPr>
      <w:r>
        <w:t>Given all the changes directed in this decision, we direct</w:t>
      </w:r>
      <w:r w:rsidRPr="0056667A">
        <w:t xml:space="preserve"> the IOUs </w:t>
      </w:r>
      <w:r>
        <w:t xml:space="preserve">to </w:t>
      </w:r>
      <w:r w:rsidRPr="0056667A">
        <w:t xml:space="preserve">meet and confer, and </w:t>
      </w:r>
      <w:r w:rsidRPr="00022F55">
        <w:t>jointly</w:t>
      </w:r>
      <w:r w:rsidRPr="0056667A">
        <w:t xml:space="preserve"> submit a</w:t>
      </w:r>
      <w:r>
        <w:t xml:space="preserve"> </w:t>
      </w:r>
      <w:r w:rsidRPr="00D12D63">
        <w:t>compliance filing</w:t>
      </w:r>
      <w:r>
        <w:t xml:space="preserve"> via a Tier 2 advice letter within </w:t>
      </w:r>
      <w:r w:rsidR="00872C4D">
        <w:t xml:space="preserve">90 </w:t>
      </w:r>
      <w:r>
        <w:t xml:space="preserve">days </w:t>
      </w:r>
      <w:r w:rsidRPr="00C47214" w:rsidR="00D52D26">
        <w:t xml:space="preserve">after the approval </w:t>
      </w:r>
      <w:r>
        <w:t xml:space="preserve">of this decision.  This compliance filing shall include </w:t>
      </w:r>
      <w:r w:rsidRPr="00F905B1">
        <w:t xml:space="preserve">details of the final </w:t>
      </w:r>
      <w:r>
        <w:t xml:space="preserve">ESA program </w:t>
      </w:r>
      <w:r w:rsidRPr="00F905B1">
        <w:t xml:space="preserve">design and delivery of the treatment tiers, including </w:t>
      </w:r>
      <w:r>
        <w:t xml:space="preserve">but not limited to, </w:t>
      </w:r>
      <w:r w:rsidRPr="00F905B1">
        <w:t xml:space="preserve">the set of measures offered within each treatment </w:t>
      </w:r>
      <w:r w:rsidRPr="00F905B1">
        <w:lastRenderedPageBreak/>
        <w:t>tier</w:t>
      </w:r>
      <w:r>
        <w:t xml:space="preserve"> and </w:t>
      </w:r>
      <w:r w:rsidRPr="00F905B1">
        <w:t>the customer segments or need states eligible for each treatment tier</w:t>
      </w:r>
      <w:r w:rsidRPr="002A6435">
        <w:t xml:space="preserve">. We direct the IOUs </w:t>
      </w:r>
      <w:r>
        <w:t xml:space="preserve">to </w:t>
      </w:r>
      <w:r w:rsidRPr="002A6435">
        <w:t xml:space="preserve">strive for alignment/conformity in how treatment </w:t>
      </w:r>
      <w:r>
        <w:t>tiers</w:t>
      </w:r>
      <w:r w:rsidRPr="002A6435">
        <w:t xml:space="preserve"> are delivered</w:t>
      </w:r>
      <w:r>
        <w:t xml:space="preserve">, </w:t>
      </w:r>
      <w:r w:rsidRPr="002A6435">
        <w:t>minimiz</w:t>
      </w:r>
      <w:r>
        <w:t>ing</w:t>
      </w:r>
      <w:r w:rsidRPr="002A6435">
        <w:t xml:space="preserve"> where there are differences/deviations</w:t>
      </w:r>
      <w:r>
        <w:t xml:space="preserve">, and </w:t>
      </w:r>
      <w:r w:rsidRPr="002A6435">
        <w:t>provid</w:t>
      </w:r>
      <w:r>
        <w:t>ing</w:t>
      </w:r>
      <w:r w:rsidRPr="002A6435">
        <w:t xml:space="preserve"> rationale for where there is no statewide consistency.  </w:t>
      </w:r>
    </w:p>
    <w:p w:rsidRPr="009C5268" w:rsidR="000C1980" w:rsidP="00022F55" w:rsidRDefault="000C1980" w14:paraId="421934BE" w14:textId="1892C91D">
      <w:pPr>
        <w:pStyle w:val="Standard"/>
      </w:pPr>
      <w:r>
        <w:t xml:space="preserve">In addition to defining the measure mix for each treatment tier and customer segments </w:t>
      </w:r>
      <w:r w:rsidRPr="00022F55">
        <w:t>in</w:t>
      </w:r>
      <w:r>
        <w:t xml:space="preserve"> the compliance filing, we also direct the IOUs to propose a </w:t>
      </w:r>
      <w:r w:rsidRPr="009C5268">
        <w:t>consistent statewide definition for low, medium, and high usage customers</w:t>
      </w:r>
      <w:r>
        <w:t xml:space="preserve">, considering that most of the </w:t>
      </w:r>
      <w:r w:rsidRPr="009C5268">
        <w:t xml:space="preserve">IOUs </w:t>
      </w:r>
      <w:r>
        <w:t>have proposed to target “h</w:t>
      </w:r>
      <w:r w:rsidRPr="009C5268">
        <w:t>igh-</w:t>
      </w:r>
      <w:r>
        <w:t>u</w:t>
      </w:r>
      <w:r w:rsidRPr="009C5268">
        <w:t>sage</w:t>
      </w:r>
      <w:r>
        <w:t>”</w:t>
      </w:r>
      <w:r w:rsidRPr="009C5268">
        <w:t xml:space="preserve"> customers. </w:t>
      </w:r>
      <w:r>
        <w:t xml:space="preserve"> As a starting point, t</w:t>
      </w:r>
      <w:r w:rsidRPr="009C5268">
        <w:t xml:space="preserve">he IOUs </w:t>
      </w:r>
      <w:r>
        <w:t xml:space="preserve">shall </w:t>
      </w:r>
      <w:r w:rsidRPr="009C5268">
        <w:t xml:space="preserve">consider the </w:t>
      </w:r>
      <w:r>
        <w:t>percentage</w:t>
      </w:r>
      <w:r w:rsidRPr="009C5268">
        <w:t xml:space="preserve"> of energy baseline use figures used in the applications’ program designs (for example, SCE’s use of 300</w:t>
      </w:r>
      <w:r w:rsidRPr="00976186">
        <w:t xml:space="preserve"> </w:t>
      </w:r>
      <w:r w:rsidRPr="0026503D">
        <w:t>percent</w:t>
      </w:r>
      <w:r w:rsidRPr="009C5268">
        <w:t xml:space="preserve"> for High-Usage customers), as well as the statute that generally identifies customers at 400</w:t>
      </w:r>
      <w:r w:rsidRPr="00976186">
        <w:t xml:space="preserve"> </w:t>
      </w:r>
      <w:r w:rsidRPr="0026503D">
        <w:t>percent</w:t>
      </w:r>
      <w:r w:rsidRPr="009C5268">
        <w:t xml:space="preserve"> or more of energy baseline use as high usage.</w:t>
      </w:r>
      <w:r w:rsidRPr="009C5268">
        <w:rPr>
          <w:rStyle w:val="FootnoteReference"/>
          <w:rFonts w:eastAsia="Times New Roman"/>
          <w:szCs w:val="26"/>
        </w:rPr>
        <w:footnoteReference w:id="765"/>
      </w:r>
      <w:r w:rsidRPr="009C5268">
        <w:t xml:space="preserve">   </w:t>
      </w:r>
    </w:p>
    <w:p w:rsidRPr="007818E4" w:rsidR="000C1980" w:rsidP="001968DC" w:rsidRDefault="000C1980" w14:paraId="5C09337D" w14:textId="77777777">
      <w:pPr>
        <w:pStyle w:val="Heading1"/>
        <w:ind w:left="720"/>
      </w:pPr>
      <w:bookmarkStart w:name="_Toc69948183" w:id="536"/>
      <w:r w:rsidRPr="007818E4">
        <w:t>Multifamily Program</w:t>
      </w:r>
      <w:bookmarkEnd w:id="536"/>
      <w:r w:rsidRPr="007818E4">
        <w:t xml:space="preserve"> </w:t>
      </w:r>
    </w:p>
    <w:p w:rsidRPr="007818E4" w:rsidR="000C1980" w:rsidP="001968DC" w:rsidRDefault="000C1980" w14:paraId="680933C6" w14:textId="77777777">
      <w:pPr>
        <w:pStyle w:val="Heading2"/>
        <w:ind w:left="1728"/>
      </w:pPr>
      <w:bookmarkStart w:name="_Toc69948184" w:id="537"/>
      <w:r w:rsidRPr="00E92F4B">
        <w:t>Background</w:t>
      </w:r>
      <w:bookmarkEnd w:id="537"/>
    </w:p>
    <w:p w:rsidRPr="00BA014C" w:rsidR="000C1980" w:rsidP="00022F55" w:rsidRDefault="000C1980" w14:paraId="44142C50" w14:textId="77777777">
      <w:pPr>
        <w:pStyle w:val="Standard"/>
      </w:pPr>
      <w:r w:rsidRPr="007818E4">
        <w:t xml:space="preserve"> Currently the ESA program offers two types of services to multifamily properties.  The first provides energy </w:t>
      </w:r>
      <w:r w:rsidRPr="00022F55">
        <w:t>efficiency</w:t>
      </w:r>
      <w:r w:rsidRPr="007818E4">
        <w:t xml:space="preserve"> measures to income qualified</w:t>
      </w:r>
      <w:r w:rsidRPr="009C5268">
        <w:t xml:space="preserve"> households living in individual units </w:t>
      </w:r>
      <w:r>
        <w:t xml:space="preserve">(in unit measures) directly benefiting the tenants, while the second provides common areas measures (CAM) </w:t>
      </w:r>
      <w:proofErr w:type="gramStart"/>
      <w:r>
        <w:t>in deed</w:t>
      </w:r>
      <w:proofErr w:type="gramEnd"/>
      <w:r>
        <w:t xml:space="preserve"> restricted multifamily buildings, directly benefiting both the tenants and the property owners.  D.16-11-002, modified by D.17-12-009, allocated $80 million of previously unspent funds to the CAM program, and required annual reporting on non-deed restricted properties’ energy consumption.  The Commission’s finding was that treating common areas in multifamily properties was nearly as </w:t>
      </w:r>
      <w:r>
        <w:lastRenderedPageBreak/>
        <w:t>important as providing in-unit measures to the</w:t>
      </w:r>
      <w:r w:rsidRPr="002B1F7D">
        <w:t xml:space="preserve"> </w:t>
      </w:r>
      <w:r>
        <w:t>tenants, as without this dual effort, effectiveness of in-unit treatment in multifamily buildings would be limited.</w:t>
      </w:r>
      <w:r w:rsidRPr="24DCB1AB">
        <w:rPr>
          <w:vertAlign w:val="superscript"/>
        </w:rPr>
        <w:footnoteReference w:id="766"/>
      </w:r>
      <w:r>
        <w:t xml:space="preserve">  </w:t>
      </w:r>
      <w:r w:rsidRPr="00BA014C">
        <w:t xml:space="preserve">The CAM program began in </w:t>
      </w:r>
      <w:r>
        <w:t>2018,</w:t>
      </w:r>
      <w:r w:rsidRPr="12251DBF">
        <w:rPr>
          <w:vertAlign w:val="superscript"/>
        </w:rPr>
        <w:footnoteReference w:id="767"/>
      </w:r>
      <w:r w:rsidRPr="00BA014C">
        <w:t xml:space="preserve"> </w:t>
      </w:r>
      <w:r>
        <w:t xml:space="preserve">and by </w:t>
      </w:r>
      <w:r w:rsidRPr="00BA014C">
        <w:t xml:space="preserve">the end of 2020, </w:t>
      </w:r>
      <w:r>
        <w:t>had treated</w:t>
      </w:r>
      <w:r w:rsidRPr="00BA014C">
        <w:t xml:space="preserve"> </w:t>
      </w:r>
      <w:r>
        <w:t>130 properties with over 8,700 units at a spend level of approximately $15 million (of the $80 million allocation).</w:t>
      </w:r>
      <w:r w:rsidRPr="764708A1">
        <w:rPr>
          <w:vertAlign w:val="superscript"/>
        </w:rPr>
        <w:footnoteReference w:id="768"/>
      </w:r>
      <w:r>
        <w:t xml:space="preserve">  </w:t>
      </w:r>
    </w:p>
    <w:p w:rsidRPr="00BA014C" w:rsidR="000C1980" w:rsidP="00022F55" w:rsidRDefault="000C1980" w14:paraId="54F4DCCB" w14:textId="77777777">
      <w:pPr>
        <w:pStyle w:val="Standard"/>
        <w:rPr>
          <w:vertAlign w:val="superscript"/>
        </w:rPr>
      </w:pPr>
      <w:r w:rsidRPr="24DCB1AB">
        <w:rPr>
          <w:b/>
          <w:bCs/>
          <w:i/>
          <w:iCs/>
          <w:u w:val="single"/>
        </w:rPr>
        <w:t>Current Eligibility and Income Qualification:</w:t>
      </w:r>
      <w:r w:rsidRPr="00BA014C">
        <w:t xml:space="preserve">  </w:t>
      </w:r>
      <w:r>
        <w:t>To qualify f</w:t>
      </w:r>
      <w:r w:rsidRPr="00BA014C">
        <w:t xml:space="preserve">or in-unit measures, </w:t>
      </w:r>
      <w:r>
        <w:t xml:space="preserve">individual units can qualify on their own if they meet the program’s income qualifications as described on Section 6.3.1.  The whole building may also qualify for in unit measures </w:t>
      </w:r>
      <w:r w:rsidRPr="00BA014C">
        <w:t xml:space="preserve">if </w:t>
      </w:r>
      <w:r>
        <w:t xml:space="preserve">at least </w:t>
      </w:r>
      <w:r w:rsidRPr="00BA014C">
        <w:t>80</w:t>
      </w:r>
      <w:r w:rsidRPr="00976186">
        <w:t xml:space="preserve"> </w:t>
      </w:r>
      <w:r w:rsidRPr="0026503D">
        <w:t>percent</w:t>
      </w:r>
      <w:r w:rsidRPr="00BA014C">
        <w:t xml:space="preserve"> of the </w:t>
      </w:r>
      <w:r>
        <w:t xml:space="preserve">units </w:t>
      </w:r>
      <w:r w:rsidRPr="00BA014C">
        <w:t xml:space="preserve">are income qualified or if that </w:t>
      </w:r>
      <w:r w:rsidRPr="00022F55">
        <w:t>building</w:t>
      </w:r>
      <w:r w:rsidRPr="00BA014C">
        <w:t xml:space="preserve"> reside</w:t>
      </w:r>
      <w:r>
        <w:t>s</w:t>
      </w:r>
      <w:r w:rsidRPr="00BA014C">
        <w:t xml:space="preserve"> within a qualified zip code or PRIZM area. </w:t>
      </w:r>
      <w:r>
        <w:t xml:space="preserve"> To qualify for </w:t>
      </w:r>
      <w:r w:rsidRPr="00BA014C">
        <w:t>common area measures, a building or property must be deed-restricted and have</w:t>
      </w:r>
      <w:r>
        <w:t xml:space="preserve"> at least</w:t>
      </w:r>
      <w:r w:rsidRPr="00BA014C">
        <w:t xml:space="preserve"> 65</w:t>
      </w:r>
      <w:r w:rsidRPr="00976186">
        <w:t xml:space="preserve"> </w:t>
      </w:r>
      <w:r w:rsidRPr="0026503D">
        <w:t>percent</w:t>
      </w:r>
      <w:r w:rsidRPr="00BA014C">
        <w:t xml:space="preserve"> of tenant </w:t>
      </w:r>
      <w:proofErr w:type="gramStart"/>
      <w:r w:rsidRPr="00BA014C">
        <w:t>households</w:t>
      </w:r>
      <w:proofErr w:type="gramEnd"/>
      <w:r w:rsidRPr="00BA014C">
        <w:t xml:space="preserve"> income qualified. </w:t>
      </w:r>
      <w:r>
        <w:t xml:space="preserve"> </w:t>
      </w:r>
      <w:r w:rsidRPr="00BA014C">
        <w:t xml:space="preserve">Additionally, D.17-12-009 ended the need </w:t>
      </w:r>
      <w:r>
        <w:t xml:space="preserve">for </w:t>
      </w:r>
      <w:r w:rsidRPr="00BA014C">
        <w:t>each household to be individually qualified, establishing an owner affidavit process</w:t>
      </w:r>
      <w:r>
        <w:t>.</w:t>
      </w:r>
      <w:r w:rsidRPr="00BA014C">
        <w:rPr>
          <w:vertAlign w:val="superscript"/>
        </w:rPr>
        <w:footnoteReference w:id="769"/>
      </w:r>
    </w:p>
    <w:p w:rsidRPr="00BA014C" w:rsidR="000C1980" w:rsidP="00022F55" w:rsidRDefault="000C1980" w14:paraId="50C72885" w14:textId="77777777">
      <w:pPr>
        <w:pStyle w:val="Standard"/>
      </w:pPr>
      <w:r w:rsidRPr="24DCB1AB">
        <w:rPr>
          <w:b/>
          <w:bCs/>
          <w:i/>
          <w:iCs/>
          <w:u w:val="single"/>
        </w:rPr>
        <w:t>Guidance for IOUs’ 2021-2026 Multifamily Program:</w:t>
      </w:r>
      <w:r w:rsidRPr="00BA014C">
        <w:t xml:space="preserve"> For program years 2021-2026, the IOUs were asked to consider how to secure deeper energy savings in multifamily households, and although allowed to continue the ESA </w:t>
      </w:r>
      <w:r>
        <w:t xml:space="preserve">in unit </w:t>
      </w:r>
      <w:r w:rsidRPr="00BA014C">
        <w:lastRenderedPageBreak/>
        <w:t xml:space="preserve">and CAM programs for </w:t>
      </w:r>
      <w:r w:rsidRPr="00022F55">
        <w:t>multifamily</w:t>
      </w:r>
      <w:r w:rsidRPr="00BA014C">
        <w:t xml:space="preserve"> units and buildings, the IOUs were directed to propose a new </w:t>
      </w:r>
      <w:r>
        <w:t>multifamily whole building (</w:t>
      </w:r>
      <w:r w:rsidRPr="00BA014C">
        <w:t>MFWB</w:t>
      </w:r>
      <w:r>
        <w:t>)</w:t>
      </w:r>
      <w:r w:rsidRPr="00BA014C">
        <w:t xml:space="preserve"> program designed and delivered by a third party.</w:t>
      </w:r>
      <w:r w:rsidRPr="00BA014C">
        <w:rPr>
          <w:vertAlign w:val="superscript"/>
        </w:rPr>
        <w:footnoteReference w:id="770"/>
      </w:r>
      <w:r w:rsidRPr="00BA014C">
        <w:t xml:space="preserve">  The IOUs’ MFWB proposal should include a Single Point of Contact (SPOC) proposal with financial technical assistance, consider opening access to non-deed restricted properties for common area or whole building treatment, and develop a central customer portal, possibly through the MFWB solicitation process. </w:t>
      </w:r>
      <w:r>
        <w:t xml:space="preserve"> </w:t>
      </w:r>
      <w:r w:rsidRPr="00BA014C">
        <w:t xml:space="preserve">The Commission indicated that while it was acceptable for the IOUs to propose to serve multifamily tenants and/or common areas by the ESA program, such proposals should not duplicate services provided by the MFWB program. </w:t>
      </w:r>
      <w:r>
        <w:t xml:space="preserve"> </w:t>
      </w:r>
      <w:r w:rsidRPr="00BA014C">
        <w:t xml:space="preserve">Additionally, a statewide program was preferred, and that SCE and SoCalGas </w:t>
      </w:r>
      <w:r>
        <w:t>were to</w:t>
      </w:r>
      <w:r w:rsidRPr="00BA014C">
        <w:t xml:space="preserve"> consider a shared program. </w:t>
      </w:r>
      <w:r>
        <w:t xml:space="preserve"> </w:t>
      </w:r>
      <w:r w:rsidRPr="00BA014C">
        <w:t xml:space="preserve">If the MFWB were to be subject to competitive bidding, it must, at a minimum follow </w:t>
      </w:r>
      <w:r w:rsidRPr="008F1EE5">
        <w:t>Pub. Util</w:t>
      </w:r>
      <w:r>
        <w:t>.</w:t>
      </w:r>
      <w:r w:rsidRPr="00BA014C">
        <w:t xml:space="preserve"> Code </w:t>
      </w:r>
      <w:r>
        <w:t xml:space="preserve">Section </w:t>
      </w:r>
      <w:r w:rsidRPr="00BA014C">
        <w:t>327(b)</w:t>
      </w:r>
      <w:r>
        <w:t xml:space="preserve"> </w:t>
      </w:r>
      <w:r w:rsidRPr="00BA014C">
        <w:t xml:space="preserve">which requires that bidding criteria recognize these aspects: knowledge of and ability to reach targeted communities, local hiring and job training, performance quality, financial stability, and other attributes to benefit local communities. </w:t>
      </w:r>
    </w:p>
    <w:p w:rsidR="000C1980" w:rsidP="00022F55" w:rsidRDefault="000C1980" w14:paraId="036A48D1" w14:textId="77777777">
      <w:pPr>
        <w:pStyle w:val="Standard"/>
      </w:pPr>
      <w:r w:rsidRPr="24DCB1AB">
        <w:rPr>
          <w:b/>
          <w:bCs/>
          <w:i/>
          <w:iCs/>
          <w:u w:val="single"/>
        </w:rPr>
        <w:t>Guidance for MCE’s 2021-2026 Multifamily Program:</w:t>
      </w:r>
      <w:r w:rsidRPr="00BA014C">
        <w:t xml:space="preserve"> Decision 17-12-009 authorized MCE $3.5</w:t>
      </w:r>
      <w:r>
        <w:t xml:space="preserve"> million</w:t>
      </w:r>
      <w:r w:rsidRPr="00BA014C">
        <w:t xml:space="preserve"> for a </w:t>
      </w:r>
      <w:proofErr w:type="gramStart"/>
      <w:r w:rsidRPr="00BA014C">
        <w:t>Low</w:t>
      </w:r>
      <w:r>
        <w:t xml:space="preserve"> </w:t>
      </w:r>
      <w:r w:rsidRPr="00BA014C">
        <w:t>Income</w:t>
      </w:r>
      <w:proofErr w:type="gramEnd"/>
      <w:r w:rsidRPr="00BA014C">
        <w:t xml:space="preserve"> Families and Tenants</w:t>
      </w:r>
      <w:r>
        <w:t xml:space="preserve">, or </w:t>
      </w:r>
      <w:r w:rsidRPr="00BA014C">
        <w:t>LIFT</w:t>
      </w:r>
      <w:r>
        <w:t>,</w:t>
      </w:r>
      <w:r w:rsidRPr="00BA014C">
        <w:t xml:space="preserve"> pilot.  The LIFT pilot </w:t>
      </w:r>
      <w:r>
        <w:t xml:space="preserve">was initially planned to last two years, from PYs 2017-2019, serving both single family and </w:t>
      </w:r>
      <w:r w:rsidRPr="00022F55">
        <w:t>multifamily</w:t>
      </w:r>
      <w:r>
        <w:t xml:space="preserve">; however, MCE reduced its scope to </w:t>
      </w:r>
      <w:r>
        <w:lastRenderedPageBreak/>
        <w:t>only multifamily via its advice letter filing.</w:t>
      </w:r>
      <w:r w:rsidRPr="7D860512">
        <w:rPr>
          <w:vertAlign w:val="superscript"/>
        </w:rPr>
        <w:footnoteReference w:id="771"/>
      </w:r>
      <w:r>
        <w:t xml:space="preserve">  </w:t>
      </w:r>
      <w:r w:rsidRPr="00BA014C">
        <w:t>D</w:t>
      </w:r>
      <w:r>
        <w:t>.</w:t>
      </w:r>
      <w:r w:rsidRPr="00BA014C">
        <w:t>17-12-009 also authorized MCE to apply in the next cycle to continue this pilot on an ongoing basis.</w:t>
      </w:r>
      <w:r>
        <w:rPr>
          <w:rStyle w:val="FootnoteReference"/>
        </w:rPr>
        <w:footnoteReference w:id="772"/>
      </w:r>
      <w:r w:rsidRPr="00BA014C">
        <w:t xml:space="preserve"> </w:t>
      </w:r>
      <w:r>
        <w:t xml:space="preserve"> D.19</w:t>
      </w:r>
      <w:r>
        <w:noBreakHyphen/>
        <w:t>06</w:t>
      </w:r>
      <w:r>
        <w:noBreakHyphen/>
        <w:t>022 allowed for time-only extensions of the pilot.</w:t>
      </w:r>
      <w:r w:rsidRPr="3CA2C926">
        <w:rPr>
          <w:vertAlign w:val="superscript"/>
        </w:rPr>
        <w:footnoteReference w:id="773"/>
      </w:r>
      <w:r>
        <w:t xml:space="preserve">  The MCE LIFT pilot offered up to $1,200 per unit for efficiency, fuel switching, and fuel substitution measures.  Between PYs 2017-2020, LIFT spent $1.57M to treat nineteen properties with 682 units and installed 125 heat pumps, 11 electrical panel upgrades, and 2 electrical conduit upgrades.</w:t>
      </w:r>
      <w:r>
        <w:rPr>
          <w:rStyle w:val="FootnoteReference"/>
        </w:rPr>
        <w:footnoteReference w:id="774"/>
      </w:r>
      <w:r>
        <w:t xml:space="preserve">  A final report detailing energy, bill, and greenhouse gas savings is expected in April 2021.   </w:t>
      </w:r>
    </w:p>
    <w:p w:rsidRPr="00025BD6" w:rsidR="000C1980" w:rsidP="001968DC" w:rsidRDefault="000C1980" w14:paraId="605E7AFE" w14:textId="77777777">
      <w:pPr>
        <w:pStyle w:val="Heading2"/>
        <w:ind w:left="1728"/>
      </w:pPr>
      <w:bookmarkStart w:name="_Toc69948185" w:id="538"/>
      <w:r>
        <w:t>PG&amp;E Proposal</w:t>
      </w:r>
      <w:bookmarkEnd w:id="538"/>
    </w:p>
    <w:p w:rsidRPr="00025BD6" w:rsidR="000C1980" w:rsidP="0023091F" w:rsidRDefault="000C1980" w14:paraId="23A15883" w14:textId="77777777">
      <w:pPr>
        <w:pStyle w:val="ALJBodyText"/>
      </w:pPr>
      <w:r w:rsidRPr="24DCB1AB">
        <w:rPr>
          <w:b/>
          <w:bCs/>
          <w:i/>
          <w:iCs/>
          <w:u w:val="single"/>
        </w:rPr>
        <w:t>Third Party Solicitation and Administration:</w:t>
      </w:r>
      <w:r w:rsidRPr="00025BD6">
        <w:t xml:space="preserve"> PG&amp;E proposes</w:t>
      </w:r>
      <w:r>
        <w:t xml:space="preserve"> to</w:t>
      </w:r>
      <w:r w:rsidRPr="00025BD6">
        <w:t xml:space="preserve"> outsource its MFWB program to a local third-party administrator, using a solicitation process that includes the use of a PRG</w:t>
      </w:r>
      <w:r>
        <w:t xml:space="preserve"> </w:t>
      </w:r>
      <w:r w:rsidRPr="00025BD6">
        <w:t xml:space="preserve">and an </w:t>
      </w:r>
      <w:r>
        <w:t>IE</w:t>
      </w:r>
      <w:r w:rsidRPr="00025BD6">
        <w:t>,</w:t>
      </w:r>
      <w:r w:rsidRPr="00025BD6">
        <w:rPr>
          <w:vertAlign w:val="superscript"/>
        </w:rPr>
        <w:footnoteReference w:id="775"/>
      </w:r>
      <w:r w:rsidRPr="00025BD6">
        <w:t xml:space="preserve"> and proposes to include all treatment of its multifamily sector (MF in-unit and CAM) through this process.</w:t>
      </w:r>
      <w:r w:rsidRPr="00025BD6">
        <w:rPr>
          <w:vertAlign w:val="superscript"/>
        </w:rPr>
        <w:footnoteReference w:id="776"/>
      </w:r>
      <w:r w:rsidRPr="00025BD6">
        <w:t xml:space="preserve"> </w:t>
      </w:r>
    </w:p>
    <w:p w:rsidR="000C1980" w:rsidP="0023091F" w:rsidRDefault="000C1980" w14:paraId="7FCD6530" w14:textId="77777777">
      <w:pPr>
        <w:pStyle w:val="ALJBodyText"/>
      </w:pPr>
      <w:r w:rsidRPr="00025BD6">
        <w:t xml:space="preserve">PG&amp;E proposes local administration, </w:t>
      </w:r>
      <w:r>
        <w:t>over</w:t>
      </w:r>
      <w:r w:rsidRPr="00025BD6">
        <w:t xml:space="preserve"> statewide administration</w:t>
      </w:r>
      <w:r>
        <w:t>,</w:t>
      </w:r>
      <w:r w:rsidRPr="00025BD6">
        <w:rPr>
          <w:vertAlign w:val="superscript"/>
        </w:rPr>
        <w:footnoteReference w:id="777"/>
      </w:r>
      <w:r w:rsidRPr="00025BD6">
        <w:t xml:space="preserve"> </w:t>
      </w:r>
      <w:r>
        <w:t xml:space="preserve">stating that this </w:t>
      </w:r>
      <w:r w:rsidRPr="00025BD6">
        <w:t xml:space="preserve">will </w:t>
      </w:r>
      <w:r>
        <w:t>allow the IOUs</w:t>
      </w:r>
      <w:r w:rsidRPr="00025BD6">
        <w:t xml:space="preserve"> to grasp and address a wide variety of implications from data challenges to regulatory reporting expectations.</w:t>
      </w:r>
      <w:r w:rsidRPr="00025BD6">
        <w:rPr>
          <w:vertAlign w:val="superscript"/>
        </w:rPr>
        <w:footnoteReference w:id="778"/>
      </w:r>
      <w:r w:rsidRPr="00025BD6">
        <w:t xml:space="preserve">  </w:t>
      </w:r>
      <w:r>
        <w:t>However</w:t>
      </w:r>
      <w:r w:rsidRPr="00025BD6">
        <w:t>, if directed to adopt a single administrator, PG&amp;E will work with the other IOUs to implement a single administrator to serve the entire state.</w:t>
      </w:r>
      <w:r w:rsidRPr="00025BD6">
        <w:rPr>
          <w:vertAlign w:val="superscript"/>
        </w:rPr>
        <w:footnoteReference w:id="779"/>
      </w:r>
      <w:r w:rsidRPr="00025BD6">
        <w:t xml:space="preserve">  </w:t>
      </w:r>
    </w:p>
    <w:p w:rsidRPr="00025BD6" w:rsidR="000C1980" w:rsidP="0023091F" w:rsidRDefault="000C1980" w14:paraId="05AFED35" w14:textId="77777777">
      <w:pPr>
        <w:pStyle w:val="ALJBodyText"/>
      </w:pPr>
      <w:r w:rsidRPr="00025BD6">
        <w:lastRenderedPageBreak/>
        <w:t>PG&amp;E proposes to begin the solicitation process in 2021 and complete it in 2022</w:t>
      </w:r>
      <w:r>
        <w:t>,</w:t>
      </w:r>
      <w:r w:rsidRPr="00025BD6">
        <w:rPr>
          <w:vertAlign w:val="superscript"/>
        </w:rPr>
        <w:footnoteReference w:id="780"/>
      </w:r>
      <w:r w:rsidRPr="00025BD6">
        <w:t xml:space="preserve"> </w:t>
      </w:r>
      <w:r>
        <w:t>estimating that the s</w:t>
      </w:r>
      <w:r w:rsidRPr="00025BD6">
        <w:t xml:space="preserve">olicitation timeline will </w:t>
      </w:r>
      <w:r>
        <w:t>take</w:t>
      </w:r>
      <w:r w:rsidRPr="00025BD6">
        <w:t xml:space="preserve"> </w:t>
      </w:r>
      <w:r>
        <w:t xml:space="preserve">fourteen to seventeen </w:t>
      </w:r>
      <w:r w:rsidRPr="00025BD6">
        <w:t>months from setup through contract award.</w:t>
      </w:r>
      <w:r w:rsidRPr="00025BD6">
        <w:rPr>
          <w:vertAlign w:val="superscript"/>
        </w:rPr>
        <w:footnoteReference w:id="781"/>
      </w:r>
    </w:p>
    <w:p w:rsidR="000C1980" w:rsidP="0023091F" w:rsidRDefault="000C1980" w14:paraId="492BCD04" w14:textId="77777777">
      <w:pPr>
        <w:pStyle w:val="ALJBodyText"/>
      </w:pPr>
      <w:r w:rsidRPr="24DCB1AB">
        <w:rPr>
          <w:b/>
          <w:bCs/>
          <w:i/>
          <w:iCs/>
          <w:u w:val="single"/>
        </w:rPr>
        <w:t>Design and Delivery:</w:t>
      </w:r>
      <w:r w:rsidRPr="00025BD6">
        <w:t xml:space="preserve">  </w:t>
      </w:r>
      <w:r>
        <w:t>PG&amp;E proposes that:</w:t>
      </w:r>
    </w:p>
    <w:p w:rsidR="000C1980" w:rsidP="00402362" w:rsidRDefault="000C1980" w14:paraId="3064E639" w14:textId="77777777">
      <w:pPr>
        <w:pStyle w:val="ListBullet"/>
      </w:pPr>
      <w:r>
        <w:t xml:space="preserve">Bidders will </w:t>
      </w:r>
      <w:r w:rsidRPr="00025BD6">
        <w:t xml:space="preserve">design the program, </w:t>
      </w:r>
      <w:r>
        <w:t xml:space="preserve">including </w:t>
      </w:r>
      <w:r w:rsidRPr="00025BD6">
        <w:t>customer acquisition</w:t>
      </w:r>
      <w:r>
        <w:t>,</w:t>
      </w:r>
      <w:r w:rsidRPr="00025BD6">
        <w:t xml:space="preserve"> outreach, enrollment, </w:t>
      </w:r>
      <w:proofErr w:type="gramStart"/>
      <w:r w:rsidRPr="00025BD6">
        <w:t>program</w:t>
      </w:r>
      <w:proofErr w:type="gramEnd"/>
      <w:r w:rsidRPr="00025BD6">
        <w:t xml:space="preserve"> and technical assistance, receiving</w:t>
      </w:r>
      <w:r>
        <w:t xml:space="preserve">/ </w:t>
      </w:r>
      <w:r w:rsidRPr="00025BD6">
        <w:t>reviewing</w:t>
      </w:r>
      <w:r>
        <w:t xml:space="preserve">/ </w:t>
      </w:r>
      <w:r w:rsidRPr="00025BD6">
        <w:t>approving all program documentation, conducting quality assurance assessments, contractor management, and all leveraging efforts.</w:t>
      </w:r>
      <w:r w:rsidRPr="00025BD6">
        <w:rPr>
          <w:vertAlign w:val="superscript"/>
        </w:rPr>
        <w:footnoteReference w:id="782"/>
      </w:r>
      <w:r w:rsidRPr="00025BD6">
        <w:t xml:space="preserve">  </w:t>
      </w:r>
    </w:p>
    <w:p w:rsidR="000C1980" w:rsidP="00402362" w:rsidRDefault="000C1980" w14:paraId="29E0F565" w14:textId="77777777">
      <w:pPr>
        <w:pStyle w:val="ListBullet"/>
      </w:pPr>
      <w:r>
        <w:t>Bidders</w:t>
      </w:r>
      <w:r w:rsidRPr="00025BD6">
        <w:t xml:space="preserve"> will include </w:t>
      </w:r>
      <w:r>
        <w:t>plans to</w:t>
      </w:r>
      <w:r w:rsidRPr="00025BD6">
        <w:t xml:space="preserve"> integrate offering existing demand response tools, </w:t>
      </w:r>
      <w:proofErr w:type="gramStart"/>
      <w:r w:rsidRPr="00025BD6">
        <w:t>technology</w:t>
      </w:r>
      <w:proofErr w:type="gramEnd"/>
      <w:r w:rsidRPr="00025BD6">
        <w:t xml:space="preserve"> or education to help multifamily households shift load to off-peak times.</w:t>
      </w:r>
      <w:r w:rsidRPr="00025BD6">
        <w:rPr>
          <w:vertAlign w:val="superscript"/>
        </w:rPr>
        <w:footnoteReference w:id="783"/>
      </w:r>
      <w:r w:rsidRPr="00025BD6">
        <w:t xml:space="preserve">  </w:t>
      </w:r>
    </w:p>
    <w:p w:rsidRPr="00025BD6" w:rsidR="000C1980" w:rsidP="00402362" w:rsidRDefault="000C1980" w14:paraId="3632F19E" w14:textId="77777777">
      <w:pPr>
        <w:pStyle w:val="ListBullet"/>
      </w:pPr>
      <w:r>
        <w:t xml:space="preserve">PG&amp;E will continue to offer MF </w:t>
      </w:r>
      <w:r w:rsidRPr="00025BD6">
        <w:t xml:space="preserve">ESA </w:t>
      </w:r>
      <w:r>
        <w:t xml:space="preserve">in unit </w:t>
      </w:r>
      <w:r w:rsidRPr="00025BD6">
        <w:t xml:space="preserve">and CAM </w:t>
      </w:r>
      <w:r>
        <w:t>services</w:t>
      </w:r>
      <w:r w:rsidRPr="00025BD6">
        <w:t xml:space="preserve"> </w:t>
      </w:r>
      <w:r>
        <w:t>u</w:t>
      </w:r>
      <w:r w:rsidRPr="00025BD6">
        <w:t>ntil the MFWB program solicitation is complete</w:t>
      </w:r>
      <w:r>
        <w:t>, at which point the in unit and CAM offerings will be rolled into the overall third party MFWB effort</w:t>
      </w:r>
      <w:r w:rsidRPr="00025BD6">
        <w:t xml:space="preserve">. </w:t>
      </w:r>
    </w:p>
    <w:p w:rsidR="000C1980" w:rsidP="0023091F" w:rsidRDefault="000C1980" w14:paraId="5B6C10A4" w14:textId="77777777">
      <w:pPr>
        <w:pStyle w:val="ALJBodyText"/>
      </w:pPr>
      <w:r w:rsidRPr="24DCB1AB">
        <w:rPr>
          <w:b/>
          <w:bCs/>
          <w:i/>
          <w:iCs/>
          <w:u w:val="single"/>
        </w:rPr>
        <w:t>SPOC</w:t>
      </w:r>
      <w:r w:rsidRPr="00214F72">
        <w:rPr>
          <w:b/>
          <w:bCs/>
        </w:rPr>
        <w:t xml:space="preserve">: </w:t>
      </w:r>
      <w:r w:rsidRPr="24DCB1AB">
        <w:t xml:space="preserve">PG&amp;E will include the SPOC role in </w:t>
      </w:r>
      <w:r>
        <w:t>the</w:t>
      </w:r>
      <w:r w:rsidRPr="24DCB1AB">
        <w:t xml:space="preserve"> solicitation</w:t>
      </w:r>
      <w:r>
        <w:t>,</w:t>
      </w:r>
      <w:r w:rsidRPr="1A3F3180">
        <w:rPr>
          <w:vertAlign w:val="superscript"/>
        </w:rPr>
        <w:footnoteReference w:id="784"/>
      </w:r>
      <w:r w:rsidRPr="24DCB1AB">
        <w:t xml:space="preserve"> </w:t>
      </w:r>
      <w:r>
        <w:t xml:space="preserve">with services to include financial assistance, </w:t>
      </w:r>
      <w:r w:rsidRPr="24DCB1AB">
        <w:t>referral support, multifamily programs decision tree, benchmarking support, consolidation of multifamily program materials, proactive large customer engagement, and industry relationship building.</w:t>
      </w:r>
      <w:r w:rsidRPr="1A3F3180">
        <w:rPr>
          <w:vertAlign w:val="superscript"/>
        </w:rPr>
        <w:footnoteReference w:id="785"/>
      </w:r>
      <w:r w:rsidRPr="24DCB1AB">
        <w:t xml:space="preserve"> </w:t>
      </w:r>
    </w:p>
    <w:p w:rsidR="000C1980" w:rsidP="0023091F" w:rsidRDefault="000C1980" w14:paraId="5BC7400A" w14:textId="77777777">
      <w:pPr>
        <w:pStyle w:val="ALJBodyText"/>
      </w:pPr>
      <w:r w:rsidRPr="24DCB1AB">
        <w:rPr>
          <w:b/>
          <w:bCs/>
          <w:i/>
          <w:iCs/>
          <w:u w:val="single"/>
        </w:rPr>
        <w:t>Eligibility and Enrollment:</w:t>
      </w:r>
      <w:r w:rsidRPr="00025BD6">
        <w:t xml:space="preserve"> PG&amp;</w:t>
      </w:r>
      <w:proofErr w:type="gramStart"/>
      <w:r w:rsidRPr="00025BD6">
        <w:t>E’s</w:t>
      </w:r>
      <w:proofErr w:type="gramEnd"/>
      <w:r w:rsidRPr="00025BD6">
        <w:t xml:space="preserve"> </w:t>
      </w:r>
      <w:r>
        <w:t>proposes the following requirements:</w:t>
      </w:r>
      <w:r w:rsidRPr="00025BD6">
        <w:rPr>
          <w:vertAlign w:val="superscript"/>
        </w:rPr>
        <w:footnoteReference w:id="786"/>
      </w:r>
    </w:p>
    <w:p w:rsidR="000C1980" w:rsidP="00402362" w:rsidRDefault="000C1980" w14:paraId="05F09F05" w14:textId="77777777">
      <w:pPr>
        <w:pStyle w:val="ListBullet"/>
      </w:pPr>
      <w:r>
        <w:lastRenderedPageBreak/>
        <w:t>Allow</w:t>
      </w:r>
      <w:r w:rsidRPr="00025BD6">
        <w:t xml:space="preserve"> deed-restricted and non-deed-restricted MF properties</w:t>
      </w:r>
      <w:r>
        <w:t xml:space="preserve"> to qualify for the MFWB program.</w:t>
      </w:r>
      <w:r w:rsidRPr="00F67870">
        <w:rPr>
          <w:vertAlign w:val="superscript"/>
        </w:rPr>
        <w:t xml:space="preserve"> </w:t>
      </w:r>
    </w:p>
    <w:p w:rsidR="000C1980" w:rsidP="00402362" w:rsidRDefault="000C1980" w14:paraId="7B113F0E" w14:textId="77777777">
      <w:pPr>
        <w:pStyle w:val="ListBullet"/>
      </w:pPr>
      <w:r>
        <w:t>Offer whole building services</w:t>
      </w:r>
      <w:r w:rsidRPr="00025BD6">
        <w:t xml:space="preserve"> </w:t>
      </w:r>
      <w:r>
        <w:t xml:space="preserve">where </w:t>
      </w:r>
      <w:r w:rsidRPr="00025BD6">
        <w:t>at least 65</w:t>
      </w:r>
      <w:r w:rsidRPr="00976186">
        <w:t xml:space="preserve"> </w:t>
      </w:r>
      <w:r w:rsidRPr="0026503D">
        <w:t>percent</w:t>
      </w:r>
      <w:r w:rsidRPr="00025BD6">
        <w:t xml:space="preserve"> of households </w:t>
      </w:r>
      <w:r>
        <w:t xml:space="preserve">at the property </w:t>
      </w:r>
      <w:r w:rsidRPr="00025BD6">
        <w:t>meet ESA income requirements and dwellings meet ESA qualification requirements</w:t>
      </w:r>
      <w:r>
        <w:t>.</w:t>
      </w:r>
      <w:r>
        <w:rPr>
          <w:rStyle w:val="FootnoteReference"/>
        </w:rPr>
        <w:footnoteReference w:id="787"/>
      </w:r>
      <w:r>
        <w:t xml:space="preserve"> </w:t>
      </w:r>
    </w:p>
    <w:p w:rsidR="000C1980" w:rsidP="00402362" w:rsidRDefault="000C1980" w14:paraId="5FACFDC9" w14:textId="77777777">
      <w:pPr>
        <w:pStyle w:val="ListBullet"/>
      </w:pPr>
      <w:r>
        <w:t>Offer CAM services</w:t>
      </w:r>
      <w:r w:rsidRPr="00025BD6">
        <w:t xml:space="preserve"> for properties where at least 65% of households </w:t>
      </w:r>
      <w:r>
        <w:t xml:space="preserve">at the property </w:t>
      </w:r>
      <w:r w:rsidRPr="00025BD6">
        <w:t>meet ESA income requirements</w:t>
      </w:r>
      <w:r>
        <w:t>.</w:t>
      </w:r>
      <w:r>
        <w:rPr>
          <w:rStyle w:val="FootnoteReference"/>
        </w:rPr>
        <w:footnoteReference w:id="788"/>
      </w:r>
    </w:p>
    <w:p w:rsidR="000C1980" w:rsidP="00402362" w:rsidRDefault="000C1980" w14:paraId="0A90F20C" w14:textId="77777777">
      <w:pPr>
        <w:pStyle w:val="ListBullet"/>
      </w:pPr>
      <w:r>
        <w:t xml:space="preserve">Offer </w:t>
      </w:r>
      <w:r w:rsidRPr="00025BD6">
        <w:t xml:space="preserve">in-unit </w:t>
      </w:r>
      <w:r>
        <w:t>services</w:t>
      </w:r>
      <w:r w:rsidRPr="00025BD6">
        <w:t xml:space="preserve"> for </w:t>
      </w:r>
      <w:r>
        <w:t xml:space="preserve">all </w:t>
      </w:r>
      <w:r w:rsidRPr="00025BD6">
        <w:t>ESA eligible MF households and</w:t>
      </w:r>
      <w:r>
        <w:t xml:space="preserve"> </w:t>
      </w:r>
      <w:r w:rsidRPr="00025BD6">
        <w:t>CSD MF</w:t>
      </w:r>
      <w:r>
        <w:t>-</w:t>
      </w:r>
      <w:r w:rsidRPr="00025BD6">
        <w:t xml:space="preserve">LIWP funding for </w:t>
      </w:r>
      <w:r>
        <w:t xml:space="preserve">in-unit measures in eligible MF </w:t>
      </w:r>
      <w:r w:rsidRPr="00025BD6">
        <w:t xml:space="preserve">ESA </w:t>
      </w:r>
      <w:r>
        <w:t>households</w:t>
      </w:r>
      <w:r w:rsidRPr="00025BD6">
        <w:t>.</w:t>
      </w:r>
      <w:r>
        <w:rPr>
          <w:rStyle w:val="FootnoteReference"/>
        </w:rPr>
        <w:footnoteReference w:id="789"/>
      </w:r>
    </w:p>
    <w:p w:rsidR="000C1980" w:rsidP="00402362" w:rsidRDefault="000C1980" w14:paraId="75A26AA8" w14:textId="77777777">
      <w:pPr>
        <w:pStyle w:val="ListBullet"/>
      </w:pPr>
      <w:r>
        <w:t>Offer SPOC services to all.</w:t>
      </w:r>
    </w:p>
    <w:p w:rsidR="000C1980" w:rsidP="00402362" w:rsidRDefault="000C1980" w14:paraId="72E2A6FD" w14:textId="77777777">
      <w:pPr>
        <w:pStyle w:val="ListBullet"/>
      </w:pPr>
      <w:r>
        <w:t>Require d</w:t>
      </w:r>
      <w:r w:rsidRPr="00025BD6">
        <w:t xml:space="preserve">eed-restricted </w:t>
      </w:r>
      <w:r>
        <w:t xml:space="preserve">MF </w:t>
      </w:r>
      <w:r w:rsidRPr="00025BD6">
        <w:t xml:space="preserve">properties to provide either regulatory agreements with a government agency showing compliance with the income eligibility requirements, or tenant income verification or enrollment in a qualified categorical program as approved by the </w:t>
      </w:r>
      <w:r>
        <w:t>Commission</w:t>
      </w:r>
      <w:r w:rsidRPr="00025BD6">
        <w:t>.</w:t>
      </w:r>
      <w:r w:rsidRPr="00025BD6">
        <w:rPr>
          <w:vertAlign w:val="superscript"/>
        </w:rPr>
        <w:footnoteReference w:id="790"/>
      </w:r>
      <w:r w:rsidRPr="00025BD6">
        <w:t xml:space="preserve"> </w:t>
      </w:r>
    </w:p>
    <w:p w:rsidR="000C1980" w:rsidP="00402362" w:rsidRDefault="000C1980" w14:paraId="7C2D30C4" w14:textId="77777777">
      <w:pPr>
        <w:pStyle w:val="ListBullet"/>
      </w:pPr>
      <w:r>
        <w:t>Require n</w:t>
      </w:r>
      <w:r w:rsidRPr="00025BD6">
        <w:t xml:space="preserve">on-deed-restricted </w:t>
      </w:r>
      <w:r>
        <w:t xml:space="preserve">MF </w:t>
      </w:r>
      <w:r w:rsidRPr="00025BD6">
        <w:t>properties to provide tenant income verification or enrollment in a qualified categorical program.</w:t>
      </w:r>
      <w:r w:rsidRPr="00025BD6">
        <w:rPr>
          <w:vertAlign w:val="superscript"/>
        </w:rPr>
        <w:footnoteReference w:id="791"/>
      </w:r>
      <w:r w:rsidRPr="00025BD6">
        <w:t xml:space="preserve">  </w:t>
      </w:r>
    </w:p>
    <w:p w:rsidR="000C1980" w:rsidP="00402362" w:rsidRDefault="000C1980" w14:paraId="6CB4CEF4" w14:textId="77777777">
      <w:pPr>
        <w:pStyle w:val="ListBullet"/>
      </w:pPr>
      <w:r>
        <w:t>Allow</w:t>
      </w:r>
      <w:r w:rsidRPr="00025BD6">
        <w:t xml:space="preserve"> </w:t>
      </w:r>
      <w:r>
        <w:t xml:space="preserve">MF </w:t>
      </w:r>
      <w:r w:rsidRPr="00025BD6">
        <w:t xml:space="preserve">property owners to enroll tenants </w:t>
      </w:r>
      <w:r>
        <w:t>for</w:t>
      </w:r>
      <w:r w:rsidRPr="00025BD6">
        <w:t xml:space="preserve"> in-unit </w:t>
      </w:r>
      <w:r>
        <w:t xml:space="preserve">treatments </w:t>
      </w:r>
      <w:r w:rsidRPr="00025BD6">
        <w:t>and install measures without separate enrollment, so long as the property owner provides income eligibility for the units.</w:t>
      </w:r>
      <w:r w:rsidRPr="00025BD6">
        <w:rPr>
          <w:vertAlign w:val="superscript"/>
        </w:rPr>
        <w:footnoteReference w:id="792"/>
      </w:r>
      <w:r w:rsidRPr="00025BD6">
        <w:t xml:space="preserve"> </w:t>
      </w:r>
    </w:p>
    <w:p w:rsidR="000C1980" w:rsidP="00402362" w:rsidRDefault="000C1980" w14:paraId="6F745B4D" w14:textId="77777777">
      <w:pPr>
        <w:pStyle w:val="ListBullet"/>
      </w:pPr>
      <w:r>
        <w:t xml:space="preserve">Include </w:t>
      </w:r>
      <w:r w:rsidRPr="00025BD6">
        <w:t xml:space="preserve">rent increase restrictions to ESA participation agreements stating that property owners will not increase rents for income qualified dwellings </w:t>
      </w:r>
      <w:proofErr w:type="gramStart"/>
      <w:r w:rsidRPr="00025BD6">
        <w:t>as a result of</w:t>
      </w:r>
      <w:proofErr w:type="gramEnd"/>
      <w:r w:rsidRPr="00025BD6">
        <w:t xml:space="preserve"> the work that is performed.</w:t>
      </w:r>
      <w:r w:rsidRPr="00025BD6">
        <w:rPr>
          <w:vertAlign w:val="superscript"/>
        </w:rPr>
        <w:footnoteReference w:id="793"/>
      </w:r>
    </w:p>
    <w:p w:rsidRPr="00025BD6" w:rsidR="000C1980" w:rsidP="0023091F" w:rsidRDefault="000C1980" w14:paraId="5DDF9221" w14:textId="77777777">
      <w:pPr>
        <w:pStyle w:val="ALJBodyText"/>
      </w:pPr>
      <w:r w:rsidRPr="24DCB1AB">
        <w:rPr>
          <w:b/>
          <w:bCs/>
          <w:i/>
          <w:iCs/>
          <w:u w:val="single"/>
        </w:rPr>
        <w:lastRenderedPageBreak/>
        <w:t>Measures:</w:t>
      </w:r>
      <w:r w:rsidRPr="00025BD6">
        <w:t xml:space="preserve"> </w:t>
      </w:r>
      <w:r>
        <w:t>The</w:t>
      </w:r>
      <w:r w:rsidRPr="00025BD6">
        <w:t xml:space="preserve"> specific measure mix </w:t>
      </w:r>
      <w:r>
        <w:t>for the MFWB program will</w:t>
      </w:r>
      <w:r w:rsidRPr="00025BD6">
        <w:t xml:space="preserve"> be included as part of the solicitation process.</w:t>
      </w:r>
      <w:r w:rsidRPr="00025BD6">
        <w:rPr>
          <w:vertAlign w:val="superscript"/>
        </w:rPr>
        <w:footnoteReference w:id="794"/>
      </w:r>
      <w:r w:rsidRPr="00025BD6">
        <w:t xml:space="preserve"> </w:t>
      </w:r>
    </w:p>
    <w:p w:rsidRPr="00025BD6" w:rsidR="000C1980" w:rsidP="0023091F" w:rsidRDefault="000C1980" w14:paraId="64F5F140" w14:textId="77777777">
      <w:pPr>
        <w:pStyle w:val="ALJBodyText"/>
      </w:pPr>
      <w:r w:rsidRPr="24DCB1AB">
        <w:rPr>
          <w:b/>
          <w:bCs/>
          <w:i/>
          <w:iCs/>
          <w:u w:val="single"/>
        </w:rPr>
        <w:t>Treatment Goals:</w:t>
      </w:r>
      <w:r w:rsidRPr="00025BD6">
        <w:t xml:space="preserve"> PG&amp;E estimates that its MFWB program will treat 845</w:t>
      </w:r>
      <w:r>
        <w:t> </w:t>
      </w:r>
      <w:r w:rsidRPr="00025BD6">
        <w:t xml:space="preserve">properties, totaling about 4,560 buildings and over 83,000 in-units in </w:t>
      </w:r>
      <w:r>
        <w:t>PYs </w:t>
      </w:r>
      <w:r w:rsidRPr="00025BD6">
        <w:t>2021</w:t>
      </w:r>
      <w:r>
        <w:noBreakHyphen/>
      </w:r>
      <w:r w:rsidRPr="00025BD6">
        <w:t>2026.</w:t>
      </w:r>
      <w:r w:rsidRPr="00025BD6">
        <w:rPr>
          <w:vertAlign w:val="superscript"/>
        </w:rPr>
        <w:footnoteReference w:id="795"/>
      </w:r>
      <w:r w:rsidRPr="00025BD6">
        <w:t xml:space="preserve"> This equates to 130 deed-restricted properties and 715</w:t>
      </w:r>
      <w:r>
        <w:t> </w:t>
      </w:r>
      <w:r w:rsidRPr="00025BD6">
        <w:t>non</w:t>
      </w:r>
      <w:r>
        <w:noBreakHyphen/>
      </w:r>
      <w:r w:rsidRPr="00025BD6">
        <w:t>deed-restricted properties.</w:t>
      </w:r>
      <w:r w:rsidRPr="00025BD6">
        <w:rPr>
          <w:vertAlign w:val="superscript"/>
        </w:rPr>
        <w:footnoteReference w:id="796"/>
      </w:r>
      <w:r>
        <w:t xml:space="preserve"> PG&amp;E requests permission to adjust all goals (treatment and energy savings) because of the solicitation of third-party administrators.</w:t>
      </w:r>
      <w:r w:rsidRPr="00025BD6">
        <w:rPr>
          <w:vertAlign w:val="superscript"/>
        </w:rPr>
        <w:footnoteReference w:id="797"/>
      </w:r>
    </w:p>
    <w:p w:rsidRPr="00025BD6" w:rsidR="000C1980" w:rsidP="0023091F" w:rsidRDefault="000C1980" w14:paraId="4A35085B" w14:textId="77777777">
      <w:pPr>
        <w:pStyle w:val="ALJBodyText"/>
      </w:pPr>
      <w:r w:rsidRPr="24DCB1AB">
        <w:rPr>
          <w:b/>
          <w:bCs/>
          <w:i/>
          <w:iCs/>
          <w:u w:val="single"/>
        </w:rPr>
        <w:t xml:space="preserve">Energy Savings </w:t>
      </w:r>
      <w:r>
        <w:rPr>
          <w:b/>
          <w:bCs/>
          <w:i/>
          <w:iCs/>
          <w:u w:val="single"/>
        </w:rPr>
        <w:t>and Other</w:t>
      </w:r>
      <w:r w:rsidRPr="24DCB1AB">
        <w:rPr>
          <w:b/>
          <w:bCs/>
          <w:i/>
          <w:iCs/>
          <w:u w:val="single"/>
        </w:rPr>
        <w:t xml:space="preserve"> Goals:</w:t>
      </w:r>
      <w:r w:rsidRPr="00025BD6">
        <w:t xml:space="preserve"> Based on the proposed treatments</w:t>
      </w:r>
      <w:r>
        <w:t xml:space="preserve"> for their MFWB program</w:t>
      </w:r>
      <w:r w:rsidRPr="00025BD6">
        <w:t xml:space="preserve">, PG&amp;E estimates 89.5 million kWh and 3.5 million </w:t>
      </w:r>
      <w:proofErr w:type="spellStart"/>
      <w:r w:rsidRPr="00025BD6">
        <w:t>therms</w:t>
      </w:r>
      <w:proofErr w:type="spellEnd"/>
      <w:r w:rsidRPr="00025BD6">
        <w:t xml:space="preserve"> in savings,</w:t>
      </w:r>
      <w:r w:rsidRPr="00025BD6">
        <w:rPr>
          <w:vertAlign w:val="superscript"/>
        </w:rPr>
        <w:footnoteReference w:id="798"/>
      </w:r>
      <w:r w:rsidRPr="00025BD6">
        <w:t xml:space="preserve"> and proposes a minimum efficiency target of 10</w:t>
      </w:r>
      <w:r>
        <w:t xml:space="preserve"> percent</w:t>
      </w:r>
      <w:r w:rsidRPr="00025BD6">
        <w:t xml:space="preserve"> savings for each property participating in </w:t>
      </w:r>
      <w:r>
        <w:t>the</w:t>
      </w:r>
      <w:r w:rsidRPr="00025BD6">
        <w:t xml:space="preserve"> MFWB</w:t>
      </w:r>
      <w:r>
        <w:t>, including</w:t>
      </w:r>
      <w:r w:rsidRPr="00025BD6">
        <w:t xml:space="preserve"> CAM.</w:t>
      </w:r>
      <w:r w:rsidRPr="00025BD6">
        <w:rPr>
          <w:vertAlign w:val="superscript"/>
        </w:rPr>
        <w:footnoteReference w:id="799"/>
      </w:r>
      <w:r>
        <w:t xml:space="preserve"> </w:t>
      </w:r>
      <w:r w:rsidRPr="00025BD6">
        <w:t xml:space="preserve"> PG&amp;E requests permission to adjust these goals</w:t>
      </w:r>
      <w:r>
        <w:t xml:space="preserve"> and the minimum efficiency target</w:t>
      </w:r>
      <w:r w:rsidRPr="00025BD6">
        <w:t xml:space="preserve"> as a result of the solicitation of third-party administrators.</w:t>
      </w:r>
      <w:r w:rsidRPr="00025BD6">
        <w:rPr>
          <w:vertAlign w:val="superscript"/>
        </w:rPr>
        <w:footnoteReference w:id="800"/>
      </w:r>
      <w:r w:rsidRPr="00025BD6">
        <w:t xml:space="preserve"> </w:t>
      </w:r>
      <w:r>
        <w:t xml:space="preserve"> For PYs 2021-2022, PG&amp;E estimates savings of 2.4 million kWh and 266,623 </w:t>
      </w:r>
      <w:proofErr w:type="spellStart"/>
      <w:r>
        <w:t>therms</w:t>
      </w:r>
      <w:proofErr w:type="spellEnd"/>
      <w:r>
        <w:t xml:space="preserve"> for its multifamily sector.</w:t>
      </w:r>
      <w:r>
        <w:rPr>
          <w:rStyle w:val="FootnoteReference"/>
        </w:rPr>
        <w:footnoteReference w:id="801"/>
      </w:r>
    </w:p>
    <w:p w:rsidRPr="00025BD6" w:rsidR="000C1980" w:rsidP="0023091F" w:rsidRDefault="000C1980" w14:paraId="6F8E584F" w14:textId="77777777">
      <w:pPr>
        <w:pStyle w:val="ALJBodyText"/>
      </w:pPr>
      <w:r w:rsidRPr="24DCB1AB">
        <w:rPr>
          <w:b/>
          <w:bCs/>
          <w:i/>
          <w:iCs/>
          <w:u w:val="single"/>
        </w:rPr>
        <w:t>Budgets:</w:t>
      </w:r>
      <w:r w:rsidRPr="00025BD6">
        <w:t xml:space="preserve"> PG&amp;E is requesting</w:t>
      </w:r>
      <w:r>
        <w:t xml:space="preserve"> a total of</w:t>
      </w:r>
      <w:r w:rsidRPr="00025BD6">
        <w:t xml:space="preserve"> $202</w:t>
      </w:r>
      <w:r>
        <w:t>.5</w:t>
      </w:r>
      <w:r w:rsidRPr="00025BD6">
        <w:t xml:space="preserve"> million</w:t>
      </w:r>
      <w:r>
        <w:t>, starting in program year 2023,</w:t>
      </w:r>
      <w:r w:rsidRPr="00025BD6">
        <w:t xml:space="preserve"> for the 202</w:t>
      </w:r>
      <w:r>
        <w:t>1</w:t>
      </w:r>
      <w:r w:rsidRPr="00025BD6">
        <w:t>-2026 program cycle</w:t>
      </w:r>
      <w:r>
        <w:t xml:space="preserve">, which averages to $2,439 per unit to </w:t>
      </w:r>
      <w:r>
        <w:lastRenderedPageBreak/>
        <w:t>be treated.</w:t>
      </w:r>
      <w:r w:rsidRPr="00025BD6">
        <w:t xml:space="preserve"> </w:t>
      </w:r>
      <w:r>
        <w:t xml:space="preserve"> The</w:t>
      </w:r>
      <w:r w:rsidRPr="00025BD6">
        <w:t xml:space="preserve"> MFWB </w:t>
      </w:r>
      <w:r>
        <w:t>p</w:t>
      </w:r>
      <w:r w:rsidRPr="00025BD6">
        <w:t xml:space="preserve">rogram </w:t>
      </w:r>
      <w:r>
        <w:t xml:space="preserve">budget is </w:t>
      </w:r>
      <w:r w:rsidRPr="00025BD6">
        <w:t>based on PG&amp;E’s current ESA CAM and in-unit treatments and CSD LIWP leveraging estimates.</w:t>
      </w:r>
      <w:r w:rsidRPr="00025BD6">
        <w:rPr>
          <w:vertAlign w:val="superscript"/>
        </w:rPr>
        <w:footnoteReference w:id="802"/>
      </w:r>
      <w:r w:rsidRPr="00025BD6">
        <w:t xml:space="preserve"> </w:t>
      </w:r>
      <w:r>
        <w:t xml:space="preserve"> </w:t>
      </w:r>
      <w:r w:rsidRPr="00025BD6">
        <w:t>Roughly 30</w:t>
      </w:r>
      <w:r>
        <w:t> </w:t>
      </w:r>
      <w:r w:rsidRPr="0026503D">
        <w:t>percent</w:t>
      </w:r>
      <w:r w:rsidRPr="00025BD6">
        <w:t xml:space="preserve"> of PG&amp;E’s entire measure installation budget will be devoted to MFWB measure installation, which aligns closely with the percentage split between multifamily and non-multifamily ESA eligible customers.</w:t>
      </w:r>
      <w:r w:rsidRPr="00025BD6">
        <w:rPr>
          <w:vertAlign w:val="superscript"/>
        </w:rPr>
        <w:footnoteReference w:id="803"/>
      </w:r>
    </w:p>
    <w:p w:rsidRPr="00025BD6" w:rsidR="000C1980" w:rsidP="0023091F" w:rsidRDefault="000C1980" w14:paraId="42DEB2F4" w14:textId="77777777">
      <w:pPr>
        <w:pStyle w:val="ALJBodyText"/>
      </w:pPr>
      <w:r w:rsidRPr="24DCB1AB">
        <w:rPr>
          <w:b/>
          <w:bCs/>
          <w:i/>
          <w:iCs/>
          <w:u w:val="single"/>
        </w:rPr>
        <w:t>Post Decision Updates</w:t>
      </w:r>
      <w:r w:rsidRPr="00025BD6">
        <w:t xml:space="preserve">: PG&amp;E </w:t>
      </w:r>
      <w:r>
        <w:t xml:space="preserve">is </w:t>
      </w:r>
      <w:r w:rsidRPr="00025BD6">
        <w:t xml:space="preserve">requesting that it be allowed to propose policy changes based on the third-party administrator’s design for the MFWB </w:t>
      </w:r>
      <w:r>
        <w:t>p</w:t>
      </w:r>
      <w:r w:rsidRPr="00025BD6">
        <w:t>rogram</w:t>
      </w:r>
      <w:r>
        <w:t>, stating</w:t>
      </w:r>
      <w:r w:rsidRPr="00025BD6">
        <w:t xml:space="preserve"> that this will allow PG&amp;E to make changes to align with the third-party administrator’s design for the program after a program decision is issued.</w:t>
      </w:r>
      <w:r w:rsidRPr="00025BD6">
        <w:rPr>
          <w:vertAlign w:val="superscript"/>
        </w:rPr>
        <w:footnoteReference w:id="804"/>
      </w:r>
      <w:r w:rsidRPr="00025BD6">
        <w:t xml:space="preserve"> </w:t>
      </w:r>
      <w:r>
        <w:t xml:space="preserve"> </w:t>
      </w:r>
      <w:r w:rsidRPr="00025BD6">
        <w:t xml:space="preserve">PG&amp;E makes this request because </w:t>
      </w:r>
      <w:r>
        <w:t>it</w:t>
      </w:r>
      <w:r w:rsidRPr="00025BD6">
        <w:t xml:space="preserve"> cannot anticipate exactly what a successful design will look like until it solicits third parties for proposals.</w:t>
      </w:r>
      <w:r w:rsidRPr="00025BD6">
        <w:rPr>
          <w:vertAlign w:val="superscript"/>
        </w:rPr>
        <w:footnoteReference w:id="805"/>
      </w:r>
    </w:p>
    <w:p w:rsidR="000C1980" w:rsidP="001968DC" w:rsidRDefault="000C1980" w14:paraId="748415FA" w14:textId="71F56867">
      <w:pPr>
        <w:pStyle w:val="Heading2"/>
        <w:ind w:left="1728"/>
      </w:pPr>
      <w:bookmarkStart w:name="_Toc69948186" w:id="539"/>
      <w:r>
        <w:t>SCE Proposal</w:t>
      </w:r>
      <w:bookmarkEnd w:id="539"/>
      <w:r>
        <w:t xml:space="preserve"> </w:t>
      </w:r>
    </w:p>
    <w:p w:rsidR="000C1980" w:rsidP="0023091F" w:rsidRDefault="000C1980" w14:paraId="0A4C01C6" w14:textId="77777777">
      <w:pPr>
        <w:pStyle w:val="ALJBodyText"/>
      </w:pPr>
      <w:r w:rsidRPr="24DCB1AB">
        <w:rPr>
          <w:b/>
          <w:bCs/>
          <w:i/>
          <w:iCs/>
          <w:u w:val="single"/>
        </w:rPr>
        <w:t>Third Party Solicitation and Administration:</w:t>
      </w:r>
      <w:r w:rsidRPr="00C94B1C">
        <w:t xml:space="preserve"> </w:t>
      </w:r>
      <w:r w:rsidRPr="0004451C">
        <w:t xml:space="preserve">SCE proposes to </w:t>
      </w:r>
      <w:r>
        <w:t xml:space="preserve">outsource its </w:t>
      </w:r>
      <w:r w:rsidRPr="0004451C">
        <w:t>MFWB program</w:t>
      </w:r>
      <w:r>
        <w:t xml:space="preserve"> to </w:t>
      </w:r>
      <w:r w:rsidRPr="0004451C">
        <w:t>a third party</w:t>
      </w:r>
      <w:r>
        <w:t>,</w:t>
      </w:r>
      <w:r w:rsidRPr="0004451C">
        <w:rPr>
          <w:vertAlign w:val="superscript"/>
        </w:rPr>
        <w:footnoteReference w:id="806"/>
      </w:r>
      <w:r w:rsidRPr="0004451C">
        <w:t xml:space="preserve"> </w:t>
      </w:r>
      <w:r>
        <w:t>using a single stage solicitation process</w:t>
      </w:r>
      <w:r w:rsidRPr="0004451C">
        <w:t xml:space="preserve"> that </w:t>
      </w:r>
      <w:r>
        <w:t xml:space="preserve">includes use of a PRG.  </w:t>
      </w:r>
    </w:p>
    <w:p w:rsidR="000C1980" w:rsidP="0023091F" w:rsidRDefault="000C1980" w14:paraId="20ECB66A" w14:textId="77777777">
      <w:pPr>
        <w:pStyle w:val="ALJBodyText"/>
      </w:pPr>
      <w:r w:rsidRPr="0004451C">
        <w:t xml:space="preserve">SCE does not recommend statewide MFWB implementation and instead proposes that statewide implementation of the MFWB </w:t>
      </w:r>
      <w:r>
        <w:t xml:space="preserve">program </w:t>
      </w:r>
      <w:r w:rsidRPr="0004451C">
        <w:t xml:space="preserve">only be considered after the results from the current MF CAM are reviewed </w:t>
      </w:r>
      <w:r>
        <w:t>post</w:t>
      </w:r>
      <w:r w:rsidRPr="0004451C">
        <w:t xml:space="preserve"> December 2020.</w:t>
      </w:r>
      <w:r w:rsidRPr="0004451C">
        <w:rPr>
          <w:vertAlign w:val="superscript"/>
        </w:rPr>
        <w:footnoteReference w:id="807"/>
      </w:r>
      <w:r w:rsidRPr="0004451C">
        <w:t xml:space="preserve"> </w:t>
      </w:r>
      <w:r>
        <w:t xml:space="preserve"> </w:t>
      </w:r>
      <w:r w:rsidRPr="0004451C">
        <w:t xml:space="preserve">SCE recommends using a portion of </w:t>
      </w:r>
      <w:r>
        <w:t xml:space="preserve">the </w:t>
      </w:r>
      <w:r w:rsidRPr="0004451C">
        <w:t xml:space="preserve">2021-2026 program cycle to collect data and to assess the effectiveness of the IOUs’ implementation </w:t>
      </w:r>
      <w:r w:rsidRPr="0004451C">
        <w:lastRenderedPageBreak/>
        <w:t>models and designs</w:t>
      </w:r>
      <w:r>
        <w:t>,</w:t>
      </w:r>
      <w:r w:rsidRPr="0004451C">
        <w:rPr>
          <w:vertAlign w:val="superscript"/>
        </w:rPr>
        <w:footnoteReference w:id="808"/>
      </w:r>
      <w:r w:rsidRPr="0004451C">
        <w:t xml:space="preserve"> </w:t>
      </w:r>
      <w:r>
        <w:t xml:space="preserve">and </w:t>
      </w:r>
      <w:r w:rsidRPr="0004451C">
        <w:t>proposes to support third-parties working with other IOUs to identify opportunities to streamline the statewide enrollment process to allow contractors and customers to participate in the MF program.</w:t>
      </w:r>
      <w:r w:rsidRPr="0004451C">
        <w:rPr>
          <w:vertAlign w:val="superscript"/>
        </w:rPr>
        <w:footnoteReference w:id="809"/>
      </w:r>
      <w:r w:rsidRPr="0004451C">
        <w:t xml:space="preserve"> </w:t>
      </w:r>
      <w:r>
        <w:t xml:space="preserve"> </w:t>
      </w:r>
    </w:p>
    <w:p w:rsidRPr="00666735" w:rsidR="000C1980" w:rsidP="0023091F" w:rsidRDefault="000C1980" w14:paraId="341EBDCD" w14:textId="77777777">
      <w:pPr>
        <w:pStyle w:val="ALJBodyText"/>
      </w:pPr>
      <w:r>
        <w:t xml:space="preserve">SCE proposes a solicitation timeline of twelve to eighteen months with a program launch in year two of the cycle. </w:t>
      </w:r>
    </w:p>
    <w:p w:rsidR="000C1980" w:rsidP="0023091F" w:rsidRDefault="000C1980" w14:paraId="1A642B48" w14:textId="77777777">
      <w:pPr>
        <w:pStyle w:val="ALJBodyText"/>
      </w:pPr>
      <w:r w:rsidRPr="24DCB1AB">
        <w:t>Design and Delivery:</w:t>
      </w:r>
      <w:r>
        <w:t xml:space="preserve"> SCE proposes that:</w:t>
      </w:r>
    </w:p>
    <w:p w:rsidR="000C1980" w:rsidP="00402362" w:rsidRDefault="000C1980" w14:paraId="0FDD196A" w14:textId="77777777">
      <w:pPr>
        <w:pStyle w:val="ListBullet"/>
      </w:pPr>
      <w:r>
        <w:t xml:space="preserve">Bidders will design the program including workforce training, central application portal, tenant protections (not required), contractor choice, and co-pays (not required). </w:t>
      </w:r>
    </w:p>
    <w:p w:rsidR="000C1980" w:rsidP="00402362" w:rsidRDefault="000C1980" w14:paraId="3024AA16" w14:textId="77777777">
      <w:pPr>
        <w:pStyle w:val="ListBullet"/>
      </w:pPr>
      <w:r>
        <w:t>SCE will</w:t>
      </w:r>
      <w:r w:rsidRPr="0004451C">
        <w:t xml:space="preserve"> </w:t>
      </w:r>
      <w:r>
        <w:t xml:space="preserve">continue to </w:t>
      </w:r>
      <w:r w:rsidRPr="0004451C">
        <w:t xml:space="preserve">leverage </w:t>
      </w:r>
      <w:r>
        <w:t xml:space="preserve">its </w:t>
      </w:r>
      <w:r w:rsidRPr="0004451C">
        <w:t xml:space="preserve">existing ESA marketing, outreach, and training activities, </w:t>
      </w:r>
      <w:r>
        <w:t>and</w:t>
      </w:r>
      <w:r w:rsidRPr="0004451C">
        <w:t xml:space="preserve"> </w:t>
      </w:r>
      <w:r>
        <w:t xml:space="preserve">will </w:t>
      </w:r>
      <w:r w:rsidRPr="0004451C">
        <w:t xml:space="preserve">specifically target </w:t>
      </w:r>
      <w:proofErr w:type="gramStart"/>
      <w:r w:rsidRPr="0004451C">
        <w:t>low</w:t>
      </w:r>
      <w:r>
        <w:t xml:space="preserve"> </w:t>
      </w:r>
      <w:r w:rsidRPr="0004451C">
        <w:t>income</w:t>
      </w:r>
      <w:proofErr w:type="gramEnd"/>
      <w:r w:rsidRPr="0004451C">
        <w:t xml:space="preserve"> qualified MF properties with higher than average EUIs.</w:t>
      </w:r>
      <w:r w:rsidRPr="0004451C">
        <w:rPr>
          <w:vertAlign w:val="superscript"/>
        </w:rPr>
        <w:footnoteReference w:id="810"/>
      </w:r>
      <w:r w:rsidRPr="0004451C">
        <w:t xml:space="preserve"> </w:t>
      </w:r>
    </w:p>
    <w:p w:rsidRPr="00EA0DA4" w:rsidR="000C1980" w:rsidP="00402362" w:rsidRDefault="000C1980" w14:paraId="099DD8C6" w14:textId="77777777">
      <w:pPr>
        <w:pStyle w:val="ListBullet"/>
      </w:pPr>
      <w:r>
        <w:t xml:space="preserve">SCE will </w:t>
      </w:r>
      <w:r w:rsidRPr="00E34041">
        <w:t xml:space="preserve">continue to offer </w:t>
      </w:r>
      <w:r>
        <w:t xml:space="preserve">in unit </w:t>
      </w:r>
      <w:r w:rsidRPr="00E34041">
        <w:t xml:space="preserve">and CAM </w:t>
      </w:r>
      <w:r>
        <w:t xml:space="preserve">services </w:t>
      </w:r>
      <w:r w:rsidRPr="00E34041">
        <w:t>until the MFWB program solicitation is complete</w:t>
      </w:r>
      <w:r>
        <w:t>,</w:t>
      </w:r>
      <w:r w:rsidRPr="00CA6995">
        <w:t xml:space="preserve"> </w:t>
      </w:r>
      <w:r>
        <w:t xml:space="preserve">at which point all in unit and CAM offerings will be rolled into the overall third party MFWB effort. </w:t>
      </w:r>
    </w:p>
    <w:p w:rsidRPr="001F440C" w:rsidR="000C1980" w:rsidP="0023091F" w:rsidRDefault="000C1980" w14:paraId="0791E20D" w14:textId="77777777">
      <w:pPr>
        <w:pStyle w:val="ALJBodyText"/>
      </w:pPr>
      <w:r w:rsidRPr="001F440C">
        <w:rPr>
          <w:b/>
          <w:bCs/>
          <w:i/>
          <w:iCs/>
          <w:u w:val="single"/>
        </w:rPr>
        <w:t>SPOC</w:t>
      </w:r>
      <w:r w:rsidRPr="001F440C">
        <w:rPr>
          <w:b/>
          <w:bCs/>
          <w:i/>
          <w:iCs/>
        </w:rPr>
        <w:t xml:space="preserve">: </w:t>
      </w:r>
      <w:r>
        <w:t>SCE proposes to retain SPOC in house,</w:t>
      </w:r>
      <w:r w:rsidRPr="6AF1D2E6">
        <w:rPr>
          <w:vertAlign w:val="superscript"/>
        </w:rPr>
        <w:footnoteReference w:id="811"/>
      </w:r>
      <w:r>
        <w:t xml:space="preserve"> where the SPOC will be the focal point for multifamily property owners.</w:t>
      </w:r>
      <w:r>
        <w:rPr>
          <w:rStyle w:val="FootnoteReference"/>
        </w:rPr>
        <w:footnoteReference w:id="812"/>
      </w:r>
    </w:p>
    <w:p w:rsidR="000C1980" w:rsidP="0023091F" w:rsidRDefault="000C1980" w14:paraId="0299B018" w14:textId="77777777">
      <w:pPr>
        <w:pStyle w:val="ALJBodyText"/>
      </w:pPr>
      <w:r w:rsidRPr="24DCB1AB">
        <w:rPr>
          <w:b/>
          <w:bCs/>
          <w:i/>
          <w:iCs/>
          <w:u w:val="single"/>
        </w:rPr>
        <w:t>Eligibility and Enrollment:</w:t>
      </w:r>
      <w:r w:rsidRPr="00854EC9">
        <w:t xml:space="preserve"> </w:t>
      </w:r>
      <w:r w:rsidRPr="0004451C">
        <w:t xml:space="preserve">SCE </w:t>
      </w:r>
      <w:r>
        <w:t>proposes the following requirements:</w:t>
      </w:r>
    </w:p>
    <w:p w:rsidR="000C1980" w:rsidP="00402362" w:rsidRDefault="000C1980" w14:paraId="5D053201" w14:textId="77777777">
      <w:pPr>
        <w:pStyle w:val="ListBullet"/>
      </w:pPr>
      <w:r>
        <w:t>Allow</w:t>
      </w:r>
      <w:r w:rsidRPr="00025BD6">
        <w:t xml:space="preserve"> deed-restricted MF properties</w:t>
      </w:r>
      <w:r>
        <w:t xml:space="preserve"> to qualify for the MFWB program.</w:t>
      </w:r>
      <w:r w:rsidRPr="0004451C">
        <w:rPr>
          <w:vertAlign w:val="superscript"/>
        </w:rPr>
        <w:footnoteReference w:id="813"/>
      </w:r>
      <w:r w:rsidRPr="0004451C">
        <w:t xml:space="preserve">  </w:t>
      </w:r>
    </w:p>
    <w:p w:rsidRPr="00797E52" w:rsidR="000C1980" w:rsidP="00402362" w:rsidRDefault="000C1980" w14:paraId="2B5C2D6E" w14:textId="77777777">
      <w:pPr>
        <w:pStyle w:val="ListBullet"/>
      </w:pPr>
      <w:r>
        <w:t>Offer MFWB services</w:t>
      </w:r>
      <w:r w:rsidRPr="00797E52">
        <w:t xml:space="preserve"> where at least 65</w:t>
      </w:r>
      <w:r w:rsidRPr="00976186">
        <w:t xml:space="preserve"> </w:t>
      </w:r>
      <w:r w:rsidRPr="0026503D">
        <w:t>percent</w:t>
      </w:r>
      <w:r w:rsidRPr="00797E52">
        <w:t xml:space="preserve"> of households at the deed-restricted property meet ESA income requirements and the dwellings meet ESA qualification requirements. </w:t>
      </w:r>
    </w:p>
    <w:p w:rsidRPr="007E4F42" w:rsidR="000C1980" w:rsidP="00402362" w:rsidRDefault="000C1980" w14:paraId="0A479002" w14:textId="77777777">
      <w:pPr>
        <w:pStyle w:val="ListBullet"/>
      </w:pPr>
      <w:r>
        <w:lastRenderedPageBreak/>
        <w:t>Offer CAM</w:t>
      </w:r>
      <w:r w:rsidRPr="00025BD6">
        <w:t xml:space="preserve"> </w:t>
      </w:r>
      <w:r>
        <w:t xml:space="preserve">services </w:t>
      </w:r>
      <w:r w:rsidRPr="00025BD6">
        <w:t xml:space="preserve">for </w:t>
      </w:r>
      <w:r w:rsidRPr="007E4F42">
        <w:t xml:space="preserve">deed restricted </w:t>
      </w:r>
      <w:r w:rsidRPr="00025BD6">
        <w:t>properties where at least 65</w:t>
      </w:r>
      <w:r w:rsidRPr="00976186">
        <w:t xml:space="preserve"> </w:t>
      </w:r>
      <w:r w:rsidRPr="0026503D">
        <w:t>percent</w:t>
      </w:r>
      <w:r w:rsidRPr="00025BD6">
        <w:t xml:space="preserve"> of households </w:t>
      </w:r>
      <w:r>
        <w:t xml:space="preserve">at the property </w:t>
      </w:r>
      <w:r w:rsidRPr="00025BD6">
        <w:t>meet ESA income requirements</w:t>
      </w:r>
      <w:r>
        <w:t>.</w:t>
      </w:r>
      <w:r>
        <w:rPr>
          <w:rStyle w:val="FootnoteReference"/>
        </w:rPr>
        <w:footnoteReference w:id="814"/>
      </w:r>
      <w:r>
        <w:t xml:space="preserve"> </w:t>
      </w:r>
    </w:p>
    <w:p w:rsidR="000C1980" w:rsidP="00402362" w:rsidRDefault="000C1980" w14:paraId="766C554B" w14:textId="77777777">
      <w:pPr>
        <w:pStyle w:val="ListBullet"/>
      </w:pPr>
      <w:r>
        <w:t xml:space="preserve">Offer </w:t>
      </w:r>
      <w:r w:rsidRPr="00025BD6">
        <w:t xml:space="preserve">in-unit </w:t>
      </w:r>
      <w:r>
        <w:t>services</w:t>
      </w:r>
      <w:r w:rsidRPr="00025BD6">
        <w:t xml:space="preserve"> for </w:t>
      </w:r>
      <w:r>
        <w:t xml:space="preserve">all </w:t>
      </w:r>
      <w:r w:rsidRPr="00025BD6">
        <w:t>MF households</w:t>
      </w:r>
      <w:r>
        <w:t xml:space="preserve"> at the property </w:t>
      </w:r>
      <w:r w:rsidRPr="00025BD6">
        <w:t>where at least 65</w:t>
      </w:r>
      <w:r w:rsidRPr="00976186">
        <w:t xml:space="preserve"> </w:t>
      </w:r>
      <w:r w:rsidRPr="0026503D">
        <w:t>percent</w:t>
      </w:r>
      <w:r w:rsidRPr="00025BD6">
        <w:t xml:space="preserve"> of households meet ESA income requirements</w:t>
      </w:r>
      <w:r w:rsidRPr="0004451C">
        <w:t>.</w:t>
      </w:r>
      <w:r w:rsidRPr="0004451C">
        <w:rPr>
          <w:vertAlign w:val="superscript"/>
        </w:rPr>
        <w:footnoteReference w:id="815"/>
      </w:r>
      <w:r w:rsidRPr="0004451C">
        <w:t xml:space="preserve">  </w:t>
      </w:r>
    </w:p>
    <w:p w:rsidR="000C1980" w:rsidP="00402362" w:rsidRDefault="000C1980" w14:paraId="351123C5" w14:textId="77777777">
      <w:pPr>
        <w:pStyle w:val="ListBullet"/>
      </w:pPr>
      <w:r>
        <w:t>For MFWB program, allow</w:t>
      </w:r>
      <w:r w:rsidRPr="0004451C">
        <w:t xml:space="preserve"> self-certification from property owners and tenants</w:t>
      </w:r>
      <w:r>
        <w:t xml:space="preserve"> to qualify for treatment</w:t>
      </w:r>
      <w:r w:rsidRPr="0004451C">
        <w:t>.</w:t>
      </w:r>
      <w:r w:rsidRPr="0004451C">
        <w:rPr>
          <w:vertAlign w:val="superscript"/>
        </w:rPr>
        <w:footnoteReference w:id="816"/>
      </w:r>
      <w:r w:rsidRPr="0004451C">
        <w:t xml:space="preserve">  </w:t>
      </w:r>
    </w:p>
    <w:p w:rsidRPr="00666735" w:rsidR="000C1980" w:rsidP="00022F55" w:rsidRDefault="000C1980" w14:paraId="6D960A6A" w14:textId="77777777">
      <w:pPr>
        <w:pStyle w:val="Standard"/>
      </w:pPr>
      <w:r w:rsidRPr="24DCB1AB">
        <w:rPr>
          <w:b/>
          <w:bCs/>
          <w:i/>
          <w:iCs/>
          <w:u w:val="single"/>
        </w:rPr>
        <w:t>Measures</w:t>
      </w:r>
      <w:r>
        <w:t>:</w:t>
      </w:r>
      <w:r w:rsidRPr="0004451C">
        <w:t xml:space="preserve"> </w:t>
      </w:r>
      <w:r>
        <w:t>The</w:t>
      </w:r>
      <w:r w:rsidRPr="00025BD6">
        <w:t xml:space="preserve"> specific measure mix </w:t>
      </w:r>
      <w:r>
        <w:t>for the MFWB program will</w:t>
      </w:r>
      <w:r w:rsidRPr="00025BD6">
        <w:t xml:space="preserve"> be included as part of</w:t>
      </w:r>
      <w:r>
        <w:t xml:space="preserve"> the solicitation process, however bidders will be directed to propose direct install in-unit measures for all properties, common area measures for deed-restricted properties, contractor choice,</w:t>
      </w:r>
      <w:r w:rsidRPr="24DCB1AB">
        <w:rPr>
          <w:vertAlign w:val="superscript"/>
        </w:rPr>
        <w:footnoteReference w:id="817"/>
      </w:r>
      <w:r>
        <w:t xml:space="preserve"> and co-pay amounts (although not required).</w:t>
      </w:r>
      <w:r>
        <w:rPr>
          <w:rStyle w:val="FootnoteReference"/>
        </w:rPr>
        <w:footnoteReference w:id="818"/>
      </w:r>
      <w:r>
        <w:t xml:space="preserve"> </w:t>
      </w:r>
      <w:r w:rsidRPr="0004451C">
        <w:t xml:space="preserve">SCE will advise the third-party implementer that is selected to target non-deed-restricted MF properties to gather additional data on ESA </w:t>
      </w:r>
      <w:r>
        <w:t>p</w:t>
      </w:r>
      <w:r w:rsidRPr="0004451C">
        <w:t>rogram measures and services provided to individual dwelling units in order to identify potential opportunities for common area spaces.</w:t>
      </w:r>
      <w:r w:rsidRPr="0004451C">
        <w:rPr>
          <w:vertAlign w:val="superscript"/>
        </w:rPr>
        <w:footnoteReference w:id="819"/>
      </w:r>
    </w:p>
    <w:p w:rsidR="000C1980" w:rsidP="0023091F" w:rsidRDefault="000C1980" w14:paraId="301A7A26" w14:textId="77777777">
      <w:pPr>
        <w:pStyle w:val="ALJBodyText"/>
      </w:pPr>
      <w:r w:rsidRPr="24DCB1AB">
        <w:rPr>
          <w:b/>
          <w:bCs/>
          <w:i/>
          <w:iCs/>
          <w:u w:val="single"/>
        </w:rPr>
        <w:t>Treatment Goals:</w:t>
      </w:r>
      <w:r w:rsidRPr="0004451C">
        <w:t xml:space="preserve"> </w:t>
      </w:r>
      <w:r>
        <w:t>SCE proposes that its MFWB program treat 600 properties with 70,090 units between PYs 2022-2026.</w:t>
      </w:r>
      <w:r>
        <w:rPr>
          <w:rStyle w:val="FootnoteReference"/>
        </w:rPr>
        <w:footnoteReference w:id="820"/>
      </w:r>
      <w:r>
        <w:t xml:space="preserve">  </w:t>
      </w:r>
    </w:p>
    <w:p w:rsidR="000C1980" w:rsidP="0023091F" w:rsidRDefault="000C1980" w14:paraId="02CCBE2E" w14:textId="77777777">
      <w:pPr>
        <w:pStyle w:val="ALJBodyText"/>
      </w:pPr>
      <w:r w:rsidRPr="24DCB1AB">
        <w:rPr>
          <w:b/>
          <w:bCs/>
          <w:i/>
          <w:iCs/>
          <w:u w:val="single"/>
        </w:rPr>
        <w:t>Energy Savings</w:t>
      </w:r>
      <w:r>
        <w:rPr>
          <w:b/>
          <w:bCs/>
          <w:i/>
          <w:iCs/>
          <w:u w:val="single"/>
        </w:rPr>
        <w:t xml:space="preserve"> and Other</w:t>
      </w:r>
      <w:r w:rsidRPr="24DCB1AB">
        <w:rPr>
          <w:b/>
          <w:bCs/>
          <w:i/>
          <w:iCs/>
          <w:u w:val="single"/>
        </w:rPr>
        <w:t xml:space="preserve"> Goals:</w:t>
      </w:r>
      <w:r>
        <w:t xml:space="preserve"> </w:t>
      </w:r>
      <w:r w:rsidRPr="0004451C">
        <w:t xml:space="preserve">SCE does not </w:t>
      </w:r>
      <w:r>
        <w:t xml:space="preserve">set </w:t>
      </w:r>
      <w:r w:rsidRPr="0004451C">
        <w:t>a specific kW</w:t>
      </w:r>
      <w:r>
        <w:t>h</w:t>
      </w:r>
      <w:r w:rsidRPr="0004451C">
        <w:t xml:space="preserve"> and kW savings goals</w:t>
      </w:r>
      <w:r w:rsidRPr="0004451C">
        <w:rPr>
          <w:vertAlign w:val="superscript"/>
        </w:rPr>
        <w:footnoteReference w:id="821"/>
      </w:r>
      <w:r>
        <w:t xml:space="preserve"> but expects to have these goals </w:t>
      </w:r>
      <w:r w:rsidRPr="0004451C">
        <w:t xml:space="preserve">further refined as a part of </w:t>
      </w:r>
      <w:r w:rsidRPr="0004451C">
        <w:lastRenderedPageBreak/>
        <w:t xml:space="preserve">MFWB </w:t>
      </w:r>
      <w:r>
        <w:t xml:space="preserve">solicitation </w:t>
      </w:r>
      <w:r w:rsidRPr="0004451C">
        <w:t>efforts</w:t>
      </w:r>
      <w:r>
        <w:t>.</w:t>
      </w:r>
      <w:r w:rsidRPr="0004451C">
        <w:t xml:space="preserve"> </w:t>
      </w:r>
      <w:r>
        <w:t xml:space="preserve"> </w:t>
      </w:r>
      <w:r w:rsidRPr="0004451C">
        <w:t xml:space="preserve">SCE states that the </w:t>
      </w:r>
      <w:r>
        <w:t xml:space="preserve">program </w:t>
      </w:r>
      <w:r w:rsidRPr="0004451C">
        <w:t xml:space="preserve">goal should be expanded to maximize the buildings’ energy efficiency, GHG reduction, environmental, water nexus, and other </w:t>
      </w:r>
      <w:r>
        <w:t>HCS</w:t>
      </w:r>
      <w:r w:rsidRPr="0004451C">
        <w:t xml:space="preserve"> benefits for program participants.</w:t>
      </w:r>
      <w:r w:rsidRPr="0004451C">
        <w:rPr>
          <w:vertAlign w:val="superscript"/>
        </w:rPr>
        <w:footnoteReference w:id="822"/>
      </w:r>
      <w:r w:rsidRPr="0004451C">
        <w:t xml:space="preserve"> </w:t>
      </w:r>
      <w:r>
        <w:t xml:space="preserve"> SCE does estimate savings of 7,691,000 kWh in PY2021 and 38,271,000 kWh in PY2022-2026 for the multifamily sector.</w:t>
      </w:r>
      <w:r>
        <w:rPr>
          <w:rStyle w:val="FootnoteReference"/>
        </w:rPr>
        <w:footnoteReference w:id="823"/>
      </w:r>
    </w:p>
    <w:p w:rsidRPr="0004451C" w:rsidR="000C1980" w:rsidP="0023091F" w:rsidRDefault="000C1980" w14:paraId="03A88AEF" w14:textId="77777777">
      <w:pPr>
        <w:pStyle w:val="ALJBodyText"/>
      </w:pPr>
      <w:r w:rsidRPr="24DCB1AB">
        <w:rPr>
          <w:b/>
          <w:bCs/>
          <w:i/>
          <w:iCs/>
          <w:u w:val="single"/>
        </w:rPr>
        <w:t>Budgets:</w:t>
      </w:r>
      <w:r w:rsidRPr="006512C1">
        <w:t xml:space="preserve"> </w:t>
      </w:r>
      <w:r>
        <w:t xml:space="preserve">SCE </w:t>
      </w:r>
      <w:r w:rsidRPr="0004451C">
        <w:t xml:space="preserve">is requesting $68.8 million for </w:t>
      </w:r>
      <w:r>
        <w:t>PYs</w:t>
      </w:r>
      <w:r w:rsidRPr="0004451C">
        <w:t xml:space="preserve"> 2021-2026</w:t>
      </w:r>
      <w:r>
        <w:t xml:space="preserve"> </w:t>
      </w:r>
      <w:r w:rsidRPr="0004451C">
        <w:t>for its MF</w:t>
      </w:r>
      <w:r>
        <w:t>WB</w:t>
      </w:r>
      <w:r w:rsidRPr="0004451C">
        <w:t xml:space="preserve"> program, which averages $</w:t>
      </w:r>
      <w:r>
        <w:t>870</w:t>
      </w:r>
      <w:r w:rsidRPr="0004451C">
        <w:t xml:space="preserve"> per unit to be treated.</w:t>
      </w:r>
      <w:r w:rsidRPr="0004451C">
        <w:rPr>
          <w:vertAlign w:val="superscript"/>
        </w:rPr>
        <w:footnoteReference w:id="824"/>
      </w:r>
      <w:r>
        <w:t xml:space="preserve"> SCE will allow bidders to propose property owner co-pays but will not require it. </w:t>
      </w:r>
      <w:r w:rsidRPr="00D33924">
        <w:t xml:space="preserve">SCE’s SPOC budget is estimated to be $200,000 per year and is part of their </w:t>
      </w:r>
      <w:r>
        <w:t>g</w:t>
      </w:r>
      <w:r w:rsidRPr="00D33924">
        <w:t xml:space="preserve">eneral </w:t>
      </w:r>
      <w:r>
        <w:t>a</w:t>
      </w:r>
      <w:r w:rsidRPr="00D33924">
        <w:t>dministration budget.</w:t>
      </w:r>
      <w:r w:rsidRPr="00D33924">
        <w:rPr>
          <w:vertAlign w:val="superscript"/>
        </w:rPr>
        <w:footnoteReference w:id="825"/>
      </w:r>
    </w:p>
    <w:p w:rsidR="000C1980" w:rsidP="001968DC" w:rsidRDefault="000C1980" w14:paraId="73E6AA58" w14:textId="03FC549B">
      <w:pPr>
        <w:pStyle w:val="Heading2"/>
        <w:ind w:left="1728"/>
      </w:pPr>
      <w:bookmarkStart w:name="_Toc69948187" w:id="540"/>
      <w:r>
        <w:t>SoCalGas</w:t>
      </w:r>
      <w:bookmarkEnd w:id="540"/>
    </w:p>
    <w:p w:rsidR="000C1980" w:rsidP="0023091F" w:rsidRDefault="000C1980" w14:paraId="7321F9A7" w14:textId="77777777">
      <w:pPr>
        <w:pStyle w:val="ALJBodyText"/>
      </w:pPr>
      <w:r w:rsidRPr="24DCB1AB">
        <w:rPr>
          <w:b/>
          <w:bCs/>
          <w:i/>
          <w:iCs/>
          <w:u w:val="single"/>
        </w:rPr>
        <w:t>Third Party Solicitation and Administration:</w:t>
      </w:r>
      <w:r w:rsidRPr="00386429">
        <w:t xml:space="preserve"> </w:t>
      </w:r>
      <w:r w:rsidRPr="0004451C">
        <w:t xml:space="preserve">SoCalGas proposes </w:t>
      </w:r>
      <w:r w:rsidRPr="00025BD6">
        <w:t>to outsource its MFWB program to a third-party</w:t>
      </w:r>
      <w:r w:rsidRPr="0004451C">
        <w:t>,</w:t>
      </w:r>
      <w:r w:rsidRPr="0004451C">
        <w:rPr>
          <w:vertAlign w:val="superscript"/>
        </w:rPr>
        <w:footnoteReference w:id="826"/>
      </w:r>
      <w:r>
        <w:t xml:space="preserve"> with a single stage solicitation process and oversight provided by a PRG and states that the use of an IE is unnecessary.  </w:t>
      </w:r>
    </w:p>
    <w:p w:rsidR="000C1980" w:rsidP="0023091F" w:rsidRDefault="000C1980" w14:paraId="79736AC9" w14:textId="77777777">
      <w:pPr>
        <w:pStyle w:val="ALJBodyText"/>
      </w:pPr>
      <w:r>
        <w:t>SoCalGas prefers local oversight over a statewide program, and states that a statewide program will be a disruption to their trusted relationships with contractor networks,</w:t>
      </w:r>
      <w:r>
        <w:rPr>
          <w:rStyle w:val="FootnoteReference"/>
        </w:rPr>
        <w:footnoteReference w:id="827"/>
      </w:r>
      <w:r>
        <w:t xml:space="preserve"> but indicates that it will not be opposed to a statewide program if it were required.</w:t>
      </w:r>
      <w:r>
        <w:rPr>
          <w:rStyle w:val="FootnoteReference"/>
        </w:rPr>
        <w:footnoteReference w:id="828"/>
      </w:r>
      <w:r>
        <w:t xml:space="preserve">  </w:t>
      </w:r>
      <w:r w:rsidRPr="003C495D">
        <w:t xml:space="preserve">SoCalGas </w:t>
      </w:r>
      <w:r>
        <w:t xml:space="preserve">also proposed to have a memorandum </w:t>
      </w:r>
      <w:r>
        <w:lastRenderedPageBreak/>
        <w:t>of understanding with SCE to coordinate services after the solicitation process has ended.</w:t>
      </w:r>
      <w:r w:rsidRPr="003C495D">
        <w:t xml:space="preserve"> </w:t>
      </w:r>
    </w:p>
    <w:p w:rsidRPr="0004451C" w:rsidR="000C1980" w:rsidP="0023091F" w:rsidRDefault="000C1980" w14:paraId="5BD4893E" w14:textId="77777777">
      <w:pPr>
        <w:pStyle w:val="ALJBodyText"/>
      </w:pPr>
      <w:r>
        <w:t>SoCalGas proposes a solicitation timeline of twelve to eighteen months.</w:t>
      </w:r>
    </w:p>
    <w:p w:rsidR="000C1980" w:rsidP="0023091F" w:rsidRDefault="000C1980" w14:paraId="03A202D8" w14:textId="77777777">
      <w:pPr>
        <w:pStyle w:val="ALJBodyText"/>
        <w:rPr>
          <w:rStyle w:val="ALJBodyTextChar"/>
        </w:rPr>
      </w:pPr>
      <w:r w:rsidRPr="00383A07">
        <w:rPr>
          <w:rStyle w:val="ALJBodyTextChar"/>
          <w:b/>
          <w:bCs/>
          <w:i/>
          <w:iCs/>
          <w:u w:val="single"/>
        </w:rPr>
        <w:t>Design and Delivery:</w:t>
      </w:r>
      <w:r w:rsidRPr="00F24DB3">
        <w:rPr>
          <w:rStyle w:val="ALJBodyTextChar"/>
        </w:rPr>
        <w:t xml:space="preserve"> SoCalGas proposes</w:t>
      </w:r>
      <w:r>
        <w:rPr>
          <w:rStyle w:val="ALJBodyTextChar"/>
        </w:rPr>
        <w:t xml:space="preserve"> that:</w:t>
      </w:r>
    </w:p>
    <w:p w:rsidR="000C1980" w:rsidP="00402362" w:rsidRDefault="000C1980" w14:paraId="7953BA7C" w14:textId="77777777">
      <w:pPr>
        <w:pStyle w:val="ListBullet"/>
        <w:rPr>
          <w:rStyle w:val="ALJBodyTextChar"/>
        </w:rPr>
      </w:pPr>
      <w:r>
        <w:rPr>
          <w:rStyle w:val="ALJBodyTextChar"/>
        </w:rPr>
        <w:t>Bidders will</w:t>
      </w:r>
      <w:r w:rsidRPr="00F24DB3">
        <w:rPr>
          <w:rStyle w:val="ALJBodyTextChar"/>
        </w:rPr>
        <w:t xml:space="preserve"> </w:t>
      </w:r>
      <w:r>
        <w:rPr>
          <w:rStyle w:val="ALJBodyTextChar"/>
        </w:rPr>
        <w:t xml:space="preserve">design the </w:t>
      </w:r>
      <w:r w:rsidRPr="24DCB1AB">
        <w:rPr>
          <w:rStyle w:val="ALJBodyTextChar"/>
        </w:rPr>
        <w:t xml:space="preserve">program, </w:t>
      </w:r>
      <w:r>
        <w:rPr>
          <w:rStyle w:val="ALJBodyTextChar"/>
        </w:rPr>
        <w:t>including</w:t>
      </w:r>
      <w:r w:rsidRPr="24DCB1AB">
        <w:rPr>
          <w:rStyle w:val="ALJBodyTextChar"/>
        </w:rPr>
        <w:t xml:space="preserve"> contractor choice, and </w:t>
      </w:r>
      <w:r>
        <w:t xml:space="preserve">SPOC services </w:t>
      </w:r>
      <w:r>
        <w:rPr>
          <w:rStyle w:val="ALJBodyTextChar"/>
        </w:rPr>
        <w:t>for the MFWB program</w:t>
      </w:r>
      <w:r w:rsidRPr="00383A07">
        <w:rPr>
          <w:rStyle w:val="ALJBodyTextChar"/>
        </w:rPr>
        <w:t>.</w:t>
      </w:r>
      <w:r w:rsidRPr="24DCB1AB">
        <w:rPr>
          <w:rStyle w:val="ALJBodyTextChar"/>
        </w:rPr>
        <w:t xml:space="preserve"> </w:t>
      </w:r>
      <w:r>
        <w:rPr>
          <w:rStyle w:val="ALJBodyTextChar"/>
        </w:rPr>
        <w:t xml:space="preserve"> </w:t>
      </w:r>
    </w:p>
    <w:p w:rsidR="000C1980" w:rsidP="00402362" w:rsidRDefault="000C1980" w14:paraId="1C2612B9" w14:textId="77777777">
      <w:pPr>
        <w:pStyle w:val="ListBullet"/>
      </w:pPr>
      <w:r>
        <w:t xml:space="preserve">Bidders will include plans to integrate </w:t>
      </w:r>
      <w:r>
        <w:rPr>
          <w:rStyle w:val="ALJBodyTextChar"/>
        </w:rPr>
        <w:t>the MFWB program</w:t>
      </w:r>
      <w:r>
        <w:t xml:space="preserve"> with the IOU or municipal utility demand response programs.</w:t>
      </w:r>
      <w:r>
        <w:rPr>
          <w:rStyle w:val="FootnoteReference"/>
        </w:rPr>
        <w:footnoteReference w:id="829"/>
      </w:r>
      <w:r>
        <w:t xml:space="preserve"> </w:t>
      </w:r>
    </w:p>
    <w:p w:rsidR="000C1980" w:rsidP="00402362" w:rsidRDefault="000C1980" w14:paraId="7BA8F76E" w14:textId="77777777">
      <w:pPr>
        <w:pStyle w:val="ListBullet"/>
      </w:pPr>
      <w:r>
        <w:t>Bidders have the option to propose to serve SoCalGas’ territory partially or in whole.</w:t>
      </w:r>
      <w:r>
        <w:rPr>
          <w:rStyle w:val="FootnoteReference"/>
        </w:rPr>
        <w:footnoteReference w:id="830"/>
      </w:r>
      <w:r>
        <w:t xml:space="preserve"> </w:t>
      </w:r>
    </w:p>
    <w:p w:rsidR="000C1980" w:rsidP="00402362" w:rsidRDefault="000C1980" w14:paraId="1C2927F5" w14:textId="77777777">
      <w:pPr>
        <w:pStyle w:val="ListBullet"/>
      </w:pPr>
      <w:r>
        <w:t xml:space="preserve">SoCalGas will continue implementing the in-unit and CAM programs separate from the MFWB program.  </w:t>
      </w:r>
    </w:p>
    <w:p w:rsidRPr="005A3970" w:rsidR="000C1980" w:rsidP="0023091F" w:rsidRDefault="000C1980" w14:paraId="71EE922E" w14:textId="77777777">
      <w:pPr>
        <w:pStyle w:val="ALJBodyText"/>
        <w:rPr>
          <w:b/>
          <w:bCs/>
          <w:i/>
          <w:iCs/>
        </w:rPr>
      </w:pPr>
      <w:r w:rsidRPr="00636044">
        <w:rPr>
          <w:b/>
          <w:bCs/>
          <w:i/>
          <w:iCs/>
          <w:u w:val="single"/>
        </w:rPr>
        <w:t>SPOC</w:t>
      </w:r>
      <w:r w:rsidRPr="005A3970">
        <w:rPr>
          <w:b/>
          <w:bCs/>
          <w:i/>
          <w:iCs/>
        </w:rPr>
        <w:t>:</w:t>
      </w:r>
      <w:r w:rsidRPr="24DCB1AB">
        <w:rPr>
          <w:b/>
          <w:bCs/>
          <w:i/>
          <w:iCs/>
        </w:rPr>
        <w:t xml:space="preserve"> </w:t>
      </w:r>
      <w:r>
        <w:t xml:space="preserve">SoCalGas </w:t>
      </w:r>
      <w:r>
        <w:rPr>
          <w:rStyle w:val="ALJBodyTextChar"/>
        </w:rPr>
        <w:t>proposes to keep SPOC in house</w:t>
      </w:r>
      <w:r>
        <w:t>,</w:t>
      </w:r>
      <w:r w:rsidRPr="00F24DB3">
        <w:rPr>
          <w:rStyle w:val="FootnoteReference"/>
        </w:rPr>
        <w:footnoteReference w:id="831"/>
      </w:r>
      <w:r>
        <w:t xml:space="preserve"> offering services to include energy assessments and consultation, program guidance, financing options, and benchmarking support.</w:t>
      </w:r>
      <w:r>
        <w:rPr>
          <w:rStyle w:val="FootnoteReference"/>
        </w:rPr>
        <w:footnoteReference w:id="832"/>
      </w:r>
      <w:r w:rsidRPr="24DCB1AB">
        <w:rPr>
          <w:b/>
          <w:bCs/>
          <w:i/>
          <w:iCs/>
        </w:rPr>
        <w:t xml:space="preserve"> </w:t>
      </w:r>
    </w:p>
    <w:p w:rsidR="000C1980" w:rsidP="0023091F" w:rsidRDefault="000C1980" w14:paraId="686AE70B" w14:textId="77777777">
      <w:pPr>
        <w:pStyle w:val="ALJBodyText"/>
      </w:pPr>
      <w:r w:rsidRPr="24DCB1AB">
        <w:rPr>
          <w:b/>
          <w:bCs/>
          <w:i/>
          <w:iCs/>
          <w:u w:val="single"/>
        </w:rPr>
        <w:t>Eligibility and Enrollment:</w:t>
      </w:r>
      <w:r>
        <w:t xml:space="preserve">  SoCalGas proposes the following requirements:</w:t>
      </w:r>
    </w:p>
    <w:p w:rsidR="000C1980" w:rsidP="00402362" w:rsidRDefault="000C1980" w14:paraId="682E8668" w14:textId="77777777">
      <w:pPr>
        <w:pStyle w:val="ListBullet"/>
      </w:pPr>
      <w:r>
        <w:t>Allow</w:t>
      </w:r>
      <w:r w:rsidRPr="00025BD6">
        <w:t xml:space="preserve"> deed-restricted and non-deed-restricted MF properties</w:t>
      </w:r>
      <w:r>
        <w:t xml:space="preserve"> to qualify for the MFWB program.</w:t>
      </w:r>
      <w:r>
        <w:rPr>
          <w:rStyle w:val="FootnoteReference"/>
          <w:szCs w:val="26"/>
        </w:rPr>
        <w:footnoteReference w:id="833"/>
      </w:r>
      <w:r w:rsidRPr="00F67870">
        <w:rPr>
          <w:vertAlign w:val="superscript"/>
        </w:rPr>
        <w:t xml:space="preserve"> </w:t>
      </w:r>
    </w:p>
    <w:p w:rsidR="000C1980" w:rsidP="00402362" w:rsidRDefault="000C1980" w14:paraId="5BE735D2" w14:textId="77777777">
      <w:pPr>
        <w:pStyle w:val="ListBullet"/>
      </w:pPr>
      <w:r>
        <w:t xml:space="preserve">Offer MFWB services where </w:t>
      </w:r>
      <w:r w:rsidRPr="00025BD6">
        <w:t xml:space="preserve">at least </w:t>
      </w:r>
      <w:r>
        <w:t>80</w:t>
      </w:r>
      <w:r w:rsidRPr="00976186">
        <w:t xml:space="preserve"> </w:t>
      </w:r>
      <w:r w:rsidRPr="0026503D">
        <w:t>percent</w:t>
      </w:r>
      <w:r w:rsidRPr="00025BD6">
        <w:t xml:space="preserve"> of households </w:t>
      </w:r>
      <w:r>
        <w:t xml:space="preserve">at the property </w:t>
      </w:r>
      <w:r w:rsidRPr="00025BD6">
        <w:t>meet ESA income requirements and the dwellings meet ESA qualification requirements</w:t>
      </w:r>
      <w:r>
        <w:t xml:space="preserve">. </w:t>
      </w:r>
    </w:p>
    <w:p w:rsidR="000C1980" w:rsidP="00402362" w:rsidRDefault="000C1980" w14:paraId="5008A4A9" w14:textId="77777777">
      <w:pPr>
        <w:pStyle w:val="ListBullet"/>
      </w:pPr>
      <w:r>
        <w:t>Offer CAM services</w:t>
      </w:r>
      <w:r w:rsidRPr="00025BD6">
        <w:t xml:space="preserve"> for properties where at least </w:t>
      </w:r>
      <w:r>
        <w:t>80</w:t>
      </w:r>
      <w:r w:rsidRPr="00976186">
        <w:t xml:space="preserve"> </w:t>
      </w:r>
      <w:r w:rsidRPr="0026503D">
        <w:t>percent</w:t>
      </w:r>
      <w:r w:rsidRPr="00025BD6">
        <w:t xml:space="preserve"> of households </w:t>
      </w:r>
      <w:r>
        <w:t xml:space="preserve">at the property </w:t>
      </w:r>
      <w:r w:rsidRPr="00025BD6">
        <w:t>meet ESA income requirements</w:t>
      </w:r>
      <w:r>
        <w:t>.</w:t>
      </w:r>
    </w:p>
    <w:p w:rsidR="000C1980" w:rsidP="00402362" w:rsidRDefault="000C1980" w14:paraId="76A1CC65" w14:textId="77777777">
      <w:pPr>
        <w:pStyle w:val="ListBullet"/>
      </w:pPr>
      <w:r>
        <w:lastRenderedPageBreak/>
        <w:t>R</w:t>
      </w:r>
      <w:r w:rsidRPr="00340A7F">
        <w:t xml:space="preserve">equire a </w:t>
      </w:r>
      <w:r>
        <w:t>50</w:t>
      </w:r>
      <w:r w:rsidRPr="00976186">
        <w:t xml:space="preserve"> </w:t>
      </w:r>
      <w:r w:rsidRPr="0026503D">
        <w:t>percent</w:t>
      </w:r>
      <w:r>
        <w:t xml:space="preserve"> </w:t>
      </w:r>
      <w:r w:rsidRPr="00340A7F">
        <w:t xml:space="preserve">co-pay for </w:t>
      </w:r>
      <w:r>
        <w:t>CAM services in</w:t>
      </w:r>
      <w:r w:rsidRPr="00340A7F">
        <w:t xml:space="preserve"> non-deed restricted properties</w:t>
      </w:r>
      <w:r>
        <w:t>.</w:t>
      </w:r>
    </w:p>
    <w:p w:rsidR="000C1980" w:rsidP="00402362" w:rsidRDefault="000C1980" w14:paraId="382B3933" w14:textId="77777777">
      <w:pPr>
        <w:pStyle w:val="ListBullet"/>
      </w:pPr>
      <w:r>
        <w:t>Maintain the owner affidavit process authorized in D.17-12-009.</w:t>
      </w:r>
      <w:r>
        <w:rPr>
          <w:rStyle w:val="FootnoteReference"/>
          <w:szCs w:val="26"/>
        </w:rPr>
        <w:footnoteReference w:id="834"/>
      </w:r>
      <w:r>
        <w:t xml:space="preserve"> </w:t>
      </w:r>
    </w:p>
    <w:p w:rsidRPr="00340A7F" w:rsidR="000C1980" w:rsidP="0023091F" w:rsidRDefault="000C1980" w14:paraId="6D3E32C4" w14:textId="77777777">
      <w:pPr>
        <w:pStyle w:val="ALJBodyText"/>
      </w:pPr>
      <w:r w:rsidRPr="00B53654">
        <w:rPr>
          <w:b/>
          <w:bCs/>
          <w:i/>
          <w:iCs/>
          <w:u w:val="single"/>
        </w:rPr>
        <w:t>Measures:</w:t>
      </w:r>
      <w:r>
        <w:t xml:space="preserve"> The</w:t>
      </w:r>
      <w:r w:rsidRPr="00025BD6">
        <w:t xml:space="preserve"> </w:t>
      </w:r>
      <w:r w:rsidRPr="00340A7F">
        <w:t xml:space="preserve">specific measure mix </w:t>
      </w:r>
      <w:r>
        <w:t>for the MFWB program will</w:t>
      </w:r>
      <w:r w:rsidRPr="00025BD6">
        <w:t xml:space="preserve"> </w:t>
      </w:r>
      <w:r w:rsidRPr="00340A7F">
        <w:t>be included as part of the solicitation process.</w:t>
      </w:r>
    </w:p>
    <w:p w:rsidR="000C1980" w:rsidP="0023091F" w:rsidRDefault="000C1980" w14:paraId="062E6FDC" w14:textId="32BFC663">
      <w:pPr>
        <w:pStyle w:val="ALJBodyText"/>
      </w:pPr>
      <w:r w:rsidRPr="24DCB1AB">
        <w:rPr>
          <w:b/>
          <w:bCs/>
          <w:i/>
          <w:iCs/>
          <w:u w:val="single"/>
        </w:rPr>
        <w:t>Treatment Goals:</w:t>
      </w:r>
      <w:r>
        <w:t xml:space="preserve"> </w:t>
      </w:r>
      <w:r w:rsidRPr="0004451C">
        <w:t xml:space="preserve">SoCalGas does not set a household treatment goal </w:t>
      </w:r>
      <w:r>
        <w:t>for the MFWB program but does estimate that 7,353 units can be served per year.</w:t>
      </w:r>
      <w:r>
        <w:rPr>
          <w:rStyle w:val="FootnoteReference"/>
        </w:rPr>
        <w:footnoteReference w:id="835"/>
      </w:r>
      <w:r>
        <w:t xml:space="preserve"> For all MF programs, SoCalGas estimates treatment of 35,526 properties with an associated 187,578 units between PYs 2021-2026. Approximately 10</w:t>
      </w:r>
      <w:r w:rsidRPr="00976186">
        <w:t xml:space="preserve"> </w:t>
      </w:r>
      <w:r w:rsidRPr="0026503D">
        <w:t>percent</w:t>
      </w:r>
      <w:r>
        <w:t xml:space="preserve"> of SoCalGas’s estimated total units treated are done indirectly through the provision of common area measures.</w:t>
      </w:r>
      <w:r w:rsidRPr="46384E67">
        <w:rPr>
          <w:vertAlign w:val="superscript"/>
        </w:rPr>
        <w:footnoteReference w:id="836"/>
      </w:r>
    </w:p>
    <w:p w:rsidRPr="005A3970" w:rsidR="000C1980" w:rsidP="0023091F" w:rsidRDefault="000C1980" w14:paraId="3E85F8B4" w14:textId="38DEEBF8">
      <w:pPr>
        <w:pStyle w:val="ALJBodyText"/>
      </w:pPr>
      <w:r w:rsidRPr="24DCB1AB">
        <w:rPr>
          <w:b/>
          <w:bCs/>
          <w:i/>
          <w:iCs/>
          <w:u w:val="single"/>
        </w:rPr>
        <w:t>Energy Savings</w:t>
      </w:r>
      <w:r>
        <w:rPr>
          <w:b/>
          <w:bCs/>
          <w:i/>
          <w:iCs/>
          <w:u w:val="single"/>
        </w:rPr>
        <w:t xml:space="preserve"> and Other</w:t>
      </w:r>
      <w:r w:rsidRPr="24DCB1AB">
        <w:rPr>
          <w:b/>
          <w:bCs/>
          <w:i/>
          <w:iCs/>
          <w:u w:val="single"/>
        </w:rPr>
        <w:t xml:space="preserve"> Goals:</w:t>
      </w:r>
      <w:r w:rsidRPr="0031264D">
        <w:t xml:space="preserve"> </w:t>
      </w:r>
      <w:r w:rsidRPr="0004451C">
        <w:t>SoCalGas does not set an energy savings goal</w:t>
      </w:r>
      <w:r>
        <w:t xml:space="preserve"> for the MFWB program but estimates annual savings of 113,235 </w:t>
      </w:r>
      <w:proofErr w:type="spellStart"/>
      <w:r>
        <w:t>therms</w:t>
      </w:r>
      <w:proofErr w:type="spellEnd"/>
      <w:r>
        <w:t xml:space="preserve"> for the program.</w:t>
      </w:r>
      <w:r w:rsidRPr="24DCB1AB">
        <w:rPr>
          <w:rStyle w:val="FootnoteReference"/>
        </w:rPr>
        <w:t xml:space="preserve"> </w:t>
      </w:r>
      <w:r>
        <w:rPr>
          <w:rStyle w:val="FootnoteReference"/>
        </w:rPr>
        <w:footnoteReference w:id="837"/>
      </w:r>
      <w:r>
        <w:t xml:space="preserve"> For the general multifamily sector, SoCalGas estimates savings of 3.44 million </w:t>
      </w:r>
      <w:proofErr w:type="spellStart"/>
      <w:r>
        <w:t>therms</w:t>
      </w:r>
      <w:proofErr w:type="spellEnd"/>
      <w:r>
        <w:t>.</w:t>
      </w:r>
    </w:p>
    <w:p w:rsidRPr="0004451C" w:rsidR="000C1980" w:rsidP="0023091F" w:rsidRDefault="000C1980" w14:paraId="34A2EA8E" w14:textId="5B0F6B79">
      <w:pPr>
        <w:pStyle w:val="ALJBodyText"/>
      </w:pPr>
      <w:r w:rsidRPr="24DCB1AB">
        <w:rPr>
          <w:b/>
          <w:bCs/>
          <w:i/>
          <w:iCs/>
          <w:u w:val="single"/>
        </w:rPr>
        <w:t>Budgets:</w:t>
      </w:r>
      <w:r w:rsidRPr="000A0B19">
        <w:t xml:space="preserve"> </w:t>
      </w:r>
      <w:r>
        <w:t xml:space="preserve">SoCalGas </w:t>
      </w:r>
      <w:r w:rsidRPr="0004451C">
        <w:t>is requesting $</w:t>
      </w:r>
      <w:r>
        <w:t xml:space="preserve">151 </w:t>
      </w:r>
      <w:r w:rsidRPr="0004451C">
        <w:t xml:space="preserve">million for </w:t>
      </w:r>
      <w:r>
        <w:t xml:space="preserve">PYs </w:t>
      </w:r>
      <w:r w:rsidRPr="0004451C">
        <w:t>2021-2026 for its M</w:t>
      </w:r>
      <w:r>
        <w:t>F</w:t>
      </w:r>
      <w:r w:rsidRPr="0004451C">
        <w:t xml:space="preserve"> program, which averages $</w:t>
      </w:r>
      <w:r>
        <w:t xml:space="preserve">850 </w:t>
      </w:r>
      <w:r w:rsidRPr="0004451C">
        <w:t>per unit</w:t>
      </w:r>
      <w:r>
        <w:t>, including CAM costs and their associated units</w:t>
      </w:r>
      <w:r w:rsidRPr="0004451C">
        <w:t xml:space="preserve">. This also includes the newly proposed MFWB </w:t>
      </w:r>
      <w:r>
        <w:t>p</w:t>
      </w:r>
      <w:r w:rsidRPr="0004451C">
        <w:t xml:space="preserve">rogram, starting at $4 million annually </w:t>
      </w:r>
      <w:r>
        <w:t>for</w:t>
      </w:r>
      <w:r w:rsidRPr="0004451C">
        <w:t xml:space="preserve"> PY</w:t>
      </w:r>
      <w:r>
        <w:t>s</w:t>
      </w:r>
      <w:r w:rsidRPr="0004451C">
        <w:t xml:space="preserve"> 2022</w:t>
      </w:r>
      <w:r>
        <w:t>-</w:t>
      </w:r>
      <w:r w:rsidRPr="0004451C">
        <w:t>2026.</w:t>
      </w:r>
      <w:r w:rsidRPr="0004451C">
        <w:rPr>
          <w:vertAlign w:val="superscript"/>
        </w:rPr>
        <w:footnoteReference w:id="838"/>
      </w:r>
      <w:r w:rsidRPr="00BE7E3C">
        <w:t xml:space="preserve"> </w:t>
      </w:r>
      <w:r>
        <w:t xml:space="preserve"> The MFWB program average cost per unit is $544. </w:t>
      </w:r>
    </w:p>
    <w:p w:rsidRPr="0004451C" w:rsidR="000C1980" w:rsidP="0023091F" w:rsidRDefault="000C1980" w14:paraId="690D2944" w14:textId="77777777">
      <w:pPr>
        <w:pStyle w:val="ALJBodyText"/>
      </w:pPr>
      <w:r w:rsidRPr="005A3970">
        <w:rPr>
          <w:b/>
          <w:bCs/>
          <w:i/>
          <w:iCs/>
          <w:u w:val="single"/>
        </w:rPr>
        <w:lastRenderedPageBreak/>
        <w:t>Other</w:t>
      </w:r>
      <w:r>
        <w:t>: SoCalGas requests that the Commission clearly define certain terms from D.17-12-009 including “ancillary” and “deed-restricted.”</w:t>
      </w:r>
      <w:r>
        <w:rPr>
          <w:rStyle w:val="FootnoteReference"/>
        </w:rPr>
        <w:footnoteReference w:id="839"/>
      </w:r>
      <w:r>
        <w:t xml:space="preserve">  SoCalGas postulates if “ancillary” activities necessitated by long periods for demolition and installation can include more costly efforts like grading for outside equipment or temporary hot water systems. </w:t>
      </w:r>
    </w:p>
    <w:p w:rsidR="000C1980" w:rsidP="001968DC" w:rsidRDefault="000C1980" w14:paraId="38F5142F" w14:textId="471AE498">
      <w:pPr>
        <w:pStyle w:val="Heading2"/>
        <w:ind w:left="1728"/>
      </w:pPr>
      <w:bookmarkStart w:name="_Toc69948188" w:id="541"/>
      <w:r>
        <w:t>SDG&amp;E Proposal</w:t>
      </w:r>
      <w:bookmarkEnd w:id="541"/>
      <w:r>
        <w:t xml:space="preserve"> </w:t>
      </w:r>
    </w:p>
    <w:p w:rsidR="000C1980" w:rsidP="0023091F" w:rsidRDefault="000C1980" w14:paraId="7733848B" w14:textId="2E5A975A">
      <w:pPr>
        <w:pStyle w:val="ALJBodyText"/>
      </w:pPr>
      <w:r w:rsidRPr="24DCB1AB">
        <w:rPr>
          <w:b/>
          <w:bCs/>
          <w:i/>
          <w:iCs/>
          <w:u w:val="single"/>
        </w:rPr>
        <w:t>Third Party Solicitation and Administration:</w:t>
      </w:r>
      <w:r w:rsidRPr="001B11E6">
        <w:t xml:space="preserve"> </w:t>
      </w:r>
      <w:r w:rsidRPr="0004451C">
        <w:t xml:space="preserve">SDG&amp;E proposes </w:t>
      </w:r>
      <w:r w:rsidRPr="00025BD6">
        <w:t>to outsource its MFWB program to</w:t>
      </w:r>
      <w:r w:rsidRPr="0004451C">
        <w:t xml:space="preserve"> </w:t>
      </w:r>
      <w:r>
        <w:t>one or more</w:t>
      </w:r>
      <w:r w:rsidRPr="0004451C">
        <w:t xml:space="preserve"> </w:t>
      </w:r>
      <w:proofErr w:type="gramStart"/>
      <w:r w:rsidRPr="0004451C">
        <w:t>third-part</w:t>
      </w:r>
      <w:r>
        <w:t>ies</w:t>
      </w:r>
      <w:proofErr w:type="gramEnd"/>
      <w:r>
        <w:t>,</w:t>
      </w:r>
      <w:r w:rsidRPr="2DCB24ED">
        <w:rPr>
          <w:vertAlign w:val="superscript"/>
        </w:rPr>
        <w:footnoteReference w:id="840"/>
      </w:r>
      <w:r>
        <w:t xml:space="preserve"> using a single stage solicitation process</w:t>
      </w:r>
      <w:r w:rsidRPr="000C3FA4">
        <w:t xml:space="preserve"> </w:t>
      </w:r>
      <w:r>
        <w:t>with two-step selection.</w:t>
      </w:r>
      <w:r w:rsidRPr="6AF1D2E6">
        <w:rPr>
          <w:vertAlign w:val="superscript"/>
        </w:rPr>
        <w:t xml:space="preserve"> </w:t>
      </w:r>
      <w:r w:rsidRPr="6AF1D2E6">
        <w:rPr>
          <w:vertAlign w:val="superscript"/>
        </w:rPr>
        <w:footnoteReference w:id="841"/>
      </w:r>
      <w:r>
        <w:t xml:space="preserve"> SDG&amp;E also proposes to include a PRG to provide oversight.  </w:t>
      </w:r>
      <w:r w:rsidRPr="24DCB1AB">
        <w:rPr>
          <w:vertAlign w:val="superscript"/>
        </w:rPr>
        <w:t xml:space="preserve">  </w:t>
      </w:r>
      <w:r w:rsidRPr="0004451C">
        <w:t>SDG&amp;E</w:t>
      </w:r>
      <w:r w:rsidRPr="0004451C" w:rsidR="00F006ED">
        <w:t>’s position shifted from their application to</w:t>
      </w:r>
      <w:r w:rsidRPr="0004451C">
        <w:t xml:space="preserve"> </w:t>
      </w:r>
      <w:r>
        <w:t>support statewide</w:t>
      </w:r>
      <w:r w:rsidR="00E66E41">
        <w:t>, third party</w:t>
      </w:r>
      <w:r>
        <w:t xml:space="preserve"> administration </w:t>
      </w:r>
      <w:r w:rsidR="00B92A14">
        <w:t xml:space="preserve">to combine their initially proposed MFWB and local non-deed restricted multifamily </w:t>
      </w:r>
      <w:proofErr w:type="gramStart"/>
      <w:r w:rsidR="00B92A14">
        <w:t xml:space="preserve">programs </w:t>
      </w:r>
      <w:r w:rsidRPr="24DCB1AB">
        <w:rPr>
          <w:rFonts w:eastAsia="Book Antiqua" w:cs="Book Antiqua"/>
        </w:rPr>
        <w:t>.</w:t>
      </w:r>
      <w:proofErr w:type="gramEnd"/>
      <w:r w:rsidRPr="00B43760">
        <w:t xml:space="preserve"> </w:t>
      </w:r>
    </w:p>
    <w:p w:rsidR="000C1980" w:rsidP="0023091F" w:rsidRDefault="000C1980" w14:paraId="0E70B479" w14:textId="73A3D2FE">
      <w:pPr>
        <w:pStyle w:val="ALJBodyText"/>
      </w:pPr>
      <w:r>
        <w:t xml:space="preserve">SDG&amp;E proposes a solicitation timeline of </w:t>
      </w:r>
      <w:r w:rsidR="00553562">
        <w:t xml:space="preserve">thirteen </w:t>
      </w:r>
      <w:r>
        <w:t xml:space="preserve">to </w:t>
      </w:r>
      <w:r w:rsidR="00553562">
        <w:t xml:space="preserve">twenty-two </w:t>
      </w:r>
      <w:r>
        <w:t>months.</w:t>
      </w:r>
      <w:r w:rsidRPr="00CF57D5" w:rsidR="00CF57D5">
        <w:rPr>
          <w:vertAlign w:val="superscript"/>
        </w:rPr>
        <w:t xml:space="preserve"> </w:t>
      </w:r>
      <w:r w:rsidRPr="0004451C" w:rsidR="00CF57D5">
        <w:rPr>
          <w:vertAlign w:val="superscript"/>
        </w:rPr>
        <w:footnoteReference w:id="842"/>
      </w:r>
    </w:p>
    <w:p w:rsidR="000C1980" w:rsidP="0023091F" w:rsidRDefault="000C1980" w14:paraId="14C82FB2" w14:textId="77777777">
      <w:pPr>
        <w:pStyle w:val="ALJBodyText"/>
      </w:pPr>
      <w:r w:rsidRPr="24DCB1AB">
        <w:rPr>
          <w:b/>
          <w:bCs/>
          <w:i/>
          <w:iCs/>
          <w:u w:val="single"/>
        </w:rPr>
        <w:t>Design and Delivery:</w:t>
      </w:r>
      <w:r w:rsidRPr="00CB1EAE">
        <w:t xml:space="preserve"> </w:t>
      </w:r>
      <w:r>
        <w:t>SDG&amp;E proposes that:</w:t>
      </w:r>
    </w:p>
    <w:p w:rsidR="000C1980" w:rsidP="00402362" w:rsidRDefault="000C1980" w14:paraId="5EDA79CF" w14:textId="77777777">
      <w:pPr>
        <w:pStyle w:val="ListBullet"/>
      </w:pPr>
      <w:r>
        <w:t>Bidders</w:t>
      </w:r>
      <w:r w:rsidRPr="0004451C">
        <w:t xml:space="preserve"> </w:t>
      </w:r>
      <w:r>
        <w:t xml:space="preserve">will design the program </w:t>
      </w:r>
      <w:r w:rsidRPr="0004451C">
        <w:t>for deed-restricted properties</w:t>
      </w:r>
      <w:r>
        <w:t>.</w:t>
      </w:r>
      <w:r w:rsidRPr="0004451C">
        <w:rPr>
          <w:vertAlign w:val="superscript"/>
        </w:rPr>
        <w:footnoteReference w:id="843"/>
      </w:r>
      <w:r w:rsidRPr="0004451C">
        <w:t xml:space="preserve"> </w:t>
      </w:r>
    </w:p>
    <w:p w:rsidR="000C1980" w:rsidP="00402362" w:rsidRDefault="000C1980" w14:paraId="7E7FD23D" w14:textId="77777777">
      <w:pPr>
        <w:pStyle w:val="ListBullet"/>
      </w:pPr>
      <w:r>
        <w:t>Bidders will be required to leverage SDG&amp;E’s WE&amp;T program and select from its approved contractors.</w:t>
      </w:r>
      <w:r w:rsidRPr="6AF1D2E6">
        <w:rPr>
          <w:vertAlign w:val="superscript"/>
        </w:rPr>
        <w:footnoteReference w:id="844"/>
      </w:r>
      <w:r>
        <w:t xml:space="preserve"> </w:t>
      </w:r>
    </w:p>
    <w:p w:rsidR="000C1980" w:rsidP="00402362" w:rsidRDefault="000C1980" w14:paraId="08B1586A" w14:textId="77777777">
      <w:pPr>
        <w:pStyle w:val="ListBullet"/>
      </w:pPr>
      <w:r>
        <w:t>Bidders will be required to state how they can integrate a statewide platform, if required, and work with IOU SPOC processes.</w:t>
      </w:r>
      <w:r w:rsidRPr="6AF1D2E6">
        <w:rPr>
          <w:vertAlign w:val="superscript"/>
        </w:rPr>
        <w:footnoteReference w:id="845"/>
      </w:r>
    </w:p>
    <w:p w:rsidRPr="00975343" w:rsidR="000C1980" w:rsidP="00402362" w:rsidRDefault="000C1980" w14:paraId="16997D81" w14:textId="77777777">
      <w:pPr>
        <w:pStyle w:val="ListBullet"/>
      </w:pPr>
      <w:r w:rsidRPr="0004451C">
        <w:lastRenderedPageBreak/>
        <w:t xml:space="preserve">SDG&amp;E </w:t>
      </w:r>
      <w:r>
        <w:t>will continue to offer in unit and CAM services</w:t>
      </w:r>
      <w:r w:rsidRPr="0004451C">
        <w:t xml:space="preserve"> for non-deed restricted properties.</w:t>
      </w:r>
      <w:r w:rsidRPr="0004451C">
        <w:rPr>
          <w:vertAlign w:val="superscript"/>
        </w:rPr>
        <w:footnoteReference w:id="846"/>
      </w:r>
      <w:r w:rsidRPr="24DCB1AB">
        <w:rPr>
          <w:vertAlign w:val="superscript"/>
        </w:rPr>
        <w:t xml:space="preserve"> </w:t>
      </w:r>
    </w:p>
    <w:p w:rsidRPr="0004451C" w:rsidR="000C1980" w:rsidP="0023091F" w:rsidRDefault="000C1980" w14:paraId="19706AAC" w14:textId="77777777">
      <w:pPr>
        <w:pStyle w:val="ALJBodyText"/>
      </w:pPr>
      <w:r w:rsidRPr="00935991">
        <w:rPr>
          <w:b/>
          <w:bCs/>
          <w:i/>
          <w:iCs/>
          <w:u w:val="single"/>
        </w:rPr>
        <w:t>SPOC:</w:t>
      </w:r>
      <w:r>
        <w:t xml:space="preserve"> SDG&amp;E proposes to keep SPOC in house to provide project management services, as needed, and is requesting $2.97 million</w:t>
      </w:r>
      <w:r w:rsidRPr="00DA5DEF">
        <w:t xml:space="preserve"> </w:t>
      </w:r>
      <w:r>
        <w:t>for PYs 2021</w:t>
      </w:r>
      <w:r>
        <w:noBreakHyphen/>
        <w:t>2026</w:t>
      </w:r>
      <w:r w:rsidRPr="003A2DBC">
        <w:t xml:space="preserve"> </w:t>
      </w:r>
      <w:r>
        <w:t>for this effort.  SDG&amp;E proposes utilizing their “rapid feedback” budget to assess its SPOC model and propose adjustments in the mid-cycle advice letter.</w:t>
      </w:r>
      <w:r w:rsidRPr="70650CC6">
        <w:rPr>
          <w:vertAlign w:val="superscript"/>
        </w:rPr>
        <w:footnoteReference w:id="847"/>
      </w:r>
      <w:r>
        <w:t xml:space="preserve">  For financial technical assistance, the SPOC will inform and educate customers on available financing through SDG&amp;E’s On-Bill Finance and California HUB for Energy Efficiency Financing (CHEEF) pilots. </w:t>
      </w:r>
      <w:r w:rsidRPr="0D2B2280">
        <w:rPr>
          <w:vertAlign w:val="superscript"/>
        </w:rPr>
        <w:footnoteReference w:id="848"/>
      </w:r>
    </w:p>
    <w:p w:rsidR="000C1980" w:rsidP="0023091F" w:rsidRDefault="000C1980" w14:paraId="08B913CA" w14:textId="77777777">
      <w:pPr>
        <w:pStyle w:val="ALJBodyText"/>
      </w:pPr>
      <w:r w:rsidRPr="24DCB1AB">
        <w:rPr>
          <w:b/>
          <w:bCs/>
          <w:i/>
          <w:iCs/>
          <w:u w:val="single"/>
        </w:rPr>
        <w:t>Eligibility and Enrollment:</w:t>
      </w:r>
      <w:r w:rsidRPr="001F5D70">
        <w:t xml:space="preserve"> </w:t>
      </w:r>
      <w:r w:rsidRPr="0004451C">
        <w:t xml:space="preserve">SDG&amp;E proposes </w:t>
      </w:r>
      <w:r>
        <w:t>the</w:t>
      </w:r>
      <w:r w:rsidRPr="0004451C">
        <w:t xml:space="preserve"> </w:t>
      </w:r>
      <w:r>
        <w:t>following requirements:</w:t>
      </w:r>
    </w:p>
    <w:p w:rsidR="000C1980" w:rsidP="00402362" w:rsidRDefault="000C1980" w14:paraId="3F38F4EA" w14:textId="77777777">
      <w:pPr>
        <w:pStyle w:val="ListBullet"/>
      </w:pPr>
      <w:r>
        <w:t xml:space="preserve">Allow </w:t>
      </w:r>
      <w:r w:rsidRPr="0004451C">
        <w:t xml:space="preserve">deed-restricted </w:t>
      </w:r>
      <w:r>
        <w:t>MF</w:t>
      </w:r>
      <w:r w:rsidRPr="0004451C">
        <w:t xml:space="preserve"> properties</w:t>
      </w:r>
      <w:r>
        <w:t xml:space="preserve"> to qualify for the</w:t>
      </w:r>
      <w:r w:rsidRPr="00E55A82">
        <w:t xml:space="preserve"> </w:t>
      </w:r>
      <w:r w:rsidRPr="0004451C">
        <w:t>MFWB program</w:t>
      </w:r>
      <w:r>
        <w:t>.</w:t>
      </w:r>
      <w:r w:rsidRPr="0004451C">
        <w:rPr>
          <w:vertAlign w:val="superscript"/>
        </w:rPr>
        <w:footnoteReference w:id="849"/>
      </w:r>
    </w:p>
    <w:p w:rsidRPr="00695554" w:rsidR="000C1980" w:rsidP="00402362" w:rsidRDefault="000C1980" w14:paraId="07188842" w14:textId="77777777">
      <w:pPr>
        <w:pStyle w:val="ListBullet"/>
      </w:pPr>
      <w:r w:rsidRPr="00695554">
        <w:t>Offer CAM services for properties where at least 65</w:t>
      </w:r>
      <w:r w:rsidRPr="00976186">
        <w:t xml:space="preserve"> </w:t>
      </w:r>
      <w:r w:rsidRPr="0026503D">
        <w:t>percent</w:t>
      </w:r>
      <w:r w:rsidRPr="00695554">
        <w:t xml:space="preserve"> of households </w:t>
      </w:r>
      <w:r>
        <w:t xml:space="preserve">at the property </w:t>
      </w:r>
      <w:r w:rsidRPr="00695554">
        <w:t>meet ESA income requirements.</w:t>
      </w:r>
      <w:r w:rsidRPr="00695554">
        <w:rPr>
          <w:vertAlign w:val="superscript"/>
        </w:rPr>
        <w:t xml:space="preserve"> </w:t>
      </w:r>
      <w:r w:rsidRPr="00695554">
        <w:rPr>
          <w:vertAlign w:val="superscript"/>
        </w:rPr>
        <w:footnoteReference w:id="850"/>
      </w:r>
    </w:p>
    <w:p w:rsidRPr="00695554" w:rsidR="000C1980" w:rsidP="00402362" w:rsidRDefault="000C1980" w14:paraId="532FF7E2" w14:textId="77777777">
      <w:pPr>
        <w:pStyle w:val="ListBullet"/>
      </w:pPr>
      <w:r w:rsidRPr="00695554">
        <w:t xml:space="preserve">Offer </w:t>
      </w:r>
      <w:r>
        <w:t>MF ESA</w:t>
      </w:r>
      <w:r w:rsidRPr="00695554">
        <w:t xml:space="preserve"> in-unit measures for all ESA MF households where 80</w:t>
      </w:r>
      <w:r w:rsidRPr="00976186">
        <w:t xml:space="preserve"> </w:t>
      </w:r>
      <w:r w:rsidRPr="0026503D">
        <w:t>percent</w:t>
      </w:r>
      <w:r w:rsidRPr="00695554">
        <w:t xml:space="preserve"> of households </w:t>
      </w:r>
      <w:r>
        <w:t xml:space="preserve">at the property </w:t>
      </w:r>
      <w:r w:rsidRPr="00695554">
        <w:t>meet ESA income requirements.</w:t>
      </w:r>
      <w:r w:rsidRPr="00695554">
        <w:rPr>
          <w:vertAlign w:val="superscript"/>
        </w:rPr>
        <w:t xml:space="preserve"> </w:t>
      </w:r>
      <w:r w:rsidRPr="00695554">
        <w:rPr>
          <w:vertAlign w:val="superscript"/>
        </w:rPr>
        <w:footnoteReference w:id="851"/>
      </w:r>
    </w:p>
    <w:p w:rsidR="000C1980" w:rsidP="00402362" w:rsidRDefault="000C1980" w14:paraId="724583DF" w14:textId="77777777">
      <w:pPr>
        <w:pStyle w:val="ListBullet"/>
      </w:pPr>
      <w:r>
        <w:t>Require a measure co-pay of 50</w:t>
      </w:r>
      <w:r w:rsidRPr="00976186">
        <w:t xml:space="preserve"> </w:t>
      </w:r>
      <w:r w:rsidRPr="0026503D">
        <w:t>percent</w:t>
      </w:r>
      <w:r>
        <w:t xml:space="preserve"> for non-deed restricted properties for all other measures, with co-pays for lighting measures waived.</w:t>
      </w:r>
      <w:r>
        <w:rPr>
          <w:rStyle w:val="FootnoteReference"/>
        </w:rPr>
        <w:footnoteReference w:id="852"/>
      </w:r>
      <w:r>
        <w:t xml:space="preserve"> </w:t>
      </w:r>
    </w:p>
    <w:p w:rsidR="000C1980" w:rsidP="0023091F" w:rsidRDefault="000C1980" w14:paraId="6FE0FBFE" w14:textId="77777777">
      <w:pPr>
        <w:pStyle w:val="ALJBodyText"/>
      </w:pPr>
      <w:r w:rsidRPr="00797E52">
        <w:rPr>
          <w:b/>
          <w:i/>
          <w:u w:val="single"/>
        </w:rPr>
        <w:t>Measures</w:t>
      </w:r>
      <w:r w:rsidRPr="24DCB1AB">
        <w:rPr>
          <w:b/>
          <w:bCs/>
          <w:i/>
          <w:iCs/>
          <w:u w:val="single"/>
        </w:rPr>
        <w:t xml:space="preserve">: </w:t>
      </w:r>
      <w:r>
        <w:t>The</w:t>
      </w:r>
      <w:r w:rsidRPr="00025BD6">
        <w:t xml:space="preserve"> </w:t>
      </w:r>
      <w:r w:rsidRPr="00340A7F">
        <w:t xml:space="preserve">specific measure mix </w:t>
      </w:r>
      <w:r>
        <w:t>for the MFWB program will</w:t>
      </w:r>
      <w:r w:rsidRPr="00025BD6">
        <w:t xml:space="preserve"> </w:t>
      </w:r>
      <w:r w:rsidRPr="00340A7F">
        <w:t>be included as part of the solicitation process.</w:t>
      </w:r>
      <w:r w:rsidRPr="001F5D70">
        <w:t xml:space="preserve"> </w:t>
      </w:r>
    </w:p>
    <w:p w:rsidR="000C1980" w:rsidP="0023091F" w:rsidRDefault="000C1980" w14:paraId="25303463" w14:textId="77777777">
      <w:pPr>
        <w:pStyle w:val="ALJBodyText"/>
      </w:pPr>
      <w:r w:rsidRPr="24DCB1AB">
        <w:rPr>
          <w:b/>
          <w:bCs/>
          <w:i/>
          <w:iCs/>
          <w:u w:val="single"/>
        </w:rPr>
        <w:lastRenderedPageBreak/>
        <w:t>Treatment Goals:</w:t>
      </w:r>
      <w:r>
        <w:t xml:space="preserve"> </w:t>
      </w:r>
      <w:r w:rsidRPr="0004451C">
        <w:t xml:space="preserve">SDG&amp;E proposes a total household goal of 43,000 units for the </w:t>
      </w:r>
      <w:r>
        <w:t xml:space="preserve">overall </w:t>
      </w:r>
      <w:r w:rsidRPr="0004451C">
        <w:t>multifamily program</w:t>
      </w:r>
      <w:r>
        <w:t xml:space="preserve"> for PYs 2021-2026</w:t>
      </w:r>
      <w:r w:rsidRPr="0004451C">
        <w:t>.</w:t>
      </w:r>
      <w:r w:rsidRPr="0004451C">
        <w:rPr>
          <w:vertAlign w:val="superscript"/>
        </w:rPr>
        <w:footnoteReference w:id="853"/>
      </w:r>
      <w:r>
        <w:t xml:space="preserve"> SDG&amp;E’s MFWB target is to serve 174 properties with 4,176 units.</w:t>
      </w:r>
      <w:r w:rsidRPr="24DCB1AB">
        <w:rPr>
          <w:vertAlign w:val="superscript"/>
        </w:rPr>
        <w:footnoteReference w:id="854"/>
      </w:r>
    </w:p>
    <w:p w:rsidR="000C1980" w:rsidP="0023091F" w:rsidRDefault="000C1980" w14:paraId="45569035" w14:textId="77777777">
      <w:pPr>
        <w:pStyle w:val="ALJBodyText"/>
        <w:rPr>
          <w:vertAlign w:val="superscript"/>
        </w:rPr>
      </w:pPr>
      <w:r w:rsidRPr="4FC83D76">
        <w:rPr>
          <w:b/>
          <w:bCs/>
          <w:i/>
          <w:iCs/>
          <w:u w:val="single"/>
        </w:rPr>
        <w:t xml:space="preserve">Energy Savings </w:t>
      </w:r>
      <w:r>
        <w:rPr>
          <w:b/>
          <w:bCs/>
          <w:i/>
          <w:iCs/>
          <w:u w:val="single"/>
        </w:rPr>
        <w:t xml:space="preserve">and Other </w:t>
      </w:r>
      <w:r w:rsidRPr="4FC83D76">
        <w:rPr>
          <w:b/>
          <w:bCs/>
          <w:i/>
          <w:iCs/>
          <w:u w:val="single"/>
        </w:rPr>
        <w:t>Goals:</w:t>
      </w:r>
      <w:r w:rsidRPr="0031264D">
        <w:t xml:space="preserve"> </w:t>
      </w:r>
      <w:r w:rsidRPr="0004451C">
        <w:t xml:space="preserve">SDG&amp;E proposes an energy savings goal of 4.3 million </w:t>
      </w:r>
      <w:proofErr w:type="spellStart"/>
      <w:r w:rsidRPr="0004451C">
        <w:t>kWH</w:t>
      </w:r>
      <w:proofErr w:type="spellEnd"/>
      <w:r w:rsidRPr="0004451C">
        <w:t xml:space="preserve"> in electric savings and 190,000 </w:t>
      </w:r>
      <w:proofErr w:type="spellStart"/>
      <w:r w:rsidRPr="0004451C">
        <w:t>therms</w:t>
      </w:r>
      <w:proofErr w:type="spellEnd"/>
      <w:r w:rsidRPr="0004451C">
        <w:t xml:space="preserve"> in gas savings </w:t>
      </w:r>
      <w:r>
        <w:t>in</w:t>
      </w:r>
      <w:r w:rsidRPr="0004451C">
        <w:t xml:space="preserve"> </w:t>
      </w:r>
      <w:r>
        <w:t>PYs 2021-2026</w:t>
      </w:r>
      <w:r w:rsidRPr="0004451C">
        <w:t>.</w:t>
      </w:r>
      <w:r w:rsidRPr="0004451C">
        <w:rPr>
          <w:vertAlign w:val="superscript"/>
        </w:rPr>
        <w:footnoteReference w:id="855"/>
      </w:r>
      <w:r w:rsidRPr="4FC83D76">
        <w:t xml:space="preserve"> </w:t>
      </w:r>
    </w:p>
    <w:p w:rsidRPr="0004451C" w:rsidR="000C1980" w:rsidP="0023091F" w:rsidRDefault="000C1980" w14:paraId="24E71DB8" w14:textId="77777777">
      <w:pPr>
        <w:pStyle w:val="ALJBodyText"/>
      </w:pPr>
      <w:r w:rsidRPr="24DCB1AB">
        <w:rPr>
          <w:b/>
          <w:bCs/>
          <w:i/>
          <w:iCs/>
          <w:u w:val="single"/>
        </w:rPr>
        <w:t>Budgets:</w:t>
      </w:r>
      <w:r w:rsidRPr="000A0B19">
        <w:t xml:space="preserve"> </w:t>
      </w:r>
      <w:r w:rsidRPr="0004451C">
        <w:t>SDG&amp;E is requesting $</w:t>
      </w:r>
      <w:r>
        <w:t>69.9</w:t>
      </w:r>
      <w:r w:rsidRPr="0004451C">
        <w:t xml:space="preserve"> million for </w:t>
      </w:r>
      <w:r>
        <w:t>PYs</w:t>
      </w:r>
      <w:r w:rsidRPr="0004451C">
        <w:t xml:space="preserve"> 2021-2026 for its MF program which includes both the deed-restricted and non-deed restricted programs, which averages $</w:t>
      </w:r>
      <w:r>
        <w:t>1,627</w:t>
      </w:r>
      <w:r w:rsidRPr="0004451C">
        <w:t xml:space="preserve"> per unit to be treated.</w:t>
      </w:r>
      <w:r w:rsidRPr="0004451C">
        <w:rPr>
          <w:vertAlign w:val="superscript"/>
        </w:rPr>
        <w:footnoteReference w:id="856"/>
      </w:r>
      <w:r w:rsidRPr="0004451C">
        <w:t xml:space="preserve"> </w:t>
      </w:r>
      <w:r>
        <w:t xml:space="preserve"> </w:t>
      </w:r>
      <w:r w:rsidRPr="0004451C">
        <w:t xml:space="preserve">This budget reflects an increase in spending on multifamily </w:t>
      </w:r>
      <w:r>
        <w:t>CAM</w:t>
      </w:r>
      <w:r w:rsidRPr="0004451C">
        <w:t>.</w:t>
      </w:r>
      <w:r w:rsidRPr="0004451C">
        <w:rPr>
          <w:vertAlign w:val="superscript"/>
        </w:rPr>
        <w:footnoteReference w:id="857"/>
      </w:r>
      <w:r w:rsidRPr="00C07962">
        <w:t xml:space="preserve"> </w:t>
      </w:r>
      <w:r>
        <w:t>SDG&amp;E proposes a measure co</w:t>
      </w:r>
      <w:r>
        <w:noBreakHyphen/>
        <w:t>pay of 50</w:t>
      </w:r>
      <w:r w:rsidRPr="00730FFE">
        <w:t xml:space="preserve"> </w:t>
      </w:r>
      <w:r w:rsidRPr="0026503D">
        <w:t>percent</w:t>
      </w:r>
      <w:r>
        <w:t xml:space="preserve"> for non-deed restricted properties though SDG&amp;E will waive that co-pay for lighting measures</w:t>
      </w:r>
      <w:r>
        <w:rPr>
          <w:rStyle w:val="FootnoteReference"/>
        </w:rPr>
        <w:footnoteReference w:id="858"/>
      </w:r>
      <w:r>
        <w:t>.</w:t>
      </w:r>
    </w:p>
    <w:p w:rsidRPr="0004451C" w:rsidR="000C1980" w:rsidP="001968DC" w:rsidRDefault="000C1980" w14:paraId="516BD4DD" w14:textId="759D536F">
      <w:pPr>
        <w:pStyle w:val="Heading2"/>
        <w:ind w:left="1728"/>
      </w:pPr>
      <w:bookmarkStart w:name="_Toc69948189" w:id="542"/>
      <w:r>
        <w:t>MCE Proposal</w:t>
      </w:r>
      <w:bookmarkEnd w:id="542"/>
    </w:p>
    <w:p w:rsidR="000C1980" w:rsidP="0023091F" w:rsidRDefault="000C1980" w14:paraId="30D204E4" w14:textId="77777777">
      <w:pPr>
        <w:pStyle w:val="ALJBodyText"/>
      </w:pPr>
      <w:r w:rsidRPr="24DCB1AB">
        <w:rPr>
          <w:b/>
          <w:bCs/>
          <w:i/>
          <w:iCs/>
          <w:u w:val="single"/>
        </w:rPr>
        <w:t>Third Party Solicitation and Administration:</w:t>
      </w:r>
      <w:r w:rsidRPr="00E10F2E">
        <w:t xml:space="preserve"> </w:t>
      </w:r>
      <w:r w:rsidRPr="0004451C">
        <w:t xml:space="preserve">MCE proposes </w:t>
      </w:r>
      <w:r w:rsidRPr="00025BD6">
        <w:t>to outsource its</w:t>
      </w:r>
      <w:r w:rsidRPr="0004451C">
        <w:t xml:space="preserve"> MFWB program</w:t>
      </w:r>
      <w:r>
        <w:t xml:space="preserve">, referenced in its application as </w:t>
      </w:r>
      <w:r w:rsidRPr="0004451C">
        <w:t>LIFT 2.0</w:t>
      </w:r>
      <w:r>
        <w:t>,</w:t>
      </w:r>
      <w:r w:rsidRPr="0004451C">
        <w:t xml:space="preserve"> </w:t>
      </w:r>
      <w:r>
        <w:t xml:space="preserve">to be </w:t>
      </w:r>
      <w:r w:rsidRPr="0004451C">
        <w:t>design</w:t>
      </w:r>
      <w:r>
        <w:t>ed</w:t>
      </w:r>
      <w:r w:rsidRPr="0004451C">
        <w:t xml:space="preserve"> and deliver</w:t>
      </w:r>
      <w:r>
        <w:t>ed</w:t>
      </w:r>
      <w:r w:rsidRPr="0004451C">
        <w:t xml:space="preserve"> </w:t>
      </w:r>
      <w:r>
        <w:t xml:space="preserve">by a </w:t>
      </w:r>
      <w:r w:rsidRPr="0004451C">
        <w:t>third-party</w:t>
      </w:r>
      <w:r>
        <w:t>,</w:t>
      </w:r>
      <w:r w:rsidRPr="0004451C">
        <w:rPr>
          <w:vertAlign w:val="superscript"/>
        </w:rPr>
        <w:footnoteReference w:id="859"/>
      </w:r>
      <w:r w:rsidRPr="0004451C">
        <w:t xml:space="preserve"> </w:t>
      </w:r>
      <w:r>
        <w:t>but administered locally by MCE.</w:t>
      </w:r>
      <w:r w:rsidRPr="0004451C">
        <w:rPr>
          <w:vertAlign w:val="superscript"/>
        </w:rPr>
        <w:footnoteReference w:id="860"/>
      </w:r>
      <w:r w:rsidRPr="0004451C">
        <w:t xml:space="preserve"> </w:t>
      </w:r>
    </w:p>
    <w:p w:rsidR="000C1980" w:rsidP="0023091F" w:rsidRDefault="000C1980" w14:paraId="04127A2B" w14:textId="77777777">
      <w:pPr>
        <w:pStyle w:val="ALJBodyText"/>
      </w:pPr>
      <w:r w:rsidRPr="0004451C">
        <w:t xml:space="preserve">MCE </w:t>
      </w:r>
      <w:r>
        <w:t>proposes local administration s</w:t>
      </w:r>
      <w:r w:rsidRPr="0004451C">
        <w:t>tat</w:t>
      </w:r>
      <w:r>
        <w:t>ing</w:t>
      </w:r>
      <w:r w:rsidRPr="0004451C">
        <w:t xml:space="preserve"> that </w:t>
      </w:r>
      <w:r>
        <w:t>this will allow it</w:t>
      </w:r>
      <w:r w:rsidRPr="0004451C">
        <w:t xml:space="preserve"> to build upon lessons learned in the</w:t>
      </w:r>
      <w:r>
        <w:t xml:space="preserve"> LIFT </w:t>
      </w:r>
      <w:r w:rsidRPr="0004451C">
        <w:t xml:space="preserve">pilot and address remaining obstacles. </w:t>
      </w:r>
      <w:r>
        <w:t xml:space="preserve"> MCE states that its</w:t>
      </w:r>
      <w:r w:rsidRPr="0004451C">
        <w:t xml:space="preserve"> small </w:t>
      </w:r>
      <w:r>
        <w:t xml:space="preserve">territory </w:t>
      </w:r>
      <w:r w:rsidRPr="0004451C">
        <w:t xml:space="preserve">size </w:t>
      </w:r>
      <w:r>
        <w:t>will</w:t>
      </w:r>
      <w:r w:rsidRPr="0004451C">
        <w:t xml:space="preserve"> allow for nimble, targeted, and innovative </w:t>
      </w:r>
      <w:r w:rsidRPr="0004451C">
        <w:lastRenderedPageBreak/>
        <w:t>approaches to programs.</w:t>
      </w:r>
      <w:r>
        <w:t xml:space="preserve"> </w:t>
      </w:r>
      <w:r w:rsidRPr="0004451C">
        <w:t xml:space="preserve"> Finally, </w:t>
      </w:r>
      <w:r>
        <w:t>MCE states that its</w:t>
      </w:r>
      <w:r w:rsidRPr="0004451C">
        <w:t xml:space="preserve"> local government structure and connection to community </w:t>
      </w:r>
      <w:r>
        <w:t xml:space="preserve">will </w:t>
      </w:r>
      <w:r w:rsidRPr="0004451C">
        <w:t xml:space="preserve">allow </w:t>
      </w:r>
      <w:r>
        <w:t>it to</w:t>
      </w:r>
      <w:r w:rsidRPr="0004451C">
        <w:t xml:space="preserve"> incorporate community feedback into the development of programs, and to leverage local government partner agencies as outreach mechanisms for program leveraging.</w:t>
      </w:r>
      <w:r w:rsidRPr="0004451C">
        <w:rPr>
          <w:vertAlign w:val="superscript"/>
        </w:rPr>
        <w:footnoteReference w:id="861"/>
      </w:r>
      <w:r>
        <w:t xml:space="preserve">  </w:t>
      </w:r>
    </w:p>
    <w:p w:rsidR="000C1980" w:rsidP="0023091F" w:rsidRDefault="000C1980" w14:paraId="53E58735" w14:textId="77777777">
      <w:pPr>
        <w:pStyle w:val="ALJBodyText"/>
      </w:pPr>
      <w:r>
        <w:t>MCE estimates that the solicitation process will take an estimated seven months.</w:t>
      </w:r>
      <w:r w:rsidRPr="3C3AE415">
        <w:rPr>
          <w:vertAlign w:val="superscript"/>
        </w:rPr>
        <w:footnoteReference w:id="862"/>
      </w:r>
    </w:p>
    <w:p w:rsidR="000C1980" w:rsidP="0023091F" w:rsidRDefault="000C1980" w14:paraId="2780CFF3" w14:textId="77777777">
      <w:pPr>
        <w:pStyle w:val="ALJBodyText"/>
      </w:pPr>
      <w:r w:rsidRPr="24DCB1AB">
        <w:rPr>
          <w:b/>
          <w:bCs/>
          <w:i/>
          <w:iCs/>
          <w:u w:val="single"/>
        </w:rPr>
        <w:t>Design and Delivery:</w:t>
      </w:r>
      <w:r w:rsidRPr="00E10F2E">
        <w:t xml:space="preserve"> </w:t>
      </w:r>
      <w:r>
        <w:t>MCE’s LIFT 2.0 MFWB program will:</w:t>
      </w:r>
    </w:p>
    <w:p w:rsidR="000C1980" w:rsidP="00402362" w:rsidRDefault="000C1980" w14:paraId="13B67300" w14:textId="77777777">
      <w:pPr>
        <w:pStyle w:val="ListBullet"/>
      </w:pPr>
      <w:r>
        <w:t>L</w:t>
      </w:r>
      <w:r w:rsidRPr="0004451C">
        <w:t>ayer program offerings through MCE’s SPOC model to streamline customer experiences</w:t>
      </w:r>
      <w:r>
        <w:t>.</w:t>
      </w:r>
    </w:p>
    <w:p w:rsidR="000C1980" w:rsidP="00402362" w:rsidRDefault="000C1980" w14:paraId="596672AF" w14:textId="77777777">
      <w:pPr>
        <w:pStyle w:val="ListBullet"/>
      </w:pPr>
      <w:r>
        <w:t>J</w:t>
      </w:r>
      <w:r w:rsidRPr="0004451C">
        <w:t>oin with local governments and community organizations to reach vulnerable customer groups</w:t>
      </w:r>
      <w:r>
        <w:t>.</w:t>
      </w:r>
      <w:r w:rsidRPr="0004451C">
        <w:rPr>
          <w:vertAlign w:val="superscript"/>
        </w:rPr>
        <w:footnoteReference w:id="863"/>
      </w:r>
    </w:p>
    <w:p w:rsidR="000C1980" w:rsidP="00402362" w:rsidRDefault="000C1980" w14:paraId="4A4A7971" w14:textId="77777777">
      <w:pPr>
        <w:pStyle w:val="ListBullet"/>
      </w:pPr>
      <w:r>
        <w:t>O</w:t>
      </w:r>
      <w:r w:rsidRPr="0004451C">
        <w:t xml:space="preserve">ffer energy efficiency measures </w:t>
      </w:r>
      <w:r>
        <w:t>to</w:t>
      </w:r>
      <w:r w:rsidRPr="0004451C">
        <w:t xml:space="preserve"> be determined with third-party implementers</w:t>
      </w:r>
      <w:r>
        <w:t xml:space="preserve"> (with p</w:t>
      </w:r>
      <w:r w:rsidRPr="0004451C">
        <w:t>rioritiz</w:t>
      </w:r>
      <w:r>
        <w:t>ation of</w:t>
      </w:r>
      <w:r w:rsidRPr="0004451C">
        <w:t xml:space="preserve"> innovative technologies including fuel substitution and residential demand response technologies</w:t>
      </w:r>
      <w:r>
        <w:t>).</w:t>
      </w:r>
      <w:r w:rsidRPr="0004451C">
        <w:rPr>
          <w:vertAlign w:val="superscript"/>
        </w:rPr>
        <w:footnoteReference w:id="864"/>
      </w:r>
      <w:r>
        <w:t xml:space="preserve">  </w:t>
      </w:r>
    </w:p>
    <w:p w:rsidR="000C1980" w:rsidP="00402362" w:rsidRDefault="000C1980" w14:paraId="2621C409" w14:textId="77777777">
      <w:pPr>
        <w:pStyle w:val="ListBullet"/>
      </w:pPr>
      <w:r>
        <w:t>A</w:t>
      </w:r>
      <w:r w:rsidRPr="0004451C">
        <w:t>llow property owners the flexibility to choose contractors and equipment</w:t>
      </w:r>
      <w:r>
        <w:t>,</w:t>
      </w:r>
      <w:r w:rsidRPr="0004451C">
        <w:rPr>
          <w:vertAlign w:val="superscript"/>
        </w:rPr>
        <w:footnoteReference w:id="865"/>
      </w:r>
      <w:r w:rsidRPr="0004451C">
        <w:t xml:space="preserve"> empower</w:t>
      </w:r>
      <w:r>
        <w:t>ing</w:t>
      </w:r>
      <w:r w:rsidRPr="0004451C">
        <w:t xml:space="preserve"> participants’ self-sufficiency and </w:t>
      </w:r>
      <w:r>
        <w:t xml:space="preserve">program </w:t>
      </w:r>
      <w:r w:rsidRPr="0004451C">
        <w:t xml:space="preserve">engagement. </w:t>
      </w:r>
    </w:p>
    <w:p w:rsidR="000C1980" w:rsidP="0023091F" w:rsidRDefault="000C1980" w14:paraId="786A5AE4" w14:textId="77777777">
      <w:pPr>
        <w:pStyle w:val="ALJBodyText"/>
      </w:pPr>
      <w:r w:rsidRPr="24DCB1AB">
        <w:rPr>
          <w:b/>
          <w:bCs/>
          <w:i/>
          <w:iCs/>
          <w:u w:val="single"/>
        </w:rPr>
        <w:t>Eligibility and Enrollment:</w:t>
      </w:r>
      <w:r w:rsidRPr="00C75FED">
        <w:t xml:space="preserve"> </w:t>
      </w:r>
      <w:r>
        <w:t>MCE proposes the following requirements:</w:t>
      </w:r>
    </w:p>
    <w:p w:rsidR="000C1980" w:rsidP="00402362" w:rsidRDefault="000C1980" w14:paraId="232DE3ED" w14:textId="77777777">
      <w:pPr>
        <w:pStyle w:val="ListBullet"/>
      </w:pPr>
      <w:r>
        <w:t xml:space="preserve">Allow </w:t>
      </w:r>
      <w:r w:rsidRPr="00025BD6">
        <w:t xml:space="preserve">deed-restricted </w:t>
      </w:r>
      <w:r>
        <w:t>and non-</w:t>
      </w:r>
      <w:r w:rsidRPr="0004451C">
        <w:t xml:space="preserve">deed-restricted </w:t>
      </w:r>
      <w:r w:rsidRPr="00025BD6">
        <w:t>MF properties</w:t>
      </w:r>
      <w:r>
        <w:t xml:space="preserve"> to qualify for </w:t>
      </w:r>
      <w:r w:rsidRPr="0004451C">
        <w:t>LIFT 2.0.</w:t>
      </w:r>
      <w:r w:rsidRPr="0004451C">
        <w:rPr>
          <w:vertAlign w:val="superscript"/>
        </w:rPr>
        <w:footnoteReference w:id="866"/>
      </w:r>
      <w:r w:rsidRPr="0004451C">
        <w:t xml:space="preserve"> </w:t>
      </w:r>
    </w:p>
    <w:p w:rsidR="000C1980" w:rsidP="00402362" w:rsidRDefault="000C1980" w14:paraId="328DC1C2" w14:textId="77777777">
      <w:pPr>
        <w:pStyle w:val="ListBullet"/>
      </w:pPr>
      <w:r>
        <w:t xml:space="preserve">Modify income eligibility requirements from </w:t>
      </w:r>
      <w:r w:rsidRPr="0004451C">
        <w:t>200</w:t>
      </w:r>
      <w:r w:rsidRPr="00730FFE">
        <w:t xml:space="preserve"> </w:t>
      </w:r>
      <w:r w:rsidRPr="0026503D">
        <w:t>percent</w:t>
      </w:r>
      <w:r w:rsidRPr="0004451C">
        <w:t xml:space="preserve"> </w:t>
      </w:r>
      <w:r>
        <w:t>FPG</w:t>
      </w:r>
      <w:r w:rsidRPr="0004451C">
        <w:t xml:space="preserve"> to 60</w:t>
      </w:r>
      <w:r w:rsidRPr="00730FFE">
        <w:t xml:space="preserve"> </w:t>
      </w:r>
      <w:r w:rsidRPr="0026503D">
        <w:t>percent</w:t>
      </w:r>
      <w:r w:rsidRPr="0004451C">
        <w:t xml:space="preserve"> AMI.</w:t>
      </w:r>
      <w:r w:rsidRPr="0004451C">
        <w:rPr>
          <w:vertAlign w:val="superscript"/>
        </w:rPr>
        <w:footnoteReference w:id="867"/>
      </w:r>
      <w:r w:rsidRPr="0004451C">
        <w:t xml:space="preserve"> </w:t>
      </w:r>
    </w:p>
    <w:p w:rsidRPr="0004451C" w:rsidR="000C1980" w:rsidP="00402362" w:rsidRDefault="000C1980" w14:paraId="034EEDF9" w14:textId="77777777">
      <w:pPr>
        <w:pStyle w:val="ListBullet"/>
      </w:pPr>
      <w:r>
        <w:lastRenderedPageBreak/>
        <w:t>Require</w:t>
      </w:r>
      <w:r w:rsidRPr="0004451C">
        <w:t xml:space="preserve"> landlords, tenants, and the utility to sign enforceable affidavits that limit rent increases and evictions</w:t>
      </w:r>
      <w:r>
        <w:t xml:space="preserve"> and</w:t>
      </w:r>
      <w:r w:rsidRPr="0004451C">
        <w:t xml:space="preserve"> establish additional reporting and monitoring provisions to ensure these properties remain at their affordable levels.</w:t>
      </w:r>
      <w:r w:rsidRPr="0004451C">
        <w:rPr>
          <w:vertAlign w:val="superscript"/>
        </w:rPr>
        <w:footnoteReference w:id="868"/>
      </w:r>
      <w:r w:rsidRPr="0004451C">
        <w:t xml:space="preserve">  </w:t>
      </w:r>
    </w:p>
    <w:p w:rsidR="000C1980" w:rsidP="0023091F" w:rsidRDefault="000C1980" w14:paraId="060C094E" w14:textId="77777777">
      <w:pPr>
        <w:pStyle w:val="ALJBodyText"/>
        <w:rPr>
          <w:b/>
          <w:bCs/>
          <w:i/>
          <w:iCs/>
          <w:u w:val="single"/>
        </w:rPr>
      </w:pPr>
      <w:r w:rsidRPr="24DCB1AB">
        <w:rPr>
          <w:b/>
          <w:bCs/>
          <w:i/>
          <w:iCs/>
          <w:u w:val="single"/>
        </w:rPr>
        <w:t>Measures:</w:t>
      </w:r>
      <w:r w:rsidRPr="0004451C">
        <w:t xml:space="preserve"> </w:t>
      </w:r>
      <w:r>
        <w:t>Although MCE did not specify the full measure mix of offerings (as this will be included as part of the solicitation process), MCE did state that at a minimum, heat pumps (common area or in-unit), smart thermostats, and grid</w:t>
      </w:r>
      <w:r>
        <w:noBreakHyphen/>
        <w:t>connected water heaters</w:t>
      </w:r>
      <w:r w:rsidRPr="3C3AE415">
        <w:rPr>
          <w:vertAlign w:val="superscript"/>
        </w:rPr>
        <w:footnoteReference w:id="869"/>
      </w:r>
      <w:r>
        <w:t xml:space="preserve"> will be provided.  I</w:t>
      </w:r>
      <w:r w:rsidRPr="0004451C">
        <w:t>nnovative technologies including fuel substitution and residential demand response technologies</w:t>
      </w:r>
      <w:r>
        <w:t xml:space="preserve"> will also be prioritized.</w:t>
      </w:r>
    </w:p>
    <w:p w:rsidR="000C1980" w:rsidP="0023091F" w:rsidRDefault="000C1980" w14:paraId="16CDB062" w14:textId="77777777">
      <w:pPr>
        <w:pStyle w:val="ALJBodyText"/>
      </w:pPr>
      <w:r w:rsidRPr="1F9EF2FF">
        <w:rPr>
          <w:b/>
          <w:bCs/>
          <w:i/>
          <w:iCs/>
          <w:u w:val="single"/>
        </w:rPr>
        <w:t>Treatment Goals:</w:t>
      </w:r>
      <w:r>
        <w:t xml:space="preserve"> MCE anticipates installing whole building and in-unit measures at 80 properties and approximately 4,400 units over PYs 2021-2026.  </w:t>
      </w:r>
    </w:p>
    <w:p w:rsidR="000C1980" w:rsidP="0023091F" w:rsidRDefault="000C1980" w14:paraId="6BF46F2A" w14:textId="77777777">
      <w:pPr>
        <w:pStyle w:val="ALJBodyText"/>
      </w:pPr>
      <w:r w:rsidRPr="1F9EF2FF">
        <w:rPr>
          <w:b/>
          <w:bCs/>
          <w:i/>
          <w:iCs/>
          <w:u w:val="single"/>
        </w:rPr>
        <w:t xml:space="preserve">Energy Savings </w:t>
      </w:r>
      <w:r>
        <w:rPr>
          <w:b/>
          <w:bCs/>
          <w:i/>
          <w:iCs/>
          <w:u w:val="single"/>
        </w:rPr>
        <w:t xml:space="preserve">and Other </w:t>
      </w:r>
      <w:r w:rsidRPr="1F9EF2FF">
        <w:rPr>
          <w:b/>
          <w:bCs/>
          <w:i/>
          <w:iCs/>
          <w:u w:val="single"/>
        </w:rPr>
        <w:t>Goals:</w:t>
      </w:r>
      <w:r w:rsidRPr="00D57F87">
        <w:t xml:space="preserve"> </w:t>
      </w:r>
      <w:r w:rsidRPr="0004451C">
        <w:t xml:space="preserve">MCE proposes annual per unit savings of 474 kWh, 0.13kW and 59.67 </w:t>
      </w:r>
      <w:proofErr w:type="spellStart"/>
      <w:r w:rsidRPr="0004451C">
        <w:t>therms</w:t>
      </w:r>
      <w:proofErr w:type="spellEnd"/>
      <w:r w:rsidRPr="0004451C">
        <w:t>, not including fuel substitution measures.</w:t>
      </w:r>
      <w:r w:rsidRPr="0004451C">
        <w:rPr>
          <w:vertAlign w:val="superscript"/>
        </w:rPr>
        <w:footnoteReference w:id="870"/>
      </w:r>
      <w:r>
        <w:t xml:space="preserve">  MCE clarified that their application showed the per unit savings expected for tenants from participation in LIFT and program partners, specifically </w:t>
      </w:r>
      <w:proofErr w:type="gramStart"/>
      <w:r>
        <w:t>MCE‘</w:t>
      </w:r>
      <w:proofErr w:type="gramEnd"/>
      <w:r>
        <w:t xml:space="preserve">s Multifamily Energy Savings Program.  The savings from LIFT measures are estimated to be 253,484 kWh and 63,316 </w:t>
      </w:r>
      <w:proofErr w:type="spellStart"/>
      <w:r>
        <w:t>therms</w:t>
      </w:r>
      <w:proofErr w:type="spellEnd"/>
      <w:r>
        <w:t>.</w:t>
      </w:r>
      <w:r w:rsidRPr="24DCB1AB">
        <w:rPr>
          <w:vertAlign w:val="superscript"/>
        </w:rPr>
        <w:footnoteReference w:id="871"/>
      </w:r>
      <w:r>
        <w:t xml:space="preserve"> </w:t>
      </w:r>
    </w:p>
    <w:p w:rsidR="000C1980" w:rsidP="0023091F" w:rsidRDefault="000C1980" w14:paraId="1B598B78" w14:textId="77777777">
      <w:pPr>
        <w:pStyle w:val="ALJBodyText"/>
      </w:pPr>
      <w:r>
        <w:t>M</w:t>
      </w:r>
      <w:r w:rsidRPr="0004451C">
        <w:t xml:space="preserve">CE proposes to increase the average overall reported satisfaction with </w:t>
      </w:r>
      <w:r>
        <w:t>HCS</w:t>
      </w:r>
      <w:r w:rsidRPr="0004451C">
        <w:t xml:space="preserve"> metrics when comparing pre-treatment to post-treatment results.</w:t>
      </w:r>
      <w:r w:rsidRPr="00AB34A8">
        <w:t xml:space="preserve"> </w:t>
      </w:r>
      <w:r w:rsidRPr="0004451C">
        <w:t xml:space="preserve">MCE </w:t>
      </w:r>
      <w:r>
        <w:t xml:space="preserve">also </w:t>
      </w:r>
      <w:r w:rsidRPr="0004451C">
        <w:t>proposes several evaluation, measurement, and verification goals</w:t>
      </w:r>
      <w:r>
        <w:t xml:space="preserve">, where </w:t>
      </w:r>
      <w:r w:rsidRPr="0004451C">
        <w:lastRenderedPageBreak/>
        <w:t xml:space="preserve">program progress </w:t>
      </w:r>
      <w:r>
        <w:t xml:space="preserve">will be measured </w:t>
      </w:r>
      <w:r w:rsidRPr="0004451C">
        <w:t>using measure level and participant data, and real time collection analyzed at critical milestones.</w:t>
      </w:r>
      <w:r w:rsidRPr="0004451C">
        <w:rPr>
          <w:vertAlign w:val="superscript"/>
        </w:rPr>
        <w:footnoteReference w:id="872"/>
      </w:r>
      <w:r w:rsidRPr="0004451C">
        <w:t xml:space="preserve">  </w:t>
      </w:r>
    </w:p>
    <w:p w:rsidR="000C1980" w:rsidP="0023091F" w:rsidRDefault="000C1980" w14:paraId="5548375C" w14:textId="77777777">
      <w:pPr>
        <w:pStyle w:val="ALJBodyText"/>
      </w:pPr>
      <w:r>
        <w:t xml:space="preserve">Lastly, </w:t>
      </w:r>
      <w:r w:rsidRPr="0004451C">
        <w:t>MCE will develop a list of key accomplishments, best practices, and lessons learned</w:t>
      </w:r>
      <w:r>
        <w:t xml:space="preserve">, with a </w:t>
      </w:r>
      <w:r w:rsidRPr="0004451C">
        <w:t>list of program design recommendations and challenges through interviews with participants, implementation staff, and other partners.</w:t>
      </w:r>
      <w:r w:rsidRPr="0004451C">
        <w:rPr>
          <w:vertAlign w:val="superscript"/>
        </w:rPr>
        <w:footnoteReference w:id="873"/>
      </w:r>
      <w:r w:rsidRPr="0004451C">
        <w:t xml:space="preserve"> </w:t>
      </w:r>
    </w:p>
    <w:p w:rsidRPr="0004451C" w:rsidR="000C1980" w:rsidP="0023091F" w:rsidRDefault="000C1980" w14:paraId="4E80AA2D" w14:textId="77777777">
      <w:pPr>
        <w:pStyle w:val="ALJBodyText"/>
      </w:pPr>
      <w:r>
        <w:rPr>
          <w:b/>
          <w:bCs/>
          <w:i/>
          <w:iCs/>
          <w:u w:val="single"/>
        </w:rPr>
        <w:t>Budgets:</w:t>
      </w:r>
      <w:r w:rsidRPr="00C75FED">
        <w:t xml:space="preserve"> </w:t>
      </w:r>
      <w:r w:rsidRPr="0004451C">
        <w:t xml:space="preserve">MCE is requesting $10.6 million for </w:t>
      </w:r>
      <w:r>
        <w:t>PYs</w:t>
      </w:r>
      <w:r w:rsidRPr="0004451C">
        <w:t xml:space="preserve"> 2021-2026 for its MF program, which averages $</w:t>
      </w:r>
      <w:r>
        <w:t xml:space="preserve">2,409 </w:t>
      </w:r>
      <w:r w:rsidRPr="0004451C">
        <w:t>per unit to be treated.</w:t>
      </w:r>
    </w:p>
    <w:p w:rsidR="000C1980" w:rsidP="001968DC" w:rsidRDefault="000C1980" w14:paraId="390D4D73" w14:textId="29DAD52F">
      <w:pPr>
        <w:pStyle w:val="Heading2"/>
        <w:ind w:left="1728"/>
      </w:pPr>
      <w:bookmarkStart w:name="_Toc69948190" w:id="543"/>
      <w:r w:rsidRPr="00025BD6">
        <w:t xml:space="preserve">Party </w:t>
      </w:r>
      <w:r w:rsidRPr="00E92F4B">
        <w:t>Positions</w:t>
      </w:r>
      <w:bookmarkEnd w:id="543"/>
    </w:p>
    <w:p w:rsidR="000C1980" w:rsidP="001968DC" w:rsidRDefault="000C1980" w14:paraId="4E610B18" w14:textId="77777777">
      <w:pPr>
        <w:pStyle w:val="Heading3"/>
        <w:ind w:left="2664"/>
      </w:pPr>
      <w:bookmarkStart w:name="_Toc69948191" w:id="544"/>
      <w:r>
        <w:t>Joint Parties</w:t>
      </w:r>
      <w:bookmarkEnd w:id="544"/>
    </w:p>
    <w:p w:rsidR="000C1980" w:rsidP="0023091F" w:rsidRDefault="000C1980" w14:paraId="7BF37B25" w14:textId="77777777">
      <w:pPr>
        <w:pStyle w:val="ALJBodyText"/>
      </w:pPr>
      <w:r w:rsidRPr="24DCB1AB">
        <w:t>Third Party Solicitation and Administration:</w:t>
      </w:r>
      <w:r w:rsidRPr="00966E27">
        <w:t xml:space="preserve"> </w:t>
      </w:r>
      <w:r w:rsidRPr="0004451C">
        <w:t xml:space="preserve">The Joint </w:t>
      </w:r>
      <w:r>
        <w:t>P</w:t>
      </w:r>
      <w:r w:rsidRPr="0004451C">
        <w:t xml:space="preserve">arties </w:t>
      </w:r>
      <w:r>
        <w:t>propose:</w:t>
      </w:r>
    </w:p>
    <w:p w:rsidR="000C1980" w:rsidP="00402362" w:rsidRDefault="000C1980" w14:paraId="46C83C11" w14:textId="77777777">
      <w:pPr>
        <w:pStyle w:val="ListBullet"/>
      </w:pPr>
      <w:r>
        <w:t>R</w:t>
      </w:r>
      <w:r w:rsidRPr="0004451C">
        <w:t>eviewing the definition of third-party program for the multifamily program solicitation</w:t>
      </w:r>
      <w:r>
        <w:t>.</w:t>
      </w:r>
      <w:r w:rsidRPr="0004451C">
        <w:rPr>
          <w:vertAlign w:val="superscript"/>
        </w:rPr>
        <w:footnoteReference w:id="874"/>
      </w:r>
    </w:p>
    <w:p w:rsidR="000C1980" w:rsidP="00402362" w:rsidRDefault="000C1980" w14:paraId="0AB53B4F" w14:textId="77777777">
      <w:pPr>
        <w:pStyle w:val="ListBullet"/>
      </w:pPr>
      <w:r>
        <w:t>P</w:t>
      </w:r>
      <w:r w:rsidRPr="0004451C">
        <w:t>rovid</w:t>
      </w:r>
      <w:r>
        <w:t>ing</w:t>
      </w:r>
      <w:r w:rsidRPr="0004451C">
        <w:t xml:space="preserve"> specific program guidance and minimum requirements </w:t>
      </w:r>
      <w:r>
        <w:t>for the solicitations</w:t>
      </w:r>
      <w:r w:rsidRPr="0004451C">
        <w:t xml:space="preserve">. </w:t>
      </w:r>
    </w:p>
    <w:p w:rsidR="000C1980" w:rsidP="00402362" w:rsidRDefault="000C1980" w14:paraId="65B10516" w14:textId="77777777">
      <w:pPr>
        <w:pStyle w:val="ListBullet"/>
      </w:pPr>
      <w:r>
        <w:t>Requiring use of a PRG, IE, and Best Practices Collaborative.</w:t>
      </w:r>
      <w:r>
        <w:rPr>
          <w:rStyle w:val="FootnoteReference"/>
        </w:rPr>
        <w:footnoteReference w:id="875"/>
      </w:r>
      <w:r w:rsidRPr="0004451C">
        <w:t xml:space="preserve"> </w:t>
      </w:r>
    </w:p>
    <w:p w:rsidRPr="0004451C" w:rsidR="000C1980" w:rsidP="00402362" w:rsidRDefault="000C1980" w14:paraId="531D1075" w14:textId="77777777">
      <w:pPr>
        <w:pStyle w:val="ListBullet"/>
      </w:pPr>
      <w:r>
        <w:t>States no p</w:t>
      </w:r>
      <w:r w:rsidRPr="0004451C">
        <w:t xml:space="preserve">osition </w:t>
      </w:r>
      <w:r>
        <w:t>regarding</w:t>
      </w:r>
      <w:r w:rsidRPr="0004451C">
        <w:t xml:space="preserve"> whether the IOUs should be required to have one single statewide implementer for all aspects of the MFWB program</w:t>
      </w:r>
      <w:r>
        <w:t>,</w:t>
      </w:r>
      <w:r w:rsidRPr="0004451C">
        <w:rPr>
          <w:vertAlign w:val="superscript"/>
        </w:rPr>
        <w:footnoteReference w:id="876"/>
      </w:r>
      <w:r w:rsidRPr="0004451C">
        <w:t xml:space="preserve"> </w:t>
      </w:r>
      <w:r>
        <w:t>but</w:t>
      </w:r>
      <w:r w:rsidRPr="0004451C">
        <w:t xml:space="preserve"> strongly support a single implementer for programs that have overlapping territory such as SCE and SoCalGas. </w:t>
      </w:r>
    </w:p>
    <w:p w:rsidR="000C1980" w:rsidP="0023091F" w:rsidRDefault="000C1980" w14:paraId="1D0D2ED3" w14:textId="77777777">
      <w:pPr>
        <w:pStyle w:val="ALJBodyText"/>
      </w:pPr>
      <w:r w:rsidRPr="24DCB1AB">
        <w:rPr>
          <w:b/>
          <w:bCs/>
          <w:i/>
          <w:iCs/>
          <w:u w:val="single"/>
        </w:rPr>
        <w:t>Design and Delivery:</w:t>
      </w:r>
      <w:r>
        <w:t xml:space="preserve"> </w:t>
      </w:r>
      <w:r w:rsidRPr="0004451C">
        <w:t xml:space="preserve">The Joint </w:t>
      </w:r>
      <w:r>
        <w:t>P</w:t>
      </w:r>
      <w:r w:rsidRPr="0004451C">
        <w:t xml:space="preserve">arties </w:t>
      </w:r>
      <w:r>
        <w:t>propose:</w:t>
      </w:r>
    </w:p>
    <w:p w:rsidR="000C1980" w:rsidP="00402362" w:rsidRDefault="000C1980" w14:paraId="1DCA11B9" w14:textId="19B6889A">
      <w:pPr>
        <w:pStyle w:val="ListBullet"/>
      </w:pPr>
      <w:r>
        <w:lastRenderedPageBreak/>
        <w:t>E</w:t>
      </w:r>
      <w:r w:rsidRPr="0004451C">
        <w:t xml:space="preserve">nsuring a unified consistent approach across the IOUs for MFWB best practices, including </w:t>
      </w:r>
      <w:r w:rsidR="001105FF">
        <w:t>in-unit and CAM</w:t>
      </w:r>
      <w:r w:rsidR="001105FF">
        <w:rPr>
          <w:rStyle w:val="FootnoteReference"/>
        </w:rPr>
        <w:footnoteReference w:id="877"/>
      </w:r>
      <w:r w:rsidR="001105FF">
        <w:t xml:space="preserve"> and</w:t>
      </w:r>
      <w:r w:rsidRPr="0004451C" w:rsidR="001105FF">
        <w:t xml:space="preserve"> </w:t>
      </w:r>
      <w:r w:rsidRPr="0004451C">
        <w:t xml:space="preserve">guidance for the solicitation process. </w:t>
      </w:r>
    </w:p>
    <w:p w:rsidR="000C1980" w:rsidP="00402362" w:rsidRDefault="000C1980" w14:paraId="6C169B1B" w14:textId="77777777">
      <w:pPr>
        <w:pStyle w:val="ListBullet"/>
      </w:pPr>
      <w:r>
        <w:t>Requiring</w:t>
      </w:r>
      <w:r w:rsidRPr="0004451C">
        <w:t xml:space="preserve"> a single, statewide </w:t>
      </w:r>
      <w:r>
        <w:t xml:space="preserve">program </w:t>
      </w:r>
      <w:r w:rsidRPr="0004451C">
        <w:t>application for owners and managers who want to apply</w:t>
      </w:r>
      <w:r>
        <w:t xml:space="preserve"> and argue </w:t>
      </w:r>
      <w:r w:rsidRPr="0004451C">
        <w:t xml:space="preserve">that the IOUs have failed to propose a single application portal </w:t>
      </w:r>
      <w:r>
        <w:t>as</w:t>
      </w:r>
      <w:r w:rsidRPr="0004451C">
        <w:t xml:space="preserve"> directed</w:t>
      </w:r>
      <w:r>
        <w:t xml:space="preserve"> and </w:t>
      </w:r>
      <w:r w:rsidRPr="0004451C">
        <w:t xml:space="preserve">refer to the Massachusetts LEAN portal </w:t>
      </w:r>
      <w:r>
        <w:t>as an example to follow</w:t>
      </w:r>
      <w:r w:rsidRPr="0004451C">
        <w:t>.</w:t>
      </w:r>
      <w:r w:rsidRPr="0004451C">
        <w:rPr>
          <w:vertAlign w:val="superscript"/>
        </w:rPr>
        <w:footnoteReference w:id="878"/>
      </w:r>
      <w:r w:rsidRPr="0004451C">
        <w:t xml:space="preserve"> </w:t>
      </w:r>
      <w:r>
        <w:t xml:space="preserve"> </w:t>
      </w:r>
    </w:p>
    <w:p w:rsidR="00122B44" w:rsidP="00402362" w:rsidRDefault="000C1980" w14:paraId="241E5EA7" w14:textId="3D83C5F5">
      <w:pPr>
        <w:pStyle w:val="ListBullet"/>
      </w:pPr>
      <w:r>
        <w:t>Designing SPOC to be a “true-one-stop model” whereby a property owner, manager or tenant will rely on them to facilitate and coordinate program access.</w:t>
      </w:r>
      <w:r w:rsidRPr="41ABBE6F">
        <w:rPr>
          <w:vertAlign w:val="superscript"/>
        </w:rPr>
        <w:footnoteReference w:id="879"/>
      </w:r>
      <w:r>
        <w:t xml:space="preserve">   </w:t>
      </w:r>
    </w:p>
    <w:p w:rsidR="000C1980" w:rsidP="0023091F" w:rsidRDefault="000C1980" w14:paraId="26D44647" w14:textId="77777777">
      <w:pPr>
        <w:pStyle w:val="ALJBodyText"/>
      </w:pPr>
      <w:r>
        <w:t>Eligibility and Enrollment:</w:t>
      </w:r>
      <w:r w:rsidRPr="00C13B24">
        <w:t xml:space="preserve"> </w:t>
      </w:r>
      <w:r>
        <w:t>Joint Parties propose:</w:t>
      </w:r>
    </w:p>
    <w:p w:rsidR="000C1980" w:rsidP="00402362" w:rsidRDefault="000C1980" w14:paraId="3898C7BE" w14:textId="77777777">
      <w:pPr>
        <w:pStyle w:val="ListBullet"/>
      </w:pPr>
      <w:r>
        <w:t>Allowing</w:t>
      </w:r>
      <w:r w:rsidRPr="00707341">
        <w:t xml:space="preserve"> </w:t>
      </w:r>
      <w:r w:rsidRPr="00025BD6">
        <w:t>deed-restricted and non-deed-restricted MF properties</w:t>
      </w:r>
      <w:r>
        <w:t xml:space="preserve"> to qualify for the MFWB program.</w:t>
      </w:r>
    </w:p>
    <w:p w:rsidR="000C1980" w:rsidP="00402362" w:rsidRDefault="000C1980" w14:paraId="58339578" w14:textId="77777777">
      <w:pPr>
        <w:pStyle w:val="ListBullet"/>
      </w:pPr>
      <w:r>
        <w:t>Modifying income eligibility from 200</w:t>
      </w:r>
      <w:r w:rsidRPr="00730FFE">
        <w:t xml:space="preserve"> </w:t>
      </w:r>
      <w:r w:rsidRPr="0026503D">
        <w:t>percent</w:t>
      </w:r>
      <w:r>
        <w:t xml:space="preserve"> FPG to 60</w:t>
      </w:r>
      <w:r w:rsidRPr="00730FFE">
        <w:t xml:space="preserve"> </w:t>
      </w:r>
      <w:r w:rsidRPr="0026503D">
        <w:t>percent</w:t>
      </w:r>
      <w:r>
        <w:t xml:space="preserve"> AMI.</w:t>
      </w:r>
    </w:p>
    <w:p w:rsidRPr="0004451C" w:rsidR="000C1980" w:rsidP="00402362" w:rsidRDefault="000C1980" w14:paraId="4DFA0771" w14:textId="77777777">
      <w:pPr>
        <w:pStyle w:val="ListBullet"/>
      </w:pPr>
      <w:r>
        <w:t>Lowering program eligibility for a property to receive services to where at least 50</w:t>
      </w:r>
      <w:r w:rsidRPr="00730FFE">
        <w:t xml:space="preserve"> </w:t>
      </w:r>
      <w:r w:rsidRPr="0026503D">
        <w:t>percent</w:t>
      </w:r>
      <w:r>
        <w:t xml:space="preserve"> </w:t>
      </w:r>
      <w:r w:rsidRPr="00025BD6">
        <w:t xml:space="preserve">of households </w:t>
      </w:r>
      <w:r>
        <w:t xml:space="preserve">at the property meet the </w:t>
      </w:r>
      <w:r w:rsidRPr="00025BD6">
        <w:t>income requirements</w:t>
      </w:r>
      <w:r>
        <w:t xml:space="preserve"> with cost-sharing arrangements that could include co</w:t>
      </w:r>
      <w:r>
        <w:noBreakHyphen/>
        <w:t>payments and rent protections. Alternatively, consider a sliding scale rebate structure depending on income qualified occupant thresholds.</w:t>
      </w:r>
      <w:r>
        <w:rPr>
          <w:rStyle w:val="FootnoteReference"/>
        </w:rPr>
        <w:footnoteReference w:id="880"/>
      </w:r>
    </w:p>
    <w:p w:rsidR="000C1980" w:rsidP="0023091F" w:rsidRDefault="000C1980" w14:paraId="0BFC54A5" w14:textId="77777777">
      <w:pPr>
        <w:pStyle w:val="ALJBodyText"/>
      </w:pPr>
      <w:r w:rsidRPr="24DCB1AB">
        <w:rPr>
          <w:b/>
          <w:bCs/>
          <w:i/>
          <w:iCs/>
          <w:u w:val="single"/>
        </w:rPr>
        <w:t>Measures:</w:t>
      </w:r>
      <w:r w:rsidRPr="00BA77D1">
        <w:t xml:space="preserve"> </w:t>
      </w:r>
      <w:r w:rsidRPr="0004451C">
        <w:t xml:space="preserve">The Joint Parties </w:t>
      </w:r>
      <w:r>
        <w:t>propose:</w:t>
      </w:r>
    </w:p>
    <w:p w:rsidRPr="00A6218B" w:rsidR="000C1980" w:rsidP="00402362" w:rsidRDefault="000C1980" w14:paraId="6A47E234" w14:textId="77777777">
      <w:pPr>
        <w:pStyle w:val="ListBullet"/>
        <w:rPr>
          <w:b/>
          <w:bCs/>
          <w:i/>
          <w:iCs/>
          <w:u w:val="single"/>
        </w:rPr>
      </w:pPr>
      <w:r>
        <w:t>A</w:t>
      </w:r>
      <w:r w:rsidRPr="0004451C">
        <w:t xml:space="preserve"> consistent list of measures be offered throughout the state, even if a measure </w:t>
      </w:r>
      <w:r>
        <w:t>will</w:t>
      </w:r>
      <w:r w:rsidRPr="0004451C">
        <w:t xml:space="preserve"> only be installed if it is cost-effective at that location or offers a </w:t>
      </w:r>
      <w:r>
        <w:t>HCS</w:t>
      </w:r>
      <w:r w:rsidRPr="0004451C">
        <w:t xml:space="preserve"> benefit.</w:t>
      </w:r>
      <w:r w:rsidRPr="0004451C">
        <w:rPr>
          <w:vertAlign w:val="superscript"/>
        </w:rPr>
        <w:footnoteReference w:id="881"/>
      </w:r>
      <w:r w:rsidRPr="0004451C">
        <w:t xml:space="preserve"> </w:t>
      </w:r>
      <w:r>
        <w:t xml:space="preserve"> The Joint Parties states that varying</w:t>
      </w:r>
      <w:r w:rsidRPr="0004451C">
        <w:t xml:space="preserve"> measures </w:t>
      </w:r>
      <w:r>
        <w:t xml:space="preserve">lists </w:t>
      </w:r>
      <w:r w:rsidRPr="0004451C">
        <w:t xml:space="preserve">make it harder for building owners and </w:t>
      </w:r>
      <w:r w:rsidRPr="0004451C">
        <w:lastRenderedPageBreak/>
        <w:t>managers to navigate the system</w:t>
      </w:r>
      <w:r>
        <w:t>,</w:t>
      </w:r>
      <w:r w:rsidRPr="0004451C">
        <w:rPr>
          <w:vertAlign w:val="superscript"/>
        </w:rPr>
        <w:footnoteReference w:id="882"/>
      </w:r>
      <w:r w:rsidRPr="0004451C">
        <w:t xml:space="preserve"> </w:t>
      </w:r>
      <w:r>
        <w:t>and state</w:t>
      </w:r>
      <w:r w:rsidRPr="0004451C">
        <w:t xml:space="preserve"> that a master list of all eligible measures is sensible to accommodate the variety of multifamily building sizes and configurations and because energy audits should always be performed before installing any measure. </w:t>
      </w:r>
      <w:r>
        <w:t xml:space="preserve"> </w:t>
      </w:r>
      <w:r w:rsidRPr="0004451C">
        <w:t>This way, the program implementer can choose items from that list once the building has received an energy audit.</w:t>
      </w:r>
      <w:r w:rsidRPr="0004451C">
        <w:rPr>
          <w:vertAlign w:val="superscript"/>
        </w:rPr>
        <w:footnoteReference w:id="883"/>
      </w:r>
      <w:r w:rsidRPr="0004451C">
        <w:t xml:space="preserve"> </w:t>
      </w:r>
    </w:p>
    <w:p w:rsidRPr="00812DE7" w:rsidR="000C1980" w:rsidP="00402362" w:rsidRDefault="000C1980" w14:paraId="62BDE1CB" w14:textId="77777777">
      <w:pPr>
        <w:pStyle w:val="ListBullet"/>
        <w:rPr>
          <w:b/>
          <w:bCs/>
          <w:i/>
          <w:iCs/>
          <w:u w:val="single"/>
        </w:rPr>
      </w:pPr>
      <w:r>
        <w:t>Addition of</w:t>
      </w:r>
      <w:r w:rsidRPr="0004451C">
        <w:t xml:space="preserve"> healthy building materials</w:t>
      </w:r>
      <w:r>
        <w:t xml:space="preserve"> and </w:t>
      </w:r>
      <w:r w:rsidRPr="0004451C">
        <w:t>building electrification.</w:t>
      </w:r>
      <w:r w:rsidRPr="0004451C">
        <w:rPr>
          <w:vertAlign w:val="superscript"/>
        </w:rPr>
        <w:footnoteReference w:id="884"/>
      </w:r>
    </w:p>
    <w:p w:rsidRPr="0004451C" w:rsidR="000C1980" w:rsidP="0023091F" w:rsidRDefault="000C1980" w14:paraId="298C2115" w14:textId="77777777">
      <w:pPr>
        <w:pStyle w:val="ALJBodyText"/>
      </w:pPr>
      <w:r w:rsidRPr="24DCB1AB">
        <w:rPr>
          <w:b/>
          <w:bCs/>
          <w:i/>
          <w:iCs/>
          <w:u w:val="single"/>
        </w:rPr>
        <w:t>PG&amp;E’s Application</w:t>
      </w:r>
      <w:r>
        <w:t>:</w:t>
      </w:r>
      <w:r w:rsidRPr="0004451C">
        <w:rPr>
          <w:b/>
          <w:bCs/>
        </w:rPr>
        <w:t xml:space="preserve"> </w:t>
      </w:r>
      <w:r w:rsidRPr="0004451C">
        <w:t>The Joint Parties question PG&amp;E’s extended timeline for rolling out the solicitation and implementation of the MFWB.</w:t>
      </w:r>
      <w:r w:rsidRPr="0004451C">
        <w:rPr>
          <w:vertAlign w:val="superscript"/>
        </w:rPr>
        <w:footnoteReference w:id="885"/>
      </w:r>
    </w:p>
    <w:p w:rsidRPr="0004451C" w:rsidR="000C1980" w:rsidP="0023091F" w:rsidRDefault="000C1980" w14:paraId="7FDDF186" w14:textId="77777777">
      <w:pPr>
        <w:pStyle w:val="ALJBodyText"/>
        <w:rPr>
          <w:b/>
          <w:bCs/>
        </w:rPr>
      </w:pPr>
      <w:r w:rsidRPr="24DCB1AB">
        <w:rPr>
          <w:b/>
          <w:bCs/>
          <w:i/>
          <w:iCs/>
          <w:u w:val="single"/>
        </w:rPr>
        <w:t>SCE’s Application</w:t>
      </w:r>
      <w:r w:rsidRPr="0004451C">
        <w:rPr>
          <w:b/>
          <w:bCs/>
        </w:rPr>
        <w:t xml:space="preserve">: </w:t>
      </w:r>
      <w:r w:rsidRPr="0004451C">
        <w:t>The Joint Parties note that SCE’s guiding principles and various recommended components are insufficient and provide very little detail on how to best implement or administer.</w:t>
      </w:r>
      <w:r w:rsidRPr="0004451C">
        <w:rPr>
          <w:vertAlign w:val="superscript"/>
        </w:rPr>
        <w:footnoteReference w:id="886"/>
      </w:r>
      <w:r w:rsidRPr="0004451C">
        <w:t xml:space="preserve">  The Joint Parties also state that while SCE provides a variety of objectives for its program, it has the potential to make it hard and confusing for owners to navigate what is actually available and underscores the need for well-funded and </w:t>
      </w:r>
      <w:proofErr w:type="gramStart"/>
      <w:r w:rsidRPr="0004451C">
        <w:t>highly-qualified</w:t>
      </w:r>
      <w:proofErr w:type="gramEnd"/>
      <w:r w:rsidRPr="0004451C">
        <w:t xml:space="preserve"> SPOCs. </w:t>
      </w:r>
      <w:r>
        <w:t xml:space="preserve"> </w:t>
      </w:r>
      <w:r w:rsidRPr="0004451C">
        <w:t>The Joint Parties</w:t>
      </w:r>
      <w:r>
        <w:t xml:space="preserve"> also </w:t>
      </w:r>
      <w:r w:rsidRPr="0004451C">
        <w:t>urge</w:t>
      </w:r>
      <w:r>
        <w:t>s</w:t>
      </w:r>
      <w:r w:rsidRPr="0004451C">
        <w:t xml:space="preserve"> the Commission to explore SCE’s proposal to coordinate program implementation tactics with SoCalGas.</w:t>
      </w:r>
      <w:r w:rsidRPr="0004451C">
        <w:rPr>
          <w:vertAlign w:val="superscript"/>
        </w:rPr>
        <w:footnoteReference w:id="887"/>
      </w:r>
      <w:r>
        <w:t xml:space="preserve"> </w:t>
      </w:r>
    </w:p>
    <w:p w:rsidRPr="0004451C" w:rsidR="000C1980" w:rsidP="0023091F" w:rsidRDefault="000C1980" w14:paraId="0087AC27" w14:textId="77777777">
      <w:pPr>
        <w:pStyle w:val="ALJBodyText"/>
        <w:rPr>
          <w:b/>
          <w:bCs/>
        </w:rPr>
      </w:pPr>
      <w:r w:rsidRPr="24DCB1AB">
        <w:rPr>
          <w:b/>
          <w:bCs/>
          <w:i/>
          <w:iCs/>
          <w:u w:val="single"/>
        </w:rPr>
        <w:t>SoCalGas’ Application</w:t>
      </w:r>
      <w:r w:rsidRPr="0004451C">
        <w:rPr>
          <w:b/>
          <w:bCs/>
        </w:rPr>
        <w:t xml:space="preserve">: </w:t>
      </w:r>
      <w:r w:rsidRPr="0004451C">
        <w:t xml:space="preserve">The Joint Parties note that SoCalGas proposes working jointly with electric companies to provide joint gas and electric measure packages but does not mention statewide coordination of multifamily efficiency </w:t>
      </w:r>
      <w:r w:rsidRPr="0004451C">
        <w:lastRenderedPageBreak/>
        <w:t>efforts.</w:t>
      </w:r>
      <w:r w:rsidRPr="0004451C">
        <w:rPr>
          <w:vertAlign w:val="superscript"/>
        </w:rPr>
        <w:footnoteReference w:id="888"/>
      </w:r>
      <w:r>
        <w:t xml:space="preserve"> </w:t>
      </w:r>
      <w:r w:rsidRPr="0004451C">
        <w:t xml:space="preserve"> There is also no mention of launching a statewide multifamily delivery effort or any discussion of formal referrals between the ESA </w:t>
      </w:r>
      <w:r>
        <w:t>p</w:t>
      </w:r>
      <w:r w:rsidRPr="0004451C">
        <w:t xml:space="preserve">rogram and the LIWP </w:t>
      </w:r>
      <w:r>
        <w:t>p</w:t>
      </w:r>
      <w:r w:rsidRPr="0004451C">
        <w:t>rogram.</w:t>
      </w:r>
      <w:r w:rsidRPr="0004451C">
        <w:rPr>
          <w:vertAlign w:val="superscript"/>
        </w:rPr>
        <w:footnoteReference w:id="889"/>
      </w:r>
      <w:r w:rsidRPr="0004451C">
        <w:t xml:space="preserve"> </w:t>
      </w:r>
      <w:r>
        <w:t xml:space="preserve"> </w:t>
      </w:r>
      <w:r w:rsidRPr="0004451C">
        <w:t>The Joint Parties are critical of SoCalGas’s assertion that it will “work with the other IOUs to consider development of a statewide application portal</w:t>
      </w:r>
      <w:r>
        <w:t>,</w:t>
      </w:r>
      <w:r w:rsidRPr="0004451C">
        <w:t>” and do not believe that it satisfies the Commission’s instruction to address and create a seamless customer interface for delivering energy efficiency services for owners and tenants of multifamily buildings similar to the Massachusetts LEAN program.</w:t>
      </w:r>
      <w:r w:rsidRPr="0004451C">
        <w:rPr>
          <w:vertAlign w:val="superscript"/>
        </w:rPr>
        <w:footnoteReference w:id="890"/>
      </w:r>
      <w:r w:rsidRPr="00E70740">
        <w:t xml:space="preserve"> </w:t>
      </w:r>
    </w:p>
    <w:p w:rsidRPr="0004451C" w:rsidR="000C1980" w:rsidP="0023091F" w:rsidRDefault="000C1980" w14:paraId="6FE3FB0E" w14:textId="77777777">
      <w:pPr>
        <w:pStyle w:val="ALJBodyText"/>
        <w:rPr>
          <w:b/>
          <w:bCs/>
        </w:rPr>
      </w:pPr>
      <w:r w:rsidRPr="24DCB1AB">
        <w:rPr>
          <w:b/>
          <w:bCs/>
          <w:i/>
          <w:iCs/>
          <w:u w:val="single"/>
        </w:rPr>
        <w:t>SDG&amp;E’s Application</w:t>
      </w:r>
      <w:r w:rsidRPr="0004451C">
        <w:rPr>
          <w:b/>
          <w:bCs/>
        </w:rPr>
        <w:t xml:space="preserve">: </w:t>
      </w:r>
      <w:r w:rsidRPr="0004451C">
        <w:t>The Joint Parties note that SDG&amp;E has embraced the Commission’s guidance on statewide administration of a MFWB program for deed-restricted properties only but believe that best practices demand a consistent statewide program design for non-deed-restricted building owners be provided whether SDG&amp;E administers the program or not.</w:t>
      </w:r>
      <w:r w:rsidRPr="0004451C">
        <w:rPr>
          <w:vertAlign w:val="superscript"/>
        </w:rPr>
        <w:footnoteReference w:id="891"/>
      </w:r>
      <w:r w:rsidRPr="00E70740">
        <w:t xml:space="preserve"> </w:t>
      </w:r>
    </w:p>
    <w:p w:rsidR="000C1980" w:rsidP="0023091F" w:rsidRDefault="000C1980" w14:paraId="18232C58" w14:textId="77777777">
      <w:pPr>
        <w:pStyle w:val="ALJBodyText"/>
      </w:pPr>
      <w:r w:rsidRPr="24DCB1AB">
        <w:rPr>
          <w:b/>
          <w:bCs/>
          <w:i/>
          <w:iCs/>
          <w:u w:val="single"/>
        </w:rPr>
        <w:t>MCE’s Application</w:t>
      </w:r>
      <w:r w:rsidRPr="0004451C">
        <w:rPr>
          <w:b/>
          <w:bCs/>
        </w:rPr>
        <w:t xml:space="preserve">:  </w:t>
      </w:r>
      <w:r w:rsidRPr="0004451C">
        <w:t>The Joint Parties support the larger principles and objectives of MCE’s proposal,</w:t>
      </w:r>
      <w:r w:rsidRPr="0004451C">
        <w:rPr>
          <w:vertAlign w:val="superscript"/>
        </w:rPr>
        <w:footnoteReference w:id="892"/>
      </w:r>
      <w:r w:rsidRPr="0004451C">
        <w:t xml:space="preserve"> and encourages MCE to coordinate with local government housing agencies to develop resident protections and monitor and track post-upgrade impacts </w:t>
      </w:r>
      <w:r>
        <w:t xml:space="preserve">to </w:t>
      </w:r>
      <w:r w:rsidRPr="0004451C">
        <w:t>residents.</w:t>
      </w:r>
    </w:p>
    <w:p w:rsidRPr="0004451C" w:rsidR="000C1980" w:rsidP="001968DC" w:rsidRDefault="000C1980" w14:paraId="1868EC56" w14:textId="20D21F03">
      <w:pPr>
        <w:pStyle w:val="Heading3"/>
        <w:ind w:left="2664"/>
      </w:pPr>
      <w:bookmarkStart w:name="_Toc69948192" w:id="545"/>
      <w:r>
        <w:t>EEC</w:t>
      </w:r>
      <w:bookmarkEnd w:id="545"/>
      <w:r>
        <w:t xml:space="preserve">  </w:t>
      </w:r>
    </w:p>
    <w:p w:rsidR="000C1980" w:rsidP="001968DC" w:rsidRDefault="000C1980" w14:paraId="0C3F53D8" w14:textId="77777777">
      <w:pPr>
        <w:pStyle w:val="Standard"/>
        <w:ind w:left="360"/>
      </w:pPr>
      <w:r>
        <w:rPr>
          <w:b/>
          <w:bCs/>
          <w:i/>
          <w:iCs/>
          <w:u w:val="single"/>
        </w:rPr>
        <w:t>Third Party Solicitation and Administration:</w:t>
      </w:r>
      <w:r>
        <w:t xml:space="preserve"> EEC states that outsourcing the multifamily program design can result in the displacement of the existing workforce and create a duplicative administrative infrastructure.  </w:t>
      </w:r>
      <w:r>
        <w:lastRenderedPageBreak/>
        <w:t>They request</w:t>
      </w:r>
      <w:r w:rsidRPr="0004451C">
        <w:t xml:space="preserve"> </w:t>
      </w:r>
      <w:r>
        <w:t xml:space="preserve">that the Commission reject the proposals </w:t>
      </w:r>
      <w:r w:rsidRPr="0004451C">
        <w:t>and instead</w:t>
      </w:r>
      <w:r>
        <w:t xml:space="preserve"> </w:t>
      </w:r>
      <w:r w:rsidRPr="0004451C">
        <w:t xml:space="preserve">require </w:t>
      </w:r>
      <w:r>
        <w:t>the IOUs to present</w:t>
      </w:r>
      <w:r w:rsidRPr="0004451C">
        <w:t xml:space="preserve"> robust plans that can be vetted through public hearings or other public forums where multifamily program experts </w:t>
      </w:r>
      <w:r>
        <w:t xml:space="preserve">are </w:t>
      </w:r>
      <w:r w:rsidRPr="0004451C">
        <w:t xml:space="preserve">invited to collaborate.  </w:t>
      </w:r>
      <w:r>
        <w:t>EEC also states that the</w:t>
      </w:r>
      <w:r w:rsidRPr="0004451C">
        <w:t xml:space="preserve"> proposals fail to comply with </w:t>
      </w:r>
      <w:r w:rsidRPr="008F1EE5">
        <w:t>Pub. Util.</w:t>
      </w:r>
      <w:r>
        <w:t xml:space="preserve"> </w:t>
      </w:r>
      <w:r w:rsidRPr="0004451C">
        <w:t>Code 381.5 and 327(b).</w:t>
      </w:r>
    </w:p>
    <w:p w:rsidR="000C1980" w:rsidP="001968DC" w:rsidRDefault="000C1980" w14:paraId="74804C93" w14:textId="77777777">
      <w:pPr>
        <w:pStyle w:val="Standard"/>
        <w:ind w:left="360"/>
      </w:pPr>
      <w:r w:rsidRPr="00A24802">
        <w:rPr>
          <w:b/>
          <w:bCs/>
          <w:i/>
          <w:iCs/>
          <w:u w:val="single"/>
        </w:rPr>
        <w:t>Eligibility and Enrollment</w:t>
      </w:r>
      <w:r w:rsidRPr="24DCB1AB">
        <w:rPr>
          <w:b/>
          <w:bCs/>
          <w:i/>
          <w:iCs/>
          <w:u w:val="single"/>
        </w:rPr>
        <w:t>:</w:t>
      </w:r>
      <w:r w:rsidRPr="00F666A1">
        <w:t xml:space="preserve"> </w:t>
      </w:r>
      <w:r>
        <w:t>EEC s</w:t>
      </w:r>
      <w:r w:rsidRPr="12251DBF">
        <w:t>tates that</w:t>
      </w:r>
      <w:r>
        <w:t xml:space="preserve"> the ESA multifamily program will inappropriately direct needed resources to the benefit of property owners and is particularly concerned about treatment of common areas for market-rate buildings.  They recommend that any non-deed restricted property receiving ESA funds over $10,000 have a lien placed on the property for no less than 5 years and that enforceable rent restrictions be put in place.</w:t>
      </w:r>
      <w:r w:rsidRPr="4ADD7DD2">
        <w:rPr>
          <w:vertAlign w:val="superscript"/>
        </w:rPr>
        <w:footnoteReference w:id="893"/>
      </w:r>
      <w:r>
        <w:t xml:space="preserve"> </w:t>
      </w:r>
    </w:p>
    <w:p w:rsidR="000C1980" w:rsidP="00347A2C" w:rsidRDefault="000C1980" w14:paraId="79068BB3" w14:textId="1D8F3C9D">
      <w:pPr>
        <w:pStyle w:val="Standard"/>
        <w:ind w:left="360"/>
      </w:pPr>
      <w:r w:rsidRPr="24DCB1AB">
        <w:rPr>
          <w:b/>
          <w:bCs/>
          <w:i/>
          <w:iCs/>
          <w:u w:val="single"/>
        </w:rPr>
        <w:t>Measures:</w:t>
      </w:r>
      <w:r w:rsidRPr="00025BD6">
        <w:t xml:space="preserve"> </w:t>
      </w:r>
      <w:r>
        <w:t xml:space="preserve"> EEC proposes that the current allowable measure list be expanded and that ESA contractors should be directed and supported in providing SPOC services.  Renters should also be eligible for all measures without need of a property owner waiver. </w:t>
      </w:r>
    </w:p>
    <w:p w:rsidRPr="0004451C" w:rsidR="000C1980" w:rsidP="001968DC" w:rsidRDefault="000C1980" w14:paraId="0B2A4C3D" w14:textId="77777777">
      <w:pPr>
        <w:pStyle w:val="Standard"/>
        <w:ind w:left="360"/>
      </w:pPr>
      <w:r w:rsidRPr="24DCB1AB">
        <w:rPr>
          <w:b/>
          <w:bCs/>
          <w:i/>
          <w:iCs/>
          <w:u w:val="single"/>
        </w:rPr>
        <w:t>PG&amp;E’s Application</w:t>
      </w:r>
      <w:r>
        <w:t>:</w:t>
      </w:r>
      <w:r w:rsidRPr="00A415F6">
        <w:t xml:space="preserve"> </w:t>
      </w:r>
      <w:r w:rsidRPr="0004451C">
        <w:t>EEC expresses several concerns about the displacement of the existing workforce, disparate impact to existing contractors, and unnecessary expenditure of ESA funds for a new, duplicative administrative structure that PG&amp;E now proposes.</w:t>
      </w:r>
      <w:r w:rsidRPr="0004451C">
        <w:rPr>
          <w:vertAlign w:val="superscript"/>
        </w:rPr>
        <w:footnoteReference w:id="894"/>
      </w:r>
      <w:r w:rsidRPr="0004451C">
        <w:t xml:space="preserve"> </w:t>
      </w:r>
      <w:r>
        <w:t xml:space="preserve"> </w:t>
      </w:r>
      <w:r w:rsidRPr="0004451C">
        <w:t xml:space="preserve">EEC also argues that taking responsibility for </w:t>
      </w:r>
      <w:r>
        <w:t>multifamily</w:t>
      </w:r>
      <w:r w:rsidRPr="0004451C">
        <w:t xml:space="preserve"> residences away from the existing low</w:t>
      </w:r>
      <w:r>
        <w:t xml:space="preserve"> </w:t>
      </w:r>
      <w:r w:rsidRPr="0004451C">
        <w:t>income infrastructure of community-based private and non-profit contractors will cause massive disruptions in services to that community,</w:t>
      </w:r>
      <w:r w:rsidRPr="0004451C">
        <w:rPr>
          <w:vertAlign w:val="superscript"/>
        </w:rPr>
        <w:footnoteReference w:id="895"/>
      </w:r>
      <w:r w:rsidRPr="0004451C">
        <w:t xml:space="preserve"> including </w:t>
      </w:r>
      <w:r w:rsidRPr="0004451C">
        <w:lastRenderedPageBreak/>
        <w:t>extensive personal and profession hardships on those who have careers helping low income families and damaging small businesses and community-based organizations who have facilitated ESA service in the past.</w:t>
      </w:r>
      <w:r w:rsidRPr="0004451C">
        <w:rPr>
          <w:vertAlign w:val="superscript"/>
        </w:rPr>
        <w:footnoteReference w:id="896"/>
      </w:r>
      <w:r w:rsidRPr="0004451C">
        <w:t xml:space="preserve"> </w:t>
      </w:r>
      <w:r>
        <w:t xml:space="preserve"> </w:t>
      </w:r>
      <w:r w:rsidRPr="0004451C">
        <w:t>EEC argues that it will also cost millions of dollars in wasted resources and take years to recover the current level of resources and no alternative infrastructure will exist to replace it.</w:t>
      </w:r>
      <w:r w:rsidRPr="0004451C">
        <w:rPr>
          <w:vertAlign w:val="superscript"/>
        </w:rPr>
        <w:footnoteReference w:id="897"/>
      </w:r>
      <w:r w:rsidRPr="0004451C">
        <w:t xml:space="preserve">  EEC concedes that while PG&amp;E is behind in its goals and creating unspent funds, it is a solid base to build upon, and it’s not clear what problem PG&amp;E is trying to solve by creating a new system and dismantling the current one.</w:t>
      </w:r>
      <w:r w:rsidRPr="0004451C">
        <w:rPr>
          <w:vertAlign w:val="superscript"/>
        </w:rPr>
        <w:footnoteReference w:id="898"/>
      </w:r>
      <w:r w:rsidRPr="0004451C">
        <w:t xml:space="preserve"> </w:t>
      </w:r>
    </w:p>
    <w:p w:rsidRPr="0004451C" w:rsidR="000C1980" w:rsidP="0023091F" w:rsidRDefault="000C1980" w14:paraId="70BB7D86" w14:textId="77777777">
      <w:pPr>
        <w:pStyle w:val="ALJBodyText"/>
      </w:pPr>
      <w:r w:rsidRPr="0004451C">
        <w:t>Lastly, EEC also argues that PG&amp;E’s application fails to address the required changes to the workforce necessary to reduce the number of single family customers served each year from 111,000 to 48,000,</w:t>
      </w:r>
      <w:r w:rsidRPr="0004451C">
        <w:rPr>
          <w:vertAlign w:val="superscript"/>
        </w:rPr>
        <w:footnoteReference w:id="899"/>
      </w:r>
      <w:r w:rsidRPr="0004451C">
        <w:t xml:space="preserve"> and notes that segregating the single family and multifamily components of ESA will displace at least 747 employees if the multifamily component of the ESA program is outsourced.</w:t>
      </w:r>
      <w:r w:rsidRPr="0004451C">
        <w:rPr>
          <w:vertAlign w:val="superscript"/>
        </w:rPr>
        <w:footnoteReference w:id="900"/>
      </w:r>
      <w:r w:rsidRPr="0004451C">
        <w:t xml:space="preserve">  EEC recommends that PG&amp;E protect and strengthen the current network of community service providers by directing that any evaluation of the effectiveness of the low</w:t>
      </w:r>
      <w:r>
        <w:t xml:space="preserve"> </w:t>
      </w:r>
      <w:r w:rsidRPr="0004451C">
        <w:t xml:space="preserve">income energy efficiency programs shall be based not solely on cost criteria, but also on the degree to which the provision of services allows maximum program accessibility. PG&amp;E should also ensure that high </w:t>
      </w:r>
      <w:r w:rsidRPr="0004451C">
        <w:lastRenderedPageBreak/>
        <w:t xml:space="preserve">quality, </w:t>
      </w:r>
      <w:proofErr w:type="gramStart"/>
      <w:r w:rsidRPr="0004451C">
        <w:t>low</w:t>
      </w:r>
      <w:r>
        <w:t xml:space="preserve"> </w:t>
      </w:r>
      <w:r w:rsidRPr="0004451C">
        <w:t>income</w:t>
      </w:r>
      <w:proofErr w:type="gramEnd"/>
      <w:r w:rsidRPr="0004451C">
        <w:t xml:space="preserve"> energy efficiency programs are delivered to the maximum number of eligible participants.</w:t>
      </w:r>
      <w:r w:rsidRPr="0004451C">
        <w:rPr>
          <w:vertAlign w:val="superscript"/>
        </w:rPr>
        <w:footnoteReference w:id="901"/>
      </w:r>
    </w:p>
    <w:p w:rsidR="000C1980" w:rsidP="0023091F" w:rsidRDefault="000C1980" w14:paraId="63CB74D0" w14:textId="77777777">
      <w:pPr>
        <w:pStyle w:val="ALJBodyText"/>
      </w:pPr>
      <w:r w:rsidRPr="24DCB1AB">
        <w:rPr>
          <w:b/>
          <w:bCs/>
          <w:i/>
          <w:iCs/>
          <w:u w:val="single"/>
        </w:rPr>
        <w:t>SCE’s Application:</w:t>
      </w:r>
      <w:r w:rsidRPr="00A415F6">
        <w:t xml:space="preserve"> </w:t>
      </w:r>
      <w:r w:rsidRPr="0004451C">
        <w:t xml:space="preserve">EEC raises similar concerns </w:t>
      </w:r>
      <w:r>
        <w:t>as mentioned above.</w:t>
      </w:r>
    </w:p>
    <w:p w:rsidRPr="0004451C" w:rsidR="000C1980" w:rsidP="0023091F" w:rsidRDefault="000C1980" w14:paraId="0F4D4893" w14:textId="77777777">
      <w:pPr>
        <w:pStyle w:val="ALJBodyText"/>
      </w:pPr>
      <w:r w:rsidRPr="008D3C5F">
        <w:rPr>
          <w:b/>
          <w:bCs/>
          <w:i/>
          <w:iCs/>
          <w:u w:val="single"/>
        </w:rPr>
        <w:t>SoCalGas’ Application:</w:t>
      </w:r>
      <w:r w:rsidRPr="00A415F6">
        <w:t xml:space="preserve"> </w:t>
      </w:r>
      <w:r w:rsidRPr="0004451C">
        <w:t xml:space="preserve">EEC raises similar concerns </w:t>
      </w:r>
      <w:r>
        <w:t>as mentioned above</w:t>
      </w:r>
      <w:r w:rsidRPr="0004451C">
        <w:t>.</w:t>
      </w:r>
    </w:p>
    <w:p w:rsidRPr="0004451C" w:rsidR="000C1980" w:rsidP="0023091F" w:rsidRDefault="000C1980" w14:paraId="22E5F04B" w14:textId="77777777">
      <w:pPr>
        <w:pStyle w:val="ALJBodyText"/>
      </w:pPr>
      <w:r w:rsidRPr="008D3C5F">
        <w:rPr>
          <w:b/>
          <w:bCs/>
          <w:i/>
          <w:iCs/>
          <w:u w:val="single"/>
        </w:rPr>
        <w:t>SDG&amp;E’s Application:</w:t>
      </w:r>
      <w:r w:rsidRPr="00A415F6">
        <w:t xml:space="preserve"> </w:t>
      </w:r>
      <w:r w:rsidRPr="0004451C">
        <w:t xml:space="preserve">EEC raises similar concerns </w:t>
      </w:r>
      <w:r>
        <w:t>as mentioned above</w:t>
      </w:r>
      <w:r w:rsidRPr="0004451C">
        <w:t>.</w:t>
      </w:r>
    </w:p>
    <w:p w:rsidR="000C1980" w:rsidP="0023091F" w:rsidRDefault="000C1980" w14:paraId="6A402C42" w14:textId="77777777">
      <w:pPr>
        <w:pStyle w:val="ALJBodyText"/>
      </w:pPr>
      <w:r w:rsidRPr="24DCB1AB">
        <w:rPr>
          <w:b/>
          <w:bCs/>
          <w:i/>
          <w:iCs/>
          <w:u w:val="single"/>
        </w:rPr>
        <w:t>MCE’s Application:</w:t>
      </w:r>
      <w:r>
        <w:t xml:space="preserve"> E</w:t>
      </w:r>
      <w:r w:rsidRPr="0004451C">
        <w:t xml:space="preserve">EC </w:t>
      </w:r>
      <w:r>
        <w:t>expresses the following concerns with LIFT 2.0:</w:t>
      </w:r>
    </w:p>
    <w:p w:rsidR="000C1980" w:rsidP="00402362" w:rsidRDefault="000C1980" w14:paraId="3AEED6F7" w14:textId="77777777">
      <w:pPr>
        <w:pStyle w:val="ListBullet"/>
      </w:pPr>
      <w:r>
        <w:t>O</w:t>
      </w:r>
      <w:r w:rsidRPr="0004451C">
        <w:t>nly a few measures have been installed in MCE’s treated units, most of which have been heat pumps</w:t>
      </w:r>
      <w:r>
        <w:t>,</w:t>
      </w:r>
      <w:r w:rsidRPr="0004451C">
        <w:rPr>
          <w:vertAlign w:val="superscript"/>
        </w:rPr>
        <w:footnoteReference w:id="902"/>
      </w:r>
      <w:r>
        <w:t xml:space="preserve"> leading to concerns about h</w:t>
      </w:r>
      <w:r w:rsidRPr="0004451C">
        <w:t xml:space="preserve">ow much </w:t>
      </w:r>
      <w:r>
        <w:t xml:space="preserve">has </w:t>
      </w:r>
      <w:r w:rsidRPr="0004451C">
        <w:t xml:space="preserve">been </w:t>
      </w:r>
      <w:r>
        <w:t>saved by</w:t>
      </w:r>
      <w:r w:rsidRPr="0004451C">
        <w:t xml:space="preserve"> customers in the first funded pilot.</w:t>
      </w:r>
      <w:r w:rsidRPr="0004451C">
        <w:rPr>
          <w:vertAlign w:val="superscript"/>
        </w:rPr>
        <w:footnoteReference w:id="903"/>
      </w:r>
    </w:p>
    <w:p w:rsidR="000C1980" w:rsidP="00402362" w:rsidRDefault="000C1980" w14:paraId="77B98649" w14:textId="77777777">
      <w:pPr>
        <w:pStyle w:val="ListBullet"/>
      </w:pPr>
      <w:r>
        <w:t>LIFT 2.0</w:t>
      </w:r>
      <w:r w:rsidRPr="0004451C">
        <w:t xml:space="preserve"> is a duplicate effort that PG&amp;E’s existing ESA CAM program can more efficiently and effectively address.</w:t>
      </w:r>
      <w:r w:rsidRPr="0004451C">
        <w:rPr>
          <w:vertAlign w:val="superscript"/>
        </w:rPr>
        <w:footnoteReference w:id="904"/>
      </w:r>
      <w:r w:rsidRPr="0004451C">
        <w:t xml:space="preserve"> </w:t>
      </w:r>
    </w:p>
    <w:p w:rsidR="000C1980" w:rsidP="00402362" w:rsidRDefault="000C1980" w14:paraId="2361A671" w14:textId="77777777">
      <w:pPr>
        <w:pStyle w:val="ListBullet"/>
      </w:pPr>
      <w:r w:rsidRPr="0004451C">
        <w:t>MCE’s administrative costs are high compared to PG&amp;E’s ESA CAM program</w:t>
      </w:r>
      <w:r>
        <w:t>.</w:t>
      </w:r>
    </w:p>
    <w:p w:rsidR="000C1980" w:rsidP="00402362" w:rsidRDefault="000C1980" w14:paraId="743B03B5" w14:textId="77777777">
      <w:pPr>
        <w:pStyle w:val="ListBullet"/>
      </w:pPr>
      <w:r w:rsidRPr="0004451C">
        <w:t xml:space="preserve">MCE fails to explain how its program will be different from PG&amp;E’s, and that there has not been enough research done on whether MCE customers want to participate in the program at all.  </w:t>
      </w:r>
    </w:p>
    <w:p w:rsidR="000C1980" w:rsidP="00402362" w:rsidRDefault="000C1980" w14:paraId="170A1B9C" w14:textId="77777777">
      <w:pPr>
        <w:pStyle w:val="ListBullet"/>
      </w:pPr>
      <w:r w:rsidRPr="0004451C">
        <w:t xml:space="preserve">MCE’s proposal to provide </w:t>
      </w:r>
      <w:r>
        <w:t>CAM services</w:t>
      </w:r>
      <w:r w:rsidRPr="0004451C">
        <w:t xml:space="preserve"> to non-deed restricted properties does not do enough to stop rent increases after the property receives upgrades</w:t>
      </w:r>
      <w:r>
        <w:t>, nor does it</w:t>
      </w:r>
      <w:r w:rsidRPr="0004451C">
        <w:t xml:space="preserve"> prevent landlords from selling a recently upgrading building for a profit.</w:t>
      </w:r>
      <w:r w:rsidRPr="0004451C">
        <w:rPr>
          <w:vertAlign w:val="superscript"/>
        </w:rPr>
        <w:footnoteReference w:id="905"/>
      </w:r>
      <w:r w:rsidRPr="0004451C">
        <w:t xml:space="preserve"> </w:t>
      </w:r>
    </w:p>
    <w:p w:rsidR="000C1980" w:rsidP="00402362" w:rsidRDefault="000C1980" w14:paraId="79D1F607" w14:textId="77777777">
      <w:pPr>
        <w:pStyle w:val="ListBullet"/>
      </w:pPr>
      <w:r>
        <w:t>MCE fails to address</w:t>
      </w:r>
      <w:r w:rsidRPr="0004451C">
        <w:t xml:space="preserve"> cost effectiveness. Only $6.6 million of MCE’s proposed budget will be used on incentives and cost of equipment, while the remaining funds will be used on administrative costs, totaling 35</w:t>
      </w:r>
      <w:r w:rsidRPr="00730FFE">
        <w:t xml:space="preserve"> </w:t>
      </w:r>
      <w:r w:rsidRPr="0026503D">
        <w:t>percent</w:t>
      </w:r>
      <w:r w:rsidRPr="0004451C">
        <w:t xml:space="preserve"> of program costs. This is </w:t>
      </w:r>
      <w:r w:rsidRPr="0004451C">
        <w:lastRenderedPageBreak/>
        <w:t>far more than the percentage of administrative costs of the IOU ESA programs.</w:t>
      </w:r>
      <w:r w:rsidRPr="002305E6">
        <w:t xml:space="preserve"> </w:t>
      </w:r>
    </w:p>
    <w:p w:rsidRPr="00DC5456" w:rsidR="000C1980" w:rsidP="00402362" w:rsidRDefault="000C1980" w14:paraId="06D859E4" w14:textId="77777777">
      <w:pPr>
        <w:pStyle w:val="ListBullet"/>
      </w:pPr>
      <w:r>
        <w:t>The</w:t>
      </w:r>
      <w:r w:rsidRPr="0004451C">
        <w:t xml:space="preserve"> Commission should reject the proposal to use ratepayer funds to serve non-deed restricted properties because this could easily have the effect of </w:t>
      </w:r>
      <w:r w:rsidRPr="00DC5456">
        <w:t>increasing rents and creating fewer affordable rental units in California.</w:t>
      </w:r>
      <w:r w:rsidRPr="00DC5456">
        <w:rPr>
          <w:vertAlign w:val="superscript"/>
        </w:rPr>
        <w:footnoteReference w:id="906"/>
      </w:r>
      <w:r w:rsidRPr="00DC5456">
        <w:t xml:space="preserve">  </w:t>
      </w:r>
    </w:p>
    <w:p w:rsidRPr="00DC5456" w:rsidR="000C1980" w:rsidP="001968DC" w:rsidRDefault="000C1980" w14:paraId="34FD304F" w14:textId="77777777">
      <w:pPr>
        <w:pStyle w:val="Heading3"/>
        <w:ind w:left="2664"/>
      </w:pPr>
      <w:bookmarkStart w:name="_Toc69948193" w:id="546"/>
      <w:r w:rsidRPr="00DC5456">
        <w:t>Cal Advocates</w:t>
      </w:r>
      <w:bookmarkEnd w:id="546"/>
    </w:p>
    <w:p w:rsidR="000C1980" w:rsidP="0023091F" w:rsidRDefault="000C1980" w14:paraId="70330E2E" w14:textId="77777777">
      <w:pPr>
        <w:pStyle w:val="ALJBodyText"/>
      </w:pPr>
      <w:r w:rsidRPr="00DC5456">
        <w:rPr>
          <w:b/>
          <w:bCs/>
          <w:i/>
          <w:iCs/>
          <w:u w:val="single"/>
        </w:rPr>
        <w:t>Third Party Solicitation and Administration</w:t>
      </w:r>
      <w:r w:rsidRPr="24DCB1AB">
        <w:rPr>
          <w:b/>
          <w:bCs/>
          <w:i/>
          <w:iCs/>
          <w:u w:val="single"/>
        </w:rPr>
        <w:t>:</w:t>
      </w:r>
      <w:r w:rsidRPr="000304A4">
        <w:t xml:space="preserve"> </w:t>
      </w:r>
      <w:r>
        <w:t>Cal Advocates support a third party designed and delivered program with oversight from a PRG and IE to promote competition, reduce measure costs, add innovation, and improve ESA procurement processes.</w:t>
      </w:r>
      <w:r>
        <w:rPr>
          <w:rStyle w:val="FootnoteReference"/>
        </w:rPr>
        <w:footnoteReference w:id="907"/>
      </w:r>
      <w:r>
        <w:t xml:space="preserve"> </w:t>
      </w:r>
    </w:p>
    <w:p w:rsidRPr="008018A6" w:rsidR="000C1980" w:rsidP="0023091F" w:rsidRDefault="000C1980" w14:paraId="71B3DF7D" w14:textId="77777777">
      <w:pPr>
        <w:pStyle w:val="ALJBodyText"/>
        <w:rPr>
          <w:b/>
          <w:bCs/>
          <w:i/>
          <w:iCs/>
          <w:u w:val="single"/>
        </w:rPr>
      </w:pPr>
      <w:r w:rsidRPr="24DCB1AB">
        <w:rPr>
          <w:b/>
          <w:bCs/>
          <w:i/>
          <w:iCs/>
          <w:u w:val="single"/>
        </w:rPr>
        <w:t>Design and Delivery:</w:t>
      </w:r>
      <w:r w:rsidRPr="00025BD6">
        <w:t xml:space="preserve">  </w:t>
      </w:r>
      <w:r>
        <w:t>Cal Advocates propose that the Commission order the IOUs to evaluate the effectiveness of the multifamily program designs to identify best practices and submit a Tier 3 advice letter based on the mid-cycle review,</w:t>
      </w:r>
      <w:r>
        <w:rPr>
          <w:rStyle w:val="FootnoteReference"/>
        </w:rPr>
        <w:footnoteReference w:id="908"/>
      </w:r>
      <w:r>
        <w:t xml:space="preserve"> stating that a Tier 3 advice letter is justified to ensure IOUs’ appropriate consideration and incorporation of recommendations.</w:t>
      </w:r>
      <w:r>
        <w:rPr>
          <w:rStyle w:val="FootnoteReference"/>
        </w:rPr>
        <w:footnoteReference w:id="909"/>
      </w:r>
      <w:r>
        <w:t xml:space="preserve"> </w:t>
      </w:r>
    </w:p>
    <w:p w:rsidRPr="008018A6" w:rsidR="000C1980" w:rsidP="0023091F" w:rsidRDefault="000C1980" w14:paraId="1C91A417" w14:textId="1B0E4F8E">
      <w:pPr>
        <w:pStyle w:val="ALJBodyText"/>
        <w:rPr>
          <w:b/>
          <w:bCs/>
          <w:i/>
          <w:iCs/>
          <w:u w:val="single"/>
        </w:rPr>
      </w:pPr>
      <w:r w:rsidRPr="24DCB1AB">
        <w:rPr>
          <w:b/>
          <w:bCs/>
          <w:i/>
          <w:iCs/>
          <w:u w:val="single"/>
        </w:rPr>
        <w:t>Budgets:</w:t>
      </w:r>
      <w:r>
        <w:t xml:space="preserve"> Cal Advocates question the administrative fees noting that the IOUs report the costs differently with SDG&amp;E and SoCalGas incorporating the fees “below the line” (as a part of all administrative expenses) and others reporting the fees “above the line” in their applications.  They propose that the IOUs categorize both the MFWB third party and SPOC costs as administrative costs. </w:t>
      </w:r>
      <w:r>
        <w:rPr>
          <w:rStyle w:val="FootnoteReference"/>
        </w:rPr>
        <w:footnoteReference w:id="910"/>
      </w:r>
      <w:r>
        <w:t xml:space="preserve">  Cal Advocates recommend capping the administrative budgets at 10 </w:t>
      </w:r>
      <w:r w:rsidRPr="0026503D">
        <w:t>percent</w:t>
      </w:r>
      <w:r>
        <w:t xml:space="preserve"> of the total budget and propose reallocating those funds towards </w:t>
      </w:r>
      <w:r>
        <w:lastRenderedPageBreak/>
        <w:t xml:space="preserve">energy efficiency measures.  Lastly, Cal Advocates propose that the Commission terminate the existing $80 million allocation of </w:t>
      </w:r>
      <w:r w:rsidR="00C7267C">
        <w:t xml:space="preserve">uncommitted </w:t>
      </w:r>
      <w:r>
        <w:t>ESA CAM funding and immediately shift the remainder to the proposed MFWB programs at the start of the new cycle.</w:t>
      </w:r>
      <w:r>
        <w:rPr>
          <w:rStyle w:val="FootnoteReference"/>
        </w:rPr>
        <w:footnoteReference w:id="911"/>
      </w:r>
    </w:p>
    <w:p w:rsidRPr="00694F80" w:rsidR="000C1980" w:rsidP="0023091F" w:rsidRDefault="000C1980" w14:paraId="1A50CC91" w14:textId="391D6320">
      <w:pPr>
        <w:pStyle w:val="ALJBodyText"/>
      </w:pPr>
      <w:r w:rsidRPr="24DCB1AB">
        <w:rPr>
          <w:b/>
          <w:bCs/>
          <w:i/>
          <w:iCs/>
          <w:u w:val="single"/>
        </w:rPr>
        <w:t>MCE’s Application</w:t>
      </w:r>
      <w:r>
        <w:t xml:space="preserve">: </w:t>
      </w:r>
      <w:r w:rsidRPr="0004451C">
        <w:t>Cal Advocates question whether MCE has the authority to use ratepayer funds to administer a MFWB program under ESA.</w:t>
      </w:r>
      <w:r w:rsidRPr="0004451C">
        <w:rPr>
          <w:vertAlign w:val="superscript"/>
        </w:rPr>
        <w:footnoteReference w:id="912"/>
      </w:r>
      <w:r>
        <w:t xml:space="preserve"> Additionally, they claim that MCE’s application has </w:t>
      </w:r>
      <w:proofErr w:type="gramStart"/>
      <w:r>
        <w:t>short-comings</w:t>
      </w:r>
      <w:proofErr w:type="gramEnd"/>
      <w:r>
        <w:t xml:space="preserve"> which necessitate reducing the budget to $1</w:t>
      </w:r>
      <w:r w:rsidR="00E1024F">
        <w:t>.</w:t>
      </w:r>
      <w:r>
        <w:t>3 million in total and that the program, as proposed, should not be accepted due to its lack of supporting documentation and analyses.  If MCE is allowed to run its own ESA program, MCE and PG&amp;E should be required to develop a Joint Cooperation Memo thirty days after the decision.</w:t>
      </w:r>
      <w:r>
        <w:rPr>
          <w:rStyle w:val="FootnoteReference"/>
        </w:rPr>
        <w:footnoteReference w:id="913"/>
      </w:r>
      <w:r>
        <w:t xml:space="preserve">  Cal Advocates does support MCE’s efforts to focus on non-English speaking households and recommends that the Commission direct all program administrators to utilize implementers that can conduct tenant outreach in Spanish.</w:t>
      </w:r>
      <w:r>
        <w:rPr>
          <w:rStyle w:val="FootnoteReference"/>
        </w:rPr>
        <w:footnoteReference w:id="914"/>
      </w:r>
    </w:p>
    <w:p w:rsidRPr="0004451C" w:rsidR="000C1980" w:rsidP="001968DC" w:rsidRDefault="000C1980" w14:paraId="28C491B9" w14:textId="4E7F5C91">
      <w:pPr>
        <w:pStyle w:val="Heading3"/>
        <w:ind w:left="2664"/>
      </w:pPr>
      <w:bookmarkStart w:name="_Toc69948194" w:id="547"/>
      <w:r>
        <w:t xml:space="preserve">La </w:t>
      </w:r>
      <w:proofErr w:type="spellStart"/>
      <w:r>
        <w:t>Cooperativa</w:t>
      </w:r>
      <w:proofErr w:type="spellEnd"/>
      <w:r>
        <w:t xml:space="preserve"> et al.</w:t>
      </w:r>
      <w:bookmarkEnd w:id="547"/>
    </w:p>
    <w:p w:rsidRPr="0004451C" w:rsidR="000C1980" w:rsidP="0023091F" w:rsidRDefault="000C1980" w14:paraId="18171EC8" w14:textId="77777777">
      <w:pPr>
        <w:pStyle w:val="ALJBodyText"/>
      </w:pPr>
      <w:r w:rsidRPr="0035118E">
        <w:rPr>
          <w:b/>
          <w:bCs/>
          <w:i/>
          <w:iCs/>
          <w:u w:val="single"/>
        </w:rPr>
        <w:t>SCE’s Application</w:t>
      </w:r>
      <w:r>
        <w:rPr>
          <w:b/>
          <w:bCs/>
          <w:u w:val="single"/>
        </w:rPr>
        <w:t>:</w:t>
      </w:r>
      <w:r w:rsidRPr="0004451C">
        <w:t xml:space="preserve"> La </w:t>
      </w:r>
      <w:proofErr w:type="spellStart"/>
      <w:r w:rsidRPr="0004451C">
        <w:t>Cooperativa</w:t>
      </w:r>
      <w:proofErr w:type="spellEnd"/>
      <w:r w:rsidRPr="0004451C">
        <w:t xml:space="preserve"> et al. </w:t>
      </w:r>
      <w:r>
        <w:t xml:space="preserve">does not support SCE </w:t>
      </w:r>
      <w:r w:rsidRPr="0004451C">
        <w:t>bifurcat</w:t>
      </w:r>
      <w:r>
        <w:t>ing</w:t>
      </w:r>
      <w:r w:rsidRPr="0004451C">
        <w:t xml:space="preserve"> the ESA program because it could lead to the multifamily program becoming compartmentalized and instead, the total administrative responsibilities of both single</w:t>
      </w:r>
      <w:r>
        <w:t xml:space="preserve"> </w:t>
      </w:r>
      <w:r w:rsidRPr="0004451C">
        <w:t xml:space="preserve">family and multifamily programs should be kept under SCE’s oversight.  </w:t>
      </w:r>
      <w:r>
        <w:t>They argue</w:t>
      </w:r>
      <w:r w:rsidRPr="0004451C">
        <w:t xml:space="preserve"> that </w:t>
      </w:r>
      <w:r>
        <w:t xml:space="preserve">the proposals </w:t>
      </w:r>
      <w:r w:rsidRPr="0004451C">
        <w:t xml:space="preserve">fall short of the Commission’s intended goal, express reservations about a third-party administrator for the multifamily </w:t>
      </w:r>
      <w:r w:rsidRPr="0004451C">
        <w:lastRenderedPageBreak/>
        <w:t xml:space="preserve">program, and state that all the IOUs failed to propose timelines for issuing solicitations and launching the </w:t>
      </w:r>
      <w:r>
        <w:t>multifamily</w:t>
      </w:r>
      <w:r w:rsidRPr="0004451C">
        <w:t xml:space="preserve"> programs.  </w:t>
      </w:r>
    </w:p>
    <w:p w:rsidRPr="0004451C" w:rsidR="000C1980" w:rsidP="0023091F" w:rsidRDefault="000C1980" w14:paraId="4A049774" w14:textId="77777777">
      <w:pPr>
        <w:pStyle w:val="ALJBodyText"/>
      </w:pPr>
      <w:r w:rsidRPr="0004451C">
        <w:t xml:space="preserve">La </w:t>
      </w:r>
      <w:proofErr w:type="spellStart"/>
      <w:r w:rsidRPr="0004451C">
        <w:t>Cooperativa</w:t>
      </w:r>
      <w:proofErr w:type="spellEnd"/>
      <w:r w:rsidRPr="0004451C">
        <w:t xml:space="preserve"> et al</w:t>
      </w:r>
      <w:r>
        <w:t>.</w:t>
      </w:r>
      <w:r w:rsidRPr="0004451C">
        <w:t xml:space="preserve"> is also concerned that the proposed program </w:t>
      </w:r>
      <w:r>
        <w:t>does not</w:t>
      </w:r>
      <w:r w:rsidRPr="0004451C">
        <w:t xml:space="preserve"> support low</w:t>
      </w:r>
      <w:r>
        <w:t xml:space="preserve"> </w:t>
      </w:r>
      <w:r w:rsidRPr="0004451C">
        <w:t>income and underserved communities</w:t>
      </w:r>
      <w:r>
        <w:t>,</w:t>
      </w:r>
      <w:r w:rsidRPr="0004451C">
        <w:t xml:space="preserve"> and as</w:t>
      </w:r>
      <w:r>
        <w:t xml:space="preserve"> currently</w:t>
      </w:r>
      <w:r w:rsidRPr="0004451C">
        <w:t xml:space="preserve"> proposed, could cause layoffs in already vulnerable communities. SCE did not include the requirement to utilize the existing network of service providers to deliver multifamily services, which </w:t>
      </w:r>
      <w:r>
        <w:t>would have</w:t>
      </w:r>
      <w:r w:rsidRPr="0004451C">
        <w:t xml:space="preserve"> </w:t>
      </w:r>
      <w:r>
        <w:t>prevented</w:t>
      </w:r>
      <w:r w:rsidRPr="0004451C">
        <w:t xml:space="preserve"> layoffs </w:t>
      </w:r>
      <w:r>
        <w:t xml:space="preserve">to those </w:t>
      </w:r>
      <w:r w:rsidRPr="0004451C">
        <w:t xml:space="preserve">currently </w:t>
      </w:r>
      <w:r>
        <w:t xml:space="preserve">employed </w:t>
      </w:r>
      <w:r w:rsidRPr="0004451C">
        <w:t xml:space="preserve">in the program, many of whom live or have families in the exact same disadvantaged communities we are trying to benefit.  Finally, La </w:t>
      </w:r>
      <w:proofErr w:type="spellStart"/>
      <w:r w:rsidRPr="0004451C">
        <w:t>Cooperativa</w:t>
      </w:r>
      <w:proofErr w:type="spellEnd"/>
      <w:r>
        <w:t xml:space="preserve"> et al. </w:t>
      </w:r>
      <w:r w:rsidRPr="0004451C">
        <w:t xml:space="preserve">argue that not enough thought has been put into addressing regional and climate differences in service territories, and that it may be necessary to target specific regions with different program designs to better serve needs of the targeted populations. </w:t>
      </w:r>
    </w:p>
    <w:p w:rsidRPr="0004451C" w:rsidR="000C1980" w:rsidP="001968DC" w:rsidRDefault="000C1980" w14:paraId="2D330AD8" w14:textId="06115717">
      <w:pPr>
        <w:pStyle w:val="Heading3"/>
        <w:ind w:left="2664"/>
      </w:pPr>
      <w:bookmarkStart w:name="_Toc69948195" w:id="548"/>
      <w:r>
        <w:t>PG&amp;E (Comments to MCE’s LIFT 2.0 Proposal)</w:t>
      </w:r>
      <w:bookmarkEnd w:id="548"/>
    </w:p>
    <w:p w:rsidRPr="0004451C" w:rsidR="000C1980" w:rsidP="0023091F" w:rsidRDefault="000C1980" w14:paraId="1A33C1CF" w14:textId="52D7149C">
      <w:pPr>
        <w:pStyle w:val="ALJBodyText"/>
      </w:pPr>
      <w:r w:rsidRPr="24DCB1AB">
        <w:rPr>
          <w:b/>
          <w:bCs/>
          <w:i/>
          <w:iCs/>
          <w:u w:val="single"/>
        </w:rPr>
        <w:t>MCE’s Application</w:t>
      </w:r>
      <w:r>
        <w:t xml:space="preserve">: </w:t>
      </w:r>
      <w:r w:rsidRPr="0004451C">
        <w:t>PG&amp;E recommends aligning MCE’s multifamily program, budgets, and activities with the other IOUs to streamline the programs statewide and avoid customer confusion.  PG&amp;E recommends further discussion on MCE’s cost effectiveness criteria, evaluation plans, and reporting requirements, because MCE discusses these topics only at a high level.</w:t>
      </w:r>
      <w:r w:rsidRPr="0004451C">
        <w:rPr>
          <w:vertAlign w:val="superscript"/>
        </w:rPr>
        <w:footnoteReference w:id="915"/>
      </w:r>
      <w:r w:rsidRPr="0004451C">
        <w:t xml:space="preserve"> </w:t>
      </w:r>
      <w:r>
        <w:t xml:space="preserve"> </w:t>
      </w:r>
      <w:r w:rsidRPr="0004451C">
        <w:t xml:space="preserve">PG&amp;E recommends </w:t>
      </w:r>
      <w:r>
        <w:t>that</w:t>
      </w:r>
      <w:r w:rsidRPr="0004451C">
        <w:t xml:space="preserve"> </w:t>
      </w:r>
      <w:r w:rsidR="00180504">
        <w:t xml:space="preserve">MCE </w:t>
      </w:r>
      <w:r>
        <w:t xml:space="preserve">actively participate as a member of </w:t>
      </w:r>
      <w:r w:rsidRPr="0004451C">
        <w:t>Multifamily Working Group and further participate in all Multifamily Working Group activities and reporting requirements.</w:t>
      </w:r>
      <w:r w:rsidRPr="0004451C">
        <w:rPr>
          <w:vertAlign w:val="superscript"/>
        </w:rPr>
        <w:footnoteReference w:id="916"/>
      </w:r>
    </w:p>
    <w:p w:rsidRPr="0004451C" w:rsidR="000C1980" w:rsidP="0023091F" w:rsidRDefault="000C1980" w14:paraId="4E9EE4A9" w14:textId="77777777">
      <w:pPr>
        <w:pStyle w:val="ALJBodyText"/>
      </w:pPr>
      <w:r w:rsidRPr="0004451C">
        <w:lastRenderedPageBreak/>
        <w:t xml:space="preserve">PG&amp;E </w:t>
      </w:r>
      <w:r>
        <w:t>states</w:t>
      </w:r>
      <w:r w:rsidRPr="0004451C">
        <w:t xml:space="preserve"> that MCE’s request to adjust the income eligibility threshold from 200</w:t>
      </w:r>
      <w:r w:rsidRPr="00730FFE">
        <w:t xml:space="preserve"> </w:t>
      </w:r>
      <w:r w:rsidRPr="0026503D">
        <w:t>percent</w:t>
      </w:r>
      <w:r w:rsidRPr="0004451C">
        <w:t xml:space="preserve"> </w:t>
      </w:r>
      <w:r>
        <w:t>FPG</w:t>
      </w:r>
      <w:r w:rsidRPr="0004451C">
        <w:t xml:space="preserve"> to 60</w:t>
      </w:r>
      <w:r w:rsidRPr="00730FFE">
        <w:t xml:space="preserve"> </w:t>
      </w:r>
      <w:r w:rsidRPr="0026503D">
        <w:t>percent</w:t>
      </w:r>
      <w:r w:rsidRPr="0004451C">
        <w:t xml:space="preserve"> AMI for LIFT 2.0 differs from statutory requirements and </w:t>
      </w:r>
      <w:r>
        <w:t>is</w:t>
      </w:r>
      <w:r w:rsidRPr="0004451C">
        <w:t xml:space="preserve"> a departure from the statewide eligibility rule.</w:t>
      </w:r>
      <w:r w:rsidRPr="0004451C">
        <w:rPr>
          <w:vertAlign w:val="superscript"/>
        </w:rPr>
        <w:footnoteReference w:id="917"/>
      </w:r>
      <w:r w:rsidRPr="0004451C">
        <w:t xml:space="preserve"> </w:t>
      </w:r>
    </w:p>
    <w:p w:rsidRPr="0004451C" w:rsidR="000C1980" w:rsidP="0023091F" w:rsidRDefault="000C1980" w14:paraId="40B705A8" w14:textId="77777777">
      <w:pPr>
        <w:pStyle w:val="ALJBodyText"/>
      </w:pPr>
      <w:r w:rsidRPr="0004451C">
        <w:t xml:space="preserve">PG&amp;E also notes that MCE’s definition for multifamily housing as used in the LIFT Pilot was 4 or more units, while the ESA </w:t>
      </w:r>
      <w:r>
        <w:t xml:space="preserve">program </w:t>
      </w:r>
      <w:r w:rsidRPr="0004451C">
        <w:t>defines ESA-funded multifamily buildings as five or more units.</w:t>
      </w:r>
      <w:r w:rsidRPr="0004451C">
        <w:rPr>
          <w:vertAlign w:val="superscript"/>
        </w:rPr>
        <w:footnoteReference w:id="918"/>
      </w:r>
      <w:r w:rsidRPr="0004451C">
        <w:t xml:space="preserve"> </w:t>
      </w:r>
      <w:r>
        <w:t xml:space="preserve"> </w:t>
      </w:r>
      <w:r w:rsidRPr="0004451C">
        <w:t>As such, the two definitions are inconsistent and should be rectified.</w:t>
      </w:r>
    </w:p>
    <w:p w:rsidRPr="0004451C" w:rsidR="000C1980" w:rsidP="0023091F" w:rsidRDefault="000C1980" w14:paraId="4860C4D7" w14:textId="77777777">
      <w:pPr>
        <w:pStyle w:val="ALJBodyText"/>
      </w:pPr>
      <w:r>
        <w:t xml:space="preserve">Lastly, </w:t>
      </w:r>
      <w:r w:rsidRPr="0004451C">
        <w:t xml:space="preserve">PG&amp;E recommends collaborating with MCE to minimize confusion for customers, contractors, and other stakeholders. </w:t>
      </w:r>
      <w:r>
        <w:t xml:space="preserve"> </w:t>
      </w:r>
      <w:r w:rsidRPr="0004451C">
        <w:t xml:space="preserve">PG&amp;E anticipated questions about when units are treated by PG&amp;E or MCE and proposes leveraging a mechanism </w:t>
      </w:r>
      <w:proofErr w:type="gramStart"/>
      <w:r w:rsidRPr="0004451C">
        <w:t>similar to</w:t>
      </w:r>
      <w:proofErr w:type="gramEnd"/>
      <w:r w:rsidRPr="0004451C">
        <w:t xml:space="preserve"> a Joint Cooperation Memorandum already in existence between PG&amp;E and MCE in order to discuss and address potential issues.</w:t>
      </w:r>
      <w:r w:rsidRPr="0004451C">
        <w:rPr>
          <w:vertAlign w:val="superscript"/>
        </w:rPr>
        <w:footnoteReference w:id="919"/>
      </w:r>
    </w:p>
    <w:p w:rsidRPr="0004451C" w:rsidR="000C1980" w:rsidP="001968DC" w:rsidRDefault="001C7AB9" w14:paraId="436C3888" w14:textId="64037ED1">
      <w:pPr>
        <w:pStyle w:val="Heading2"/>
        <w:ind w:left="1728"/>
      </w:pPr>
      <w:bookmarkStart w:name="_Toc69948196" w:id="549"/>
      <w:r>
        <w:t xml:space="preserve">IOU/MCE </w:t>
      </w:r>
      <w:r w:rsidRPr="0004451C" w:rsidR="000C1980">
        <w:t>Responses</w:t>
      </w:r>
      <w:bookmarkEnd w:id="549"/>
      <w:r w:rsidRPr="0004451C" w:rsidR="000C1980">
        <w:t xml:space="preserve"> </w:t>
      </w:r>
    </w:p>
    <w:p w:rsidR="000C1980" w:rsidP="001968DC" w:rsidRDefault="000C1980" w14:paraId="29C19DBD" w14:textId="77777777">
      <w:pPr>
        <w:pStyle w:val="Heading3"/>
        <w:ind w:left="2664"/>
      </w:pPr>
      <w:bookmarkStart w:name="_Toc69948197" w:id="550"/>
      <w:r>
        <w:t>PG&amp;E</w:t>
      </w:r>
      <w:bookmarkEnd w:id="550"/>
    </w:p>
    <w:p w:rsidR="000C1980" w:rsidP="0023091F" w:rsidRDefault="000C1980" w14:paraId="03CD1775" w14:textId="77777777">
      <w:pPr>
        <w:pStyle w:val="ALJBodyText"/>
      </w:pPr>
      <w:r w:rsidRPr="24DCB1AB">
        <w:rPr>
          <w:b/>
          <w:bCs/>
          <w:i/>
          <w:iCs/>
          <w:u w:val="single"/>
        </w:rPr>
        <w:t xml:space="preserve">Third Party Solicitation and Administration: </w:t>
      </w:r>
      <w:r w:rsidRPr="0004451C">
        <w:t>PG&amp;E disagrees that its application and multifamily program does not meet the requirements of Sections</w:t>
      </w:r>
      <w:r>
        <w:t> </w:t>
      </w:r>
      <w:r w:rsidRPr="0004451C">
        <w:t>327(b) and 381.5.</w:t>
      </w:r>
      <w:r w:rsidRPr="0004451C">
        <w:rPr>
          <w:vertAlign w:val="superscript"/>
        </w:rPr>
        <w:footnoteReference w:id="920"/>
      </w:r>
      <w:r w:rsidRPr="0004451C">
        <w:t xml:space="preserve"> </w:t>
      </w:r>
      <w:r>
        <w:t xml:space="preserve"> </w:t>
      </w:r>
      <w:r w:rsidRPr="0004451C">
        <w:t>PG&amp;E acknowledges that its proposed scoring criteria for program solicitation is not all-inclusive or exhaustive, and expect</w:t>
      </w:r>
      <w:r>
        <w:t xml:space="preserve">s it </w:t>
      </w:r>
      <w:r w:rsidRPr="0004451C">
        <w:t xml:space="preserve">to be revised during the </w:t>
      </w:r>
      <w:r>
        <w:t>request for proposal stage</w:t>
      </w:r>
      <w:r w:rsidRPr="0004451C">
        <w:t xml:space="preserve"> to comply with requirements </w:t>
      </w:r>
      <w:r w:rsidRPr="0004451C">
        <w:lastRenderedPageBreak/>
        <w:t>for bidding criteria listed in Section 381.5.</w:t>
      </w:r>
      <w:r w:rsidRPr="0004451C">
        <w:rPr>
          <w:vertAlign w:val="superscript"/>
        </w:rPr>
        <w:footnoteReference w:id="921"/>
      </w:r>
      <w:r w:rsidRPr="0004451C">
        <w:t xml:space="preserve"> </w:t>
      </w:r>
      <w:r>
        <w:t xml:space="preserve"> </w:t>
      </w:r>
      <w:r w:rsidRPr="0004451C">
        <w:t>PG&amp;E intends to comply with all statutory requirements as it administers its income qualified programs.</w:t>
      </w:r>
      <w:r w:rsidRPr="0004451C">
        <w:rPr>
          <w:vertAlign w:val="superscript"/>
        </w:rPr>
        <w:footnoteReference w:id="922"/>
      </w:r>
    </w:p>
    <w:p w:rsidR="000C1980" w:rsidP="0023091F" w:rsidRDefault="000C1980" w14:paraId="6E099507" w14:textId="77777777">
      <w:pPr>
        <w:pStyle w:val="ALJBodyText"/>
      </w:pPr>
      <w:r>
        <w:t xml:space="preserve">PG&amp;E also disagrees with the recommendations to offer one statewide, comprehensive multifamily program run by a single entity.  PG&amp;E claims that property owners will expect to see programs from the utility that provide services in their local area, and to utilize the SPOC for enrollment and verification. </w:t>
      </w:r>
    </w:p>
    <w:p w:rsidR="000C1980" w:rsidP="0023091F" w:rsidRDefault="000C1980" w14:paraId="00A73039" w14:textId="77777777">
      <w:pPr>
        <w:pStyle w:val="ALJBodyText"/>
      </w:pPr>
      <w:r>
        <w:t>Lastly, PG&amp;E does not support the need of a ’Best Practices Collaborative’ and intends to provide guidance during the request for proposal process.</w:t>
      </w:r>
      <w:r w:rsidRPr="00E02C80">
        <w:rPr>
          <w:vertAlign w:val="superscript"/>
        </w:rPr>
        <w:footnoteReference w:id="923"/>
      </w:r>
    </w:p>
    <w:p w:rsidR="000C1980" w:rsidP="0023091F" w:rsidRDefault="000C1980" w14:paraId="28F1A5CB" w14:textId="77777777">
      <w:pPr>
        <w:pStyle w:val="ALJBodyText"/>
      </w:pPr>
      <w:r w:rsidRPr="24DCB1AB">
        <w:rPr>
          <w:b/>
          <w:bCs/>
          <w:i/>
          <w:iCs/>
          <w:u w:val="single"/>
        </w:rPr>
        <w:t>Eligibility and Enrollment:</w:t>
      </w:r>
      <w:r>
        <w:t xml:space="preserve"> PG&amp;E does not support the use of a sliding scale co-pay connected to the proportion of eligible </w:t>
      </w:r>
      <w:proofErr w:type="gramStart"/>
      <w:r>
        <w:t>low income</w:t>
      </w:r>
      <w:proofErr w:type="gramEnd"/>
      <w:r>
        <w:t xml:space="preserve"> households. PG&amp;E also disagrees with EEC’s concerns for rent restriction.</w:t>
      </w:r>
      <w:r w:rsidRPr="00E02C80">
        <w:rPr>
          <w:vertAlign w:val="superscript"/>
        </w:rPr>
        <w:footnoteReference w:id="924"/>
      </w:r>
      <w:r>
        <w:t xml:space="preserve"> </w:t>
      </w:r>
    </w:p>
    <w:p w:rsidR="000C1980" w:rsidP="0023091F" w:rsidRDefault="000C1980" w14:paraId="5972213B" w14:textId="77777777">
      <w:pPr>
        <w:pStyle w:val="ALJBodyText"/>
      </w:pPr>
      <w:r w:rsidRPr="24DCB1AB">
        <w:rPr>
          <w:b/>
          <w:bCs/>
          <w:i/>
          <w:iCs/>
          <w:u w:val="single"/>
        </w:rPr>
        <w:t>Treatment Goals:</w:t>
      </w:r>
      <w:r>
        <w:t xml:space="preserve"> </w:t>
      </w:r>
      <w:r w:rsidRPr="0004451C">
        <w:t>PG&amp;E responds to EEC’s comments about the reduction in customers served from 111,000 to 48,000, and notes that it is unable to confirm or verify EEC’s calculation of 48,000.</w:t>
      </w:r>
      <w:r w:rsidRPr="0004451C">
        <w:rPr>
          <w:vertAlign w:val="superscript"/>
        </w:rPr>
        <w:footnoteReference w:id="925"/>
      </w:r>
      <w:r w:rsidRPr="0004451C">
        <w:t xml:space="preserve"> </w:t>
      </w:r>
      <w:r>
        <w:t xml:space="preserve"> </w:t>
      </w:r>
      <w:r w:rsidRPr="0004451C">
        <w:t>PG&amp;E notes that its total participation or homes treated forecast declines in the first program year due to potential bridge funding and second program year due to ramping up new programs.</w:t>
      </w:r>
      <w:r w:rsidRPr="0004451C">
        <w:rPr>
          <w:vertAlign w:val="superscript"/>
        </w:rPr>
        <w:footnoteReference w:id="926"/>
      </w:r>
      <w:r w:rsidRPr="0004451C">
        <w:t xml:space="preserve"> </w:t>
      </w:r>
      <w:r>
        <w:t xml:space="preserve"> </w:t>
      </w:r>
      <w:r w:rsidRPr="0004451C">
        <w:t>In addition, the totals for years four through six do not include multi-family units, since that program will be run by the third-party administrator in those years.</w:t>
      </w:r>
      <w:r w:rsidRPr="0004451C">
        <w:rPr>
          <w:vertAlign w:val="superscript"/>
        </w:rPr>
        <w:footnoteReference w:id="927"/>
      </w:r>
      <w:r w:rsidRPr="0004451C">
        <w:t xml:space="preserve"> </w:t>
      </w:r>
      <w:r w:rsidRPr="0004451C">
        <w:lastRenderedPageBreak/>
        <w:t>PG&amp;E states that it does not anticipate mass layoffs will be necessary, and that the third-party administrator will be heavily dependent on the availability of trained ESA contractors.</w:t>
      </w:r>
      <w:r w:rsidRPr="0004451C">
        <w:rPr>
          <w:vertAlign w:val="superscript"/>
        </w:rPr>
        <w:footnoteReference w:id="928"/>
      </w:r>
    </w:p>
    <w:p w:rsidRPr="0004451C" w:rsidR="000C1980" w:rsidP="001968DC" w:rsidRDefault="000C1980" w14:paraId="0A71BA87" w14:textId="4AB1A5DE">
      <w:pPr>
        <w:pStyle w:val="Heading3"/>
        <w:ind w:left="2664"/>
      </w:pPr>
      <w:bookmarkStart w:name="_Toc69948198" w:id="551"/>
      <w:r>
        <w:t>SCE</w:t>
      </w:r>
      <w:bookmarkEnd w:id="551"/>
    </w:p>
    <w:p w:rsidR="000C1980" w:rsidP="0023091F" w:rsidRDefault="000C1980" w14:paraId="480D7FFE" w14:textId="77777777">
      <w:pPr>
        <w:pStyle w:val="ALJBodyText"/>
      </w:pPr>
      <w:r w:rsidRPr="24DCB1AB">
        <w:rPr>
          <w:b/>
          <w:bCs/>
          <w:i/>
          <w:iCs/>
          <w:u w:val="single"/>
        </w:rPr>
        <w:t>Third Party Solicitation and Administration:</w:t>
      </w:r>
      <w:r w:rsidRPr="00DA1264">
        <w:t xml:space="preserve"> </w:t>
      </w:r>
      <w:r w:rsidRPr="0004451C">
        <w:t xml:space="preserve">SCE </w:t>
      </w:r>
      <w:r>
        <w:t>states</w:t>
      </w:r>
      <w:r w:rsidRPr="0004451C">
        <w:t xml:space="preserve"> that its proposal for the third-party implementation of the </w:t>
      </w:r>
      <w:r>
        <w:t>MFWB program</w:t>
      </w:r>
      <w:r w:rsidRPr="0004451C">
        <w:t xml:space="preserve"> complies with </w:t>
      </w:r>
      <w:r>
        <w:t>C</w:t>
      </w:r>
      <w:r w:rsidRPr="0004451C">
        <w:t xml:space="preserve">ommission direction and disagrees with comments from </w:t>
      </w:r>
      <w:r>
        <w:t>parties</w:t>
      </w:r>
      <w:r w:rsidRPr="0004451C">
        <w:t xml:space="preserve"> that the program is inadequate. </w:t>
      </w:r>
      <w:r>
        <w:t xml:space="preserve"> </w:t>
      </w:r>
      <w:r w:rsidRPr="0004451C">
        <w:t xml:space="preserve">SCE designed its proposal in accordance with Commission guidance, which directed the IOUs to propose a process to design and implement the </w:t>
      </w:r>
      <w:r>
        <w:t>MFWB</w:t>
      </w:r>
      <w:r w:rsidRPr="0004451C">
        <w:t xml:space="preserve"> program. </w:t>
      </w:r>
      <w:r>
        <w:t xml:space="preserve"> </w:t>
      </w:r>
      <w:r w:rsidRPr="0004451C">
        <w:t>SCE is not proposing to have a third-party administer its multifamily program, but the third-party implementer will be expected to propose a program design and determine measures being offered to provide the most energy savings.</w:t>
      </w:r>
      <w:r w:rsidRPr="0004451C">
        <w:rPr>
          <w:vertAlign w:val="superscript"/>
        </w:rPr>
        <w:footnoteReference w:id="929"/>
      </w:r>
      <w:r w:rsidRPr="0004451C">
        <w:t xml:space="preserve"> </w:t>
      </w:r>
      <w:r>
        <w:t xml:space="preserve"> </w:t>
      </w:r>
      <w:r w:rsidRPr="0004451C">
        <w:t xml:space="preserve">SCE has also developed program objectives and proposed solicitation requirements to maximize energy efficiency, customer </w:t>
      </w:r>
      <w:r>
        <w:t>HCS</w:t>
      </w:r>
      <w:r w:rsidRPr="0004451C">
        <w:t xml:space="preserve"> and quality customer service.</w:t>
      </w:r>
      <w:r w:rsidRPr="0004451C">
        <w:rPr>
          <w:vertAlign w:val="superscript"/>
        </w:rPr>
        <w:footnoteReference w:id="930"/>
      </w:r>
      <w:r w:rsidRPr="0004451C">
        <w:t xml:space="preserve"> </w:t>
      </w:r>
      <w:r>
        <w:t xml:space="preserve"> </w:t>
      </w:r>
      <w:r w:rsidRPr="0004451C">
        <w:t xml:space="preserve">Implementation by a third-party or parties is expected to drive more innovative program structures that will result in extensive participation in the ESA </w:t>
      </w:r>
      <w:r>
        <w:t>pr</w:t>
      </w:r>
      <w:r w:rsidRPr="0004451C">
        <w:t>ogram, and has the potential to build upon relationships established by other organizations within their communities to efficiently reach the multifamily market segment.</w:t>
      </w:r>
      <w:r w:rsidRPr="0004451C">
        <w:rPr>
          <w:vertAlign w:val="superscript"/>
        </w:rPr>
        <w:footnoteReference w:id="931"/>
      </w:r>
    </w:p>
    <w:p w:rsidR="000C1980" w:rsidP="0023091F" w:rsidRDefault="000C1980" w14:paraId="48F420E5" w14:textId="0E5B0519">
      <w:pPr>
        <w:pStyle w:val="ALJBodyText"/>
      </w:pPr>
      <w:r>
        <w:lastRenderedPageBreak/>
        <w:t>SCE opposes a statewide MFWB program,</w:t>
      </w:r>
      <w:r w:rsidRPr="00B75BEF">
        <w:rPr>
          <w:vertAlign w:val="superscript"/>
        </w:rPr>
        <w:footnoteReference w:id="932"/>
      </w:r>
      <w:r>
        <w:t xml:space="preserve"> contends that each IOU territory is unique and that this cycle should collect data and task the Mid-Cycle Working Group to investigate and make recommendations for the next cycle.</w:t>
      </w:r>
      <w:r w:rsidRPr="00E02C80">
        <w:rPr>
          <w:vertAlign w:val="superscript"/>
        </w:rPr>
        <w:footnoteReference w:id="933"/>
      </w:r>
      <w:r>
        <w:t xml:space="preserve">  </w:t>
      </w:r>
    </w:p>
    <w:p w:rsidRPr="007D02AA" w:rsidR="007D02AA" w:rsidP="0023091F" w:rsidRDefault="000C1980" w14:paraId="2D2154EE" w14:textId="570D8246">
      <w:pPr>
        <w:pStyle w:val="ALJBodyText"/>
      </w:pPr>
      <w:r w:rsidRPr="24DCB1AB">
        <w:rPr>
          <w:b/>
          <w:bCs/>
          <w:i/>
          <w:iCs/>
          <w:u w:val="single"/>
        </w:rPr>
        <w:t>Design and Delivery:</w:t>
      </w:r>
      <w:r w:rsidRPr="0004451C">
        <w:t xml:space="preserve"> In response to EEC, SCE clarifies that it does not plan to shut down services for the multifamily segment until the transition to a third-party is complete. SCE will go through a transition period to implement the changes in the design of the ESA program, but </w:t>
      </w:r>
      <w:r>
        <w:t xml:space="preserve">will </w:t>
      </w:r>
      <w:r w:rsidRPr="0004451C">
        <w:t xml:space="preserve">continue to support ESA participants in the current program delivery with existing contractors, trainers, </w:t>
      </w:r>
      <w:proofErr w:type="gramStart"/>
      <w:r w:rsidRPr="0004451C">
        <w:t>customers</w:t>
      </w:r>
      <w:proofErr w:type="gramEnd"/>
      <w:r w:rsidRPr="0004451C">
        <w:t xml:space="preserve"> and administrators.</w:t>
      </w:r>
      <w:r w:rsidRPr="0004451C">
        <w:rPr>
          <w:vertAlign w:val="superscript"/>
        </w:rPr>
        <w:footnoteReference w:id="934"/>
      </w:r>
    </w:p>
    <w:p w:rsidRPr="0004451C" w:rsidR="000C1980" w:rsidP="001968DC" w:rsidRDefault="000C1980" w14:paraId="5D6174C7" w14:textId="5827B31B">
      <w:pPr>
        <w:pStyle w:val="Heading3"/>
        <w:ind w:left="2664"/>
      </w:pPr>
      <w:bookmarkStart w:name="_Toc69948199" w:id="552"/>
      <w:r>
        <w:t>SoCal Gas</w:t>
      </w:r>
      <w:bookmarkEnd w:id="552"/>
    </w:p>
    <w:p w:rsidRPr="0004451C" w:rsidR="000C1980" w:rsidP="0023091F" w:rsidRDefault="000C1980" w14:paraId="7EC9DAB2" w14:textId="77777777">
      <w:pPr>
        <w:pStyle w:val="ALJBodyText"/>
      </w:pPr>
      <w:r>
        <w:rPr>
          <w:b/>
          <w:bCs/>
          <w:i/>
          <w:iCs/>
          <w:u w:val="single"/>
        </w:rPr>
        <w:t>Measures</w:t>
      </w:r>
      <w:r w:rsidRPr="24DCB1AB">
        <w:rPr>
          <w:b/>
          <w:bCs/>
          <w:i/>
          <w:iCs/>
          <w:u w:val="single"/>
        </w:rPr>
        <w:t>:</w:t>
      </w:r>
      <w:r w:rsidRPr="00672CBB">
        <w:t xml:space="preserve"> </w:t>
      </w:r>
      <w:r w:rsidRPr="0004451C">
        <w:t>SoCalGas disagrees with the Joint Parties that installing gas appliances in existing low</w:t>
      </w:r>
      <w:r>
        <w:t xml:space="preserve"> </w:t>
      </w:r>
      <w:r w:rsidRPr="0004451C">
        <w:t>income multifamily buildings will delay the opportunity to cut greenhouse gasses and improve indoor air quality when cost effective electric alternatives exist.</w:t>
      </w:r>
      <w:r w:rsidRPr="0004451C">
        <w:rPr>
          <w:vertAlign w:val="superscript"/>
        </w:rPr>
        <w:footnoteReference w:id="935"/>
      </w:r>
      <w:r w:rsidRPr="0004451C">
        <w:t xml:space="preserve"> </w:t>
      </w:r>
      <w:r>
        <w:t xml:space="preserve"> </w:t>
      </w:r>
      <w:r w:rsidRPr="0004451C">
        <w:t>SoCalGas argues that cost-effectiveness considerations must include the full cost of retrofits, the impact on customers energy bills, and respect the customer’s desire for choice of energy source.</w:t>
      </w:r>
      <w:r w:rsidRPr="0004451C">
        <w:rPr>
          <w:vertAlign w:val="superscript"/>
        </w:rPr>
        <w:footnoteReference w:id="936"/>
      </w:r>
      <w:r w:rsidRPr="0004451C">
        <w:t xml:space="preserve"> Finally SoCalGas argues </w:t>
      </w:r>
      <w:r>
        <w:t xml:space="preserve">that </w:t>
      </w:r>
      <w:r w:rsidRPr="0004451C">
        <w:t>installing efficient same-fuel appliances does decrease GHG’s with minimal customer disruption, and that the Joint Parties</w:t>
      </w:r>
      <w:r>
        <w:t>’</w:t>
      </w:r>
      <w:r w:rsidRPr="0004451C">
        <w:t xml:space="preserve"> request to require electrification proposals is outside the scope of this proceeding.</w:t>
      </w:r>
      <w:r w:rsidRPr="0004451C">
        <w:rPr>
          <w:vertAlign w:val="superscript"/>
        </w:rPr>
        <w:footnoteReference w:id="937"/>
      </w:r>
    </w:p>
    <w:p w:rsidRPr="0004451C" w:rsidR="000C1980" w:rsidP="001968DC" w:rsidRDefault="000C1980" w14:paraId="20D7C7CA" w14:textId="2F34E892">
      <w:pPr>
        <w:pStyle w:val="Heading3"/>
        <w:ind w:left="2664"/>
      </w:pPr>
      <w:bookmarkStart w:name="_Toc69948200" w:id="553"/>
      <w:r>
        <w:lastRenderedPageBreak/>
        <w:t>SDG&amp;E</w:t>
      </w:r>
      <w:bookmarkEnd w:id="553"/>
    </w:p>
    <w:p w:rsidR="000C1980" w:rsidP="0023091F" w:rsidRDefault="000C1980" w14:paraId="1118643B" w14:textId="77777777">
      <w:pPr>
        <w:pStyle w:val="ALJBodyText"/>
      </w:pPr>
      <w:r w:rsidRPr="24DCB1AB">
        <w:rPr>
          <w:b/>
          <w:bCs/>
          <w:i/>
          <w:iCs/>
          <w:u w:val="single"/>
        </w:rPr>
        <w:t>Third Party Solicitation and Administration:</w:t>
      </w:r>
      <w:r w:rsidRPr="00E57C7D">
        <w:t xml:space="preserve"> </w:t>
      </w:r>
      <w:r>
        <w:t>SDG&amp;E agrees with parties’ suggestion that all multifamily properties should be served by a statewide third</w:t>
      </w:r>
      <w:r>
        <w:noBreakHyphen/>
        <w:t xml:space="preserve">party multifamily program so long as the implementer </w:t>
      </w:r>
      <w:proofErr w:type="gramStart"/>
      <w:r>
        <w:t>is ”required</w:t>
      </w:r>
      <w:proofErr w:type="gramEnd"/>
      <w:r>
        <w:t xml:space="preserve"> to deliver projects in each IOUs territory that are commensurate with the ratepayer dollars that each IOU contributes to the program.“</w:t>
      </w:r>
      <w:r w:rsidRPr="4BB86FAC">
        <w:rPr>
          <w:vertAlign w:val="superscript"/>
        </w:rPr>
        <w:footnoteReference w:id="938"/>
      </w:r>
    </w:p>
    <w:p w:rsidR="000C1980" w:rsidP="0023091F" w:rsidRDefault="000C1980" w14:paraId="6FC9E8B9" w14:textId="77777777">
      <w:pPr>
        <w:pStyle w:val="ALJBodyText"/>
      </w:pPr>
      <w:r w:rsidRPr="24DCB1AB">
        <w:rPr>
          <w:b/>
          <w:bCs/>
          <w:i/>
          <w:iCs/>
          <w:u w:val="single"/>
        </w:rPr>
        <w:t>Design and Delivery:</w:t>
      </w:r>
      <w:r w:rsidRPr="0004451C">
        <w:t xml:space="preserve"> SDG&amp;E disagrees with the Joint Parties’ assertion that it is not in compliance with </w:t>
      </w:r>
      <w:r>
        <w:t>D.19-06-022</w:t>
      </w:r>
      <w:r w:rsidRPr="0004451C">
        <w:t xml:space="preserve"> because it does not propose a system similar to the Massachusetts LEAN program.</w:t>
      </w:r>
      <w:r w:rsidRPr="0004451C">
        <w:rPr>
          <w:vertAlign w:val="superscript"/>
        </w:rPr>
        <w:footnoteReference w:id="939"/>
      </w:r>
      <w:r w:rsidRPr="0004451C">
        <w:t xml:space="preserve"> </w:t>
      </w:r>
      <w:r>
        <w:t xml:space="preserve"> </w:t>
      </w:r>
      <w:r w:rsidRPr="0004451C">
        <w:t xml:space="preserve">SDG&amp;E argues that the Commission </w:t>
      </w:r>
      <w:r>
        <w:t>g</w:t>
      </w:r>
      <w:r w:rsidRPr="0004451C">
        <w:t>uidance did not require the creation of a similarly seamless customer interface, but rather that the IOUs articulate how their proposal will address the goal of creating such an interface.</w:t>
      </w:r>
      <w:r w:rsidRPr="0004451C">
        <w:rPr>
          <w:vertAlign w:val="superscript"/>
        </w:rPr>
        <w:footnoteReference w:id="940"/>
      </w:r>
      <w:r w:rsidRPr="0004451C">
        <w:t xml:space="preserve"> </w:t>
      </w:r>
      <w:r>
        <w:t xml:space="preserve"> </w:t>
      </w:r>
      <w:r w:rsidRPr="0004451C">
        <w:t xml:space="preserve">SDG&amp;E argues that its proposal of a more robust SPOC backed by an appropriate technology platform will allow for a seamless interface in its territory. </w:t>
      </w:r>
      <w:r>
        <w:t xml:space="preserve"> </w:t>
      </w:r>
      <w:r w:rsidRPr="0004451C">
        <w:t>The utility also argues that if a statewide platform is established</w:t>
      </w:r>
      <w:r>
        <w:t>, it will then</w:t>
      </w:r>
      <w:r w:rsidRPr="0004451C">
        <w:t xml:space="preserve"> request additional funding to integrate the platforms statewide, and any solicitation for the MFWB program </w:t>
      </w:r>
      <w:r>
        <w:t>will</w:t>
      </w:r>
      <w:r w:rsidRPr="0004451C">
        <w:t xml:space="preserve"> include criteria for implementers to integrate their efforts.</w:t>
      </w:r>
      <w:r w:rsidRPr="0004451C">
        <w:rPr>
          <w:vertAlign w:val="superscript"/>
        </w:rPr>
        <w:footnoteReference w:id="941"/>
      </w:r>
      <w:r w:rsidRPr="0004451C">
        <w:t xml:space="preserve"> </w:t>
      </w:r>
      <w:r>
        <w:t xml:space="preserve"> </w:t>
      </w:r>
      <w:r w:rsidRPr="0004451C">
        <w:t xml:space="preserve">As a broader point, SDG&amp;E also believes that certain studies cited by the Joint Parties do not align with ESA </w:t>
      </w:r>
      <w:r>
        <w:t>p</w:t>
      </w:r>
      <w:r w:rsidRPr="0004451C">
        <w:t xml:space="preserve">rogram objectives and should not apply to the </w:t>
      </w:r>
      <w:proofErr w:type="gramStart"/>
      <w:r w:rsidRPr="0004451C">
        <w:t>low</w:t>
      </w:r>
      <w:r>
        <w:t xml:space="preserve"> </w:t>
      </w:r>
      <w:r w:rsidRPr="0004451C">
        <w:t>income</w:t>
      </w:r>
      <w:proofErr w:type="gramEnd"/>
      <w:r w:rsidRPr="0004451C">
        <w:t xml:space="preserve"> programs.</w:t>
      </w:r>
      <w:r w:rsidRPr="0004451C">
        <w:rPr>
          <w:vertAlign w:val="superscript"/>
        </w:rPr>
        <w:footnoteReference w:id="942"/>
      </w:r>
    </w:p>
    <w:p w:rsidRPr="0004451C" w:rsidR="000C1980" w:rsidP="001968DC" w:rsidRDefault="000C1980" w14:paraId="2FF1F160" w14:textId="1378F523">
      <w:pPr>
        <w:pStyle w:val="Heading3"/>
        <w:ind w:left="2664"/>
      </w:pPr>
      <w:bookmarkStart w:name="_Toc69948201" w:id="554"/>
      <w:r>
        <w:lastRenderedPageBreak/>
        <w:t>MCE</w:t>
      </w:r>
      <w:bookmarkEnd w:id="554"/>
    </w:p>
    <w:p w:rsidR="000C1980" w:rsidP="0023091F" w:rsidRDefault="000C1980" w14:paraId="6FC5C690" w14:textId="77777777">
      <w:pPr>
        <w:pStyle w:val="ALJBodyText"/>
      </w:pPr>
      <w:r w:rsidRPr="24DCB1AB">
        <w:rPr>
          <w:b/>
          <w:bCs/>
          <w:i/>
          <w:iCs/>
          <w:u w:val="single"/>
        </w:rPr>
        <w:t>Design and Delivery:</w:t>
      </w:r>
      <w:r w:rsidRPr="0004451C">
        <w:t xml:space="preserve"> MCE responds to EEC’s allegations of creating a duplicative program by arguing that </w:t>
      </w:r>
      <w:r>
        <w:t>its</w:t>
      </w:r>
      <w:r w:rsidRPr="0004451C">
        <w:t xml:space="preserve"> program is materially different from PG&amp;E’s and that offering different program options in a shared service territory will improve customer and environmental outcomes.</w:t>
      </w:r>
      <w:r w:rsidRPr="0004451C">
        <w:rPr>
          <w:vertAlign w:val="superscript"/>
        </w:rPr>
        <w:footnoteReference w:id="943"/>
      </w:r>
      <w:r>
        <w:t xml:space="preserve"> </w:t>
      </w:r>
      <w:r w:rsidRPr="0004451C">
        <w:t xml:space="preserve"> Distinctive features between the MCE and PG&amp;E </w:t>
      </w:r>
      <w:r>
        <w:t xml:space="preserve">MFWB </w:t>
      </w:r>
      <w:r w:rsidRPr="0004451C">
        <w:t>programs include seamless integration with other programs offered by other energy and non-energy agencies to make it easier for owners and tenants to maximize both the impact of building upgrades and the available incentives to support such comprehensive work.</w:t>
      </w:r>
      <w:r w:rsidRPr="0004451C">
        <w:rPr>
          <w:vertAlign w:val="superscript"/>
        </w:rPr>
        <w:footnoteReference w:id="944"/>
      </w:r>
      <w:r>
        <w:t xml:space="preserve"> </w:t>
      </w:r>
      <w:r w:rsidRPr="0004451C">
        <w:t xml:space="preserve"> </w:t>
      </w:r>
      <w:r>
        <w:t>MCE states that p</w:t>
      </w:r>
      <w:r w:rsidRPr="0004451C">
        <w:t>articipating property owners have also expressed appreciation for the flexibility to select contractors and equipment best suited to their property, which also makes LIFT different from PG&amp;E’s MFWB program.</w:t>
      </w:r>
      <w:r w:rsidRPr="0004451C">
        <w:rPr>
          <w:vertAlign w:val="superscript"/>
        </w:rPr>
        <w:footnoteReference w:id="945"/>
      </w:r>
      <w:r>
        <w:t xml:space="preserve"> </w:t>
      </w:r>
      <w:r w:rsidRPr="0004451C">
        <w:t>MCE also supports the development of a Joint Cooperation Memorandum with PG&amp;E, because such tools have been successful in promoting coordination and preventing duplication and double counting in PG&amp;E’s and MCE’s general market multifamily energy efficiency programs.</w:t>
      </w:r>
      <w:r w:rsidRPr="0004451C">
        <w:rPr>
          <w:vertAlign w:val="superscript"/>
        </w:rPr>
        <w:footnoteReference w:id="946"/>
      </w:r>
      <w:r>
        <w:t xml:space="preserve"> </w:t>
      </w:r>
    </w:p>
    <w:p w:rsidRPr="0004451C" w:rsidR="000C1980" w:rsidP="0023091F" w:rsidRDefault="000C1980" w14:paraId="115F8896" w14:textId="77777777">
      <w:pPr>
        <w:pStyle w:val="ALJBodyText"/>
      </w:pPr>
      <w:r w:rsidRPr="24DCB1AB">
        <w:rPr>
          <w:b/>
          <w:bCs/>
          <w:i/>
          <w:iCs/>
          <w:u w:val="single"/>
        </w:rPr>
        <w:t>Eligibility and Enrollment:</w:t>
      </w:r>
      <w:r w:rsidRPr="00025BD6">
        <w:t xml:space="preserve"> </w:t>
      </w:r>
      <w:r w:rsidRPr="0004451C">
        <w:t xml:space="preserve">MCE proposes the same renter protections the Commission adopted </w:t>
      </w:r>
      <w:r>
        <w:t>in</w:t>
      </w:r>
      <w:r w:rsidRPr="0004451C">
        <w:t xml:space="preserve"> D.18-12-015 </w:t>
      </w:r>
      <w:r>
        <w:t>for</w:t>
      </w:r>
      <w:r w:rsidRPr="0004451C">
        <w:t xml:space="preserve"> the San Joaquin Valley pilot projects, specifically referring to signed affidavits that </w:t>
      </w:r>
      <w:r>
        <w:t>will</w:t>
      </w:r>
      <w:r w:rsidRPr="0004451C">
        <w:t xml:space="preserve"> limit rent increases and evictions for a period of five years.</w:t>
      </w:r>
      <w:r w:rsidRPr="0004451C">
        <w:rPr>
          <w:vertAlign w:val="superscript"/>
        </w:rPr>
        <w:footnoteReference w:id="947"/>
      </w:r>
      <w:r w:rsidRPr="0004451C">
        <w:t xml:space="preserve"> </w:t>
      </w:r>
      <w:r>
        <w:t xml:space="preserve"> </w:t>
      </w:r>
      <w:r w:rsidRPr="0004451C">
        <w:t xml:space="preserve">MCE does acknowledge that these efforts </w:t>
      </w:r>
      <w:r w:rsidRPr="0004451C">
        <w:lastRenderedPageBreak/>
        <w:t>are a starting point and will revisit them annually to ensure they are protecting tenant affordability.</w:t>
      </w:r>
      <w:r w:rsidRPr="0004451C">
        <w:rPr>
          <w:vertAlign w:val="superscript"/>
        </w:rPr>
        <w:footnoteReference w:id="948"/>
      </w:r>
    </w:p>
    <w:p w:rsidRPr="0004451C" w:rsidR="000C1980" w:rsidP="0023091F" w:rsidRDefault="000C1980" w14:paraId="1907A927" w14:textId="77777777">
      <w:pPr>
        <w:pStyle w:val="ALJBodyText"/>
      </w:pPr>
      <w:r w:rsidRPr="009754EE">
        <w:rPr>
          <w:b/>
          <w:bCs/>
          <w:i/>
          <w:iCs/>
          <w:u w:val="single"/>
        </w:rPr>
        <w:t>Budget:</w:t>
      </w:r>
      <w:r>
        <w:t xml:space="preserve"> </w:t>
      </w:r>
      <w:r w:rsidRPr="0004451C">
        <w:t>In response to Cal Advocates</w:t>
      </w:r>
      <w:r>
        <w:t>’</w:t>
      </w:r>
      <w:r w:rsidRPr="0004451C">
        <w:t xml:space="preserve"> question as to whether MCE has the authority to use ratepayer funds to administer a MFWB program under ESA, MCE states that the language </w:t>
      </w:r>
      <w:r>
        <w:t>in</w:t>
      </w:r>
      <w:r w:rsidRPr="0004451C">
        <w:t xml:space="preserve"> D.16-11-022 affirms MCE’s authority to administer a MFWB program under ESA when it directed MCE to “use the Application process if it elects to extend the LIFT pilot on a more permanent basis in the next program cycle.”</w:t>
      </w:r>
      <w:r w:rsidRPr="0004451C">
        <w:rPr>
          <w:vertAlign w:val="superscript"/>
        </w:rPr>
        <w:footnoteReference w:id="949"/>
      </w:r>
      <w:r w:rsidRPr="0004451C">
        <w:t xml:space="preserve"> </w:t>
      </w:r>
    </w:p>
    <w:p w:rsidRPr="0004451C" w:rsidR="000C1980" w:rsidP="0023091F" w:rsidRDefault="000C1980" w14:paraId="55F0FBA8" w14:textId="77777777">
      <w:pPr>
        <w:pStyle w:val="ALJBodyText"/>
      </w:pPr>
      <w:r>
        <w:t xml:space="preserve">In response to PG&amp;E’s comments that </w:t>
      </w:r>
      <w:r w:rsidRPr="0004451C">
        <w:t xml:space="preserve">MCE’s </w:t>
      </w:r>
      <w:r>
        <w:t xml:space="preserve">administrative </w:t>
      </w:r>
      <w:r w:rsidRPr="0004451C">
        <w:t xml:space="preserve">cost </w:t>
      </w:r>
      <w:r>
        <w:t xml:space="preserve">significantly </w:t>
      </w:r>
      <w:r w:rsidRPr="0004451C">
        <w:t>exceed</w:t>
      </w:r>
      <w:r>
        <w:t>ing</w:t>
      </w:r>
      <w:r w:rsidRPr="0004451C">
        <w:t xml:space="preserve"> 10</w:t>
      </w:r>
      <w:r w:rsidRPr="00730FFE">
        <w:t xml:space="preserve"> </w:t>
      </w:r>
      <w:r w:rsidRPr="0026503D">
        <w:t>percent</w:t>
      </w:r>
      <w:r>
        <w:t xml:space="preserve"> (averaging 35 percent in PYs 2021-2026, and 53 percent in PY 2021),</w:t>
      </w:r>
      <w:r w:rsidRPr="0004451C">
        <w:rPr>
          <w:vertAlign w:val="superscript"/>
        </w:rPr>
        <w:footnoteReference w:id="950"/>
      </w:r>
      <w:r>
        <w:t xml:space="preserve"> </w:t>
      </w:r>
      <w:r w:rsidRPr="0004451C">
        <w:t>MCE asserts that it presented its budget in a format different than that used by the IOUs</w:t>
      </w:r>
      <w:r>
        <w:t xml:space="preserve">.  So when </w:t>
      </w:r>
      <w:r w:rsidRPr="0004451C">
        <w:t>aligned with the IOU</w:t>
      </w:r>
      <w:r>
        <w:t>s’</w:t>
      </w:r>
      <w:r w:rsidRPr="0004451C">
        <w:t xml:space="preserve"> approach, administrative costs </w:t>
      </w:r>
      <w:r>
        <w:t xml:space="preserve">actually </w:t>
      </w:r>
      <w:r w:rsidRPr="0004451C">
        <w:t>averag</w:t>
      </w:r>
      <w:r>
        <w:t>e</w:t>
      </w:r>
      <w:r w:rsidRPr="0004451C">
        <w:t xml:space="preserve"> 11.3</w:t>
      </w:r>
      <w:r w:rsidRPr="00730FFE">
        <w:t xml:space="preserve"> </w:t>
      </w:r>
      <w:r w:rsidRPr="0026503D">
        <w:t>percent</w:t>
      </w:r>
      <w:r w:rsidRPr="0004451C">
        <w:t xml:space="preserve"> </w:t>
      </w:r>
      <w:r>
        <w:t>in PYs 2021-2026</w:t>
      </w:r>
      <w:r w:rsidRPr="0004451C">
        <w:t xml:space="preserve">, and </w:t>
      </w:r>
      <w:r>
        <w:t xml:space="preserve">are </w:t>
      </w:r>
      <w:r w:rsidRPr="0004451C">
        <w:t xml:space="preserve">therefore, in line with </w:t>
      </w:r>
      <w:r>
        <w:t>the</w:t>
      </w:r>
      <w:r w:rsidRPr="0004451C">
        <w:t xml:space="preserve"> IOU budgets.</w:t>
      </w:r>
      <w:r w:rsidRPr="0004451C">
        <w:rPr>
          <w:vertAlign w:val="superscript"/>
        </w:rPr>
        <w:footnoteReference w:id="951"/>
      </w:r>
      <w:r w:rsidRPr="0004451C">
        <w:t xml:space="preserve">  MCE also </w:t>
      </w:r>
      <w:r>
        <w:t>adds</w:t>
      </w:r>
      <w:r w:rsidRPr="0004451C">
        <w:t xml:space="preserve"> that serving naturally occurring affordable housing slightly increases administrative costs because additional time must be spent with participating owners and tenants to ensure that all parties understand the program offerings and requirements.</w:t>
      </w:r>
      <w:r w:rsidRPr="0004451C">
        <w:rPr>
          <w:vertAlign w:val="superscript"/>
        </w:rPr>
        <w:footnoteReference w:id="952"/>
      </w:r>
      <w:r w:rsidRPr="0004451C">
        <w:t xml:space="preserve"> </w:t>
      </w:r>
      <w:r>
        <w:t xml:space="preserve"> </w:t>
      </w:r>
      <w:r w:rsidRPr="0004451C">
        <w:t>MCE argues that these costs are reasonable and serve the public interest by ensuring that renters in these properties can benefit from energy efficiency investments while remaining assured that they will be able to stay in their homes.</w:t>
      </w:r>
      <w:r w:rsidRPr="0004451C">
        <w:rPr>
          <w:vertAlign w:val="superscript"/>
        </w:rPr>
        <w:footnoteReference w:id="953"/>
      </w:r>
    </w:p>
    <w:p w:rsidR="000C1980" w:rsidP="001968DC" w:rsidRDefault="000C1980" w14:paraId="18F3489B" w14:textId="5D592296">
      <w:pPr>
        <w:pStyle w:val="Heading2"/>
        <w:ind w:left="1728"/>
      </w:pPr>
      <w:bookmarkStart w:name="_Toc69948202" w:id="555"/>
      <w:r w:rsidRPr="00E92F4B">
        <w:lastRenderedPageBreak/>
        <w:t>Discussion</w:t>
      </w:r>
      <w:bookmarkEnd w:id="555"/>
    </w:p>
    <w:p w:rsidRPr="00A27214" w:rsidR="000C1980" w:rsidP="001968DC" w:rsidRDefault="000C1980" w14:paraId="48351D5A" w14:textId="77777777">
      <w:pPr>
        <w:pStyle w:val="Heading3"/>
        <w:ind w:left="2664"/>
        <w:rPr>
          <w:u w:val="single"/>
        </w:rPr>
      </w:pPr>
      <w:bookmarkStart w:name="_Toc69948203" w:id="556"/>
      <w:r w:rsidRPr="00A27214">
        <w:t xml:space="preserve">Third Party Solicitation and Administration: </w:t>
      </w:r>
      <w:r w:rsidRPr="00A27214">
        <w:rPr>
          <w:u w:val="single"/>
        </w:rPr>
        <w:t>Approved with Modifications</w:t>
      </w:r>
      <w:bookmarkEnd w:id="556"/>
    </w:p>
    <w:p w:rsidRPr="001233CD" w:rsidR="000C1980" w:rsidP="00022F55" w:rsidRDefault="000C1980" w14:paraId="38B3E4A1" w14:textId="37EAC1F7">
      <w:pPr>
        <w:pStyle w:val="Standard"/>
      </w:pPr>
      <w:r>
        <w:t xml:space="preserve">We approve the IOU proposals to </w:t>
      </w:r>
      <w:r w:rsidR="00C415B8">
        <w:t>develop a competitive solicitation</w:t>
      </w:r>
      <w:r w:rsidDel="006E31B1" w:rsidR="00C415B8">
        <w:t xml:space="preserve"> </w:t>
      </w:r>
      <w:r w:rsidR="00C415B8">
        <w:t xml:space="preserve">for </w:t>
      </w:r>
      <w:r>
        <w:t>the implementation, delivery, and certain design aspects of the MFWB program to a third-party, using a single</w:t>
      </w:r>
      <w:r w:rsidR="00A74668">
        <w:t xml:space="preserve"> </w:t>
      </w:r>
      <w:r>
        <w:t xml:space="preserve">stage solicitation process with two-step selection that will include the use of a PRG and an IE.  However, we deny outsourcing the entire program design, partially retreating from our initial vision for it to be designed and delivered by a third-party per D.16-08-019.  We agree with the Joint Parties that the IOUs, parties, and even the potential bidders will benefit from further clarity and program guidance with respect to the requirements of the MFWB programs.  We also believe that the IOUs should maintain an active role in the program design and will require the IOUs to provide minimum requirements and direction in the solicitation phase (rather than leaving all design aspects up to the bidder), as well as work with the contracted third party upon completion of the competitive solicitation phase, to develop a design that is in full compliance with this decision, in particular adhering to cost-effectiveness guidelines and the ESA portfolio goals.  </w:t>
      </w:r>
      <w:r w:rsidR="00506785">
        <w:t>T</w:t>
      </w:r>
      <w:r w:rsidRPr="001233CD">
        <w:t xml:space="preserve">he MFWB program should work towards maximizing a building’s demand response technologies, greenhouse gas reduction, water-energy nexus, and the </w:t>
      </w:r>
      <w:r>
        <w:t>HCS</w:t>
      </w:r>
      <w:r w:rsidRPr="001233CD">
        <w:t xml:space="preserve"> of tenants a</w:t>
      </w:r>
      <w:r>
        <w:t>nd</w:t>
      </w:r>
      <w:r w:rsidRPr="001233CD">
        <w:t xml:space="preserve"> the IOUs </w:t>
      </w:r>
      <w:r w:rsidR="00506785">
        <w:t>shall</w:t>
      </w:r>
      <w:r w:rsidRPr="001233CD">
        <w:t xml:space="preserve"> include these considerations into the solicitation process.</w:t>
      </w:r>
    </w:p>
    <w:p w:rsidRPr="000513DB" w:rsidR="000C1980" w:rsidP="001968DC" w:rsidRDefault="000C1980" w14:paraId="6856D3A5" w14:textId="77777777">
      <w:pPr>
        <w:spacing w:line="360" w:lineRule="auto"/>
        <w:ind w:left="360" w:firstLine="720"/>
        <w:rPr>
          <w:i/>
          <w:iCs/>
          <w:u w:val="single"/>
        </w:rPr>
      </w:pPr>
      <w:r w:rsidRPr="000513DB">
        <w:rPr>
          <w:i/>
          <w:iCs/>
          <w:u w:val="single"/>
        </w:rPr>
        <w:t xml:space="preserve">MFWB to Include all Multifamily </w:t>
      </w:r>
      <w:proofErr w:type="gramStart"/>
      <w:r w:rsidRPr="000513DB">
        <w:rPr>
          <w:i/>
          <w:iCs/>
          <w:u w:val="single"/>
        </w:rPr>
        <w:t>Offerings</w:t>
      </w:r>
      <w:proofErr w:type="gramEnd"/>
      <w:r w:rsidRPr="000513DB">
        <w:rPr>
          <w:i/>
          <w:iCs/>
          <w:u w:val="single"/>
        </w:rPr>
        <w:t xml:space="preserve"> </w:t>
      </w:r>
    </w:p>
    <w:p w:rsidR="000C1980" w:rsidP="00022F55" w:rsidRDefault="000C1980" w14:paraId="66025501" w14:textId="441FFD7E">
      <w:pPr>
        <w:pStyle w:val="Standard"/>
      </w:pPr>
      <w:r>
        <w:t>We find PG&amp;E’s approach to combine and outsource all multifamily services under one program (in</w:t>
      </w:r>
      <w:r w:rsidR="006070D4">
        <w:t>-</w:t>
      </w:r>
      <w:r>
        <w:t>unit, CAM, MFWB) to be the most logical of all the IOU submissions and in the best interest of customers.  Therefore, the final MFWB programs will include all multifamily sector services (in unit, CAM, MFWB) to be implemented by a non-utility, third-party.</w:t>
      </w:r>
    </w:p>
    <w:p w:rsidRPr="000513DB" w:rsidR="000C1980" w:rsidP="001968DC" w:rsidRDefault="000C1980" w14:paraId="0283EF11" w14:textId="77777777">
      <w:pPr>
        <w:spacing w:line="360" w:lineRule="auto"/>
        <w:ind w:left="360" w:firstLine="720"/>
        <w:rPr>
          <w:i/>
          <w:iCs/>
          <w:u w:val="single"/>
        </w:rPr>
      </w:pPr>
      <w:r>
        <w:rPr>
          <w:i/>
          <w:iCs/>
          <w:u w:val="single"/>
        </w:rPr>
        <w:lastRenderedPageBreak/>
        <w:t>Single Stage Solicitation with Two Step Selection</w:t>
      </w:r>
      <w:r w:rsidRPr="000513DB">
        <w:rPr>
          <w:i/>
          <w:iCs/>
          <w:u w:val="single"/>
        </w:rPr>
        <w:t xml:space="preserve"> </w:t>
      </w:r>
    </w:p>
    <w:p w:rsidR="000C1980" w:rsidP="00022F55" w:rsidRDefault="000C1980" w14:paraId="1A7721A4" w14:textId="1A4C9FAB">
      <w:pPr>
        <w:pStyle w:val="Standard"/>
      </w:pPr>
      <w:r>
        <w:t xml:space="preserve">We approve SDG&amp;E’s proposal for single stage solicitation with two-step selection and require the </w:t>
      </w:r>
      <w:r w:rsidR="005A3749">
        <w:t xml:space="preserve">lead </w:t>
      </w:r>
      <w:r>
        <w:t xml:space="preserve">IOUs to follow the same solicitation process.  We find that this protocol is less burdensome than a formal two-stage solicitation process and increases the opportunity for a complete assessment of the bidders.  Attachment </w:t>
      </w:r>
      <w:r w:rsidRPr="005C1729">
        <w:t>4</w:t>
      </w:r>
      <w:r>
        <w:t xml:space="preserve"> of this decision provides further guidance on the solicitation requirements, review, selection, scoring, and timelines.  Some of the details in Attachment 4, not included in the body or ordering paragraphs of this decision, may be periodically updated, or amended by Energy Division staff. </w:t>
      </w:r>
    </w:p>
    <w:p w:rsidRPr="000513DB" w:rsidR="000C1980" w:rsidP="001968DC" w:rsidRDefault="000C1980" w14:paraId="6752487A" w14:textId="77777777">
      <w:pPr>
        <w:spacing w:line="360" w:lineRule="auto"/>
        <w:ind w:left="360" w:firstLine="720"/>
        <w:rPr>
          <w:i/>
          <w:iCs/>
          <w:u w:val="single"/>
        </w:rPr>
      </w:pPr>
      <w:r>
        <w:rPr>
          <w:i/>
          <w:iCs/>
          <w:u w:val="single"/>
        </w:rPr>
        <w:t xml:space="preserve">Solicitation for a Northern and Southern Program </w:t>
      </w:r>
    </w:p>
    <w:p w:rsidR="000C1980" w:rsidP="00022F55" w:rsidRDefault="000C1980" w14:paraId="5AB34E21" w14:textId="38AE8543">
      <w:pPr>
        <w:pStyle w:val="Standard"/>
      </w:pPr>
      <w:r>
        <w:t xml:space="preserve">In terms of the administration of the MFWB program, we deny both the statewide approach, as well as individual local approaches.  We have determined that implementing one statewide program may be too large of a program for this market and may take longer to design and launch.  Additionally, multiple individual IOU solicitations and programs will not be an efficient use of resources, will duplicate efforts in overlapping territories, and possibly cause confusion for property owners dealing with service from multiple IOUs.  Instead, we will require solicitations for and administration of two MFWB programs, a Northern and a Southern MFWB program.  SCE, SoCalGas, and SDG&amp;E will contribute funding to the Southern MFWB program, with SDG&amp;E designated as the lead IOU leading the solicitation process and program management.  PG&amp;E will run and manage a Northern MFWB program.  </w:t>
      </w:r>
    </w:p>
    <w:p w:rsidR="00B624A7" w:rsidP="00022F55" w:rsidRDefault="00AA28A4" w14:paraId="74BE6D20" w14:textId="148C6688">
      <w:pPr>
        <w:pStyle w:val="Standard"/>
      </w:pPr>
      <w:r w:rsidRPr="00AA28A4">
        <w:t xml:space="preserve">The </w:t>
      </w:r>
      <w:r w:rsidR="005F6FE9">
        <w:t>l</w:t>
      </w:r>
      <w:r w:rsidRPr="00AA28A4">
        <w:t>ead IOU will facilitate the PRG and selection of the IE</w:t>
      </w:r>
      <w:r w:rsidR="00B42A8F">
        <w:t xml:space="preserve"> in consultation with the </w:t>
      </w:r>
      <w:r w:rsidR="00BD297F">
        <w:t>other</w:t>
      </w:r>
      <w:r w:rsidR="00B42A8F">
        <w:t xml:space="preserve"> IOUs</w:t>
      </w:r>
      <w:r w:rsidRPr="00AA28A4">
        <w:t xml:space="preserve">. The </w:t>
      </w:r>
      <w:r w:rsidR="00420F85">
        <w:t>l</w:t>
      </w:r>
      <w:r w:rsidRPr="00AA28A4">
        <w:t>ead IOU will have responsibility for program vision development, design/delivery, and intervention strategies</w:t>
      </w:r>
      <w:r w:rsidR="00C934ED">
        <w:t xml:space="preserve"> (in consultation with the other IOUs)</w:t>
      </w:r>
      <w:r w:rsidRPr="00AA28A4">
        <w:t xml:space="preserve">; procurement, contract administration, and co-funding </w:t>
      </w:r>
      <w:r w:rsidRPr="00AA28A4">
        <w:lastRenderedPageBreak/>
        <w:t xml:space="preserve">management; sole implementer oversight responsibilities including management, rewards, implementer performance review, and program performance review, and any necessary corrective actions; meeting savings goals, </w:t>
      </w:r>
      <w:r w:rsidRPr="00022F55">
        <w:t>treatment goals, and customer satisfaction levels; metric development; and reporting.</w:t>
      </w:r>
      <w:r w:rsidRPr="00022F55" w:rsidR="00C934ED">
        <w:t xml:space="preserve"> </w:t>
      </w:r>
      <w:r w:rsidRPr="00022F55" w:rsidR="00BD297F">
        <w:t>T</w:t>
      </w:r>
      <w:r w:rsidRPr="00022F55">
        <w:t xml:space="preserve">he lead IOU </w:t>
      </w:r>
      <w:r w:rsidRPr="00022F55" w:rsidR="00BD297F">
        <w:t xml:space="preserve">should </w:t>
      </w:r>
      <w:r w:rsidRPr="00022F55">
        <w:t>utilize joint meetings of the IOUs on a consultative basis</w:t>
      </w:r>
      <w:r w:rsidRPr="00022F55" w:rsidR="00BD297F">
        <w:t xml:space="preserve"> to determine program vision, design/delivery, and implementation. We strongly encourage collaboration amongst the IOUs. The lead IOU shall still prioritize the PRG and IE recommendations on matters germane to their roles and responsibilities.</w:t>
      </w:r>
    </w:p>
    <w:p w:rsidR="000C1980" w:rsidP="00F35407" w:rsidRDefault="000C1980" w14:paraId="2BC931B7" w14:textId="77777777">
      <w:pPr>
        <w:spacing w:line="360" w:lineRule="auto"/>
        <w:ind w:left="360" w:firstLine="720"/>
        <w:rPr>
          <w:i/>
          <w:iCs/>
          <w:u w:val="single"/>
        </w:rPr>
      </w:pPr>
      <w:r>
        <w:rPr>
          <w:i/>
          <w:iCs/>
          <w:u w:val="single"/>
        </w:rPr>
        <w:t>Requirement for a PRG and IE</w:t>
      </w:r>
      <w:r w:rsidRPr="000513DB">
        <w:rPr>
          <w:i/>
          <w:iCs/>
          <w:u w:val="single"/>
        </w:rPr>
        <w:t xml:space="preserve"> </w:t>
      </w:r>
    </w:p>
    <w:p w:rsidR="000C1980" w:rsidP="00F35407" w:rsidRDefault="000C1980" w14:paraId="6084F845" w14:textId="427B8C5C">
      <w:pPr>
        <w:spacing w:line="360" w:lineRule="auto"/>
        <w:ind w:left="360" w:firstLine="720"/>
      </w:pPr>
      <w:r>
        <w:t>As there will only be two solicitation processes to oversee, we require a statewide IE and PRG to oversee both the Northern and Southern MFWB solicitation processes.  PG&amp;E and SDG&amp;E will work together to select an appropriate IE with input from the other IOUs and PRG.  The low income PRG will include members of non-</w:t>
      </w:r>
      <w:proofErr w:type="gramStart"/>
      <w:r>
        <w:t>financially-interested</w:t>
      </w:r>
      <w:proofErr w:type="gramEnd"/>
      <w:r>
        <w:t xml:space="preserve"> parties, with membership approved by the Director of the Commission’s Energy Division.  </w:t>
      </w:r>
      <w:r w:rsidR="00871E6D">
        <w:t xml:space="preserve">While we recognize the contribution that CCAs have made to main energy efficiency PRGs, we also find that within the low income proceeding, CCAs are potentially a </w:t>
      </w:r>
      <w:proofErr w:type="gramStart"/>
      <w:r w:rsidR="00871E6D">
        <w:t>financially-interested</w:t>
      </w:r>
      <w:proofErr w:type="gramEnd"/>
      <w:r w:rsidR="00871E6D">
        <w:t xml:space="preserve"> party.</w:t>
      </w:r>
      <w:r>
        <w:t xml:space="preserve">  In approving the PRG and requiring the IOUs to set some minimum requirements for the program, we deny the Jo</w:t>
      </w:r>
      <w:r w:rsidRPr="000B0CAB">
        <w:t xml:space="preserve">int Parties’ </w:t>
      </w:r>
      <w:r>
        <w:t xml:space="preserve">proposal </w:t>
      </w:r>
      <w:r w:rsidRPr="000B0CAB">
        <w:t xml:space="preserve">for a Best Practices Collaborative </w:t>
      </w:r>
      <w:r>
        <w:t>and deem it unnecessary</w:t>
      </w:r>
      <w:r w:rsidRPr="000B0CAB">
        <w:t>.</w:t>
      </w:r>
    </w:p>
    <w:p w:rsidR="00156653" w:rsidP="001968DC" w:rsidRDefault="005F6FE9" w14:paraId="226FC66E" w14:textId="44F20438">
      <w:pPr>
        <w:spacing w:line="360" w:lineRule="auto"/>
        <w:ind w:left="360" w:firstLine="720"/>
        <w:rPr>
          <w:rFonts w:eastAsia="Book Antiqua" w:cs="Book Antiqua"/>
          <w:szCs w:val="26"/>
        </w:rPr>
      </w:pPr>
      <w:r>
        <w:rPr>
          <w:rFonts w:eastAsia="Book Antiqua" w:cs="Book Antiqua"/>
        </w:rPr>
        <w:t>The l</w:t>
      </w:r>
      <w:r w:rsidRPr="3776745C" w:rsidR="00156653">
        <w:rPr>
          <w:rFonts w:eastAsia="Book Antiqua" w:cs="Book Antiqua"/>
        </w:rPr>
        <w:t xml:space="preserve">ead IOUs shall contract a statewide IE with energy efficiency, multifamily, and low-income sector expertise. It is acceptable for the IOUs to </w:t>
      </w:r>
      <w:r w:rsidRPr="3776745C" w:rsidR="00156653">
        <w:rPr>
          <w:rFonts w:eastAsia="Book Antiqua" w:cs="Book Antiqua"/>
        </w:rPr>
        <w:lastRenderedPageBreak/>
        <w:t>select an appropriate statewide IE from their current IE pool.</w:t>
      </w:r>
      <w:r w:rsidRPr="7004FDA8" w:rsidR="00156653">
        <w:rPr>
          <w:rStyle w:val="FootnoteReference"/>
          <w:rFonts w:eastAsia="Book Antiqua" w:cs="Book Antiqua"/>
          <w:szCs w:val="26"/>
        </w:rPr>
        <w:footnoteReference w:id="954"/>
      </w:r>
      <w:r w:rsidRPr="3776745C" w:rsidR="00156653">
        <w:rPr>
          <w:rFonts w:eastAsia="Book Antiqua" w:cs="Book Antiqua"/>
        </w:rPr>
        <w:t xml:space="preserve"> The lead IOUs shall jointly inform the Director of the </w:t>
      </w:r>
      <w:r>
        <w:rPr>
          <w:rFonts w:eastAsia="Book Antiqua" w:cs="Book Antiqua"/>
        </w:rPr>
        <w:t>Commission’s</w:t>
      </w:r>
      <w:r w:rsidRPr="3776745C" w:rsidR="00156653">
        <w:rPr>
          <w:rFonts w:eastAsia="Book Antiqua" w:cs="Book Antiqua"/>
        </w:rPr>
        <w:t xml:space="preserve"> Energy Division (Director) of its selected IE via an email letter. The Director may approve the selected IE via email or, if warranted, may order the IOUs to conduct another solicitation for an IE or take other action. The IE shall be contracted prior to the launch of the Request for Proposal. The IE shall provide at least the following services:</w:t>
      </w:r>
    </w:p>
    <w:p w:rsidR="00156653" w:rsidP="00F35407" w:rsidRDefault="00156653" w14:paraId="351C3F75" w14:textId="5C911E3D">
      <w:pPr>
        <w:pStyle w:val="ListBullet"/>
        <w:rPr>
          <w:color w:val="000000" w:themeColor="text1"/>
        </w:rPr>
      </w:pPr>
      <w:r w:rsidRPr="7004FDA8">
        <w:t xml:space="preserve">Consultation and support to the </w:t>
      </w:r>
      <w:r>
        <w:t>PRG</w:t>
      </w:r>
      <w:r w:rsidRPr="7004FDA8">
        <w:t>, especially Energy Division staff</w:t>
      </w:r>
      <w:r w:rsidR="005F6FE9">
        <w:t>.</w:t>
      </w:r>
      <w:r w:rsidRPr="7004FDA8">
        <w:t xml:space="preserve"> </w:t>
      </w:r>
    </w:p>
    <w:p w:rsidRPr="00D016C9" w:rsidR="00156653" w:rsidP="00F35407" w:rsidRDefault="00156653" w14:paraId="17BB28A6" w14:textId="46420292">
      <w:pPr>
        <w:pStyle w:val="ListBullet"/>
        <w:rPr>
          <w:color w:val="000000" w:themeColor="text1"/>
        </w:rPr>
      </w:pPr>
      <w:r>
        <w:t>For each solicitation, a</w:t>
      </w:r>
      <w:r w:rsidRPr="07258BC2">
        <w:t xml:space="preserve"> </w:t>
      </w:r>
      <w:r>
        <w:t xml:space="preserve">monthly </w:t>
      </w:r>
      <w:r w:rsidRPr="07258BC2">
        <w:t xml:space="preserve">report on </w:t>
      </w:r>
      <w:r>
        <w:t xml:space="preserve">its status and progress </w:t>
      </w:r>
      <w:r w:rsidRPr="07258BC2">
        <w:t>to be presented to the PRG</w:t>
      </w:r>
      <w:r w:rsidR="005F6FE9">
        <w:t>.</w:t>
      </w:r>
    </w:p>
    <w:p w:rsidR="00156653" w:rsidP="00F35407" w:rsidRDefault="00156653" w14:paraId="0213242D" w14:textId="6D6970E8">
      <w:pPr>
        <w:pStyle w:val="ListBullet"/>
        <w:rPr>
          <w:color w:val="000000" w:themeColor="text1"/>
        </w:rPr>
      </w:pPr>
      <w:r>
        <w:t>For each solicitation, an individual final report to be submitted along with the Tier 2 advice letter seeking review of such contracts</w:t>
      </w:r>
      <w:r w:rsidR="005F6FE9">
        <w:t>.</w:t>
      </w:r>
    </w:p>
    <w:p w:rsidR="00156653" w:rsidP="00F35407" w:rsidRDefault="00156653" w14:paraId="335F8AD8" w14:textId="77777777">
      <w:pPr>
        <w:pStyle w:val="ListBullet"/>
        <w:rPr>
          <w:color w:val="000000" w:themeColor="text1"/>
        </w:rPr>
      </w:pPr>
      <w:r>
        <w:t>A public</w:t>
      </w:r>
      <w:r w:rsidRPr="07258BC2">
        <w:t xml:space="preserve"> </w:t>
      </w:r>
      <w:r>
        <w:t>final</w:t>
      </w:r>
      <w:r w:rsidRPr="07258BC2">
        <w:t xml:space="preserve"> report on the overall process and conduct of the </w:t>
      </w:r>
      <w:proofErr w:type="gramStart"/>
      <w:r w:rsidRPr="07258BC2">
        <w:t>third party</w:t>
      </w:r>
      <w:proofErr w:type="gramEnd"/>
      <w:r w:rsidRPr="07258BC2">
        <w:t xml:space="preserve"> solicitation</w:t>
      </w:r>
      <w:r>
        <w:t>s</w:t>
      </w:r>
      <w:r w:rsidRPr="07258BC2">
        <w:t xml:space="preserve"> to be</w:t>
      </w:r>
      <w:r>
        <w:t xml:space="preserve"> </w:t>
      </w:r>
      <w:r w:rsidRPr="07258BC2">
        <w:t xml:space="preserve">filed </w:t>
      </w:r>
      <w:r>
        <w:t>in the relevant low-income energy efficiency proceeding.</w:t>
      </w:r>
    </w:p>
    <w:p w:rsidRPr="00FA7826" w:rsidR="00156653" w:rsidP="001968DC" w:rsidRDefault="00156653" w14:paraId="735E58A9" w14:textId="77777777">
      <w:pPr>
        <w:spacing w:line="360" w:lineRule="auto"/>
        <w:ind w:left="360" w:firstLine="360"/>
        <w:rPr>
          <w:rFonts w:eastAsia="Book Antiqua" w:cs="Book Antiqua"/>
          <w:szCs w:val="26"/>
        </w:rPr>
      </w:pPr>
      <w:r w:rsidRPr="00FA7826">
        <w:rPr>
          <w:rFonts w:eastAsia="Book Antiqua" w:cs="Book Antiqua"/>
          <w:szCs w:val="26"/>
        </w:rPr>
        <w:t xml:space="preserve">The IE is expected to provide unbiased assessment and feedback. IE reports should fairly capture where there is agreement or disagreement. The IE should not have any conflicts of interest. </w:t>
      </w:r>
    </w:p>
    <w:p w:rsidR="00156653" w:rsidP="001968DC" w:rsidRDefault="00156653" w14:paraId="057C3439" w14:textId="77777777">
      <w:pPr>
        <w:spacing w:line="360" w:lineRule="auto"/>
        <w:ind w:left="360" w:firstLine="360"/>
        <w:rPr>
          <w:rFonts w:eastAsia="Book Antiqua" w:cs="Book Antiqua"/>
          <w:szCs w:val="26"/>
        </w:rPr>
      </w:pPr>
      <w:r w:rsidRPr="2E026094">
        <w:rPr>
          <w:rFonts w:eastAsia="Book Antiqua" w:cs="Book Antiqua"/>
          <w:szCs w:val="26"/>
        </w:rPr>
        <w:t>It is the PRG’s responsibility to be involved at all levels in the solicitation process, including:</w:t>
      </w:r>
    </w:p>
    <w:p w:rsidR="00156653" w:rsidP="00F35407" w:rsidRDefault="00156653" w14:paraId="08EC26AF" w14:textId="011D5445">
      <w:pPr>
        <w:pStyle w:val="ListBullet"/>
        <w:rPr>
          <w:color w:val="000000" w:themeColor="text1"/>
        </w:rPr>
      </w:pPr>
      <w:r w:rsidRPr="7004FDA8">
        <w:t>Draft RFP review</w:t>
      </w:r>
      <w:r w:rsidR="005F6FE9">
        <w:t>.</w:t>
      </w:r>
    </w:p>
    <w:p w:rsidR="00156653" w:rsidP="00F35407" w:rsidRDefault="00156653" w14:paraId="6694AEFC" w14:textId="5D368267">
      <w:pPr>
        <w:pStyle w:val="ListBullet"/>
        <w:rPr>
          <w:color w:val="000000" w:themeColor="text1"/>
        </w:rPr>
      </w:pPr>
      <w:r w:rsidRPr="7004FDA8">
        <w:t>Review of RFP bid selection criteria</w:t>
      </w:r>
      <w:r w:rsidR="005F6FE9">
        <w:t>.</w:t>
      </w:r>
    </w:p>
    <w:p w:rsidR="00156653" w:rsidP="00F35407" w:rsidRDefault="00156653" w14:paraId="7109E837" w14:textId="0F359120">
      <w:pPr>
        <w:pStyle w:val="ListBullet"/>
        <w:rPr>
          <w:color w:val="000000" w:themeColor="text1"/>
        </w:rPr>
      </w:pPr>
      <w:r w:rsidRPr="7004FDA8">
        <w:t>RFP shortlist and selected bidder review</w:t>
      </w:r>
      <w:r w:rsidR="005F6FE9">
        <w:t>.</w:t>
      </w:r>
    </w:p>
    <w:p w:rsidR="00156653" w:rsidP="00F35407" w:rsidRDefault="00156653" w14:paraId="241E6AB0" w14:textId="150D2031">
      <w:pPr>
        <w:pStyle w:val="ListBullet"/>
        <w:rPr>
          <w:color w:val="000000" w:themeColor="text1"/>
        </w:rPr>
      </w:pPr>
      <w:r w:rsidRPr="2E026094">
        <w:t>Review of interview questions and bidder responses</w:t>
      </w:r>
      <w:r w:rsidR="005F6FE9">
        <w:t>.</w:t>
      </w:r>
    </w:p>
    <w:p w:rsidR="00156653" w:rsidP="00F35407" w:rsidRDefault="00156653" w14:paraId="3DEF9A36" w14:textId="3398A7AE">
      <w:pPr>
        <w:pStyle w:val="ListBullet"/>
        <w:rPr>
          <w:color w:val="000000" w:themeColor="text1"/>
        </w:rPr>
      </w:pPr>
      <w:r w:rsidRPr="7004FDA8">
        <w:lastRenderedPageBreak/>
        <w:t>Review IE evaluations of all solicitations</w:t>
      </w:r>
      <w:r w:rsidR="005F6FE9">
        <w:t>.</w:t>
      </w:r>
    </w:p>
    <w:p w:rsidR="00156653" w:rsidP="00F35407" w:rsidRDefault="00156653" w14:paraId="2BFBCCE8" w14:textId="3D7291D2">
      <w:pPr>
        <w:pStyle w:val="ListBullet"/>
        <w:rPr>
          <w:color w:val="000000" w:themeColor="text1"/>
        </w:rPr>
      </w:pPr>
      <w:r w:rsidRPr="7004FDA8">
        <w:t xml:space="preserve">Review of draft contract </w:t>
      </w:r>
      <w:r>
        <w:t xml:space="preserve">with </w:t>
      </w:r>
      <w:r w:rsidRPr="0EA15324">
        <w:t>program’s Implementation P</w:t>
      </w:r>
      <w:r w:rsidRPr="7004FDA8">
        <w:t>lan</w:t>
      </w:r>
      <w:r w:rsidR="005F6FE9">
        <w:t>.</w:t>
      </w:r>
    </w:p>
    <w:p w:rsidR="00156653" w:rsidP="00F35407" w:rsidRDefault="00156653" w14:paraId="75F0981A" w14:textId="26A2CE17">
      <w:pPr>
        <w:pStyle w:val="Standard"/>
      </w:pPr>
      <w:r w:rsidRPr="6BD77790">
        <w:t xml:space="preserve">The program design is not directed to be fully designed and delivered by a third-party, as such, the PRG is allowed to provide feedback and recommendations on the final program design, including available measures. The PRG is </w:t>
      </w:r>
      <w:r w:rsidRPr="6BD77790" w:rsidR="005F6FE9">
        <w:t>advisory,</w:t>
      </w:r>
      <w:r w:rsidRPr="6BD77790">
        <w:t xml:space="preserve"> and </w:t>
      </w:r>
      <w:r>
        <w:t>members must</w:t>
      </w:r>
      <w:r w:rsidRPr="6BD77790">
        <w:t xml:space="preserve"> not have any conflicts of interest.</w:t>
      </w:r>
    </w:p>
    <w:p w:rsidRPr="00B05A80" w:rsidR="00B05A80" w:rsidP="001968DC" w:rsidRDefault="00B05A80" w14:paraId="4EC9189A" w14:textId="335532CA">
      <w:pPr>
        <w:spacing w:line="360" w:lineRule="auto"/>
        <w:ind w:left="360" w:firstLine="360"/>
        <w:rPr>
          <w:rFonts w:eastAsia="Book Antiqua" w:cs="Book Antiqua"/>
          <w:i/>
          <w:iCs/>
          <w:szCs w:val="26"/>
          <w:u w:val="single"/>
        </w:rPr>
      </w:pPr>
      <w:r w:rsidRPr="00B05A80">
        <w:rPr>
          <w:rFonts w:eastAsia="Book Antiqua" w:cs="Book Antiqua"/>
          <w:i/>
          <w:iCs/>
          <w:szCs w:val="26"/>
          <w:u w:val="single"/>
        </w:rPr>
        <w:t>Lead IOU Role in Relation to PRG and IE</w:t>
      </w:r>
    </w:p>
    <w:p w:rsidR="00156653" w:rsidP="00F35407" w:rsidRDefault="00156653" w14:paraId="2A0803A6" w14:textId="3E51348B">
      <w:pPr>
        <w:pStyle w:val="Standard"/>
        <w:rPr>
          <w:szCs w:val="26"/>
          <w:vertAlign w:val="superscript"/>
        </w:rPr>
      </w:pPr>
      <w:r w:rsidRPr="3776745C">
        <w:t xml:space="preserve">To help form this low-income statewide PRG, the </w:t>
      </w:r>
      <w:r w:rsidR="005F6FE9">
        <w:t>l</w:t>
      </w:r>
      <w:r w:rsidRPr="3776745C">
        <w:t xml:space="preserve">ead IOUs will issue a notice to the service list, and related lists, informing them of the MFWB </w:t>
      </w:r>
      <w:r w:rsidR="005F6FE9">
        <w:t>p</w:t>
      </w:r>
      <w:r w:rsidRPr="3776745C">
        <w:t>rogram solicitation and opportunity to participate in the PRG.</w:t>
      </w:r>
      <w:r w:rsidRPr="7004FDA8">
        <w:rPr>
          <w:rStyle w:val="FootnoteReference"/>
          <w:rFonts w:eastAsia="Book Antiqua" w:cs="Book Antiqua"/>
          <w:szCs w:val="26"/>
        </w:rPr>
        <w:footnoteReference w:id="955"/>
      </w:r>
    </w:p>
    <w:p w:rsidR="00156653" w:rsidP="00F35407" w:rsidRDefault="00156653" w14:paraId="1080C7DB" w14:textId="23557EA8">
      <w:pPr>
        <w:pStyle w:val="Standard"/>
      </w:pPr>
      <w:r w:rsidRPr="2E026094">
        <w:t xml:space="preserve">We require the </w:t>
      </w:r>
      <w:r w:rsidR="005F6FE9">
        <w:t>l</w:t>
      </w:r>
      <w:r w:rsidRPr="2E026094">
        <w:t xml:space="preserve">ead IOUs to conduct the PRG following these requirements: </w:t>
      </w:r>
    </w:p>
    <w:p w:rsidR="00156653" w:rsidP="00F35407" w:rsidRDefault="00156653" w14:paraId="377FDA27" w14:textId="12570FA6">
      <w:pPr>
        <w:pStyle w:val="ListBullet"/>
        <w:rPr>
          <w:color w:val="000000" w:themeColor="text1"/>
        </w:rPr>
      </w:pPr>
      <w:r w:rsidRPr="7004FDA8">
        <w:t>All meeting</w:t>
      </w:r>
      <w:r>
        <w:t>s</w:t>
      </w:r>
      <w:r w:rsidRPr="7004FDA8">
        <w:t xml:space="preserve"> shall be noticed at least three business days in advance</w:t>
      </w:r>
      <w:r w:rsidR="005F6FE9">
        <w:t>.</w:t>
      </w:r>
      <w:r w:rsidRPr="7004FDA8">
        <w:t xml:space="preserve">  </w:t>
      </w:r>
    </w:p>
    <w:p w:rsidR="00156653" w:rsidP="00F35407" w:rsidRDefault="00156653" w14:paraId="3EE0C97C" w14:textId="31001C83">
      <w:pPr>
        <w:pStyle w:val="ListBullet"/>
        <w:rPr>
          <w:color w:val="000000" w:themeColor="text1"/>
        </w:rPr>
      </w:pPr>
      <w:r w:rsidRPr="7004FDA8">
        <w:t xml:space="preserve">Any materials to be discussed shall be distributed </w:t>
      </w:r>
      <w:r>
        <w:t>at least three</w:t>
      </w:r>
      <w:r w:rsidRPr="7004FDA8">
        <w:t xml:space="preserve"> </w:t>
      </w:r>
      <w:r>
        <w:t xml:space="preserve">business </w:t>
      </w:r>
      <w:r w:rsidRPr="7004FDA8">
        <w:t>days in advance</w:t>
      </w:r>
      <w:r w:rsidR="005F6FE9">
        <w:t>.</w:t>
      </w:r>
      <w:r w:rsidRPr="7004FDA8">
        <w:t xml:space="preserve">  </w:t>
      </w:r>
    </w:p>
    <w:p w:rsidR="00156653" w:rsidP="00F35407" w:rsidRDefault="00156653" w14:paraId="509E602E" w14:textId="6C5292D2">
      <w:pPr>
        <w:pStyle w:val="ListBullet"/>
        <w:rPr>
          <w:color w:val="000000" w:themeColor="text1"/>
        </w:rPr>
      </w:pPr>
      <w:r w:rsidRPr="7004FDA8">
        <w:t>Call number shall be provided to all participants</w:t>
      </w:r>
      <w:r w:rsidR="005F6FE9">
        <w:t>.</w:t>
      </w:r>
      <w:r w:rsidRPr="7004FDA8">
        <w:t xml:space="preserve"> </w:t>
      </w:r>
    </w:p>
    <w:p w:rsidR="00156653" w:rsidP="00F35407" w:rsidRDefault="00156653" w14:paraId="66DC9F26" w14:textId="77777777">
      <w:pPr>
        <w:pStyle w:val="ListBullet"/>
        <w:rPr>
          <w:color w:val="000000" w:themeColor="text1"/>
        </w:rPr>
      </w:pPr>
      <w:r w:rsidRPr="7004FDA8">
        <w:t xml:space="preserve">The PRG shall be consulted at all stages of the solicitation process, including, but not limited to: </w:t>
      </w:r>
    </w:p>
    <w:p w:rsidR="00156653" w:rsidP="00F35407" w:rsidRDefault="00156653" w14:paraId="38D257DC" w14:textId="36D77C33">
      <w:pPr>
        <w:pStyle w:val="ListParagraph"/>
        <w:numPr>
          <w:ilvl w:val="1"/>
          <w:numId w:val="30"/>
        </w:numPr>
        <w:spacing w:after="120"/>
        <w:rPr>
          <w:rFonts w:eastAsia="Book Antiqua" w:cs="Book Antiqua"/>
          <w:color w:val="000000" w:themeColor="text1"/>
          <w:szCs w:val="26"/>
        </w:rPr>
      </w:pPr>
      <w:r w:rsidRPr="2E026094">
        <w:rPr>
          <w:rFonts w:eastAsia="Book Antiqua" w:cs="Book Antiqua"/>
          <w:szCs w:val="26"/>
        </w:rPr>
        <w:t>Reviewing the solicitation plan</w:t>
      </w:r>
      <w:r w:rsidR="005F6FE9">
        <w:rPr>
          <w:rFonts w:eastAsia="Book Antiqua" w:cs="Book Antiqua"/>
          <w:szCs w:val="26"/>
        </w:rPr>
        <w:t>,</w:t>
      </w:r>
      <w:r w:rsidRPr="2E026094">
        <w:rPr>
          <w:rFonts w:eastAsia="Book Antiqua" w:cs="Book Antiqua"/>
          <w:szCs w:val="26"/>
        </w:rPr>
        <w:t xml:space="preserve"> </w:t>
      </w:r>
    </w:p>
    <w:p w:rsidR="00156653" w:rsidP="00F35407" w:rsidRDefault="00156653" w14:paraId="788171B4" w14:textId="77777777">
      <w:pPr>
        <w:pStyle w:val="ListParagraph"/>
        <w:numPr>
          <w:ilvl w:val="1"/>
          <w:numId w:val="30"/>
        </w:numPr>
        <w:spacing w:after="120"/>
        <w:rPr>
          <w:rFonts w:eastAsia="Book Antiqua" w:cs="Book Antiqua"/>
          <w:color w:val="000000" w:themeColor="text1"/>
          <w:szCs w:val="26"/>
        </w:rPr>
      </w:pPr>
      <w:r w:rsidRPr="7004FDA8">
        <w:rPr>
          <w:rFonts w:eastAsia="Book Antiqua" w:cs="Book Antiqua"/>
          <w:szCs w:val="26"/>
        </w:rPr>
        <w:t xml:space="preserve">Providing timely input into the draft solicitation language and evaluation criteria; and </w:t>
      </w:r>
    </w:p>
    <w:p w:rsidRPr="001866AE" w:rsidR="00156653" w:rsidP="00F35407" w:rsidRDefault="00156653" w14:paraId="18F3FDFB" w14:textId="156B50EC">
      <w:pPr>
        <w:pStyle w:val="ListParagraph"/>
        <w:numPr>
          <w:ilvl w:val="1"/>
          <w:numId w:val="30"/>
        </w:numPr>
        <w:spacing w:after="120"/>
        <w:rPr>
          <w:rFonts w:eastAsia="Book Antiqua" w:cs="Book Antiqua"/>
          <w:color w:val="000000" w:themeColor="text1"/>
          <w:szCs w:val="26"/>
        </w:rPr>
      </w:pPr>
      <w:r w:rsidRPr="7004FDA8">
        <w:rPr>
          <w:rFonts w:eastAsia="Book Antiqua" w:cs="Book Antiqua"/>
          <w:szCs w:val="26"/>
        </w:rPr>
        <w:t>Providing recommendations based on review of materials</w:t>
      </w:r>
      <w:r w:rsidR="005F6FE9">
        <w:rPr>
          <w:rFonts w:eastAsia="Book Antiqua" w:cs="Book Antiqua"/>
          <w:szCs w:val="26"/>
        </w:rPr>
        <w:t>.</w:t>
      </w:r>
      <w:r w:rsidRPr="7004FDA8">
        <w:rPr>
          <w:rFonts w:eastAsia="Book Antiqua" w:cs="Book Antiqua"/>
          <w:szCs w:val="26"/>
        </w:rPr>
        <w:t xml:space="preserve">  </w:t>
      </w:r>
    </w:p>
    <w:p w:rsidRPr="00B171D3" w:rsidR="00156653" w:rsidP="00F35407" w:rsidRDefault="00156653" w14:paraId="5EFCC71F" w14:textId="20D66D99">
      <w:pPr>
        <w:pStyle w:val="Standard"/>
      </w:pPr>
      <w:r w:rsidRPr="6BD77790">
        <w:t xml:space="preserve">This process should rely upon the materials established for the </w:t>
      </w:r>
      <w:r w:rsidR="005F6FE9">
        <w:t>t</w:t>
      </w:r>
      <w:r w:rsidRPr="6BD77790">
        <w:t>hird-</w:t>
      </w:r>
      <w:r w:rsidR="005F6FE9">
        <w:t>p</w:t>
      </w:r>
      <w:r w:rsidRPr="6BD77790">
        <w:t xml:space="preserve">arty </w:t>
      </w:r>
      <w:r w:rsidR="005F6FE9">
        <w:t>p</w:t>
      </w:r>
      <w:r w:rsidRPr="6BD77790">
        <w:t xml:space="preserve">rocess in the main </w:t>
      </w:r>
      <w:r w:rsidR="005F6FE9">
        <w:t>e</w:t>
      </w:r>
      <w:r w:rsidRPr="6BD77790">
        <w:t xml:space="preserve">nergy </w:t>
      </w:r>
      <w:r w:rsidR="005F6FE9">
        <w:t>e</w:t>
      </w:r>
      <w:r w:rsidRPr="6BD77790">
        <w:t xml:space="preserve">fficiency </w:t>
      </w:r>
      <w:r w:rsidR="005F6FE9">
        <w:t>p</w:t>
      </w:r>
      <w:r w:rsidRPr="6BD77790">
        <w:t xml:space="preserve">ortfolio and modify them as appropriate for the low-income, multifamily sector. </w:t>
      </w:r>
    </w:p>
    <w:p w:rsidR="000C1980" w:rsidP="001968DC" w:rsidRDefault="000C1980" w14:paraId="68355125" w14:textId="77777777">
      <w:pPr>
        <w:spacing w:line="360" w:lineRule="auto"/>
        <w:ind w:left="360" w:firstLine="720"/>
        <w:rPr>
          <w:i/>
          <w:iCs/>
          <w:u w:val="single"/>
        </w:rPr>
      </w:pPr>
      <w:r>
        <w:rPr>
          <w:i/>
          <w:iCs/>
          <w:u w:val="single"/>
        </w:rPr>
        <w:lastRenderedPageBreak/>
        <w:t>Advice Letter Requirement upon Contract Selection</w:t>
      </w:r>
      <w:r w:rsidRPr="000513DB">
        <w:rPr>
          <w:i/>
          <w:iCs/>
          <w:u w:val="single"/>
        </w:rPr>
        <w:t xml:space="preserve"> </w:t>
      </w:r>
    </w:p>
    <w:p w:rsidR="000C1980" w:rsidP="00F35407" w:rsidRDefault="000C1980" w14:paraId="6076EFBA" w14:textId="18C48482">
      <w:pPr>
        <w:pStyle w:val="Standard"/>
      </w:pPr>
      <w:r w:rsidRPr="00E9357D">
        <w:t xml:space="preserve">The lead </w:t>
      </w:r>
      <w:r w:rsidR="00B05A80">
        <w:t>IOUs</w:t>
      </w:r>
      <w:r w:rsidRPr="00E9357D" w:rsidR="00B05A80">
        <w:t xml:space="preserve"> </w:t>
      </w:r>
      <w:r w:rsidRPr="00E9357D">
        <w:t xml:space="preserve">for the Northern and </w:t>
      </w:r>
      <w:r w:rsidRPr="002D4E82">
        <w:t>Southern MFWB program</w:t>
      </w:r>
      <w:r>
        <w:t>s shall submit a Tier 2 advice letter within 15 days of when the solicitation process concludes and a contract is executed, and at a date no later than</w:t>
      </w:r>
      <w:r w:rsidR="00EE2461">
        <w:t xml:space="preserve"> </w:t>
      </w:r>
      <w:r>
        <w:t>November 30, 2022, detailing the multifamily whole building program design, including a budget by category, measure offerings, energy savings goals, treatment targets, cost effectiveness values, contract terms, and Independent Evaluat</w:t>
      </w:r>
      <w:r w:rsidR="009A5EBA">
        <w:t>or</w:t>
      </w:r>
      <w:r>
        <w:t xml:space="preserve"> Report. The contract will be considered finalized once the advice letter is approved.  Energy Division staff will review for the program’s conformance with statute, this decision, and that the solicitation process was fair and transparent. The finalized MFWB program is authorized here to begin no sooner than January 1, 2023. </w:t>
      </w:r>
    </w:p>
    <w:p w:rsidRPr="006515A0" w:rsidR="000C1980" w:rsidP="001968DC" w:rsidRDefault="000C1980" w14:paraId="4DD79301" w14:textId="77777777">
      <w:pPr>
        <w:pStyle w:val="Heading3"/>
        <w:ind w:left="2664"/>
      </w:pPr>
      <w:bookmarkStart w:name="_Toc69948204" w:id="557"/>
      <w:r w:rsidRPr="00A27214">
        <w:t xml:space="preserve">Third Party </w:t>
      </w:r>
      <w:r w:rsidRPr="006515A0">
        <w:t xml:space="preserve">Design and Delivery: </w:t>
      </w:r>
      <w:r w:rsidRPr="006515A0">
        <w:rPr>
          <w:u w:val="single"/>
        </w:rPr>
        <w:t xml:space="preserve">Approved </w:t>
      </w:r>
      <w:r>
        <w:rPr>
          <w:u w:val="single"/>
        </w:rPr>
        <w:t>in Part</w:t>
      </w:r>
      <w:bookmarkEnd w:id="557"/>
    </w:p>
    <w:p w:rsidRPr="000B0CAB" w:rsidR="000C1980" w:rsidP="00F35407" w:rsidRDefault="001968DC" w14:paraId="622F5E6F" w14:textId="61600F46">
      <w:pPr>
        <w:pStyle w:val="Standard"/>
      </w:pPr>
      <w:r>
        <w:t>The</w:t>
      </w:r>
      <w:r w:rsidR="000C1980">
        <w:t xml:space="preserve"> IOUs </w:t>
      </w:r>
      <w:r>
        <w:t>may</w:t>
      </w:r>
      <w:r w:rsidR="000C1980">
        <w:t xml:space="preserve"> delegate the design of the program to bidders including proposed measures, marketing and outreach, and contractor choice. However, we agree with the Joint Parties that a consistent approach should be taken, and therefore set the following minimum requirements for the program design:</w:t>
      </w:r>
    </w:p>
    <w:p w:rsidRPr="00F35407" w:rsidR="000C1980" w:rsidP="00F35407" w:rsidRDefault="000C1980" w14:paraId="4E46B6B1" w14:textId="77777777">
      <w:pPr>
        <w:pStyle w:val="ListBullet"/>
      </w:pPr>
      <w:r w:rsidRPr="00F35407">
        <w:t>A single in-take application (which can include reliance on the MFWB portal).</w:t>
      </w:r>
    </w:p>
    <w:p w:rsidRPr="00F35407" w:rsidR="000C1980" w:rsidP="00F35407" w:rsidRDefault="000C1980" w14:paraId="09DB937F" w14:textId="77777777">
      <w:pPr>
        <w:pStyle w:val="ListBullet"/>
      </w:pPr>
      <w:r w:rsidRPr="00F35407">
        <w:t>Comprehensive technical assistance.</w:t>
      </w:r>
    </w:p>
    <w:p w:rsidRPr="00F35407" w:rsidR="000C1980" w:rsidP="00F35407" w:rsidRDefault="000C1980" w14:paraId="47B637E4" w14:textId="77777777">
      <w:pPr>
        <w:pStyle w:val="ListBullet"/>
      </w:pPr>
      <w:r w:rsidRPr="00F35407">
        <w:t>Consideration of healthy building materials.</w:t>
      </w:r>
    </w:p>
    <w:p w:rsidRPr="00F35407" w:rsidR="000C1980" w:rsidP="00F35407" w:rsidRDefault="000C1980" w14:paraId="348B0DFB" w14:textId="6BFBAE70">
      <w:pPr>
        <w:pStyle w:val="ListBullet"/>
      </w:pPr>
      <w:r w:rsidRPr="00F35407">
        <w:t>Energy audits and expanded measure lists</w:t>
      </w:r>
      <w:r w:rsidRPr="00F35407" w:rsidR="00B05A80">
        <w:t xml:space="preserve"> with consideration for highly efficient </w:t>
      </w:r>
      <w:r w:rsidRPr="00F35407" w:rsidR="002A6779">
        <w:t>electrification measures</w:t>
      </w:r>
      <w:r w:rsidRPr="00F35407">
        <w:t>.</w:t>
      </w:r>
    </w:p>
    <w:p w:rsidRPr="00F35407" w:rsidR="000C1980" w:rsidP="00F35407" w:rsidRDefault="000C1980" w14:paraId="55A41C17" w14:textId="77777777">
      <w:pPr>
        <w:pStyle w:val="ListBullet"/>
      </w:pPr>
      <w:r w:rsidRPr="00F35407">
        <w:t xml:space="preserve">Segmentation treatment plan. </w:t>
      </w:r>
    </w:p>
    <w:p w:rsidRPr="00F35407" w:rsidR="000C1980" w:rsidP="00F35407" w:rsidRDefault="000C1980" w14:paraId="13D68A41" w14:textId="4E81BF9A">
      <w:pPr>
        <w:pStyle w:val="ListBullet"/>
      </w:pPr>
      <w:r w:rsidRPr="00F35407">
        <w:lastRenderedPageBreak/>
        <w:t>Program leveraging,</w:t>
      </w:r>
      <w:r w:rsidRPr="00F35407" w:rsidR="00BF7DC7">
        <w:rPr>
          <w:rStyle w:val="FootnoteReference"/>
          <w:vertAlign w:val="baseline"/>
        </w:rPr>
        <w:t xml:space="preserve"> </w:t>
      </w:r>
      <w:r w:rsidRPr="00F35407" w:rsidR="00BF7DC7">
        <w:rPr>
          <w:rStyle w:val="FootnoteReference"/>
          <w:vertAlign w:val="baseline"/>
        </w:rPr>
        <w:footnoteReference w:id="956"/>
      </w:r>
      <w:r w:rsidRPr="00F35407">
        <w:t xml:space="preserve"> including program-to-program customer referrals.</w:t>
      </w:r>
    </w:p>
    <w:p w:rsidRPr="00F35407" w:rsidR="000C1980" w:rsidP="00F35407" w:rsidRDefault="000C1980" w14:paraId="2882A8AC" w14:textId="77777777">
      <w:pPr>
        <w:pStyle w:val="ListBullet"/>
      </w:pPr>
      <w:r w:rsidRPr="00F35407">
        <w:t>A comprehensive treatment approach including in unit and CAM measures.</w:t>
      </w:r>
    </w:p>
    <w:p w:rsidRPr="00F35407" w:rsidR="000C1980" w:rsidP="00F35407" w:rsidRDefault="000C1980" w14:paraId="378D85C8" w14:textId="77777777">
      <w:pPr>
        <w:pStyle w:val="ListBullet"/>
      </w:pPr>
      <w:r w:rsidRPr="00F35407">
        <w:t xml:space="preserve">Leveraging with CSD LIWP to provide ESA funding for in-unit treatment measures that are common to the ESA and LIWP programs. </w:t>
      </w:r>
    </w:p>
    <w:p w:rsidRPr="00F35407" w:rsidR="000C1980" w:rsidP="00F35407" w:rsidRDefault="000C1980" w14:paraId="4B522571" w14:textId="77777777">
      <w:pPr>
        <w:pStyle w:val="ListBullet"/>
      </w:pPr>
      <w:r w:rsidRPr="00F35407">
        <w:t xml:space="preserve">In-language applications and marketing materials, at a minimum Spanish. </w:t>
      </w:r>
    </w:p>
    <w:p w:rsidRPr="00F35407" w:rsidR="000C1980" w:rsidP="00F35407" w:rsidRDefault="000C1980" w14:paraId="29734D73" w14:textId="77777777">
      <w:pPr>
        <w:pStyle w:val="ListBullet"/>
      </w:pPr>
      <w:r w:rsidRPr="00F35407">
        <w:t>Workforce outreach plans for leveraging existing available WE&amp;T programs, a preference for hiring from DACs and local communities.</w:t>
      </w:r>
    </w:p>
    <w:p w:rsidRPr="00F35407" w:rsidR="000C1980" w:rsidP="00F35407" w:rsidRDefault="000C1980" w14:paraId="476EEFBF" w14:textId="77777777">
      <w:pPr>
        <w:pStyle w:val="ListBullet"/>
      </w:pPr>
      <w:r w:rsidRPr="00F35407">
        <w:t>SPOC services (where proposed to be outsourced), to be a “true one stop model” whereby a property owner, manager or tenant will rely on them to facilitate and coordinate program access.</w:t>
      </w:r>
    </w:p>
    <w:p w:rsidRPr="008B0FE0" w:rsidR="002F1C10" w:rsidP="00F35407" w:rsidRDefault="008B0FE0" w14:paraId="637151DB" w14:textId="3F68270C">
      <w:pPr>
        <w:pStyle w:val="Standard"/>
      </w:pPr>
      <w:r w:rsidRPr="44456692">
        <w:t xml:space="preserve">During </w:t>
      </w:r>
      <w:r>
        <w:t>PYs</w:t>
      </w:r>
      <w:r w:rsidRPr="44456692">
        <w:t xml:space="preserve"> 2023</w:t>
      </w:r>
      <w:r>
        <w:t>-</w:t>
      </w:r>
      <w:r w:rsidRPr="3C7FB043">
        <w:t>2026</w:t>
      </w:r>
      <w:r w:rsidRPr="44456692">
        <w:t xml:space="preserve">, when the MFWB </w:t>
      </w:r>
      <w:r>
        <w:t>p</w:t>
      </w:r>
      <w:r w:rsidRPr="44456692">
        <w:t xml:space="preserve">rograms are operational, the IOUs and MFWB </w:t>
      </w:r>
      <w:r>
        <w:t>p</w:t>
      </w:r>
      <w:r w:rsidRPr="44456692">
        <w:t xml:space="preserve">rogram </w:t>
      </w:r>
      <w:r>
        <w:t>a</w:t>
      </w:r>
      <w:r w:rsidRPr="44456692">
        <w:t xml:space="preserve">dministrators will make annual presentations to the ESA Working Group to report on progress and receive feedback. </w:t>
      </w:r>
      <w:r w:rsidRPr="2535E364">
        <w:t>Additionally, the</w:t>
      </w:r>
      <w:r w:rsidRPr="44456692">
        <w:t xml:space="preserve"> lead IOUs will </w:t>
      </w:r>
      <w:r w:rsidRPr="2535E364">
        <w:t xml:space="preserve">include progress tracking on the MFWB programs in their monthly reports and </w:t>
      </w:r>
      <w:r w:rsidRPr="44456692">
        <w:t xml:space="preserve">provide annual updates </w:t>
      </w:r>
      <w:r w:rsidRPr="2535E364">
        <w:t>within</w:t>
      </w:r>
      <w:r w:rsidRPr="44456692">
        <w:t xml:space="preserve"> their </w:t>
      </w:r>
      <w:r>
        <w:t>a</w:t>
      </w:r>
      <w:r w:rsidRPr="44456692">
        <w:t xml:space="preserve">nnual </w:t>
      </w:r>
      <w:r>
        <w:t>r</w:t>
      </w:r>
      <w:r w:rsidRPr="44456692">
        <w:t>eport</w:t>
      </w:r>
      <w:r w:rsidR="00737B05">
        <w:t>s</w:t>
      </w:r>
      <w:r w:rsidRPr="44456692">
        <w:t>.</w:t>
      </w:r>
    </w:p>
    <w:p w:rsidRPr="00F62AD4" w:rsidR="000C1980" w:rsidP="000C1980" w:rsidRDefault="000C1980" w14:paraId="05F04A5B" w14:textId="53684D7B">
      <w:pPr>
        <w:keepNext/>
        <w:keepLines/>
        <w:spacing w:line="360" w:lineRule="auto"/>
        <w:ind w:firstLine="720"/>
        <w:rPr>
          <w:i/>
          <w:iCs/>
          <w:u w:val="single"/>
        </w:rPr>
      </w:pPr>
      <w:r w:rsidRPr="00F62AD4">
        <w:rPr>
          <w:i/>
          <w:iCs/>
          <w:u w:val="single"/>
        </w:rPr>
        <w:t>Multifamily Central Portal</w:t>
      </w:r>
    </w:p>
    <w:p w:rsidR="000C1980" w:rsidP="00F35407" w:rsidRDefault="000C1980" w14:paraId="6E6141F9" w14:textId="461C35F5">
      <w:pPr>
        <w:pStyle w:val="Standard"/>
      </w:pPr>
      <w:r>
        <w:t xml:space="preserve">As part of the design, we also approve </w:t>
      </w:r>
      <w:r w:rsidRPr="00FB4969">
        <w:t xml:space="preserve">SDG&amp;E and SoCalGas’ </w:t>
      </w:r>
      <w:r>
        <w:t>proposals</w:t>
      </w:r>
      <w:r w:rsidRPr="00FB4969">
        <w:t xml:space="preserve"> to </w:t>
      </w:r>
      <w:r w:rsidRPr="00810825">
        <w:t>create an online statewide multifamily application portal for customers</w:t>
      </w:r>
      <w:r>
        <w:t xml:space="preserve">, the </w:t>
      </w:r>
      <w:r w:rsidRPr="00810825">
        <w:t>Multifamily Central Portal.</w:t>
      </w:r>
      <w:r w:rsidRPr="00FB4969">
        <w:t xml:space="preserve"> </w:t>
      </w:r>
      <w:r>
        <w:t xml:space="preserve"> </w:t>
      </w:r>
      <w:r w:rsidRPr="00FB4969">
        <w:t xml:space="preserve">To fund this effort, </w:t>
      </w:r>
      <w:r>
        <w:t xml:space="preserve">the IOUs can spend </w:t>
      </w:r>
      <w:r w:rsidRPr="00FB4969">
        <w:t xml:space="preserve">up to $500k statewide from </w:t>
      </w:r>
      <w:r>
        <w:t xml:space="preserve">the approved </w:t>
      </w:r>
      <w:r w:rsidRPr="00FB4969">
        <w:t xml:space="preserve">ESA </w:t>
      </w:r>
      <w:r>
        <w:t>ME&amp;O</w:t>
      </w:r>
      <w:r w:rsidRPr="00FB4969">
        <w:t xml:space="preserve"> budgets </w:t>
      </w:r>
      <w:r w:rsidRPr="005D2B30">
        <w:t>utilizing the traditional IOU funding split (PG&amp;E 30</w:t>
      </w:r>
      <w:r w:rsidRPr="005D2B30">
        <w:rPr>
          <w:b/>
        </w:rPr>
        <w:t xml:space="preserve"> </w:t>
      </w:r>
      <w:r w:rsidRPr="005D2B30">
        <w:rPr>
          <w:bCs/>
        </w:rPr>
        <w:t>percent</w:t>
      </w:r>
      <w:r w:rsidRPr="005D2B30">
        <w:t>, SCE 30</w:t>
      </w:r>
      <w:r w:rsidRPr="005D2B30">
        <w:rPr>
          <w:bCs/>
        </w:rPr>
        <w:t xml:space="preserve"> percent</w:t>
      </w:r>
      <w:r w:rsidRPr="005D2B30">
        <w:t>, S</w:t>
      </w:r>
      <w:r w:rsidR="00112F16">
        <w:t>o</w:t>
      </w:r>
      <w:r w:rsidRPr="005D2B30">
        <w:t>C</w:t>
      </w:r>
      <w:r w:rsidR="00112F16">
        <w:t>al</w:t>
      </w:r>
      <w:r w:rsidRPr="005D2B30">
        <w:t>G</w:t>
      </w:r>
      <w:r w:rsidR="00112F16">
        <w:t>as</w:t>
      </w:r>
      <w:r w:rsidRPr="005D2B30">
        <w:t xml:space="preserve"> 25</w:t>
      </w:r>
      <w:r w:rsidRPr="005D2B30">
        <w:rPr>
          <w:b/>
        </w:rPr>
        <w:t xml:space="preserve"> </w:t>
      </w:r>
      <w:r w:rsidRPr="005D2B30">
        <w:rPr>
          <w:bCs/>
        </w:rPr>
        <w:t>percent</w:t>
      </w:r>
      <w:r w:rsidRPr="005D2B30">
        <w:t>, SDG&amp;E 15</w:t>
      </w:r>
      <w:r w:rsidRPr="005D2B30">
        <w:rPr>
          <w:bCs/>
        </w:rPr>
        <w:t xml:space="preserve"> </w:t>
      </w:r>
      <w:r w:rsidRPr="005D2B30">
        <w:rPr>
          <w:bCs/>
        </w:rPr>
        <w:lastRenderedPageBreak/>
        <w:t>percent</w:t>
      </w:r>
      <w:r w:rsidRPr="005D2B30">
        <w:t>)</w:t>
      </w:r>
      <w:r>
        <w:t xml:space="preserve">.  </w:t>
      </w:r>
      <w:r w:rsidRPr="00C72D77">
        <w:t xml:space="preserve">PG&amp;E </w:t>
      </w:r>
      <w:r>
        <w:t xml:space="preserve">is designated to </w:t>
      </w:r>
      <w:r w:rsidRPr="00C72D77">
        <w:t>be the IOU lead for development and implementation</w:t>
      </w:r>
      <w:r>
        <w:t xml:space="preserve"> of the </w:t>
      </w:r>
      <w:r w:rsidRPr="00810825">
        <w:t>Multifamily Central Portal</w:t>
      </w:r>
      <w:r>
        <w:t xml:space="preserve"> which </w:t>
      </w:r>
      <w:r w:rsidRPr="00D66026">
        <w:t>shall be available by</w:t>
      </w:r>
      <w:r>
        <w:t xml:space="preserve"> </w:t>
      </w:r>
      <w:r w:rsidR="00B32F60">
        <w:t>November 30, 2022</w:t>
      </w:r>
      <w:r w:rsidRPr="00D66026" w:rsidR="00B32F60">
        <w:t>.</w:t>
      </w:r>
      <w:r>
        <w:t xml:space="preserve"> </w:t>
      </w:r>
      <w:r w:rsidRPr="00B02EB2" w:rsidR="00B02EB2">
        <w:t xml:space="preserve">A portion of the budget shall be reserved for ongoing maintenance and continued development over the program cycle. </w:t>
      </w:r>
      <w:r>
        <w:t>A</w:t>
      </w:r>
      <w:r w:rsidRPr="00D66026">
        <w:t>t a minimum</w:t>
      </w:r>
      <w:r>
        <w:t xml:space="preserve">, </w:t>
      </w:r>
      <w:r w:rsidR="00D82C4A">
        <w:t xml:space="preserve">and </w:t>
      </w:r>
      <w:r w:rsidRPr="00D82C4A" w:rsidR="00D82C4A">
        <w:t xml:space="preserve">by November 30, 2022, </w:t>
      </w:r>
      <w:r>
        <w:t>this</w:t>
      </w:r>
      <w:r w:rsidRPr="00D66026">
        <w:t xml:space="preserve"> portal will allow tenants </w:t>
      </w:r>
      <w:r w:rsidR="00124D3E">
        <w:t>and</w:t>
      </w:r>
      <w:r w:rsidRPr="00D66026" w:rsidR="00124D3E">
        <w:t xml:space="preserve"> </w:t>
      </w:r>
      <w:r w:rsidRPr="00D66026">
        <w:t xml:space="preserve">property owners to submit inquiries and applications for the Northern and Southern MFWB </w:t>
      </w:r>
      <w:r>
        <w:t>p</w:t>
      </w:r>
      <w:r w:rsidRPr="00D66026">
        <w:t>rograms</w:t>
      </w:r>
      <w:r w:rsidRPr="00BF1AAF" w:rsidR="00BF1AAF">
        <w:t xml:space="preserve"> </w:t>
      </w:r>
      <w:r w:rsidRPr="00481B2D" w:rsidR="00BF1AAF">
        <w:t>and track that information for program administrators.  The feature set at launch should match the available time frame for initial development</w:t>
      </w:r>
      <w:r w:rsidRPr="00D66026">
        <w:t xml:space="preserve">. </w:t>
      </w:r>
      <w:r>
        <w:t xml:space="preserve"> </w:t>
      </w:r>
      <w:r w:rsidRPr="00D66026">
        <w:t>The IOUs must provide easy</w:t>
      </w:r>
      <w:r>
        <w:noBreakHyphen/>
      </w:r>
      <w:r w:rsidRPr="00D66026">
        <w:t>to</w:t>
      </w:r>
      <w:r>
        <w:noBreakHyphen/>
      </w:r>
      <w:r w:rsidRPr="00D66026">
        <w:t xml:space="preserve">find, clear and distinguishable links to this application portal from their own websites. </w:t>
      </w:r>
      <w:r>
        <w:t xml:space="preserve"> </w:t>
      </w:r>
      <w:r w:rsidRPr="00D66026">
        <w:t xml:space="preserve">The portal can include descriptive program information and partnerships information, or links as determined by the ESA Working Group.  </w:t>
      </w:r>
    </w:p>
    <w:p w:rsidRPr="00F62AD4" w:rsidR="000C1980" w:rsidP="000C1980" w:rsidRDefault="000C1980" w14:paraId="242CE126" w14:textId="77777777">
      <w:pPr>
        <w:spacing w:line="360" w:lineRule="auto"/>
        <w:ind w:firstLine="720"/>
        <w:rPr>
          <w:i/>
          <w:iCs/>
          <w:u w:val="single"/>
        </w:rPr>
      </w:pPr>
      <w:r>
        <w:rPr>
          <w:i/>
          <w:iCs/>
          <w:u w:val="single"/>
        </w:rPr>
        <w:t xml:space="preserve">Continuing Multifamily </w:t>
      </w:r>
      <w:r w:rsidRPr="00F62AD4">
        <w:rPr>
          <w:i/>
          <w:iCs/>
          <w:u w:val="single"/>
        </w:rPr>
        <w:t xml:space="preserve">ESA </w:t>
      </w:r>
      <w:proofErr w:type="gramStart"/>
      <w:r>
        <w:rPr>
          <w:i/>
          <w:iCs/>
          <w:u w:val="single"/>
        </w:rPr>
        <w:t>I</w:t>
      </w:r>
      <w:r w:rsidRPr="00F62AD4">
        <w:rPr>
          <w:i/>
          <w:iCs/>
          <w:u w:val="single"/>
        </w:rPr>
        <w:t>n</w:t>
      </w:r>
      <w:proofErr w:type="gramEnd"/>
      <w:r w:rsidRPr="00F62AD4">
        <w:rPr>
          <w:i/>
          <w:iCs/>
          <w:u w:val="single"/>
        </w:rPr>
        <w:t xml:space="preserve"> </w:t>
      </w:r>
      <w:r>
        <w:rPr>
          <w:i/>
          <w:iCs/>
          <w:u w:val="single"/>
        </w:rPr>
        <w:t>U</w:t>
      </w:r>
      <w:r w:rsidRPr="00F62AD4">
        <w:rPr>
          <w:i/>
          <w:iCs/>
          <w:u w:val="single"/>
        </w:rPr>
        <w:t xml:space="preserve">nit and CAM </w:t>
      </w:r>
      <w:r>
        <w:rPr>
          <w:i/>
          <w:iCs/>
          <w:u w:val="single"/>
        </w:rPr>
        <w:t>O</w:t>
      </w:r>
      <w:r w:rsidRPr="00F62AD4">
        <w:rPr>
          <w:i/>
          <w:iCs/>
          <w:u w:val="single"/>
        </w:rPr>
        <w:t>fferings</w:t>
      </w:r>
      <w:r>
        <w:rPr>
          <w:i/>
          <w:iCs/>
          <w:u w:val="single"/>
        </w:rPr>
        <w:t xml:space="preserve"> in the Interim</w:t>
      </w:r>
    </w:p>
    <w:p w:rsidRPr="00455681" w:rsidR="000C1980" w:rsidP="00F35407" w:rsidRDefault="000C1980" w14:paraId="68C633A9" w14:textId="39AD0295">
      <w:pPr>
        <w:pStyle w:val="Standard"/>
      </w:pPr>
      <w:r>
        <w:t xml:space="preserve">Lastly, we direct the IOUs to </w:t>
      </w:r>
      <w:r w:rsidRPr="00455681">
        <w:t xml:space="preserve">continue </w:t>
      </w:r>
      <w:r>
        <w:t>offering their</w:t>
      </w:r>
      <w:r w:rsidRPr="00455681">
        <w:t xml:space="preserve"> </w:t>
      </w:r>
      <w:r>
        <w:t xml:space="preserve">multifamily ESA in unit and </w:t>
      </w:r>
      <w:r w:rsidRPr="00455681">
        <w:t xml:space="preserve">CAM </w:t>
      </w:r>
      <w:r>
        <w:t xml:space="preserve">measure offerings </w:t>
      </w:r>
      <w:r w:rsidRPr="00455681">
        <w:t xml:space="preserve">until </w:t>
      </w:r>
      <w:r>
        <w:t xml:space="preserve">the </w:t>
      </w:r>
      <w:r w:rsidRPr="00455681">
        <w:t xml:space="preserve">MFWB </w:t>
      </w:r>
      <w:r>
        <w:t>p</w:t>
      </w:r>
      <w:r w:rsidRPr="00455681">
        <w:t>rograms</w:t>
      </w:r>
      <w:r>
        <w:t xml:space="preserve"> are up and running</w:t>
      </w:r>
      <w:r w:rsidRPr="00455681">
        <w:t xml:space="preserve">. Until that time, the rules adopted in D.17-12-009 governing CAM remain, except for any revisions to eligibility, ESA measure changes, and reporting requirements adjusted here. </w:t>
      </w:r>
      <w:r>
        <w:t xml:space="preserve"> We will continue CAM’s annual reporting requirement and</w:t>
      </w:r>
      <w:r w:rsidRPr="00D37550">
        <w:t xml:space="preserve"> require the IOUs to report the normalized energy</w:t>
      </w:r>
      <w:r>
        <w:t xml:space="preserve"> </w:t>
      </w:r>
      <w:r w:rsidRPr="00D37550">
        <w:t xml:space="preserve">use </w:t>
      </w:r>
      <w:r>
        <w:t xml:space="preserve">and </w:t>
      </w:r>
      <w:r w:rsidRPr="00D37550">
        <w:t>savings</w:t>
      </w:r>
      <w:r>
        <w:t>.</w:t>
      </w:r>
      <w:r>
        <w:rPr>
          <w:rStyle w:val="FootnoteReference"/>
        </w:rPr>
        <w:footnoteReference w:id="957"/>
      </w:r>
      <w:r>
        <w:t xml:space="preserve"> </w:t>
      </w:r>
      <w:r w:rsidR="0041011C">
        <w:t>T</w:t>
      </w:r>
      <w:r>
        <w:t>he reporting template approved by Energy Division will include the specifics of this reporting criteria.</w:t>
      </w:r>
    </w:p>
    <w:p w:rsidRPr="00AB3D4A" w:rsidR="000C1980" w:rsidP="001C46EA" w:rsidRDefault="000C1980" w14:paraId="16B8D7D4" w14:textId="77777777">
      <w:pPr>
        <w:pStyle w:val="Heading3"/>
      </w:pPr>
      <w:bookmarkStart w:name="_Toc69948205" w:id="558"/>
      <w:r w:rsidRPr="00AB3D4A">
        <w:t xml:space="preserve">SPOC Proposals: </w:t>
      </w:r>
      <w:r w:rsidRPr="0041011C">
        <w:rPr>
          <w:u w:val="single"/>
        </w:rPr>
        <w:t>Approved with Modifications</w:t>
      </w:r>
      <w:bookmarkEnd w:id="558"/>
    </w:p>
    <w:p w:rsidRPr="00350EA9" w:rsidR="000C1980" w:rsidP="000C1980" w:rsidRDefault="000C1980" w14:paraId="4C3C960A" w14:textId="77777777">
      <w:pPr>
        <w:spacing w:line="360" w:lineRule="auto"/>
        <w:ind w:firstLine="720"/>
      </w:pPr>
      <w:r w:rsidRPr="00350EA9">
        <w:t xml:space="preserve">We </w:t>
      </w:r>
      <w:r>
        <w:t xml:space="preserve">approve the </w:t>
      </w:r>
      <w:r w:rsidRPr="00350EA9">
        <w:t>IOU</w:t>
      </w:r>
      <w:r>
        <w:t xml:space="preserve">s’ SPOC </w:t>
      </w:r>
      <w:r w:rsidRPr="00350EA9">
        <w:t>proposal</w:t>
      </w:r>
      <w:r>
        <w:t xml:space="preserve">s, whether the IOU proposes to keep SPOC in house </w:t>
      </w:r>
      <w:r w:rsidRPr="00350EA9">
        <w:t>(SCE, SDG&amp;E</w:t>
      </w:r>
      <w:r>
        <w:t>, SoCalGas</w:t>
      </w:r>
      <w:r w:rsidRPr="00350EA9">
        <w:t xml:space="preserve">) or outsourced (PG&amp;E), </w:t>
      </w:r>
      <w:r>
        <w:t>but will</w:t>
      </w:r>
      <w:r w:rsidRPr="00350EA9">
        <w:t xml:space="preserve"> require </w:t>
      </w:r>
      <w:r w:rsidRPr="00350EA9">
        <w:lastRenderedPageBreak/>
        <w:t xml:space="preserve">alignment across all IOU </w:t>
      </w:r>
      <w:r>
        <w:t>multifamily</w:t>
      </w:r>
      <w:r w:rsidRPr="00350EA9">
        <w:t xml:space="preserve"> programs on key SPOC services</w:t>
      </w:r>
      <w:r>
        <w:t>.  These include</w:t>
      </w:r>
      <w:r w:rsidRPr="00607168">
        <w:t xml:space="preserve"> </w:t>
      </w:r>
      <w:r>
        <w:t xml:space="preserve">requiring the </w:t>
      </w:r>
      <w:r w:rsidRPr="00350EA9">
        <w:t>SPOC</w:t>
      </w:r>
      <w:r>
        <w:t xml:space="preserve"> to 1) </w:t>
      </w:r>
      <w:r w:rsidRPr="00350EA9">
        <w:t>offer benchmarking services (through EPA Portfolio Manager)</w:t>
      </w:r>
      <w:r>
        <w:t xml:space="preserve">, 2) offer </w:t>
      </w:r>
      <w:r w:rsidRPr="00350EA9">
        <w:t xml:space="preserve">financial </w:t>
      </w:r>
      <w:r>
        <w:t>services, 3) be a “true one stop model”</w:t>
      </w:r>
      <w:r w:rsidRPr="00FB79E0">
        <w:rPr>
          <w:rFonts w:asciiTheme="minorHAnsi" w:hAnsiTheme="minorHAnsi" w:cstheme="minorBidi"/>
          <w:sz w:val="22"/>
          <w:szCs w:val="22"/>
        </w:rPr>
        <w:t xml:space="preserve"> </w:t>
      </w:r>
      <w:r w:rsidRPr="00252173">
        <w:t>whereby a property owner, manager or tenant will rely on them to facilitate and coordinate program access</w:t>
      </w:r>
      <w:r>
        <w:t xml:space="preserve">, and 3) continue to </w:t>
      </w:r>
      <w:r w:rsidRPr="00350EA9">
        <w:t>offer on-bill financing to qualified deed-restricted multifamily properties.</w:t>
      </w:r>
      <w:r w:rsidRPr="00350EA9">
        <w:rPr>
          <w:rFonts w:eastAsia="Book Antiqua" w:cs="Book Antiqua"/>
          <w:color w:val="000000" w:themeColor="text1"/>
          <w:vertAlign w:val="superscript"/>
        </w:rPr>
        <w:footnoteReference w:id="958"/>
      </w:r>
      <w:r>
        <w:t xml:space="preserve">  Lastly, we approve SDG&amp;E’s proposal to use its “rapid feedback” budget to study its SPOC model. </w:t>
      </w:r>
    </w:p>
    <w:p w:rsidRPr="00173574" w:rsidR="000C1980" w:rsidP="001C46EA" w:rsidRDefault="000C1980" w14:paraId="4B54D60C" w14:textId="434EE3D3">
      <w:pPr>
        <w:pStyle w:val="Heading3"/>
      </w:pPr>
      <w:bookmarkStart w:name="_Toc69948206" w:id="559"/>
      <w:r>
        <w:t>T</w:t>
      </w:r>
      <w:r w:rsidRPr="00173574">
        <w:t>reatment of Non</w:t>
      </w:r>
      <w:r w:rsidR="00662567">
        <w:t>-</w:t>
      </w:r>
      <w:r w:rsidRPr="00173574">
        <w:t xml:space="preserve">Deed Restricted Properties: </w:t>
      </w:r>
      <w:r w:rsidRPr="00173574">
        <w:rPr>
          <w:u w:val="single"/>
        </w:rPr>
        <w:t>Approved</w:t>
      </w:r>
      <w:bookmarkEnd w:id="559"/>
    </w:p>
    <w:p w:rsidR="000C1980" w:rsidP="00F35407" w:rsidRDefault="000C1980" w14:paraId="10A47117" w14:textId="35A14E58">
      <w:pPr>
        <w:pStyle w:val="Standard"/>
      </w:pPr>
      <w:r>
        <w:t xml:space="preserve"> </w:t>
      </w:r>
      <w:r w:rsidRPr="000B0CAB">
        <w:t xml:space="preserve">We </w:t>
      </w:r>
      <w:r>
        <w:t>approve</w:t>
      </w:r>
      <w:r w:rsidRPr="000B0CAB">
        <w:t xml:space="preserve"> </w:t>
      </w:r>
      <w:r>
        <w:t xml:space="preserve">extending eligibility to receive services (including in unit, CAM and MFWB measures) to </w:t>
      </w:r>
      <w:r w:rsidRPr="000E774C">
        <w:t>non-deed</w:t>
      </w:r>
      <w:r w:rsidR="00662567">
        <w:t xml:space="preserve"> </w:t>
      </w:r>
      <w:r w:rsidRPr="000E774C">
        <w:t xml:space="preserve">restricted </w:t>
      </w:r>
      <w:r>
        <w:t xml:space="preserve">multifamily </w:t>
      </w:r>
      <w:r w:rsidRPr="000E774C">
        <w:t>properties</w:t>
      </w:r>
      <w:r>
        <w:t xml:space="preserve"> that meet the program’s income requirements.  We determine that non-deed restricted properties also have </w:t>
      </w:r>
      <w:r w:rsidRPr="000B0CAB">
        <w:t>reasonable efficiency opportunities</w:t>
      </w:r>
      <w:r>
        <w:t>, and thus require all the IOUs to offer comprehensive multifamily services to all eligible deed restricted and non-deed restricted multifamily properties.</w:t>
      </w:r>
    </w:p>
    <w:p w:rsidRPr="00173574" w:rsidR="000C1980" w:rsidP="001C46EA" w:rsidRDefault="000C1980" w14:paraId="0F9333F5" w14:textId="77777777">
      <w:pPr>
        <w:pStyle w:val="Heading3"/>
      </w:pPr>
      <w:bookmarkStart w:name="_Toc69948207" w:id="560"/>
      <w:r w:rsidRPr="00F02B38">
        <w:t xml:space="preserve">Lowering the Eligibility Threshold for Deed Restricted Properties: </w:t>
      </w:r>
      <w:r w:rsidRPr="00F02B38">
        <w:rPr>
          <w:u w:val="single"/>
        </w:rPr>
        <w:t>Approved</w:t>
      </w:r>
      <w:bookmarkEnd w:id="560"/>
    </w:p>
    <w:p w:rsidR="000C1980" w:rsidP="00F35407" w:rsidRDefault="000C1980" w14:paraId="1D3D051D" w14:textId="64794B12">
      <w:pPr>
        <w:pStyle w:val="Standard"/>
      </w:pPr>
      <w:r>
        <w:t>For deed restricted properties, we approve</w:t>
      </w:r>
      <w:r w:rsidRPr="00646CEB">
        <w:t xml:space="preserve"> </w:t>
      </w:r>
      <w:r>
        <w:t>lowering the income qualification threshold from 80 percent</w:t>
      </w:r>
      <w:r w:rsidRPr="00153BB6">
        <w:t xml:space="preserve"> </w:t>
      </w:r>
      <w:r w:rsidRPr="00025BD6">
        <w:t xml:space="preserve">of </w:t>
      </w:r>
      <w:r>
        <w:t xml:space="preserve">the </w:t>
      </w:r>
      <w:r w:rsidRPr="00025BD6">
        <w:t xml:space="preserve">households </w:t>
      </w:r>
      <w:r>
        <w:t xml:space="preserve">at the property </w:t>
      </w:r>
      <w:r w:rsidRPr="00025BD6">
        <w:t>meet</w:t>
      </w:r>
      <w:r>
        <w:t>ing the</w:t>
      </w:r>
      <w:r w:rsidRPr="00025BD6">
        <w:t xml:space="preserve"> ESA income requirements</w:t>
      </w:r>
      <w:r>
        <w:t xml:space="preserve"> to 65 percent to qualify for MFWB services or CAM services.  We also approve lowering the</w:t>
      </w:r>
      <w:r w:rsidRPr="00025BD6">
        <w:t xml:space="preserve"> </w:t>
      </w:r>
      <w:r>
        <w:t>income qualification threshold from 80 percent</w:t>
      </w:r>
      <w:r w:rsidRPr="00153BB6">
        <w:t xml:space="preserve"> </w:t>
      </w:r>
      <w:r w:rsidRPr="00025BD6">
        <w:t xml:space="preserve">of </w:t>
      </w:r>
      <w:r>
        <w:t xml:space="preserve">the </w:t>
      </w:r>
      <w:r w:rsidRPr="00025BD6">
        <w:t xml:space="preserve">households </w:t>
      </w:r>
      <w:r>
        <w:t xml:space="preserve">at the property </w:t>
      </w:r>
      <w:r w:rsidRPr="00025BD6">
        <w:t>meet</w:t>
      </w:r>
      <w:r>
        <w:t>ing the</w:t>
      </w:r>
      <w:r w:rsidRPr="00025BD6">
        <w:t xml:space="preserve"> ESA income requirements</w:t>
      </w:r>
      <w:r>
        <w:t xml:space="preserve"> to 65 percent to qualify for full property treatment of ESA </w:t>
      </w:r>
      <w:r w:rsidRPr="00025BD6">
        <w:t xml:space="preserve">in-unit </w:t>
      </w:r>
      <w:r>
        <w:t xml:space="preserve">services to create eligibility alignment.  For deed restricted properties, we are confident that </w:t>
      </w:r>
      <w:r w:rsidRPr="00123C84">
        <w:t>the remaining units are likely to also be income qualified</w:t>
      </w:r>
      <w:r>
        <w:t xml:space="preserve">. </w:t>
      </w:r>
    </w:p>
    <w:p w:rsidRPr="00BD16E1" w:rsidR="000C1980" w:rsidP="001C46EA" w:rsidRDefault="000C1980" w14:paraId="48F9EB79" w14:textId="77777777">
      <w:pPr>
        <w:pStyle w:val="Heading3"/>
      </w:pPr>
      <w:bookmarkStart w:name="_Toc69948208" w:id="561"/>
      <w:r w:rsidRPr="00BD16E1">
        <w:lastRenderedPageBreak/>
        <w:t xml:space="preserve">Lowering the Eligibility Threshold for </w:t>
      </w:r>
      <w:proofErr w:type="gramStart"/>
      <w:r w:rsidRPr="00BD16E1">
        <w:t>Non Deed</w:t>
      </w:r>
      <w:proofErr w:type="gramEnd"/>
      <w:r w:rsidRPr="00BD16E1">
        <w:t xml:space="preserve"> Restricted Properties: </w:t>
      </w:r>
      <w:r w:rsidRPr="00BD16E1">
        <w:rPr>
          <w:u w:val="single"/>
        </w:rPr>
        <w:t>Denied</w:t>
      </w:r>
      <w:bookmarkEnd w:id="561"/>
    </w:p>
    <w:p w:rsidR="000C1980" w:rsidP="00F35407" w:rsidRDefault="000C1980" w14:paraId="36CB54CD" w14:textId="77777777">
      <w:pPr>
        <w:pStyle w:val="Standard"/>
      </w:pPr>
      <w:r>
        <w:t xml:space="preserve">For non-deed restricted properties, we deny PG&amp;E’s request to lower the income qualification threshold from 80 percent of the households at the property meeting the ESA income requirements to 65 percent to qualify for MFWB services or CAM services.  We also deny SCE’s request to lower the income qualification threshold from 80 percent of the households at the property meeting the ESA income requirements to 65 percent to qualify for full property treatment of ESA in-unit services.  Due to the lack of record to show that a 65 percent threshold is reasonable for non-deed restricted properties, we will be conservative in maintaining the 80 percent threshold. </w:t>
      </w:r>
    </w:p>
    <w:p w:rsidRPr="00C35A91" w:rsidR="000C1980" w:rsidP="001C46EA" w:rsidRDefault="000C1980" w14:paraId="31812021" w14:textId="77777777">
      <w:pPr>
        <w:pStyle w:val="Heading3"/>
      </w:pPr>
      <w:bookmarkStart w:name="_Toc69948209" w:id="562"/>
      <w:r w:rsidRPr="00C35A91">
        <w:t xml:space="preserve">Allowing Property Owner Enrollment and Certification: </w:t>
      </w:r>
      <w:r w:rsidRPr="00C35A91">
        <w:rPr>
          <w:u w:val="single"/>
        </w:rPr>
        <w:t>Approved</w:t>
      </w:r>
      <w:bookmarkEnd w:id="562"/>
    </w:p>
    <w:p w:rsidR="000C1980" w:rsidP="000C1980" w:rsidRDefault="000C1980" w14:paraId="41BA5BCB" w14:textId="77777777">
      <w:pPr>
        <w:spacing w:line="360" w:lineRule="auto"/>
        <w:ind w:firstLine="720"/>
      </w:pPr>
      <w:r>
        <w:t xml:space="preserve">We approve PG&amp;E’s proposal to allow </w:t>
      </w:r>
      <w:r w:rsidRPr="00E71574">
        <w:t>property owners to enroll tenants in</w:t>
      </w:r>
      <w:r>
        <w:t xml:space="preserve">to ESA for </w:t>
      </w:r>
      <w:r w:rsidRPr="00E71574">
        <w:t>in-unit</w:t>
      </w:r>
      <w:r>
        <w:t xml:space="preserve"> measures</w:t>
      </w:r>
      <w:r w:rsidRPr="00E71574">
        <w:t xml:space="preserve"> and install measures without </w:t>
      </w:r>
      <w:r>
        <w:t xml:space="preserve">the tenant having to separately </w:t>
      </w:r>
      <w:r w:rsidRPr="00E71574">
        <w:t xml:space="preserve">enroll, so long as the property owner provides </w:t>
      </w:r>
      <w:r>
        <w:t xml:space="preserve">appropriate income eligibility documentation.  This is an important step in supporting and easing the property owners’ ability to obtain program access on behalf of qualified tenants, and all the IOUs shall implement this policy.  </w:t>
      </w:r>
    </w:p>
    <w:p w:rsidR="000C1980" w:rsidP="000C1980" w:rsidRDefault="000C1980" w14:paraId="2560515D" w14:textId="77777777">
      <w:pPr>
        <w:spacing w:line="360" w:lineRule="auto"/>
        <w:ind w:firstLine="720"/>
      </w:pPr>
      <w:r>
        <w:t>Also, c</w:t>
      </w:r>
      <w:r w:rsidRPr="005A43F4">
        <w:t>urrently, landlords can certify that at least 80</w:t>
      </w:r>
      <w:r>
        <w:t xml:space="preserve"> percent</w:t>
      </w:r>
      <w:r w:rsidRPr="005A43F4">
        <w:t xml:space="preserve"> of the building’s tenants meet </w:t>
      </w:r>
      <w:r>
        <w:t xml:space="preserve">the </w:t>
      </w:r>
      <w:r w:rsidRPr="005A43F4">
        <w:t xml:space="preserve">ESA income eligibility thresholds and therefore </w:t>
      </w:r>
      <w:r>
        <w:t xml:space="preserve">can </w:t>
      </w:r>
      <w:r w:rsidRPr="005A43F4">
        <w:t>authorize treatment for all households withou</w:t>
      </w:r>
      <w:r>
        <w:t>t the IOUs</w:t>
      </w:r>
      <w:r w:rsidRPr="005A43F4">
        <w:t xml:space="preserve"> </w:t>
      </w:r>
      <w:r>
        <w:t xml:space="preserve">requiring </w:t>
      </w:r>
      <w:r w:rsidRPr="005A43F4">
        <w:t>individual verification.</w:t>
      </w:r>
      <w:r w:rsidRPr="005A43F4">
        <w:rPr>
          <w:rStyle w:val="FootnoteReference"/>
        </w:rPr>
        <w:footnoteReference w:id="959"/>
      </w:r>
      <w:r w:rsidRPr="005A43F4">
        <w:t xml:space="preserve"> Due to </w:t>
      </w:r>
      <w:r>
        <w:t>the approved</w:t>
      </w:r>
      <w:r w:rsidRPr="005A43F4">
        <w:t xml:space="preserve"> changes in eligibility requirements</w:t>
      </w:r>
      <w:r>
        <w:t xml:space="preserve"> above</w:t>
      </w:r>
      <w:r w:rsidRPr="005A43F4">
        <w:t xml:space="preserve">, multifamily deed-restricted property owners </w:t>
      </w:r>
      <w:r>
        <w:t>can now c</w:t>
      </w:r>
      <w:r w:rsidRPr="005A43F4">
        <w:t>ertify that 65% of their properties’ tenants meet ESA income eligibility thresholds</w:t>
      </w:r>
      <w:r w:rsidRPr="00043AE6">
        <w:t xml:space="preserve"> </w:t>
      </w:r>
      <w:r w:rsidRPr="005A43F4">
        <w:t xml:space="preserve">and therefore </w:t>
      </w:r>
      <w:r>
        <w:t xml:space="preserve">can </w:t>
      </w:r>
      <w:r w:rsidRPr="005A43F4">
        <w:lastRenderedPageBreak/>
        <w:t>authorize treatment for all households withou</w:t>
      </w:r>
      <w:r>
        <w:t>t the IOUs</w:t>
      </w:r>
      <w:r w:rsidRPr="005A43F4">
        <w:t xml:space="preserve"> </w:t>
      </w:r>
      <w:r>
        <w:t xml:space="preserve">requiring </w:t>
      </w:r>
      <w:r w:rsidRPr="005A43F4">
        <w:t>individual verification.</w:t>
      </w:r>
      <w:r>
        <w:t xml:space="preserve"> </w:t>
      </w:r>
    </w:p>
    <w:p w:rsidRPr="00BF72F2" w:rsidR="000C1980" w:rsidP="001C46EA" w:rsidRDefault="000C1980" w14:paraId="7B1E35B9" w14:textId="77777777">
      <w:pPr>
        <w:pStyle w:val="Heading3"/>
      </w:pPr>
      <w:bookmarkStart w:name="_Toc69948210" w:id="563"/>
      <w:r w:rsidRPr="00BF72F2">
        <w:t xml:space="preserve">Changing the Income Eligibility Requirement: </w:t>
      </w:r>
      <w:r w:rsidRPr="00BF72F2">
        <w:rPr>
          <w:u w:val="single"/>
        </w:rPr>
        <w:t>Denied</w:t>
      </w:r>
      <w:bookmarkEnd w:id="563"/>
    </w:p>
    <w:p w:rsidR="000C1980" w:rsidP="00F35407" w:rsidRDefault="000C1980" w14:paraId="50FFEB59" w14:textId="603FE954">
      <w:pPr>
        <w:pStyle w:val="Standard"/>
      </w:pPr>
      <w:r>
        <w:t xml:space="preserve">We deny changing the </w:t>
      </w:r>
      <w:proofErr w:type="gramStart"/>
      <w:r>
        <w:t>low income</w:t>
      </w:r>
      <w:proofErr w:type="gramEnd"/>
      <w:r>
        <w:t xml:space="preserve"> eligibility guideline from 200 percent FPG to 60 percent AMI, for the reasons discussed in Section 6.3.</w:t>
      </w:r>
      <w:r w:rsidR="00E3797F">
        <w:t>8</w:t>
      </w:r>
      <w:r>
        <w:t xml:space="preserve">.1. </w:t>
      </w:r>
    </w:p>
    <w:p w:rsidRPr="00B448ED" w:rsidR="000C1980" w:rsidP="001C46EA" w:rsidRDefault="000C1980" w14:paraId="04F499F7" w14:textId="77777777">
      <w:pPr>
        <w:pStyle w:val="Heading3"/>
      </w:pPr>
      <w:bookmarkStart w:name="_Toc69948211" w:id="564"/>
      <w:r w:rsidRPr="00B448ED">
        <w:t xml:space="preserve">Waiving Property Owner Consent: </w:t>
      </w:r>
      <w:r w:rsidRPr="00B448ED">
        <w:rPr>
          <w:u w:val="single"/>
        </w:rPr>
        <w:t>Denied</w:t>
      </w:r>
      <w:bookmarkEnd w:id="564"/>
    </w:p>
    <w:p w:rsidR="000C1980" w:rsidP="00F35407" w:rsidRDefault="000C1980" w14:paraId="36C34A09" w14:textId="546B8A58">
      <w:pPr>
        <w:pStyle w:val="Standard"/>
      </w:pPr>
      <w:r>
        <w:t>We deny EEC’s proposal to provide multifamily renters with all measures without property owner approval for the reasons discussed in Section 6.3.</w:t>
      </w:r>
      <w:r w:rsidR="00211BAE">
        <w:t>8</w:t>
      </w:r>
      <w:r>
        <w:t>.</w:t>
      </w:r>
      <w:r w:rsidR="00211BAE">
        <w:t>1</w:t>
      </w:r>
      <w:r>
        <w:t xml:space="preserve">. </w:t>
      </w:r>
    </w:p>
    <w:p w:rsidRPr="007355EB" w:rsidR="000C1980" w:rsidP="001C46EA" w:rsidRDefault="000C1980" w14:paraId="7CFC02AC" w14:textId="77777777">
      <w:pPr>
        <w:pStyle w:val="Heading3"/>
      </w:pPr>
      <w:bookmarkStart w:name="_Toc69948212" w:id="565"/>
      <w:r>
        <w:t xml:space="preserve">Third Party Proposed </w:t>
      </w:r>
      <w:r w:rsidRPr="007355EB">
        <w:t>Measures</w:t>
      </w:r>
      <w:r>
        <w:t xml:space="preserve"> and Co-Pays</w:t>
      </w:r>
      <w:r w:rsidRPr="007355EB">
        <w:t xml:space="preserve">: </w:t>
      </w:r>
      <w:r w:rsidRPr="007355EB">
        <w:rPr>
          <w:u w:val="single"/>
        </w:rPr>
        <w:t>Approved with Modifications</w:t>
      </w:r>
      <w:bookmarkEnd w:id="565"/>
    </w:p>
    <w:p w:rsidR="000C1980" w:rsidP="000C1980" w:rsidRDefault="000C1980" w14:paraId="6AFF84A8" w14:textId="084745A9">
      <w:pPr>
        <w:spacing w:line="360" w:lineRule="auto"/>
        <w:ind w:firstLine="720"/>
      </w:pPr>
      <w:r>
        <w:t xml:space="preserve">We approve the IOUs proposal to delegate the development of the measure mix to third party bidders, so do not approve a specific measure list here.  However, we acknowledge the concerns of parties that the MFWB and CAM offerings are expensive </w:t>
      </w:r>
      <w:r w:rsidRPr="000B0CAB">
        <w:t xml:space="preserve">improvements </w:t>
      </w:r>
      <w:r>
        <w:t xml:space="preserve">funded by ratepayers that provide benefits to the </w:t>
      </w:r>
      <w:r w:rsidRPr="000B0CAB">
        <w:t>property owners</w:t>
      </w:r>
      <w:r>
        <w:t xml:space="preserve"> (who are likely not low income)</w:t>
      </w:r>
      <w:r w:rsidRPr="000B0CAB">
        <w:t xml:space="preserve">, </w:t>
      </w:r>
      <w:r>
        <w:t xml:space="preserve">but not always the </w:t>
      </w:r>
      <w:r w:rsidRPr="000B0CAB">
        <w:t>tenants</w:t>
      </w:r>
      <w:r>
        <w:t xml:space="preserve"> (who are likely low income),</w:t>
      </w:r>
      <w:r w:rsidRPr="000B0CAB">
        <w:t xml:space="preserve"> even when bill savings and </w:t>
      </w:r>
      <w:r>
        <w:t>HCS benefits</w:t>
      </w:r>
      <w:r w:rsidRPr="000B0CAB">
        <w:t xml:space="preserve"> accrue to them. </w:t>
      </w:r>
      <w:r>
        <w:t xml:space="preserve"> Therefore, to address these concerns, we approve SDG&amp;E’s proposal to require a 50</w:t>
      </w:r>
      <w:r w:rsidRPr="00730FFE">
        <w:t xml:space="preserve"> </w:t>
      </w:r>
      <w:r w:rsidRPr="0026503D">
        <w:t>percent</w:t>
      </w:r>
      <w:r>
        <w:t xml:space="preserve"> property owner co-pay for MFWB </w:t>
      </w:r>
      <w:r w:rsidRPr="000B0CAB">
        <w:t>measures</w:t>
      </w:r>
      <w:r>
        <w:t xml:space="preserve"> and CAM measures in</w:t>
      </w:r>
      <w:r w:rsidRPr="000B0CAB">
        <w:t xml:space="preserve"> non-deed restricted buildings</w:t>
      </w:r>
      <w:r>
        <w:t xml:space="preserve"> and require all the IOUs to implement this co-pay requirement.  Eligible multifamily ESA i</w:t>
      </w:r>
      <w:r w:rsidRPr="000B0CAB">
        <w:t>n</w:t>
      </w:r>
      <w:r w:rsidR="00C224FE">
        <w:t xml:space="preserve"> </w:t>
      </w:r>
      <w:r w:rsidRPr="000B0CAB">
        <w:t xml:space="preserve">unit measures </w:t>
      </w:r>
      <w:r>
        <w:t>will continue to be fully subsidized for both deed restricted and non-deed restricted properties</w:t>
      </w:r>
      <w:r w:rsidR="008F0F01">
        <w:t>,</w:t>
      </w:r>
      <w:r w:rsidR="00AD708B">
        <w:t xml:space="preserve"> and</w:t>
      </w:r>
      <w:r w:rsidR="008F0F01">
        <w:t xml:space="preserve"> </w:t>
      </w:r>
      <w:r w:rsidR="006C1526">
        <w:t>so have no co-pay requirement</w:t>
      </w:r>
      <w:r w:rsidRPr="000B0CAB">
        <w:t xml:space="preserve">. </w:t>
      </w:r>
    </w:p>
    <w:p w:rsidRPr="00ED3BEC" w:rsidR="000C1980" w:rsidP="001C46EA" w:rsidRDefault="000C1980" w14:paraId="67910AC1" w14:textId="77777777">
      <w:pPr>
        <w:pStyle w:val="Heading3"/>
      </w:pPr>
      <w:bookmarkStart w:name="_Toc69948213" w:id="566"/>
      <w:r w:rsidRPr="00ED3BEC">
        <w:t xml:space="preserve">Rent Protections: </w:t>
      </w:r>
      <w:r w:rsidRPr="00ED3BEC">
        <w:rPr>
          <w:u w:val="single"/>
        </w:rPr>
        <w:t>New</w:t>
      </w:r>
      <w:bookmarkEnd w:id="566"/>
    </w:p>
    <w:p w:rsidR="000C1980" w:rsidP="000C1980" w:rsidRDefault="000C1980" w14:paraId="42567357" w14:textId="4EF2F277">
      <w:pPr>
        <w:spacing w:line="360" w:lineRule="auto"/>
        <w:ind w:firstLine="720"/>
      </w:pPr>
      <w:r>
        <w:t>We agree with EEC and other parties that participation in the MFWB and CAM programs do little to prevent rent increases, flips, or gentrification of these buildings post treatment.  Therefore, t</w:t>
      </w:r>
      <w:r w:rsidRPr="000B0CAB">
        <w:t xml:space="preserve">o protect tenants and avoid negative impacts to housing affordability, </w:t>
      </w:r>
      <w:r>
        <w:t xml:space="preserve">we will require rent restriction agreements </w:t>
      </w:r>
      <w:r>
        <w:lastRenderedPageBreak/>
        <w:t xml:space="preserve">between the IOUs and non-deed restricted </w:t>
      </w:r>
      <w:r w:rsidRPr="000B0CAB" w:rsidDel="002B68B1">
        <w:t xml:space="preserve">MFWB program </w:t>
      </w:r>
      <w:r>
        <w:t>property owners</w:t>
      </w:r>
      <w:r w:rsidRPr="000B0CAB" w:rsidDel="002B68B1">
        <w:t xml:space="preserve">. </w:t>
      </w:r>
      <w:r>
        <w:t>The agreement shall stipulate that the property owner will agree to maintain at least 50</w:t>
      </w:r>
      <w:r w:rsidRPr="00730FFE">
        <w:t xml:space="preserve"> </w:t>
      </w:r>
      <w:r w:rsidRPr="0026503D">
        <w:t>percent</w:t>
      </w:r>
      <w:r>
        <w:t xml:space="preserve"> of the building tenants as CARE income qualified for a period of 10 years following the measures received, using Massachusetts’s LEAN Program’s “Multifamily Owner Affordability Agreement” as a model.</w:t>
      </w:r>
      <w:r w:rsidRPr="00776EA0">
        <w:rPr>
          <w:vertAlign w:val="superscript"/>
        </w:rPr>
        <w:footnoteReference w:id="960"/>
      </w:r>
      <w:r>
        <w:t xml:space="preserve">  The property owner shall also agree to not significantly increase rents because of home improvements over this same period.  If a deed restricted property’s term ends within 10 years after receiving MFWB or CAM treatment, then the deed restricted property shall also be subject to the same tenant protection agreement after its expiry through the end of the 10-year period.  This approach is consistent with what is being required in the Commission’s </w:t>
      </w:r>
      <w:r w:rsidRPr="000B0CAB">
        <w:t xml:space="preserve">San Joaquin Valley </w:t>
      </w:r>
      <w:r>
        <w:t>p</w:t>
      </w:r>
      <w:r w:rsidRPr="000B0CAB">
        <w:t>ilots</w:t>
      </w:r>
      <w:r>
        <w:t>,</w:t>
      </w:r>
      <w:r>
        <w:rPr>
          <w:rStyle w:val="FootnoteReference"/>
        </w:rPr>
        <w:footnoteReference w:id="961"/>
      </w:r>
      <w:r w:rsidRPr="000B0CAB">
        <w:t xml:space="preserve"> CSD</w:t>
      </w:r>
      <w:r>
        <w:t xml:space="preserve"> LIWP, and other </w:t>
      </w:r>
      <w:r w:rsidRPr="000B0CAB">
        <w:t xml:space="preserve">similar </w:t>
      </w:r>
      <w:proofErr w:type="gramStart"/>
      <w:r w:rsidRPr="000B0CAB">
        <w:t>low</w:t>
      </w:r>
      <w:r>
        <w:t xml:space="preserve"> </w:t>
      </w:r>
      <w:r w:rsidRPr="000B0CAB">
        <w:t>income</w:t>
      </w:r>
      <w:proofErr w:type="gramEnd"/>
      <w:r w:rsidRPr="000B0CAB">
        <w:t xml:space="preserve"> qualified efficiency programs (Massachusetts LEAN and NYSERDA)</w:t>
      </w:r>
      <w:r>
        <w:t xml:space="preserve"> in terms of rent protections</w:t>
      </w:r>
      <w:r w:rsidRPr="000B0CAB">
        <w:t xml:space="preserve">. </w:t>
      </w:r>
      <w:r>
        <w:t xml:space="preserve"> With the rent restriction requirements approved above, we deny both the </w:t>
      </w:r>
      <w:r w:rsidRPr="000B0CAB">
        <w:t xml:space="preserve">lenient IOU proposals for rent restrictions and </w:t>
      </w:r>
      <w:r>
        <w:t xml:space="preserve">EEC’s </w:t>
      </w:r>
      <w:r w:rsidRPr="000B0CAB">
        <w:t>burdensome five-year liens.</w:t>
      </w:r>
      <w:r w:rsidRPr="2704A804">
        <w:rPr>
          <w:vertAlign w:val="superscript"/>
        </w:rPr>
        <w:footnoteReference w:id="962"/>
      </w:r>
      <w:r>
        <w:t xml:space="preserve"> Lastly, the agreements need not be submitted to the Commission for review and approval; however, Energy Division may request to review and provide input. </w:t>
      </w:r>
    </w:p>
    <w:p w:rsidRPr="007B1C67" w:rsidR="000C1980" w:rsidP="001C46EA" w:rsidRDefault="000C1980" w14:paraId="0993B9A9" w14:textId="77777777">
      <w:pPr>
        <w:pStyle w:val="Heading3"/>
      </w:pPr>
      <w:bookmarkStart w:name="_Toc69948214" w:id="567"/>
      <w:r w:rsidRPr="007B1C67">
        <w:t xml:space="preserve">Treatment Goals: </w:t>
      </w:r>
      <w:r w:rsidRPr="001B3690">
        <w:rPr>
          <w:u w:val="single"/>
        </w:rPr>
        <w:t>Approved with Modifications</w:t>
      </w:r>
      <w:bookmarkEnd w:id="567"/>
    </w:p>
    <w:p w:rsidRPr="00F35407" w:rsidR="000C1980" w:rsidP="00F35407" w:rsidRDefault="000C1980" w14:paraId="03462ED6" w14:textId="380D3D8F">
      <w:pPr>
        <w:pStyle w:val="Standard"/>
        <w:rPr>
          <w:b/>
          <w:bCs/>
          <w:i/>
          <w:iCs/>
          <w:u w:val="single"/>
        </w:rPr>
      </w:pPr>
      <w:r w:rsidRPr="00F35407">
        <w:rPr>
          <w:b/>
          <w:bCs/>
          <w:i/>
          <w:iCs/>
          <w:u w:val="single"/>
        </w:rPr>
        <w:t>Multifamily Treatment Targets for PY2022 (In</w:t>
      </w:r>
      <w:r w:rsidRPr="00F35407" w:rsidR="009255E6">
        <w:rPr>
          <w:b/>
          <w:bCs/>
          <w:i/>
          <w:iCs/>
          <w:u w:val="single"/>
        </w:rPr>
        <w:t>-</w:t>
      </w:r>
      <w:r w:rsidRPr="00F35407">
        <w:rPr>
          <w:b/>
          <w:bCs/>
          <w:i/>
          <w:iCs/>
          <w:u w:val="single"/>
        </w:rPr>
        <w:t>Unit and CAM)</w:t>
      </w:r>
    </w:p>
    <w:p w:rsidRPr="00967041" w:rsidR="000C1980" w:rsidP="00F35407" w:rsidRDefault="000C1980" w14:paraId="367F8230" w14:textId="5A4033EA">
      <w:pPr>
        <w:pStyle w:val="Standard"/>
      </w:pPr>
      <w:r w:rsidRPr="00967041">
        <w:lastRenderedPageBreak/>
        <w:t xml:space="preserve">We approve the following </w:t>
      </w:r>
      <w:r>
        <w:t>multifamily</w:t>
      </w:r>
      <w:r w:rsidRPr="00967041">
        <w:t xml:space="preserve"> household treatment </w:t>
      </w:r>
      <w:r>
        <w:t>targets</w:t>
      </w:r>
      <w:r w:rsidRPr="00967041">
        <w:t xml:space="preserve"> </w:t>
      </w:r>
      <w:r>
        <w:t xml:space="preserve">for </w:t>
      </w:r>
      <w:r w:rsidRPr="00967041">
        <w:t>PY</w:t>
      </w:r>
      <w:r w:rsidR="00F35407">
        <w:t> </w:t>
      </w:r>
      <w:r>
        <w:t>20</w:t>
      </w:r>
      <w:r w:rsidRPr="00967041">
        <w:t>22</w:t>
      </w:r>
      <w:r w:rsidR="00FA5C03">
        <w:rPr>
          <w:rStyle w:val="FootnoteReference"/>
        </w:rPr>
        <w:footnoteReference w:id="963"/>
      </w:r>
      <w:r w:rsidRPr="00AF6447">
        <w:t xml:space="preserve"> </w:t>
      </w:r>
      <w:r>
        <w:t xml:space="preserve">to be tracked and reported, but not set as goals prior to implementation of the MFWB program.  </w:t>
      </w:r>
      <w:r w:rsidRPr="00967041">
        <w:t xml:space="preserve">These </w:t>
      </w:r>
      <w:r>
        <w:t>targets are</w:t>
      </w:r>
      <w:r w:rsidRPr="00967041">
        <w:t xml:space="preserve"> </w:t>
      </w:r>
      <w:r>
        <w:t>reduced</w:t>
      </w:r>
      <w:r w:rsidRPr="00967041">
        <w:t xml:space="preserve"> by 14</w:t>
      </w:r>
      <w:r>
        <w:t xml:space="preserve"> percent</w:t>
      </w:r>
      <w:r w:rsidRPr="00967041">
        <w:t xml:space="preserve"> reflecting the budget reduction</w:t>
      </w:r>
      <w:r>
        <w:t xml:space="preserve"> to the overall ESA program budgets discussed Section 6.15</w:t>
      </w:r>
      <w:r w:rsidRPr="00967041">
        <w:t>.</w:t>
      </w:r>
      <w:r w:rsidR="001B3690">
        <w:t>8</w:t>
      </w:r>
      <w:r>
        <w:t>.1.</w:t>
      </w:r>
      <w:r w:rsidRPr="00AF6447">
        <w:t xml:space="preserve"> </w:t>
      </w:r>
      <w:r w:rsidR="00765C4E">
        <w:t xml:space="preserve"> </w:t>
      </w:r>
    </w:p>
    <w:p w:rsidRPr="00072DBF" w:rsidR="000C1980" w:rsidP="00072DBF" w:rsidRDefault="000C1980" w14:paraId="544132AD" w14:textId="67EA5D4B">
      <w:pPr>
        <w:jc w:val="center"/>
        <w:rPr>
          <w:b/>
          <w:bCs/>
        </w:rPr>
      </w:pPr>
      <w:r w:rsidRPr="00072DBF">
        <w:rPr>
          <w:b/>
          <w:bCs/>
        </w:rPr>
        <w:t>Table 15: Approved Multifamily Household Treatment Targets, PY 2022</w:t>
      </w:r>
    </w:p>
    <w:tbl>
      <w:tblPr>
        <w:tblStyle w:val="TableGrid"/>
        <w:tblW w:w="9535" w:type="dxa"/>
        <w:tblLook w:val="04A0" w:firstRow="1" w:lastRow="0" w:firstColumn="1" w:lastColumn="0" w:noHBand="0" w:noVBand="1"/>
      </w:tblPr>
      <w:tblGrid>
        <w:gridCol w:w="4405"/>
        <w:gridCol w:w="5130"/>
      </w:tblGrid>
      <w:tr w:rsidR="00F70D83" w:rsidTr="00F35407" w14:paraId="1B005B86" w14:textId="77777777">
        <w:tc>
          <w:tcPr>
            <w:tcW w:w="9535" w:type="dxa"/>
            <w:gridSpan w:val="2"/>
            <w:vAlign w:val="center"/>
          </w:tcPr>
          <w:p w:rsidRPr="62940677" w:rsidR="00F70D83" w:rsidP="00072DBF" w:rsidRDefault="00F70D83" w14:paraId="063E3192" w14:textId="22470000">
            <w:pPr>
              <w:jc w:val="center"/>
            </w:pPr>
            <w:r w:rsidRPr="00B84822">
              <w:t>Approved Multifamily Household Treatment Targets, PY</w:t>
            </w:r>
            <w:r>
              <w:t xml:space="preserve"> </w:t>
            </w:r>
            <w:r w:rsidRPr="00B84822">
              <w:t>2022</w:t>
            </w:r>
            <w:r w:rsidR="00072DBF">
              <w:br/>
            </w:r>
          </w:p>
        </w:tc>
      </w:tr>
      <w:tr w:rsidR="00F70D83" w:rsidTr="00F35407" w14:paraId="3E5CAD95" w14:textId="77777777">
        <w:tc>
          <w:tcPr>
            <w:tcW w:w="4405" w:type="dxa"/>
            <w:vAlign w:val="center"/>
          </w:tcPr>
          <w:p w:rsidR="00F70D83" w:rsidP="00072DBF" w:rsidRDefault="00F70D83" w14:paraId="77C3E0F8" w14:textId="77777777">
            <w:pPr>
              <w:jc w:val="center"/>
            </w:pPr>
            <w:r w:rsidRPr="62940677">
              <w:t>IOU</w:t>
            </w:r>
          </w:p>
        </w:tc>
        <w:tc>
          <w:tcPr>
            <w:tcW w:w="5130" w:type="dxa"/>
            <w:vAlign w:val="center"/>
          </w:tcPr>
          <w:p w:rsidR="00F70D83" w:rsidP="00072DBF" w:rsidRDefault="00F70D83" w14:paraId="131F99D1" w14:textId="7869C736">
            <w:pPr>
              <w:jc w:val="center"/>
            </w:pPr>
            <w:r w:rsidRPr="62940677">
              <w:t>2022</w:t>
            </w:r>
          </w:p>
        </w:tc>
      </w:tr>
      <w:tr w:rsidR="00F70D83" w:rsidTr="00F35407" w14:paraId="19BF7269" w14:textId="77777777">
        <w:tc>
          <w:tcPr>
            <w:tcW w:w="4405" w:type="dxa"/>
            <w:vAlign w:val="center"/>
          </w:tcPr>
          <w:p w:rsidR="00F70D83" w:rsidP="00072DBF" w:rsidRDefault="00F70D83" w14:paraId="047C11FD" w14:textId="77777777">
            <w:pPr>
              <w:jc w:val="center"/>
            </w:pPr>
            <w:r>
              <w:t>PG&amp;E</w:t>
            </w:r>
          </w:p>
        </w:tc>
        <w:tc>
          <w:tcPr>
            <w:tcW w:w="5130" w:type="dxa"/>
            <w:vAlign w:val="center"/>
          </w:tcPr>
          <w:p w:rsidR="00F70D83" w:rsidP="00072DBF" w:rsidRDefault="00F70D83" w14:paraId="15452C41" w14:textId="2CFDF63B">
            <w:pPr>
              <w:jc w:val="center"/>
            </w:pPr>
            <w:r>
              <w:t>9,262</w:t>
            </w:r>
          </w:p>
        </w:tc>
      </w:tr>
      <w:tr w:rsidR="00F70D83" w:rsidTr="00F35407" w14:paraId="58AF65A7" w14:textId="77777777">
        <w:tc>
          <w:tcPr>
            <w:tcW w:w="4405" w:type="dxa"/>
            <w:vAlign w:val="center"/>
          </w:tcPr>
          <w:p w:rsidR="00F70D83" w:rsidP="00072DBF" w:rsidRDefault="00F70D83" w14:paraId="6094F3D8" w14:textId="77777777">
            <w:pPr>
              <w:jc w:val="center"/>
            </w:pPr>
            <w:r>
              <w:t>SCE</w:t>
            </w:r>
          </w:p>
        </w:tc>
        <w:tc>
          <w:tcPr>
            <w:tcW w:w="5130" w:type="dxa"/>
            <w:vAlign w:val="center"/>
          </w:tcPr>
          <w:p w:rsidR="00F70D83" w:rsidP="00072DBF" w:rsidRDefault="00F70D83" w14:paraId="577C5AAC" w14:textId="7B751F50">
            <w:pPr>
              <w:jc w:val="center"/>
            </w:pPr>
            <w:r>
              <w:t>6,028</w:t>
            </w:r>
          </w:p>
        </w:tc>
      </w:tr>
      <w:tr w:rsidR="00F70D83" w:rsidTr="00F35407" w14:paraId="36998DB5" w14:textId="77777777">
        <w:tc>
          <w:tcPr>
            <w:tcW w:w="4405" w:type="dxa"/>
            <w:vAlign w:val="center"/>
          </w:tcPr>
          <w:p w:rsidR="00F70D83" w:rsidP="00072DBF" w:rsidRDefault="00F70D83" w14:paraId="5BDBAA75" w14:textId="77777777">
            <w:pPr>
              <w:jc w:val="center"/>
            </w:pPr>
            <w:r>
              <w:t>SoCalGas</w:t>
            </w:r>
          </w:p>
        </w:tc>
        <w:tc>
          <w:tcPr>
            <w:tcW w:w="5130" w:type="dxa"/>
            <w:vAlign w:val="center"/>
          </w:tcPr>
          <w:p w:rsidR="00F70D83" w:rsidP="00072DBF" w:rsidRDefault="00F70D83" w14:paraId="7B8EF6A8" w14:textId="3DE204A2">
            <w:pPr>
              <w:jc w:val="center"/>
            </w:pPr>
            <w:r>
              <w:t>24,091</w:t>
            </w:r>
          </w:p>
        </w:tc>
      </w:tr>
      <w:tr w:rsidR="00F70D83" w:rsidTr="00F35407" w14:paraId="5FB88B76" w14:textId="77777777">
        <w:tc>
          <w:tcPr>
            <w:tcW w:w="4405" w:type="dxa"/>
            <w:vAlign w:val="center"/>
          </w:tcPr>
          <w:p w:rsidR="00F70D83" w:rsidP="00072DBF" w:rsidRDefault="00F70D83" w14:paraId="3BDE2A34" w14:textId="77777777">
            <w:pPr>
              <w:jc w:val="center"/>
            </w:pPr>
            <w:r>
              <w:t>SDG&amp;E</w:t>
            </w:r>
          </w:p>
        </w:tc>
        <w:tc>
          <w:tcPr>
            <w:tcW w:w="5130" w:type="dxa"/>
            <w:vAlign w:val="center"/>
          </w:tcPr>
          <w:p w:rsidR="00F70D83" w:rsidP="00072DBF" w:rsidRDefault="00F70D83" w14:paraId="7AEFE1DB" w14:textId="0CB44A70">
            <w:pPr>
              <w:jc w:val="center"/>
            </w:pPr>
            <w:r>
              <w:t>7,740</w:t>
            </w:r>
          </w:p>
        </w:tc>
      </w:tr>
      <w:tr w:rsidR="00F70D83" w:rsidTr="00F35407" w14:paraId="24A6AB05" w14:textId="77777777">
        <w:tc>
          <w:tcPr>
            <w:tcW w:w="4405" w:type="dxa"/>
            <w:vAlign w:val="center"/>
          </w:tcPr>
          <w:p w:rsidR="00F70D83" w:rsidP="00072DBF" w:rsidRDefault="00F70D83" w14:paraId="45CB2647" w14:textId="77777777">
            <w:pPr>
              <w:jc w:val="center"/>
            </w:pPr>
            <w:r>
              <w:t>Total</w:t>
            </w:r>
          </w:p>
        </w:tc>
        <w:tc>
          <w:tcPr>
            <w:tcW w:w="5130" w:type="dxa"/>
            <w:vAlign w:val="center"/>
          </w:tcPr>
          <w:p w:rsidR="00F70D83" w:rsidP="00072DBF" w:rsidRDefault="00F70D83" w14:paraId="68F89CDD" w14:textId="5DCF471D">
            <w:pPr>
              <w:jc w:val="center"/>
            </w:pPr>
            <w:r>
              <w:t>47,121</w:t>
            </w:r>
          </w:p>
        </w:tc>
      </w:tr>
    </w:tbl>
    <w:p w:rsidRPr="00072DBF" w:rsidR="000C1980" w:rsidP="00072DBF" w:rsidRDefault="000C1980" w14:paraId="5F848D32" w14:textId="69C65252">
      <w:pPr>
        <w:rPr>
          <w:sz w:val="10"/>
          <w:szCs w:val="10"/>
        </w:rPr>
      </w:pPr>
    </w:p>
    <w:p w:rsidRPr="001E1890" w:rsidR="000C1980" w:rsidP="0023091F" w:rsidRDefault="000C1980" w14:paraId="7B29A6E1" w14:textId="77777777">
      <w:pPr>
        <w:pStyle w:val="ALJBodyText"/>
        <w:rPr>
          <w:rStyle w:val="normaltextrun1"/>
          <w:b/>
          <w:bCs/>
          <w:u w:val="single"/>
        </w:rPr>
      </w:pPr>
      <w:r w:rsidRPr="001E1890">
        <w:rPr>
          <w:rStyle w:val="normaltextrun1"/>
          <w:b/>
          <w:bCs/>
          <w:u w:val="single"/>
        </w:rPr>
        <w:t>Multifamily Treatment Targets for PYs 2023-2026 (MFWB)</w:t>
      </w:r>
    </w:p>
    <w:p w:rsidRPr="0004451C" w:rsidR="000C1980" w:rsidP="0023091F" w:rsidRDefault="000C1980" w14:paraId="07F3FF47" w14:textId="37B3F6D6">
      <w:pPr>
        <w:pStyle w:val="ALJBodyText"/>
        <w:rPr>
          <w:rStyle w:val="FootnoteReference"/>
        </w:rPr>
      </w:pPr>
      <w:r>
        <w:t xml:space="preserve">We approve the following MFWB </w:t>
      </w:r>
      <w:r w:rsidRPr="00967041">
        <w:t xml:space="preserve">household treatment </w:t>
      </w:r>
      <w:r>
        <w:t>targets</w:t>
      </w:r>
      <w:r w:rsidRPr="00967041">
        <w:t xml:space="preserve"> </w:t>
      </w:r>
      <w:r>
        <w:t>for PYs 2023-2026.   We also reduce the overall household treatment target for the Southern MFWB program as we no longer need to count households separately for each IOU and expect significant overlap</w:t>
      </w:r>
      <w:r w:rsidR="00387379">
        <w:t xml:space="preserve">, </w:t>
      </w:r>
      <w:r w:rsidR="00D948BC">
        <w:t>estimated at</w:t>
      </w:r>
      <w:r w:rsidR="00387379">
        <w:t xml:space="preserve"> 50 percent,</w:t>
      </w:r>
      <w:r>
        <w:t xml:space="preserve"> with SCE and SoCalGas’ territories.  </w:t>
      </w:r>
      <w:r w:rsidRPr="00967041">
        <w:t xml:space="preserve">These </w:t>
      </w:r>
      <w:r>
        <w:t>targets are</w:t>
      </w:r>
      <w:r w:rsidRPr="00967041">
        <w:t xml:space="preserve"> </w:t>
      </w:r>
      <w:r>
        <w:t>further reduced</w:t>
      </w:r>
      <w:r w:rsidRPr="00967041">
        <w:t xml:space="preserve"> by 14</w:t>
      </w:r>
      <w:r>
        <w:t xml:space="preserve"> percent</w:t>
      </w:r>
      <w:r w:rsidRPr="00967041">
        <w:t xml:space="preserve"> reflecting the budget reduction</w:t>
      </w:r>
      <w:r>
        <w:t xml:space="preserve"> to the overall ESA program budgets discussed </w:t>
      </w:r>
      <w:r w:rsidR="00C77AFA">
        <w:t xml:space="preserve">in </w:t>
      </w:r>
      <w:r>
        <w:t>Section 6.15</w:t>
      </w:r>
      <w:r w:rsidRPr="00967041">
        <w:t>.</w:t>
      </w:r>
      <w:r w:rsidR="00916806">
        <w:t>8</w:t>
      </w:r>
      <w:r>
        <w:t xml:space="preserve">.1. </w:t>
      </w:r>
    </w:p>
    <w:p w:rsidRPr="00072DBF" w:rsidR="000C1980" w:rsidP="00072DBF" w:rsidRDefault="000C1980" w14:paraId="3694EBE2" w14:textId="77777777">
      <w:pPr>
        <w:keepNext/>
        <w:keepLines/>
        <w:jc w:val="center"/>
        <w:rPr>
          <w:b/>
          <w:bCs/>
        </w:rPr>
      </w:pPr>
      <w:r w:rsidRPr="00072DBF">
        <w:rPr>
          <w:b/>
          <w:bCs/>
        </w:rPr>
        <w:lastRenderedPageBreak/>
        <w:t>Table 16: Approved MFWB Household Treatment Targets, PYs 2023-2026</w:t>
      </w:r>
    </w:p>
    <w:tbl>
      <w:tblPr>
        <w:tblStyle w:val="TableGrid"/>
        <w:tblW w:w="0" w:type="auto"/>
        <w:tblLayout w:type="fixed"/>
        <w:tblLook w:val="06A0" w:firstRow="1" w:lastRow="0" w:firstColumn="1" w:lastColumn="0" w:noHBand="1" w:noVBand="1"/>
      </w:tblPr>
      <w:tblGrid>
        <w:gridCol w:w="4680"/>
        <w:gridCol w:w="4680"/>
      </w:tblGrid>
      <w:tr w:rsidRPr="00E05DF0" w:rsidR="000C1980" w:rsidTr="00072DBF" w14:paraId="543EE004" w14:textId="77777777">
        <w:tc>
          <w:tcPr>
            <w:tcW w:w="4680" w:type="dxa"/>
            <w:vAlign w:val="center"/>
          </w:tcPr>
          <w:p w:rsidRPr="00E05DF0" w:rsidR="000C1980" w:rsidP="00072DBF" w:rsidRDefault="000C1980" w14:paraId="0A2A1393" w14:textId="77777777">
            <w:pPr>
              <w:keepNext/>
              <w:keepLines/>
              <w:jc w:val="center"/>
            </w:pPr>
            <w:r w:rsidRPr="00E05DF0">
              <w:t>Program</w:t>
            </w:r>
          </w:p>
        </w:tc>
        <w:tc>
          <w:tcPr>
            <w:tcW w:w="4680" w:type="dxa"/>
            <w:vAlign w:val="center"/>
          </w:tcPr>
          <w:p w:rsidRPr="00E05DF0" w:rsidR="000C1980" w:rsidP="00072DBF" w:rsidRDefault="00072DBF" w14:paraId="0B3D930C" w14:textId="3D1F4B29">
            <w:pPr>
              <w:keepNext/>
              <w:keepLines/>
              <w:jc w:val="center"/>
            </w:pPr>
            <w:r>
              <w:br/>
            </w:r>
            <w:r w:rsidRPr="00E05DF0" w:rsidR="000C1980">
              <w:t xml:space="preserve">MFWB </w:t>
            </w:r>
            <w:r w:rsidR="000C1980">
              <w:t xml:space="preserve">Household </w:t>
            </w:r>
            <w:r w:rsidRPr="00E05DF0" w:rsidR="000C1980">
              <w:t>Treatment Targets</w:t>
            </w:r>
            <w:r>
              <w:br/>
            </w:r>
          </w:p>
        </w:tc>
      </w:tr>
      <w:tr w:rsidRPr="00E05DF0" w:rsidR="000C1980" w:rsidTr="00072DBF" w14:paraId="3E006B54" w14:textId="77777777">
        <w:tc>
          <w:tcPr>
            <w:tcW w:w="4680" w:type="dxa"/>
            <w:vAlign w:val="center"/>
          </w:tcPr>
          <w:p w:rsidRPr="00E05DF0" w:rsidR="000C1980" w:rsidP="00072DBF" w:rsidRDefault="000C1980" w14:paraId="0B24DD30" w14:textId="77777777">
            <w:pPr>
              <w:keepNext/>
              <w:keepLines/>
              <w:jc w:val="center"/>
            </w:pPr>
            <w:r w:rsidRPr="00E05DF0">
              <w:t>Northern MFWB Program</w:t>
            </w:r>
          </w:p>
        </w:tc>
        <w:tc>
          <w:tcPr>
            <w:tcW w:w="4680" w:type="dxa"/>
            <w:vAlign w:val="center"/>
          </w:tcPr>
          <w:p w:rsidRPr="00E05DF0" w:rsidR="000C1980" w:rsidP="00072DBF" w:rsidRDefault="00072DBF" w14:paraId="204624D9" w14:textId="3EF44C48">
            <w:pPr>
              <w:keepNext/>
              <w:keepLines/>
              <w:jc w:val="center"/>
            </w:pPr>
            <w:r>
              <w:br/>
            </w:r>
            <w:r w:rsidRPr="00E05DF0" w:rsidR="000C1980">
              <w:t>71,400</w:t>
            </w:r>
          </w:p>
        </w:tc>
      </w:tr>
      <w:tr w:rsidRPr="00E05DF0" w:rsidR="000C1980" w:rsidTr="00072DBF" w14:paraId="36532517" w14:textId="77777777">
        <w:tc>
          <w:tcPr>
            <w:tcW w:w="4680" w:type="dxa"/>
            <w:vAlign w:val="center"/>
          </w:tcPr>
          <w:p w:rsidRPr="00E05DF0" w:rsidR="000C1980" w:rsidP="00072DBF" w:rsidRDefault="000C1980" w14:paraId="31224ED5" w14:textId="77777777">
            <w:pPr>
              <w:keepNext/>
              <w:keepLines/>
              <w:jc w:val="center"/>
            </w:pPr>
            <w:r w:rsidRPr="00E05DF0">
              <w:t>Southern MFWB Program</w:t>
            </w:r>
            <w:r w:rsidRPr="00E05DF0">
              <w:rPr>
                <w:rStyle w:val="FootnoteReference"/>
                <w:szCs w:val="26"/>
              </w:rPr>
              <w:footnoteReference w:id="964"/>
            </w:r>
          </w:p>
        </w:tc>
        <w:tc>
          <w:tcPr>
            <w:tcW w:w="4680" w:type="dxa"/>
            <w:vAlign w:val="center"/>
          </w:tcPr>
          <w:p w:rsidRPr="00E05DF0" w:rsidR="000C1980" w:rsidP="00072DBF" w:rsidRDefault="006A028E" w14:paraId="0C3708A4" w14:textId="333D5490">
            <w:pPr>
              <w:keepNext/>
              <w:keepLines/>
              <w:jc w:val="center"/>
              <w:rPr>
                <w:szCs w:val="26"/>
              </w:rPr>
            </w:pPr>
            <w:r>
              <w:t>172,723</w:t>
            </w:r>
            <w:r w:rsidR="00072DBF">
              <w:br/>
            </w:r>
          </w:p>
        </w:tc>
      </w:tr>
    </w:tbl>
    <w:p w:rsidRPr="00072DBF" w:rsidR="000C1980" w:rsidP="00072DBF" w:rsidRDefault="000C1980" w14:paraId="2EC2AEF6" w14:textId="77777777">
      <w:pPr>
        <w:rPr>
          <w:sz w:val="10"/>
          <w:szCs w:val="10"/>
        </w:rPr>
      </w:pPr>
    </w:p>
    <w:p w:rsidRPr="009E6FCB" w:rsidR="000C1980" w:rsidP="001C46EA" w:rsidRDefault="000C1980" w14:paraId="7DBED168" w14:textId="7972873F">
      <w:pPr>
        <w:pStyle w:val="Heading3"/>
      </w:pPr>
      <w:bookmarkStart w:name="_Toc69948215" w:id="568"/>
      <w:r w:rsidRPr="009E6FCB">
        <w:t xml:space="preserve">Energy Savings Goals: </w:t>
      </w:r>
      <w:r w:rsidRPr="00916806">
        <w:rPr>
          <w:u w:val="single"/>
        </w:rPr>
        <w:t>Approved with Modifications</w:t>
      </w:r>
      <w:bookmarkEnd w:id="568"/>
      <w:r w:rsidRPr="009E6FCB">
        <w:t xml:space="preserve">  </w:t>
      </w:r>
    </w:p>
    <w:p w:rsidR="000C1980" w:rsidP="0023091F" w:rsidRDefault="000C1980" w14:paraId="1C746BE8" w14:textId="70D1212E">
      <w:pPr>
        <w:pStyle w:val="ALJBodyText"/>
      </w:pPr>
      <w:r>
        <w:t>We approve the below energy savings goals for the Northern and Southern MFWB programs for P</w:t>
      </w:r>
      <w:r w:rsidR="001C457B">
        <w:t>Y</w:t>
      </w:r>
      <w:r>
        <w:t>s 2023-2026.  The MFWB program</w:t>
      </w:r>
      <w:r w:rsidR="009621B2">
        <w:t>s</w:t>
      </w:r>
      <w:r>
        <w:t>’ energy savings goals should be clearly stated in its filings and progress tracked in the IOU monthly and annual reports.</w:t>
      </w:r>
      <w:r w:rsidRPr="00A456BB">
        <w:t xml:space="preserve"> </w:t>
      </w:r>
      <w:r>
        <w:t xml:space="preserve"> The reporting template approved by Energy Division will include the specifics of this reporting criteria.  We also approve PG&amp;E’s request to adjust savings goals after the solicitation process for the Northern and Southern MFWB programs but will permit only an upwards adjustment. </w:t>
      </w:r>
    </w:p>
    <w:p w:rsidRPr="00F35407" w:rsidR="000C1980" w:rsidP="00F35407" w:rsidRDefault="000C1980" w14:paraId="395C7720" w14:textId="0193AC8E">
      <w:pPr>
        <w:pStyle w:val="Standard"/>
        <w:rPr>
          <w:b/>
          <w:bCs/>
        </w:rPr>
      </w:pPr>
      <w:r w:rsidRPr="00F35407">
        <w:rPr>
          <w:b/>
          <w:bCs/>
        </w:rPr>
        <w:t xml:space="preserve">Table 17: MFWB </w:t>
      </w:r>
      <w:r w:rsidRPr="00F35407" w:rsidR="009621B2">
        <w:rPr>
          <w:b/>
          <w:bCs/>
        </w:rPr>
        <w:t xml:space="preserve">Program </w:t>
      </w:r>
      <w:r w:rsidRPr="00F35407">
        <w:rPr>
          <w:b/>
          <w:bCs/>
        </w:rPr>
        <w:t>Savings Goals, P</w:t>
      </w:r>
      <w:r w:rsidRPr="00F35407" w:rsidR="00916806">
        <w:rPr>
          <w:b/>
          <w:bCs/>
        </w:rPr>
        <w:t>Y</w:t>
      </w:r>
      <w:r w:rsidRPr="00F35407">
        <w:rPr>
          <w:b/>
          <w:bCs/>
        </w:rPr>
        <w:t>s 2023-2026</w:t>
      </w:r>
    </w:p>
    <w:tbl>
      <w:tblPr>
        <w:tblStyle w:val="TableGrid"/>
        <w:tblW w:w="0" w:type="auto"/>
        <w:tblLook w:val="04A0" w:firstRow="1" w:lastRow="0" w:firstColumn="1" w:lastColumn="0" w:noHBand="0" w:noVBand="1"/>
      </w:tblPr>
      <w:tblGrid>
        <w:gridCol w:w="3505"/>
        <w:gridCol w:w="2577"/>
        <w:gridCol w:w="2463"/>
      </w:tblGrid>
      <w:tr w:rsidR="000C1980" w:rsidTr="000C1980" w14:paraId="436FD4FC" w14:textId="77777777">
        <w:tc>
          <w:tcPr>
            <w:tcW w:w="3505" w:type="dxa"/>
            <w:vMerge w:val="restart"/>
            <w:vAlign w:val="center"/>
          </w:tcPr>
          <w:p w:rsidR="000C1980" w:rsidP="0023091F" w:rsidRDefault="000C1980" w14:paraId="2B52EA48" w14:textId="77777777">
            <w:pPr>
              <w:pStyle w:val="ALJBodyText"/>
            </w:pPr>
            <w:r>
              <w:t>Program</w:t>
            </w:r>
          </w:p>
        </w:tc>
        <w:tc>
          <w:tcPr>
            <w:tcW w:w="5040" w:type="dxa"/>
            <w:gridSpan w:val="2"/>
          </w:tcPr>
          <w:p w:rsidRPr="00916806" w:rsidR="000C1980" w:rsidP="0023091F" w:rsidRDefault="00916806" w14:paraId="26F295F6" w14:textId="55DA7EC9">
            <w:pPr>
              <w:pStyle w:val="ALJBodyText"/>
            </w:pPr>
            <w:r w:rsidRPr="00916806">
              <w:t>MFWB Program Savings Goals</w:t>
            </w:r>
            <w:r>
              <w:t>, 2023-2026</w:t>
            </w:r>
          </w:p>
        </w:tc>
      </w:tr>
      <w:tr w:rsidR="000C1980" w:rsidTr="000C1980" w14:paraId="2ABCF81A" w14:textId="77777777">
        <w:trPr>
          <w:trHeight w:val="46"/>
        </w:trPr>
        <w:tc>
          <w:tcPr>
            <w:tcW w:w="3505" w:type="dxa"/>
            <w:vMerge/>
          </w:tcPr>
          <w:p w:rsidR="000C1980" w:rsidP="0023091F" w:rsidRDefault="000C1980" w14:paraId="344AA07D" w14:textId="77777777">
            <w:pPr>
              <w:pStyle w:val="ALJBodyText"/>
            </w:pPr>
          </w:p>
        </w:tc>
        <w:tc>
          <w:tcPr>
            <w:tcW w:w="2577" w:type="dxa"/>
          </w:tcPr>
          <w:p w:rsidR="000C1980" w:rsidP="0023091F" w:rsidRDefault="000C1980" w14:paraId="2DFBA631" w14:textId="77777777">
            <w:pPr>
              <w:pStyle w:val="ALJBodyText"/>
            </w:pPr>
            <w:r>
              <w:t>kWh</w:t>
            </w:r>
          </w:p>
        </w:tc>
        <w:tc>
          <w:tcPr>
            <w:tcW w:w="2463" w:type="dxa"/>
          </w:tcPr>
          <w:p w:rsidR="000C1980" w:rsidP="0023091F" w:rsidRDefault="000C1980" w14:paraId="2A2363EB" w14:textId="77777777">
            <w:pPr>
              <w:pStyle w:val="ALJBodyText"/>
            </w:pPr>
            <w:proofErr w:type="spellStart"/>
            <w:r>
              <w:t>therms</w:t>
            </w:r>
            <w:proofErr w:type="spellEnd"/>
          </w:p>
        </w:tc>
      </w:tr>
      <w:tr w:rsidR="000C1980" w:rsidTr="000C1980" w14:paraId="33A0DC73" w14:textId="77777777">
        <w:tc>
          <w:tcPr>
            <w:tcW w:w="3505" w:type="dxa"/>
          </w:tcPr>
          <w:p w:rsidR="000C1980" w:rsidP="0023091F" w:rsidRDefault="000C1980" w14:paraId="2E86CD18" w14:textId="77777777">
            <w:pPr>
              <w:pStyle w:val="ALJBodyText"/>
            </w:pPr>
            <w:r>
              <w:t>Northern MFWB</w:t>
            </w:r>
          </w:p>
        </w:tc>
        <w:tc>
          <w:tcPr>
            <w:tcW w:w="2577" w:type="dxa"/>
          </w:tcPr>
          <w:p w:rsidR="000C1980" w:rsidP="0023091F" w:rsidRDefault="000C1980" w14:paraId="0476EEC9" w14:textId="77777777">
            <w:pPr>
              <w:pStyle w:val="ALJBodyText"/>
            </w:pPr>
            <w:r w:rsidRPr="008232D6">
              <w:t>76,960,131</w:t>
            </w:r>
          </w:p>
        </w:tc>
        <w:tc>
          <w:tcPr>
            <w:tcW w:w="2463" w:type="dxa"/>
          </w:tcPr>
          <w:p w:rsidR="000C1980" w:rsidP="0023091F" w:rsidRDefault="000C1980" w14:paraId="61B3390F" w14:textId="77777777">
            <w:pPr>
              <w:pStyle w:val="ALJBodyText"/>
            </w:pPr>
            <w:r w:rsidRPr="008232D6">
              <w:t>2,992,244</w:t>
            </w:r>
          </w:p>
        </w:tc>
      </w:tr>
      <w:tr w:rsidR="000C1980" w:rsidTr="000C1980" w14:paraId="3C9B7FDA" w14:textId="77777777">
        <w:tc>
          <w:tcPr>
            <w:tcW w:w="3505" w:type="dxa"/>
          </w:tcPr>
          <w:p w:rsidR="000C1980" w:rsidP="0023091F" w:rsidRDefault="000C1980" w14:paraId="3D36061D" w14:textId="77777777">
            <w:pPr>
              <w:pStyle w:val="ALJBodyText"/>
            </w:pPr>
            <w:r>
              <w:t>Southern MFWB</w:t>
            </w:r>
          </w:p>
        </w:tc>
        <w:tc>
          <w:tcPr>
            <w:tcW w:w="2577" w:type="dxa"/>
          </w:tcPr>
          <w:p w:rsidR="000C1980" w:rsidP="0023091F" w:rsidRDefault="000C1980" w14:paraId="5C95544F" w14:textId="77777777">
            <w:pPr>
              <w:pStyle w:val="ALJBodyText"/>
            </w:pPr>
            <w:r w:rsidRPr="001E58E9">
              <w:t>39,365,118</w:t>
            </w:r>
          </w:p>
        </w:tc>
        <w:tc>
          <w:tcPr>
            <w:tcW w:w="2463" w:type="dxa"/>
          </w:tcPr>
          <w:p w:rsidR="000C1980" w:rsidP="0023091F" w:rsidRDefault="000C1980" w14:paraId="67D0495E" w14:textId="77777777">
            <w:pPr>
              <w:pStyle w:val="ALJBodyText"/>
            </w:pPr>
            <w:r w:rsidRPr="001E58E9">
              <w:t>2,293,375</w:t>
            </w:r>
          </w:p>
        </w:tc>
      </w:tr>
    </w:tbl>
    <w:p w:rsidRPr="000E6914" w:rsidR="000C1980" w:rsidP="0023091F" w:rsidRDefault="000C1980" w14:paraId="3484ACD5" w14:textId="77777777">
      <w:pPr>
        <w:pStyle w:val="ALJBodyText"/>
      </w:pPr>
    </w:p>
    <w:p w:rsidRPr="00365095" w:rsidR="000C1980" w:rsidP="001C46EA" w:rsidRDefault="000C1980" w14:paraId="60E72AAA" w14:textId="5726E498">
      <w:pPr>
        <w:pStyle w:val="Heading3"/>
        <w:rPr>
          <w:u w:val="single"/>
        </w:rPr>
      </w:pPr>
      <w:bookmarkStart w:name="_Toc69948216" w:id="569"/>
      <w:r>
        <w:lastRenderedPageBreak/>
        <w:t xml:space="preserve">Multifamily Program Budgets, </w:t>
      </w:r>
      <w:r w:rsidRPr="00365095">
        <w:t>PY</w:t>
      </w:r>
      <w:r>
        <w:t>s</w:t>
      </w:r>
      <w:r w:rsidRPr="00365095">
        <w:t xml:space="preserve"> 2021-2022</w:t>
      </w:r>
      <w:r>
        <w:t xml:space="preserve"> (</w:t>
      </w:r>
      <w:r w:rsidRPr="00365095">
        <w:t xml:space="preserve">ESA </w:t>
      </w:r>
      <w:proofErr w:type="gramStart"/>
      <w:r w:rsidRPr="00365095">
        <w:t>In</w:t>
      </w:r>
      <w:proofErr w:type="gramEnd"/>
      <w:r w:rsidRPr="00365095">
        <w:t xml:space="preserve"> Unit,</w:t>
      </w:r>
      <w:r>
        <w:t xml:space="preserve"> </w:t>
      </w:r>
      <w:r w:rsidRPr="00365095">
        <w:t>CAM</w:t>
      </w:r>
      <w:r>
        <w:t>,</w:t>
      </w:r>
      <w:r w:rsidRPr="00365095">
        <w:t xml:space="preserve"> SPOC): </w:t>
      </w:r>
      <w:r w:rsidRPr="00365095">
        <w:rPr>
          <w:u w:val="single"/>
        </w:rPr>
        <w:t>Approved with Modifications</w:t>
      </w:r>
      <w:bookmarkEnd w:id="569"/>
    </w:p>
    <w:p w:rsidR="000C1980" w:rsidP="0023091F" w:rsidRDefault="000C1980" w14:paraId="1F5C99F2" w14:textId="0BB4C651">
      <w:pPr>
        <w:pStyle w:val="ALJBodyText"/>
      </w:pPr>
      <w:r>
        <w:t xml:space="preserve">We approve the IOUs’ multifamily program </w:t>
      </w:r>
      <w:r w:rsidR="00502DE6">
        <w:t xml:space="preserve">application </w:t>
      </w:r>
      <w:r>
        <w:t xml:space="preserve">budgets for in unit measures, </w:t>
      </w:r>
      <w:proofErr w:type="gramStart"/>
      <w:r>
        <w:t>CAM</w:t>
      </w:r>
      <w:proofErr w:type="gramEnd"/>
      <w:r>
        <w:t xml:space="preserve"> and SPOC </w:t>
      </w:r>
      <w:r w:rsidR="00913F78">
        <w:t xml:space="preserve">for </w:t>
      </w:r>
      <w:r>
        <w:t>PYs 2021-2022,</w:t>
      </w:r>
      <w:r w:rsidR="00464EAF">
        <w:rPr>
          <w:rStyle w:val="FootnoteReference"/>
        </w:rPr>
        <w:footnoteReference w:id="965"/>
      </w:r>
      <w:r>
        <w:t xml:space="preserve"> or until the MFWB programs are implemented.  Consistent with the budget adjustment made to the overall ESA budget discussed in Section 6.15.</w:t>
      </w:r>
      <w:r w:rsidR="00112959">
        <w:t>8</w:t>
      </w:r>
      <w:r>
        <w:t>.1,</w:t>
      </w:r>
      <w:r w:rsidRPr="00AF6447">
        <w:t xml:space="preserve"> </w:t>
      </w:r>
      <w:r>
        <w:t xml:space="preserve">a 14 percent reduction will be applied to the </w:t>
      </w:r>
      <w:r w:rsidR="00C03262">
        <w:t xml:space="preserve">PY 2022 </w:t>
      </w:r>
      <w:r>
        <w:t xml:space="preserve">“Energy Efficiency Total” (“above the line”) and “Non-Energy Efficiency Total” budgets but will exclude studies that have specified budgets.  Administrative costs shall also be capped at 10 percent, </w:t>
      </w:r>
      <w:r w:rsidRPr="001126F1">
        <w:t xml:space="preserve">or the IOU’s historical five-year average spend on administrative costs as a percentage of total </w:t>
      </w:r>
      <w:r>
        <w:t xml:space="preserve">multifamily </w:t>
      </w:r>
      <w:r w:rsidRPr="001126F1">
        <w:t>program costs, whichever is greater.</w:t>
      </w:r>
      <w:r>
        <w:t xml:space="preserve">  </w:t>
      </w:r>
      <w:r w:rsidRPr="00B72091">
        <w:t xml:space="preserve">However, we note that SDG&amp;E’s request for CAM spending for non-deed restricted properties of $19.7M </w:t>
      </w:r>
      <w:r w:rsidR="003219F7">
        <w:t xml:space="preserve">for PYs 2021-2022 </w:t>
      </w:r>
      <w:r w:rsidRPr="00B72091">
        <w:t>(which is 28</w:t>
      </w:r>
      <w:r>
        <w:t xml:space="preserve"> percent</w:t>
      </w:r>
      <w:r w:rsidRPr="00B72091">
        <w:t xml:space="preserve"> of </w:t>
      </w:r>
      <w:r>
        <w:t>its</w:t>
      </w:r>
      <w:r w:rsidRPr="00B72091">
        <w:t xml:space="preserve"> total </w:t>
      </w:r>
      <w:r>
        <w:t>multifamily</w:t>
      </w:r>
      <w:r w:rsidRPr="00B72091">
        <w:t xml:space="preserve"> program costs and 10</w:t>
      </w:r>
      <w:r>
        <w:t xml:space="preserve"> percent</w:t>
      </w:r>
      <w:r w:rsidRPr="00B72091">
        <w:t xml:space="preserve"> of </w:t>
      </w:r>
      <w:r>
        <w:t>its</w:t>
      </w:r>
      <w:r w:rsidRPr="00B72091">
        <w:t xml:space="preserve"> total ESA program costs) was significantly higher than what the other IOUs proposed. </w:t>
      </w:r>
      <w:r w:rsidR="00D92F2E">
        <w:t xml:space="preserve">SDG&amp;E’s request to run a separate program for qualified low-income multifamily, non-deed restricted properties is denied. </w:t>
      </w:r>
      <w:r>
        <w:t xml:space="preserve"> </w:t>
      </w:r>
      <w:r w:rsidRPr="00B72091">
        <w:t>As SDG&amp;E is required to direct their multifamily sector spending to the Southern MFWB program</w:t>
      </w:r>
      <w:r>
        <w:t xml:space="preserve"> for PYs 2023-2026, we will not modify this specific budget as the funding will be designated between common area and in-unit measures per the winning bid. </w:t>
      </w:r>
    </w:p>
    <w:p w:rsidR="000C1980" w:rsidP="0023091F" w:rsidRDefault="000C1980" w14:paraId="3E8A98C1" w14:textId="79FAA54D">
      <w:pPr>
        <w:pStyle w:val="ALJBodyText"/>
      </w:pPr>
      <w:r>
        <w:t xml:space="preserve">For PYs 2021-2022, all the IOUs will run their ESA in-unit and CAM programs as proposed, and if the IOUs did not propose any interim CAM activities for these years, they will continue their existing CAM programs until such a time as they can be transitioned into the overall MFWB programs.  Upon </w:t>
      </w:r>
      <w:r>
        <w:lastRenderedPageBreak/>
        <w:t xml:space="preserve">implementation of the Northern and Southern MFWB programs, expected in 2023, the IOUs shall shift all remaining unspent </w:t>
      </w:r>
      <w:r w:rsidR="006B112C">
        <w:t xml:space="preserve">and uncommitted </w:t>
      </w:r>
      <w:r>
        <w:t xml:space="preserve">funds approved for multifamily in unit and CAM measures to the Northern and Southern MFWB programs to offset future collections.  </w:t>
      </w:r>
      <w:r w:rsidRPr="000E6914">
        <w:rPr>
          <w:i/>
          <w:iCs/>
        </w:rPr>
        <w:t>See</w:t>
      </w:r>
      <w:r>
        <w:t xml:space="preserve"> below for the final approved multifamily program budgets. </w:t>
      </w:r>
    </w:p>
    <w:p w:rsidRPr="00072DBF" w:rsidR="005B79F1" w:rsidP="00072DBF" w:rsidRDefault="000C1980" w14:paraId="115EFC12" w14:textId="3128C55A">
      <w:pPr>
        <w:spacing w:after="120"/>
        <w:jc w:val="center"/>
        <w:rPr>
          <w:b/>
          <w:bCs/>
        </w:rPr>
      </w:pPr>
      <w:r w:rsidRPr="00072DBF">
        <w:rPr>
          <w:b/>
          <w:bCs/>
        </w:rPr>
        <w:t>Table 18: Approved Multifamily Budgets, PY</w:t>
      </w:r>
      <w:r w:rsidRPr="00072DBF" w:rsidR="00F35407">
        <w:rPr>
          <w:b/>
          <w:bCs/>
        </w:rPr>
        <w:t xml:space="preserve"> </w:t>
      </w:r>
      <w:r w:rsidRPr="00072DBF">
        <w:rPr>
          <w:b/>
          <w:bCs/>
        </w:rPr>
        <w:t>2022</w:t>
      </w:r>
    </w:p>
    <w:tbl>
      <w:tblPr>
        <w:tblStyle w:val="TableGrid"/>
        <w:tblW w:w="0" w:type="auto"/>
        <w:tblLook w:val="04A0" w:firstRow="1" w:lastRow="0" w:firstColumn="1" w:lastColumn="0" w:noHBand="0" w:noVBand="1"/>
      </w:tblPr>
      <w:tblGrid>
        <w:gridCol w:w="4405"/>
        <w:gridCol w:w="4945"/>
      </w:tblGrid>
      <w:tr w:rsidR="00AD4504" w:rsidTr="00072DBF" w14:paraId="068C2234" w14:textId="77777777">
        <w:tc>
          <w:tcPr>
            <w:tcW w:w="9350" w:type="dxa"/>
            <w:gridSpan w:val="2"/>
            <w:vAlign w:val="center"/>
          </w:tcPr>
          <w:p w:rsidRPr="00112959" w:rsidR="00AD4504" w:rsidP="00072DBF" w:rsidRDefault="00AD4504" w14:paraId="131E255D" w14:textId="77777777">
            <w:pPr>
              <w:spacing w:after="120"/>
              <w:jc w:val="center"/>
            </w:pPr>
            <w:r w:rsidRPr="00112959">
              <w:t>Approved Multifamily Budgets, PY</w:t>
            </w:r>
            <w:r>
              <w:t xml:space="preserve"> </w:t>
            </w:r>
            <w:r w:rsidRPr="00112959">
              <w:t>2022</w:t>
            </w:r>
          </w:p>
        </w:tc>
      </w:tr>
      <w:tr w:rsidR="00AD4504" w:rsidTr="00072DBF" w14:paraId="23693EA0" w14:textId="77777777">
        <w:tc>
          <w:tcPr>
            <w:tcW w:w="4405" w:type="dxa"/>
            <w:vAlign w:val="center"/>
          </w:tcPr>
          <w:p w:rsidR="00AD4504" w:rsidP="00072DBF" w:rsidRDefault="00AD4504" w14:paraId="4908C7F5" w14:textId="77777777">
            <w:pPr>
              <w:spacing w:after="120"/>
              <w:jc w:val="center"/>
            </w:pPr>
            <w:r>
              <w:t>PG&amp;E</w:t>
            </w:r>
            <w:r>
              <w:rPr>
                <w:rStyle w:val="FootnoteReference"/>
              </w:rPr>
              <w:footnoteReference w:id="966"/>
            </w:r>
          </w:p>
        </w:tc>
        <w:tc>
          <w:tcPr>
            <w:tcW w:w="4945" w:type="dxa"/>
            <w:vAlign w:val="center"/>
          </w:tcPr>
          <w:p w:rsidRPr="00007F9F" w:rsidR="00AD4504" w:rsidP="00072DBF" w:rsidRDefault="00AD4504" w14:paraId="70EBDC24" w14:textId="77777777">
            <w:pPr>
              <w:spacing w:after="120"/>
              <w:jc w:val="center"/>
            </w:pPr>
            <w:r>
              <w:t>$35.4M</w:t>
            </w:r>
          </w:p>
        </w:tc>
      </w:tr>
      <w:tr w:rsidR="00AD4504" w:rsidTr="00072DBF" w14:paraId="5466E34C" w14:textId="77777777">
        <w:tc>
          <w:tcPr>
            <w:tcW w:w="4405" w:type="dxa"/>
            <w:vAlign w:val="center"/>
          </w:tcPr>
          <w:p w:rsidR="00AD4504" w:rsidP="00072DBF" w:rsidRDefault="00AD4504" w14:paraId="1794492F" w14:textId="77777777">
            <w:pPr>
              <w:spacing w:after="120"/>
              <w:jc w:val="center"/>
            </w:pPr>
            <w:r>
              <w:t>SCE</w:t>
            </w:r>
          </w:p>
        </w:tc>
        <w:tc>
          <w:tcPr>
            <w:tcW w:w="4945" w:type="dxa"/>
            <w:vAlign w:val="center"/>
          </w:tcPr>
          <w:p w:rsidRPr="00007F9F" w:rsidR="00AD4504" w:rsidP="00072DBF" w:rsidRDefault="00AD4504" w14:paraId="2EC8475F" w14:textId="77777777">
            <w:pPr>
              <w:spacing w:after="120"/>
              <w:jc w:val="center"/>
            </w:pPr>
            <w:r>
              <w:t>$5.7M</w:t>
            </w:r>
          </w:p>
        </w:tc>
      </w:tr>
      <w:tr w:rsidR="00AD4504" w:rsidTr="00072DBF" w14:paraId="272C17A2" w14:textId="77777777">
        <w:tc>
          <w:tcPr>
            <w:tcW w:w="4405" w:type="dxa"/>
            <w:vAlign w:val="center"/>
          </w:tcPr>
          <w:p w:rsidR="00AD4504" w:rsidP="00072DBF" w:rsidRDefault="00AD4504" w14:paraId="0A2AC802" w14:textId="77777777">
            <w:pPr>
              <w:spacing w:after="120"/>
              <w:jc w:val="center"/>
            </w:pPr>
            <w:r>
              <w:t>SoCalGas</w:t>
            </w:r>
          </w:p>
        </w:tc>
        <w:tc>
          <w:tcPr>
            <w:tcW w:w="4945" w:type="dxa"/>
            <w:vAlign w:val="center"/>
          </w:tcPr>
          <w:p w:rsidRPr="00007F9F" w:rsidR="00AD4504" w:rsidP="00072DBF" w:rsidRDefault="00AD4504" w14:paraId="2647AFB2" w14:textId="77777777">
            <w:pPr>
              <w:spacing w:after="120"/>
              <w:jc w:val="center"/>
            </w:pPr>
            <w:r>
              <w:t>$18.6M</w:t>
            </w:r>
          </w:p>
        </w:tc>
      </w:tr>
      <w:tr w:rsidR="00AD4504" w:rsidTr="00072DBF" w14:paraId="4CD5AE0D" w14:textId="77777777">
        <w:tc>
          <w:tcPr>
            <w:tcW w:w="4405" w:type="dxa"/>
            <w:vAlign w:val="center"/>
          </w:tcPr>
          <w:p w:rsidR="00AD4504" w:rsidP="00072DBF" w:rsidRDefault="00AD4504" w14:paraId="61935EC4" w14:textId="77777777">
            <w:pPr>
              <w:spacing w:after="120"/>
              <w:jc w:val="center"/>
            </w:pPr>
            <w:r>
              <w:t>SDG&amp;E</w:t>
            </w:r>
          </w:p>
        </w:tc>
        <w:tc>
          <w:tcPr>
            <w:tcW w:w="4945" w:type="dxa"/>
            <w:vAlign w:val="center"/>
          </w:tcPr>
          <w:p w:rsidRPr="00007F9F" w:rsidR="00AD4504" w:rsidP="00072DBF" w:rsidRDefault="00AD4504" w14:paraId="6DA778E4" w14:textId="77777777">
            <w:pPr>
              <w:spacing w:after="120"/>
              <w:jc w:val="center"/>
            </w:pPr>
            <w:r>
              <w:t>$4.6M</w:t>
            </w:r>
          </w:p>
        </w:tc>
      </w:tr>
    </w:tbl>
    <w:p w:rsidRPr="00072DBF" w:rsidR="000C1980" w:rsidP="00072DBF" w:rsidRDefault="000C1980" w14:paraId="700A58CD" w14:textId="77777777">
      <w:pPr>
        <w:spacing w:after="120"/>
        <w:rPr>
          <w:sz w:val="10"/>
          <w:szCs w:val="10"/>
        </w:rPr>
      </w:pPr>
    </w:p>
    <w:p w:rsidRPr="007C018B" w:rsidR="000C1980" w:rsidP="0023091F" w:rsidRDefault="000C1980" w14:paraId="57FDA582" w14:textId="3E50C45C">
      <w:pPr>
        <w:pStyle w:val="ALJBodyText"/>
      </w:pPr>
      <w:r w:rsidRPr="007C018B">
        <w:t xml:space="preserve">We also require the IOUs to carry-forward any unspent and uncommitted CAM funding from the original allocation in D.17-12-009 remaining </w:t>
      </w:r>
      <w:r w:rsidR="00C3120F">
        <w:t>as of June 30, 2021 into</w:t>
      </w:r>
      <w:r w:rsidRPr="007C018B">
        <w:t xml:space="preserve"> the </w:t>
      </w:r>
      <w:r w:rsidR="00C3120F">
        <w:t xml:space="preserve">remainder of </w:t>
      </w:r>
      <w:r w:rsidR="00971388">
        <w:t>PY</w:t>
      </w:r>
      <w:r w:rsidR="00C3120F">
        <w:t xml:space="preserve"> </w:t>
      </w:r>
      <w:proofErr w:type="gramStart"/>
      <w:r w:rsidRPr="007C018B">
        <w:t xml:space="preserve">2021 </w:t>
      </w:r>
      <w:r w:rsidR="00971388">
        <w:t xml:space="preserve"> and</w:t>
      </w:r>
      <w:proofErr w:type="gramEnd"/>
      <w:r w:rsidRPr="007C018B">
        <w:t xml:space="preserve"> 2022. </w:t>
      </w:r>
      <w:r>
        <w:t xml:space="preserve"> </w:t>
      </w:r>
      <w:r w:rsidRPr="007C018B">
        <w:t xml:space="preserve">This ESA CAM carry-forward amount will supplement the IOU approved multifamily budgets for </w:t>
      </w:r>
      <w:r w:rsidR="00C32CB2">
        <w:t xml:space="preserve">the reminder of </w:t>
      </w:r>
      <w:r w:rsidRPr="007C018B">
        <w:t>PY 2021</w:t>
      </w:r>
      <w:r w:rsidR="00C32CB2">
        <w:t xml:space="preserve"> and </w:t>
      </w:r>
      <w:r w:rsidRPr="007C018B">
        <w:t>2022</w:t>
      </w:r>
      <w:r w:rsidRPr="00A64417" w:rsidR="00A64417">
        <w:t xml:space="preserve"> </w:t>
      </w:r>
      <w:r w:rsidR="00A64417">
        <w:t xml:space="preserve">for </w:t>
      </w:r>
      <w:r w:rsidR="00C32CB2">
        <w:t xml:space="preserve">the </w:t>
      </w:r>
      <w:r w:rsidR="00A64417">
        <w:t>continuation of ESA CAM services</w:t>
      </w:r>
      <w:r w:rsidRPr="007C018B">
        <w:t>.  However, any unspent and uncommitted funds allocated to the multifamily efforts remaining upon the implementation of the Northern and Southern MFWB programs, shall be used to offset collections for the MFWB programs as opposed to being used to supplement the approved Northern and Southern MFWB programs.</w:t>
      </w:r>
    </w:p>
    <w:p w:rsidRPr="007C018B" w:rsidR="000C1980" w:rsidP="0023091F" w:rsidRDefault="000C1980" w14:paraId="38C361F1" w14:textId="3B89D636">
      <w:pPr>
        <w:pStyle w:val="ALJBodyText"/>
      </w:pPr>
      <w:r w:rsidRPr="007C018B">
        <w:t xml:space="preserve">The IOUs must file a Tier 1 advice letter within </w:t>
      </w:r>
      <w:r w:rsidR="00DB3F69">
        <w:t>60</w:t>
      </w:r>
      <w:r w:rsidRPr="007C018B" w:rsidR="00DB3F69">
        <w:t xml:space="preserve"> </w:t>
      </w:r>
      <w:r w:rsidRPr="007C018B">
        <w:t>days</w:t>
      </w:r>
      <w:r w:rsidRPr="00D52D26" w:rsidR="00D52D26">
        <w:t xml:space="preserve"> </w:t>
      </w:r>
      <w:r w:rsidRPr="00C47214" w:rsidR="00D52D26">
        <w:t>after the approval</w:t>
      </w:r>
      <w:r w:rsidRPr="007C018B">
        <w:t xml:space="preserve"> of this decision with the updated ESA multifamily budget</w:t>
      </w:r>
      <w:r>
        <w:t>s</w:t>
      </w:r>
      <w:r w:rsidRPr="007C018B">
        <w:t xml:space="preserve"> for PYs 2021-2022 </w:t>
      </w:r>
      <w:r>
        <w:t xml:space="preserve">with the amounts </w:t>
      </w:r>
      <w:r w:rsidRPr="007C018B">
        <w:t xml:space="preserve">being supplemented by the unspent and uncommitted CAM </w:t>
      </w:r>
      <w:r w:rsidRPr="007C018B">
        <w:lastRenderedPageBreak/>
        <w:t>funding remaining at the end of the 2020 program year, and the 2021 bridge period</w:t>
      </w:r>
      <w:r w:rsidR="009D78A0">
        <w:t>, as well as annual property treatment targets</w:t>
      </w:r>
      <w:r w:rsidRPr="007C018B">
        <w:t xml:space="preserve">. </w:t>
      </w:r>
    </w:p>
    <w:p w:rsidRPr="00E87DD8" w:rsidR="000C1980" w:rsidP="001C46EA" w:rsidRDefault="000C1980" w14:paraId="3A911BBD" w14:textId="6A4BD975">
      <w:pPr>
        <w:pStyle w:val="Heading3"/>
      </w:pPr>
      <w:bookmarkStart w:name="_Toc69948217" w:id="570"/>
      <w:r>
        <w:t xml:space="preserve">Multifamily Program Budgets, </w:t>
      </w:r>
      <w:r w:rsidRPr="00365095">
        <w:t>PY</w:t>
      </w:r>
      <w:r>
        <w:t>s</w:t>
      </w:r>
      <w:r w:rsidRPr="00365095">
        <w:t xml:space="preserve"> 202</w:t>
      </w:r>
      <w:r>
        <w:t>3</w:t>
      </w:r>
      <w:r w:rsidRPr="00365095">
        <w:t>-202</w:t>
      </w:r>
      <w:r>
        <w:t>6 (</w:t>
      </w:r>
      <w:r w:rsidRPr="00E87DD8">
        <w:t>MFWB</w:t>
      </w:r>
      <w:r>
        <w:t>):</w:t>
      </w:r>
      <w:r w:rsidRPr="00E87DD8">
        <w:t xml:space="preserve"> </w:t>
      </w:r>
      <w:r w:rsidRPr="00E87DD8">
        <w:rPr>
          <w:u w:val="single"/>
        </w:rPr>
        <w:t>Approved with Modifications</w:t>
      </w:r>
      <w:bookmarkEnd w:id="570"/>
    </w:p>
    <w:p w:rsidR="000C1980" w:rsidP="000C1980" w:rsidRDefault="000C1980" w14:paraId="6BE1FC8C" w14:textId="7E75819D">
      <w:pPr>
        <w:spacing w:line="360" w:lineRule="auto"/>
        <w:ind w:firstLine="720"/>
      </w:pPr>
      <w:r>
        <w:t>We approve the below budgets for the Northern MFWB and Southern MFWB programs beginning in 2023, which will include all MF offerings, (MFWB, in unit, and CAM), as well as program administration costs, (SPOC for PG&amp;E only, Inspections</w:t>
      </w:r>
      <w:r w:rsidR="00EE6E5C">
        <w:t xml:space="preserve">, IOU Third Party Administration, </w:t>
      </w:r>
      <w:r w:rsidR="000D5884">
        <w:t>etc.</w:t>
      </w:r>
      <w:r>
        <w:t xml:space="preserve">).  </w:t>
      </w:r>
      <w:r w:rsidR="000D5884">
        <w:t>Administrative costs shall also be capped at 10 percent</w:t>
      </w:r>
      <w:r w:rsidR="00427082">
        <w:t xml:space="preserve"> </w:t>
      </w:r>
      <w:r w:rsidR="000D5884">
        <w:t xml:space="preserve">of total multifamily program costs. </w:t>
      </w:r>
      <w:r>
        <w:t>We clarify that until the Northern and Southern MFWB programs are up and running, the IOUs are authorized their individual MF budgets for in unit and CAM offerings.  The breakdown for contributions to the Southern MFWB Program are SCE 31 percent, SoCalGas 49 percent, and SDG&amp;E 20 percent.</w:t>
      </w:r>
    </w:p>
    <w:p w:rsidRPr="00692AFE" w:rsidR="000C1980" w:rsidP="000C1980" w:rsidRDefault="000C1980" w14:paraId="57A26D5C" w14:textId="77777777">
      <w:pPr>
        <w:spacing w:line="360" w:lineRule="auto"/>
        <w:jc w:val="center"/>
        <w:rPr>
          <w:b/>
          <w:bCs/>
        </w:rPr>
      </w:pPr>
      <w:r w:rsidRPr="00692AFE">
        <w:rPr>
          <w:b/>
          <w:bCs/>
        </w:rPr>
        <w:t>Table 19: Approved Northern and Southern MFWB Budgets, PYs 2023-2026</w:t>
      </w:r>
    </w:p>
    <w:tbl>
      <w:tblPr>
        <w:tblStyle w:val="TableGrid"/>
        <w:tblW w:w="0" w:type="auto"/>
        <w:tblLayout w:type="fixed"/>
        <w:tblLook w:val="06A0" w:firstRow="1" w:lastRow="0" w:firstColumn="1" w:lastColumn="0" w:noHBand="1" w:noVBand="1"/>
      </w:tblPr>
      <w:tblGrid>
        <w:gridCol w:w="4680"/>
        <w:gridCol w:w="4680"/>
      </w:tblGrid>
      <w:tr w:rsidRPr="00F0209A" w:rsidR="000C1980" w:rsidTr="000C1980" w14:paraId="2CCEE95E" w14:textId="77777777">
        <w:tc>
          <w:tcPr>
            <w:tcW w:w="4680" w:type="dxa"/>
          </w:tcPr>
          <w:p w:rsidRPr="00F0209A" w:rsidR="000C1980" w:rsidP="00072DBF" w:rsidRDefault="000C1980" w14:paraId="0D4A4ED9" w14:textId="77777777">
            <w:pPr>
              <w:spacing w:after="120"/>
              <w:jc w:val="center"/>
            </w:pPr>
            <w:r w:rsidRPr="00F0209A">
              <w:t>Program</w:t>
            </w:r>
          </w:p>
        </w:tc>
        <w:tc>
          <w:tcPr>
            <w:tcW w:w="4680" w:type="dxa"/>
          </w:tcPr>
          <w:p w:rsidRPr="00F0209A" w:rsidR="000C1980" w:rsidP="00072DBF" w:rsidRDefault="00DA0058" w14:paraId="76BF87F0" w14:textId="6191F2E4">
            <w:pPr>
              <w:spacing w:after="120"/>
              <w:jc w:val="center"/>
            </w:pPr>
            <w:r>
              <w:t xml:space="preserve">Approved </w:t>
            </w:r>
            <w:r w:rsidRPr="00692AFE">
              <w:t>MFWB</w:t>
            </w:r>
            <w:r>
              <w:t xml:space="preserve"> </w:t>
            </w:r>
            <w:r w:rsidR="000C1980">
              <w:t>Budget (</w:t>
            </w:r>
            <w:r w:rsidRPr="00F0209A" w:rsidR="000C1980">
              <w:t>202</w:t>
            </w:r>
            <w:r w:rsidR="000C1980">
              <w:t>3</w:t>
            </w:r>
            <w:r w:rsidRPr="00F0209A" w:rsidR="000C1980">
              <w:t>-</w:t>
            </w:r>
            <w:r w:rsidR="000C1980">
              <w:t>20</w:t>
            </w:r>
            <w:r w:rsidRPr="00F0209A" w:rsidR="000C1980">
              <w:t>26</w:t>
            </w:r>
            <w:r w:rsidR="000C1980">
              <w:t>)</w:t>
            </w:r>
          </w:p>
        </w:tc>
      </w:tr>
      <w:tr w:rsidR="000C1980" w:rsidTr="000C1980" w14:paraId="39382DB8" w14:textId="77777777">
        <w:tc>
          <w:tcPr>
            <w:tcW w:w="4680" w:type="dxa"/>
          </w:tcPr>
          <w:p w:rsidR="000C1980" w:rsidP="00072DBF" w:rsidRDefault="000C1980" w14:paraId="18DB7346" w14:textId="77777777">
            <w:pPr>
              <w:spacing w:after="120"/>
              <w:jc w:val="center"/>
            </w:pPr>
            <w:r>
              <w:t>Northern MFWB Program</w:t>
            </w:r>
          </w:p>
        </w:tc>
        <w:tc>
          <w:tcPr>
            <w:tcW w:w="4680" w:type="dxa"/>
          </w:tcPr>
          <w:p w:rsidR="000C1980" w:rsidP="00072DBF" w:rsidRDefault="000C1980" w14:paraId="35E1F9C8" w14:textId="77777777">
            <w:pPr>
              <w:spacing w:after="120"/>
              <w:jc w:val="center"/>
            </w:pPr>
            <w:r>
              <w:t>$174,076,023</w:t>
            </w:r>
          </w:p>
        </w:tc>
      </w:tr>
      <w:tr w:rsidR="000C1980" w:rsidTr="000C1980" w14:paraId="5F431354" w14:textId="77777777">
        <w:tc>
          <w:tcPr>
            <w:tcW w:w="4680" w:type="dxa"/>
          </w:tcPr>
          <w:p w:rsidR="000C1980" w:rsidP="00072DBF" w:rsidRDefault="000C1980" w14:paraId="3B3ED14C" w14:textId="77777777">
            <w:pPr>
              <w:spacing w:after="120"/>
              <w:jc w:val="center"/>
            </w:pPr>
            <w:r>
              <w:t>Southern MFWB Program</w:t>
            </w:r>
          </w:p>
        </w:tc>
        <w:tc>
          <w:tcPr>
            <w:tcW w:w="4680" w:type="dxa"/>
          </w:tcPr>
          <w:p w:rsidR="000C1980" w:rsidP="00072DBF" w:rsidRDefault="000C1980" w14:paraId="73F02833" w14:textId="77777777">
            <w:pPr>
              <w:spacing w:after="120"/>
              <w:jc w:val="center"/>
            </w:pPr>
            <w:r>
              <w:t>$173,310,891</w:t>
            </w:r>
          </w:p>
        </w:tc>
      </w:tr>
    </w:tbl>
    <w:p w:rsidRPr="000E6914" w:rsidR="000C1980" w:rsidP="000C1980" w:rsidRDefault="000C1980" w14:paraId="2B495F73" w14:textId="77777777">
      <w:pPr>
        <w:spacing w:line="360" w:lineRule="auto"/>
        <w:ind w:firstLine="720"/>
        <w:rPr>
          <w:sz w:val="10"/>
          <w:szCs w:val="10"/>
        </w:rPr>
      </w:pPr>
    </w:p>
    <w:p w:rsidRPr="000B0CAB" w:rsidR="000C1980" w:rsidP="0023091F" w:rsidRDefault="000C1980" w14:paraId="38DF81C4" w14:textId="6DF3B81B">
      <w:pPr>
        <w:pStyle w:val="ALJBodyText"/>
      </w:pPr>
      <w:r>
        <w:t xml:space="preserve">We are not delineating the approved MFWB budgets by line item, measures, or activity. Instead, bidders will use solicitation process to put forth a detailed budget based on the program design being proposed.  However, we do expect that most of the funding will go towards multifamily household treatment or to measures where bill savings accrue directly to the tenant.  We also require that administration costs not exceed 10 percent of the total MFWB budget. </w:t>
      </w:r>
    </w:p>
    <w:p w:rsidR="000C1980" w:rsidP="000C1980" w:rsidRDefault="000C1980" w14:paraId="7181FE83" w14:textId="77777777">
      <w:pPr>
        <w:spacing w:line="360" w:lineRule="auto"/>
        <w:ind w:firstLine="720"/>
      </w:pPr>
      <w:r w:rsidRPr="000B0CAB">
        <w:t xml:space="preserve">For the Southern </w:t>
      </w:r>
      <w:r>
        <w:t>MFWB p</w:t>
      </w:r>
      <w:r w:rsidRPr="000B0CAB">
        <w:t xml:space="preserve">rogram, to preserve service for multifamily customers in each IOU territory, we require that a minimum portion of the direct implementation budget be reserved for each IOU’s customers at an amount </w:t>
      </w:r>
      <w:r w:rsidRPr="000B0CAB">
        <w:lastRenderedPageBreak/>
        <w:t xml:space="preserve">proportional to </w:t>
      </w:r>
      <w:r>
        <w:t>the IOUs’</w:t>
      </w:r>
      <w:r w:rsidRPr="000B0CAB">
        <w:t xml:space="preserve"> overall contribution to the program. This </w:t>
      </w:r>
      <w:r>
        <w:t>will</w:t>
      </w:r>
      <w:r w:rsidRPr="000B0CAB">
        <w:t xml:space="preserve"> ensure customer program access and acknowledges that SDG&amp;E has </w:t>
      </w:r>
      <w:proofErr w:type="gramStart"/>
      <w:r w:rsidRPr="000B0CAB">
        <w:t>limited service</w:t>
      </w:r>
      <w:proofErr w:type="gramEnd"/>
      <w:r w:rsidRPr="000B0CAB">
        <w:t xml:space="preserve"> territory overlap with SCE and SoCalGas. </w:t>
      </w:r>
      <w:r>
        <w:t xml:space="preserve"> S</w:t>
      </w:r>
      <w:r w:rsidRPr="000B0CAB">
        <w:t>avings attribution can still follow the statewide program protocol of accruing based on proportion of overall budget contribution</w:t>
      </w:r>
      <w:r>
        <w:t>.</w:t>
      </w:r>
      <w:r>
        <w:rPr>
          <w:rStyle w:val="FootnoteReference"/>
        </w:rPr>
        <w:footnoteReference w:id="967"/>
      </w:r>
      <w:r w:rsidRPr="000B0CAB">
        <w:t xml:space="preserve">  </w:t>
      </w:r>
    </w:p>
    <w:p w:rsidRPr="000D62B7" w:rsidR="000C1980" w:rsidP="001C46EA" w:rsidRDefault="000C1980" w14:paraId="230DDE47" w14:textId="77777777">
      <w:pPr>
        <w:pStyle w:val="Heading3"/>
      </w:pPr>
      <w:bookmarkStart w:name="_Toc69948218" w:id="571"/>
      <w:r w:rsidRPr="000D62B7">
        <w:t xml:space="preserve">Reporting: </w:t>
      </w:r>
      <w:r w:rsidRPr="000D62B7">
        <w:rPr>
          <w:u w:val="single"/>
        </w:rPr>
        <w:t>New</w:t>
      </w:r>
      <w:bookmarkEnd w:id="571"/>
    </w:p>
    <w:p w:rsidR="000C1980" w:rsidP="000C1980" w:rsidRDefault="000C1980" w14:paraId="661518D7" w14:textId="27A1E6D1">
      <w:pPr>
        <w:spacing w:line="360" w:lineRule="auto"/>
        <w:ind w:firstLine="720"/>
      </w:pPr>
      <w:r>
        <w:t>We will require additional reporting of the MFWB programs’ progress and expect the IOUs to work with the selected contractor to provide data for the monthly and annual reports.  D.17-12-009 required “the IOUs to report the normalized energy use and savings of the participating properties [for common area measures] in their ESA Program annual reports.”</w:t>
      </w:r>
      <w:r w:rsidRPr="24DCB1AB">
        <w:rPr>
          <w:vertAlign w:val="superscript"/>
        </w:rPr>
        <w:footnoteReference w:id="968"/>
      </w:r>
      <w:r>
        <w:t xml:space="preserve">  We continue this requirement for the ESA CAM and MFWB programs and direct the IOUs to continue to confer with Energy Division as to the methodologies for reporting that information.  For properties that receive common areas measures only, the IOUs must report the total number of units within those properties </w:t>
      </w:r>
      <w:proofErr w:type="gramStart"/>
      <w:r>
        <w:t>whether or not</w:t>
      </w:r>
      <w:proofErr w:type="gramEnd"/>
      <w:r>
        <w:t xml:space="preserve"> they received treatment. The reporting template approved by Energy Division will include the specifics of this reporting criteria. </w:t>
      </w:r>
    </w:p>
    <w:p w:rsidRPr="00290489" w:rsidR="000C1980" w:rsidP="001C46EA" w:rsidRDefault="000C1980" w14:paraId="5266E225" w14:textId="77777777">
      <w:pPr>
        <w:pStyle w:val="Heading3"/>
      </w:pPr>
      <w:bookmarkStart w:name="_Toc69948219" w:id="572"/>
      <w:r w:rsidRPr="00290489">
        <w:t xml:space="preserve">Post Decision Updates: </w:t>
      </w:r>
      <w:r w:rsidRPr="00290489">
        <w:rPr>
          <w:u w:val="single"/>
        </w:rPr>
        <w:t>Denied</w:t>
      </w:r>
      <w:bookmarkEnd w:id="572"/>
    </w:p>
    <w:p w:rsidR="000C1980" w:rsidP="00F35407" w:rsidRDefault="000C1980" w14:paraId="4FFE90D0" w14:textId="77777777">
      <w:pPr>
        <w:pStyle w:val="Standard"/>
      </w:pPr>
      <w:r w:rsidRPr="00B562A2">
        <w:t xml:space="preserve">We deny PG&amp;E’s request to propose policy changes based on </w:t>
      </w:r>
      <w:r>
        <w:t xml:space="preserve">the </w:t>
      </w:r>
      <w:r w:rsidRPr="00B562A2">
        <w:t>third</w:t>
      </w:r>
      <w:r>
        <w:noBreakHyphen/>
      </w:r>
      <w:r w:rsidRPr="00B562A2">
        <w:t xml:space="preserve">party administrator’s design for the MFWB program upon completion of executed contracts. </w:t>
      </w:r>
      <w:r>
        <w:t xml:space="preserve"> Given that this decision now provides guidance for the </w:t>
      </w:r>
      <w:r>
        <w:lastRenderedPageBreak/>
        <w:t>MFWB program, there should be no need to update policies so long as the final design meets the requirements outlined in this decision.</w:t>
      </w:r>
    </w:p>
    <w:p w:rsidRPr="00290489" w:rsidR="000C1980" w:rsidP="001C46EA" w:rsidRDefault="000C1980" w14:paraId="74066090" w14:textId="77777777">
      <w:pPr>
        <w:pStyle w:val="Heading3"/>
      </w:pPr>
      <w:bookmarkStart w:name="_Toc69948220" w:id="573"/>
      <w:r w:rsidRPr="00290489">
        <w:t>Definitions</w:t>
      </w:r>
      <w:r>
        <w:t xml:space="preserve"> and Other Clarifications</w:t>
      </w:r>
      <w:bookmarkEnd w:id="573"/>
      <w:r w:rsidRPr="00290489">
        <w:t xml:space="preserve"> </w:t>
      </w:r>
    </w:p>
    <w:p w:rsidRPr="007E1267" w:rsidR="000C1980" w:rsidP="000C1980" w:rsidRDefault="000C1980" w14:paraId="33B36ED2" w14:textId="77777777">
      <w:pPr>
        <w:spacing w:line="360" w:lineRule="auto"/>
        <w:ind w:firstLine="720"/>
        <w:rPr>
          <w:rFonts w:eastAsia="Book Antiqua" w:cs="Book Antiqua"/>
          <w:i/>
          <w:iCs/>
          <w:u w:val="single"/>
        </w:rPr>
      </w:pPr>
      <w:r>
        <w:rPr>
          <w:rFonts w:eastAsia="Book Antiqua" w:cs="Book Antiqua"/>
          <w:i/>
          <w:iCs/>
          <w:u w:val="single"/>
        </w:rPr>
        <w:t xml:space="preserve">Definition: </w:t>
      </w:r>
      <w:r w:rsidRPr="007E1267">
        <w:rPr>
          <w:rFonts w:eastAsia="Book Antiqua" w:cs="Book Antiqua"/>
          <w:i/>
          <w:iCs/>
          <w:u w:val="single"/>
        </w:rPr>
        <w:t xml:space="preserve">Ancillary Services </w:t>
      </w:r>
    </w:p>
    <w:p w:rsidR="000C1980" w:rsidP="00F35407" w:rsidRDefault="000C1980" w14:paraId="05AF4788" w14:textId="77777777">
      <w:pPr>
        <w:pStyle w:val="Standard"/>
      </w:pPr>
      <w:r w:rsidRPr="007E1267">
        <w:t>In D.17-12-009, the Commission state</w:t>
      </w:r>
      <w:r>
        <w:t>d,</w:t>
      </w:r>
      <w:r w:rsidRPr="007E1267">
        <w:t xml:space="preserve"> “In funding the work for common</w:t>
      </w:r>
      <w:r w:rsidRPr="00D46A0B">
        <w:t xml:space="preserve"> area measures for multi-family buildings, we include the ancillary services required for the installation of the measures, including commissioning</w:t>
      </w:r>
      <w:r>
        <w:t>.</w:t>
      </w:r>
      <w:r w:rsidRPr="00D46A0B">
        <w:t>”</w:t>
      </w:r>
      <w:r>
        <w:rPr>
          <w:rStyle w:val="FootnoteReference"/>
          <w:rFonts w:eastAsia="Book Antiqua" w:cs="Book Antiqua"/>
        </w:rPr>
        <w:footnoteReference w:id="969"/>
      </w:r>
      <w:r>
        <w:t xml:space="preserve">  In response to </w:t>
      </w:r>
      <w:r w:rsidRPr="00D46A0B">
        <w:t>SoCalGas</w:t>
      </w:r>
      <w:r>
        <w:t>’</w:t>
      </w:r>
      <w:r w:rsidRPr="00D46A0B">
        <w:t xml:space="preserve"> request</w:t>
      </w:r>
      <w:r>
        <w:t xml:space="preserve"> for clarification on </w:t>
      </w:r>
      <w:r w:rsidRPr="00D46A0B">
        <w:t>what is included in ancillary services for common area measures</w:t>
      </w:r>
      <w:r>
        <w:t xml:space="preserve">, we confirm </w:t>
      </w:r>
      <w:r w:rsidRPr="00D46A0B">
        <w:t xml:space="preserve">that ancillary services include activities to protect tenant needs during construction as well as commissioning. These expenses for the MFWB </w:t>
      </w:r>
      <w:r>
        <w:t>p</w:t>
      </w:r>
      <w:r w:rsidRPr="00D46A0B">
        <w:t xml:space="preserve">rograms should be captured and reported in </w:t>
      </w:r>
      <w:r>
        <w:t>m</w:t>
      </w:r>
      <w:r w:rsidRPr="00D46A0B">
        <w:t xml:space="preserve">onthly and </w:t>
      </w:r>
      <w:r>
        <w:t>a</w:t>
      </w:r>
      <w:r w:rsidRPr="00D46A0B">
        <w:t xml:space="preserve">nnual </w:t>
      </w:r>
      <w:r>
        <w:t>r</w:t>
      </w:r>
      <w:r w:rsidRPr="00D46A0B">
        <w:t>eports as their own line-item.</w:t>
      </w:r>
      <w:r>
        <w:t xml:space="preserve">  </w:t>
      </w:r>
    </w:p>
    <w:p w:rsidRPr="00C649DE" w:rsidR="000C1980" w:rsidP="000C1980" w:rsidRDefault="000C1980" w14:paraId="3057ECB2" w14:textId="77777777">
      <w:pPr>
        <w:spacing w:line="360" w:lineRule="auto"/>
        <w:ind w:firstLine="720"/>
        <w:rPr>
          <w:rFonts w:eastAsia="Book Antiqua" w:cs="Book Antiqua"/>
          <w:i/>
          <w:iCs/>
          <w:u w:val="single"/>
        </w:rPr>
      </w:pPr>
      <w:r w:rsidRPr="00C649DE">
        <w:rPr>
          <w:rFonts w:eastAsia="Book Antiqua" w:cs="Book Antiqua"/>
          <w:i/>
          <w:iCs/>
          <w:u w:val="single"/>
        </w:rPr>
        <w:t xml:space="preserve">Definition: Deed-Restriction </w:t>
      </w:r>
    </w:p>
    <w:p w:rsidR="000C1980" w:rsidP="00F35407" w:rsidRDefault="000C1980" w14:paraId="38203CA9" w14:textId="77777777">
      <w:pPr>
        <w:pStyle w:val="Standard"/>
      </w:pPr>
      <w:r w:rsidRPr="00455681">
        <w:t xml:space="preserve"> D</w:t>
      </w:r>
      <w:r>
        <w:t xml:space="preserve">ecision </w:t>
      </w:r>
      <w:r w:rsidRPr="00455681">
        <w:t>17-12-009</w:t>
      </w:r>
      <w:r>
        <w:t xml:space="preserve"> defines d</w:t>
      </w:r>
      <w:r w:rsidRPr="00455681">
        <w:t xml:space="preserve">eed-restriction </w:t>
      </w:r>
      <w:r>
        <w:t>accordingly:</w:t>
      </w:r>
      <w:r w:rsidRPr="00455681">
        <w:t xml:space="preserve"> “Eligible properties must meet the partial definition of deed-restricted in California Public Utilities Code Section 2852(a)(A) further modified here. For this ESA Program multi-family effort, a</w:t>
      </w:r>
      <w:r>
        <w:t xml:space="preserve"> </w:t>
      </w:r>
      <w:r w:rsidRPr="00455681">
        <w:t xml:space="preserve">property must be a multi-family residential complex financed with </w:t>
      </w:r>
      <w:proofErr w:type="gramStart"/>
      <w:r w:rsidRPr="00455681">
        <w:t>low</w:t>
      </w:r>
      <w:r>
        <w:t xml:space="preserve"> </w:t>
      </w:r>
      <w:r w:rsidRPr="00455681">
        <w:t>income</w:t>
      </w:r>
      <w:proofErr w:type="gramEnd"/>
      <w:r w:rsidRPr="00455681">
        <w:t xml:space="preserve"> housing tax credits, tax-exempt mortgage revenue bonds, general obligation bonds, or local, state, or federal loans or grants.”</w:t>
      </w:r>
      <w:r w:rsidRPr="00455681">
        <w:rPr>
          <w:vertAlign w:val="superscript"/>
        </w:rPr>
        <w:footnoteReference w:id="970"/>
      </w:r>
    </w:p>
    <w:p w:rsidRPr="00C649DE" w:rsidR="000C1980" w:rsidP="00F35407" w:rsidRDefault="000C1980" w14:paraId="47C3EA9F" w14:textId="77777777">
      <w:pPr>
        <w:keepNext/>
        <w:keepLines/>
        <w:spacing w:line="360" w:lineRule="auto"/>
        <w:ind w:firstLine="720"/>
        <w:rPr>
          <w:rFonts w:eastAsia="Book Antiqua" w:cs="Book Antiqua"/>
          <w:i/>
          <w:iCs/>
          <w:u w:val="single"/>
        </w:rPr>
      </w:pPr>
      <w:r w:rsidRPr="00C649DE">
        <w:rPr>
          <w:rFonts w:eastAsia="Book Antiqua" w:cs="Book Antiqua"/>
          <w:i/>
          <w:iCs/>
          <w:u w:val="single"/>
        </w:rPr>
        <w:t xml:space="preserve">Definitions: Multifamily </w:t>
      </w:r>
    </w:p>
    <w:p w:rsidR="000C1980" w:rsidP="0023091F" w:rsidRDefault="00531864" w14:paraId="420CBDB0" w14:textId="12176513">
      <w:pPr>
        <w:pStyle w:val="ALJBodyText"/>
      </w:pPr>
      <w:r>
        <w:t>W</w:t>
      </w:r>
      <w:r w:rsidR="000C1980">
        <w:t xml:space="preserve">e confirm that that multifamily properties for the purposes of the ESA program, are defined as having five or more units, </w:t>
      </w:r>
      <w:proofErr w:type="gramStart"/>
      <w:r w:rsidR="00373C4D">
        <w:t xml:space="preserve">and </w:t>
      </w:r>
      <w:r w:rsidR="000C1980">
        <w:t>also</w:t>
      </w:r>
      <w:proofErr w:type="gramEnd"/>
      <w:r w:rsidR="000C1980">
        <w:t xml:space="preserve"> clarify that</w:t>
      </w:r>
      <w:r w:rsidRPr="00C54CF1" w:rsidR="000C1980">
        <w:t xml:space="preserve"> </w:t>
      </w:r>
      <w:r w:rsidR="00373C4D">
        <w:t>each</w:t>
      </w:r>
      <w:r w:rsidRPr="00C54CF1" w:rsidR="000C1980">
        <w:t xml:space="preserve"> unit must be combined </w:t>
      </w:r>
      <w:r w:rsidR="000C1980">
        <w:t xml:space="preserve">(sharing a wall or floor/ceiling) </w:t>
      </w:r>
      <w:r w:rsidR="00713A3E">
        <w:t xml:space="preserve">with at least one other unit, </w:t>
      </w:r>
      <w:r w:rsidR="000C1980">
        <w:lastRenderedPageBreak/>
        <w:t xml:space="preserve">since often in California there are low-rise apartments which may not have all five units connected. </w:t>
      </w:r>
    </w:p>
    <w:p w:rsidRPr="00C649DE" w:rsidR="000C1980" w:rsidP="000C1980" w:rsidRDefault="000C1980" w14:paraId="7DD5E04D" w14:textId="77777777">
      <w:pPr>
        <w:spacing w:line="360" w:lineRule="auto"/>
        <w:ind w:firstLine="720"/>
        <w:rPr>
          <w:rFonts w:eastAsia="Book Antiqua" w:cs="Book Antiqua"/>
          <w:i/>
          <w:iCs/>
          <w:u w:val="single"/>
        </w:rPr>
      </w:pPr>
      <w:r>
        <w:rPr>
          <w:rFonts w:eastAsia="Book Antiqua" w:cs="Book Antiqua"/>
          <w:i/>
          <w:iCs/>
          <w:u w:val="single"/>
        </w:rPr>
        <w:t xml:space="preserve">Clarification: Compliance with </w:t>
      </w:r>
      <w:r w:rsidRPr="00C649DE">
        <w:rPr>
          <w:rFonts w:eastAsia="Book Antiqua" w:cs="Book Antiqua"/>
          <w:i/>
          <w:iCs/>
          <w:u w:val="single"/>
        </w:rPr>
        <w:t>Public Utilities Code 381.5 or 327(b)</w:t>
      </w:r>
    </w:p>
    <w:p w:rsidRPr="00455681" w:rsidR="000C1980" w:rsidP="000C1980" w:rsidRDefault="000C1980" w14:paraId="110AE23C" w14:textId="77777777">
      <w:pPr>
        <w:spacing w:line="360" w:lineRule="auto"/>
        <w:ind w:firstLine="720"/>
      </w:pPr>
      <w:r>
        <w:t xml:space="preserve">Lastly, we dismiss EEC’s claim that the IOUs have failed to comply with Pub Util. Code 381.5 or 327(b), as we did not find claims in opposition to these code sections in the IOU proposals.  </w:t>
      </w:r>
    </w:p>
    <w:p w:rsidRPr="001C094E" w:rsidR="000C1980" w:rsidP="001C46EA" w:rsidRDefault="000C1980" w14:paraId="6995DFCD" w14:textId="507B314C">
      <w:pPr>
        <w:pStyle w:val="Heading3"/>
      </w:pPr>
      <w:bookmarkStart w:name="_Toc69948221" w:id="574"/>
      <w:r w:rsidRPr="001C094E">
        <w:t xml:space="preserve">MCE’s </w:t>
      </w:r>
      <w:r>
        <w:t>M</w:t>
      </w:r>
      <w:r w:rsidR="007F0C8E">
        <w:t>ultifamily</w:t>
      </w:r>
      <w:r>
        <w:t xml:space="preserve"> Program</w:t>
      </w:r>
      <w:r w:rsidRPr="001C094E">
        <w:t xml:space="preserve">: </w:t>
      </w:r>
      <w:r w:rsidRPr="007F0C8E">
        <w:rPr>
          <w:u w:val="single"/>
        </w:rPr>
        <w:t xml:space="preserve">Approved to be Continued as a </w:t>
      </w:r>
      <w:proofErr w:type="gramStart"/>
      <w:r w:rsidRPr="007F0C8E">
        <w:rPr>
          <w:u w:val="single"/>
        </w:rPr>
        <w:t>Pilot</w:t>
      </w:r>
      <w:bookmarkEnd w:id="574"/>
      <w:proofErr w:type="gramEnd"/>
      <w:r w:rsidRPr="001C094E">
        <w:t xml:space="preserve">   </w:t>
      </w:r>
    </w:p>
    <w:p w:rsidR="000C1980" w:rsidP="000C1980" w:rsidRDefault="000C1980" w14:paraId="35B7AAAB" w14:textId="77777777">
      <w:pPr>
        <w:spacing w:line="360" w:lineRule="auto"/>
        <w:ind w:firstLine="720"/>
      </w:pPr>
      <w:r>
        <w:t xml:space="preserve">The Commission is interested in supporting the continuation of the LIFT pilot to study fuel substitution (particularly electrification) in </w:t>
      </w:r>
      <w:proofErr w:type="gramStart"/>
      <w:r>
        <w:t>low income</w:t>
      </w:r>
      <w:proofErr w:type="gramEnd"/>
      <w:r>
        <w:t xml:space="preserve"> multifamily buildings but rejects a duplicative solicitation process as we direct consolidation for the state’s ESA multifamily programs under one Northern MFWB and one Southern MFWB for the reasons discussed above.  MCE’s territory falls within the Northern MFWB program and therefore, PG&amp;E’s Northern MFWB program should also serve MCE’s customers.  We are not convinced that implementing two separate MFWB programs within PG&amp;E’s service territory would be efficient with different implementers, different solicitations, and potentially different program requirements which will likely cause customer confusion.  </w:t>
      </w:r>
    </w:p>
    <w:p w:rsidR="000C1980" w:rsidP="000C1980" w:rsidRDefault="000C1980" w14:paraId="621B2AE0" w14:textId="0B283155">
      <w:pPr>
        <w:spacing w:line="360" w:lineRule="auto"/>
        <w:ind w:firstLine="720"/>
      </w:pPr>
      <w:r>
        <w:t>Although MCE has been implementing a version of LIFT 2.0 as a pilot in its area, we do not have final pilot results yet, and therefore find it premature to approve a full MFWB program under LIFT 2.0.  We are also persuaded by Cal Advocates’ findings that most of the estimated savings from the LIFT 2.0 proposal (88</w:t>
      </w:r>
      <w:r w:rsidRPr="00730FFE">
        <w:t xml:space="preserve"> </w:t>
      </w:r>
      <w:r w:rsidRPr="0026503D">
        <w:t>percent</w:t>
      </w:r>
      <w:r>
        <w:t>) will come from leveraged programs outside of its MFWB proposal,</w:t>
      </w:r>
      <w:r w:rsidRPr="24DCB1AB">
        <w:rPr>
          <w:vertAlign w:val="superscript"/>
        </w:rPr>
        <w:footnoteReference w:id="971"/>
      </w:r>
      <w:r>
        <w:t xml:space="preserve"> with only 22</w:t>
      </w:r>
      <w:r w:rsidRPr="00730FFE">
        <w:t xml:space="preserve"> </w:t>
      </w:r>
      <w:r w:rsidRPr="0026503D">
        <w:t>percent</w:t>
      </w:r>
      <w:r>
        <w:t xml:space="preserve"> of total estimated energy savings coming from </w:t>
      </w:r>
      <w:r>
        <w:lastRenderedPageBreak/>
        <w:t>the MFW</w:t>
      </w:r>
      <w:r w:rsidR="00995194">
        <w:t>B</w:t>
      </w:r>
      <w:r>
        <w:t xml:space="preserve"> program.</w:t>
      </w:r>
      <w:r w:rsidRPr="24DCB1AB">
        <w:rPr>
          <w:vertAlign w:val="superscript"/>
        </w:rPr>
        <w:footnoteReference w:id="972"/>
      </w:r>
      <w:r>
        <w:t xml:space="preserve">  Additionally, in comparing program costs to estimated energy savings (removing the savings attributed to leveraged programs), MCE’s LIFT 2.0 proposal costs five times that of PG&amp;E’s MFWB proposal. </w:t>
      </w:r>
      <w:r w:rsidR="00F35407">
        <w:t xml:space="preserve"> </w:t>
      </w:r>
      <w:r>
        <w:t xml:space="preserve">These statistics combined with a lack of support, give us pause in approving the program as proposed.  </w:t>
      </w:r>
    </w:p>
    <w:p w:rsidR="000C1980" w:rsidP="000C1980" w:rsidRDefault="000C1980" w14:paraId="4748BB86" w14:textId="77777777">
      <w:pPr>
        <w:spacing w:line="360" w:lineRule="auto"/>
        <w:ind w:firstLine="720"/>
      </w:pPr>
      <w:r>
        <w:t xml:space="preserve">We also conclude that MCE customers are not “undertreated” and do not agree with MCE that its customers cannot be adequately served by PG&amp;E.  Based on data provided in the monthly reports from PYs 2016-2020, ESA treatment levels by PG&amp;E in MCE’s territory are in line with the eligible </w:t>
      </w:r>
      <w:proofErr w:type="gramStart"/>
      <w:r>
        <w:t>low income</w:t>
      </w:r>
      <w:proofErr w:type="gramEnd"/>
      <w:r>
        <w:t xml:space="preserve"> population estimates,</w:t>
      </w:r>
      <w:r>
        <w:rPr>
          <w:rStyle w:val="FootnoteReference"/>
        </w:rPr>
        <w:footnoteReference w:id="973"/>
      </w:r>
      <w:r>
        <w:t xml:space="preserve"> and in some counties the penetration rates were above the eligible low income population estimates.  As such, this indicates that PG&amp;E can adequately serve or oversee the service of customers in the MCE territory with MFWB services without having to solicit for and implement two separate programs.  Although we believe that there is value in further assessing cost-effective fuel substitution measures for </w:t>
      </w:r>
      <w:proofErr w:type="gramStart"/>
      <w:r>
        <w:t>low income</w:t>
      </w:r>
      <w:proofErr w:type="gramEnd"/>
      <w:r>
        <w:t xml:space="preserve"> multifamily properties, we deny the LIFT 2.0 proposal as a separate third-party designed and implemented MFWB program, and instead require that PG&amp;E’s Northern MFWB program approved in this decision carry forward the lessons learned from the LIFT Pilot.  All multifamily services will then be offered through one Northern MFWB program which will encompass MCE’s customers. </w:t>
      </w:r>
    </w:p>
    <w:p w:rsidRPr="000B0CAB" w:rsidR="000C1980" w:rsidP="000C1980" w:rsidRDefault="000C1980" w14:paraId="4C4EEFF3" w14:textId="25E453F8">
      <w:pPr>
        <w:spacing w:line="360" w:lineRule="auto"/>
        <w:ind w:firstLine="720"/>
      </w:pPr>
      <w:r>
        <w:t xml:space="preserve">In the interim, and until the Northern MFWB program is ready for implementation, we extend the terms of the </w:t>
      </w:r>
      <w:r w:rsidR="004547DD">
        <w:t xml:space="preserve">existing </w:t>
      </w:r>
      <w:r>
        <w:t xml:space="preserve">LIFT pilot and multifamily </w:t>
      </w:r>
      <w:r>
        <w:lastRenderedPageBreak/>
        <w:t xml:space="preserve">offerings so that MCE can collect additional data to inform the overall Northern MFWB program design, with the following requirements and guidance: </w:t>
      </w:r>
    </w:p>
    <w:p w:rsidR="000C1980" w:rsidP="00402362" w:rsidRDefault="000C1980" w14:paraId="0B58292D" w14:textId="268D3A3C">
      <w:pPr>
        <w:pStyle w:val="ListBullet"/>
      </w:pPr>
      <w:r>
        <w:t xml:space="preserve">Funding for the </w:t>
      </w:r>
      <w:r w:rsidR="004547DD">
        <w:t>exi</w:t>
      </w:r>
      <w:r w:rsidR="002D3AE4">
        <w:t>s</w:t>
      </w:r>
      <w:r w:rsidR="004547DD">
        <w:t xml:space="preserve">ting </w:t>
      </w:r>
      <w:r>
        <w:t xml:space="preserve">LIFT pilot will be extended through 2023 at an annual budget of </w:t>
      </w:r>
      <w:r w:rsidRPr="004D45CA">
        <w:t xml:space="preserve">$1.3M </w:t>
      </w:r>
      <w:r>
        <w:t xml:space="preserve">or </w:t>
      </w:r>
      <w:r w:rsidRPr="004D45CA">
        <w:t>$3.</w:t>
      </w:r>
      <w:r w:rsidR="001B4BA0">
        <w:t>25</w:t>
      </w:r>
      <w:r w:rsidRPr="004D45CA">
        <w:t>M total</w:t>
      </w:r>
      <w:r>
        <w:t>.</w:t>
      </w:r>
      <w:r w:rsidRPr="00182821">
        <w:rPr>
          <w:vertAlign w:val="superscript"/>
        </w:rPr>
        <w:footnoteReference w:id="974"/>
      </w:r>
      <w:r w:rsidRPr="004D45CA">
        <w:t xml:space="preserve">  As in D.17</w:t>
      </w:r>
      <w:r w:rsidR="00F35407">
        <w:noBreakHyphen/>
      </w:r>
      <w:r w:rsidRPr="004D45CA">
        <w:t>12</w:t>
      </w:r>
      <w:r w:rsidR="00F35407">
        <w:noBreakHyphen/>
      </w:r>
      <w:r w:rsidRPr="004D45CA">
        <w:t>009, PG&amp;E will collect and transfer these funds to MCE.</w:t>
      </w:r>
    </w:p>
    <w:p w:rsidRPr="004D45CA" w:rsidR="000A58B7" w:rsidP="00402362" w:rsidRDefault="00C9258C" w14:paraId="7759E724" w14:textId="07A4A391">
      <w:pPr>
        <w:pStyle w:val="ListBullet"/>
      </w:pPr>
      <w:r w:rsidRPr="7B061E80">
        <w:t xml:space="preserve">Revised eligibility rules </w:t>
      </w:r>
      <w:r>
        <w:t xml:space="preserve">approved in this decision </w:t>
      </w:r>
      <w:r w:rsidR="00943C84">
        <w:t>will</w:t>
      </w:r>
      <w:r w:rsidRPr="7B061E80">
        <w:t xml:space="preserve"> apply to this pilot</w:t>
      </w:r>
      <w:r>
        <w:t xml:space="preserve"> as relevant.</w:t>
      </w:r>
    </w:p>
    <w:p w:rsidR="000C1980" w:rsidP="00402362" w:rsidRDefault="000C1980" w14:paraId="50306C67" w14:textId="12FFC958">
      <w:pPr>
        <w:pStyle w:val="ListBullet"/>
      </w:pPr>
      <w:r>
        <w:t>MCE shall submit a Tier 1 advice letter</w:t>
      </w:r>
      <w:r w:rsidRPr="00780253">
        <w:t xml:space="preserve"> </w:t>
      </w:r>
      <w:r>
        <w:t xml:space="preserve">no later than 6 months following this decision to update the LIFT pilot design, measure offerings (optional), and treatment and energy savings goals </w:t>
      </w:r>
      <w:proofErr w:type="gramStart"/>
      <w:r>
        <w:t>in light of</w:t>
      </w:r>
      <w:proofErr w:type="gramEnd"/>
      <w:r>
        <w:t xml:space="preserve"> the additional time and funding provided.  The advice letter shall also include an updated program manual and new evaluation plan. All fuel substitution measures must pass the </w:t>
      </w:r>
      <w:r w:rsidR="00DE45F7">
        <w:t xml:space="preserve">latest Commission </w:t>
      </w:r>
      <w:r>
        <w:t>Fuel Substitution Test.</w:t>
      </w:r>
      <w:r>
        <w:rPr>
          <w:rStyle w:val="FootnoteReference"/>
        </w:rPr>
        <w:footnoteReference w:id="975"/>
      </w:r>
    </w:p>
    <w:p w:rsidRPr="000B0CAB" w:rsidR="000C1980" w:rsidP="00402362" w:rsidRDefault="000C1980" w14:paraId="6CBB8913" w14:textId="77777777">
      <w:pPr>
        <w:pStyle w:val="ListBullet"/>
      </w:pPr>
      <w:r w:rsidRPr="000B0CAB">
        <w:t>MCE</w:t>
      </w:r>
      <w:r>
        <w:t xml:space="preserve"> shall modify the</w:t>
      </w:r>
      <w:r w:rsidRPr="000B0CAB">
        <w:t xml:space="preserve"> plan to pursue program leveraging to reduce heat pump costs, promote efficiency and demand response technologies, allow customer choice of contractors, give tenant education on heat pump operation, and contractor education on heat pump installations</w:t>
      </w:r>
      <w:r>
        <w:t>.</w:t>
      </w:r>
      <w:r>
        <w:rPr>
          <w:rStyle w:val="FootnoteReference"/>
        </w:rPr>
        <w:footnoteReference w:id="976"/>
      </w:r>
      <w:r w:rsidRPr="000B0CAB">
        <w:t xml:space="preserve"> </w:t>
      </w:r>
    </w:p>
    <w:p w:rsidR="000C1980" w:rsidP="00402362" w:rsidRDefault="000C1980" w14:paraId="7186A00D" w14:textId="77777777">
      <w:pPr>
        <w:pStyle w:val="ListBullet"/>
      </w:pPr>
      <w:r>
        <w:t xml:space="preserve">MCE’s new evaluation plan must consider re-assessing current cycle LIFT phase one participants to understand energy and bill savings persistence, tenant turn-over, treated household income changes, and contractor education barriers. </w:t>
      </w:r>
    </w:p>
    <w:p w:rsidRPr="00983DB2" w:rsidR="000C1980" w:rsidP="00402362" w:rsidRDefault="000C1980" w14:paraId="54B70031" w14:textId="458C5C82">
      <w:pPr>
        <w:pStyle w:val="ListBullet"/>
      </w:pPr>
      <w:r w:rsidRPr="00983DB2">
        <w:t xml:space="preserve">MCE </w:t>
      </w:r>
      <w:r>
        <w:t>shall</w:t>
      </w:r>
      <w:r w:rsidRPr="00983DB2">
        <w:t xml:space="preserve"> continue providing monthly reports </w:t>
      </w:r>
      <w:r>
        <w:t xml:space="preserve">with an </w:t>
      </w:r>
      <w:r w:rsidRPr="00983DB2">
        <w:t xml:space="preserve">interim </w:t>
      </w:r>
      <w:r>
        <w:t xml:space="preserve">progress </w:t>
      </w:r>
      <w:r w:rsidRPr="00983DB2">
        <w:t>report due May 1</w:t>
      </w:r>
      <w:r>
        <w:t xml:space="preserve">, 2022, and a </w:t>
      </w:r>
      <w:r w:rsidRPr="00983DB2">
        <w:t>final report due May 1</w:t>
      </w:r>
      <w:r>
        <w:t>, 2024</w:t>
      </w:r>
      <w:r w:rsidRPr="00983DB2">
        <w:t xml:space="preserve">. </w:t>
      </w:r>
      <w:r>
        <w:t xml:space="preserve"> The report shall include at a minimum the number of measures installed, units and properties served, total energy savings (kWh, kW, and </w:t>
      </w:r>
      <w:proofErr w:type="spellStart"/>
      <w:r>
        <w:t>therms</w:t>
      </w:r>
      <w:proofErr w:type="spellEnd"/>
      <w:r>
        <w:t xml:space="preserve">) per measure/unit/property, associated GHG reductions per measure/unit/property, and actual budget expenses.  The reporting template approved by </w:t>
      </w:r>
      <w:r>
        <w:lastRenderedPageBreak/>
        <w:t>Energy Division will include the specifics of this reporting criteria</w:t>
      </w:r>
      <w:r w:rsidRPr="00983DB2">
        <w:t xml:space="preserve">.  </w:t>
      </w:r>
    </w:p>
    <w:p w:rsidRPr="000A6549" w:rsidR="000C1980" w:rsidP="00402362" w:rsidRDefault="000C1980" w14:paraId="0B8F402E" w14:textId="77777777">
      <w:pPr>
        <w:pStyle w:val="ListBullet"/>
      </w:pPr>
      <w:r w:rsidRPr="000A6549">
        <w:t>The pilot will end on December 31, 2023.  Any unspent and uncommitted funds will be returned to ratepayers through PG&amp;E’s next annual true-up advice letter in 2024.</w:t>
      </w:r>
    </w:p>
    <w:p w:rsidRPr="000B0CAB" w:rsidR="000C1980" w:rsidP="000C1980" w:rsidRDefault="000C1980" w14:paraId="119DD92A" w14:textId="07510DFB">
      <w:pPr>
        <w:spacing w:line="360" w:lineRule="auto"/>
        <w:ind w:firstLine="720"/>
        <w:rPr>
          <w:u w:val="single"/>
        </w:rPr>
      </w:pPr>
      <w:r>
        <w:t xml:space="preserve">The pilot results, lessons learned, and any successful measures and strategies will be considered by the PRG </w:t>
      </w:r>
      <w:r w:rsidR="00C45F2E">
        <w:t xml:space="preserve">and the lead IOUs </w:t>
      </w:r>
      <w:r>
        <w:t xml:space="preserve">to inform the design </w:t>
      </w:r>
      <w:r w:rsidR="00EF2902">
        <w:t xml:space="preserve">and/or implementation </w:t>
      </w:r>
      <w:r>
        <w:t>of the MFWB program</w:t>
      </w:r>
      <w:r w:rsidR="00EF2902">
        <w:t>s</w:t>
      </w:r>
      <w:r>
        <w:t xml:space="preserve">.  We recognize that the timing of the final report may not align perfectly with the MFWB program solicitation for possibly incorporating lessons learned but will require that the MFWB design be informed by pilot information gathered to date whether through the LIFT pilot monthly or interim reports.  </w:t>
      </w:r>
      <w:r w:rsidR="002E2121">
        <w:t xml:space="preserve">There may be a brief </w:t>
      </w:r>
      <w:proofErr w:type="gramStart"/>
      <w:r w:rsidR="002E2121">
        <w:t>period of time</w:t>
      </w:r>
      <w:proofErr w:type="gramEnd"/>
      <w:r w:rsidR="002E2121">
        <w:t xml:space="preserve"> where the pilot overlaps with the start of the Northern MFWB program if it begins prior to the pilot’s end-date.</w:t>
      </w:r>
    </w:p>
    <w:p w:rsidRPr="000B0CAB" w:rsidR="000C1980" w:rsidP="000C1980" w:rsidRDefault="000C1980" w14:paraId="6FA0D96D" w14:textId="77777777">
      <w:pPr>
        <w:spacing w:line="360" w:lineRule="auto"/>
        <w:ind w:firstLine="720"/>
      </w:pPr>
      <w:r>
        <w:t>We deny requiring</w:t>
      </w:r>
      <w:r w:rsidRPr="000B0CAB">
        <w:t xml:space="preserve"> a formal Joint Cooperation Memo; however, we </w:t>
      </w:r>
      <w:r>
        <w:t>will</w:t>
      </w:r>
      <w:r w:rsidRPr="000B0CAB">
        <w:t xml:space="preserve"> </w:t>
      </w:r>
      <w:r>
        <w:t>require</w:t>
      </w:r>
      <w:r w:rsidRPr="000B0CAB">
        <w:t xml:space="preserve"> that MCE and PG&amp;E have an agreement to coordinate efforts.</w:t>
      </w:r>
      <w:r>
        <w:t xml:space="preserve"> </w:t>
      </w:r>
    </w:p>
    <w:p w:rsidR="000C1980" w:rsidP="000C1980" w:rsidRDefault="000C1980" w14:paraId="08C21B25" w14:textId="77777777">
      <w:pPr>
        <w:spacing w:line="360" w:lineRule="auto"/>
        <w:ind w:firstLine="720"/>
      </w:pPr>
      <w:r>
        <w:t xml:space="preserve">We deny MCE’s proposal to define multifamily as a </w:t>
      </w:r>
      <w:r w:rsidRPr="24DCB1AB">
        <w:t xml:space="preserve">property with </w:t>
      </w:r>
      <w:r>
        <w:t xml:space="preserve">four </w:t>
      </w:r>
      <w:r w:rsidRPr="24DCB1AB">
        <w:t>or more units</w:t>
      </w:r>
      <w:r>
        <w:t xml:space="preserve"> and require MCE to use the </w:t>
      </w:r>
      <w:r w:rsidRPr="24DCB1AB">
        <w:t xml:space="preserve">definition </w:t>
      </w:r>
      <w:r>
        <w:t>established in</w:t>
      </w:r>
      <w:r w:rsidRPr="24DCB1AB">
        <w:t xml:space="preserve"> D.19-06-022</w:t>
      </w:r>
      <w:r>
        <w:t>, where m</w:t>
      </w:r>
      <w:r w:rsidRPr="24DCB1AB">
        <w:t xml:space="preserve">ultifamily </w:t>
      </w:r>
      <w:r>
        <w:t xml:space="preserve">is defined as </w:t>
      </w:r>
      <w:r w:rsidRPr="24DCB1AB">
        <w:t>a property with five or more</w:t>
      </w:r>
      <w:r w:rsidRPr="00E00C12">
        <w:t xml:space="preserve"> </w:t>
      </w:r>
      <w:r w:rsidRPr="24DCB1AB">
        <w:t>units.</w:t>
      </w:r>
    </w:p>
    <w:p w:rsidRPr="00D45085" w:rsidR="000C1980" w:rsidP="000C1980" w:rsidRDefault="000C1980" w14:paraId="19980753" w14:textId="4B921C8A">
      <w:pPr>
        <w:spacing w:line="360" w:lineRule="auto"/>
        <w:ind w:firstLine="720"/>
        <w:rPr>
          <w:u w:val="single"/>
        </w:rPr>
      </w:pPr>
      <w:r>
        <w:t xml:space="preserve">Lastly, we note that with oversight from a PRG for the MFWB programs, we are confident that MCE and PG&amp;E can work together to implement a successful, streamlined, and effective MF program.  </w:t>
      </w:r>
    </w:p>
    <w:p w:rsidR="000C1980" w:rsidP="001C46EA" w:rsidRDefault="000C1980" w14:paraId="785DCD6C" w14:textId="77777777">
      <w:pPr>
        <w:pStyle w:val="Heading1"/>
      </w:pPr>
      <w:bookmarkStart w:name="_Toc69948222" w:id="575"/>
      <w:r>
        <w:t xml:space="preserve">Studies </w:t>
      </w:r>
      <w:r w:rsidRPr="001C46EA">
        <w:t>and</w:t>
      </w:r>
      <w:r>
        <w:t xml:space="preserve"> Pilots</w:t>
      </w:r>
      <w:bookmarkEnd w:id="575"/>
    </w:p>
    <w:p w:rsidR="000C1980" w:rsidP="001C46EA" w:rsidRDefault="000C1980" w14:paraId="419E9302" w14:textId="66EE78FA">
      <w:pPr>
        <w:pStyle w:val="Heading2"/>
      </w:pPr>
      <w:bookmarkStart w:name="_Toc69948223" w:id="576"/>
      <w:bookmarkStart w:name="_Hlk65700929" w:id="577"/>
      <w:r>
        <w:t xml:space="preserve">Consistent Pilot </w:t>
      </w:r>
      <w:r w:rsidRPr="001C46EA">
        <w:t>Standards</w:t>
      </w:r>
      <w:bookmarkEnd w:id="576"/>
      <w:r>
        <w:t xml:space="preserve"> </w:t>
      </w:r>
    </w:p>
    <w:bookmarkEnd w:id="577"/>
    <w:p w:rsidRPr="00F73C09" w:rsidR="000C1980" w:rsidP="0023091F" w:rsidRDefault="000C1980" w14:paraId="7B7A876B" w14:textId="6D3C4D92">
      <w:pPr>
        <w:pStyle w:val="ALJBodyText"/>
      </w:pPr>
      <w:r>
        <w:t>TURN states that no specific, formal standards for elements of a pilot proposal or guiding review of that proposal</w:t>
      </w:r>
      <w:r w:rsidR="00E309CD">
        <w:t xml:space="preserve"> exist</w:t>
      </w:r>
      <w:r>
        <w:t xml:space="preserve">, and </w:t>
      </w:r>
      <w:proofErr w:type="gramStart"/>
      <w:r>
        <w:t>that well</w:t>
      </w:r>
      <w:r w:rsidR="00E309CD">
        <w:t>-</w:t>
      </w:r>
      <w:r>
        <w:t>designed standards</w:t>
      </w:r>
      <w:proofErr w:type="gramEnd"/>
      <w:r>
        <w:t xml:space="preserve"> would help facilitate review of proposed pilots and set expectations </w:t>
      </w:r>
      <w:r>
        <w:lastRenderedPageBreak/>
        <w:t>for the purpose of pilots and the criteria by which their performance will be assessed.  TURN therefore proposes that the Commission adopt minimum elements for pilot design, implementation, and reporting with clear documentation of the goals, as well as how progress toward these goals will be measured.  TURN states that t</w:t>
      </w:r>
      <w:r w:rsidRPr="00F73C09">
        <w:t xml:space="preserve">he IOUs </w:t>
      </w:r>
      <w:r>
        <w:t>should be required to</w:t>
      </w:r>
      <w:r w:rsidRPr="00F73C09">
        <w:t xml:space="preserve"> immediately supplement their pilot proposals with the additional information before approving them:</w:t>
      </w:r>
      <w:r w:rsidRPr="00F73C09">
        <w:rPr>
          <w:vertAlign w:val="superscript"/>
        </w:rPr>
        <w:footnoteReference w:id="977"/>
      </w:r>
      <w:r w:rsidRPr="00F73C09">
        <w:t xml:space="preserve"> </w:t>
      </w:r>
    </w:p>
    <w:p w:rsidRPr="00F73C09" w:rsidR="000C1980" w:rsidP="00402362" w:rsidRDefault="000C1980" w14:paraId="26AA0FF4" w14:textId="77777777">
      <w:pPr>
        <w:pStyle w:val="ListBullet"/>
      </w:pPr>
      <w:r w:rsidRPr="00F73C09">
        <w:t>Lessons already learned from previous research and pilots, and how these past and potentially ongoing learnings will relate to the currently proposed pilot</w:t>
      </w:r>
      <w:r>
        <w:t>.</w:t>
      </w:r>
    </w:p>
    <w:p w:rsidRPr="00F73C09" w:rsidR="000C1980" w:rsidP="00402362" w:rsidRDefault="000C1980" w14:paraId="6532D5AF" w14:textId="77777777">
      <w:pPr>
        <w:pStyle w:val="ListBullet"/>
      </w:pPr>
      <w:r w:rsidRPr="00F73C09">
        <w:t>Gaps in understanding that would be filled by the proposed pilot, and the logic for the specific pilot study design proposed</w:t>
      </w:r>
      <w:r>
        <w:t>.</w:t>
      </w:r>
    </w:p>
    <w:p w:rsidRPr="00F73C09" w:rsidR="000C1980" w:rsidP="00402362" w:rsidRDefault="000C1980" w14:paraId="6A3C96CE" w14:textId="77777777">
      <w:pPr>
        <w:pStyle w:val="ListBullet"/>
      </w:pPr>
      <w:r w:rsidRPr="00F73C09">
        <w:t>Alternative approaches that could be used to fill in these knowledge gaps, and why the proposed approach is better than alternatives.</w:t>
      </w:r>
    </w:p>
    <w:p w:rsidRPr="00F73C09" w:rsidR="000C1980" w:rsidP="00402362" w:rsidRDefault="000C1980" w14:paraId="31723CD2" w14:textId="77777777">
      <w:pPr>
        <w:pStyle w:val="ListBullet"/>
      </w:pPr>
      <w:r w:rsidRPr="00F73C09">
        <w:t>Whether the utility intends to deploy the pilot at a larger scale, and if so, how the metrics and data collected will enable the utility to decide whether to recommend a wider roll-out</w:t>
      </w:r>
      <w:r>
        <w:t>.</w:t>
      </w:r>
      <w:r w:rsidRPr="00F73C09">
        <w:t xml:space="preserve"> </w:t>
      </w:r>
    </w:p>
    <w:p w:rsidRPr="00F73C09" w:rsidR="000C1980" w:rsidP="00402362" w:rsidRDefault="000C1980" w14:paraId="069411EB" w14:textId="77777777">
      <w:pPr>
        <w:pStyle w:val="ListBullet"/>
      </w:pPr>
      <w:r w:rsidRPr="00F73C09">
        <w:t>A plan for evaluating the pilot, including a description of the metrics that will be used to evaluate the impacts and measure the success of the pilot</w:t>
      </w:r>
      <w:r>
        <w:t>.</w:t>
      </w:r>
      <w:r w:rsidRPr="00F73C09">
        <w:t xml:space="preserve"> </w:t>
      </w:r>
    </w:p>
    <w:p w:rsidR="000C1980" w:rsidP="00402362" w:rsidRDefault="000C1980" w14:paraId="79801EBD" w14:textId="086BA568">
      <w:pPr>
        <w:pStyle w:val="ListBullet"/>
      </w:pPr>
      <w:r w:rsidRPr="00F73C09">
        <w:t>Whether there are opportunities for learning on other, related issues.</w:t>
      </w:r>
    </w:p>
    <w:p w:rsidRPr="00F73C09" w:rsidR="00031AEC" w:rsidP="00A92262" w:rsidRDefault="00BD687A" w14:paraId="24B538E9" w14:textId="598E3902">
      <w:pPr>
        <w:pStyle w:val="Standard"/>
      </w:pPr>
      <w:r>
        <w:t xml:space="preserve">Additionally, </w:t>
      </w:r>
      <w:r w:rsidRPr="00BD687A">
        <w:t xml:space="preserve">TURN recommends </w:t>
      </w:r>
      <w:r w:rsidR="00A92262">
        <w:t xml:space="preserve">an opportunity </w:t>
      </w:r>
      <w:r w:rsidRPr="00BD687A">
        <w:t>to</w:t>
      </w:r>
      <w:r>
        <w:t xml:space="preserve"> </w:t>
      </w:r>
      <w:r w:rsidRPr="00BD687A">
        <w:t>incorporate the results of pilots and other studies authorized as part of the 2021-2026 budgets</w:t>
      </w:r>
      <w:r w:rsidR="00A92262">
        <w:t xml:space="preserve"> </w:t>
      </w:r>
      <w:r w:rsidRPr="00BD687A">
        <w:t>into this program cycle, as well as into future program cycles</w:t>
      </w:r>
      <w:r w:rsidR="00A92262">
        <w:t xml:space="preserve">. </w:t>
      </w:r>
    </w:p>
    <w:p w:rsidR="000C1980" w:rsidP="001C46EA" w:rsidRDefault="000C1980" w14:paraId="4328259B" w14:textId="77777777">
      <w:pPr>
        <w:pStyle w:val="Heading3"/>
      </w:pPr>
      <w:bookmarkStart w:name="_Toc69948224" w:id="578"/>
      <w:r>
        <w:t>Party Positions</w:t>
      </w:r>
      <w:bookmarkEnd w:id="578"/>
      <w:r>
        <w:t xml:space="preserve"> </w:t>
      </w:r>
    </w:p>
    <w:p w:rsidRPr="009448AF" w:rsidR="000C1980" w:rsidP="000C1980" w:rsidRDefault="000C1980" w14:paraId="76378957" w14:textId="77777777">
      <w:pPr>
        <w:pStyle w:val="Standard"/>
        <w:rPr>
          <w:i/>
          <w:iCs/>
        </w:rPr>
      </w:pPr>
      <w:r w:rsidRPr="009448AF">
        <w:t>No substantive party comments were received on this topic.</w:t>
      </w:r>
    </w:p>
    <w:p w:rsidR="000C1980" w:rsidP="001C46EA" w:rsidRDefault="000C1980" w14:paraId="4B9CCD3C" w14:textId="77777777">
      <w:pPr>
        <w:pStyle w:val="Heading3"/>
      </w:pPr>
      <w:bookmarkStart w:name="_Toc69948225" w:id="579"/>
      <w:r>
        <w:lastRenderedPageBreak/>
        <w:t>Discussion</w:t>
      </w:r>
      <w:bookmarkEnd w:id="579"/>
    </w:p>
    <w:p w:rsidRPr="00A6312E" w:rsidR="000C1980" w:rsidP="001C46EA" w:rsidRDefault="000C1980" w14:paraId="597A4FBC" w14:textId="28C06B9D">
      <w:pPr>
        <w:pStyle w:val="Heading4"/>
      </w:pPr>
      <w:bookmarkStart w:name="_Toc69948226" w:id="580"/>
      <w:r w:rsidRPr="00A6312E">
        <w:t xml:space="preserve">Consistent Pilot Standards: </w:t>
      </w:r>
      <w:r w:rsidR="004E3979">
        <w:rPr>
          <w:u w:val="single"/>
        </w:rPr>
        <w:t>Approved with Modifications</w:t>
      </w:r>
      <w:bookmarkEnd w:id="580"/>
    </w:p>
    <w:p w:rsidRPr="00F73C09" w:rsidR="000C1980" w:rsidP="000C1980" w:rsidRDefault="000C1980" w14:paraId="4451D070" w14:textId="62BE07B0">
      <w:pPr>
        <w:pStyle w:val="Standard"/>
      </w:pPr>
      <w:r>
        <w:t xml:space="preserve">We appreciate TURN’s effort to introduce standards to the IOUs’ pilot programs; however, given the variation in the types of pilots proposed, and the budgets to implement them, we decline to require </w:t>
      </w:r>
      <w:r w:rsidR="004E3979">
        <w:t xml:space="preserve">the full </w:t>
      </w:r>
      <w:r w:rsidR="00FF786E">
        <w:t xml:space="preserve">set </w:t>
      </w:r>
      <w:r>
        <w:t>standards for all pilot programs</w:t>
      </w:r>
      <w:r w:rsidR="009F3DF4">
        <w:t xml:space="preserve"> as proposed</w:t>
      </w:r>
      <w:r>
        <w:t xml:space="preserve">.  Instead, we direct the IOUs to respond to TURN’s supplemental information proposal as a test case while implementing the </w:t>
      </w:r>
      <w:r w:rsidRPr="4C8F0DC3">
        <w:rPr>
          <w:rFonts w:eastAsia="Garamond" w:cs="Garamond"/>
        </w:rPr>
        <w:t>Pilot Plus</w:t>
      </w:r>
      <w:r>
        <w:rPr>
          <w:rFonts w:eastAsia="Garamond" w:cs="Garamond"/>
        </w:rPr>
        <w:t xml:space="preserve"> and </w:t>
      </w:r>
      <w:r w:rsidRPr="4C8F0DC3">
        <w:rPr>
          <w:rFonts w:eastAsia="Garamond" w:cs="Garamond"/>
        </w:rPr>
        <w:t>Pilot Deep</w:t>
      </w:r>
      <w:r>
        <w:rPr>
          <w:rFonts w:eastAsia="Garamond" w:cs="Garamond"/>
        </w:rPr>
        <w:t xml:space="preserve"> </w:t>
      </w:r>
      <w:r w:rsidR="00E309CD">
        <w:rPr>
          <w:rFonts w:eastAsia="Garamond" w:cs="Garamond"/>
        </w:rPr>
        <w:t>program</w:t>
      </w:r>
      <w:r>
        <w:t xml:space="preserve">, </w:t>
      </w:r>
      <w:r w:rsidR="00E76FA1">
        <w:rPr>
          <w:rFonts w:eastAsia="Garamond" w:cs="Garamond"/>
        </w:rPr>
        <w:t xml:space="preserve">as described in Attachment 2, </w:t>
      </w:r>
      <w:r>
        <w:t xml:space="preserve">through the workshop and/or subsequent advice letter. </w:t>
      </w:r>
    </w:p>
    <w:p w:rsidR="000C1980" w:rsidP="001C46EA" w:rsidRDefault="000C1980" w14:paraId="11B63D2B" w14:textId="77777777">
      <w:pPr>
        <w:pStyle w:val="Heading2"/>
      </w:pPr>
      <w:bookmarkStart w:name="_Toc69948227" w:id="581"/>
      <w:r>
        <w:t>Studies Funding Approach</w:t>
      </w:r>
      <w:bookmarkEnd w:id="581"/>
    </w:p>
    <w:p w:rsidRPr="00B0658A" w:rsidR="000C1980" w:rsidP="0023091F" w:rsidRDefault="000C1980" w14:paraId="1755645A" w14:textId="77777777">
      <w:pPr>
        <w:pStyle w:val="ALJBodyText"/>
      </w:pPr>
      <w:r>
        <w:t>P</w:t>
      </w:r>
      <w:r w:rsidRPr="00B0658A">
        <w:t xml:space="preserve">G&amp;E </w:t>
      </w:r>
      <w:r>
        <w:t xml:space="preserve">and SoCalGas </w:t>
      </w:r>
      <w:r w:rsidRPr="00B0658A">
        <w:t xml:space="preserve">propose adopting </w:t>
      </w:r>
      <w:r>
        <w:t>the mainstream energy efficiency program’s approach to d</w:t>
      </w:r>
      <w:r w:rsidRPr="00B0658A">
        <w:t>efining</w:t>
      </w:r>
      <w:r>
        <w:t xml:space="preserve"> </w:t>
      </w:r>
      <w:r w:rsidRPr="00B0658A">
        <w:t>an overall statewide study budget along with a study roadmap process</w:t>
      </w:r>
      <w:r>
        <w:t xml:space="preserve"> </w:t>
      </w:r>
      <w:r w:rsidRPr="00B0658A">
        <w:t>that provides both transparency and flexibility to scope forthcoming study proposals and associated budgets</w:t>
      </w:r>
      <w:r>
        <w:t xml:space="preserve"> to be included in the a</w:t>
      </w:r>
      <w:r w:rsidRPr="00B0658A">
        <w:t xml:space="preserve">nnual ESA-CARE </w:t>
      </w:r>
      <w:r>
        <w:t>r</w:t>
      </w:r>
      <w:r w:rsidRPr="00B0658A">
        <w:t xml:space="preserve">eports. </w:t>
      </w:r>
      <w:r>
        <w:t xml:space="preserve"> With </w:t>
      </w:r>
      <w:r w:rsidRPr="00B0658A">
        <w:t>this approach, statewide budgets are proposed for study categories, not</w:t>
      </w:r>
      <w:r>
        <w:t xml:space="preserve"> </w:t>
      </w:r>
      <w:r w:rsidRPr="00B0658A">
        <w:t>specific studies</w:t>
      </w:r>
      <w:r>
        <w:t>, and therefore s</w:t>
      </w:r>
      <w:r w:rsidRPr="00B0658A">
        <w:t>pecific budgets for each specific study would be</w:t>
      </w:r>
      <w:r>
        <w:t xml:space="preserve"> </w:t>
      </w:r>
      <w:r w:rsidRPr="00B0658A">
        <w:t>designated as they are scoped.</w:t>
      </w:r>
      <w:r>
        <w:t xml:space="preserve"> </w:t>
      </w:r>
      <w:r w:rsidRPr="00B0658A">
        <w:t xml:space="preserve"> The IOUs </w:t>
      </w:r>
      <w:r>
        <w:t xml:space="preserve">would then </w:t>
      </w:r>
      <w:r w:rsidRPr="00B0658A">
        <w:t>work with the</w:t>
      </w:r>
      <w:r>
        <w:t xml:space="preserve"> </w:t>
      </w:r>
      <w:r w:rsidRPr="00B0658A">
        <w:t>ESA/CARE Study Working Group to finalize the project scope and</w:t>
      </w:r>
      <w:r>
        <w:t xml:space="preserve"> </w:t>
      </w:r>
      <w:r w:rsidRPr="00B0658A">
        <w:t>timing of each study</w:t>
      </w:r>
      <w:r>
        <w:t xml:space="preserve"> and would continue to manage the projects </w:t>
      </w:r>
      <w:r w:rsidRPr="00FD24C5">
        <w:t>using a statewide co-funding structure with an assigned lead utility for each project</w:t>
      </w:r>
      <w:r>
        <w:t>.</w:t>
      </w:r>
      <w:r>
        <w:rPr>
          <w:rStyle w:val="FootnoteReference"/>
        </w:rPr>
        <w:footnoteReference w:id="978"/>
      </w:r>
      <w:r>
        <w:t xml:space="preserve"> </w:t>
      </w:r>
    </w:p>
    <w:p w:rsidR="000C1980" w:rsidP="001C46EA" w:rsidRDefault="000C1980" w14:paraId="41F7A058" w14:textId="684F0FA2">
      <w:pPr>
        <w:pStyle w:val="Heading3"/>
      </w:pPr>
      <w:bookmarkStart w:name="_Toc69948228" w:id="582"/>
      <w:r>
        <w:t>Party Positions</w:t>
      </w:r>
      <w:bookmarkEnd w:id="582"/>
    </w:p>
    <w:p w:rsidRPr="00D80C80" w:rsidR="000C1980" w:rsidP="0023091F" w:rsidRDefault="000C1980" w14:paraId="53CF2D07" w14:textId="77777777">
      <w:pPr>
        <w:pStyle w:val="ALJBodyText"/>
        <w:rPr>
          <w:i/>
          <w:iCs/>
        </w:rPr>
      </w:pPr>
      <w:r w:rsidRPr="00D80C80">
        <w:t>No substantive party comments were received on this topic.</w:t>
      </w:r>
    </w:p>
    <w:p w:rsidR="000C1980" w:rsidP="001C46EA" w:rsidRDefault="000C1980" w14:paraId="4DFF564F" w14:textId="214B2C58">
      <w:pPr>
        <w:pStyle w:val="Heading3"/>
      </w:pPr>
      <w:bookmarkStart w:name="_Toc69948229" w:id="583"/>
      <w:r>
        <w:lastRenderedPageBreak/>
        <w:t>Discussion</w:t>
      </w:r>
      <w:bookmarkEnd w:id="583"/>
    </w:p>
    <w:p w:rsidRPr="0085096D" w:rsidR="000C1980" w:rsidP="001C46EA" w:rsidRDefault="000C1980" w14:paraId="579EFCB3" w14:textId="77777777">
      <w:pPr>
        <w:pStyle w:val="Heading4"/>
      </w:pPr>
      <w:bookmarkStart w:name="_Toc69948230" w:id="584"/>
      <w:r w:rsidRPr="0085096D">
        <w:t xml:space="preserve">Studies Funding Approach: </w:t>
      </w:r>
      <w:r w:rsidRPr="0085096D">
        <w:rPr>
          <w:u w:val="single"/>
        </w:rPr>
        <w:t>Approved</w:t>
      </w:r>
      <w:bookmarkEnd w:id="584"/>
      <w:r w:rsidRPr="0085096D">
        <w:rPr>
          <w:u w:val="single"/>
        </w:rPr>
        <w:t xml:space="preserve"> </w:t>
      </w:r>
    </w:p>
    <w:p w:rsidRPr="00415283" w:rsidR="000C1980" w:rsidP="0023091F" w:rsidRDefault="000C1980" w14:paraId="09513D5E" w14:textId="159F09E2">
      <w:pPr>
        <w:pStyle w:val="ALJBodyText"/>
      </w:pPr>
      <w:r>
        <w:t>We approve PG&amp;E and SoCalGas’ proposal to develop a process to plan all program cycle measurement and evaluation studies.  We direct the ESA/CARE Study Working Group to incorporate the existing approved studies from this decision along with the approved plans for the IOUs Evolving Study and data needs discussed in Section 8.13</w:t>
      </w:r>
      <w:r w:rsidR="000E6518">
        <w:t>.2</w:t>
      </w:r>
      <w:r>
        <w:t xml:space="preserve">.  In approving both the studies funding approach as well as specific studies below, we provide flexibility, and delegate responsibility to the IOUs and the ESA/CARE Study Working Group to assess continuously the ESA portfolio and adjust the study budget and planning process </w:t>
      </w:r>
      <w:r w:rsidR="00B35FA6">
        <w:t xml:space="preserve">on an ongoing basis </w:t>
      </w:r>
      <w:r>
        <w:t xml:space="preserve">as needed. </w:t>
      </w:r>
    </w:p>
    <w:p w:rsidR="000C1980" w:rsidP="001C46EA" w:rsidRDefault="000C1980" w14:paraId="0CABE690" w14:textId="17262D68">
      <w:pPr>
        <w:pStyle w:val="Heading2"/>
      </w:pPr>
      <w:bookmarkStart w:name="_Toc69948231" w:id="585"/>
      <w:r w:rsidRPr="00596B2C">
        <w:t xml:space="preserve">PG&amp;E Long-Term CARE Customer </w:t>
      </w:r>
      <w:r w:rsidRPr="001C46EA">
        <w:t>Pilot</w:t>
      </w:r>
      <w:r>
        <w:t>/ Research Plan</w:t>
      </w:r>
      <w:bookmarkEnd w:id="585"/>
    </w:p>
    <w:p w:rsidRPr="00D774ED" w:rsidR="000C1980" w:rsidP="000C1980" w:rsidRDefault="000C1980" w14:paraId="39B8EA9E" w14:textId="77777777">
      <w:pPr>
        <w:pStyle w:val="Standard"/>
      </w:pPr>
      <w:r w:rsidRPr="00596B2C">
        <w:t xml:space="preserve">PG&amp;E proposes a Long-Term CARE Customer </w:t>
      </w:r>
      <w:r>
        <w:t>p</w:t>
      </w:r>
      <w:r w:rsidRPr="00596B2C">
        <w:t xml:space="preserve">ilot </w:t>
      </w:r>
      <w:r>
        <w:t xml:space="preserve">at </w:t>
      </w:r>
      <w:r w:rsidRPr="00A53248">
        <w:t>$275,000</w:t>
      </w:r>
      <w:r>
        <w:t xml:space="preserve"> </w:t>
      </w:r>
      <w:r w:rsidRPr="00596B2C">
        <w:t>to test the effectiveness of different outreach and communications to increase ESA participation with long-term CARE customers that have not enrolled in ESA.</w:t>
      </w:r>
      <w:r w:rsidRPr="00596B2C">
        <w:rPr>
          <w:vertAlign w:val="superscript"/>
        </w:rPr>
        <w:footnoteReference w:id="979"/>
      </w:r>
      <w:r w:rsidRPr="00596B2C">
        <w:t xml:space="preserve"> </w:t>
      </w:r>
      <w:r>
        <w:t xml:space="preserve"> </w:t>
      </w:r>
      <w:r w:rsidRPr="006529C9">
        <w:t xml:space="preserve">The pilot will focus on </w:t>
      </w:r>
      <w:r>
        <w:t>marketing and outreach</w:t>
      </w:r>
      <w:r w:rsidRPr="006529C9">
        <w:t xml:space="preserve"> strategy, tactics, and messaging to assist in enrolling long-term CARE</w:t>
      </w:r>
      <w:r>
        <w:t xml:space="preserve"> </w:t>
      </w:r>
      <w:r w:rsidRPr="006529C9">
        <w:t xml:space="preserve">customers into the ESA </w:t>
      </w:r>
      <w:r>
        <w:t>p</w:t>
      </w:r>
      <w:r w:rsidRPr="006529C9">
        <w:t xml:space="preserve">rogram. </w:t>
      </w:r>
      <w:r>
        <w:t xml:space="preserve"> </w:t>
      </w:r>
      <w:r w:rsidRPr="006529C9">
        <w:t>The target customers will be</w:t>
      </w:r>
      <w:r>
        <w:t xml:space="preserve"> </w:t>
      </w:r>
      <w:r w:rsidRPr="006529C9">
        <w:t xml:space="preserve">selected from </w:t>
      </w:r>
      <w:r>
        <w:t>a</w:t>
      </w:r>
      <w:r w:rsidRPr="006529C9">
        <w:t xml:space="preserve"> population </w:t>
      </w:r>
      <w:r>
        <w:t xml:space="preserve">that </w:t>
      </w:r>
      <w:r w:rsidRPr="006529C9">
        <w:t>1) ha</w:t>
      </w:r>
      <w:r>
        <w:t>s</w:t>
      </w:r>
      <w:r w:rsidRPr="006529C9">
        <w:t xml:space="preserve"> been receiving the</w:t>
      </w:r>
      <w:r>
        <w:t xml:space="preserve"> </w:t>
      </w:r>
      <w:r w:rsidRPr="006529C9">
        <w:t>CARE discount for more than 10 years continuously</w:t>
      </w:r>
      <w:r>
        <w:t xml:space="preserve">, </w:t>
      </w:r>
      <w:r w:rsidRPr="006529C9">
        <w:t>2) ha</w:t>
      </w:r>
      <w:r>
        <w:t xml:space="preserve">s </w:t>
      </w:r>
      <w:r w:rsidRPr="006529C9">
        <w:t>occupied the same premise during this time</w:t>
      </w:r>
      <w:r>
        <w:t>, a</w:t>
      </w:r>
      <w:r w:rsidRPr="006529C9">
        <w:t>nd 3) ha</w:t>
      </w:r>
      <w:r>
        <w:t>s</w:t>
      </w:r>
      <w:r w:rsidRPr="006529C9">
        <w:t xml:space="preserve"> not</w:t>
      </w:r>
      <w:r>
        <w:t xml:space="preserve"> </w:t>
      </w:r>
      <w:r w:rsidRPr="006529C9">
        <w:t xml:space="preserve">participated in ESA. </w:t>
      </w:r>
      <w:r>
        <w:t xml:space="preserve"> T</w:t>
      </w:r>
      <w:r w:rsidRPr="006529C9">
        <w:t>wo groups of</w:t>
      </w:r>
      <w:r>
        <w:t xml:space="preserve"> </w:t>
      </w:r>
      <w:r w:rsidRPr="006529C9">
        <w:t xml:space="preserve">145,000 customers </w:t>
      </w:r>
      <w:r>
        <w:t xml:space="preserve">each will be selected with one </w:t>
      </w:r>
      <w:r w:rsidRPr="00596B2C">
        <w:t>group receiv</w:t>
      </w:r>
      <w:r>
        <w:t xml:space="preserve">ing </w:t>
      </w:r>
      <w:r w:rsidRPr="00596B2C">
        <w:t>communications focused on benefits of ESA, while the other will receive communications focused on the economic impact of potentially losing their CARE discount.</w:t>
      </w:r>
      <w:r>
        <w:t xml:space="preserve"> </w:t>
      </w:r>
      <w:r w:rsidRPr="00596B2C">
        <w:t xml:space="preserve"> </w:t>
      </w:r>
      <w:r w:rsidRPr="005B1579">
        <w:t>Both groups will receive information that they must</w:t>
      </w:r>
      <w:r>
        <w:t xml:space="preserve"> </w:t>
      </w:r>
      <w:r w:rsidRPr="005B1579">
        <w:t>respond or risk losing their CARE discount.</w:t>
      </w:r>
      <w:r>
        <w:t xml:space="preserve">  Data collection and analysis on the </w:t>
      </w:r>
      <w:r w:rsidRPr="00596B2C">
        <w:t xml:space="preserve">impacts of </w:t>
      </w:r>
      <w:r w:rsidRPr="00596B2C">
        <w:lastRenderedPageBreak/>
        <w:t xml:space="preserve">messaging around positive benefits and negative economic impacts will be </w:t>
      </w:r>
      <w:r>
        <w:t>used to i</w:t>
      </w:r>
      <w:r w:rsidRPr="00596B2C">
        <w:t>nform future ESA and CARE enrollment policies.</w:t>
      </w:r>
      <w:r w:rsidRPr="00596B2C">
        <w:rPr>
          <w:vertAlign w:val="superscript"/>
        </w:rPr>
        <w:footnoteReference w:id="980"/>
      </w:r>
    </w:p>
    <w:p w:rsidRPr="00596B2C" w:rsidR="000C1980" w:rsidP="000C1980" w:rsidRDefault="000C1980" w14:paraId="060D941B" w14:textId="77777777">
      <w:pPr>
        <w:pStyle w:val="Standard"/>
      </w:pPr>
      <w:r>
        <w:t>After the Studies and Pilots Workshop held on June 3, 2020,</w:t>
      </w:r>
      <w:r>
        <w:rPr>
          <w:rStyle w:val="FootnoteReference"/>
        </w:rPr>
        <w:footnoteReference w:id="981"/>
      </w:r>
      <w:r>
        <w:t xml:space="preserve"> PG&amp;E amended their proposed pilot to be a research project with the proposed budget moved to the ESA Marketing and Outreach budget.</w:t>
      </w:r>
      <w:r>
        <w:rPr>
          <w:rStyle w:val="FootnoteReference"/>
        </w:rPr>
        <w:footnoteReference w:id="982"/>
      </w:r>
      <w:r>
        <w:t xml:space="preserve">  The purpose of the research is to uncover communication tactics and messaging that inadvertently create participation barriers.  PG&amp;E plans to conduct a survey and possibly interview long-term CARE customers to determine what prevents them from ESA participation.  PG&amp;E will use their research findings to inform the development of new marketing and outreach materials addressing barriers.  The new materials will be multi-pathway (mail, digital, phone) for certain customer targets in multiple languages.  PG&amp;E will then assess the marketing and outreach plan’s impact. </w:t>
      </w:r>
    </w:p>
    <w:p w:rsidR="000C1980" w:rsidP="001C46EA" w:rsidRDefault="000C1980" w14:paraId="51F78814" w14:textId="77777777">
      <w:pPr>
        <w:pStyle w:val="Heading3"/>
      </w:pPr>
      <w:bookmarkStart w:name="_Toc69948232" w:id="586"/>
      <w:r>
        <w:t>Party Positions</w:t>
      </w:r>
      <w:bookmarkEnd w:id="586"/>
    </w:p>
    <w:p w:rsidR="000C1980" w:rsidP="0023091F" w:rsidRDefault="000C1980" w14:paraId="202C50EB" w14:textId="77777777">
      <w:pPr>
        <w:pStyle w:val="ALJBodyText"/>
      </w:pPr>
      <w:r w:rsidRPr="00D80C80">
        <w:t>No substantive party comments were received on this topic</w:t>
      </w:r>
      <w:r>
        <w:t>.</w:t>
      </w:r>
    </w:p>
    <w:p w:rsidR="000C1980" w:rsidP="001C46EA" w:rsidRDefault="000C1980" w14:paraId="5F28FF31" w14:textId="6BD7DD77">
      <w:pPr>
        <w:pStyle w:val="Heading3"/>
      </w:pPr>
      <w:bookmarkStart w:name="_Toc69948233" w:id="587"/>
      <w:r>
        <w:t>Discussion</w:t>
      </w:r>
      <w:bookmarkEnd w:id="587"/>
    </w:p>
    <w:p w:rsidRPr="00661DE6" w:rsidR="000C1980" w:rsidP="001C46EA" w:rsidRDefault="000C1980" w14:paraId="42D2E101" w14:textId="77777777">
      <w:pPr>
        <w:pStyle w:val="Heading4"/>
      </w:pPr>
      <w:bookmarkStart w:name="_Toc69948234" w:id="588"/>
      <w:r w:rsidRPr="00661DE6">
        <w:t xml:space="preserve">Long-Term CARE Customer </w:t>
      </w:r>
      <w:r>
        <w:t>Research Plan</w:t>
      </w:r>
      <w:r w:rsidRPr="00661DE6">
        <w:t xml:space="preserve">: </w:t>
      </w:r>
      <w:r w:rsidRPr="00661DE6">
        <w:rPr>
          <w:u w:val="single"/>
        </w:rPr>
        <w:t>Approved with Modifications</w:t>
      </w:r>
      <w:bookmarkEnd w:id="588"/>
    </w:p>
    <w:p w:rsidRPr="0061123C" w:rsidR="000C1980" w:rsidP="0023091F" w:rsidRDefault="000C1980" w14:paraId="2F0EB3EA" w14:textId="66DE5260">
      <w:pPr>
        <w:pStyle w:val="ALJBodyText"/>
      </w:pPr>
      <w:r>
        <w:t xml:space="preserve">We approve PG&amp;E’s research plan to be funded through their existing authorized ESA marketing and outreach budget, with the </w:t>
      </w:r>
      <w:r w:rsidR="000E6518">
        <w:t>modification</w:t>
      </w:r>
      <w:r>
        <w:t xml:space="preserve"> that CARE customers will not receive messaging that their discounts are in jeopardy.  We further require that PG&amp;E produce a final report to be appended to their annual report in the year following the conclusion of this research.</w:t>
      </w:r>
    </w:p>
    <w:p w:rsidR="000C1980" w:rsidP="001C46EA" w:rsidRDefault="000C1980" w14:paraId="6218D599" w14:textId="7211ADC3">
      <w:pPr>
        <w:pStyle w:val="Heading2"/>
      </w:pPr>
      <w:bookmarkStart w:name="_Toc69948235" w:id="589"/>
      <w:r w:rsidRPr="00596B2C">
        <w:lastRenderedPageBreak/>
        <w:t xml:space="preserve">PG&amp;E Virtual Energy </w:t>
      </w:r>
      <w:r w:rsidRPr="001C46EA">
        <w:t>Coach</w:t>
      </w:r>
      <w:r w:rsidRPr="00596B2C">
        <w:t xml:space="preserve"> Pilot</w:t>
      </w:r>
      <w:bookmarkEnd w:id="589"/>
    </w:p>
    <w:p w:rsidRPr="00596B2C" w:rsidR="000C1980" w:rsidP="000C1980" w:rsidRDefault="000C1980" w14:paraId="6DC73442" w14:textId="77777777">
      <w:pPr>
        <w:pStyle w:val="Standard"/>
      </w:pPr>
      <w:r w:rsidRPr="00596B2C">
        <w:t xml:space="preserve">The PG&amp;E Virtual Energy Coach </w:t>
      </w:r>
      <w:r>
        <w:t>p</w:t>
      </w:r>
      <w:r w:rsidRPr="00596B2C">
        <w:t>ilot will evaluate the impact of personalized communications on customer behavior</w:t>
      </w:r>
      <w:r>
        <w:t>, with a proposed budget of $1,300,000</w:t>
      </w:r>
      <w:r w:rsidRPr="00596B2C">
        <w:t>.</w:t>
      </w:r>
      <w:r w:rsidRPr="00596B2C">
        <w:rPr>
          <w:vertAlign w:val="superscript"/>
        </w:rPr>
        <w:footnoteReference w:id="983"/>
      </w:r>
      <w:r w:rsidRPr="00596B2C">
        <w:t xml:space="preserve"> In the 2021-2026 program cycle PG&amp;E proposes to extend and enhance the use of load profiles for both CARE and ESA customers. </w:t>
      </w:r>
      <w:r>
        <w:t xml:space="preserve"> </w:t>
      </w:r>
      <w:r w:rsidRPr="00596B2C">
        <w:t>PG&amp;E intends to test the impact of the personal profile information on driving energy savings, residential rate selection, participation in other programs, and changes in behavior.</w:t>
      </w:r>
      <w:r w:rsidRPr="00596B2C">
        <w:rPr>
          <w:vertAlign w:val="superscript"/>
        </w:rPr>
        <w:footnoteReference w:id="984"/>
      </w:r>
      <w:r w:rsidRPr="00596B2C">
        <w:t xml:space="preserve"> </w:t>
      </w:r>
      <w:r>
        <w:t xml:space="preserve"> </w:t>
      </w:r>
      <w:r w:rsidRPr="00596B2C">
        <w:t>The proposed pilot will provide ESA participants with Virtual Energy Coach to help implement personalized energy action plans.</w:t>
      </w:r>
      <w:r w:rsidRPr="00596B2C">
        <w:rPr>
          <w:vertAlign w:val="superscript"/>
        </w:rPr>
        <w:footnoteReference w:id="985"/>
      </w:r>
      <w:r w:rsidRPr="00596B2C">
        <w:t xml:space="preserve"> </w:t>
      </w:r>
      <w:r>
        <w:t xml:space="preserve"> </w:t>
      </w:r>
      <w:r w:rsidRPr="00596B2C">
        <w:t>The results are anticipated to assist in determining if additional support, follow up, and progress tracking can cost-effectively make positive differences in energy use, hardship reduction, customer engagements, and satisfaction.</w:t>
      </w:r>
      <w:r w:rsidRPr="00596B2C">
        <w:rPr>
          <w:vertAlign w:val="superscript"/>
        </w:rPr>
        <w:footnoteReference w:id="986"/>
      </w:r>
    </w:p>
    <w:p w:rsidR="000C1980" w:rsidP="001C46EA" w:rsidRDefault="000C1980" w14:paraId="0E2CB47A" w14:textId="77777777">
      <w:pPr>
        <w:pStyle w:val="Heading3"/>
      </w:pPr>
      <w:bookmarkStart w:name="_Toc69948236" w:id="590"/>
      <w:r>
        <w:t>Party Positions</w:t>
      </w:r>
      <w:bookmarkEnd w:id="590"/>
    </w:p>
    <w:p w:rsidR="000C1980" w:rsidP="00F35407" w:rsidRDefault="000C1980" w14:paraId="64146065" w14:textId="77777777">
      <w:pPr>
        <w:pStyle w:val="Standard"/>
      </w:pPr>
      <w:r w:rsidRPr="00D80C80">
        <w:t>No substantive party comments were received on this topic</w:t>
      </w:r>
      <w:r>
        <w:t>.</w:t>
      </w:r>
    </w:p>
    <w:p w:rsidR="000C1980" w:rsidP="001C46EA" w:rsidRDefault="000C1980" w14:paraId="7CC2E5BE" w14:textId="75386E21">
      <w:pPr>
        <w:pStyle w:val="Heading3"/>
      </w:pPr>
      <w:bookmarkStart w:name="_Toc69948237" w:id="591"/>
      <w:r>
        <w:t>Discussion</w:t>
      </w:r>
      <w:bookmarkEnd w:id="591"/>
    </w:p>
    <w:p w:rsidRPr="00487BD2" w:rsidR="000C1980" w:rsidP="001C46EA" w:rsidRDefault="000C1980" w14:paraId="5BF4AF2B" w14:textId="77777777">
      <w:pPr>
        <w:pStyle w:val="Heading4"/>
      </w:pPr>
      <w:bookmarkStart w:name="_Toc69948238" w:id="592"/>
      <w:r w:rsidRPr="00487BD2">
        <w:t xml:space="preserve">PG&amp;E’s Virtual Energy Coach Pilot: </w:t>
      </w:r>
      <w:r w:rsidRPr="00487BD2">
        <w:rPr>
          <w:u w:val="single"/>
        </w:rPr>
        <w:t>Approved</w:t>
      </w:r>
      <w:bookmarkEnd w:id="592"/>
    </w:p>
    <w:p w:rsidRPr="00596B2C" w:rsidR="000C1980" w:rsidP="0023091F" w:rsidRDefault="000C1980" w14:paraId="54F0FC48" w14:textId="2A38F1E9">
      <w:pPr>
        <w:pStyle w:val="ALJBodyText"/>
      </w:pPr>
      <w:r>
        <w:t xml:space="preserve">We approve PG&amp;E’s Virtual Energy Coach pilot, as it </w:t>
      </w:r>
      <w:r w:rsidR="00837707">
        <w:t xml:space="preserve">is consistent </w:t>
      </w:r>
      <w:r>
        <w:t xml:space="preserve">with the Staff Proposal ideas regarding a comprehensive customer profile, and referrals and coordination with other applicable clean energy programs.  Given that PG&amp;E proposes to seek full program approval in 2024 with a full program launch in 2025, we recommend that PG&amp;E accelerate the pilot </w:t>
      </w:r>
      <w:r w:rsidR="00837707">
        <w:t>so</w:t>
      </w:r>
      <w:r>
        <w:t xml:space="preserve"> findings can be considered and potentially incorporated into the mid-cycle process to benefits </w:t>
      </w:r>
      <w:r>
        <w:lastRenderedPageBreak/>
        <w:t xml:space="preserve">customers statewide.  We also recommend that the pilot findings related to customer segmentation data collection and coordination opportunities be incorporated into the ESA/CARE program, through updates to monthly and annual reporting, and adjustments to ME&amp;O tactics to improve current program delivery and inform future program design.  The reporting template approved by Energy Division will include the specifics of this reporting criteria.  Lastly, we direct PG&amp;E coordinate the pilot evaluation with the ESA/CARE Study Working Group. </w:t>
      </w:r>
    </w:p>
    <w:p w:rsidR="000C1980" w:rsidP="001C46EA" w:rsidRDefault="000C1980" w14:paraId="3C0B3311" w14:textId="058C2A01">
      <w:pPr>
        <w:pStyle w:val="Heading2"/>
      </w:pPr>
      <w:bookmarkStart w:name="_Toc69948239" w:id="593"/>
      <w:r w:rsidRPr="0019324F">
        <w:t xml:space="preserve">SCE Building Electrification </w:t>
      </w:r>
      <w:r w:rsidRPr="001C46EA">
        <w:t>Pilot</w:t>
      </w:r>
      <w:bookmarkEnd w:id="593"/>
    </w:p>
    <w:p w:rsidR="000C1980" w:rsidP="000C1980" w:rsidRDefault="000C1980" w14:paraId="14B2F602" w14:textId="77777777">
      <w:pPr>
        <w:pStyle w:val="Standard"/>
      </w:pPr>
      <w:r>
        <w:t>SCE’s</w:t>
      </w:r>
      <w:r w:rsidRPr="0019324F">
        <w:t xml:space="preserve"> Building Electrification </w:t>
      </w:r>
      <w:r>
        <w:t>p</w:t>
      </w:r>
      <w:r w:rsidRPr="0019324F">
        <w:t xml:space="preserve">ilot (BE </w:t>
      </w:r>
      <w:r>
        <w:t>p</w:t>
      </w:r>
      <w:r w:rsidRPr="0019324F">
        <w:t>ilot) will provide an opportunity for high-usage, income</w:t>
      </w:r>
      <w:r>
        <w:t xml:space="preserve"> </w:t>
      </w:r>
      <w:r w:rsidRPr="0019324F">
        <w:t>qualified single</w:t>
      </w:r>
      <w:r>
        <w:t xml:space="preserve"> </w:t>
      </w:r>
      <w:r w:rsidRPr="0019324F">
        <w:t xml:space="preserve">family households in </w:t>
      </w:r>
      <w:r>
        <w:t>DACs</w:t>
      </w:r>
      <w:r w:rsidRPr="0019324F">
        <w:t xml:space="preserve"> to participate in a building electrification pilot to receive electrification offerings.</w:t>
      </w:r>
      <w:r w:rsidRPr="0019324F">
        <w:rPr>
          <w:vertAlign w:val="superscript"/>
        </w:rPr>
        <w:footnoteReference w:id="987"/>
      </w:r>
      <w:r w:rsidRPr="0019324F">
        <w:t xml:space="preserve"> </w:t>
      </w:r>
      <w:r>
        <w:t xml:space="preserve"> SCE states that t</w:t>
      </w:r>
      <w:r w:rsidRPr="0019324F">
        <w:t xml:space="preserve">he BE </w:t>
      </w:r>
      <w:r>
        <w:t>p</w:t>
      </w:r>
      <w:r w:rsidRPr="0019324F">
        <w:t>ilot supports the state’s ambitious GHG reduction goals, and strives to bring environmental equity to vulnerable populations through reducing indoor nitrogen oxide emissions by replacing combustion-based water heaters, space heating and cooling equipment, cooking appliances and laundry appliances.</w:t>
      </w:r>
      <w:r w:rsidRPr="0019324F">
        <w:rPr>
          <w:vertAlign w:val="superscript"/>
        </w:rPr>
        <w:footnoteReference w:id="988"/>
      </w:r>
      <w:r w:rsidRPr="0019324F">
        <w:t xml:space="preserve"> </w:t>
      </w:r>
      <w:r>
        <w:t xml:space="preserve"> </w:t>
      </w:r>
      <w:r w:rsidRPr="0019324F">
        <w:t>Studies cited by SCE show that switching from natural gas to electric home appliances can generate site energy savings up to 73</w:t>
      </w:r>
      <w:r w:rsidRPr="00730FFE">
        <w:t xml:space="preserve"> </w:t>
      </w:r>
      <w:r w:rsidRPr="0026503D">
        <w:t>percent</w:t>
      </w:r>
      <w:r w:rsidRPr="0019324F">
        <w:t xml:space="preserve"> in residential buildings.</w:t>
      </w:r>
      <w:r w:rsidRPr="0019324F">
        <w:rPr>
          <w:vertAlign w:val="superscript"/>
        </w:rPr>
        <w:footnoteReference w:id="989"/>
      </w:r>
      <w:r w:rsidRPr="0019324F">
        <w:t xml:space="preserve"> </w:t>
      </w:r>
      <w:r>
        <w:t xml:space="preserve"> </w:t>
      </w:r>
      <w:r w:rsidRPr="0019324F">
        <w:t>Scaling adoption of BE technologies may also result in reductions in air pollution, improvements in indoor air quality and health benefits, grid benefits, and economic development benefits.</w:t>
      </w:r>
      <w:r w:rsidRPr="0019324F">
        <w:rPr>
          <w:vertAlign w:val="superscript"/>
        </w:rPr>
        <w:footnoteReference w:id="990"/>
      </w:r>
    </w:p>
    <w:p w:rsidR="000C1980" w:rsidP="000C1980" w:rsidRDefault="000C1980" w14:paraId="3094749B" w14:textId="77777777">
      <w:pPr>
        <w:pStyle w:val="Standard"/>
      </w:pPr>
      <w:r w:rsidRPr="0019324F">
        <w:lastRenderedPageBreak/>
        <w:t>Objectives of the pilot are to provide cleaner, more affordable energy options to low</w:t>
      </w:r>
      <w:r>
        <w:t xml:space="preserve"> </w:t>
      </w:r>
      <w:r w:rsidRPr="0019324F">
        <w:t>income single family residential customers located in DACs in SCE’s jurisdiction, and to continue gathering data needed to refine SCE’s efforts to provide clean and affordable energy options to DAC residents.</w:t>
      </w:r>
      <w:r w:rsidRPr="0019324F">
        <w:rPr>
          <w:vertAlign w:val="superscript"/>
        </w:rPr>
        <w:footnoteReference w:id="991"/>
      </w:r>
      <w:r w:rsidRPr="0019324F">
        <w:t xml:space="preserve"> </w:t>
      </w:r>
      <w:r>
        <w:t xml:space="preserve"> </w:t>
      </w:r>
      <w:r w:rsidRPr="0019324F">
        <w:t>Specific objectives include providing BE retrofits to reduce energy operating costs and GHG production of customers currently using natural gas or propane, maximizing the pilot funds by identifying and partnering with other agencies or organizations with a mutual interest, increasing low income customer’s knowledge and satisfaction of clean energy options provided via electrification, and testing an analytical approach to model and target high priority customer segments for comprehensive residential electrification retrofits using GIS analysis.</w:t>
      </w:r>
      <w:r w:rsidRPr="0019324F">
        <w:rPr>
          <w:vertAlign w:val="superscript"/>
        </w:rPr>
        <w:footnoteReference w:id="992"/>
      </w:r>
    </w:p>
    <w:p w:rsidRPr="0019324F" w:rsidR="000C1980" w:rsidP="000C1980" w:rsidRDefault="000C1980" w14:paraId="4A4A3BE5" w14:textId="08FD6700">
      <w:pPr>
        <w:pStyle w:val="Standard"/>
      </w:pPr>
      <w:r w:rsidRPr="0019324F">
        <w:t xml:space="preserve">SCE </w:t>
      </w:r>
      <w:r>
        <w:t xml:space="preserve">is requesting </w:t>
      </w:r>
      <w:r w:rsidRPr="0019324F">
        <w:t xml:space="preserve">$47.5 million over </w:t>
      </w:r>
      <w:r>
        <w:t xml:space="preserve">PYs 2021-2026 to </w:t>
      </w:r>
      <w:r w:rsidRPr="0019324F">
        <w:t>treat 3,</w:t>
      </w:r>
      <w:r w:rsidR="00226CA9">
        <w:t>130</w:t>
      </w:r>
      <w:r w:rsidRPr="0019324F" w:rsidR="00226CA9">
        <w:t xml:space="preserve"> </w:t>
      </w:r>
      <w:r w:rsidRPr="0019324F">
        <w:t xml:space="preserve">homes. SCE </w:t>
      </w:r>
      <w:r w:rsidR="003D783B">
        <w:t>estimates that the pilot will result in</w:t>
      </w:r>
      <w:r w:rsidRPr="0019324F" w:rsidDel="003D783B" w:rsidR="003D783B">
        <w:t xml:space="preserve"> </w:t>
      </w:r>
      <w:r w:rsidRPr="0019324F">
        <w:t xml:space="preserve">energy savings of </w:t>
      </w:r>
      <w:r w:rsidR="00226CA9">
        <w:t>20,952</w:t>
      </w:r>
      <w:r w:rsidRPr="0019324F">
        <w:t xml:space="preserve"> MWh and emissions savings of </w:t>
      </w:r>
      <w:r w:rsidR="00226CA9">
        <w:t>3,</w:t>
      </w:r>
      <w:r w:rsidR="00EB1DFF">
        <w:t>881</w:t>
      </w:r>
      <w:r>
        <w:t> </w:t>
      </w:r>
      <w:r w:rsidRPr="0019324F">
        <w:t>CO2 metric tons.</w:t>
      </w:r>
      <w:r w:rsidRPr="0019324F">
        <w:rPr>
          <w:vertAlign w:val="superscript"/>
        </w:rPr>
        <w:footnoteReference w:id="993"/>
      </w:r>
      <w:r w:rsidRPr="0019324F">
        <w:t xml:space="preserve"> </w:t>
      </w:r>
      <w:r>
        <w:t xml:space="preserve"> </w:t>
      </w:r>
      <w:r w:rsidRPr="0019324F">
        <w:t>The pilot will offer a variety of heat pump technologies for space and water heating, and clothes drying, and other electric technologies, including induction</w:t>
      </w:r>
      <w:r w:rsidRPr="0019324F" w:rsidDel="0027637B">
        <w:t xml:space="preserve"> </w:t>
      </w:r>
      <w:r w:rsidRPr="0019324F">
        <w:t xml:space="preserve">cooktops </w:t>
      </w:r>
      <w:r w:rsidRPr="0019324F" w:rsidDel="00FA6727">
        <w:t xml:space="preserve">that </w:t>
      </w:r>
      <w:r w:rsidRPr="0019324F">
        <w:t xml:space="preserve">offer faster, safer, and cleaner alternatives to gas appliances. </w:t>
      </w:r>
      <w:r>
        <w:t xml:space="preserve"> </w:t>
      </w:r>
      <w:r w:rsidRPr="0019324F">
        <w:t xml:space="preserve">It will also utilize a targeted approach to prioritize homes and provide appropriate measure mixes to create utility bill savings for building occupants. </w:t>
      </w:r>
      <w:r>
        <w:t xml:space="preserve"> </w:t>
      </w:r>
      <w:r w:rsidRPr="0019324F">
        <w:t xml:space="preserve">SCE also proposes an advice letter process to request implementation of additional technologies and proposes being allowed </w:t>
      </w:r>
      <w:r w:rsidRPr="0019324F">
        <w:lastRenderedPageBreak/>
        <w:t>to seek additional funding as part of the mid-cycle review process to scale the program more rapidly should the pilot prove successful.</w:t>
      </w:r>
      <w:r w:rsidRPr="0019324F">
        <w:rPr>
          <w:vertAlign w:val="superscript"/>
        </w:rPr>
        <w:footnoteReference w:id="994"/>
      </w:r>
    </w:p>
    <w:p w:rsidR="000C1980" w:rsidP="001C46EA" w:rsidRDefault="000C1980" w14:paraId="1CE89503" w14:textId="77777777">
      <w:pPr>
        <w:pStyle w:val="Heading3"/>
      </w:pPr>
      <w:bookmarkStart w:name="_Toc69948240" w:id="594"/>
      <w:r>
        <w:t>Party Positions</w:t>
      </w:r>
      <w:bookmarkEnd w:id="594"/>
      <w:r>
        <w:t xml:space="preserve"> </w:t>
      </w:r>
    </w:p>
    <w:p w:rsidR="000C1980" w:rsidP="001C46EA" w:rsidRDefault="000C1980" w14:paraId="21A95F3F" w14:textId="77777777">
      <w:pPr>
        <w:pStyle w:val="Heading4"/>
      </w:pPr>
      <w:bookmarkStart w:name="_Toc69948241" w:id="595"/>
      <w:bookmarkStart w:name="_Hlk51679625" w:id="596"/>
      <w:r>
        <w:t>Cal Advocates</w:t>
      </w:r>
      <w:bookmarkEnd w:id="595"/>
    </w:p>
    <w:p w:rsidRPr="000B6841" w:rsidR="000C1980" w:rsidP="0023091F" w:rsidRDefault="000C1980" w14:paraId="79B7AE7A" w14:textId="77777777">
      <w:pPr>
        <w:pStyle w:val="ALJBodyText"/>
      </w:pPr>
      <w:r>
        <w:rPr>
          <w:b/>
          <w:bCs/>
          <w:i/>
          <w:iCs/>
          <w:u w:val="single"/>
        </w:rPr>
        <w:t>Does Not Support</w:t>
      </w:r>
      <w:r w:rsidRPr="24DCB1AB">
        <w:rPr>
          <w:b/>
          <w:bCs/>
          <w:i/>
          <w:iCs/>
          <w:u w:val="single"/>
        </w:rPr>
        <w:t>:</w:t>
      </w:r>
      <w:r>
        <w:t xml:space="preserve"> Cal Advocates recommend </w:t>
      </w:r>
      <w:r w:rsidRPr="00F85E31">
        <w:t>reject</w:t>
      </w:r>
      <w:r>
        <w:t>ing this pilot because i</w:t>
      </w:r>
      <w:r w:rsidRPr="00F85E31">
        <w:t>t</w:t>
      </w:r>
      <w:r>
        <w:t xml:space="preserve"> is </w:t>
      </w:r>
      <w:r w:rsidRPr="00E266DD">
        <w:t xml:space="preserve">duplicative of </w:t>
      </w:r>
      <w:r>
        <w:t>other</w:t>
      </w:r>
      <w:r w:rsidRPr="00E266DD">
        <w:t xml:space="preserve"> currently authorized electrification programs in terms of offerings, targeted populations, and goals</w:t>
      </w:r>
      <w:r>
        <w:t xml:space="preserve"> (specifically the </w:t>
      </w:r>
      <w:r w:rsidRPr="00E266DD">
        <w:t>TECH Initiative</w:t>
      </w:r>
      <w:r>
        <w:t xml:space="preserve">, and the San Joaquin Valley DAC </w:t>
      </w:r>
      <w:r w:rsidRPr="00E266DD">
        <w:t>electrification pilot</w:t>
      </w:r>
      <w:r>
        <w:t xml:space="preserve">), and </w:t>
      </w:r>
      <w:r w:rsidRPr="00E266DD">
        <w:t>provide</w:t>
      </w:r>
      <w:r>
        <w:t>s</w:t>
      </w:r>
      <w:r w:rsidRPr="00E266DD">
        <w:t xml:space="preserve"> few benefits</w:t>
      </w:r>
      <w:r>
        <w:t xml:space="preserve"> </w:t>
      </w:r>
      <w:r w:rsidRPr="00E266DD">
        <w:t xml:space="preserve">relative to </w:t>
      </w:r>
      <w:r>
        <w:t>its</w:t>
      </w:r>
      <w:r w:rsidRPr="00E266DD">
        <w:t xml:space="preserve"> costs (one pilot measure, Mini-Split Heat Pump costs $10,296 per install).</w:t>
      </w:r>
      <w:r>
        <w:rPr>
          <w:rStyle w:val="FootnoteReference"/>
        </w:rPr>
        <w:footnoteReference w:id="995"/>
      </w:r>
      <w:r>
        <w:t xml:space="preserve">  </w:t>
      </w:r>
    </w:p>
    <w:p w:rsidR="000C1980" w:rsidP="001C46EA" w:rsidRDefault="000C1980" w14:paraId="16AD802D" w14:textId="77777777">
      <w:pPr>
        <w:pStyle w:val="Heading4"/>
      </w:pPr>
      <w:bookmarkStart w:name="_Toc69948242" w:id="597"/>
      <w:r w:rsidRPr="0019324F">
        <w:t xml:space="preserve">La </w:t>
      </w:r>
      <w:proofErr w:type="spellStart"/>
      <w:r w:rsidRPr="0019324F">
        <w:t>Cooperativa</w:t>
      </w:r>
      <w:proofErr w:type="spellEnd"/>
      <w:r>
        <w:t xml:space="preserve"> et al.</w:t>
      </w:r>
      <w:bookmarkEnd w:id="597"/>
    </w:p>
    <w:p w:rsidR="000C1980" w:rsidP="0023091F" w:rsidRDefault="000C1980" w14:paraId="191AE996" w14:textId="4632DFA7">
      <w:pPr>
        <w:pStyle w:val="ALJBodyText"/>
      </w:pPr>
      <w:r w:rsidRPr="24DCB1AB">
        <w:rPr>
          <w:b/>
          <w:bCs/>
          <w:i/>
          <w:iCs/>
          <w:u w:val="single"/>
        </w:rPr>
        <w:t xml:space="preserve">Supports, but </w:t>
      </w:r>
      <w:proofErr w:type="gramStart"/>
      <w:r w:rsidRPr="24DCB1AB">
        <w:rPr>
          <w:b/>
          <w:bCs/>
          <w:i/>
          <w:iCs/>
          <w:u w:val="single"/>
        </w:rPr>
        <w:t>Needs</w:t>
      </w:r>
      <w:proofErr w:type="gramEnd"/>
      <w:r w:rsidRPr="24DCB1AB">
        <w:rPr>
          <w:b/>
          <w:bCs/>
          <w:i/>
          <w:iCs/>
          <w:u w:val="single"/>
        </w:rPr>
        <w:t xml:space="preserve"> to go Further:</w:t>
      </w:r>
      <w:r>
        <w:t xml:space="preserve"> </w:t>
      </w:r>
      <w:r w:rsidRPr="0019324F">
        <w:t xml:space="preserve">La </w:t>
      </w:r>
      <w:proofErr w:type="spellStart"/>
      <w:r w:rsidRPr="0019324F">
        <w:t>Cooperativa</w:t>
      </w:r>
      <w:proofErr w:type="spellEnd"/>
      <w:r w:rsidRPr="0019324F">
        <w:t xml:space="preserve"> </w:t>
      </w:r>
      <w:bookmarkEnd w:id="596"/>
      <w:r>
        <w:t xml:space="preserve">et al. </w:t>
      </w:r>
      <w:r w:rsidRPr="0019324F">
        <w:t xml:space="preserve">commends SCE for its </w:t>
      </w:r>
      <w:r>
        <w:t>BE</w:t>
      </w:r>
      <w:r w:rsidRPr="0019324F">
        <w:t xml:space="preserve"> </w:t>
      </w:r>
      <w:r>
        <w:t>p</w:t>
      </w:r>
      <w:r w:rsidRPr="0019324F">
        <w:t xml:space="preserve">ilot but recommends that it does not go far enough. </w:t>
      </w:r>
      <w:r>
        <w:t xml:space="preserve"> </w:t>
      </w:r>
      <w:r w:rsidRPr="0019324F">
        <w:t xml:space="preserve">La </w:t>
      </w:r>
      <w:proofErr w:type="spellStart"/>
      <w:r w:rsidRPr="0019324F">
        <w:t>Cooperativa</w:t>
      </w:r>
      <w:proofErr w:type="spellEnd"/>
      <w:r w:rsidRPr="0019324F">
        <w:t xml:space="preserve"> </w:t>
      </w:r>
      <w:r>
        <w:t xml:space="preserve">et al. </w:t>
      </w:r>
      <w:r w:rsidRPr="0019324F">
        <w:t xml:space="preserve">recommends that solar </w:t>
      </w:r>
      <w:r>
        <w:t>technology</w:t>
      </w:r>
      <w:r w:rsidRPr="0019324F">
        <w:t xml:space="preserve"> should </w:t>
      </w:r>
      <w:r>
        <w:t xml:space="preserve">also </w:t>
      </w:r>
      <w:r w:rsidRPr="0019324F">
        <w:t xml:space="preserve">be installed to offset the increase in electric consumption thus furthering the energy burden for </w:t>
      </w:r>
      <w:proofErr w:type="gramStart"/>
      <w:r w:rsidRPr="0019324F">
        <w:t>low</w:t>
      </w:r>
      <w:r>
        <w:t xml:space="preserve"> </w:t>
      </w:r>
      <w:r w:rsidRPr="0019324F">
        <w:t>income</w:t>
      </w:r>
      <w:proofErr w:type="gramEnd"/>
      <w:r w:rsidRPr="0019324F">
        <w:t xml:space="preserve"> households residing in climate zones where temperatures are extreme.</w:t>
      </w:r>
      <w:r w:rsidRPr="0019324F">
        <w:rPr>
          <w:vertAlign w:val="superscript"/>
        </w:rPr>
        <w:footnoteReference w:id="996"/>
      </w:r>
      <w:r w:rsidRPr="0019324F">
        <w:t xml:space="preserve"> Further, </w:t>
      </w:r>
      <w:r>
        <w:t>they</w:t>
      </w:r>
      <w:r w:rsidRPr="0019324F">
        <w:t xml:space="preserve"> argue that this is the “perfect place” to test solar </w:t>
      </w:r>
      <w:r>
        <w:t>technology</w:t>
      </w:r>
      <w:r w:rsidRPr="0019324F">
        <w:t xml:space="preserve"> on a wider scale in future program designs. </w:t>
      </w:r>
      <w:r>
        <w:t xml:space="preserve"> </w:t>
      </w:r>
      <w:r w:rsidRPr="0019324F">
        <w:t xml:space="preserve">La </w:t>
      </w:r>
      <w:proofErr w:type="spellStart"/>
      <w:r w:rsidRPr="0019324F">
        <w:t>Cooperativa</w:t>
      </w:r>
      <w:proofErr w:type="spellEnd"/>
      <w:r w:rsidRPr="0019324F">
        <w:t xml:space="preserve"> </w:t>
      </w:r>
      <w:r>
        <w:t xml:space="preserve">et al. </w:t>
      </w:r>
      <w:r w:rsidRPr="0019324F">
        <w:t xml:space="preserve">agrees that it is important to incorporate the reduction or elimination of CARE subsidies in forecasting measure payback and savings-to-investment ratios. </w:t>
      </w:r>
      <w:r>
        <w:t xml:space="preserve"> </w:t>
      </w:r>
      <w:r w:rsidRPr="0019324F">
        <w:t>As the cost of electricity increases, the cost avoidance of the CARE subsidy becomes a bigger benefit for ratepayers.</w:t>
      </w:r>
      <w:r w:rsidRPr="0019324F">
        <w:rPr>
          <w:vertAlign w:val="superscript"/>
        </w:rPr>
        <w:footnoteReference w:id="997"/>
      </w:r>
    </w:p>
    <w:p w:rsidR="00DB2387" w:rsidP="00DB2387" w:rsidRDefault="00DB2387" w14:paraId="7FAF04D0" w14:textId="4BE90BB7">
      <w:pPr>
        <w:pStyle w:val="Heading4"/>
      </w:pPr>
      <w:r>
        <w:lastRenderedPageBreak/>
        <w:t>TURN</w:t>
      </w:r>
    </w:p>
    <w:p w:rsidR="00DB2387" w:rsidP="0023091F" w:rsidRDefault="00C578FD" w14:paraId="15768A94" w14:textId="755B0C79">
      <w:pPr>
        <w:pStyle w:val="ALJBodyText"/>
      </w:pPr>
      <w:r w:rsidRPr="00C578FD">
        <w:rPr>
          <w:b/>
          <w:bCs/>
          <w:i/>
          <w:iCs/>
          <w:u w:val="single"/>
        </w:rPr>
        <w:t>Does Not Support:</w:t>
      </w:r>
      <w:r w:rsidRPr="00C578FD">
        <w:t xml:space="preserve"> </w:t>
      </w:r>
      <w:r>
        <w:t>TURN</w:t>
      </w:r>
      <w:r w:rsidR="00467144">
        <w:t xml:space="preserve"> </w:t>
      </w:r>
      <w:r w:rsidR="00F425F6">
        <w:t xml:space="preserve">does not support approving the BE pilot until </w:t>
      </w:r>
      <w:r w:rsidRPr="00D72778" w:rsidR="00D72778">
        <w:t>SCE has provided</w:t>
      </w:r>
      <w:r w:rsidR="00F425F6">
        <w:t xml:space="preserve"> </w:t>
      </w:r>
      <w:r w:rsidRPr="00D72778" w:rsidR="00D72778">
        <w:t>adequate justification for the proposed pilot</w:t>
      </w:r>
      <w:r w:rsidR="00F425F6">
        <w:t>.</w:t>
      </w:r>
      <w:r w:rsidR="00AE2827">
        <w:rPr>
          <w:rStyle w:val="FootnoteReference"/>
        </w:rPr>
        <w:footnoteReference w:id="998"/>
      </w:r>
      <w:r w:rsidRPr="00F85CC7" w:rsidR="00F85CC7">
        <w:rPr>
          <w:rFonts w:ascii="TimesNewRomanPSMT" w:hAnsi="TimesNewRomanPSMT" w:cs="TimesNewRomanPSMT"/>
          <w:sz w:val="24"/>
          <w:szCs w:val="24"/>
        </w:rPr>
        <w:t xml:space="preserve"> </w:t>
      </w:r>
      <w:r w:rsidR="00F85CC7">
        <w:rPr>
          <w:rFonts w:ascii="TimesNewRomanPSMT" w:hAnsi="TimesNewRomanPSMT" w:cs="TimesNewRomanPSMT"/>
          <w:sz w:val="24"/>
          <w:szCs w:val="24"/>
        </w:rPr>
        <w:t xml:space="preserve"> </w:t>
      </w:r>
      <w:r w:rsidR="00F85CC7">
        <w:t xml:space="preserve">Instead, </w:t>
      </w:r>
      <w:r w:rsidRPr="00F85CC7" w:rsidR="00F85CC7">
        <w:t xml:space="preserve">SCE </w:t>
      </w:r>
      <w:r w:rsidR="00F85CC7">
        <w:t>should</w:t>
      </w:r>
      <w:r w:rsidRPr="00F85CC7" w:rsidR="00F85CC7">
        <w:t xml:space="preserve"> re-submit </w:t>
      </w:r>
      <w:r w:rsidR="00F85CC7">
        <w:t>the pilot proposal</w:t>
      </w:r>
      <w:r w:rsidRPr="00F85CC7" w:rsidR="00F85CC7">
        <w:t xml:space="preserve"> with additional information once interim or </w:t>
      </w:r>
      <w:proofErr w:type="gramStart"/>
      <w:r w:rsidRPr="00F85CC7" w:rsidR="00F85CC7">
        <w:t>final results</w:t>
      </w:r>
      <w:proofErr w:type="gramEnd"/>
      <w:r w:rsidRPr="00F85CC7" w:rsidR="00F85CC7">
        <w:t xml:space="preserve"> are available from</w:t>
      </w:r>
      <w:r w:rsidR="00F85CC7">
        <w:t xml:space="preserve"> </w:t>
      </w:r>
      <w:r w:rsidRPr="00F85CC7" w:rsidR="00F85CC7">
        <w:t>the SJV Pilot</w:t>
      </w:r>
      <w:r w:rsidR="0053281F">
        <w:t>.</w:t>
      </w:r>
      <w:r w:rsidRPr="0053281F" w:rsidR="0053281F">
        <w:t xml:space="preserve"> </w:t>
      </w:r>
      <w:r w:rsidR="0053281F">
        <w:t xml:space="preserve">However, should the BE pilot be approved, TURN recommends that the </w:t>
      </w:r>
      <w:r w:rsidRPr="00347B8C" w:rsidR="0053281F">
        <w:t xml:space="preserve">pilot results </w:t>
      </w:r>
      <w:r w:rsidR="0053281F">
        <w:t xml:space="preserve">be considered </w:t>
      </w:r>
      <w:r w:rsidRPr="00347B8C" w:rsidR="0053281F">
        <w:t>in this program cycle to inform the current</w:t>
      </w:r>
      <w:r w:rsidR="0053281F">
        <w:t xml:space="preserve"> </w:t>
      </w:r>
      <w:r w:rsidRPr="00347B8C" w:rsidR="0053281F">
        <w:t>program, to the extent feasible</w:t>
      </w:r>
      <w:r w:rsidRPr="00F85CC7" w:rsidR="00F85CC7">
        <w:t>.</w:t>
      </w:r>
      <w:r w:rsidR="00F85CC7">
        <w:rPr>
          <w:rStyle w:val="FootnoteReference"/>
        </w:rPr>
        <w:footnoteReference w:id="999"/>
      </w:r>
      <w:r w:rsidR="00820F35">
        <w:t xml:space="preserve"> </w:t>
      </w:r>
    </w:p>
    <w:p w:rsidR="004E39E4" w:rsidP="004E39E4" w:rsidRDefault="004E39E4" w14:paraId="63FAB149" w14:textId="6DBFFF6D">
      <w:pPr>
        <w:pStyle w:val="Heading4"/>
      </w:pPr>
      <w:r>
        <w:t>EEC and TELACU et al.</w:t>
      </w:r>
    </w:p>
    <w:p w:rsidR="004E39E4" w:rsidP="0023091F" w:rsidRDefault="004E39E4" w14:paraId="40FA78D7" w14:textId="562CC976">
      <w:pPr>
        <w:pStyle w:val="ALJBodyText"/>
      </w:pPr>
      <w:r w:rsidRPr="00C578FD">
        <w:rPr>
          <w:b/>
          <w:bCs/>
          <w:i/>
          <w:iCs/>
          <w:u w:val="single"/>
        </w:rPr>
        <w:t>Does Not Support:</w:t>
      </w:r>
      <w:r w:rsidRPr="00C578FD">
        <w:t xml:space="preserve"> </w:t>
      </w:r>
      <w:r w:rsidR="006164A7">
        <w:t xml:space="preserve">EEC and TELACU et al. state that </w:t>
      </w:r>
      <w:r w:rsidRPr="006164A7" w:rsidR="006164A7">
        <w:t>SCE needs to do more to ensure low-income</w:t>
      </w:r>
      <w:r w:rsidR="006164A7">
        <w:t xml:space="preserve"> </w:t>
      </w:r>
      <w:r w:rsidRPr="006164A7" w:rsidR="006164A7">
        <w:t>families do not experience increased costs and shutoffs due to BE retrofits</w:t>
      </w:r>
      <w:r w:rsidR="006164A7">
        <w:t>.</w:t>
      </w:r>
      <w:r w:rsidRPr="00F14AB5" w:rsidR="00F14AB5">
        <w:rPr>
          <w:rFonts w:ascii="Calibri" w:hAnsi="Calibri" w:cs="Calibri"/>
          <w:sz w:val="24"/>
          <w:szCs w:val="24"/>
        </w:rPr>
        <w:t xml:space="preserve"> </w:t>
      </w:r>
      <w:r w:rsidRPr="00F14AB5" w:rsidR="00F14AB5">
        <w:t>Additionally, before major program changes are adopted to incorporate electrification</w:t>
      </w:r>
      <w:r w:rsidR="00F14AB5">
        <w:t xml:space="preserve"> </w:t>
      </w:r>
      <w:r w:rsidRPr="00F14AB5" w:rsidR="00F14AB5">
        <w:t>measures, the Commission should first understand the customer impacts and lessons learned</w:t>
      </w:r>
      <w:r w:rsidR="00F14AB5">
        <w:t xml:space="preserve"> </w:t>
      </w:r>
      <w:r w:rsidRPr="00F14AB5" w:rsidR="00F14AB5">
        <w:t>from the ongoing SJV DAC electrification pilot.</w:t>
      </w:r>
      <w:r w:rsidR="006164A7">
        <w:rPr>
          <w:rStyle w:val="FootnoteReference"/>
        </w:rPr>
        <w:footnoteReference w:id="1000"/>
      </w:r>
    </w:p>
    <w:p w:rsidR="000C1980" w:rsidP="009F0A2F" w:rsidRDefault="000C1980" w14:paraId="387FCB8D" w14:textId="4614238A">
      <w:pPr>
        <w:pStyle w:val="Heading3"/>
      </w:pPr>
      <w:bookmarkStart w:name="_Toc69948243" w:id="598"/>
      <w:r>
        <w:t>IOU Response</w:t>
      </w:r>
      <w:bookmarkEnd w:id="598"/>
    </w:p>
    <w:p w:rsidRPr="006C5835" w:rsidR="000C1980" w:rsidP="009F0A2F" w:rsidRDefault="000C1980" w14:paraId="19B0B292" w14:textId="77777777">
      <w:pPr>
        <w:pStyle w:val="Heading4"/>
      </w:pPr>
      <w:bookmarkStart w:name="_Toc69948244" w:id="599"/>
      <w:r w:rsidRPr="006C5835">
        <w:t>SCE</w:t>
      </w:r>
      <w:bookmarkEnd w:id="599"/>
    </w:p>
    <w:p w:rsidR="000C1980" w:rsidP="0023091F" w:rsidRDefault="000C1980" w14:paraId="2ABF566B" w14:textId="77777777">
      <w:pPr>
        <w:pStyle w:val="ALJBodyText"/>
      </w:pPr>
      <w:r>
        <w:t xml:space="preserve">SCE disagrees with </w:t>
      </w:r>
      <w:r w:rsidRPr="00D928F0">
        <w:t>Cal Advocates</w:t>
      </w:r>
      <w:r>
        <w:t>’ statement that its BE pilot</w:t>
      </w:r>
      <w:r w:rsidRPr="00D928F0">
        <w:t xml:space="preserve"> is duplicative of other authorized pilots</w:t>
      </w:r>
      <w:r>
        <w:t>, stating that a</w:t>
      </w:r>
      <w:r w:rsidRPr="00D928F0">
        <w:t xml:space="preserve">lthough </w:t>
      </w:r>
      <w:r>
        <w:t xml:space="preserve">they may have </w:t>
      </w:r>
      <w:r w:rsidRPr="00D928F0">
        <w:t>similar objectives in providing affordable, clean</w:t>
      </w:r>
      <w:r>
        <w:t xml:space="preserve"> </w:t>
      </w:r>
      <w:r w:rsidRPr="00D928F0">
        <w:t>energy options to low</w:t>
      </w:r>
      <w:r>
        <w:t xml:space="preserve"> </w:t>
      </w:r>
      <w:r w:rsidRPr="00D928F0">
        <w:t>income residential customers residing in DACs, reducing overall energy costs,</w:t>
      </w:r>
      <w:r>
        <w:t xml:space="preserve"> </w:t>
      </w:r>
      <w:r w:rsidRPr="00D928F0">
        <w:t xml:space="preserve">achieving GHG production, and </w:t>
      </w:r>
      <w:r>
        <w:t>i</w:t>
      </w:r>
      <w:r w:rsidRPr="00D928F0">
        <w:t>mprov</w:t>
      </w:r>
      <w:r>
        <w:t xml:space="preserve">ing </w:t>
      </w:r>
      <w:r w:rsidRPr="00D928F0">
        <w:t xml:space="preserve">health, safety and air quality, the differences between </w:t>
      </w:r>
      <w:r>
        <w:t>the</w:t>
      </w:r>
      <w:r w:rsidRPr="00D928F0">
        <w:t xml:space="preserve"> pilots are significant</w:t>
      </w:r>
      <w:r>
        <w:t xml:space="preserve">, including the pilots’ size (number of households to be treated), goals (full electrification of all end uses versus select </w:t>
      </w:r>
      <w:r>
        <w:lastRenderedPageBreak/>
        <w:t>measures), and investment per home.  SCE also views these other pilots as complementary to the BE pilot, rather than duplicative</w:t>
      </w:r>
      <w:r w:rsidRPr="007026A3">
        <w:t>.</w:t>
      </w:r>
      <w:r>
        <w:rPr>
          <w:rStyle w:val="FootnoteReference"/>
        </w:rPr>
        <w:footnoteReference w:id="1001"/>
      </w:r>
    </w:p>
    <w:p w:rsidR="000C1980" w:rsidP="001C46EA" w:rsidRDefault="000C1980" w14:paraId="09631660" w14:textId="0F056C41">
      <w:pPr>
        <w:pStyle w:val="Heading3"/>
      </w:pPr>
      <w:bookmarkStart w:name="_Toc69948245" w:id="600"/>
      <w:r>
        <w:t>Discussion</w:t>
      </w:r>
      <w:bookmarkEnd w:id="600"/>
    </w:p>
    <w:p w:rsidRPr="008A1BE3" w:rsidR="000C1980" w:rsidP="001C46EA" w:rsidRDefault="000C1980" w14:paraId="395E09A3" w14:textId="77777777">
      <w:pPr>
        <w:pStyle w:val="Heading4"/>
      </w:pPr>
      <w:bookmarkStart w:name="_Toc69948246" w:id="601"/>
      <w:r w:rsidRPr="008A1BE3">
        <w:t xml:space="preserve">BE Pilot: </w:t>
      </w:r>
      <w:r w:rsidRPr="009F0A2F">
        <w:rPr>
          <w:u w:val="single"/>
        </w:rPr>
        <w:t>Approved with Modifications</w:t>
      </w:r>
      <w:bookmarkEnd w:id="601"/>
    </w:p>
    <w:p w:rsidR="000C1980" w:rsidP="0023091F" w:rsidRDefault="000C1980" w14:paraId="67A484DC" w14:textId="57C9788B">
      <w:pPr>
        <w:pStyle w:val="ALJBodyText"/>
      </w:pPr>
      <w:r>
        <w:t>We approve SCE’s BE pilot at a budget not to exceed $40.8 million</w:t>
      </w:r>
      <w:r w:rsidRPr="3B420E93">
        <w:rPr>
          <w:vertAlign w:val="superscript"/>
        </w:rPr>
        <w:footnoteReference w:id="1002"/>
      </w:r>
      <w:r w:rsidRPr="6F53DD55">
        <w:rPr>
          <w:vertAlign w:val="superscript"/>
        </w:rPr>
        <w:t xml:space="preserve"> </w:t>
      </w:r>
      <w:r>
        <w:t xml:space="preserve">and goals with the option to revisit the pilot through the mid-cycle process.  We agree with SCE that this pilot is unique from the other electrification efforts, including the San Joaquin Valley electrification pilots and believe that it can bring measurable benefits to ESA customers. Although this pilot may have similar objectives in providing affordable, clean energy options, the </w:t>
      </w:r>
      <w:proofErr w:type="gramStart"/>
      <w:r>
        <w:t>outcomes</w:t>
      </w:r>
      <w:proofErr w:type="gramEnd"/>
      <w:r>
        <w:t xml:space="preserve"> and benefits to be expected </w:t>
      </w:r>
      <w:r w:rsidR="00784A5D">
        <w:t xml:space="preserve">can </w:t>
      </w:r>
      <w:r>
        <w:t>be significantly different.  We will require that the f</w:t>
      </w:r>
      <w:r w:rsidRPr="006B7E5A">
        <w:t xml:space="preserve">uel substitution/electrification measures in this BE </w:t>
      </w:r>
      <w:r>
        <w:t>p</w:t>
      </w:r>
      <w:r w:rsidRPr="006B7E5A">
        <w:t xml:space="preserve">ilot must pass the </w:t>
      </w:r>
      <w:r w:rsidR="00DE45F7">
        <w:t xml:space="preserve">latest Commission </w:t>
      </w:r>
      <w:r w:rsidRPr="006B7E5A">
        <w:t>Fuel Substitution Test</w:t>
      </w:r>
      <w:r>
        <w:t>.</w:t>
      </w:r>
      <w:r w:rsidRPr="3914731D">
        <w:rPr>
          <w:vertAlign w:val="superscript"/>
        </w:rPr>
        <w:footnoteReference w:id="1003"/>
      </w:r>
      <w:r>
        <w:t xml:space="preserve"> </w:t>
      </w:r>
      <w:r w:rsidR="000476CE">
        <w:t>T</w:t>
      </w:r>
      <w:r>
        <w:t xml:space="preserve">hroughout the pilot operation, we direct SCE to use the measure update process described in </w:t>
      </w:r>
      <w:r w:rsidR="00784A5D">
        <w:t>S</w:t>
      </w:r>
      <w:r>
        <w:t>ection 6.5.</w:t>
      </w:r>
      <w:r w:rsidR="0020559D">
        <w:t>8</w:t>
      </w:r>
      <w:r>
        <w:t>.11</w:t>
      </w:r>
      <w:r w:rsidR="00D76631">
        <w:t>.  SCE shall</w:t>
      </w:r>
      <w:r>
        <w:t xml:space="preserve"> report on the pilot’s progress through the monthly and annual reports, including progress towards the goals and objectives, including customer bill and energy savings results, customer targeting success, coordination with other programs, customer knowledge and awareness of electrification</w:t>
      </w:r>
      <w:r w:rsidR="00D76631">
        <w:t>, and lessons learned and applied from the SJV pilots or other ratepayer funded efforts</w:t>
      </w:r>
      <w:r>
        <w:t xml:space="preserve">. In the first monthly report with launch of </w:t>
      </w:r>
      <w:r w:rsidR="004066F9">
        <w:t xml:space="preserve">the </w:t>
      </w:r>
      <w:r>
        <w:t xml:space="preserve">pilot, SCE shall include the average annual bill savings </w:t>
      </w:r>
      <w:r>
        <w:lastRenderedPageBreak/>
        <w:t>per household the pilot program will deliver.  The reporting template approved by Energy Division will include the specifics of this reporting criteria.</w:t>
      </w:r>
    </w:p>
    <w:p w:rsidR="000C1980" w:rsidP="0023091F" w:rsidRDefault="000C1980" w14:paraId="2D89D32D" w14:textId="67224C67">
      <w:pPr>
        <w:pStyle w:val="ALJBodyText"/>
        <w:rPr>
          <w:sz w:val="25"/>
          <w:szCs w:val="25"/>
        </w:rPr>
      </w:pPr>
      <w:r>
        <w:t xml:space="preserve">Lastly, we direct SCE to utilize </w:t>
      </w:r>
      <w:r w:rsidRPr="4FC83D76">
        <w:rPr>
          <w:sz w:val="25"/>
          <w:szCs w:val="25"/>
        </w:rPr>
        <w:t>Resolution E-5043</w:t>
      </w:r>
      <w:r w:rsidR="00AD1249">
        <w:rPr>
          <w:sz w:val="25"/>
          <w:szCs w:val="25"/>
        </w:rPr>
        <w:t xml:space="preserve"> </w:t>
      </w:r>
      <w:r w:rsidRPr="00FA7826" w:rsidR="00AD1249">
        <w:rPr>
          <w:szCs w:val="26"/>
        </w:rPr>
        <w:t>Appendix B</w:t>
      </w:r>
      <w:r w:rsidRPr="4FC83D76">
        <w:rPr>
          <w:sz w:val="25"/>
          <w:szCs w:val="25"/>
        </w:rPr>
        <w:t xml:space="preserve"> </w:t>
      </w:r>
      <w:r w:rsidRPr="00C309F3">
        <w:rPr>
          <w:szCs w:val="26"/>
        </w:rPr>
        <w:t xml:space="preserve">‘Split Incentives Agreement’ </w:t>
      </w:r>
      <w:r w:rsidRPr="00C309F3" w:rsidR="00AD1249">
        <w:rPr>
          <w:szCs w:val="26"/>
        </w:rPr>
        <w:t xml:space="preserve">to </w:t>
      </w:r>
      <w:r w:rsidRPr="00C309F3">
        <w:rPr>
          <w:szCs w:val="26"/>
        </w:rPr>
        <w:t>require</w:t>
      </w:r>
      <w:r w:rsidRPr="00C309F3" w:rsidR="00AD1249">
        <w:rPr>
          <w:szCs w:val="26"/>
        </w:rPr>
        <w:t xml:space="preserve"> the</w:t>
      </w:r>
      <w:r w:rsidRPr="00C309F3">
        <w:rPr>
          <w:szCs w:val="26"/>
        </w:rPr>
        <w:t xml:space="preserve"> owner to </w:t>
      </w:r>
      <w:r w:rsidRPr="004A68CA">
        <w:rPr>
          <w:szCs w:val="26"/>
        </w:rPr>
        <w:t>agree for five years to eviction limits and a fixed cap on annual rent increases at 3.6 percent to protect participating renters from significant rent increases or displacement post-treatment</w:t>
      </w:r>
      <w:r w:rsidRPr="00E57E2E" w:rsidR="002D37D0">
        <w:rPr>
          <w:szCs w:val="26"/>
        </w:rPr>
        <w:t>,</w:t>
      </w:r>
      <w:r w:rsidRPr="004A68CA" w:rsidR="002D37D0">
        <w:rPr>
          <w:szCs w:val="26"/>
        </w:rPr>
        <w:t xml:space="preserve"> for any home treated in this pilot</w:t>
      </w:r>
      <w:r w:rsidRPr="004A68CA">
        <w:rPr>
          <w:szCs w:val="26"/>
        </w:rPr>
        <w:t>.</w:t>
      </w:r>
      <w:r w:rsidRPr="004A68CA" w:rsidR="00CF390D">
        <w:rPr>
          <w:szCs w:val="26"/>
        </w:rPr>
        <w:t xml:space="preserve">  SCE must adjust the required signing parties to their BE Pilot ‘Split Incentives Agreement’ to include the property owner, tenant, and either their implementer or the </w:t>
      </w:r>
      <w:r w:rsidRPr="00E57E2E" w:rsidR="00CF390D">
        <w:rPr>
          <w:szCs w:val="26"/>
        </w:rPr>
        <w:t>utility</w:t>
      </w:r>
      <w:r w:rsidR="00CF390D">
        <w:rPr>
          <w:szCs w:val="26"/>
        </w:rPr>
        <w:t>.</w:t>
      </w:r>
    </w:p>
    <w:p w:rsidR="000C1980" w:rsidP="001C46EA" w:rsidRDefault="000C1980" w14:paraId="1B77245D" w14:textId="6D26378E">
      <w:pPr>
        <w:pStyle w:val="Heading2"/>
      </w:pPr>
      <w:bookmarkStart w:name="_Toc65342762" w:id="602"/>
      <w:bookmarkStart w:name="_Toc65342763" w:id="603"/>
      <w:bookmarkStart w:name="_Toc69948247" w:id="604"/>
      <w:bookmarkEnd w:id="602"/>
      <w:bookmarkEnd w:id="603"/>
      <w:r w:rsidRPr="001C46EA">
        <w:t>SCE</w:t>
      </w:r>
      <w:r w:rsidRPr="00AF7E40">
        <w:t xml:space="preserve"> Clean Energy Homes Pilot</w:t>
      </w:r>
      <w:bookmarkEnd w:id="604"/>
    </w:p>
    <w:p w:rsidRPr="00AF7E40" w:rsidR="000C1980" w:rsidP="000C1980" w:rsidRDefault="000C1980" w14:paraId="44BAD468" w14:textId="7095A970">
      <w:pPr>
        <w:pStyle w:val="Standard"/>
        <w:rPr>
          <w:i/>
          <w:iCs/>
        </w:rPr>
      </w:pPr>
      <w:r w:rsidRPr="00AF7E40">
        <w:t xml:space="preserve">SCE </w:t>
      </w:r>
      <w:r>
        <w:t>proposes to</w:t>
      </w:r>
      <w:r w:rsidRPr="00AF7E40">
        <w:t xml:space="preserve"> offer a Clean Energy Homes pilot to provide incentives for low</w:t>
      </w:r>
      <w:r>
        <w:t xml:space="preserve"> </w:t>
      </w:r>
      <w:r w:rsidRPr="00AF7E40">
        <w:t>income housing developers to incorporate electrification into the designs of new construction by providing incentives and education to affordable housing developers.</w:t>
      </w:r>
      <w:r w:rsidRPr="00AF7E40">
        <w:rPr>
          <w:vertAlign w:val="superscript"/>
        </w:rPr>
        <w:footnoteReference w:id="1004"/>
      </w:r>
      <w:r w:rsidRPr="00AF7E40">
        <w:t xml:space="preserve"> </w:t>
      </w:r>
      <w:r>
        <w:t xml:space="preserve"> </w:t>
      </w:r>
      <w:r w:rsidRPr="00AF7E40">
        <w:t>SCE has identified the low</w:t>
      </w:r>
      <w:r>
        <w:t xml:space="preserve"> </w:t>
      </w:r>
      <w:r w:rsidRPr="00AF7E40">
        <w:t>income new construction process as a key market leverage point.</w:t>
      </w:r>
      <w:r w:rsidRPr="00AF7E40">
        <w:rPr>
          <w:vertAlign w:val="superscript"/>
        </w:rPr>
        <w:footnoteReference w:id="1005"/>
      </w:r>
      <w:r w:rsidRPr="00AF7E40">
        <w:t xml:space="preserve">  The pilot is designed to reduce energy bills for tenants in new buildings, reduce capital costs for affordable housing developers, reduce GHG emissions associated with burning fossil fuels in buildings, and reduce the complexity of participating in customer programs.</w:t>
      </w:r>
      <w:r w:rsidRPr="00AF7E40">
        <w:rPr>
          <w:vertAlign w:val="superscript"/>
        </w:rPr>
        <w:footnoteReference w:id="1006"/>
      </w:r>
      <w:r w:rsidRPr="00AF7E40">
        <w:t xml:space="preserve"> </w:t>
      </w:r>
      <w:r>
        <w:t xml:space="preserve"> The </w:t>
      </w:r>
      <w:r w:rsidRPr="00AF7E40">
        <w:t xml:space="preserve">Clean Energy Homes </w:t>
      </w:r>
      <w:r>
        <w:t xml:space="preserve">pilot </w:t>
      </w:r>
      <w:r w:rsidRPr="00AF7E40">
        <w:t>aims to assist developers in overcoming barriers to building all-electric, affordable homes.</w:t>
      </w:r>
      <w:r>
        <w:t xml:space="preserve">  </w:t>
      </w:r>
      <w:r w:rsidRPr="00AF7E40">
        <w:t>SCE proposes a six year budget of $</w:t>
      </w:r>
      <w:r>
        <w:t>1</w:t>
      </w:r>
      <w:r w:rsidRPr="00AF7E40">
        <w:t>2</w:t>
      </w:r>
      <w:r w:rsidR="00E653F2">
        <w:t>.2</w:t>
      </w:r>
      <w:r w:rsidRPr="00AF7E40">
        <w:t xml:space="preserve"> million to implement the budget, but may update the budget in the future as the pilot program is refined and costs reduced.</w:t>
      </w:r>
      <w:r w:rsidRPr="00AF7E40">
        <w:rPr>
          <w:vertAlign w:val="superscript"/>
        </w:rPr>
        <w:footnoteReference w:id="1007"/>
      </w:r>
      <w:r w:rsidRPr="24DCB1AB">
        <w:rPr>
          <w:i/>
          <w:iCs/>
        </w:rPr>
        <w:t xml:space="preserve">  </w:t>
      </w:r>
      <w:r w:rsidRPr="00AF7E40">
        <w:t xml:space="preserve">SCE </w:t>
      </w:r>
      <w:r>
        <w:t>states</w:t>
      </w:r>
      <w:r w:rsidRPr="00AF7E40">
        <w:t xml:space="preserve"> that the pilot will enable </w:t>
      </w:r>
      <w:r w:rsidRPr="00AF7E40">
        <w:lastRenderedPageBreak/>
        <w:t>cleaner, higher-quality building assets and be equitably supplied to the most vulnerable customers.</w:t>
      </w:r>
      <w:r w:rsidRPr="00AF7E40">
        <w:rPr>
          <w:vertAlign w:val="superscript"/>
        </w:rPr>
        <w:footnoteReference w:id="1008"/>
      </w:r>
      <w:r w:rsidRPr="00AF7E40">
        <w:t xml:space="preserve"> </w:t>
      </w:r>
      <w:r>
        <w:t xml:space="preserve"> </w:t>
      </w:r>
      <w:r w:rsidRPr="00AF7E40">
        <w:t>SCE intends to give affordable housing developers the full range of low-carbon technologies and building practices so they can choose the most cost effective options.</w:t>
      </w:r>
      <w:r w:rsidRPr="00AF7E40">
        <w:rPr>
          <w:vertAlign w:val="superscript"/>
        </w:rPr>
        <w:footnoteReference w:id="1009"/>
      </w:r>
      <w:r w:rsidRPr="00AF7E40">
        <w:t xml:space="preserve"> </w:t>
      </w:r>
      <w:r>
        <w:t xml:space="preserve"> </w:t>
      </w:r>
      <w:r w:rsidRPr="00AF7E40">
        <w:t xml:space="preserve">The pilot offers three elements: </w:t>
      </w:r>
      <w:r>
        <w:t xml:space="preserve"> </w:t>
      </w:r>
      <w:r w:rsidRPr="00AF7E40">
        <w:t>technical design assistance to affordable housing developers early in the development stage, location-specific GHG-driven financial incentives early in the development process, and coordinated education and outreach throughout the development process.</w:t>
      </w:r>
      <w:r w:rsidRPr="00AF7E40">
        <w:rPr>
          <w:vertAlign w:val="superscript"/>
        </w:rPr>
        <w:footnoteReference w:id="1010"/>
      </w:r>
    </w:p>
    <w:p w:rsidR="000C1980" w:rsidP="001C46EA" w:rsidRDefault="000C1980" w14:paraId="4E7384B4" w14:textId="77777777">
      <w:pPr>
        <w:pStyle w:val="Heading3"/>
      </w:pPr>
      <w:bookmarkStart w:name="_Toc69948248" w:id="605"/>
      <w:r>
        <w:t>Party Positions</w:t>
      </w:r>
      <w:bookmarkEnd w:id="605"/>
    </w:p>
    <w:p w:rsidR="000C1980" w:rsidP="001C46EA" w:rsidRDefault="000C1980" w14:paraId="40B6CEF3" w14:textId="77777777">
      <w:pPr>
        <w:pStyle w:val="Heading4"/>
      </w:pPr>
      <w:bookmarkStart w:name="_Toc69948249" w:id="606"/>
      <w:r>
        <w:t>Joint Parties</w:t>
      </w:r>
      <w:bookmarkEnd w:id="606"/>
    </w:p>
    <w:p w:rsidR="000C1980" w:rsidP="0023091F" w:rsidRDefault="000C1980" w14:paraId="402E06C9" w14:textId="77777777">
      <w:pPr>
        <w:pStyle w:val="ALJBodyText"/>
      </w:pPr>
      <w:r w:rsidRPr="24DCB1AB">
        <w:rPr>
          <w:b/>
          <w:bCs/>
          <w:i/>
          <w:iCs/>
          <w:u w:val="single"/>
        </w:rPr>
        <w:t>Supports:</w:t>
      </w:r>
      <w:r>
        <w:t xml:space="preserve"> </w:t>
      </w:r>
      <w:r w:rsidRPr="00A66389">
        <w:t xml:space="preserve">The Joint Parties support SCE’s proposal to provide electrification measures that were not previously offered through the ESA </w:t>
      </w:r>
      <w:r>
        <w:t>p</w:t>
      </w:r>
      <w:r w:rsidRPr="00A66389">
        <w:t xml:space="preserve">rogram to income qualified customers living in </w:t>
      </w:r>
      <w:r>
        <w:t>DACs</w:t>
      </w:r>
      <w:r w:rsidRPr="00A66389">
        <w:t>.</w:t>
      </w:r>
      <w:r w:rsidRPr="00A66389">
        <w:rPr>
          <w:vertAlign w:val="superscript"/>
        </w:rPr>
        <w:footnoteReference w:id="1011"/>
      </w:r>
      <w:r w:rsidRPr="00A66389">
        <w:t xml:space="preserve"> </w:t>
      </w:r>
      <w:r>
        <w:t xml:space="preserve"> </w:t>
      </w:r>
      <w:r w:rsidRPr="00A66389">
        <w:t xml:space="preserve">They also support SCE’s plans to add the newest electrification technology to Enhanced Package offering and the Clean Energy Homes pilot, which would provide incentives for </w:t>
      </w:r>
      <w:proofErr w:type="gramStart"/>
      <w:r w:rsidRPr="00A66389">
        <w:t>low</w:t>
      </w:r>
      <w:r>
        <w:t xml:space="preserve"> </w:t>
      </w:r>
      <w:r w:rsidRPr="00A66389">
        <w:t>income</w:t>
      </w:r>
      <w:proofErr w:type="gramEnd"/>
      <w:r w:rsidRPr="00A66389">
        <w:t xml:space="preserve"> housing developers to incorporate electrification into the designs of new construction.</w:t>
      </w:r>
      <w:r w:rsidRPr="00A66389">
        <w:rPr>
          <w:vertAlign w:val="superscript"/>
        </w:rPr>
        <w:footnoteReference w:id="1012"/>
      </w:r>
    </w:p>
    <w:p w:rsidR="000C1980" w:rsidP="001C46EA" w:rsidRDefault="000C1980" w14:paraId="40C723F0" w14:textId="70C9980A">
      <w:pPr>
        <w:pStyle w:val="Heading4"/>
      </w:pPr>
      <w:bookmarkStart w:name="_Toc69948250" w:id="607"/>
      <w:r>
        <w:t>TELACU et al.</w:t>
      </w:r>
      <w:bookmarkEnd w:id="607"/>
    </w:p>
    <w:p w:rsidRPr="00945773" w:rsidR="000C1980" w:rsidP="0023091F" w:rsidRDefault="000C1980" w14:paraId="32BA7CA3" w14:textId="77777777">
      <w:pPr>
        <w:pStyle w:val="ALJBodyText"/>
      </w:pPr>
      <w:r w:rsidRPr="24DCB1AB">
        <w:rPr>
          <w:b/>
          <w:bCs/>
          <w:i/>
          <w:iCs/>
          <w:u w:val="single"/>
        </w:rPr>
        <w:t>Opposes:</w:t>
      </w:r>
      <w:r>
        <w:t xml:space="preserve"> TELACU et al. opposed this pilot stating that this is not an appropriate use of ESA funds.</w:t>
      </w:r>
      <w:r>
        <w:rPr>
          <w:rStyle w:val="FootnoteReference"/>
        </w:rPr>
        <w:footnoteReference w:id="1013"/>
      </w:r>
    </w:p>
    <w:p w:rsidR="000C1980" w:rsidP="001C46EA" w:rsidRDefault="000C1980" w14:paraId="374C59E0" w14:textId="40ACE2A1">
      <w:pPr>
        <w:pStyle w:val="Heading3"/>
      </w:pPr>
      <w:bookmarkStart w:name="_Toc69948251" w:id="608"/>
      <w:r>
        <w:lastRenderedPageBreak/>
        <w:t>Discussion</w:t>
      </w:r>
      <w:bookmarkEnd w:id="608"/>
    </w:p>
    <w:p w:rsidRPr="00551973" w:rsidR="000C1980" w:rsidP="001C46EA" w:rsidRDefault="000C1980" w14:paraId="0720A5FE" w14:textId="77777777">
      <w:pPr>
        <w:pStyle w:val="Heading4"/>
      </w:pPr>
      <w:bookmarkStart w:name="_Toc69948252" w:id="609"/>
      <w:r w:rsidRPr="00551973">
        <w:t xml:space="preserve">Clean Energy Homes </w:t>
      </w:r>
      <w:r>
        <w:t>P</w:t>
      </w:r>
      <w:r w:rsidRPr="00551973">
        <w:t xml:space="preserve">ilot: </w:t>
      </w:r>
      <w:r w:rsidRPr="00551973">
        <w:rPr>
          <w:u w:val="single"/>
        </w:rPr>
        <w:t>Approved with Modifications</w:t>
      </w:r>
      <w:bookmarkEnd w:id="609"/>
    </w:p>
    <w:p w:rsidR="000C1980" w:rsidP="000C1980" w:rsidRDefault="000C1980" w14:paraId="0A8CBCEC" w14:textId="29D9F871">
      <w:pPr>
        <w:pStyle w:val="Standard"/>
      </w:pPr>
      <w:r w:rsidRPr="4FC83D76">
        <w:t>We approve SCE’s Clean Energy Homes pilot</w:t>
      </w:r>
      <w:r>
        <w:t xml:space="preserve"> at a budget not to exceed </w:t>
      </w:r>
      <w:r w:rsidRPr="4FC83D76">
        <w:t>$10.5 million</w:t>
      </w:r>
      <w:r w:rsidRPr="00EF76A8">
        <w:rPr>
          <w:rStyle w:val="FootnoteReference"/>
          <w:bCs/>
        </w:rPr>
        <w:footnoteReference w:id="1014"/>
      </w:r>
      <w:r w:rsidRPr="00EF76A8">
        <w:rPr>
          <w:bCs/>
        </w:rPr>
        <w:t xml:space="preserve"> </w:t>
      </w:r>
      <w:r>
        <w:t>with modifications</w:t>
      </w:r>
      <w:r w:rsidRPr="0024344B" w:rsidR="0024344B">
        <w:t xml:space="preserve"> </w:t>
      </w:r>
      <w:r w:rsidRPr="3776745C" w:rsidR="0024344B">
        <w:t xml:space="preserve">in adherence to ESA’s statutory purpose to provide energy efficiency services targeted to </w:t>
      </w:r>
      <w:proofErr w:type="gramStart"/>
      <w:r w:rsidRPr="3776745C" w:rsidR="0024344B">
        <w:t>low income</w:t>
      </w:r>
      <w:proofErr w:type="gramEnd"/>
      <w:r w:rsidRPr="3776745C" w:rsidR="0024344B">
        <w:t xml:space="preserve"> customers</w:t>
      </w:r>
      <w:r>
        <w:t xml:space="preserve">. </w:t>
      </w:r>
      <w:r w:rsidRPr="4FC83D76">
        <w:t xml:space="preserve"> We direct SCE to coordinate with the CEC’s </w:t>
      </w:r>
      <w:r w:rsidRPr="3BB5BAF8">
        <w:t xml:space="preserve">forthcoming </w:t>
      </w:r>
      <w:r w:rsidRPr="4FC83D76">
        <w:t>Building Initiative for Low Emissions Development</w:t>
      </w:r>
      <w:r w:rsidRPr="00A641B1">
        <w:t xml:space="preserve"> </w:t>
      </w:r>
      <w:r>
        <w:t>(</w:t>
      </w:r>
      <w:r w:rsidRPr="4FC83D76">
        <w:t>BUILD) program to increase customer opportunities and avoid duplication.</w:t>
      </w:r>
      <w:r w:rsidRPr="00EF76A8">
        <w:rPr>
          <w:rStyle w:val="FootnoteReference"/>
          <w:bCs/>
        </w:rPr>
        <w:footnoteReference w:id="1015"/>
      </w:r>
      <w:r w:rsidRPr="4FC83D76">
        <w:t xml:space="preserve"> </w:t>
      </w:r>
      <w:r>
        <w:t xml:space="preserve"> </w:t>
      </w:r>
      <w:r w:rsidRPr="4FC83D76">
        <w:t xml:space="preserve">The BUILD program </w:t>
      </w:r>
      <w:r w:rsidRPr="3BB5BAF8">
        <w:t xml:space="preserve">will </w:t>
      </w:r>
      <w:r w:rsidRPr="4FC83D76">
        <w:t xml:space="preserve">provide incentives to developers of new residential housing in territories served by SoCalGas, PG&amp;E, SDG&amp;E, and Southwest Gas, and is </w:t>
      </w:r>
      <w:r w:rsidRPr="3BB5BAF8">
        <w:t xml:space="preserve">anticipated </w:t>
      </w:r>
      <w:r w:rsidRPr="4FC83D76">
        <w:t xml:space="preserve">to launch in 2021. As SCE shares customers with these utilities, to avoid duplication, we direct SCE to implement the </w:t>
      </w:r>
      <w:r w:rsidRPr="3BB5BAF8">
        <w:t xml:space="preserve">Clean Energy Homes </w:t>
      </w:r>
      <w:r w:rsidRPr="4FC83D76">
        <w:t>pilot program in geographic areas not served by these utilities, including but not limited to Long Beach, Vernon, Catalina Island</w:t>
      </w:r>
      <w:r w:rsidRPr="3BB5BAF8">
        <w:t>, and portions of Inyo and Mono counties</w:t>
      </w:r>
      <w:r w:rsidRPr="4FC83D76">
        <w:t xml:space="preserve">, or for properties or buildings that do not meet the </w:t>
      </w:r>
      <w:r w:rsidRPr="3BB5BAF8">
        <w:t xml:space="preserve">BUILD program’s </w:t>
      </w:r>
      <w:r w:rsidRPr="4FC83D76">
        <w:t>low</w:t>
      </w:r>
      <w:r>
        <w:t xml:space="preserve"> </w:t>
      </w:r>
      <w:r w:rsidRPr="4FC83D76">
        <w:t>income</w:t>
      </w:r>
      <w:r w:rsidRPr="3BB5BAF8">
        <w:t>/</w:t>
      </w:r>
      <w:r>
        <w:t>DAC</w:t>
      </w:r>
      <w:r w:rsidRPr="3BB5BAF8">
        <w:t xml:space="preserve"> </w:t>
      </w:r>
      <w:r w:rsidRPr="4FC83D76">
        <w:t xml:space="preserve">definition (generally based on AMI), or for other properties or buildings that do not meet the BUILD program’s requirements. </w:t>
      </w:r>
      <w:r>
        <w:t xml:space="preserve"> </w:t>
      </w:r>
      <w:r w:rsidRPr="4FC83D76">
        <w:t xml:space="preserve">We further direct SCE, after coordination with the CEC, </w:t>
      </w:r>
      <w:r>
        <w:t xml:space="preserve">to </w:t>
      </w:r>
      <w:r w:rsidRPr="4FC83D76">
        <w:t>file a Tier 1 advice letter by December 31, 2021, with an updated budget</w:t>
      </w:r>
      <w:r>
        <w:t xml:space="preserve"> not to exceed </w:t>
      </w:r>
      <w:r w:rsidRPr="4FC83D76">
        <w:t>$10.5 million</w:t>
      </w:r>
      <w:r>
        <w:t>, and implementation details based</w:t>
      </w:r>
      <w:r w:rsidRPr="4FC83D76">
        <w:t xml:space="preserve"> on the geographic and eligibility limitations detailed above. </w:t>
      </w:r>
    </w:p>
    <w:p w:rsidRPr="00B43B06" w:rsidR="000C1980" w:rsidP="000C1980" w:rsidRDefault="000C1980" w14:paraId="54384D53" w14:textId="7B07F566">
      <w:pPr>
        <w:pStyle w:val="Standard"/>
        <w:rPr>
          <w:i/>
          <w:iCs/>
          <w:u w:val="single"/>
        </w:rPr>
      </w:pPr>
      <w:r w:rsidRPr="3B420E93">
        <w:t xml:space="preserve">We also recommend that SCE work with the CEC to share best practices, and coordinate on incentives and offerings to avoid market participant confusion </w:t>
      </w:r>
      <w:r w:rsidRPr="3B420E93">
        <w:lastRenderedPageBreak/>
        <w:t>or disinterest, as well as to avoid competition between budgets and funding. Per SCE’s proposed pilot process evaluation and EM&amp;V plan, we direct SCE to coordinate with the ESA/CARE Study Working Group to finalize the proposed study scope prior to filing the advice letter.</w:t>
      </w:r>
      <w:r>
        <w:t xml:space="preserve"> </w:t>
      </w:r>
      <w:r w:rsidRPr="3B420E93">
        <w:t xml:space="preserve"> In addition, we recommend </w:t>
      </w:r>
      <w:r>
        <w:t xml:space="preserve">that </w:t>
      </w:r>
      <w:r w:rsidRPr="3B420E93">
        <w:t>SCE incorporate lessons learned from the BUILD program, including the BUILD program’s emphasis on customer bill savings, when such information becomes available</w:t>
      </w:r>
      <w:r w:rsidRPr="4FC83D76">
        <w:t xml:space="preserve">. </w:t>
      </w:r>
    </w:p>
    <w:p w:rsidR="000C1980" w:rsidP="001C46EA" w:rsidRDefault="000C1980" w14:paraId="0EFB4DB6" w14:textId="77777777">
      <w:pPr>
        <w:pStyle w:val="Heading2"/>
      </w:pPr>
      <w:bookmarkStart w:name="_Toc65342765" w:id="610"/>
      <w:bookmarkStart w:name="_Toc69948253" w:id="611"/>
      <w:bookmarkEnd w:id="610"/>
      <w:r w:rsidRPr="00AF7E40">
        <w:t xml:space="preserve">SCE </w:t>
      </w:r>
      <w:r w:rsidRPr="0001217C">
        <w:t>Telemarketing “Nurture” Pilot</w:t>
      </w:r>
      <w:bookmarkEnd w:id="611"/>
    </w:p>
    <w:p w:rsidRPr="00AF7E40" w:rsidR="000C1980" w:rsidP="000C1980" w:rsidRDefault="000C1980" w14:paraId="59E0E973" w14:textId="10B44160">
      <w:pPr>
        <w:pStyle w:val="Standard"/>
        <w:rPr>
          <w:i/>
          <w:iCs/>
        </w:rPr>
      </w:pPr>
      <w:r w:rsidRPr="0001217C">
        <w:t xml:space="preserve">SCE </w:t>
      </w:r>
      <w:r>
        <w:t>proposes a</w:t>
      </w:r>
      <w:r w:rsidRPr="0001217C">
        <w:t xml:space="preserve"> telemarketing pilot </w:t>
      </w:r>
      <w:r>
        <w:t>budgeted at $127,308 for PYs 2021</w:t>
      </w:r>
      <w:r>
        <w:noBreakHyphen/>
        <w:t xml:space="preserve">2026, </w:t>
      </w:r>
      <w:r w:rsidRPr="0001217C">
        <w:t xml:space="preserve">aimed at </w:t>
      </w:r>
      <w:r w:rsidR="0066462F">
        <w:t>reaching out to</w:t>
      </w:r>
      <w:r w:rsidRPr="0001217C" w:rsidR="0066462F">
        <w:t xml:space="preserve"> </w:t>
      </w:r>
      <w:r w:rsidRPr="0001217C">
        <w:t>customers</w:t>
      </w:r>
      <w:r>
        <w:t xml:space="preserve"> </w:t>
      </w:r>
      <w:r w:rsidRPr="0001217C">
        <w:t xml:space="preserve">who receive a FERA direct mail letter but elect not to enroll in the </w:t>
      </w:r>
      <w:r>
        <w:t>p</w:t>
      </w:r>
      <w:r w:rsidRPr="0001217C">
        <w:t>rogram.</w:t>
      </w:r>
      <w:r>
        <w:rPr>
          <w:rStyle w:val="FootnoteReference"/>
        </w:rPr>
        <w:footnoteReference w:id="1016"/>
      </w:r>
      <w:r>
        <w:t xml:space="preserve"> </w:t>
      </w:r>
      <w:r w:rsidRPr="00CE65F3">
        <w:rPr>
          <w:rFonts w:ascii="TimesNewRomanPSMT" w:hAnsi="TimesNewRomanPSMT" w:cs="TimesNewRomanPSMT"/>
          <w:sz w:val="22"/>
          <w:szCs w:val="22"/>
        </w:rPr>
        <w:t xml:space="preserve"> </w:t>
      </w:r>
      <w:r w:rsidRPr="00CE65F3">
        <w:t>This tactic is intended to “nurture” the customer by following up with them to find out what prevented them</w:t>
      </w:r>
      <w:r>
        <w:t xml:space="preserve"> </w:t>
      </w:r>
      <w:r w:rsidRPr="00CE65F3">
        <w:t>from originally enrolling the program</w:t>
      </w:r>
      <w:r>
        <w:t xml:space="preserve">. </w:t>
      </w:r>
      <w:r w:rsidRPr="0001217C">
        <w:t xml:space="preserve"> </w:t>
      </w:r>
      <w:r>
        <w:t xml:space="preserve">SCE states that the </w:t>
      </w:r>
      <w:r w:rsidRPr="0001217C">
        <w:t>goal of this</w:t>
      </w:r>
      <w:r>
        <w:t xml:space="preserve"> </w:t>
      </w:r>
      <w:r w:rsidRPr="0001217C">
        <w:t>post-direct mail effort will be to provide individualized education regarding the FERA program’s</w:t>
      </w:r>
      <w:r>
        <w:t xml:space="preserve"> </w:t>
      </w:r>
      <w:r w:rsidRPr="0001217C">
        <w:t>discount, and to identify any potential issues or concerns that may be preventing the customer from</w:t>
      </w:r>
      <w:r>
        <w:t xml:space="preserve"> e</w:t>
      </w:r>
      <w:r w:rsidRPr="0001217C">
        <w:t>nrolling.</w:t>
      </w:r>
      <w:r>
        <w:rPr>
          <w:rStyle w:val="FootnoteReference"/>
        </w:rPr>
        <w:footnoteReference w:id="1017"/>
      </w:r>
      <w:r>
        <w:t xml:space="preserve"> </w:t>
      </w:r>
    </w:p>
    <w:p w:rsidR="000C1980" w:rsidP="001C46EA" w:rsidRDefault="000C1980" w14:paraId="2468D2AC" w14:textId="77777777">
      <w:pPr>
        <w:pStyle w:val="Heading3"/>
      </w:pPr>
      <w:bookmarkStart w:name="_Toc69948254" w:id="612"/>
      <w:r>
        <w:t>Party Positions</w:t>
      </w:r>
      <w:bookmarkEnd w:id="612"/>
    </w:p>
    <w:p w:rsidRPr="00945773" w:rsidR="000C1980" w:rsidP="0023091F" w:rsidRDefault="000C1980" w14:paraId="6466C78E" w14:textId="77777777">
      <w:pPr>
        <w:pStyle w:val="ALJBodyText"/>
      </w:pPr>
      <w:r w:rsidRPr="00D80C80">
        <w:t>No substantive party comments were received on this topic</w:t>
      </w:r>
      <w:r>
        <w:t>.</w:t>
      </w:r>
    </w:p>
    <w:p w:rsidR="000C1980" w:rsidP="001C46EA" w:rsidRDefault="000C1980" w14:paraId="56027FD5" w14:textId="7436DEAC">
      <w:pPr>
        <w:pStyle w:val="Heading3"/>
      </w:pPr>
      <w:bookmarkStart w:name="_Toc69948255" w:id="613"/>
      <w:r>
        <w:t>Discussion</w:t>
      </w:r>
      <w:bookmarkEnd w:id="613"/>
    </w:p>
    <w:p w:rsidR="000C1980" w:rsidP="001C46EA" w:rsidRDefault="000C1980" w14:paraId="38EEE1C6" w14:textId="77777777">
      <w:pPr>
        <w:pStyle w:val="Heading4"/>
      </w:pPr>
      <w:bookmarkStart w:name="_Toc69948256" w:id="614"/>
      <w:r w:rsidRPr="00AF7E40">
        <w:t xml:space="preserve">SCE </w:t>
      </w:r>
      <w:r w:rsidRPr="0001217C">
        <w:t>Telemarketing “Nurture” Pilot</w:t>
      </w:r>
      <w:r>
        <w:t xml:space="preserve">: </w:t>
      </w:r>
      <w:r w:rsidRPr="001D097A">
        <w:rPr>
          <w:u w:val="single"/>
        </w:rPr>
        <w:t>Approved</w:t>
      </w:r>
      <w:bookmarkEnd w:id="614"/>
    </w:p>
    <w:p w:rsidR="000C1980" w:rsidP="0023091F" w:rsidRDefault="000C1980" w14:paraId="3F584923" w14:textId="6E3CB093">
      <w:pPr>
        <w:pStyle w:val="ALJBodyText"/>
      </w:pPr>
      <w:r>
        <w:t xml:space="preserve">We approve SCE’s </w:t>
      </w:r>
      <w:r w:rsidRPr="0001217C">
        <w:t xml:space="preserve">telemarketing pilot </w:t>
      </w:r>
      <w:r>
        <w:t xml:space="preserve">at $127,308 for PYs 2021-2026.  Given that FERA is less well known, as compared to ESA and CARE, this effort can provide a personal touch to increasing FERA enrollments by instituting follow-up calls to households.  To assess the success of this pilot, we require SCE </w:t>
      </w:r>
      <w:r>
        <w:lastRenderedPageBreak/>
        <w:t>to track in their FERA annual report the below statistics for this pilot.  The reporting template approved by Energy Division will include the specifics of this reporting criteria.</w:t>
      </w:r>
    </w:p>
    <w:p w:rsidRPr="009F3FD2" w:rsidR="000C1980" w:rsidP="00402362" w:rsidRDefault="000C1980" w14:paraId="38FAA63F" w14:textId="77777777">
      <w:pPr>
        <w:pStyle w:val="ListBullet"/>
        <w:rPr>
          <w:i/>
          <w:iCs/>
        </w:rPr>
      </w:pPr>
      <w:r>
        <w:t xml:space="preserve">Annual conversion rate: calculated as the number of households enrolled in FERA through these follow-up phone calls divided by the total number of FERA-eligible households contacted by the pilot. </w:t>
      </w:r>
    </w:p>
    <w:p w:rsidRPr="009F3FD2" w:rsidR="000C1980" w:rsidP="00402362" w:rsidRDefault="000C1980" w14:paraId="02C89343" w14:textId="77777777">
      <w:pPr>
        <w:pStyle w:val="ListBullet"/>
        <w:rPr>
          <w:i/>
          <w:iCs/>
        </w:rPr>
      </w:pPr>
      <w:r>
        <w:t>Annual “Do Not Call” response rate: calculated as the number of households that ask SCE not to call them or are upset by the follow-up call divided by the total number of FERA-eligible households contacted by the pilot.</w:t>
      </w:r>
    </w:p>
    <w:p w:rsidR="000C1980" w:rsidP="00682805" w:rsidRDefault="000C1980" w14:paraId="63C612AE" w14:textId="77777777">
      <w:pPr>
        <w:pStyle w:val="Heading2"/>
      </w:pPr>
      <w:bookmarkStart w:name="_Toc69948257" w:id="615"/>
      <w:r w:rsidRPr="00621342">
        <w:t xml:space="preserve">Impact </w:t>
      </w:r>
      <w:r w:rsidRPr="00682805">
        <w:t>Evaluations</w:t>
      </w:r>
      <w:bookmarkEnd w:id="615"/>
    </w:p>
    <w:p w:rsidR="000C1980" w:rsidP="00473C7C" w:rsidRDefault="000C1980" w14:paraId="40C796E6" w14:textId="77777777">
      <w:pPr>
        <w:pStyle w:val="Standard"/>
      </w:pPr>
      <w:r w:rsidRPr="00621342">
        <w:t xml:space="preserve">The IOUs propose two to four statewide impact evaluation studies, </w:t>
      </w:r>
      <w:r>
        <w:t>between PYs 2021-2026</w:t>
      </w:r>
      <w:r w:rsidRPr="00621342">
        <w:t xml:space="preserve">, </w:t>
      </w:r>
      <w:r>
        <w:t>with a total statewide budget of $1,500,000, with each study having a not-to-exceed budget of $500,000</w:t>
      </w:r>
      <w:r w:rsidRPr="00621342">
        <w:t>.</w:t>
      </w:r>
      <w:r w:rsidRPr="00621342">
        <w:rPr>
          <w:vertAlign w:val="superscript"/>
        </w:rPr>
        <w:footnoteReference w:id="1018"/>
      </w:r>
      <w:r w:rsidRPr="00621342">
        <w:t xml:space="preserve"> </w:t>
      </w:r>
      <w:r>
        <w:t xml:space="preserve"> </w:t>
      </w:r>
      <w:r w:rsidRPr="00621342">
        <w:t>It is likely that two evaluations will occur, one for PYs 2022-</w:t>
      </w:r>
      <w:r>
        <w:t>20</w:t>
      </w:r>
      <w:r w:rsidRPr="00621342">
        <w:t xml:space="preserve">23 and another for </w:t>
      </w:r>
      <w:r>
        <w:t xml:space="preserve">the </w:t>
      </w:r>
      <w:r w:rsidRPr="00621342">
        <w:t xml:space="preserve">MFWB </w:t>
      </w:r>
      <w:r>
        <w:t>p</w:t>
      </w:r>
      <w:r w:rsidRPr="00621342">
        <w:t>rograms for PYs 2023-</w:t>
      </w:r>
      <w:r>
        <w:t>20</w:t>
      </w:r>
      <w:r w:rsidRPr="00621342">
        <w:t xml:space="preserve">24. </w:t>
      </w:r>
      <w:r>
        <w:t xml:space="preserve"> </w:t>
      </w:r>
      <w:r w:rsidRPr="00621342">
        <w:t xml:space="preserve">This </w:t>
      </w:r>
      <w:r>
        <w:t xml:space="preserve">will </w:t>
      </w:r>
      <w:r w:rsidRPr="00621342">
        <w:t xml:space="preserve">allow evaluation of new program changes to potentially be completed in time to use results in </w:t>
      </w:r>
      <w:r>
        <w:t xml:space="preserve">planning the </w:t>
      </w:r>
      <w:r w:rsidRPr="00621342">
        <w:t>next application.</w:t>
      </w:r>
      <w:r w:rsidRPr="00621342">
        <w:rPr>
          <w:vertAlign w:val="superscript"/>
        </w:rPr>
        <w:footnoteReference w:id="1019"/>
      </w:r>
      <w:r>
        <w:t xml:space="preserve">  </w:t>
      </w:r>
      <w:r w:rsidRPr="00621342">
        <w:t>Due to the major program design and implementation changes proposed during PY</w:t>
      </w:r>
      <w:r>
        <w:t>s</w:t>
      </w:r>
      <w:r w:rsidRPr="00621342">
        <w:t xml:space="preserve"> 2021-2026, the impact studies will be helpful to focus on effectiveness of new program designs and measures.</w:t>
      </w:r>
      <w:r w:rsidRPr="00621342">
        <w:rPr>
          <w:vertAlign w:val="superscript"/>
        </w:rPr>
        <w:footnoteReference w:id="1020"/>
      </w:r>
      <w:r w:rsidRPr="00621342">
        <w:t xml:space="preserve"> </w:t>
      </w:r>
      <w:r>
        <w:t xml:space="preserve"> </w:t>
      </w:r>
      <w:r w:rsidRPr="00621342">
        <w:t xml:space="preserve">The </w:t>
      </w:r>
      <w:r>
        <w:t xml:space="preserve">IOUs propose that the </w:t>
      </w:r>
      <w:r w:rsidRPr="00621342">
        <w:t>exact scope and budget for each of the impact evaluations be finalized through the ESA/CARE Study Working Group.</w:t>
      </w:r>
      <w:r w:rsidRPr="00621342">
        <w:rPr>
          <w:vertAlign w:val="superscript"/>
        </w:rPr>
        <w:footnoteReference w:id="1021"/>
      </w:r>
    </w:p>
    <w:p w:rsidR="000C1980" w:rsidP="00682805" w:rsidRDefault="000C1980" w14:paraId="43F4BF6F" w14:textId="77777777">
      <w:pPr>
        <w:pStyle w:val="Heading3"/>
      </w:pPr>
      <w:bookmarkStart w:name="_Toc69948258" w:id="616"/>
      <w:r>
        <w:lastRenderedPageBreak/>
        <w:t>Party Positions</w:t>
      </w:r>
      <w:bookmarkEnd w:id="616"/>
    </w:p>
    <w:p w:rsidRPr="00621342" w:rsidR="000C1980" w:rsidP="000C1980" w:rsidRDefault="000C1980" w14:paraId="1F60E2E9" w14:textId="77777777">
      <w:pPr>
        <w:pStyle w:val="Standard"/>
      </w:pPr>
      <w:bookmarkStart w:name="_Hlk64059868" w:id="617"/>
      <w:r w:rsidRPr="00D80C80">
        <w:t>No substantive party comments were received on this topic</w:t>
      </w:r>
      <w:r>
        <w:t>.</w:t>
      </w:r>
    </w:p>
    <w:p w:rsidR="000C1980" w:rsidP="00682805" w:rsidRDefault="000C1980" w14:paraId="62EDD976" w14:textId="77777777">
      <w:pPr>
        <w:pStyle w:val="Heading3"/>
      </w:pPr>
      <w:bookmarkStart w:name="_Toc69948259" w:id="618"/>
      <w:bookmarkEnd w:id="617"/>
      <w:r>
        <w:t>Discussion</w:t>
      </w:r>
      <w:bookmarkEnd w:id="618"/>
    </w:p>
    <w:p w:rsidR="000C1980" w:rsidP="00682805" w:rsidRDefault="000C1980" w14:paraId="59BC7562" w14:textId="77777777">
      <w:pPr>
        <w:pStyle w:val="Heading4"/>
      </w:pPr>
      <w:bookmarkStart w:name="_Toc69948260" w:id="619"/>
      <w:r w:rsidRPr="00621342">
        <w:t>Impact Evaluation</w:t>
      </w:r>
      <w:r>
        <w:t xml:space="preserve">s: </w:t>
      </w:r>
      <w:r w:rsidRPr="00905141">
        <w:rPr>
          <w:u w:val="single"/>
        </w:rPr>
        <w:t>Approved</w:t>
      </w:r>
      <w:bookmarkEnd w:id="619"/>
    </w:p>
    <w:p w:rsidR="000C1980" w:rsidP="000C1980" w:rsidRDefault="000C1980" w14:paraId="2DF0118F" w14:textId="0A419769">
      <w:pPr>
        <w:pStyle w:val="Standard"/>
      </w:pPr>
      <w:r>
        <w:t>We approve the ESA impact evaluations at a statewide budget of $1,500,000 utilizing the traditional IOU funding split (PG&amp;E 30</w:t>
      </w:r>
      <w:r w:rsidRPr="00730FFE">
        <w:rPr>
          <w:b/>
        </w:rPr>
        <w:t xml:space="preserve"> </w:t>
      </w:r>
      <w:r w:rsidRPr="00730FFE">
        <w:rPr>
          <w:bCs/>
        </w:rPr>
        <w:t>percent</w:t>
      </w:r>
      <w:r>
        <w:t>, SCE 30</w:t>
      </w:r>
      <w:r>
        <w:rPr>
          <w:bCs/>
        </w:rPr>
        <w:t> </w:t>
      </w:r>
      <w:r w:rsidRPr="00730FFE">
        <w:rPr>
          <w:bCs/>
        </w:rPr>
        <w:t>percent</w:t>
      </w:r>
      <w:r>
        <w:t>, S</w:t>
      </w:r>
      <w:r w:rsidR="00112F16">
        <w:t>o</w:t>
      </w:r>
      <w:r>
        <w:t>C</w:t>
      </w:r>
      <w:r w:rsidR="00112F16">
        <w:t>al</w:t>
      </w:r>
      <w:r>
        <w:t>G</w:t>
      </w:r>
      <w:r w:rsidR="00112F16">
        <w:t>as</w:t>
      </w:r>
      <w:r>
        <w:t xml:space="preserve"> 25</w:t>
      </w:r>
      <w:r w:rsidRPr="00730FFE">
        <w:rPr>
          <w:b/>
        </w:rPr>
        <w:t xml:space="preserve"> </w:t>
      </w:r>
      <w:r w:rsidRPr="00730FFE">
        <w:rPr>
          <w:bCs/>
        </w:rPr>
        <w:t>percent</w:t>
      </w:r>
      <w:r>
        <w:t>, SDG&amp;E 15</w:t>
      </w:r>
      <w:r w:rsidRPr="00730FFE">
        <w:rPr>
          <w:bCs/>
        </w:rPr>
        <w:t xml:space="preserve"> percent</w:t>
      </w:r>
      <w:r>
        <w:t>) and defer the specific studies’ scope to be evaluated to the ESA/CARE Study Working Group, as well as through the M&amp;E Funding Studies approach described in Section 8.2.  We require that the MFWB program be included in all relevant studies of the ESA program, including this impact evaluation.</w:t>
      </w:r>
    </w:p>
    <w:p w:rsidR="000C1980" w:rsidP="00682805" w:rsidRDefault="000C1980" w14:paraId="6DDE766F" w14:textId="77777777">
      <w:pPr>
        <w:pStyle w:val="Heading2"/>
      </w:pPr>
      <w:bookmarkStart w:name="_Toc69948261" w:id="620"/>
      <w:r>
        <w:t xml:space="preserve">Low Income Needs </w:t>
      </w:r>
      <w:r w:rsidRPr="00682805">
        <w:t>Assessment</w:t>
      </w:r>
      <w:r>
        <w:t xml:space="preserve"> (LINA)</w:t>
      </w:r>
      <w:bookmarkEnd w:id="620"/>
    </w:p>
    <w:p w:rsidR="000C1980" w:rsidP="000C1980" w:rsidRDefault="000C1980" w14:paraId="0A727837" w14:textId="1DE471DB">
      <w:pPr>
        <w:pStyle w:val="Standard"/>
      </w:pPr>
      <w:r w:rsidRPr="008B4E7F">
        <w:t xml:space="preserve">A LINA </w:t>
      </w:r>
      <w:r>
        <w:t>s</w:t>
      </w:r>
      <w:r w:rsidRPr="008B4E7F">
        <w:t xml:space="preserve">tudy is </w:t>
      </w:r>
      <w:r>
        <w:t xml:space="preserve">statutorily </w:t>
      </w:r>
      <w:r w:rsidRPr="008B4E7F">
        <w:t>mandated to be completed every three years with the assistance of the LIOB, per Pub Util</w:t>
      </w:r>
      <w:r>
        <w:t>.</w:t>
      </w:r>
      <w:r w:rsidRPr="008B4E7F">
        <w:t xml:space="preserve"> Code Section 382(d).</w:t>
      </w:r>
      <w:r w:rsidRPr="008B4E7F">
        <w:rPr>
          <w:vertAlign w:val="superscript"/>
        </w:rPr>
        <w:footnoteReference w:id="1022"/>
      </w:r>
      <w:r w:rsidRPr="008B4E7F">
        <w:t xml:space="preserve"> </w:t>
      </w:r>
      <w:r>
        <w:t xml:space="preserve"> D</w:t>
      </w:r>
      <w:r w:rsidR="005D2A1E">
        <w:t>ecision</w:t>
      </w:r>
      <w:r w:rsidR="00473C7C">
        <w:t> </w:t>
      </w:r>
      <w:r>
        <w:t>19</w:t>
      </w:r>
      <w:r>
        <w:noBreakHyphen/>
        <w:t xml:space="preserve">06-022 required the IOUs to propose an estimated budget, timeline, and scope for the 2022 LINA as well as a budget for the 2025 LINA.  In their applications, the IOUs proposed topics for the 2022 LINA, but did not include an estimated budget, timeline, or scope due to timing. Given the time required to properly scope and conduct the 2022 LINA, preparation and bidding commenced in early 2020, prior to the Commission being able to issue a decision on the IOUs’ 2021-2026 </w:t>
      </w:r>
      <w:proofErr w:type="gramStart"/>
      <w:r w:rsidR="005D2A1E">
        <w:t>l</w:t>
      </w:r>
      <w:r>
        <w:t xml:space="preserve">ow </w:t>
      </w:r>
      <w:r w:rsidR="005D2A1E">
        <w:t>i</w:t>
      </w:r>
      <w:r>
        <w:t>ncome</w:t>
      </w:r>
      <w:proofErr w:type="gramEnd"/>
      <w:r>
        <w:t xml:space="preserve"> </w:t>
      </w:r>
      <w:r w:rsidR="005D2A1E">
        <w:t>a</w:t>
      </w:r>
      <w:r>
        <w:t>pplications.  For this reason, the IOUs submitted an advice letter which was subsequently approved by Energy Division to initiate the 2022 LINA study.</w:t>
      </w:r>
      <w:r>
        <w:rPr>
          <w:rStyle w:val="FootnoteReference"/>
        </w:rPr>
        <w:footnoteReference w:id="1023"/>
      </w:r>
      <w:r>
        <w:t xml:space="preserve"> Per the timeline approved in the disposition </w:t>
      </w:r>
      <w:r>
        <w:lastRenderedPageBreak/>
        <w:t>of the advice letter, t</w:t>
      </w:r>
      <w:r w:rsidRPr="008B4E7F">
        <w:t>he IOUs start</w:t>
      </w:r>
      <w:r>
        <w:t>ed</w:t>
      </w:r>
      <w:r w:rsidRPr="008B4E7F">
        <w:t xml:space="preserve"> </w:t>
      </w:r>
      <w:r>
        <w:t xml:space="preserve">scoping the </w:t>
      </w:r>
      <w:r w:rsidRPr="008B4E7F">
        <w:t xml:space="preserve">2022 LINA study </w:t>
      </w:r>
      <w:r>
        <w:t xml:space="preserve">at the beginning of </w:t>
      </w:r>
      <w:r w:rsidRPr="008B4E7F">
        <w:t>2020</w:t>
      </w:r>
      <w:r>
        <w:t>,</w:t>
      </w:r>
      <w:r w:rsidRPr="008B4E7F">
        <w:t xml:space="preserve"> </w:t>
      </w:r>
      <w:r>
        <w:t>obtained</w:t>
      </w:r>
      <w:r w:rsidRPr="008B4E7F">
        <w:t xml:space="preserve"> a consultant </w:t>
      </w:r>
      <w:r>
        <w:t xml:space="preserve">at the end of </w:t>
      </w:r>
      <w:r w:rsidRPr="008B4E7F">
        <w:t>2020</w:t>
      </w:r>
      <w:r>
        <w:t xml:space="preserve"> and started the study in January 2021</w:t>
      </w:r>
      <w:r w:rsidRPr="008B4E7F">
        <w:t xml:space="preserve">. </w:t>
      </w:r>
    </w:p>
    <w:p w:rsidR="000C1980" w:rsidP="000C1980" w:rsidRDefault="000C1980" w14:paraId="647A7B11" w14:textId="77777777">
      <w:pPr>
        <w:pStyle w:val="Standard"/>
      </w:pPr>
      <w:r>
        <w:t xml:space="preserve">For the next two </w:t>
      </w:r>
      <w:r w:rsidRPr="008B4E7F">
        <w:t>LINA studies</w:t>
      </w:r>
      <w:r>
        <w:t xml:space="preserve"> (2025 and 2028 LINA)</w:t>
      </w:r>
      <w:r w:rsidRPr="00FF7B15">
        <w:t xml:space="preserve"> </w:t>
      </w:r>
      <w:r>
        <w:t>that will</w:t>
      </w:r>
      <w:r w:rsidRPr="008B4E7F">
        <w:t xml:space="preserve"> begin during </w:t>
      </w:r>
      <w:r>
        <w:t>PYs</w:t>
      </w:r>
      <w:r w:rsidRPr="008B4E7F">
        <w:t xml:space="preserve"> 2021-2026</w:t>
      </w:r>
      <w:r>
        <w:t xml:space="preserve">, the IOUs requested statewide budgets not to exceed $500,000 each, </w:t>
      </w:r>
      <w:r w:rsidRPr="008B4E7F">
        <w:t>allocated evenly between the CARE and ESA programs.</w:t>
      </w:r>
      <w:r w:rsidRPr="008B4E7F">
        <w:rPr>
          <w:vertAlign w:val="superscript"/>
        </w:rPr>
        <w:footnoteReference w:id="1024"/>
      </w:r>
      <w:r w:rsidRPr="008B4E7F">
        <w:t xml:space="preserve"> </w:t>
      </w:r>
    </w:p>
    <w:p w:rsidR="000C1980" w:rsidP="00682805" w:rsidRDefault="000C1980" w14:paraId="49D03802" w14:textId="77777777">
      <w:pPr>
        <w:pStyle w:val="Heading3"/>
      </w:pPr>
      <w:bookmarkStart w:name="_Toc69948262" w:id="621"/>
      <w:r>
        <w:t>Party Positions</w:t>
      </w:r>
      <w:bookmarkEnd w:id="621"/>
      <w:r>
        <w:t xml:space="preserve"> </w:t>
      </w:r>
    </w:p>
    <w:p w:rsidR="000C1980" w:rsidP="00682805" w:rsidRDefault="000C1980" w14:paraId="54016FBB" w14:textId="77777777">
      <w:pPr>
        <w:pStyle w:val="Heading4"/>
      </w:pPr>
      <w:bookmarkStart w:name="_Toc69948263" w:id="622"/>
      <w:proofErr w:type="spellStart"/>
      <w:r>
        <w:t>CforAT</w:t>
      </w:r>
      <w:bookmarkEnd w:id="622"/>
      <w:proofErr w:type="spellEnd"/>
    </w:p>
    <w:p w:rsidRPr="00621342" w:rsidR="000C1980" w:rsidP="0023091F" w:rsidRDefault="000C1980" w14:paraId="56282BF4" w14:textId="77777777">
      <w:pPr>
        <w:pStyle w:val="ALJBodyText"/>
      </w:pPr>
      <w:proofErr w:type="spellStart"/>
      <w:r w:rsidRPr="009B1E83">
        <w:t>CforAT</w:t>
      </w:r>
      <w:proofErr w:type="spellEnd"/>
      <w:r w:rsidRPr="009B1E83">
        <w:t xml:space="preserve"> </w:t>
      </w:r>
      <w:r>
        <w:t>is concerned that the LINA study</w:t>
      </w:r>
      <w:r w:rsidRPr="009B1E83">
        <w:t xml:space="preserve"> will not </w:t>
      </w:r>
      <w:r>
        <w:t>include</w:t>
      </w:r>
      <w:r w:rsidRPr="009B1E83">
        <w:t xml:space="preserve"> representation from all </w:t>
      </w:r>
      <w:proofErr w:type="gramStart"/>
      <w:r w:rsidRPr="009B1E83">
        <w:t>low</w:t>
      </w:r>
      <w:r>
        <w:t xml:space="preserve"> </w:t>
      </w:r>
      <w:r w:rsidRPr="009B1E83">
        <w:t>income</w:t>
      </w:r>
      <w:proofErr w:type="gramEnd"/>
      <w:r w:rsidRPr="009B1E83">
        <w:t xml:space="preserve"> populations and that </w:t>
      </w:r>
      <w:r>
        <w:t>it</w:t>
      </w:r>
      <w:r w:rsidRPr="009B1E83">
        <w:t xml:space="preserve"> will </w:t>
      </w:r>
      <w:r>
        <w:t xml:space="preserve">not </w:t>
      </w:r>
      <w:r w:rsidRPr="009B1E83">
        <w:t>assess the true needs of low</w:t>
      </w:r>
      <w:r>
        <w:t xml:space="preserve"> </w:t>
      </w:r>
      <w:r w:rsidRPr="009B1E83">
        <w:t>income customers.</w:t>
      </w:r>
      <w:r w:rsidRPr="009B1E83">
        <w:rPr>
          <w:vertAlign w:val="superscript"/>
        </w:rPr>
        <w:footnoteReference w:id="1025"/>
      </w:r>
      <w:r w:rsidRPr="009B1E83">
        <w:t xml:space="preserve"> </w:t>
      </w:r>
      <w:r>
        <w:t xml:space="preserve"> </w:t>
      </w:r>
      <w:proofErr w:type="spellStart"/>
      <w:r w:rsidRPr="009B1E83">
        <w:t>CforAT</w:t>
      </w:r>
      <w:proofErr w:type="spellEnd"/>
      <w:r w:rsidRPr="009B1E83">
        <w:t xml:space="preserve"> emphasizes the importance of using </w:t>
      </w:r>
      <w:r>
        <w:t>these</w:t>
      </w:r>
      <w:r w:rsidRPr="009B1E83">
        <w:t xml:space="preserve"> studies to inform the </w:t>
      </w:r>
      <w:r>
        <w:t>IOUs’</w:t>
      </w:r>
      <w:r w:rsidRPr="009B1E83">
        <w:t xml:space="preserve"> CARE and ESA applications</w:t>
      </w:r>
      <w:r>
        <w:t xml:space="preserve">, and </w:t>
      </w:r>
      <w:r w:rsidRPr="009B1E83">
        <w:t xml:space="preserve">notes that the applications are extremely limited in the information they </w:t>
      </w:r>
      <w:r>
        <w:t>provide</w:t>
      </w:r>
      <w:r w:rsidRPr="009B1E83">
        <w:t xml:space="preserve"> about the next </w:t>
      </w:r>
      <w:r>
        <w:t xml:space="preserve">study.  Lastly, </w:t>
      </w:r>
      <w:proofErr w:type="spellStart"/>
      <w:r>
        <w:t>CforAT</w:t>
      </w:r>
      <w:proofErr w:type="spellEnd"/>
      <w:r>
        <w:t xml:space="preserve"> states that these studies should </w:t>
      </w:r>
      <w:r w:rsidRPr="009B1E83">
        <w:t xml:space="preserve">collect useful data for ongoing analysis of </w:t>
      </w:r>
      <w:proofErr w:type="gramStart"/>
      <w:r w:rsidRPr="009B1E83">
        <w:t>low</w:t>
      </w:r>
      <w:r>
        <w:t xml:space="preserve"> </w:t>
      </w:r>
      <w:r w:rsidRPr="009B1E83">
        <w:t>income</w:t>
      </w:r>
      <w:proofErr w:type="gramEnd"/>
      <w:r w:rsidRPr="009B1E83">
        <w:t xml:space="preserve"> community needs.</w:t>
      </w:r>
      <w:r w:rsidRPr="009B1E83">
        <w:rPr>
          <w:vertAlign w:val="superscript"/>
        </w:rPr>
        <w:footnoteReference w:id="1026"/>
      </w:r>
    </w:p>
    <w:p w:rsidR="000C1980" w:rsidP="00682805" w:rsidRDefault="000C1980" w14:paraId="5E2B135E" w14:textId="6A33FAB0">
      <w:pPr>
        <w:pStyle w:val="Heading3"/>
      </w:pPr>
      <w:bookmarkStart w:name="_Toc69948264" w:id="623"/>
      <w:r>
        <w:t>Discussion</w:t>
      </w:r>
      <w:bookmarkEnd w:id="623"/>
    </w:p>
    <w:p w:rsidRPr="00704C48" w:rsidR="000C1980" w:rsidP="00682805" w:rsidRDefault="000C1980" w14:paraId="3592F449" w14:textId="3E3E413F">
      <w:pPr>
        <w:pStyle w:val="Heading4"/>
      </w:pPr>
      <w:bookmarkStart w:name="_Toc69948265" w:id="624"/>
      <w:r w:rsidRPr="00704C48">
        <w:t xml:space="preserve">2025 and 2028 LINA Studies: </w:t>
      </w:r>
      <w:r w:rsidRPr="00704C48">
        <w:rPr>
          <w:u w:val="single"/>
        </w:rPr>
        <w:t>Approved</w:t>
      </w:r>
      <w:r w:rsidRPr="00CA5C65" w:rsidR="00CA5C65">
        <w:rPr>
          <w:u w:val="single"/>
        </w:rPr>
        <w:t xml:space="preserve"> </w:t>
      </w:r>
      <w:r w:rsidR="00CA5C65">
        <w:rPr>
          <w:u w:val="single"/>
        </w:rPr>
        <w:t>with Modifications</w:t>
      </w:r>
      <w:bookmarkEnd w:id="624"/>
    </w:p>
    <w:p w:rsidR="000C1980" w:rsidP="0023091F" w:rsidRDefault="000C1980" w14:paraId="61B26704" w14:textId="03DA947B">
      <w:pPr>
        <w:pStyle w:val="ALJBodyText"/>
      </w:pPr>
      <w:r>
        <w:t xml:space="preserve">We approve </w:t>
      </w:r>
      <w:r w:rsidRPr="003D7B32">
        <w:t>the</w:t>
      </w:r>
      <w:r w:rsidRPr="00AE31B2">
        <w:t xml:space="preserve"> </w:t>
      </w:r>
      <w:r>
        <w:t xml:space="preserve">statewide budgets for the </w:t>
      </w:r>
      <w:r w:rsidRPr="003D7B32">
        <w:t>2025 and 2028</w:t>
      </w:r>
      <w:r w:rsidRPr="00AE31B2">
        <w:t xml:space="preserve"> </w:t>
      </w:r>
      <w:r>
        <w:t>LINA studies not to exceed</w:t>
      </w:r>
      <w:r w:rsidRPr="00AE31B2">
        <w:t xml:space="preserve"> $500,000 each</w:t>
      </w:r>
      <w:r>
        <w:t xml:space="preserve"> utilizing the traditional IOU funding split (PG&amp;E 30</w:t>
      </w:r>
      <w:r>
        <w:rPr>
          <w:b/>
        </w:rPr>
        <w:t> </w:t>
      </w:r>
      <w:r w:rsidRPr="00730FFE">
        <w:rPr>
          <w:bCs/>
        </w:rPr>
        <w:t>percent</w:t>
      </w:r>
      <w:r>
        <w:t>, SCE 30</w:t>
      </w:r>
      <w:r w:rsidRPr="00730FFE">
        <w:rPr>
          <w:bCs/>
        </w:rPr>
        <w:t xml:space="preserve"> percent</w:t>
      </w:r>
      <w:r>
        <w:t>, S</w:t>
      </w:r>
      <w:r w:rsidR="00112F16">
        <w:t>o</w:t>
      </w:r>
      <w:r>
        <w:t>C</w:t>
      </w:r>
      <w:r w:rsidR="00112F16">
        <w:t>al</w:t>
      </w:r>
      <w:r>
        <w:t>G</w:t>
      </w:r>
      <w:r w:rsidR="00112F16">
        <w:t>as</w:t>
      </w:r>
      <w:r>
        <w:t xml:space="preserve"> 25</w:t>
      </w:r>
      <w:r w:rsidRPr="00730FFE">
        <w:rPr>
          <w:b/>
        </w:rPr>
        <w:t xml:space="preserve"> </w:t>
      </w:r>
      <w:r w:rsidRPr="00730FFE">
        <w:rPr>
          <w:bCs/>
        </w:rPr>
        <w:t>percent</w:t>
      </w:r>
      <w:r>
        <w:t>, SDG&amp;E 15</w:t>
      </w:r>
      <w:r w:rsidRPr="00730FFE">
        <w:rPr>
          <w:bCs/>
        </w:rPr>
        <w:t xml:space="preserve"> percent</w:t>
      </w:r>
      <w:r>
        <w:rPr>
          <w:bCs/>
        </w:rPr>
        <w:t>)</w:t>
      </w:r>
      <w:r>
        <w:t>, allocated evenly between the CARE and ESA budgets</w:t>
      </w:r>
      <w:r w:rsidRPr="00AE31B2">
        <w:t xml:space="preserve">. </w:t>
      </w:r>
      <w:r>
        <w:t xml:space="preserve"> </w:t>
      </w:r>
      <w:r w:rsidRPr="00AE31B2">
        <w:t xml:space="preserve">The 2025 LINA shall be scoped and solicited by the end of 2023, and the </w:t>
      </w:r>
      <w:r>
        <w:t>2028 LINA shall be</w:t>
      </w:r>
      <w:r w:rsidRPr="008B4E7F">
        <w:t xml:space="preserve"> scoped and solicited </w:t>
      </w:r>
      <w:r>
        <w:t xml:space="preserve">by </w:t>
      </w:r>
      <w:r>
        <w:lastRenderedPageBreak/>
        <w:t>the end of</w:t>
      </w:r>
      <w:r w:rsidRPr="008B4E7F">
        <w:t xml:space="preserve"> 2026.</w:t>
      </w:r>
      <w:r>
        <w:t xml:space="preserve"> As with the 2022 LINA study, the 2028 LINA study will cross program cycles, and we approve the required authorized committed funding to be carried forward into the next program cycle.</w:t>
      </w:r>
    </w:p>
    <w:p w:rsidR="000C1980" w:rsidP="0023091F" w:rsidRDefault="000C1980" w14:paraId="1426DDC5" w14:textId="77777777">
      <w:pPr>
        <w:pStyle w:val="ALJBodyText"/>
      </w:pPr>
      <w:r>
        <w:t xml:space="preserve">The IOUs will follow the below schedule of activities for each study to ensure that LIOB and stakeholder feedback is received timely for consideration into the scoping phase of the request for proposals. </w:t>
      </w:r>
    </w:p>
    <w:p w:rsidR="000C1980" w:rsidP="00402362" w:rsidRDefault="000C1980" w14:paraId="321695D3" w14:textId="77777777">
      <w:pPr>
        <w:pStyle w:val="ListBullet"/>
      </w:pPr>
      <w:r>
        <w:t xml:space="preserve">Q1 2023 and 2026: LINA study is placed on </w:t>
      </w:r>
      <w:r w:rsidRPr="0070002F">
        <w:t xml:space="preserve">LIOB LINA Subcommittee </w:t>
      </w:r>
      <w:r>
        <w:t>a</w:t>
      </w:r>
      <w:r w:rsidRPr="0070002F">
        <w:t>genda</w:t>
      </w:r>
      <w:r>
        <w:t xml:space="preserve"> to solicit initial input for the scope of work.</w:t>
      </w:r>
    </w:p>
    <w:p w:rsidR="000C1980" w:rsidP="00402362" w:rsidRDefault="000C1980" w14:paraId="277E8F87" w14:textId="77777777">
      <w:pPr>
        <w:pStyle w:val="ListBullet"/>
      </w:pPr>
      <w:r>
        <w:t>Q1 2023 and 2026: Notice of first workshop to discuss potential work scope of the LINA with stakeholders.</w:t>
      </w:r>
    </w:p>
    <w:p w:rsidR="000C1980" w:rsidP="00402362" w:rsidRDefault="000C1980" w14:paraId="3D54F9A5" w14:textId="77777777">
      <w:pPr>
        <w:pStyle w:val="ListBullet"/>
      </w:pPr>
      <w:r>
        <w:t>Q1 2023 and 2026: Energy Division and Joint Utilities Workshop to receive LIOB and stakeholder input on work scope.</w:t>
      </w:r>
    </w:p>
    <w:p w:rsidR="000C1980" w:rsidP="00402362" w:rsidRDefault="000C1980" w14:paraId="7FFA1357" w14:textId="77777777">
      <w:pPr>
        <w:pStyle w:val="ListBullet"/>
      </w:pPr>
      <w:r>
        <w:t xml:space="preserve">Q2 2023 and 2026: Draft work scope shared with LIOB members to receive feedback and comments. </w:t>
      </w:r>
    </w:p>
    <w:p w:rsidR="000C1980" w:rsidP="00402362" w:rsidRDefault="000C1980" w14:paraId="37C50018" w14:textId="77777777">
      <w:pPr>
        <w:pStyle w:val="ListBullet"/>
      </w:pPr>
      <w:r>
        <w:t>Q2 2023 and 2026: Second workshop noticed to present draft work scope of the LINA with stakeholders.</w:t>
      </w:r>
    </w:p>
    <w:p w:rsidR="000C1980" w:rsidP="00402362" w:rsidRDefault="000C1980" w14:paraId="1BA16C91" w14:textId="77777777">
      <w:pPr>
        <w:pStyle w:val="ListBullet"/>
      </w:pPr>
      <w:r>
        <w:t xml:space="preserve">Q3 2023 and 2026: Development of request for proposals, soliciting bids, selecting, hiring, and contracting with consultant. </w:t>
      </w:r>
    </w:p>
    <w:p w:rsidR="000C1980" w:rsidP="00402362" w:rsidRDefault="000C1980" w14:paraId="1ACEB3F8" w14:textId="77777777">
      <w:pPr>
        <w:pStyle w:val="ListBullet"/>
      </w:pPr>
      <w:r>
        <w:t xml:space="preserve">Q4 2023 and 2026: Consultant selected and contracting for study completed.  </w:t>
      </w:r>
    </w:p>
    <w:p w:rsidRPr="00EE043B" w:rsidR="000C1980" w:rsidP="0023091F" w:rsidRDefault="000C1980" w14:paraId="06DAFAE7" w14:textId="2ECFD3DA">
      <w:pPr>
        <w:pStyle w:val="ALJBodyText"/>
      </w:pPr>
      <w:r>
        <w:t xml:space="preserve">With regards to </w:t>
      </w:r>
      <w:proofErr w:type="spellStart"/>
      <w:r>
        <w:t>CforAT’s</w:t>
      </w:r>
      <w:proofErr w:type="spellEnd"/>
      <w:r>
        <w:t xml:space="preserve"> concerns</w:t>
      </w:r>
      <w:r w:rsidRPr="00437A65">
        <w:t xml:space="preserve"> </w:t>
      </w:r>
      <w:r>
        <w:t xml:space="preserve">on adequate </w:t>
      </w:r>
      <w:r w:rsidRPr="009B1E83">
        <w:t>representation from all low</w:t>
      </w:r>
      <w:r>
        <w:t xml:space="preserve"> </w:t>
      </w:r>
      <w:r w:rsidRPr="009B1E83">
        <w:t>income populations</w:t>
      </w:r>
      <w:r>
        <w:t xml:space="preserve"> in the LINA studies, we looked back at the </w:t>
      </w:r>
      <w:r w:rsidRPr="00BA3143">
        <w:t>2013 LINA study </w:t>
      </w:r>
      <w:r>
        <w:t xml:space="preserve">which reported that </w:t>
      </w:r>
      <w:r w:rsidRPr="00BA3143">
        <w:t>46 percent of low</w:t>
      </w:r>
      <w:r>
        <w:t xml:space="preserve"> </w:t>
      </w:r>
      <w:r w:rsidRPr="00BA3143">
        <w:t xml:space="preserve">income households in California speak only English, 38 percent </w:t>
      </w:r>
      <w:r>
        <w:t>speak</w:t>
      </w:r>
      <w:r w:rsidRPr="00BA3143">
        <w:t xml:space="preserve"> Spanish as the primary language, and 9 percent </w:t>
      </w:r>
      <w:r>
        <w:t xml:space="preserve">speak another </w:t>
      </w:r>
      <w:r w:rsidRPr="00BA3143">
        <w:t>Asian language primarily.</w:t>
      </w:r>
      <w:r w:rsidRPr="00BA3143">
        <w:rPr>
          <w:vertAlign w:val="superscript"/>
        </w:rPr>
        <w:footnoteReference w:id="1027"/>
      </w:r>
      <w:r w:rsidRPr="00BA3143">
        <w:t xml:space="preserve">  While previous LINA studies were conducted in both English and Spanish, interviews </w:t>
      </w:r>
      <w:r w:rsidRPr="00BA3143">
        <w:lastRenderedPageBreak/>
        <w:t xml:space="preserve">conducted with CBOs for the 2016 LINA noted that Asian language </w:t>
      </w:r>
      <w:r>
        <w:t xml:space="preserve">speaking </w:t>
      </w:r>
      <w:r w:rsidRPr="00BA3143">
        <w:t>households will often hang up the phone if they hear English.</w:t>
      </w:r>
      <w:r w:rsidRPr="00BA3143">
        <w:rPr>
          <w:vertAlign w:val="superscript"/>
        </w:rPr>
        <w:footnoteReference w:id="1028"/>
      </w:r>
      <w:r w:rsidRPr="00BA3143">
        <w:t>  </w:t>
      </w:r>
      <w:r>
        <w:t>Therefore, to</w:t>
      </w:r>
      <w:r w:rsidRPr="00D239FF">
        <w:t xml:space="preserve"> facilitate participation with </w:t>
      </w:r>
      <w:r>
        <w:t xml:space="preserve">underrepresented </w:t>
      </w:r>
      <w:r w:rsidRPr="00D239FF">
        <w:t xml:space="preserve">community members, </w:t>
      </w:r>
      <w:r>
        <w:t>and ensure a more accurate representation of the low income population, we will require that the 2025 and 2028</w:t>
      </w:r>
      <w:r w:rsidRPr="00BA3143">
        <w:t xml:space="preserve"> LINA studies</w:t>
      </w:r>
      <w:r w:rsidRPr="00BA3143" w:rsidDel="00401FB2">
        <w:t xml:space="preserve"> </w:t>
      </w:r>
      <w:r>
        <w:t xml:space="preserve">implement </w:t>
      </w:r>
      <w:r w:rsidRPr="00BA3143">
        <w:t>survey tools</w:t>
      </w:r>
      <w:r>
        <w:t xml:space="preserve"> that are</w:t>
      </w:r>
      <w:r w:rsidRPr="00BA3143">
        <w:t xml:space="preserve"> available in</w:t>
      </w:r>
      <w:r>
        <w:t xml:space="preserve"> at least the top three </w:t>
      </w:r>
      <w:r w:rsidRPr="00BA3143">
        <w:t>non-English languages</w:t>
      </w:r>
      <w:r>
        <w:t xml:space="preserve"> identified as the primary language spoken in California’s low income households.  The IOUs may refer to the latest LINA data as the source for the top three non-English languages, or another reliable source that has since updated these results.  </w:t>
      </w:r>
      <w:r w:rsidRPr="00BA3143">
        <w:t>Given the linguistically diverse </w:t>
      </w:r>
      <w:proofErr w:type="gramStart"/>
      <w:r>
        <w:t>low income</w:t>
      </w:r>
      <w:proofErr w:type="gramEnd"/>
      <w:r w:rsidRPr="00BA3143">
        <w:t xml:space="preserve"> population, </w:t>
      </w:r>
      <w:r>
        <w:t xml:space="preserve">this will ensure that we are </w:t>
      </w:r>
      <w:r w:rsidRPr="00BA3143">
        <w:t>collecting and incorporating feedback from </w:t>
      </w:r>
      <w:r>
        <w:t>representative</w:t>
      </w:r>
      <w:r w:rsidRPr="00BA3143">
        <w:t xml:space="preserve"> groups in </w:t>
      </w:r>
      <w:r>
        <w:t>the survey</w:t>
      </w:r>
      <w:r w:rsidRPr="00BA3143">
        <w:t xml:space="preserve"> sampling. </w:t>
      </w:r>
      <w:r>
        <w:t xml:space="preserve"> This requirement does not change the budget that has been approved for the LINAs, and we note t</w:t>
      </w:r>
      <w:r w:rsidRPr="005608CA">
        <w:t>hat any budgetary increases above approved budgets in this decision will require a petition to modify unless it is being funded through the Evolving Study and Data Needs budget (</w:t>
      </w:r>
      <w:r w:rsidRPr="00EF2F16">
        <w:rPr>
          <w:i/>
          <w:iCs/>
        </w:rPr>
        <w:t>see</w:t>
      </w:r>
      <w:r w:rsidRPr="005608CA">
        <w:t xml:space="preserve"> </w:t>
      </w:r>
      <w:r w:rsidR="00784A5D">
        <w:t>S</w:t>
      </w:r>
      <w:r w:rsidRPr="005608CA">
        <w:t>ection 8.13).</w:t>
      </w:r>
      <w:r>
        <w:t xml:space="preserve">  We will also clarify that adequate survey representation includes geographic and housing sector sampling, including single family, multifamily building types, and mobile homes. </w:t>
      </w:r>
    </w:p>
    <w:p w:rsidR="000C1980" w:rsidP="00682805" w:rsidRDefault="000C1980" w14:paraId="19D8202D" w14:textId="3AA935DD">
      <w:pPr>
        <w:pStyle w:val="Heading2"/>
      </w:pPr>
      <w:bookmarkStart w:name="_Toc65342769" w:id="625"/>
      <w:bookmarkStart w:name="_Toc69948266" w:id="626"/>
      <w:bookmarkEnd w:id="625"/>
      <w:r>
        <w:t xml:space="preserve">ESA </w:t>
      </w:r>
      <w:r w:rsidRPr="008B4E7F">
        <w:t xml:space="preserve">Process </w:t>
      </w:r>
      <w:r w:rsidRPr="00682805">
        <w:t>Evaluations</w:t>
      </w:r>
      <w:bookmarkEnd w:id="626"/>
    </w:p>
    <w:p w:rsidR="000C1980" w:rsidP="000C1980" w:rsidRDefault="000C1980" w14:paraId="135710ED" w14:textId="77777777">
      <w:pPr>
        <w:pStyle w:val="Standard"/>
        <w:rPr>
          <w:i/>
          <w:iCs/>
        </w:rPr>
      </w:pPr>
      <w:r>
        <w:t xml:space="preserve">The IOUs propose a </w:t>
      </w:r>
      <w:r w:rsidRPr="008B4E7F">
        <w:t xml:space="preserve">process evaluation </w:t>
      </w:r>
      <w:r>
        <w:t xml:space="preserve">with a statewide budget of </w:t>
      </w:r>
      <w:r w:rsidRPr="008B4E7F">
        <w:t>$500,000</w:t>
      </w:r>
      <w:r>
        <w:t xml:space="preserve"> </w:t>
      </w:r>
      <w:r w:rsidRPr="008B4E7F">
        <w:t xml:space="preserve">to review new and specific ESA program elements to be defined within the ESA/CARE Study Working Group. </w:t>
      </w:r>
      <w:r>
        <w:t xml:space="preserve"> This evaluation will</w:t>
      </w:r>
      <w:r w:rsidRPr="008B4E7F">
        <w:t xml:space="preserve"> assess program progress once the program has operated for a minimum of 12 months and is </w:t>
      </w:r>
      <w:r w:rsidRPr="008B4E7F">
        <w:lastRenderedPageBreak/>
        <w:t>anticipated to begin in late 2023 or early 2024.</w:t>
      </w:r>
      <w:r w:rsidRPr="008B4E7F">
        <w:rPr>
          <w:vertAlign w:val="superscript"/>
        </w:rPr>
        <w:footnoteReference w:id="1029"/>
      </w:r>
      <w:r w:rsidRPr="008B4E7F">
        <w:t xml:space="preserve"> </w:t>
      </w:r>
      <w:r>
        <w:t xml:space="preserve"> </w:t>
      </w:r>
      <w:r w:rsidRPr="008B4E7F">
        <w:t>The key objective of the study or studies is to ensure t</w:t>
      </w:r>
      <w:r>
        <w:t>hat t</w:t>
      </w:r>
      <w:r w:rsidRPr="008B4E7F">
        <w:t>he program activities are consistent and producing intended outputs and outcome and to propose processes to help the program better achieve its goals and objectives.</w:t>
      </w:r>
      <w:r w:rsidRPr="008B4E7F">
        <w:rPr>
          <w:vertAlign w:val="superscript"/>
        </w:rPr>
        <w:footnoteReference w:id="1030"/>
      </w:r>
    </w:p>
    <w:p w:rsidR="000C1980" w:rsidP="00682805" w:rsidRDefault="000C1980" w14:paraId="0E311EE1" w14:textId="77777777">
      <w:pPr>
        <w:pStyle w:val="Heading3"/>
      </w:pPr>
      <w:bookmarkStart w:name="_Toc69948267" w:id="627"/>
      <w:r>
        <w:t>Party Positions</w:t>
      </w:r>
      <w:bookmarkEnd w:id="627"/>
    </w:p>
    <w:p w:rsidRPr="00621342" w:rsidR="000C1980" w:rsidP="0023091F" w:rsidRDefault="000C1980" w14:paraId="0D7A5BDB" w14:textId="77777777">
      <w:pPr>
        <w:pStyle w:val="ALJBodyText"/>
      </w:pPr>
      <w:r w:rsidRPr="00D80C80">
        <w:t>No substantive party comments were received on this topic</w:t>
      </w:r>
      <w:r>
        <w:t>.</w:t>
      </w:r>
    </w:p>
    <w:p w:rsidR="000C1980" w:rsidP="00682805" w:rsidRDefault="000C1980" w14:paraId="2A22AA4A" w14:textId="7F894673">
      <w:pPr>
        <w:pStyle w:val="Heading3"/>
      </w:pPr>
      <w:bookmarkStart w:name="_Toc69948268" w:id="628"/>
      <w:r>
        <w:t>Discussion</w:t>
      </w:r>
      <w:bookmarkEnd w:id="628"/>
    </w:p>
    <w:p w:rsidR="000C1980" w:rsidP="00682805" w:rsidRDefault="000C1980" w14:paraId="0EEBA889" w14:textId="77777777">
      <w:pPr>
        <w:pStyle w:val="Heading4"/>
      </w:pPr>
      <w:bookmarkStart w:name="_Toc69948269" w:id="629"/>
      <w:r>
        <w:t xml:space="preserve">ESA </w:t>
      </w:r>
      <w:r w:rsidRPr="008B4E7F">
        <w:t>Process Evaluations</w:t>
      </w:r>
      <w:r>
        <w:t xml:space="preserve">: </w:t>
      </w:r>
      <w:r w:rsidRPr="003F2B82">
        <w:rPr>
          <w:u w:val="single"/>
        </w:rPr>
        <w:t>Approved</w:t>
      </w:r>
      <w:bookmarkEnd w:id="629"/>
    </w:p>
    <w:p w:rsidRPr="00FF09EE" w:rsidR="000C1980" w:rsidP="0023091F" w:rsidRDefault="000C1980" w14:paraId="01AD4679" w14:textId="493C4622">
      <w:pPr>
        <w:pStyle w:val="ALJBodyText"/>
      </w:pPr>
      <w:r>
        <w:t xml:space="preserve">We approve the ESA process evaluations with a statewide budget not to exceed </w:t>
      </w:r>
      <w:r w:rsidRPr="008B4E7F">
        <w:t>$500,000</w:t>
      </w:r>
      <w:r>
        <w:t xml:space="preserve"> utilizing the traditional IOU funding split (PG&amp;E 30</w:t>
      </w:r>
      <w:r w:rsidRPr="00730FFE">
        <w:rPr>
          <w:b/>
        </w:rPr>
        <w:t xml:space="preserve"> </w:t>
      </w:r>
      <w:r w:rsidRPr="00730FFE">
        <w:rPr>
          <w:bCs/>
        </w:rPr>
        <w:t>percent</w:t>
      </w:r>
      <w:r>
        <w:t>, SCE 30</w:t>
      </w:r>
      <w:r w:rsidRPr="00730FFE">
        <w:rPr>
          <w:bCs/>
        </w:rPr>
        <w:t xml:space="preserve"> percent</w:t>
      </w:r>
      <w:r>
        <w:t>, S</w:t>
      </w:r>
      <w:r w:rsidR="005425E4">
        <w:t>o</w:t>
      </w:r>
      <w:r>
        <w:t>C</w:t>
      </w:r>
      <w:r w:rsidR="005425E4">
        <w:t>al</w:t>
      </w:r>
      <w:r>
        <w:t>G</w:t>
      </w:r>
      <w:r w:rsidR="005425E4">
        <w:t>as</w:t>
      </w:r>
      <w:r>
        <w:t xml:space="preserve"> 25</w:t>
      </w:r>
      <w:r w:rsidRPr="00730FFE">
        <w:rPr>
          <w:b/>
        </w:rPr>
        <w:t xml:space="preserve"> </w:t>
      </w:r>
      <w:r w:rsidRPr="00730FFE">
        <w:rPr>
          <w:bCs/>
        </w:rPr>
        <w:t>percent</w:t>
      </w:r>
      <w:r>
        <w:t>, SDG&amp;E 15</w:t>
      </w:r>
      <w:r w:rsidRPr="00730FFE">
        <w:rPr>
          <w:bCs/>
        </w:rPr>
        <w:t xml:space="preserve"> percent</w:t>
      </w:r>
      <w:r>
        <w:t xml:space="preserve">) and defer the </w:t>
      </w:r>
      <w:r w:rsidR="0028761B">
        <w:t xml:space="preserve">scope </w:t>
      </w:r>
      <w:r w:rsidR="00406507">
        <w:t xml:space="preserve">and </w:t>
      </w:r>
      <w:r w:rsidR="006A458F">
        <w:t>elements</w:t>
      </w:r>
      <w:r w:rsidR="00406507">
        <w:t xml:space="preserve"> of the evaluation to </w:t>
      </w:r>
      <w:r>
        <w:t>the ESA/CARE Study Working Group, as well as through the M&amp;E Funding Studies approach described in Section 8.2.</w:t>
      </w:r>
      <w:r w:rsidRPr="000C052E">
        <w:t xml:space="preserve"> </w:t>
      </w:r>
      <w:r>
        <w:t xml:space="preserve"> The ESA process evaluations </w:t>
      </w:r>
      <w:r w:rsidR="001C295D">
        <w:t xml:space="preserve">will evaluate </w:t>
      </w:r>
      <w:r>
        <w:t xml:space="preserve">all the programs within the ESA portfolio, including but not limited to the MFWB programs, and the customer-centered program design. </w:t>
      </w:r>
      <w:r w:rsidR="00EB64CD">
        <w:t>Pilot Plus and Pilot Deep program evaluations shall come from the Pilot budget.</w:t>
      </w:r>
    </w:p>
    <w:p w:rsidRPr="00BC6450" w:rsidR="000C1980" w:rsidP="00682805" w:rsidRDefault="000C1980" w14:paraId="6F7533FF" w14:textId="76323B13">
      <w:pPr>
        <w:pStyle w:val="Heading2"/>
      </w:pPr>
      <w:bookmarkStart w:name="_Toc69948270" w:id="630"/>
      <w:r w:rsidRPr="00BC6450">
        <w:t xml:space="preserve">Categorical Eligible </w:t>
      </w:r>
      <w:r w:rsidRPr="00682805">
        <w:t>Program</w:t>
      </w:r>
      <w:r w:rsidRPr="00BC6450">
        <w:t xml:space="preserve"> Update Study</w:t>
      </w:r>
      <w:bookmarkEnd w:id="630"/>
    </w:p>
    <w:p w:rsidRPr="007A0CDA" w:rsidR="000C1980" w:rsidP="0023091F" w:rsidRDefault="000C1980" w14:paraId="29D753A1" w14:textId="75FF140E">
      <w:pPr>
        <w:pStyle w:val="ALJBodyText"/>
        <w:rPr>
          <w:i/>
          <w:iCs/>
          <w:u w:val="single"/>
        </w:rPr>
      </w:pPr>
      <w:r>
        <w:t>The</w:t>
      </w:r>
      <w:r w:rsidRPr="005853FF">
        <w:t xml:space="preserve"> IOUs propose to conduct a statewide Categorical Eligibility study</w:t>
      </w:r>
      <w:r>
        <w:t xml:space="preserve"> </w:t>
      </w:r>
      <w:r w:rsidR="00812B31">
        <w:t xml:space="preserve">that </w:t>
      </w:r>
      <w:r>
        <w:t xml:space="preserve">would </w:t>
      </w:r>
      <w:r w:rsidRPr="005853FF">
        <w:t xml:space="preserve">provide an updated list of categorically eligible programs for alignment with the CARE and ESA program enrollments. </w:t>
      </w:r>
      <w:r>
        <w:t xml:space="preserve"> </w:t>
      </w:r>
      <w:r w:rsidRPr="005853FF">
        <w:t xml:space="preserve">The total budget for this study, </w:t>
      </w:r>
      <w:r>
        <w:t xml:space="preserve">utilizing the traditional IOU funding split, </w:t>
      </w:r>
      <w:r w:rsidRPr="005853FF">
        <w:t>would be $150,000, with funding split evenly between ESA and CARE budgets.</w:t>
      </w:r>
      <w:r w:rsidRPr="002F612B">
        <w:rPr>
          <w:vertAlign w:val="superscript"/>
        </w:rPr>
        <w:footnoteReference w:id="1031"/>
      </w:r>
      <w:r w:rsidRPr="002F612B">
        <w:t xml:space="preserve"> </w:t>
      </w:r>
      <w:r w:rsidRPr="005853FF">
        <w:t xml:space="preserve"> The study would begin in 2021 and </w:t>
      </w:r>
      <w:r w:rsidRPr="005853FF">
        <w:lastRenderedPageBreak/>
        <w:t>finish in 2022.</w:t>
      </w:r>
      <w:r>
        <w:t xml:space="preserve"> </w:t>
      </w:r>
      <w:r w:rsidRPr="005853FF">
        <w:t xml:space="preserve"> </w:t>
      </w:r>
      <w:r w:rsidRPr="002F612B">
        <w:t>The IOUs state that the current list of eligible programs has not been updated since 2013 and needs refreshing.</w:t>
      </w:r>
      <w:r w:rsidRPr="002F612B">
        <w:rPr>
          <w:vertAlign w:val="superscript"/>
        </w:rPr>
        <w:footnoteReference w:id="1032"/>
      </w:r>
      <w:r w:rsidRPr="002F612B">
        <w:t xml:space="preserve"> </w:t>
      </w:r>
      <w:r>
        <w:t xml:space="preserve"> </w:t>
      </w:r>
      <w:r w:rsidRPr="002F612B">
        <w:t>The study will review eligibility requirements of currently authorized programs and seek to add other programs with similar criteria.</w:t>
      </w:r>
      <w:r w:rsidRPr="002F612B">
        <w:rPr>
          <w:vertAlign w:val="superscript"/>
        </w:rPr>
        <w:footnoteReference w:id="1033"/>
      </w:r>
      <w:r w:rsidRPr="002F612B">
        <w:t xml:space="preserve"> </w:t>
      </w:r>
      <w:r>
        <w:t xml:space="preserve"> </w:t>
      </w:r>
      <w:r w:rsidRPr="002F612B">
        <w:t>It will also review the income verification process of these programs so they can be leveraged more effectively by the CARE PEV process.</w:t>
      </w:r>
      <w:r w:rsidRPr="002F612B">
        <w:rPr>
          <w:vertAlign w:val="superscript"/>
        </w:rPr>
        <w:footnoteReference w:id="1034"/>
      </w:r>
      <w:r w:rsidRPr="002F612B">
        <w:t xml:space="preserve">  </w:t>
      </w:r>
    </w:p>
    <w:p w:rsidR="000C1980" w:rsidP="00682805" w:rsidRDefault="000C1980" w14:paraId="44B0133E" w14:textId="584B739D">
      <w:pPr>
        <w:pStyle w:val="Heading3"/>
      </w:pPr>
      <w:bookmarkStart w:name="_Toc69948271" w:id="631"/>
      <w:r>
        <w:t>Party Positions</w:t>
      </w:r>
      <w:bookmarkEnd w:id="631"/>
    </w:p>
    <w:p w:rsidR="000C1980" w:rsidP="00682805" w:rsidRDefault="000C1980" w14:paraId="31DEFD80" w14:textId="77777777">
      <w:pPr>
        <w:pStyle w:val="Heading4"/>
      </w:pPr>
      <w:bookmarkStart w:name="_Toc69948272" w:id="632"/>
      <w:r>
        <w:t>TURN</w:t>
      </w:r>
      <w:bookmarkEnd w:id="632"/>
    </w:p>
    <w:p w:rsidRPr="00A452EA" w:rsidR="000C1980" w:rsidP="0023091F" w:rsidRDefault="000C1980" w14:paraId="52AFF862" w14:textId="77777777">
      <w:pPr>
        <w:pStyle w:val="ALJBodyText"/>
      </w:pPr>
      <w:r w:rsidRPr="24DCB1AB">
        <w:rPr>
          <w:b/>
          <w:bCs/>
          <w:i/>
          <w:iCs/>
          <w:u w:val="single"/>
        </w:rPr>
        <w:t>Supports with Caveats:</w:t>
      </w:r>
      <w:r>
        <w:t xml:space="preserve"> T</w:t>
      </w:r>
      <w:r w:rsidRPr="00A452EA">
        <w:t>URN supports the Categorical Eligibility study, with two caveats.</w:t>
      </w:r>
      <w:r>
        <w:t xml:space="preserve"> </w:t>
      </w:r>
      <w:r w:rsidRPr="00A452EA">
        <w:t xml:space="preserve"> The first caveat is that the Commission require the IOUs to seek public input on the study plan. </w:t>
      </w:r>
      <w:r>
        <w:t xml:space="preserve"> </w:t>
      </w:r>
      <w:r w:rsidRPr="00A452EA">
        <w:t xml:space="preserve">Specifically, TURN asks that the Commission require the utilities to share the draft study plan with Commission staff and other stakeholders, including the methodology and underlying assumptions, before the study begins. </w:t>
      </w:r>
      <w:r>
        <w:t xml:space="preserve"> </w:t>
      </w:r>
      <w:r w:rsidRPr="00A452EA">
        <w:t>This includes requiring the utilities to hold at least two workshops, one during the research plan development phase and one when preliminary results are available.</w:t>
      </w:r>
      <w:r w:rsidRPr="00A452EA">
        <w:rPr>
          <w:vertAlign w:val="superscript"/>
        </w:rPr>
        <w:footnoteReference w:id="1035"/>
      </w:r>
      <w:r>
        <w:t xml:space="preserve">  </w:t>
      </w:r>
      <w:r w:rsidRPr="00A452EA">
        <w:t>The second caveat is to expand the scope of the study to include consideration of whether any categorical programs would be good candidates for CARE automatic enrollment.</w:t>
      </w:r>
      <w:r w:rsidRPr="00A452EA">
        <w:rPr>
          <w:vertAlign w:val="superscript"/>
        </w:rPr>
        <w:footnoteReference w:id="1036"/>
      </w:r>
      <w:r w:rsidRPr="00A452EA">
        <w:t xml:space="preserve"> </w:t>
      </w:r>
    </w:p>
    <w:p w:rsidR="000C1980" w:rsidP="002C4A50" w:rsidRDefault="000C1980" w14:paraId="43D89C1F" w14:textId="576758FC">
      <w:pPr>
        <w:pStyle w:val="Heading3"/>
      </w:pPr>
      <w:bookmarkStart w:name="_Toc69948273" w:id="633"/>
      <w:r>
        <w:lastRenderedPageBreak/>
        <w:t>IOU Response</w:t>
      </w:r>
      <w:bookmarkEnd w:id="633"/>
    </w:p>
    <w:p w:rsidRPr="00035B1D" w:rsidR="000C1980" w:rsidP="002C4A50" w:rsidRDefault="000C1980" w14:paraId="67EA26E7" w14:textId="77777777">
      <w:pPr>
        <w:pStyle w:val="Heading4"/>
      </w:pPr>
      <w:bookmarkStart w:name="_Toc69948274" w:id="634"/>
      <w:r>
        <w:t>PG&amp;E</w:t>
      </w:r>
      <w:bookmarkEnd w:id="634"/>
    </w:p>
    <w:p w:rsidR="000C1980" w:rsidP="0023091F" w:rsidRDefault="000C1980" w14:paraId="1CE35D5D" w14:textId="77777777">
      <w:pPr>
        <w:pStyle w:val="ALJBodyText"/>
      </w:pPr>
      <w:r w:rsidRPr="001B466D">
        <w:t xml:space="preserve">PG&amp;E supports TURN’s two modifications to the Categorical Eligibility Program </w:t>
      </w:r>
      <w:r>
        <w:t>s</w:t>
      </w:r>
      <w:r w:rsidRPr="001B466D">
        <w:t>tudy</w:t>
      </w:r>
      <w:r>
        <w:t>.  PG&amp;E also p</w:t>
      </w:r>
      <w:r w:rsidRPr="001B466D">
        <w:t>roposes that stakeholders have an opportunity to review the draft plan and methodology and provide written comments through Energy Division</w:t>
      </w:r>
      <w:r>
        <w:t>’</w:t>
      </w:r>
      <w:r w:rsidRPr="001B466D">
        <w:t>s Public Document area, and that the IOUs use public workshops to review draft study results and solicit stakeholder inputs.</w:t>
      </w:r>
      <w:r w:rsidRPr="001B466D">
        <w:rPr>
          <w:rStyle w:val="FootnoteReference"/>
        </w:rPr>
        <w:footnoteReference w:id="1037"/>
      </w:r>
    </w:p>
    <w:p w:rsidR="000C1980" w:rsidP="002C4A50" w:rsidRDefault="000C1980" w14:paraId="59816C69" w14:textId="0D2740B8">
      <w:pPr>
        <w:pStyle w:val="Heading4"/>
      </w:pPr>
      <w:bookmarkStart w:name="_Toc69948275" w:id="635"/>
      <w:r>
        <w:t>SCE</w:t>
      </w:r>
      <w:bookmarkEnd w:id="635"/>
    </w:p>
    <w:p w:rsidRPr="00035B1D" w:rsidR="000C1980" w:rsidP="0023091F" w:rsidRDefault="000C1980" w14:paraId="5528D7C1" w14:textId="77777777">
      <w:pPr>
        <w:pStyle w:val="ALJBodyText"/>
      </w:pPr>
      <w:r w:rsidRPr="00035B1D">
        <w:t xml:space="preserve">SCE supports TURN’s first modification to include public input </w:t>
      </w:r>
      <w:r>
        <w:t>and c</w:t>
      </w:r>
      <w:r w:rsidRPr="00035B1D">
        <w:t>onfirms that stakeholders will have an opportunity to review the draft plan and methodology and provide written comments. SCE is silent regarding TURN’s second proposed modification to the study scope to explore automatic enrollment.</w:t>
      </w:r>
      <w:r w:rsidRPr="00035B1D">
        <w:rPr>
          <w:vertAlign w:val="superscript"/>
        </w:rPr>
        <w:footnoteReference w:id="1038"/>
      </w:r>
      <w:r w:rsidRPr="00035B1D">
        <w:t xml:space="preserve"> </w:t>
      </w:r>
    </w:p>
    <w:p w:rsidRPr="00035B1D" w:rsidR="000C1980" w:rsidP="002C4A50" w:rsidRDefault="000C1980" w14:paraId="1AE9D843" w14:textId="28387C00">
      <w:pPr>
        <w:pStyle w:val="Heading4"/>
      </w:pPr>
      <w:bookmarkStart w:name="_Toc69948276" w:id="636"/>
      <w:r>
        <w:t>SDG&amp;E</w:t>
      </w:r>
      <w:bookmarkEnd w:id="636"/>
    </w:p>
    <w:p w:rsidRPr="001B466D" w:rsidR="000C1980" w:rsidP="0023091F" w:rsidRDefault="000C1980" w14:paraId="181A5151" w14:textId="77777777">
      <w:pPr>
        <w:pStyle w:val="ALJBodyText"/>
      </w:pPr>
      <w:r w:rsidRPr="001B466D">
        <w:t xml:space="preserve">SDG&amp;E agrees with TURN’s first modification for public input. </w:t>
      </w:r>
      <w:r>
        <w:t xml:space="preserve"> </w:t>
      </w:r>
      <w:r w:rsidRPr="001B466D">
        <w:t xml:space="preserve">As for TURN’s second modification to the study, SDG&amp;E does not reject it outright, but rather describes concerns and barriers to the data sharing required for automatic enrollment. SDG&amp;E describes how data sharing agreements have been historically difficult to execute do to a myriad of issues, such as system and database incompatibilities, compliance with customer privacy regulations, and cost allocation issues. </w:t>
      </w:r>
      <w:r>
        <w:t xml:space="preserve"> </w:t>
      </w:r>
      <w:r w:rsidRPr="001B466D">
        <w:t>Further, SDG&amp;E says that it does not have enough information to assess the costs and benefits of such data sharing agreements.</w:t>
      </w:r>
      <w:r w:rsidRPr="001B466D">
        <w:rPr>
          <w:rStyle w:val="FootnoteReference"/>
        </w:rPr>
        <w:footnoteReference w:id="1039"/>
      </w:r>
    </w:p>
    <w:p w:rsidR="000C1980" w:rsidP="00682805" w:rsidRDefault="000C1980" w14:paraId="44AE5523" w14:textId="047613B6">
      <w:pPr>
        <w:pStyle w:val="Heading3"/>
      </w:pPr>
      <w:bookmarkStart w:name="_Toc69948277" w:id="637"/>
      <w:r>
        <w:lastRenderedPageBreak/>
        <w:t>Discussion</w:t>
      </w:r>
      <w:bookmarkEnd w:id="637"/>
    </w:p>
    <w:p w:rsidRPr="00AD17D0" w:rsidR="000C1980" w:rsidP="00682805" w:rsidRDefault="000C1980" w14:paraId="6F04E8D8" w14:textId="77777777">
      <w:pPr>
        <w:pStyle w:val="Heading4"/>
      </w:pPr>
      <w:bookmarkStart w:name="_Toc69948278" w:id="638"/>
      <w:r w:rsidRPr="00AD17D0">
        <w:t xml:space="preserve">Categorical Eligibility Study: </w:t>
      </w:r>
      <w:r w:rsidRPr="00AD17D0">
        <w:rPr>
          <w:u w:val="single"/>
        </w:rPr>
        <w:t>Approved with Modifications</w:t>
      </w:r>
      <w:bookmarkEnd w:id="638"/>
      <w:r w:rsidRPr="00AD17D0">
        <w:t xml:space="preserve"> </w:t>
      </w:r>
    </w:p>
    <w:p w:rsidR="000C1980" w:rsidP="0023091F" w:rsidRDefault="000C1980" w14:paraId="2A658B19" w14:textId="75E423FF">
      <w:pPr>
        <w:pStyle w:val="ALJBodyText"/>
      </w:pPr>
      <w:r>
        <w:t>We approve $150,000 for a statewide Categorical Eligibility study utilizing the traditional IOU funding split (PG&amp;E 30</w:t>
      </w:r>
      <w:r w:rsidRPr="00730FFE">
        <w:rPr>
          <w:b/>
        </w:rPr>
        <w:t xml:space="preserve"> </w:t>
      </w:r>
      <w:r w:rsidRPr="00730FFE">
        <w:rPr>
          <w:bCs/>
        </w:rPr>
        <w:t>percent</w:t>
      </w:r>
      <w:r>
        <w:t>, SCE 30</w:t>
      </w:r>
      <w:r w:rsidRPr="00730FFE">
        <w:rPr>
          <w:bCs/>
        </w:rPr>
        <w:t xml:space="preserve"> percent</w:t>
      </w:r>
      <w:r>
        <w:t>, S</w:t>
      </w:r>
      <w:r w:rsidR="00F371A1">
        <w:t>o</w:t>
      </w:r>
      <w:r>
        <w:t>C</w:t>
      </w:r>
      <w:r w:rsidR="00F371A1">
        <w:t>al</w:t>
      </w:r>
      <w:r>
        <w:t>G</w:t>
      </w:r>
      <w:r w:rsidR="00F371A1">
        <w:t>as</w:t>
      </w:r>
      <w:r>
        <w:t xml:space="preserve"> 25</w:t>
      </w:r>
      <w:r w:rsidRPr="00730FFE">
        <w:rPr>
          <w:b/>
        </w:rPr>
        <w:t xml:space="preserve"> </w:t>
      </w:r>
      <w:r w:rsidRPr="00730FFE">
        <w:rPr>
          <w:bCs/>
        </w:rPr>
        <w:t>percent</w:t>
      </w:r>
      <w:r>
        <w:t>, SDG&amp;E 15</w:t>
      </w:r>
      <w:r w:rsidRPr="00730FFE">
        <w:rPr>
          <w:bCs/>
        </w:rPr>
        <w:t xml:space="preserve"> percent</w:t>
      </w:r>
      <w:r>
        <w:rPr>
          <w:bCs/>
        </w:rPr>
        <w:t>) to be split</w:t>
      </w:r>
      <w:r>
        <w:t xml:space="preserve"> evenly between the ESA and CARE budgets.  The completed study should be submitted to Energy Division and distributed over relevant service lists no later than December 31, 2022.  </w:t>
      </w:r>
    </w:p>
    <w:p w:rsidRPr="00BE6C1F" w:rsidR="000C1980" w:rsidP="0023091F" w:rsidRDefault="000C1980" w14:paraId="149615D3" w14:textId="77777777">
      <w:pPr>
        <w:pStyle w:val="ALJBodyText"/>
      </w:pPr>
      <w:r>
        <w:t>We also</w:t>
      </w:r>
      <w:r w:rsidRPr="00BE6C1F">
        <w:t xml:space="preserve"> approve TURN’s recommendation that IOUs incorporate public input on the study and require the IOUs to </w:t>
      </w:r>
      <w:r>
        <w:t xml:space="preserve">implement the </w:t>
      </w:r>
      <w:r w:rsidRPr="00BE6C1F">
        <w:t>following stakeholder engagement process</w:t>
      </w:r>
      <w:r>
        <w:t>.  T</w:t>
      </w:r>
      <w:r w:rsidRPr="00BE6C1F">
        <w:t xml:space="preserve">he IOUs will seek input from stakeholders, including members of the </w:t>
      </w:r>
      <w:r>
        <w:t>LIOB</w:t>
      </w:r>
      <w:r w:rsidRPr="00BE6C1F">
        <w:t>, through the standard protocols for soliciting stakeholder input at different points in the</w:t>
      </w:r>
      <w:r>
        <w:t>ir</w:t>
      </w:r>
      <w:r w:rsidRPr="00BE6C1F">
        <w:t xml:space="preserve"> evaluation process.  This includes 2-3 formal public workshops or webinars.</w:t>
      </w:r>
      <w:r>
        <w:t xml:space="preserve"> </w:t>
      </w:r>
      <w:r w:rsidRPr="00BE6C1F">
        <w:t xml:space="preserve"> The initial workshop will occur after the consultant </w:t>
      </w:r>
      <w:r>
        <w:t xml:space="preserve">is </w:t>
      </w:r>
      <w:r w:rsidRPr="00BE6C1F">
        <w:t xml:space="preserve">hired but before the research plan is finalized. </w:t>
      </w:r>
      <w:r>
        <w:t xml:space="preserve"> </w:t>
      </w:r>
      <w:r w:rsidRPr="00BE6C1F">
        <w:t xml:space="preserve">This will include the overarching methodology and assumptions that will be used in the study. The second workshop will occur after the preliminary results and a draft report are available. </w:t>
      </w:r>
      <w:r>
        <w:t xml:space="preserve"> </w:t>
      </w:r>
      <w:r w:rsidRPr="00BE6C1F">
        <w:t>Additional workshops may</w:t>
      </w:r>
      <w:r>
        <w:t xml:space="preserve"> </w:t>
      </w:r>
      <w:r w:rsidRPr="00BE6C1F">
        <w:t xml:space="preserve">be scheduled as needed. Stakeholders will be given the opportunity to provide written feedback via the Energy Division’s Public Document Area online platform before, during and after each workshop. </w:t>
      </w:r>
      <w:r>
        <w:t xml:space="preserve"> We agree with TURN that this </w:t>
      </w:r>
      <w:r w:rsidRPr="00BE6C1F">
        <w:t>stakeholder engagement</w:t>
      </w:r>
      <w:r>
        <w:t xml:space="preserve"> process will help </w:t>
      </w:r>
      <w:r w:rsidRPr="00BE6C1F">
        <w:t xml:space="preserve">avoid </w:t>
      </w:r>
      <w:r>
        <w:t xml:space="preserve">the </w:t>
      </w:r>
      <w:r w:rsidRPr="00BE6C1F">
        <w:t xml:space="preserve">previous issues </w:t>
      </w:r>
      <w:r>
        <w:t>encountered during the 2013 c</w:t>
      </w:r>
      <w:r w:rsidRPr="00BE6C1F">
        <w:t xml:space="preserve">ategorical </w:t>
      </w:r>
      <w:r>
        <w:t>e</w:t>
      </w:r>
      <w:r w:rsidRPr="00BE6C1F">
        <w:t xml:space="preserve">ligibility </w:t>
      </w:r>
      <w:r>
        <w:t>assessment.</w:t>
      </w:r>
      <w:r w:rsidRPr="00BE6C1F">
        <w:rPr>
          <w:vertAlign w:val="superscript"/>
        </w:rPr>
        <w:footnoteReference w:id="1040"/>
      </w:r>
      <w:r w:rsidRPr="00BE6C1F">
        <w:t xml:space="preserve"> </w:t>
      </w:r>
    </w:p>
    <w:p w:rsidRPr="00621342" w:rsidR="000C1980" w:rsidP="0023091F" w:rsidRDefault="000C1980" w14:paraId="5CD00E07" w14:textId="55B15053">
      <w:pPr>
        <w:pStyle w:val="ALJBodyText"/>
      </w:pPr>
      <w:r>
        <w:lastRenderedPageBreak/>
        <w:t>We also approve TURN’s second request to include in the study scope consideration of whether any categorical programs would be good candidates for CARE automatic enrollment</w:t>
      </w:r>
      <w:r w:rsidR="002678D5">
        <w:rPr>
          <w:rStyle w:val="FootnoteReference"/>
        </w:rPr>
        <w:footnoteReference w:id="1041"/>
      </w:r>
      <w:r w:rsidR="002678D5">
        <w:t xml:space="preserve"> and </w:t>
      </w:r>
      <w:r>
        <w:t>further expand the scope to include considerations of whether any categorical programs would be good candidates for FERA automatic enrollment</w:t>
      </w:r>
      <w:r w:rsidR="009870C6">
        <w:t>, as well as potential data sharing opportunities between the IOUs and state and federal agencies towards a pathway for automatic enrollment in CARE and FERA</w:t>
      </w:r>
      <w:r>
        <w:t xml:space="preserve">.  The study should also explore the budgetary and data security barriers and solutions that would accompany this type of automatic enrollment service.  We note that this list of topics to be addressed within the scope of this Categorical Eligibility study is not exhaustive, as the Commission gives the IOUs the latitude to expand the scope beyond these points to explore other topics as they deem relevant if the budget and timeframe of when the study will be completed is not impacted. </w:t>
      </w:r>
    </w:p>
    <w:p w:rsidR="000C1980" w:rsidP="0023091F" w:rsidRDefault="002C4A50" w14:paraId="34B6FC3C" w14:textId="6DAE520F">
      <w:pPr>
        <w:pStyle w:val="ALJBodyText"/>
      </w:pPr>
      <w:r>
        <w:t>Lastly, we di</w:t>
      </w:r>
      <w:r w:rsidR="000C1980">
        <w:t xml:space="preserve">rect the IOUs to file a joint Tier 2 advice letter 60 days after the completion of this study, proposing an updated list of categorical programs for enrollment in the ESA, CARE and FERA programs.  The advice letter must discuss how the findings of the recent Categorical Eligibility study informed the IOUs recommendations, the feedback received from stakeholders during the study and how it was taken into consideration, and budgetary impacts the proposed changes to the categorical eligibility categories would have on the ESA, CARE and FERA programs.  Furthermore, the advice letter will need to outline </w:t>
      </w:r>
      <w:r w:rsidR="000C1980">
        <w:lastRenderedPageBreak/>
        <w:t xml:space="preserve">the implementation plan for incorporating any changes in categorical eligibility into these programs, the communication plan to customers, partnering CBOs and other agencies supporting ME&amp;O and program enrollment efforts, </w:t>
      </w:r>
      <w:r w:rsidR="000C453A">
        <w:t>and programs</w:t>
      </w:r>
      <w:r w:rsidR="000C1980">
        <w:t xml:space="preserve"> impacted by these changes.  We do not expect these requirements to significantly affect the budget that has been approved, but we note that any budgetary increases above approved budgets in this decision will require a petition to modify unless it is being funded through the Evolving Study and Data Needs budget (</w:t>
      </w:r>
      <w:r w:rsidRPr="00473C7C" w:rsidR="000C1980">
        <w:rPr>
          <w:i/>
          <w:iCs/>
        </w:rPr>
        <w:t>see</w:t>
      </w:r>
      <w:r w:rsidR="000C1980">
        <w:t xml:space="preserve"> </w:t>
      </w:r>
      <w:r w:rsidR="00784A5D">
        <w:t>S</w:t>
      </w:r>
      <w:r w:rsidR="000C1980">
        <w:t>ection 8.13)</w:t>
      </w:r>
      <w:r w:rsidRPr="005608CA" w:rsidR="000C1980">
        <w:t>.</w:t>
      </w:r>
    </w:p>
    <w:p w:rsidR="000C1980" w:rsidP="00682805" w:rsidRDefault="000C1980" w14:paraId="6AF74D88" w14:textId="24D8E485">
      <w:pPr>
        <w:pStyle w:val="Heading2"/>
      </w:pPr>
      <w:bookmarkStart w:name="_Toc69948279" w:id="639"/>
      <w:r>
        <w:t>Non-Energy Benefits Study (NEBs)</w:t>
      </w:r>
      <w:bookmarkEnd w:id="639"/>
    </w:p>
    <w:p w:rsidR="000C1980" w:rsidP="000C1980" w:rsidRDefault="000C1980" w14:paraId="2C663C0A" w14:textId="138E6118">
      <w:pPr>
        <w:pStyle w:val="Standard"/>
      </w:pPr>
      <w:r w:rsidRPr="00BC6450">
        <w:t>The 2019 NEBs study recommends investing in primary data collection to form California specific values for a selected set of NEBs.</w:t>
      </w:r>
      <w:r w:rsidRPr="00BC6450">
        <w:rPr>
          <w:vertAlign w:val="superscript"/>
        </w:rPr>
        <w:footnoteReference w:id="1042"/>
      </w:r>
      <w:r w:rsidRPr="00BC6450">
        <w:t xml:space="preserve"> </w:t>
      </w:r>
      <w:r>
        <w:t xml:space="preserve"> The </w:t>
      </w:r>
      <w:r w:rsidRPr="00BC6450">
        <w:t xml:space="preserve">IOUs have historically relied on literature research to gather best available and most recent </w:t>
      </w:r>
      <w:proofErr w:type="gramStart"/>
      <w:r w:rsidRPr="00BC6450">
        <w:t>NEBs</w:t>
      </w:r>
      <w:proofErr w:type="gramEnd"/>
      <w:r w:rsidRPr="00BC6450">
        <w:t xml:space="preserve"> documentations and NEB</w:t>
      </w:r>
      <w:r w:rsidR="00FD6BEC">
        <w:t>s</w:t>
      </w:r>
      <w:r w:rsidRPr="00BC6450">
        <w:t xml:space="preserve"> value data, but this approach has not yielded robust and reliable results.</w:t>
      </w:r>
      <w:r w:rsidRPr="00BC6450">
        <w:rPr>
          <w:vertAlign w:val="superscript"/>
        </w:rPr>
        <w:footnoteReference w:id="1043"/>
      </w:r>
      <w:r w:rsidRPr="00BC6450">
        <w:t xml:space="preserve"> The IOUs propose a NEB</w:t>
      </w:r>
      <w:r w:rsidR="007131A3">
        <w:t>s</w:t>
      </w:r>
      <w:r w:rsidRPr="00BC6450">
        <w:t xml:space="preserve"> study </w:t>
      </w:r>
      <w:r>
        <w:t>beginning in 2021</w:t>
      </w:r>
      <w:r w:rsidRPr="00BC6450">
        <w:t xml:space="preserve"> using outputs and recommendations from the 2020 </w:t>
      </w:r>
      <w:r>
        <w:t xml:space="preserve">APPRISE </w:t>
      </w:r>
      <w:r w:rsidRPr="00BC6450">
        <w:t>NEBs Follow-up Study</w:t>
      </w:r>
      <w:r>
        <w:rPr>
          <w:rStyle w:val="FootnoteReference"/>
        </w:rPr>
        <w:footnoteReference w:id="1044"/>
      </w:r>
      <w:r w:rsidRPr="00BC6450">
        <w:t xml:space="preserve">. </w:t>
      </w:r>
      <w:r>
        <w:t xml:space="preserve"> </w:t>
      </w:r>
      <w:r w:rsidRPr="00BC6450">
        <w:t xml:space="preserve">The results will then feed into the NEBs model for benefit calculation, but the scope, timing, and specific budget for the study will be finalized through </w:t>
      </w:r>
      <w:r>
        <w:t xml:space="preserve">a separate </w:t>
      </w:r>
      <w:r w:rsidRPr="00BC6450">
        <w:t>Working Group.</w:t>
      </w:r>
      <w:r w:rsidRPr="00BC6450">
        <w:rPr>
          <w:vertAlign w:val="superscript"/>
        </w:rPr>
        <w:footnoteReference w:id="1045"/>
      </w:r>
      <w:r w:rsidRPr="00BC6450">
        <w:t xml:space="preserve"> </w:t>
      </w:r>
      <w:r>
        <w:t xml:space="preserve"> </w:t>
      </w:r>
      <w:r w:rsidRPr="00BC6450">
        <w:t>The preliminary statewide budget for this study is $500,000</w:t>
      </w:r>
      <w:r>
        <w:t>,</w:t>
      </w:r>
      <w:r w:rsidRPr="00BC6450">
        <w:rPr>
          <w:vertAlign w:val="superscript"/>
        </w:rPr>
        <w:footnoteReference w:id="1046"/>
      </w:r>
      <w:r w:rsidRPr="003D16E7">
        <w:t xml:space="preserve"> </w:t>
      </w:r>
      <w:r>
        <w:t>utilizing the traditional IOU funding split.</w:t>
      </w:r>
    </w:p>
    <w:p w:rsidR="000C1980" w:rsidP="00682805" w:rsidRDefault="000C1980" w14:paraId="691A192E" w14:textId="77777777">
      <w:pPr>
        <w:pStyle w:val="Heading3"/>
      </w:pPr>
      <w:bookmarkStart w:name="_Toc69948280" w:id="640"/>
      <w:r>
        <w:t>Party Positions</w:t>
      </w:r>
      <w:bookmarkEnd w:id="640"/>
    </w:p>
    <w:p w:rsidRPr="00621342" w:rsidR="000C1980" w:rsidP="0023091F" w:rsidRDefault="000C1980" w14:paraId="2944F9D7" w14:textId="5BEE525A">
      <w:pPr>
        <w:pStyle w:val="ALJBodyText"/>
      </w:pPr>
      <w:r w:rsidRPr="00EF2F16">
        <w:rPr>
          <w:i/>
          <w:iCs/>
        </w:rPr>
        <w:t>See</w:t>
      </w:r>
      <w:r>
        <w:t xml:space="preserve"> Sections 6.7</w:t>
      </w:r>
      <w:r w:rsidR="00FD6BEC">
        <w:t>.6</w:t>
      </w:r>
      <w:r>
        <w:t xml:space="preserve"> and 6.8</w:t>
      </w:r>
      <w:r w:rsidR="00FD6BEC">
        <w:t>.6</w:t>
      </w:r>
      <w:r>
        <w:t xml:space="preserve"> for party comments to the NEBs update.</w:t>
      </w:r>
    </w:p>
    <w:p w:rsidR="000C1980" w:rsidP="00682805" w:rsidRDefault="000C1980" w14:paraId="563177CF" w14:textId="3386B391">
      <w:pPr>
        <w:pStyle w:val="Heading3"/>
      </w:pPr>
      <w:bookmarkStart w:name="_Toc69948281" w:id="641"/>
      <w:r>
        <w:lastRenderedPageBreak/>
        <w:t>Discussion</w:t>
      </w:r>
      <w:bookmarkEnd w:id="641"/>
    </w:p>
    <w:p w:rsidR="000C1980" w:rsidP="00682805" w:rsidRDefault="00FD6BEC" w14:paraId="42CE1DB6" w14:textId="687DF70C">
      <w:pPr>
        <w:pStyle w:val="Heading4"/>
      </w:pPr>
      <w:bookmarkStart w:name="_Toc69948282" w:id="642"/>
      <w:r>
        <w:t>NEBs</w:t>
      </w:r>
      <w:r w:rsidR="000C1980">
        <w:t xml:space="preserve"> Study: </w:t>
      </w:r>
      <w:r w:rsidRPr="0077232E" w:rsidR="000C1980">
        <w:rPr>
          <w:u w:val="single"/>
        </w:rPr>
        <w:t>Approved</w:t>
      </w:r>
      <w:bookmarkEnd w:id="642"/>
    </w:p>
    <w:p w:rsidRPr="00621342" w:rsidR="000C1980" w:rsidP="0023091F" w:rsidRDefault="000C1980" w14:paraId="78569CF7" w14:textId="77777777">
      <w:pPr>
        <w:pStyle w:val="ALJBodyText"/>
      </w:pPr>
      <w:r>
        <w:t>We approve $500,000 for a NEBs study utilizing the traditional IOU funding split (PG&amp;E 30</w:t>
      </w:r>
      <w:r w:rsidRPr="3B420E93">
        <w:rPr>
          <w:b/>
          <w:bCs/>
        </w:rPr>
        <w:t xml:space="preserve"> </w:t>
      </w:r>
      <w:r>
        <w:t>percent, SCE 30 percent, SoCalGas 25</w:t>
      </w:r>
      <w:r w:rsidRPr="3B420E93">
        <w:rPr>
          <w:b/>
          <w:bCs/>
        </w:rPr>
        <w:t xml:space="preserve"> </w:t>
      </w:r>
      <w:r>
        <w:t xml:space="preserve">percent, SDG&amp;E 15 percent).  The ESA Working Group will handle the next steps and initial scoping of the NEBs study and provide recommendations that will help facilitate the NEB study plan process during this program cycle.  Although NEBs do fit into the larger cost-effectiveness topic assigned to the ESA Working Group, we will allow the ESA Working Group to delegate this study to the ESA/CARE Study Working Group if it chooses to do so.  We direct that this study also </w:t>
      </w:r>
      <w:proofErr w:type="gramStart"/>
      <w:r>
        <w:t>consider</w:t>
      </w:r>
      <w:proofErr w:type="gramEnd"/>
      <w:r>
        <w:t xml:space="preserve"> inclusion of common area measure NEBs.  This NEB study should be completed no later than June 30, 2025, with results being incorporated into the latest version of the NEBs model and all subsequent ESACET calculations by the IOUs.   </w:t>
      </w:r>
    </w:p>
    <w:p w:rsidRPr="00024091" w:rsidR="000C1980" w:rsidP="00682805" w:rsidRDefault="000C1980" w14:paraId="2DD0A55F" w14:textId="3CCF7791">
      <w:pPr>
        <w:pStyle w:val="Heading2"/>
      </w:pPr>
      <w:bookmarkStart w:name="_Toc69948283" w:id="643"/>
      <w:r>
        <w:t>IOU</w:t>
      </w:r>
      <w:r w:rsidRPr="00024091">
        <w:t xml:space="preserve"> Evolving Study and </w:t>
      </w:r>
      <w:r w:rsidRPr="00682805">
        <w:t>Data</w:t>
      </w:r>
      <w:r w:rsidRPr="00024091">
        <w:t xml:space="preserve"> Needs</w:t>
      </w:r>
      <w:bookmarkEnd w:id="643"/>
    </w:p>
    <w:p w:rsidR="000C1980" w:rsidP="000C1980" w:rsidRDefault="000C1980" w14:paraId="3864E7E2" w14:textId="77777777">
      <w:pPr>
        <w:pStyle w:val="Standard"/>
      </w:pPr>
      <w:r>
        <w:t xml:space="preserve">The IOUs </w:t>
      </w:r>
      <w:r w:rsidRPr="00024091">
        <w:t>proposes an additional $</w:t>
      </w:r>
      <w:r>
        <w:t>1.2M</w:t>
      </w:r>
      <w:r w:rsidRPr="00024091">
        <w:t xml:space="preserve"> of study budget to be defined during </w:t>
      </w:r>
      <w:r>
        <w:t xml:space="preserve">PYs </w:t>
      </w:r>
      <w:r w:rsidRPr="00024091">
        <w:t>2021-2026 to support various program data needs.</w:t>
      </w:r>
      <w:r w:rsidRPr="00024091">
        <w:rPr>
          <w:vertAlign w:val="superscript"/>
        </w:rPr>
        <w:footnoteReference w:id="1047"/>
      </w:r>
      <w:r w:rsidRPr="00024091">
        <w:t xml:space="preserve"> </w:t>
      </w:r>
      <w:r>
        <w:t xml:space="preserve"> </w:t>
      </w:r>
      <w:r w:rsidRPr="00024091">
        <w:t xml:space="preserve">Because the IOUs are proposing such significant changes, studies to </w:t>
      </w:r>
      <w:r w:rsidRPr="00EF2F16">
        <w:t>evaluate</w:t>
      </w:r>
      <w:r w:rsidRPr="00024091">
        <w:t xml:space="preserve"> program performance may not have been defined yet</w:t>
      </w:r>
      <w:r>
        <w:t xml:space="preserve"> but </w:t>
      </w:r>
      <w:r w:rsidRPr="00DA5BCC">
        <w:t>may include program pilot evaluation and assessment as well as other miscellaneous</w:t>
      </w:r>
      <w:r>
        <w:t xml:space="preserve"> </w:t>
      </w:r>
      <w:r w:rsidRPr="00DA5BCC">
        <w:t xml:space="preserve">data needs. </w:t>
      </w:r>
      <w:r>
        <w:t xml:space="preserve"> </w:t>
      </w:r>
      <w:r w:rsidRPr="00DA5BCC">
        <w:t>The IOUs recommend using the ESA/CARE Study Working Group to provide</w:t>
      </w:r>
      <w:r>
        <w:t xml:space="preserve"> o</w:t>
      </w:r>
      <w:r w:rsidRPr="00DA5BCC">
        <w:t xml:space="preserve">versight for approval of these studies, using ground rules </w:t>
      </w:r>
      <w:proofErr w:type="gramStart"/>
      <w:r w:rsidRPr="00DA5BCC">
        <w:t>similar to</w:t>
      </w:r>
      <w:proofErr w:type="gramEnd"/>
      <w:r w:rsidRPr="00DA5BCC">
        <w:t xml:space="preserve"> the </w:t>
      </w:r>
      <w:r>
        <w:t xml:space="preserve">energy efficiency </w:t>
      </w:r>
      <w:r w:rsidRPr="00DA5BCC">
        <w:t>EM&amp;V process</w:t>
      </w:r>
      <w:r w:rsidRPr="00024091">
        <w:t>.</w:t>
      </w:r>
      <w:r w:rsidRPr="00024091">
        <w:rPr>
          <w:vertAlign w:val="superscript"/>
        </w:rPr>
        <w:footnoteReference w:id="1048"/>
      </w:r>
    </w:p>
    <w:p w:rsidR="000C1980" w:rsidP="00682805" w:rsidRDefault="000C1980" w14:paraId="12208FB0" w14:textId="77777777">
      <w:pPr>
        <w:pStyle w:val="Heading3"/>
      </w:pPr>
      <w:bookmarkStart w:name="_Toc69948284" w:id="644"/>
      <w:r>
        <w:lastRenderedPageBreak/>
        <w:t>Party Positions</w:t>
      </w:r>
      <w:bookmarkEnd w:id="644"/>
    </w:p>
    <w:p w:rsidRPr="00621342" w:rsidR="000C1980" w:rsidP="000C1980" w:rsidRDefault="000C1980" w14:paraId="06350A77" w14:textId="77777777">
      <w:pPr>
        <w:pStyle w:val="Standard"/>
      </w:pPr>
      <w:r w:rsidRPr="00D80C80">
        <w:t>No substantive party comments were received on this topic</w:t>
      </w:r>
      <w:r>
        <w:t>.</w:t>
      </w:r>
    </w:p>
    <w:p w:rsidR="000C1980" w:rsidP="00682805" w:rsidRDefault="000C1980" w14:paraId="3BDF1B32" w14:textId="77777777">
      <w:pPr>
        <w:pStyle w:val="Heading3"/>
      </w:pPr>
      <w:bookmarkStart w:name="_Toc69948285" w:id="645"/>
      <w:r>
        <w:t>Discussion</w:t>
      </w:r>
      <w:bookmarkEnd w:id="645"/>
    </w:p>
    <w:p w:rsidRPr="00024091" w:rsidR="000C1980" w:rsidP="00682805" w:rsidRDefault="000C1980" w14:paraId="79232E31" w14:textId="77777777">
      <w:pPr>
        <w:pStyle w:val="Heading4"/>
      </w:pPr>
      <w:bookmarkStart w:name="_Toc69948286" w:id="646"/>
      <w:r>
        <w:t>IOU</w:t>
      </w:r>
      <w:r w:rsidRPr="00024091">
        <w:t xml:space="preserve"> Evolving Study and Data Needs</w:t>
      </w:r>
      <w:r>
        <w:t xml:space="preserve">: </w:t>
      </w:r>
      <w:r w:rsidRPr="0077232E">
        <w:rPr>
          <w:u w:val="single"/>
        </w:rPr>
        <w:t>Approved</w:t>
      </w:r>
      <w:bookmarkEnd w:id="646"/>
    </w:p>
    <w:p w:rsidRPr="00D315FC" w:rsidR="000C1980" w:rsidP="000C1980" w:rsidRDefault="000C1980" w14:paraId="55B0169E" w14:textId="32B284AA">
      <w:pPr>
        <w:pStyle w:val="Standard"/>
      </w:pPr>
      <w:r>
        <w:t xml:space="preserve">Given the shift in ESA program design </w:t>
      </w:r>
      <w:r w:rsidR="00A515F7">
        <w:t xml:space="preserve">towards </w:t>
      </w:r>
      <w:r>
        <w:t xml:space="preserve">a delivery model based on customer segments and need states, the implementation of a new program focused on the multifamily sector, and a pilot program based on deeper energy savings, we approve up to </w:t>
      </w:r>
      <w:r w:rsidRPr="00024091">
        <w:t>$</w:t>
      </w:r>
      <w:r>
        <w:t xml:space="preserve">1.2 million to provide flexibility for future and ongoing study and data needs. </w:t>
      </w:r>
    </w:p>
    <w:p w:rsidRPr="00024091" w:rsidR="000C1980" w:rsidP="00682805" w:rsidRDefault="000C1980" w14:paraId="5F609F50" w14:textId="77777777">
      <w:pPr>
        <w:pStyle w:val="Heading2"/>
      </w:pPr>
      <w:bookmarkStart w:name="_Toc69948287" w:id="647"/>
      <w:r w:rsidRPr="00024091">
        <w:t xml:space="preserve">SoCalGas Customer </w:t>
      </w:r>
      <w:r w:rsidRPr="00682805">
        <w:t>Feedback</w:t>
      </w:r>
      <w:r w:rsidRPr="00024091">
        <w:t xml:space="preserve"> Study</w:t>
      </w:r>
      <w:bookmarkEnd w:id="647"/>
    </w:p>
    <w:p w:rsidRPr="00621342" w:rsidR="000C1980" w:rsidP="000C1980" w:rsidRDefault="000C1980" w14:paraId="18CC99D4" w14:textId="77777777">
      <w:pPr>
        <w:pStyle w:val="Standard"/>
        <w:rPr>
          <w:i/>
          <w:iCs/>
        </w:rPr>
      </w:pPr>
      <w:r w:rsidRPr="00024091">
        <w:t>SoCalGas proposes conducting a study to seek customer feedback on the new tactics being employed, budgeted at $35,000.</w:t>
      </w:r>
      <w:r w:rsidRPr="00024091">
        <w:rPr>
          <w:vertAlign w:val="superscript"/>
        </w:rPr>
        <w:footnoteReference w:id="1049"/>
      </w:r>
    </w:p>
    <w:p w:rsidR="000C1980" w:rsidP="00682805" w:rsidRDefault="000C1980" w14:paraId="7C3624B7" w14:textId="77777777">
      <w:pPr>
        <w:pStyle w:val="Heading3"/>
      </w:pPr>
      <w:bookmarkStart w:name="_Toc69948288" w:id="648"/>
      <w:r>
        <w:t>Party Positions</w:t>
      </w:r>
      <w:bookmarkEnd w:id="648"/>
    </w:p>
    <w:p w:rsidRPr="00621342" w:rsidR="000C1980" w:rsidP="0023091F" w:rsidRDefault="000C1980" w14:paraId="442B845B" w14:textId="77777777">
      <w:pPr>
        <w:pStyle w:val="ALJBodyText"/>
      </w:pPr>
      <w:r w:rsidRPr="00D80C80">
        <w:t>No substantive party comments were received on this topic</w:t>
      </w:r>
      <w:r>
        <w:t>.</w:t>
      </w:r>
    </w:p>
    <w:p w:rsidR="000C1980" w:rsidP="00682805" w:rsidRDefault="000C1980" w14:paraId="548164E8" w14:textId="087669AD">
      <w:pPr>
        <w:pStyle w:val="Heading3"/>
      </w:pPr>
      <w:bookmarkStart w:name="_Toc69948289" w:id="649"/>
      <w:r>
        <w:t>Discussion</w:t>
      </w:r>
      <w:bookmarkEnd w:id="649"/>
    </w:p>
    <w:p w:rsidRPr="0077232E" w:rsidR="000C1980" w:rsidP="00682805" w:rsidRDefault="000C1980" w14:paraId="03090DEC" w14:textId="77777777">
      <w:pPr>
        <w:pStyle w:val="Heading4"/>
      </w:pPr>
      <w:bookmarkStart w:name="_Toc69948290" w:id="650"/>
      <w:r w:rsidRPr="0077232E">
        <w:t xml:space="preserve">SoCalGas Customer Feedback Study: </w:t>
      </w:r>
      <w:r w:rsidRPr="0077232E">
        <w:rPr>
          <w:u w:val="single"/>
        </w:rPr>
        <w:t>Approved</w:t>
      </w:r>
      <w:bookmarkEnd w:id="650"/>
    </w:p>
    <w:p w:rsidRPr="00621342" w:rsidR="000C1980" w:rsidP="0023091F" w:rsidRDefault="000C1980" w14:paraId="0D67D0F5" w14:textId="77777777">
      <w:pPr>
        <w:pStyle w:val="ALJBodyText"/>
      </w:pPr>
      <w:r>
        <w:t xml:space="preserve">We approve </w:t>
      </w:r>
      <w:r w:rsidRPr="002A506C">
        <w:t>$3</w:t>
      </w:r>
      <w:r>
        <w:t>5</w:t>
      </w:r>
      <w:r w:rsidRPr="002A506C">
        <w:t>,000 for S</w:t>
      </w:r>
      <w:r>
        <w:t>o</w:t>
      </w:r>
      <w:r w:rsidRPr="002A506C">
        <w:t>C</w:t>
      </w:r>
      <w:r>
        <w:t>al</w:t>
      </w:r>
      <w:r w:rsidRPr="002A506C">
        <w:t>G</w:t>
      </w:r>
      <w:r>
        <w:t>as</w:t>
      </w:r>
      <w:r w:rsidRPr="002A506C">
        <w:t>’ customer feedback study</w:t>
      </w:r>
      <w:r>
        <w:t xml:space="preserve"> and will require that the study</w:t>
      </w:r>
      <w:r w:rsidRPr="002A506C">
        <w:t xml:space="preserve"> findings related to customer segmentation data collection and coordination opportunities be </w:t>
      </w:r>
      <w:r>
        <w:t>used to</w:t>
      </w:r>
      <w:r w:rsidRPr="002A506C">
        <w:t xml:space="preserve"> inform future goal setting and program design</w:t>
      </w:r>
      <w:r>
        <w:t xml:space="preserve">.  The final report shall also include a discussion of the outreach or focus group efforts that were performed to inform the design of the new tactics, and any information collected to reflect baseline of current day tactics, against which to compare customer’s perspective/success of new tactics. </w:t>
      </w:r>
    </w:p>
    <w:p w:rsidR="000C1980" w:rsidP="00682805" w:rsidRDefault="000C1980" w14:paraId="62C7FFA6" w14:textId="79D18534">
      <w:pPr>
        <w:pStyle w:val="Heading2"/>
      </w:pPr>
      <w:bookmarkStart w:name="_Toc69948291" w:id="651"/>
      <w:r>
        <w:t>PEV “Outbound Call Pilot”</w:t>
      </w:r>
      <w:bookmarkEnd w:id="651"/>
    </w:p>
    <w:p w:rsidRPr="00066631" w:rsidR="000C1980" w:rsidP="000C1980" w:rsidRDefault="000C1980" w14:paraId="2DA78070" w14:textId="285B6F2E">
      <w:pPr>
        <w:pStyle w:val="Standard"/>
      </w:pPr>
      <w:r w:rsidRPr="00EF2F16">
        <w:rPr>
          <w:i/>
          <w:iCs/>
        </w:rPr>
        <w:t>See</w:t>
      </w:r>
      <w:r>
        <w:t xml:space="preserve"> Section </w:t>
      </w:r>
      <w:r>
        <w:fldChar w:fldCharType="begin"/>
      </w:r>
      <w:r>
        <w:instrText xml:space="preserve"> REF _Ref65432790 \r \h </w:instrText>
      </w:r>
      <w:r>
        <w:fldChar w:fldCharType="separate"/>
      </w:r>
      <w:r w:rsidR="004C2E01">
        <w:t>4.2.8</w:t>
      </w:r>
      <w:r>
        <w:fldChar w:fldCharType="end"/>
      </w:r>
      <w:r w:rsidR="001A600C">
        <w:t>.8</w:t>
      </w:r>
      <w:r w:rsidR="00B72BA6">
        <w:t>.</w:t>
      </w:r>
    </w:p>
    <w:p w:rsidR="000C1980" w:rsidP="00682805" w:rsidRDefault="000C1980" w14:paraId="0DF70934" w14:textId="77777777">
      <w:pPr>
        <w:pStyle w:val="Heading2"/>
      </w:pPr>
      <w:bookmarkStart w:name="_Toc69948292" w:id="652"/>
      <w:r>
        <w:lastRenderedPageBreak/>
        <w:t xml:space="preserve">PCF On Bill </w:t>
      </w:r>
      <w:r w:rsidRPr="00682805">
        <w:t>Financing</w:t>
      </w:r>
      <w:r>
        <w:t xml:space="preserve"> Pilot</w:t>
      </w:r>
      <w:bookmarkEnd w:id="652"/>
    </w:p>
    <w:p w:rsidRPr="00066631" w:rsidR="000C1980" w:rsidP="000C1980" w:rsidRDefault="000C1980" w14:paraId="5928D26D" w14:textId="7929EF90">
      <w:pPr>
        <w:pStyle w:val="Standard"/>
      </w:pPr>
      <w:r>
        <w:t xml:space="preserve">PCF proposes an </w:t>
      </w:r>
      <w:r w:rsidRPr="00F44A6A">
        <w:t xml:space="preserve">on-bill financing program </w:t>
      </w:r>
      <w:r>
        <w:t>pilot</w:t>
      </w:r>
      <w:r w:rsidR="003B7B5D">
        <w:t xml:space="preserve"> </w:t>
      </w:r>
      <w:r w:rsidRPr="00F44A6A">
        <w:t xml:space="preserve">in each </w:t>
      </w:r>
      <w:r>
        <w:t>IOU</w:t>
      </w:r>
      <w:r w:rsidRPr="00F44A6A">
        <w:t xml:space="preserve"> service territory to enable comprehensive deployment of battery storage and distributed generation at all eligible ESA Program customer locations. </w:t>
      </w:r>
      <w:r>
        <w:t xml:space="preserve"> PCF states that these </w:t>
      </w:r>
      <w:r w:rsidRPr="00F44A6A">
        <w:t>pilot programs should convert to full programs as soon as reasonably possible, but in no case more than 24 months.</w:t>
      </w:r>
      <w:r>
        <w:rPr>
          <w:rStyle w:val="FootnoteReference"/>
        </w:rPr>
        <w:footnoteReference w:id="1050"/>
      </w:r>
      <w:r w:rsidRPr="000440C9">
        <w:rPr>
          <w:rFonts w:ascii="Times New Roman" w:hAnsi="Times New Roman"/>
          <w:color w:val="000000"/>
          <w:sz w:val="23"/>
          <w:szCs w:val="23"/>
        </w:rPr>
        <w:t xml:space="preserve"> </w:t>
      </w:r>
      <w:r>
        <w:t>PCF states that t</w:t>
      </w:r>
      <w:r w:rsidRPr="000440C9">
        <w:t xml:space="preserve">he scope of the ESA </w:t>
      </w:r>
      <w:r>
        <w:t>p</w:t>
      </w:r>
      <w:r w:rsidRPr="000440C9">
        <w:t xml:space="preserve">rogram should be expanded to encompass a pilot on-bill financing program in each utility service territory to enable comprehensive deployment of battery storage and distributed generation at all eligible ESA Program customer locations. The pilot programs should convert to full programs as soon as reasonably possible, but in no case more than 24 months. </w:t>
      </w:r>
      <w:r>
        <w:t>PCF states that a</w:t>
      </w:r>
      <w:r w:rsidRPr="000440C9">
        <w:t xml:space="preserve"> comprehensive on-bill financing pilot would permit the Commission to examine the efficacy of this financial instrument to enable saturation deployment of SGIP incentives among equity, medical baseline, and AFN customers in resiliency areas. Without expanding the financing choices to be considered in this proceeding, the Commission will prevent itself from optimizing the energy savings potential of the ESA </w:t>
      </w:r>
      <w:r>
        <w:t>p</w:t>
      </w:r>
      <w:r w:rsidRPr="000440C9">
        <w:t>rogram.</w:t>
      </w:r>
      <w:r>
        <w:rPr>
          <w:rStyle w:val="FootnoteReference"/>
        </w:rPr>
        <w:footnoteReference w:id="1051"/>
      </w:r>
    </w:p>
    <w:p w:rsidR="000C1980" w:rsidP="00682805" w:rsidRDefault="000C1980" w14:paraId="0E1D84D4" w14:textId="77777777">
      <w:pPr>
        <w:pStyle w:val="Heading3"/>
      </w:pPr>
      <w:bookmarkStart w:name="_Toc69948293" w:id="653"/>
      <w:r>
        <w:t>Party Positions</w:t>
      </w:r>
      <w:bookmarkEnd w:id="653"/>
    </w:p>
    <w:p w:rsidR="000C1980" w:rsidP="00682805" w:rsidRDefault="000C1980" w14:paraId="1D7D7BB4" w14:textId="77777777">
      <w:pPr>
        <w:pStyle w:val="Heading4"/>
      </w:pPr>
      <w:bookmarkStart w:name="_Toc69948294" w:id="654"/>
      <w:r>
        <w:t>SDG&amp;E</w:t>
      </w:r>
      <w:bookmarkEnd w:id="654"/>
    </w:p>
    <w:p w:rsidRPr="002A4628" w:rsidR="000C1980" w:rsidP="0023091F" w:rsidRDefault="000C1980" w14:paraId="71FF7530" w14:textId="77777777">
      <w:pPr>
        <w:pStyle w:val="ALJBodyText"/>
      </w:pPr>
      <w:r w:rsidRPr="24DCB1AB">
        <w:rPr>
          <w:b/>
          <w:bCs/>
          <w:i/>
          <w:iCs/>
          <w:u w:val="single"/>
        </w:rPr>
        <w:t>Opposes:</w:t>
      </w:r>
      <w:r>
        <w:t xml:space="preserve"> SDG&amp;E opposes PCF’s proposal</w:t>
      </w:r>
      <w:r w:rsidRPr="002A4628">
        <w:t xml:space="preserve"> </w:t>
      </w:r>
      <w:r>
        <w:t xml:space="preserve">as it </w:t>
      </w:r>
      <w:r w:rsidRPr="002A4628">
        <w:t xml:space="preserve">neglects the fundamental premise that ESA delivers no-cost measures to </w:t>
      </w:r>
      <w:proofErr w:type="gramStart"/>
      <w:r w:rsidRPr="002A4628">
        <w:t>low income</w:t>
      </w:r>
      <w:proofErr w:type="gramEnd"/>
      <w:r w:rsidRPr="002A4628">
        <w:t xml:space="preserve"> customers</w:t>
      </w:r>
      <w:r>
        <w:t xml:space="preserve"> and points ou</w:t>
      </w:r>
      <w:r w:rsidRPr="002A4628">
        <w:t xml:space="preserve">t that there is </w:t>
      </w:r>
      <w:r>
        <w:t xml:space="preserve">already a </w:t>
      </w:r>
      <w:r w:rsidRPr="002A4628">
        <w:t>separate</w:t>
      </w:r>
      <w:r>
        <w:t xml:space="preserve"> </w:t>
      </w:r>
      <w:r w:rsidRPr="002A4628">
        <w:t>proceeding for this issue –Order Instituting Rulemaking to</w:t>
      </w:r>
      <w:r w:rsidRPr="002A4628">
        <w:rPr>
          <w:rFonts w:ascii="TimesNewRomanPSMT" w:hAnsi="TimesNewRomanPSMT" w:cs="TimesNewRomanPSMT"/>
          <w:sz w:val="24"/>
          <w:szCs w:val="24"/>
        </w:rPr>
        <w:t xml:space="preserve"> </w:t>
      </w:r>
      <w:r w:rsidRPr="002A4628">
        <w:t xml:space="preserve">Investigate and Design Clean Energy Financing Options in </w:t>
      </w:r>
      <w:r w:rsidRPr="002A4628">
        <w:lastRenderedPageBreak/>
        <w:t>R.20</w:t>
      </w:r>
      <w:r>
        <w:noBreakHyphen/>
      </w:r>
      <w:r w:rsidRPr="002A4628">
        <w:t>08-022</w:t>
      </w:r>
      <w:r>
        <w:t xml:space="preserve"> and recommends that </w:t>
      </w:r>
      <w:r w:rsidRPr="002A4628">
        <w:t>PCF’s on-bill financing requests be deliberated in that proceeding.</w:t>
      </w:r>
      <w:r w:rsidRPr="006A1758">
        <w:rPr>
          <w:rStyle w:val="FootnoteReference"/>
        </w:rPr>
        <w:t xml:space="preserve"> </w:t>
      </w:r>
      <w:r>
        <w:rPr>
          <w:rStyle w:val="FootnoteReference"/>
        </w:rPr>
        <w:footnoteReference w:id="1052"/>
      </w:r>
    </w:p>
    <w:p w:rsidR="000C1980" w:rsidP="00682805" w:rsidRDefault="000C1980" w14:paraId="703FB99B" w14:textId="53D490D6">
      <w:pPr>
        <w:pStyle w:val="Heading3"/>
      </w:pPr>
      <w:bookmarkStart w:name="_Toc69948295" w:id="655"/>
      <w:r>
        <w:t>Discussion</w:t>
      </w:r>
      <w:bookmarkEnd w:id="655"/>
    </w:p>
    <w:p w:rsidR="000C1980" w:rsidP="00682805" w:rsidRDefault="000C1980" w14:paraId="57C06339" w14:textId="77777777">
      <w:pPr>
        <w:pStyle w:val="Heading4"/>
      </w:pPr>
      <w:bookmarkStart w:name="_Toc69948296" w:id="656"/>
      <w:r>
        <w:t xml:space="preserve">PCF On Bill Financing Pilot: </w:t>
      </w:r>
      <w:r w:rsidRPr="004148FB">
        <w:rPr>
          <w:u w:val="single"/>
        </w:rPr>
        <w:t>Denied</w:t>
      </w:r>
      <w:bookmarkEnd w:id="656"/>
    </w:p>
    <w:p w:rsidRPr="004770A1" w:rsidR="000C1980" w:rsidP="0023091F" w:rsidRDefault="000C1980" w14:paraId="0AAB5B8D" w14:textId="56C4EF9B">
      <w:pPr>
        <w:pStyle w:val="ALJBodyText"/>
      </w:pPr>
      <w:r>
        <w:t xml:space="preserve">We deny PCF’s proposal to incorporate on-bill financing into the full ESA program.  The premise of PCF’s proposal is to facilitate the installation of whole house solar and battery storage, however ESA customers should first have their immediate energy and HCS needs met at no-cost through the ESA program, before being referred to other programs that can address other needs. For </w:t>
      </w:r>
      <w:proofErr w:type="gramStart"/>
      <w:r>
        <w:t>low income</w:t>
      </w:r>
      <w:proofErr w:type="gramEnd"/>
      <w:r>
        <w:t xml:space="preserve"> households that have already received a full package of ESA measures and/or have gone through the Staff Proposal’s Pilot Plus and Pilot Deep packages to reduce energy use by up to 50</w:t>
      </w:r>
      <w:r w:rsidRPr="00730FFE">
        <w:rPr>
          <w:bCs/>
        </w:rPr>
        <w:t xml:space="preserve"> percent</w:t>
      </w:r>
      <w:r>
        <w:t>, the use of on bill financing or on-bill repayment to facilitate whole house solar and battery storage may be appropriate.  And at that time, these ESA customers can be referred to such programs per the directives and recommendations of Section 6.12.</w:t>
      </w:r>
      <w:r w:rsidR="00A77B64">
        <w:t>7.</w:t>
      </w:r>
    </w:p>
    <w:p w:rsidR="000C1980" w:rsidP="00682805" w:rsidRDefault="000C1980" w14:paraId="6AE3DB87" w14:textId="5760BD7E">
      <w:pPr>
        <w:pStyle w:val="Heading1"/>
      </w:pPr>
      <w:bookmarkStart w:name="_Toc65342777" w:id="657"/>
      <w:bookmarkStart w:name="_Toc69948297" w:id="658"/>
      <w:bookmarkEnd w:id="657"/>
      <w:r>
        <w:t xml:space="preserve">Environmental and Social </w:t>
      </w:r>
      <w:r w:rsidRPr="00682805">
        <w:t>Justice</w:t>
      </w:r>
      <w:bookmarkEnd w:id="658"/>
      <w:r>
        <w:t xml:space="preserve"> </w:t>
      </w:r>
    </w:p>
    <w:p w:rsidR="000C1980" w:rsidP="00682805" w:rsidRDefault="000C1980" w14:paraId="4269C9CC" w14:textId="77777777">
      <w:pPr>
        <w:pStyle w:val="Heading2"/>
      </w:pPr>
      <w:bookmarkStart w:name="_Toc69948298" w:id="659"/>
      <w:r w:rsidRPr="00682805">
        <w:t>Background</w:t>
      </w:r>
      <w:bookmarkEnd w:id="659"/>
    </w:p>
    <w:p w:rsidRPr="00C67A8A" w:rsidR="000C1980" w:rsidP="000C1980" w:rsidRDefault="000C1980" w14:paraId="6F6F6568" w14:textId="77777777">
      <w:pPr>
        <w:pStyle w:val="Standard"/>
      </w:pPr>
      <w:r>
        <w:t>On</w:t>
      </w:r>
      <w:r w:rsidRPr="009B5AD9">
        <w:t xml:space="preserve"> February </w:t>
      </w:r>
      <w:r>
        <w:t xml:space="preserve">21, </w:t>
      </w:r>
      <w:r w:rsidRPr="009B5AD9">
        <w:t>2019, the Commission adopted the Environmental and Social Justice (ESJ) Action Plan</w:t>
      </w:r>
      <w:r w:rsidRPr="009035BD">
        <w:rPr>
          <w:rStyle w:val="FootnoteReference"/>
        </w:rPr>
        <w:footnoteReference w:id="1053"/>
      </w:r>
      <w:r w:rsidRPr="009B5AD9">
        <w:t xml:space="preserve"> which serves to expand public inclusion in Commission decision-making and improve services to targeted communities in California, specifically communities of color and/ or </w:t>
      </w:r>
      <w:proofErr w:type="gramStart"/>
      <w:r w:rsidRPr="009B5AD9">
        <w:t>low</w:t>
      </w:r>
      <w:r>
        <w:t xml:space="preserve"> </w:t>
      </w:r>
      <w:r w:rsidRPr="009B5AD9">
        <w:t>income</w:t>
      </w:r>
      <w:proofErr w:type="gramEnd"/>
      <w:r w:rsidRPr="009B5AD9">
        <w:t xml:space="preserve"> communities. </w:t>
      </w:r>
      <w:r w:rsidRPr="00C67A8A">
        <w:t xml:space="preserve">The ESJ Action Plan defines environmental and social justice as: </w:t>
      </w:r>
    </w:p>
    <w:p w:rsidRPr="003B2F85" w:rsidR="000C1980" w:rsidP="000C1980" w:rsidRDefault="000C1980" w14:paraId="1F923FDE" w14:textId="77777777">
      <w:pPr>
        <w:pStyle w:val="BlockQuote"/>
      </w:pPr>
      <w:r w:rsidRPr="003B2F85">
        <w:rPr>
          <w:rStyle w:val="ALJBlockQuoteChar"/>
        </w:rPr>
        <w:t xml:space="preserve">Environmental and social justice seeks to come to terms with, and remedy, a history of unfair treatment of communities, </w:t>
      </w:r>
      <w:r w:rsidRPr="003B2F85">
        <w:rPr>
          <w:rStyle w:val="ALJBlockQuoteChar"/>
        </w:rPr>
        <w:lastRenderedPageBreak/>
        <w:t xml:space="preserve">predominantly communities of people of color and/or </w:t>
      </w:r>
      <w:proofErr w:type="gramStart"/>
      <w:r w:rsidRPr="003B2F85">
        <w:rPr>
          <w:rStyle w:val="ALJBlockQuoteChar"/>
        </w:rPr>
        <w:t>low income</w:t>
      </w:r>
      <w:proofErr w:type="gramEnd"/>
      <w:r w:rsidRPr="003B2F85">
        <w:rPr>
          <w:rStyle w:val="ALJBlockQuoteChar"/>
        </w:rPr>
        <w:t xml:space="preserve"> residents. These communities have been subjected to disproportionate impacts from one or more environmental hazards, socioeconomic burdens, or both.</w:t>
      </w:r>
    </w:p>
    <w:p w:rsidR="000C1980" w:rsidP="000C1980" w:rsidRDefault="000C1980" w14:paraId="48A8EF81" w14:textId="77777777">
      <w:pPr>
        <w:pStyle w:val="Standard"/>
      </w:pPr>
      <w:r>
        <w:t>The overall goals identified by the ESJ action plans include:</w:t>
      </w:r>
    </w:p>
    <w:p w:rsidRPr="00831E93" w:rsidR="000C1980" w:rsidP="00402362" w:rsidRDefault="000C1980" w14:paraId="13F90920" w14:textId="77777777">
      <w:pPr>
        <w:pStyle w:val="ListBullet"/>
      </w:pPr>
      <w:r w:rsidRPr="00831E93">
        <w:rPr>
          <w:b/>
          <w:bCs/>
          <w:u w:val="single"/>
        </w:rPr>
        <w:t>Goal 1:</w:t>
      </w:r>
      <w:r w:rsidRPr="00831E93">
        <w:t xml:space="preserve"> Consistently integrate equity and access considerations throughout CPUC proceedings and other efforts. </w:t>
      </w:r>
    </w:p>
    <w:p w:rsidRPr="00831E93" w:rsidR="000C1980" w:rsidP="00402362" w:rsidRDefault="000C1980" w14:paraId="53DFBB42" w14:textId="77777777">
      <w:pPr>
        <w:pStyle w:val="ListBullet"/>
      </w:pPr>
      <w:r w:rsidRPr="00831E93">
        <w:rPr>
          <w:b/>
          <w:bCs/>
          <w:u w:val="single"/>
        </w:rPr>
        <w:t>Goal 2:</w:t>
      </w:r>
      <w:r w:rsidRPr="00831E93">
        <w:t xml:space="preserve"> Increase investment in clean energy resources to benefit ESJ communities, especially to improve local air quality and public health. </w:t>
      </w:r>
    </w:p>
    <w:p w:rsidRPr="00831E93" w:rsidR="000C1980" w:rsidP="00402362" w:rsidRDefault="000C1980" w14:paraId="491FBA61" w14:textId="77777777">
      <w:pPr>
        <w:pStyle w:val="ListBullet"/>
      </w:pPr>
      <w:r w:rsidRPr="00831E93">
        <w:rPr>
          <w:b/>
          <w:bCs/>
          <w:u w:val="single"/>
        </w:rPr>
        <w:t>Goal 3:</w:t>
      </w:r>
      <w:r w:rsidRPr="00831E93">
        <w:t xml:space="preserve"> Strive to improve access to high-quality water, communications, and transportation services for ESJ communities. </w:t>
      </w:r>
    </w:p>
    <w:p w:rsidRPr="00831E93" w:rsidR="000C1980" w:rsidP="00402362" w:rsidRDefault="000C1980" w14:paraId="613DE830" w14:textId="77777777">
      <w:pPr>
        <w:pStyle w:val="ListBullet"/>
      </w:pPr>
      <w:r w:rsidRPr="00831E93">
        <w:rPr>
          <w:b/>
          <w:bCs/>
          <w:u w:val="single"/>
        </w:rPr>
        <w:t>Goal 4:</w:t>
      </w:r>
      <w:r w:rsidRPr="00831E93">
        <w:t xml:space="preserve"> Increase climate resiliency in ESJ communities. </w:t>
      </w:r>
    </w:p>
    <w:p w:rsidRPr="00831E93" w:rsidR="000C1980" w:rsidP="00402362" w:rsidRDefault="000C1980" w14:paraId="1F01682F" w14:textId="77777777">
      <w:pPr>
        <w:pStyle w:val="ListBullet"/>
      </w:pPr>
      <w:r w:rsidRPr="00831E93">
        <w:rPr>
          <w:b/>
          <w:bCs/>
          <w:u w:val="single"/>
        </w:rPr>
        <w:t>Goal 5:</w:t>
      </w:r>
      <w:r w:rsidRPr="00831E93">
        <w:t xml:space="preserve"> Enhance outreach and public participation opportunities for ESJ communities to meaningfully participate in the CPUC’s decision-making process and benefit from CPUC programs. </w:t>
      </w:r>
    </w:p>
    <w:p w:rsidRPr="00831E93" w:rsidR="000C1980" w:rsidP="00402362" w:rsidRDefault="000C1980" w14:paraId="14069863" w14:textId="77777777">
      <w:pPr>
        <w:pStyle w:val="ListBullet"/>
      </w:pPr>
      <w:r w:rsidRPr="00831E93">
        <w:rPr>
          <w:b/>
          <w:bCs/>
          <w:u w:val="single"/>
        </w:rPr>
        <w:t>Goal 6:</w:t>
      </w:r>
      <w:r w:rsidRPr="00831E93">
        <w:t xml:space="preserve"> Enhance enforcement to ensure safety and consumer protection for ESJ communities. </w:t>
      </w:r>
    </w:p>
    <w:p w:rsidRPr="00831E93" w:rsidR="000C1980" w:rsidP="00402362" w:rsidRDefault="000C1980" w14:paraId="5C10C21D" w14:textId="77777777">
      <w:pPr>
        <w:pStyle w:val="ListBullet"/>
      </w:pPr>
      <w:r w:rsidRPr="00831E93">
        <w:rPr>
          <w:b/>
          <w:bCs/>
          <w:u w:val="single"/>
        </w:rPr>
        <w:t>Goal 7:</w:t>
      </w:r>
      <w:r w:rsidRPr="00831E93">
        <w:t xml:space="preserve"> Promote economic and workforce development opportunities in ESJ communities. </w:t>
      </w:r>
    </w:p>
    <w:p w:rsidRPr="00831E93" w:rsidR="000C1980" w:rsidP="00402362" w:rsidRDefault="000C1980" w14:paraId="09F3BC90" w14:textId="77777777">
      <w:pPr>
        <w:pStyle w:val="ListBullet"/>
      </w:pPr>
      <w:r w:rsidRPr="00831E93">
        <w:rPr>
          <w:b/>
          <w:bCs/>
          <w:u w:val="single"/>
        </w:rPr>
        <w:t>Goal 8:</w:t>
      </w:r>
      <w:r w:rsidRPr="00831E93">
        <w:t xml:space="preserve"> Improve training and staff development related to ESJ issues within the CPUC’s jurisdiction. </w:t>
      </w:r>
    </w:p>
    <w:p w:rsidRPr="00831E93" w:rsidR="000C1980" w:rsidP="00402362" w:rsidRDefault="000C1980" w14:paraId="6695949C" w14:textId="77777777">
      <w:pPr>
        <w:pStyle w:val="ListBullet"/>
      </w:pPr>
      <w:r w:rsidRPr="00831E93">
        <w:rPr>
          <w:b/>
          <w:bCs/>
          <w:u w:val="single"/>
        </w:rPr>
        <w:t>Goal 9:</w:t>
      </w:r>
      <w:r w:rsidRPr="00831E93">
        <w:t xml:space="preserve"> Monitor the CPUC’s ESJ efforts to evaluate how they are achieving their objectives.</w:t>
      </w:r>
    </w:p>
    <w:p w:rsidRPr="00B355D9" w:rsidR="000C1980" w:rsidP="000C1980" w:rsidRDefault="000C1980" w14:paraId="13731CA3" w14:textId="77777777">
      <w:pPr>
        <w:pStyle w:val="Standard"/>
        <w:rPr>
          <w:i/>
          <w:iCs/>
        </w:rPr>
      </w:pPr>
      <w:r w:rsidRPr="00410D6C">
        <w:t xml:space="preserve">ESJ communities are </w:t>
      </w:r>
      <w:r>
        <w:t xml:space="preserve">also </w:t>
      </w:r>
      <w:r w:rsidRPr="00410D6C">
        <w:t>identified as those where residents are</w:t>
      </w:r>
      <w:r>
        <w:t xml:space="preserve"> p</w:t>
      </w:r>
      <w:r w:rsidRPr="00410D6C">
        <w:t>redominantly communities of color or low</w:t>
      </w:r>
      <w:r>
        <w:t xml:space="preserve"> </w:t>
      </w:r>
      <w:r w:rsidRPr="00410D6C">
        <w:t>income</w:t>
      </w:r>
      <w:r>
        <w:t>, u</w:t>
      </w:r>
      <w:r w:rsidRPr="00410D6C">
        <w:t>nderrepresented in the policy setting or decision-making process</w:t>
      </w:r>
      <w:r>
        <w:t>, s</w:t>
      </w:r>
      <w:r w:rsidRPr="00410D6C">
        <w:t>ubject to a disproportionate impact from one or more environmental hazards</w:t>
      </w:r>
      <w:r>
        <w:t>, and l</w:t>
      </w:r>
      <w:r w:rsidRPr="00410D6C">
        <w:t xml:space="preserve">ikely to experience disparate implementation of environmental regulations and socio-economic investments in their communities. </w:t>
      </w:r>
      <w:r>
        <w:t xml:space="preserve"> </w:t>
      </w:r>
      <w:r w:rsidRPr="00410D6C">
        <w:t xml:space="preserve">On the ground, </w:t>
      </w:r>
      <w:r>
        <w:t xml:space="preserve">these </w:t>
      </w:r>
      <w:r w:rsidRPr="00410D6C">
        <w:t xml:space="preserve">targeted communities typically include </w:t>
      </w:r>
      <w:r w:rsidRPr="00410D6C">
        <w:lastRenderedPageBreak/>
        <w:t>but are not limited to</w:t>
      </w:r>
      <w:r>
        <w:t>, DACs,</w:t>
      </w:r>
      <w:r>
        <w:rPr>
          <w:rStyle w:val="FootnoteReference"/>
        </w:rPr>
        <w:footnoteReference w:id="1054"/>
      </w:r>
      <w:r>
        <w:t xml:space="preserve"> a</w:t>
      </w:r>
      <w:r w:rsidRPr="00410D6C">
        <w:t>ll Tribal lands</w:t>
      </w:r>
      <w:r>
        <w:t xml:space="preserve">, and </w:t>
      </w:r>
      <w:proofErr w:type="gramStart"/>
      <w:r>
        <w:t>l</w:t>
      </w:r>
      <w:r w:rsidRPr="00410D6C">
        <w:t>ow</w:t>
      </w:r>
      <w:r>
        <w:t xml:space="preserve"> </w:t>
      </w:r>
      <w:r w:rsidRPr="00410D6C">
        <w:t>income</w:t>
      </w:r>
      <w:proofErr w:type="gramEnd"/>
      <w:r w:rsidRPr="00410D6C">
        <w:t xml:space="preserve"> households </w:t>
      </w:r>
      <w:r>
        <w:t xml:space="preserve">and </w:t>
      </w:r>
      <w:r w:rsidRPr="00410D6C">
        <w:t>census tract</w:t>
      </w:r>
      <w:r>
        <w:t>s.</w:t>
      </w:r>
      <w:r>
        <w:rPr>
          <w:rStyle w:val="FootnoteReference"/>
        </w:rPr>
        <w:footnoteReference w:id="1055"/>
      </w:r>
      <w:r>
        <w:t xml:space="preserve">  </w:t>
      </w:r>
    </w:p>
    <w:p w:rsidR="000C1980" w:rsidP="00682805" w:rsidRDefault="000C1980" w14:paraId="421E4546" w14:textId="77777777">
      <w:pPr>
        <w:pStyle w:val="Heading2"/>
      </w:pPr>
      <w:bookmarkStart w:name="_Toc69948299" w:id="660"/>
      <w:r>
        <w:t xml:space="preserve">Incorporating ESJ Goals </w:t>
      </w:r>
      <w:r w:rsidRPr="00682805">
        <w:t>and</w:t>
      </w:r>
      <w:r>
        <w:t xml:space="preserve"> Efforts into CARE and ESA</w:t>
      </w:r>
      <w:bookmarkEnd w:id="660"/>
    </w:p>
    <w:p w:rsidR="000C1980" w:rsidP="000C1980" w:rsidRDefault="000C1980" w14:paraId="1E5460C7" w14:textId="39272AEA">
      <w:pPr>
        <w:pStyle w:val="Standard"/>
      </w:pPr>
      <w:r w:rsidRPr="00CC4B96">
        <w:t xml:space="preserve">As </w:t>
      </w:r>
      <w:r>
        <w:t>CARE and ESA</w:t>
      </w:r>
      <w:r w:rsidRPr="00CC4B96">
        <w:t xml:space="preserve"> </w:t>
      </w:r>
      <w:r>
        <w:t xml:space="preserve">program </w:t>
      </w:r>
      <w:r w:rsidRPr="00CC4B96">
        <w:t xml:space="preserve">eligibility </w:t>
      </w:r>
      <w:r>
        <w:t xml:space="preserve">is set at or below 200 percent of FPG, </w:t>
      </w:r>
      <w:r w:rsidR="00403A79">
        <w:t>most if not all,</w:t>
      </w:r>
      <w:r w:rsidRPr="00CC4B96">
        <w:t xml:space="preserve"> ESA</w:t>
      </w:r>
      <w:r>
        <w:t xml:space="preserve"> and </w:t>
      </w:r>
      <w:r w:rsidRPr="00CC4B96">
        <w:t>CARE participants are part of an ESJ community</w:t>
      </w:r>
      <w:r>
        <w:t>.  Through this proceeding, we</w:t>
      </w:r>
      <w:r w:rsidRPr="00A37BDC">
        <w:t xml:space="preserve"> prioritize actions that improve local air quality, benefit public health, increase climate resiliency </w:t>
      </w:r>
      <w:r>
        <w:t>and</w:t>
      </w:r>
      <w:r w:rsidRPr="00A37BDC">
        <w:t xml:space="preserve"> provide economic benefits within </w:t>
      </w:r>
      <w:r>
        <w:t xml:space="preserve">the </w:t>
      </w:r>
      <w:r w:rsidRPr="00A37BDC">
        <w:t>ESJ communities</w:t>
      </w:r>
      <w:r>
        <w:t>.  This decision makes great strides in prioritizing ESJ issues and takes actions that advance e</w:t>
      </w:r>
      <w:r w:rsidRPr="00CC736F">
        <w:t xml:space="preserve">quity and policies for </w:t>
      </w:r>
      <w:r>
        <w:t>ESJ c</w:t>
      </w:r>
      <w:r w:rsidRPr="00CC736F">
        <w:t>ommunitie</w:t>
      </w:r>
      <w:r>
        <w:t xml:space="preserve">s.  Below we outline the efforts directed in this decision that specifically address </w:t>
      </w:r>
      <w:r w:rsidR="008C1F8B">
        <w:t xml:space="preserve">and further </w:t>
      </w:r>
      <w:r>
        <w:t>the goals of the Action Plan</w:t>
      </w:r>
      <w:r w:rsidRPr="00CC736F">
        <w:t>.</w:t>
      </w:r>
      <w:r>
        <w:t xml:space="preserve">  </w:t>
      </w:r>
    </w:p>
    <w:p w:rsidR="000C1980" w:rsidP="00402362" w:rsidRDefault="000C1980" w14:paraId="26117DAC" w14:textId="58D84F16">
      <w:pPr>
        <w:pStyle w:val="ListBullet"/>
      </w:pPr>
      <w:r w:rsidRPr="00E3056D">
        <w:t>Requir</w:t>
      </w:r>
      <w:r>
        <w:t>ing</w:t>
      </w:r>
      <w:r w:rsidRPr="00E3056D">
        <w:t xml:space="preserve"> </w:t>
      </w:r>
      <w:r>
        <w:t>that</w:t>
      </w:r>
      <w:r w:rsidRPr="00E3056D">
        <w:t xml:space="preserve"> </w:t>
      </w:r>
      <w:r>
        <w:t xml:space="preserve">all </w:t>
      </w:r>
      <w:r w:rsidRPr="00E3056D">
        <w:t>working group</w:t>
      </w:r>
      <w:r>
        <w:t xml:space="preserve">s, (who are tasked with final design and delivery of the program), </w:t>
      </w:r>
      <w:r w:rsidRPr="00E3056D">
        <w:t>include representation</w:t>
      </w:r>
      <w:r>
        <w:t xml:space="preserve"> specifically from</w:t>
      </w:r>
      <w:r w:rsidRPr="00E3056D">
        <w:t xml:space="preserve"> </w:t>
      </w:r>
      <w:proofErr w:type="gramStart"/>
      <w:r w:rsidRPr="00E3056D">
        <w:t>community based</w:t>
      </w:r>
      <w:proofErr w:type="gramEnd"/>
      <w:r w:rsidRPr="00E3056D">
        <w:t xml:space="preserve"> organizations, consumer protection/advocates, and other special interest groups</w:t>
      </w:r>
      <w:r>
        <w:t xml:space="preserve">, which includes members or representatives from ESJ communities; </w:t>
      </w:r>
      <w:r w:rsidR="0085785C">
        <w:t xml:space="preserve">Furthers </w:t>
      </w:r>
      <w:r>
        <w:t>Goals 1, 5.</w:t>
      </w:r>
    </w:p>
    <w:p w:rsidR="000C1980" w:rsidP="00402362" w:rsidRDefault="000C1980" w14:paraId="080EFEFD" w14:textId="7D5EEEDB">
      <w:pPr>
        <w:pStyle w:val="ListBullet"/>
      </w:pPr>
      <w:r>
        <w:t xml:space="preserve">Requiring the IOUs to </w:t>
      </w:r>
      <w:r w:rsidRPr="00627C4C">
        <w:t xml:space="preserve">hold annual </w:t>
      </w:r>
      <w:r>
        <w:t>p</w:t>
      </w:r>
      <w:r w:rsidRPr="00627C4C">
        <w:t xml:space="preserve">ublic </w:t>
      </w:r>
      <w:r>
        <w:t>m</w:t>
      </w:r>
      <w:r w:rsidRPr="00627C4C">
        <w:t>eeting</w:t>
      </w:r>
      <w:r>
        <w:t>s</w:t>
      </w:r>
      <w:r w:rsidRPr="00627C4C">
        <w:t xml:space="preserve"> to discuss </w:t>
      </w:r>
      <w:r>
        <w:t xml:space="preserve">program progress with community members; </w:t>
      </w:r>
      <w:r w:rsidR="0085785C">
        <w:t xml:space="preserve">Furthers </w:t>
      </w:r>
      <w:r>
        <w:t>Goal 5.</w:t>
      </w:r>
    </w:p>
    <w:p w:rsidR="000C1980" w:rsidP="00402362" w:rsidRDefault="000C1980" w14:paraId="4258D8AC" w14:textId="3DFE4F08">
      <w:pPr>
        <w:pStyle w:val="ListBullet"/>
      </w:pPr>
      <w:r>
        <w:t xml:space="preserve">Requiring the consideration of the development of a </w:t>
      </w:r>
      <w:r>
        <w:rPr>
          <w:rFonts w:eastAsia="Book Antiqua" w:cs="Book Antiqua"/>
          <w:szCs w:val="26"/>
        </w:rPr>
        <w:t>UAS</w:t>
      </w:r>
      <w:r>
        <w:t xml:space="preserve"> that would provide </w:t>
      </w:r>
      <w:proofErr w:type="gramStart"/>
      <w:r>
        <w:t>low income</w:t>
      </w:r>
      <w:proofErr w:type="gramEnd"/>
      <w:r>
        <w:t xml:space="preserve"> customers various registration pathways into multiple affordable programs (including clean energy programs), easing the enrollment process and decreasing barriers to participation; </w:t>
      </w:r>
      <w:r w:rsidR="0085785C">
        <w:t xml:space="preserve">Furthers </w:t>
      </w:r>
      <w:r>
        <w:t>Goals 1, 2, 5.</w:t>
      </w:r>
    </w:p>
    <w:p w:rsidR="000C1980" w:rsidP="00402362" w:rsidRDefault="000C1980" w14:paraId="657D1121" w14:textId="602AA8F7">
      <w:pPr>
        <w:pStyle w:val="ListBullet"/>
      </w:pPr>
      <w:r>
        <w:t xml:space="preserve">Recommending IOU engagement and collaboration with CARB and GRID Alternatives on the Access Clean California tool, which would provide a single application connecting residents </w:t>
      </w:r>
      <w:r>
        <w:lastRenderedPageBreak/>
        <w:t xml:space="preserve">with the state’s clean energy and transportation equity programs; </w:t>
      </w:r>
      <w:r w:rsidR="0085785C">
        <w:t xml:space="preserve">Furthers </w:t>
      </w:r>
      <w:r>
        <w:t>Goals 1, 2, 3, 5.</w:t>
      </w:r>
    </w:p>
    <w:p w:rsidR="000C1980" w:rsidP="00402362" w:rsidRDefault="000C1980" w14:paraId="0A07063E" w14:textId="5FA0FB5F">
      <w:pPr>
        <w:pStyle w:val="ListBullet"/>
      </w:pPr>
      <w:r>
        <w:t xml:space="preserve">Prioritizing the below customer segments for outreach, education, and treatment which are inclusive of ESJ community members; </w:t>
      </w:r>
      <w:r w:rsidR="0085785C">
        <w:t xml:space="preserve">Furthers </w:t>
      </w:r>
      <w:r>
        <w:t xml:space="preserve">Goal 1. </w:t>
      </w:r>
    </w:p>
    <w:tbl>
      <w:tblPr>
        <w:tblW w:w="0" w:type="auto"/>
        <w:tblInd w:w="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312"/>
        <w:gridCol w:w="2808"/>
        <w:gridCol w:w="2700"/>
      </w:tblGrid>
      <w:tr w:rsidR="000C1980" w:rsidTr="0078394E" w14:paraId="251956D4" w14:textId="77777777">
        <w:tc>
          <w:tcPr>
            <w:tcW w:w="3312" w:type="dxa"/>
          </w:tcPr>
          <w:p w:rsidRPr="00014610" w:rsidR="000C1980" w:rsidP="000C1980" w:rsidRDefault="00D12CF5" w14:paraId="4A87378A" w14:textId="218B64C7">
            <w:pPr>
              <w:spacing w:beforeAutospacing="1" w:afterAutospacing="1"/>
              <w:jc w:val="center"/>
              <w:rPr>
                <w:rFonts w:eastAsia="Garamond" w:cs="Garamond"/>
                <w:szCs w:val="26"/>
              </w:rPr>
            </w:pPr>
            <w:r>
              <w:rPr>
                <w:rFonts w:eastAsia="Garamond" w:cs="Garamond"/>
                <w:b/>
                <w:bCs/>
                <w:szCs w:val="26"/>
              </w:rPr>
              <w:t xml:space="preserve">By </w:t>
            </w:r>
            <w:r w:rsidRPr="00014610" w:rsidR="000C1980">
              <w:rPr>
                <w:rFonts w:eastAsia="Garamond" w:cs="Garamond"/>
                <w:b/>
                <w:bCs/>
                <w:szCs w:val="26"/>
              </w:rPr>
              <w:t>Financial</w:t>
            </w:r>
            <w:r w:rsidR="0078394E">
              <w:rPr>
                <w:rFonts w:eastAsia="Garamond" w:cs="Garamond"/>
                <w:b/>
                <w:bCs/>
                <w:szCs w:val="26"/>
              </w:rPr>
              <w:t>s</w:t>
            </w:r>
          </w:p>
        </w:tc>
        <w:tc>
          <w:tcPr>
            <w:tcW w:w="2808" w:type="dxa"/>
          </w:tcPr>
          <w:p w:rsidRPr="00014610" w:rsidR="000C1980" w:rsidP="000C1980" w:rsidRDefault="0078394E" w14:paraId="406A79C2" w14:textId="2D4B8407">
            <w:pPr>
              <w:spacing w:beforeAutospacing="1" w:afterAutospacing="1"/>
              <w:jc w:val="center"/>
              <w:rPr>
                <w:rFonts w:eastAsia="Garamond" w:cs="Garamond"/>
                <w:szCs w:val="26"/>
              </w:rPr>
            </w:pPr>
            <w:r>
              <w:rPr>
                <w:rFonts w:eastAsia="Garamond" w:cs="Garamond"/>
                <w:b/>
                <w:bCs/>
                <w:szCs w:val="26"/>
              </w:rPr>
              <w:t xml:space="preserve">By </w:t>
            </w:r>
            <w:r w:rsidRPr="00014610" w:rsidR="000C1980">
              <w:rPr>
                <w:rFonts w:eastAsia="Garamond" w:cs="Garamond"/>
                <w:b/>
                <w:bCs/>
                <w:szCs w:val="26"/>
              </w:rPr>
              <w:t>Location</w:t>
            </w:r>
          </w:p>
        </w:tc>
        <w:tc>
          <w:tcPr>
            <w:tcW w:w="2700" w:type="dxa"/>
          </w:tcPr>
          <w:p w:rsidRPr="00014610" w:rsidR="000C1980" w:rsidP="000C1980" w:rsidRDefault="0078394E" w14:paraId="4FCDCC09" w14:textId="6977148C">
            <w:pPr>
              <w:spacing w:beforeAutospacing="1" w:afterAutospacing="1"/>
              <w:jc w:val="center"/>
              <w:rPr>
                <w:rFonts w:eastAsia="Garamond" w:cs="Garamond"/>
                <w:szCs w:val="26"/>
              </w:rPr>
            </w:pPr>
            <w:r>
              <w:rPr>
                <w:rFonts w:eastAsia="Garamond" w:cs="Garamond"/>
                <w:b/>
                <w:bCs/>
                <w:szCs w:val="26"/>
              </w:rPr>
              <w:t xml:space="preserve">By </w:t>
            </w:r>
            <w:r w:rsidRPr="00014610" w:rsidR="000C1980">
              <w:rPr>
                <w:rFonts w:eastAsia="Garamond" w:cs="Garamond"/>
                <w:b/>
                <w:bCs/>
                <w:szCs w:val="26"/>
              </w:rPr>
              <w:t>Health Condition</w:t>
            </w:r>
          </w:p>
        </w:tc>
      </w:tr>
      <w:tr w:rsidR="000C1980" w:rsidTr="0078394E" w14:paraId="5508CF90" w14:textId="77777777">
        <w:tc>
          <w:tcPr>
            <w:tcW w:w="3312" w:type="dxa"/>
          </w:tcPr>
          <w:p w:rsidRPr="00014610" w:rsidR="000C1980" w:rsidP="000C1980" w:rsidRDefault="000C1980" w14:paraId="5824C986"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CARE</w:t>
            </w:r>
            <w:r w:rsidRPr="00014610">
              <w:rPr>
                <w:rFonts w:eastAsia="Cambria Math" w:cs="Cambria Math"/>
                <w:color w:val="000000" w:themeColor="text1"/>
                <w:szCs w:val="26"/>
              </w:rPr>
              <w:t> </w:t>
            </w:r>
            <w:r w:rsidRPr="00014610">
              <w:rPr>
                <w:rFonts w:eastAsia="Garamond" w:cs="Garamond"/>
                <w:color w:val="000000" w:themeColor="text1"/>
                <w:szCs w:val="26"/>
              </w:rPr>
              <w:t> </w:t>
            </w:r>
          </w:p>
        </w:tc>
        <w:tc>
          <w:tcPr>
            <w:tcW w:w="2808" w:type="dxa"/>
          </w:tcPr>
          <w:p w:rsidRPr="00014610" w:rsidR="000C1980" w:rsidP="000C1980" w:rsidRDefault="000C1980" w14:paraId="1653F099"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DAC </w:t>
            </w:r>
          </w:p>
        </w:tc>
        <w:tc>
          <w:tcPr>
            <w:tcW w:w="2700" w:type="dxa"/>
          </w:tcPr>
          <w:p w:rsidRPr="00014610" w:rsidR="000C1980" w:rsidP="000C1980" w:rsidRDefault="000C1980" w14:paraId="2D41EC09"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Medical Baseline </w:t>
            </w:r>
          </w:p>
        </w:tc>
      </w:tr>
      <w:tr w:rsidR="000C1980" w:rsidTr="0078394E" w14:paraId="4FD19A36" w14:textId="77777777">
        <w:tc>
          <w:tcPr>
            <w:tcW w:w="3312" w:type="dxa"/>
          </w:tcPr>
          <w:p w:rsidRPr="00014610" w:rsidR="000C1980" w:rsidP="000C1980" w:rsidRDefault="000C1980" w14:paraId="4E0FAD4A"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Disconnected </w:t>
            </w:r>
          </w:p>
        </w:tc>
        <w:tc>
          <w:tcPr>
            <w:tcW w:w="2808" w:type="dxa"/>
          </w:tcPr>
          <w:p w:rsidRPr="00014610" w:rsidR="000C1980" w:rsidP="000C1980" w:rsidRDefault="000C1980" w14:paraId="4A77D1E4"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Rural </w:t>
            </w:r>
          </w:p>
        </w:tc>
        <w:tc>
          <w:tcPr>
            <w:tcW w:w="2700" w:type="dxa"/>
          </w:tcPr>
          <w:p w:rsidRPr="00014610" w:rsidR="000C1980" w:rsidP="000C1980" w:rsidRDefault="000C1980" w14:paraId="71BBE1C8"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Respiratory </w:t>
            </w:r>
          </w:p>
        </w:tc>
      </w:tr>
      <w:tr w:rsidR="000C1980" w:rsidTr="0078394E" w14:paraId="6CF77C8D" w14:textId="77777777">
        <w:tc>
          <w:tcPr>
            <w:tcW w:w="3312" w:type="dxa"/>
          </w:tcPr>
          <w:p w:rsidRPr="00014610" w:rsidR="000C1980" w:rsidP="000C1980" w:rsidRDefault="000C1980" w14:paraId="3715DA77"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Arrearages </w:t>
            </w:r>
          </w:p>
        </w:tc>
        <w:tc>
          <w:tcPr>
            <w:tcW w:w="2808" w:type="dxa"/>
          </w:tcPr>
          <w:p w:rsidRPr="00014610" w:rsidR="000C1980" w:rsidP="000C1980" w:rsidRDefault="000C1980" w14:paraId="5C6AE0B2"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Tribal </w:t>
            </w:r>
          </w:p>
        </w:tc>
        <w:tc>
          <w:tcPr>
            <w:tcW w:w="2700" w:type="dxa"/>
          </w:tcPr>
          <w:p w:rsidRPr="00014610" w:rsidR="000C1980" w:rsidP="000C1980" w:rsidRDefault="000C1980" w14:paraId="0B3AE1DC"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Disabled </w:t>
            </w:r>
          </w:p>
        </w:tc>
      </w:tr>
      <w:tr w:rsidR="000C1980" w:rsidTr="0078394E" w14:paraId="565D2BFE" w14:textId="77777777">
        <w:tc>
          <w:tcPr>
            <w:tcW w:w="3312" w:type="dxa"/>
          </w:tcPr>
          <w:p w:rsidRPr="00014610" w:rsidR="000C1980" w:rsidP="000C1980" w:rsidRDefault="000C1980" w14:paraId="6D721FEF"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High usage </w:t>
            </w:r>
          </w:p>
        </w:tc>
        <w:tc>
          <w:tcPr>
            <w:tcW w:w="2808" w:type="dxa"/>
          </w:tcPr>
          <w:p w:rsidRPr="00014610" w:rsidR="000C1980" w:rsidP="000C1980" w:rsidRDefault="000C1980" w14:paraId="4E40179F"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PSPS Zone </w:t>
            </w:r>
          </w:p>
        </w:tc>
        <w:tc>
          <w:tcPr>
            <w:tcW w:w="2700" w:type="dxa"/>
          </w:tcPr>
          <w:p w:rsidRPr="00014610" w:rsidR="000C1980" w:rsidP="000C1980" w:rsidRDefault="000C1980" w14:paraId="0BD71C16" w14:textId="77777777">
            <w:pPr>
              <w:spacing w:beforeAutospacing="1" w:afterAutospacing="1"/>
              <w:rPr>
                <w:rFonts w:eastAsia="Garamond" w:cs="Garamond"/>
                <w:color w:val="000000" w:themeColor="text1"/>
                <w:szCs w:val="26"/>
              </w:rPr>
            </w:pPr>
            <w:r w:rsidRPr="00014610">
              <w:rPr>
                <w:rFonts w:eastAsia="Cambria Math" w:cs="Cambria Math"/>
                <w:color w:val="000000" w:themeColor="text1"/>
                <w:szCs w:val="26"/>
              </w:rPr>
              <w:t> </w:t>
            </w:r>
            <w:r w:rsidRPr="00014610">
              <w:rPr>
                <w:rFonts w:eastAsia="Garamond" w:cs="Garamond"/>
                <w:color w:val="000000" w:themeColor="text1"/>
                <w:szCs w:val="26"/>
              </w:rPr>
              <w:t> </w:t>
            </w:r>
          </w:p>
        </w:tc>
      </w:tr>
      <w:tr w:rsidR="000C1980" w:rsidTr="0078394E" w14:paraId="3847F740" w14:textId="77777777">
        <w:tc>
          <w:tcPr>
            <w:tcW w:w="3312" w:type="dxa"/>
          </w:tcPr>
          <w:p w:rsidRPr="00014610" w:rsidR="000C1980" w:rsidP="000C1980" w:rsidRDefault="000C1980" w14:paraId="4F6D8B5C"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High energy burden </w:t>
            </w:r>
          </w:p>
        </w:tc>
        <w:tc>
          <w:tcPr>
            <w:tcW w:w="2808" w:type="dxa"/>
          </w:tcPr>
          <w:p w:rsidRPr="00014610" w:rsidR="000C1980" w:rsidP="000C1980" w:rsidRDefault="000C1980" w14:paraId="38882B54"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Wildfire Zone </w:t>
            </w:r>
          </w:p>
        </w:tc>
        <w:tc>
          <w:tcPr>
            <w:tcW w:w="2700" w:type="dxa"/>
          </w:tcPr>
          <w:p w:rsidRPr="00014610" w:rsidR="000C1980" w:rsidP="000C1980" w:rsidRDefault="000C1980" w14:paraId="5AF3065D" w14:textId="77777777">
            <w:pPr>
              <w:spacing w:beforeAutospacing="1" w:afterAutospacing="1"/>
              <w:rPr>
                <w:rFonts w:eastAsia="Garamond" w:cs="Garamond"/>
                <w:color w:val="000000" w:themeColor="text1"/>
                <w:szCs w:val="26"/>
              </w:rPr>
            </w:pPr>
            <w:r w:rsidRPr="00014610">
              <w:rPr>
                <w:rFonts w:eastAsia="Cambria Math" w:cs="Cambria Math"/>
                <w:color w:val="000000" w:themeColor="text1"/>
                <w:szCs w:val="26"/>
              </w:rPr>
              <w:t> </w:t>
            </w:r>
            <w:r w:rsidRPr="00014610">
              <w:rPr>
                <w:rFonts w:eastAsia="Garamond" w:cs="Garamond"/>
                <w:color w:val="000000" w:themeColor="text1"/>
                <w:szCs w:val="26"/>
              </w:rPr>
              <w:t> </w:t>
            </w:r>
          </w:p>
        </w:tc>
      </w:tr>
      <w:tr w:rsidR="000C1980" w:rsidTr="0078394E" w14:paraId="2A92A37B" w14:textId="77777777">
        <w:tc>
          <w:tcPr>
            <w:tcW w:w="3312" w:type="dxa"/>
          </w:tcPr>
          <w:p w:rsidRPr="00014610" w:rsidR="000C1980" w:rsidP="000C1980" w:rsidRDefault="000C1980" w14:paraId="3BE52772"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SEVI </w:t>
            </w:r>
          </w:p>
        </w:tc>
        <w:tc>
          <w:tcPr>
            <w:tcW w:w="2808" w:type="dxa"/>
          </w:tcPr>
          <w:p w:rsidRPr="00014610" w:rsidR="000C1980" w:rsidP="000C1980" w:rsidRDefault="000C1980" w14:paraId="6127080B"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Climate Zone</w:t>
            </w:r>
            <w:r w:rsidRPr="00014610">
              <w:rPr>
                <w:rFonts w:eastAsia="Cambria Math" w:cs="Cambria Math"/>
                <w:color w:val="000000" w:themeColor="text1"/>
                <w:szCs w:val="26"/>
              </w:rPr>
              <w:t> </w:t>
            </w:r>
            <w:r w:rsidRPr="00014610">
              <w:rPr>
                <w:rFonts w:eastAsia="Garamond" w:cs="Garamond"/>
                <w:color w:val="000000" w:themeColor="text1"/>
                <w:szCs w:val="26"/>
              </w:rPr>
              <w:t> </w:t>
            </w:r>
          </w:p>
        </w:tc>
        <w:tc>
          <w:tcPr>
            <w:tcW w:w="2700" w:type="dxa"/>
          </w:tcPr>
          <w:p w:rsidRPr="00014610" w:rsidR="000C1980" w:rsidP="000C1980" w:rsidRDefault="000C1980" w14:paraId="316C80B6" w14:textId="77777777">
            <w:pPr>
              <w:spacing w:beforeAutospacing="1" w:afterAutospacing="1"/>
              <w:rPr>
                <w:rFonts w:eastAsia="Garamond" w:cs="Garamond"/>
                <w:color w:val="000000" w:themeColor="text1"/>
                <w:szCs w:val="26"/>
              </w:rPr>
            </w:pPr>
            <w:r w:rsidRPr="00014610">
              <w:rPr>
                <w:rFonts w:eastAsia="Cambria Math" w:cs="Cambria Math"/>
                <w:color w:val="000000" w:themeColor="text1"/>
                <w:szCs w:val="26"/>
              </w:rPr>
              <w:t> </w:t>
            </w:r>
            <w:r w:rsidRPr="00014610">
              <w:rPr>
                <w:rFonts w:eastAsia="Garamond" w:cs="Garamond"/>
                <w:color w:val="000000" w:themeColor="text1"/>
                <w:szCs w:val="26"/>
              </w:rPr>
              <w:t> </w:t>
            </w:r>
          </w:p>
        </w:tc>
      </w:tr>
      <w:tr w:rsidR="000C1980" w:rsidTr="0078394E" w14:paraId="090C0310" w14:textId="77777777">
        <w:tc>
          <w:tcPr>
            <w:tcW w:w="3312" w:type="dxa"/>
          </w:tcPr>
          <w:p w:rsidRPr="00014610" w:rsidR="000C1980" w:rsidP="000C1980" w:rsidRDefault="000C1980" w14:paraId="56966599"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Affordability Ratio </w:t>
            </w:r>
          </w:p>
        </w:tc>
        <w:tc>
          <w:tcPr>
            <w:tcW w:w="2808" w:type="dxa"/>
          </w:tcPr>
          <w:p w:rsidRPr="00014610" w:rsidR="000C1980" w:rsidP="000C1980" w:rsidRDefault="000C1980" w14:paraId="62C47619" w14:textId="77777777">
            <w:pPr>
              <w:spacing w:beforeAutospacing="1" w:afterAutospacing="1"/>
              <w:rPr>
                <w:rFonts w:eastAsia="Garamond" w:cs="Garamond"/>
                <w:color w:val="000000" w:themeColor="text1"/>
                <w:szCs w:val="26"/>
              </w:rPr>
            </w:pPr>
            <w:r w:rsidRPr="00014610">
              <w:rPr>
                <w:rFonts w:eastAsia="Garamond" w:cs="Garamond"/>
                <w:color w:val="000000" w:themeColor="text1"/>
                <w:szCs w:val="26"/>
              </w:rPr>
              <w:t>CARB communities </w:t>
            </w:r>
          </w:p>
        </w:tc>
        <w:tc>
          <w:tcPr>
            <w:tcW w:w="2700" w:type="dxa"/>
          </w:tcPr>
          <w:p w:rsidRPr="00014610" w:rsidR="000C1980" w:rsidP="000C1980" w:rsidRDefault="000C1980" w14:paraId="25F37CEB" w14:textId="77777777">
            <w:pPr>
              <w:spacing w:beforeAutospacing="1" w:afterAutospacing="1"/>
              <w:rPr>
                <w:rFonts w:eastAsia="Garamond" w:cs="Garamond"/>
                <w:color w:val="000000" w:themeColor="text1"/>
                <w:szCs w:val="26"/>
              </w:rPr>
            </w:pPr>
            <w:r w:rsidRPr="00014610">
              <w:rPr>
                <w:rFonts w:eastAsia="Cambria Math" w:cs="Cambria Math"/>
                <w:color w:val="000000" w:themeColor="text1"/>
                <w:szCs w:val="26"/>
              </w:rPr>
              <w:t> </w:t>
            </w:r>
            <w:r w:rsidRPr="00014610">
              <w:rPr>
                <w:rFonts w:eastAsia="Garamond" w:cs="Garamond"/>
                <w:color w:val="000000" w:themeColor="text1"/>
                <w:szCs w:val="26"/>
              </w:rPr>
              <w:t> </w:t>
            </w:r>
          </w:p>
        </w:tc>
      </w:tr>
    </w:tbl>
    <w:p w:rsidRPr="00473C7C" w:rsidR="000C1980" w:rsidP="00402362" w:rsidRDefault="000C1980" w14:paraId="2CDE3F6D" w14:textId="77777777">
      <w:pPr>
        <w:pStyle w:val="ListBullet"/>
        <w:numPr>
          <w:ilvl w:val="0"/>
          <w:numId w:val="0"/>
        </w:numPr>
        <w:ind w:left="1080"/>
        <w:rPr>
          <w:sz w:val="10"/>
          <w:szCs w:val="10"/>
        </w:rPr>
      </w:pPr>
    </w:p>
    <w:p w:rsidR="000C1980" w:rsidP="00402362" w:rsidRDefault="000C1980" w14:paraId="6533FE6E" w14:textId="3DD85E14">
      <w:pPr>
        <w:pStyle w:val="ListBullet"/>
      </w:pPr>
      <w:r>
        <w:t>Approving advanced treatment offerings, and investment, for specific customer segments which are inclusive of ESJ community members;</w:t>
      </w:r>
      <w:r w:rsidRPr="00DB021A">
        <w:t xml:space="preserve"> </w:t>
      </w:r>
      <w:r w:rsidR="0085785C">
        <w:t xml:space="preserve">Furthers </w:t>
      </w:r>
      <w:r>
        <w:t>Goals 1, 2, 4.</w:t>
      </w:r>
    </w:p>
    <w:p w:rsidR="000C1980" w:rsidP="00402362" w:rsidRDefault="000C1980" w14:paraId="16B4A6E4" w14:textId="309DF4B1">
      <w:pPr>
        <w:pStyle w:val="ListBullet"/>
      </w:pPr>
      <w:r>
        <w:t xml:space="preserve">Requiring the IOUs to track ESA treatment levels and efforts within specific customer segments in their reporting to the Commission; </w:t>
      </w:r>
      <w:r w:rsidR="0085785C">
        <w:t xml:space="preserve">Furthers </w:t>
      </w:r>
      <w:r>
        <w:t>Goals 1, 9.</w:t>
      </w:r>
    </w:p>
    <w:p w:rsidR="000C1980" w:rsidP="00402362" w:rsidRDefault="000C1980" w14:paraId="2B734601" w14:textId="3EB5ECEB">
      <w:pPr>
        <w:pStyle w:val="ListBullet"/>
      </w:pPr>
      <w:r>
        <w:t>Approving funding agreements to those point persons in Tribal communities that assist with outreach for ESA</w:t>
      </w:r>
      <w:r w:rsidR="0078394E">
        <w:t>, FERA</w:t>
      </w:r>
      <w:r>
        <w:t xml:space="preserve"> and CARE; </w:t>
      </w:r>
      <w:r w:rsidR="0085785C">
        <w:t xml:space="preserve">Furthers </w:t>
      </w:r>
      <w:r>
        <w:t>Goals 1, 5.</w:t>
      </w:r>
    </w:p>
    <w:p w:rsidR="000C1980" w:rsidP="00402362" w:rsidRDefault="000C1980" w14:paraId="005171A7" w14:textId="23224946">
      <w:pPr>
        <w:pStyle w:val="ListBullet"/>
      </w:pPr>
      <w:r>
        <w:t xml:space="preserve">Requiring the IOUs to extend and encourage participation of the CARE/FERA capitation program in Tribal communities; </w:t>
      </w:r>
      <w:r w:rsidR="0085785C">
        <w:t xml:space="preserve">Furthers </w:t>
      </w:r>
      <w:r>
        <w:t>Goals 1, 5.</w:t>
      </w:r>
    </w:p>
    <w:p w:rsidR="000C1980" w:rsidP="00402362" w:rsidRDefault="000C1980" w14:paraId="4F81CC9D" w14:textId="56CCA101">
      <w:pPr>
        <w:pStyle w:val="ListBullet"/>
      </w:pPr>
      <w:r>
        <w:t xml:space="preserve">Leveraging with </w:t>
      </w:r>
      <w:proofErr w:type="spellStart"/>
      <w:r>
        <w:t>Life</w:t>
      </w:r>
      <w:r w:rsidR="003B1DBB">
        <w:t>L</w:t>
      </w:r>
      <w:r>
        <w:t>ine</w:t>
      </w:r>
      <w:proofErr w:type="spellEnd"/>
      <w:r>
        <w:t xml:space="preserve">, CETF and water utilities, which include co-promotion and marketing efforts, co-funding of water measures, and data sharing and customer referrals with </w:t>
      </w:r>
      <w:proofErr w:type="spellStart"/>
      <w:r>
        <w:t>Life</w:t>
      </w:r>
      <w:r w:rsidR="003B1DBB">
        <w:t>L</w:t>
      </w:r>
      <w:r>
        <w:t>ine</w:t>
      </w:r>
      <w:proofErr w:type="spellEnd"/>
      <w:r>
        <w:t xml:space="preserve"> and water utilities; </w:t>
      </w:r>
      <w:r w:rsidR="0085785C">
        <w:t xml:space="preserve">Furthers </w:t>
      </w:r>
      <w:r>
        <w:t xml:space="preserve">Goal 3.  </w:t>
      </w:r>
    </w:p>
    <w:p w:rsidR="000C1980" w:rsidP="00402362" w:rsidRDefault="000C1980" w14:paraId="41937EAD" w14:textId="03498C6B">
      <w:pPr>
        <w:pStyle w:val="ListBullet"/>
      </w:pPr>
      <w:r>
        <w:t xml:space="preserve">Approving a Building Electrification pilot that will offer high-usage, income-qualified single-family households in DACs electrification measures at no cost; </w:t>
      </w:r>
      <w:r w:rsidR="0085785C">
        <w:t xml:space="preserve">Furthers </w:t>
      </w:r>
      <w:r>
        <w:t>Goals 1, 2, 4.</w:t>
      </w:r>
    </w:p>
    <w:p w:rsidR="000C1980" w:rsidP="00402362" w:rsidRDefault="000C1980" w14:paraId="526F7A54" w14:textId="379C8B4F">
      <w:pPr>
        <w:pStyle w:val="ListBullet"/>
      </w:pPr>
      <w:r>
        <w:t xml:space="preserve">Approving a Clean Energy Homes pilot that will provide incentives for </w:t>
      </w:r>
      <w:proofErr w:type="gramStart"/>
      <w:r>
        <w:t>low income</w:t>
      </w:r>
      <w:proofErr w:type="gramEnd"/>
      <w:r>
        <w:t xml:space="preserve"> housing developers to incorporate </w:t>
      </w:r>
      <w:r>
        <w:lastRenderedPageBreak/>
        <w:t xml:space="preserve">electrification into the designs of new construction, with a goal to reduce energy bills for the low income customer, reduce GHG emissions associated with burning fossil fuels, and ease participation in customer programs; </w:t>
      </w:r>
      <w:r w:rsidR="0085785C">
        <w:t xml:space="preserve">Furthers </w:t>
      </w:r>
      <w:r>
        <w:t>Goals 1, 2, 4.</w:t>
      </w:r>
    </w:p>
    <w:p w:rsidR="000C1980" w:rsidP="00402362" w:rsidRDefault="000C1980" w14:paraId="19B4CD4C" w14:textId="0B993683">
      <w:pPr>
        <w:pStyle w:val="ListBullet"/>
      </w:pPr>
      <w:r>
        <w:t>Requiring the IOUs to ensure</w:t>
      </w:r>
      <w:r w:rsidRPr="00F21BE0">
        <w:t xml:space="preserve"> additional workforce development opportunities </w:t>
      </w:r>
      <w:r>
        <w:t>and</w:t>
      </w:r>
      <w:r w:rsidRPr="00F21BE0">
        <w:t xml:space="preserve"> hiring within local communities, </w:t>
      </w:r>
      <w:r>
        <w:t>specifically in</w:t>
      </w:r>
      <w:r w:rsidRPr="00F21BE0">
        <w:t xml:space="preserve"> DACs</w:t>
      </w:r>
      <w:r>
        <w:t xml:space="preserve"> (via IOU </w:t>
      </w:r>
      <w:r w:rsidRPr="002863FE">
        <w:t xml:space="preserve">partnerships </w:t>
      </w:r>
      <w:r>
        <w:t xml:space="preserve">with </w:t>
      </w:r>
      <w:r w:rsidRPr="002863FE">
        <w:t>the California Workforce Development Board’s Energy and Climate Jobs Initiative</w:t>
      </w:r>
      <w:r>
        <w:t xml:space="preserve">, </w:t>
      </w:r>
      <w:r w:rsidRPr="002863FE">
        <w:t>community colleg</w:t>
      </w:r>
      <w:r>
        <w:t>es</w:t>
      </w:r>
      <w:r w:rsidRPr="002863FE">
        <w:t xml:space="preserve">, </w:t>
      </w:r>
      <w:r>
        <w:t xml:space="preserve">and </w:t>
      </w:r>
      <w:r w:rsidRPr="002863FE">
        <w:t xml:space="preserve">organizations </w:t>
      </w:r>
      <w:r>
        <w:t xml:space="preserve">providing services </w:t>
      </w:r>
      <w:r w:rsidRPr="002863FE">
        <w:t>in DACs</w:t>
      </w:r>
      <w:r>
        <w:t xml:space="preserve">); </w:t>
      </w:r>
      <w:r w:rsidR="0085785C">
        <w:t xml:space="preserve">Furthers </w:t>
      </w:r>
      <w:r>
        <w:t>Goal 7.</w:t>
      </w:r>
    </w:p>
    <w:p w:rsidR="000C1980" w:rsidP="00402362" w:rsidRDefault="000C1980" w14:paraId="48349BD9" w14:textId="0FCCFDC9">
      <w:pPr>
        <w:pStyle w:val="ListBullet"/>
      </w:pPr>
      <w:r>
        <w:t xml:space="preserve">Requiring the IOUs to track </w:t>
      </w:r>
      <w:r w:rsidRPr="00023910">
        <w:t xml:space="preserve">ESA </w:t>
      </w:r>
      <w:r>
        <w:t xml:space="preserve">workforce, education, and training efforts in their annual reporting to the Commission; </w:t>
      </w:r>
      <w:r w:rsidR="0085785C">
        <w:t xml:space="preserve">Furthers </w:t>
      </w:r>
      <w:r>
        <w:t>Goals 7, 9.</w:t>
      </w:r>
    </w:p>
    <w:p w:rsidRPr="009B5AD9" w:rsidR="000C1980" w:rsidP="000C1980" w:rsidRDefault="000C1980" w14:paraId="254BB95D" w14:textId="77777777">
      <w:pPr>
        <w:pStyle w:val="Standard"/>
      </w:pPr>
      <w:r>
        <w:t>We are confident that the objectives and actions taken here are necessary and will advance the Commission towards the state’s equity goals</w:t>
      </w:r>
      <w:r w:rsidRPr="00D22F02">
        <w:t>.</w:t>
      </w:r>
      <w:r>
        <w:t xml:space="preserve"> </w:t>
      </w:r>
    </w:p>
    <w:p w:rsidRPr="00F700A1" w:rsidR="000C1980" w:rsidP="00473C7C" w:rsidRDefault="000C1980" w14:paraId="6512DCFB" w14:textId="77777777">
      <w:pPr>
        <w:pStyle w:val="Heading1"/>
        <w:tabs>
          <w:tab w:val="left" w:pos="540"/>
        </w:tabs>
      </w:pPr>
      <w:bookmarkStart w:name="_Toc69948300" w:id="661"/>
      <w:r w:rsidRPr="00682805">
        <w:t>Miscellaneous</w:t>
      </w:r>
      <w:r w:rsidRPr="00F700A1">
        <w:t xml:space="preserve"> </w:t>
      </w:r>
      <w:r>
        <w:t>Issues</w:t>
      </w:r>
      <w:bookmarkEnd w:id="661"/>
    </w:p>
    <w:p w:rsidR="000C1980" w:rsidP="00682805" w:rsidRDefault="000C1980" w14:paraId="1FB46BDE" w14:textId="77777777">
      <w:pPr>
        <w:pStyle w:val="Heading2"/>
      </w:pPr>
      <w:bookmarkStart w:name="_Toc69948301" w:id="662"/>
      <w:r w:rsidRPr="00A64294">
        <w:t xml:space="preserve">ESA/CARE Study </w:t>
      </w:r>
      <w:r w:rsidRPr="00682805">
        <w:t>Working</w:t>
      </w:r>
      <w:r w:rsidRPr="00A64294">
        <w:t xml:space="preserve"> Group</w:t>
      </w:r>
      <w:bookmarkEnd w:id="662"/>
    </w:p>
    <w:p w:rsidRPr="00A64294" w:rsidR="000C1980" w:rsidP="000C1980" w:rsidRDefault="000C1980" w14:paraId="679ADF97" w14:textId="56F9F931">
      <w:pPr>
        <w:pStyle w:val="Standard"/>
      </w:pPr>
      <w:r w:rsidRPr="00A64294">
        <w:t>The IOUs jointly propose the formation of an ESA/CARE Study Working Group to provide a transparent and robust study process.</w:t>
      </w:r>
      <w:r w:rsidRPr="00A64294">
        <w:rPr>
          <w:vertAlign w:val="superscript"/>
        </w:rPr>
        <w:footnoteReference w:id="1056"/>
      </w:r>
      <w:r w:rsidRPr="00A64294">
        <w:t xml:space="preserve"> This working group will hold quarterly meetings, jointly review proposed study statements of work, and participate in project kick-offs to provide input on the scope, timeline, and budget of studies.</w:t>
      </w:r>
      <w:r w:rsidRPr="00A64294">
        <w:rPr>
          <w:vertAlign w:val="superscript"/>
        </w:rPr>
        <w:footnoteReference w:id="1057"/>
      </w:r>
      <w:r w:rsidRPr="00A64294">
        <w:t xml:space="preserve"> </w:t>
      </w:r>
      <w:r>
        <w:t xml:space="preserve"> </w:t>
      </w:r>
      <w:r w:rsidRPr="00A64294">
        <w:t>The goal is to create more relevant and focused studies that include budgets that are commensurate with the specific objectives and methodology necessary to execute the work for each study.</w:t>
      </w:r>
      <w:r w:rsidRPr="00A64294">
        <w:rPr>
          <w:vertAlign w:val="superscript"/>
        </w:rPr>
        <w:footnoteReference w:id="1058"/>
      </w:r>
      <w:r>
        <w:t xml:space="preserve">  </w:t>
      </w:r>
      <w:r w:rsidRPr="00A64294">
        <w:t>The ESA/CARE Study Working Group will be formed in order to provide a transparent and robust study process.</w:t>
      </w:r>
      <w:r w:rsidRPr="00A64294">
        <w:rPr>
          <w:vertAlign w:val="superscript"/>
        </w:rPr>
        <w:footnoteReference w:id="1059"/>
      </w:r>
      <w:r w:rsidRPr="00A64294">
        <w:t xml:space="preserve"> </w:t>
      </w:r>
      <w:r>
        <w:t xml:space="preserve"> </w:t>
      </w:r>
      <w:r w:rsidRPr="00A64294">
        <w:t xml:space="preserve">The IOUs propose that the </w:t>
      </w:r>
      <w:r>
        <w:t>w</w:t>
      </w:r>
      <w:r w:rsidRPr="00A64294">
        <w:t xml:space="preserve">orking </w:t>
      </w:r>
      <w:r>
        <w:t>g</w:t>
      </w:r>
      <w:r w:rsidRPr="00A64294">
        <w:t xml:space="preserve">roup manage the </w:t>
      </w:r>
      <w:r w:rsidRPr="00A64294">
        <w:lastRenderedPageBreak/>
        <w:t>studies using a flexible studies roadmap approach to be updated on an annual basis, and manage specific studies through a five step development and reporting process.</w:t>
      </w:r>
      <w:r>
        <w:t xml:space="preserve"> </w:t>
      </w:r>
      <w:r w:rsidRPr="00A64294">
        <w:t xml:space="preserve"> The </w:t>
      </w:r>
      <w:r>
        <w:t>w</w:t>
      </w:r>
      <w:r w:rsidRPr="00A64294">
        <w:t xml:space="preserve">orking </w:t>
      </w:r>
      <w:r>
        <w:t>g</w:t>
      </w:r>
      <w:r w:rsidRPr="00A64294">
        <w:t>roup will be composed of Energy Division staff, stakeholders, and IOUs using a consensus approach.</w:t>
      </w:r>
      <w:r w:rsidRPr="00A64294">
        <w:rPr>
          <w:vertAlign w:val="superscript"/>
        </w:rPr>
        <w:footnoteReference w:id="1060"/>
      </w:r>
      <w:r w:rsidRPr="00A64294">
        <w:t xml:space="preserve"> </w:t>
      </w:r>
    </w:p>
    <w:p w:rsidR="000C1980" w:rsidP="00682805" w:rsidRDefault="000C1980" w14:paraId="3B8089AF" w14:textId="77777777">
      <w:pPr>
        <w:pStyle w:val="Heading3"/>
      </w:pPr>
      <w:bookmarkStart w:name="_Toc69948302" w:id="663"/>
      <w:r>
        <w:t>Party Positions</w:t>
      </w:r>
      <w:bookmarkEnd w:id="663"/>
    </w:p>
    <w:p w:rsidRPr="00A64294" w:rsidR="000C1980" w:rsidP="0023091F" w:rsidRDefault="000C1980" w14:paraId="4D2ED2A5" w14:textId="77777777">
      <w:pPr>
        <w:pStyle w:val="ALJBodyText"/>
      </w:pPr>
      <w:r w:rsidRPr="00D80C80">
        <w:t>No substantive party comments were received on this topic</w:t>
      </w:r>
      <w:r>
        <w:t>.</w:t>
      </w:r>
    </w:p>
    <w:p w:rsidR="000C1980" w:rsidP="00682805" w:rsidRDefault="000C1980" w14:paraId="1853D624" w14:textId="17567B1D">
      <w:pPr>
        <w:pStyle w:val="Heading3"/>
      </w:pPr>
      <w:bookmarkStart w:name="_Toc69948303" w:id="664"/>
      <w:r>
        <w:t>Discussion</w:t>
      </w:r>
      <w:bookmarkEnd w:id="664"/>
    </w:p>
    <w:p w:rsidR="000C1980" w:rsidP="00682805" w:rsidRDefault="000C1980" w14:paraId="634AE084" w14:textId="77777777">
      <w:pPr>
        <w:pStyle w:val="Heading4"/>
      </w:pPr>
      <w:bookmarkStart w:name="_Toc69948304" w:id="665"/>
      <w:r w:rsidRPr="00A64294">
        <w:t>ESA/CARE Study Working Group</w:t>
      </w:r>
      <w:r>
        <w:t xml:space="preserve">: </w:t>
      </w:r>
      <w:r w:rsidRPr="00656C65">
        <w:rPr>
          <w:u w:val="single"/>
        </w:rPr>
        <w:t>Approved</w:t>
      </w:r>
      <w:r>
        <w:rPr>
          <w:u w:val="single"/>
        </w:rPr>
        <w:t xml:space="preserve"> with Modifications</w:t>
      </w:r>
      <w:bookmarkEnd w:id="665"/>
    </w:p>
    <w:p w:rsidR="000C1980" w:rsidP="0023091F" w:rsidRDefault="000C1980" w14:paraId="4A94260F" w14:textId="77777777">
      <w:pPr>
        <w:pStyle w:val="ALJBodyText"/>
        <w:rPr>
          <w:rFonts w:eastAsia="Book Antiqua" w:cs="Book Antiqua"/>
        </w:rPr>
      </w:pPr>
      <w:r>
        <w:t xml:space="preserve">We </w:t>
      </w:r>
      <w:r w:rsidRPr="00C10A45">
        <w:t>find this working group approach reasonable and sound</w:t>
      </w:r>
      <w:r>
        <w:t xml:space="preserve"> and approve the formation of the ESA/CARE Study Working Group to provide a collaborative, stakeholder-inclusive and consensus-based process towards managing the IOUs’ non-statutory ESA and CARE studies during the program cycle.  We also recommend that the ESA/CARE Study Working Group work closely with the ESA Working Group to coordinate and avoid duplication on certain topics </w:t>
      </w:r>
      <w:r w:rsidRPr="006B7E5A">
        <w:rPr>
          <w:rFonts w:eastAsia="Book Antiqua" w:cs="Book Antiqua"/>
          <w:color w:val="000000" w:themeColor="text1"/>
        </w:rPr>
        <w:t>E</w:t>
      </w:r>
      <w:r w:rsidRPr="7322295A">
        <w:rPr>
          <w:rFonts w:eastAsia="Book Antiqua" w:cs="Book Antiqua"/>
          <w:color w:val="000000" w:themeColor="text1"/>
        </w:rPr>
        <w:t xml:space="preserve">nergy </w:t>
      </w:r>
      <w:r w:rsidRPr="006B7E5A">
        <w:rPr>
          <w:rFonts w:eastAsia="Book Antiqua" w:cs="Book Antiqua"/>
          <w:color w:val="000000" w:themeColor="text1"/>
        </w:rPr>
        <w:t>D</w:t>
      </w:r>
      <w:r w:rsidRPr="7322295A">
        <w:rPr>
          <w:rFonts w:eastAsia="Book Antiqua" w:cs="Book Antiqua"/>
          <w:color w:val="000000" w:themeColor="text1"/>
        </w:rPr>
        <w:t>ivision</w:t>
      </w:r>
      <w:r w:rsidRPr="006B7E5A">
        <w:rPr>
          <w:rFonts w:eastAsia="Book Antiqua" w:cs="Book Antiqua"/>
          <w:color w:val="000000" w:themeColor="text1"/>
        </w:rPr>
        <w:t xml:space="preserve">, in consultation with </w:t>
      </w:r>
      <w:r w:rsidRPr="7322295A">
        <w:rPr>
          <w:rFonts w:eastAsia="Book Antiqua" w:cs="Book Antiqua"/>
          <w:color w:val="000000" w:themeColor="text1"/>
        </w:rPr>
        <w:t xml:space="preserve">the </w:t>
      </w:r>
      <w:r w:rsidRPr="006B7E5A">
        <w:rPr>
          <w:rFonts w:eastAsia="Book Antiqua" w:cs="Book Antiqua"/>
          <w:color w:val="000000" w:themeColor="text1"/>
        </w:rPr>
        <w:t xml:space="preserve">IOUs, </w:t>
      </w:r>
      <w:r w:rsidRPr="7322295A">
        <w:rPr>
          <w:rFonts w:eastAsia="Book Antiqua" w:cs="Book Antiqua"/>
          <w:color w:val="000000" w:themeColor="text1"/>
        </w:rPr>
        <w:t xml:space="preserve">may </w:t>
      </w:r>
      <w:r w:rsidRPr="006B7E5A">
        <w:rPr>
          <w:rFonts w:eastAsia="Book Antiqua" w:cs="Book Antiqua"/>
          <w:color w:val="000000" w:themeColor="text1"/>
        </w:rPr>
        <w:t xml:space="preserve">assign </w:t>
      </w:r>
      <w:r w:rsidRPr="7322295A">
        <w:rPr>
          <w:rFonts w:eastAsia="Book Antiqua" w:cs="Book Antiqua"/>
          <w:color w:val="000000" w:themeColor="text1"/>
        </w:rPr>
        <w:t>an</w:t>
      </w:r>
      <w:r w:rsidRPr="006B7E5A">
        <w:rPr>
          <w:rFonts w:eastAsia="Book Antiqua" w:cs="Book Antiqua"/>
          <w:color w:val="000000" w:themeColor="text1"/>
        </w:rPr>
        <w:t xml:space="preserve"> IOU</w:t>
      </w:r>
      <w:r>
        <w:rPr>
          <w:rFonts w:eastAsia="Book Antiqua" w:cs="Book Antiqua"/>
          <w:color w:val="000000" w:themeColor="text1"/>
        </w:rPr>
        <w:t xml:space="preserve">.  </w:t>
      </w:r>
      <w:r w:rsidRPr="006B7E5A">
        <w:rPr>
          <w:rFonts w:eastAsia="Book Antiqua" w:cs="Book Antiqua"/>
          <w:color w:val="000000" w:themeColor="text1"/>
        </w:rPr>
        <w:t xml:space="preserve"> </w:t>
      </w:r>
    </w:p>
    <w:p w:rsidR="000C1980" w:rsidP="0023091F" w:rsidRDefault="000C1980" w14:paraId="3084DBD3" w14:textId="47E935BD">
      <w:pPr>
        <w:pStyle w:val="ALJBodyText"/>
      </w:pPr>
      <w:r>
        <w:t xml:space="preserve">To further ensure that the organization and size of this working group is manageable, effective, and representative of all interest groups, we modify the working group membership to comprise </w:t>
      </w:r>
      <w:r w:rsidRPr="00C10A45">
        <w:t>of the IOUs’ representatives, Energy Division staff</w:t>
      </w:r>
      <w:r>
        <w:t xml:space="preserve">, </w:t>
      </w:r>
      <w:r w:rsidRPr="00C10A45">
        <w:t xml:space="preserve">and </w:t>
      </w:r>
      <w:r>
        <w:t xml:space="preserve">no </w:t>
      </w:r>
      <w:r w:rsidRPr="00C10A45">
        <w:t xml:space="preserve">more than two representatives from each segment of the </w:t>
      </w:r>
      <w:r>
        <w:t xml:space="preserve">following interest groups:  </w:t>
      </w:r>
      <w:r w:rsidRPr="00C10A45">
        <w:t xml:space="preserve">contractors, </w:t>
      </w:r>
      <w:r>
        <w:t>CBOs</w:t>
      </w:r>
      <w:r w:rsidRPr="00C10A45">
        <w:t xml:space="preserve">, </w:t>
      </w:r>
      <w:r>
        <w:t xml:space="preserve">Cal Advocates, </w:t>
      </w:r>
      <w:r w:rsidRPr="00C10A45">
        <w:t xml:space="preserve">consumer </w:t>
      </w:r>
      <w:r>
        <w:t>protection/</w:t>
      </w:r>
      <w:r w:rsidRPr="00C10A45">
        <w:t xml:space="preserve">advocates, </w:t>
      </w:r>
      <w:r>
        <w:t xml:space="preserve">and </w:t>
      </w:r>
      <w:r w:rsidRPr="00C10A45">
        <w:t>other special interest groups</w:t>
      </w:r>
      <w:r>
        <w:t xml:space="preserve"> (as applicable to the subject</w:t>
      </w:r>
      <w:r w:rsidRPr="00C60578" w:rsidR="00C60578">
        <w:t xml:space="preserve"> </w:t>
      </w:r>
      <w:r w:rsidR="00C60578">
        <w:t>and agreed to by the previously indicated members</w:t>
      </w:r>
      <w:r>
        <w:t>)</w:t>
      </w:r>
      <w:r w:rsidRPr="00C10A45">
        <w:t>.</w:t>
      </w:r>
      <w:r>
        <w:t xml:space="preserve">  Representatives shall have </w:t>
      </w:r>
      <w:r w:rsidRPr="00C10A45">
        <w:t xml:space="preserve">expertise in the issues relating to </w:t>
      </w:r>
      <w:r>
        <w:t xml:space="preserve">the working group’s purpose and </w:t>
      </w:r>
      <w:r>
        <w:lastRenderedPageBreak/>
        <w:t xml:space="preserve">tasks and are expected to contribute significantly to the progress and resolution of the tasks; those that do not may be removed or replaced.  We note that the working group </w:t>
      </w:r>
      <w:r w:rsidRPr="00C10A45">
        <w:t xml:space="preserve">representatives </w:t>
      </w:r>
      <w:r>
        <w:t xml:space="preserve">do not have to always be the same people as they can be interchanged based on the subject matter and level of expertise.  However, we require the working group to adhere to the number of allowed representatives from each party/segment to ensure that the size of the group is manageable for the deliverables expected.  Too large of a group may hinder such progress.   </w:t>
      </w:r>
    </w:p>
    <w:p w:rsidR="000C1980" w:rsidP="0023091F" w:rsidRDefault="000C1980" w14:paraId="73F20757" w14:textId="77777777">
      <w:pPr>
        <w:pStyle w:val="ALJBodyText"/>
      </w:pPr>
      <w:r>
        <w:t>The roles of the ESA/CARE Study Working Group include, but are not limited to, the following:</w:t>
      </w:r>
    </w:p>
    <w:p w:rsidR="000C1980" w:rsidP="00402362" w:rsidRDefault="000C1980" w14:paraId="27107EB5" w14:textId="77777777">
      <w:pPr>
        <w:pStyle w:val="ListBullet"/>
      </w:pPr>
      <w:r>
        <w:t>Assign</w:t>
      </w:r>
      <w:r w:rsidRPr="00255688">
        <w:t xml:space="preserve"> </w:t>
      </w:r>
      <w:r>
        <w:t>a “</w:t>
      </w:r>
      <w:r w:rsidRPr="00255688">
        <w:t xml:space="preserve">lead </w:t>
      </w:r>
      <w:r>
        <w:t xml:space="preserve">IOU” </w:t>
      </w:r>
      <w:r w:rsidRPr="00255688">
        <w:t>for each study</w:t>
      </w:r>
      <w:r>
        <w:t xml:space="preserve"> if not already assigned by this decision.</w:t>
      </w:r>
      <w:r>
        <w:rPr>
          <w:rStyle w:val="FootnoteReference"/>
        </w:rPr>
        <w:footnoteReference w:id="1061"/>
      </w:r>
      <w:r>
        <w:t xml:space="preserve"> </w:t>
      </w:r>
    </w:p>
    <w:p w:rsidR="000C1980" w:rsidP="00402362" w:rsidRDefault="000C1980" w14:paraId="3ED9A106" w14:textId="77777777">
      <w:pPr>
        <w:pStyle w:val="ListBullet"/>
      </w:pPr>
      <w:r>
        <w:t>Develop and provide feedback on proposed</w:t>
      </w:r>
      <w:r w:rsidRPr="00A67F6D">
        <w:t xml:space="preserve"> </w:t>
      </w:r>
      <w:r>
        <w:t xml:space="preserve">scopes, budgets, timelines, and </w:t>
      </w:r>
      <w:r w:rsidRPr="00A67F6D">
        <w:t xml:space="preserve">statements of work, </w:t>
      </w:r>
      <w:r>
        <w:t>and other study scoping documents before finalized for study execution.</w:t>
      </w:r>
    </w:p>
    <w:p w:rsidRPr="00D7088A" w:rsidR="000C1980" w:rsidP="00402362" w:rsidRDefault="000C1980" w14:paraId="3E0330A8" w14:textId="77777777">
      <w:pPr>
        <w:pStyle w:val="ListBullet"/>
      </w:pPr>
      <w:r>
        <w:t>P</w:t>
      </w:r>
      <w:r w:rsidRPr="00A67F6D">
        <w:t>articipate in project kick-offs</w:t>
      </w:r>
      <w:r>
        <w:t xml:space="preserve"> and attend project check-in meetings as needed.</w:t>
      </w:r>
    </w:p>
    <w:p w:rsidR="000C1980" w:rsidP="00402362" w:rsidRDefault="000C1980" w14:paraId="1B6E6FD4" w14:textId="77777777">
      <w:pPr>
        <w:pStyle w:val="ListBullet"/>
      </w:pPr>
      <w:r>
        <w:t xml:space="preserve">Provide feedback on project milestones and draft study results as requested by lead IOU in a timely manner. </w:t>
      </w:r>
    </w:p>
    <w:p w:rsidRPr="00E34D9F" w:rsidR="000C1980" w:rsidP="00402362" w:rsidRDefault="000C1980" w14:paraId="76C4E6D6" w14:textId="77777777">
      <w:pPr>
        <w:pStyle w:val="ListBullet"/>
      </w:pPr>
      <w:r>
        <w:t xml:space="preserve">Ensure that IOU(s) present final drafts of non-statutory required studies or evaluations to the ESA Study Working Group for their review and input prior to their completion. All final evaluations and/or studies must be served to the relevant efficiency list serve by the IOU(s) within 14 days of their completion. Energy Division shall be consulted to determine the need for a webinar, or similar, to present and review studies and evaluations with the public. If confirmed, all public presentations shall be noticed by </w:t>
      </w:r>
      <w:r>
        <w:lastRenderedPageBreak/>
        <w:t xml:space="preserve">the IOU(s) at least 10 days in advance to the relevant efficiency list serve.  </w:t>
      </w:r>
    </w:p>
    <w:p w:rsidRPr="00341AC7" w:rsidR="000C1980" w:rsidP="000C1980" w:rsidRDefault="000C1980" w14:paraId="7AD8A33D" w14:textId="77777777">
      <w:pPr>
        <w:pStyle w:val="Standard"/>
      </w:pPr>
      <w:r w:rsidRPr="05CB05A2">
        <w:t>Energy Division may periodically update the scope of the ESA</w:t>
      </w:r>
      <w:r>
        <w:t>/CARE</w:t>
      </w:r>
      <w:r w:rsidRPr="05CB05A2">
        <w:t xml:space="preserve"> Study Working Group’s role and keep the most updated ESA</w:t>
      </w:r>
      <w:r>
        <w:t>/CARE</w:t>
      </w:r>
      <w:r w:rsidRPr="05CB05A2">
        <w:t xml:space="preserve"> Study Worki</w:t>
      </w:r>
      <w:r w:rsidRPr="05CB05A2">
        <w:rPr>
          <w:rFonts w:eastAsia="Book Antiqua" w:cs="Book Antiqua"/>
        </w:rPr>
        <w:t xml:space="preserve">ng Group scope available at:  </w:t>
      </w:r>
      <w:hyperlink w:history="1" r:id="rId25">
        <w:r w:rsidRPr="05CB05A2">
          <w:rPr>
            <w:rStyle w:val="Hyperlink"/>
            <w:rFonts w:eastAsia="Book Antiqua" w:cs="Book Antiqua"/>
          </w:rPr>
          <w:t>https://www.cpuc.ca.gov/iqap/</w:t>
        </w:r>
      </w:hyperlink>
      <w:r>
        <w:t xml:space="preserve">.   </w:t>
      </w:r>
    </w:p>
    <w:p w:rsidR="000C1980" w:rsidP="00682805" w:rsidRDefault="000C1980" w14:paraId="63FB52F8" w14:textId="77777777">
      <w:pPr>
        <w:pStyle w:val="Heading2"/>
      </w:pPr>
      <w:bookmarkStart w:name="_Toc69948305" w:id="666"/>
      <w:r w:rsidRPr="00A64294">
        <w:t>ESA</w:t>
      </w:r>
      <w:r>
        <w:t xml:space="preserve"> Program</w:t>
      </w:r>
      <w:r w:rsidRPr="00A64294">
        <w:t xml:space="preserve"> Working </w:t>
      </w:r>
      <w:r w:rsidRPr="00682805">
        <w:t>Group</w:t>
      </w:r>
      <w:bookmarkEnd w:id="666"/>
    </w:p>
    <w:p w:rsidRPr="00A64294" w:rsidR="000C1980" w:rsidP="000C1980" w:rsidRDefault="000C1980" w14:paraId="3BAADF04" w14:textId="77777777">
      <w:pPr>
        <w:pStyle w:val="Standard"/>
      </w:pPr>
      <w:r>
        <w:t>PG&amp;E</w:t>
      </w:r>
      <w:r w:rsidRPr="00A64294">
        <w:t xml:space="preserve"> request</w:t>
      </w:r>
      <w:r>
        <w:t>s</w:t>
      </w:r>
      <w:r w:rsidRPr="00A64294">
        <w:t xml:space="preserve"> the authorization of the ESA Working Group </w:t>
      </w:r>
      <w:r>
        <w:t xml:space="preserve">(ESA WG) </w:t>
      </w:r>
      <w:r w:rsidRPr="00A64294">
        <w:t xml:space="preserve">to update the Statewide ESA </w:t>
      </w:r>
      <w:r>
        <w:t>Policies and</w:t>
      </w:r>
      <w:r w:rsidRPr="00A64294">
        <w:t xml:space="preserve"> Procedure </w:t>
      </w:r>
      <w:r>
        <w:t xml:space="preserve">(P&amp;P) </w:t>
      </w:r>
      <w:r w:rsidRPr="00A64294">
        <w:t>manual</w:t>
      </w:r>
      <w:r>
        <w:t xml:space="preserve">, </w:t>
      </w:r>
      <w:r w:rsidRPr="00A64294">
        <w:t xml:space="preserve">update the </w:t>
      </w:r>
      <w:r w:rsidRPr="006660A9">
        <w:t xml:space="preserve">ESA Installation Standards </w:t>
      </w:r>
      <w:r>
        <w:t xml:space="preserve">(IS) </w:t>
      </w:r>
      <w:r w:rsidRPr="006660A9">
        <w:t>Manual</w:t>
      </w:r>
      <w:r>
        <w:t>, m</w:t>
      </w:r>
      <w:r w:rsidRPr="006660A9">
        <w:t>onitor progress toward goals</w:t>
      </w:r>
      <w:r>
        <w:t>, d</w:t>
      </w:r>
      <w:r w:rsidRPr="006660A9">
        <w:t>iscuss and recommend changes to goals</w:t>
      </w:r>
      <w:r>
        <w:t>,</w:t>
      </w:r>
      <w:r w:rsidRPr="00A64294">
        <w:t xml:space="preserve"> and discuss a process for mid-cycle measure adjustments</w:t>
      </w:r>
      <w:r>
        <w:t>, d</w:t>
      </w:r>
      <w:r w:rsidRPr="0032709A">
        <w:t>iscuss other mid-cycle course corrections necessary</w:t>
      </w:r>
      <w:r>
        <w:t>, d</w:t>
      </w:r>
      <w:r w:rsidRPr="0032709A">
        <w:t>iscuss and recommend program revisions required by new</w:t>
      </w:r>
      <w:r>
        <w:t xml:space="preserve"> </w:t>
      </w:r>
      <w:r w:rsidRPr="0032709A">
        <w:t>laws that become effective during PYs 2021-2026</w:t>
      </w:r>
      <w:r>
        <w:t>, and c</w:t>
      </w:r>
      <w:r w:rsidRPr="0032709A">
        <w:t>onvene a public meeting every two years to discuss lessons</w:t>
      </w:r>
      <w:r>
        <w:t xml:space="preserve"> </w:t>
      </w:r>
      <w:r w:rsidRPr="0032709A">
        <w:t>learned and potential program adjustments</w:t>
      </w:r>
      <w:r w:rsidRPr="00A64294">
        <w:t>.</w:t>
      </w:r>
      <w:r w:rsidRPr="00A64294">
        <w:rPr>
          <w:vertAlign w:val="superscript"/>
        </w:rPr>
        <w:footnoteReference w:id="1062"/>
      </w:r>
      <w:r w:rsidRPr="00A64294">
        <w:t xml:space="preserve"> </w:t>
      </w:r>
      <w:r>
        <w:t xml:space="preserve"> </w:t>
      </w:r>
      <w:r w:rsidRPr="00A64294">
        <w:t xml:space="preserve">The </w:t>
      </w:r>
      <w:r>
        <w:t>w</w:t>
      </w:r>
      <w:r w:rsidRPr="00A64294">
        <w:t xml:space="preserve">orking </w:t>
      </w:r>
      <w:r>
        <w:t>g</w:t>
      </w:r>
      <w:r w:rsidRPr="00A64294">
        <w:t>roup will also provide greater transparency of ESA technical issues, and potential efficiencies through greater standardization.</w:t>
      </w:r>
      <w:r w:rsidRPr="00A64294">
        <w:rPr>
          <w:vertAlign w:val="superscript"/>
        </w:rPr>
        <w:footnoteReference w:id="1063"/>
      </w:r>
      <w:r w:rsidRPr="00A64294">
        <w:t xml:space="preserve"> </w:t>
      </w:r>
      <w:r>
        <w:t xml:space="preserve"> </w:t>
      </w:r>
      <w:r w:rsidRPr="00197BE3">
        <w:t xml:space="preserve">PG&amp;E proposes that the ESA </w:t>
      </w:r>
      <w:r>
        <w:t>w</w:t>
      </w:r>
      <w:r w:rsidRPr="00197BE3">
        <w:t xml:space="preserve">orking </w:t>
      </w:r>
      <w:r>
        <w:t>g</w:t>
      </w:r>
      <w:r w:rsidRPr="00197BE3">
        <w:t>roup would be a</w:t>
      </w:r>
      <w:r>
        <w:t xml:space="preserve"> </w:t>
      </w:r>
      <w:r w:rsidRPr="00197BE3">
        <w:t>consensus-based decision making</w:t>
      </w:r>
      <w:r>
        <w:t>, and w</w:t>
      </w:r>
      <w:r w:rsidRPr="00197BE3">
        <w:t>ould be</w:t>
      </w:r>
      <w:r>
        <w:t xml:space="preserve"> </w:t>
      </w:r>
      <w:r w:rsidRPr="00197BE3">
        <w:t>managed by IOUs</w:t>
      </w:r>
      <w:r>
        <w:t xml:space="preserve"> (via a</w:t>
      </w:r>
      <w:r w:rsidRPr="00197BE3">
        <w:t xml:space="preserve"> rotating chairmanship annually or </w:t>
      </w:r>
      <w:r>
        <w:t>a hired</w:t>
      </w:r>
      <w:r w:rsidRPr="00197BE3">
        <w:t xml:space="preserve"> consultant to manage and facilitate, and produce annual report of</w:t>
      </w:r>
      <w:r>
        <w:t xml:space="preserve"> </w:t>
      </w:r>
      <w:r w:rsidRPr="00197BE3">
        <w:t>activity including decisions made and recommendations.</w:t>
      </w:r>
      <w:r>
        <w:t xml:space="preserve">).  PG&amp;E proposes that </w:t>
      </w:r>
      <w:r w:rsidRPr="00197BE3">
        <w:t>the IOUs would</w:t>
      </w:r>
      <w:r>
        <w:t xml:space="preserve"> </w:t>
      </w:r>
      <w:r w:rsidRPr="00197BE3">
        <w:t xml:space="preserve">convene the working group, </w:t>
      </w:r>
      <w:proofErr w:type="gramStart"/>
      <w:r w:rsidRPr="00197BE3">
        <w:t>propose</w:t>
      </w:r>
      <w:proofErr w:type="gramEnd"/>
      <w:r w:rsidRPr="00197BE3">
        <w:t xml:space="preserve"> and define ESA WG rules and</w:t>
      </w:r>
      <w:r>
        <w:t xml:space="preserve"> </w:t>
      </w:r>
      <w:r w:rsidRPr="00197BE3">
        <w:t xml:space="preserve">processes, establish ESA WG calendar, and prioritize tasks </w:t>
      </w:r>
      <w:r>
        <w:t>w</w:t>
      </w:r>
      <w:r w:rsidRPr="00197BE3">
        <w:t>ithin six months of decision issuance</w:t>
      </w:r>
      <w:r>
        <w:t>.</w:t>
      </w:r>
    </w:p>
    <w:p w:rsidR="000C1980" w:rsidP="00682805" w:rsidRDefault="000C1980" w14:paraId="253A7E03" w14:textId="77777777">
      <w:pPr>
        <w:pStyle w:val="Heading3"/>
      </w:pPr>
      <w:bookmarkStart w:name="_Toc69948306" w:id="667"/>
      <w:r>
        <w:t>Party Positions</w:t>
      </w:r>
      <w:bookmarkEnd w:id="667"/>
    </w:p>
    <w:p w:rsidRPr="00066631" w:rsidR="000C1980" w:rsidP="0023091F" w:rsidRDefault="000C1980" w14:paraId="5000FF99" w14:textId="77777777">
      <w:pPr>
        <w:pStyle w:val="ALJBodyText"/>
      </w:pPr>
      <w:r w:rsidRPr="00C52E3D">
        <w:t>No substantive party comments were received on this topic.</w:t>
      </w:r>
    </w:p>
    <w:p w:rsidR="000C1980" w:rsidP="00682805" w:rsidRDefault="000C1980" w14:paraId="515A6780" w14:textId="5DA928C9">
      <w:pPr>
        <w:pStyle w:val="Heading3"/>
      </w:pPr>
      <w:bookmarkStart w:name="_Toc69948307" w:id="668"/>
      <w:r>
        <w:lastRenderedPageBreak/>
        <w:t>Discussion</w:t>
      </w:r>
      <w:bookmarkEnd w:id="668"/>
    </w:p>
    <w:p w:rsidR="000C1980" w:rsidP="00682805" w:rsidRDefault="000C1980" w14:paraId="144167F4" w14:textId="77777777">
      <w:pPr>
        <w:pStyle w:val="Heading4"/>
      </w:pPr>
      <w:bookmarkStart w:name="_Toc69948308" w:id="669"/>
      <w:r w:rsidRPr="00A64294">
        <w:t>ESA</w:t>
      </w:r>
      <w:r>
        <w:t xml:space="preserve"> Program</w:t>
      </w:r>
      <w:r w:rsidRPr="00A64294">
        <w:t xml:space="preserve"> Working Group</w:t>
      </w:r>
      <w:r>
        <w:t xml:space="preserve">: </w:t>
      </w:r>
      <w:r w:rsidRPr="00886830">
        <w:rPr>
          <w:u w:val="single"/>
        </w:rPr>
        <w:t>Approved with Modifications</w:t>
      </w:r>
      <w:bookmarkEnd w:id="669"/>
    </w:p>
    <w:p w:rsidR="000C1980" w:rsidP="000C1980" w:rsidRDefault="000C1980" w14:paraId="2C3DB5F0" w14:textId="2B1E0D1D">
      <w:pPr>
        <w:spacing w:after="160" w:line="360" w:lineRule="auto"/>
        <w:ind w:firstLine="720"/>
        <w:contextualSpacing/>
      </w:pPr>
      <w:r w:rsidRPr="4FC83D76">
        <w:rPr>
          <w:rFonts w:eastAsiaTheme="minorEastAsia"/>
        </w:rPr>
        <w:t xml:space="preserve">We approve the </w:t>
      </w:r>
      <w:r>
        <w:rPr>
          <w:rFonts w:eastAsiaTheme="minorEastAsia"/>
        </w:rPr>
        <w:t xml:space="preserve">formation of the </w:t>
      </w:r>
      <w:r w:rsidRPr="4FC83D76">
        <w:rPr>
          <w:rFonts w:eastAsiaTheme="minorEastAsia"/>
        </w:rPr>
        <w:t xml:space="preserve">ESA </w:t>
      </w:r>
      <w:r>
        <w:rPr>
          <w:rFonts w:eastAsiaTheme="minorEastAsia"/>
        </w:rPr>
        <w:t>WG</w:t>
      </w:r>
      <w:r w:rsidRPr="4FC83D76">
        <w:rPr>
          <w:rFonts w:eastAsiaTheme="minorEastAsia"/>
        </w:rPr>
        <w:t xml:space="preserve"> </w:t>
      </w:r>
      <w:r>
        <w:rPr>
          <w:rFonts w:eastAsiaTheme="minorEastAsia"/>
        </w:rPr>
        <w:t>and</w:t>
      </w:r>
      <w:r w:rsidRPr="7D12193F">
        <w:rPr>
          <w:rFonts w:eastAsiaTheme="minorEastAsia"/>
        </w:rPr>
        <w:t xml:space="preserve"> add to this group’s role work areas including but not limited to all mid cycle issues, energy education, </w:t>
      </w:r>
      <w:r w:rsidR="00576FE1">
        <w:rPr>
          <w:rFonts w:eastAsiaTheme="minorEastAsia"/>
        </w:rPr>
        <w:t xml:space="preserve">multifamily, </w:t>
      </w:r>
      <w:r w:rsidRPr="7D12193F">
        <w:rPr>
          <w:rFonts w:eastAsiaTheme="minorEastAsia"/>
        </w:rPr>
        <w:t>and the UAS work directed in this decision.</w:t>
      </w:r>
      <w:r>
        <w:t xml:space="preserve">  Consistent with the formation of the ESA/CARE Study Working Group, membership shall comprise of the IOUs’ representatives, Energy Division staff, and no more than two representatives from each segment of the following interest groups: contractors, CBOs, Cal Advocates, consumer protection/advocates, and other special interest groups (as applicable to the subject</w:t>
      </w:r>
      <w:r w:rsidR="00BF53ED">
        <w:t xml:space="preserve"> and agreed to by the previously indicated members</w:t>
      </w:r>
      <w:r>
        <w:t xml:space="preserve">).  Representatives shall have expertise in the issues relating to the working group’s purpose and tasks and are expected to contribute significantly to the progress and resolution of the tasks; those that do not may be removed or replaced.  We note that the working group representatives do not have to always be the same people as they can be interchanged based on the subject matter and level of expertise. However, we require the working group to adhere to the number of allowed representatives from each party/segment to ensure that the size of the group is manageable for the deliverables expected.  Too large of a group may hinder such progress.  </w:t>
      </w:r>
      <w:r w:rsidRPr="7D12193F">
        <w:rPr>
          <w:rFonts w:eastAsiaTheme="minorEastAsia"/>
        </w:rPr>
        <w:t xml:space="preserve">In convening the working group, the IOUs are encouraged to consider the California Energy Efficiency Coordinating Committee (CAEECC) rules and processes, where applicable.  </w:t>
      </w:r>
      <w:r>
        <w:t xml:space="preserve">The ESA WG will begin meeting at least once a quarter, starting </w:t>
      </w:r>
      <w:r w:rsidR="00C66288">
        <w:t>no later than</w:t>
      </w:r>
      <w:r>
        <w:t xml:space="preserve"> the beginning of 2022.</w:t>
      </w:r>
    </w:p>
    <w:p w:rsidR="000C1980" w:rsidP="000C1980" w:rsidRDefault="000C1980" w14:paraId="567977CD" w14:textId="77777777">
      <w:pPr>
        <w:spacing w:after="160" w:line="360" w:lineRule="auto"/>
        <w:ind w:firstLine="720"/>
        <w:contextualSpacing/>
        <w:rPr>
          <w:rFonts w:eastAsiaTheme="minorEastAsia"/>
        </w:rPr>
      </w:pPr>
      <w:r w:rsidRPr="7D12193F">
        <w:rPr>
          <w:rFonts w:eastAsiaTheme="minorEastAsia"/>
        </w:rPr>
        <w:t>Therefore, the ESA WG’s role initially includes the following:</w:t>
      </w:r>
    </w:p>
    <w:p w:rsidR="000C1980" w:rsidP="00402362" w:rsidRDefault="000C1980" w14:paraId="0CF5D57B" w14:textId="77777777">
      <w:pPr>
        <w:pStyle w:val="ListBullet"/>
      </w:pPr>
      <w:r w:rsidRPr="4FC83D76">
        <w:t xml:space="preserve">Discuss and recommend revisions to the </w:t>
      </w:r>
      <w:r>
        <w:t>P&amp;P</w:t>
      </w:r>
      <w:r w:rsidRPr="4FC83D76">
        <w:t xml:space="preserve"> Manual, and </w:t>
      </w:r>
      <w:r>
        <w:t>IS</w:t>
      </w:r>
      <w:r w:rsidRPr="4FC83D76">
        <w:t xml:space="preserve"> Manual, including the recommendation to require “healthy </w:t>
      </w:r>
      <w:r w:rsidRPr="4FC83D76">
        <w:lastRenderedPageBreak/>
        <w:t>building materials</w:t>
      </w:r>
      <w:r>
        <w:t>,</w:t>
      </w:r>
      <w:r w:rsidRPr="4FC83D76">
        <w:t>” to be submitted for notification through the monthly reports</w:t>
      </w:r>
      <w:r>
        <w:t>.</w:t>
      </w:r>
    </w:p>
    <w:p w:rsidRPr="003D1DDA" w:rsidR="000C1980" w:rsidP="00402362" w:rsidRDefault="000C1980" w14:paraId="4E0B99A3" w14:textId="2A9027B9">
      <w:pPr>
        <w:pStyle w:val="ListBullet"/>
        <w:rPr>
          <w:rFonts w:asciiTheme="minorHAnsi" w:hAnsiTheme="minorHAnsi" w:cstheme="minorBidi"/>
          <w:szCs w:val="26"/>
        </w:rPr>
      </w:pPr>
      <w:r w:rsidRPr="62731FA7">
        <w:t xml:space="preserve">Discuss and recommend revisions to measures, including new, modified, or removed, to be </w:t>
      </w:r>
      <w:r w:rsidRPr="003D1DDA">
        <w:t>submitted for notification through the monthly reports, as discussed earlier in Section 6.5</w:t>
      </w:r>
      <w:r w:rsidR="00BF01EB">
        <w:t>.8</w:t>
      </w:r>
      <w:r w:rsidRPr="003D1DDA">
        <w:t xml:space="preserve"> and in the following Section 10.3.</w:t>
      </w:r>
      <w:r w:rsidR="00BF01EB">
        <w:t>6.</w:t>
      </w:r>
      <w:r w:rsidRPr="003D1DDA">
        <w:t xml:space="preserve"> The ESA WG process</w:t>
      </w:r>
      <w:r w:rsidRPr="003D1DDA">
        <w:rPr>
          <w:rFonts w:eastAsia="Book Antiqua" w:cs="Book Antiqua"/>
          <w:szCs w:val="26"/>
        </w:rPr>
        <w:t xml:space="preserve"> will allow the IOUs, as the program administrators, in collaboration with stakeholders, to propose and discuss measures that are appropriate for the customer to reduce energy use or hardship, generally fit within the cost-effective guidelines, and are appropriate to be funded by ESA ratepayers or can be cost-shared with other programs </w:t>
      </w:r>
      <w:r w:rsidRPr="003D1DDA">
        <w:t>per the process described in the referral, leveraging, and coordination Section 6.12.</w:t>
      </w:r>
      <w:r w:rsidR="00BF01EB">
        <w:t>7.</w:t>
      </w:r>
      <w:r w:rsidRPr="003D1DDA">
        <w:t xml:space="preserve"> </w:t>
      </w:r>
    </w:p>
    <w:p w:rsidRPr="00D41BBA" w:rsidR="000C1980" w:rsidP="00402362" w:rsidRDefault="000C1980" w14:paraId="2E11E6C5" w14:textId="6A78DF00">
      <w:pPr>
        <w:pStyle w:val="ListBullet"/>
      </w:pPr>
      <w:r w:rsidRPr="4FC83D76">
        <w:t xml:space="preserve">Discuss additional customer segments and need states to be incorporated into monthly reporting, as discussed in </w:t>
      </w:r>
      <w:r>
        <w:t>S</w:t>
      </w:r>
      <w:r w:rsidRPr="4FC83D76">
        <w:t>ection</w:t>
      </w:r>
      <w:r>
        <w:t>s</w:t>
      </w:r>
      <w:r w:rsidRPr="4FC83D76">
        <w:t xml:space="preserve"> 6.</w:t>
      </w:r>
      <w:r>
        <w:t>6</w:t>
      </w:r>
      <w:r w:rsidR="00BF01EB">
        <w:t>.7</w:t>
      </w:r>
      <w:r w:rsidRPr="4FC83D76">
        <w:t xml:space="preserve"> and</w:t>
      </w:r>
      <w:r>
        <w:t> </w:t>
      </w:r>
      <w:r w:rsidRPr="4FC83D76">
        <w:t>6.16.</w:t>
      </w:r>
    </w:p>
    <w:p w:rsidRPr="00B2421D" w:rsidR="000C1980" w:rsidP="00402362" w:rsidRDefault="000C1980" w14:paraId="7FCEE443" w14:textId="02171984">
      <w:pPr>
        <w:pStyle w:val="ListBullet"/>
      </w:pPr>
      <w:r w:rsidRPr="1F9EF2FF">
        <w:t xml:space="preserve">Discuss oversight of the Multifamily </w:t>
      </w:r>
      <w:r>
        <w:t>Central</w:t>
      </w:r>
      <w:r w:rsidRPr="1F9EF2FF">
        <w:t xml:space="preserve"> Portal per Section</w:t>
      </w:r>
      <w:r w:rsidR="00473C7C">
        <w:t> </w:t>
      </w:r>
      <w:r w:rsidRPr="1F9EF2FF">
        <w:t>7.</w:t>
      </w:r>
      <w:r w:rsidR="00374FE2">
        <w:t>9</w:t>
      </w:r>
      <w:r w:rsidR="00473C7C">
        <w:t>.</w:t>
      </w:r>
    </w:p>
    <w:p w:rsidRPr="002227FA" w:rsidR="000C1980" w:rsidP="00402362" w:rsidRDefault="000C1980" w14:paraId="3F17D03B" w14:textId="77777777">
      <w:pPr>
        <w:pStyle w:val="ListBullet"/>
      </w:pPr>
      <w:r w:rsidRPr="79B97C32">
        <w:t>Discuss progress towards program goals, and recommend changes to program goals, and design and delivery as part of the mid-cycle update process</w:t>
      </w:r>
      <w:r>
        <w:t>.</w:t>
      </w:r>
      <w:r w:rsidRPr="002227FA">
        <w:t xml:space="preserve"> </w:t>
      </w:r>
    </w:p>
    <w:p w:rsidR="000C1980" w:rsidP="00402362" w:rsidRDefault="000C1980" w14:paraId="0F9C44DF" w14:textId="1F3B7A96">
      <w:pPr>
        <w:pStyle w:val="ListBullet"/>
      </w:pPr>
      <w:r>
        <w:t>Discuss ESA cost effectiveness test c</w:t>
      </w:r>
      <w:r w:rsidRPr="004B4E52">
        <w:t>onsiderations</w:t>
      </w:r>
      <w:r>
        <w:t xml:space="preserve"> and execution of the NEB s</w:t>
      </w:r>
      <w:r w:rsidRPr="00FE2A5B">
        <w:t>tudy</w:t>
      </w:r>
      <w:r>
        <w:t>, as detailed in Section 6.10.</w:t>
      </w:r>
      <w:r w:rsidR="00374FE2">
        <w:t>8. and 8.12.2</w:t>
      </w:r>
      <w:r w:rsidR="009A628E">
        <w:t>.</w:t>
      </w:r>
      <w:r>
        <w:t xml:space="preserve">  The NEB study may be delegated to the ESA/CARE Study Working Group at the ESA Working Group’s discretion. </w:t>
      </w:r>
    </w:p>
    <w:p w:rsidR="000C1980" w:rsidP="00402362" w:rsidRDefault="000C1980" w14:paraId="790AE5E4" w14:textId="6A221FFF">
      <w:pPr>
        <w:pStyle w:val="ListBullet"/>
      </w:pPr>
      <w:r w:rsidRPr="5529AF4B">
        <w:t>Discuss and review the IOUs’ Energy Education</w:t>
      </w:r>
      <w:r w:rsidRPr="62327A20">
        <w:t xml:space="preserve"> approaches and provide input as to how </w:t>
      </w:r>
      <w:r w:rsidRPr="680A44C3">
        <w:t xml:space="preserve">these approaches </w:t>
      </w:r>
      <w:r w:rsidRPr="7D47AE91">
        <w:t xml:space="preserve">can adapt as needed during the program </w:t>
      </w:r>
      <w:r w:rsidRPr="6FC14FF1">
        <w:t>cycle</w:t>
      </w:r>
      <w:r w:rsidRPr="72B5F2FD">
        <w:t xml:space="preserve">, as </w:t>
      </w:r>
      <w:r w:rsidRPr="308F3822">
        <w:t xml:space="preserve">detailed in </w:t>
      </w:r>
      <w:r>
        <w:t>S</w:t>
      </w:r>
      <w:r w:rsidRPr="308F3822">
        <w:t>ection 6.11.</w:t>
      </w:r>
      <w:r w:rsidR="009A628E">
        <w:t>8.3.</w:t>
      </w:r>
    </w:p>
    <w:p w:rsidRPr="00900E11" w:rsidR="000C1980" w:rsidP="00402362" w:rsidRDefault="000C1980" w14:paraId="32225596" w14:textId="50C807DF">
      <w:pPr>
        <w:pStyle w:val="ListBullet"/>
      </w:pPr>
      <w:r w:rsidRPr="5E7B8EBB">
        <w:t>Discuss</w:t>
      </w:r>
      <w:r w:rsidRPr="27983CB3">
        <w:t xml:space="preserve"> </w:t>
      </w:r>
      <w:r w:rsidRPr="22211CBD">
        <w:t xml:space="preserve">the development </w:t>
      </w:r>
      <w:r w:rsidRPr="7322295A">
        <w:t>of</w:t>
      </w:r>
      <w:r w:rsidRPr="12272BE5">
        <w:t xml:space="preserve"> a </w:t>
      </w:r>
      <w:r>
        <w:rPr>
          <w:rFonts w:eastAsia="Book Antiqua" w:cs="Book Antiqua"/>
          <w:szCs w:val="26"/>
        </w:rPr>
        <w:t>UAS</w:t>
      </w:r>
      <w:r w:rsidRPr="021C664F">
        <w:t xml:space="preserve">, </w:t>
      </w:r>
      <w:r w:rsidRPr="26EE7CFA">
        <w:t xml:space="preserve">for </w:t>
      </w:r>
      <w:r w:rsidRPr="11706F21">
        <w:t>customers to access</w:t>
      </w:r>
      <w:r w:rsidRPr="297622C8">
        <w:t xml:space="preserve"> a single statewide </w:t>
      </w:r>
      <w:r w:rsidRPr="77CA6998">
        <w:t xml:space="preserve">application for </w:t>
      </w:r>
      <w:r w:rsidRPr="01084B0A">
        <w:t>CARE / FERA / ESA</w:t>
      </w:r>
      <w:r w:rsidRPr="14CB0F8E">
        <w:t xml:space="preserve"> and propose options for </w:t>
      </w:r>
      <w:r w:rsidRPr="4D1E9D66">
        <w:t>system implementation</w:t>
      </w:r>
      <w:r>
        <w:t xml:space="preserve"> as discussed in Section 6.2</w:t>
      </w:r>
      <w:r w:rsidRPr="273B6074">
        <w:t>.</w:t>
      </w:r>
      <w:r w:rsidR="009A628E">
        <w:t>3.5</w:t>
      </w:r>
      <w:r w:rsidRPr="0E8A7B6B">
        <w:t xml:space="preserve"> </w:t>
      </w:r>
    </w:p>
    <w:p w:rsidRPr="004C0B7B" w:rsidR="000C1980" w:rsidP="000C1980" w:rsidRDefault="000C1980" w14:paraId="6A3A3BC6" w14:textId="77777777">
      <w:pPr>
        <w:spacing w:after="160" w:line="360" w:lineRule="auto"/>
        <w:ind w:firstLine="720"/>
        <w:rPr>
          <w:color w:val="000000" w:themeColor="text1"/>
        </w:rPr>
      </w:pPr>
      <w:r>
        <w:rPr>
          <w:rFonts w:eastAsiaTheme="minorEastAsia"/>
          <w:color w:val="000000" w:themeColor="text1"/>
        </w:rPr>
        <w:t xml:space="preserve">We note that </w:t>
      </w:r>
      <w:r w:rsidRPr="543A72A6">
        <w:rPr>
          <w:rFonts w:eastAsiaTheme="minorEastAsia"/>
          <w:color w:val="000000" w:themeColor="text1"/>
        </w:rPr>
        <w:t xml:space="preserve">Energy Division may </w:t>
      </w:r>
      <w:r w:rsidRPr="7322295A">
        <w:rPr>
          <w:rFonts w:eastAsiaTheme="minorEastAsia"/>
          <w:color w:val="000000" w:themeColor="text1"/>
        </w:rPr>
        <w:t xml:space="preserve">periodically </w:t>
      </w:r>
      <w:r w:rsidRPr="543A72A6">
        <w:rPr>
          <w:rFonts w:eastAsiaTheme="minorEastAsia"/>
          <w:color w:val="000000" w:themeColor="text1"/>
        </w:rPr>
        <w:t xml:space="preserve">update the scope of the Working </w:t>
      </w:r>
      <w:r w:rsidRPr="7322295A">
        <w:rPr>
          <w:rFonts w:eastAsiaTheme="minorEastAsia"/>
          <w:color w:val="000000" w:themeColor="text1"/>
        </w:rPr>
        <w:t>Group’s</w:t>
      </w:r>
      <w:r w:rsidRPr="543A72A6">
        <w:rPr>
          <w:rFonts w:eastAsiaTheme="minorEastAsia"/>
          <w:color w:val="000000" w:themeColor="text1"/>
        </w:rPr>
        <w:t xml:space="preserve"> role and keep the most updated ESA </w:t>
      </w:r>
      <w:r>
        <w:rPr>
          <w:rFonts w:eastAsiaTheme="minorEastAsia"/>
          <w:color w:val="000000" w:themeColor="text1"/>
        </w:rPr>
        <w:t>WG</w:t>
      </w:r>
      <w:r w:rsidRPr="006B7E5A">
        <w:rPr>
          <w:rFonts w:eastAsia="Book Antiqua" w:cs="Book Antiqua"/>
          <w:color w:val="000000" w:themeColor="text1"/>
        </w:rPr>
        <w:t xml:space="preserve"> scope available at:  </w:t>
      </w:r>
      <w:hyperlink w:history="1" r:id="rId26">
        <w:r w:rsidRPr="002C39FD">
          <w:rPr>
            <w:rStyle w:val="Hyperlink"/>
            <w:rFonts w:eastAsia="Book Antiqua" w:cs="Book Antiqua"/>
          </w:rPr>
          <w:t>https://www.cpuc.ca.gov/iqap/</w:t>
        </w:r>
      </w:hyperlink>
      <w:r w:rsidRPr="006B7E5A">
        <w:rPr>
          <w:rFonts w:eastAsia="Book Antiqua" w:cs="Book Antiqua"/>
          <w:color w:val="000000" w:themeColor="text1"/>
        </w:rPr>
        <w:t>.  Further, we recommend t</w:t>
      </w:r>
      <w:r>
        <w:rPr>
          <w:rFonts w:eastAsia="Book Antiqua" w:cs="Book Antiqua"/>
          <w:color w:val="000000" w:themeColor="text1"/>
        </w:rPr>
        <w:t>hat t</w:t>
      </w:r>
      <w:r w:rsidRPr="006B7E5A">
        <w:rPr>
          <w:rFonts w:eastAsia="Book Antiqua" w:cs="Book Antiqua"/>
          <w:color w:val="000000" w:themeColor="text1"/>
        </w:rPr>
        <w:t>he ESA WG keep the following guiding principles i</w:t>
      </w:r>
      <w:r w:rsidRPr="543A72A6">
        <w:rPr>
          <w:rFonts w:eastAsiaTheme="minorEastAsia"/>
          <w:color w:val="000000" w:themeColor="text1"/>
        </w:rPr>
        <w:t>n mind:</w:t>
      </w:r>
    </w:p>
    <w:p w:rsidR="000C1980" w:rsidP="00402362" w:rsidRDefault="000C1980" w14:paraId="5714046D" w14:textId="4428F656">
      <w:pPr>
        <w:pStyle w:val="ListBullet"/>
        <w:rPr>
          <w:rFonts w:asciiTheme="minorEastAsia" w:hAnsiTheme="minorEastAsia" w:cstheme="minorEastAsia"/>
          <w:szCs w:val="26"/>
        </w:rPr>
      </w:pPr>
      <w:r w:rsidRPr="1F9EF2FF">
        <w:t xml:space="preserve">The purpose of the WG is to support the ESA </w:t>
      </w:r>
      <w:r w:rsidR="0049574B">
        <w:t xml:space="preserve">portfolio of </w:t>
      </w:r>
      <w:r w:rsidRPr="1F9EF2FF">
        <w:t>program</w:t>
      </w:r>
      <w:r w:rsidR="0049574B">
        <w:t>s</w:t>
      </w:r>
      <w:r w:rsidRPr="1F9EF2FF">
        <w:t xml:space="preserve"> to provide energy savings and hardship reduction to </w:t>
      </w:r>
      <w:proofErr w:type="gramStart"/>
      <w:r w:rsidRPr="1F9EF2FF">
        <w:t>low income</w:t>
      </w:r>
      <w:proofErr w:type="gramEnd"/>
      <w:r w:rsidRPr="1F9EF2FF">
        <w:t xml:space="preserve"> households in line with IOU program goals</w:t>
      </w:r>
      <w:r>
        <w:t>.</w:t>
      </w:r>
    </w:p>
    <w:p w:rsidR="000C1980" w:rsidP="00402362" w:rsidRDefault="000C1980" w14:paraId="35FAC036" w14:textId="77777777">
      <w:pPr>
        <w:pStyle w:val="ListBullet"/>
        <w:rPr>
          <w:szCs w:val="26"/>
        </w:rPr>
      </w:pPr>
      <w:r w:rsidRPr="1F9EF2FF">
        <w:t xml:space="preserve">In line with the tasks above, ensure that the ESA program coordinates with, and does not duplicate, other programs that provide services to </w:t>
      </w:r>
      <w:proofErr w:type="gramStart"/>
      <w:r w:rsidRPr="1F9EF2FF">
        <w:t>low income</w:t>
      </w:r>
      <w:proofErr w:type="gramEnd"/>
      <w:r w:rsidRPr="1F9EF2FF">
        <w:t xml:space="preserve"> households</w:t>
      </w:r>
      <w:r>
        <w:t>.</w:t>
      </w:r>
    </w:p>
    <w:p w:rsidR="000C1980" w:rsidP="00402362" w:rsidRDefault="000C1980" w14:paraId="6FAC9FB2" w14:textId="77777777">
      <w:pPr>
        <w:pStyle w:val="ListBullet"/>
        <w:rPr>
          <w:szCs w:val="26"/>
        </w:rPr>
      </w:pPr>
      <w:r w:rsidRPr="1F9EF2FF">
        <w:t>Provid</w:t>
      </w:r>
      <w:r>
        <w:t>e</w:t>
      </w:r>
      <w:r w:rsidRPr="1F9EF2FF">
        <w:t xml:space="preserve"> meaningful and useful input to the IOU administrators of ESA</w:t>
      </w:r>
      <w:r>
        <w:t>.</w:t>
      </w:r>
    </w:p>
    <w:p w:rsidRPr="00DA74BE" w:rsidR="000C1980" w:rsidP="00402362" w:rsidRDefault="000C1980" w14:paraId="4C7765D3" w14:textId="77777777">
      <w:pPr>
        <w:pStyle w:val="ListBullet"/>
        <w:rPr>
          <w:szCs w:val="26"/>
        </w:rPr>
      </w:pPr>
      <w:r w:rsidRPr="1F9EF2FF">
        <w:t>Improve collaboration and communication among parties and with the Commission on ESA matters</w:t>
      </w:r>
      <w:r>
        <w:t>.</w:t>
      </w:r>
    </w:p>
    <w:p w:rsidRPr="00DA74BE" w:rsidR="000C1980" w:rsidP="00402362" w:rsidRDefault="000C1980" w14:paraId="1B8A3ABA" w14:textId="77777777">
      <w:pPr>
        <w:pStyle w:val="ListBullet"/>
        <w:rPr>
          <w:szCs w:val="26"/>
        </w:rPr>
      </w:pPr>
      <w:r w:rsidRPr="00DA74BE">
        <w:t>Resolve disagreements among stakeholders whenever possible to reduce the number of matters that need to be litigated before the Commission.</w:t>
      </w:r>
    </w:p>
    <w:p w:rsidR="000C1980" w:rsidP="00B76A66" w:rsidRDefault="000C1980" w14:paraId="20FBBAB4" w14:textId="77777777">
      <w:pPr>
        <w:pStyle w:val="Heading2"/>
      </w:pPr>
      <w:bookmarkStart w:name="_Toc69948309" w:id="670"/>
      <w:r>
        <w:t>Mid Cycle Issues, Advice Letters, Monthly/Annual Reports</w:t>
      </w:r>
      <w:bookmarkEnd w:id="670"/>
      <w:r>
        <w:t xml:space="preserve"> </w:t>
      </w:r>
    </w:p>
    <w:p w:rsidR="000C1980" w:rsidP="00B171D3" w:rsidRDefault="000C1980" w14:paraId="61B489B2" w14:textId="77777777">
      <w:pPr>
        <w:pStyle w:val="Heading3"/>
      </w:pPr>
      <w:bookmarkStart w:name="_Toc69948310" w:id="671"/>
      <w:r>
        <w:t>PG&amp;E Proposal</w:t>
      </w:r>
      <w:bookmarkEnd w:id="671"/>
      <w:r>
        <w:t xml:space="preserve"> </w:t>
      </w:r>
    </w:p>
    <w:p w:rsidRPr="000264FD" w:rsidR="000C1980" w:rsidP="0023091F" w:rsidRDefault="000C1980" w14:paraId="66135F95" w14:textId="77777777">
      <w:pPr>
        <w:pStyle w:val="ALJBodyText"/>
      </w:pPr>
      <w:r w:rsidRPr="24DCB1AB">
        <w:rPr>
          <w:b/>
          <w:bCs/>
          <w:i/>
          <w:iCs/>
          <w:u w:val="single"/>
        </w:rPr>
        <w:t>Use of Advice Letters and Reports:</w:t>
      </w:r>
      <w:r>
        <w:t xml:space="preserve"> </w:t>
      </w:r>
      <w:r w:rsidRPr="000264FD">
        <w:t>PG&amp;E request</w:t>
      </w:r>
      <w:r>
        <w:t>s</w:t>
      </w:r>
      <w:r w:rsidRPr="000264FD">
        <w:t xml:space="preserve"> flexibility to make program adjustments during the 2021-2026 program cycle via advice letters and regulatory reports</w:t>
      </w:r>
      <w:r>
        <w:t>,</w:t>
      </w:r>
      <w:r w:rsidRPr="000264FD">
        <w:rPr>
          <w:vertAlign w:val="superscript"/>
        </w:rPr>
        <w:footnoteReference w:id="1064"/>
      </w:r>
      <w:r w:rsidRPr="000264FD">
        <w:t xml:space="preserve"> </w:t>
      </w:r>
      <w:r>
        <w:t xml:space="preserve">allowing for a process to </w:t>
      </w:r>
      <w:r w:rsidRPr="000264FD">
        <w:t>address revisions as they become necessary during the program delivery.</w:t>
      </w:r>
      <w:r w:rsidRPr="000264FD">
        <w:rPr>
          <w:vertAlign w:val="superscript"/>
        </w:rPr>
        <w:footnoteReference w:id="1065"/>
      </w:r>
      <w:r w:rsidRPr="000264FD">
        <w:t xml:space="preserve"> </w:t>
      </w:r>
      <w:r>
        <w:t xml:space="preserve"> </w:t>
      </w:r>
      <w:r w:rsidRPr="000264FD">
        <w:t>PG&amp;E further argues that the 2021</w:t>
      </w:r>
      <w:r>
        <w:noBreakHyphen/>
      </w:r>
      <w:r w:rsidRPr="000264FD">
        <w:t xml:space="preserve">2026 program cycle will be the longest ESA </w:t>
      </w:r>
      <w:r>
        <w:t>pr</w:t>
      </w:r>
      <w:r w:rsidRPr="000264FD">
        <w:t>ogram cycle to date, and believes that flexibility to make adjustments mid-cycle will be critical to program success.</w:t>
      </w:r>
      <w:r w:rsidRPr="000264FD">
        <w:rPr>
          <w:vertAlign w:val="superscript"/>
        </w:rPr>
        <w:footnoteReference w:id="1066"/>
      </w:r>
      <w:r w:rsidRPr="000264FD">
        <w:t xml:space="preserve"> </w:t>
      </w:r>
      <w:r>
        <w:t xml:space="preserve"> </w:t>
      </w:r>
      <w:r w:rsidRPr="000264FD">
        <w:t xml:space="preserve">Specifically, being able to retire struggling measures and add new </w:t>
      </w:r>
      <w:r w:rsidRPr="000264FD">
        <w:lastRenderedPageBreak/>
        <w:t>ones that may have more energy savings will likely allow the program to benefit more customers.</w:t>
      </w:r>
      <w:r w:rsidRPr="000264FD">
        <w:rPr>
          <w:vertAlign w:val="superscript"/>
        </w:rPr>
        <w:footnoteReference w:id="1067"/>
      </w:r>
      <w:r>
        <w:t xml:space="preserve">  </w:t>
      </w:r>
    </w:p>
    <w:p w:rsidR="000C1980" w:rsidP="00B171D3" w:rsidRDefault="000C1980" w14:paraId="1046C2E1" w14:textId="561075DA">
      <w:pPr>
        <w:pStyle w:val="Heading3"/>
      </w:pPr>
      <w:bookmarkStart w:name="_Toc69948311" w:id="672"/>
      <w:r>
        <w:t>SCE Proposal</w:t>
      </w:r>
      <w:bookmarkEnd w:id="672"/>
      <w:r>
        <w:t xml:space="preserve"> </w:t>
      </w:r>
    </w:p>
    <w:p w:rsidRPr="000264FD" w:rsidR="000C1980" w:rsidP="0023091F" w:rsidRDefault="000C1980" w14:paraId="05AEECDC" w14:textId="77777777">
      <w:pPr>
        <w:pStyle w:val="ALJBodyText"/>
      </w:pPr>
      <w:r w:rsidRPr="24DCB1AB">
        <w:rPr>
          <w:b/>
          <w:bCs/>
          <w:i/>
          <w:iCs/>
          <w:u w:val="single"/>
        </w:rPr>
        <w:t>Use of Advice Letters:</w:t>
      </w:r>
      <w:r>
        <w:t xml:space="preserve"> </w:t>
      </w:r>
      <w:r w:rsidRPr="000264FD">
        <w:t>SCE recommends that the Commission adopt an advice letter process for the IOUs to introduce and retire measures to ensure that the latest technologies and associated benefits are made available to customers throughout the entire program cycle.</w:t>
      </w:r>
      <w:r w:rsidRPr="000264FD">
        <w:rPr>
          <w:vertAlign w:val="superscript"/>
        </w:rPr>
        <w:footnoteReference w:id="1068"/>
      </w:r>
      <w:r w:rsidRPr="000264FD">
        <w:t xml:space="preserve"> </w:t>
      </w:r>
      <w:r>
        <w:t xml:space="preserve"> </w:t>
      </w:r>
      <w:r w:rsidRPr="000264FD">
        <w:t>Specifically, SCE suggests either a Tier 1 or Tier 2 advice letter depending on the cost-effectiveness of the measures.</w:t>
      </w:r>
      <w:r w:rsidRPr="000264FD">
        <w:rPr>
          <w:vertAlign w:val="superscript"/>
        </w:rPr>
        <w:footnoteReference w:id="1069"/>
      </w:r>
      <w:r>
        <w:t xml:space="preserve">  </w:t>
      </w:r>
      <w:r w:rsidRPr="000264FD">
        <w:t>SCE also recommends that the advice letter process be used as a simplified and flexible means to make programmatic changes.</w:t>
      </w:r>
      <w:r w:rsidRPr="000264FD">
        <w:rPr>
          <w:vertAlign w:val="superscript"/>
        </w:rPr>
        <w:footnoteReference w:id="1070"/>
      </w:r>
      <w:r w:rsidRPr="000264FD">
        <w:t xml:space="preserve"> </w:t>
      </w:r>
      <w:r>
        <w:t xml:space="preserve"> </w:t>
      </w:r>
      <w:r w:rsidRPr="000264FD">
        <w:t>SCE suggests that Tier 1 advice letters be used to add or delete measures when it has a cost-effectiveness of 0.5 or above if it does not result an additional budget request.</w:t>
      </w:r>
      <w:r w:rsidRPr="000264FD">
        <w:rPr>
          <w:vertAlign w:val="superscript"/>
        </w:rPr>
        <w:footnoteReference w:id="1071"/>
      </w:r>
      <w:r w:rsidRPr="000264FD">
        <w:t xml:space="preserve"> </w:t>
      </w:r>
      <w:r>
        <w:t xml:space="preserve"> </w:t>
      </w:r>
      <w:r w:rsidRPr="000264FD">
        <w:t>Tier 2 letters can be used to add or remove measures if it is below 0.5 cost-effectiveness or requires fund shifting.</w:t>
      </w:r>
      <w:r w:rsidRPr="000264FD">
        <w:rPr>
          <w:vertAlign w:val="superscript"/>
        </w:rPr>
        <w:footnoteReference w:id="1072"/>
      </w:r>
      <w:r w:rsidRPr="0078312C">
        <w:t xml:space="preserve"> </w:t>
      </w:r>
      <w:r>
        <w:t xml:space="preserve"> </w:t>
      </w:r>
    </w:p>
    <w:p w:rsidRPr="00D9364D" w:rsidR="000C1980" w:rsidP="0023091F" w:rsidRDefault="000C1980" w14:paraId="22C17377" w14:textId="77777777">
      <w:pPr>
        <w:pStyle w:val="ALJBodyText"/>
      </w:pPr>
      <w:r>
        <w:rPr>
          <w:b/>
          <w:bCs/>
          <w:i/>
          <w:iCs/>
          <w:u w:val="single"/>
        </w:rPr>
        <w:t>Mid Cycle Working Group</w:t>
      </w:r>
      <w:r w:rsidRPr="24DCB1AB">
        <w:rPr>
          <w:b/>
          <w:bCs/>
          <w:i/>
          <w:iCs/>
          <w:u w:val="single"/>
        </w:rPr>
        <w:t>:</w:t>
      </w:r>
      <w:r>
        <w:t xml:space="preserve"> </w:t>
      </w:r>
      <w:r w:rsidRPr="00D9364D">
        <w:t xml:space="preserve">SCE </w:t>
      </w:r>
      <w:r>
        <w:t xml:space="preserve">proposes to </w:t>
      </w:r>
      <w:r w:rsidRPr="00D9364D">
        <w:t xml:space="preserve">continue the mid-cycle working groups to remove programmatic barriers and to modify or create new policy designed to improve the program based on learnings. </w:t>
      </w:r>
      <w:r>
        <w:t xml:space="preserve"> </w:t>
      </w:r>
      <w:r w:rsidRPr="00D9364D">
        <w:t>Because the next cycle will last</w:t>
      </w:r>
      <w:r w:rsidRPr="00D9364D">
        <w:rPr>
          <w:rFonts w:ascii="TimesNewRomanPSMT" w:hAnsi="TimesNewRomanPSMT" w:cs="TimesNewRomanPSMT"/>
          <w:sz w:val="24"/>
          <w:szCs w:val="24"/>
        </w:rPr>
        <w:t xml:space="preserve"> </w:t>
      </w:r>
      <w:r w:rsidRPr="00D9364D">
        <w:t>for six years, SCE proposes a program review every two years to address approved programmatic changes or new policy directives.</w:t>
      </w:r>
      <w:r>
        <w:t xml:space="preserve"> </w:t>
      </w:r>
      <w:r w:rsidRPr="00D9364D">
        <w:t xml:space="preserve"> SCE proposes the additional layer of mid-cycle working groups and reviews because </w:t>
      </w:r>
      <w:r w:rsidRPr="00D9364D">
        <w:lastRenderedPageBreak/>
        <w:t xml:space="preserve">this will provide an additional level of assurance that the new program initiatives are working properly and can be adjusted, if necessary, including in response to any legislation that is passed during the program cycle. </w:t>
      </w:r>
    </w:p>
    <w:p w:rsidR="000C1980" w:rsidP="00B171D3" w:rsidRDefault="000C1980" w14:paraId="727750E7" w14:textId="24DB3E90">
      <w:pPr>
        <w:pStyle w:val="Heading3"/>
      </w:pPr>
      <w:bookmarkStart w:name="_Toc69948312" w:id="673"/>
      <w:r>
        <w:t>SoCalGas Proposal</w:t>
      </w:r>
      <w:bookmarkEnd w:id="673"/>
    </w:p>
    <w:p w:rsidR="000C1980" w:rsidP="000C1980" w:rsidRDefault="000C1980" w14:paraId="6667A25B" w14:textId="77777777">
      <w:pPr>
        <w:spacing w:line="360" w:lineRule="auto"/>
        <w:ind w:firstLine="720"/>
      </w:pPr>
      <w:r w:rsidRPr="24DCB1AB">
        <w:rPr>
          <w:b/>
          <w:bCs/>
          <w:i/>
          <w:iCs/>
          <w:u w:val="single"/>
        </w:rPr>
        <w:t>Use of Advice Letters</w:t>
      </w:r>
      <w:r>
        <w:rPr>
          <w:b/>
          <w:bCs/>
          <w:i/>
          <w:iCs/>
          <w:u w:val="single"/>
        </w:rPr>
        <w:t xml:space="preserve"> and Reports</w:t>
      </w:r>
      <w:r w:rsidRPr="24DCB1AB">
        <w:rPr>
          <w:b/>
          <w:bCs/>
          <w:i/>
          <w:iCs/>
          <w:u w:val="single"/>
        </w:rPr>
        <w:t>:</w:t>
      </w:r>
      <w:r>
        <w:t xml:space="preserve"> </w:t>
      </w:r>
      <w:r w:rsidRPr="000264FD">
        <w:t xml:space="preserve">SoCalGas </w:t>
      </w:r>
      <w:r w:rsidRPr="00060E46">
        <w:t>requests that the Commission increase the frequency by which IOUs can update the ESA Program P&amp;P and IS Manuals</w:t>
      </w:r>
      <w:r>
        <w:t xml:space="preserve"> </w:t>
      </w:r>
      <w:r w:rsidRPr="00060E46">
        <w:t>via a Tier 1 AL process on an annual basis throughout the program cycle</w:t>
      </w:r>
      <w:r>
        <w:t xml:space="preserve">, stating that the </w:t>
      </w:r>
      <w:r w:rsidRPr="00060E46">
        <w:t xml:space="preserve">significant modifications to the ESA </w:t>
      </w:r>
      <w:r>
        <w:t>p</w:t>
      </w:r>
      <w:r w:rsidRPr="00060E46">
        <w:t>rogram will require flexibility in updating modifying the P&amp;P and IS Manuals</w:t>
      </w:r>
      <w:r>
        <w:t xml:space="preserve"> more frequently</w:t>
      </w:r>
      <w:r w:rsidRPr="00060E46">
        <w:t>.</w:t>
      </w:r>
      <w:r>
        <w:rPr>
          <w:rStyle w:val="FootnoteReference"/>
        </w:rPr>
        <w:footnoteReference w:id="1073"/>
      </w:r>
    </w:p>
    <w:p w:rsidR="000C1980" w:rsidP="0023091F" w:rsidRDefault="000C1980" w14:paraId="30CC6164" w14:textId="77777777">
      <w:pPr>
        <w:pStyle w:val="ALJBodyText"/>
      </w:pPr>
      <w:r w:rsidRPr="00D0371D">
        <w:t>SoCalGas also requests flexibility to add or remove measures from the current measure mix through the IOU monthly reports, stating that given the length of the program cycle, flexibility should be granted to make program changes whenever needed.</w:t>
      </w:r>
      <w:r w:rsidRPr="00D0371D">
        <w:rPr>
          <w:rStyle w:val="FootnoteReference"/>
          <w:rFonts w:eastAsia="Calibri"/>
        </w:rPr>
        <w:footnoteReference w:id="1074"/>
      </w:r>
      <w:r w:rsidRPr="00D0371D">
        <w:t xml:space="preserve"> </w:t>
      </w:r>
    </w:p>
    <w:p w:rsidR="000C1980" w:rsidP="00B171D3" w:rsidRDefault="000C1980" w14:paraId="2BC0F51F" w14:textId="2E7644D1">
      <w:pPr>
        <w:pStyle w:val="Heading3"/>
      </w:pPr>
      <w:bookmarkStart w:name="_Toc69948313" w:id="674"/>
      <w:r>
        <w:t>SDG&amp;E Proposal</w:t>
      </w:r>
      <w:bookmarkEnd w:id="674"/>
    </w:p>
    <w:p w:rsidR="000C1980" w:rsidP="0023091F" w:rsidRDefault="000C1980" w14:paraId="24887E28" w14:textId="2E516D5C">
      <w:pPr>
        <w:pStyle w:val="ALJBodyText"/>
      </w:pPr>
      <w:r w:rsidRPr="24DCB1AB">
        <w:rPr>
          <w:b/>
          <w:bCs/>
          <w:i/>
          <w:iCs/>
          <w:u w:val="single"/>
        </w:rPr>
        <w:t>Use of Advice Letters:</w:t>
      </w:r>
      <w:r>
        <w:t xml:space="preserve"> </w:t>
      </w:r>
      <w:r w:rsidRPr="000264FD">
        <w:t>SDG&amp;E proposes to continue using the advice letter process as approved in D.17-12-009, rather than the petition for modification process for additional budget requests, program modifications, or policy modifications.</w:t>
      </w:r>
      <w:r w:rsidRPr="000264FD">
        <w:rPr>
          <w:vertAlign w:val="superscript"/>
        </w:rPr>
        <w:footnoteReference w:id="1075"/>
      </w:r>
      <w:r w:rsidRPr="000264FD">
        <w:t xml:space="preserve"> Continuing the current process will allow flexibility to act on necessary program changes for the ESA </w:t>
      </w:r>
      <w:r>
        <w:t>p</w:t>
      </w:r>
      <w:r w:rsidRPr="000264FD">
        <w:t xml:space="preserve">rogram over the program cycle. </w:t>
      </w:r>
      <w:r>
        <w:t xml:space="preserve"> </w:t>
      </w:r>
      <w:r w:rsidRPr="000264FD">
        <w:t>The petition for modification process can be lengthier and less flexible.</w:t>
      </w:r>
      <w:r w:rsidRPr="000264FD">
        <w:rPr>
          <w:vertAlign w:val="superscript"/>
        </w:rPr>
        <w:footnoteReference w:id="1076"/>
      </w:r>
      <w:r w:rsidRPr="000264FD">
        <w:t xml:space="preserve"> </w:t>
      </w:r>
      <w:r>
        <w:t xml:space="preserve"> </w:t>
      </w:r>
      <w:r w:rsidRPr="000264FD">
        <w:t xml:space="preserve">On the </w:t>
      </w:r>
      <w:r w:rsidRPr="000264FD">
        <w:lastRenderedPageBreak/>
        <w:t>other hand, the advice letter process served stakeholders well in the 2017-2020 program cycle.</w:t>
      </w:r>
      <w:r w:rsidRPr="000264FD">
        <w:rPr>
          <w:vertAlign w:val="superscript"/>
        </w:rPr>
        <w:footnoteReference w:id="1077"/>
      </w:r>
      <w:r>
        <w:t xml:space="preserve"> </w:t>
      </w:r>
    </w:p>
    <w:p w:rsidRPr="000264FD" w:rsidR="00D25236" w:rsidP="0023091F" w:rsidRDefault="00D25236" w14:paraId="04DD35D2" w14:textId="7B41DF0D">
      <w:pPr>
        <w:pStyle w:val="ALJBodyText"/>
      </w:pPr>
      <w:r w:rsidRPr="00691E82">
        <w:rPr>
          <w:b/>
          <w:bCs/>
          <w:i/>
          <w:iCs/>
          <w:u w:val="single"/>
        </w:rPr>
        <w:t>Mid Cycle Working Group</w:t>
      </w:r>
      <w:r>
        <w:rPr>
          <w:b/>
          <w:bCs/>
          <w:i/>
          <w:iCs/>
          <w:u w:val="single"/>
        </w:rPr>
        <w:t>:</w:t>
      </w:r>
      <w:r>
        <w:t xml:space="preserve"> SDG&amp;</w:t>
      </w:r>
      <w:r w:rsidRPr="00177A3D">
        <w:rPr>
          <w:szCs w:val="26"/>
        </w:rPr>
        <w:t>E</w:t>
      </w:r>
      <w:r w:rsidRPr="00177A3D" w:rsidR="00177A3D">
        <w:rPr>
          <w:rFonts w:eastAsia="TimesNewRoman" w:cs="TimesNewRoman"/>
          <w:szCs w:val="26"/>
        </w:rPr>
        <w:t xml:space="preserve"> supports use of a </w:t>
      </w:r>
      <w:r w:rsidRPr="00177A3D" w:rsidR="00177A3D">
        <w:rPr>
          <w:szCs w:val="26"/>
        </w:rPr>
        <w:t xml:space="preserve">working group </w:t>
      </w:r>
      <w:r w:rsidR="00177A3D">
        <w:rPr>
          <w:szCs w:val="26"/>
        </w:rPr>
        <w:t xml:space="preserve">to </w:t>
      </w:r>
      <w:r w:rsidRPr="00177A3D" w:rsidR="00177A3D">
        <w:t>conduct a mid-cycle review of the program designs and identify best practices, update the Statewide ESA Policy and Procedures Manual, update the</w:t>
      </w:r>
      <w:r w:rsidR="00177A3D">
        <w:t xml:space="preserve"> </w:t>
      </w:r>
      <w:r w:rsidRPr="00177A3D" w:rsidR="00177A3D">
        <w:t>ESA Installation Standards Manual, address technical concerns as well as provide a forum for</w:t>
      </w:r>
      <w:r w:rsidR="000A2F3F">
        <w:t xml:space="preserve"> stakeholders.</w:t>
      </w:r>
      <w:r w:rsidR="000A2F3F">
        <w:rPr>
          <w:rStyle w:val="FootnoteReference"/>
        </w:rPr>
        <w:footnoteReference w:id="1078"/>
      </w:r>
    </w:p>
    <w:p w:rsidR="000C1980" w:rsidP="00B171D3" w:rsidRDefault="000C1980" w14:paraId="235C7A7B" w14:textId="1DD1899C">
      <w:pPr>
        <w:pStyle w:val="Heading3"/>
      </w:pPr>
      <w:bookmarkStart w:name="_Toc69948314" w:id="675"/>
      <w:r>
        <w:t>Party Positions</w:t>
      </w:r>
      <w:bookmarkEnd w:id="675"/>
    </w:p>
    <w:p w:rsidR="000C1980" w:rsidP="00B171D3" w:rsidRDefault="000C1980" w14:paraId="2DD39222" w14:textId="77777777">
      <w:pPr>
        <w:pStyle w:val="Heading4"/>
      </w:pPr>
      <w:bookmarkStart w:name="_Toc69948315" w:id="676"/>
      <w:r>
        <w:t>EEC</w:t>
      </w:r>
      <w:bookmarkEnd w:id="676"/>
    </w:p>
    <w:p w:rsidR="000C1980" w:rsidP="0023091F" w:rsidRDefault="000C1980" w14:paraId="2899E6D6" w14:textId="77777777">
      <w:pPr>
        <w:pStyle w:val="ALJBodyText"/>
      </w:pPr>
      <w:r w:rsidRPr="24DCB1AB">
        <w:rPr>
          <w:b/>
          <w:bCs/>
          <w:i/>
          <w:iCs/>
          <w:u w:val="single"/>
        </w:rPr>
        <w:t>Opposes Use of Advice Letter:</w:t>
      </w:r>
      <w:r>
        <w:t xml:space="preserve"> </w:t>
      </w:r>
      <w:r w:rsidRPr="0004601E">
        <w:t xml:space="preserve">EEC states that SCE’s recommendation to use the </w:t>
      </w:r>
      <w:r>
        <w:t xml:space="preserve">advice letter </w:t>
      </w:r>
      <w:r w:rsidRPr="0004601E">
        <w:t>process for</w:t>
      </w:r>
      <w:r>
        <w:t xml:space="preserve"> </w:t>
      </w:r>
      <w:r w:rsidRPr="0004601E">
        <w:t>program revisions such as adding and removing measures, policy changes, etc</w:t>
      </w:r>
      <w:r>
        <w:t xml:space="preserve">. </w:t>
      </w:r>
      <w:r w:rsidRPr="0004601E">
        <w:t xml:space="preserve">is </w:t>
      </w:r>
      <w:r w:rsidRPr="00427206">
        <w:t>undeveloped</w:t>
      </w:r>
      <w:r w:rsidRPr="0004601E">
        <w:t xml:space="preserve"> and t</w:t>
      </w:r>
      <w:r w:rsidRPr="00427206">
        <w:t>he Commission should require a process that is inclusive of all stakeholders and one that</w:t>
      </w:r>
      <w:r w:rsidRPr="0004601E">
        <w:t xml:space="preserve"> can be made part of the official record of this proceeding.</w:t>
      </w:r>
      <w:r w:rsidRPr="0004601E">
        <w:rPr>
          <w:vertAlign w:val="superscript"/>
        </w:rPr>
        <w:footnoteReference w:id="1079"/>
      </w:r>
    </w:p>
    <w:p w:rsidR="000C1980" w:rsidP="0023091F" w:rsidRDefault="000C1980" w14:paraId="33397A55" w14:textId="5045D571">
      <w:pPr>
        <w:pStyle w:val="ALJBodyText"/>
      </w:pPr>
      <w:r w:rsidRPr="00691E82">
        <w:rPr>
          <w:b/>
          <w:bCs/>
          <w:i/>
          <w:iCs/>
          <w:u w:val="single"/>
        </w:rPr>
        <w:t>Mid Cycle Working Group:</w:t>
      </w:r>
      <w:r>
        <w:t xml:space="preserve"> EEC states that </w:t>
      </w:r>
      <w:r w:rsidRPr="00427206">
        <w:t>SCE’s recommendation to use the mid-cycle working group for</w:t>
      </w:r>
      <w:r>
        <w:t xml:space="preserve"> </w:t>
      </w:r>
      <w:r w:rsidRPr="00427206">
        <w:t xml:space="preserve">program revisions </w:t>
      </w:r>
      <w:r>
        <w:t xml:space="preserve">is </w:t>
      </w:r>
      <w:r w:rsidRPr="00427206">
        <w:t>undeveloped</w:t>
      </w:r>
      <w:r>
        <w:t xml:space="preserve"> and t</w:t>
      </w:r>
      <w:r w:rsidRPr="00427206">
        <w:t>he Commission should require a process that is inclusive of all stakeholders and one that</w:t>
      </w:r>
      <w:r>
        <w:t xml:space="preserve"> </w:t>
      </w:r>
      <w:r w:rsidRPr="00427206">
        <w:t>can be made part of the official record of this proceeding.</w:t>
      </w:r>
      <w:r>
        <w:rPr>
          <w:rStyle w:val="FootnoteReference"/>
        </w:rPr>
        <w:footnoteReference w:id="1080"/>
      </w:r>
    </w:p>
    <w:p w:rsidR="00DA1C0D" w:rsidP="00DA1C0D" w:rsidRDefault="00DA1C0D" w14:paraId="63F91CA4" w14:textId="69845E75">
      <w:pPr>
        <w:pStyle w:val="Heading4"/>
      </w:pPr>
      <w:r>
        <w:lastRenderedPageBreak/>
        <w:t>TURN</w:t>
      </w:r>
    </w:p>
    <w:p w:rsidR="00DA1C0D" w:rsidP="0023091F" w:rsidRDefault="0094468C" w14:paraId="221A3F3F" w14:textId="2C8D460C">
      <w:pPr>
        <w:pStyle w:val="ALJBodyText"/>
      </w:pPr>
      <w:r w:rsidRPr="00691E82">
        <w:rPr>
          <w:b/>
          <w:bCs/>
          <w:i/>
          <w:iCs/>
          <w:u w:val="single"/>
        </w:rPr>
        <w:t xml:space="preserve">Mid Cycle Working </w:t>
      </w:r>
      <w:r w:rsidR="00AA6978">
        <w:rPr>
          <w:b/>
          <w:bCs/>
          <w:i/>
          <w:iCs/>
          <w:u w:val="single"/>
        </w:rPr>
        <w:t>Group</w:t>
      </w:r>
      <w:r>
        <w:rPr>
          <w:b/>
          <w:bCs/>
          <w:i/>
          <w:iCs/>
          <w:u w:val="single"/>
        </w:rPr>
        <w:t>:</w:t>
      </w:r>
      <w:r>
        <w:t xml:space="preserve"> </w:t>
      </w:r>
      <w:r w:rsidR="002B7FB2">
        <w:t>TURN states that the</w:t>
      </w:r>
      <w:r w:rsidRPr="002B7FB2" w:rsidR="002B7FB2">
        <w:t xml:space="preserve"> Commission should anticipate the need for significant mid-cycle program modifications and</w:t>
      </w:r>
      <w:r w:rsidR="002B7FB2">
        <w:t xml:space="preserve"> </w:t>
      </w:r>
      <w:r w:rsidRPr="002B7FB2" w:rsidR="002B7FB2">
        <w:t>provide a procedural vehicle for stakeholder participation in this process</w:t>
      </w:r>
      <w:r w:rsidR="00FB554B">
        <w:t>.</w:t>
      </w:r>
      <w:r w:rsidR="00FB554B">
        <w:rPr>
          <w:rStyle w:val="FootnoteReference"/>
        </w:rPr>
        <w:footnoteReference w:id="1081"/>
      </w:r>
    </w:p>
    <w:p w:rsidR="0004010F" w:rsidP="0004010F" w:rsidRDefault="0004010F" w14:paraId="29CB585E" w14:textId="0E2EBF63">
      <w:pPr>
        <w:pStyle w:val="Heading4"/>
      </w:pPr>
      <w:r>
        <w:t>Cal Advocates</w:t>
      </w:r>
    </w:p>
    <w:p w:rsidRPr="00961762" w:rsidR="0004010F" w:rsidP="0023091F" w:rsidRDefault="0004010F" w14:paraId="0395EDAB" w14:textId="652DBC9F">
      <w:pPr>
        <w:pStyle w:val="ALJBodyText"/>
      </w:pPr>
      <w:r w:rsidRPr="00691E82">
        <w:rPr>
          <w:b/>
          <w:bCs/>
          <w:i/>
          <w:iCs/>
          <w:u w:val="single"/>
        </w:rPr>
        <w:t xml:space="preserve">Mid Cycle Working </w:t>
      </w:r>
      <w:r w:rsidR="00AA6978">
        <w:rPr>
          <w:b/>
          <w:bCs/>
          <w:i/>
          <w:iCs/>
          <w:u w:val="single"/>
        </w:rPr>
        <w:t>Group</w:t>
      </w:r>
      <w:r>
        <w:rPr>
          <w:b/>
          <w:bCs/>
          <w:i/>
          <w:iCs/>
          <w:u w:val="single"/>
        </w:rPr>
        <w:t>:</w:t>
      </w:r>
      <w:r>
        <w:t xml:space="preserve"> </w:t>
      </w:r>
      <w:r w:rsidR="00AA6978">
        <w:t xml:space="preserve"> Cal Advocates states that a </w:t>
      </w:r>
      <w:r w:rsidR="0040349B">
        <w:t xml:space="preserve">mid-cycle working group should be established to </w:t>
      </w:r>
      <w:r w:rsidRPr="00CF223A" w:rsidR="00CF223A">
        <w:t>identify NEB measurement improvement</w:t>
      </w:r>
      <w:r w:rsidR="0040349B">
        <w:t xml:space="preserve">s, </w:t>
      </w:r>
      <w:r w:rsidRPr="00CF223A" w:rsidR="00CF223A">
        <w:t xml:space="preserve">review the effectiveness of </w:t>
      </w:r>
      <w:r w:rsidR="0040349B">
        <w:t xml:space="preserve">the </w:t>
      </w:r>
      <w:r w:rsidRPr="00CF223A" w:rsidR="00CF223A">
        <w:t>multifamily</w:t>
      </w:r>
      <w:r w:rsidR="0040349B">
        <w:t xml:space="preserve"> </w:t>
      </w:r>
      <w:r w:rsidRPr="00CF223A" w:rsidR="00CF223A">
        <w:t>programs</w:t>
      </w:r>
      <w:r w:rsidR="0040349B">
        <w:t xml:space="preserve">, and </w:t>
      </w:r>
      <w:r w:rsidRPr="00CF223A" w:rsidR="00CF223A">
        <w:t>identify best practices.</w:t>
      </w:r>
      <w:r w:rsidR="0040349B">
        <w:rPr>
          <w:rStyle w:val="FootnoteReference"/>
        </w:rPr>
        <w:footnoteReference w:id="1082"/>
      </w:r>
      <w:r w:rsidRPr="00CF223A" w:rsidR="00CF223A">
        <w:rPr>
          <w:b/>
          <w:bCs/>
        </w:rPr>
        <w:t xml:space="preserve"> </w:t>
      </w:r>
    </w:p>
    <w:p w:rsidR="000C1980" w:rsidP="00B171D3" w:rsidRDefault="000C1980" w14:paraId="3F16D982" w14:textId="2EF1FBD7">
      <w:pPr>
        <w:pStyle w:val="Heading3"/>
      </w:pPr>
      <w:bookmarkStart w:name="_Toc69948316" w:id="677"/>
      <w:r>
        <w:t>Discussion</w:t>
      </w:r>
      <w:bookmarkEnd w:id="677"/>
    </w:p>
    <w:p w:rsidRPr="00D65B51" w:rsidR="000C1980" w:rsidP="00B171D3" w:rsidRDefault="000C1980" w14:paraId="6AA326C4" w14:textId="77777777">
      <w:pPr>
        <w:pStyle w:val="Heading4"/>
      </w:pPr>
      <w:bookmarkStart w:name="_Toc69948317" w:id="678"/>
      <w:r w:rsidRPr="00D65B51">
        <w:t xml:space="preserve">Use of Advice Letters and Reports: </w:t>
      </w:r>
      <w:r w:rsidRPr="00D65B51">
        <w:rPr>
          <w:u w:val="single"/>
        </w:rPr>
        <w:t>Approved with Modifications</w:t>
      </w:r>
      <w:bookmarkEnd w:id="678"/>
    </w:p>
    <w:p w:rsidR="000C1980" w:rsidP="0023091F" w:rsidRDefault="000C1980" w14:paraId="1013258B" w14:textId="794E36D4">
      <w:pPr>
        <w:pStyle w:val="ALJBodyText"/>
        <w:rPr>
          <w:rFonts w:eastAsiaTheme="minorEastAsia"/>
        </w:rPr>
      </w:pPr>
      <w:r>
        <w:t xml:space="preserve">We agree with the IOUs’ proposals to simplify the process to make program and measure adjustments and go further by approving the use of monthly reports, in lieu of advice letters, for program manual and measure revisions.  We direct the IOUs to follow a process of first, discussing the revisions through the ESA Working Group, to receive stakeholder feedback per the suggestion of EEC, and second, submitting for notification through monthly reports.  This process is efficient and will result in less regulatory </w:t>
      </w:r>
      <w:r w:rsidR="00AF6601">
        <w:t>burden</w:t>
      </w:r>
      <w:r>
        <w:t xml:space="preserve">. </w:t>
      </w:r>
      <w:r w:rsidRPr="4FC83D76">
        <w:rPr>
          <w:rFonts w:eastAsiaTheme="minorEastAsia"/>
        </w:rPr>
        <w:t xml:space="preserve"> In addition, per EEC</w:t>
      </w:r>
      <w:r>
        <w:rPr>
          <w:rFonts w:eastAsiaTheme="minorEastAsia"/>
        </w:rPr>
        <w:t>’s</w:t>
      </w:r>
      <w:r w:rsidRPr="4FC83D76">
        <w:rPr>
          <w:rFonts w:eastAsiaTheme="minorEastAsia"/>
        </w:rPr>
        <w:t xml:space="preserve"> request, the IOUs’ notification of these changes through the monthly reports will be available for the public’s reference through the service list, Commission docket, and LIOB website. </w:t>
      </w:r>
      <w:r>
        <w:rPr>
          <w:rFonts w:eastAsiaTheme="minorEastAsia"/>
        </w:rPr>
        <w:t xml:space="preserve"> </w:t>
      </w:r>
      <w:r w:rsidRPr="4FC83D76">
        <w:rPr>
          <w:rFonts w:eastAsiaTheme="minorEastAsia"/>
        </w:rPr>
        <w:t xml:space="preserve">We reiterate that program revisions cannot not result in any changes to program goals, spending beyond the approved budgets, or adverse impacts to cost-effectiveness results per the </w:t>
      </w:r>
      <w:r w:rsidRPr="4FC83D76">
        <w:rPr>
          <w:rFonts w:eastAsiaTheme="minorEastAsia"/>
        </w:rPr>
        <w:lastRenderedPageBreak/>
        <w:t>guidelines.</w:t>
      </w:r>
      <w:r>
        <w:rPr>
          <w:rFonts w:eastAsiaTheme="minorEastAsia"/>
        </w:rPr>
        <w:t xml:space="preserve"> </w:t>
      </w:r>
      <w:r w:rsidRPr="4FC83D76">
        <w:rPr>
          <w:rFonts w:eastAsiaTheme="minorEastAsia"/>
        </w:rPr>
        <w:t xml:space="preserve"> We reiterate that any changes to </w:t>
      </w:r>
      <w:r>
        <w:rPr>
          <w:rFonts w:eastAsiaTheme="minorEastAsia"/>
        </w:rPr>
        <w:t xml:space="preserve">lowering the </w:t>
      </w:r>
      <w:r w:rsidRPr="4FC83D76">
        <w:rPr>
          <w:rFonts w:eastAsiaTheme="minorEastAsia"/>
        </w:rPr>
        <w:t>goals, budgets</w:t>
      </w:r>
      <w:r>
        <w:rPr>
          <w:rFonts w:eastAsiaTheme="minorEastAsia"/>
        </w:rPr>
        <w:t xml:space="preserve"> exceeding what has been authorized</w:t>
      </w:r>
      <w:r w:rsidRPr="4FC83D76">
        <w:rPr>
          <w:rFonts w:eastAsiaTheme="minorEastAsia"/>
        </w:rPr>
        <w:t xml:space="preserve">, or directives related to program design outlined in this decision will require petition for modification. </w:t>
      </w:r>
    </w:p>
    <w:p w:rsidRPr="00EB6B1B" w:rsidR="000C1980" w:rsidP="00B171D3" w:rsidRDefault="000C1980" w14:paraId="4993EE08" w14:textId="579114E6">
      <w:pPr>
        <w:pStyle w:val="Heading4"/>
      </w:pPr>
      <w:bookmarkStart w:name="_Toc69948318" w:id="679"/>
      <w:r w:rsidRPr="00EB6B1B">
        <w:t xml:space="preserve">Mid Cycle Working Group: </w:t>
      </w:r>
      <w:r w:rsidRPr="00EB6B1B">
        <w:rPr>
          <w:u w:val="single"/>
        </w:rPr>
        <w:t>Denied</w:t>
      </w:r>
      <w:bookmarkEnd w:id="679"/>
    </w:p>
    <w:p w:rsidR="000C1980" w:rsidP="0023091F" w:rsidRDefault="000C1980" w14:paraId="4B1F8D03" w14:textId="77777777">
      <w:pPr>
        <w:pStyle w:val="ALJBodyText"/>
      </w:pPr>
      <w:r>
        <w:t>We deny the formation of a separate mid-cycle working group, because this decision already forms the ESA WG</w:t>
      </w:r>
      <w:r w:rsidRPr="000500B5">
        <w:t xml:space="preserve"> </w:t>
      </w:r>
      <w:r>
        <w:t>which will take on the consideration of all mid cycle issues as discussed in Section 10.2.</w:t>
      </w:r>
      <w:r w:rsidRPr="000500B5">
        <w:t xml:space="preserve">   </w:t>
      </w:r>
    </w:p>
    <w:p w:rsidRPr="00EB6B1B" w:rsidR="000C1980" w:rsidP="00B171D3" w:rsidRDefault="000C1980" w14:paraId="14717958" w14:textId="5354B876">
      <w:pPr>
        <w:pStyle w:val="Heading4"/>
      </w:pPr>
      <w:bookmarkStart w:name="_Toc69948319" w:id="680"/>
      <w:r w:rsidRPr="00EB6B1B">
        <w:t xml:space="preserve">Mid Cycle Assessment and Progress Report: </w:t>
      </w:r>
      <w:r w:rsidRPr="00EB6B1B">
        <w:rPr>
          <w:u w:val="single"/>
        </w:rPr>
        <w:t>New</w:t>
      </w:r>
      <w:bookmarkEnd w:id="680"/>
    </w:p>
    <w:p w:rsidR="000C1980" w:rsidP="00473C7C" w:rsidRDefault="000C1980" w14:paraId="6048E2DC" w14:textId="7D8DFD9A">
      <w:pPr>
        <w:pStyle w:val="Standard"/>
      </w:pPr>
      <w:r w:rsidRPr="00787C4C">
        <w:t xml:space="preserve">With new program designs, creation of deeper treatment tiers, and various pilots and studies approved in this decision, continuous monitoring of the program’s progress is needed to measure the impacts of these new changes especially given that this will be a </w:t>
      </w:r>
      <w:proofErr w:type="gramStart"/>
      <w:r w:rsidRPr="00787C4C">
        <w:t>6 year</w:t>
      </w:r>
      <w:proofErr w:type="gramEnd"/>
      <w:r w:rsidRPr="00787C4C">
        <w:t xml:space="preserve"> cycle, when it is typically 3 years.  </w:t>
      </w:r>
      <w:r>
        <w:t>As mentioned in Section 10.2</w:t>
      </w:r>
      <w:r w:rsidR="009D6130">
        <w:t>.2</w:t>
      </w:r>
      <w:r>
        <w:t xml:space="preserve">, the ESA WG is tasked to </w:t>
      </w:r>
      <w:r>
        <w:rPr>
          <w:rFonts w:eastAsiaTheme="minorEastAsia"/>
          <w:color w:val="000000" w:themeColor="text1"/>
        </w:rPr>
        <w:t>r</w:t>
      </w:r>
      <w:r w:rsidRPr="002227FA">
        <w:rPr>
          <w:rFonts w:eastAsiaTheme="minorEastAsia"/>
          <w:color w:val="000000" w:themeColor="text1"/>
        </w:rPr>
        <w:t xml:space="preserve">eview </w:t>
      </w:r>
      <w:r>
        <w:rPr>
          <w:rFonts w:eastAsiaTheme="minorEastAsia"/>
          <w:color w:val="000000" w:themeColor="text1"/>
        </w:rPr>
        <w:t xml:space="preserve">the program data collected including </w:t>
      </w:r>
      <w:r w:rsidRPr="002227FA">
        <w:rPr>
          <w:rFonts w:eastAsiaTheme="minorEastAsia"/>
          <w:color w:val="000000" w:themeColor="text1"/>
        </w:rPr>
        <w:t>the goal tracking and metrics reported by IOUs on ESA program implementation from PYs 2021-202</w:t>
      </w:r>
      <w:r>
        <w:rPr>
          <w:rFonts w:eastAsiaTheme="minorEastAsia"/>
          <w:color w:val="000000" w:themeColor="text1"/>
        </w:rPr>
        <w:t>6</w:t>
      </w:r>
      <w:r w:rsidRPr="002227FA">
        <w:rPr>
          <w:rFonts w:eastAsiaTheme="minorEastAsia"/>
          <w:color w:val="000000" w:themeColor="text1"/>
        </w:rPr>
        <w:t>, preliminary results of pilots</w:t>
      </w:r>
      <w:r>
        <w:rPr>
          <w:rFonts w:eastAsiaTheme="minorEastAsia"/>
          <w:color w:val="000000" w:themeColor="text1"/>
        </w:rPr>
        <w:t xml:space="preserve"> and studies</w:t>
      </w:r>
      <w:r w:rsidR="009D6130">
        <w:rPr>
          <w:rFonts w:eastAsiaTheme="minorEastAsia"/>
          <w:color w:val="000000" w:themeColor="text1"/>
        </w:rPr>
        <w:t xml:space="preserve"> (including the electrification pilots)</w:t>
      </w:r>
      <w:r w:rsidRPr="002227FA">
        <w:rPr>
          <w:rFonts w:eastAsiaTheme="minorEastAsia"/>
          <w:color w:val="000000" w:themeColor="text1"/>
        </w:rPr>
        <w:t xml:space="preserve">, the 2023 P&amp;G study, as well as impact evaluations and other public reports such as the 2022 </w:t>
      </w:r>
      <w:r>
        <w:rPr>
          <w:rFonts w:eastAsiaTheme="minorEastAsia"/>
          <w:color w:val="000000" w:themeColor="text1"/>
        </w:rPr>
        <w:t xml:space="preserve">LINA.  </w:t>
      </w:r>
      <w:r w:rsidRPr="00342114" w:rsidR="00342114">
        <w:rPr>
          <w:rFonts w:eastAsiaTheme="minorEastAsia"/>
          <w:color w:val="000000" w:themeColor="text1"/>
        </w:rPr>
        <w:t>The ESA WG should also consider the direction of state policy regarding the role of building electrification in meeting GHG reduction goals and whether ESA program expenditures are consistent with that policy</w:t>
      </w:r>
      <w:r w:rsidR="00342114">
        <w:rPr>
          <w:rFonts w:eastAsiaTheme="minorEastAsia"/>
          <w:color w:val="000000" w:themeColor="text1"/>
        </w:rPr>
        <w:t>.</w:t>
      </w:r>
      <w:r w:rsidRPr="00342114" w:rsidR="00342114">
        <w:rPr>
          <w:rFonts w:eastAsiaTheme="minorEastAsia"/>
          <w:color w:val="000000" w:themeColor="text1"/>
        </w:rPr>
        <w:t xml:space="preserve"> </w:t>
      </w:r>
      <w:r>
        <w:rPr>
          <w:rFonts w:eastAsiaTheme="minorEastAsia"/>
          <w:color w:val="000000" w:themeColor="text1"/>
        </w:rPr>
        <w:t>The ESA WG will use the collected data t</w:t>
      </w:r>
      <w:r w:rsidRPr="002227FA">
        <w:rPr>
          <w:rFonts w:eastAsiaTheme="minorEastAsia"/>
          <w:color w:val="000000" w:themeColor="text1"/>
        </w:rPr>
        <w:t xml:space="preserve">o discuss </w:t>
      </w:r>
      <w:r>
        <w:rPr>
          <w:rFonts w:eastAsiaTheme="minorEastAsia"/>
          <w:color w:val="000000" w:themeColor="text1"/>
        </w:rPr>
        <w:t xml:space="preserve">the progress of the ESA program under the new design, and </w:t>
      </w:r>
      <w:r w:rsidRPr="002227FA">
        <w:rPr>
          <w:rFonts w:eastAsiaTheme="minorEastAsia"/>
          <w:color w:val="000000" w:themeColor="text1"/>
        </w:rPr>
        <w:t xml:space="preserve">whether the ESA program budget and goals set </w:t>
      </w:r>
      <w:r>
        <w:rPr>
          <w:rFonts w:eastAsiaTheme="minorEastAsia"/>
          <w:color w:val="000000" w:themeColor="text1"/>
        </w:rPr>
        <w:t>for the remainder of the program cycle</w:t>
      </w:r>
      <w:r w:rsidRPr="002227FA">
        <w:rPr>
          <w:rFonts w:eastAsiaTheme="minorEastAsia"/>
          <w:color w:val="000000" w:themeColor="text1"/>
        </w:rPr>
        <w:t xml:space="preserve"> are reasonable</w:t>
      </w:r>
      <w:r>
        <w:rPr>
          <w:rFonts w:eastAsiaTheme="minorEastAsia"/>
          <w:color w:val="000000" w:themeColor="text1"/>
        </w:rPr>
        <w:t xml:space="preserve"> </w:t>
      </w:r>
      <w:r w:rsidRPr="002227FA">
        <w:rPr>
          <w:rFonts w:eastAsiaTheme="minorEastAsia"/>
          <w:color w:val="000000" w:themeColor="text1"/>
        </w:rPr>
        <w:t>or need to be updated</w:t>
      </w:r>
      <w:r>
        <w:rPr>
          <w:rFonts w:eastAsiaTheme="minorEastAsia"/>
          <w:color w:val="000000" w:themeColor="text1"/>
        </w:rPr>
        <w:t xml:space="preserve"> </w:t>
      </w:r>
      <w:r w:rsidRPr="002227FA">
        <w:rPr>
          <w:rFonts w:eastAsiaTheme="minorEastAsia"/>
        </w:rPr>
        <w:t>as part of the mid-cycle update process.</w:t>
      </w:r>
    </w:p>
    <w:p w:rsidR="000C1980" w:rsidP="00473C7C" w:rsidRDefault="000C1980" w14:paraId="6733ED1C" w14:textId="36CA43A8">
      <w:pPr>
        <w:pStyle w:val="Standard"/>
        <w:rPr>
          <w:rFonts w:eastAsiaTheme="minorEastAsia"/>
        </w:rPr>
      </w:pPr>
      <w:r>
        <w:t xml:space="preserve">By December 31, 2023, the IOUs shall submit a joint mid-cycle progress report, in consultation with the ESA working group, to the Commission and this </w:t>
      </w:r>
      <w:r>
        <w:lastRenderedPageBreak/>
        <w:t xml:space="preserve">proceeding’s service </w:t>
      </w:r>
      <w:r w:rsidRPr="00857D87">
        <w:t>list.  At a minimum, the progress report shall discuss 1)</w:t>
      </w:r>
      <w:r>
        <w:t> </w:t>
      </w:r>
      <w:r w:rsidRPr="00857D87">
        <w:t>whether the energy savings goals set in this decision are aligned with the P&amp;G study results, why or why not</w:t>
      </w:r>
      <w:r>
        <w:t>,</w:t>
      </w:r>
      <w:r w:rsidRPr="00857D87">
        <w:t xml:space="preserve"> 2) whether the IOUs are on track to meet the goals </w:t>
      </w:r>
      <w:r>
        <w:t xml:space="preserve">and targets </w:t>
      </w:r>
      <w:r w:rsidRPr="00857D87">
        <w:t xml:space="preserve">set in this decision, why or why not, 3) </w:t>
      </w:r>
      <w:r>
        <w:t>whether</w:t>
      </w:r>
      <w:r w:rsidRPr="00857D87">
        <w:t xml:space="preserve"> </w:t>
      </w:r>
      <w:r>
        <w:t xml:space="preserve">any of the </w:t>
      </w:r>
      <w:r w:rsidRPr="00857D87">
        <w:t xml:space="preserve">goals </w:t>
      </w:r>
      <w:r>
        <w:t xml:space="preserve">or targets </w:t>
      </w:r>
      <w:r w:rsidRPr="00857D87">
        <w:t>set in this decision need to be updated in light of the data and new information collected during the first half of the program cycle</w:t>
      </w:r>
      <w:r w:rsidR="006160EA">
        <w:t xml:space="preserve"> (</w:t>
      </w:r>
      <w:r w:rsidR="009211C2">
        <w:t xml:space="preserve">including any </w:t>
      </w:r>
      <w:r w:rsidR="00AC1917">
        <w:t>updates</w:t>
      </w:r>
      <w:r w:rsidR="009211C2">
        <w:t xml:space="preserve"> in the </w:t>
      </w:r>
      <w:r w:rsidRPr="009211C2" w:rsidR="009211C2">
        <w:t>state’s policies for building decarbonization</w:t>
      </w:r>
      <w:r w:rsidR="009211C2">
        <w:t>)</w:t>
      </w:r>
      <w:r w:rsidRPr="00857D87">
        <w:t>, why or why not</w:t>
      </w:r>
      <w:r>
        <w:t xml:space="preserve">, 4) best practices under the new designs, 5) status of the </w:t>
      </w:r>
      <w:r w:rsidRPr="4C8F0DC3">
        <w:rPr>
          <w:rFonts w:eastAsia="Garamond" w:cs="Garamond"/>
        </w:rPr>
        <w:t>Pilot Plus</w:t>
      </w:r>
      <w:r>
        <w:rPr>
          <w:rFonts w:eastAsia="Garamond" w:cs="Garamond"/>
        </w:rPr>
        <w:t xml:space="preserve"> and </w:t>
      </w:r>
      <w:r w:rsidRPr="4C8F0DC3">
        <w:rPr>
          <w:rFonts w:eastAsia="Garamond" w:cs="Garamond"/>
        </w:rPr>
        <w:t>Pilot Deep</w:t>
      </w:r>
      <w:r>
        <w:rPr>
          <w:rFonts w:eastAsia="Garamond" w:cs="Garamond"/>
        </w:rPr>
        <w:t xml:space="preserve"> </w:t>
      </w:r>
      <w:r w:rsidR="00AF6601">
        <w:rPr>
          <w:rFonts w:eastAsia="Garamond" w:cs="Garamond"/>
        </w:rPr>
        <w:t>program</w:t>
      </w:r>
      <w:r>
        <w:t xml:space="preserve">, </w:t>
      </w:r>
      <w:r w:rsidRPr="3776745C" w:rsidR="005D6BA5">
        <w:rPr>
          <w:rFonts w:eastAsia="Garamond" w:cs="Garamond"/>
        </w:rPr>
        <w:t>and the SCE Electrification pilots</w:t>
      </w:r>
      <w:r w:rsidR="005D6BA5">
        <w:rPr>
          <w:rFonts w:eastAsia="Garamond" w:cs="Garamond"/>
        </w:rPr>
        <w:t>,</w:t>
      </w:r>
      <w:r w:rsidR="00D97485">
        <w:rPr>
          <w:rFonts w:eastAsia="Garamond" w:cs="Garamond"/>
        </w:rPr>
        <w:t xml:space="preserve"> </w:t>
      </w:r>
      <w:r>
        <w:t xml:space="preserve">and 6) state of the ESA program’s cost effectiveness level under the new guidance thresholds.  The IOUs </w:t>
      </w:r>
      <w:r w:rsidR="00C14AE4">
        <w:t>will</w:t>
      </w:r>
      <w:r w:rsidR="002C5692">
        <w:t xml:space="preserve"> </w:t>
      </w:r>
      <w:r>
        <w:t>also identify any updates to the delivery of the program, including goals, targets, or budgets</w:t>
      </w:r>
      <w:r w:rsidRPr="00AA73B0">
        <w:t xml:space="preserve"> </w:t>
      </w:r>
      <w:r>
        <w:t xml:space="preserve">considering the data collected and progress experienced so far.  Any updates being suggested by the IOUs in the report must be reviewed by the ESA WG, supported by the data collected, and clearly justified.  If such updates </w:t>
      </w:r>
      <w:r>
        <w:rPr>
          <w:rFonts w:eastAsiaTheme="minorEastAsia"/>
        </w:rPr>
        <w:t xml:space="preserve">require lowering the </w:t>
      </w:r>
      <w:r w:rsidRPr="0071012C">
        <w:rPr>
          <w:rFonts w:eastAsiaTheme="minorEastAsia"/>
        </w:rPr>
        <w:t>program goals</w:t>
      </w:r>
      <w:r>
        <w:rPr>
          <w:rFonts w:eastAsiaTheme="minorEastAsia"/>
        </w:rPr>
        <w:t xml:space="preserve"> (not targets), or increasing the </w:t>
      </w:r>
      <w:r w:rsidRPr="0071012C">
        <w:rPr>
          <w:rFonts w:eastAsiaTheme="minorEastAsia"/>
        </w:rPr>
        <w:t>approved budgets</w:t>
      </w:r>
      <w:r>
        <w:rPr>
          <w:rFonts w:eastAsiaTheme="minorEastAsia"/>
        </w:rPr>
        <w:t xml:space="preserve">, then the IOUs will need to file a petition for modification.  Otherwise, all other proposed updates can be filed via a Tier 2 advice letter. </w:t>
      </w:r>
      <w:r>
        <w:t xml:space="preserve">  </w:t>
      </w:r>
    </w:p>
    <w:p w:rsidR="000C1980" w:rsidP="00B76A66" w:rsidRDefault="000C1980" w14:paraId="4E1C272F" w14:textId="3729A860">
      <w:pPr>
        <w:pStyle w:val="Heading2"/>
      </w:pPr>
      <w:bookmarkStart w:name="_Toc65342790" w:id="681"/>
      <w:bookmarkStart w:name="_Toc65342791" w:id="682"/>
      <w:bookmarkStart w:name="_Toc69948320" w:id="683"/>
      <w:bookmarkEnd w:id="681"/>
      <w:bookmarkEnd w:id="682"/>
      <w:r w:rsidRPr="00B76A66">
        <w:t>Audits</w:t>
      </w:r>
      <w:bookmarkEnd w:id="683"/>
    </w:p>
    <w:p w:rsidR="000C1980" w:rsidP="00B76A66" w:rsidRDefault="000C1980" w14:paraId="29181203" w14:textId="77777777">
      <w:pPr>
        <w:pStyle w:val="Heading3"/>
      </w:pPr>
      <w:bookmarkStart w:name="_Toc69948321" w:id="684"/>
      <w:r>
        <w:t>PG&amp;E Proposal</w:t>
      </w:r>
      <w:bookmarkEnd w:id="684"/>
      <w:r>
        <w:t xml:space="preserve"> </w:t>
      </w:r>
    </w:p>
    <w:p w:rsidRPr="009C4EE0" w:rsidR="000C1980" w:rsidP="0023091F" w:rsidRDefault="000C1980" w14:paraId="1B77D210" w14:textId="77777777">
      <w:pPr>
        <w:pStyle w:val="ALJBodyText"/>
      </w:pPr>
      <w:r w:rsidRPr="009C4EE0">
        <w:t>PG&amp;E does not propose any audits to occur in the 2021-2026 program cycle but</w:t>
      </w:r>
      <w:r>
        <w:t xml:space="preserve"> will continue to review its processes for improvement.</w:t>
      </w:r>
      <w:r w:rsidRPr="43613ABF">
        <w:rPr>
          <w:vertAlign w:val="superscript"/>
        </w:rPr>
        <w:footnoteReference w:id="1083"/>
      </w:r>
    </w:p>
    <w:p w:rsidR="000C1980" w:rsidP="00B76A66" w:rsidRDefault="000C1980" w14:paraId="5EC2628A" w14:textId="0ECF9239">
      <w:pPr>
        <w:pStyle w:val="Heading3"/>
      </w:pPr>
      <w:bookmarkStart w:name="_Toc69948322" w:id="685"/>
      <w:r>
        <w:t>SCE Proposal</w:t>
      </w:r>
      <w:bookmarkEnd w:id="685"/>
      <w:r>
        <w:t xml:space="preserve"> </w:t>
      </w:r>
    </w:p>
    <w:p w:rsidRPr="009C4EE0" w:rsidR="000C1980" w:rsidP="0023091F" w:rsidRDefault="000C1980" w14:paraId="624B20D9" w14:textId="77777777">
      <w:pPr>
        <w:pStyle w:val="ALJBodyText"/>
      </w:pPr>
      <w:r w:rsidRPr="009C4EE0">
        <w:t xml:space="preserve">SCE does not propose any specific audits but will comply with and timely cooperate with all </w:t>
      </w:r>
      <w:r>
        <w:t>Commission</w:t>
      </w:r>
      <w:r w:rsidRPr="009C4EE0">
        <w:t xml:space="preserve"> audits.</w:t>
      </w:r>
      <w:r w:rsidRPr="009C4EE0">
        <w:rPr>
          <w:vertAlign w:val="superscript"/>
        </w:rPr>
        <w:footnoteReference w:id="1084"/>
      </w:r>
    </w:p>
    <w:p w:rsidR="000C1980" w:rsidP="00B76A66" w:rsidRDefault="000C1980" w14:paraId="77380111" w14:textId="261EF23A">
      <w:pPr>
        <w:pStyle w:val="Heading3"/>
      </w:pPr>
      <w:bookmarkStart w:name="_Toc69948323" w:id="686"/>
      <w:r>
        <w:lastRenderedPageBreak/>
        <w:t>SoCalGas Proposal</w:t>
      </w:r>
      <w:bookmarkEnd w:id="686"/>
      <w:r>
        <w:t xml:space="preserve"> </w:t>
      </w:r>
    </w:p>
    <w:p w:rsidRPr="009C4EE0" w:rsidR="000C1980" w:rsidP="0023091F" w:rsidRDefault="000C1980" w14:paraId="3A8DDA05" w14:textId="3A7425ED">
      <w:pPr>
        <w:pStyle w:val="ALJBodyText"/>
      </w:pPr>
      <w:r w:rsidRPr="009C4EE0">
        <w:t>SoCalGas does not make any specific proposals on audits but does note that any audit that occurs will be managed through its ESA Program Administrative funds.</w:t>
      </w:r>
    </w:p>
    <w:p w:rsidR="000C1980" w:rsidP="00B76A66" w:rsidRDefault="000C1980" w14:paraId="6EF1BA92" w14:textId="038FDCA3">
      <w:pPr>
        <w:pStyle w:val="Heading3"/>
      </w:pPr>
      <w:bookmarkStart w:name="_Toc69948324" w:id="687"/>
      <w:r>
        <w:t>SDG&amp;E Proposal</w:t>
      </w:r>
      <w:bookmarkEnd w:id="687"/>
    </w:p>
    <w:p w:rsidRPr="009C4EE0" w:rsidR="000C1980" w:rsidP="0023091F" w:rsidRDefault="000C1980" w14:paraId="4A8F5B30" w14:textId="77777777">
      <w:pPr>
        <w:pStyle w:val="ALJBodyText"/>
      </w:pPr>
      <w:r w:rsidRPr="009C4EE0">
        <w:t>SDG&amp;E does not propose any audits for the upcoming cycle but was expected to have completed an internal audit in 2020</w:t>
      </w:r>
      <w:r>
        <w:t>.</w:t>
      </w:r>
      <w:r w:rsidRPr="43613ABF">
        <w:rPr>
          <w:vertAlign w:val="superscript"/>
        </w:rPr>
        <w:footnoteReference w:id="1085"/>
      </w:r>
    </w:p>
    <w:p w:rsidR="000C1980" w:rsidP="00B76A66" w:rsidRDefault="000C1980" w14:paraId="78AA2CDB" w14:textId="2AC0FB9D">
      <w:pPr>
        <w:pStyle w:val="Heading3"/>
      </w:pPr>
      <w:bookmarkStart w:name="_Toc69948325" w:id="688"/>
      <w:r>
        <w:t>Party Positions</w:t>
      </w:r>
      <w:bookmarkEnd w:id="688"/>
    </w:p>
    <w:p w:rsidRPr="00066631" w:rsidR="000C1980" w:rsidP="0023091F" w:rsidRDefault="000C1980" w14:paraId="3387C765" w14:textId="77777777">
      <w:pPr>
        <w:pStyle w:val="ALJBodyText"/>
      </w:pPr>
      <w:r w:rsidRPr="00C52E3D">
        <w:t>No substantive party comments were received on this topic.</w:t>
      </w:r>
    </w:p>
    <w:p w:rsidR="000C1980" w:rsidP="00B76A66" w:rsidRDefault="000C1980" w14:paraId="7AF92EA7" w14:textId="3604015A">
      <w:pPr>
        <w:pStyle w:val="Heading3"/>
      </w:pPr>
      <w:bookmarkStart w:name="_Toc69948326" w:id="689"/>
      <w:r>
        <w:t>Discussion</w:t>
      </w:r>
      <w:bookmarkEnd w:id="689"/>
    </w:p>
    <w:p w:rsidR="000C1980" w:rsidP="0023091F" w:rsidRDefault="000C1980" w14:paraId="447FA904" w14:textId="703C5CA1">
      <w:pPr>
        <w:pStyle w:val="ALJBodyText"/>
      </w:pPr>
      <w:r>
        <w:t xml:space="preserve">We direct the IOUs to comply with </w:t>
      </w:r>
      <w:r w:rsidR="00C669E1">
        <w:t>all</w:t>
      </w:r>
      <w:r>
        <w:t xml:space="preserve"> Commission-ordered audits of the ESA/CARE/FERA programs. In addition, we direct the IOUs to continue to comply with the most recent audit conducted by the State Controller’s Office for PYs 2013-15, including but not limited to, findings related to proper documentation of contractor and customer information, proper documentation of expenses, and classification of cost by categories. </w:t>
      </w:r>
    </w:p>
    <w:p w:rsidR="000C1980" w:rsidP="00B76A66" w:rsidRDefault="000C1980" w14:paraId="7083CB1A" w14:textId="5E4F728B">
      <w:pPr>
        <w:pStyle w:val="Heading2"/>
      </w:pPr>
      <w:bookmarkStart w:name="_Toc69948327" w:id="690"/>
      <w:r>
        <w:t>Fund Shifting and Unspent Funds</w:t>
      </w:r>
      <w:bookmarkEnd w:id="690"/>
    </w:p>
    <w:p w:rsidR="000C1980" w:rsidP="00B76A66" w:rsidRDefault="000C1980" w14:paraId="0B139DAF" w14:textId="77777777">
      <w:pPr>
        <w:pStyle w:val="Heading3"/>
      </w:pPr>
      <w:bookmarkStart w:name="_Toc69948328" w:id="691"/>
      <w:r>
        <w:t>Background</w:t>
      </w:r>
      <w:bookmarkEnd w:id="691"/>
    </w:p>
    <w:p w:rsidR="000C1980" w:rsidP="0023091F" w:rsidRDefault="000C1980" w14:paraId="0A94F228" w14:textId="77777777">
      <w:pPr>
        <w:pStyle w:val="ALJBodyText"/>
      </w:pPr>
      <w:r>
        <w:t xml:space="preserve">Existing fund shifting rules allow the IOUs to shift ESA and CARE program funds from one year to the next within the program cycle, borrow from an approved future budget, carry over unspent funds, shift funds between program categories, and shift funds between electric and gas budgets, all within certain parameters.  The IOUs are also required to report all fund shifting activities in the </w:t>
      </w:r>
      <w:proofErr w:type="gramStart"/>
      <w:r>
        <w:t>low income</w:t>
      </w:r>
      <w:proofErr w:type="gramEnd"/>
      <w:r>
        <w:t xml:space="preserve"> annual reports and quarterly reports to the LIOB, as </w:t>
      </w:r>
      <w:r>
        <w:lastRenderedPageBreak/>
        <w:t xml:space="preserve">well as submit an advice letter filing for certain types of fund shifts or those that exceed a certain level (25 percent of total budget).  </w:t>
      </w:r>
    </w:p>
    <w:p w:rsidR="000C1980" w:rsidP="00B76A66" w:rsidRDefault="000C1980" w14:paraId="0F1AA91F" w14:textId="22CD52C0">
      <w:pPr>
        <w:pStyle w:val="Heading3"/>
      </w:pPr>
      <w:bookmarkStart w:name="_Toc69948329" w:id="692"/>
      <w:r>
        <w:t>PG&amp;E Proposal</w:t>
      </w:r>
      <w:bookmarkEnd w:id="692"/>
      <w:r>
        <w:t xml:space="preserve"> </w:t>
      </w:r>
    </w:p>
    <w:p w:rsidR="000C1980" w:rsidP="0023091F" w:rsidRDefault="000C1980" w14:paraId="0CD6D3C5" w14:textId="77777777">
      <w:pPr>
        <w:pStyle w:val="ALJBodyText"/>
      </w:pPr>
      <w:r w:rsidRPr="24DCB1AB">
        <w:rPr>
          <w:b/>
          <w:bCs/>
          <w:i/>
          <w:iCs/>
          <w:u w:val="single"/>
        </w:rPr>
        <w:t>Fund Shifting:</w:t>
      </w:r>
      <w:r>
        <w:t xml:space="preserve"> </w:t>
      </w:r>
      <w:r w:rsidRPr="0054107C">
        <w:t>PG&amp;E requests t</w:t>
      </w:r>
      <w:r>
        <w:t>hat t</w:t>
      </w:r>
      <w:r w:rsidRPr="0054107C">
        <w:t xml:space="preserve">he Commission approve modifications to ESA fund shifting rules to </w:t>
      </w:r>
      <w:r>
        <w:t xml:space="preserve">allow shifting between categories via the monthly/annul reports to </w:t>
      </w:r>
      <w:r w:rsidRPr="0054107C">
        <w:t>align with the CARE fund shifting rules detailed in D.06-12-038</w:t>
      </w:r>
      <w:r>
        <w:t xml:space="preserve">, stating that this change will </w:t>
      </w:r>
      <w:r w:rsidRPr="0054107C">
        <w:t>allow for greater program flexibility.</w:t>
      </w:r>
      <w:r w:rsidRPr="0054107C">
        <w:rPr>
          <w:vertAlign w:val="superscript"/>
        </w:rPr>
        <w:footnoteReference w:id="1086"/>
      </w:r>
      <w:r w:rsidRPr="0054107C">
        <w:t xml:space="preserve"> Modifying the fund shifting </w:t>
      </w:r>
      <w:r>
        <w:t>rules</w:t>
      </w:r>
      <w:r w:rsidRPr="0054107C">
        <w:t xml:space="preserve"> would accommodate many of the adjustments that will be necessary to run the new ESA </w:t>
      </w:r>
      <w:r>
        <w:t>p</w:t>
      </w:r>
      <w:r w:rsidRPr="0054107C">
        <w:t>rograms successfully and to make any program changes that may be required over the course of the program cycle.</w:t>
      </w:r>
      <w:r w:rsidRPr="0054107C">
        <w:rPr>
          <w:vertAlign w:val="superscript"/>
        </w:rPr>
        <w:footnoteReference w:id="1087"/>
      </w:r>
      <w:r>
        <w:t xml:space="preserve">  </w:t>
      </w:r>
      <w:r w:rsidRPr="0054107C">
        <w:t>Current fund shifting rules are unclear and can contribute to administrative delays.</w:t>
      </w:r>
      <w:r w:rsidRPr="0054107C">
        <w:rPr>
          <w:vertAlign w:val="superscript"/>
        </w:rPr>
        <w:footnoteReference w:id="1088"/>
      </w:r>
      <w:r w:rsidRPr="0054107C">
        <w:t xml:space="preserve"> </w:t>
      </w:r>
      <w:r>
        <w:t xml:space="preserve"> </w:t>
      </w:r>
      <w:r w:rsidRPr="0054107C">
        <w:t>Greater flexibility for management and oversight budget needs will increase program efficiencies and allow more customers to participate in the program.</w:t>
      </w:r>
      <w:r w:rsidRPr="0054107C">
        <w:rPr>
          <w:vertAlign w:val="superscript"/>
        </w:rPr>
        <w:footnoteReference w:id="1089"/>
      </w:r>
    </w:p>
    <w:p w:rsidRPr="0054107C" w:rsidR="000C1980" w:rsidP="0023091F" w:rsidRDefault="000C1980" w14:paraId="2886E750" w14:textId="77777777">
      <w:pPr>
        <w:pStyle w:val="ALJBodyText"/>
      </w:pPr>
      <w:r w:rsidRPr="24DCB1AB">
        <w:rPr>
          <w:b/>
          <w:bCs/>
          <w:i/>
          <w:iCs/>
          <w:u w:val="single"/>
        </w:rPr>
        <w:t>Unspent Funds:</w:t>
      </w:r>
      <w:r>
        <w:t xml:space="preserve"> </w:t>
      </w:r>
      <w:r w:rsidRPr="006505A1">
        <w:t xml:space="preserve">PG&amp;E </w:t>
      </w:r>
      <w:r>
        <w:t xml:space="preserve">has </w:t>
      </w:r>
      <w:r w:rsidRPr="006505A1">
        <w:t xml:space="preserve">allocated </w:t>
      </w:r>
      <w:r>
        <w:t>PYs</w:t>
      </w:r>
      <w:r w:rsidRPr="006505A1">
        <w:t xml:space="preserve"> 2009-2016 unspent funds to cover new ESA</w:t>
      </w:r>
      <w:r>
        <w:t xml:space="preserve"> </w:t>
      </w:r>
      <w:r w:rsidRPr="006505A1">
        <w:t>2017-2020 activities</w:t>
      </w:r>
      <w:r>
        <w:t xml:space="preserve"> and proposes t</w:t>
      </w:r>
      <w:r w:rsidRPr="001E0FB3">
        <w:t>hat any</w:t>
      </w:r>
      <w:r>
        <w:t xml:space="preserve"> u</w:t>
      </w:r>
      <w:r w:rsidRPr="001E0FB3">
        <w:t>nspent budget remaining at the end of 2020 be used to off-set</w:t>
      </w:r>
      <w:r>
        <w:t xml:space="preserve"> </w:t>
      </w:r>
      <w:r w:rsidRPr="001E0FB3">
        <w:t>bridge funding collections.</w:t>
      </w:r>
      <w:r>
        <w:t xml:space="preserve">  </w:t>
      </w:r>
      <w:r w:rsidRPr="001E0FB3">
        <w:t>If there is no bridge funding period</w:t>
      </w:r>
      <w:r>
        <w:t xml:space="preserve"> r</w:t>
      </w:r>
      <w:r w:rsidRPr="001E0FB3">
        <w:t>equired, or if any 2017-2020 funds remain after the bridge period,</w:t>
      </w:r>
      <w:r>
        <w:t xml:space="preserve"> </w:t>
      </w:r>
      <w:r w:rsidRPr="001E0FB3">
        <w:t xml:space="preserve">PG&amp;E proposes to use these funds to offset </w:t>
      </w:r>
      <w:r>
        <w:t xml:space="preserve">PYs </w:t>
      </w:r>
      <w:r w:rsidRPr="001E0FB3">
        <w:t>2021-2026 collections.</w:t>
      </w:r>
      <w:r>
        <w:rPr>
          <w:rStyle w:val="FootnoteReference"/>
        </w:rPr>
        <w:footnoteReference w:id="1090"/>
      </w:r>
    </w:p>
    <w:p w:rsidR="000C1980" w:rsidP="00B76A66" w:rsidRDefault="000C1980" w14:paraId="5A64AB1F" w14:textId="1BE47287">
      <w:pPr>
        <w:pStyle w:val="Heading3"/>
      </w:pPr>
      <w:bookmarkStart w:name="_Toc69948330" w:id="693"/>
      <w:r>
        <w:lastRenderedPageBreak/>
        <w:t>SCE Proposal</w:t>
      </w:r>
      <w:bookmarkEnd w:id="693"/>
      <w:r>
        <w:t xml:space="preserve"> </w:t>
      </w:r>
    </w:p>
    <w:p w:rsidR="000C1980" w:rsidP="0023091F" w:rsidRDefault="000C1980" w14:paraId="6305B3E7" w14:textId="77777777">
      <w:pPr>
        <w:pStyle w:val="ALJBodyText"/>
      </w:pPr>
      <w:r w:rsidRPr="24DCB1AB">
        <w:rPr>
          <w:b/>
          <w:bCs/>
          <w:i/>
          <w:iCs/>
          <w:u w:val="single"/>
        </w:rPr>
        <w:t>Fund Shifting:</w:t>
      </w:r>
      <w:r>
        <w:t xml:space="preserve"> S</w:t>
      </w:r>
      <w:r w:rsidRPr="0054107C">
        <w:t>CE proposes simplified fund shifting rules for single family program incentive categories.</w:t>
      </w:r>
      <w:r w:rsidRPr="0054107C">
        <w:rPr>
          <w:vertAlign w:val="superscript"/>
        </w:rPr>
        <w:footnoteReference w:id="1091"/>
      </w:r>
      <w:r w:rsidRPr="0054107C">
        <w:t xml:space="preserve"> </w:t>
      </w:r>
      <w:r>
        <w:t xml:space="preserve"> </w:t>
      </w:r>
      <w:r w:rsidRPr="0054107C">
        <w:t xml:space="preserve">SCE recommends the Commission allow fund shifting between categories in the </w:t>
      </w:r>
      <w:proofErr w:type="gramStart"/>
      <w:r w:rsidRPr="0054107C">
        <w:t>single family</w:t>
      </w:r>
      <w:proofErr w:type="gramEnd"/>
      <w:r w:rsidRPr="0054107C">
        <w:t xml:space="preserve"> program through a Tier 2 advice letter process</w:t>
      </w:r>
      <w:r>
        <w:t>,</w:t>
      </w:r>
      <w:r w:rsidRPr="0054107C">
        <w:rPr>
          <w:vertAlign w:val="superscript"/>
        </w:rPr>
        <w:footnoteReference w:id="1092"/>
      </w:r>
      <w:r w:rsidRPr="0054107C">
        <w:t xml:space="preserve"> </w:t>
      </w:r>
      <w:r>
        <w:t xml:space="preserve">to </w:t>
      </w:r>
      <w:r w:rsidRPr="0054107C">
        <w:t xml:space="preserve">allow flexibility to adjust measures incrementally between the Tier 1 and Tier 2 measures if unexpected issues arise. </w:t>
      </w:r>
      <w:r>
        <w:t>SCE states that this will allow it</w:t>
      </w:r>
      <w:r w:rsidRPr="0054107C">
        <w:t xml:space="preserve"> to adapt to changes without having to file a petition for modification or wait for a midcycle review.</w:t>
      </w:r>
      <w:r w:rsidRPr="0054107C">
        <w:rPr>
          <w:vertAlign w:val="superscript"/>
        </w:rPr>
        <w:footnoteReference w:id="1093"/>
      </w:r>
    </w:p>
    <w:p w:rsidRPr="0054107C" w:rsidR="000C1980" w:rsidP="0023091F" w:rsidRDefault="000C1980" w14:paraId="6CD3977B" w14:textId="77777777">
      <w:pPr>
        <w:pStyle w:val="ALJBodyText"/>
      </w:pPr>
      <w:r w:rsidRPr="24DCB1AB">
        <w:rPr>
          <w:b/>
          <w:bCs/>
          <w:i/>
          <w:iCs/>
          <w:u w:val="single"/>
        </w:rPr>
        <w:t>Unspent Funds:</w:t>
      </w:r>
      <w:r>
        <w:t xml:space="preserve"> SCE proposes that </w:t>
      </w:r>
      <w:r w:rsidRPr="003520CE">
        <w:t xml:space="preserve">during </w:t>
      </w:r>
      <w:r>
        <w:t>PYs</w:t>
      </w:r>
      <w:r w:rsidRPr="003520CE">
        <w:t xml:space="preserve"> 2021-2026</w:t>
      </w:r>
      <w:r>
        <w:t xml:space="preserve">, </w:t>
      </w:r>
      <w:r w:rsidRPr="003520CE">
        <w:t>any uncommitted funds that remain</w:t>
      </w:r>
      <w:r>
        <w:t xml:space="preserve"> </w:t>
      </w:r>
      <w:r w:rsidRPr="003520CE">
        <w:t xml:space="preserve">unspent at the end of the year </w:t>
      </w:r>
      <w:r>
        <w:t xml:space="preserve">be used to </w:t>
      </w:r>
      <w:r w:rsidRPr="003520CE">
        <w:t>offset the next year expenditures in the program cycle.</w:t>
      </w:r>
      <w:r>
        <w:rPr>
          <w:rStyle w:val="FootnoteReference"/>
        </w:rPr>
        <w:footnoteReference w:id="1094"/>
      </w:r>
    </w:p>
    <w:p w:rsidR="000C1980" w:rsidP="00B76A66" w:rsidRDefault="000C1980" w14:paraId="0C673F79" w14:textId="5D5D4F39">
      <w:pPr>
        <w:pStyle w:val="Heading3"/>
      </w:pPr>
      <w:bookmarkStart w:name="_Toc69948331" w:id="694"/>
      <w:r>
        <w:t>SoCalGas Proposal</w:t>
      </w:r>
      <w:bookmarkEnd w:id="694"/>
      <w:r>
        <w:t xml:space="preserve"> </w:t>
      </w:r>
    </w:p>
    <w:p w:rsidR="000C1980" w:rsidP="0023091F" w:rsidRDefault="000C1980" w14:paraId="6FFACD1C" w14:textId="77777777">
      <w:pPr>
        <w:pStyle w:val="ALJBodyText"/>
      </w:pPr>
      <w:r w:rsidRPr="24DCB1AB">
        <w:rPr>
          <w:b/>
          <w:bCs/>
          <w:i/>
          <w:iCs/>
          <w:u w:val="single"/>
        </w:rPr>
        <w:t>Fund Shifting:</w:t>
      </w:r>
      <w:r>
        <w:t xml:space="preserve"> </w:t>
      </w:r>
      <w:r w:rsidRPr="00A377BA">
        <w:t xml:space="preserve">SoCalGas requests that the current ESA </w:t>
      </w:r>
      <w:r>
        <w:t>p</w:t>
      </w:r>
      <w:r w:rsidRPr="00A377BA">
        <w:t xml:space="preserve">rogram fund shifting </w:t>
      </w:r>
      <w:r>
        <w:t>rules be</w:t>
      </w:r>
      <w:r w:rsidRPr="00A377BA">
        <w:t xml:space="preserve"> replaced with the fund shifting process as</w:t>
      </w:r>
      <w:r>
        <w:t xml:space="preserve"> </w:t>
      </w:r>
      <w:r w:rsidRPr="00A377BA">
        <w:t xml:space="preserve">implemented in the </w:t>
      </w:r>
      <w:r>
        <w:t>mainstream energy efficiency p</w:t>
      </w:r>
      <w:r w:rsidRPr="00A377BA">
        <w:t xml:space="preserve">roceeding, by eliminating the </w:t>
      </w:r>
      <w:r>
        <w:t>advice letter</w:t>
      </w:r>
      <w:r w:rsidRPr="00A377BA">
        <w:t xml:space="preserve"> requirements for fund shifting.</w:t>
      </w:r>
      <w:r>
        <w:t xml:space="preserve">  S</w:t>
      </w:r>
      <w:r w:rsidRPr="003454F6">
        <w:t xml:space="preserve">oCalGas proposes to track and report its ESA </w:t>
      </w:r>
      <w:r>
        <w:t>p</w:t>
      </w:r>
      <w:r w:rsidRPr="003454F6">
        <w:t>rogram fund shifting activities via</w:t>
      </w:r>
      <w:r>
        <w:t xml:space="preserve"> </w:t>
      </w:r>
      <w:r w:rsidRPr="003454F6">
        <w:t>the monthly and annual budgetary reports.</w:t>
      </w:r>
      <w:r>
        <w:rPr>
          <w:rStyle w:val="FootnoteReference"/>
        </w:rPr>
        <w:footnoteReference w:id="1095"/>
      </w:r>
      <w:r w:rsidRPr="00642939">
        <w:t xml:space="preserve"> </w:t>
      </w:r>
    </w:p>
    <w:p w:rsidRPr="00642939" w:rsidR="000C1980" w:rsidP="0023091F" w:rsidRDefault="000C1980" w14:paraId="039BA84E" w14:textId="77777777">
      <w:pPr>
        <w:pStyle w:val="ALJBodyText"/>
      </w:pPr>
      <w:r w:rsidRPr="24DCB1AB">
        <w:rPr>
          <w:b/>
          <w:bCs/>
          <w:i/>
          <w:iCs/>
          <w:u w:val="single"/>
        </w:rPr>
        <w:lastRenderedPageBreak/>
        <w:t>Unspent Funds:</w:t>
      </w:r>
      <w:r w:rsidRPr="00642939">
        <w:t xml:space="preserve"> SoCalGas states that it would be simpler and more effective for the Commission to newly authorize all needed budgets going forward.</w:t>
      </w:r>
      <w:r w:rsidRPr="00642939">
        <w:rPr>
          <w:vertAlign w:val="superscript"/>
        </w:rPr>
        <w:footnoteReference w:id="1096"/>
      </w:r>
      <w:r w:rsidRPr="00642939">
        <w:t xml:space="preserve"> </w:t>
      </w:r>
    </w:p>
    <w:p w:rsidR="000C1980" w:rsidP="00B76A66" w:rsidRDefault="000C1980" w14:paraId="05947901" w14:textId="1C1862AD">
      <w:pPr>
        <w:pStyle w:val="Heading3"/>
      </w:pPr>
      <w:bookmarkStart w:name="_Toc69948332" w:id="695"/>
      <w:r>
        <w:t>SDG&amp;E Proposal</w:t>
      </w:r>
      <w:bookmarkEnd w:id="695"/>
    </w:p>
    <w:p w:rsidR="000C1980" w:rsidP="0023091F" w:rsidRDefault="000C1980" w14:paraId="2BF2C579" w14:textId="08925BED">
      <w:pPr>
        <w:pStyle w:val="ALJBodyText"/>
      </w:pPr>
      <w:r w:rsidRPr="24DCB1AB">
        <w:rPr>
          <w:b/>
          <w:bCs/>
          <w:i/>
          <w:iCs/>
          <w:u w:val="single"/>
        </w:rPr>
        <w:t>Fund Shifting:</w:t>
      </w:r>
      <w:r>
        <w:t xml:space="preserve"> </w:t>
      </w:r>
      <w:r w:rsidRPr="0054107C">
        <w:t>SDG&amp;E requests clarification and modification of the fund</w:t>
      </w:r>
      <w:r w:rsidR="00AA1D9B">
        <w:t xml:space="preserve"> </w:t>
      </w:r>
      <w:r w:rsidRPr="0054107C">
        <w:t>shifting rules to allow for more flexibility in program management.</w:t>
      </w:r>
      <w:r w:rsidRPr="0054107C">
        <w:rPr>
          <w:vertAlign w:val="superscript"/>
        </w:rPr>
        <w:footnoteReference w:id="1097"/>
      </w:r>
      <w:r w:rsidRPr="0054107C">
        <w:t xml:space="preserve"> </w:t>
      </w:r>
      <w:r>
        <w:t xml:space="preserve"> </w:t>
      </w:r>
      <w:r w:rsidRPr="0054107C">
        <w:t>SDG&amp;E requests that fund shifting rules be modified to align with those of the CARE program</w:t>
      </w:r>
      <w:r w:rsidRPr="00C37B6D">
        <w:rPr>
          <w:rFonts w:ascii="Times New Roman" w:hAnsi="Times New Roman"/>
          <w:color w:val="000000"/>
          <w:sz w:val="23"/>
          <w:szCs w:val="23"/>
        </w:rPr>
        <w:t xml:space="preserve"> </w:t>
      </w:r>
      <w:r w:rsidRPr="00C37B6D">
        <w:t xml:space="preserve">and to report ESA </w:t>
      </w:r>
      <w:r>
        <w:t>p</w:t>
      </w:r>
      <w:r w:rsidRPr="00C37B6D">
        <w:t xml:space="preserve">rogram fund shifts in the </w:t>
      </w:r>
      <w:r>
        <w:t>mon</w:t>
      </w:r>
      <w:r w:rsidRPr="00C37B6D">
        <w:t xml:space="preserve">thly and </w:t>
      </w:r>
      <w:r>
        <w:t>a</w:t>
      </w:r>
      <w:r w:rsidRPr="00C37B6D">
        <w:t>nnual reports rather than through an advice letter</w:t>
      </w:r>
      <w:r w:rsidRPr="0054107C">
        <w:t>.</w:t>
      </w:r>
      <w:r w:rsidRPr="0054107C">
        <w:rPr>
          <w:vertAlign w:val="superscript"/>
        </w:rPr>
        <w:footnoteReference w:id="1098"/>
      </w:r>
      <w:r w:rsidRPr="00C37B6D">
        <w:t xml:space="preserve"> </w:t>
      </w:r>
      <w:r>
        <w:t xml:space="preserve"> </w:t>
      </w:r>
      <w:r w:rsidRPr="00C37B6D">
        <w:t xml:space="preserve">SDG&amp;E </w:t>
      </w:r>
      <w:r>
        <w:t xml:space="preserve">states that it </w:t>
      </w:r>
      <w:r w:rsidRPr="00C37B6D">
        <w:t>will track and maintain a clear and concise record of all fund shifting</w:t>
      </w:r>
      <w:r w:rsidRPr="00FE3FA3">
        <w:rPr>
          <w:rFonts w:ascii="Times New Roman" w:hAnsi="Times New Roman"/>
          <w:color w:val="000000"/>
          <w:sz w:val="23"/>
          <w:szCs w:val="23"/>
        </w:rPr>
        <w:t xml:space="preserve"> </w:t>
      </w:r>
      <w:r w:rsidRPr="00FE3FA3">
        <w:t xml:space="preserve">transactions and submit a well-documented record of such transactions in its </w:t>
      </w:r>
      <w:r>
        <w:t>m</w:t>
      </w:r>
      <w:r w:rsidRPr="00FE3FA3">
        <w:t xml:space="preserve">onthly and </w:t>
      </w:r>
      <w:r>
        <w:t>a</w:t>
      </w:r>
      <w:r w:rsidRPr="00FE3FA3">
        <w:t>nnual reports relevant to the period in which they took place</w:t>
      </w:r>
      <w:r w:rsidRPr="0054107C">
        <w:t>.</w:t>
      </w:r>
      <w:r w:rsidRPr="0054107C">
        <w:rPr>
          <w:vertAlign w:val="superscript"/>
        </w:rPr>
        <w:footnoteReference w:id="1099"/>
      </w:r>
      <w:r>
        <w:t xml:space="preserve">  SDG&amp;E argues that this will </w:t>
      </w:r>
      <w:r w:rsidRPr="0054107C">
        <w:t>provide</w:t>
      </w:r>
      <w:r>
        <w:t xml:space="preserve"> fle</w:t>
      </w:r>
      <w:r w:rsidRPr="0054107C">
        <w:t>xibility to shift funds between categories and change program delivery as necessary over the course of the program cycle.</w:t>
      </w:r>
      <w:r w:rsidRPr="0054107C">
        <w:rPr>
          <w:vertAlign w:val="superscript"/>
        </w:rPr>
        <w:footnoteReference w:id="1100"/>
      </w:r>
      <w:r>
        <w:t xml:space="preserve"> </w:t>
      </w:r>
    </w:p>
    <w:p w:rsidRPr="009854A6" w:rsidR="000C1980" w:rsidP="0023091F" w:rsidRDefault="000C1980" w14:paraId="1B8E8FF2" w14:textId="77777777">
      <w:pPr>
        <w:pStyle w:val="ALJBodyText"/>
      </w:pPr>
      <w:r>
        <w:t>S</w:t>
      </w:r>
      <w:r w:rsidRPr="009854A6">
        <w:t xml:space="preserve">DG&amp;E </w:t>
      </w:r>
      <w:r>
        <w:t xml:space="preserve">also </w:t>
      </w:r>
      <w:r w:rsidRPr="009854A6">
        <w:t>propose</w:t>
      </w:r>
      <w:r>
        <w:t>s</w:t>
      </w:r>
      <w:r w:rsidRPr="009854A6">
        <w:t xml:space="preserve"> establishing fund shifting rules for the FERA </w:t>
      </w:r>
      <w:r>
        <w:t>p</w:t>
      </w:r>
      <w:r w:rsidRPr="009854A6">
        <w:t>rogram that mirror the CARE fund shifting rules.</w:t>
      </w:r>
      <w:r w:rsidRPr="009854A6">
        <w:rPr>
          <w:vertAlign w:val="superscript"/>
        </w:rPr>
        <w:footnoteReference w:id="1101"/>
      </w:r>
    </w:p>
    <w:p w:rsidRPr="0054107C" w:rsidR="000C1980" w:rsidP="0023091F" w:rsidRDefault="000C1980" w14:paraId="4734FA59" w14:textId="77777777">
      <w:pPr>
        <w:pStyle w:val="ALJBodyText"/>
      </w:pPr>
      <w:r w:rsidRPr="24DCB1AB">
        <w:rPr>
          <w:b/>
          <w:bCs/>
          <w:i/>
          <w:iCs/>
          <w:u w:val="single"/>
        </w:rPr>
        <w:t>Unspent Funds:</w:t>
      </w:r>
      <w:r>
        <w:t xml:space="preserve"> </w:t>
      </w:r>
      <w:r w:rsidRPr="00CE75B5">
        <w:t>SDG&amp;E seeks clarification on the uncommitted unspent funds cap for the</w:t>
      </w:r>
      <w:r>
        <w:t xml:space="preserve"> </w:t>
      </w:r>
      <w:r w:rsidRPr="00CE75B5">
        <w:t xml:space="preserve">amount to carry-over to the following program year. </w:t>
      </w:r>
      <w:r>
        <w:t xml:space="preserve"> </w:t>
      </w:r>
      <w:r w:rsidRPr="00CE75B5">
        <w:t>In D.17</w:t>
      </w:r>
      <w:r>
        <w:noBreakHyphen/>
      </w:r>
      <w:r w:rsidRPr="00CE75B5">
        <w:t>12-009, the Commission</w:t>
      </w:r>
      <w:r>
        <w:t xml:space="preserve"> </w:t>
      </w:r>
      <w:r w:rsidRPr="00CE75B5">
        <w:t>establishe</w:t>
      </w:r>
      <w:r>
        <w:t>d</w:t>
      </w:r>
      <w:r w:rsidRPr="00CE75B5">
        <w:t xml:space="preserve"> a 25</w:t>
      </w:r>
      <w:r w:rsidRPr="00730FFE">
        <w:rPr>
          <w:bCs/>
        </w:rPr>
        <w:t xml:space="preserve"> percent</w:t>
      </w:r>
      <w:r w:rsidRPr="00CE75B5">
        <w:t xml:space="preserve"> cap for unspent funds that can be carried-over from program</w:t>
      </w:r>
      <w:r>
        <w:t xml:space="preserve"> </w:t>
      </w:r>
      <w:r w:rsidRPr="00CE75B5">
        <w:t xml:space="preserve">year to program year and within a given cycle. </w:t>
      </w:r>
      <w:r w:rsidRPr="00CE75B5">
        <w:lastRenderedPageBreak/>
        <w:t>In addition, an IOU must file an advice letter</w:t>
      </w:r>
      <w:r>
        <w:t xml:space="preserve"> </w:t>
      </w:r>
      <w:r w:rsidRPr="00CE75B5">
        <w:t>first if it wishes to carry over an amount exceeding 15</w:t>
      </w:r>
      <w:r w:rsidRPr="00730FFE">
        <w:rPr>
          <w:bCs/>
        </w:rPr>
        <w:t xml:space="preserve"> percent</w:t>
      </w:r>
      <w:r w:rsidRPr="00CE75B5">
        <w:t xml:space="preserve">. </w:t>
      </w:r>
      <w:r>
        <w:t xml:space="preserve"> </w:t>
      </w:r>
      <w:r w:rsidRPr="00CE75B5">
        <w:t>In the next sentence, the decision states</w:t>
      </w:r>
      <w:r>
        <w:t xml:space="preserve"> </w:t>
      </w:r>
      <w:r w:rsidRPr="00CE75B5">
        <w:t>that “[</w:t>
      </w:r>
      <w:proofErr w:type="spellStart"/>
      <w:r w:rsidRPr="00CE75B5">
        <w:t>i</w:t>
      </w:r>
      <w:proofErr w:type="spellEnd"/>
      <w:r w:rsidRPr="00CE75B5">
        <w:t>]f the large IOU does not receive such approval, any unspent funds in excess of the 25</w:t>
      </w:r>
      <w:r w:rsidRPr="00730FFE">
        <w:rPr>
          <w:bCs/>
        </w:rPr>
        <w:t xml:space="preserve"> percent</w:t>
      </w:r>
      <w:r>
        <w:t xml:space="preserve"> </w:t>
      </w:r>
      <w:r w:rsidRPr="00CE75B5">
        <w:t>limit may not be carried over for programmatic use…” SDG&amp;E seeks Commission</w:t>
      </w:r>
      <w:r>
        <w:t xml:space="preserve"> </w:t>
      </w:r>
      <w:r w:rsidRPr="00CE75B5">
        <w:t>clarification of whether it intended to establish a 15</w:t>
      </w:r>
      <w:r w:rsidRPr="00730FFE">
        <w:rPr>
          <w:bCs/>
        </w:rPr>
        <w:t xml:space="preserve"> percent</w:t>
      </w:r>
      <w:r w:rsidRPr="00CE75B5">
        <w:t xml:space="preserve"> or 25</w:t>
      </w:r>
      <w:r>
        <w:rPr>
          <w:bCs/>
        </w:rPr>
        <w:t> </w:t>
      </w:r>
      <w:r w:rsidRPr="00730FFE">
        <w:rPr>
          <w:bCs/>
        </w:rPr>
        <w:t>percent</w:t>
      </w:r>
      <w:r w:rsidRPr="00CE75B5">
        <w:t xml:space="preserve"> cap. </w:t>
      </w:r>
      <w:r>
        <w:t xml:space="preserve"> </w:t>
      </w:r>
      <w:r w:rsidRPr="00CE75B5">
        <w:t>SDG&amp;E requests that the</w:t>
      </w:r>
      <w:r>
        <w:t xml:space="preserve"> </w:t>
      </w:r>
      <w:r w:rsidRPr="00CE75B5">
        <w:t>Commission determine the 25</w:t>
      </w:r>
      <w:r w:rsidRPr="003F7995">
        <w:rPr>
          <w:bCs/>
        </w:rPr>
        <w:t xml:space="preserve"> </w:t>
      </w:r>
      <w:r w:rsidRPr="00730FFE">
        <w:rPr>
          <w:bCs/>
        </w:rPr>
        <w:t>percent</w:t>
      </w:r>
      <w:r w:rsidRPr="00CE75B5">
        <w:t xml:space="preserve"> cap was intended for uncommitted carry-over unspent</w:t>
      </w:r>
      <w:r>
        <w:t xml:space="preserve"> </w:t>
      </w:r>
      <w:r w:rsidRPr="00CE75B5">
        <w:t>funds and that this rule be applicable to the 2021</w:t>
      </w:r>
      <w:r>
        <w:t>-</w:t>
      </w:r>
      <w:r w:rsidRPr="00CE75B5">
        <w:t xml:space="preserve">2026 program cycle. </w:t>
      </w:r>
      <w:r>
        <w:t xml:space="preserve"> </w:t>
      </w:r>
      <w:r w:rsidRPr="00CE75B5">
        <w:t>Maintaining the</w:t>
      </w:r>
      <w:r>
        <w:t xml:space="preserve"> </w:t>
      </w:r>
      <w:r w:rsidRPr="00CE75B5">
        <w:t>25</w:t>
      </w:r>
      <w:r w:rsidRPr="003F7995">
        <w:rPr>
          <w:bCs/>
        </w:rPr>
        <w:t xml:space="preserve"> </w:t>
      </w:r>
      <w:r w:rsidRPr="00730FFE">
        <w:rPr>
          <w:bCs/>
        </w:rPr>
        <w:t>percent</w:t>
      </w:r>
      <w:r w:rsidRPr="00CE75B5">
        <w:t xml:space="preserve"> cap limit for uncommitted carry-over unspent funds minimizes uncertainty with the new</w:t>
      </w:r>
      <w:r>
        <w:t xml:space="preserve"> </w:t>
      </w:r>
      <w:r w:rsidRPr="00CE75B5">
        <w:t>program design and allows greater flexibility to use those funds to provide more measures and</w:t>
      </w:r>
      <w:r>
        <w:t xml:space="preserve"> </w:t>
      </w:r>
      <w:r w:rsidRPr="00CE75B5">
        <w:t>services to customers if needed.</w:t>
      </w:r>
      <w:r>
        <w:rPr>
          <w:rStyle w:val="FootnoteReference"/>
        </w:rPr>
        <w:footnoteReference w:id="1102"/>
      </w:r>
      <w:r>
        <w:t xml:space="preserve">  </w:t>
      </w:r>
      <w:r w:rsidRPr="00F32FA7">
        <w:t>For unspent, uncommitted funds at the end of the 2020 program</w:t>
      </w:r>
      <w:r>
        <w:t xml:space="preserve"> </w:t>
      </w:r>
      <w:r w:rsidRPr="00F32FA7">
        <w:t xml:space="preserve">cycle, SDG&amp;E proposes to continue </w:t>
      </w:r>
      <w:r>
        <w:t xml:space="preserve">to use it to </w:t>
      </w:r>
      <w:r w:rsidRPr="00F32FA7">
        <w:t>offset future revenue collections.</w:t>
      </w:r>
      <w:r>
        <w:rPr>
          <w:rStyle w:val="FootnoteReference"/>
        </w:rPr>
        <w:footnoteReference w:id="1103"/>
      </w:r>
    </w:p>
    <w:p w:rsidRPr="008E3E94" w:rsidR="000C1980" w:rsidP="00B76A66" w:rsidRDefault="000C1980" w14:paraId="56751474" w14:textId="67FA0130">
      <w:pPr>
        <w:pStyle w:val="Heading3"/>
      </w:pPr>
      <w:bookmarkStart w:name="_Toc69948333" w:id="696"/>
      <w:r w:rsidRPr="008E3E94">
        <w:t>Party Positions</w:t>
      </w:r>
      <w:bookmarkEnd w:id="696"/>
    </w:p>
    <w:p w:rsidR="000C1980" w:rsidP="00B76A66" w:rsidRDefault="000C1980" w14:paraId="649E8419" w14:textId="77777777">
      <w:pPr>
        <w:pStyle w:val="Heading4"/>
      </w:pPr>
      <w:bookmarkStart w:name="_Toc69948334" w:id="697"/>
      <w:r>
        <w:t>PCF</w:t>
      </w:r>
      <w:bookmarkEnd w:id="697"/>
    </w:p>
    <w:p w:rsidR="000C1980" w:rsidP="0023091F" w:rsidRDefault="000C1980" w14:paraId="303EAABE" w14:textId="77777777">
      <w:pPr>
        <w:pStyle w:val="ALJBodyText"/>
      </w:pPr>
      <w:r w:rsidRPr="24DCB1AB">
        <w:rPr>
          <w:b/>
          <w:bCs/>
          <w:i/>
          <w:iCs/>
          <w:u w:val="single"/>
        </w:rPr>
        <w:t>Unspent Funds:</w:t>
      </w:r>
      <w:r>
        <w:t xml:space="preserve"> PCF recommends that u</w:t>
      </w:r>
      <w:r w:rsidRPr="00FC0F20">
        <w:t xml:space="preserve">nused ESA </w:t>
      </w:r>
      <w:r>
        <w:t>funds</w:t>
      </w:r>
      <w:r w:rsidRPr="00FC0F20">
        <w:t xml:space="preserve"> should be shifted to programs like SOMAH, </w:t>
      </w:r>
      <w:r>
        <w:t>DAC</w:t>
      </w:r>
      <w:r w:rsidRPr="00FC0F20">
        <w:t xml:space="preserve"> Single-Family Affordable Single Homes, and similar programs</w:t>
      </w:r>
      <w:r>
        <w:t xml:space="preserve"> and would be </w:t>
      </w:r>
      <w:r w:rsidRPr="00FC0F20">
        <w:t xml:space="preserve">consistent with ESA’s statutory scheme as </w:t>
      </w:r>
      <w:r>
        <w:t xml:space="preserve">being </w:t>
      </w:r>
      <w:r w:rsidRPr="00FC0F20">
        <w:t>both cost-effective and hardship reducing</w:t>
      </w:r>
      <w:r>
        <w:t xml:space="preserve"> if the funds are </w:t>
      </w:r>
      <w:r w:rsidRPr="00FC0F20">
        <w:t>earmarked for the purpose of installing whole house solar plus battery storage systems utilizing on-bill financing funded by private equit</w:t>
      </w:r>
      <w:r>
        <w:t xml:space="preserve">y.  PCF also states that </w:t>
      </w:r>
      <w:r w:rsidRPr="00FC0F20">
        <w:t xml:space="preserve">because on-bill financing involves on-bill rate reductions, even unspent CARE funding may be </w:t>
      </w:r>
      <w:r w:rsidRPr="00FC0F20">
        <w:lastRenderedPageBreak/>
        <w:t>shifted to these programs for the purpose of installing solar plus battery storage systems utilizing on-bill financing.</w:t>
      </w:r>
      <w:r>
        <w:rPr>
          <w:rStyle w:val="FootnoteReference"/>
        </w:rPr>
        <w:footnoteReference w:id="1104"/>
      </w:r>
    </w:p>
    <w:p w:rsidR="000C1980" w:rsidP="00B76A66" w:rsidRDefault="000C1980" w14:paraId="6F2917EF" w14:textId="05945491">
      <w:pPr>
        <w:pStyle w:val="Heading4"/>
      </w:pPr>
      <w:bookmarkStart w:name="_Toc69948335" w:id="698"/>
      <w:r>
        <w:t>EEC</w:t>
      </w:r>
      <w:bookmarkEnd w:id="698"/>
    </w:p>
    <w:p w:rsidR="000C1980" w:rsidP="0023091F" w:rsidRDefault="000C1980" w14:paraId="16880EA8" w14:textId="77777777">
      <w:pPr>
        <w:pStyle w:val="ALJBodyText"/>
      </w:pPr>
      <w:r w:rsidRPr="24DCB1AB">
        <w:rPr>
          <w:b/>
          <w:bCs/>
          <w:i/>
          <w:iCs/>
          <w:u w:val="single"/>
        </w:rPr>
        <w:t>Unspent Funds:</w:t>
      </w:r>
      <w:r>
        <w:t xml:space="preserve"> EEC states that any r</w:t>
      </w:r>
      <w:r w:rsidRPr="0091315E">
        <w:t>equests to return to ratepayers or to defer previously</w:t>
      </w:r>
      <w:r>
        <w:t xml:space="preserve"> </w:t>
      </w:r>
      <w:r w:rsidRPr="0091315E">
        <w:t xml:space="preserve">unused ESA funds should be rejected and any funds that were not used to help </w:t>
      </w:r>
      <w:proofErr w:type="gramStart"/>
      <w:r w:rsidRPr="0091315E">
        <w:t>low income</w:t>
      </w:r>
      <w:proofErr w:type="gramEnd"/>
      <w:r>
        <w:t xml:space="preserve"> </w:t>
      </w:r>
      <w:r w:rsidRPr="0091315E">
        <w:t>families through the ESA program should be available to be returned to the program as they are</w:t>
      </w:r>
      <w:r>
        <w:t xml:space="preserve"> </w:t>
      </w:r>
      <w:r w:rsidRPr="0091315E">
        <w:t>needed.</w:t>
      </w:r>
      <w:r>
        <w:rPr>
          <w:rStyle w:val="FootnoteReference"/>
        </w:rPr>
        <w:footnoteReference w:id="1105"/>
      </w:r>
    </w:p>
    <w:p w:rsidR="000C1980" w:rsidP="00171419" w:rsidRDefault="000C1980" w14:paraId="7CA70CFB" w14:textId="08BB18A1">
      <w:pPr>
        <w:pStyle w:val="Heading3"/>
      </w:pPr>
      <w:bookmarkStart w:name="_Toc69948336" w:id="699"/>
      <w:r>
        <w:t>IOU Responses</w:t>
      </w:r>
      <w:bookmarkEnd w:id="699"/>
    </w:p>
    <w:p w:rsidR="000C1980" w:rsidP="00171419" w:rsidRDefault="000C1980" w14:paraId="2FAA041A" w14:textId="77777777">
      <w:pPr>
        <w:pStyle w:val="Heading4"/>
      </w:pPr>
      <w:bookmarkStart w:name="_Toc69948337" w:id="700"/>
      <w:r>
        <w:t>SDG&amp;E</w:t>
      </w:r>
      <w:bookmarkEnd w:id="700"/>
    </w:p>
    <w:p w:rsidRPr="00A66FE4" w:rsidR="000C1980" w:rsidP="0023091F" w:rsidRDefault="000C1980" w14:paraId="286C2A4B" w14:textId="77777777">
      <w:pPr>
        <w:pStyle w:val="ALJBodyText"/>
      </w:pPr>
      <w:r w:rsidRPr="24DCB1AB">
        <w:rPr>
          <w:b/>
          <w:bCs/>
          <w:i/>
          <w:iCs/>
          <w:u w:val="single"/>
        </w:rPr>
        <w:t>Unspent Funds:</w:t>
      </w:r>
      <w:r>
        <w:t xml:space="preserve"> SDG&amp;E objects to PCF’s recommendation to shift </w:t>
      </w:r>
      <w:r w:rsidRPr="00D43DF2">
        <w:t xml:space="preserve">unspent and uncommitted funds to other programs that are </w:t>
      </w:r>
      <w:r>
        <w:t>“</w:t>
      </w:r>
      <w:r w:rsidRPr="00D43DF2">
        <w:t>cost</w:t>
      </w:r>
      <w:r>
        <w:t xml:space="preserve"> </w:t>
      </w:r>
      <w:r w:rsidRPr="00D43DF2">
        <w:t xml:space="preserve">effective and hardship reducing </w:t>
      </w:r>
      <w:r>
        <w:t xml:space="preserve">such as </w:t>
      </w:r>
      <w:r w:rsidRPr="00363823">
        <w:t xml:space="preserve">SOMAH, </w:t>
      </w:r>
      <w:r>
        <w:t>DAC</w:t>
      </w:r>
      <w:r w:rsidRPr="00363823">
        <w:t xml:space="preserve"> Single-Family Affordable Single Homes, and similar programs</w:t>
      </w:r>
      <w:r>
        <w:t>”</w:t>
      </w:r>
      <w:r w:rsidRPr="00363823">
        <w:t xml:space="preserve"> </w:t>
      </w:r>
      <w:r>
        <w:t xml:space="preserve">because </w:t>
      </w:r>
      <w:r w:rsidRPr="00D43DF2">
        <w:t>funding has already been established</w:t>
      </w:r>
      <w:r>
        <w:t xml:space="preserve"> </w:t>
      </w:r>
      <w:r w:rsidRPr="00D43DF2">
        <w:t>for those programs in their respective proceedings</w:t>
      </w:r>
      <w:r>
        <w:t>, and contrary to PCF’s testimony, some of these programs are not r</w:t>
      </w:r>
      <w:r w:rsidRPr="00D43DF2">
        <w:t xml:space="preserve">equired to be cost effective, nor </w:t>
      </w:r>
      <w:r>
        <w:t xml:space="preserve">are they </w:t>
      </w:r>
      <w:r w:rsidRPr="00D43DF2">
        <w:t>required to be analyzed for cost effectiveness</w:t>
      </w:r>
      <w:r>
        <w:t>.  Therefore, SDG&amp;E re</w:t>
      </w:r>
      <w:r w:rsidRPr="00D43DF2">
        <w:t>commends the continuation of the</w:t>
      </w:r>
      <w:r>
        <w:t xml:space="preserve"> </w:t>
      </w:r>
      <w:r w:rsidRPr="00D43DF2">
        <w:t xml:space="preserve">existing policy which allows unspent ESA </w:t>
      </w:r>
      <w:r>
        <w:t>p</w:t>
      </w:r>
      <w:r w:rsidRPr="00D43DF2">
        <w:t xml:space="preserve">rogram funds to provide ESA services to its eligible </w:t>
      </w:r>
      <w:proofErr w:type="gramStart"/>
      <w:r w:rsidRPr="00D43DF2">
        <w:t>low income</w:t>
      </w:r>
      <w:proofErr w:type="gramEnd"/>
      <w:r w:rsidRPr="00D43DF2">
        <w:t xml:space="preserve"> programs and to use unspent uncommitted funds to off-set future revenue collections which reduces upward rate pressure.</w:t>
      </w:r>
      <w:r>
        <w:rPr>
          <w:rStyle w:val="FootnoteReference"/>
        </w:rPr>
        <w:footnoteReference w:id="1106"/>
      </w:r>
    </w:p>
    <w:p w:rsidRPr="00F9303C" w:rsidR="000C1980" w:rsidP="00B76A66" w:rsidRDefault="000C1980" w14:paraId="589F58B6" w14:textId="2F35097E">
      <w:pPr>
        <w:pStyle w:val="Heading3"/>
      </w:pPr>
      <w:bookmarkStart w:name="_Toc69948338" w:id="701"/>
      <w:r w:rsidRPr="00F9303C">
        <w:lastRenderedPageBreak/>
        <w:t>Discussion</w:t>
      </w:r>
      <w:bookmarkEnd w:id="701"/>
    </w:p>
    <w:p w:rsidRPr="00A64E77" w:rsidR="000C1980" w:rsidP="00B76A66" w:rsidRDefault="000C1980" w14:paraId="741B134F" w14:textId="77777777">
      <w:pPr>
        <w:pStyle w:val="Heading4"/>
      </w:pPr>
      <w:bookmarkStart w:name="_Toc69948339" w:id="702"/>
      <w:r w:rsidRPr="00A64E77">
        <w:t xml:space="preserve">Unspent Funds: </w:t>
      </w:r>
      <w:r w:rsidRPr="00171419">
        <w:rPr>
          <w:u w:val="single"/>
        </w:rPr>
        <w:t>Approved with Modifications</w:t>
      </w:r>
      <w:bookmarkEnd w:id="702"/>
    </w:p>
    <w:p w:rsidRPr="00206086" w:rsidR="000C1980" w:rsidP="0023091F" w:rsidRDefault="000C1980" w14:paraId="4DC0ABB2" w14:textId="6E997362">
      <w:pPr>
        <w:pStyle w:val="ALJBodyText"/>
      </w:pPr>
      <w:r>
        <w:t>We direct t</w:t>
      </w:r>
      <w:r w:rsidRPr="009458ED">
        <w:t>he IOUs</w:t>
      </w:r>
      <w:r>
        <w:t xml:space="preserve"> to apply in full any </w:t>
      </w:r>
      <w:r w:rsidRPr="009458ED">
        <w:t>unspent and uncommitted funds from prior approved budgets, as soon as possible (with the next occurring electric and gas true-</w:t>
      </w:r>
      <w:r>
        <w:t>up advice letters) to offset revenue collection for spending authorized in this decision.  This modification to the current policy will require the I</w:t>
      </w:r>
      <w:r w:rsidRPr="00206086">
        <w:t xml:space="preserve">OUs </w:t>
      </w:r>
      <w:r>
        <w:t xml:space="preserve">to </w:t>
      </w:r>
      <w:r w:rsidRPr="00206086">
        <w:t>use</w:t>
      </w:r>
      <w:r>
        <w:t xml:space="preserve"> all prior accrued</w:t>
      </w:r>
      <w:r w:rsidRPr="00206086">
        <w:t xml:space="preserve"> unspent </w:t>
      </w:r>
      <w:r>
        <w:t xml:space="preserve">and uncommitted </w:t>
      </w:r>
      <w:r w:rsidRPr="00206086">
        <w:t xml:space="preserve">funds to offset </w:t>
      </w:r>
      <w:r>
        <w:t xml:space="preserve">the </w:t>
      </w:r>
      <w:r w:rsidRPr="00206086">
        <w:t xml:space="preserve">next </w:t>
      </w:r>
      <w:r w:rsidR="00143622">
        <w:t xml:space="preserve">program </w:t>
      </w:r>
      <w:r w:rsidRPr="00206086">
        <w:t xml:space="preserve">year’s collections, as opposed to waiting until the end of a cycle. </w:t>
      </w:r>
      <w:r>
        <w:t xml:space="preserve"> This change will avoid</w:t>
      </w:r>
      <w:r w:rsidRPr="00206086">
        <w:t xml:space="preserve"> the accumulating unspent funds</w:t>
      </w:r>
      <w:r>
        <w:t xml:space="preserve"> from cycle to cycle, provide better oversight of each program year’s spending, allow annual budgets to be balanced quickly and accurately, and avoid any unnecessary ratepayer overcollections.  Accordingly, we deny PCF’s proposal to allocate u</w:t>
      </w:r>
      <w:r w:rsidRPr="00FC0F20">
        <w:t xml:space="preserve">nused ESA </w:t>
      </w:r>
      <w:r>
        <w:t>funds</w:t>
      </w:r>
      <w:r w:rsidRPr="00FC0F20">
        <w:t xml:space="preserve"> to </w:t>
      </w:r>
      <w:r>
        <w:t xml:space="preserve">other </w:t>
      </w:r>
      <w:r w:rsidRPr="00FC0F20">
        <w:t>programs</w:t>
      </w:r>
      <w:r w:rsidRPr="00206086">
        <w:t>.</w:t>
      </w:r>
    </w:p>
    <w:p w:rsidRPr="004B0EB4" w:rsidR="000C1980" w:rsidP="00B76A66" w:rsidRDefault="000C1980" w14:paraId="73879803" w14:textId="267AC1ED">
      <w:pPr>
        <w:pStyle w:val="Heading4"/>
      </w:pPr>
      <w:bookmarkStart w:name="_Toc69948340" w:id="703"/>
      <w:r w:rsidRPr="004B0EB4">
        <w:t xml:space="preserve">Fund Shifting: </w:t>
      </w:r>
      <w:r w:rsidRPr="00B43F42">
        <w:rPr>
          <w:u w:val="single"/>
        </w:rPr>
        <w:t>Approved with Modifications</w:t>
      </w:r>
      <w:bookmarkEnd w:id="703"/>
    </w:p>
    <w:p w:rsidR="000C1980" w:rsidP="0023091F" w:rsidRDefault="000C1980" w14:paraId="33DFAED1" w14:textId="6217FFB6">
      <w:pPr>
        <w:pStyle w:val="ALJBodyText"/>
      </w:pPr>
      <w:r w:rsidRPr="009458ED">
        <w:t xml:space="preserve">We approve PG&amp;E, SoCalGas, and SDG&amp;E’s request to </w:t>
      </w:r>
      <w:r>
        <w:t xml:space="preserve">simplify and </w:t>
      </w:r>
      <w:r w:rsidRPr="009458ED">
        <w:t xml:space="preserve">align fund shifting rules for </w:t>
      </w:r>
      <w:r w:rsidR="00B43F42">
        <w:t>the</w:t>
      </w:r>
      <w:r w:rsidRPr="009458ED">
        <w:t xml:space="preserve"> program</w:t>
      </w:r>
      <w:r>
        <w:t>s.  Given the new directives on the use of unspent funds in Section 10.5.</w:t>
      </w:r>
      <w:r w:rsidR="00B43F42">
        <w:t>8</w:t>
      </w:r>
      <w:r>
        <w:t>.1, we modify the overall ESA, CARE, and FERA fund shifting rules below.  These rules supersede the fund shifting rules previously established for the ESA and CARE programs.</w:t>
      </w:r>
      <w:r w:rsidRPr="00CD4723">
        <w:rPr>
          <w:b/>
          <w:bCs/>
        </w:rPr>
        <w:t xml:space="preserve"> </w:t>
      </w:r>
      <w:r>
        <w:t xml:space="preserve"> These new rules are meant to be simple and less burdensome, allow for program flexibility within the program year, and reflect the true costs of the program</w:t>
      </w:r>
      <w:r w:rsidR="00984692">
        <w:t>s</w:t>
      </w:r>
      <w:r>
        <w:t xml:space="preserve"> from year to year.  The following fund shifting rules will apply to the ESA, CARE and FERA programs</w:t>
      </w:r>
      <w:r w:rsidR="00984692">
        <w:t>, where relevant</w:t>
      </w:r>
      <w:r>
        <w:t xml:space="preserve">.  </w:t>
      </w:r>
    </w:p>
    <w:p w:rsidR="000C1980" w:rsidP="00402362" w:rsidRDefault="000C1980" w14:paraId="274247FE" w14:textId="77777777">
      <w:pPr>
        <w:pStyle w:val="ListBullet"/>
      </w:pPr>
      <w:r>
        <w:t xml:space="preserve">Fund shifting of any amount between budget categories and between electric and gas budgets is allowed within the program year, with reporting of any shifts in the annual reports (no need for monthly reporting, and no need for advice letters unless otherwise noted below). </w:t>
      </w:r>
    </w:p>
    <w:p w:rsidR="000C1980" w:rsidP="00402362" w:rsidRDefault="000C1980" w14:paraId="34D09A5D" w14:textId="77777777">
      <w:pPr>
        <w:pStyle w:val="ListBullet"/>
        <w:numPr>
          <w:ilvl w:val="0"/>
          <w:numId w:val="20"/>
        </w:numPr>
      </w:pPr>
      <w:r>
        <w:lastRenderedPageBreak/>
        <w:t>This applies to the CARE and FERA administrative budgets (not subsidy budgets), and the total ESA program budget (including administrative budgets).</w:t>
      </w:r>
    </w:p>
    <w:p w:rsidR="000C1980" w:rsidP="00402362" w:rsidRDefault="000C1980" w14:paraId="41BEB960" w14:textId="00BB60ED">
      <w:pPr>
        <w:pStyle w:val="ListBullet"/>
      </w:pPr>
      <w:r>
        <w:t xml:space="preserve">Any fund shifting shall comply with the existing cap on ESA administrative costs (currently set at no more than </w:t>
      </w:r>
      <w:r w:rsidRPr="00785075">
        <w:t>10 percent of total program costs, or the IOU’s historical five-year average spend on administrative costs as a percentage of total program costs, whichever is greater</w:t>
      </w:r>
      <w:r>
        <w:t>), and any other caps established in this decision (minor home repairs, etc.)</w:t>
      </w:r>
      <w:r w:rsidR="00874204">
        <w:t xml:space="preserve"> or future decision</w:t>
      </w:r>
      <w:r w:rsidR="001E53AE">
        <w:t>s</w:t>
      </w:r>
      <w:r w:rsidR="00874204">
        <w:t>, unless otherwise noted</w:t>
      </w:r>
      <w:r>
        <w:t xml:space="preserve">. </w:t>
      </w:r>
    </w:p>
    <w:p w:rsidR="000C1980" w:rsidP="00402362" w:rsidRDefault="000C1980" w14:paraId="4CDA7EAD" w14:textId="77777777">
      <w:pPr>
        <w:pStyle w:val="ListBullet"/>
      </w:pPr>
      <w:r>
        <w:t>Fund shifting in and out of the MFWB programs, and pilots (including the</w:t>
      </w:r>
      <w:r w:rsidRPr="00C57694">
        <w:t xml:space="preserve"> </w:t>
      </w:r>
      <w:r>
        <w:t xml:space="preserve">Staff Proposal Pilot Plus and Pilot Deep program), are to be requested via a Tier 2 advice letter.   </w:t>
      </w:r>
    </w:p>
    <w:p w:rsidR="000C1980" w:rsidP="00402362" w:rsidRDefault="000C1980" w14:paraId="753A94C7" w14:textId="71DD490B">
      <w:pPr>
        <w:pStyle w:val="ListBullet"/>
      </w:pPr>
      <w:r>
        <w:t>Fund shifting is not allowed between program years; any remaining uncommitted and unspent funds at the end of a program year must be used to offset the next year’s collection as discussed in Section 10.5.</w:t>
      </w:r>
      <w:r w:rsidR="001E53AE">
        <w:t>8</w:t>
      </w:r>
      <w:r>
        <w:t xml:space="preserve">.1. </w:t>
      </w:r>
    </w:p>
    <w:p w:rsidR="000C1980" w:rsidP="00402362" w:rsidRDefault="00C727B3" w14:paraId="636A7FA4" w14:textId="576C23C2">
      <w:pPr>
        <w:pStyle w:val="ListBullet"/>
        <w:numPr>
          <w:ilvl w:val="0"/>
          <w:numId w:val="21"/>
        </w:numPr>
      </w:pPr>
      <w:r>
        <w:t>An e</w:t>
      </w:r>
      <w:r w:rsidR="00953A0D">
        <w:t>xception to this rule is granted for</w:t>
      </w:r>
      <w:r w:rsidR="000B484D">
        <w:t xml:space="preserve"> the MFWB programs, pilots (including the</w:t>
      </w:r>
      <w:r w:rsidRPr="00C57694" w:rsidR="000B484D">
        <w:t xml:space="preserve"> </w:t>
      </w:r>
      <w:r w:rsidR="000B484D">
        <w:t xml:space="preserve">Pilot Plus and Pilot Deep </w:t>
      </w:r>
      <w:r w:rsidRPr="00767EDD" w:rsidR="000B484D">
        <w:t>program</w:t>
      </w:r>
      <w:r w:rsidR="000B484D">
        <w:t xml:space="preserve">), and studies </w:t>
      </w:r>
      <w:r w:rsidR="009602FC">
        <w:t xml:space="preserve">(where funds </w:t>
      </w:r>
      <w:r w:rsidR="000B484D">
        <w:t>may be rolled over to the next program year</w:t>
      </w:r>
      <w:r w:rsidRPr="00F17F99" w:rsidR="00F17F99">
        <w:t xml:space="preserve"> </w:t>
      </w:r>
      <w:r w:rsidR="00F17F99">
        <w:t>or borrowed from a future program year within the cycle</w:t>
      </w:r>
      <w:r w:rsidR="000B484D">
        <w:t>, to allow for flexibility in scheduling changes with these efforts</w:t>
      </w:r>
      <w:r w:rsidR="009602FC">
        <w:t>)</w:t>
      </w:r>
      <w:r w:rsidR="000C1980">
        <w:t xml:space="preserve">.  </w:t>
      </w:r>
    </w:p>
    <w:p w:rsidR="000C1980" w:rsidP="00402362" w:rsidRDefault="000C1980" w14:paraId="07AF9F68" w14:textId="5F4D6580">
      <w:pPr>
        <w:pStyle w:val="ListBullet"/>
      </w:pPr>
      <w:r>
        <w:t>Fund shifting activities shall be reported to the LIOB via quarterly LIOB reports.</w:t>
      </w:r>
    </w:p>
    <w:p w:rsidR="000C1980" w:rsidP="00473C7C" w:rsidRDefault="000C1980" w14:paraId="778310AD" w14:textId="77777777">
      <w:pPr>
        <w:pStyle w:val="Heading2"/>
        <w:ind w:left="1440" w:hanging="720"/>
      </w:pPr>
      <w:bookmarkStart w:name="_Toc69948341" w:id="704"/>
      <w:r>
        <w:t>Gas/Electric Splits</w:t>
      </w:r>
      <w:bookmarkEnd w:id="704"/>
    </w:p>
    <w:p w:rsidRPr="00F35ABF" w:rsidR="000C1980" w:rsidP="000C1980" w:rsidRDefault="000C1980" w14:paraId="7A23AA04" w14:textId="77777777">
      <w:pPr>
        <w:pStyle w:val="Standard"/>
      </w:pPr>
      <w:r w:rsidRPr="00F35ABF">
        <w:t>PG&amp;E proposes to assign 53</w:t>
      </w:r>
      <w:r w:rsidRPr="003F7995">
        <w:rPr>
          <w:bCs/>
        </w:rPr>
        <w:t xml:space="preserve"> </w:t>
      </w:r>
      <w:r w:rsidRPr="00730FFE">
        <w:rPr>
          <w:bCs/>
        </w:rPr>
        <w:t>percent</w:t>
      </w:r>
      <w:r w:rsidRPr="00F35ABF">
        <w:t xml:space="preserve"> of the ESA </w:t>
      </w:r>
      <w:r>
        <w:t>p</w:t>
      </w:r>
      <w:r w:rsidRPr="00F35ABF">
        <w:t>rogram expenses to electric customers and 47</w:t>
      </w:r>
      <w:r w:rsidRPr="003F7995">
        <w:rPr>
          <w:bCs/>
        </w:rPr>
        <w:t xml:space="preserve"> </w:t>
      </w:r>
      <w:r w:rsidRPr="00730FFE">
        <w:rPr>
          <w:bCs/>
        </w:rPr>
        <w:t>percent</w:t>
      </w:r>
      <w:r w:rsidRPr="00F35ABF">
        <w:t xml:space="preserve"> to gas customers.</w:t>
      </w:r>
      <w:r w:rsidRPr="00F35ABF">
        <w:rPr>
          <w:vertAlign w:val="superscript"/>
        </w:rPr>
        <w:footnoteReference w:id="1107"/>
      </w:r>
      <w:r w:rsidRPr="00F35ABF">
        <w:t xml:space="preserve"> </w:t>
      </w:r>
      <w:r>
        <w:t xml:space="preserve"> </w:t>
      </w:r>
      <w:r w:rsidRPr="00F35ABF">
        <w:t>This split is based on the impacts of program expenses to electric and gas customers.</w:t>
      </w:r>
      <w:r w:rsidRPr="00F35ABF">
        <w:rPr>
          <w:vertAlign w:val="superscript"/>
        </w:rPr>
        <w:footnoteReference w:id="1108"/>
      </w:r>
      <w:r w:rsidRPr="00F35ABF">
        <w:t xml:space="preserve"> </w:t>
      </w:r>
      <w:r>
        <w:t xml:space="preserve"> </w:t>
      </w:r>
      <w:r w:rsidRPr="00F35ABF">
        <w:t xml:space="preserve">For CARE, PG&amp;E proposes to continue the currently adopted method for allocating expenses </w:t>
      </w:r>
      <w:r w:rsidRPr="00F35ABF">
        <w:lastRenderedPageBreak/>
        <w:t>between gas and electric customers.</w:t>
      </w:r>
      <w:r w:rsidRPr="00F35ABF">
        <w:rPr>
          <w:vertAlign w:val="superscript"/>
        </w:rPr>
        <w:footnoteReference w:id="1109"/>
      </w:r>
      <w:r w:rsidRPr="00F35ABF">
        <w:t xml:space="preserve"> </w:t>
      </w:r>
      <w:r>
        <w:t xml:space="preserve"> </w:t>
      </w:r>
      <w:r w:rsidRPr="00F35ABF">
        <w:t>This split is currently done in proportion to the discounts received by CARE customers</w:t>
      </w:r>
      <w:r>
        <w:t xml:space="preserve">.  </w:t>
      </w:r>
      <w:r w:rsidRPr="00F35ABF">
        <w:t>PG&amp;E proposes to assign 80</w:t>
      </w:r>
      <w:r>
        <w:rPr>
          <w:bCs/>
        </w:rPr>
        <w:t> </w:t>
      </w:r>
      <w:r w:rsidRPr="00730FFE">
        <w:rPr>
          <w:bCs/>
        </w:rPr>
        <w:t>percent</w:t>
      </w:r>
      <w:r w:rsidRPr="00F35ABF">
        <w:t xml:space="preserve"> of the CARE </w:t>
      </w:r>
      <w:r>
        <w:t>p</w:t>
      </w:r>
      <w:r w:rsidRPr="00F35ABF">
        <w:t>rogram expenses to electric customers and 20</w:t>
      </w:r>
      <w:r w:rsidRPr="003F7995">
        <w:rPr>
          <w:bCs/>
        </w:rPr>
        <w:t xml:space="preserve"> </w:t>
      </w:r>
      <w:r w:rsidRPr="00730FFE">
        <w:rPr>
          <w:bCs/>
        </w:rPr>
        <w:t>percent</w:t>
      </w:r>
      <w:r w:rsidRPr="00F35ABF">
        <w:t xml:space="preserve"> to gas customers</w:t>
      </w:r>
      <w:r w:rsidRPr="002834F7">
        <w:t xml:space="preserve"> </w:t>
      </w:r>
      <w:r>
        <w:t>for PYs</w:t>
      </w:r>
      <w:r w:rsidRPr="00F35ABF">
        <w:t xml:space="preserve"> 2021-2026.</w:t>
      </w:r>
      <w:r w:rsidRPr="00F35ABF">
        <w:rPr>
          <w:vertAlign w:val="superscript"/>
        </w:rPr>
        <w:footnoteReference w:id="1110"/>
      </w:r>
    </w:p>
    <w:p w:rsidR="000C1980" w:rsidP="00B76A66" w:rsidRDefault="000C1980" w14:paraId="453E4E51" w14:textId="77777777">
      <w:pPr>
        <w:pStyle w:val="Heading3"/>
      </w:pPr>
      <w:bookmarkStart w:name="_Toc69948342" w:id="705"/>
      <w:r>
        <w:t>Party Positions</w:t>
      </w:r>
      <w:bookmarkEnd w:id="705"/>
    </w:p>
    <w:p w:rsidRPr="00F35ABF" w:rsidR="000C1980" w:rsidP="0023091F" w:rsidRDefault="000C1980" w14:paraId="024F64CD" w14:textId="77777777">
      <w:pPr>
        <w:pStyle w:val="ALJBodyText"/>
      </w:pPr>
      <w:r w:rsidRPr="00C52E3D">
        <w:t>No substantive party comments were received on this topic</w:t>
      </w:r>
      <w:r>
        <w:t>.</w:t>
      </w:r>
    </w:p>
    <w:p w:rsidR="000C1980" w:rsidP="00B76A66" w:rsidRDefault="000C1980" w14:paraId="3ADACB1D" w14:textId="09DE005D">
      <w:pPr>
        <w:pStyle w:val="Heading3"/>
      </w:pPr>
      <w:bookmarkStart w:name="_Toc69948343" w:id="706"/>
      <w:r>
        <w:t>Discussion</w:t>
      </w:r>
      <w:bookmarkEnd w:id="706"/>
    </w:p>
    <w:p w:rsidR="000C1980" w:rsidP="00B76A66" w:rsidRDefault="000C1980" w14:paraId="76AEEBAE" w14:textId="77777777">
      <w:pPr>
        <w:pStyle w:val="Heading4"/>
      </w:pPr>
      <w:bookmarkStart w:name="_Toc69948344" w:id="707"/>
      <w:r>
        <w:t xml:space="preserve">Gas/Electric Splits: </w:t>
      </w:r>
      <w:r w:rsidRPr="00651167">
        <w:rPr>
          <w:u w:val="single"/>
        </w:rPr>
        <w:t>Approved</w:t>
      </w:r>
      <w:bookmarkEnd w:id="707"/>
    </w:p>
    <w:p w:rsidRPr="00F35ABF" w:rsidR="000C1980" w:rsidP="0023091F" w:rsidRDefault="000C1980" w14:paraId="2F946261" w14:textId="045927A9">
      <w:pPr>
        <w:pStyle w:val="ALJBodyText"/>
      </w:pPr>
      <w:r>
        <w:t xml:space="preserve">We approve </w:t>
      </w:r>
      <w:r w:rsidRPr="004F4427">
        <w:t>PG&amp;E</w:t>
      </w:r>
      <w:r>
        <w:t xml:space="preserve">’s request to </w:t>
      </w:r>
      <w:r w:rsidRPr="004F4427">
        <w:t xml:space="preserve">assign 53 percent of the ESA </w:t>
      </w:r>
      <w:r>
        <w:t>p</w:t>
      </w:r>
      <w:r w:rsidRPr="004F4427">
        <w:t>rogram expenses to electric customers and 47</w:t>
      </w:r>
      <w:r w:rsidRPr="003F7995">
        <w:rPr>
          <w:bCs/>
        </w:rPr>
        <w:t xml:space="preserve"> </w:t>
      </w:r>
      <w:r w:rsidRPr="00730FFE">
        <w:rPr>
          <w:bCs/>
        </w:rPr>
        <w:t>percent</w:t>
      </w:r>
      <w:r w:rsidRPr="004F4427">
        <w:t xml:space="preserve"> to gas customer</w:t>
      </w:r>
      <w:r>
        <w:t xml:space="preserve">s and </w:t>
      </w:r>
      <w:r w:rsidR="0072488C">
        <w:t xml:space="preserve">approve </w:t>
      </w:r>
      <w:r w:rsidRPr="004F4427">
        <w:t>PG&amp;E</w:t>
      </w:r>
      <w:r>
        <w:t xml:space="preserve">’s current </w:t>
      </w:r>
      <w:r w:rsidRPr="004F4427">
        <w:t xml:space="preserve">method for allocating </w:t>
      </w:r>
      <w:r>
        <w:t xml:space="preserve">CARE </w:t>
      </w:r>
      <w:r w:rsidRPr="004F4427">
        <w:t>expenses between gas and electric customers</w:t>
      </w:r>
      <w:r>
        <w:t xml:space="preserve">, which </w:t>
      </w:r>
      <w:r w:rsidRPr="004F4427">
        <w:t>assign 80</w:t>
      </w:r>
      <w:r>
        <w:t xml:space="preserve"> percent</w:t>
      </w:r>
      <w:r w:rsidRPr="004F4427">
        <w:t xml:space="preserve"> of the CARE </w:t>
      </w:r>
      <w:r>
        <w:t>p</w:t>
      </w:r>
      <w:r w:rsidRPr="004F4427">
        <w:t>rogram expenses to electric customers and 20</w:t>
      </w:r>
      <w:r w:rsidRPr="003F7995">
        <w:rPr>
          <w:bCs/>
        </w:rPr>
        <w:t xml:space="preserve"> </w:t>
      </w:r>
      <w:r w:rsidRPr="00730FFE">
        <w:rPr>
          <w:bCs/>
        </w:rPr>
        <w:t>percent</w:t>
      </w:r>
      <w:r w:rsidRPr="004F4427">
        <w:t xml:space="preserve"> to gas customers.</w:t>
      </w:r>
    </w:p>
    <w:p w:rsidR="000C1980" w:rsidP="00B76A66" w:rsidRDefault="000C1980" w14:paraId="6A8EF9EE" w14:textId="146B5154">
      <w:pPr>
        <w:pStyle w:val="Heading2"/>
      </w:pPr>
      <w:bookmarkStart w:name="_Toc69948345" w:id="708"/>
      <w:r>
        <w:t>Low Income Oversight Board</w:t>
      </w:r>
      <w:bookmarkEnd w:id="708"/>
    </w:p>
    <w:p w:rsidRPr="00961762" w:rsidR="000C1980" w:rsidP="000C1980" w:rsidRDefault="000C1980" w14:paraId="0A16FF5F" w14:textId="77777777">
      <w:pPr>
        <w:pStyle w:val="Standard"/>
      </w:pPr>
      <w:r>
        <w:rPr>
          <w:b/>
          <w:bCs/>
          <w:i/>
          <w:iCs/>
          <w:u w:val="single"/>
        </w:rPr>
        <w:t>Two</w:t>
      </w:r>
      <w:r w:rsidRPr="24DCB1AB">
        <w:rPr>
          <w:b/>
          <w:bCs/>
          <w:i/>
          <w:iCs/>
          <w:u w:val="single"/>
        </w:rPr>
        <w:t xml:space="preserve"> Year IOU LIOB Rotations:</w:t>
      </w:r>
      <w:r>
        <w:t xml:space="preserve"> </w:t>
      </w:r>
      <w:r w:rsidRPr="00961762">
        <w:t>The IOUs request to change the rotating term for the IOU LIOB position from one year to two years.</w:t>
      </w:r>
      <w:r w:rsidRPr="00961762">
        <w:rPr>
          <w:vertAlign w:val="superscript"/>
        </w:rPr>
        <w:footnoteReference w:id="1111"/>
      </w:r>
      <w:r w:rsidRPr="00961762">
        <w:t xml:space="preserve"> </w:t>
      </w:r>
      <w:r>
        <w:t xml:space="preserve"> </w:t>
      </w:r>
      <w:r w:rsidRPr="00961762">
        <w:t xml:space="preserve">The IOUs’ assigned seat currently rotates among the four IOUs annually. </w:t>
      </w:r>
      <w:r>
        <w:t xml:space="preserve"> </w:t>
      </w:r>
      <w:r w:rsidRPr="00961762">
        <w:t xml:space="preserve">The IOUs have determined that a one-year term is not long enough to be effective in this position, and a 2-year rotating position would allow the representative to contribute more effectively to provide perspective and insight on issues facing </w:t>
      </w:r>
      <w:proofErr w:type="gramStart"/>
      <w:r w:rsidRPr="00961762">
        <w:t>low</w:t>
      </w:r>
      <w:r>
        <w:t xml:space="preserve"> </w:t>
      </w:r>
      <w:r w:rsidRPr="00961762">
        <w:t>income</w:t>
      </w:r>
      <w:proofErr w:type="gramEnd"/>
      <w:r w:rsidRPr="00961762">
        <w:t xml:space="preserve"> customers.</w:t>
      </w:r>
      <w:r w:rsidRPr="00961762">
        <w:rPr>
          <w:vertAlign w:val="superscript"/>
        </w:rPr>
        <w:footnoteReference w:id="1112"/>
      </w:r>
      <w:r w:rsidRPr="00961762">
        <w:t xml:space="preserve"> </w:t>
      </w:r>
      <w:r>
        <w:t xml:space="preserve"> </w:t>
      </w:r>
      <w:r w:rsidRPr="00961762">
        <w:t>This reasoning is reflected generally in all the IOU applications.</w:t>
      </w:r>
    </w:p>
    <w:p w:rsidR="000C1980" w:rsidP="00B76A66" w:rsidRDefault="000C1980" w14:paraId="2F4FA62C" w14:textId="77777777">
      <w:pPr>
        <w:pStyle w:val="Heading3"/>
      </w:pPr>
      <w:bookmarkStart w:name="_Toc69948346" w:id="709"/>
      <w:r>
        <w:lastRenderedPageBreak/>
        <w:t>Party Positions</w:t>
      </w:r>
      <w:bookmarkEnd w:id="709"/>
    </w:p>
    <w:p w:rsidRPr="00961762" w:rsidR="000C1980" w:rsidP="0023091F" w:rsidRDefault="000C1980" w14:paraId="1DA6A47A" w14:textId="77777777">
      <w:pPr>
        <w:pStyle w:val="ALJBodyText"/>
      </w:pPr>
      <w:r w:rsidRPr="00C52E3D">
        <w:t>No substantive party comments were received on this topic.</w:t>
      </w:r>
    </w:p>
    <w:p w:rsidR="000C1980" w:rsidP="00B76A66" w:rsidRDefault="000C1980" w14:paraId="1D00A288" w14:textId="3CAA6DA9">
      <w:pPr>
        <w:pStyle w:val="Heading3"/>
      </w:pPr>
      <w:bookmarkStart w:name="_Toc69948347" w:id="710"/>
      <w:r>
        <w:t>Discussion</w:t>
      </w:r>
      <w:bookmarkEnd w:id="710"/>
    </w:p>
    <w:p w:rsidR="000C1980" w:rsidP="00B76A66" w:rsidRDefault="000C1980" w14:paraId="3C67F673" w14:textId="77777777">
      <w:pPr>
        <w:pStyle w:val="Heading4"/>
      </w:pPr>
      <w:bookmarkStart w:name="_Toc69948348" w:id="711"/>
      <w:r w:rsidRPr="00651167">
        <w:t>Two Year IOU LIOB Rotations:</w:t>
      </w:r>
      <w:r>
        <w:t xml:space="preserve"> </w:t>
      </w:r>
      <w:r w:rsidRPr="00651167">
        <w:rPr>
          <w:u w:val="single"/>
        </w:rPr>
        <w:t>Approved</w:t>
      </w:r>
      <w:bookmarkEnd w:id="711"/>
    </w:p>
    <w:p w:rsidRPr="00961762" w:rsidR="000C1980" w:rsidP="0023091F" w:rsidRDefault="000C1980" w14:paraId="7B6678B5" w14:textId="7E5B1C58">
      <w:pPr>
        <w:pStyle w:val="ALJBodyText"/>
      </w:pPr>
      <w:r>
        <w:t>We approve to extend the new IOU LIOB board member term from one year to two years, as this will provide more stability among the board members and allow the IOUs representatives more time to learn and opportunity to participate more thoughtfully.</w:t>
      </w:r>
      <w:r w:rsidRPr="003236BC" w:rsidR="003236BC">
        <w:t xml:space="preserve"> </w:t>
      </w:r>
      <w:r w:rsidR="003236BC">
        <w:t xml:space="preserve">We also delegate to Energy Division staff the ability to incorporate this, and other </w:t>
      </w:r>
      <w:r w:rsidR="00E44000">
        <w:t xml:space="preserve">LIOB related </w:t>
      </w:r>
      <w:r w:rsidR="003236BC">
        <w:t>changes, to the LIOB charter via a resolution for Commission approval.</w:t>
      </w:r>
    </w:p>
    <w:p w:rsidR="000C1980" w:rsidP="00B76A66" w:rsidRDefault="000C1980" w14:paraId="2531BD47" w14:textId="633A1F37">
      <w:pPr>
        <w:pStyle w:val="Heading2"/>
      </w:pPr>
      <w:bookmarkStart w:name="_Toc69948349" w:id="712"/>
      <w:r>
        <w:t>Meetings</w:t>
      </w:r>
      <w:r w:rsidRPr="00AE0FE1">
        <w:t xml:space="preserve"> </w:t>
      </w:r>
      <w:r>
        <w:t xml:space="preserve">&amp; </w:t>
      </w:r>
      <w:r w:rsidRPr="00B76A66">
        <w:t>Reporting</w:t>
      </w:r>
      <w:bookmarkEnd w:id="712"/>
    </w:p>
    <w:p w:rsidR="000C1980" w:rsidP="00B76A66" w:rsidRDefault="000C1980" w14:paraId="00371AA6" w14:textId="77777777">
      <w:pPr>
        <w:pStyle w:val="Heading3"/>
      </w:pPr>
      <w:bookmarkStart w:name="_Toc69948350" w:id="713"/>
      <w:r>
        <w:t>Background</w:t>
      </w:r>
      <w:bookmarkEnd w:id="713"/>
    </w:p>
    <w:p w:rsidRPr="0067688E" w:rsidR="000C1980" w:rsidP="000C1980" w:rsidRDefault="000C1980" w14:paraId="5D05FB37" w14:textId="77777777">
      <w:pPr>
        <w:pStyle w:val="Standard"/>
      </w:pPr>
      <w:r>
        <w:t>Currently the IOUs are required to hold an Annual Report Public Meeting no later than 60 days after their ESA/CARE Annual Report is published.</w:t>
      </w:r>
      <w:r>
        <w:rPr>
          <w:rStyle w:val="FootnoteReference"/>
        </w:rPr>
        <w:footnoteReference w:id="1113"/>
      </w:r>
      <w:r>
        <w:t xml:space="preserve">  </w:t>
      </w:r>
      <w:r w:rsidRPr="00DA5E30">
        <w:t>The</w:t>
      </w:r>
      <w:r>
        <w:t xml:space="preserve">se public meetings </w:t>
      </w:r>
      <w:r w:rsidRPr="00DA5E30">
        <w:t>were initially mandated by D.06-12-038 with the main purpose of allowing public access to the IOUs and a public forum to facilitate program improvements</w:t>
      </w:r>
      <w:r>
        <w:t xml:space="preserve">.  The IOUs are also required to submit monthly and annual reports to the Commission regarding the progress of the CARE and ESA programs by no later than the 21st of the following month and May 1 of the following </w:t>
      </w:r>
      <w:proofErr w:type="gramStart"/>
      <w:r>
        <w:t>year</w:t>
      </w:r>
      <w:proofErr w:type="gramEnd"/>
      <w:r>
        <w:t xml:space="preserve"> respectively.  These monthly and annual reports provide data on the programs including, but not limited to, status of program goals, program expenditures including unspent funds, and all marketing, outreach, education, and enrollment efforts.  These monthly and annual reports do not currently include the FERA program, as FERA is only reported annually and submitted to the </w:t>
      </w:r>
      <w:proofErr w:type="gramStart"/>
      <w:r>
        <w:t>low income</w:t>
      </w:r>
      <w:proofErr w:type="gramEnd"/>
      <w:r>
        <w:t xml:space="preserve"> proceeding service list and published to the Commission docket.</w:t>
      </w:r>
    </w:p>
    <w:p w:rsidR="000C1980" w:rsidP="00B76A66" w:rsidRDefault="000C1980" w14:paraId="49834D90" w14:textId="77777777">
      <w:pPr>
        <w:pStyle w:val="Heading3"/>
      </w:pPr>
      <w:r>
        <w:lastRenderedPageBreak/>
        <w:t xml:space="preserve"> </w:t>
      </w:r>
      <w:bookmarkStart w:name="_Toc69948351" w:id="714"/>
      <w:r>
        <w:t>PG&amp;E Proposal</w:t>
      </w:r>
      <w:bookmarkEnd w:id="714"/>
      <w:r>
        <w:t xml:space="preserve"> </w:t>
      </w:r>
    </w:p>
    <w:p w:rsidRPr="005B0428" w:rsidR="000C1980" w:rsidP="000C1980" w:rsidRDefault="000C1980" w14:paraId="4D437AB5" w14:textId="77777777">
      <w:pPr>
        <w:pStyle w:val="Standard"/>
      </w:pPr>
      <w:r w:rsidRPr="00572BD2">
        <w:rPr>
          <w:b/>
          <w:bCs/>
          <w:i/>
          <w:iCs/>
          <w:u w:val="single"/>
        </w:rPr>
        <w:t>Replac</w:t>
      </w:r>
      <w:r>
        <w:rPr>
          <w:b/>
          <w:bCs/>
          <w:i/>
          <w:iCs/>
          <w:u w:val="single"/>
        </w:rPr>
        <w:t>ing</w:t>
      </w:r>
      <w:r w:rsidRPr="00572BD2">
        <w:rPr>
          <w:b/>
          <w:bCs/>
          <w:i/>
          <w:iCs/>
          <w:u w:val="single"/>
        </w:rPr>
        <w:t xml:space="preserve"> Annual Meeting with Biennial Meeting</w:t>
      </w:r>
      <w:r>
        <w:t xml:space="preserve">: </w:t>
      </w:r>
      <w:r w:rsidRPr="006C6646">
        <w:t>PG&amp;E proposes to replace the Annual Report Public Meeting with a public meeting convened by the ESA Working Group at a minimum of every two years to discuss lessons learned and potential program adjustments.</w:t>
      </w:r>
      <w:r w:rsidRPr="006C6646">
        <w:rPr>
          <w:vertAlign w:val="superscript"/>
        </w:rPr>
        <w:footnoteReference w:id="1114"/>
      </w:r>
      <w:r w:rsidRPr="006C6646">
        <w:t xml:space="preserve"> </w:t>
      </w:r>
      <w:r>
        <w:t xml:space="preserve"> </w:t>
      </w:r>
      <w:r w:rsidRPr="006C6646">
        <w:t xml:space="preserve">PG&amp;E argues that the </w:t>
      </w:r>
      <w:r w:rsidRPr="005B0428">
        <w:t>annual report meetings have seen less active participation and discussion over the years, and so should be replaced with a combination of biennial public working group meetings and other focused meetings to discuss studies and other specific topics as needed.</w:t>
      </w:r>
      <w:r w:rsidRPr="005B0428">
        <w:rPr>
          <w:vertAlign w:val="superscript"/>
        </w:rPr>
        <w:footnoteReference w:id="1115"/>
      </w:r>
      <w:r w:rsidRPr="005B0428">
        <w:t xml:space="preserve">  </w:t>
      </w:r>
    </w:p>
    <w:p w:rsidR="000C1980" w:rsidP="000C1980" w:rsidRDefault="000C1980" w14:paraId="30C75316" w14:textId="77777777">
      <w:pPr>
        <w:pStyle w:val="Standard"/>
        <w:rPr>
          <w:rFonts w:eastAsia="Calibri"/>
        </w:rPr>
      </w:pPr>
      <w:r>
        <w:rPr>
          <w:b/>
          <w:bCs/>
          <w:i/>
          <w:iCs/>
          <w:u w:val="single"/>
        </w:rPr>
        <w:t>Combining FERA reporting with CARE-ESA Annual Reporting:</w:t>
      </w:r>
      <w:r>
        <w:t xml:space="preserve"> </w:t>
      </w:r>
      <w:r w:rsidRPr="005B0428">
        <w:t xml:space="preserve">PG&amp;E also proposes to include the FERA </w:t>
      </w:r>
      <w:r>
        <w:t>a</w:t>
      </w:r>
      <w:r w:rsidRPr="005B0428">
        <w:t xml:space="preserve">nnual </w:t>
      </w:r>
      <w:r>
        <w:t>r</w:t>
      </w:r>
      <w:r w:rsidRPr="005B0428">
        <w:t xml:space="preserve">eport with the CARE and ESA annual reports filed in May. </w:t>
      </w:r>
      <w:r>
        <w:t xml:space="preserve"> </w:t>
      </w:r>
      <w:r w:rsidRPr="005B0428">
        <w:t>This proposal is aligned with an existing directive to report on FERA progress at the end of each year until 2023.</w:t>
      </w:r>
      <w:r w:rsidRPr="005B0428">
        <w:rPr>
          <w:vertAlign w:val="superscript"/>
        </w:rPr>
        <w:footnoteReference w:id="1116"/>
      </w:r>
      <w:r w:rsidRPr="005B0428">
        <w:t xml:space="preserve"> </w:t>
      </w:r>
      <w:r>
        <w:t xml:space="preserve"> </w:t>
      </w:r>
      <w:r w:rsidRPr="005B0428">
        <w:t>By combining these reports, PG&amp;E will create administrative efficiencies.</w:t>
      </w:r>
      <w:r w:rsidRPr="005B0428">
        <w:rPr>
          <w:vertAlign w:val="superscript"/>
        </w:rPr>
        <w:footnoteReference w:id="1117"/>
      </w:r>
      <w:r w:rsidRPr="005B0428">
        <w:t xml:space="preserve"> </w:t>
      </w:r>
      <w:r>
        <w:t xml:space="preserve"> </w:t>
      </w:r>
      <w:r w:rsidRPr="005B0428">
        <w:rPr>
          <w:rFonts w:eastAsia="Calibri"/>
        </w:rPr>
        <w:t xml:space="preserve">PG&amp;E proposes to begin this combined </w:t>
      </w:r>
      <w:r>
        <w:rPr>
          <w:rFonts w:eastAsia="Calibri"/>
        </w:rPr>
        <w:t>a</w:t>
      </w:r>
      <w:r w:rsidRPr="005B0428">
        <w:rPr>
          <w:rFonts w:eastAsia="Calibri"/>
        </w:rPr>
        <w:t xml:space="preserve">nnual </w:t>
      </w:r>
      <w:r>
        <w:rPr>
          <w:rFonts w:eastAsia="Calibri"/>
        </w:rPr>
        <w:t>r</w:t>
      </w:r>
      <w:r w:rsidRPr="005B0428">
        <w:rPr>
          <w:rFonts w:eastAsia="Calibri"/>
        </w:rPr>
        <w:t xml:space="preserve">eport beginning May of 2024 for the 2023 </w:t>
      </w:r>
      <w:r>
        <w:rPr>
          <w:rFonts w:eastAsia="Calibri"/>
        </w:rPr>
        <w:t>a</w:t>
      </w:r>
      <w:r w:rsidRPr="005B0428">
        <w:rPr>
          <w:rFonts w:eastAsia="Calibri"/>
        </w:rPr>
        <w:t xml:space="preserve">nnual </w:t>
      </w:r>
      <w:r>
        <w:rPr>
          <w:rFonts w:eastAsia="Calibri"/>
        </w:rPr>
        <w:t>r</w:t>
      </w:r>
      <w:r w:rsidRPr="005B0428">
        <w:rPr>
          <w:rFonts w:eastAsia="Calibri"/>
        </w:rPr>
        <w:t xml:space="preserve">eport. </w:t>
      </w:r>
    </w:p>
    <w:p w:rsidRPr="005B0428" w:rsidR="000C1980" w:rsidP="000C1980" w:rsidRDefault="000C1980" w14:paraId="69CB4AF5" w14:textId="77777777">
      <w:pPr>
        <w:pStyle w:val="Standard"/>
        <w:rPr>
          <w:rFonts w:eastAsia="Calibri"/>
        </w:rPr>
      </w:pPr>
      <w:r w:rsidRPr="007A1EA7">
        <w:rPr>
          <w:rFonts w:eastAsia="Calibri"/>
          <w:b/>
          <w:bCs/>
          <w:i/>
          <w:iCs/>
          <w:u w:val="single"/>
        </w:rPr>
        <w:t>Allow Fund Shifting via Monthly/Annual Reports</w:t>
      </w:r>
      <w:r>
        <w:rPr>
          <w:rFonts w:eastAsia="Calibri"/>
        </w:rPr>
        <w:t xml:space="preserve">: </w:t>
      </w:r>
      <w:r w:rsidRPr="00903271">
        <w:rPr>
          <w:rFonts w:eastAsia="Calibri"/>
          <w:i/>
          <w:iCs/>
        </w:rPr>
        <w:t>See</w:t>
      </w:r>
      <w:r>
        <w:t xml:space="preserve"> Section 10.5.2</w:t>
      </w:r>
      <w:r w:rsidRPr="0054107C">
        <w:t>.</w:t>
      </w:r>
    </w:p>
    <w:p w:rsidR="000C1980" w:rsidP="00B76A66" w:rsidRDefault="000C1980" w14:paraId="37077C49" w14:textId="4C567242">
      <w:pPr>
        <w:pStyle w:val="Heading3"/>
      </w:pPr>
      <w:bookmarkStart w:name="_Toc69948352" w:id="715"/>
      <w:r>
        <w:t>SCE</w:t>
      </w:r>
      <w:r w:rsidR="003C4B8F">
        <w:t xml:space="preserve"> Proposal</w:t>
      </w:r>
      <w:bookmarkEnd w:id="715"/>
    </w:p>
    <w:p w:rsidRPr="007A1EA7" w:rsidR="000C1980" w:rsidP="0023091F" w:rsidRDefault="000C1980" w14:paraId="3537C9D9" w14:textId="77777777">
      <w:pPr>
        <w:pStyle w:val="ALJBodyText"/>
      </w:pPr>
      <w:r w:rsidRPr="007A1EA7">
        <w:rPr>
          <w:rFonts w:eastAsia="Calibri"/>
        </w:rPr>
        <w:t xml:space="preserve">SCE does not </w:t>
      </w:r>
      <w:r w:rsidRPr="007A1EA7">
        <w:t>propose any changes to the reporting structure.</w:t>
      </w:r>
    </w:p>
    <w:p w:rsidR="000C1980" w:rsidP="00B76A66" w:rsidRDefault="000C1980" w14:paraId="38474EB1" w14:textId="23AD74FE">
      <w:pPr>
        <w:pStyle w:val="Heading3"/>
      </w:pPr>
      <w:bookmarkStart w:name="_Toc69948353" w:id="716"/>
      <w:r>
        <w:t>SoCalGas</w:t>
      </w:r>
      <w:r w:rsidRPr="003C4B8F" w:rsidR="003C4B8F">
        <w:t xml:space="preserve"> </w:t>
      </w:r>
      <w:r w:rsidR="003C4B8F">
        <w:t>Proposal</w:t>
      </w:r>
      <w:bookmarkEnd w:id="716"/>
    </w:p>
    <w:p w:rsidRPr="008202FD" w:rsidR="000C1980" w:rsidP="0023091F" w:rsidRDefault="000C1980" w14:paraId="22A2B35F" w14:textId="77777777">
      <w:pPr>
        <w:pStyle w:val="ALJBodyText"/>
      </w:pPr>
      <w:r w:rsidRPr="007A1EA7">
        <w:rPr>
          <w:rFonts w:eastAsia="Calibri"/>
          <w:b/>
          <w:bCs/>
          <w:i/>
          <w:iCs/>
          <w:u w:val="single"/>
        </w:rPr>
        <w:t>Allow Fund Shifting via Monthly/Annual Reports</w:t>
      </w:r>
      <w:r>
        <w:rPr>
          <w:rFonts w:eastAsia="Calibri"/>
        </w:rPr>
        <w:t>:</w:t>
      </w:r>
      <w:r w:rsidRPr="00903271">
        <w:rPr>
          <w:rFonts w:eastAsia="Calibri"/>
          <w:i/>
          <w:iCs/>
        </w:rPr>
        <w:t xml:space="preserve"> </w:t>
      </w:r>
      <w:r w:rsidRPr="00903271">
        <w:rPr>
          <w:i/>
          <w:iCs/>
        </w:rPr>
        <w:t>See</w:t>
      </w:r>
      <w:r>
        <w:t xml:space="preserve"> Section 10.5.4; otherwise, SoCalGas does not propose any changes to the reporting structure.</w:t>
      </w:r>
    </w:p>
    <w:p w:rsidRPr="005B0428" w:rsidR="000C1980" w:rsidP="00B76A66" w:rsidRDefault="000C1980" w14:paraId="56C7F989" w14:textId="55625CCF">
      <w:pPr>
        <w:pStyle w:val="Heading3"/>
      </w:pPr>
      <w:bookmarkStart w:name="_Toc69948354" w:id="717"/>
      <w:r>
        <w:lastRenderedPageBreak/>
        <w:t>SDG&amp;E Proposal</w:t>
      </w:r>
      <w:bookmarkEnd w:id="717"/>
    </w:p>
    <w:p w:rsidR="000C1980" w:rsidP="0023091F" w:rsidRDefault="000C1980" w14:paraId="50BCD52F" w14:textId="708D2D33">
      <w:pPr>
        <w:pStyle w:val="ALJBodyText"/>
      </w:pPr>
      <w:r w:rsidRPr="007A1EA7">
        <w:rPr>
          <w:rFonts w:eastAsia="Calibri"/>
          <w:b/>
          <w:bCs/>
          <w:i/>
          <w:iCs/>
          <w:u w:val="single"/>
        </w:rPr>
        <w:t>Allow Fund Shifting via Monthly/Annual Reports</w:t>
      </w:r>
      <w:r>
        <w:rPr>
          <w:rFonts w:eastAsia="Calibri"/>
          <w:b/>
          <w:bCs/>
          <w:i/>
          <w:iCs/>
          <w:u w:val="single"/>
        </w:rPr>
        <w:t>:</w:t>
      </w:r>
      <w:r>
        <w:rPr>
          <w:rFonts w:eastAsia="Calibri"/>
        </w:rPr>
        <w:t xml:space="preserve"> </w:t>
      </w:r>
      <w:r w:rsidRPr="00903271">
        <w:rPr>
          <w:rFonts w:eastAsia="Calibri"/>
          <w:i/>
          <w:iCs/>
        </w:rPr>
        <w:t>See</w:t>
      </w:r>
      <w:r w:rsidRPr="00903271">
        <w:rPr>
          <w:i/>
          <w:iCs/>
        </w:rPr>
        <w:t xml:space="preserve"> </w:t>
      </w:r>
      <w:r>
        <w:t>10.5.5.; otherwise, SDG&amp;E does not propose any changes to the reporting structure.</w:t>
      </w:r>
    </w:p>
    <w:p w:rsidR="00084551" w:rsidP="0023091F" w:rsidRDefault="00084551" w14:paraId="730BF8DB" w14:textId="67E125C5">
      <w:pPr>
        <w:pStyle w:val="ALJBodyText"/>
      </w:pPr>
      <w:r w:rsidRPr="00572BD2">
        <w:rPr>
          <w:b/>
          <w:bCs/>
          <w:i/>
          <w:iCs/>
          <w:u w:val="single"/>
        </w:rPr>
        <w:t>Replac</w:t>
      </w:r>
      <w:r>
        <w:rPr>
          <w:b/>
          <w:bCs/>
          <w:i/>
          <w:iCs/>
          <w:u w:val="single"/>
        </w:rPr>
        <w:t>ing</w:t>
      </w:r>
      <w:r w:rsidRPr="00572BD2">
        <w:rPr>
          <w:b/>
          <w:bCs/>
          <w:i/>
          <w:iCs/>
          <w:u w:val="single"/>
        </w:rPr>
        <w:t xml:space="preserve"> Annual </w:t>
      </w:r>
      <w:proofErr w:type="gramStart"/>
      <w:r w:rsidRPr="00572BD2">
        <w:rPr>
          <w:b/>
          <w:bCs/>
          <w:i/>
          <w:iCs/>
          <w:u w:val="single"/>
        </w:rPr>
        <w:t>Meeting</w:t>
      </w:r>
      <w:proofErr w:type="gramEnd"/>
      <w:r w:rsidRPr="00572BD2">
        <w:rPr>
          <w:b/>
          <w:bCs/>
          <w:i/>
          <w:iCs/>
          <w:u w:val="single"/>
        </w:rPr>
        <w:t xml:space="preserve"> with Biennial Meeting</w:t>
      </w:r>
      <w:r>
        <w:t>: SD</w:t>
      </w:r>
      <w:r w:rsidRPr="006C6646">
        <w:t>G&amp;E</w:t>
      </w:r>
      <w:r w:rsidR="00635A27">
        <w:t xml:space="preserve"> support</w:t>
      </w:r>
      <w:r w:rsidRPr="00635A27" w:rsidR="00635A27">
        <w:t xml:space="preserve"> convening a public meeting every</w:t>
      </w:r>
      <w:r w:rsidR="00635A27">
        <w:t xml:space="preserve"> </w:t>
      </w:r>
      <w:r w:rsidRPr="00635A27" w:rsidR="00635A27">
        <w:t>two years to replace the annual report public meeting</w:t>
      </w:r>
      <w:r w:rsidR="00635A27">
        <w:t>.</w:t>
      </w:r>
      <w:r w:rsidR="00635A27">
        <w:rPr>
          <w:rStyle w:val="FootnoteReference"/>
        </w:rPr>
        <w:footnoteReference w:id="1118"/>
      </w:r>
    </w:p>
    <w:p w:rsidRPr="005B0428" w:rsidR="000C1980" w:rsidP="00B76A66" w:rsidRDefault="000C1980" w14:paraId="774B52CC" w14:textId="724FF227">
      <w:pPr>
        <w:pStyle w:val="Heading3"/>
      </w:pPr>
      <w:bookmarkStart w:name="_Toc69948355" w:id="718"/>
      <w:r>
        <w:t>Party Positions</w:t>
      </w:r>
      <w:bookmarkEnd w:id="718"/>
    </w:p>
    <w:p w:rsidR="000C1980" w:rsidP="00B76A66" w:rsidRDefault="000C1980" w14:paraId="1FB45D70" w14:textId="77777777">
      <w:pPr>
        <w:pStyle w:val="Heading4"/>
      </w:pPr>
      <w:bookmarkStart w:name="_Toc69948356" w:id="719"/>
      <w:r>
        <w:t>TURN</w:t>
      </w:r>
      <w:bookmarkEnd w:id="719"/>
    </w:p>
    <w:p w:rsidRPr="00E9489C" w:rsidR="000C1980" w:rsidP="0023091F" w:rsidRDefault="000C1980" w14:paraId="657158F1" w14:textId="77777777">
      <w:pPr>
        <w:pStyle w:val="ALJBodyText"/>
      </w:pPr>
      <w:r>
        <w:t xml:space="preserve">TURN recommends the additional reporting requirements to </w:t>
      </w:r>
      <w:r w:rsidRPr="00E9489C">
        <w:t>better assess performance, inform program</w:t>
      </w:r>
      <w:r>
        <w:t xml:space="preserve"> </w:t>
      </w:r>
      <w:r w:rsidRPr="00E9489C">
        <w:t>improvements, and support state policies</w:t>
      </w:r>
      <w:r>
        <w:t>:</w:t>
      </w:r>
      <w:r>
        <w:rPr>
          <w:rStyle w:val="FootnoteReference"/>
        </w:rPr>
        <w:footnoteReference w:id="1119"/>
      </w:r>
    </w:p>
    <w:p w:rsidR="000C1980" w:rsidP="00402362" w:rsidRDefault="000C1980" w14:paraId="486E0BCA" w14:textId="77777777">
      <w:pPr>
        <w:pStyle w:val="ListBullet"/>
      </w:pPr>
      <w:r>
        <w:t>A</w:t>
      </w:r>
      <w:r w:rsidRPr="00E9489C">
        <w:t xml:space="preserve">nnual savings per eligible </w:t>
      </w:r>
      <w:proofErr w:type="gramStart"/>
      <w:r w:rsidRPr="00E9489C">
        <w:t>low</w:t>
      </w:r>
      <w:r>
        <w:t xml:space="preserve"> </w:t>
      </w:r>
      <w:r w:rsidRPr="00E9489C">
        <w:t>income</w:t>
      </w:r>
      <w:proofErr w:type="gramEnd"/>
      <w:r w:rsidRPr="00E9489C">
        <w:t xml:space="preserve"> customer </w:t>
      </w:r>
      <w:r>
        <w:t xml:space="preserve">by </w:t>
      </w:r>
      <w:r w:rsidRPr="00E9489C">
        <w:t>housing</w:t>
      </w:r>
      <w:r>
        <w:t xml:space="preserve"> type.</w:t>
      </w:r>
    </w:p>
    <w:p w:rsidR="000C1980" w:rsidP="00402362" w:rsidRDefault="000C1980" w14:paraId="40C70FFC" w14:textId="77777777">
      <w:pPr>
        <w:pStyle w:val="ListBullet"/>
      </w:pPr>
      <w:r>
        <w:t>L</w:t>
      </w:r>
      <w:r w:rsidRPr="00E9489C">
        <w:t xml:space="preserve">ifetime savings per eligible </w:t>
      </w:r>
      <w:proofErr w:type="gramStart"/>
      <w:r w:rsidRPr="00E9489C">
        <w:t>low</w:t>
      </w:r>
      <w:r>
        <w:t xml:space="preserve"> </w:t>
      </w:r>
      <w:r w:rsidRPr="00E9489C">
        <w:t>income</w:t>
      </w:r>
      <w:proofErr w:type="gramEnd"/>
      <w:r w:rsidRPr="00E9489C">
        <w:t xml:space="preserve"> customer </w:t>
      </w:r>
      <w:r>
        <w:t xml:space="preserve">by </w:t>
      </w:r>
      <w:r w:rsidRPr="00E9489C">
        <w:t>housing</w:t>
      </w:r>
      <w:r>
        <w:t xml:space="preserve"> type.</w:t>
      </w:r>
    </w:p>
    <w:p w:rsidR="000C1980" w:rsidP="00402362" w:rsidRDefault="000C1980" w14:paraId="2FBD1AF4" w14:textId="77777777">
      <w:pPr>
        <w:pStyle w:val="ListBullet"/>
      </w:pPr>
      <w:r>
        <w:t>L</w:t>
      </w:r>
      <w:r w:rsidRPr="00E9489C">
        <w:t xml:space="preserve">ifecycle bill reductions per participating household </w:t>
      </w:r>
      <w:r>
        <w:t xml:space="preserve">by </w:t>
      </w:r>
      <w:r w:rsidRPr="00E9489C">
        <w:t>housing</w:t>
      </w:r>
      <w:r>
        <w:t xml:space="preserve"> type.</w:t>
      </w:r>
    </w:p>
    <w:p w:rsidR="000C1980" w:rsidP="00402362" w:rsidRDefault="000C1980" w14:paraId="04BFC568" w14:textId="77777777">
      <w:pPr>
        <w:pStyle w:val="ListBullet"/>
      </w:pPr>
      <w:r>
        <w:t>P</w:t>
      </w:r>
      <w:r w:rsidRPr="00E9489C">
        <w:t>ercentage of ESA customers who enroll in other ratepayer-funded clean</w:t>
      </w:r>
      <w:r>
        <w:t xml:space="preserve"> </w:t>
      </w:r>
      <w:r w:rsidRPr="00E9489C">
        <w:t>energy programs that reduce hardship at the household level by decreasing</w:t>
      </w:r>
      <w:r>
        <w:t xml:space="preserve"> </w:t>
      </w:r>
      <w:r w:rsidRPr="00E9489C">
        <w:t>energy consumption, decreasing energy bills, or increasing access to</w:t>
      </w:r>
      <w:r>
        <w:t xml:space="preserve"> </w:t>
      </w:r>
      <w:r w:rsidRPr="00E9489C">
        <w:t>reliable energy in the event of power shutoffs</w:t>
      </w:r>
      <w:r>
        <w:t>.</w:t>
      </w:r>
    </w:p>
    <w:p w:rsidR="000C1980" w:rsidP="00402362" w:rsidRDefault="000C1980" w14:paraId="4C04D430" w14:textId="77777777">
      <w:pPr>
        <w:pStyle w:val="ListBullet"/>
      </w:pPr>
      <w:r>
        <w:t>P</w:t>
      </w:r>
      <w:r w:rsidRPr="00E9489C">
        <w:t>ercentage of customers treated by ESA who request payment assistance</w:t>
      </w:r>
      <w:r>
        <w:t xml:space="preserve"> </w:t>
      </w:r>
      <w:r w:rsidRPr="00E9489C">
        <w:t>in the 12-month period following treatment, as compared to the percentage</w:t>
      </w:r>
      <w:r>
        <w:t xml:space="preserve"> </w:t>
      </w:r>
      <w:r w:rsidRPr="00E9489C">
        <w:t>of the same customers who requested payment assistance in the 12 months</w:t>
      </w:r>
      <w:r>
        <w:t xml:space="preserve"> </w:t>
      </w:r>
      <w:r w:rsidRPr="00E9489C">
        <w:t>prior to treatment</w:t>
      </w:r>
      <w:r>
        <w:t>.</w:t>
      </w:r>
    </w:p>
    <w:p w:rsidR="000C1980" w:rsidP="00402362" w:rsidRDefault="000C1980" w14:paraId="704D121F" w14:textId="77777777">
      <w:pPr>
        <w:pStyle w:val="ListBullet"/>
      </w:pPr>
      <w:r>
        <w:t>P</w:t>
      </w:r>
      <w:r w:rsidRPr="00E9489C">
        <w:t>ercentage of customers treated by ESA with an active payment plan in</w:t>
      </w:r>
      <w:r>
        <w:t xml:space="preserve"> </w:t>
      </w:r>
      <w:r w:rsidRPr="00E9489C">
        <w:t xml:space="preserve">the 12-month period following treatment, as compared to </w:t>
      </w:r>
      <w:r w:rsidRPr="00E9489C">
        <w:lastRenderedPageBreak/>
        <w:t>the percentage</w:t>
      </w:r>
      <w:r>
        <w:t xml:space="preserve"> </w:t>
      </w:r>
      <w:r w:rsidRPr="00E9489C">
        <w:t>of the same customers with an active payment plan in the 12 months prior</w:t>
      </w:r>
      <w:r>
        <w:t xml:space="preserve"> </w:t>
      </w:r>
      <w:r w:rsidRPr="00E9489C">
        <w:t>to treatment</w:t>
      </w:r>
      <w:r>
        <w:t>.</w:t>
      </w:r>
    </w:p>
    <w:p w:rsidR="000C1980" w:rsidP="00402362" w:rsidRDefault="000C1980" w14:paraId="57BD238D" w14:textId="77777777">
      <w:pPr>
        <w:pStyle w:val="ListBullet"/>
      </w:pPr>
      <w:r>
        <w:t>P</w:t>
      </w:r>
      <w:r w:rsidRPr="00E9489C">
        <w:t>ercentage of customers treated by ESA who are in arrears in the 12-month period following treatment, as compared to the percentage of the</w:t>
      </w:r>
      <w:r>
        <w:t xml:space="preserve"> </w:t>
      </w:r>
      <w:r w:rsidRPr="00E9489C">
        <w:t>same customers who were in arrears in the 12 months prior to treatment</w:t>
      </w:r>
      <w:r>
        <w:t>.</w:t>
      </w:r>
    </w:p>
    <w:p w:rsidR="000C1980" w:rsidP="00402362" w:rsidRDefault="000C1980" w14:paraId="0E09AE78" w14:textId="77777777">
      <w:pPr>
        <w:pStyle w:val="ListBullet"/>
      </w:pPr>
      <w:r>
        <w:t>P</w:t>
      </w:r>
      <w:r w:rsidRPr="00E9489C">
        <w:t>ercentage of customers treated by ESA who are sent a disconnection</w:t>
      </w:r>
      <w:r>
        <w:t xml:space="preserve"> </w:t>
      </w:r>
      <w:r w:rsidRPr="00E9489C">
        <w:t>notice in the 12-month period following treatment, as compared to the</w:t>
      </w:r>
      <w:r>
        <w:t xml:space="preserve"> </w:t>
      </w:r>
      <w:r w:rsidRPr="00E9489C">
        <w:t>percentage of the same customers who are sent a disconnection notice in</w:t>
      </w:r>
      <w:r>
        <w:t xml:space="preserve"> </w:t>
      </w:r>
      <w:r w:rsidRPr="00E9489C">
        <w:t>the 12 months prior to treatment</w:t>
      </w:r>
      <w:r>
        <w:t>.</w:t>
      </w:r>
    </w:p>
    <w:p w:rsidR="000C1980" w:rsidP="00402362" w:rsidRDefault="000C1980" w14:paraId="2476E7B2" w14:textId="77777777">
      <w:pPr>
        <w:pStyle w:val="ListBullet"/>
      </w:pPr>
      <w:r>
        <w:t>P</w:t>
      </w:r>
      <w:r w:rsidRPr="00E9489C">
        <w:t>ercentage of customers treated by ESA who are disconnected for</w:t>
      </w:r>
      <w:r>
        <w:t xml:space="preserve"> </w:t>
      </w:r>
      <w:r w:rsidRPr="00E9489C">
        <w:t>nonpayment in the 12-month period following treatment, as compared to</w:t>
      </w:r>
      <w:r>
        <w:t xml:space="preserve"> t</w:t>
      </w:r>
      <w:r w:rsidRPr="00E9489C">
        <w:t>he percentage of the same customers who are disconnected for</w:t>
      </w:r>
      <w:r>
        <w:t xml:space="preserve"> </w:t>
      </w:r>
      <w:r w:rsidRPr="00E9489C">
        <w:t>nonpayment in the 12 months prior to treatment</w:t>
      </w:r>
      <w:r>
        <w:t>.</w:t>
      </w:r>
    </w:p>
    <w:p w:rsidRPr="00E9489C" w:rsidR="000C1980" w:rsidP="00402362" w:rsidRDefault="000C1980" w14:paraId="00A350B0" w14:textId="77777777">
      <w:pPr>
        <w:pStyle w:val="ListBullet"/>
      </w:pPr>
      <w:r>
        <w:t>C</w:t>
      </w:r>
      <w:r w:rsidRPr="00E9489C">
        <w:t>arbon reduction from the ESA program.</w:t>
      </w:r>
    </w:p>
    <w:p w:rsidR="000C1980" w:rsidP="00B76A66" w:rsidRDefault="000C1980" w14:paraId="145B2C2F" w14:textId="77777777">
      <w:pPr>
        <w:pStyle w:val="Heading3"/>
      </w:pPr>
      <w:bookmarkStart w:name="_Toc69948357" w:id="720"/>
      <w:r>
        <w:t>Discussion</w:t>
      </w:r>
      <w:bookmarkEnd w:id="720"/>
    </w:p>
    <w:p w:rsidRPr="001E6CEF" w:rsidR="000C1980" w:rsidP="00B76A66" w:rsidRDefault="000C1980" w14:paraId="08BABC0E" w14:textId="2174A3BB">
      <w:pPr>
        <w:pStyle w:val="Heading4"/>
      </w:pPr>
      <w:bookmarkStart w:name="_Toc69948358" w:id="721"/>
      <w:r w:rsidRPr="001E6CEF">
        <w:t>Replacing Annual Meeting</w:t>
      </w:r>
      <w:r w:rsidR="00572342">
        <w:t>s</w:t>
      </w:r>
      <w:r w:rsidRPr="001E6CEF">
        <w:t xml:space="preserve"> with Biennial Meeting</w:t>
      </w:r>
      <w:r w:rsidR="00572342">
        <w:t>s</w:t>
      </w:r>
      <w:r w:rsidRPr="001E6CEF">
        <w:t xml:space="preserve">: </w:t>
      </w:r>
      <w:r w:rsidRPr="001E6CEF">
        <w:rPr>
          <w:u w:val="single"/>
        </w:rPr>
        <w:t>Denied</w:t>
      </w:r>
      <w:bookmarkEnd w:id="721"/>
      <w:r w:rsidRPr="001E6CEF">
        <w:t xml:space="preserve"> </w:t>
      </w:r>
    </w:p>
    <w:p w:rsidRPr="00866EF4" w:rsidR="000C1980" w:rsidP="0023091F" w:rsidRDefault="000C1980" w14:paraId="7ECD0DCE" w14:textId="6B5330BC">
      <w:pPr>
        <w:pStyle w:val="ALJBodyText"/>
      </w:pPr>
      <w:r>
        <w:t xml:space="preserve">While we agree with PG&amp;E that the annual ESA/CARE meetings have seen less active participation and discussion over the years, moving these meetings to a biennial basis would create missed opportunities for discussing program improvements.  Therefore, we deny the request to modify the frequency of the public meetings and will still require the IOUs to hold an annual meeting sixty days after their annual report is filed.  However, we note that the agenda for these meetings do not need to be solely focused only on summarizing the annual reports of the ESA/CARE/FERA program results.  Rather, these meetings can be combined with an existing working group meeting or be used as an additional working group opportunity as described by PG&amp;E to discuss program improvements, studies and other specific topics as needed.  As part of the notification for this annual meeting, the IOUs shall ask stakeholders to </w:t>
      </w:r>
      <w:r>
        <w:lastRenderedPageBreak/>
        <w:t>submit any topics that would like to discuss on the agenda to better engage the program stakeholders</w:t>
      </w:r>
      <w:r w:rsidRPr="4FC83D76">
        <w:rPr>
          <w:b/>
          <w:bCs/>
          <w:i/>
          <w:iCs/>
        </w:rPr>
        <w:t xml:space="preserve">. </w:t>
      </w:r>
      <w:r>
        <w:rPr>
          <w:b/>
          <w:bCs/>
          <w:i/>
          <w:iCs/>
        </w:rPr>
        <w:t xml:space="preserve"> </w:t>
      </w:r>
      <w:r w:rsidRPr="00866EF4">
        <w:t xml:space="preserve">The IOUs </w:t>
      </w:r>
      <w:r w:rsidRPr="4FC83D76">
        <w:t xml:space="preserve">must </w:t>
      </w:r>
      <w:r w:rsidRPr="00866EF4">
        <w:t xml:space="preserve">also </w:t>
      </w:r>
      <w:r w:rsidRPr="4FC83D76">
        <w:t xml:space="preserve">increase their public notification efforts by posting a notice of this meeting on their CARE/ESA websites and to related </w:t>
      </w:r>
      <w:r>
        <w:t>Commission</w:t>
      </w:r>
      <w:r w:rsidRPr="4FC83D76">
        <w:t xml:space="preserve"> proceeding service lists, </w:t>
      </w:r>
      <w:proofErr w:type="gramStart"/>
      <w:r w:rsidRPr="4FC83D76">
        <w:t>in particular those</w:t>
      </w:r>
      <w:proofErr w:type="gramEnd"/>
      <w:r w:rsidRPr="4FC83D76">
        <w:t xml:space="preserve"> overseeing partner programs like SOMAH, SGIP, etc., and the main energy efficiency portfolio proceeding.</w:t>
      </w:r>
    </w:p>
    <w:p w:rsidRPr="001E6CEF" w:rsidR="000C1980" w:rsidP="00B76A66" w:rsidRDefault="000C1980" w14:paraId="1B97A08C" w14:textId="7F027FF9">
      <w:pPr>
        <w:pStyle w:val="Heading4"/>
      </w:pPr>
      <w:bookmarkStart w:name="_Toc69948359" w:id="722"/>
      <w:r w:rsidRPr="001E6CEF">
        <w:t xml:space="preserve">Combining FERA </w:t>
      </w:r>
      <w:r>
        <w:t>R</w:t>
      </w:r>
      <w:r w:rsidRPr="001E6CEF">
        <w:t xml:space="preserve">eporting with CARE-ESA Annual Reporting: </w:t>
      </w:r>
      <w:r w:rsidRPr="001E6CEF">
        <w:rPr>
          <w:u w:val="single"/>
        </w:rPr>
        <w:t>Approved with Modifications</w:t>
      </w:r>
      <w:bookmarkEnd w:id="722"/>
      <w:r w:rsidRPr="001E6CEF">
        <w:t xml:space="preserve"> </w:t>
      </w:r>
    </w:p>
    <w:p w:rsidRPr="00F130E5" w:rsidR="000C1980" w:rsidP="0023091F" w:rsidRDefault="000C1980" w14:paraId="22F6CABE" w14:textId="71818FA3">
      <w:pPr>
        <w:pStyle w:val="ALJBodyText"/>
      </w:pPr>
      <w:r>
        <w:t>We</w:t>
      </w:r>
      <w:r w:rsidRPr="00B737C8">
        <w:t xml:space="preserve"> </w:t>
      </w:r>
      <w:r>
        <w:t>approve the proposal to</w:t>
      </w:r>
      <w:r w:rsidRPr="00B737C8">
        <w:t xml:space="preserve"> combine </w:t>
      </w:r>
      <w:r>
        <w:t xml:space="preserve">the </w:t>
      </w:r>
      <w:r w:rsidRPr="00B737C8">
        <w:t xml:space="preserve">FERA </w:t>
      </w:r>
      <w:r>
        <w:t>a</w:t>
      </w:r>
      <w:r w:rsidRPr="00B737C8">
        <w:t xml:space="preserve">nnual </w:t>
      </w:r>
      <w:r>
        <w:t>r</w:t>
      </w:r>
      <w:r w:rsidRPr="00B737C8">
        <w:t xml:space="preserve">eport with the ESA and CARE </w:t>
      </w:r>
      <w:r>
        <w:t>a</w:t>
      </w:r>
      <w:r w:rsidRPr="00B737C8">
        <w:t xml:space="preserve">nnual </w:t>
      </w:r>
      <w:r>
        <w:t>r</w:t>
      </w:r>
      <w:r w:rsidRPr="00B737C8">
        <w:t>eport</w:t>
      </w:r>
      <w:r>
        <w:t>s</w:t>
      </w:r>
      <w:r w:rsidRPr="00B737C8">
        <w:t xml:space="preserve"> to reduce regulatory burden and reporting. However, PG&amp;E proposes to begin this combined </w:t>
      </w:r>
      <w:r>
        <w:t>a</w:t>
      </w:r>
      <w:r w:rsidRPr="00B737C8">
        <w:t xml:space="preserve">nnual </w:t>
      </w:r>
      <w:r>
        <w:t>r</w:t>
      </w:r>
      <w:r w:rsidRPr="00B737C8">
        <w:t>eport, beginning May</w:t>
      </w:r>
      <w:r>
        <w:t> </w:t>
      </w:r>
      <w:r w:rsidRPr="00B737C8">
        <w:t xml:space="preserve">of 2024 for the 2023 </w:t>
      </w:r>
      <w:r>
        <w:t>a</w:t>
      </w:r>
      <w:r w:rsidRPr="00B737C8">
        <w:t xml:space="preserve">nnual </w:t>
      </w:r>
      <w:r>
        <w:t>r</w:t>
      </w:r>
      <w:r w:rsidRPr="00B737C8">
        <w:t xml:space="preserve">eport. </w:t>
      </w:r>
      <w:r>
        <w:t xml:space="preserve"> </w:t>
      </w:r>
      <w:r w:rsidRPr="00B737C8">
        <w:t xml:space="preserve">The Commission believes that this combined reporting </w:t>
      </w:r>
      <w:r>
        <w:t>can</w:t>
      </w:r>
      <w:r w:rsidRPr="00B737C8">
        <w:t xml:space="preserve"> begin with the 2022 </w:t>
      </w:r>
      <w:r>
        <w:t>a</w:t>
      </w:r>
      <w:r w:rsidRPr="00B737C8">
        <w:t xml:space="preserve">nnual </w:t>
      </w:r>
      <w:r>
        <w:t>r</w:t>
      </w:r>
      <w:r w:rsidRPr="00B737C8">
        <w:t>eport, and every subsequent annual report for this program cycle, which is submitted on May 1 of each year. Additionally,</w:t>
      </w:r>
      <w:r>
        <w:t xml:space="preserve"> we require the</w:t>
      </w:r>
      <w:r w:rsidRPr="00B737C8">
        <w:t xml:space="preserve"> IOUs </w:t>
      </w:r>
      <w:r>
        <w:t xml:space="preserve">to file monthly FERA reports, which shall also be combined with the </w:t>
      </w:r>
      <w:r w:rsidRPr="00B737C8">
        <w:t xml:space="preserve">ESA and CARE </w:t>
      </w:r>
      <w:r>
        <w:t>monthly</w:t>
      </w:r>
      <w:r w:rsidRPr="00B737C8">
        <w:t xml:space="preserve"> </w:t>
      </w:r>
      <w:r>
        <w:t>r</w:t>
      </w:r>
      <w:r w:rsidRPr="00B737C8">
        <w:t>eport</w:t>
      </w:r>
      <w:r>
        <w:t>s</w:t>
      </w:r>
      <w:r w:rsidRPr="00B737C8">
        <w:t xml:space="preserve">. </w:t>
      </w:r>
      <w:r>
        <w:t xml:space="preserve"> The reporting template approved by Energy Division will include the specifics of this reporting criteria</w:t>
      </w:r>
      <w:r w:rsidRPr="00B737C8">
        <w:t>.</w:t>
      </w:r>
      <w:r>
        <w:t xml:space="preserve">  This applies to all three electric IOUs offering FERA programs. </w:t>
      </w:r>
      <w:r w:rsidRPr="00B737C8">
        <w:t xml:space="preserve"> </w:t>
      </w:r>
    </w:p>
    <w:p w:rsidRPr="0003133A" w:rsidR="000C1980" w:rsidP="00B76A66" w:rsidRDefault="000C1980" w14:paraId="70CC911E" w14:textId="5EBC3DA6">
      <w:pPr>
        <w:pStyle w:val="Heading4"/>
      </w:pPr>
      <w:bookmarkStart w:name="_Toc69948360" w:id="723"/>
      <w:r w:rsidRPr="0003133A">
        <w:t xml:space="preserve">Interactive Dashboard: </w:t>
      </w:r>
      <w:r w:rsidRPr="0003133A">
        <w:rPr>
          <w:u w:val="single"/>
        </w:rPr>
        <w:t>New</w:t>
      </w:r>
      <w:bookmarkEnd w:id="723"/>
    </w:p>
    <w:p w:rsidRPr="00792EC7" w:rsidR="000C1980" w:rsidP="0023091F" w:rsidRDefault="000C1980" w14:paraId="72E831A5" w14:textId="45DF96F3">
      <w:pPr>
        <w:pStyle w:val="ALJBodyText"/>
      </w:pPr>
      <w:r w:rsidRPr="00792EC7">
        <w:t>Currently, the IOUs report monthly and annual activity to E</w:t>
      </w:r>
      <w:r>
        <w:t xml:space="preserve">nergy </w:t>
      </w:r>
      <w:r w:rsidRPr="00792EC7">
        <w:t>D</w:t>
      </w:r>
      <w:r>
        <w:t>ivision</w:t>
      </w:r>
      <w:r w:rsidRPr="00792EC7">
        <w:t xml:space="preserve"> and other stakeholders through static PDFs and </w:t>
      </w:r>
      <w:r>
        <w:t>e</w:t>
      </w:r>
      <w:r w:rsidRPr="00792EC7">
        <w:t xml:space="preserve">xcel spreadsheets. </w:t>
      </w:r>
      <w:r>
        <w:t xml:space="preserve"> </w:t>
      </w:r>
      <w:r w:rsidRPr="00792EC7">
        <w:t>It is time</w:t>
      </w:r>
      <w:r>
        <w:t xml:space="preserve"> </w:t>
      </w:r>
      <w:r w:rsidRPr="00792EC7">
        <w:t>consuming for E</w:t>
      </w:r>
      <w:r>
        <w:t xml:space="preserve">nergy </w:t>
      </w:r>
      <w:r w:rsidRPr="00792EC7">
        <w:t>D</w:t>
      </w:r>
      <w:r>
        <w:t>ivision</w:t>
      </w:r>
      <w:r w:rsidRPr="00792EC7">
        <w:t xml:space="preserve"> and other stakeholders to conduct analysis comparing one month or year to another period, </w:t>
      </w:r>
      <w:r>
        <w:t xml:space="preserve">data comparison across IOUs, </w:t>
      </w:r>
      <w:r w:rsidRPr="00792EC7">
        <w:t xml:space="preserve">or to do any historical analysis beyond a single period. </w:t>
      </w:r>
      <w:r>
        <w:t xml:space="preserve"> </w:t>
      </w:r>
      <w:r w:rsidRPr="00792EC7">
        <w:t xml:space="preserve">This proceeding provides an opportunity to make reporting more streamlined and efficient for all parties. </w:t>
      </w:r>
      <w:r>
        <w:t>Therefore, we r</w:t>
      </w:r>
      <w:r w:rsidRPr="00792EC7">
        <w:t>equir</w:t>
      </w:r>
      <w:r>
        <w:t>e</w:t>
      </w:r>
      <w:r w:rsidRPr="00792EC7">
        <w:t xml:space="preserve"> the IOUs to incorporate </w:t>
      </w:r>
      <w:r>
        <w:t xml:space="preserve">the </w:t>
      </w:r>
      <w:proofErr w:type="gramStart"/>
      <w:r>
        <w:t>l</w:t>
      </w:r>
      <w:r w:rsidRPr="00792EC7">
        <w:t xml:space="preserve">ow </w:t>
      </w:r>
      <w:r>
        <w:t>i</w:t>
      </w:r>
      <w:r w:rsidRPr="00792EC7">
        <w:t>ncome</w:t>
      </w:r>
      <w:proofErr w:type="gramEnd"/>
      <w:r w:rsidRPr="00792EC7">
        <w:t xml:space="preserve"> program reporting into </w:t>
      </w:r>
      <w:r>
        <w:t>a single</w:t>
      </w:r>
      <w:r w:rsidRPr="00792EC7">
        <w:t xml:space="preserve"> online data management</w:t>
      </w:r>
      <w:r>
        <w:t xml:space="preserve"> and </w:t>
      </w:r>
      <w:r w:rsidRPr="00792EC7">
        <w:t xml:space="preserve">visualization </w:t>
      </w:r>
      <w:r>
        <w:t>dashboard</w:t>
      </w:r>
      <w:r w:rsidRPr="00792EC7">
        <w:t xml:space="preserve"> that would </w:t>
      </w:r>
      <w:r w:rsidRPr="00792EC7">
        <w:lastRenderedPageBreak/>
        <w:t xml:space="preserve">allow for </w:t>
      </w:r>
      <w:r>
        <w:t xml:space="preserve">IOU-specific </w:t>
      </w:r>
      <w:r w:rsidRPr="00792EC7">
        <w:t>annual historical ES</w:t>
      </w:r>
      <w:r>
        <w:t>A, CARE and FERA</w:t>
      </w:r>
      <w:r w:rsidRPr="00792EC7">
        <w:t xml:space="preserve"> data to be referenced.</w:t>
      </w:r>
      <w:r>
        <w:t xml:space="preserve"> </w:t>
      </w:r>
      <w:r w:rsidRPr="00792EC7">
        <w:t xml:space="preserve"> This online data management system would be updated on an annual basis (after the ES</w:t>
      </w:r>
      <w:r>
        <w:t>A, CARE and FERA</w:t>
      </w:r>
      <w:r w:rsidRPr="00792EC7">
        <w:t xml:space="preserve"> annual reports are published in May) and allow users to access at least 10 years of historical ESA</w:t>
      </w:r>
      <w:r>
        <w:t>, CARE and FERA</w:t>
      </w:r>
      <w:r w:rsidRPr="00792EC7">
        <w:t xml:space="preserve"> </w:t>
      </w:r>
      <w:r>
        <w:t>data.</w:t>
      </w:r>
      <w:r w:rsidRPr="00792EC7">
        <w:t xml:space="preserve"> </w:t>
      </w:r>
      <w:r>
        <w:t xml:space="preserve"> Therefore, we require the </w:t>
      </w:r>
      <w:r w:rsidRPr="00792EC7">
        <w:t>IOUs</w:t>
      </w:r>
      <w:r>
        <w:t xml:space="preserve"> to file a </w:t>
      </w:r>
      <w:r w:rsidRPr="6453C284">
        <w:t xml:space="preserve">joint </w:t>
      </w:r>
      <w:r w:rsidRPr="00792EC7">
        <w:t xml:space="preserve">Tier 2 advice letter </w:t>
      </w:r>
      <w:r>
        <w:t xml:space="preserve">by no later than </w:t>
      </w:r>
      <w:r w:rsidR="00117810">
        <w:t>120</w:t>
      </w:r>
      <w:r w:rsidRPr="00792EC7" w:rsidR="00117810">
        <w:t xml:space="preserve"> </w:t>
      </w:r>
      <w:r w:rsidRPr="00792EC7">
        <w:t xml:space="preserve">days after </w:t>
      </w:r>
      <w:r w:rsidRPr="00C47214" w:rsidR="004462A7">
        <w:t xml:space="preserve">the approval </w:t>
      </w:r>
      <w:r w:rsidRPr="00792EC7">
        <w:t xml:space="preserve">of </w:t>
      </w:r>
      <w:r>
        <w:t>this decision detailing its respective plan for this</w:t>
      </w:r>
      <w:r w:rsidRPr="00792EC7">
        <w:t xml:space="preserve"> online </w:t>
      </w:r>
      <w:r>
        <w:t>data management and visualization dashboard</w:t>
      </w:r>
      <w:r w:rsidRPr="00792EC7">
        <w:t xml:space="preserve">. </w:t>
      </w:r>
      <w:r>
        <w:t xml:space="preserve"> </w:t>
      </w:r>
      <w:r w:rsidRPr="00792EC7">
        <w:t xml:space="preserve">The Tier 2 </w:t>
      </w:r>
      <w:r>
        <w:t>advice letter</w:t>
      </w:r>
      <w:r w:rsidRPr="00792EC7">
        <w:t xml:space="preserve"> will contain the following information:</w:t>
      </w:r>
    </w:p>
    <w:p w:rsidRPr="00792EC7" w:rsidR="000C1980" w:rsidP="00402362" w:rsidRDefault="000C1980" w14:paraId="50C5699F" w14:textId="77777777">
      <w:pPr>
        <w:pStyle w:val="ListBullet"/>
      </w:pPr>
      <w:r w:rsidRPr="00792EC7">
        <w:t>Suggested software for hosting the dashboard and options for where the dashboard could be hosted</w:t>
      </w:r>
      <w:r>
        <w:t>.</w:t>
      </w:r>
    </w:p>
    <w:p w:rsidR="000C1980" w:rsidP="00402362" w:rsidRDefault="000C1980" w14:paraId="4071DB25" w14:textId="77777777">
      <w:pPr>
        <w:pStyle w:val="ListBullet"/>
      </w:pPr>
      <w:r w:rsidRPr="00792EC7">
        <w:t>Suggested</w:t>
      </w:r>
      <w:r>
        <w:t xml:space="preserve"> ESA</w:t>
      </w:r>
      <w:r w:rsidRPr="00792EC7">
        <w:t xml:space="preserve"> data to</w:t>
      </w:r>
      <w:r>
        <w:t xml:space="preserve"> be</w:t>
      </w:r>
      <w:r w:rsidRPr="00792EC7">
        <w:t xml:space="preserve"> </w:t>
      </w:r>
      <w:r>
        <w:t>stored on the data management systems,</w:t>
      </w:r>
      <w:r w:rsidRPr="00792EC7">
        <w:t xml:space="preserve"> specifically</w:t>
      </w:r>
      <w:r>
        <w:t xml:space="preserve"> focusing on</w:t>
      </w:r>
      <w:r w:rsidRPr="00792EC7">
        <w:t xml:space="preserve"> ESA budgets, expenditures, households treated and energy savings by technology groups currently represented in the ESA Annual Report Excel </w:t>
      </w:r>
      <w:r>
        <w:t>tables</w:t>
      </w:r>
      <w:r w:rsidRPr="00792EC7">
        <w:t xml:space="preserve"> ESA-Tables 1, 1a, 2 and 4</w:t>
      </w:r>
      <w:r>
        <w:t>.</w:t>
      </w:r>
    </w:p>
    <w:p w:rsidRPr="00792EC7" w:rsidR="000C1980" w:rsidP="00402362" w:rsidRDefault="000C1980" w14:paraId="6AF0E0DF" w14:textId="77777777">
      <w:pPr>
        <w:pStyle w:val="ListBullet"/>
      </w:pPr>
      <w:r>
        <w:t>Suggested CARE and FERA data to be</w:t>
      </w:r>
      <w:r w:rsidRPr="00792EC7">
        <w:t xml:space="preserve"> </w:t>
      </w:r>
      <w:r>
        <w:t>stored on the data management systems, specifically focusing on CARE and FERA budgets, expenditures, eligible populations and enrolled household counts, e</w:t>
      </w:r>
      <w:r w:rsidRPr="005660DF">
        <w:t xml:space="preserve">nrollment, </w:t>
      </w:r>
      <w:r>
        <w:t>r</w:t>
      </w:r>
      <w:r w:rsidRPr="005660DF">
        <w:t xml:space="preserve">ecertification, </w:t>
      </w:r>
      <w:r>
        <w:t>a</w:t>
      </w:r>
      <w:r w:rsidRPr="005660DF">
        <w:t xml:space="preserve">ttrition, </w:t>
      </w:r>
      <w:r>
        <w:t>p</w:t>
      </w:r>
      <w:r w:rsidRPr="005660DF">
        <w:t>enetration</w:t>
      </w:r>
      <w:r>
        <w:t xml:space="preserve">, PEV, and any other data relevant to monitoring CARE and FERA program operations. </w:t>
      </w:r>
    </w:p>
    <w:p w:rsidRPr="00E723DB" w:rsidR="000C1980" w:rsidP="00402362" w:rsidRDefault="000C1980" w14:paraId="35EFC153" w14:textId="77777777">
      <w:pPr>
        <w:pStyle w:val="ListBullet"/>
      </w:pPr>
      <w:r w:rsidRPr="00E723DB">
        <w:t>Discussion of the potential for expansion of data,</w:t>
      </w:r>
      <w:r w:rsidRPr="007E3308">
        <w:t xml:space="preserve"> beyond items noted above, in the future, and how </w:t>
      </w:r>
      <w:r w:rsidRPr="000A6B64">
        <w:t xml:space="preserve">suggested software and </w:t>
      </w:r>
      <w:r w:rsidRPr="00273128">
        <w:t xml:space="preserve">hosting location could accommodate expansion </w:t>
      </w:r>
      <w:r w:rsidRPr="6453C284">
        <w:t>without a full rebuild</w:t>
      </w:r>
      <w:r>
        <w:t>.</w:t>
      </w:r>
    </w:p>
    <w:p w:rsidR="000C1980" w:rsidP="00402362" w:rsidRDefault="000C1980" w14:paraId="49D85FCC" w14:textId="7AAE8BF2">
      <w:pPr>
        <w:pStyle w:val="ListBullet"/>
      </w:pPr>
      <w:r w:rsidRPr="24DCB1AB">
        <w:t xml:space="preserve">Discussion on whether this online data management system would function simply as a repository of summarized data prepared by the IOUs (i.e., an online format for the current reports), or whether detailed program tracking data on the ESA, CARE and FERA program would be uploaded into this system and subsequent data summaries would occur by manipulating </w:t>
      </w:r>
      <w:r w:rsidRPr="24DCB1AB">
        <w:lastRenderedPageBreak/>
        <w:t xml:space="preserve">granular program data as is currently done with the CEDARS environment used by the </w:t>
      </w:r>
      <w:r>
        <w:t xml:space="preserve">main energy efficiency </w:t>
      </w:r>
      <w:r w:rsidRPr="24DCB1AB">
        <w:t>portfolios.</w:t>
      </w:r>
      <w:r>
        <w:rPr>
          <w:rStyle w:val="FootnoteReference"/>
          <w:rFonts w:eastAsia="Calibri"/>
        </w:rPr>
        <w:footnoteReference w:id="1120"/>
      </w:r>
      <w:r w:rsidRPr="24DCB1AB">
        <w:t xml:space="preserve"> </w:t>
      </w:r>
    </w:p>
    <w:p w:rsidR="000C1980" w:rsidP="00402362" w:rsidRDefault="000C1980" w14:paraId="0CDFFC5D" w14:textId="77777777">
      <w:pPr>
        <w:pStyle w:val="ListBullet"/>
      </w:pPr>
      <w:r>
        <w:t>Sample</w:t>
      </w:r>
      <w:r w:rsidRPr="00792EC7">
        <w:t xml:space="preserve"> template for aggregating annual and historical ESA</w:t>
      </w:r>
      <w:r>
        <w:t>, CARE and FERA</w:t>
      </w:r>
      <w:r w:rsidRPr="00792EC7">
        <w:t xml:space="preserve"> data to be represented</w:t>
      </w:r>
      <w:r>
        <w:t>.</w:t>
      </w:r>
    </w:p>
    <w:p w:rsidR="000C1980" w:rsidP="00402362" w:rsidRDefault="000C1980" w14:paraId="07E13ACE" w14:textId="77777777">
      <w:pPr>
        <w:pStyle w:val="ListBullet"/>
      </w:pPr>
      <w:r>
        <w:t>Sample</w:t>
      </w:r>
      <w:r w:rsidRPr="004B680D">
        <w:t xml:space="preserve"> layout of what the </w:t>
      </w:r>
      <w:r>
        <w:t>visualization dashboard could</w:t>
      </w:r>
      <w:r w:rsidRPr="004B680D">
        <w:t xml:space="preserve"> look like when completed</w:t>
      </w:r>
      <w:r>
        <w:t>.</w:t>
      </w:r>
    </w:p>
    <w:p w:rsidRPr="004B680D" w:rsidR="000C1980" w:rsidP="00402362" w:rsidRDefault="000C1980" w14:paraId="66999B18" w14:textId="77777777">
      <w:pPr>
        <w:pStyle w:val="ListBullet"/>
      </w:pPr>
      <w:r w:rsidRPr="004B680D">
        <w:t xml:space="preserve">Timeline for execution and budget needed for completing the </w:t>
      </w:r>
      <w:r w:rsidRPr="00792EC7">
        <w:t>online data management</w:t>
      </w:r>
      <w:r>
        <w:t xml:space="preserve"> and </w:t>
      </w:r>
      <w:r w:rsidRPr="00792EC7">
        <w:t xml:space="preserve">visualization </w:t>
      </w:r>
      <w:r>
        <w:t>dashboard</w:t>
      </w:r>
      <w:r w:rsidRPr="00792EC7">
        <w:t xml:space="preserve"> </w:t>
      </w:r>
      <w:r w:rsidRPr="004B680D">
        <w:t>(using existing reporting budgets funds)</w:t>
      </w:r>
      <w:r>
        <w:t>.</w:t>
      </w:r>
    </w:p>
    <w:p w:rsidRPr="00792EC7" w:rsidR="000C1980" w:rsidP="0023091F" w:rsidRDefault="000C1980" w14:paraId="2DDFD2A5" w14:textId="144957A5">
      <w:pPr>
        <w:pStyle w:val="ALJBodyText"/>
      </w:pPr>
      <w:r w:rsidRPr="4FC83D76">
        <w:t xml:space="preserve">The online data management and visualization dashboard should be operational with at least 10 years of historical ESA, CARE and FERA data and receiving annual data no later than December 31, </w:t>
      </w:r>
      <w:proofErr w:type="gramStart"/>
      <w:r w:rsidRPr="4FC83D76">
        <w:t>2023</w:t>
      </w:r>
      <w:proofErr w:type="gramEnd"/>
      <w:r w:rsidRPr="4FC83D76">
        <w:t xml:space="preserve"> and will be updated every year 30 days after the ESA annual reports are submitted on May 1</w:t>
      </w:r>
      <w:r w:rsidRPr="4FC83D76">
        <w:rPr>
          <w:vertAlign w:val="superscript"/>
        </w:rPr>
        <w:t>st</w:t>
      </w:r>
      <w:r w:rsidRPr="4FC83D76">
        <w:t xml:space="preserve">. </w:t>
      </w:r>
      <w:r>
        <w:t xml:space="preserve"> </w:t>
      </w:r>
      <w:r w:rsidRPr="4FC83D76">
        <w:t xml:space="preserve">The IOUs shall continue to issue their monthly and annual ESA, CARE and FERA reports in PDF and </w:t>
      </w:r>
      <w:r w:rsidR="008E2B17">
        <w:t>spreadsheet</w:t>
      </w:r>
      <w:r w:rsidRPr="4FC83D76" w:rsidR="008E2B17">
        <w:t xml:space="preserve"> </w:t>
      </w:r>
      <w:r w:rsidRPr="4FC83D76">
        <w:t xml:space="preserve">format over the appropriate service lists during and after construction of the online data management and visualization dashboard. </w:t>
      </w:r>
      <w:r>
        <w:t xml:space="preserve"> I</w:t>
      </w:r>
      <w:r w:rsidRPr="4FC83D76">
        <w:t xml:space="preserve">f </w:t>
      </w:r>
      <w:r>
        <w:t xml:space="preserve">IOUs or Energy Division determines that the </w:t>
      </w:r>
      <w:r w:rsidRPr="4FC83D76">
        <w:t xml:space="preserve">online data management and visualization dashboard could replace the need </w:t>
      </w:r>
      <w:r>
        <w:t xml:space="preserve">for </w:t>
      </w:r>
      <w:r w:rsidR="007E357A">
        <w:t xml:space="preserve">spreadsheet </w:t>
      </w:r>
      <w:r>
        <w:t xml:space="preserve">and </w:t>
      </w:r>
      <w:r w:rsidR="007E357A">
        <w:t xml:space="preserve">PDF </w:t>
      </w:r>
      <w:r>
        <w:t>reports</w:t>
      </w:r>
      <w:r w:rsidRPr="4FC83D76">
        <w:t>, the IOUs may file a Tier 2 advice letter requesting that the annual data reporting medium and process for the ESA, CARE and FERA program be updated</w:t>
      </w:r>
      <w:r w:rsidRPr="0007077D" w:rsidR="0007077D">
        <w:t xml:space="preserve"> </w:t>
      </w:r>
      <w:r w:rsidR="0007077D">
        <w:t>to reflect this change</w:t>
      </w:r>
      <w:r w:rsidRPr="4FC83D76">
        <w:t xml:space="preserve">. </w:t>
      </w:r>
    </w:p>
    <w:p w:rsidRPr="0003133A" w:rsidR="000C1980" w:rsidP="00B76A66" w:rsidRDefault="000C1980" w14:paraId="7EA0BF22" w14:textId="6FB42B76">
      <w:pPr>
        <w:pStyle w:val="Heading4"/>
      </w:pPr>
      <w:bookmarkStart w:name="_Toc69948361" w:id="724"/>
      <w:r w:rsidRPr="0003133A">
        <w:t xml:space="preserve">Additional Reporting Requirements Proposed by TURN: </w:t>
      </w:r>
      <w:r w:rsidRPr="00892B5D">
        <w:rPr>
          <w:u w:val="single"/>
        </w:rPr>
        <w:t>Approved</w:t>
      </w:r>
      <w:r>
        <w:rPr>
          <w:u w:val="single"/>
        </w:rPr>
        <w:t xml:space="preserve"> in Part</w:t>
      </w:r>
      <w:bookmarkEnd w:id="724"/>
    </w:p>
    <w:p w:rsidRPr="00D75285" w:rsidR="000C1980" w:rsidP="0023091F" w:rsidRDefault="000C1980" w14:paraId="77D16838" w14:textId="0368AEE4">
      <w:pPr>
        <w:pStyle w:val="ALJBodyText"/>
      </w:pPr>
      <w:r>
        <w:t xml:space="preserve">We approve TURN’s request, in part, and direct the IOUs to report annual or first year savings by housing type, percent of treated customers with arrearages, and percent of treated customers who have been disconnected. We </w:t>
      </w:r>
      <w:r>
        <w:lastRenderedPageBreak/>
        <w:t xml:space="preserve">deny TURN’s other requests for other reporting, including lifetime savings and lifecycle bill savings by customer by housing type (see metrics in Sections 6.7 and 6.8 for similar reporting requirements), percent of ESA customers enrolled in other clean energy programs, percent of customers in financial distress in the previous 12 months customer, and carbon reduction.  We note that we require various additional reporting requirements as discussed throughout sections of this decision that are sufficient in addressing many of TURN and other parties’ concerns.  The reporting template approved by Energy Division will include all the specifics of the new reporting.  </w:t>
      </w:r>
    </w:p>
    <w:p w:rsidR="000C1980" w:rsidP="00B76A66" w:rsidRDefault="000C1980" w14:paraId="379829B3" w14:textId="77777777">
      <w:pPr>
        <w:pStyle w:val="Heading2"/>
      </w:pPr>
      <w:bookmarkStart w:name="_Toc69948362" w:id="725"/>
      <w:bookmarkStart w:name="_Hlk57726384" w:id="726"/>
      <w:r>
        <w:t>Annual CARE Eligibility Report Filing Date</w:t>
      </w:r>
      <w:bookmarkEnd w:id="725"/>
    </w:p>
    <w:p w:rsidR="000C1980" w:rsidP="00B76A66" w:rsidRDefault="000C1980" w14:paraId="63848D85" w14:textId="2C0B6527">
      <w:pPr>
        <w:pStyle w:val="Heading3"/>
      </w:pPr>
      <w:bookmarkStart w:name="_Toc69948363" w:id="727"/>
      <w:bookmarkEnd w:id="726"/>
      <w:r>
        <w:t>Background</w:t>
      </w:r>
      <w:bookmarkEnd w:id="727"/>
    </w:p>
    <w:p w:rsidRPr="0057154A" w:rsidR="000C1980" w:rsidP="0023091F" w:rsidRDefault="000C1980" w14:paraId="6F360AD2" w14:textId="77777777">
      <w:pPr>
        <w:pStyle w:val="ALJBodyText"/>
      </w:pPr>
      <w:r>
        <w:t>T</w:t>
      </w:r>
      <w:r w:rsidRPr="0026503D">
        <w:t>he Annual CARE Eligibility Report</w:t>
      </w:r>
      <w:r>
        <w:t xml:space="preserve"> is an </w:t>
      </w:r>
      <w:r w:rsidRPr="0026503D">
        <w:t>annual estimation</w:t>
      </w:r>
      <w:r>
        <w:t xml:space="preserve"> of the</w:t>
      </w:r>
      <w:r w:rsidRPr="0026503D">
        <w:t xml:space="preserve"> CARE eligible household for the state</w:t>
      </w:r>
      <w:r>
        <w:t xml:space="preserve"> and by </w:t>
      </w:r>
      <w:r w:rsidRPr="0026503D">
        <w:t>IOU service territory.</w:t>
      </w:r>
      <w:r>
        <w:t xml:space="preserve">  </w:t>
      </w:r>
      <w:r w:rsidRPr="00017E9A">
        <w:t>This report in turn</w:t>
      </w:r>
      <w:r>
        <w:t xml:space="preserve"> is</w:t>
      </w:r>
      <w:r w:rsidRPr="00017E9A">
        <w:t xml:space="preserve"> used to calculate CARE penetration in relation to the established 90 percent CARE penetration goal. Currently,</w:t>
      </w:r>
      <w:r>
        <w:t xml:space="preserve"> t</w:t>
      </w:r>
      <w:r w:rsidRPr="00017E9A">
        <w:t>his annual report is required to be submitted jointly by the IOUs on December 31 of each year.</w:t>
      </w:r>
      <w:r w:rsidRPr="00017E9A">
        <w:rPr>
          <w:vertAlign w:val="superscript"/>
        </w:rPr>
        <w:footnoteReference w:id="1121"/>
      </w:r>
      <w:r w:rsidRPr="00017E9A">
        <w:t xml:space="preserve"> </w:t>
      </w:r>
      <w:r>
        <w:t xml:space="preserve"> </w:t>
      </w:r>
      <w:r w:rsidRPr="00017E9A">
        <w:t>The IOU consultant (Athens Research</w:t>
      </w:r>
      <w:r w:rsidRPr="24DCB1AB">
        <w:t>) that researches and writes the report relies on updates to the FPG updated by the</w:t>
      </w:r>
      <w:r w:rsidRPr="00017E9A">
        <w:t xml:space="preserve"> federal Department of Health and Human Services (DHHS).</w:t>
      </w:r>
    </w:p>
    <w:p w:rsidR="000C1980" w:rsidP="00B76A66" w:rsidRDefault="000C1980" w14:paraId="0749FC86" w14:textId="6F9EDBDF">
      <w:pPr>
        <w:pStyle w:val="Heading3"/>
      </w:pPr>
      <w:bookmarkStart w:name="_Toc69948364" w:id="728"/>
      <w:r>
        <w:t>IOU Proposals</w:t>
      </w:r>
      <w:bookmarkEnd w:id="728"/>
    </w:p>
    <w:p w:rsidRPr="00AA08D8" w:rsidR="000C1980" w:rsidP="000C1980" w:rsidRDefault="000C1980" w14:paraId="3C695940" w14:textId="77777777">
      <w:pPr>
        <w:spacing w:line="360" w:lineRule="auto"/>
        <w:ind w:firstLine="720"/>
      </w:pPr>
      <w:r w:rsidRPr="005D31D6">
        <w:rPr>
          <w:b/>
          <w:bCs/>
          <w:i/>
          <w:iCs/>
          <w:u w:val="single"/>
        </w:rPr>
        <w:t xml:space="preserve">Extending the Annual </w:t>
      </w:r>
      <w:r>
        <w:rPr>
          <w:b/>
          <w:bCs/>
          <w:i/>
          <w:iCs/>
          <w:u w:val="single"/>
        </w:rPr>
        <w:t xml:space="preserve">CARE </w:t>
      </w:r>
      <w:r w:rsidRPr="005D31D6">
        <w:rPr>
          <w:b/>
          <w:bCs/>
          <w:i/>
          <w:iCs/>
          <w:u w:val="single"/>
        </w:rPr>
        <w:t>Eligibility Report Filing Date:</w:t>
      </w:r>
      <w:r>
        <w:t xml:space="preserve"> </w:t>
      </w:r>
      <w:r w:rsidRPr="00714216">
        <w:t xml:space="preserve">PG&amp;E </w:t>
      </w:r>
      <w:r>
        <w:t xml:space="preserve">and SDG&amp;E </w:t>
      </w:r>
      <w:r w:rsidRPr="00714216">
        <w:t>propose to permanently revise the filing date of annual estimates of CARE eligible customers from December 31 to February 12 annually.</w:t>
      </w:r>
      <w:r w:rsidRPr="00714216">
        <w:rPr>
          <w:vertAlign w:val="superscript"/>
        </w:rPr>
        <w:footnoteReference w:id="1122"/>
      </w:r>
      <w:r w:rsidRPr="00714216">
        <w:t xml:space="preserve"> </w:t>
      </w:r>
      <w:r>
        <w:t xml:space="preserve"> The report relies on guidelines provided by the DHHS</w:t>
      </w:r>
      <w:r w:rsidRPr="00E00191">
        <w:t xml:space="preserve"> </w:t>
      </w:r>
      <w:r>
        <w:t>which are</w:t>
      </w:r>
      <w:r w:rsidRPr="00714216">
        <w:t xml:space="preserve"> updated near the </w:t>
      </w:r>
      <w:r w:rsidRPr="00714216">
        <w:lastRenderedPageBreak/>
        <w:t>end of January, after the current filing date for CARE estimates.</w:t>
      </w:r>
      <w:r w:rsidRPr="009C6712">
        <w:rPr>
          <w:vertAlign w:val="superscript"/>
        </w:rPr>
        <w:t xml:space="preserve"> </w:t>
      </w:r>
      <w:r w:rsidRPr="00805E2E">
        <w:rPr>
          <w:vertAlign w:val="superscript"/>
        </w:rPr>
        <w:footnoteReference w:id="1123"/>
      </w:r>
      <w:r w:rsidRPr="00805E2E">
        <w:t xml:space="preserve"> </w:t>
      </w:r>
      <w:r w:rsidRPr="00714216">
        <w:t xml:space="preserve"> The </w:t>
      </w:r>
      <w:r>
        <w:t>IOUs</w:t>
      </w:r>
      <w:r w:rsidRPr="00714216">
        <w:t xml:space="preserve"> are therefore unable to incorporate </w:t>
      </w:r>
      <w:r>
        <w:t>these</w:t>
      </w:r>
      <w:r w:rsidRPr="00714216">
        <w:t xml:space="preserve"> guidelines into </w:t>
      </w:r>
      <w:r>
        <w:t xml:space="preserve">their CARE </w:t>
      </w:r>
      <w:r w:rsidRPr="00714216">
        <w:t xml:space="preserve">estimates until February of the following year, which usually requires requesting an extension. </w:t>
      </w:r>
      <w:r>
        <w:t xml:space="preserve">The IOUs state that </w:t>
      </w:r>
      <w:r w:rsidRPr="00714216">
        <w:t>the deadline for CARE estimates has been extended for the past 5 years, with no adverse impact</w:t>
      </w:r>
      <w:r>
        <w:t>,</w:t>
      </w:r>
      <w:r w:rsidRPr="00714216">
        <w:rPr>
          <w:vertAlign w:val="superscript"/>
        </w:rPr>
        <w:footnoteReference w:id="1124"/>
      </w:r>
      <w:r w:rsidRPr="00714216">
        <w:t xml:space="preserve"> </w:t>
      </w:r>
      <w:r>
        <w:t>and therefore c</w:t>
      </w:r>
      <w:r w:rsidRPr="00714216">
        <w:t xml:space="preserve">hanging the filing date will allow the IOUs to incorporate </w:t>
      </w:r>
      <w:r>
        <w:t>DHHS</w:t>
      </w:r>
      <w:r w:rsidRPr="00E00191">
        <w:t xml:space="preserve"> </w:t>
      </w:r>
      <w:r w:rsidRPr="00714216">
        <w:t xml:space="preserve">guidelines without continually requesting extensions. </w:t>
      </w:r>
      <w:r>
        <w:t xml:space="preserve"> The new date will also allow the IOUs to incorporate add</w:t>
      </w:r>
      <w:r w:rsidRPr="00805E2E">
        <w:t>itional sources of U</w:t>
      </w:r>
      <w:r>
        <w:t xml:space="preserve">nited </w:t>
      </w:r>
      <w:r w:rsidRPr="00805E2E">
        <w:t>S</w:t>
      </w:r>
      <w:r>
        <w:t>tates</w:t>
      </w:r>
      <w:r w:rsidRPr="00805E2E">
        <w:t xml:space="preserve"> census data released at the end of the year, into the annual CARE eligibility estimates each year. </w:t>
      </w:r>
    </w:p>
    <w:p w:rsidR="000C1980" w:rsidP="00B76A66" w:rsidRDefault="000C1980" w14:paraId="3091CB69" w14:textId="77777777">
      <w:pPr>
        <w:pStyle w:val="Heading3"/>
      </w:pPr>
      <w:bookmarkStart w:name="_Toc69948365" w:id="729"/>
      <w:r>
        <w:t>Party Positions</w:t>
      </w:r>
      <w:bookmarkEnd w:id="729"/>
    </w:p>
    <w:p w:rsidRPr="00D50D14" w:rsidR="000C1980" w:rsidP="0023091F" w:rsidRDefault="000C1980" w14:paraId="643548D8" w14:textId="77777777">
      <w:pPr>
        <w:pStyle w:val="ALJBodyText"/>
        <w:rPr>
          <w:i/>
          <w:iCs/>
        </w:rPr>
      </w:pPr>
      <w:r>
        <w:t>No</w:t>
      </w:r>
      <w:r w:rsidRPr="00195C3E">
        <w:t xml:space="preserve"> party comments </w:t>
      </w:r>
      <w:r>
        <w:t xml:space="preserve">were received on this topic. </w:t>
      </w:r>
    </w:p>
    <w:p w:rsidR="000C1980" w:rsidP="00B76A66" w:rsidRDefault="000C1980" w14:paraId="6B386E2B" w14:textId="62F7C483">
      <w:pPr>
        <w:pStyle w:val="Heading3"/>
      </w:pPr>
      <w:bookmarkStart w:name="_Toc69948366" w:id="730"/>
      <w:r>
        <w:t>Discussion</w:t>
      </w:r>
      <w:bookmarkEnd w:id="730"/>
    </w:p>
    <w:p w:rsidRPr="005D31D6" w:rsidR="000C1980" w:rsidP="00B76A66" w:rsidRDefault="000C1980" w14:paraId="6EE75071" w14:textId="77777777">
      <w:pPr>
        <w:pStyle w:val="Heading4"/>
      </w:pPr>
      <w:bookmarkStart w:name="_Toc69948367" w:id="731"/>
      <w:r w:rsidRPr="005D31D6">
        <w:t xml:space="preserve">Extending the Annual CARE Eligibility Report Filing Date: </w:t>
      </w:r>
      <w:r w:rsidRPr="005D31D6">
        <w:rPr>
          <w:u w:val="single"/>
        </w:rPr>
        <w:t>Approved</w:t>
      </w:r>
      <w:bookmarkEnd w:id="731"/>
    </w:p>
    <w:p w:rsidR="000C1980" w:rsidP="000C1980" w:rsidRDefault="000C1980" w14:paraId="3B0603C0" w14:textId="06AC0516">
      <w:pPr>
        <w:pStyle w:val="Standard"/>
      </w:pPr>
      <w:r>
        <w:t>We</w:t>
      </w:r>
      <w:r w:rsidRPr="007B580F">
        <w:t xml:space="preserve"> approve PG&amp;E and SDG&amp;E’s request</w:t>
      </w:r>
      <w:r w:rsidRPr="007B580F">
        <w:rPr>
          <w:b/>
          <w:bCs/>
        </w:rPr>
        <w:t xml:space="preserve"> </w:t>
      </w:r>
      <w:r w:rsidRPr="007B580F">
        <w:t xml:space="preserve">to permanently move the timing of the </w:t>
      </w:r>
      <w:r w:rsidRPr="00227301">
        <w:t>Annual CARE Eligibility Report</w:t>
      </w:r>
      <w:r>
        <w:t xml:space="preserve"> </w:t>
      </w:r>
      <w:r w:rsidRPr="00714216">
        <w:t>to February 12</w:t>
      </w:r>
      <w:r>
        <w:t xml:space="preserve"> </w:t>
      </w:r>
      <w:r w:rsidRPr="007B580F">
        <w:t>of each year for the current year</w:t>
      </w:r>
      <w:r>
        <w:t xml:space="preserve"> </w:t>
      </w:r>
      <w:r w:rsidRPr="007B580F">
        <w:t xml:space="preserve">as it will reduce </w:t>
      </w:r>
      <w:r w:rsidR="005F6A0B">
        <w:t xml:space="preserve">the </w:t>
      </w:r>
      <w:r w:rsidRPr="007B580F">
        <w:t xml:space="preserve">regulatory burden of yearly </w:t>
      </w:r>
      <w:r>
        <w:t>r</w:t>
      </w:r>
      <w:r w:rsidRPr="007B580F">
        <w:t xml:space="preserve">equest for </w:t>
      </w:r>
      <w:r>
        <w:t>e</w:t>
      </w:r>
      <w:r w:rsidRPr="007B580F">
        <w:t xml:space="preserve">xtensions due to the timing of </w:t>
      </w:r>
      <w:r>
        <w:t xml:space="preserve">the </w:t>
      </w:r>
      <w:r w:rsidRPr="007B580F">
        <w:t xml:space="preserve">DHHS data. </w:t>
      </w:r>
      <w:r>
        <w:t xml:space="preserve"> This change is reasonable given that there have not been any </w:t>
      </w:r>
      <w:r w:rsidRPr="00714216">
        <w:t>adverse impact</w:t>
      </w:r>
      <w:r>
        <w:t>s to date resulting from the past years’ extensions</w:t>
      </w:r>
      <w:r w:rsidRPr="007B580F">
        <w:t xml:space="preserve">. Additionally, the yearly filing </w:t>
      </w:r>
      <w:r>
        <w:t xml:space="preserve">shall </w:t>
      </w:r>
      <w:r w:rsidRPr="007B580F">
        <w:t>include FERA eligibility by IOU service territory and county as well, using the same table formats as the CARE data.</w:t>
      </w:r>
    </w:p>
    <w:p w:rsidR="000C1980" w:rsidP="00473C7C" w:rsidRDefault="000C1980" w14:paraId="70CAAA99" w14:textId="77777777">
      <w:pPr>
        <w:pStyle w:val="Heading2"/>
        <w:tabs>
          <w:tab w:val="left" w:pos="1710"/>
        </w:tabs>
      </w:pPr>
      <w:bookmarkStart w:name="_Toc69948368" w:id="732"/>
      <w:r>
        <w:lastRenderedPageBreak/>
        <w:t xml:space="preserve">Water- Energy </w:t>
      </w:r>
      <w:r w:rsidRPr="00B76A66">
        <w:t>Nexus</w:t>
      </w:r>
      <w:bookmarkEnd w:id="732"/>
    </w:p>
    <w:p w:rsidR="000C1980" w:rsidP="00473C7C" w:rsidRDefault="000C1980" w14:paraId="29FFA539" w14:textId="77777777">
      <w:pPr>
        <w:pStyle w:val="Heading3"/>
        <w:tabs>
          <w:tab w:val="left" w:pos="2520"/>
        </w:tabs>
      </w:pPr>
      <w:bookmarkStart w:name="_Toc69948369" w:id="733"/>
      <w:r>
        <w:t>PG&amp;E Proposal</w:t>
      </w:r>
      <w:bookmarkEnd w:id="733"/>
    </w:p>
    <w:p w:rsidR="000C1980" w:rsidP="0023091F" w:rsidRDefault="000C1980" w14:paraId="4F723613" w14:textId="77777777">
      <w:pPr>
        <w:pStyle w:val="ALJBodyText"/>
      </w:pPr>
      <w:r w:rsidRPr="00856BAE">
        <w:t>PG&amp;E proposes to continue its leveraging partnerships with</w:t>
      </w:r>
      <w:r>
        <w:t xml:space="preserve"> i</w:t>
      </w:r>
      <w:r w:rsidRPr="00856BAE">
        <w:t>dentified water wholesalers and retailers</w:t>
      </w:r>
      <w:r>
        <w:t xml:space="preserve"> as detailed in its Advice Letter 3990</w:t>
      </w:r>
      <w:r>
        <w:noBreakHyphen/>
        <w:t>G</w:t>
      </w:r>
      <w:r>
        <w:noBreakHyphen/>
        <w:t>A/5329</w:t>
      </w:r>
      <w:r>
        <w:noBreakHyphen/>
        <w:t>E</w:t>
      </w:r>
      <w:r>
        <w:noBreakHyphen/>
        <w:t>A and approved by Energy Division on January 4, 2019.</w:t>
      </w:r>
      <w:r w:rsidRPr="008F71DF">
        <w:rPr>
          <w:rStyle w:val="FootnoteReference"/>
        </w:rPr>
        <w:footnoteReference w:id="1125"/>
      </w:r>
      <w:r>
        <w:t xml:space="preserve">  These efforts included a water-energy forum webinar, which described previous PG&amp;E collaboration efforts with two water agencies and solicited interest from other agencies on multiple water conservation services and measures. </w:t>
      </w:r>
    </w:p>
    <w:p w:rsidR="000C1980" w:rsidP="00473C7C" w:rsidRDefault="000C1980" w14:paraId="6B9163D9" w14:textId="76E8F0EF">
      <w:pPr>
        <w:pStyle w:val="Heading3"/>
        <w:tabs>
          <w:tab w:val="left" w:pos="2610"/>
        </w:tabs>
      </w:pPr>
      <w:bookmarkStart w:name="_Toc69948370" w:id="734"/>
      <w:r>
        <w:t>SoCalGas Proposal</w:t>
      </w:r>
      <w:bookmarkEnd w:id="734"/>
    </w:p>
    <w:p w:rsidR="000C1980" w:rsidP="0023091F" w:rsidRDefault="000C1980" w14:paraId="43B059B8" w14:textId="77777777">
      <w:pPr>
        <w:pStyle w:val="ALJBodyText"/>
      </w:pPr>
      <w:r w:rsidRPr="000B11C6">
        <w:t xml:space="preserve">SoCalGas </w:t>
      </w:r>
      <w:r w:rsidRPr="00856BAE">
        <w:t>proposes to continue its leveraging partnerships with</w:t>
      </w:r>
      <w:r>
        <w:t xml:space="preserve"> i</w:t>
      </w:r>
      <w:r w:rsidRPr="00856BAE">
        <w:t xml:space="preserve">dentified </w:t>
      </w:r>
      <w:r w:rsidRPr="000B11C6">
        <w:t xml:space="preserve">water agencies </w:t>
      </w:r>
      <w:r>
        <w:t xml:space="preserve">to </w:t>
      </w:r>
      <w:r w:rsidRPr="000B11C6">
        <w:t xml:space="preserve">co-fund </w:t>
      </w:r>
      <w:r>
        <w:t>h</w:t>
      </w:r>
      <w:r w:rsidRPr="000B11C6">
        <w:t xml:space="preserve">igh </w:t>
      </w:r>
      <w:r>
        <w:t>e</w:t>
      </w:r>
      <w:r w:rsidRPr="000B11C6">
        <w:t xml:space="preserve">fficiency </w:t>
      </w:r>
      <w:r>
        <w:t>c</w:t>
      </w:r>
      <w:r w:rsidRPr="000B11C6">
        <w:t>lothes</w:t>
      </w:r>
      <w:r>
        <w:t xml:space="preserve"> w</w:t>
      </w:r>
      <w:r w:rsidRPr="000B11C6">
        <w:t xml:space="preserve">ashers and in some instances, co-fund low-flow shower heads, faucet aerators, thermostatic shower valves and tub spouts. </w:t>
      </w:r>
      <w:r>
        <w:t xml:space="preserve"> </w:t>
      </w:r>
      <w:r w:rsidRPr="00CF6636">
        <w:t>Water agency partnerships that are expected to continue into the new program cycle</w:t>
      </w:r>
      <w:r>
        <w:t xml:space="preserve"> </w:t>
      </w:r>
      <w:r w:rsidRPr="00CF6636">
        <w:t>include</w:t>
      </w:r>
      <w:r>
        <w:t xml:space="preserve"> </w:t>
      </w:r>
      <w:r w:rsidRPr="00CF6636">
        <w:t>Anaheim Public Utilities</w:t>
      </w:r>
      <w:r>
        <w:t xml:space="preserve">, </w:t>
      </w:r>
      <w:r w:rsidRPr="00CF6636">
        <w:t>California American Water</w:t>
      </w:r>
      <w:r>
        <w:t xml:space="preserve">, </w:t>
      </w:r>
      <w:r w:rsidRPr="00CF6636">
        <w:t>Eastern Municipal Water District</w:t>
      </w:r>
      <w:r>
        <w:t>, E</w:t>
      </w:r>
      <w:r w:rsidRPr="00CF6636">
        <w:t>lsinore Valley Municipal Water Distric</w:t>
      </w:r>
      <w:r>
        <w:t xml:space="preserve">t, </w:t>
      </w:r>
      <w:r w:rsidRPr="00CF6636">
        <w:t>Fontana Water Company</w:t>
      </w:r>
      <w:r>
        <w:t xml:space="preserve">, </w:t>
      </w:r>
      <w:r w:rsidRPr="00CF6636">
        <w:t>Irvine Ranch Water District</w:t>
      </w:r>
      <w:r>
        <w:t>, L</w:t>
      </w:r>
      <w:r w:rsidRPr="00CF6636">
        <w:t>iberty Utilities</w:t>
      </w:r>
      <w:r>
        <w:t xml:space="preserve">, </w:t>
      </w:r>
      <w:r w:rsidRPr="00CF6636">
        <w:t>Metropolitan Water District</w:t>
      </w:r>
      <w:r>
        <w:t xml:space="preserve">, </w:t>
      </w:r>
      <w:r w:rsidRPr="00CF6636">
        <w:t>Moulton Niguel Water District</w:t>
      </w:r>
      <w:r>
        <w:t xml:space="preserve">, </w:t>
      </w:r>
      <w:r w:rsidRPr="00CF6636">
        <w:t>San Gabriel Valley Wate</w:t>
      </w:r>
      <w:r>
        <w:t xml:space="preserve">r, and </w:t>
      </w:r>
      <w:r w:rsidRPr="00CF6636">
        <w:t>Western Municipal Water District</w:t>
      </w:r>
      <w:r>
        <w:t>.</w:t>
      </w:r>
      <w:r>
        <w:rPr>
          <w:rStyle w:val="FootnoteReference"/>
        </w:rPr>
        <w:footnoteReference w:id="1126"/>
      </w:r>
    </w:p>
    <w:p w:rsidR="000C1980" w:rsidP="00473C7C" w:rsidRDefault="000C1980" w14:paraId="5F6EB23F" w14:textId="7A5DB385">
      <w:pPr>
        <w:pStyle w:val="Heading3"/>
        <w:tabs>
          <w:tab w:val="left" w:pos="2610"/>
        </w:tabs>
      </w:pPr>
      <w:bookmarkStart w:name="_Toc69948371" w:id="735"/>
      <w:r>
        <w:t>SDG&amp;E Proposal</w:t>
      </w:r>
      <w:bookmarkEnd w:id="735"/>
    </w:p>
    <w:p w:rsidRPr="008F71DF" w:rsidR="000C1980" w:rsidP="0023091F" w:rsidRDefault="000C1980" w14:paraId="34B902E3" w14:textId="77777777">
      <w:pPr>
        <w:pStyle w:val="ALJBodyText"/>
      </w:pPr>
      <w:r w:rsidRPr="00C62DCE">
        <w:t xml:space="preserve">SDG&amp;E </w:t>
      </w:r>
      <w:r>
        <w:t>proposes</w:t>
      </w:r>
      <w:r w:rsidRPr="00C62DCE">
        <w:t xml:space="preserve"> to continue </w:t>
      </w:r>
      <w:r w:rsidRPr="00856BAE">
        <w:t>its leveraging partnership with</w:t>
      </w:r>
      <w:r>
        <w:t xml:space="preserve"> </w:t>
      </w:r>
      <w:r w:rsidRPr="00C62DCE">
        <w:t>the San</w:t>
      </w:r>
      <w:r>
        <w:t> </w:t>
      </w:r>
      <w:r w:rsidRPr="00C62DCE">
        <w:t xml:space="preserve">Diego County Water Authority and will look to expand efforts should </w:t>
      </w:r>
      <w:proofErr w:type="gramStart"/>
      <w:r w:rsidRPr="00C62DCE">
        <w:lastRenderedPageBreak/>
        <w:t>additional</w:t>
      </w:r>
      <w:proofErr w:type="gramEnd"/>
      <w:r w:rsidRPr="00C62DCE">
        <w:t xml:space="preserve"> water savings measures and funding from San Diego County Water Authority become available</w:t>
      </w:r>
      <w:r>
        <w:t>.</w:t>
      </w:r>
      <w:r>
        <w:rPr>
          <w:rStyle w:val="FootnoteReference"/>
        </w:rPr>
        <w:footnoteReference w:id="1127"/>
      </w:r>
      <w:r>
        <w:t xml:space="preserve"> </w:t>
      </w:r>
    </w:p>
    <w:p w:rsidR="000C1980" w:rsidP="00473C7C" w:rsidRDefault="000C1980" w14:paraId="38B09CCD" w14:textId="0EFCCE2A">
      <w:pPr>
        <w:pStyle w:val="Heading3"/>
        <w:tabs>
          <w:tab w:val="left" w:pos="2700"/>
        </w:tabs>
      </w:pPr>
      <w:bookmarkStart w:name="_Toc69948372" w:id="736"/>
      <w:r>
        <w:t>Party Positions</w:t>
      </w:r>
      <w:bookmarkEnd w:id="736"/>
    </w:p>
    <w:p w:rsidR="000C1980" w:rsidP="00473C7C" w:rsidRDefault="000C1980" w14:paraId="6A7C323F" w14:textId="77777777">
      <w:pPr>
        <w:pStyle w:val="Heading4"/>
        <w:tabs>
          <w:tab w:val="left" w:pos="3510"/>
        </w:tabs>
      </w:pPr>
      <w:bookmarkStart w:name="_Toc69948373" w:id="737"/>
      <w:r>
        <w:t>TURN</w:t>
      </w:r>
      <w:bookmarkEnd w:id="737"/>
    </w:p>
    <w:p w:rsidRPr="00ED464C" w:rsidR="000C1980" w:rsidP="000C1980" w:rsidRDefault="000C1980" w14:paraId="39A0898E" w14:textId="77777777">
      <w:pPr>
        <w:autoSpaceDE w:val="0"/>
        <w:autoSpaceDN w:val="0"/>
        <w:adjustRightInd w:val="0"/>
        <w:spacing w:line="360" w:lineRule="auto"/>
        <w:ind w:firstLine="720"/>
      </w:pPr>
      <w:r w:rsidRPr="00ED464C">
        <w:t xml:space="preserve">TURN </w:t>
      </w:r>
      <w:r>
        <w:t>b</w:t>
      </w:r>
      <w:r w:rsidRPr="00ED464C">
        <w:t xml:space="preserve">elieves that basic information about </w:t>
      </w:r>
      <w:proofErr w:type="gramStart"/>
      <w:r w:rsidRPr="00ED464C">
        <w:t>low</w:t>
      </w:r>
      <w:r>
        <w:t xml:space="preserve"> </w:t>
      </w:r>
      <w:r w:rsidRPr="00ED464C">
        <w:t>income</w:t>
      </w:r>
      <w:proofErr w:type="gramEnd"/>
      <w:r w:rsidRPr="00ED464C">
        <w:t xml:space="preserve"> water</w:t>
      </w:r>
      <w:r>
        <w:t xml:space="preserve"> </w:t>
      </w:r>
      <w:r w:rsidRPr="00ED464C">
        <w:t xml:space="preserve">programs (particularly Commission-jurisdictional programs) </w:t>
      </w:r>
      <w:r>
        <w:t xml:space="preserve">should be integrated </w:t>
      </w:r>
      <w:r w:rsidRPr="00ED464C">
        <w:t>into the low</w:t>
      </w:r>
      <w:r>
        <w:t xml:space="preserve"> </w:t>
      </w:r>
      <w:r w:rsidRPr="00ED464C">
        <w:t>income ME&amp;O</w:t>
      </w:r>
      <w:r>
        <w:t xml:space="preserve"> </w:t>
      </w:r>
      <w:r w:rsidRPr="00ED464C">
        <w:t>materials used by the energy utilities.</w:t>
      </w:r>
      <w:r>
        <w:rPr>
          <w:rStyle w:val="FootnoteReference"/>
        </w:rPr>
        <w:footnoteReference w:id="1128"/>
      </w:r>
    </w:p>
    <w:p w:rsidR="000C1980" w:rsidP="00473C7C" w:rsidRDefault="000C1980" w14:paraId="5EC9F14A" w14:textId="77777777">
      <w:pPr>
        <w:pStyle w:val="Heading3"/>
        <w:tabs>
          <w:tab w:val="left" w:pos="2700"/>
        </w:tabs>
      </w:pPr>
      <w:bookmarkStart w:name="_Toc69948374" w:id="738"/>
      <w:r>
        <w:t>Discussion</w:t>
      </w:r>
      <w:bookmarkEnd w:id="738"/>
    </w:p>
    <w:p w:rsidR="000C1980" w:rsidP="00B76A66" w:rsidRDefault="000C1980" w14:paraId="043A8285" w14:textId="77777777">
      <w:pPr>
        <w:pStyle w:val="Heading4"/>
      </w:pPr>
      <w:bookmarkStart w:name="_Toc69948375" w:id="739"/>
      <w:r>
        <w:t xml:space="preserve">Water-Energy Partnerships:  </w:t>
      </w:r>
      <w:r w:rsidRPr="0093366F">
        <w:rPr>
          <w:u w:val="single"/>
        </w:rPr>
        <w:t>Approved</w:t>
      </w:r>
      <w:bookmarkEnd w:id="739"/>
    </w:p>
    <w:p w:rsidRPr="000A2856" w:rsidR="000C1980" w:rsidP="0023091F" w:rsidRDefault="000C1980" w14:paraId="53ADEB9A" w14:textId="77777777">
      <w:pPr>
        <w:pStyle w:val="ALJBodyText"/>
      </w:pPr>
      <w:r>
        <w:t xml:space="preserve">We approved the IOU plans and leveraging activities with </w:t>
      </w:r>
      <w:r w:rsidRPr="009D72F2">
        <w:t>water agencies</w:t>
      </w:r>
      <w:r>
        <w:t xml:space="preserve"> </w:t>
      </w:r>
      <w:r w:rsidRPr="009D72F2">
        <w:t xml:space="preserve">in their </w:t>
      </w:r>
      <w:r>
        <w:t xml:space="preserve">respective </w:t>
      </w:r>
      <w:r w:rsidRPr="009D72F2">
        <w:t>service territories.</w:t>
      </w:r>
      <w:r>
        <w:t xml:space="preserve">  We direct the IOUs to continue these relationships, particularly if new water-related measures and technologies can be added to the ESA program given the new measure flexibility rules adopted in this decision.  We agree with TURN and direct the IOUs to conduct no-cost / low-cost campaigns to include information about </w:t>
      </w:r>
      <w:proofErr w:type="gramStart"/>
      <w:r>
        <w:t>low income</w:t>
      </w:r>
      <w:proofErr w:type="gramEnd"/>
      <w:r>
        <w:t xml:space="preserve"> water programs in their existing ME&amp;O efforts. </w:t>
      </w:r>
    </w:p>
    <w:p w:rsidR="000C1980" w:rsidP="00473C7C" w:rsidRDefault="000C1980" w14:paraId="52345121" w14:textId="636AB512">
      <w:pPr>
        <w:pStyle w:val="Heading2"/>
        <w:tabs>
          <w:tab w:val="left" w:pos="1710"/>
        </w:tabs>
      </w:pPr>
      <w:bookmarkStart w:name="_Toc69948376" w:id="740"/>
      <w:r>
        <w:t xml:space="preserve">Telco- </w:t>
      </w:r>
      <w:r w:rsidRPr="00B76A66">
        <w:t>Energy</w:t>
      </w:r>
      <w:r>
        <w:t xml:space="preserve"> Nexus</w:t>
      </w:r>
      <w:bookmarkEnd w:id="740"/>
    </w:p>
    <w:p w:rsidR="000C1980" w:rsidP="00473C7C" w:rsidRDefault="000C1980" w14:paraId="3C194531" w14:textId="77777777">
      <w:pPr>
        <w:pStyle w:val="Heading3"/>
        <w:tabs>
          <w:tab w:val="left" w:pos="2610"/>
        </w:tabs>
      </w:pPr>
      <w:bookmarkStart w:name="_Toc69948377" w:id="741"/>
      <w:r>
        <w:t>PG&amp;E Proposal</w:t>
      </w:r>
      <w:bookmarkEnd w:id="741"/>
    </w:p>
    <w:p w:rsidR="000C1980" w:rsidP="0023091F" w:rsidRDefault="000C1980" w14:paraId="3080395A" w14:textId="35C59C83">
      <w:pPr>
        <w:pStyle w:val="ALJBodyText"/>
      </w:pPr>
      <w:r w:rsidRPr="00D57EBE">
        <w:t xml:space="preserve">PG&amp;E is </w:t>
      </w:r>
      <w:proofErr w:type="gramStart"/>
      <w:r w:rsidRPr="00D57EBE">
        <w:t>open</w:t>
      </w:r>
      <w:proofErr w:type="gramEnd"/>
      <w:r w:rsidRPr="00D57EBE">
        <w:t xml:space="preserve"> to promoting low</w:t>
      </w:r>
      <w:r>
        <w:t xml:space="preserve"> </w:t>
      </w:r>
      <w:r w:rsidRPr="00D57EBE">
        <w:t>income and affordable broadband programs as</w:t>
      </w:r>
      <w:r w:rsidRPr="003B2F89">
        <w:t xml:space="preserve"> </w:t>
      </w:r>
      <w:r w:rsidRPr="00D57EBE">
        <w:t>long as no funding for CARE/FERA and ESA programs is reallocated for this purpose</w:t>
      </w:r>
      <w:r>
        <w:t xml:space="preserve">.  </w:t>
      </w:r>
      <w:r w:rsidRPr="00627429">
        <w:t xml:space="preserve">PG&amp;E </w:t>
      </w:r>
      <w:r>
        <w:t xml:space="preserve">states that it </w:t>
      </w:r>
      <w:r w:rsidRPr="00627429">
        <w:t xml:space="preserve">can reference </w:t>
      </w:r>
      <w:proofErr w:type="spellStart"/>
      <w:r>
        <w:t>Life</w:t>
      </w:r>
      <w:r w:rsidR="003B1DBB">
        <w:t>L</w:t>
      </w:r>
      <w:r>
        <w:t>ine</w:t>
      </w:r>
      <w:proofErr w:type="spellEnd"/>
      <w:r w:rsidRPr="00627429">
        <w:t xml:space="preserve"> in its marketing, education, and outreach materials for CARE/FERA</w:t>
      </w:r>
      <w:r>
        <w:t xml:space="preserve"> </w:t>
      </w:r>
      <w:r w:rsidRPr="00627429">
        <w:t xml:space="preserve">but must balance against </w:t>
      </w:r>
      <w:r>
        <w:t xml:space="preserve">1) </w:t>
      </w:r>
      <w:r w:rsidRPr="00627429">
        <w:t>using previously authorized funds consistent with statute</w:t>
      </w:r>
      <w:r>
        <w:t xml:space="preserve"> </w:t>
      </w:r>
      <w:r w:rsidRPr="00627429">
        <w:t>and Commission directives), and</w:t>
      </w:r>
      <w:r>
        <w:t xml:space="preserve"> 2) </w:t>
      </w:r>
      <w:r w:rsidRPr="00627429">
        <w:t xml:space="preserve">diluting the PG&amp;E’s message regarding its own </w:t>
      </w:r>
      <w:r w:rsidRPr="00627429">
        <w:lastRenderedPageBreak/>
        <w:t xml:space="preserve">income-qualified programs. </w:t>
      </w:r>
      <w:r>
        <w:t xml:space="preserve"> </w:t>
      </w:r>
      <w:r w:rsidRPr="00627429">
        <w:t>To</w:t>
      </w:r>
      <w:r>
        <w:t xml:space="preserve"> </w:t>
      </w:r>
      <w:r w:rsidRPr="00627429">
        <w:t>reduce the risk of diluting CARE or FERA acquisition marketing with numerous</w:t>
      </w:r>
      <w:r>
        <w:t xml:space="preserve"> </w:t>
      </w:r>
      <w:r w:rsidRPr="00627429">
        <w:t>additional offers, PG&amp;E uses an integrated approach that makes use of supporting</w:t>
      </w:r>
      <w:r>
        <w:t xml:space="preserve"> </w:t>
      </w:r>
      <w:r w:rsidRPr="00627429">
        <w:t>resource pages and collateral to communicate the availability of complementary</w:t>
      </w:r>
      <w:r>
        <w:t xml:space="preserve"> </w:t>
      </w:r>
      <w:r w:rsidRPr="00627429">
        <w:t xml:space="preserve">income-qualified programs such as the </w:t>
      </w:r>
      <w:proofErr w:type="spellStart"/>
      <w:r w:rsidRPr="00627429">
        <w:t>Life</w:t>
      </w:r>
      <w:r w:rsidR="003B1DBB">
        <w:t>L</w:t>
      </w:r>
      <w:r w:rsidRPr="00627429">
        <w:t>ine</w:t>
      </w:r>
      <w:proofErr w:type="spellEnd"/>
      <w:r w:rsidRPr="00627429">
        <w:t xml:space="preserve"> </w:t>
      </w:r>
      <w:r>
        <w:t>p</w:t>
      </w:r>
      <w:r w:rsidRPr="00627429">
        <w:t>rogram. PG&amp;E uses tactics</w:t>
      </w:r>
      <w:r>
        <w:t xml:space="preserve"> </w:t>
      </w:r>
      <w:r w:rsidRPr="00627429">
        <w:t>such as: newsletters, email, printed collateral, brochures, press releases, bill inserts,</w:t>
      </w:r>
      <w:r>
        <w:t xml:space="preserve"> </w:t>
      </w:r>
      <w:r w:rsidRPr="00627429">
        <w:t>media placement, and outreach through community-based organizations to</w:t>
      </w:r>
      <w:r>
        <w:t xml:space="preserve"> </w:t>
      </w:r>
      <w:r w:rsidRPr="00627429">
        <w:t>communicate customer support and financial assistance offerings.</w:t>
      </w:r>
      <w:r>
        <w:t xml:space="preserve">  </w:t>
      </w:r>
      <w:r w:rsidRPr="00627429">
        <w:t>In addition, PG&amp;E’s web sites, including pge.com, safetyactioncenter.pge.com,</w:t>
      </w:r>
      <w:r>
        <w:t xml:space="preserve"> </w:t>
      </w:r>
      <w:r w:rsidRPr="00627429">
        <w:t>and pgecurrents.com have numerous web pages and content designed to provide</w:t>
      </w:r>
      <w:r>
        <w:t xml:space="preserve"> </w:t>
      </w:r>
      <w:r w:rsidRPr="00627429">
        <w:t>information and access to PG&amp;E’s income-qualified programs and other external</w:t>
      </w:r>
      <w:r>
        <w:t xml:space="preserve"> </w:t>
      </w:r>
      <w:r w:rsidRPr="00627429">
        <w:t>resources for financial assistance.</w:t>
      </w:r>
      <w:r>
        <w:rPr>
          <w:rStyle w:val="FootnoteReference"/>
        </w:rPr>
        <w:footnoteReference w:id="1129"/>
      </w:r>
    </w:p>
    <w:p w:rsidR="000C1980" w:rsidP="00473C7C" w:rsidRDefault="000C1980" w14:paraId="4224EF49" w14:textId="1AE93DF1">
      <w:pPr>
        <w:pStyle w:val="Heading3"/>
        <w:tabs>
          <w:tab w:val="left" w:pos="2700"/>
        </w:tabs>
      </w:pPr>
      <w:bookmarkStart w:name="_Toc69948378" w:id="742"/>
      <w:r>
        <w:t>SCE</w:t>
      </w:r>
      <w:r w:rsidR="00DE7EC2">
        <w:t xml:space="preserve"> Proposal</w:t>
      </w:r>
      <w:bookmarkEnd w:id="742"/>
    </w:p>
    <w:p w:rsidR="000C1980" w:rsidP="0023091F" w:rsidRDefault="000C1980" w14:paraId="1DFCA933" w14:textId="76140792">
      <w:pPr>
        <w:pStyle w:val="ALJBodyText"/>
      </w:pPr>
      <w:r w:rsidRPr="00EB521F">
        <w:t xml:space="preserve">SCE currently references the </w:t>
      </w:r>
      <w:proofErr w:type="spellStart"/>
      <w:r w:rsidRPr="00EB521F">
        <w:t>Life</w:t>
      </w:r>
      <w:r w:rsidR="00395A33">
        <w:t>L</w:t>
      </w:r>
      <w:r w:rsidRPr="00EB521F">
        <w:t>ine</w:t>
      </w:r>
      <w:proofErr w:type="spellEnd"/>
      <w:r w:rsidRPr="00EB521F">
        <w:t xml:space="preserve"> program on SCE’s website, including</w:t>
      </w:r>
      <w:r>
        <w:t xml:space="preserve"> </w:t>
      </w:r>
      <w:r w:rsidRPr="00EB521F">
        <w:t xml:space="preserve">web and contact information of the </w:t>
      </w:r>
      <w:proofErr w:type="spellStart"/>
      <w:r w:rsidRPr="00EB521F">
        <w:t>Life</w:t>
      </w:r>
      <w:r w:rsidR="00395A33">
        <w:t>L</w:t>
      </w:r>
      <w:r w:rsidRPr="00EB521F">
        <w:t>ine</w:t>
      </w:r>
      <w:proofErr w:type="spellEnd"/>
      <w:r w:rsidRPr="00EB521F">
        <w:t xml:space="preserve"> program. </w:t>
      </w:r>
      <w:r>
        <w:t xml:space="preserve"> </w:t>
      </w:r>
      <w:r w:rsidRPr="00EB521F">
        <w:t>As part of SCE’s efforts to</w:t>
      </w:r>
      <w:r>
        <w:t xml:space="preserve"> </w:t>
      </w:r>
      <w:r w:rsidRPr="00EB521F">
        <w:t xml:space="preserve">market to eligible </w:t>
      </w:r>
      <w:proofErr w:type="gramStart"/>
      <w:r w:rsidRPr="00EB521F">
        <w:t>low</w:t>
      </w:r>
      <w:r>
        <w:t xml:space="preserve"> </w:t>
      </w:r>
      <w:r w:rsidRPr="00EB521F">
        <w:t>income</w:t>
      </w:r>
      <w:proofErr w:type="gramEnd"/>
      <w:r w:rsidRPr="00EB521F">
        <w:t xml:space="preserve"> customers as a result of COVID-19, SCE included </w:t>
      </w:r>
      <w:proofErr w:type="spellStart"/>
      <w:r w:rsidRPr="00EB521F">
        <w:t>Life</w:t>
      </w:r>
      <w:r w:rsidR="00395A33">
        <w:t>L</w:t>
      </w:r>
      <w:r w:rsidRPr="00EB521F">
        <w:t>ine</w:t>
      </w:r>
      <w:proofErr w:type="spellEnd"/>
      <w:r w:rsidRPr="00EB521F">
        <w:t xml:space="preserve"> program information in a direct mail inserts and email solicitations in May 2020</w:t>
      </w:r>
      <w:r>
        <w:t xml:space="preserve"> </w:t>
      </w:r>
      <w:r w:rsidRPr="00EB521F">
        <w:t xml:space="preserve">targeting more than 535,000 eligible CARE customers. </w:t>
      </w:r>
      <w:r>
        <w:t xml:space="preserve"> </w:t>
      </w:r>
      <w:r w:rsidRPr="00EB521F">
        <w:t xml:space="preserve">SCE is </w:t>
      </w:r>
      <w:proofErr w:type="gramStart"/>
      <w:r w:rsidRPr="00EB521F">
        <w:t>open</w:t>
      </w:r>
      <w:proofErr w:type="gramEnd"/>
      <w:r w:rsidRPr="00EB521F">
        <w:t xml:space="preserve"> to explore other</w:t>
      </w:r>
      <w:r>
        <w:t xml:space="preserve"> </w:t>
      </w:r>
      <w:r w:rsidRPr="00EB521F">
        <w:t>opportunities to leverage other ME&amp;O opportunities to encourage enrollment in this and other</w:t>
      </w:r>
      <w:r>
        <w:t xml:space="preserve"> </w:t>
      </w:r>
      <w:r w:rsidRPr="00EB521F">
        <w:t>low</w:t>
      </w:r>
      <w:r>
        <w:t xml:space="preserve"> </w:t>
      </w:r>
      <w:r w:rsidRPr="00EB521F">
        <w:t>income programs.</w:t>
      </w:r>
      <w:r>
        <w:rPr>
          <w:rStyle w:val="FootnoteReference"/>
        </w:rPr>
        <w:footnoteReference w:id="1130"/>
      </w:r>
    </w:p>
    <w:p w:rsidR="000C1980" w:rsidP="00473C7C" w:rsidRDefault="000C1980" w14:paraId="00F3CFAA" w14:textId="768B0ADB">
      <w:pPr>
        <w:pStyle w:val="Heading3"/>
        <w:tabs>
          <w:tab w:val="left" w:pos="2700"/>
        </w:tabs>
      </w:pPr>
      <w:bookmarkStart w:name="_Toc69948379" w:id="743"/>
      <w:r>
        <w:t>SoCalGas</w:t>
      </w:r>
      <w:r w:rsidRPr="00DE7EC2" w:rsidR="00DE7EC2">
        <w:t xml:space="preserve"> </w:t>
      </w:r>
      <w:r w:rsidR="00DE7EC2">
        <w:t>Proposal</w:t>
      </w:r>
      <w:bookmarkEnd w:id="743"/>
    </w:p>
    <w:p w:rsidR="000C1980" w:rsidP="0023091F" w:rsidRDefault="000C1980" w14:paraId="247260D6" w14:textId="1A5EC91F">
      <w:pPr>
        <w:pStyle w:val="ALJBodyText"/>
      </w:pPr>
      <w:r>
        <w:t xml:space="preserve">SoCalGas features the </w:t>
      </w:r>
      <w:proofErr w:type="spellStart"/>
      <w:r w:rsidRPr="009552DC">
        <w:t>Life</w:t>
      </w:r>
      <w:r w:rsidR="00395A33">
        <w:t>L</w:t>
      </w:r>
      <w:r w:rsidRPr="009552DC">
        <w:t>ine</w:t>
      </w:r>
      <w:proofErr w:type="spellEnd"/>
      <w:r>
        <w:t xml:space="preserve"> </w:t>
      </w:r>
      <w:r w:rsidRPr="009552DC">
        <w:t>program on the SoCalGas CARE website</w:t>
      </w:r>
      <w:r>
        <w:t xml:space="preserve"> and has</w:t>
      </w:r>
      <w:r w:rsidRPr="009552DC">
        <w:t xml:space="preserve"> incorporated </w:t>
      </w:r>
      <w:proofErr w:type="spellStart"/>
      <w:r w:rsidRPr="009552DC">
        <w:t>Life</w:t>
      </w:r>
      <w:r w:rsidR="00395A33">
        <w:t>L</w:t>
      </w:r>
      <w:r w:rsidRPr="009552DC">
        <w:t>ine</w:t>
      </w:r>
      <w:proofErr w:type="spellEnd"/>
      <w:r>
        <w:t xml:space="preserve"> </w:t>
      </w:r>
      <w:r w:rsidRPr="009552DC">
        <w:t>messaging into its CARE promotional emails.</w:t>
      </w:r>
      <w:r>
        <w:t xml:space="preserve"> </w:t>
      </w:r>
      <w:r w:rsidRPr="009552DC">
        <w:t xml:space="preserve"> The information is</w:t>
      </w:r>
      <w:r>
        <w:t xml:space="preserve"> </w:t>
      </w:r>
      <w:r w:rsidRPr="009552DC">
        <w:t>presented alongside other assistance programs so customers can see the</w:t>
      </w:r>
      <w:r>
        <w:t xml:space="preserve"> </w:t>
      </w:r>
      <w:r w:rsidRPr="009552DC">
        <w:t xml:space="preserve">multiple offerings they may qualify for. </w:t>
      </w:r>
      <w:r>
        <w:t xml:space="preserve"> </w:t>
      </w:r>
      <w:r w:rsidRPr="009552DC">
        <w:t xml:space="preserve">Lastly, </w:t>
      </w:r>
      <w:proofErr w:type="spellStart"/>
      <w:r w:rsidRPr="009552DC">
        <w:t>Life</w:t>
      </w:r>
      <w:r w:rsidR="00395A33">
        <w:t>L</w:t>
      </w:r>
      <w:r w:rsidRPr="009552DC">
        <w:t>ine</w:t>
      </w:r>
      <w:proofErr w:type="spellEnd"/>
      <w:r>
        <w:t xml:space="preserve"> </w:t>
      </w:r>
      <w:r w:rsidRPr="009552DC">
        <w:t xml:space="preserve">information is </w:t>
      </w:r>
      <w:r w:rsidRPr="009552DC">
        <w:lastRenderedPageBreak/>
        <w:t>included on CARE applications, available in 13 different</w:t>
      </w:r>
      <w:r>
        <w:t xml:space="preserve"> </w:t>
      </w:r>
      <w:r w:rsidRPr="009552DC">
        <w:t>languages, and on its CARE brochures.</w:t>
      </w:r>
      <w:r>
        <w:t xml:space="preserve">  </w:t>
      </w:r>
      <w:r w:rsidRPr="003B033D">
        <w:t>Since 2019, SoCalGas has implemented biannual data sharing with</w:t>
      </w:r>
      <w:r>
        <w:t xml:space="preserve"> </w:t>
      </w:r>
      <w:proofErr w:type="spellStart"/>
      <w:r w:rsidRPr="003B033D">
        <w:t>Life</w:t>
      </w:r>
      <w:r w:rsidR="00395A33">
        <w:t>L</w:t>
      </w:r>
      <w:r>
        <w:t>i</w:t>
      </w:r>
      <w:r w:rsidRPr="003B033D">
        <w:t>ne</w:t>
      </w:r>
      <w:proofErr w:type="spellEnd"/>
      <w:r w:rsidRPr="003B033D">
        <w:t xml:space="preserve"> to identify and enroll eligible customers in programs</w:t>
      </w:r>
      <w:r>
        <w:t xml:space="preserve"> </w:t>
      </w:r>
      <w:r w:rsidRPr="003B033D">
        <w:t xml:space="preserve">promoted by </w:t>
      </w:r>
      <w:proofErr w:type="spellStart"/>
      <w:r w:rsidRPr="003B033D">
        <w:t>LifeLine</w:t>
      </w:r>
      <w:proofErr w:type="spellEnd"/>
      <w:r>
        <w:t xml:space="preserve"> and will co</w:t>
      </w:r>
      <w:r w:rsidRPr="003B033D">
        <w:t>ntinue to look for ways to cross-promote and reference</w:t>
      </w:r>
      <w:r>
        <w:t xml:space="preserve"> </w:t>
      </w:r>
      <w:r w:rsidRPr="003B033D">
        <w:t xml:space="preserve">the </w:t>
      </w:r>
      <w:proofErr w:type="spellStart"/>
      <w:r w:rsidRPr="003B033D">
        <w:t>Life</w:t>
      </w:r>
      <w:r w:rsidR="00395A33">
        <w:t>L</w:t>
      </w:r>
      <w:r w:rsidRPr="003B033D">
        <w:t>ine</w:t>
      </w:r>
      <w:proofErr w:type="spellEnd"/>
      <w:r w:rsidRPr="003B033D">
        <w:t xml:space="preserve"> program as appropriate.</w:t>
      </w:r>
      <w:r>
        <w:rPr>
          <w:rStyle w:val="FootnoteReference"/>
        </w:rPr>
        <w:footnoteReference w:id="1131"/>
      </w:r>
    </w:p>
    <w:p w:rsidR="000C1980" w:rsidP="00473C7C" w:rsidRDefault="000C1980" w14:paraId="52F9AE6F" w14:textId="02E5A472">
      <w:pPr>
        <w:pStyle w:val="Heading3"/>
        <w:tabs>
          <w:tab w:val="left" w:pos="2610"/>
        </w:tabs>
      </w:pPr>
      <w:bookmarkStart w:name="_Toc69948380" w:id="744"/>
      <w:r>
        <w:t>SDG&amp;E</w:t>
      </w:r>
      <w:r w:rsidRPr="00DE7EC2" w:rsidR="00DE7EC2">
        <w:t xml:space="preserve"> </w:t>
      </w:r>
      <w:r w:rsidR="00DE7EC2">
        <w:t>Proposal</w:t>
      </w:r>
      <w:bookmarkEnd w:id="744"/>
    </w:p>
    <w:p w:rsidRPr="00050016" w:rsidR="000C1980" w:rsidP="0023091F" w:rsidRDefault="000C1980" w14:paraId="4FA5C29C" w14:textId="41566767">
      <w:pPr>
        <w:pStyle w:val="ALJBodyText"/>
      </w:pPr>
      <w:r w:rsidRPr="009514AA">
        <w:t xml:space="preserve">SDG&amp;E currently includes no-incremental-cost messaging about the </w:t>
      </w:r>
      <w:proofErr w:type="spellStart"/>
      <w:r w:rsidRPr="009514AA">
        <w:t>Life</w:t>
      </w:r>
      <w:r w:rsidR="00395A33">
        <w:t>L</w:t>
      </w:r>
      <w:r w:rsidRPr="009514AA">
        <w:t>ine</w:t>
      </w:r>
      <w:proofErr w:type="spellEnd"/>
      <w:r>
        <w:t xml:space="preserve"> </w:t>
      </w:r>
      <w:r w:rsidRPr="009514AA">
        <w:t>program on its website and other informational materials when possible and appropriate.</w:t>
      </w:r>
      <w:r>
        <w:t xml:space="preserve">  </w:t>
      </w:r>
      <w:r w:rsidRPr="009514AA">
        <w:t>SDG&amp;E’s position is that electric and gas ratepayers should not be burdened with funding efforts</w:t>
      </w:r>
      <w:r>
        <w:t xml:space="preserve"> </w:t>
      </w:r>
      <w:r w:rsidRPr="009514AA">
        <w:t xml:space="preserve">outside of those specific to electric and gas issues. </w:t>
      </w:r>
      <w:r>
        <w:t xml:space="preserve"> </w:t>
      </w:r>
      <w:r w:rsidRPr="009514AA">
        <w:t>Furthermore, SDG&amp;E is subject to evaluation</w:t>
      </w:r>
      <w:r>
        <w:t xml:space="preserve"> </w:t>
      </w:r>
      <w:r w:rsidRPr="009514AA">
        <w:t>on the effectiveness of the marketing and outreach that it conducts for the CARE and FERA</w:t>
      </w:r>
      <w:r>
        <w:t xml:space="preserve"> </w:t>
      </w:r>
      <w:r w:rsidRPr="009514AA">
        <w:t>programs and inclusion of other secondary offers may reduce the effectiveness of the primary</w:t>
      </w:r>
      <w:r>
        <w:t xml:space="preserve"> </w:t>
      </w:r>
      <w:r w:rsidRPr="009514AA">
        <w:t xml:space="preserve">offer. </w:t>
      </w:r>
      <w:r>
        <w:t xml:space="preserve"> </w:t>
      </w:r>
      <w:r w:rsidRPr="009514AA">
        <w:t xml:space="preserve">In many cases the ESA </w:t>
      </w:r>
      <w:r>
        <w:t>p</w:t>
      </w:r>
      <w:r w:rsidRPr="009514AA">
        <w:t>rogram is often included as the secondary offer and inclusion of</w:t>
      </w:r>
      <w:r>
        <w:t xml:space="preserve"> </w:t>
      </w:r>
      <w:r w:rsidRPr="009514AA">
        <w:t>third or even fourth “offers” will result in mixed messages and competing calls-to-action that</w:t>
      </w:r>
      <w:r>
        <w:t xml:space="preserve"> </w:t>
      </w:r>
      <w:r w:rsidRPr="009514AA">
        <w:t>dilute the message and overall effectiveness.</w:t>
      </w:r>
      <w:r>
        <w:rPr>
          <w:rStyle w:val="FootnoteReference"/>
        </w:rPr>
        <w:footnoteReference w:id="1132"/>
      </w:r>
    </w:p>
    <w:p w:rsidR="000C1980" w:rsidP="00473C7C" w:rsidRDefault="000C1980" w14:paraId="2527BA95" w14:textId="3704B6B6">
      <w:pPr>
        <w:pStyle w:val="Heading3"/>
        <w:tabs>
          <w:tab w:val="left" w:pos="2610"/>
        </w:tabs>
      </w:pPr>
      <w:bookmarkStart w:name="_Toc69948381" w:id="745"/>
      <w:r>
        <w:t>Party Positions</w:t>
      </w:r>
      <w:bookmarkEnd w:id="745"/>
    </w:p>
    <w:p w:rsidR="000C1980" w:rsidP="00473C7C" w:rsidRDefault="000C1980" w14:paraId="002DACCA" w14:textId="77777777">
      <w:pPr>
        <w:pStyle w:val="Heading4"/>
        <w:tabs>
          <w:tab w:val="left" w:pos="3510"/>
        </w:tabs>
      </w:pPr>
      <w:bookmarkStart w:name="_Toc69948382" w:id="746"/>
      <w:r>
        <w:t>CETF</w:t>
      </w:r>
      <w:bookmarkEnd w:id="746"/>
    </w:p>
    <w:p w:rsidR="000C1980" w:rsidP="0023091F" w:rsidRDefault="000C1980" w14:paraId="734A7FDF" w14:textId="77777777">
      <w:pPr>
        <w:pStyle w:val="ALJBodyText"/>
      </w:pPr>
      <w:r w:rsidRPr="00EA0EBF">
        <w:t xml:space="preserve">CETF </w:t>
      </w:r>
      <w:r>
        <w:t xml:space="preserve">states that including information about broadband services in the IOUs’ ME&amp;O efforts is beneficial because this will help reach the large low income population currently unaware of </w:t>
      </w:r>
      <w:r w:rsidRPr="00EA0EBF">
        <w:t>affordable broadband offers</w:t>
      </w:r>
      <w:r>
        <w:t>,</w:t>
      </w:r>
      <w:r>
        <w:rPr>
          <w:rStyle w:val="FootnoteReference"/>
        </w:rPr>
        <w:footnoteReference w:id="1133"/>
      </w:r>
      <w:r>
        <w:t xml:space="preserve"> will help with the decreasing existing digital inequalities, and </w:t>
      </w:r>
      <w:r w:rsidRPr="00AC1494">
        <w:t xml:space="preserve">is in the financial </w:t>
      </w:r>
      <w:r w:rsidRPr="00AC1494">
        <w:lastRenderedPageBreak/>
        <w:t xml:space="preserve">interest of IOUs to get all its customers online to save operational costs such mailing costs related to billing, achieve </w:t>
      </w:r>
      <w:r>
        <w:t>s</w:t>
      </w:r>
      <w:r w:rsidRPr="00AC1494">
        <w:t>tate energy efficiency and environmental protection goals, and to promote equity of access to its programs for disadvantaged communities that are not online</w:t>
      </w:r>
      <w:r w:rsidRPr="00EA0EBF">
        <w:t>.</w:t>
      </w:r>
      <w:r>
        <w:rPr>
          <w:rStyle w:val="FootnoteReference"/>
        </w:rPr>
        <w:footnoteReference w:id="1134"/>
      </w:r>
      <w:r>
        <w:t xml:space="preserve"> CETF recommends the following:</w:t>
      </w:r>
    </w:p>
    <w:p w:rsidR="000C1980" w:rsidP="00402362" w:rsidRDefault="000C1980" w14:paraId="0C187A96" w14:textId="77777777">
      <w:pPr>
        <w:pStyle w:val="ListBullet"/>
      </w:pPr>
      <w:r>
        <w:t xml:space="preserve">Require the </w:t>
      </w:r>
      <w:r w:rsidRPr="00EA0EBF">
        <w:t>IOU</w:t>
      </w:r>
      <w:r>
        <w:t>s</w:t>
      </w:r>
      <w:r w:rsidRPr="00EA0EBF">
        <w:t xml:space="preserve"> to inform all their CARE/ESA/FERA customers and other eligible </w:t>
      </w:r>
      <w:proofErr w:type="gramStart"/>
      <w:r w:rsidRPr="00EA0EBF">
        <w:t>low</w:t>
      </w:r>
      <w:r>
        <w:t xml:space="preserve"> </w:t>
      </w:r>
      <w:r w:rsidRPr="00EA0EBF">
        <w:t>income</w:t>
      </w:r>
      <w:proofErr w:type="gramEnd"/>
      <w:r w:rsidRPr="00EA0EBF">
        <w:t xml:space="preserve"> consumers about reduced-cost affordable broadband offers in their </w:t>
      </w:r>
      <w:r>
        <w:t>ME&amp;O</w:t>
      </w:r>
      <w:r w:rsidRPr="00EA0EBF">
        <w:t xml:space="preserve"> efforts and provide referrals to CETF-designated CBOs</w:t>
      </w:r>
      <w:r>
        <w:t xml:space="preserve"> (where CETF will fund </w:t>
      </w:r>
      <w:r w:rsidRPr="00EA0EBF">
        <w:t xml:space="preserve">Digital Inclusion CBOs </w:t>
      </w:r>
      <w:r>
        <w:t>work).</w:t>
      </w:r>
    </w:p>
    <w:p w:rsidR="000C1980" w:rsidP="00402362" w:rsidRDefault="000C1980" w14:paraId="22239600" w14:textId="77777777">
      <w:pPr>
        <w:pStyle w:val="ListBullet"/>
      </w:pPr>
      <w:r>
        <w:t xml:space="preserve">Require the </w:t>
      </w:r>
      <w:r w:rsidRPr="00EA0EBF">
        <w:t xml:space="preserve">IOUs </w:t>
      </w:r>
      <w:r>
        <w:t xml:space="preserve">to </w:t>
      </w:r>
      <w:r w:rsidRPr="00EA0EBF">
        <w:t xml:space="preserve">add links </w:t>
      </w:r>
      <w:r w:rsidRPr="00BD7023">
        <w:t xml:space="preserve">to CETF-provided and </w:t>
      </w:r>
      <w:r>
        <w:t xml:space="preserve">Commission </w:t>
      </w:r>
      <w:r w:rsidRPr="00BD7023">
        <w:t xml:space="preserve">approved websites </w:t>
      </w:r>
      <w:r w:rsidRPr="00EA0EBF">
        <w:t xml:space="preserve">on their </w:t>
      </w:r>
      <w:proofErr w:type="gramStart"/>
      <w:r w:rsidRPr="00EA0EBF">
        <w:t>low</w:t>
      </w:r>
      <w:r>
        <w:t xml:space="preserve"> </w:t>
      </w:r>
      <w:r w:rsidRPr="00EA0EBF">
        <w:t>income</w:t>
      </w:r>
      <w:proofErr w:type="gramEnd"/>
      <w:r w:rsidRPr="00EA0EBF">
        <w:t xml:space="preserve"> websites</w:t>
      </w:r>
      <w:r w:rsidRPr="00BD7023">
        <w:t xml:space="preserve"> where a user may put in their address and zip code and find affordable broadband offers available in the user’s area</w:t>
      </w:r>
      <w:r>
        <w:t>.</w:t>
      </w:r>
    </w:p>
    <w:p w:rsidR="000C1980" w:rsidP="00402362" w:rsidRDefault="000C1980" w14:paraId="4A3E38BE" w14:textId="77777777">
      <w:pPr>
        <w:pStyle w:val="ListBullet"/>
      </w:pPr>
      <w:r>
        <w:t xml:space="preserve">Establish a </w:t>
      </w:r>
      <w:r w:rsidRPr="00BD7023">
        <w:t xml:space="preserve">single landing page for all </w:t>
      </w:r>
      <w:proofErr w:type="gramStart"/>
      <w:r w:rsidRPr="00BD7023">
        <w:t>low</w:t>
      </w:r>
      <w:r>
        <w:t xml:space="preserve"> </w:t>
      </w:r>
      <w:r w:rsidRPr="00BD7023">
        <w:t>income</w:t>
      </w:r>
      <w:proofErr w:type="gramEnd"/>
      <w:r w:rsidRPr="00BD7023">
        <w:t xml:space="preserve"> programs (energy, telecom, broadband, and water) on its </w:t>
      </w:r>
      <w:r>
        <w:t>Commission</w:t>
      </w:r>
      <w:r w:rsidRPr="00BD7023">
        <w:t xml:space="preserve"> website</w:t>
      </w:r>
      <w:r>
        <w:t>.</w:t>
      </w:r>
    </w:p>
    <w:p w:rsidR="000C1980" w:rsidP="00402362" w:rsidRDefault="000C1980" w14:paraId="5013BA72" w14:textId="77777777">
      <w:pPr>
        <w:pStyle w:val="ListBullet"/>
      </w:pPr>
      <w:r>
        <w:t xml:space="preserve">Require the IOUs to send letters to customers enrolled in </w:t>
      </w:r>
      <w:proofErr w:type="gramStart"/>
      <w:r>
        <w:t>low income</w:t>
      </w:r>
      <w:proofErr w:type="gramEnd"/>
      <w:r>
        <w:t xml:space="preserve"> programs (</w:t>
      </w:r>
      <w:r w:rsidRPr="00BD7023">
        <w:t>which can be combined with scheduled CARE/FERA/ESA mailing</w:t>
      </w:r>
      <w:r>
        <w:t>s</w:t>
      </w:r>
      <w:r w:rsidRPr="00BD7023">
        <w:t xml:space="preserve"> to make it no-cost or low-cost to the IOUs</w:t>
      </w:r>
      <w:r>
        <w:t>) mirroring the CETF-SMUD pilot.</w:t>
      </w:r>
      <w:r>
        <w:rPr>
          <w:rStyle w:val="FootnoteReference"/>
        </w:rPr>
        <w:footnoteReference w:id="1135"/>
      </w:r>
    </w:p>
    <w:p w:rsidR="000C1980" w:rsidP="0023091F" w:rsidRDefault="000C1980" w14:paraId="1FE4970F" w14:textId="23F81713">
      <w:pPr>
        <w:pStyle w:val="ALJBodyText"/>
      </w:pPr>
      <w:r>
        <w:t xml:space="preserve">CETF states that all these initiatives are </w:t>
      </w:r>
      <w:r w:rsidRPr="00EA0EBF">
        <w:t>supported by the Governor’s Executive Order and AB1665 goals</w:t>
      </w:r>
      <w:r>
        <w:t xml:space="preserve"> and is in line with </w:t>
      </w:r>
      <w:r w:rsidRPr="00A77514">
        <w:t>action</w:t>
      </w:r>
      <w:r>
        <w:t>s</w:t>
      </w:r>
      <w:r w:rsidRPr="00A77514">
        <w:t xml:space="preserve"> contemplated by the ESJ Action Plan.</w:t>
      </w:r>
      <w:r>
        <w:rPr>
          <w:rStyle w:val="FootnoteReference"/>
        </w:rPr>
        <w:footnoteReference w:id="1136"/>
      </w:r>
      <w:r w:rsidRPr="00A77514">
        <w:t xml:space="preserve"> </w:t>
      </w:r>
    </w:p>
    <w:p w:rsidR="006C0112" w:rsidP="006C0112" w:rsidRDefault="006C0112" w14:paraId="53AC4817" w14:textId="1B256914">
      <w:pPr>
        <w:pStyle w:val="Heading4"/>
      </w:pPr>
      <w:bookmarkStart w:name="_Toc69948383" w:id="747"/>
      <w:proofErr w:type="spellStart"/>
      <w:r>
        <w:t>C</w:t>
      </w:r>
      <w:r w:rsidR="005E6F55">
        <w:t>f</w:t>
      </w:r>
      <w:r>
        <w:t>orAT</w:t>
      </w:r>
      <w:bookmarkEnd w:id="747"/>
      <w:proofErr w:type="spellEnd"/>
    </w:p>
    <w:p w:rsidR="006C0112" w:rsidP="0023091F" w:rsidRDefault="006C0112" w14:paraId="13568CC6" w14:textId="24FDBBF3">
      <w:pPr>
        <w:pStyle w:val="ALJBodyText"/>
      </w:pPr>
      <w:proofErr w:type="spellStart"/>
      <w:r>
        <w:t>CforAT</w:t>
      </w:r>
      <w:proofErr w:type="spellEnd"/>
      <w:r>
        <w:t xml:space="preserve"> states that while</w:t>
      </w:r>
      <w:r w:rsidRPr="00AA60FE">
        <w:t xml:space="preserve"> it would be useful to coordinate </w:t>
      </w:r>
      <w:r>
        <w:t xml:space="preserve">the </w:t>
      </w:r>
      <w:proofErr w:type="spellStart"/>
      <w:r>
        <w:t>LifeLine</w:t>
      </w:r>
      <w:proofErr w:type="spellEnd"/>
      <w:r>
        <w:t xml:space="preserve"> and CARE programs, </w:t>
      </w:r>
      <w:r w:rsidRPr="00AA60FE">
        <w:t>there are several substantial hurdles in the way</w:t>
      </w:r>
      <w:r>
        <w:t xml:space="preserve"> including: </w:t>
      </w:r>
      <w:r>
        <w:lastRenderedPageBreak/>
        <w:t xml:space="preserve">1) the </w:t>
      </w:r>
      <w:r w:rsidRPr="00AA60FE">
        <w:t>fact that the</w:t>
      </w:r>
      <w:r>
        <w:t xml:space="preserve"> </w:t>
      </w:r>
      <w:r w:rsidRPr="00AA60FE">
        <w:t>programs do not have the same eligibility requirements</w:t>
      </w:r>
      <w:r>
        <w:t xml:space="preserve">, and 2) </w:t>
      </w:r>
      <w:r w:rsidRPr="00AA60FE">
        <w:t xml:space="preserve">the variety of </w:t>
      </w:r>
      <w:proofErr w:type="spellStart"/>
      <w:r w:rsidRPr="00AA60FE">
        <w:t>Life</w:t>
      </w:r>
      <w:r>
        <w:t>L</w:t>
      </w:r>
      <w:r w:rsidRPr="00AA60FE">
        <w:t>ine</w:t>
      </w:r>
      <w:proofErr w:type="spellEnd"/>
      <w:r w:rsidRPr="00AA60FE">
        <w:t xml:space="preserve"> providers that would need to be incorporated into</w:t>
      </w:r>
      <w:r>
        <w:t xml:space="preserve"> </w:t>
      </w:r>
      <w:r w:rsidRPr="00AA60FE">
        <w:t xml:space="preserve">any </w:t>
      </w:r>
      <w:r>
        <w:rPr>
          <w:rFonts w:eastAsia="Book Antiqua" w:cs="Book Antiqua"/>
          <w:szCs w:val="26"/>
        </w:rPr>
        <w:t>UAS</w:t>
      </w:r>
      <w:r w:rsidRPr="00AA60FE">
        <w:t xml:space="preserve">, including the fact that many </w:t>
      </w:r>
      <w:proofErr w:type="spellStart"/>
      <w:r w:rsidRPr="00AA60FE">
        <w:t>Life</w:t>
      </w:r>
      <w:r>
        <w:t>L</w:t>
      </w:r>
      <w:r w:rsidRPr="00AA60FE">
        <w:t>ine</w:t>
      </w:r>
      <w:proofErr w:type="spellEnd"/>
      <w:r w:rsidRPr="00AA60FE">
        <w:t>-eligible customers have</w:t>
      </w:r>
      <w:r>
        <w:t xml:space="preserve"> </w:t>
      </w:r>
      <w:r w:rsidRPr="00AA60FE">
        <w:t>a choice of providers.</w:t>
      </w:r>
      <w:r>
        <w:rPr>
          <w:rStyle w:val="FootnoteReference"/>
        </w:rPr>
        <w:footnoteReference w:id="1137"/>
      </w:r>
      <w:r>
        <w:t xml:space="preserve">  </w:t>
      </w:r>
      <w:proofErr w:type="spellStart"/>
      <w:r>
        <w:t>CforAT</w:t>
      </w:r>
      <w:proofErr w:type="spellEnd"/>
      <w:r>
        <w:t xml:space="preserve"> recommends that an</w:t>
      </w:r>
      <w:r w:rsidRPr="00AA60FE">
        <w:t xml:space="preserve"> alternative for coordinating with </w:t>
      </w:r>
      <w:proofErr w:type="spellStart"/>
      <w:r w:rsidRPr="00AA60FE">
        <w:t>Life</w:t>
      </w:r>
      <w:r>
        <w:t>L</w:t>
      </w:r>
      <w:r w:rsidRPr="00AA60FE">
        <w:t>ine</w:t>
      </w:r>
      <w:proofErr w:type="spellEnd"/>
      <w:r w:rsidRPr="00AA60FE">
        <w:t xml:space="preserve"> may be for the IOUs to provide data</w:t>
      </w:r>
      <w:r>
        <w:t xml:space="preserve"> </w:t>
      </w:r>
      <w:r w:rsidRPr="00AA60FE">
        <w:t xml:space="preserve">on CARE-enrolled customers to the Third Party Administrator that verifies </w:t>
      </w:r>
      <w:proofErr w:type="spellStart"/>
      <w:r w:rsidRPr="00AA60FE">
        <w:t>Life</w:t>
      </w:r>
      <w:r>
        <w:t>L</w:t>
      </w:r>
      <w:r w:rsidRPr="00AA60FE">
        <w:t>ine</w:t>
      </w:r>
      <w:proofErr w:type="spellEnd"/>
      <w:r w:rsidRPr="00AA60FE">
        <w:t xml:space="preserve"> eligibility,</w:t>
      </w:r>
      <w:r>
        <w:t xml:space="preserve"> </w:t>
      </w:r>
      <w:r w:rsidRPr="00AA60FE">
        <w:t xml:space="preserve">in a similar manner to the data-sharing that takes place with the water utilities. </w:t>
      </w:r>
      <w:r>
        <w:t xml:space="preserve"> </w:t>
      </w:r>
      <w:r w:rsidRPr="00AA60FE">
        <w:t>Due to the</w:t>
      </w:r>
      <w:r w:rsidRPr="00864DCF">
        <w:rPr>
          <w:rFonts w:ascii="TimesNewRomanPSMT" w:hAnsi="TimesNewRomanPSMT" w:cs="TimesNewRomanPSMT"/>
          <w:sz w:val="24"/>
          <w:szCs w:val="24"/>
        </w:rPr>
        <w:t xml:space="preserve"> </w:t>
      </w:r>
      <w:r w:rsidRPr="00864DCF">
        <w:t>differences in eligibility and the existence of multiple providers, these customers could not be</w:t>
      </w:r>
      <w:r>
        <w:t xml:space="preserve"> </w:t>
      </w:r>
      <w:r w:rsidRPr="00864DCF">
        <w:t xml:space="preserve">automatically enrolled in </w:t>
      </w:r>
      <w:proofErr w:type="spellStart"/>
      <w:r w:rsidRPr="00864DCF">
        <w:t>Life</w:t>
      </w:r>
      <w:r>
        <w:t>L</w:t>
      </w:r>
      <w:r w:rsidRPr="00864DCF">
        <w:t>ine</w:t>
      </w:r>
      <w:proofErr w:type="spellEnd"/>
      <w:r w:rsidRPr="00864DCF">
        <w:t>, but the CARE list would be a well-targeted pool for</w:t>
      </w:r>
      <w:r>
        <w:t xml:space="preserve"> </w:t>
      </w:r>
      <w:r w:rsidRPr="00864DCF">
        <w:t xml:space="preserve">subsequent outreach efforts to identify and enroll eligible customers in </w:t>
      </w:r>
      <w:proofErr w:type="spellStart"/>
      <w:r w:rsidRPr="00864DCF">
        <w:t>Life</w:t>
      </w:r>
      <w:r>
        <w:t>L</w:t>
      </w:r>
      <w:r w:rsidRPr="00864DCF">
        <w:t>ine</w:t>
      </w:r>
      <w:proofErr w:type="spellEnd"/>
      <w:r w:rsidRPr="00864DCF">
        <w:t xml:space="preserve">. </w:t>
      </w:r>
      <w:r>
        <w:t xml:space="preserve"> A</w:t>
      </w:r>
      <w:r w:rsidRPr="00864DCF">
        <w:t xml:space="preserve"> centralized entity could coordinate this targeted outreach along with the data</w:t>
      </w:r>
      <w:r>
        <w:t xml:space="preserve"> </w:t>
      </w:r>
      <w:r w:rsidRPr="00864DCF">
        <w:t xml:space="preserve">exchange. If the data-sharing goes both ways, the data on </w:t>
      </w:r>
      <w:proofErr w:type="spellStart"/>
      <w:r w:rsidRPr="00864DCF">
        <w:t>LifeLine</w:t>
      </w:r>
      <w:proofErr w:type="spellEnd"/>
      <w:r w:rsidRPr="00864DCF">
        <w:t xml:space="preserve"> customers may also provide</w:t>
      </w:r>
      <w:r>
        <w:t xml:space="preserve"> </w:t>
      </w:r>
      <w:r w:rsidRPr="00864DCF">
        <w:t>information to the IOUs about CARE-eligible customers who could be targeted.</w:t>
      </w:r>
      <w:r>
        <w:rPr>
          <w:rStyle w:val="FootnoteReference"/>
        </w:rPr>
        <w:footnoteReference w:id="1138"/>
      </w:r>
      <w:r>
        <w:t xml:space="preserve"> </w:t>
      </w:r>
      <w:proofErr w:type="spellStart"/>
      <w:r w:rsidRPr="00026941">
        <w:t>CforAT</w:t>
      </w:r>
      <w:proofErr w:type="spellEnd"/>
      <w:r w:rsidRPr="00026941">
        <w:t xml:space="preserve"> supports including information about </w:t>
      </w:r>
      <w:proofErr w:type="spellStart"/>
      <w:r w:rsidRPr="00026941">
        <w:t>Life</w:t>
      </w:r>
      <w:r>
        <w:t>L</w:t>
      </w:r>
      <w:r w:rsidRPr="00026941">
        <w:t>ine</w:t>
      </w:r>
      <w:proofErr w:type="spellEnd"/>
      <w:r w:rsidRPr="00026941">
        <w:t xml:space="preserve"> in all marketing collateral</w:t>
      </w:r>
      <w:r>
        <w:t xml:space="preserve"> </w:t>
      </w:r>
      <w:r w:rsidRPr="00026941">
        <w:t xml:space="preserve">material, including on the energy utility websites that provide information about </w:t>
      </w:r>
      <w:proofErr w:type="gramStart"/>
      <w:r w:rsidRPr="00026941">
        <w:t>low</w:t>
      </w:r>
      <w:r>
        <w:t xml:space="preserve"> </w:t>
      </w:r>
      <w:r w:rsidRPr="00026941">
        <w:t>income</w:t>
      </w:r>
      <w:proofErr w:type="gramEnd"/>
      <w:r>
        <w:t xml:space="preserve"> </w:t>
      </w:r>
      <w:r w:rsidRPr="00026941">
        <w:t xml:space="preserve">programs. This could also include information about existing affordable or </w:t>
      </w:r>
      <w:proofErr w:type="gramStart"/>
      <w:r w:rsidRPr="00026941">
        <w:t>low</w:t>
      </w:r>
      <w:r>
        <w:t xml:space="preserve"> </w:t>
      </w:r>
      <w:r w:rsidRPr="00026941">
        <w:t>income</w:t>
      </w:r>
      <w:proofErr w:type="gramEnd"/>
      <w:r>
        <w:t xml:space="preserve"> </w:t>
      </w:r>
      <w:r w:rsidRPr="00026941">
        <w:t>broadband options.</w:t>
      </w:r>
      <w:r>
        <w:rPr>
          <w:rStyle w:val="FootnoteReference"/>
        </w:rPr>
        <w:footnoteReference w:id="1139"/>
      </w:r>
    </w:p>
    <w:p w:rsidR="006C0112" w:rsidP="006C0112" w:rsidRDefault="006C0112" w14:paraId="7A63496A" w14:textId="0648BBCB">
      <w:pPr>
        <w:pStyle w:val="Heading4"/>
      </w:pPr>
      <w:bookmarkStart w:name="_Toc69948384" w:id="748"/>
      <w:r>
        <w:t>TURN</w:t>
      </w:r>
      <w:bookmarkEnd w:id="748"/>
    </w:p>
    <w:p w:rsidR="006C0112" w:rsidP="0023091F" w:rsidRDefault="006C0112" w14:paraId="4E045E45" w14:textId="2EBA9E8E">
      <w:pPr>
        <w:pStyle w:val="ALJBodyText"/>
      </w:pPr>
      <w:r w:rsidRPr="00046398">
        <w:t>TURN supports the inclusion</w:t>
      </w:r>
      <w:r>
        <w:t xml:space="preserve"> </w:t>
      </w:r>
      <w:r w:rsidRPr="00046398">
        <w:t xml:space="preserve">of basic information about </w:t>
      </w:r>
      <w:proofErr w:type="spellStart"/>
      <w:r w:rsidRPr="00046398">
        <w:t>Life</w:t>
      </w:r>
      <w:r>
        <w:t>L</w:t>
      </w:r>
      <w:r w:rsidRPr="00046398">
        <w:t>ine</w:t>
      </w:r>
      <w:proofErr w:type="spellEnd"/>
      <w:r w:rsidRPr="00046398">
        <w:t xml:space="preserve"> in the utilities’ </w:t>
      </w:r>
      <w:proofErr w:type="gramStart"/>
      <w:r w:rsidRPr="00046398">
        <w:t>low</w:t>
      </w:r>
      <w:r>
        <w:t xml:space="preserve"> </w:t>
      </w:r>
      <w:r w:rsidRPr="00046398">
        <w:t>income</w:t>
      </w:r>
      <w:proofErr w:type="gramEnd"/>
      <w:r w:rsidRPr="00046398">
        <w:t xml:space="preserve"> program ME&amp;O</w:t>
      </w:r>
      <w:r>
        <w:t xml:space="preserve"> </w:t>
      </w:r>
      <w:r w:rsidRPr="00046398">
        <w:t>materials</w:t>
      </w:r>
      <w:r>
        <w:t xml:space="preserve"> and states that</w:t>
      </w:r>
      <w:r w:rsidRPr="00046398">
        <w:t xml:space="preserve"> </w:t>
      </w:r>
      <w:proofErr w:type="spellStart"/>
      <w:r w:rsidRPr="00046398">
        <w:t>Life</w:t>
      </w:r>
      <w:r>
        <w:t>L</w:t>
      </w:r>
      <w:r w:rsidRPr="00046398">
        <w:t>ine</w:t>
      </w:r>
      <w:proofErr w:type="spellEnd"/>
      <w:r w:rsidRPr="00046398">
        <w:t xml:space="preserve"> should be listed in brochures </w:t>
      </w:r>
      <w:r>
        <w:t>and</w:t>
      </w:r>
      <w:r w:rsidRPr="00046398">
        <w:t xml:space="preserve"> utility webpages</w:t>
      </w:r>
      <w:r>
        <w:t xml:space="preserve">.  </w:t>
      </w:r>
      <w:r w:rsidRPr="00046398">
        <w:t>Information about</w:t>
      </w:r>
      <w:r>
        <w:t xml:space="preserve"> </w:t>
      </w:r>
      <w:r w:rsidRPr="00046398">
        <w:t xml:space="preserve">existing affordable or </w:t>
      </w:r>
      <w:proofErr w:type="gramStart"/>
      <w:r w:rsidRPr="00046398">
        <w:t>low</w:t>
      </w:r>
      <w:r>
        <w:t xml:space="preserve"> </w:t>
      </w:r>
      <w:r w:rsidRPr="00046398">
        <w:t>income</w:t>
      </w:r>
      <w:proofErr w:type="gramEnd"/>
      <w:r w:rsidRPr="00046398">
        <w:t xml:space="preserve"> broadband options could be included.</w:t>
      </w:r>
      <w:r>
        <w:t xml:space="preserve">  </w:t>
      </w:r>
      <w:r w:rsidRPr="00046398">
        <w:t>The</w:t>
      </w:r>
      <w:r>
        <w:t xml:space="preserve"> </w:t>
      </w:r>
      <w:r w:rsidRPr="00046398">
        <w:t xml:space="preserve">energy </w:t>
      </w:r>
      <w:r w:rsidRPr="00046398">
        <w:lastRenderedPageBreak/>
        <w:t xml:space="preserve">utilities could provide links to a Commission-maintained webpage or </w:t>
      </w:r>
      <w:r>
        <w:t>p</w:t>
      </w:r>
      <w:r w:rsidRPr="00046398">
        <w:t>rogram</w:t>
      </w:r>
      <w:r>
        <w:t xml:space="preserve"> </w:t>
      </w:r>
      <w:r w:rsidRPr="00046398">
        <w:t>specific</w:t>
      </w:r>
      <w:r>
        <w:t xml:space="preserve"> </w:t>
      </w:r>
      <w:r w:rsidRPr="00046398">
        <w:t>website with information as an alternative to including more content on their</w:t>
      </w:r>
      <w:r>
        <w:t xml:space="preserve"> </w:t>
      </w:r>
      <w:r w:rsidRPr="00046398">
        <w:t>own websites.</w:t>
      </w:r>
      <w:r>
        <w:rPr>
          <w:rStyle w:val="FootnoteReference"/>
        </w:rPr>
        <w:footnoteReference w:id="1140"/>
      </w:r>
      <w:r>
        <w:t xml:space="preserve">  </w:t>
      </w:r>
      <w:r w:rsidRPr="00310AA1">
        <w:t xml:space="preserve">TURN opposes the suggestion of CETF that the energy utilities be ordered to refer their </w:t>
      </w:r>
      <w:proofErr w:type="gramStart"/>
      <w:r w:rsidRPr="00310AA1">
        <w:t>low</w:t>
      </w:r>
      <w:r>
        <w:t xml:space="preserve"> </w:t>
      </w:r>
      <w:r w:rsidRPr="00310AA1">
        <w:t>income</w:t>
      </w:r>
      <w:proofErr w:type="gramEnd"/>
      <w:r w:rsidRPr="00310AA1">
        <w:t xml:space="preserve"> customers to CETF-designated CBOs </w:t>
      </w:r>
      <w:r>
        <w:t xml:space="preserve">as </w:t>
      </w:r>
      <w:r w:rsidRPr="00310AA1">
        <w:t>CETF has not identified the CBOs that it would designate, making it difficult to evaluate th</w:t>
      </w:r>
      <w:r>
        <w:t>e</w:t>
      </w:r>
      <w:r w:rsidRPr="00310AA1">
        <w:t xml:space="preserve"> breadth and depth of this list.</w:t>
      </w:r>
      <w:r>
        <w:t xml:space="preserve"> </w:t>
      </w:r>
      <w:r w:rsidRPr="00310AA1">
        <w:t xml:space="preserve"> </w:t>
      </w:r>
      <w:r>
        <w:t xml:space="preserve">TURN also states that there ESA contractors and </w:t>
      </w:r>
      <w:r w:rsidRPr="00310AA1">
        <w:t xml:space="preserve">CBOs that work in concert with the </w:t>
      </w:r>
      <w:r>
        <w:t>IOU</w:t>
      </w:r>
      <w:r w:rsidRPr="00310AA1">
        <w:t xml:space="preserve"> to support</w:t>
      </w:r>
      <w:r>
        <w:t xml:space="preserve"> </w:t>
      </w:r>
      <w:proofErr w:type="gramStart"/>
      <w:r w:rsidRPr="00310AA1">
        <w:t>low</w:t>
      </w:r>
      <w:r>
        <w:t xml:space="preserve"> </w:t>
      </w:r>
      <w:r w:rsidRPr="00310AA1">
        <w:t>income</w:t>
      </w:r>
      <w:proofErr w:type="gramEnd"/>
      <w:r w:rsidRPr="00310AA1">
        <w:t xml:space="preserve"> </w:t>
      </w:r>
      <w:r>
        <w:t>communities that m</w:t>
      </w:r>
      <w:r w:rsidRPr="00310AA1">
        <w:t xml:space="preserve">ay have the interest and capacity to assist </w:t>
      </w:r>
      <w:r>
        <w:t xml:space="preserve">with this work.  TURN states that if the </w:t>
      </w:r>
      <w:r w:rsidRPr="00310AA1">
        <w:t xml:space="preserve">Commission concludes that energy utilities should direct their </w:t>
      </w:r>
      <w:proofErr w:type="gramStart"/>
      <w:r w:rsidRPr="00310AA1">
        <w:t>low</w:t>
      </w:r>
      <w:r>
        <w:t xml:space="preserve"> </w:t>
      </w:r>
      <w:r w:rsidRPr="00310AA1">
        <w:t>income</w:t>
      </w:r>
      <w:proofErr w:type="gramEnd"/>
      <w:r>
        <w:t xml:space="preserve"> </w:t>
      </w:r>
      <w:r w:rsidRPr="00310AA1">
        <w:t>customers to a CBO for assistance with accessing affordable broadband services, TURN</w:t>
      </w:r>
      <w:r>
        <w:t xml:space="preserve"> </w:t>
      </w:r>
      <w:r w:rsidRPr="00310AA1">
        <w:t>recommends that the Commission solicit interest from a broad array of CBOs, including but not</w:t>
      </w:r>
      <w:r>
        <w:t xml:space="preserve"> </w:t>
      </w:r>
      <w:r w:rsidRPr="00310AA1">
        <w:t>limited to those already providing ratepayer-funded services to utility consumers through the</w:t>
      </w:r>
      <w:r>
        <w:t xml:space="preserve"> </w:t>
      </w:r>
      <w:r w:rsidRPr="00310AA1">
        <w:t>CARE, ESA, TEAM, and CHANGES programs.</w:t>
      </w:r>
      <w:r>
        <w:rPr>
          <w:rStyle w:val="FootnoteReference"/>
        </w:rPr>
        <w:footnoteReference w:id="1141"/>
      </w:r>
    </w:p>
    <w:p w:rsidR="006C0112" w:rsidP="006C0112" w:rsidRDefault="006C0112" w14:paraId="18A15329" w14:textId="10CC5B4C">
      <w:pPr>
        <w:pStyle w:val="Heading4"/>
      </w:pPr>
      <w:bookmarkStart w:name="_Toc69948385" w:id="749"/>
      <w:r>
        <w:t>Joint Parties</w:t>
      </w:r>
      <w:bookmarkEnd w:id="749"/>
    </w:p>
    <w:p w:rsidR="006C0112" w:rsidP="0023091F" w:rsidRDefault="006C0112" w14:paraId="00001A6C" w14:textId="77777777">
      <w:pPr>
        <w:pStyle w:val="ALJBodyText"/>
      </w:pPr>
      <w:r>
        <w:t xml:space="preserve">The Joint </w:t>
      </w:r>
      <w:r w:rsidRPr="00E411C8">
        <w:t xml:space="preserve">Parties </w:t>
      </w:r>
      <w:r>
        <w:t xml:space="preserve">support the consideration of </w:t>
      </w:r>
      <w:r w:rsidRPr="00E411C8">
        <w:t>using ESA dollars to fund</w:t>
      </w:r>
      <w:r>
        <w:t xml:space="preserve"> </w:t>
      </w:r>
      <w:r w:rsidRPr="00E411C8">
        <w:t xml:space="preserve">a one-time cost that accompanies initiation of broadband service for ESA </w:t>
      </w:r>
      <w:r>
        <w:t>c</w:t>
      </w:r>
      <w:r w:rsidRPr="00E411C8">
        <w:t>ustomers to expand</w:t>
      </w:r>
      <w:r>
        <w:t xml:space="preserve"> </w:t>
      </w:r>
      <w:r w:rsidRPr="00E411C8">
        <w:t xml:space="preserve">the chance that the customer would participate in the program. </w:t>
      </w:r>
      <w:r>
        <w:t xml:space="preserve"> However, the </w:t>
      </w:r>
      <w:r w:rsidRPr="00E411C8">
        <w:t>assessment of the</w:t>
      </w:r>
      <w:r>
        <w:t xml:space="preserve"> </w:t>
      </w:r>
      <w:r w:rsidRPr="00E411C8">
        <w:t>appropriateness of such payments should be based on the same review as other measures being</w:t>
      </w:r>
      <w:r>
        <w:t xml:space="preserve"> </w:t>
      </w:r>
      <w:r w:rsidRPr="00E411C8">
        <w:t>considered for inclusion in the program, including cost-effectiveness, ability to provide energy</w:t>
      </w:r>
      <w:r>
        <w:t xml:space="preserve"> </w:t>
      </w:r>
      <w:r w:rsidRPr="00E411C8">
        <w:t>savings, and ability to provide other non-energy benefits.</w:t>
      </w:r>
      <w:r>
        <w:rPr>
          <w:rStyle w:val="FootnoteReference"/>
        </w:rPr>
        <w:footnoteReference w:id="1142"/>
      </w:r>
    </w:p>
    <w:p w:rsidR="006C0112" w:rsidP="006C0112" w:rsidRDefault="006C0112" w14:paraId="1F026280" w14:textId="6E36D7C8">
      <w:pPr>
        <w:pStyle w:val="Heading4"/>
      </w:pPr>
      <w:bookmarkStart w:name="_Toc69948386" w:id="750"/>
      <w:r w:rsidRPr="00F6487F">
        <w:lastRenderedPageBreak/>
        <w:t>EEC, TELACU et al.</w:t>
      </w:r>
      <w:bookmarkEnd w:id="750"/>
    </w:p>
    <w:p w:rsidRPr="00F6487F" w:rsidR="006C0112" w:rsidP="0023091F" w:rsidRDefault="006C0112" w14:paraId="398983FF" w14:textId="77777777">
      <w:pPr>
        <w:pStyle w:val="ALJBodyText"/>
      </w:pPr>
      <w:r w:rsidRPr="00E973F8">
        <w:t>EEC and TELACU et al. provide the following suggestions to CETF’s proposal:</w:t>
      </w:r>
      <w:r w:rsidRPr="00E973F8">
        <w:rPr>
          <w:vertAlign w:val="superscript"/>
        </w:rPr>
        <w:footnoteReference w:id="1143"/>
      </w:r>
      <w:r w:rsidRPr="00E973F8">
        <w:t xml:space="preserve"> 1) CETF and other communications entities should be required to provide information and referrals to ESA and CARE in their marketing materials, 2) CETF should use the pre-existing network of ESA outreach specialists to inform and enroll low</w:t>
      </w:r>
      <w:r>
        <w:t xml:space="preserve"> </w:t>
      </w:r>
      <w:r w:rsidRPr="00E973F8">
        <w:t xml:space="preserve">income families in affordable broadband programs, 3) the Commission should authorize ESA contractors to provide the affordable broadband enrollment services directly to CETF or its equivalent during their ESA outreach, regardless of any restrictions in the current ESA contracts, 4) CETF or its equivalent should hire existing ESA contractors to perform outreach broadband services similar to those of the CETF CBOs, 5) the Commission should allow private ESA contractors to seek the California Advanced Services Fund (CASF) grants, 6) the Commission should allow ESA outreach staff to enroll customers into the </w:t>
      </w:r>
      <w:proofErr w:type="spellStart"/>
      <w:r w:rsidRPr="00E973F8">
        <w:t>LifeLine</w:t>
      </w:r>
      <w:proofErr w:type="spellEnd"/>
      <w:r w:rsidRPr="00E973F8">
        <w:t xml:space="preserve"> program, 7) CETF should reimburse the IOUs for the costs of having their ESA contractors provide such services, or ESA contractors should be allowed to contract directly with CETF.</w:t>
      </w:r>
    </w:p>
    <w:p w:rsidR="000C1980" w:rsidP="007A6C0A" w:rsidRDefault="007A6C0A" w14:paraId="1F83E6A7" w14:textId="600AEAE3">
      <w:pPr>
        <w:pStyle w:val="Heading3"/>
      </w:pPr>
      <w:bookmarkStart w:name="_Toc69948387" w:id="751"/>
      <w:r>
        <w:t>IOU</w:t>
      </w:r>
      <w:r w:rsidR="006C0112">
        <w:t xml:space="preserve"> </w:t>
      </w:r>
      <w:r w:rsidR="000C1980">
        <w:t>Response</w:t>
      </w:r>
      <w:r>
        <w:t>s</w:t>
      </w:r>
      <w:bookmarkEnd w:id="751"/>
    </w:p>
    <w:p w:rsidR="000C1980" w:rsidP="007A6C0A" w:rsidRDefault="000C1980" w14:paraId="22346418" w14:textId="77777777">
      <w:pPr>
        <w:pStyle w:val="Heading4"/>
      </w:pPr>
      <w:bookmarkStart w:name="_Toc69948388" w:id="752"/>
      <w:r>
        <w:t>PG&amp;E</w:t>
      </w:r>
      <w:bookmarkEnd w:id="752"/>
    </w:p>
    <w:p w:rsidRPr="00E973F8" w:rsidR="000C1980" w:rsidP="0023091F" w:rsidRDefault="000C1980" w14:paraId="4EF0B4E0" w14:textId="77777777">
      <w:pPr>
        <w:pStyle w:val="ALJBodyText"/>
      </w:pPr>
      <w:r w:rsidRPr="00EF2AED">
        <w:t>PG&amp;E argues that CETF’s suggestions are beyond the scope of this proceeding because they are inconsistent with Pub. Util. Code Sections 739.1 and 2790, which set priorities for use of funds collected to implement CARE and ESA programs.</w:t>
      </w:r>
      <w:r w:rsidRPr="00EF2AED">
        <w:rPr>
          <w:vertAlign w:val="superscript"/>
        </w:rPr>
        <w:footnoteReference w:id="1144"/>
      </w:r>
      <w:r w:rsidRPr="00EF2AED">
        <w:t xml:space="preserve">  </w:t>
      </w:r>
    </w:p>
    <w:p w:rsidR="000C1980" w:rsidP="007A6C0A" w:rsidRDefault="000C1980" w14:paraId="0357CC25" w14:textId="579638FE">
      <w:pPr>
        <w:pStyle w:val="Heading4"/>
      </w:pPr>
      <w:bookmarkStart w:name="_Toc69948389" w:id="753"/>
      <w:r>
        <w:lastRenderedPageBreak/>
        <w:t>SCE</w:t>
      </w:r>
      <w:bookmarkEnd w:id="753"/>
    </w:p>
    <w:p w:rsidRPr="00642312" w:rsidR="000C1980" w:rsidP="0023091F" w:rsidRDefault="000C1980" w14:paraId="5A3F67F4" w14:textId="77777777">
      <w:pPr>
        <w:pStyle w:val="ALJBodyText"/>
      </w:pPr>
      <w:r w:rsidRPr="00642312">
        <w:t xml:space="preserve">SCE argues that </w:t>
      </w:r>
      <w:r>
        <w:t xml:space="preserve">the programs are not </w:t>
      </w:r>
      <w:r w:rsidRPr="00642312">
        <w:t>designed to inform customers about affordable internet options, and it would be inappropriate for ratepayer funds to be used to this end.</w:t>
      </w:r>
      <w:r w:rsidRPr="00642312">
        <w:rPr>
          <w:vertAlign w:val="superscript"/>
        </w:rPr>
        <w:footnoteReference w:id="1145"/>
      </w:r>
      <w:r w:rsidRPr="00642312">
        <w:t xml:space="preserve"> </w:t>
      </w:r>
    </w:p>
    <w:p w:rsidR="000C1980" w:rsidP="007A6C0A" w:rsidRDefault="000C1980" w14:paraId="4D83E48A" w14:textId="21D4239F">
      <w:pPr>
        <w:pStyle w:val="Heading4"/>
      </w:pPr>
      <w:bookmarkStart w:name="_Toc69948390" w:id="754"/>
      <w:r w:rsidRPr="000D02EE">
        <w:t>SoCalGas</w:t>
      </w:r>
      <w:bookmarkEnd w:id="754"/>
    </w:p>
    <w:p w:rsidRPr="00CD3602" w:rsidR="000C1980" w:rsidP="0023091F" w:rsidRDefault="000C1980" w14:paraId="57E3675C" w14:textId="77777777">
      <w:pPr>
        <w:pStyle w:val="ALJBodyText"/>
      </w:pPr>
      <w:r w:rsidRPr="00CD3602">
        <w:t>SoCalGas</w:t>
      </w:r>
      <w:r>
        <w:t xml:space="preserve"> </w:t>
      </w:r>
      <w:r w:rsidRPr="00EF2AED">
        <w:t>argues that CETF’s suggestions are beyond the scope of this proceeding</w:t>
      </w:r>
      <w:r w:rsidRPr="00A6245D">
        <w:t xml:space="preserve"> </w:t>
      </w:r>
      <w:r w:rsidRPr="00642312">
        <w:t>and would be</w:t>
      </w:r>
      <w:r>
        <w:t xml:space="preserve"> an</w:t>
      </w:r>
      <w:r w:rsidRPr="00642312">
        <w:t xml:space="preserve"> inappropriate </w:t>
      </w:r>
      <w:r>
        <w:t xml:space="preserve">use of </w:t>
      </w:r>
      <w:r w:rsidRPr="00642312">
        <w:t>ratepayer</w:t>
      </w:r>
      <w:r w:rsidRPr="00CD3602">
        <w:t>.</w:t>
      </w:r>
      <w:r w:rsidRPr="00CD3602">
        <w:rPr>
          <w:rStyle w:val="FootnoteReference"/>
        </w:rPr>
        <w:footnoteReference w:id="1146"/>
      </w:r>
      <w:r>
        <w:t xml:space="preserve">  Lastly, SoCalGas states that th</w:t>
      </w:r>
      <w:r w:rsidRPr="003B2C32">
        <w:t xml:space="preserve">e IOUs </w:t>
      </w:r>
      <w:r>
        <w:t xml:space="preserve">have </w:t>
      </w:r>
      <w:r w:rsidRPr="003B2C32">
        <w:t>entered jointly into discussions with CETF to promote affordable</w:t>
      </w:r>
      <w:r>
        <w:t xml:space="preserve"> </w:t>
      </w:r>
      <w:r w:rsidRPr="003B2C32">
        <w:t>broadband messaging in communications to low income customers</w:t>
      </w:r>
      <w:r>
        <w:t xml:space="preserve"> which should remove f</w:t>
      </w:r>
      <w:r w:rsidRPr="003B2C32">
        <w:t>urther affordable broadband discussions from this</w:t>
      </w:r>
      <w:r>
        <w:t xml:space="preserve"> </w:t>
      </w:r>
      <w:r w:rsidRPr="003B2C32">
        <w:t>proceeding</w:t>
      </w:r>
      <w:r>
        <w:t xml:space="preserve"> with a</w:t>
      </w:r>
      <w:r w:rsidRPr="003B2C32">
        <w:t xml:space="preserve">ny ongoing discussions </w:t>
      </w:r>
      <w:r>
        <w:t>to</w:t>
      </w:r>
      <w:r w:rsidRPr="003B2C32">
        <w:t xml:space="preserve"> take place within the recently issued Order</w:t>
      </w:r>
      <w:r>
        <w:t xml:space="preserve"> I</w:t>
      </w:r>
      <w:r w:rsidRPr="003B2C32">
        <w:t>nstituting Rulemaking (OIR) Regarding Broadband Infrastructure Deployment and to Support</w:t>
      </w:r>
      <w:r>
        <w:t xml:space="preserve"> </w:t>
      </w:r>
      <w:r w:rsidRPr="003B2C32">
        <w:t>Service Providers in the State of California.</w:t>
      </w:r>
      <w:r>
        <w:rPr>
          <w:rStyle w:val="FootnoteReference"/>
        </w:rPr>
        <w:footnoteReference w:id="1147"/>
      </w:r>
    </w:p>
    <w:p w:rsidRPr="00FE7B9A" w:rsidR="000C1980" w:rsidP="007A6C0A" w:rsidRDefault="000C1980" w14:paraId="4A011D79" w14:textId="5B6DD452">
      <w:pPr>
        <w:pStyle w:val="Heading4"/>
      </w:pPr>
      <w:bookmarkStart w:name="_Toc69948391" w:id="755"/>
      <w:r w:rsidRPr="00FE7B9A">
        <w:t>SDG&amp;E</w:t>
      </w:r>
      <w:bookmarkEnd w:id="755"/>
    </w:p>
    <w:p w:rsidRPr="00984507" w:rsidR="000C1980" w:rsidP="0023091F" w:rsidRDefault="000C1980" w14:paraId="27D477C3" w14:textId="77777777">
      <w:pPr>
        <w:pStyle w:val="ALJBodyText"/>
      </w:pPr>
      <w:r>
        <w:t xml:space="preserve">SDG&amp;E </w:t>
      </w:r>
      <w:r w:rsidRPr="00CE6FA3">
        <w:t xml:space="preserve">is </w:t>
      </w:r>
      <w:proofErr w:type="gramStart"/>
      <w:r w:rsidRPr="00CE6FA3">
        <w:t>open</w:t>
      </w:r>
      <w:proofErr w:type="gramEnd"/>
      <w:r w:rsidRPr="00CE6FA3">
        <w:t xml:space="preserve"> to collaborating with CETF regarding </w:t>
      </w:r>
      <w:r w:rsidRPr="24DCB1AB">
        <w:rPr>
          <w:b/>
          <w:bCs/>
          <w:i/>
          <w:iCs/>
        </w:rPr>
        <w:t>no-cost</w:t>
      </w:r>
      <w:r w:rsidRPr="00CE6FA3">
        <w:t xml:space="preserve"> </w:t>
      </w:r>
      <w:r>
        <w:t>ME&amp;O</w:t>
      </w:r>
      <w:r w:rsidRPr="00CE6FA3">
        <w:t xml:space="preserve"> efforts to inform low</w:t>
      </w:r>
      <w:r>
        <w:t xml:space="preserve"> </w:t>
      </w:r>
      <w:r w:rsidRPr="00CE6FA3">
        <w:t>income electric and gas customers about affordable broadband offers</w:t>
      </w:r>
      <w:r>
        <w:t xml:space="preserve"> but opposes efforts that use </w:t>
      </w:r>
      <w:r w:rsidRPr="00CE6FA3">
        <w:t xml:space="preserve">electric and gas ratepayer funding. </w:t>
      </w:r>
      <w:r>
        <w:t xml:space="preserve">SDG&amp;E also argues that </w:t>
      </w:r>
      <w:r w:rsidRPr="00CE6FA3">
        <w:t xml:space="preserve">using gas utility ratepayer dollars for a program unrelated to natural gas related Public Purpose Programs is not authorized </w:t>
      </w:r>
      <w:r w:rsidRPr="00CE6FA3">
        <w:lastRenderedPageBreak/>
        <w:t>under Assembly Bill (AB) 1002,</w:t>
      </w:r>
      <w:r>
        <w:rPr>
          <w:rStyle w:val="FootnoteReference"/>
        </w:rPr>
        <w:footnoteReference w:id="1148"/>
      </w:r>
      <w:r w:rsidRPr="00CE6FA3">
        <w:t xml:space="preserve"> the Public</w:t>
      </w:r>
      <w:r>
        <w:t xml:space="preserve"> </w:t>
      </w:r>
      <w:r w:rsidRPr="00CE6FA3">
        <w:t xml:space="preserve">Utility Code, or Commission decisions. </w:t>
      </w:r>
      <w:r>
        <w:rPr>
          <w:rStyle w:val="FootnoteReference"/>
        </w:rPr>
        <w:footnoteReference w:id="1149"/>
      </w:r>
      <w:r>
        <w:t xml:space="preserve">  </w:t>
      </w:r>
    </w:p>
    <w:p w:rsidR="000C1980" w:rsidP="00473C7C" w:rsidRDefault="000C1980" w14:paraId="30BC28EF" w14:textId="57072622">
      <w:pPr>
        <w:pStyle w:val="Heading3"/>
        <w:tabs>
          <w:tab w:val="left" w:pos="2610"/>
        </w:tabs>
      </w:pPr>
      <w:bookmarkStart w:name="_Toc69948392" w:id="756"/>
      <w:r>
        <w:t>Discussion</w:t>
      </w:r>
      <w:bookmarkEnd w:id="756"/>
    </w:p>
    <w:p w:rsidRPr="00D91BCC" w:rsidR="000C1980" w:rsidP="00257E90" w:rsidRDefault="000C1980" w14:paraId="3D7B2A59" w14:textId="48617F55">
      <w:pPr>
        <w:pStyle w:val="Heading4"/>
        <w:rPr>
          <w:u w:val="single"/>
        </w:rPr>
      </w:pPr>
      <w:bookmarkStart w:name="_Toc69948393" w:id="757"/>
      <w:r w:rsidRPr="00D91BCC">
        <w:t xml:space="preserve">Coordination with </w:t>
      </w:r>
      <w:proofErr w:type="spellStart"/>
      <w:r w:rsidRPr="00D91BCC">
        <w:t>Life</w:t>
      </w:r>
      <w:r w:rsidR="00A935D7">
        <w:t>L</w:t>
      </w:r>
      <w:r w:rsidRPr="00D91BCC">
        <w:t>ine</w:t>
      </w:r>
      <w:proofErr w:type="spellEnd"/>
      <w:r w:rsidRPr="00D91BCC">
        <w:t xml:space="preserve"> and Other Broadband Services: </w:t>
      </w:r>
      <w:r w:rsidRPr="00D91BCC">
        <w:rPr>
          <w:u w:val="single"/>
        </w:rPr>
        <w:t>Approved per Joint Stipulation</w:t>
      </w:r>
      <w:bookmarkEnd w:id="757"/>
    </w:p>
    <w:p w:rsidR="000C1980" w:rsidP="0023091F" w:rsidRDefault="000C1980" w14:paraId="391463C9" w14:textId="3F5233E3">
      <w:pPr>
        <w:pStyle w:val="ALJBodyText"/>
      </w:pPr>
      <w:r>
        <w:t>As discussed in Sections 4.3.8.2 of this decision, w</w:t>
      </w:r>
      <w:r w:rsidRPr="00CB412C">
        <w:t xml:space="preserve">e direct the IOUs to coordinate cross-promotion of the </w:t>
      </w:r>
      <w:proofErr w:type="spellStart"/>
      <w:r w:rsidRPr="00CB412C">
        <w:t>Life</w:t>
      </w:r>
      <w:r w:rsidR="00A935D7">
        <w:t>L</w:t>
      </w:r>
      <w:r w:rsidRPr="00CB412C">
        <w:t>ine</w:t>
      </w:r>
      <w:proofErr w:type="spellEnd"/>
      <w:r w:rsidRPr="00CB412C">
        <w:t xml:space="preserve"> and affordable broadband programs with current ESA/CARE/FERA marketing efforts.</w:t>
      </w:r>
      <w:r>
        <w:t xml:space="preserve"> See</w:t>
      </w:r>
      <w:r w:rsidRPr="00CB412C">
        <w:t xml:space="preserve"> </w:t>
      </w:r>
      <w:r>
        <w:t>Section 4.3.8.2 and Attachment 6 for full details of the Joint Stipulation and funding arrangements.</w:t>
      </w:r>
      <w:r w:rsidRPr="00217AAA">
        <w:t xml:space="preserve"> </w:t>
      </w:r>
    </w:p>
    <w:p w:rsidR="000C1980" w:rsidP="00473C7C" w:rsidRDefault="000C1980" w14:paraId="5E44EC7C" w14:textId="1C3A68C1">
      <w:pPr>
        <w:pStyle w:val="Heading2"/>
        <w:tabs>
          <w:tab w:val="left" w:pos="1710"/>
        </w:tabs>
      </w:pPr>
      <w:bookmarkStart w:name="_Toc69948394" w:id="758"/>
      <w:r>
        <w:t xml:space="preserve">Tribal Outreach </w:t>
      </w:r>
      <w:r w:rsidRPr="00257E90">
        <w:t>Efforts</w:t>
      </w:r>
      <w:bookmarkEnd w:id="758"/>
    </w:p>
    <w:p w:rsidR="000C1980" w:rsidP="00473C7C" w:rsidRDefault="000C1980" w14:paraId="1531426B" w14:textId="77777777">
      <w:pPr>
        <w:pStyle w:val="Heading3"/>
        <w:tabs>
          <w:tab w:val="left" w:pos="2700"/>
        </w:tabs>
      </w:pPr>
      <w:bookmarkStart w:name="_Toc69948395" w:id="759"/>
      <w:r>
        <w:t>Background</w:t>
      </w:r>
      <w:bookmarkEnd w:id="759"/>
    </w:p>
    <w:p w:rsidRPr="00CB408E" w:rsidR="000C1980" w:rsidP="0023091F" w:rsidRDefault="000C1980" w14:paraId="1DCDAF88" w14:textId="372F699E">
      <w:pPr>
        <w:pStyle w:val="ALJBodyText"/>
      </w:pPr>
      <w:r w:rsidRPr="00CB408E">
        <w:t xml:space="preserve">Decision 16-11-022 directed the IOUs to conduct initial assessments of all </w:t>
      </w:r>
      <w:r w:rsidR="00182990">
        <w:t>T</w:t>
      </w:r>
      <w:r w:rsidRPr="00CB408E">
        <w:t xml:space="preserve">ribal communities </w:t>
      </w:r>
      <w:r>
        <w:t>for</w:t>
      </w:r>
      <w:r w:rsidRPr="00CB408E">
        <w:t xml:space="preserve"> ESA </w:t>
      </w:r>
      <w:r>
        <w:t>p</w:t>
      </w:r>
      <w:r w:rsidRPr="00CB408E">
        <w:t xml:space="preserve">rogram participation by the end of 2020, utilize </w:t>
      </w:r>
      <w:r w:rsidR="00182990">
        <w:t>T</w:t>
      </w:r>
      <w:r w:rsidRPr="00CB408E">
        <w:t>ribal consultations for coordinated deployment,</w:t>
      </w:r>
      <w:r w:rsidRPr="00CB408E">
        <w:rPr>
          <w:vertAlign w:val="superscript"/>
        </w:rPr>
        <w:footnoteReference w:id="1150"/>
      </w:r>
      <w:r w:rsidRPr="00CB408E">
        <w:t xml:space="preserve"> and pursue MOUs with </w:t>
      </w:r>
      <w:r w:rsidR="00182990">
        <w:t>T</w:t>
      </w:r>
      <w:r w:rsidRPr="00CB408E">
        <w:t>ribal groups that own or manage multi-family housing for low</w:t>
      </w:r>
      <w:r>
        <w:t xml:space="preserve"> </w:t>
      </w:r>
      <w:r w:rsidRPr="00CB408E">
        <w:t>income Californians to leverage programs and encourage ESA participation.</w:t>
      </w:r>
      <w:r w:rsidRPr="00CB408E">
        <w:rPr>
          <w:vertAlign w:val="superscript"/>
        </w:rPr>
        <w:footnoteReference w:id="1151"/>
      </w:r>
      <w:r w:rsidRPr="00CB408E">
        <w:t xml:space="preserve"> D</w:t>
      </w:r>
      <w:r>
        <w:t>.</w:t>
      </w:r>
      <w:r w:rsidRPr="00CB408E">
        <w:t>17</w:t>
      </w:r>
      <w:r>
        <w:noBreakHyphen/>
      </w:r>
      <w:r w:rsidRPr="00CB408E">
        <w:t>12</w:t>
      </w:r>
      <w:r>
        <w:noBreakHyphen/>
      </w:r>
      <w:r w:rsidRPr="00CB408E">
        <w:t xml:space="preserve">009 further directed the </w:t>
      </w:r>
      <w:r w:rsidRPr="007A083C">
        <w:t xml:space="preserve">IOUs </w:t>
      </w:r>
      <w:r w:rsidRPr="00CB408E">
        <w:t>to</w:t>
      </w:r>
      <w:r w:rsidRPr="007A083C">
        <w:t xml:space="preserve"> consider partnerships with local, state, federal, </w:t>
      </w:r>
      <w:r w:rsidR="00182990">
        <w:t>T</w:t>
      </w:r>
      <w:r w:rsidRPr="007A083C">
        <w:t>ribal or</w:t>
      </w:r>
      <w:r w:rsidRPr="00CB408E">
        <w:t xml:space="preserve"> </w:t>
      </w:r>
      <w:r w:rsidRPr="007A083C">
        <w:t>non-profit agencies or programs to leverage water/energy nexus efforts to</w:t>
      </w:r>
      <w:r w:rsidRPr="00CB408E">
        <w:t xml:space="preserve"> address the local needs of IOU low income energy customers,</w:t>
      </w:r>
      <w:r w:rsidRPr="00CB408E">
        <w:rPr>
          <w:vertAlign w:val="superscript"/>
        </w:rPr>
        <w:footnoteReference w:id="1152"/>
      </w:r>
      <w:r w:rsidRPr="00CB408E">
        <w:t xml:space="preserve"> develop and implement an owner or authorized representative affidavit process </w:t>
      </w:r>
      <w:r w:rsidRPr="00CB408E">
        <w:lastRenderedPageBreak/>
        <w:t xml:space="preserve">for buildings located in federally </w:t>
      </w:r>
      <w:r w:rsidRPr="00400F35">
        <w:t xml:space="preserve">recognized </w:t>
      </w:r>
      <w:r w:rsidR="00182990">
        <w:t>T</w:t>
      </w:r>
      <w:r w:rsidRPr="00400F35">
        <w:t>ribal reservation</w:t>
      </w:r>
      <w:r w:rsidRPr="00CB408E">
        <w:t>s for whole building enrollment,</w:t>
      </w:r>
      <w:r w:rsidRPr="00CB408E">
        <w:rPr>
          <w:vertAlign w:val="superscript"/>
        </w:rPr>
        <w:footnoteReference w:id="1153"/>
      </w:r>
      <w:r w:rsidRPr="00CB408E">
        <w:t xml:space="preserve"> and directed </w:t>
      </w:r>
      <w:r w:rsidR="00182990">
        <w:t>T</w:t>
      </w:r>
      <w:r w:rsidRPr="00CB408E">
        <w:t>ribal consultations to occur as part of the IOUs overall treatment goals.</w:t>
      </w:r>
      <w:r w:rsidRPr="00CB408E">
        <w:rPr>
          <w:vertAlign w:val="superscript"/>
        </w:rPr>
        <w:footnoteReference w:id="1154"/>
      </w:r>
      <w:r w:rsidRPr="00CB408E">
        <w:t xml:space="preserve"> </w:t>
      </w:r>
    </w:p>
    <w:p w:rsidRPr="00CB408E" w:rsidR="000C1980" w:rsidP="0023091F" w:rsidRDefault="000C1980" w14:paraId="76D3B1C5" w14:textId="30F3B023">
      <w:pPr>
        <w:pStyle w:val="ALJBodyText"/>
      </w:pPr>
      <w:r w:rsidRPr="00CB408E">
        <w:t xml:space="preserve">On December 22, 2020, an ALJ ruling was issued seeking party comments to a LIOB recommendation regarding </w:t>
      </w:r>
      <w:r w:rsidR="00182990">
        <w:t>T</w:t>
      </w:r>
      <w:r w:rsidRPr="00CB408E">
        <w:t>ribal outreach and efforts.</w:t>
      </w:r>
      <w:r>
        <w:t xml:space="preserve"> </w:t>
      </w:r>
      <w:r w:rsidRPr="00CB408E">
        <w:t xml:space="preserve"> The specific LIOB recommendation was:</w:t>
      </w:r>
    </w:p>
    <w:p w:rsidRPr="00CB408E" w:rsidR="000C1980" w:rsidP="0023091F" w:rsidRDefault="000C1980" w14:paraId="3257C9B4" w14:textId="77777777">
      <w:pPr>
        <w:pStyle w:val="ALJBodyText"/>
      </w:pPr>
      <w:r w:rsidRPr="00CB408E">
        <w:t xml:space="preserve">“We further recommend the Commission require IOUs to enhance Tribal outreach to include, but not be limited to the following measures: </w:t>
      </w:r>
    </w:p>
    <w:p w:rsidRPr="00CB408E" w:rsidR="000C1980" w:rsidP="0023091F" w:rsidRDefault="000C1980" w14:paraId="6CE1D109" w14:textId="77777777">
      <w:pPr>
        <w:pStyle w:val="ALJBodyText"/>
        <w:numPr>
          <w:ilvl w:val="0"/>
          <w:numId w:val="13"/>
        </w:numPr>
      </w:pPr>
      <w:r w:rsidRPr="00CB408E">
        <w:t xml:space="preserve">The normal outreach process to all </w:t>
      </w:r>
      <w:proofErr w:type="gramStart"/>
      <w:r w:rsidRPr="00CB408E">
        <w:t>low</w:t>
      </w:r>
      <w:r>
        <w:t xml:space="preserve"> </w:t>
      </w:r>
      <w:r w:rsidRPr="00CB408E">
        <w:t>income</w:t>
      </w:r>
      <w:proofErr w:type="gramEnd"/>
      <w:r w:rsidRPr="00CB408E">
        <w:t xml:space="preserve"> households. </w:t>
      </w:r>
    </w:p>
    <w:p w:rsidRPr="00CB408E" w:rsidR="000C1980" w:rsidP="0023091F" w:rsidRDefault="000C1980" w14:paraId="2E1D2D86" w14:textId="0FB8EB1C">
      <w:pPr>
        <w:pStyle w:val="ALJBodyText"/>
        <w:numPr>
          <w:ilvl w:val="0"/>
          <w:numId w:val="13"/>
        </w:numPr>
      </w:pPr>
      <w:r w:rsidRPr="00CB408E">
        <w:t xml:space="preserve">An additional outreach process specific to </w:t>
      </w:r>
      <w:r w:rsidR="00E37F5F">
        <w:t>T</w:t>
      </w:r>
      <w:r w:rsidRPr="00CB408E">
        <w:t xml:space="preserve">ribal nations, communities, and other entities, as defined by the Commission, that includes but is not limited to the following: </w:t>
      </w:r>
    </w:p>
    <w:p w:rsidRPr="00CB408E" w:rsidR="000C1980" w:rsidP="0023091F" w:rsidRDefault="000C1980" w14:paraId="30682CD8" w14:textId="77777777">
      <w:pPr>
        <w:pStyle w:val="ALJBodyText"/>
        <w:numPr>
          <w:ilvl w:val="1"/>
          <w:numId w:val="13"/>
        </w:numPr>
      </w:pPr>
      <w:r w:rsidRPr="00CB408E">
        <w:rPr>
          <w:u w:val="single"/>
        </w:rPr>
        <w:t>Initial Phase</w:t>
      </w:r>
      <w:r w:rsidRPr="00CB408E">
        <w:t xml:space="preserve">: This should consist of email, phone calls and letters through traditional mail and/or other tools to establish contact and develop a meaningful relationship if one does not exist. </w:t>
      </w:r>
    </w:p>
    <w:p w:rsidRPr="00CB408E" w:rsidR="000C1980" w:rsidP="0023091F" w:rsidRDefault="000C1980" w14:paraId="278D3908" w14:textId="44205415">
      <w:pPr>
        <w:pStyle w:val="ALJBodyText"/>
        <w:numPr>
          <w:ilvl w:val="1"/>
          <w:numId w:val="13"/>
        </w:numPr>
      </w:pPr>
      <w:r w:rsidRPr="00CB408E">
        <w:rPr>
          <w:u w:val="single"/>
        </w:rPr>
        <w:t>Establish No Less Than Two Main Contacts</w:t>
      </w:r>
      <w:r w:rsidRPr="00CB408E">
        <w:t xml:space="preserve">: Following initial outreach and communication, IOUs should establish two contacts, as Tribes sometimes experience high turnover. These may be any persons employed or on the governing council for all Native American Tribes within the State of California (in their respective service areas). These individuals should be liaisons to their </w:t>
      </w:r>
      <w:r w:rsidR="00E37F5F">
        <w:t>T</w:t>
      </w:r>
      <w:r w:rsidRPr="00CB408E">
        <w:t xml:space="preserve">ribal community for the ESA and CARE programs. </w:t>
      </w:r>
    </w:p>
    <w:p w:rsidRPr="00CB408E" w:rsidR="000C1980" w:rsidP="0023091F" w:rsidRDefault="000C1980" w14:paraId="6FD1A439" w14:textId="77777777">
      <w:pPr>
        <w:pStyle w:val="ALJBodyText"/>
        <w:numPr>
          <w:ilvl w:val="1"/>
          <w:numId w:val="13"/>
        </w:numPr>
      </w:pPr>
      <w:r w:rsidRPr="00CB408E">
        <w:rPr>
          <w:u w:val="single"/>
        </w:rPr>
        <w:lastRenderedPageBreak/>
        <w:t>Tribal Outreach Mini-Grant</w:t>
      </w:r>
      <w:r w:rsidRPr="00CB408E">
        <w:t xml:space="preserve">: Provide participating Tribes a grant of no less than $5,000 tied to </w:t>
      </w:r>
      <w:proofErr w:type="gramStart"/>
      <w:r w:rsidRPr="00CB408E">
        <w:t>two point</w:t>
      </w:r>
      <w:proofErr w:type="gramEnd"/>
      <w:r w:rsidRPr="00CB408E">
        <w:t xml:space="preserve"> persons at the Tribe maintaining regular communications with the IOUs and assisting in outreach for ESA and CARE. The LIOB suggests the grant program should have, but not be limited to the following benchmarks to help improve program outcomes: </w:t>
      </w:r>
    </w:p>
    <w:p w:rsidRPr="00CB408E" w:rsidR="000C1980" w:rsidP="0023091F" w:rsidRDefault="000C1980" w14:paraId="58960103" w14:textId="27468B56">
      <w:pPr>
        <w:pStyle w:val="ALJBodyText"/>
        <w:numPr>
          <w:ilvl w:val="2"/>
          <w:numId w:val="12"/>
        </w:numPr>
      </w:pPr>
      <w:r w:rsidRPr="00CB408E">
        <w:t xml:space="preserve">Face to face or virtual </w:t>
      </w:r>
      <w:proofErr w:type="gramStart"/>
      <w:r w:rsidRPr="00CB408E">
        <w:t>meeting</w:t>
      </w:r>
      <w:proofErr w:type="gramEnd"/>
      <w:r w:rsidRPr="00CB408E">
        <w:t xml:space="preserve"> between IOU representative and </w:t>
      </w:r>
      <w:r w:rsidR="00E37F5F">
        <w:t>T</w:t>
      </w:r>
      <w:r w:rsidRPr="00CB408E">
        <w:t xml:space="preserve">ribal points of contact </w:t>
      </w:r>
    </w:p>
    <w:p w:rsidRPr="00CB408E" w:rsidR="000C1980" w:rsidP="0023091F" w:rsidRDefault="000C1980" w14:paraId="0DB1B5EC" w14:textId="77777777">
      <w:pPr>
        <w:pStyle w:val="ALJBodyText"/>
        <w:numPr>
          <w:ilvl w:val="2"/>
          <w:numId w:val="12"/>
        </w:numPr>
      </w:pPr>
      <w:r w:rsidRPr="00CB408E">
        <w:t xml:space="preserve">Tribal receipt of IOU Point of Contact (Name, title, </w:t>
      </w:r>
      <w:proofErr w:type="gramStart"/>
      <w:r w:rsidRPr="00CB408E">
        <w:t>email</w:t>
      </w:r>
      <w:proofErr w:type="gramEnd"/>
      <w:r w:rsidRPr="00CB408E">
        <w:t xml:space="preserve"> and phone) for all inquiries </w:t>
      </w:r>
    </w:p>
    <w:p w:rsidRPr="00CB408E" w:rsidR="000C1980" w:rsidP="0023091F" w:rsidRDefault="000C1980" w14:paraId="759CCC70" w14:textId="77777777">
      <w:pPr>
        <w:pStyle w:val="ALJBodyText"/>
        <w:numPr>
          <w:ilvl w:val="2"/>
          <w:numId w:val="12"/>
        </w:numPr>
      </w:pPr>
      <w:r w:rsidRPr="00CB408E">
        <w:t xml:space="preserve">Developed understanding of Program Information for ESA and CARE to ensure an ability to serve as a liaison to the </w:t>
      </w:r>
      <w:proofErr w:type="gramStart"/>
      <w:r w:rsidRPr="00CB408E">
        <w:t>community</w:t>
      </w:r>
      <w:proofErr w:type="gramEnd"/>
      <w:r w:rsidRPr="00CB408E">
        <w:t xml:space="preserve"> </w:t>
      </w:r>
    </w:p>
    <w:p w:rsidRPr="00CB408E" w:rsidR="000C1980" w:rsidP="0023091F" w:rsidRDefault="000C1980" w14:paraId="1B5BDD40" w14:textId="77777777">
      <w:pPr>
        <w:pStyle w:val="ALJBodyText"/>
        <w:numPr>
          <w:ilvl w:val="2"/>
          <w:numId w:val="12"/>
        </w:numPr>
      </w:pPr>
      <w:r w:rsidRPr="00CB408E">
        <w:t xml:space="preserve">Be informed on all other outreach activities from the IOUs and their contractors. </w:t>
      </w:r>
    </w:p>
    <w:p w:rsidRPr="00C31700" w:rsidR="000C1980" w:rsidP="0023091F" w:rsidRDefault="000C1980" w14:paraId="2E439DC4" w14:textId="77777777">
      <w:pPr>
        <w:pStyle w:val="ALJBodyText"/>
        <w:numPr>
          <w:ilvl w:val="1"/>
          <w:numId w:val="13"/>
        </w:numPr>
      </w:pPr>
      <w:r w:rsidRPr="00CB408E">
        <w:rPr>
          <w:u w:val="single"/>
        </w:rPr>
        <w:t>Quarterly Updates:</w:t>
      </w:r>
      <w:r w:rsidRPr="00CB408E">
        <w:t xml:space="preserve"> The IOUs provide quarterly updates to LIOB on these efforts as part of their regular reports.”</w:t>
      </w:r>
    </w:p>
    <w:p w:rsidR="000C1980" w:rsidP="00257E90" w:rsidRDefault="000C1980" w14:paraId="730846E9" w14:textId="2163F1A1">
      <w:pPr>
        <w:pStyle w:val="Heading3"/>
      </w:pPr>
      <w:bookmarkStart w:name="_Toc69948396" w:id="760"/>
      <w:r>
        <w:t>Party Comments</w:t>
      </w:r>
      <w:bookmarkEnd w:id="760"/>
    </w:p>
    <w:p w:rsidR="000C1980" w:rsidP="00257E90" w:rsidRDefault="000C1980" w14:paraId="1F954944" w14:textId="77777777">
      <w:pPr>
        <w:pStyle w:val="Heading4"/>
      </w:pPr>
      <w:bookmarkStart w:name="_Toc69948397" w:id="761"/>
      <w:r>
        <w:t>PG&amp;E</w:t>
      </w:r>
      <w:bookmarkEnd w:id="761"/>
    </w:p>
    <w:p w:rsidRPr="00CB408E" w:rsidR="000C1980" w:rsidP="00473C7C" w:rsidRDefault="000C1980" w14:paraId="3D28697B" w14:textId="77777777">
      <w:pPr>
        <w:pStyle w:val="Standard"/>
      </w:pPr>
      <w:r>
        <w:t xml:space="preserve">In response to the ruling, </w:t>
      </w:r>
      <w:r w:rsidRPr="003933E0">
        <w:t xml:space="preserve">PG&amp;E </w:t>
      </w:r>
      <w:r w:rsidRPr="00EB077C">
        <w:t xml:space="preserve">states that 1) it </w:t>
      </w:r>
      <w:r w:rsidRPr="003933E0">
        <w:t>has already met and been deemed compliant with the D.16-11-022</w:t>
      </w:r>
      <w:r w:rsidRPr="00EB077C">
        <w:t xml:space="preserve"> </w:t>
      </w:r>
      <w:r w:rsidRPr="003933E0">
        <w:t>Tribal consultation requirements and therefore does not agree with setting a</w:t>
      </w:r>
      <w:r w:rsidRPr="00EB077C">
        <w:t xml:space="preserve"> </w:t>
      </w:r>
      <w:r w:rsidRPr="003933E0">
        <w:t>new timeline for Tribal consultation</w:t>
      </w:r>
      <w:r w:rsidRPr="00EB077C">
        <w:t xml:space="preserve">, 2) its </w:t>
      </w:r>
      <w:r w:rsidRPr="003933E0">
        <w:t>Tribal outreach currently exceeds the normal outreach process to all</w:t>
      </w:r>
      <w:r w:rsidRPr="00EB077C">
        <w:t xml:space="preserve"> l</w:t>
      </w:r>
      <w:r w:rsidRPr="003933E0">
        <w:t>ow</w:t>
      </w:r>
      <w:r>
        <w:t xml:space="preserve"> </w:t>
      </w:r>
      <w:r w:rsidRPr="003933E0">
        <w:t>income households,</w:t>
      </w:r>
      <w:r w:rsidRPr="00EB077C">
        <w:t xml:space="preserve"> 3) it a</w:t>
      </w:r>
      <w:r w:rsidRPr="003933E0">
        <w:t>lready follows the LIOB recommendation regarding an additional</w:t>
      </w:r>
      <w:r w:rsidRPr="00EB077C">
        <w:t xml:space="preserve"> o</w:t>
      </w:r>
      <w:r w:rsidRPr="003933E0">
        <w:t>utreach process specific to Tribal nations, communities and other entities, as</w:t>
      </w:r>
      <w:r w:rsidRPr="00EB077C">
        <w:t xml:space="preserve"> </w:t>
      </w:r>
      <w:r w:rsidRPr="003933E0">
        <w:t xml:space="preserve">defined by the Commission, consisting of: email, phone calls and </w:t>
      </w:r>
      <w:r w:rsidRPr="003933E0">
        <w:lastRenderedPageBreak/>
        <w:t>letters to</w:t>
      </w:r>
      <w:r w:rsidRPr="00EB077C">
        <w:t xml:space="preserve"> </w:t>
      </w:r>
      <w:r w:rsidRPr="003933E0">
        <w:t>establish contact and develop relationships; and establishment of no less than</w:t>
      </w:r>
      <w:r w:rsidRPr="00EB077C">
        <w:t xml:space="preserve"> </w:t>
      </w:r>
      <w:r w:rsidRPr="003933E0">
        <w:t>two main contacts,</w:t>
      </w:r>
      <w:r w:rsidRPr="00EB077C">
        <w:t xml:space="preserve"> 4) m</w:t>
      </w:r>
      <w:r w:rsidRPr="003933E0">
        <w:t>ore information and structure are needed before implementing Tribal</w:t>
      </w:r>
      <w:r w:rsidRPr="00EB077C">
        <w:t xml:space="preserve"> </w:t>
      </w:r>
      <w:r w:rsidRPr="003933E0">
        <w:t>Outreach Mini-Grants because of varying Tribal needs, and</w:t>
      </w:r>
      <w:r w:rsidRPr="00EB077C">
        <w:t xml:space="preserve"> 5) s</w:t>
      </w:r>
      <w:r w:rsidRPr="003933E0">
        <w:t>ince the IOUs already provide quarterly updates to LIOB on these efforts as</w:t>
      </w:r>
      <w:r w:rsidRPr="00EB077C">
        <w:t xml:space="preserve"> </w:t>
      </w:r>
      <w:r w:rsidRPr="003933E0">
        <w:t>part of their regular reports, the LIOB’s recommendation seems duplicative.</w:t>
      </w:r>
      <w:r w:rsidRPr="00EB077C">
        <w:rPr>
          <w:vertAlign w:val="superscript"/>
        </w:rPr>
        <w:footnoteReference w:id="1155"/>
      </w:r>
    </w:p>
    <w:p w:rsidR="000C1980" w:rsidP="00257E90" w:rsidRDefault="000C1980" w14:paraId="52635ADD" w14:textId="2387F4CA">
      <w:pPr>
        <w:pStyle w:val="Heading4"/>
      </w:pPr>
      <w:bookmarkStart w:name="_Toc69948398" w:id="762"/>
      <w:r>
        <w:t>SCE</w:t>
      </w:r>
      <w:bookmarkEnd w:id="762"/>
      <w:r>
        <w:t xml:space="preserve"> </w:t>
      </w:r>
    </w:p>
    <w:p w:rsidRPr="00EB077C" w:rsidR="000C1980" w:rsidP="00473C7C" w:rsidRDefault="000C1980" w14:paraId="48A1BF8E" w14:textId="07B13C47">
      <w:pPr>
        <w:pStyle w:val="Standard"/>
      </w:pPr>
      <w:r w:rsidRPr="00C31700">
        <w:t>SCE suggests that the Commission deny the LIOB</w:t>
      </w:r>
      <w:r w:rsidRPr="00636156">
        <w:t xml:space="preserve"> recommendations because SCE’s current and ongoing efforts </w:t>
      </w:r>
      <w:r w:rsidRPr="00C31700">
        <w:t xml:space="preserve">already </w:t>
      </w:r>
      <w:r w:rsidRPr="00636156">
        <w:t>meet the intent of LIOB’s</w:t>
      </w:r>
      <w:r w:rsidRPr="00C31700">
        <w:t xml:space="preserve"> proposal.  Specifically, SCE states that 1) it has already met the compliance requirements of D.16-11-022 and D.17-12-009 and has offered the ESA </w:t>
      </w:r>
      <w:r>
        <w:t>p</w:t>
      </w:r>
      <w:r w:rsidRPr="00C31700">
        <w:t xml:space="preserve">rogram to all 13 federally recognized tribes in SCE service territory, 2) it is already conducting the outreach and communication strategies as proposed by the LIOB with a designated </w:t>
      </w:r>
      <w:r w:rsidR="0004193F">
        <w:t>T</w:t>
      </w:r>
      <w:r w:rsidRPr="002634C9">
        <w:t xml:space="preserve">ribal liaison </w:t>
      </w:r>
      <w:r w:rsidRPr="00C31700">
        <w:t>that</w:t>
      </w:r>
      <w:r w:rsidRPr="002634C9">
        <w:t xml:space="preserve"> holds regular face-to-face and digital</w:t>
      </w:r>
      <w:r w:rsidRPr="00C31700">
        <w:t xml:space="preserve"> </w:t>
      </w:r>
      <w:r w:rsidRPr="002634C9">
        <w:t xml:space="preserve">meetings with all </w:t>
      </w:r>
      <w:r w:rsidR="0004193F">
        <w:t>T</w:t>
      </w:r>
      <w:r w:rsidRPr="002634C9">
        <w:t>ribal communities in the SCE service territory</w:t>
      </w:r>
      <w:r w:rsidRPr="00C31700">
        <w:t>, 3) its p</w:t>
      </w:r>
      <w:r w:rsidRPr="002634C9">
        <w:t xml:space="preserve">roposed 2021-2026 ESA and CARE </w:t>
      </w:r>
      <w:r w:rsidRPr="00C31700">
        <w:t>p</w:t>
      </w:r>
      <w:r w:rsidRPr="002634C9">
        <w:t xml:space="preserve">rogram </w:t>
      </w:r>
      <w:r w:rsidRPr="00C31700">
        <w:t>d</w:t>
      </w:r>
      <w:r w:rsidRPr="002634C9">
        <w:t xml:space="preserve">esign </w:t>
      </w:r>
      <w:r w:rsidRPr="00C31700">
        <w:t>fo</w:t>
      </w:r>
      <w:r w:rsidRPr="002634C9">
        <w:t xml:space="preserve">cuses on </w:t>
      </w:r>
      <w:r w:rsidRPr="00C31700">
        <w:t>e</w:t>
      </w:r>
      <w:r w:rsidRPr="002634C9">
        <w:t>nhanced</w:t>
      </w:r>
      <w:r w:rsidRPr="00C31700">
        <w:t xml:space="preserve"> </w:t>
      </w:r>
      <w:r w:rsidRPr="002634C9">
        <w:t xml:space="preserve">Tribal </w:t>
      </w:r>
      <w:r w:rsidRPr="00C31700">
        <w:t>o</w:t>
      </w:r>
      <w:r w:rsidRPr="002634C9">
        <w:t xml:space="preserve">utreach </w:t>
      </w:r>
      <w:r w:rsidRPr="00C31700">
        <w:t>e</w:t>
      </w:r>
      <w:r w:rsidRPr="002634C9">
        <w:t>fforts</w:t>
      </w:r>
      <w:r w:rsidRPr="00C31700">
        <w:t xml:space="preserve"> that address the </w:t>
      </w:r>
      <w:r w:rsidRPr="002634C9">
        <w:t>concerns raised by the LIOB</w:t>
      </w:r>
      <w:r w:rsidRPr="00C31700">
        <w:t>, and 4)</w:t>
      </w:r>
      <w:r w:rsidRPr="002634C9">
        <w:t xml:space="preserve"> </w:t>
      </w:r>
      <w:r w:rsidRPr="00C31700">
        <w:t>a</w:t>
      </w:r>
      <w:r w:rsidRPr="002634C9">
        <w:t xml:space="preserve"> “Mini-Grant” </w:t>
      </w:r>
      <w:r w:rsidRPr="00C31700">
        <w:t>i</w:t>
      </w:r>
      <w:r w:rsidRPr="002634C9">
        <w:t xml:space="preserve">s </w:t>
      </w:r>
      <w:r w:rsidRPr="00C31700">
        <w:t>n</w:t>
      </w:r>
      <w:r w:rsidRPr="002634C9">
        <w:t xml:space="preserve">ot </w:t>
      </w:r>
      <w:r w:rsidRPr="00C31700">
        <w:t>n</w:t>
      </w:r>
      <w:r w:rsidRPr="002634C9">
        <w:t>ecessary</w:t>
      </w:r>
      <w:r w:rsidRPr="00C31700">
        <w:t xml:space="preserve"> because</w:t>
      </w:r>
      <w:r w:rsidRPr="002634C9">
        <w:t xml:space="preserve"> SCE already maintains continuous contact with </w:t>
      </w:r>
      <w:r w:rsidR="0004193F">
        <w:t>T</w:t>
      </w:r>
      <w:r w:rsidRPr="002634C9">
        <w:t>ribal</w:t>
      </w:r>
      <w:r w:rsidRPr="00C31700">
        <w:t xml:space="preserve"> </w:t>
      </w:r>
      <w:r w:rsidRPr="002634C9">
        <w:t>communities within its service territory through an SCE liaison</w:t>
      </w:r>
      <w:r w:rsidRPr="00C31700">
        <w:t xml:space="preserve">, the </w:t>
      </w:r>
      <w:r w:rsidRPr="002634C9">
        <w:t>two point-person</w:t>
      </w:r>
      <w:r w:rsidRPr="00C31700">
        <w:t xml:space="preserve"> structure limits</w:t>
      </w:r>
      <w:r w:rsidRPr="002634C9">
        <w:t xml:space="preserve"> flexibility</w:t>
      </w:r>
      <w:r w:rsidRPr="00C31700">
        <w:t xml:space="preserve">, and </w:t>
      </w:r>
      <w:r w:rsidRPr="002634C9">
        <w:t xml:space="preserve">activities </w:t>
      </w:r>
      <w:r w:rsidRPr="00C31700">
        <w:t>would be limited to those</w:t>
      </w:r>
      <w:r w:rsidRPr="002634C9">
        <w:t xml:space="preserve"> more closely tied to</w:t>
      </w:r>
      <w:r w:rsidRPr="00C31700">
        <w:t xml:space="preserve"> </w:t>
      </w:r>
      <w:r w:rsidRPr="002634C9">
        <w:t xml:space="preserve">the proposed benchmarks. </w:t>
      </w:r>
      <w:r>
        <w:t xml:space="preserve"> </w:t>
      </w:r>
      <w:r w:rsidRPr="002634C9">
        <w:t>Instead of adopting the proposed mini</w:t>
      </w:r>
      <w:r>
        <w:noBreakHyphen/>
      </w:r>
      <w:r w:rsidRPr="002634C9">
        <w:t>grant, SCE recommends the</w:t>
      </w:r>
      <w:r w:rsidRPr="00C31700">
        <w:t xml:space="preserve"> </w:t>
      </w:r>
      <w:r w:rsidRPr="002634C9">
        <w:t xml:space="preserve">Commission continue to allow the IOUs the flexibility to customize outreach efforts with </w:t>
      </w:r>
      <w:r w:rsidR="0004193F">
        <w:t>T</w:t>
      </w:r>
      <w:r w:rsidRPr="002634C9">
        <w:t>ribal</w:t>
      </w:r>
      <w:r w:rsidRPr="00C31700">
        <w:t xml:space="preserve"> </w:t>
      </w:r>
      <w:r w:rsidRPr="002634C9">
        <w:t xml:space="preserve">communities </w:t>
      </w:r>
      <w:proofErr w:type="gramStart"/>
      <w:r w:rsidRPr="002634C9">
        <w:t>as long as</w:t>
      </w:r>
      <w:proofErr w:type="gramEnd"/>
      <w:r w:rsidRPr="002634C9">
        <w:t xml:space="preserve"> those efforts lead to </w:t>
      </w:r>
      <w:r w:rsidR="0004193F">
        <w:t>T</w:t>
      </w:r>
      <w:r w:rsidRPr="002634C9">
        <w:t>ribal enrollments and installations.</w:t>
      </w:r>
      <w:r w:rsidRPr="00C31700">
        <w:rPr>
          <w:vertAlign w:val="superscript"/>
        </w:rPr>
        <w:footnoteReference w:id="1156"/>
      </w:r>
      <w:r w:rsidRPr="002634C9">
        <w:t xml:space="preserve"> </w:t>
      </w:r>
    </w:p>
    <w:p w:rsidR="000C1980" w:rsidP="00257E90" w:rsidRDefault="000C1980" w14:paraId="003E7A50" w14:textId="1E627B4E">
      <w:pPr>
        <w:pStyle w:val="Heading4"/>
      </w:pPr>
      <w:bookmarkStart w:name="_Toc69948399" w:id="763"/>
      <w:r>
        <w:lastRenderedPageBreak/>
        <w:t>SoCalGas</w:t>
      </w:r>
      <w:bookmarkEnd w:id="763"/>
      <w:r>
        <w:t xml:space="preserve"> </w:t>
      </w:r>
    </w:p>
    <w:p w:rsidRPr="00C31700" w:rsidR="000C1980" w:rsidP="00473C7C" w:rsidRDefault="000C1980" w14:paraId="77E70CBA" w14:textId="5B22F3AA">
      <w:pPr>
        <w:pStyle w:val="Standard"/>
      </w:pPr>
      <w:r w:rsidRPr="009D5626">
        <w:t>SoCalGas responds by 1) providing an overview of existing and proposed outreach efforts, including general awareness, direct marketing, internal and external channel coordination, and community outreach, 2) stating that it works with multiple Tribal organizations (in addition to Tribes) to promote ESA, 3)</w:t>
      </w:r>
      <w:r>
        <w:t> </w:t>
      </w:r>
      <w:r w:rsidRPr="009D5626">
        <w:t xml:space="preserve">supports the idea of establishing two contacts to serve as liaisons to their </w:t>
      </w:r>
      <w:r w:rsidR="00724629">
        <w:t>T</w:t>
      </w:r>
      <w:r w:rsidRPr="009D5626">
        <w:t xml:space="preserve">ribal community, 4) supports awarding grants to conduct outreach in the </w:t>
      </w:r>
      <w:r w:rsidR="00724629">
        <w:t>T</w:t>
      </w:r>
      <w:r w:rsidRPr="009D5626">
        <w:t xml:space="preserve">ribal community to help the company meet program goals, with the flexibility to negotiate and tailor the awards, and 5) stating that it already provides quarterly updates to the LIOB regarding </w:t>
      </w:r>
      <w:r w:rsidR="00724629">
        <w:t>T</w:t>
      </w:r>
      <w:r w:rsidRPr="009D5626">
        <w:t>ribal community.</w:t>
      </w:r>
      <w:r w:rsidRPr="009D5626">
        <w:rPr>
          <w:vertAlign w:val="superscript"/>
        </w:rPr>
        <w:footnoteReference w:id="1157"/>
      </w:r>
    </w:p>
    <w:p w:rsidR="000C1980" w:rsidP="00257E90" w:rsidRDefault="000C1980" w14:paraId="75E02837" w14:textId="0B6DB1C3">
      <w:pPr>
        <w:pStyle w:val="Heading4"/>
      </w:pPr>
      <w:bookmarkStart w:name="_Toc69948400" w:id="764"/>
      <w:r>
        <w:t>SDG&amp;E</w:t>
      </w:r>
      <w:bookmarkEnd w:id="764"/>
      <w:r>
        <w:t xml:space="preserve"> </w:t>
      </w:r>
    </w:p>
    <w:p w:rsidRPr="009D5626" w:rsidR="000C1980" w:rsidP="00473C7C" w:rsidRDefault="000C1980" w14:paraId="3373BCBE" w14:textId="521BC3D7">
      <w:pPr>
        <w:pStyle w:val="Standard"/>
      </w:pPr>
      <w:r w:rsidRPr="00B67FFA">
        <w:t xml:space="preserve">SDG&amp;E states that 1) it has been, and will continue to be, engaged with </w:t>
      </w:r>
      <w:r w:rsidR="00724629">
        <w:t>T</w:t>
      </w:r>
      <w:r w:rsidRPr="00B67FFA">
        <w:t xml:space="preserve">ribal communities </w:t>
      </w:r>
      <w:r w:rsidRPr="008010BF">
        <w:t>to develop partnerships, educate, and address concerns</w:t>
      </w:r>
      <w:r w:rsidRPr="00B67FFA">
        <w:t xml:space="preserve">, including continuing to have a </w:t>
      </w:r>
      <w:r w:rsidRPr="008010BF">
        <w:t xml:space="preserve">dedicated </w:t>
      </w:r>
      <w:r w:rsidR="00724629">
        <w:t>T</w:t>
      </w:r>
      <w:r w:rsidRPr="008010BF">
        <w:t>ribal liaison for all</w:t>
      </w:r>
      <w:r w:rsidRPr="00B67FFA">
        <w:t xml:space="preserve"> </w:t>
      </w:r>
      <w:r w:rsidR="00641006">
        <w:t>T</w:t>
      </w:r>
      <w:r w:rsidRPr="008010BF">
        <w:t xml:space="preserve">ribal inquiries and to support tribes with information and </w:t>
      </w:r>
      <w:r w:rsidRPr="00B67FFA">
        <w:t xml:space="preserve">programs, 2) </w:t>
      </w:r>
      <w:r w:rsidRPr="008010BF">
        <w:t xml:space="preserve">it would </w:t>
      </w:r>
      <w:r w:rsidRPr="00B67FFA">
        <w:t xml:space="preserve">not </w:t>
      </w:r>
      <w:r w:rsidRPr="008010BF">
        <w:t>be appropriate to offer a grant upfront in exchange for</w:t>
      </w:r>
      <w:r w:rsidRPr="00B67FFA">
        <w:t xml:space="preserve"> </w:t>
      </w:r>
      <w:r w:rsidRPr="008010BF">
        <w:t>information and a point of contact</w:t>
      </w:r>
      <w:r w:rsidRPr="00B67FFA">
        <w:t xml:space="preserve"> as </w:t>
      </w:r>
      <w:r w:rsidRPr="008010BF">
        <w:t>support in this context</w:t>
      </w:r>
      <w:r w:rsidRPr="00B67FFA">
        <w:t xml:space="preserve"> </w:t>
      </w:r>
      <w:r w:rsidRPr="008010BF">
        <w:t>could be</w:t>
      </w:r>
      <w:r w:rsidRPr="00B67FFA">
        <w:t xml:space="preserve"> </w:t>
      </w:r>
      <w:r w:rsidRPr="008010BF">
        <w:t>perceived as “pay to play” and potentially discourage further discussions and partnerships from</w:t>
      </w:r>
      <w:r w:rsidRPr="00B67FFA">
        <w:t xml:space="preserve"> occurring, and instead recommends adding these </w:t>
      </w:r>
      <w:r w:rsidR="00641006">
        <w:t>T</w:t>
      </w:r>
      <w:r w:rsidRPr="00B67FFA">
        <w:t xml:space="preserve">ribal governments as Energy Solutions Partners, and 3) it already provides quarterly updates to the LIOB regarding the </w:t>
      </w:r>
      <w:r w:rsidR="00641006">
        <w:t>T</w:t>
      </w:r>
      <w:r w:rsidRPr="00B67FFA">
        <w:t>ribal community.</w:t>
      </w:r>
      <w:r w:rsidRPr="00B67FFA">
        <w:rPr>
          <w:vertAlign w:val="superscript"/>
        </w:rPr>
        <w:footnoteReference w:id="1158"/>
      </w:r>
      <w:r w:rsidRPr="00B67FFA">
        <w:t xml:space="preserve">  Lastly, SDG&amp;E contests the statement that the IOUs have not complied or met the obligations of D.17-12-009</w:t>
      </w:r>
      <w:r>
        <w:t>, a</w:t>
      </w:r>
      <w:r w:rsidRPr="00B67FFA">
        <w:t>nd recommends that Energy Division provide a standardized template for reporting.</w:t>
      </w:r>
      <w:r w:rsidRPr="00B67FFA">
        <w:rPr>
          <w:vertAlign w:val="superscript"/>
        </w:rPr>
        <w:footnoteReference w:id="1159"/>
      </w:r>
    </w:p>
    <w:p w:rsidR="000C1980" w:rsidP="00257E90" w:rsidRDefault="000C1980" w14:paraId="7A1C9B1D" w14:textId="6F1F0557">
      <w:pPr>
        <w:pStyle w:val="Heading4"/>
      </w:pPr>
      <w:bookmarkStart w:name="_Toc69948401" w:id="765"/>
      <w:r>
        <w:lastRenderedPageBreak/>
        <w:t>Cal Advocates</w:t>
      </w:r>
      <w:bookmarkEnd w:id="765"/>
      <w:r>
        <w:t xml:space="preserve"> </w:t>
      </w:r>
    </w:p>
    <w:p w:rsidRPr="002E55E1" w:rsidR="000C1980" w:rsidP="00473C7C" w:rsidRDefault="000C1980" w14:paraId="36779C6D" w14:textId="0A548B64">
      <w:pPr>
        <w:pStyle w:val="Standard"/>
      </w:pPr>
      <w:r>
        <w:t xml:space="preserve">Cal Advocates recommends that 1) the Commission </w:t>
      </w:r>
      <w:r w:rsidRPr="002E55E1">
        <w:t xml:space="preserve">use </w:t>
      </w:r>
      <w:r>
        <w:t xml:space="preserve">a </w:t>
      </w:r>
      <w:r w:rsidRPr="002E55E1">
        <w:t xml:space="preserve">definition </w:t>
      </w:r>
      <w:r w:rsidRPr="00BE278E">
        <w:t xml:space="preserve">of </w:t>
      </w:r>
      <w:r w:rsidR="00641006">
        <w:t>T</w:t>
      </w:r>
      <w:r w:rsidRPr="00BE278E">
        <w:t>ribal communities consistent with other Commission efforts, including its Tribal and the Tribal Technical Assistance</w:t>
      </w:r>
      <w:r>
        <w:t xml:space="preserve"> </w:t>
      </w:r>
      <w:r w:rsidRPr="00BE278E">
        <w:t>Grant Program</w:t>
      </w:r>
      <w:r>
        <w:t xml:space="preserve">, 2) the </w:t>
      </w:r>
      <w:r w:rsidRPr="004567E2">
        <w:t>two main</w:t>
      </w:r>
      <w:r>
        <w:t xml:space="preserve"> </w:t>
      </w:r>
      <w:r w:rsidRPr="004567E2">
        <w:t xml:space="preserve">contacts </w:t>
      </w:r>
      <w:r>
        <w:t>that are to</w:t>
      </w:r>
      <w:r w:rsidRPr="004567E2">
        <w:t xml:space="preserve"> be liaisons for each Tribal community</w:t>
      </w:r>
      <w:r w:rsidRPr="721243B8">
        <w:rPr>
          <w:rFonts w:ascii="TimesNewRomanPSMT" w:hAnsi="TimesNewRomanPSMT" w:cs="TimesNewRomanPSMT"/>
        </w:rPr>
        <w:t xml:space="preserve"> </w:t>
      </w:r>
      <w:r w:rsidRPr="001C441F">
        <w:t>be employed by, designated by,</w:t>
      </w:r>
      <w:r>
        <w:t xml:space="preserve"> </w:t>
      </w:r>
      <w:r w:rsidRPr="001C441F">
        <w:t>or on the governing council of the Tribe</w:t>
      </w:r>
      <w:r>
        <w:t xml:space="preserve">, and be provided access to the IOUs’ administrative and outreach resources, 3) the IOUs </w:t>
      </w:r>
      <w:r w:rsidRPr="009D68FB">
        <w:t>assess ESA program eligibility in Tribes and</w:t>
      </w:r>
      <w:r>
        <w:t xml:space="preserve"> </w:t>
      </w:r>
      <w:r w:rsidRPr="009D68FB">
        <w:t xml:space="preserve">update household treatment goals </w:t>
      </w:r>
      <w:r>
        <w:t>in their 2021</w:t>
      </w:r>
      <w:r w:rsidR="00473C7C">
        <w:noBreakHyphen/>
      </w:r>
      <w:r>
        <w:t xml:space="preserve">2026 applications, 4) </w:t>
      </w:r>
      <w:r w:rsidRPr="000F32E7">
        <w:t>the IOUs and ESA contractors</w:t>
      </w:r>
      <w:r>
        <w:t xml:space="preserve"> </w:t>
      </w:r>
      <w:r w:rsidRPr="000F32E7">
        <w:t>work with Tribes to reduce travel expenses by ESA contractors and prevent</w:t>
      </w:r>
      <w:r>
        <w:t xml:space="preserve"> </w:t>
      </w:r>
      <w:r w:rsidRPr="000F32E7">
        <w:t>installation delays</w:t>
      </w:r>
      <w:r>
        <w:t xml:space="preserve">, 5) the Commission set </w:t>
      </w:r>
      <w:r w:rsidRPr="005F1A61">
        <w:t>specif</w:t>
      </w:r>
      <w:r>
        <w:t>ic</w:t>
      </w:r>
      <w:r w:rsidRPr="005F1A61">
        <w:t xml:space="preserve"> uses for the </w:t>
      </w:r>
      <w:r>
        <w:t xml:space="preserve">mini-grant </w:t>
      </w:r>
      <w:r w:rsidRPr="005F1A61">
        <w:t>funds and provide specific goals</w:t>
      </w:r>
      <w:r>
        <w:t xml:space="preserve"> (</w:t>
      </w:r>
      <w:r w:rsidRPr="00473C7C">
        <w:rPr>
          <w:i/>
          <w:iCs/>
        </w:rPr>
        <w:t>i.e</w:t>
      </w:r>
      <w:r>
        <w:t xml:space="preserve">. </w:t>
      </w:r>
      <w:r w:rsidRPr="0017694E">
        <w:t>grant funds should be used for labor costs</w:t>
      </w:r>
      <w:r>
        <w:t xml:space="preserve">, </w:t>
      </w:r>
      <w:r w:rsidRPr="0017694E">
        <w:t>travel expenses and costs associated with communicating with residents and</w:t>
      </w:r>
      <w:r>
        <w:t xml:space="preserve"> </w:t>
      </w:r>
      <w:r w:rsidRPr="0017694E">
        <w:t>IOUs</w:t>
      </w:r>
      <w:r>
        <w:t>; efforts should include t</w:t>
      </w:r>
      <w:r w:rsidRPr="00A07B8D">
        <w:t>ribes assess</w:t>
      </w:r>
      <w:r>
        <w:t xml:space="preserve">ing for </w:t>
      </w:r>
      <w:r w:rsidRPr="00A07B8D">
        <w:t>ESA eligibility and identify</w:t>
      </w:r>
      <w:r>
        <w:t xml:space="preserve">ing </w:t>
      </w:r>
      <w:r w:rsidRPr="00A07B8D">
        <w:t>new ESA-eligible customers</w:t>
      </w:r>
      <w:r>
        <w:t xml:space="preserve">; outcomes should include increased participation in CARE and ESA), and 6) the Commission set a budget cap of $820,000 assuming </w:t>
      </w:r>
      <w:r w:rsidRPr="00F2043D">
        <w:t xml:space="preserve">every </w:t>
      </w:r>
      <w:r>
        <w:t>t</w:t>
      </w:r>
      <w:r w:rsidRPr="00F2043D">
        <w:t>ribe as defined by the Tribal Technical Assistance Grant Program</w:t>
      </w:r>
      <w:r>
        <w:t xml:space="preserve"> </w:t>
      </w:r>
      <w:r w:rsidRPr="00F2043D">
        <w:t>participates in the Tribal Outreach Mini-Grant program</w:t>
      </w:r>
      <w:r>
        <w:t>, with the option for the IOUs to file a T</w:t>
      </w:r>
      <w:r w:rsidRPr="002E55E1">
        <w:t xml:space="preserve">ier 2 or 3 </w:t>
      </w:r>
      <w:r>
        <w:t>advice letter to request additional funds.</w:t>
      </w:r>
      <w:r>
        <w:rPr>
          <w:rStyle w:val="FootnoteReference"/>
        </w:rPr>
        <w:footnoteReference w:id="1160"/>
      </w:r>
    </w:p>
    <w:p w:rsidR="000C1980" w:rsidP="00473C7C" w:rsidRDefault="000C1980" w14:paraId="25B8C2DD" w14:textId="31F49B14">
      <w:pPr>
        <w:pStyle w:val="Heading3"/>
        <w:tabs>
          <w:tab w:val="left" w:pos="2610"/>
        </w:tabs>
      </w:pPr>
      <w:bookmarkStart w:name="_Toc69948402" w:id="766"/>
      <w:r>
        <w:t>Discussion</w:t>
      </w:r>
      <w:bookmarkEnd w:id="766"/>
    </w:p>
    <w:p w:rsidRPr="00034149" w:rsidR="000C1980" w:rsidP="00473C7C" w:rsidRDefault="000C1980" w14:paraId="3C1853C7" w14:textId="77777777">
      <w:pPr>
        <w:pStyle w:val="Heading4"/>
        <w:ind w:left="3510" w:hanging="1350"/>
      </w:pPr>
      <w:bookmarkStart w:name="_Toc69948403" w:id="767"/>
      <w:r w:rsidRPr="00034149">
        <w:t>Compliance with Decision 16-11-022 and Decision 17-12-009</w:t>
      </w:r>
      <w:bookmarkEnd w:id="767"/>
    </w:p>
    <w:p w:rsidR="000C1980" w:rsidP="0023091F" w:rsidRDefault="000C1980" w14:paraId="0C52DBAD" w14:textId="77777777">
      <w:pPr>
        <w:pStyle w:val="ALJBodyText"/>
      </w:pPr>
      <w:r>
        <w:t xml:space="preserve">We find that the IOUs are technically compliant with the consultation requirements of D.16-11-022, modified by D.17-12-009, given the fact that the </w:t>
      </w:r>
      <w:r>
        <w:lastRenderedPageBreak/>
        <w:t>term “consultation” does not apply to the IOUs, as described below.  We do not rule on whether the IOUs were compliant with the intention of the consultant requirement, instead setting new requirements below based on comments received on the specific Tribal outreach ruling questions.</w:t>
      </w:r>
    </w:p>
    <w:p w:rsidRPr="008676C5" w:rsidR="000C1980" w:rsidP="0023091F" w:rsidRDefault="000C1980" w14:paraId="61C24247" w14:textId="77777777">
      <w:pPr>
        <w:pStyle w:val="ALJBodyText"/>
      </w:pPr>
      <w:r>
        <w:t>Additionally, we clarify that the term</w:t>
      </w:r>
      <w:r w:rsidRPr="008676C5">
        <w:t xml:space="preserve"> “consultation” should be used in reference to government-to-Tribal government contact. </w:t>
      </w:r>
      <w:r>
        <w:t xml:space="preserve"> Therefore, </w:t>
      </w:r>
      <w:r w:rsidRPr="008676C5">
        <w:t xml:space="preserve">the IOUs </w:t>
      </w:r>
      <w:r>
        <w:t xml:space="preserve">shall </w:t>
      </w:r>
      <w:r w:rsidRPr="008676C5">
        <w:t xml:space="preserve">continue outreach to Tribes located in California and IOU service territory, with or without federal recognition (usually conferred by a federal action). </w:t>
      </w:r>
      <w:r>
        <w:t xml:space="preserve"> </w:t>
      </w:r>
      <w:r w:rsidRPr="008676C5">
        <w:t>While the IOUs are not required to meet the strict government-to-government definition of “consultation</w:t>
      </w:r>
      <w:r>
        <w:t>,</w:t>
      </w:r>
      <w:r w:rsidRPr="008676C5">
        <w:t xml:space="preserve">” the IOUs </w:t>
      </w:r>
      <w:r>
        <w:t xml:space="preserve">shall still </w:t>
      </w:r>
      <w:r w:rsidRPr="008676C5">
        <w:t xml:space="preserve">adhere to any consultation-like or outreach requirements of the IOUs as part of the </w:t>
      </w:r>
      <w:r>
        <w:t>Commission’s</w:t>
      </w:r>
      <w:r w:rsidRPr="008676C5">
        <w:t xml:space="preserve"> Tribal Consultation Policy. </w:t>
      </w:r>
      <w:r>
        <w:t>T</w:t>
      </w:r>
      <w:r w:rsidRPr="008676C5">
        <w:t>he IOUs</w:t>
      </w:r>
      <w:r>
        <w:t xml:space="preserve"> shall also</w:t>
      </w:r>
      <w:r w:rsidRPr="008676C5">
        <w:t xml:space="preserve"> contact each tribe and/or conduct individual meetings with Tribes in their territory at least once every 6 months.</w:t>
      </w:r>
    </w:p>
    <w:p w:rsidRPr="00A75A5C" w:rsidR="000C1980" w:rsidP="00257E90" w:rsidRDefault="000C1980" w14:paraId="7475941A" w14:textId="08B41A09">
      <w:pPr>
        <w:pStyle w:val="Heading4"/>
      </w:pPr>
      <w:bookmarkStart w:name="_Toc69948404" w:id="768"/>
      <w:r w:rsidRPr="00A75A5C">
        <w:t>Additional Outreach</w:t>
      </w:r>
      <w:r>
        <w:t xml:space="preserve">: </w:t>
      </w:r>
      <w:r w:rsidRPr="00A75A5C">
        <w:t>Initial Phase</w:t>
      </w:r>
      <w:bookmarkEnd w:id="768"/>
    </w:p>
    <w:p w:rsidRPr="00CA3F1C" w:rsidR="000C1980" w:rsidP="00473C7C" w:rsidRDefault="000C1980" w14:paraId="5DBFA261" w14:textId="77777777">
      <w:pPr>
        <w:pStyle w:val="Standard"/>
      </w:pPr>
      <w:r>
        <w:t xml:space="preserve">All the IOUs state that they already conduct the initial phase outreach strategies which include </w:t>
      </w:r>
      <w:r w:rsidRPr="00CA3F1C">
        <w:t>email, phone calls and letters through traditional mail and</w:t>
      </w:r>
      <w:r>
        <w:t xml:space="preserve"> have proposed to continue such efforts as well as new outreach efforts in PYs 2021-2026.  We find these efforts sufficient in meeting the Tribal community needs and do not require additional efforts </w:t>
      </w:r>
      <w:proofErr w:type="gramStart"/>
      <w:r>
        <w:t>at this time</w:t>
      </w:r>
      <w:proofErr w:type="gramEnd"/>
      <w:r w:rsidRPr="00CA3F1C">
        <w:t>.</w:t>
      </w:r>
    </w:p>
    <w:p w:rsidRPr="00BA7E07" w:rsidR="000C1980" w:rsidP="00473C7C" w:rsidRDefault="000C1980" w14:paraId="1BC543AC" w14:textId="131256C1">
      <w:pPr>
        <w:pStyle w:val="Heading4"/>
        <w:ind w:left="3600" w:hanging="1440"/>
      </w:pPr>
      <w:bookmarkStart w:name="_Toc69948405" w:id="769"/>
      <w:r w:rsidRPr="00BA7E07">
        <w:t>Additional Outreach: No Less Than Two Main Contacts</w:t>
      </w:r>
      <w:bookmarkEnd w:id="769"/>
    </w:p>
    <w:p w:rsidRPr="004F1C3D" w:rsidR="000C1980" w:rsidP="00473C7C" w:rsidRDefault="000C1980" w14:paraId="79C1EE8E" w14:textId="1E3584F6">
      <w:pPr>
        <w:pStyle w:val="Standard"/>
      </w:pPr>
      <w:r>
        <w:t xml:space="preserve">All the IOUs state that they have existing, dedicated resources for the Tribal community, and that various partnerships with the individual tribes have also been formed.  However, we believe that more can be done.  Therefore, we recommend that each of the IOUs strive to </w:t>
      </w:r>
      <w:r w:rsidRPr="004F1C3D">
        <w:t xml:space="preserve">maintain at least </w:t>
      </w:r>
      <w:r>
        <w:t>two</w:t>
      </w:r>
      <w:r w:rsidRPr="004F1C3D">
        <w:t xml:space="preserve"> Tribal contacts for each Tribe. </w:t>
      </w:r>
      <w:r>
        <w:t xml:space="preserve">Maintaining these contacts for each Tribe </w:t>
      </w:r>
      <w:r w:rsidRPr="004F1C3D">
        <w:t>will</w:t>
      </w:r>
      <w:r>
        <w:t xml:space="preserve"> provide benefits to both the Tribes and the IOUs in educating more members of the </w:t>
      </w:r>
      <w:proofErr w:type="gramStart"/>
      <w:r>
        <w:t>low income</w:t>
      </w:r>
      <w:proofErr w:type="gramEnd"/>
      <w:r>
        <w:t xml:space="preserve"> </w:t>
      </w:r>
      <w:r>
        <w:lastRenderedPageBreak/>
        <w:t>programs.  We also recommend that the I</w:t>
      </w:r>
      <w:r w:rsidRPr="004F1C3D">
        <w:t xml:space="preserve">OUs </w:t>
      </w:r>
      <w:r>
        <w:t>consider a</w:t>
      </w:r>
      <w:r w:rsidRPr="004F1C3D">
        <w:t xml:space="preserve"> public facing system (perhaps related to the development of a </w:t>
      </w:r>
      <w:r>
        <w:rPr>
          <w:rFonts w:eastAsia="Book Antiqua" w:cs="Book Antiqua"/>
          <w:szCs w:val="26"/>
        </w:rPr>
        <w:t>UAS</w:t>
      </w:r>
      <w:r w:rsidRPr="004F1C3D">
        <w:t>) where Tribal contact info</w:t>
      </w:r>
      <w:r>
        <w:t>rmation</w:t>
      </w:r>
      <w:r w:rsidRPr="004F1C3D">
        <w:t xml:space="preserve"> is available to all Tribal members and the public statewide. </w:t>
      </w:r>
    </w:p>
    <w:p w:rsidRPr="001D159A" w:rsidR="000C1980" w:rsidP="00257E90" w:rsidRDefault="000C1980" w14:paraId="1FE9ABF5" w14:textId="09BA2F71">
      <w:pPr>
        <w:pStyle w:val="Heading4"/>
      </w:pPr>
      <w:bookmarkStart w:name="_Toc69948406" w:id="770"/>
      <w:r w:rsidRPr="001D159A">
        <w:t>Additional Outreach: Mini-Grants</w:t>
      </w:r>
      <w:bookmarkEnd w:id="770"/>
    </w:p>
    <w:p w:rsidR="000C1980" w:rsidP="0023091F" w:rsidRDefault="000C1980" w14:paraId="62769EE8" w14:textId="77777777">
      <w:pPr>
        <w:pStyle w:val="ALJBodyText"/>
      </w:pPr>
      <w:r w:rsidRPr="00746D83">
        <w:t xml:space="preserve">We </w:t>
      </w:r>
      <w:r>
        <w:t xml:space="preserve">approve the funding of </w:t>
      </w:r>
      <w:proofErr w:type="gramStart"/>
      <w:r>
        <w:t>mini-</w:t>
      </w:r>
      <w:r w:rsidRPr="00922AED">
        <w:t>grant</w:t>
      </w:r>
      <w:r>
        <w:t>s</w:t>
      </w:r>
      <w:proofErr w:type="gramEnd"/>
      <w:r>
        <w:t xml:space="preserve"> to those </w:t>
      </w:r>
      <w:r w:rsidRPr="00922AED">
        <w:t xml:space="preserve">point persons at the Tribe maintaining regular communications with the IOUs and assisting in outreach for ESA and CARE. </w:t>
      </w:r>
      <w:r>
        <w:t xml:space="preserve"> However, we decline to set these grant amounts at $5,000 and will provide the </w:t>
      </w:r>
      <w:r w:rsidRPr="00746D83">
        <w:t xml:space="preserve">IOUs flexibility </w:t>
      </w:r>
      <w:r>
        <w:t>in</w:t>
      </w:r>
      <w:r w:rsidRPr="00746D83">
        <w:t xml:space="preserve"> set</w:t>
      </w:r>
      <w:r>
        <w:t>ting</w:t>
      </w:r>
      <w:r w:rsidRPr="00746D83">
        <w:t xml:space="preserve"> </w:t>
      </w:r>
      <w:r>
        <w:t xml:space="preserve">the specific </w:t>
      </w:r>
      <w:r w:rsidRPr="00746D83">
        <w:t>grant amounts</w:t>
      </w:r>
      <w:r>
        <w:t xml:space="preserve">, based on the work to be performed.  </w:t>
      </w:r>
      <w:r w:rsidRPr="00746D83">
        <w:t xml:space="preserve">This would be </w:t>
      </w:r>
      <w:proofErr w:type="gramStart"/>
      <w:r w:rsidRPr="00746D83">
        <w:t>similar to</w:t>
      </w:r>
      <w:proofErr w:type="gramEnd"/>
      <w:r w:rsidRPr="00746D83">
        <w:t xml:space="preserve"> the MOU/community partner agreements that S</w:t>
      </w:r>
      <w:r>
        <w:t>o</w:t>
      </w:r>
      <w:r w:rsidRPr="00746D83">
        <w:t>C</w:t>
      </w:r>
      <w:r>
        <w:t>al</w:t>
      </w:r>
      <w:r w:rsidRPr="00746D83">
        <w:t>G</w:t>
      </w:r>
      <w:r>
        <w:t>as</w:t>
      </w:r>
      <w:r w:rsidRPr="00746D83">
        <w:t xml:space="preserve"> has with CBOs and FBOs, and the agreements that SDG&amp;E has with their Energy Solutions Partner network. </w:t>
      </w:r>
      <w:r>
        <w:t xml:space="preserve"> </w:t>
      </w:r>
      <w:r w:rsidRPr="00746D83">
        <w:t xml:space="preserve">While we </w:t>
      </w:r>
      <w:r>
        <w:t>understand</w:t>
      </w:r>
      <w:r w:rsidRPr="00746D83">
        <w:t xml:space="preserve"> that </w:t>
      </w:r>
      <w:r>
        <w:t>a</w:t>
      </w:r>
      <w:r w:rsidRPr="00746D83">
        <w:t xml:space="preserve"> </w:t>
      </w:r>
      <w:r>
        <w:t xml:space="preserve">$5,000 </w:t>
      </w:r>
      <w:r w:rsidRPr="00746D83">
        <w:t xml:space="preserve">grant will be much more </w:t>
      </w:r>
      <w:r>
        <w:t>encouraging</w:t>
      </w:r>
      <w:r w:rsidRPr="00746D83">
        <w:t xml:space="preserve"> to Tribes than the current $30 CARE capitation fee, </w:t>
      </w:r>
      <w:r>
        <w:t>we</w:t>
      </w:r>
      <w:r w:rsidRPr="00746D83">
        <w:t xml:space="preserve"> lack </w:t>
      </w:r>
      <w:r>
        <w:t>the</w:t>
      </w:r>
      <w:r w:rsidRPr="00746D83">
        <w:t xml:space="preserve"> record </w:t>
      </w:r>
      <w:r>
        <w:t>and data to determine the most appropriate and effective grant/reimbursement amount for this effort.  Therefore, t</w:t>
      </w:r>
      <w:r w:rsidRPr="00746D83">
        <w:t xml:space="preserve">he IOUs </w:t>
      </w:r>
      <w:r>
        <w:t xml:space="preserve">are to determine </w:t>
      </w:r>
      <w:r w:rsidRPr="00746D83">
        <w:t xml:space="preserve">the </w:t>
      </w:r>
      <w:r>
        <w:t xml:space="preserve">specific </w:t>
      </w:r>
      <w:r w:rsidRPr="00746D83">
        <w:t xml:space="preserve">outreach (including the benchmarks described by the LIOB above) and </w:t>
      </w:r>
      <w:r>
        <w:t xml:space="preserve">appropriate </w:t>
      </w:r>
      <w:r w:rsidRPr="00746D83">
        <w:t xml:space="preserve">funding </w:t>
      </w:r>
      <w:r>
        <w:t xml:space="preserve">level </w:t>
      </w:r>
      <w:r w:rsidRPr="00746D83">
        <w:t xml:space="preserve">that should be provided </w:t>
      </w:r>
      <w:r>
        <w:t xml:space="preserve">which should align </w:t>
      </w:r>
      <w:r w:rsidRPr="00746D83">
        <w:t xml:space="preserve">with what </w:t>
      </w:r>
      <w:r>
        <w:t>they</w:t>
      </w:r>
      <w:r w:rsidRPr="00746D83">
        <w:t xml:space="preserve"> have already proposed in their ME&amp;O plans and budgets.</w:t>
      </w:r>
      <w:r>
        <w:t xml:space="preserve">  These grants shall be funded through each IOUs’ respective existing </w:t>
      </w:r>
      <w:r w:rsidRPr="00746D83">
        <w:t>ME&amp;O budgets</w:t>
      </w:r>
      <w:r>
        <w:t xml:space="preserve"> approved in this decision</w:t>
      </w:r>
      <w:r w:rsidRPr="00746D83">
        <w:t>.</w:t>
      </w:r>
      <w:r>
        <w:t xml:space="preserve">  Lastly, the IOUs shall work with these communities to </w:t>
      </w:r>
      <w:r w:rsidRPr="00746D83">
        <w:t>encourage participation in the CARE</w:t>
      </w:r>
      <w:r>
        <w:t xml:space="preserve"> and FERA</w:t>
      </w:r>
      <w:r w:rsidRPr="00746D83">
        <w:t xml:space="preserve"> capitation program</w:t>
      </w:r>
      <w:r w:rsidRPr="00B84B47">
        <w:t>.</w:t>
      </w:r>
    </w:p>
    <w:p w:rsidRPr="00920441" w:rsidR="000C1980" w:rsidP="00257E90" w:rsidRDefault="000C1980" w14:paraId="7BBB205D" w14:textId="4F86A4A1">
      <w:pPr>
        <w:pStyle w:val="Heading4"/>
      </w:pPr>
      <w:bookmarkStart w:name="_Toc69948407" w:id="771"/>
      <w:r w:rsidRPr="00920441">
        <w:t>Consistent Definition for Tribal Communities</w:t>
      </w:r>
      <w:bookmarkEnd w:id="771"/>
    </w:p>
    <w:p w:rsidRPr="002A5DFD" w:rsidR="000C1980" w:rsidP="0023091F" w:rsidRDefault="000C1980" w14:paraId="54D59A2D" w14:textId="0EAAFCC6">
      <w:pPr>
        <w:pStyle w:val="ALJBodyText"/>
      </w:pPr>
      <w:r>
        <w:t>We</w:t>
      </w:r>
      <w:r w:rsidRPr="002A5DFD">
        <w:t xml:space="preserve"> adopt the definition for Tribal </w:t>
      </w:r>
      <w:r>
        <w:t>c</w:t>
      </w:r>
      <w:r w:rsidRPr="002A5DFD">
        <w:t>ommunities consistent with the Commission’s Tribal Consultation Policy, where the terms “</w:t>
      </w:r>
      <w:r w:rsidR="0013238C">
        <w:t>T</w:t>
      </w:r>
      <w:r w:rsidRPr="002A5DFD">
        <w:t>ribes” and “</w:t>
      </w:r>
      <w:r w:rsidR="0013238C">
        <w:t>T</w:t>
      </w:r>
      <w:r w:rsidRPr="002A5DFD">
        <w:t>ribal governments” refer to elected officials and other representatives of federally</w:t>
      </w:r>
      <w:r>
        <w:noBreakHyphen/>
      </w:r>
      <w:r w:rsidRPr="002A5DFD">
        <w:t xml:space="preserve">recognized Tribes and other California Native Americans. </w:t>
      </w:r>
    </w:p>
    <w:p w:rsidRPr="00920441" w:rsidR="000C1980" w:rsidP="00257E90" w:rsidRDefault="000C1980" w14:paraId="21889D12" w14:textId="1C871D53">
      <w:pPr>
        <w:pStyle w:val="Heading4"/>
      </w:pPr>
      <w:bookmarkStart w:name="_Toc69948408" w:id="772"/>
      <w:r w:rsidRPr="00920441">
        <w:lastRenderedPageBreak/>
        <w:t>Quarterly Updates and Reporting</w:t>
      </w:r>
      <w:bookmarkEnd w:id="772"/>
    </w:p>
    <w:p w:rsidRPr="004909FF" w:rsidR="000C1980" w:rsidP="0023091F" w:rsidRDefault="000C1980" w14:paraId="10FE8486" w14:textId="50AFE63C">
      <w:pPr>
        <w:pStyle w:val="ALJBodyText"/>
      </w:pPr>
      <w:r>
        <w:t xml:space="preserve">The IOUs shall continue to report </w:t>
      </w:r>
      <w:r w:rsidRPr="004F1C3D">
        <w:t xml:space="preserve">on </w:t>
      </w:r>
      <w:r>
        <w:t xml:space="preserve">its </w:t>
      </w:r>
      <w:r w:rsidRPr="004F1C3D">
        <w:t xml:space="preserve">Tribal outreach </w:t>
      </w:r>
      <w:r>
        <w:t xml:space="preserve">efforts </w:t>
      </w:r>
      <w:r w:rsidRPr="004F1C3D">
        <w:t xml:space="preserve">in the monthly and annual reports, and </w:t>
      </w:r>
      <w:r>
        <w:t xml:space="preserve">during the </w:t>
      </w:r>
      <w:r w:rsidRPr="004F1C3D">
        <w:t>quarterly LIOB and subcommittee meetings.</w:t>
      </w:r>
      <w:r>
        <w:t xml:space="preserve">  We also direct the IOUs to provide a section in the annual reports on their Tribal outreach activities, including a summary of their biannual Tribal meetings, and an up-to-date list of Tribal contacts.  The reporting template approved by Energy Division will include the specifics of this reporting criteria.</w:t>
      </w:r>
    </w:p>
    <w:p w:rsidR="000C1980" w:rsidP="00257E90" w:rsidRDefault="000C1980" w14:paraId="0F2EB903" w14:textId="77777777">
      <w:pPr>
        <w:pStyle w:val="Heading1"/>
      </w:pPr>
      <w:bookmarkStart w:name="_Toc10793267" w:id="773"/>
      <w:bookmarkStart w:name="_Toc10793341" w:id="774"/>
      <w:bookmarkStart w:name="_Toc10793472" w:id="775"/>
      <w:bookmarkStart w:name="_Toc10793268" w:id="776"/>
      <w:bookmarkStart w:name="_Toc10793342" w:id="777"/>
      <w:bookmarkStart w:name="_Toc10793473" w:id="778"/>
      <w:bookmarkStart w:name="_Toc45616427" w:id="779"/>
      <w:bookmarkStart w:name="_Toc45696565" w:id="780"/>
      <w:bookmarkStart w:name="_Toc69948409" w:id="781"/>
      <w:bookmarkStart w:name="_Toc2523442" w:id="782"/>
      <w:bookmarkEnd w:id="773"/>
      <w:bookmarkEnd w:id="774"/>
      <w:bookmarkEnd w:id="775"/>
      <w:bookmarkEnd w:id="776"/>
      <w:bookmarkEnd w:id="777"/>
      <w:bookmarkEnd w:id="778"/>
      <w:r>
        <w:t xml:space="preserve">Comments on </w:t>
      </w:r>
      <w:r w:rsidRPr="007F25E4">
        <w:t>Proposed</w:t>
      </w:r>
      <w:r>
        <w:t xml:space="preserve"> Decision</w:t>
      </w:r>
      <w:bookmarkEnd w:id="779"/>
      <w:bookmarkEnd w:id="780"/>
      <w:bookmarkEnd w:id="781"/>
    </w:p>
    <w:p w:rsidRPr="00062C0D" w:rsidR="00062C0D" w:rsidP="00062C0D" w:rsidRDefault="000C1980" w14:paraId="48CA1967" w14:textId="7C1ED0C2">
      <w:pPr>
        <w:pStyle w:val="Standard"/>
      </w:pPr>
      <w:r w:rsidRPr="00204461">
        <w:t>The proposed decision of Administrative Law Judge Ava Tran in this matter was mailed to the parties in accordance with Section 311 of the Pub. Util. Code and comments were allowed under Rule 14.3 of the Commission’s Rules of Practice and Procedure</w:t>
      </w:r>
      <w:r>
        <w:t>.</w:t>
      </w:r>
      <w:r w:rsidR="00B36269">
        <w:t xml:space="preserve"> Comments were filed on </w:t>
      </w:r>
      <w:r w:rsidR="007D4D18">
        <w:t xml:space="preserve">May 17, 2021, </w:t>
      </w:r>
      <w:r w:rsidR="00B36269">
        <w:t xml:space="preserve">and reply comments were filed on </w:t>
      </w:r>
      <w:r w:rsidR="007D4D18">
        <w:t xml:space="preserve">May 24, </w:t>
      </w:r>
      <w:proofErr w:type="gramStart"/>
      <w:r w:rsidR="007D4D18">
        <w:t>2021</w:t>
      </w:r>
      <w:proofErr w:type="gramEnd"/>
      <w:r w:rsidR="007D4D18">
        <w:t xml:space="preserve"> </w:t>
      </w:r>
      <w:r w:rsidR="00B36269">
        <w:t xml:space="preserve">by </w:t>
      </w:r>
      <w:r w:rsidR="00633FB2">
        <w:t xml:space="preserve">the IOUs, </w:t>
      </w:r>
      <w:r w:rsidR="00496ED6">
        <w:t xml:space="preserve">MCE, </w:t>
      </w:r>
      <w:proofErr w:type="spellStart"/>
      <w:r w:rsidR="00496ED6">
        <w:t>Enervee</w:t>
      </w:r>
      <w:proofErr w:type="spellEnd"/>
      <w:r w:rsidR="00496ED6">
        <w:t xml:space="preserve">, La </w:t>
      </w:r>
      <w:proofErr w:type="spellStart"/>
      <w:r w:rsidR="00496ED6">
        <w:t>Cooperativa</w:t>
      </w:r>
      <w:proofErr w:type="spellEnd"/>
      <w:r w:rsidR="00496ED6">
        <w:t xml:space="preserve"> et al., </w:t>
      </w:r>
      <w:r w:rsidR="00FA05C6">
        <w:t xml:space="preserve">the Los </w:t>
      </w:r>
      <w:r w:rsidR="005E7C71">
        <w:t xml:space="preserve">Angeles </w:t>
      </w:r>
      <w:r w:rsidR="00FA05C6">
        <w:t xml:space="preserve">Department of Water and Power, </w:t>
      </w:r>
      <w:r w:rsidR="00C91005">
        <w:t xml:space="preserve">the Joint Parties, </w:t>
      </w:r>
      <w:r w:rsidR="009F10A0">
        <w:t xml:space="preserve">TURN, Cal Advocates, PCF, </w:t>
      </w:r>
      <w:r w:rsidR="00C91005">
        <w:t>EEC and TELACU et al.</w:t>
      </w:r>
      <w:r w:rsidRPr="00062C0D" w:rsidR="00062C0D">
        <w:rPr>
          <w:rFonts w:ascii="Palatino" w:hAnsi="Palatino" w:eastAsia="Times New Roman"/>
        </w:rPr>
        <w:t xml:space="preserve"> </w:t>
      </w:r>
      <w:r w:rsidRPr="00062C0D" w:rsidR="00062C0D">
        <w:t xml:space="preserve">In response to comments, we make </w:t>
      </w:r>
      <w:r w:rsidR="005E0DD4">
        <w:t>various</w:t>
      </w:r>
      <w:r w:rsidRPr="00062C0D" w:rsidR="00062C0D">
        <w:t xml:space="preserve"> revisions and clarifications</w:t>
      </w:r>
      <w:r w:rsidR="005E0DD4">
        <w:t xml:space="preserve"> including</w:t>
      </w:r>
      <w:r w:rsidRPr="00062C0D" w:rsidR="00062C0D">
        <w:t>:</w:t>
      </w:r>
    </w:p>
    <w:p w:rsidR="00751252" w:rsidP="00E57E2E" w:rsidRDefault="00751252" w14:paraId="49B5D4C4" w14:textId="6505108B">
      <w:pPr>
        <w:pStyle w:val="standard0"/>
        <w:numPr>
          <w:ilvl w:val="0"/>
          <w:numId w:val="47"/>
        </w:numPr>
        <w:spacing w:after="120" w:line="240" w:lineRule="auto"/>
        <w:ind w:left="1080" w:right="720"/>
      </w:pPr>
      <w:r>
        <w:t xml:space="preserve">Extending the </w:t>
      </w:r>
      <w:r w:rsidR="005D1C0D">
        <w:t xml:space="preserve">ESA program </w:t>
      </w:r>
      <w:r>
        <w:t>bridge funding for the remainder of PY 2021</w:t>
      </w:r>
      <w:r w:rsidR="005E557D">
        <w:t xml:space="preserve"> to allow for </w:t>
      </w:r>
      <w:r w:rsidR="006A7A2A">
        <w:t xml:space="preserve">a </w:t>
      </w:r>
      <w:r w:rsidR="005E557D">
        <w:t>transition</w:t>
      </w:r>
      <w:r w:rsidR="00F454C1">
        <w:t xml:space="preserve"> period</w:t>
      </w:r>
      <w:r>
        <w:t>.</w:t>
      </w:r>
    </w:p>
    <w:p w:rsidR="00F1372D" w:rsidP="00E57E2E" w:rsidRDefault="00F1372D" w14:paraId="29717D86" w14:textId="504B877B">
      <w:pPr>
        <w:pStyle w:val="standard0"/>
        <w:numPr>
          <w:ilvl w:val="0"/>
          <w:numId w:val="47"/>
        </w:numPr>
        <w:spacing w:after="120" w:line="240" w:lineRule="auto"/>
        <w:ind w:left="1080" w:right="720"/>
      </w:pPr>
      <w:r>
        <w:t xml:space="preserve">Extending dates for </w:t>
      </w:r>
      <w:r w:rsidR="009A614C">
        <w:t xml:space="preserve">required </w:t>
      </w:r>
      <w:r>
        <w:t>advice letter</w:t>
      </w:r>
      <w:r w:rsidR="005E557D">
        <w:t xml:space="preserve"> filings</w:t>
      </w:r>
      <w:r>
        <w:t>, reporting, compliance filing</w:t>
      </w:r>
      <w:r w:rsidR="009A614C">
        <w:t>s</w:t>
      </w:r>
      <w:r w:rsidR="00383E9C">
        <w:t xml:space="preserve">, </w:t>
      </w:r>
      <w:proofErr w:type="gramStart"/>
      <w:r w:rsidR="005E557D">
        <w:t>pilot</w:t>
      </w:r>
      <w:proofErr w:type="gramEnd"/>
      <w:r w:rsidR="005E557D">
        <w:t xml:space="preserve"> </w:t>
      </w:r>
      <w:r w:rsidR="00383E9C">
        <w:t>and program implementation</w:t>
      </w:r>
      <w:r>
        <w:t xml:space="preserve"> to allow for </w:t>
      </w:r>
      <w:r w:rsidR="001262FC">
        <w:t>a</w:t>
      </w:r>
      <w:r>
        <w:t xml:space="preserve"> </w:t>
      </w:r>
      <w:r w:rsidR="009A614C">
        <w:t>transition</w:t>
      </w:r>
      <w:r w:rsidR="00A94C75">
        <w:t xml:space="preserve"> </w:t>
      </w:r>
      <w:r w:rsidR="001262FC">
        <w:t xml:space="preserve">period </w:t>
      </w:r>
      <w:r w:rsidR="00A94C75">
        <w:t>to the new programs.</w:t>
      </w:r>
    </w:p>
    <w:p w:rsidR="00E57CE2" w:rsidP="00E57E2E" w:rsidRDefault="005D1C0D" w14:paraId="3C146A8C" w14:textId="4877EB9A">
      <w:pPr>
        <w:pStyle w:val="standard0"/>
        <w:numPr>
          <w:ilvl w:val="0"/>
          <w:numId w:val="47"/>
        </w:numPr>
        <w:spacing w:after="120" w:line="240" w:lineRule="auto"/>
        <w:ind w:left="1080" w:right="720"/>
      </w:pPr>
      <w:r>
        <w:t xml:space="preserve"> </w:t>
      </w:r>
      <w:r w:rsidR="00A97B1C">
        <w:t xml:space="preserve">Modification to the </w:t>
      </w:r>
      <w:r w:rsidR="00E57CE2">
        <w:t>rule exempting certain</w:t>
      </w:r>
      <w:r w:rsidR="00C52DFC">
        <w:t xml:space="preserve"> fixed income households from recertification to </w:t>
      </w:r>
      <w:r w:rsidR="00D876C2">
        <w:t>allow for verification after six years</w:t>
      </w:r>
      <w:r w:rsidR="00E57CE2">
        <w:t xml:space="preserve">. </w:t>
      </w:r>
    </w:p>
    <w:p w:rsidR="00D20CD0" w:rsidP="00E57E2E" w:rsidRDefault="00D20CD0" w14:paraId="3B96413F" w14:textId="116671BF">
      <w:pPr>
        <w:pStyle w:val="standard0"/>
        <w:numPr>
          <w:ilvl w:val="0"/>
          <w:numId w:val="47"/>
        </w:numPr>
        <w:spacing w:after="120" w:line="240" w:lineRule="auto"/>
        <w:ind w:left="1080" w:right="720"/>
      </w:pPr>
      <w:r>
        <w:t xml:space="preserve">Modification to the categorization of administrative cost categories to align with the mainstream energy efficiency program. </w:t>
      </w:r>
    </w:p>
    <w:p w:rsidR="0043639F" w:rsidP="00E57E2E" w:rsidRDefault="0043639F" w14:paraId="222670B9" w14:textId="600ED294">
      <w:pPr>
        <w:pStyle w:val="standard0"/>
        <w:numPr>
          <w:ilvl w:val="0"/>
          <w:numId w:val="47"/>
        </w:numPr>
        <w:spacing w:after="120" w:line="240" w:lineRule="auto"/>
        <w:ind w:left="1080" w:right="720"/>
      </w:pPr>
      <w:r>
        <w:t>Clarif</w:t>
      </w:r>
      <w:r w:rsidR="001262FC">
        <w:t xml:space="preserve">ication </w:t>
      </w:r>
      <w:r w:rsidR="002F07C4">
        <w:t xml:space="preserve">on </w:t>
      </w:r>
      <w:r>
        <w:t>the role of</w:t>
      </w:r>
      <w:r w:rsidR="003C59CA">
        <w:t xml:space="preserve"> the</w:t>
      </w:r>
      <w:r>
        <w:t xml:space="preserve"> “lead IOU” in various efforts. </w:t>
      </w:r>
    </w:p>
    <w:p w:rsidR="005551EE" w:rsidP="00E57E2E" w:rsidRDefault="005551EE" w14:paraId="33B15248" w14:textId="4E64AFA8">
      <w:pPr>
        <w:pStyle w:val="standard0"/>
        <w:numPr>
          <w:ilvl w:val="0"/>
          <w:numId w:val="47"/>
        </w:numPr>
        <w:spacing w:after="120" w:line="240" w:lineRule="auto"/>
        <w:ind w:left="1080" w:right="720"/>
      </w:pPr>
      <w:r>
        <w:lastRenderedPageBreak/>
        <w:t>Clarification on the membership of PRGs to include non-</w:t>
      </w:r>
      <w:proofErr w:type="gramStart"/>
      <w:r>
        <w:t>financially-interested</w:t>
      </w:r>
      <w:proofErr w:type="gramEnd"/>
      <w:r>
        <w:t xml:space="preserve"> parties.</w:t>
      </w:r>
    </w:p>
    <w:p w:rsidR="00FC1DD0" w:rsidP="00E57E2E" w:rsidRDefault="00FC1DD0" w14:paraId="45B4E295" w14:textId="4F29B78C">
      <w:pPr>
        <w:pStyle w:val="standard0"/>
        <w:numPr>
          <w:ilvl w:val="0"/>
          <w:numId w:val="47"/>
        </w:numPr>
        <w:spacing w:after="120" w:line="240" w:lineRule="auto"/>
        <w:ind w:left="1080" w:right="720"/>
      </w:pPr>
      <w:r>
        <w:t>Adopt</w:t>
      </w:r>
      <w:r w:rsidR="002F07C4">
        <w:t>ion of</w:t>
      </w:r>
      <w:r>
        <w:t xml:space="preserve"> tenant protections for the ESA Pilot </w:t>
      </w:r>
      <w:r w:rsidR="002F07C4">
        <w:t>P</w:t>
      </w:r>
      <w:r>
        <w:t xml:space="preserve">lus and Pilot Deep program, </w:t>
      </w:r>
      <w:proofErr w:type="gramStart"/>
      <w:r>
        <w:t>similar to</w:t>
      </w:r>
      <w:proofErr w:type="gramEnd"/>
      <w:r>
        <w:t xml:space="preserve"> the </w:t>
      </w:r>
      <w:r w:rsidR="00B62EDF">
        <w:t xml:space="preserve">MFWB programs and the BE Pilot. </w:t>
      </w:r>
    </w:p>
    <w:p w:rsidR="00316969" w:rsidP="00E57E2E" w:rsidRDefault="00316969" w14:paraId="45732441" w14:textId="7853FCC5">
      <w:pPr>
        <w:pStyle w:val="standard0"/>
        <w:numPr>
          <w:ilvl w:val="0"/>
          <w:numId w:val="47"/>
        </w:numPr>
        <w:spacing w:after="120" w:line="240" w:lineRule="auto"/>
        <w:ind w:left="1080" w:right="720"/>
      </w:pPr>
      <w:r>
        <w:t xml:space="preserve">Modification to the fund shifting rules to allow for flexibility in </w:t>
      </w:r>
      <w:r w:rsidR="00E02A69">
        <w:t xml:space="preserve">shifting funds for efforts that may spread across multiple program years. </w:t>
      </w:r>
    </w:p>
    <w:p w:rsidRPr="00097FF0" w:rsidR="000C1980" w:rsidP="002F07C4" w:rsidRDefault="00A97B1C" w14:paraId="0E7C61A3" w14:textId="24A16F3F">
      <w:pPr>
        <w:pStyle w:val="standard0"/>
        <w:numPr>
          <w:ilvl w:val="0"/>
          <w:numId w:val="47"/>
        </w:numPr>
        <w:spacing w:after="120" w:line="240" w:lineRule="auto"/>
        <w:ind w:left="1080" w:right="720"/>
      </w:pPr>
      <w:r>
        <w:t>C</w:t>
      </w:r>
      <w:r w:rsidR="00E57E2E">
        <w:t>orrect</w:t>
      </w:r>
      <w:r>
        <w:t>ions to</w:t>
      </w:r>
      <w:r w:rsidR="00E57E2E">
        <w:t xml:space="preserve"> various non-substantive typographical errors and omissions throughout the document. </w:t>
      </w:r>
    </w:p>
    <w:p w:rsidRPr="0015081F" w:rsidR="000C1980" w:rsidP="00257E90" w:rsidRDefault="000C1980" w14:paraId="54BA70DF" w14:textId="4195BAE8">
      <w:pPr>
        <w:pStyle w:val="Heading1"/>
      </w:pPr>
      <w:bookmarkStart w:name="_Toc45616428" w:id="783"/>
      <w:bookmarkStart w:name="_Toc69948410" w:id="784"/>
      <w:r w:rsidRPr="00257E90">
        <w:t>Assignment</w:t>
      </w:r>
      <w:r>
        <w:t xml:space="preserve"> of Proceeding</w:t>
      </w:r>
      <w:bookmarkEnd w:id="782"/>
      <w:bookmarkEnd w:id="783"/>
      <w:bookmarkEnd w:id="784"/>
    </w:p>
    <w:p w:rsidRPr="0015081F" w:rsidR="000C1980" w:rsidP="000C1980" w:rsidRDefault="000C1980" w14:paraId="0F88FFDE" w14:textId="38FB8BEC">
      <w:pPr>
        <w:pStyle w:val="standard0"/>
      </w:pPr>
      <w:r w:rsidRPr="00BD66D6">
        <w:t xml:space="preserve">Genevieve Shiroma </w:t>
      </w:r>
      <w:r w:rsidRPr="0015081F">
        <w:t>is the assigned Commissioner and Ava Tran is the assigned A</w:t>
      </w:r>
      <w:r>
        <w:t>dministrative Law Judge</w:t>
      </w:r>
      <w:r w:rsidRPr="0015081F">
        <w:t xml:space="preserve"> in this proceeding.</w:t>
      </w:r>
      <w:r>
        <w:t xml:space="preserve"> </w:t>
      </w:r>
    </w:p>
    <w:p w:rsidRPr="00F3349E" w:rsidR="000C1980" w:rsidP="000C1980" w:rsidRDefault="000C1980" w14:paraId="15CCADDC" w14:textId="77777777">
      <w:pPr>
        <w:pStyle w:val="Dummy"/>
      </w:pPr>
      <w:bookmarkStart w:name="_Toc2523443" w:id="785"/>
      <w:bookmarkStart w:name="_Toc45616429" w:id="786"/>
      <w:bookmarkStart w:name="_Toc69948411" w:id="787"/>
      <w:r w:rsidRPr="00F3349E">
        <w:t>Findings of Fact</w:t>
      </w:r>
      <w:bookmarkEnd w:id="785"/>
      <w:bookmarkEnd w:id="786"/>
      <w:bookmarkEnd w:id="787"/>
    </w:p>
    <w:p w:rsidR="000C1980" w:rsidP="003D15AD" w:rsidRDefault="000C1980" w14:paraId="68368BF7" w14:textId="6633A9CD">
      <w:pPr>
        <w:pStyle w:val="FoF"/>
        <w:numPr>
          <w:ilvl w:val="0"/>
          <w:numId w:val="14"/>
        </w:numPr>
        <w:rPr>
          <w:szCs w:val="26"/>
        </w:rPr>
      </w:pPr>
      <w:r w:rsidRPr="0007082E">
        <w:t xml:space="preserve">The FERA program is </w:t>
      </w:r>
      <w:r>
        <w:t>a</w:t>
      </w:r>
      <w:r w:rsidRPr="0007082E">
        <w:t xml:space="preserve"> </w:t>
      </w:r>
      <w:proofErr w:type="gramStart"/>
      <w:r w:rsidRPr="0007082E">
        <w:t>low</w:t>
      </w:r>
      <w:r>
        <w:t xml:space="preserve"> </w:t>
      </w:r>
      <w:r w:rsidRPr="0007082E">
        <w:t>income</w:t>
      </w:r>
      <w:proofErr w:type="gramEnd"/>
      <w:r w:rsidRPr="0007082E">
        <w:t xml:space="preserve"> energy rate assistance program established in 2004 to provide a discount </w:t>
      </w:r>
      <w:r w:rsidRPr="00AC296B">
        <w:t>on</w:t>
      </w:r>
      <w:r w:rsidRPr="0007082E">
        <w:t xml:space="preserve"> energy rates to low</w:t>
      </w:r>
      <w:r>
        <w:t xml:space="preserve">er to middle </w:t>
      </w:r>
      <w:r w:rsidRPr="0007082E">
        <w:t xml:space="preserve">income households with incomes between 200 percent and 250 percent of </w:t>
      </w:r>
      <w:r>
        <w:t xml:space="preserve">the </w:t>
      </w:r>
      <w:r w:rsidRPr="0080592F">
        <w:rPr>
          <w:szCs w:val="26"/>
        </w:rPr>
        <w:t>federal poverty guideline</w:t>
      </w:r>
      <w:r>
        <w:rPr>
          <w:szCs w:val="26"/>
        </w:rPr>
        <w:t>.</w:t>
      </w:r>
    </w:p>
    <w:p w:rsidR="000C1980" w:rsidP="003D15AD" w:rsidRDefault="000C1980" w14:paraId="0FA461AB" w14:textId="77777777">
      <w:pPr>
        <w:pStyle w:val="FoF"/>
        <w:numPr>
          <w:ilvl w:val="0"/>
          <w:numId w:val="14"/>
        </w:numPr>
        <w:rPr>
          <w:szCs w:val="26"/>
        </w:rPr>
      </w:pPr>
      <w:r w:rsidRPr="0080592F">
        <w:rPr>
          <w:szCs w:val="26"/>
        </w:rPr>
        <w:t xml:space="preserve">The CARE program is a </w:t>
      </w:r>
      <w:proofErr w:type="gramStart"/>
      <w:r w:rsidRPr="0080592F">
        <w:rPr>
          <w:szCs w:val="26"/>
        </w:rPr>
        <w:t>low</w:t>
      </w:r>
      <w:r>
        <w:rPr>
          <w:szCs w:val="26"/>
        </w:rPr>
        <w:t xml:space="preserve"> </w:t>
      </w:r>
      <w:r w:rsidRPr="0080592F">
        <w:rPr>
          <w:szCs w:val="26"/>
        </w:rPr>
        <w:t>income</w:t>
      </w:r>
      <w:proofErr w:type="gramEnd"/>
      <w:r w:rsidRPr="0080592F">
        <w:rPr>
          <w:szCs w:val="26"/>
        </w:rPr>
        <w:t xml:space="preserve"> energy rate assistance program established in 1989 to provide a discount on energy rates to low</w:t>
      </w:r>
      <w:r>
        <w:rPr>
          <w:szCs w:val="26"/>
        </w:rPr>
        <w:t xml:space="preserve"> </w:t>
      </w:r>
      <w:r w:rsidRPr="0080592F">
        <w:rPr>
          <w:szCs w:val="26"/>
        </w:rPr>
        <w:t>income households with incomes at or below 200 percent of the federal poverty guideline</w:t>
      </w:r>
      <w:r>
        <w:rPr>
          <w:szCs w:val="26"/>
        </w:rPr>
        <w:t>.</w:t>
      </w:r>
    </w:p>
    <w:p w:rsidRPr="007767DD" w:rsidR="000C1980" w:rsidP="003D15AD" w:rsidRDefault="000C1980" w14:paraId="304395EB" w14:textId="77777777">
      <w:pPr>
        <w:pStyle w:val="FoF"/>
        <w:numPr>
          <w:ilvl w:val="0"/>
          <w:numId w:val="14"/>
        </w:numPr>
        <w:rPr>
          <w:szCs w:val="26"/>
        </w:rPr>
      </w:pPr>
      <w:r w:rsidRPr="007767DD">
        <w:rPr>
          <w:szCs w:val="26"/>
        </w:rPr>
        <w:t xml:space="preserve">The ESA </w:t>
      </w:r>
      <w:r>
        <w:rPr>
          <w:szCs w:val="26"/>
        </w:rPr>
        <w:t>p</w:t>
      </w:r>
      <w:r w:rsidRPr="007767DD">
        <w:rPr>
          <w:szCs w:val="26"/>
        </w:rPr>
        <w:t xml:space="preserve">rogram was originally offered as an assistance program directly from a few IOUs in the 1980s, and then was adopted by the legislature in 1990 in order to achieve statewide energy savings while improving the quality of life for </w:t>
      </w:r>
      <w:proofErr w:type="gramStart"/>
      <w:r w:rsidRPr="007767DD">
        <w:rPr>
          <w:szCs w:val="26"/>
        </w:rPr>
        <w:t>low</w:t>
      </w:r>
      <w:r>
        <w:rPr>
          <w:szCs w:val="26"/>
        </w:rPr>
        <w:t xml:space="preserve"> </w:t>
      </w:r>
      <w:r w:rsidRPr="007767DD">
        <w:rPr>
          <w:szCs w:val="26"/>
        </w:rPr>
        <w:t>income</w:t>
      </w:r>
      <w:proofErr w:type="gramEnd"/>
      <w:r w:rsidRPr="007767DD">
        <w:rPr>
          <w:szCs w:val="26"/>
        </w:rPr>
        <w:t xml:space="preserve"> customers.</w:t>
      </w:r>
    </w:p>
    <w:p w:rsidRPr="007767DD" w:rsidR="000C1980" w:rsidP="003D15AD" w:rsidRDefault="000C1980" w14:paraId="2BDB2613" w14:textId="77777777">
      <w:pPr>
        <w:pStyle w:val="FoF"/>
        <w:numPr>
          <w:ilvl w:val="0"/>
          <w:numId w:val="14"/>
        </w:numPr>
        <w:rPr>
          <w:szCs w:val="26"/>
        </w:rPr>
      </w:pPr>
      <w:r w:rsidRPr="00C53DBD">
        <w:rPr>
          <w:szCs w:val="26"/>
        </w:rPr>
        <w:t xml:space="preserve">The ESA program is a no-cost energy efficiency program that provides home weatherization services and energy efficiency measures to help </w:t>
      </w:r>
      <w:proofErr w:type="gramStart"/>
      <w:r w:rsidRPr="00C53DBD">
        <w:rPr>
          <w:szCs w:val="26"/>
        </w:rPr>
        <w:t>low</w:t>
      </w:r>
      <w:r>
        <w:rPr>
          <w:szCs w:val="26"/>
        </w:rPr>
        <w:t xml:space="preserve"> </w:t>
      </w:r>
      <w:r w:rsidRPr="00C53DBD">
        <w:rPr>
          <w:szCs w:val="26"/>
        </w:rPr>
        <w:t>income</w:t>
      </w:r>
      <w:proofErr w:type="gramEnd"/>
      <w:r w:rsidRPr="00C53DBD">
        <w:rPr>
          <w:szCs w:val="26"/>
        </w:rPr>
        <w:t xml:space="preserve"> households conserve energy, reduce their energy costs/utility bills, and </w:t>
      </w:r>
      <w:r w:rsidRPr="00C53DBD">
        <w:rPr>
          <w:szCs w:val="26"/>
        </w:rPr>
        <w:lastRenderedPageBreak/>
        <w:t>improve the health, comfort, and safety of the home.  The program also provides information and education to promote energy efficient practices in low</w:t>
      </w:r>
      <w:r w:rsidRPr="00C53DBD">
        <w:rPr>
          <w:szCs w:val="26"/>
        </w:rPr>
        <w:noBreakHyphen/>
        <w:t>income communities</w:t>
      </w:r>
      <w:r w:rsidRPr="007767DD">
        <w:rPr>
          <w:szCs w:val="26"/>
        </w:rPr>
        <w:t>.</w:t>
      </w:r>
    </w:p>
    <w:p w:rsidR="000C1980" w:rsidP="003D15AD" w:rsidRDefault="000C1980" w14:paraId="1150683E" w14:textId="6706095E">
      <w:pPr>
        <w:pStyle w:val="FoF"/>
        <w:numPr>
          <w:ilvl w:val="0"/>
          <w:numId w:val="14"/>
        </w:numPr>
      </w:pPr>
      <w:r w:rsidRPr="009F63C9">
        <w:t xml:space="preserve">On December 24, 2019, </w:t>
      </w:r>
      <w:r w:rsidR="00BB5163">
        <w:t xml:space="preserve">the </w:t>
      </w:r>
      <w:r w:rsidRPr="009F63C9">
        <w:t>assigned ALJ issued a ruling to consolidate the above captioned proceedings from which this consolidated proceeding follows as A.19-11-003 et al</w:t>
      </w:r>
      <w:r>
        <w:t>.</w:t>
      </w:r>
    </w:p>
    <w:p w:rsidRPr="00995A91" w:rsidR="00995A91" w:rsidP="00995A91" w:rsidRDefault="00995A91" w14:paraId="57CB5A79" w14:textId="63951814">
      <w:pPr>
        <w:pStyle w:val="FoF"/>
        <w:numPr>
          <w:ilvl w:val="0"/>
          <w:numId w:val="14"/>
        </w:numPr>
      </w:pPr>
      <w:r w:rsidRPr="00995A91">
        <w:t xml:space="preserve">The income eligibility guidelines and the discount rate for the CARE program are set in statute. </w:t>
      </w:r>
    </w:p>
    <w:p w:rsidRPr="00995A91" w:rsidR="00995A91" w:rsidP="00995A91" w:rsidRDefault="00995A91" w14:paraId="2F5ACA1F" w14:textId="77777777">
      <w:pPr>
        <w:pStyle w:val="FoF"/>
        <w:numPr>
          <w:ilvl w:val="0"/>
          <w:numId w:val="14"/>
        </w:numPr>
      </w:pPr>
      <w:r w:rsidRPr="00995A91">
        <w:t>The CARE program is funded by non</w:t>
      </w:r>
      <w:r w:rsidRPr="00995A91">
        <w:noBreakHyphen/>
        <w:t>participating ratepayers as part of a statutory public purpose program surcharge.</w:t>
      </w:r>
    </w:p>
    <w:p w:rsidRPr="00995A91" w:rsidR="00995A91" w:rsidP="00995A91" w:rsidRDefault="00995A91" w14:paraId="4908CBE5" w14:textId="01904399">
      <w:pPr>
        <w:pStyle w:val="FoF"/>
        <w:numPr>
          <w:ilvl w:val="0"/>
          <w:numId w:val="14"/>
        </w:numPr>
      </w:pPr>
      <w:r w:rsidRPr="00995A91">
        <w:t xml:space="preserve">Enrollment goals for the CARE program </w:t>
      </w:r>
      <w:r w:rsidR="00006EE8">
        <w:t>have</w:t>
      </w:r>
      <w:r w:rsidRPr="00995A91">
        <w:t xml:space="preserve"> been established in Commission decisions at 90 percent. </w:t>
      </w:r>
    </w:p>
    <w:p w:rsidRPr="00995A91" w:rsidR="00995A91" w:rsidP="00995A91" w:rsidRDefault="00995A91" w14:paraId="7182F8B7" w14:textId="77777777">
      <w:pPr>
        <w:pStyle w:val="FoF"/>
        <w:numPr>
          <w:ilvl w:val="0"/>
          <w:numId w:val="14"/>
        </w:numPr>
      </w:pPr>
      <w:r w:rsidRPr="00995A91">
        <w:t xml:space="preserve">The Utilities can meet the 90 percent enrollment goals with the funding provided. </w:t>
      </w:r>
    </w:p>
    <w:p w:rsidRPr="00995A91" w:rsidR="00995A91" w:rsidP="00995A91" w:rsidRDefault="00995A91" w14:paraId="488C6D3B" w14:textId="0A6AC65E">
      <w:pPr>
        <w:pStyle w:val="FoF"/>
        <w:numPr>
          <w:ilvl w:val="0"/>
          <w:numId w:val="14"/>
        </w:numPr>
      </w:pPr>
      <w:r w:rsidRPr="00995A91">
        <w:t xml:space="preserve">Applying certain CARE program rules (including self-certification, categorical eligibility, post enrollment verification, and the income documentation processes and requirements) decreases barriers to participation and/or protects the integrity of the program. </w:t>
      </w:r>
    </w:p>
    <w:p w:rsidRPr="00995A91" w:rsidR="00995A91" w:rsidP="00995A91" w:rsidRDefault="00995A91" w14:paraId="4E4747E0" w14:textId="77777777">
      <w:pPr>
        <w:pStyle w:val="FoF"/>
        <w:numPr>
          <w:ilvl w:val="0"/>
          <w:numId w:val="14"/>
        </w:numPr>
      </w:pPr>
      <w:r w:rsidRPr="00995A91">
        <w:t>The CARE capitation program helps to increase the CARE program enrollment rate, educates customers on the CARE and FERA discounts, and assists customers in enrolling in the ESA program.</w:t>
      </w:r>
    </w:p>
    <w:p w:rsidRPr="00995A91" w:rsidR="00995A91" w:rsidP="00995A91" w:rsidRDefault="00995A91" w14:paraId="1F9D353E" w14:textId="77777777">
      <w:pPr>
        <w:pStyle w:val="FoF"/>
        <w:numPr>
          <w:ilvl w:val="0"/>
          <w:numId w:val="14"/>
        </w:numPr>
      </w:pPr>
      <w:r w:rsidRPr="00995A91">
        <w:t xml:space="preserve">Targeted strategies and dedicating funding for the marketing, education and outreach of the CARE program have allowed the Utilities to meet the CARE program goals. </w:t>
      </w:r>
    </w:p>
    <w:p w:rsidRPr="00995A91" w:rsidR="00995A91" w:rsidP="00995A91" w:rsidRDefault="00995A91" w14:paraId="6D104F55" w14:textId="77777777">
      <w:pPr>
        <w:pStyle w:val="FoF"/>
        <w:numPr>
          <w:ilvl w:val="0"/>
          <w:numId w:val="14"/>
        </w:numPr>
      </w:pPr>
      <w:r w:rsidRPr="00995A91">
        <w:lastRenderedPageBreak/>
        <w:t xml:space="preserve">Coordinating and leveraging the CARE program with other programs and organizations targeting the same population helps to increase participation and decrease confusion and barriers.  </w:t>
      </w:r>
    </w:p>
    <w:p w:rsidRPr="00995A91" w:rsidR="00995A91" w:rsidP="00995A91" w:rsidRDefault="00995A91" w14:paraId="25C0587B" w14:textId="77777777">
      <w:pPr>
        <w:pStyle w:val="FoF"/>
        <w:numPr>
          <w:ilvl w:val="0"/>
          <w:numId w:val="14"/>
        </w:numPr>
      </w:pPr>
      <w:r w:rsidRPr="00995A91">
        <w:t xml:space="preserve">Cooling Centers are facilities where people can go during the summer months to escape the heat and reduce their energy usage, and are open to the public, not just </w:t>
      </w:r>
      <w:proofErr w:type="gramStart"/>
      <w:r w:rsidRPr="00995A91">
        <w:t>low income</w:t>
      </w:r>
      <w:proofErr w:type="gramEnd"/>
      <w:r w:rsidRPr="00995A91">
        <w:t xml:space="preserve"> communities.</w:t>
      </w:r>
    </w:p>
    <w:p w:rsidRPr="00995A91" w:rsidR="00995A91" w:rsidP="00995A91" w:rsidRDefault="00995A91" w14:paraId="5F0F3009" w14:textId="764B9A98">
      <w:pPr>
        <w:pStyle w:val="FoF"/>
        <w:numPr>
          <w:ilvl w:val="0"/>
          <w:numId w:val="14"/>
        </w:numPr>
      </w:pPr>
      <w:r w:rsidRPr="00995A91">
        <w:t>The CHANGES program provides outreach, education, and bill issue assistance on natural gas and electricity bills and services to limited English proficient consumers through a statewide network of CBOs, and generally targets the same population as the CA</w:t>
      </w:r>
      <w:r w:rsidR="00BF2E6E">
        <w:t>R</w:t>
      </w:r>
      <w:r w:rsidRPr="00995A91">
        <w:t xml:space="preserve">E program. </w:t>
      </w:r>
    </w:p>
    <w:p w:rsidRPr="00995A91" w:rsidR="00995A91" w:rsidP="00995A91" w:rsidRDefault="00995A91" w14:paraId="64B2C2CD" w14:textId="77777777">
      <w:pPr>
        <w:pStyle w:val="FoF"/>
        <w:numPr>
          <w:ilvl w:val="0"/>
          <w:numId w:val="14"/>
        </w:numPr>
      </w:pPr>
      <w:r w:rsidRPr="00995A91">
        <w:t xml:space="preserve">The Utilities’ historical CARE administrative budgets account for less than 10 percent of the total CARE budgets.  </w:t>
      </w:r>
    </w:p>
    <w:p w:rsidRPr="00995A91" w:rsidR="00995A91" w:rsidP="00995A91" w:rsidRDefault="00995A91" w14:paraId="38E82424" w14:textId="77777777">
      <w:pPr>
        <w:pStyle w:val="FoF"/>
        <w:numPr>
          <w:ilvl w:val="0"/>
          <w:numId w:val="14"/>
        </w:numPr>
      </w:pPr>
      <w:r w:rsidRPr="00995A91">
        <w:t xml:space="preserve">The income eligibility guidelines and the discount rate for the FERA program are set in statute. </w:t>
      </w:r>
    </w:p>
    <w:p w:rsidRPr="00995A91" w:rsidR="00995A91" w:rsidP="00995A91" w:rsidRDefault="00995A91" w14:paraId="3CBF419C" w14:textId="77777777">
      <w:pPr>
        <w:pStyle w:val="FoF"/>
        <w:numPr>
          <w:ilvl w:val="0"/>
          <w:numId w:val="14"/>
        </w:numPr>
      </w:pPr>
      <w:r w:rsidRPr="00995A91">
        <w:t>The FERA program is funded by both participating and non</w:t>
      </w:r>
      <w:r w:rsidRPr="00995A91">
        <w:noBreakHyphen/>
        <w:t>participating ratepayers through either customer distribution rates or statutory public purpose program surcharges.</w:t>
      </w:r>
    </w:p>
    <w:p w:rsidRPr="00995A91" w:rsidR="00995A91" w:rsidP="00995A91" w:rsidRDefault="00995A91" w14:paraId="1044D0EC" w14:textId="471B3162">
      <w:pPr>
        <w:pStyle w:val="FoF"/>
        <w:numPr>
          <w:ilvl w:val="0"/>
          <w:numId w:val="14"/>
        </w:numPr>
      </w:pPr>
      <w:r w:rsidRPr="00995A91">
        <w:t>Enrollment goals for the FERA program have been established in Commission decisions, most recently D.18-08-013 and D.18-11-027</w:t>
      </w:r>
      <w:r w:rsidR="003C1479">
        <w:t>,</w:t>
      </w:r>
      <w:r w:rsidRPr="00995A91">
        <w:t xml:space="preserve"> at 50 percent for PG&amp;E and SCE respectively, by 2023 with the goal of eventually having the same enrollment rate as the CARE program.</w:t>
      </w:r>
    </w:p>
    <w:p w:rsidRPr="00995A91" w:rsidR="00995A91" w:rsidP="00995A91" w:rsidRDefault="00995A91" w14:paraId="3B0F99A5" w14:textId="77777777">
      <w:pPr>
        <w:pStyle w:val="FoF"/>
        <w:numPr>
          <w:ilvl w:val="0"/>
          <w:numId w:val="14"/>
        </w:numPr>
      </w:pPr>
      <w:r w:rsidRPr="00995A91">
        <w:t xml:space="preserve">The electric Utilities FERA enrollment rates as of 2019 ranged from 10 to 20 percent. </w:t>
      </w:r>
    </w:p>
    <w:p w:rsidRPr="00995A91" w:rsidR="00995A91" w:rsidP="00995A91" w:rsidRDefault="00995A91" w14:paraId="60861359" w14:textId="20A2952C">
      <w:pPr>
        <w:pStyle w:val="FoF"/>
        <w:numPr>
          <w:ilvl w:val="0"/>
          <w:numId w:val="14"/>
        </w:numPr>
      </w:pPr>
      <w:r w:rsidRPr="00995A91">
        <w:t xml:space="preserve">Applying certain FERA program rules to be consistent with the CARE program (including self-certification, categorical eligibility, post enrollment verification, and the income documentation processes and requirements) </w:t>
      </w:r>
      <w:r w:rsidRPr="00995A91">
        <w:lastRenderedPageBreak/>
        <w:t xml:space="preserve">increases Utility efficiencies, decreases barriers to participation and/or protects the integrity of the program. </w:t>
      </w:r>
    </w:p>
    <w:p w:rsidRPr="00995A91" w:rsidR="00995A91" w:rsidP="00995A91" w:rsidRDefault="00995A91" w14:paraId="12A13752" w14:textId="77777777">
      <w:pPr>
        <w:pStyle w:val="FoF"/>
        <w:numPr>
          <w:ilvl w:val="0"/>
          <w:numId w:val="14"/>
        </w:numPr>
      </w:pPr>
      <w:r w:rsidRPr="00995A91">
        <w:t>A FERA capitation program, like the CARE capitation program, would help increase the FERA program enrollment rate, educate customers on the CARE and FERA discounts, and assist customers in enrolling in the ESA program.</w:t>
      </w:r>
    </w:p>
    <w:p w:rsidRPr="00995A91" w:rsidR="00995A91" w:rsidP="00995A91" w:rsidRDefault="00995A91" w14:paraId="4DD3ED2D" w14:textId="77777777">
      <w:pPr>
        <w:pStyle w:val="FoF"/>
        <w:numPr>
          <w:ilvl w:val="0"/>
          <w:numId w:val="14"/>
        </w:numPr>
      </w:pPr>
      <w:r w:rsidRPr="00995A91">
        <w:t xml:space="preserve">Targeted FERA specific marketing and outreach efforts, and funding, had a significant impact on FERA enrollment rates in 2019.  </w:t>
      </w:r>
    </w:p>
    <w:p w:rsidR="000F27FB" w:rsidP="00995A91" w:rsidRDefault="00995A91" w14:paraId="19EF5A3E" w14:textId="563EAD84">
      <w:pPr>
        <w:pStyle w:val="FoF"/>
        <w:numPr>
          <w:ilvl w:val="0"/>
          <w:numId w:val="14"/>
        </w:numPr>
      </w:pPr>
      <w:r w:rsidRPr="00995A91">
        <w:t>Coordinating and leveraging the FERA program with other programs and organizations targeting the same population helps to increase participation and decrease confusion and barriers.</w:t>
      </w:r>
    </w:p>
    <w:p w:rsidR="009127E7" w:rsidP="00CB2123" w:rsidRDefault="009127E7" w14:paraId="7B2D566C" w14:textId="77777777">
      <w:pPr>
        <w:pStyle w:val="FoF"/>
        <w:numPr>
          <w:ilvl w:val="0"/>
          <w:numId w:val="14"/>
        </w:numPr>
      </w:pPr>
      <w:r>
        <w:t>C</w:t>
      </w:r>
      <w:r w:rsidRPr="00AF2E67">
        <w:t>onsolidat</w:t>
      </w:r>
      <w:r>
        <w:t>ing</w:t>
      </w:r>
      <w:r w:rsidRPr="00AF2E67">
        <w:t xml:space="preserve"> the FERA program proceeding </w:t>
      </w:r>
      <w:r>
        <w:t xml:space="preserve">with </w:t>
      </w:r>
      <w:r w:rsidRPr="00AF2E67">
        <w:t xml:space="preserve">the </w:t>
      </w:r>
      <w:r>
        <w:t xml:space="preserve">CARE and ESA </w:t>
      </w:r>
      <w:r w:rsidRPr="00AF2E67">
        <w:t xml:space="preserve">proceeding </w:t>
      </w:r>
      <w:r>
        <w:t>will</w:t>
      </w:r>
      <w:r w:rsidRPr="00AF2E67">
        <w:t xml:space="preserve"> achieve administrative efficiencies</w:t>
      </w:r>
      <w:r>
        <w:t>.</w:t>
      </w:r>
    </w:p>
    <w:p w:rsidRPr="00CB2123" w:rsidR="00CB2123" w:rsidP="00CB2123" w:rsidRDefault="00CB2123" w14:paraId="7A310749" w14:textId="1017C6AB">
      <w:pPr>
        <w:pStyle w:val="FoF"/>
        <w:numPr>
          <w:ilvl w:val="0"/>
          <w:numId w:val="14"/>
        </w:numPr>
      </w:pPr>
      <w:r w:rsidRPr="00CB2123">
        <w:t xml:space="preserve">The income eligibility guidelines for the ESA program are set in statute at 200 percent of federal poverty guidelines. </w:t>
      </w:r>
    </w:p>
    <w:p w:rsidRPr="00CB2123" w:rsidR="00CB2123" w:rsidP="00CB2123" w:rsidRDefault="00CB2123" w14:paraId="45F18636" w14:textId="77777777">
      <w:pPr>
        <w:pStyle w:val="FoF"/>
        <w:numPr>
          <w:ilvl w:val="0"/>
          <w:numId w:val="14"/>
        </w:numPr>
      </w:pPr>
      <w:r w:rsidRPr="00CB2123">
        <w:t>The ESA program is funded by both participating and non</w:t>
      </w:r>
      <w:r w:rsidRPr="00CB2123">
        <w:noBreakHyphen/>
        <w:t>participating ratepayers as part of a statutory public purpose program surcharge.</w:t>
      </w:r>
    </w:p>
    <w:p w:rsidRPr="00CB2123" w:rsidR="00CB2123" w:rsidP="00CB2123" w:rsidRDefault="00CB2123" w14:paraId="5DB6A7D9" w14:textId="77777777">
      <w:pPr>
        <w:pStyle w:val="FoF"/>
        <w:numPr>
          <w:ilvl w:val="0"/>
          <w:numId w:val="14"/>
        </w:numPr>
        <w:rPr>
          <w:iCs/>
        </w:rPr>
      </w:pPr>
      <w:r w:rsidRPr="00CB2123">
        <w:rPr>
          <w:iCs/>
        </w:rPr>
        <w:t xml:space="preserve">California </w:t>
      </w:r>
      <w:r w:rsidRPr="00CB2123">
        <w:t>Public Utility</w:t>
      </w:r>
      <w:r w:rsidRPr="00CB2123">
        <w:rPr>
          <w:iCs/>
        </w:rPr>
        <w:t xml:space="preserve"> Code Section 382(e) requires that: “The commission shall, by not later than December 31, 2020, ensure that all eligible low-income electricity and gas customers are given the opportunity to participate in low-income energy efficiency programs, including customers occupying apartments or similar multiunit residential structures.”</w:t>
      </w:r>
    </w:p>
    <w:p w:rsidR="00CB2123" w:rsidP="00CB2123" w:rsidRDefault="00CB2123" w14:paraId="2F447C6D" w14:textId="0413A79D">
      <w:pPr>
        <w:pStyle w:val="FoF"/>
        <w:numPr>
          <w:ilvl w:val="0"/>
          <w:numId w:val="14"/>
        </w:numPr>
      </w:pPr>
      <w:r w:rsidRPr="00CB2123">
        <w:t>Public Utility Code Section 2790 states that the ESA program should “</w:t>
      </w:r>
      <w:proofErr w:type="spellStart"/>
      <w:r w:rsidRPr="00CB2123">
        <w:t>tak</w:t>
      </w:r>
      <w:proofErr w:type="spellEnd"/>
      <w:r w:rsidRPr="00CB2123">
        <w:t xml:space="preserve">[e] into consideration both the cost-effectiveness of the services and the policy of reducing the hardships facing </w:t>
      </w:r>
      <w:proofErr w:type="gramStart"/>
      <w:r w:rsidRPr="00CB2123">
        <w:t>low income</w:t>
      </w:r>
      <w:proofErr w:type="gramEnd"/>
      <w:r w:rsidRPr="00CB2123">
        <w:t xml:space="preserve"> households.”  </w:t>
      </w:r>
    </w:p>
    <w:p w:rsidR="000C1980" w:rsidP="003D15AD" w:rsidRDefault="000C1980" w14:paraId="51F6EDEB" w14:textId="111DF734">
      <w:pPr>
        <w:pStyle w:val="FoF"/>
        <w:numPr>
          <w:ilvl w:val="0"/>
          <w:numId w:val="14"/>
        </w:numPr>
        <w:shd w:val="clear" w:color="auto" w:fill="FFFFFF" w:themeFill="background1"/>
      </w:pPr>
      <w:r>
        <w:lastRenderedPageBreak/>
        <w:t xml:space="preserve">The </w:t>
      </w:r>
      <w:r w:rsidR="009127E7">
        <w:t xml:space="preserve">Utilities </w:t>
      </w:r>
      <w:r>
        <w:t xml:space="preserve">have essentially achieved the </w:t>
      </w:r>
      <w:r w:rsidR="00452EA2">
        <w:t xml:space="preserve">statutory </w:t>
      </w:r>
      <w:r>
        <w:t xml:space="preserve">goal of treating all willing and eligible households by 2020. </w:t>
      </w:r>
    </w:p>
    <w:p w:rsidR="000C1980" w:rsidP="003D15AD" w:rsidRDefault="001961D2" w14:paraId="09122232" w14:textId="544B0685">
      <w:pPr>
        <w:pStyle w:val="FoF"/>
        <w:numPr>
          <w:ilvl w:val="0"/>
          <w:numId w:val="14"/>
        </w:numPr>
        <w:shd w:val="clear" w:color="auto" w:fill="FFFFFF" w:themeFill="background1"/>
      </w:pPr>
      <w:r>
        <w:t xml:space="preserve">The Utilities’ ESA program design and delivery models </w:t>
      </w:r>
      <w:r w:rsidR="000C1980">
        <w:t xml:space="preserve">shift the program away from </w:t>
      </w:r>
      <w:r w:rsidRPr="008B26CF" w:rsidR="000C1980">
        <w:t>the goal of treating all eligible and willing households to a customer-centered prioritization model based on household needs and customer profile</w:t>
      </w:r>
      <w:r w:rsidR="000C1980">
        <w:t>.</w:t>
      </w:r>
    </w:p>
    <w:p w:rsidR="000C1980" w:rsidP="003D15AD" w:rsidRDefault="00E02B29" w14:paraId="17B69921" w14:textId="60434B3A">
      <w:pPr>
        <w:pStyle w:val="FoF"/>
        <w:numPr>
          <w:ilvl w:val="0"/>
          <w:numId w:val="14"/>
        </w:numPr>
        <w:shd w:val="clear" w:color="auto" w:fill="FFFFFF" w:themeFill="background1"/>
      </w:pPr>
      <w:r>
        <w:t xml:space="preserve">The Utilities’ ESA program </w:t>
      </w:r>
      <w:r w:rsidR="000C1980">
        <w:t xml:space="preserve">measures focus on deeper energy savings </w:t>
      </w:r>
      <w:r>
        <w:t xml:space="preserve">that </w:t>
      </w:r>
      <w:r w:rsidR="000C1980">
        <w:t>will help achieve the program goals.</w:t>
      </w:r>
    </w:p>
    <w:p w:rsidR="000C1980" w:rsidP="003D15AD" w:rsidRDefault="00B160DC" w14:paraId="261EB8F6" w14:textId="2230CB68">
      <w:pPr>
        <w:pStyle w:val="FoF"/>
        <w:numPr>
          <w:ilvl w:val="0"/>
          <w:numId w:val="14"/>
        </w:numPr>
        <w:shd w:val="clear" w:color="auto" w:fill="FFFFFF" w:themeFill="background1"/>
      </w:pPr>
      <w:r>
        <w:t xml:space="preserve">The Utilities propose targets/ goals for </w:t>
      </w:r>
      <w:r w:rsidR="000C1980">
        <w:t xml:space="preserve">energy savings, household treatment </w:t>
      </w:r>
      <w:r>
        <w:t>levels</w:t>
      </w:r>
      <w:r w:rsidR="000C1980">
        <w:t>, non-energy benefit</w:t>
      </w:r>
      <w:r>
        <w:t>s</w:t>
      </w:r>
      <w:r w:rsidR="000C1980">
        <w:t xml:space="preserve">, and cost effectiveness </w:t>
      </w:r>
      <w:r w:rsidR="0087481E">
        <w:t xml:space="preserve">based on guidance provided in </w:t>
      </w:r>
      <w:r w:rsidRPr="00C91043" w:rsidR="0087481E">
        <w:t>D.19-06-022</w:t>
      </w:r>
      <w:r w:rsidR="0087481E">
        <w:t xml:space="preserve"> and on historical performance</w:t>
      </w:r>
      <w:r w:rsidR="000C1980">
        <w:t xml:space="preserve">. </w:t>
      </w:r>
    </w:p>
    <w:p w:rsidRPr="00B3149D" w:rsidR="00B3149D" w:rsidP="00B3149D" w:rsidRDefault="00B3149D" w14:paraId="1BEDDBE3" w14:textId="5634AC0E">
      <w:pPr>
        <w:pStyle w:val="FoF"/>
        <w:numPr>
          <w:ilvl w:val="0"/>
          <w:numId w:val="14"/>
        </w:numPr>
        <w:shd w:val="clear" w:color="auto" w:fill="FFFFFF" w:themeFill="background1"/>
      </w:pPr>
      <w:r w:rsidRPr="00B3149D">
        <w:t>An ESA program design based on tiers, or levels of participation options, offering increasing levels of services dependent on income eligibility, need and specific vulnerable customer segments, better serve</w:t>
      </w:r>
      <w:r w:rsidR="0074514E">
        <w:t>s</w:t>
      </w:r>
      <w:r w:rsidRPr="00B3149D">
        <w:t xml:space="preserve"> the customers.  </w:t>
      </w:r>
    </w:p>
    <w:p w:rsidRPr="00B3149D" w:rsidR="00B3149D" w:rsidP="00B3149D" w:rsidRDefault="00B3149D" w14:paraId="0F19472B" w14:textId="0DC76CF0">
      <w:pPr>
        <w:pStyle w:val="FoF"/>
        <w:numPr>
          <w:ilvl w:val="0"/>
          <w:numId w:val="14"/>
        </w:numPr>
        <w:shd w:val="clear" w:color="auto" w:fill="FFFFFF" w:themeFill="background1"/>
      </w:pPr>
      <w:r w:rsidRPr="00B3149D">
        <w:t xml:space="preserve">Applying certain ESA program rules (including self-certification, categorical eligibility, audit, property owner approvals/ waivers, and the income documentation processes and requirements,) decrease barriers to participation and/or protects the integrity of the program. </w:t>
      </w:r>
    </w:p>
    <w:p w:rsidRPr="00B3149D" w:rsidR="00B3149D" w:rsidP="00B3149D" w:rsidRDefault="00B3149D" w14:paraId="57CBFCD5" w14:textId="527FFCC3">
      <w:pPr>
        <w:pStyle w:val="FoF"/>
        <w:numPr>
          <w:ilvl w:val="0"/>
          <w:numId w:val="14"/>
        </w:numPr>
      </w:pPr>
      <w:r w:rsidRPr="00B3149D">
        <w:t>Allowing for minor program changes (including updating measures, manuals, fund shifts) through the Utility monthly/annual reports, or an advice letter as opposed to a petition for modification to the decision</w:t>
      </w:r>
      <w:r w:rsidR="004C2D3F">
        <w:t>,</w:t>
      </w:r>
      <w:r w:rsidRPr="00B3149D">
        <w:t xml:space="preserve"> would ease administrative burdens on all parties and Commission staff. </w:t>
      </w:r>
    </w:p>
    <w:p w:rsidRPr="00B3149D" w:rsidR="00B3149D" w:rsidP="00B3149D" w:rsidRDefault="00B3149D" w14:paraId="47AF6AC5" w14:textId="77777777">
      <w:pPr>
        <w:pStyle w:val="FoF"/>
        <w:numPr>
          <w:ilvl w:val="0"/>
          <w:numId w:val="14"/>
        </w:numPr>
        <w:shd w:val="clear" w:color="auto" w:fill="FFFFFF" w:themeFill="background1"/>
      </w:pPr>
      <w:r w:rsidRPr="00B3149D">
        <w:t xml:space="preserve">Targeted strategies and dedicating funding for the marketing, education and outreach of the ESA program have allowed the Utilities to meet the ESA program goals. </w:t>
      </w:r>
    </w:p>
    <w:p w:rsidR="00B3149D" w:rsidP="00B3149D" w:rsidRDefault="00B3149D" w14:paraId="5A23C98D" w14:textId="77777777">
      <w:pPr>
        <w:pStyle w:val="FoF"/>
        <w:numPr>
          <w:ilvl w:val="0"/>
          <w:numId w:val="14"/>
        </w:numPr>
      </w:pPr>
      <w:r w:rsidRPr="00B3149D">
        <w:lastRenderedPageBreak/>
        <w:t>Coordinating and leveraging the ESA program with other programs and organizations targeting the same population helps to increase participation and decrease confusion and barriers.</w:t>
      </w:r>
    </w:p>
    <w:p w:rsidR="00B3149D" w:rsidP="00B171D3" w:rsidRDefault="00B3149D" w14:paraId="450DFBEC" w14:textId="71C2754D">
      <w:pPr>
        <w:pStyle w:val="FoF"/>
        <w:numPr>
          <w:ilvl w:val="0"/>
          <w:numId w:val="14"/>
        </w:numPr>
      </w:pPr>
      <w:r w:rsidRPr="00B3149D">
        <w:t xml:space="preserve">Workforce, education, and training of the energy efficiency workforce contributes largely to the success of the ESA program and the mainstream energy </w:t>
      </w:r>
      <w:r w:rsidRPr="00B3149D" w:rsidR="005E6F55">
        <w:t>efficiency</w:t>
      </w:r>
      <w:r w:rsidRPr="00B3149D">
        <w:t xml:space="preserve"> programs.  </w:t>
      </w:r>
    </w:p>
    <w:p w:rsidR="000C1980" w:rsidP="003D15AD" w:rsidRDefault="00AE0456" w14:paraId="14E70711" w14:textId="74872F5B">
      <w:pPr>
        <w:pStyle w:val="FoF"/>
        <w:numPr>
          <w:ilvl w:val="0"/>
          <w:numId w:val="14"/>
        </w:numPr>
      </w:pPr>
      <w:r>
        <w:t>T</w:t>
      </w:r>
      <w:r w:rsidR="000C1980">
        <w:t xml:space="preserve">argeted workforce, education, and training efforts </w:t>
      </w:r>
      <w:r>
        <w:t xml:space="preserve">help </w:t>
      </w:r>
      <w:r w:rsidR="000C1980">
        <w:t xml:space="preserve">to reach the ESA </w:t>
      </w:r>
      <w:r w:rsidR="00FD2865">
        <w:t xml:space="preserve">and the mainstream energy efficiency programs’ </w:t>
      </w:r>
      <w:r w:rsidR="000C1980">
        <w:t xml:space="preserve">goals, specifically </w:t>
      </w:r>
      <w:r w:rsidR="00FD2865">
        <w:t xml:space="preserve">those </w:t>
      </w:r>
      <w:r w:rsidR="000C1980">
        <w:t xml:space="preserve">targeting local and disadvantaged communities. </w:t>
      </w:r>
    </w:p>
    <w:p w:rsidRPr="003C4CFA" w:rsidR="003C4CFA" w:rsidP="003C4CFA" w:rsidRDefault="003C4CFA" w14:paraId="5765A0AE" w14:textId="7A6D08AD">
      <w:pPr>
        <w:pStyle w:val="FoF"/>
        <w:numPr>
          <w:ilvl w:val="0"/>
          <w:numId w:val="14"/>
        </w:numPr>
      </w:pPr>
      <w:r w:rsidRPr="003C4CFA">
        <w:t xml:space="preserve">The Energy Division’s ESA program redesign proposal would shift the focus of the ESA program away from a program treating a certain number of households, to one focusing on deeper savings and coordination across multiple clean energy programs, with the average treated household energy savings increasing at least 5 percent year over year for each IOU service territory (based on resource measures). </w:t>
      </w:r>
    </w:p>
    <w:p w:rsidRPr="003C4CFA" w:rsidR="003C4CFA" w:rsidP="003C4CFA" w:rsidRDefault="003C4CFA" w14:paraId="70D21CDB" w14:textId="77777777">
      <w:pPr>
        <w:pStyle w:val="FoF"/>
        <w:numPr>
          <w:ilvl w:val="0"/>
          <w:numId w:val="14"/>
        </w:numPr>
      </w:pPr>
      <w:r w:rsidRPr="003C4CFA">
        <w:t xml:space="preserve">The Energy Division’s ESA program redesign proposes the development of a universal </w:t>
      </w:r>
      <w:proofErr w:type="gramStart"/>
      <w:r w:rsidRPr="003C4CFA">
        <w:t>low income</w:t>
      </w:r>
      <w:proofErr w:type="gramEnd"/>
      <w:r w:rsidRPr="003C4CFA">
        <w:t xml:space="preserve"> customer application system that would allow for multiple registration pathways and capabilities for sharing application information and related energy usage information with program partners.</w:t>
      </w:r>
    </w:p>
    <w:p w:rsidR="003C4CFA" w:rsidP="003C4CFA" w:rsidRDefault="003C4CFA" w14:paraId="7F148367" w14:textId="68E75E3A">
      <w:pPr>
        <w:pStyle w:val="FoF"/>
        <w:numPr>
          <w:ilvl w:val="0"/>
          <w:numId w:val="14"/>
        </w:numPr>
      </w:pPr>
      <w:r w:rsidRPr="003C4CFA">
        <w:t>More analysis and data collection are needed before full implementation of the Energy Division’s ESA program redesign.</w:t>
      </w:r>
    </w:p>
    <w:p w:rsidR="000C1980" w:rsidP="003D15AD" w:rsidRDefault="000C1980" w14:paraId="7E06D404" w14:textId="19A6B17A">
      <w:pPr>
        <w:pStyle w:val="FoF"/>
        <w:numPr>
          <w:ilvl w:val="0"/>
          <w:numId w:val="14"/>
        </w:numPr>
      </w:pPr>
      <w:r>
        <w:t xml:space="preserve">The multifamily housing sector offers opportunities for </w:t>
      </w:r>
      <w:r w:rsidR="00CA5AEC">
        <w:t xml:space="preserve">ESA program </w:t>
      </w:r>
      <w:r>
        <w:t xml:space="preserve">savings </w:t>
      </w:r>
      <w:r w:rsidR="00A217A3">
        <w:t xml:space="preserve">in both </w:t>
      </w:r>
      <w:r>
        <w:t>deed restricted and non-deed restricted building</w:t>
      </w:r>
      <w:r w:rsidR="00A217A3">
        <w:t>s</w:t>
      </w:r>
      <w:r>
        <w:t xml:space="preserve">.  </w:t>
      </w:r>
    </w:p>
    <w:p w:rsidRPr="00154F39" w:rsidR="00154F39" w:rsidP="00154F39" w:rsidRDefault="00154F39" w14:paraId="6E5A6BF6" w14:textId="187BA94D">
      <w:pPr>
        <w:pStyle w:val="FoF"/>
        <w:numPr>
          <w:ilvl w:val="0"/>
          <w:numId w:val="14"/>
        </w:numPr>
      </w:pPr>
      <w:r w:rsidRPr="00154F39">
        <w:t>The Utilities have conducted successful competitive solicitations for certain aspects of the ESA program in the past, while keeping other aspects in house.</w:t>
      </w:r>
    </w:p>
    <w:p w:rsidRPr="00154F39" w:rsidR="00154F39" w:rsidP="00154F39" w:rsidRDefault="00154F39" w14:paraId="1DECBC59" w14:textId="681A17E9">
      <w:pPr>
        <w:pStyle w:val="FoF"/>
        <w:numPr>
          <w:ilvl w:val="0"/>
          <w:numId w:val="14"/>
        </w:numPr>
      </w:pPr>
      <w:r w:rsidRPr="00154F39">
        <w:lastRenderedPageBreak/>
        <w:t xml:space="preserve">The </w:t>
      </w:r>
      <w:proofErr w:type="gramStart"/>
      <w:r w:rsidRPr="00154F39">
        <w:t>Utilities’</w:t>
      </w:r>
      <w:proofErr w:type="gramEnd"/>
      <w:r w:rsidRPr="00154F39">
        <w:t xml:space="preserve"> propose to outsource the ESA MFW</w:t>
      </w:r>
      <w:r w:rsidR="002F07C4">
        <w:t>B</w:t>
      </w:r>
      <w:r w:rsidRPr="00154F39">
        <w:t xml:space="preserve"> design and delivery to a third party including the design, delivery, measures mix, targets, and single point of contact (for some utilities) per D.19-06-022.</w:t>
      </w:r>
    </w:p>
    <w:p w:rsidRPr="00154F39" w:rsidR="00154F39" w:rsidP="00154F39" w:rsidRDefault="00154F39" w14:paraId="1E025F1A" w14:textId="4C142720">
      <w:pPr>
        <w:pStyle w:val="FoF"/>
        <w:numPr>
          <w:ilvl w:val="0"/>
          <w:numId w:val="14"/>
        </w:numPr>
      </w:pPr>
      <w:r w:rsidRPr="00154F39">
        <w:t>MCE proposes an ESA MFW</w:t>
      </w:r>
      <w:r w:rsidR="002F07C4">
        <w:t>B</w:t>
      </w:r>
      <w:r w:rsidRPr="00154F39">
        <w:t xml:space="preserve"> program per D.16-11-022 and D.19-06-022, to be outsourced to a third party.</w:t>
      </w:r>
    </w:p>
    <w:p w:rsidRPr="00154F39" w:rsidR="00154F39" w:rsidP="00154F39" w:rsidRDefault="00154F39" w14:paraId="5C0727D5" w14:textId="77777777">
      <w:pPr>
        <w:pStyle w:val="FoF"/>
        <w:numPr>
          <w:ilvl w:val="0"/>
          <w:numId w:val="14"/>
        </w:numPr>
      </w:pPr>
      <w:r w:rsidRPr="00154F39">
        <w:t>Third-party procurement mechanisms for the ESA program can promote greater competition and transparency for bidders, reduce unduly high measure costs, and encourage innovation.</w:t>
      </w:r>
    </w:p>
    <w:p w:rsidRPr="00154F39" w:rsidR="00154F39" w:rsidP="00154F39" w:rsidRDefault="00154F39" w14:paraId="199009D9" w14:textId="77777777">
      <w:pPr>
        <w:pStyle w:val="FoF"/>
        <w:numPr>
          <w:ilvl w:val="0"/>
          <w:numId w:val="14"/>
        </w:numPr>
      </w:pPr>
      <w:r w:rsidRPr="00154F39">
        <w:t>Combining all ESA program multifamily measures (including in-unit, common area measures, and whole building measures), will create efficiencies, increase participation, and decrease confusion and barriers.</w:t>
      </w:r>
    </w:p>
    <w:p w:rsidRPr="00154F39" w:rsidR="00154F39" w:rsidP="00154F39" w:rsidRDefault="00154F39" w14:paraId="45D679C9" w14:textId="3610F394">
      <w:pPr>
        <w:pStyle w:val="FoF"/>
        <w:numPr>
          <w:ilvl w:val="0"/>
          <w:numId w:val="14"/>
        </w:numPr>
      </w:pPr>
      <w:r w:rsidRPr="00154F39">
        <w:t>Applying certain ESA multifamily program rules (including self-certification, categorical eligibility, audit, property owner approvals/ waivers, rent restrictions,</w:t>
      </w:r>
      <w:r w:rsidR="00450A69">
        <w:t xml:space="preserve"> property owner</w:t>
      </w:r>
      <w:r w:rsidRPr="00154F39">
        <w:t xml:space="preserve"> </w:t>
      </w:r>
      <w:r w:rsidR="00450A69">
        <w:t xml:space="preserve">co-pays, </w:t>
      </w:r>
      <w:r w:rsidRPr="00154F39">
        <w:t>and the income documentation processes and requirements,) decrease barriers to participation and/or protect</w:t>
      </w:r>
      <w:r w:rsidR="00595EF9">
        <w:t>s</w:t>
      </w:r>
      <w:r w:rsidRPr="00154F39">
        <w:t xml:space="preserve"> the integrity of the program. </w:t>
      </w:r>
    </w:p>
    <w:p w:rsidRPr="00154F39" w:rsidR="00154F39" w:rsidP="00154F39" w:rsidRDefault="00154F39" w14:paraId="500AF773" w14:textId="77777777">
      <w:pPr>
        <w:pStyle w:val="FoF"/>
        <w:numPr>
          <w:ilvl w:val="0"/>
          <w:numId w:val="14"/>
        </w:numPr>
      </w:pPr>
      <w:r w:rsidRPr="00154F39">
        <w:t>Coordinating and leveraging the ESA multifamily programs with other programs and organizations targeting the same population help to increase participation and decrease confusion and barriers.</w:t>
      </w:r>
    </w:p>
    <w:p w:rsidRPr="00154F39" w:rsidR="00154F39" w:rsidP="00154F39" w:rsidRDefault="00154F39" w14:paraId="4FC3D20A" w14:textId="451DF390">
      <w:pPr>
        <w:pStyle w:val="FoF"/>
        <w:numPr>
          <w:ilvl w:val="0"/>
          <w:numId w:val="14"/>
        </w:numPr>
      </w:pPr>
      <w:r w:rsidRPr="00154F39">
        <w:t xml:space="preserve">MCE’s current multifamily </w:t>
      </w:r>
      <w:r w:rsidR="005E50CD">
        <w:t xml:space="preserve">LIFT </w:t>
      </w:r>
      <w:r w:rsidRPr="00154F39">
        <w:t xml:space="preserve">pilot is incomplete, with no final pilot results yet to determine its success. </w:t>
      </w:r>
    </w:p>
    <w:p w:rsidRPr="00154F39" w:rsidR="00154F39" w:rsidP="00154F39" w:rsidRDefault="00154F39" w14:paraId="265DAC9D" w14:textId="77777777">
      <w:pPr>
        <w:pStyle w:val="FoF"/>
        <w:numPr>
          <w:ilvl w:val="0"/>
          <w:numId w:val="14"/>
        </w:numPr>
      </w:pPr>
      <w:r w:rsidRPr="00154F39">
        <w:t>MCE customers are not “undertreated” and can be adequately served by PG&amp;E.</w:t>
      </w:r>
    </w:p>
    <w:p w:rsidRPr="00154F39" w:rsidR="00154F39" w:rsidP="00154F39" w:rsidRDefault="00154F39" w14:paraId="72B3DAD9" w14:textId="46720215">
      <w:pPr>
        <w:pStyle w:val="FoF"/>
        <w:numPr>
          <w:ilvl w:val="0"/>
          <w:numId w:val="14"/>
        </w:numPr>
      </w:pPr>
      <w:r w:rsidRPr="00154F39">
        <w:t>A separate MCE ESA MFW</w:t>
      </w:r>
      <w:r w:rsidR="002F07C4">
        <w:t>B</w:t>
      </w:r>
      <w:r w:rsidRPr="00154F39">
        <w:t xml:space="preserve"> program would be duplicative of PG&amp;E’s ESA MFW</w:t>
      </w:r>
      <w:r w:rsidR="002F07C4">
        <w:t>B</w:t>
      </w:r>
      <w:r w:rsidRPr="00154F39">
        <w:t xml:space="preserve"> program since they both serve the same territory and would cause customer confusion. </w:t>
      </w:r>
    </w:p>
    <w:p w:rsidRPr="00154F39" w:rsidR="00154F39" w:rsidP="00154F39" w:rsidRDefault="00154F39" w14:paraId="78DFB289" w14:textId="5F0A7F21">
      <w:pPr>
        <w:pStyle w:val="FoF"/>
        <w:numPr>
          <w:ilvl w:val="0"/>
          <w:numId w:val="14"/>
        </w:numPr>
      </w:pPr>
      <w:r w:rsidRPr="00154F39">
        <w:lastRenderedPageBreak/>
        <w:t xml:space="preserve">The Commission does not </w:t>
      </w:r>
      <w:r w:rsidR="005E50CD">
        <w:t xml:space="preserve">need to </w:t>
      </w:r>
      <w:r w:rsidRPr="00154F39">
        <w:t xml:space="preserve">micromanage the detailed agreements and specific contract terms between the Utilities and contractors, so long as the terms </w:t>
      </w:r>
      <w:proofErr w:type="gramStart"/>
      <w:r w:rsidRPr="00154F39">
        <w:t>are in compliance with</w:t>
      </w:r>
      <w:proofErr w:type="gramEnd"/>
      <w:r w:rsidRPr="00154F39">
        <w:t xml:space="preserve"> Commission decisions and program rules. </w:t>
      </w:r>
    </w:p>
    <w:p w:rsidR="00A217A3" w:rsidP="00154F39" w:rsidRDefault="00154F39" w14:paraId="24D169D5" w14:textId="5B0FF5D9">
      <w:pPr>
        <w:pStyle w:val="FoF"/>
        <w:numPr>
          <w:ilvl w:val="0"/>
          <w:numId w:val="14"/>
        </w:numPr>
      </w:pPr>
      <w:r w:rsidRPr="00154F39">
        <w:t>The Utilities have consistently underspent the ESA program authorized budgets since 2017.</w:t>
      </w:r>
    </w:p>
    <w:p w:rsidR="000C1980" w:rsidP="003D15AD" w:rsidRDefault="00E01B51" w14:paraId="1AC1A968" w14:textId="4976D16C">
      <w:pPr>
        <w:pStyle w:val="FoF"/>
        <w:numPr>
          <w:ilvl w:val="0"/>
          <w:numId w:val="14"/>
        </w:numPr>
      </w:pPr>
      <w:r>
        <w:t>There has been a large accumulation of</w:t>
      </w:r>
      <w:r w:rsidDel="00E01B51">
        <w:t xml:space="preserve"> </w:t>
      </w:r>
      <w:r w:rsidR="000C1980">
        <w:t xml:space="preserve">unspent, uncommitted </w:t>
      </w:r>
      <w:r>
        <w:t xml:space="preserve">ESA program </w:t>
      </w:r>
      <w:r w:rsidR="000C1980">
        <w:t xml:space="preserve">funds </w:t>
      </w:r>
      <w:r w:rsidR="00D44E31">
        <w:t>as of 2020, approximately $567 million</w:t>
      </w:r>
      <w:r w:rsidR="000C1980">
        <w:t>.</w:t>
      </w:r>
    </w:p>
    <w:p w:rsidR="00D40478" w:rsidP="003D15AD" w:rsidRDefault="00D40478" w14:paraId="0740F9F6" w14:textId="01474979">
      <w:pPr>
        <w:pStyle w:val="FoF"/>
        <w:numPr>
          <w:ilvl w:val="0"/>
          <w:numId w:val="14"/>
        </w:numPr>
      </w:pPr>
      <w:r w:rsidRPr="00D40478">
        <w:t xml:space="preserve">The Utilities and some parties have failed to provide reasoning for </w:t>
      </w:r>
      <w:r>
        <w:t>various</w:t>
      </w:r>
      <w:r w:rsidRPr="00D40478">
        <w:t xml:space="preserve"> large budget increases</w:t>
      </w:r>
      <w:r>
        <w:t>.</w:t>
      </w:r>
    </w:p>
    <w:p w:rsidR="000C1980" w:rsidP="003D15AD" w:rsidRDefault="00975009" w14:paraId="128CB215" w14:textId="2703DB83">
      <w:pPr>
        <w:pStyle w:val="FoF"/>
        <w:numPr>
          <w:ilvl w:val="0"/>
          <w:numId w:val="14"/>
        </w:numPr>
      </w:pPr>
      <w:r>
        <w:t>E</w:t>
      </w:r>
      <w:r w:rsidR="000C1980">
        <w:t xml:space="preserve">ngaging with Tribal communities </w:t>
      </w:r>
      <w:r w:rsidRPr="007144A5" w:rsidR="00786051">
        <w:t xml:space="preserve">will help increase enrollment into the </w:t>
      </w:r>
      <w:proofErr w:type="gramStart"/>
      <w:r w:rsidRPr="007144A5" w:rsidR="00786051">
        <w:t>low income</w:t>
      </w:r>
      <w:proofErr w:type="gramEnd"/>
      <w:r w:rsidRPr="007144A5" w:rsidR="00786051">
        <w:t xml:space="preserve"> programs, decrease participation barriers and negative perceptions, and build trust with the community</w:t>
      </w:r>
      <w:r w:rsidR="000C1980">
        <w:t xml:space="preserve">. </w:t>
      </w:r>
    </w:p>
    <w:p w:rsidRPr="006A16B6" w:rsidR="006A16B6" w:rsidP="006A16B6" w:rsidRDefault="006A16B6" w14:paraId="49EA8AEE" w14:textId="59436F91">
      <w:pPr>
        <w:pStyle w:val="FoF"/>
        <w:numPr>
          <w:ilvl w:val="0"/>
          <w:numId w:val="14"/>
        </w:numPr>
      </w:pPr>
      <w:r w:rsidRPr="006A16B6">
        <w:t xml:space="preserve">The CARE, FERA and ESA programs would benefit from continuous data collection and reporting, studies, evaluations and </w:t>
      </w:r>
      <w:proofErr w:type="gramStart"/>
      <w:r w:rsidRPr="006A16B6">
        <w:t>cost effective</w:t>
      </w:r>
      <w:proofErr w:type="gramEnd"/>
      <w:r w:rsidRPr="006A16B6">
        <w:t xml:space="preserve"> pilots. </w:t>
      </w:r>
    </w:p>
    <w:p w:rsidR="006A16B6" w:rsidP="006A16B6" w:rsidRDefault="006A16B6" w14:paraId="2BF6C992" w14:textId="0B1C00C5">
      <w:pPr>
        <w:pStyle w:val="FoF"/>
        <w:numPr>
          <w:ilvl w:val="0"/>
          <w:numId w:val="14"/>
        </w:numPr>
      </w:pPr>
      <w:r w:rsidRPr="006A16B6">
        <w:t>The CARE, FERA and ESA programs would benefit from ongoing monitoring of progress towards goals and targets and feedback from working groups and the LIOB</w:t>
      </w:r>
      <w:r>
        <w:t>.</w:t>
      </w:r>
    </w:p>
    <w:p w:rsidRPr="005C1BC2" w:rsidR="000C1980" w:rsidP="000C1980" w:rsidRDefault="000C1980" w14:paraId="3A98850E" w14:textId="77777777">
      <w:pPr>
        <w:pStyle w:val="Dummy"/>
      </w:pPr>
      <w:bookmarkStart w:name="_Toc2523444" w:id="788"/>
      <w:bookmarkStart w:name="_Toc45616430" w:id="789"/>
      <w:bookmarkStart w:name="_Toc69948412" w:id="790"/>
      <w:r w:rsidRPr="005C1BC2">
        <w:t>Conclusions of Law</w:t>
      </w:r>
      <w:bookmarkEnd w:id="788"/>
      <w:bookmarkEnd w:id="789"/>
      <w:bookmarkEnd w:id="790"/>
    </w:p>
    <w:p w:rsidR="00313CAA" w:rsidP="003D15AD" w:rsidRDefault="00DA23CC" w14:paraId="057652AD" w14:textId="1EC6ADB5">
      <w:pPr>
        <w:numPr>
          <w:ilvl w:val="0"/>
          <w:numId w:val="18"/>
        </w:numPr>
        <w:spacing w:line="360" w:lineRule="auto"/>
        <w:ind w:left="0" w:firstLine="360"/>
        <w:rPr>
          <w:szCs w:val="26"/>
        </w:rPr>
      </w:pPr>
      <w:r w:rsidRPr="00DA23CC">
        <w:rPr>
          <w:szCs w:val="26"/>
        </w:rPr>
        <w:t xml:space="preserve">The CARE program should continue </w:t>
      </w:r>
      <w:r w:rsidR="002F07C4">
        <w:rPr>
          <w:szCs w:val="26"/>
        </w:rPr>
        <w:t xml:space="preserve">to </w:t>
      </w:r>
      <w:r w:rsidRPr="00DA23CC">
        <w:rPr>
          <w:szCs w:val="26"/>
        </w:rPr>
        <w:t>offer electric and gas rate discounts to eligible households with total household annual gross income at 200 percent or less of the federal poverty guideline level</w:t>
      </w:r>
      <w:r>
        <w:rPr>
          <w:szCs w:val="26"/>
        </w:rPr>
        <w:t>.</w:t>
      </w:r>
    </w:p>
    <w:p w:rsidRPr="00165FAC" w:rsidR="00165FAC" w:rsidP="00165FAC" w:rsidRDefault="00165FAC" w14:paraId="782D4137" w14:textId="7AF5D800">
      <w:pPr>
        <w:numPr>
          <w:ilvl w:val="0"/>
          <w:numId w:val="18"/>
        </w:numPr>
        <w:spacing w:line="360" w:lineRule="auto"/>
        <w:ind w:left="0" w:firstLine="360"/>
        <w:rPr>
          <w:szCs w:val="26"/>
        </w:rPr>
      </w:pPr>
      <w:r w:rsidRPr="00165FAC">
        <w:rPr>
          <w:szCs w:val="26"/>
        </w:rPr>
        <w:t>The CARE program enrollment goal should remain at 90 percent.</w:t>
      </w:r>
    </w:p>
    <w:p w:rsidRPr="00165FAC" w:rsidR="00165FAC" w:rsidP="00165FAC" w:rsidRDefault="00165FAC" w14:paraId="7B2BD749" w14:textId="77777777">
      <w:pPr>
        <w:numPr>
          <w:ilvl w:val="0"/>
          <w:numId w:val="18"/>
        </w:numPr>
        <w:spacing w:line="360" w:lineRule="auto"/>
        <w:ind w:left="0" w:firstLine="360"/>
        <w:rPr>
          <w:szCs w:val="26"/>
        </w:rPr>
      </w:pPr>
      <w:r w:rsidRPr="00165FAC">
        <w:rPr>
          <w:szCs w:val="26"/>
        </w:rPr>
        <w:t xml:space="preserve">The CARE administrative budgets should be increased from prior years to enroll that last remaining, hard to reach, group of customers. </w:t>
      </w:r>
    </w:p>
    <w:p w:rsidRPr="00165FAC" w:rsidR="00165FAC" w:rsidP="00165FAC" w:rsidRDefault="00165FAC" w14:paraId="5BEEF28B" w14:textId="598CC1C6">
      <w:pPr>
        <w:numPr>
          <w:ilvl w:val="0"/>
          <w:numId w:val="18"/>
        </w:numPr>
        <w:spacing w:line="360" w:lineRule="auto"/>
        <w:ind w:left="0" w:firstLine="360"/>
        <w:rPr>
          <w:szCs w:val="26"/>
        </w:rPr>
      </w:pPr>
      <w:r w:rsidRPr="00165FAC">
        <w:rPr>
          <w:szCs w:val="26"/>
        </w:rPr>
        <w:t xml:space="preserve">Certain CARE program rules (including self-certification, categorical eligibility, post enrollment verification, and the income documentation processes </w:t>
      </w:r>
      <w:r w:rsidRPr="00165FAC">
        <w:rPr>
          <w:szCs w:val="26"/>
        </w:rPr>
        <w:lastRenderedPageBreak/>
        <w:t>and requirements) should be modified to decrease barriers to participation and/or protect the integrity of the program.</w:t>
      </w:r>
    </w:p>
    <w:p w:rsidRPr="00165FAC" w:rsidR="00165FAC" w:rsidP="00165FAC" w:rsidRDefault="00165FAC" w14:paraId="78DBB567" w14:textId="77777777">
      <w:pPr>
        <w:numPr>
          <w:ilvl w:val="0"/>
          <w:numId w:val="18"/>
        </w:numPr>
        <w:spacing w:line="360" w:lineRule="auto"/>
        <w:ind w:left="0" w:firstLine="360"/>
        <w:rPr>
          <w:szCs w:val="26"/>
        </w:rPr>
      </w:pPr>
      <w:r w:rsidRPr="00165FAC">
        <w:rPr>
          <w:szCs w:val="26"/>
        </w:rPr>
        <w:t>The CARE capitation reimbursement rate should be increased to help increase the CARE program enrollment rate, educate customers on the CARE and FERA discounts, and assists customers in enrolling in the ESA program.</w:t>
      </w:r>
    </w:p>
    <w:p w:rsidRPr="00165FAC" w:rsidR="00165FAC" w:rsidP="00165FAC" w:rsidRDefault="00165FAC" w14:paraId="1FCB3ABD" w14:textId="77777777">
      <w:pPr>
        <w:numPr>
          <w:ilvl w:val="0"/>
          <w:numId w:val="18"/>
        </w:numPr>
        <w:spacing w:line="360" w:lineRule="auto"/>
        <w:ind w:left="0" w:firstLine="360"/>
        <w:rPr>
          <w:szCs w:val="26"/>
        </w:rPr>
      </w:pPr>
      <w:r w:rsidRPr="00165FAC">
        <w:rPr>
          <w:szCs w:val="26"/>
        </w:rPr>
        <w:t xml:space="preserve">Dedicated funding should be provided for the targeted marketing, </w:t>
      </w:r>
      <w:proofErr w:type="gramStart"/>
      <w:r w:rsidRPr="00165FAC">
        <w:rPr>
          <w:szCs w:val="26"/>
        </w:rPr>
        <w:t>education</w:t>
      </w:r>
      <w:proofErr w:type="gramEnd"/>
      <w:r w:rsidRPr="00165FAC">
        <w:rPr>
          <w:szCs w:val="26"/>
        </w:rPr>
        <w:t xml:space="preserve"> and outreach of the CARE program to help the Utilities to meet the CARE program goals.</w:t>
      </w:r>
    </w:p>
    <w:p w:rsidRPr="00165FAC" w:rsidR="00165FAC" w:rsidP="00165FAC" w:rsidRDefault="00165FAC" w14:paraId="52992420" w14:textId="77777777">
      <w:pPr>
        <w:numPr>
          <w:ilvl w:val="0"/>
          <w:numId w:val="18"/>
        </w:numPr>
        <w:spacing w:line="360" w:lineRule="auto"/>
        <w:ind w:left="0" w:firstLine="360"/>
        <w:rPr>
          <w:szCs w:val="26"/>
        </w:rPr>
      </w:pPr>
      <w:r w:rsidRPr="00165FAC">
        <w:rPr>
          <w:szCs w:val="26"/>
        </w:rPr>
        <w:t>Minimal funding should be provided for coordination and leveraging efforts of the CARE program with other programs and organizations targeting the same population to help to increase participation and decrease confusion and barriers.</w:t>
      </w:r>
    </w:p>
    <w:p w:rsidRPr="00165FAC" w:rsidR="00165FAC" w:rsidP="00165FAC" w:rsidRDefault="008249B9" w14:paraId="580BB3B2" w14:textId="2BF320A1">
      <w:pPr>
        <w:numPr>
          <w:ilvl w:val="0"/>
          <w:numId w:val="18"/>
        </w:numPr>
        <w:spacing w:line="360" w:lineRule="auto"/>
        <w:ind w:left="0" w:firstLine="360"/>
        <w:rPr>
          <w:szCs w:val="26"/>
        </w:rPr>
      </w:pPr>
      <w:r w:rsidRPr="00165FAC">
        <w:rPr>
          <w:szCs w:val="26"/>
        </w:rPr>
        <w:t xml:space="preserve">Cooling Centers should be funded through </w:t>
      </w:r>
      <w:r>
        <w:rPr>
          <w:szCs w:val="26"/>
        </w:rPr>
        <w:t>Utilities’</w:t>
      </w:r>
      <w:r w:rsidRPr="00165FAC">
        <w:rPr>
          <w:szCs w:val="26"/>
        </w:rPr>
        <w:t xml:space="preserve"> general rate case</w:t>
      </w:r>
      <w:r>
        <w:rPr>
          <w:szCs w:val="26"/>
        </w:rPr>
        <w:t>s, since they benefit</w:t>
      </w:r>
      <w:r w:rsidRPr="00165FAC">
        <w:rPr>
          <w:szCs w:val="26"/>
        </w:rPr>
        <w:t xml:space="preserve"> all customers, and not just the </w:t>
      </w:r>
      <w:proofErr w:type="gramStart"/>
      <w:r w:rsidRPr="00165FAC">
        <w:rPr>
          <w:szCs w:val="26"/>
        </w:rPr>
        <w:t>low income</w:t>
      </w:r>
      <w:proofErr w:type="gramEnd"/>
      <w:r w:rsidRPr="00165FAC">
        <w:rPr>
          <w:szCs w:val="26"/>
        </w:rPr>
        <w:t xml:space="preserve"> communities</w:t>
      </w:r>
      <w:r w:rsidRPr="00165FAC" w:rsidR="00165FAC">
        <w:rPr>
          <w:szCs w:val="26"/>
        </w:rPr>
        <w:t xml:space="preserve">. </w:t>
      </w:r>
    </w:p>
    <w:p w:rsidRPr="00165FAC" w:rsidR="00165FAC" w:rsidP="00165FAC" w:rsidRDefault="00165FAC" w14:paraId="53F985DC" w14:textId="77777777">
      <w:pPr>
        <w:numPr>
          <w:ilvl w:val="0"/>
          <w:numId w:val="18"/>
        </w:numPr>
        <w:spacing w:line="360" w:lineRule="auto"/>
        <w:ind w:left="0" w:firstLine="360"/>
        <w:rPr>
          <w:szCs w:val="26"/>
        </w:rPr>
      </w:pPr>
      <w:r w:rsidRPr="00165FAC">
        <w:rPr>
          <w:szCs w:val="26"/>
        </w:rPr>
        <w:t xml:space="preserve">The CHANGES program should be funded from the CARE program in the interim, given that it provides outreach, education, and bill issue assistance on natural gas and electricity bills and services to limited English proficient consumers that are generally low income. </w:t>
      </w:r>
    </w:p>
    <w:p w:rsidRPr="00165FAC" w:rsidR="00165FAC" w:rsidP="00165FAC" w:rsidRDefault="00165FAC" w14:paraId="18AFEFF2" w14:textId="52CE1FAA">
      <w:pPr>
        <w:numPr>
          <w:ilvl w:val="0"/>
          <w:numId w:val="18"/>
        </w:numPr>
        <w:spacing w:line="360" w:lineRule="auto"/>
        <w:ind w:left="0" w:firstLine="360"/>
        <w:rPr>
          <w:szCs w:val="26"/>
        </w:rPr>
      </w:pPr>
      <w:r w:rsidRPr="00165FAC">
        <w:rPr>
          <w:szCs w:val="26"/>
        </w:rPr>
        <w:t>The Utilities’ CARE administrative budgets should be funded at levels less that 10 percent of the total CARE budgets.</w:t>
      </w:r>
    </w:p>
    <w:p w:rsidR="000C1980" w:rsidP="003D15AD" w:rsidRDefault="000C1980" w14:paraId="0835311F" w14:textId="106EFBBA">
      <w:pPr>
        <w:numPr>
          <w:ilvl w:val="0"/>
          <w:numId w:val="18"/>
        </w:numPr>
        <w:spacing w:line="360" w:lineRule="auto"/>
        <w:ind w:left="0" w:firstLine="360"/>
        <w:rPr>
          <w:szCs w:val="26"/>
        </w:rPr>
      </w:pPr>
      <w:r>
        <w:rPr>
          <w:szCs w:val="26"/>
        </w:rPr>
        <w:t xml:space="preserve">The FERA program </w:t>
      </w:r>
      <w:r w:rsidR="00165FAC">
        <w:rPr>
          <w:szCs w:val="26"/>
        </w:rPr>
        <w:t>should</w:t>
      </w:r>
      <w:r w:rsidRPr="002220D0" w:rsidR="00165FAC">
        <w:rPr>
          <w:szCs w:val="26"/>
        </w:rPr>
        <w:t xml:space="preserve"> </w:t>
      </w:r>
      <w:r w:rsidRPr="002220D0">
        <w:rPr>
          <w:szCs w:val="26"/>
        </w:rPr>
        <w:t xml:space="preserve">continue </w:t>
      </w:r>
      <w:r w:rsidR="007D3049">
        <w:rPr>
          <w:szCs w:val="26"/>
        </w:rPr>
        <w:t xml:space="preserve">to </w:t>
      </w:r>
      <w:r>
        <w:rPr>
          <w:szCs w:val="26"/>
        </w:rPr>
        <w:t xml:space="preserve">offer electric rate discounts to eligible </w:t>
      </w:r>
      <w:r w:rsidRPr="002220D0">
        <w:rPr>
          <w:szCs w:val="26"/>
        </w:rPr>
        <w:t xml:space="preserve">households of three or more persons with total household annual gross income levels between 200 percent and 250 percent of the federal poverty guideline level. </w:t>
      </w:r>
    </w:p>
    <w:p w:rsidRPr="003A49AB" w:rsidR="003A49AB" w:rsidP="003A49AB" w:rsidRDefault="003A49AB" w14:paraId="11148CC4" w14:textId="35AA6A6C">
      <w:pPr>
        <w:numPr>
          <w:ilvl w:val="0"/>
          <w:numId w:val="18"/>
        </w:numPr>
        <w:spacing w:line="360" w:lineRule="auto"/>
        <w:ind w:left="0" w:firstLine="360"/>
        <w:rPr>
          <w:szCs w:val="26"/>
        </w:rPr>
      </w:pPr>
      <w:r w:rsidRPr="003A49AB">
        <w:rPr>
          <w:szCs w:val="26"/>
        </w:rPr>
        <w:lastRenderedPageBreak/>
        <w:t xml:space="preserve">The FERA program enrollment goals should be set at 50 percent for all the electric Utilities by 2023 with the goal of eventually having the same enrollment rate as the CARE program. </w:t>
      </w:r>
    </w:p>
    <w:p w:rsidRPr="003A49AB" w:rsidR="003A49AB" w:rsidP="003A49AB" w:rsidRDefault="003A49AB" w14:paraId="5C68F8CB" w14:textId="77777777">
      <w:pPr>
        <w:numPr>
          <w:ilvl w:val="0"/>
          <w:numId w:val="18"/>
        </w:numPr>
        <w:spacing w:line="360" w:lineRule="auto"/>
        <w:ind w:left="0" w:firstLine="360"/>
        <w:rPr>
          <w:szCs w:val="26"/>
        </w:rPr>
      </w:pPr>
      <w:r w:rsidRPr="003A49AB">
        <w:rPr>
          <w:szCs w:val="26"/>
        </w:rPr>
        <w:t>The FERA administrative budgets should be increased from prior years to meet the program enrollment goals.</w:t>
      </w:r>
    </w:p>
    <w:p w:rsidRPr="003A49AB" w:rsidR="003A49AB" w:rsidP="003A49AB" w:rsidRDefault="003A49AB" w14:paraId="421D696D" w14:textId="5D66F8CE">
      <w:pPr>
        <w:numPr>
          <w:ilvl w:val="0"/>
          <w:numId w:val="18"/>
        </w:numPr>
        <w:spacing w:line="360" w:lineRule="auto"/>
        <w:ind w:left="0" w:firstLine="360"/>
        <w:rPr>
          <w:szCs w:val="26"/>
        </w:rPr>
      </w:pPr>
      <w:r w:rsidRPr="003A49AB">
        <w:rPr>
          <w:szCs w:val="26"/>
        </w:rPr>
        <w:t>Certain FERA program rules (including self-certification, categorical eligibility, post enrollment verification, and the income documentation processes and requirements) should be modified and aligned with the CARE program rules to decrease barriers to participation and/or protect the integrity of the program.</w:t>
      </w:r>
    </w:p>
    <w:p w:rsidRPr="003A49AB" w:rsidR="003A49AB" w:rsidP="003A49AB" w:rsidRDefault="003A49AB" w14:paraId="7D6240BA" w14:textId="77777777">
      <w:pPr>
        <w:numPr>
          <w:ilvl w:val="0"/>
          <w:numId w:val="18"/>
        </w:numPr>
        <w:spacing w:line="360" w:lineRule="auto"/>
        <w:ind w:left="0" w:firstLine="360"/>
        <w:rPr>
          <w:szCs w:val="26"/>
        </w:rPr>
      </w:pPr>
      <w:r w:rsidRPr="003A49AB">
        <w:rPr>
          <w:szCs w:val="26"/>
        </w:rPr>
        <w:t>A FERA capitation program, like the CARE capitation program, should be established to help increase the FERA program enrollment rate, educate customers on the CARE and FERA discounts, and assist customers in enrolling in the ESA program.</w:t>
      </w:r>
    </w:p>
    <w:p w:rsidRPr="003A49AB" w:rsidR="003A49AB" w:rsidP="003A49AB" w:rsidRDefault="003A49AB" w14:paraId="3D5A205F" w14:textId="77777777">
      <w:pPr>
        <w:numPr>
          <w:ilvl w:val="0"/>
          <w:numId w:val="18"/>
        </w:numPr>
        <w:spacing w:line="360" w:lineRule="auto"/>
        <w:ind w:left="0" w:firstLine="360"/>
        <w:rPr>
          <w:szCs w:val="26"/>
        </w:rPr>
      </w:pPr>
      <w:r w:rsidRPr="003A49AB">
        <w:rPr>
          <w:szCs w:val="26"/>
        </w:rPr>
        <w:t xml:space="preserve">Dedicated funding should be provided for the targeted marketing, </w:t>
      </w:r>
      <w:proofErr w:type="gramStart"/>
      <w:r w:rsidRPr="003A49AB">
        <w:rPr>
          <w:szCs w:val="26"/>
        </w:rPr>
        <w:t>education</w:t>
      </w:r>
      <w:proofErr w:type="gramEnd"/>
      <w:r w:rsidRPr="003A49AB">
        <w:rPr>
          <w:szCs w:val="26"/>
        </w:rPr>
        <w:t xml:space="preserve"> and outreach of the FERA program to help the Utilities to meet the FERA program goals.</w:t>
      </w:r>
    </w:p>
    <w:p w:rsidRPr="003A49AB" w:rsidR="003A49AB" w:rsidP="003A49AB" w:rsidRDefault="003A49AB" w14:paraId="4598BFA4" w14:textId="77777777">
      <w:pPr>
        <w:numPr>
          <w:ilvl w:val="0"/>
          <w:numId w:val="18"/>
        </w:numPr>
        <w:spacing w:line="360" w:lineRule="auto"/>
        <w:ind w:left="0" w:firstLine="360"/>
        <w:rPr>
          <w:szCs w:val="26"/>
        </w:rPr>
      </w:pPr>
      <w:r w:rsidRPr="003A49AB">
        <w:rPr>
          <w:szCs w:val="26"/>
        </w:rPr>
        <w:t>Minimal funding should be provided for coordination and leveraging efforts of the FERA program with other programs and organizations targeting the same population to help to increase participation and decrease confusion and barriers.</w:t>
      </w:r>
    </w:p>
    <w:p w:rsidRPr="003A49AB" w:rsidR="003A49AB" w:rsidP="003A49AB" w:rsidRDefault="003A49AB" w14:paraId="0079EA92" w14:textId="709ECAF6">
      <w:pPr>
        <w:numPr>
          <w:ilvl w:val="0"/>
          <w:numId w:val="18"/>
        </w:numPr>
        <w:spacing w:line="360" w:lineRule="auto"/>
        <w:ind w:left="0" w:firstLine="360"/>
        <w:rPr>
          <w:szCs w:val="26"/>
        </w:rPr>
      </w:pPr>
      <w:r w:rsidRPr="003A49AB">
        <w:rPr>
          <w:szCs w:val="26"/>
        </w:rPr>
        <w:t>The FERA program proceeding should be consolidated with the CARE and ESA proceeding to achieve administrative efficiencies.</w:t>
      </w:r>
    </w:p>
    <w:p w:rsidR="000C1980" w:rsidP="003D15AD" w:rsidRDefault="000C1980" w14:paraId="4A960866" w14:textId="79A5233B">
      <w:pPr>
        <w:numPr>
          <w:ilvl w:val="0"/>
          <w:numId w:val="18"/>
        </w:numPr>
        <w:spacing w:line="360" w:lineRule="auto"/>
        <w:ind w:left="0" w:firstLine="360"/>
        <w:rPr>
          <w:szCs w:val="26"/>
        </w:rPr>
      </w:pPr>
      <w:r>
        <w:rPr>
          <w:szCs w:val="26"/>
        </w:rPr>
        <w:t xml:space="preserve">The ESA program </w:t>
      </w:r>
      <w:r w:rsidR="003A49AB">
        <w:rPr>
          <w:szCs w:val="26"/>
        </w:rPr>
        <w:t xml:space="preserve">should </w:t>
      </w:r>
      <w:r w:rsidRPr="002220D0">
        <w:rPr>
          <w:szCs w:val="26"/>
        </w:rPr>
        <w:t xml:space="preserve">continue </w:t>
      </w:r>
      <w:r w:rsidR="00F019F6">
        <w:rPr>
          <w:szCs w:val="26"/>
        </w:rPr>
        <w:t xml:space="preserve">to </w:t>
      </w:r>
      <w:r>
        <w:rPr>
          <w:szCs w:val="26"/>
        </w:rPr>
        <w:t xml:space="preserve">offer energy efficiency services to eligible </w:t>
      </w:r>
      <w:r w:rsidRPr="002220D0">
        <w:rPr>
          <w:szCs w:val="26"/>
        </w:rPr>
        <w:t xml:space="preserve">households with total household annual gross income </w:t>
      </w:r>
      <w:r>
        <w:rPr>
          <w:szCs w:val="26"/>
        </w:rPr>
        <w:t>at</w:t>
      </w:r>
      <w:r w:rsidRPr="002220D0">
        <w:rPr>
          <w:szCs w:val="26"/>
        </w:rPr>
        <w:t xml:space="preserve"> 200 percent </w:t>
      </w:r>
      <w:r>
        <w:rPr>
          <w:szCs w:val="26"/>
        </w:rPr>
        <w:t xml:space="preserve">or less </w:t>
      </w:r>
      <w:r w:rsidRPr="002220D0">
        <w:rPr>
          <w:szCs w:val="26"/>
        </w:rPr>
        <w:t>of the federal poverty guideline level</w:t>
      </w:r>
      <w:r>
        <w:rPr>
          <w:szCs w:val="26"/>
        </w:rPr>
        <w:t>.</w:t>
      </w:r>
    </w:p>
    <w:p w:rsidRPr="004F0398" w:rsidR="004F0398" w:rsidP="004F0398" w:rsidRDefault="004F0398" w14:paraId="33DB2CB4" w14:textId="3A8D180A">
      <w:pPr>
        <w:numPr>
          <w:ilvl w:val="0"/>
          <w:numId w:val="18"/>
        </w:numPr>
        <w:spacing w:line="360" w:lineRule="auto"/>
        <w:ind w:left="0" w:firstLine="360"/>
        <w:rPr>
          <w:szCs w:val="26"/>
        </w:rPr>
      </w:pPr>
      <w:r w:rsidRPr="004F0398">
        <w:rPr>
          <w:szCs w:val="26"/>
        </w:rPr>
        <w:lastRenderedPageBreak/>
        <w:t xml:space="preserve">The ESA program should continue to take into consideration both the cost-effectiveness of the services and the policy of reducing the hardships facing </w:t>
      </w:r>
      <w:proofErr w:type="gramStart"/>
      <w:r w:rsidRPr="004F0398">
        <w:rPr>
          <w:szCs w:val="26"/>
        </w:rPr>
        <w:t>low income</w:t>
      </w:r>
      <w:proofErr w:type="gramEnd"/>
      <w:r w:rsidRPr="004F0398">
        <w:rPr>
          <w:szCs w:val="26"/>
        </w:rPr>
        <w:t xml:space="preserve"> households when designing the program.   </w:t>
      </w:r>
    </w:p>
    <w:p w:rsidRPr="004F0398" w:rsidR="004F0398" w:rsidP="004F0398" w:rsidRDefault="004F0398" w14:paraId="7A4ED79E" w14:textId="38D90818">
      <w:pPr>
        <w:numPr>
          <w:ilvl w:val="0"/>
          <w:numId w:val="18"/>
        </w:numPr>
        <w:spacing w:line="360" w:lineRule="auto"/>
        <w:ind w:left="0" w:firstLine="360"/>
        <w:rPr>
          <w:szCs w:val="26"/>
        </w:rPr>
      </w:pPr>
      <w:r w:rsidRPr="004F0398">
        <w:rPr>
          <w:szCs w:val="26"/>
        </w:rPr>
        <w:t xml:space="preserve">Given that the Utilities have essentially achieved the statutory goal of treating all willing and eligible households by 2020, the ESA program design and delivery models should shift </w:t>
      </w:r>
      <w:r w:rsidR="00BF4CF6">
        <w:rPr>
          <w:szCs w:val="26"/>
        </w:rPr>
        <w:t>towards</w:t>
      </w:r>
      <w:r w:rsidRPr="004F0398">
        <w:rPr>
          <w:szCs w:val="26"/>
        </w:rPr>
        <w:t xml:space="preserve"> a customer-centered prioritization model based on household needs and customer profile.</w:t>
      </w:r>
    </w:p>
    <w:p w:rsidRPr="004F0398" w:rsidR="004F0398" w:rsidP="004F0398" w:rsidRDefault="004F0398" w14:paraId="3DB2CD9F" w14:textId="77777777">
      <w:pPr>
        <w:numPr>
          <w:ilvl w:val="0"/>
          <w:numId w:val="18"/>
        </w:numPr>
        <w:spacing w:line="360" w:lineRule="auto"/>
        <w:ind w:left="0" w:firstLine="360"/>
        <w:rPr>
          <w:szCs w:val="26"/>
        </w:rPr>
      </w:pPr>
      <w:r w:rsidRPr="004F0398">
        <w:rPr>
          <w:szCs w:val="26"/>
        </w:rPr>
        <w:t>The ESA program measures should focus on deeper energy savings that will help achieve program goals.</w:t>
      </w:r>
    </w:p>
    <w:p w:rsidRPr="004F0398" w:rsidR="004F0398" w:rsidP="004F0398" w:rsidRDefault="004F0398" w14:paraId="0F87251B" w14:textId="77777777">
      <w:pPr>
        <w:numPr>
          <w:ilvl w:val="0"/>
          <w:numId w:val="18"/>
        </w:numPr>
        <w:spacing w:line="360" w:lineRule="auto"/>
        <w:ind w:left="0" w:firstLine="360"/>
        <w:rPr>
          <w:szCs w:val="26"/>
        </w:rPr>
      </w:pPr>
      <w:r w:rsidRPr="004F0398">
        <w:rPr>
          <w:szCs w:val="26"/>
        </w:rPr>
        <w:t>Energy savings goals should be established for the ESA program to require the Utilities to be more targeted, tailored, thoughtful, and strategic about treatments.</w:t>
      </w:r>
    </w:p>
    <w:p w:rsidRPr="004F0398" w:rsidR="004F0398" w:rsidP="004F0398" w:rsidRDefault="004F0398" w14:paraId="4EA73634" w14:textId="4C72DDC4">
      <w:pPr>
        <w:numPr>
          <w:ilvl w:val="0"/>
          <w:numId w:val="18"/>
        </w:numPr>
        <w:spacing w:line="360" w:lineRule="auto"/>
        <w:ind w:left="0" w:firstLine="360"/>
        <w:rPr>
          <w:szCs w:val="26"/>
        </w:rPr>
      </w:pPr>
      <w:r w:rsidRPr="004F0398">
        <w:rPr>
          <w:szCs w:val="26"/>
        </w:rPr>
        <w:t xml:space="preserve">Household treatment targets, as opposed to goals, should be established for the ESA program to allow the Utilities to focus less on treating as many households </w:t>
      </w:r>
      <w:r w:rsidRPr="004F0398" w:rsidR="00AA04A2">
        <w:rPr>
          <w:szCs w:val="26"/>
        </w:rPr>
        <w:t xml:space="preserve">as possible </w:t>
      </w:r>
      <w:r w:rsidR="00AA04A2">
        <w:rPr>
          <w:szCs w:val="26"/>
        </w:rPr>
        <w:t>and more</w:t>
      </w:r>
      <w:r w:rsidRPr="004F0398" w:rsidR="00AA04A2">
        <w:rPr>
          <w:szCs w:val="26"/>
        </w:rPr>
        <w:t xml:space="preserve"> on the quality of the treatments by household</w:t>
      </w:r>
      <w:r w:rsidRPr="004F0398">
        <w:rPr>
          <w:szCs w:val="26"/>
        </w:rPr>
        <w:t>.</w:t>
      </w:r>
    </w:p>
    <w:p w:rsidRPr="004F0398" w:rsidR="004F0398" w:rsidP="004F0398" w:rsidRDefault="004F0398" w14:paraId="7FD747F9" w14:textId="01416F28">
      <w:pPr>
        <w:numPr>
          <w:ilvl w:val="0"/>
          <w:numId w:val="18"/>
        </w:numPr>
        <w:spacing w:line="360" w:lineRule="auto"/>
        <w:ind w:left="0" w:firstLine="360"/>
        <w:rPr>
          <w:szCs w:val="26"/>
        </w:rPr>
      </w:pPr>
      <w:r w:rsidRPr="004F0398">
        <w:rPr>
          <w:szCs w:val="26"/>
        </w:rPr>
        <w:t xml:space="preserve">Non-energy benefit targets, and additional metrics, should be established for the ESA program to ensure that the </w:t>
      </w:r>
      <w:r w:rsidRPr="004F0398" w:rsidR="005E6F55">
        <w:rPr>
          <w:szCs w:val="26"/>
        </w:rPr>
        <w:t>Utilities</w:t>
      </w:r>
      <w:r w:rsidRPr="004F0398">
        <w:rPr>
          <w:szCs w:val="26"/>
        </w:rPr>
        <w:t xml:space="preserve"> do not neglect the household’s health comfort and safety needs at the expense of only achieving energy savings.</w:t>
      </w:r>
    </w:p>
    <w:p w:rsidRPr="004F0398" w:rsidR="004F0398" w:rsidP="004F0398" w:rsidRDefault="004F0398" w14:paraId="00F1088F" w14:textId="3B9C1834">
      <w:pPr>
        <w:numPr>
          <w:ilvl w:val="0"/>
          <w:numId w:val="18"/>
        </w:numPr>
        <w:spacing w:line="360" w:lineRule="auto"/>
        <w:ind w:left="0" w:firstLine="360"/>
        <w:rPr>
          <w:szCs w:val="26"/>
        </w:rPr>
      </w:pPr>
      <w:r w:rsidRPr="004F0398">
        <w:rPr>
          <w:szCs w:val="26"/>
        </w:rPr>
        <w:t xml:space="preserve">The Utilities should have flexibility in modifying and developing </w:t>
      </w:r>
      <w:r w:rsidR="00C21925">
        <w:rPr>
          <w:szCs w:val="26"/>
        </w:rPr>
        <w:t>their</w:t>
      </w:r>
      <w:r w:rsidRPr="004F0398">
        <w:rPr>
          <w:szCs w:val="26"/>
        </w:rPr>
        <w:t xml:space="preserve"> own measure mix and customer segmentation strategies so that the programs can be tailored to better meet the household’s needs.</w:t>
      </w:r>
    </w:p>
    <w:p w:rsidRPr="004F0398" w:rsidR="004F0398" w:rsidP="004F0398" w:rsidRDefault="004F0398" w14:paraId="39E1F50C" w14:textId="0C00CE28">
      <w:pPr>
        <w:numPr>
          <w:ilvl w:val="0"/>
          <w:numId w:val="18"/>
        </w:numPr>
        <w:spacing w:line="360" w:lineRule="auto"/>
        <w:ind w:left="0" w:firstLine="360"/>
        <w:rPr>
          <w:szCs w:val="26"/>
        </w:rPr>
      </w:pPr>
      <w:r w:rsidRPr="004F0398">
        <w:rPr>
          <w:szCs w:val="26"/>
        </w:rPr>
        <w:t>Cost effectiveness guidelines should be established for the ESA program to hold the Utilities accountable for ensuring the best use of ratepayer funds.</w:t>
      </w:r>
    </w:p>
    <w:p w:rsidRPr="004F0398" w:rsidR="004F0398" w:rsidP="004F0398" w:rsidRDefault="004F0398" w14:paraId="2C828F73" w14:textId="7E72918C">
      <w:pPr>
        <w:numPr>
          <w:ilvl w:val="0"/>
          <w:numId w:val="18"/>
        </w:numPr>
        <w:spacing w:line="360" w:lineRule="auto"/>
        <w:ind w:left="0" w:firstLine="360"/>
        <w:rPr>
          <w:szCs w:val="26"/>
        </w:rPr>
      </w:pPr>
      <w:r w:rsidRPr="004F0398">
        <w:rPr>
          <w:szCs w:val="26"/>
        </w:rPr>
        <w:t xml:space="preserve">Certain ESA program rules (including self-certification, categorical eligibility, audit, property owner approvals/waivers, and the income </w:t>
      </w:r>
      <w:r w:rsidRPr="004F0398">
        <w:rPr>
          <w:szCs w:val="26"/>
        </w:rPr>
        <w:lastRenderedPageBreak/>
        <w:t>documentation processes and requirements) should be modified to decrease barriers to participation and/or protect the integrity of the program.</w:t>
      </w:r>
    </w:p>
    <w:p w:rsidRPr="004F0398" w:rsidR="004F0398" w:rsidP="004F0398" w:rsidRDefault="004F0398" w14:paraId="27C5F5A9" w14:textId="5F07E399">
      <w:pPr>
        <w:numPr>
          <w:ilvl w:val="0"/>
          <w:numId w:val="18"/>
        </w:numPr>
        <w:spacing w:line="360" w:lineRule="auto"/>
        <w:ind w:left="0" w:firstLine="360"/>
        <w:rPr>
          <w:szCs w:val="26"/>
        </w:rPr>
      </w:pPr>
      <w:r w:rsidRPr="004F0398">
        <w:rPr>
          <w:szCs w:val="26"/>
        </w:rPr>
        <w:t>Minor program changes (including updating measures, manuals, fund shifts) should be allowed to be made through the Utility monthly/annual reports, or an advice letter</w:t>
      </w:r>
      <w:r w:rsidR="00004456">
        <w:rPr>
          <w:szCs w:val="26"/>
        </w:rPr>
        <w:t>,</w:t>
      </w:r>
      <w:r w:rsidRPr="004F0398">
        <w:rPr>
          <w:szCs w:val="26"/>
        </w:rPr>
        <w:t xml:space="preserve"> as opposed to a petition for modification to the decision to ease administrative burdens on all parties and Commission staff.</w:t>
      </w:r>
    </w:p>
    <w:p w:rsidRPr="004F0398" w:rsidR="004F0398" w:rsidP="004F0398" w:rsidRDefault="004F0398" w14:paraId="706E27C9" w14:textId="77777777">
      <w:pPr>
        <w:numPr>
          <w:ilvl w:val="0"/>
          <w:numId w:val="18"/>
        </w:numPr>
        <w:spacing w:line="360" w:lineRule="auto"/>
        <w:ind w:left="0" w:firstLine="360"/>
        <w:rPr>
          <w:szCs w:val="26"/>
        </w:rPr>
      </w:pPr>
      <w:r w:rsidRPr="004F0398">
        <w:rPr>
          <w:szCs w:val="26"/>
        </w:rPr>
        <w:t xml:space="preserve">Dedicated funding should be provided for marketing, </w:t>
      </w:r>
      <w:proofErr w:type="gramStart"/>
      <w:r w:rsidRPr="004F0398">
        <w:rPr>
          <w:szCs w:val="26"/>
        </w:rPr>
        <w:t>education</w:t>
      </w:r>
      <w:proofErr w:type="gramEnd"/>
      <w:r w:rsidRPr="004F0398">
        <w:rPr>
          <w:szCs w:val="26"/>
        </w:rPr>
        <w:t xml:space="preserve"> and outreach efforts for the ESA program to help the Utilities to meet the ESA program goals.</w:t>
      </w:r>
    </w:p>
    <w:p w:rsidRPr="004F0398" w:rsidR="004F0398" w:rsidP="004F0398" w:rsidRDefault="004F0398" w14:paraId="4CF95097" w14:textId="77777777">
      <w:pPr>
        <w:numPr>
          <w:ilvl w:val="0"/>
          <w:numId w:val="18"/>
        </w:numPr>
        <w:spacing w:line="360" w:lineRule="auto"/>
        <w:ind w:left="0" w:firstLine="360"/>
        <w:rPr>
          <w:szCs w:val="26"/>
        </w:rPr>
      </w:pPr>
      <w:bookmarkStart w:name="_Hlk69476559" w:id="791"/>
      <w:r w:rsidRPr="004F0398">
        <w:rPr>
          <w:szCs w:val="26"/>
        </w:rPr>
        <w:t xml:space="preserve">Workforce, education, and training efforts should be </w:t>
      </w:r>
      <w:bookmarkEnd w:id="791"/>
      <w:r w:rsidRPr="004F0398">
        <w:rPr>
          <w:szCs w:val="26"/>
        </w:rPr>
        <w:t xml:space="preserve">funded from the mainstream energy efficiency portfolios as they are the appropriate source for </w:t>
      </w:r>
      <w:proofErr w:type="gramStart"/>
      <w:r w:rsidRPr="004F0398">
        <w:rPr>
          <w:szCs w:val="26"/>
        </w:rPr>
        <w:t>the majority of</w:t>
      </w:r>
      <w:proofErr w:type="gramEnd"/>
      <w:r w:rsidRPr="004F0398">
        <w:rPr>
          <w:szCs w:val="26"/>
        </w:rPr>
        <w:t xml:space="preserve"> the workforce, education, and training budgets, including the Energy Savings Assistance program workforce, education, and training efforts.</w:t>
      </w:r>
    </w:p>
    <w:p w:rsidRPr="004F0398" w:rsidR="004F0398" w:rsidP="004F0398" w:rsidRDefault="004F0398" w14:paraId="13959364" w14:textId="77777777">
      <w:pPr>
        <w:numPr>
          <w:ilvl w:val="0"/>
          <w:numId w:val="18"/>
        </w:numPr>
        <w:spacing w:line="360" w:lineRule="auto"/>
        <w:ind w:left="0" w:firstLine="360"/>
        <w:rPr>
          <w:szCs w:val="26"/>
        </w:rPr>
      </w:pPr>
      <w:r w:rsidRPr="004F0398">
        <w:rPr>
          <w:szCs w:val="26"/>
        </w:rPr>
        <w:t>Minimal funding should be provided for coordination and leveraging efforts of the ESA program with other programs and organizations targeting the same population to help to increase participation and decrease confusion and barriers.</w:t>
      </w:r>
    </w:p>
    <w:p w:rsidRPr="004F0398" w:rsidR="004F0398" w:rsidP="004F0398" w:rsidRDefault="004F0398" w14:paraId="6C441155" w14:textId="69AD1880">
      <w:pPr>
        <w:numPr>
          <w:ilvl w:val="0"/>
          <w:numId w:val="18"/>
        </w:numPr>
        <w:spacing w:line="360" w:lineRule="auto"/>
        <w:ind w:left="0" w:firstLine="360"/>
        <w:rPr>
          <w:szCs w:val="26"/>
        </w:rPr>
      </w:pPr>
      <w:r w:rsidRPr="004F0398">
        <w:rPr>
          <w:szCs w:val="26"/>
        </w:rPr>
        <w:t xml:space="preserve">Energy Division’s ESA program redesign should be implemented as a pilot </w:t>
      </w:r>
      <w:r w:rsidR="00965471">
        <w:rPr>
          <w:szCs w:val="26"/>
        </w:rPr>
        <w:t>because</w:t>
      </w:r>
      <w:r w:rsidRPr="004F0398">
        <w:rPr>
          <w:szCs w:val="26"/>
        </w:rPr>
        <w:t xml:space="preserve"> more analysis and data collection </w:t>
      </w:r>
      <w:r w:rsidR="00F814C9">
        <w:rPr>
          <w:szCs w:val="26"/>
        </w:rPr>
        <w:t>are</w:t>
      </w:r>
      <w:r w:rsidRPr="004F0398">
        <w:rPr>
          <w:szCs w:val="26"/>
        </w:rPr>
        <w:t xml:space="preserve"> needed before full implementation.</w:t>
      </w:r>
    </w:p>
    <w:p w:rsidRPr="004F0398" w:rsidR="004F0398" w:rsidP="004F0398" w:rsidRDefault="004F0398" w14:paraId="0A59D7F4" w14:textId="54A5233E">
      <w:pPr>
        <w:numPr>
          <w:ilvl w:val="0"/>
          <w:numId w:val="18"/>
        </w:numPr>
        <w:spacing w:line="360" w:lineRule="auto"/>
        <w:ind w:left="0" w:firstLine="360"/>
        <w:rPr>
          <w:szCs w:val="26"/>
        </w:rPr>
      </w:pPr>
      <w:r w:rsidRPr="004F0398">
        <w:rPr>
          <w:szCs w:val="26"/>
        </w:rPr>
        <w:t xml:space="preserve">The ESA multifamily program should be expanded to both deed restricted and non-deed restricted buildings because these </w:t>
      </w:r>
      <w:r w:rsidRPr="004F0398" w:rsidR="005E6F55">
        <w:rPr>
          <w:szCs w:val="26"/>
        </w:rPr>
        <w:t>buildings</w:t>
      </w:r>
      <w:r w:rsidRPr="004F0398">
        <w:rPr>
          <w:szCs w:val="26"/>
        </w:rPr>
        <w:t xml:space="preserve"> offer opportunities for savings. </w:t>
      </w:r>
    </w:p>
    <w:p w:rsidRPr="004F0398" w:rsidR="004F0398" w:rsidP="004F0398" w:rsidRDefault="004F0398" w14:paraId="33BE58AC" w14:textId="77777777">
      <w:pPr>
        <w:numPr>
          <w:ilvl w:val="0"/>
          <w:numId w:val="18"/>
        </w:numPr>
        <w:spacing w:line="360" w:lineRule="auto"/>
        <w:ind w:left="0" w:firstLine="360"/>
        <w:rPr>
          <w:szCs w:val="26"/>
        </w:rPr>
      </w:pPr>
      <w:r w:rsidRPr="004F0398">
        <w:rPr>
          <w:szCs w:val="26"/>
        </w:rPr>
        <w:t>The Utilities should continue to conduct competitive solicitations for certain aspects of the ESA program, while keeping other aspects in house.</w:t>
      </w:r>
    </w:p>
    <w:p w:rsidRPr="004F0398" w:rsidR="004F0398" w:rsidP="004F0398" w:rsidRDefault="004F0398" w14:paraId="285C9EB2" w14:textId="4702B692">
      <w:pPr>
        <w:numPr>
          <w:ilvl w:val="0"/>
          <w:numId w:val="18"/>
        </w:numPr>
        <w:spacing w:line="360" w:lineRule="auto"/>
        <w:ind w:left="0" w:firstLine="360"/>
        <w:rPr>
          <w:szCs w:val="26"/>
        </w:rPr>
      </w:pPr>
      <w:r w:rsidRPr="004F0398">
        <w:rPr>
          <w:szCs w:val="26"/>
        </w:rPr>
        <w:lastRenderedPageBreak/>
        <w:t>The Utilities should outsource the certain aspects of the ESA MFW</w:t>
      </w:r>
      <w:r w:rsidR="00FF64BF">
        <w:rPr>
          <w:szCs w:val="26"/>
        </w:rPr>
        <w:t>B</w:t>
      </w:r>
      <w:r w:rsidRPr="004F0398">
        <w:rPr>
          <w:szCs w:val="26"/>
        </w:rPr>
        <w:t xml:space="preserve"> design and delivery to a third party including the design, delivery, measures mix, targets, and single point of contact (for some utilities). </w:t>
      </w:r>
    </w:p>
    <w:p w:rsidRPr="004F0398" w:rsidR="004F0398" w:rsidP="004F0398" w:rsidRDefault="004F0398" w14:paraId="0440CED6" w14:textId="77777777">
      <w:pPr>
        <w:numPr>
          <w:ilvl w:val="0"/>
          <w:numId w:val="18"/>
        </w:numPr>
        <w:spacing w:line="360" w:lineRule="auto"/>
        <w:ind w:left="0" w:firstLine="360"/>
        <w:rPr>
          <w:szCs w:val="26"/>
        </w:rPr>
      </w:pPr>
      <w:r w:rsidRPr="004F0398">
        <w:rPr>
          <w:szCs w:val="26"/>
        </w:rPr>
        <w:t>The Utilities should combine all ESA program multifamily measures (including in-unit, common area measures, and whole building measures), to streamline the various multifamily offerings, create efficiencies, increase participation, and decrease confusion and barriers.</w:t>
      </w:r>
    </w:p>
    <w:p w:rsidRPr="004F0398" w:rsidR="004F0398" w:rsidP="004F0398" w:rsidRDefault="004F0398" w14:paraId="454B95C0" w14:textId="3A52F2A0">
      <w:pPr>
        <w:numPr>
          <w:ilvl w:val="0"/>
          <w:numId w:val="18"/>
        </w:numPr>
        <w:spacing w:line="360" w:lineRule="auto"/>
        <w:ind w:left="0" w:firstLine="360"/>
        <w:rPr>
          <w:szCs w:val="26"/>
        </w:rPr>
      </w:pPr>
      <w:r w:rsidRPr="004F0398">
        <w:rPr>
          <w:szCs w:val="26"/>
        </w:rPr>
        <w:t xml:space="preserve">Certain ESA multifamily program rules (including self-certification, categorical eligibility, audit, property owner approvals/ waivers, rent restrictions, </w:t>
      </w:r>
      <w:r w:rsidR="00C46345">
        <w:rPr>
          <w:szCs w:val="26"/>
        </w:rPr>
        <w:t xml:space="preserve">property owner co-pays </w:t>
      </w:r>
      <w:r w:rsidRPr="004F0398">
        <w:rPr>
          <w:szCs w:val="26"/>
        </w:rPr>
        <w:t xml:space="preserve">and the income documentation processes and requirements) should be modified to decrease barriers to participation and/or protect the integrity of the program. </w:t>
      </w:r>
    </w:p>
    <w:p w:rsidRPr="004F0398" w:rsidR="004F0398" w:rsidP="004F0398" w:rsidRDefault="004F0398" w14:paraId="7FBCAE74" w14:textId="77777777">
      <w:pPr>
        <w:numPr>
          <w:ilvl w:val="0"/>
          <w:numId w:val="18"/>
        </w:numPr>
        <w:spacing w:line="360" w:lineRule="auto"/>
        <w:ind w:left="0" w:firstLine="360"/>
        <w:rPr>
          <w:szCs w:val="26"/>
        </w:rPr>
      </w:pPr>
      <w:r w:rsidRPr="004F0398">
        <w:rPr>
          <w:szCs w:val="26"/>
        </w:rPr>
        <w:t xml:space="preserve">Dedicated funding should be provided for the targeted marketing, </w:t>
      </w:r>
      <w:proofErr w:type="gramStart"/>
      <w:r w:rsidRPr="004F0398">
        <w:rPr>
          <w:szCs w:val="26"/>
        </w:rPr>
        <w:t>education</w:t>
      </w:r>
      <w:proofErr w:type="gramEnd"/>
      <w:r w:rsidRPr="004F0398">
        <w:rPr>
          <w:szCs w:val="26"/>
        </w:rPr>
        <w:t xml:space="preserve"> and outreach of the ESA multifamily programs to help the Utilities to meet the ESA program goals.</w:t>
      </w:r>
    </w:p>
    <w:p w:rsidRPr="004F0398" w:rsidR="004F0398" w:rsidP="004F0398" w:rsidRDefault="004F0398" w14:paraId="047D91D4" w14:textId="77777777">
      <w:pPr>
        <w:numPr>
          <w:ilvl w:val="0"/>
          <w:numId w:val="18"/>
        </w:numPr>
        <w:spacing w:line="360" w:lineRule="auto"/>
        <w:ind w:left="0" w:firstLine="360"/>
        <w:rPr>
          <w:szCs w:val="26"/>
        </w:rPr>
      </w:pPr>
      <w:r w:rsidRPr="004F0398">
        <w:rPr>
          <w:szCs w:val="26"/>
        </w:rPr>
        <w:t>Minimal funding should be provided for coordination and leveraging efforts of the ESA multifamily programs with other programs and organizations targeting the same population to help to increase participation and decrease confusion and barriers.</w:t>
      </w:r>
    </w:p>
    <w:p w:rsidRPr="009F5A3B" w:rsidR="004F0398" w:rsidP="009F5A3B" w:rsidRDefault="004F0398" w14:paraId="7DA4257A" w14:textId="264ADDC7">
      <w:pPr>
        <w:numPr>
          <w:ilvl w:val="0"/>
          <w:numId w:val="18"/>
        </w:numPr>
        <w:spacing w:line="360" w:lineRule="auto"/>
        <w:ind w:left="0" w:firstLine="360"/>
        <w:rPr>
          <w:szCs w:val="26"/>
        </w:rPr>
      </w:pPr>
      <w:r w:rsidRPr="004F0398">
        <w:rPr>
          <w:szCs w:val="26"/>
        </w:rPr>
        <w:t xml:space="preserve">MCE’s current multifamily </w:t>
      </w:r>
      <w:r w:rsidR="006318B3">
        <w:rPr>
          <w:szCs w:val="26"/>
        </w:rPr>
        <w:t xml:space="preserve">LIFT </w:t>
      </w:r>
      <w:r w:rsidRPr="004F0398">
        <w:rPr>
          <w:szCs w:val="26"/>
        </w:rPr>
        <w:t>pilot should be continued so th</w:t>
      </w:r>
      <w:r w:rsidR="009F5A3B">
        <w:rPr>
          <w:szCs w:val="26"/>
        </w:rPr>
        <w:t xml:space="preserve">at </w:t>
      </w:r>
      <w:r w:rsidRPr="009F5A3B">
        <w:rPr>
          <w:szCs w:val="26"/>
        </w:rPr>
        <w:t xml:space="preserve">the final pilot results can be reviewed and learned from. </w:t>
      </w:r>
    </w:p>
    <w:p w:rsidRPr="004F0398" w:rsidR="004F0398" w:rsidP="004F0398" w:rsidRDefault="004F0398" w14:paraId="1D3EB3AE" w14:textId="4E22D342">
      <w:pPr>
        <w:numPr>
          <w:ilvl w:val="0"/>
          <w:numId w:val="18"/>
        </w:numPr>
        <w:spacing w:line="360" w:lineRule="auto"/>
        <w:ind w:left="0" w:firstLine="360"/>
        <w:rPr>
          <w:szCs w:val="26"/>
        </w:rPr>
      </w:pPr>
      <w:r w:rsidRPr="004F0398">
        <w:rPr>
          <w:szCs w:val="26"/>
        </w:rPr>
        <w:t>Separate ESA MFW</w:t>
      </w:r>
      <w:r w:rsidR="00FF64BF">
        <w:rPr>
          <w:szCs w:val="26"/>
        </w:rPr>
        <w:t>B</w:t>
      </w:r>
      <w:r w:rsidRPr="004F0398">
        <w:rPr>
          <w:szCs w:val="26"/>
        </w:rPr>
        <w:t xml:space="preserve"> programs should not be approved for MCE and PG&amp;E, as it would be duplicative, </w:t>
      </w:r>
      <w:r w:rsidRPr="004F0398" w:rsidR="006318B3">
        <w:rPr>
          <w:szCs w:val="26"/>
        </w:rPr>
        <w:t>inefficient,</w:t>
      </w:r>
      <w:r w:rsidRPr="004F0398">
        <w:rPr>
          <w:szCs w:val="26"/>
        </w:rPr>
        <w:t xml:space="preserve"> and confusing.</w:t>
      </w:r>
    </w:p>
    <w:p w:rsidRPr="004F0398" w:rsidR="004F0398" w:rsidP="004F0398" w:rsidRDefault="004F0398" w14:paraId="097FE584" w14:textId="77777777">
      <w:pPr>
        <w:numPr>
          <w:ilvl w:val="0"/>
          <w:numId w:val="18"/>
        </w:numPr>
        <w:spacing w:line="360" w:lineRule="auto"/>
        <w:ind w:left="0" w:firstLine="360"/>
        <w:rPr>
          <w:szCs w:val="26"/>
        </w:rPr>
      </w:pPr>
      <w:r w:rsidRPr="004F0398">
        <w:rPr>
          <w:szCs w:val="26"/>
        </w:rPr>
        <w:t xml:space="preserve">The Commission should not micromanage the detailed agreements and specific contract terms between the Utilities and contractors, so long as the terms </w:t>
      </w:r>
      <w:proofErr w:type="gramStart"/>
      <w:r w:rsidRPr="004F0398">
        <w:rPr>
          <w:szCs w:val="26"/>
        </w:rPr>
        <w:t>are in compliance with</w:t>
      </w:r>
      <w:proofErr w:type="gramEnd"/>
      <w:r w:rsidRPr="004F0398">
        <w:rPr>
          <w:szCs w:val="26"/>
        </w:rPr>
        <w:t xml:space="preserve"> the Commission decisions and program rules.</w:t>
      </w:r>
    </w:p>
    <w:p w:rsidRPr="004F0398" w:rsidR="004F0398" w:rsidP="004F0398" w:rsidRDefault="004F0398" w14:paraId="0A94C17D" w14:textId="6C6D2315">
      <w:pPr>
        <w:numPr>
          <w:ilvl w:val="0"/>
          <w:numId w:val="18"/>
        </w:numPr>
        <w:spacing w:line="360" w:lineRule="auto"/>
        <w:ind w:left="0" w:firstLine="360"/>
        <w:rPr>
          <w:szCs w:val="26"/>
        </w:rPr>
      </w:pPr>
      <w:r w:rsidRPr="004F0398">
        <w:rPr>
          <w:szCs w:val="26"/>
        </w:rPr>
        <w:lastRenderedPageBreak/>
        <w:t>The Utilities</w:t>
      </w:r>
      <w:r w:rsidR="00CA5252">
        <w:rPr>
          <w:szCs w:val="26"/>
        </w:rPr>
        <w:t>’</w:t>
      </w:r>
      <w:r w:rsidRPr="004F0398">
        <w:rPr>
          <w:szCs w:val="26"/>
        </w:rPr>
        <w:t xml:space="preserve"> ESA program budgets should not be authorized at proposed levels given that they have consistently underspent past authorized budgets since 2017 and have failed to justify areas of significant budget increases. </w:t>
      </w:r>
    </w:p>
    <w:p w:rsidRPr="004F0398" w:rsidR="004F0398" w:rsidP="004F0398" w:rsidRDefault="004F0398" w14:paraId="07CF854C" w14:textId="1595D1CA">
      <w:pPr>
        <w:numPr>
          <w:ilvl w:val="0"/>
          <w:numId w:val="18"/>
        </w:numPr>
        <w:spacing w:line="360" w:lineRule="auto"/>
        <w:ind w:left="0" w:firstLine="360"/>
        <w:rPr>
          <w:szCs w:val="26"/>
        </w:rPr>
      </w:pPr>
      <w:r w:rsidRPr="004F0398">
        <w:rPr>
          <w:szCs w:val="26"/>
        </w:rPr>
        <w:t xml:space="preserve">The accumulation of large sums of unspent and </w:t>
      </w:r>
      <w:r w:rsidRPr="004F0398" w:rsidR="00365FDA">
        <w:rPr>
          <w:szCs w:val="26"/>
        </w:rPr>
        <w:t>uncomm</w:t>
      </w:r>
      <w:r w:rsidR="00365FDA">
        <w:rPr>
          <w:szCs w:val="26"/>
        </w:rPr>
        <w:t>itted</w:t>
      </w:r>
      <w:r w:rsidRPr="004F0398">
        <w:rPr>
          <w:szCs w:val="26"/>
        </w:rPr>
        <w:t xml:space="preserve"> funds should not be carried over from year to year to supplement future </w:t>
      </w:r>
      <w:r w:rsidR="00AC5588">
        <w:rPr>
          <w:szCs w:val="26"/>
        </w:rPr>
        <w:t xml:space="preserve">budgets </w:t>
      </w:r>
      <w:r w:rsidRPr="004F0398">
        <w:rPr>
          <w:szCs w:val="26"/>
        </w:rPr>
        <w:t xml:space="preserve">as it misrepresents the true costs of providing program </w:t>
      </w:r>
      <w:proofErr w:type="gramStart"/>
      <w:r w:rsidRPr="004F0398">
        <w:rPr>
          <w:szCs w:val="26"/>
        </w:rPr>
        <w:t>services, and</w:t>
      </w:r>
      <w:proofErr w:type="gramEnd"/>
      <w:r w:rsidRPr="004F0398">
        <w:rPr>
          <w:szCs w:val="26"/>
        </w:rPr>
        <w:t xml:space="preserve"> poses the risk of program funds being shifted to sources that do not benefit low income customers and are against </w:t>
      </w:r>
      <w:r w:rsidRPr="004F0398" w:rsidR="008C786C">
        <w:rPr>
          <w:szCs w:val="26"/>
        </w:rPr>
        <w:t>statut</w:t>
      </w:r>
      <w:r w:rsidR="008C786C">
        <w:rPr>
          <w:szCs w:val="26"/>
        </w:rPr>
        <w:t>ory</w:t>
      </w:r>
      <w:r w:rsidRPr="004F0398" w:rsidR="008C786C">
        <w:rPr>
          <w:szCs w:val="26"/>
        </w:rPr>
        <w:t xml:space="preserve"> </w:t>
      </w:r>
      <w:r w:rsidRPr="004F0398">
        <w:rPr>
          <w:szCs w:val="26"/>
        </w:rPr>
        <w:t xml:space="preserve">requirements. </w:t>
      </w:r>
    </w:p>
    <w:p w:rsidRPr="004F0398" w:rsidR="004F0398" w:rsidP="004F0398" w:rsidRDefault="004F0398" w14:paraId="3F396085" w14:textId="77777777">
      <w:pPr>
        <w:numPr>
          <w:ilvl w:val="0"/>
          <w:numId w:val="18"/>
        </w:numPr>
        <w:spacing w:line="360" w:lineRule="auto"/>
        <w:ind w:left="0" w:firstLine="360"/>
        <w:rPr>
          <w:szCs w:val="26"/>
        </w:rPr>
      </w:pPr>
      <w:r w:rsidRPr="004F0398">
        <w:rPr>
          <w:szCs w:val="26"/>
        </w:rPr>
        <w:t xml:space="preserve">The Utilities should engage with Tribal communities, including offering grants for services, to help increase enrollment into the </w:t>
      </w:r>
      <w:proofErr w:type="gramStart"/>
      <w:r w:rsidRPr="004F0398">
        <w:rPr>
          <w:szCs w:val="26"/>
        </w:rPr>
        <w:t>low income</w:t>
      </w:r>
      <w:proofErr w:type="gramEnd"/>
      <w:r w:rsidRPr="004F0398">
        <w:rPr>
          <w:szCs w:val="26"/>
        </w:rPr>
        <w:t xml:space="preserve"> programs, decrease participation barriers and negative perceptions, and build trust with the community.</w:t>
      </w:r>
    </w:p>
    <w:p w:rsidRPr="004F0398" w:rsidR="004F0398" w:rsidP="004F0398" w:rsidRDefault="004F0398" w14:paraId="173892BB" w14:textId="77777777">
      <w:pPr>
        <w:numPr>
          <w:ilvl w:val="0"/>
          <w:numId w:val="18"/>
        </w:numPr>
        <w:spacing w:line="360" w:lineRule="auto"/>
        <w:ind w:left="0" w:firstLine="360"/>
        <w:rPr>
          <w:szCs w:val="26"/>
        </w:rPr>
      </w:pPr>
      <w:r w:rsidRPr="004F0398">
        <w:rPr>
          <w:szCs w:val="26"/>
        </w:rPr>
        <w:t xml:space="preserve">The Utilities should continue to monitor and collect data on the CARE, FERA and ESA programs through the monthly / annual report, studies, </w:t>
      </w:r>
      <w:proofErr w:type="gramStart"/>
      <w:r w:rsidRPr="004F0398">
        <w:rPr>
          <w:szCs w:val="26"/>
        </w:rPr>
        <w:t>evaluations</w:t>
      </w:r>
      <w:proofErr w:type="gramEnd"/>
      <w:r w:rsidRPr="004F0398">
        <w:rPr>
          <w:szCs w:val="26"/>
        </w:rPr>
        <w:t xml:space="preserve"> and pilots to enhance the programs.</w:t>
      </w:r>
    </w:p>
    <w:p w:rsidRPr="004F0398" w:rsidR="004F0398" w:rsidP="004F0398" w:rsidRDefault="004F0398" w14:paraId="03D58586" w14:textId="06BD3223">
      <w:pPr>
        <w:numPr>
          <w:ilvl w:val="0"/>
          <w:numId w:val="18"/>
        </w:numPr>
        <w:spacing w:line="360" w:lineRule="auto"/>
        <w:ind w:left="0" w:firstLine="360"/>
        <w:rPr>
          <w:szCs w:val="26"/>
        </w:rPr>
      </w:pPr>
      <w:r w:rsidRPr="004F0398">
        <w:rPr>
          <w:szCs w:val="26"/>
        </w:rPr>
        <w:t>The Utilities should form working groups and continue to coordinate with the LIOB to solicit feedback and monitor the progress of the programs.</w:t>
      </w:r>
    </w:p>
    <w:p w:rsidR="000C1980" w:rsidP="003D15AD" w:rsidRDefault="00FD614C" w14:paraId="5551367D" w14:textId="49578299">
      <w:pPr>
        <w:numPr>
          <w:ilvl w:val="0"/>
          <w:numId w:val="18"/>
        </w:numPr>
        <w:spacing w:line="360" w:lineRule="auto"/>
        <w:ind w:left="0" w:firstLine="270"/>
        <w:rPr>
          <w:szCs w:val="26"/>
        </w:rPr>
      </w:pPr>
      <w:r>
        <w:rPr>
          <w:szCs w:val="26"/>
        </w:rPr>
        <w:t>Approving</w:t>
      </w:r>
      <w:r w:rsidR="000C1980">
        <w:rPr>
          <w:szCs w:val="26"/>
        </w:rPr>
        <w:t xml:space="preserve"> the FERA budgets is needed to meet the new 50 percent enrollment goals by 2023 and 70 percent enrollment goals by 2026. </w:t>
      </w:r>
    </w:p>
    <w:p w:rsidRPr="00AC296B" w:rsidR="000C1980" w:rsidP="003D15AD" w:rsidRDefault="00FD614C" w14:paraId="27A42E15" w14:textId="407AEE02">
      <w:pPr>
        <w:numPr>
          <w:ilvl w:val="0"/>
          <w:numId w:val="18"/>
        </w:numPr>
        <w:spacing w:line="360" w:lineRule="auto"/>
        <w:ind w:left="0" w:firstLine="270"/>
      </w:pPr>
      <w:r>
        <w:rPr>
          <w:szCs w:val="26"/>
        </w:rPr>
        <w:t xml:space="preserve">Approving </w:t>
      </w:r>
      <w:r w:rsidRPr="002F7465" w:rsidR="000C1980">
        <w:rPr>
          <w:szCs w:val="26"/>
        </w:rPr>
        <w:t>the CARE budgets is needed to enroll</w:t>
      </w:r>
      <w:r w:rsidR="000C1980">
        <w:rPr>
          <w:szCs w:val="26"/>
        </w:rPr>
        <w:t xml:space="preserve"> </w:t>
      </w:r>
      <w:r w:rsidRPr="002F7465" w:rsidR="000C1980">
        <w:rPr>
          <w:szCs w:val="26"/>
        </w:rPr>
        <w:t xml:space="preserve">that last remaining, hard to reach, </w:t>
      </w:r>
      <w:r w:rsidR="000C1980">
        <w:rPr>
          <w:szCs w:val="26"/>
        </w:rPr>
        <w:t xml:space="preserve">group of customers. </w:t>
      </w:r>
    </w:p>
    <w:p w:rsidR="000C1980" w:rsidP="003D15AD" w:rsidRDefault="00FD614C" w14:paraId="608898D8" w14:textId="583827CB">
      <w:pPr>
        <w:numPr>
          <w:ilvl w:val="0"/>
          <w:numId w:val="18"/>
        </w:numPr>
        <w:spacing w:line="360" w:lineRule="auto"/>
        <w:ind w:left="0" w:firstLine="270"/>
      </w:pPr>
      <w:r>
        <w:rPr>
          <w:szCs w:val="26"/>
        </w:rPr>
        <w:t xml:space="preserve">Approving </w:t>
      </w:r>
      <w:r w:rsidRPr="00AC296B" w:rsidR="000C1980">
        <w:rPr>
          <w:szCs w:val="26"/>
        </w:rPr>
        <w:t xml:space="preserve">the ESA budgets is needed to support the new ESA design and shift to deeper energy savings. </w:t>
      </w:r>
    </w:p>
    <w:p w:rsidRPr="00EF31B2" w:rsidR="000C1980" w:rsidP="00257E90" w:rsidRDefault="000C1980" w14:paraId="735C7FAA" w14:textId="77777777">
      <w:pPr>
        <w:pStyle w:val="Mainex"/>
      </w:pPr>
      <w:bookmarkStart w:name="_Toc69948413" w:id="792"/>
      <w:r w:rsidRPr="00B53380">
        <w:lastRenderedPageBreak/>
        <w:t>ORDER</w:t>
      </w:r>
      <w:bookmarkEnd w:id="792"/>
    </w:p>
    <w:p w:rsidRPr="007F25E4" w:rsidR="000C1980" w:rsidP="000C1980" w:rsidRDefault="000C1980" w14:paraId="3E9A9DDC" w14:textId="77777777">
      <w:pPr>
        <w:pStyle w:val="num1"/>
        <w:keepNext/>
        <w:keepLines/>
        <w:rPr>
          <w:b/>
          <w:bCs/>
        </w:rPr>
      </w:pPr>
      <w:r w:rsidRPr="007F25E4">
        <w:rPr>
          <w:b/>
          <w:bCs/>
        </w:rPr>
        <w:t>IT IS ORDERED that:</w:t>
      </w:r>
    </w:p>
    <w:p w:rsidRPr="00153C2F" w:rsidR="00827ACC" w:rsidP="00153C2F" w:rsidRDefault="000C1980" w14:paraId="2C79E717" w14:textId="4F8CECBC">
      <w:pPr>
        <w:pStyle w:val="OP"/>
        <w:numPr>
          <w:ilvl w:val="0"/>
          <w:numId w:val="24"/>
        </w:numPr>
        <w:tabs>
          <w:tab w:val="left" w:pos="990"/>
        </w:tabs>
        <w:ind w:left="0" w:firstLine="547"/>
        <w:rPr>
          <w:szCs w:val="26"/>
        </w:rPr>
      </w:pPr>
      <w:r w:rsidRPr="00AD61B3">
        <w:rPr>
          <w:szCs w:val="26"/>
        </w:rPr>
        <w:t>The Family Electric Rate Assistance program budgets of Pacific Gas and Electric C</w:t>
      </w:r>
      <w:r w:rsidRPr="00153C2F">
        <w:rPr>
          <w:szCs w:val="26"/>
        </w:rPr>
        <w:t xml:space="preserve">ompany, Southern California Edison Company, and San Diego Gas &amp; Electric Company, are authorized </w:t>
      </w:r>
      <w:r w:rsidRPr="00153C2F" w:rsidR="0090298E">
        <w:rPr>
          <w:szCs w:val="26"/>
        </w:rPr>
        <w:t xml:space="preserve">collectively </w:t>
      </w:r>
      <w:r w:rsidRPr="00153C2F">
        <w:rPr>
          <w:szCs w:val="26"/>
        </w:rPr>
        <w:t>at $</w:t>
      </w:r>
      <w:r w:rsidRPr="00153C2F" w:rsidR="00CD6702">
        <w:rPr>
          <w:szCs w:val="26"/>
        </w:rPr>
        <w:t xml:space="preserve">394 </w:t>
      </w:r>
      <w:r w:rsidRPr="00153C2F">
        <w:rPr>
          <w:szCs w:val="26"/>
        </w:rPr>
        <w:t xml:space="preserve">million for program years 2021-2026, </w:t>
      </w:r>
      <w:r w:rsidRPr="00153C2F" w:rsidR="0090298E">
        <w:rPr>
          <w:szCs w:val="26"/>
        </w:rPr>
        <w:t xml:space="preserve">as set forth in </w:t>
      </w:r>
      <w:r w:rsidRPr="00153C2F">
        <w:rPr>
          <w:szCs w:val="26"/>
        </w:rPr>
        <w:t>Attachment 1.</w:t>
      </w:r>
    </w:p>
    <w:p w:rsidRPr="00A65A5E" w:rsidR="0044501E" w:rsidP="00B21B99" w:rsidRDefault="000C1980" w14:paraId="74DF3426" w14:textId="238ACCB7">
      <w:pPr>
        <w:pStyle w:val="OP"/>
        <w:numPr>
          <w:ilvl w:val="0"/>
          <w:numId w:val="24"/>
        </w:numPr>
        <w:tabs>
          <w:tab w:val="left" w:pos="990"/>
        </w:tabs>
        <w:ind w:left="0" w:firstLine="547"/>
      </w:pPr>
      <w:r w:rsidRPr="00A65A5E">
        <w:rPr>
          <w:szCs w:val="26"/>
        </w:rPr>
        <w:t xml:space="preserve">The California Alternate Rates for Energy program budgets of Pacific Gas and Electric Company, Southern California Edison Company, San Diego Gas &amp; Electric Company, and Southern California Gas Company are authorized </w:t>
      </w:r>
      <w:r w:rsidR="0090298E">
        <w:rPr>
          <w:szCs w:val="26"/>
        </w:rPr>
        <w:t xml:space="preserve">collectively </w:t>
      </w:r>
      <w:r w:rsidRPr="00A65A5E">
        <w:rPr>
          <w:szCs w:val="26"/>
        </w:rPr>
        <w:t xml:space="preserve">at $8.5 billion </w:t>
      </w:r>
      <w:r w:rsidRPr="00A65A5E">
        <w:rPr>
          <w:rFonts w:eastAsia="Times New Roman"/>
          <w:szCs w:val="26"/>
        </w:rPr>
        <w:t xml:space="preserve">for program years 2021-2026, </w:t>
      </w:r>
      <w:r w:rsidR="0090298E">
        <w:rPr>
          <w:rFonts w:eastAsia="Times New Roman"/>
        </w:rPr>
        <w:t>as set forth in</w:t>
      </w:r>
      <w:r w:rsidRPr="00A65A5E" w:rsidR="0090298E">
        <w:rPr>
          <w:rFonts w:eastAsia="Times New Roman"/>
        </w:rPr>
        <w:t xml:space="preserve"> </w:t>
      </w:r>
      <w:r w:rsidRPr="00A65A5E">
        <w:rPr>
          <w:rFonts w:eastAsia="Times New Roman"/>
          <w:szCs w:val="26"/>
        </w:rPr>
        <w:t>Attachment</w:t>
      </w:r>
      <w:r w:rsidR="00473C7C">
        <w:rPr>
          <w:rFonts w:eastAsia="Times New Roman"/>
          <w:szCs w:val="26"/>
        </w:rPr>
        <w:t> </w:t>
      </w:r>
      <w:r w:rsidRPr="00A65A5E">
        <w:rPr>
          <w:rFonts w:eastAsia="Times New Roman"/>
          <w:szCs w:val="26"/>
        </w:rPr>
        <w:t>1.</w:t>
      </w:r>
    </w:p>
    <w:p w:rsidRPr="00A65A5E" w:rsidR="00771390" w:rsidP="00D356B8" w:rsidRDefault="000C1980" w14:paraId="442F1194" w14:textId="0741BAA3">
      <w:pPr>
        <w:pStyle w:val="OP"/>
        <w:numPr>
          <w:ilvl w:val="0"/>
          <w:numId w:val="24"/>
        </w:numPr>
        <w:tabs>
          <w:tab w:val="left" w:pos="990"/>
        </w:tabs>
        <w:ind w:left="0" w:firstLine="547"/>
      </w:pPr>
      <w:r w:rsidRPr="00A65A5E">
        <w:rPr>
          <w:szCs w:val="26"/>
        </w:rPr>
        <w:t xml:space="preserve">The Energy Savings Assistance </w:t>
      </w:r>
      <w:r w:rsidR="00E94507">
        <w:rPr>
          <w:szCs w:val="26"/>
        </w:rPr>
        <w:t>p</w:t>
      </w:r>
      <w:r w:rsidRPr="00A65A5E">
        <w:rPr>
          <w:szCs w:val="26"/>
        </w:rPr>
        <w:t>rogram budgets of Pacific Gas and Electric Company, Southern California Edison Company, San Diego Gas &amp; Electric Company, and Southern California Gas Company are authorized at $2.</w:t>
      </w:r>
      <w:r w:rsidR="00CD6702">
        <w:rPr>
          <w:szCs w:val="26"/>
        </w:rPr>
        <w:t>2</w:t>
      </w:r>
      <w:r w:rsidRPr="00A65A5E">
        <w:rPr>
          <w:szCs w:val="26"/>
        </w:rPr>
        <w:t xml:space="preserve"> billion </w:t>
      </w:r>
      <w:r w:rsidRPr="00A65A5E">
        <w:rPr>
          <w:rFonts w:eastAsia="Times New Roman"/>
          <w:szCs w:val="26"/>
        </w:rPr>
        <w:t>for program years 2021-2026</w:t>
      </w:r>
      <w:r w:rsidR="0090298E">
        <w:rPr>
          <w:rFonts w:eastAsia="Times New Roman"/>
          <w:szCs w:val="26"/>
        </w:rPr>
        <w:t>,</w:t>
      </w:r>
      <w:r w:rsidRPr="00A65A5E">
        <w:rPr>
          <w:rFonts w:eastAsia="Times New Roman"/>
          <w:szCs w:val="26"/>
        </w:rPr>
        <w:t xml:space="preserve"> </w:t>
      </w:r>
      <w:r w:rsidR="0090298E">
        <w:rPr>
          <w:rFonts w:eastAsia="Times New Roman"/>
        </w:rPr>
        <w:t>as set forth in</w:t>
      </w:r>
      <w:r w:rsidRPr="00A65A5E" w:rsidR="0090298E">
        <w:rPr>
          <w:rFonts w:eastAsia="Times New Roman"/>
        </w:rPr>
        <w:t xml:space="preserve"> </w:t>
      </w:r>
      <w:r w:rsidRPr="00A65A5E">
        <w:rPr>
          <w:rFonts w:eastAsia="Times New Roman"/>
          <w:szCs w:val="26"/>
        </w:rPr>
        <w:t>Attachment 1.</w:t>
      </w:r>
    </w:p>
    <w:p w:rsidR="000C1980" w:rsidP="003D15AD" w:rsidRDefault="000C1980" w14:paraId="6E4BD629" w14:textId="027C2FF6">
      <w:pPr>
        <w:pStyle w:val="OP"/>
        <w:numPr>
          <w:ilvl w:val="0"/>
          <w:numId w:val="24"/>
        </w:numPr>
        <w:tabs>
          <w:tab w:val="left" w:pos="990"/>
        </w:tabs>
        <w:ind w:left="0" w:firstLine="547"/>
      </w:pPr>
      <w:r w:rsidRPr="00A65A5E">
        <w:t xml:space="preserve">The California Alternate Rates for Energy program enrollment rate </w:t>
      </w:r>
      <w:r w:rsidR="00E94507">
        <w:t>will</w:t>
      </w:r>
      <w:r w:rsidRPr="00A65A5E" w:rsidR="00E94507">
        <w:t xml:space="preserve"> </w:t>
      </w:r>
      <w:r w:rsidRPr="00A65A5E">
        <w:t xml:space="preserve">continue to be set at 90 percent during </w:t>
      </w:r>
      <w:r w:rsidR="0093289A">
        <w:rPr>
          <w:rFonts w:eastAsia="Times New Roman"/>
          <w:szCs w:val="26"/>
        </w:rPr>
        <w:t>program years</w:t>
      </w:r>
      <w:r w:rsidRPr="00A65A5E">
        <w:t xml:space="preserve"> 2021-2026.  </w:t>
      </w:r>
    </w:p>
    <w:p w:rsidRPr="00A65A5E" w:rsidR="005C545F" w:rsidP="003D15AD" w:rsidRDefault="005C545F" w14:paraId="44EAACA7" w14:textId="1B13998C">
      <w:pPr>
        <w:pStyle w:val="OP"/>
        <w:numPr>
          <w:ilvl w:val="0"/>
          <w:numId w:val="24"/>
        </w:numPr>
        <w:tabs>
          <w:tab w:val="left" w:pos="990"/>
        </w:tabs>
        <w:ind w:left="0" w:firstLine="547"/>
      </w:pPr>
      <w:r>
        <w:t xml:space="preserve">The </w:t>
      </w:r>
      <w:r w:rsidRPr="00A65A5E">
        <w:t xml:space="preserve">California Alternate Rates for Energy </w:t>
      </w:r>
      <w:r>
        <w:t>(CARE) enrollment rate must be</w:t>
      </w:r>
      <w:r w:rsidRPr="3776745C">
        <w:rPr>
          <w:rFonts w:eastAsia="Times New Roman"/>
        </w:rPr>
        <w:t xml:space="preserve"> measured for each utility as the ratio of enrolled CARE households to total eligible CARE households, as estimated by the yearly </w:t>
      </w:r>
      <w:r>
        <w:t>Annual CARE/FERA Eligibility Report</w:t>
      </w:r>
      <w:r w:rsidR="003B3E45">
        <w:t>.</w:t>
      </w:r>
    </w:p>
    <w:p w:rsidRPr="00A65A5E" w:rsidR="000C1980" w:rsidP="003D15AD" w:rsidRDefault="000C1980" w14:paraId="6E63E6FE" w14:textId="1CE27CC9">
      <w:pPr>
        <w:pStyle w:val="OP"/>
        <w:numPr>
          <w:ilvl w:val="0"/>
          <w:numId w:val="24"/>
        </w:numPr>
        <w:tabs>
          <w:tab w:val="left" w:pos="990"/>
        </w:tabs>
        <w:ind w:left="0" w:firstLine="547"/>
      </w:pPr>
      <w:r w:rsidRPr="00A65A5E">
        <w:t>The California Alternate Rates for Energy (CARE) recertification period for the CARE Expansion program is modified from two years to four years.</w:t>
      </w:r>
    </w:p>
    <w:p w:rsidRPr="00A65A5E" w:rsidR="000C1980" w:rsidP="003D15AD" w:rsidRDefault="000C1980" w14:paraId="09A1811C" w14:textId="1D58BEBD">
      <w:pPr>
        <w:pStyle w:val="OP"/>
        <w:numPr>
          <w:ilvl w:val="0"/>
          <w:numId w:val="24"/>
        </w:numPr>
        <w:tabs>
          <w:tab w:val="left" w:pos="990"/>
        </w:tabs>
        <w:ind w:left="0" w:firstLine="547"/>
      </w:pPr>
      <w:r w:rsidRPr="00A65A5E">
        <w:t xml:space="preserve">Certain fixed-income California Alternate Rates for Energy (CARE) customers are exempt from future CARE recertification and verification requests after verifying income using approved documentation.  The exemption </w:t>
      </w:r>
      <w:r w:rsidR="00C644E4">
        <w:t>will</w:t>
      </w:r>
      <w:r w:rsidRPr="00A65A5E" w:rsidR="00C644E4">
        <w:t xml:space="preserve"> </w:t>
      </w:r>
      <w:r w:rsidRPr="00A65A5E">
        <w:t xml:space="preserve">be </w:t>
      </w:r>
      <w:r w:rsidRPr="00A65A5E">
        <w:lastRenderedPageBreak/>
        <w:t>valid until the customer account is closed</w:t>
      </w:r>
      <w:r w:rsidR="00CE4D0C">
        <w:t>,</w:t>
      </w:r>
      <w:r w:rsidRPr="00A65A5E">
        <w:t xml:space="preserve"> customer-of-record name is altered</w:t>
      </w:r>
      <w:r w:rsidR="0018300E">
        <w:t>,</w:t>
      </w:r>
      <w:r w:rsidRPr="000B02D9" w:rsidR="0018300E">
        <w:t xml:space="preserve"> </w:t>
      </w:r>
      <w:r w:rsidR="0018300E">
        <w:t>or a minimum of six years has elapsed since the customer verified income using approved documentation</w:t>
      </w:r>
      <w:r w:rsidRPr="00A65A5E">
        <w:t xml:space="preserve">. </w:t>
      </w:r>
    </w:p>
    <w:p w:rsidRPr="00A65A5E" w:rsidR="000C1980" w:rsidP="003D15AD" w:rsidRDefault="000C1980" w14:paraId="13E2B2C4" w14:textId="0FD9E568">
      <w:pPr>
        <w:pStyle w:val="OP"/>
        <w:numPr>
          <w:ilvl w:val="0"/>
          <w:numId w:val="24"/>
        </w:numPr>
        <w:tabs>
          <w:tab w:val="left" w:pos="990"/>
        </w:tabs>
        <w:ind w:left="0" w:firstLine="547"/>
      </w:pPr>
      <w:r w:rsidRPr="00A65A5E">
        <w:rPr>
          <w:szCs w:val="26"/>
        </w:rPr>
        <w:t xml:space="preserve">Pacific Gas and Electric Company, Southern California Edison Company, and Southern California Gas Company </w:t>
      </w:r>
      <w:r w:rsidRPr="00A65A5E">
        <w:t xml:space="preserve">are authorized to update their California Alternate Rates for Energy propensity and probability models, with all the Utilities granted flexibility in making updates to their respective probability/propensity models without having to request authorization from the Commission, </w:t>
      </w:r>
      <w:proofErr w:type="gramStart"/>
      <w:r w:rsidRPr="00A65A5E">
        <w:t>as long as</w:t>
      </w:r>
      <w:proofErr w:type="gramEnd"/>
      <w:r w:rsidRPr="00A65A5E">
        <w:t xml:space="preserve"> these updates do not require budget expenditures beyond what is already approved.  Any updates made </w:t>
      </w:r>
      <w:r w:rsidR="00D8326A">
        <w:t>must</w:t>
      </w:r>
      <w:r w:rsidRPr="00A65A5E" w:rsidR="00D8326A">
        <w:t xml:space="preserve"> </w:t>
      </w:r>
      <w:r w:rsidRPr="00A65A5E">
        <w:t>be reported in the monthly and annual compliance reports.</w:t>
      </w:r>
    </w:p>
    <w:p w:rsidRPr="00A65A5E" w:rsidR="000C1980" w:rsidP="003D15AD" w:rsidRDefault="000C1980" w14:paraId="7AF0C764" w14:textId="31EC0518">
      <w:pPr>
        <w:pStyle w:val="OP"/>
        <w:numPr>
          <w:ilvl w:val="0"/>
          <w:numId w:val="24"/>
        </w:numPr>
        <w:tabs>
          <w:tab w:val="left" w:pos="990"/>
        </w:tabs>
        <w:ind w:left="0" w:firstLine="547"/>
      </w:pPr>
      <w:r w:rsidRPr="00A65A5E">
        <w:t xml:space="preserve">Pacific Gas and Electric Company, Southern California Edison Company, Southern California Gas Company and San Diego Gas &amp; Electric Company </w:t>
      </w:r>
      <w:r w:rsidR="00D8326A">
        <w:t>must</w:t>
      </w:r>
      <w:r w:rsidRPr="00A65A5E" w:rsidR="00D8326A">
        <w:t xml:space="preserve"> </w:t>
      </w:r>
      <w:r w:rsidR="008544AA">
        <w:t xml:space="preserve">adopt a 4-year recertification cycle for enrolled </w:t>
      </w:r>
      <w:r w:rsidR="00B34070">
        <w:t>California Alternate Rates for Energy (</w:t>
      </w:r>
      <w:r w:rsidR="008544AA">
        <w:t>CARE</w:t>
      </w:r>
      <w:r w:rsidR="00B34070">
        <w:t>)</w:t>
      </w:r>
      <w:r w:rsidR="008544AA">
        <w:t xml:space="preserve"> customers with a high probability of being CARE eligible, which is defined as households that have at least an 80 percent probability (or top two deciles) of being CARE-eligible as identified by each IOU</w:t>
      </w:r>
      <w:r w:rsidR="00FA6D7D">
        <w:t>’</w:t>
      </w:r>
      <w:r w:rsidR="008544AA">
        <w:t>s probability model</w:t>
      </w:r>
      <w:r w:rsidRPr="00A65A5E">
        <w:t xml:space="preserve">.   </w:t>
      </w:r>
    </w:p>
    <w:p w:rsidRPr="00A65A5E" w:rsidR="000C1980" w:rsidP="003D15AD" w:rsidRDefault="000C1980" w14:paraId="5D4C4DEE" w14:textId="05FBD9E4">
      <w:pPr>
        <w:pStyle w:val="OP"/>
        <w:numPr>
          <w:ilvl w:val="0"/>
          <w:numId w:val="24"/>
        </w:numPr>
        <w:tabs>
          <w:tab w:val="left" w:pos="990"/>
        </w:tabs>
        <w:ind w:left="0" w:firstLine="547"/>
      </w:pPr>
      <w:r w:rsidRPr="00A65A5E">
        <w:t>The requirement to post</w:t>
      </w:r>
      <w:r w:rsidR="00BC0997">
        <w:t>-</w:t>
      </w:r>
      <w:r w:rsidRPr="00A65A5E">
        <w:t xml:space="preserve">enrollment </w:t>
      </w:r>
      <w:proofErr w:type="gramStart"/>
      <w:r w:rsidRPr="00A65A5E">
        <w:t>verify</w:t>
      </w:r>
      <w:proofErr w:type="gramEnd"/>
      <w:r w:rsidRPr="00A65A5E">
        <w:t xml:space="preserve"> all California Alternate Rates for Energy customers that exceed 400 percent of baseline</w:t>
      </w:r>
      <w:r w:rsidR="000A783F">
        <w:t xml:space="preserve"> usage</w:t>
      </w:r>
      <w:r w:rsidRPr="00A65A5E">
        <w:t xml:space="preserve"> is modified from one time in a 12-month period to three times in a 12-month period.</w:t>
      </w:r>
    </w:p>
    <w:p w:rsidRPr="00A65A5E" w:rsidR="000C1980" w:rsidP="003D15AD" w:rsidRDefault="0096389F" w14:paraId="535687DE" w14:textId="14242B4B">
      <w:pPr>
        <w:pStyle w:val="OP"/>
        <w:numPr>
          <w:ilvl w:val="0"/>
          <w:numId w:val="24"/>
        </w:numPr>
        <w:tabs>
          <w:tab w:val="left" w:pos="990"/>
        </w:tabs>
        <w:ind w:left="0" w:firstLine="547"/>
      </w:pPr>
      <w:r w:rsidRPr="0096389F">
        <w:t xml:space="preserve">Pacific Gas and Electric Company, Southern California Edison Company, Southern California Gas Company and San Diego Gas &amp; Electric Company must allow </w:t>
      </w:r>
      <w:r w:rsidRPr="00A65A5E" w:rsidR="000C1980">
        <w:t xml:space="preserve">California Alternate Rates for Energy </w:t>
      </w:r>
      <w:r>
        <w:t>c</w:t>
      </w:r>
      <w:r w:rsidRPr="00A65A5E" w:rsidR="000C1980">
        <w:t>ustomers selected for high usage post</w:t>
      </w:r>
      <w:r w:rsidR="00881905">
        <w:t>-</w:t>
      </w:r>
      <w:r w:rsidRPr="00A65A5E" w:rsidR="000C1980">
        <w:t xml:space="preserve">enrollment verification </w:t>
      </w:r>
      <w:r w:rsidR="00E645B5">
        <w:t>to</w:t>
      </w:r>
      <w:r w:rsidRPr="00A65A5E" w:rsidR="00E645B5">
        <w:t xml:space="preserve"> </w:t>
      </w:r>
      <w:r w:rsidRPr="00A65A5E" w:rsidR="000C1980">
        <w:t>verify their income using the documentation used in the regular post</w:t>
      </w:r>
      <w:r w:rsidR="00014AA7">
        <w:t>-</w:t>
      </w:r>
      <w:r w:rsidRPr="00A65A5E" w:rsidR="000C1980">
        <w:t>enrollment verif</w:t>
      </w:r>
      <w:r w:rsidR="00E645B5">
        <w:t>ication</w:t>
      </w:r>
      <w:r w:rsidRPr="00A65A5E" w:rsidR="000C1980">
        <w:t xml:space="preserve"> process, rather </w:t>
      </w:r>
      <w:r w:rsidRPr="00A65A5E" w:rsidR="000C1980">
        <w:lastRenderedPageBreak/>
        <w:t xml:space="preserve">than requiring a transcript of Internal Revenue Service (IRS) tax return or IRS verification of non-filing.  </w:t>
      </w:r>
    </w:p>
    <w:p w:rsidRPr="00A65A5E" w:rsidR="000C1980" w:rsidP="003D15AD" w:rsidRDefault="000C1980" w14:paraId="39A7296A" w14:textId="08D423B2">
      <w:pPr>
        <w:pStyle w:val="OP"/>
        <w:numPr>
          <w:ilvl w:val="0"/>
          <w:numId w:val="24"/>
        </w:numPr>
        <w:tabs>
          <w:tab w:val="left" w:pos="990"/>
        </w:tabs>
        <w:ind w:left="0" w:firstLine="547"/>
      </w:pPr>
      <w:r w:rsidRPr="00A65A5E">
        <w:t xml:space="preserve">Southern California Edison’s budget request of $21,615 for enhanced </w:t>
      </w:r>
      <w:r w:rsidR="00B77446">
        <w:t xml:space="preserve">Energy </w:t>
      </w:r>
      <w:r w:rsidR="00A07258">
        <w:t>Advisors</w:t>
      </w:r>
      <w:r w:rsidRPr="00A65A5E" w:rsidR="00B77446">
        <w:t xml:space="preserve"> </w:t>
      </w:r>
      <w:r w:rsidRPr="00A65A5E">
        <w:t>training for the California Alternate Rates for Energy Hotline is approved.</w:t>
      </w:r>
    </w:p>
    <w:p w:rsidRPr="00A65A5E" w:rsidR="000C1980" w:rsidP="003D15AD" w:rsidRDefault="000C1980" w14:paraId="5CEC9236" w14:textId="4424D1CF">
      <w:pPr>
        <w:pStyle w:val="OP"/>
        <w:numPr>
          <w:ilvl w:val="0"/>
          <w:numId w:val="24"/>
        </w:numPr>
        <w:tabs>
          <w:tab w:val="left" w:pos="990"/>
        </w:tabs>
        <w:ind w:left="0" w:firstLine="547"/>
      </w:pPr>
      <w:r w:rsidRPr="00A65A5E">
        <w:t xml:space="preserve">Pacific Gas and Electric Company, Southern California Edison Company, Southern California Gas Company and San Diego Gas &amp; Electric Company </w:t>
      </w:r>
      <w:r w:rsidR="00A07258">
        <w:t>must</w:t>
      </w:r>
      <w:r w:rsidRPr="00A65A5E" w:rsidR="00A07258">
        <w:t xml:space="preserve"> </w:t>
      </w:r>
      <w:r w:rsidR="0077106B">
        <w:t xml:space="preserve">simultaneously </w:t>
      </w:r>
      <w:r w:rsidRPr="00A65A5E">
        <w:t xml:space="preserve">conduct a </w:t>
      </w:r>
      <w:r w:rsidR="00D6337D">
        <w:t xml:space="preserve">coordinated </w:t>
      </w:r>
      <w:r w:rsidRPr="00A65A5E">
        <w:t xml:space="preserve">six month to one year outbound call pilot for “attempted but failed” </w:t>
      </w:r>
      <w:r w:rsidRPr="008A7147" w:rsidR="008A7147">
        <w:t>post</w:t>
      </w:r>
      <w:r w:rsidR="001E7838">
        <w:t>-</w:t>
      </w:r>
      <w:r w:rsidRPr="008A7147" w:rsidR="008A7147">
        <w:t>enrollment verified</w:t>
      </w:r>
      <w:r w:rsidRPr="008A7147" w:rsidDel="008A7147" w:rsidR="008A7147">
        <w:t xml:space="preserve"> </w:t>
      </w:r>
      <w:r w:rsidRPr="00A65A5E">
        <w:t xml:space="preserve">households at a budget not to exceed $80,000 per utility (to be funded via each utility’s existing authorized California Alternate Rates for Energy </w:t>
      </w:r>
      <w:r w:rsidR="008A7147">
        <w:t xml:space="preserve">program </w:t>
      </w:r>
      <w:r w:rsidRPr="00A65A5E">
        <w:t>outreach budgets for the respective year in which the pilot is being conducted)</w:t>
      </w:r>
      <w:r w:rsidR="001E7838">
        <w:t>,</w:t>
      </w:r>
      <w:r w:rsidRPr="00A65A5E">
        <w:t xml:space="preserve"> with a Tier 2 advice letter filing due at the end of the pilot</w:t>
      </w:r>
      <w:r w:rsidR="008A7147">
        <w:t xml:space="preserve"> term</w:t>
      </w:r>
      <w:r w:rsidRPr="00A65A5E">
        <w:t xml:space="preserve">, and within three months of the pilot’s conclusion. </w:t>
      </w:r>
    </w:p>
    <w:p w:rsidRPr="00A65A5E" w:rsidR="000C1980" w:rsidP="003D15AD" w:rsidRDefault="000C1980" w14:paraId="7AB1FF20" w14:textId="41540E00">
      <w:pPr>
        <w:pStyle w:val="OP"/>
        <w:numPr>
          <w:ilvl w:val="0"/>
          <w:numId w:val="24"/>
        </w:numPr>
        <w:tabs>
          <w:tab w:val="left" w:pos="990"/>
        </w:tabs>
        <w:ind w:left="0" w:firstLine="547"/>
      </w:pPr>
      <w:r w:rsidRPr="00A65A5E">
        <w:t>The California Alternate Rates for Energy</w:t>
      </w:r>
      <w:r w:rsidRPr="00A65A5E">
        <w:rPr>
          <w:rFonts w:eastAsia="Calibri"/>
        </w:rPr>
        <w:t xml:space="preserve"> capitation fee </w:t>
      </w:r>
      <w:r w:rsidR="00F0478D">
        <w:rPr>
          <w:rFonts w:eastAsia="Calibri"/>
        </w:rPr>
        <w:t>is</w:t>
      </w:r>
      <w:r w:rsidRPr="00A65A5E" w:rsidR="008A7147">
        <w:rPr>
          <w:rFonts w:eastAsia="Calibri"/>
        </w:rPr>
        <w:t xml:space="preserve"> </w:t>
      </w:r>
      <w:r w:rsidRPr="00A65A5E">
        <w:rPr>
          <w:rFonts w:eastAsia="Calibri"/>
        </w:rPr>
        <w:t xml:space="preserve">increased from $20 to </w:t>
      </w:r>
      <w:r w:rsidRPr="00A65A5E">
        <w:rPr>
          <w:rFonts w:eastAsia="Calibri"/>
          <w:i/>
          <w:iCs/>
        </w:rPr>
        <w:t>up to</w:t>
      </w:r>
      <w:r w:rsidRPr="00A65A5E">
        <w:rPr>
          <w:rFonts w:eastAsia="Calibri"/>
        </w:rPr>
        <w:t xml:space="preserve"> $30 per enrollment.</w:t>
      </w:r>
    </w:p>
    <w:p w:rsidRPr="00A65A5E" w:rsidR="000C1980" w:rsidP="003D15AD" w:rsidRDefault="004A5179" w14:paraId="199562D7" w14:textId="6148FCBD">
      <w:pPr>
        <w:pStyle w:val="OP"/>
        <w:numPr>
          <w:ilvl w:val="0"/>
          <w:numId w:val="24"/>
        </w:numPr>
        <w:tabs>
          <w:tab w:val="left" w:pos="990"/>
        </w:tabs>
        <w:ind w:left="0" w:firstLine="547"/>
      </w:pPr>
      <w:r w:rsidRPr="004A5179">
        <w:t xml:space="preserve">Pacific Gas and Electric Company, Southern California Edison Company, Southern California Gas Company and San Diego Gas &amp; Electric Company’s Categorical Eligibility study must explore </w:t>
      </w:r>
      <w:r>
        <w:t>t</w:t>
      </w:r>
      <w:r w:rsidRPr="00A65A5E" w:rsidR="000C1980">
        <w:t xml:space="preserve">he topic of data sharing opportunities.  Specifically, this study </w:t>
      </w:r>
      <w:r>
        <w:t>must</w:t>
      </w:r>
      <w:r w:rsidRPr="00A65A5E">
        <w:t xml:space="preserve"> </w:t>
      </w:r>
      <w:r w:rsidRPr="00A65A5E" w:rsidR="000C1980">
        <w:t>research potential data sharing opportunities between the Utilities and state and federal agencies as it applies to providing a pathway for customer</w:t>
      </w:r>
      <w:r>
        <w:t>s</w:t>
      </w:r>
      <w:r w:rsidRPr="00A65A5E" w:rsidR="000C1980">
        <w:t xml:space="preserve"> to auto-enroll or auto-recertify in </w:t>
      </w:r>
      <w:r>
        <w:t xml:space="preserve">the </w:t>
      </w:r>
      <w:r w:rsidRPr="00A65A5E" w:rsidR="000C1980">
        <w:t>California Alternate Rates for Energy</w:t>
      </w:r>
      <w:r>
        <w:t xml:space="preserve"> program</w:t>
      </w:r>
      <w:r w:rsidRPr="00A65A5E" w:rsidR="000C1980">
        <w:t xml:space="preserve">. </w:t>
      </w:r>
    </w:p>
    <w:p w:rsidRPr="00A65A5E" w:rsidR="000C1980" w:rsidP="003D15AD" w:rsidRDefault="000C1980" w14:paraId="12FDA175" w14:textId="61667099">
      <w:pPr>
        <w:pStyle w:val="OP"/>
        <w:numPr>
          <w:ilvl w:val="0"/>
          <w:numId w:val="24"/>
        </w:numPr>
        <w:tabs>
          <w:tab w:val="left" w:pos="990"/>
        </w:tabs>
        <w:ind w:left="0" w:firstLine="547"/>
      </w:pPr>
      <w:r w:rsidRPr="00A65A5E">
        <w:t xml:space="preserve">San Diego Gas &amp; Electric Company’s budget request for $120,000 </w:t>
      </w:r>
      <w:r w:rsidR="008358D6">
        <w:t>to</w:t>
      </w:r>
      <w:r w:rsidRPr="00A65A5E" w:rsidR="008358D6">
        <w:t xml:space="preserve"> </w:t>
      </w:r>
      <w:r w:rsidRPr="00A65A5E">
        <w:t xml:space="preserve">upgrade its Integrated Voice Response system is approved. </w:t>
      </w:r>
    </w:p>
    <w:p w:rsidRPr="00A65A5E" w:rsidR="000C1980" w:rsidP="003D15AD" w:rsidRDefault="000C1980" w14:paraId="3BFE4F30" w14:textId="4144BCF3">
      <w:pPr>
        <w:pStyle w:val="OP"/>
        <w:numPr>
          <w:ilvl w:val="0"/>
          <w:numId w:val="24"/>
        </w:numPr>
        <w:tabs>
          <w:tab w:val="left" w:pos="990"/>
        </w:tabs>
        <w:ind w:left="0" w:firstLine="547"/>
      </w:pPr>
      <w:r w:rsidRPr="00A65A5E">
        <w:lastRenderedPageBreak/>
        <w:t xml:space="preserve">Pacific Gas and Electric Company, Southern California Edison Company, Southern California Gas Company and San Diego Gas &amp; Electric Company’s California Alternate Rates for Energy marketing and outreach strategies are approved, with additional reporting requirements (per the reporting template to be developed and issued by Energy Division staff). </w:t>
      </w:r>
    </w:p>
    <w:p w:rsidRPr="00A65A5E" w:rsidR="000C1980" w:rsidP="003D15AD" w:rsidRDefault="000C1980" w14:paraId="2630CAF1" w14:textId="05119BE2">
      <w:pPr>
        <w:pStyle w:val="OP"/>
        <w:numPr>
          <w:ilvl w:val="0"/>
          <w:numId w:val="24"/>
        </w:numPr>
        <w:tabs>
          <w:tab w:val="left" w:pos="990"/>
        </w:tabs>
        <w:ind w:left="0" w:firstLine="547"/>
      </w:pPr>
      <w:r w:rsidRPr="00A65A5E">
        <w:t>The Joint Stipulation</w:t>
      </w:r>
      <w:r w:rsidRPr="00A65A5E">
        <w:rPr>
          <w:sz w:val="23"/>
          <w:szCs w:val="23"/>
        </w:rPr>
        <w:t xml:space="preserve"> </w:t>
      </w:r>
      <w:r w:rsidRPr="00A65A5E">
        <w:t xml:space="preserve">between the </w:t>
      </w:r>
      <w:r w:rsidRPr="00195762" w:rsidR="00195762">
        <w:t xml:space="preserve">Pacific Gas and Electric Company, Southern California Edison Company, Southern California Gas Company, San Diego Gas &amp; Electric </w:t>
      </w:r>
      <w:proofErr w:type="gramStart"/>
      <w:r w:rsidRPr="00195762" w:rsidR="00195762">
        <w:t>Company</w:t>
      </w:r>
      <w:proofErr w:type="gramEnd"/>
      <w:r w:rsidRPr="00195762" w:rsidDel="00D13628" w:rsidR="00195762">
        <w:t xml:space="preserve"> </w:t>
      </w:r>
      <w:r w:rsidRPr="00A65A5E">
        <w:t xml:space="preserve">and the California Emerging Technology Fund is approved. </w:t>
      </w:r>
    </w:p>
    <w:p w:rsidRPr="00A65A5E" w:rsidR="000C1980" w:rsidP="003D15AD" w:rsidRDefault="000C1980" w14:paraId="38E6459C" w14:textId="662D0237">
      <w:pPr>
        <w:pStyle w:val="OP"/>
        <w:numPr>
          <w:ilvl w:val="0"/>
          <w:numId w:val="24"/>
        </w:numPr>
        <w:tabs>
          <w:tab w:val="left" w:pos="990"/>
        </w:tabs>
        <w:ind w:left="0" w:firstLine="547"/>
      </w:pPr>
      <w:r w:rsidRPr="00A65A5E">
        <w:t xml:space="preserve">The utility cooling centers </w:t>
      </w:r>
      <w:r w:rsidR="00C703F6">
        <w:t>must</w:t>
      </w:r>
      <w:r w:rsidRPr="00A65A5E" w:rsidR="00C703F6">
        <w:t xml:space="preserve"> </w:t>
      </w:r>
      <w:r w:rsidRPr="00A65A5E">
        <w:t>be funded through the respective utility’s general rate case</w:t>
      </w:r>
      <w:r w:rsidR="00B36249">
        <w:t>,</w:t>
      </w:r>
      <w:r w:rsidRPr="00A65A5E">
        <w:t xml:space="preserve"> </w:t>
      </w:r>
      <w:r w:rsidR="009100B4">
        <w:t>since</w:t>
      </w:r>
      <w:r w:rsidRPr="00A65A5E">
        <w:t xml:space="preserve"> cooling centers benefit all patrons, and not just </w:t>
      </w:r>
      <w:proofErr w:type="gramStart"/>
      <w:r w:rsidRPr="00A65A5E">
        <w:t>low income</w:t>
      </w:r>
      <w:proofErr w:type="gramEnd"/>
      <w:r w:rsidRPr="00A65A5E">
        <w:t xml:space="preserve"> patrons.  </w:t>
      </w:r>
    </w:p>
    <w:p w:rsidRPr="00A65A5E" w:rsidR="000C1980" w:rsidP="003D15AD" w:rsidRDefault="000C1980" w14:paraId="75094524" w14:textId="5EA3AC05">
      <w:pPr>
        <w:pStyle w:val="OP"/>
        <w:numPr>
          <w:ilvl w:val="0"/>
          <w:numId w:val="24"/>
        </w:numPr>
        <w:tabs>
          <w:tab w:val="left" w:pos="990"/>
        </w:tabs>
        <w:ind w:left="0" w:firstLine="547"/>
      </w:pPr>
      <w:r w:rsidRPr="00A65A5E">
        <w:t xml:space="preserve">The Community Help and Awareness of Natural Gas and Electricity Services program </w:t>
      </w:r>
      <w:r w:rsidR="00C703F6">
        <w:t>must</w:t>
      </w:r>
      <w:r w:rsidRPr="00A65A5E" w:rsidR="00C703F6">
        <w:t xml:space="preserve"> </w:t>
      </w:r>
      <w:r w:rsidRPr="00A65A5E">
        <w:t xml:space="preserve">continue to be funded through </w:t>
      </w:r>
      <w:r w:rsidR="00C703F6">
        <w:t xml:space="preserve">the </w:t>
      </w:r>
      <w:r w:rsidRPr="00A65A5E">
        <w:t xml:space="preserve">California Alternate Rates for Energy </w:t>
      </w:r>
      <w:r w:rsidR="00C703F6">
        <w:t xml:space="preserve">program </w:t>
      </w:r>
      <w:r w:rsidRPr="00A65A5E">
        <w:t xml:space="preserve">at a total of $10,515,012 for program years 2021-2026.  </w:t>
      </w:r>
    </w:p>
    <w:p w:rsidRPr="00A65A5E" w:rsidR="000C1980" w:rsidP="003D15AD" w:rsidRDefault="000C1980" w14:paraId="7FAE5D40" w14:textId="6D8F7116">
      <w:pPr>
        <w:pStyle w:val="OP"/>
        <w:numPr>
          <w:ilvl w:val="0"/>
          <w:numId w:val="24"/>
        </w:numPr>
        <w:tabs>
          <w:tab w:val="left" w:pos="990"/>
        </w:tabs>
        <w:ind w:left="0" w:firstLine="547"/>
      </w:pPr>
      <w:r w:rsidRPr="00A65A5E">
        <w:t xml:space="preserve">The Community Help and Awareness of Natural Gas and Electricity Services (CHANGES) program </w:t>
      </w:r>
      <w:r w:rsidR="00C703F6">
        <w:t>must</w:t>
      </w:r>
      <w:r w:rsidRPr="00A65A5E" w:rsidR="00C703F6">
        <w:t xml:space="preserve"> </w:t>
      </w:r>
      <w:r w:rsidRPr="00A65A5E">
        <w:t xml:space="preserve">be evaluated by an independent </w:t>
      </w:r>
      <w:r w:rsidR="00AC37B7">
        <w:t>third party</w:t>
      </w:r>
      <w:r w:rsidRPr="00A65A5E" w:rsidR="00AC37B7">
        <w:t xml:space="preserve"> </w:t>
      </w:r>
      <w:r w:rsidRPr="00A65A5E">
        <w:t xml:space="preserve">to detail the benefits and cost-effectiveness of services delivered to </w:t>
      </w:r>
      <w:proofErr w:type="gramStart"/>
      <w:r w:rsidRPr="00A65A5E">
        <w:t>low income</w:t>
      </w:r>
      <w:proofErr w:type="gramEnd"/>
      <w:r w:rsidRPr="00A65A5E">
        <w:t xml:space="preserve"> customers, including comparisons to similar initiatives nationwide, and include a determination of the most appropriate funding source for the CHANGES program based on the beneficiaries of the program.</w:t>
      </w:r>
    </w:p>
    <w:p w:rsidRPr="00A65A5E" w:rsidR="000C1980" w:rsidP="003D15AD" w:rsidRDefault="000C1980" w14:paraId="5F3C6519" w14:textId="0F425ADF">
      <w:pPr>
        <w:pStyle w:val="OP"/>
        <w:numPr>
          <w:ilvl w:val="0"/>
          <w:numId w:val="24"/>
        </w:numPr>
        <w:tabs>
          <w:tab w:val="left" w:pos="990"/>
        </w:tabs>
        <w:ind w:left="0" w:firstLine="547"/>
      </w:pPr>
      <w:r w:rsidRPr="00A65A5E">
        <w:rPr>
          <w:szCs w:val="26"/>
        </w:rPr>
        <w:t>Pacific Gas and Electric Company</w:t>
      </w:r>
      <w:r w:rsidRPr="00A65A5E">
        <w:t xml:space="preserve"> </w:t>
      </w:r>
      <w:r w:rsidR="0037193B">
        <w:t>must</w:t>
      </w:r>
      <w:r w:rsidRPr="00A65A5E" w:rsidR="0037193B">
        <w:t xml:space="preserve"> </w:t>
      </w:r>
      <w:r w:rsidRPr="00A65A5E">
        <w:t xml:space="preserve">lead the </w:t>
      </w:r>
      <w:r w:rsidR="000569A4">
        <w:t>contract</w:t>
      </w:r>
      <w:r w:rsidRPr="00A65A5E">
        <w:t xml:space="preserve"> management of the Community Help and Awareness of Natural Gas and Electricity Services (CHANGES) evaluation </w:t>
      </w:r>
      <w:r w:rsidRPr="001555D1" w:rsidR="001555D1">
        <w:t xml:space="preserve">while the scope will be determined by the </w:t>
      </w:r>
      <w:r w:rsidR="001555D1">
        <w:t xml:space="preserve">Utilities, </w:t>
      </w:r>
      <w:r w:rsidRPr="00A65A5E">
        <w:t>the Commission’s Consumers Affairs Branch and Energy Division staff</w:t>
      </w:r>
      <w:r w:rsidR="001555D1">
        <w:t xml:space="preserve">, </w:t>
      </w:r>
      <w:r w:rsidR="00BD254D">
        <w:t>with final approval by Commission staff</w:t>
      </w:r>
      <w:r w:rsidRPr="00A65A5E">
        <w:t xml:space="preserve">.  An evaluation budget of up to 4 percent of the </w:t>
      </w:r>
      <w:r w:rsidRPr="00A65A5E">
        <w:lastRenderedPageBreak/>
        <w:t xml:space="preserve">combined 2021-2026 authorized CHANGES budgets </w:t>
      </w:r>
      <w:r w:rsidR="00BD254D">
        <w:t>is approved</w:t>
      </w:r>
      <w:r w:rsidRPr="00A65A5E">
        <w:t xml:space="preserve"> for at least two </w:t>
      </w:r>
      <w:r w:rsidR="00294164">
        <w:t>sequential</w:t>
      </w:r>
      <w:r w:rsidRPr="00A65A5E">
        <w:t xml:space="preserve">, third-party evaluations of the program.  The </w:t>
      </w:r>
      <w:r w:rsidR="00294164">
        <w:t xml:space="preserve">first </w:t>
      </w:r>
      <w:r w:rsidRPr="00A65A5E">
        <w:t xml:space="preserve">evaluation </w:t>
      </w:r>
      <w:r w:rsidR="00AB43F2">
        <w:t>must</w:t>
      </w:r>
      <w:r w:rsidRPr="00A65A5E" w:rsidR="00AB43F2">
        <w:t xml:space="preserve"> </w:t>
      </w:r>
      <w:r w:rsidRPr="00A65A5E">
        <w:t xml:space="preserve">begin by no later than 12 months after the </w:t>
      </w:r>
      <w:r w:rsidR="005530CB">
        <w:t xml:space="preserve">approval of </w:t>
      </w:r>
      <w:r w:rsidRPr="00A65A5E">
        <w:t xml:space="preserve">this decision and </w:t>
      </w:r>
      <w:r w:rsidR="000F7A9A">
        <w:t xml:space="preserve">the second evaluation </w:t>
      </w:r>
      <w:r w:rsidR="005E22CB">
        <w:t>must</w:t>
      </w:r>
      <w:r w:rsidRPr="00A65A5E" w:rsidR="005E22CB">
        <w:t xml:space="preserve"> </w:t>
      </w:r>
      <w:r w:rsidRPr="00A65A5E">
        <w:t xml:space="preserve">deliver a final report by no later than December 31, 2025.    </w:t>
      </w:r>
    </w:p>
    <w:p w:rsidRPr="00A65A5E" w:rsidR="000C1980" w:rsidP="003D15AD" w:rsidRDefault="000C1980" w14:paraId="2AFF4BDF" w14:textId="3906F4A6">
      <w:pPr>
        <w:pStyle w:val="OP"/>
        <w:numPr>
          <w:ilvl w:val="0"/>
          <w:numId w:val="24"/>
        </w:numPr>
        <w:tabs>
          <w:tab w:val="left" w:pos="990"/>
        </w:tabs>
        <w:ind w:left="0" w:firstLine="547"/>
      </w:pPr>
      <w:r w:rsidRPr="00A65A5E">
        <w:t xml:space="preserve">Southern California Gas Company’s </w:t>
      </w:r>
      <w:r w:rsidR="00567287">
        <w:t xml:space="preserve">requested </w:t>
      </w:r>
      <w:r w:rsidRPr="00A65A5E">
        <w:t xml:space="preserve">California Alternate Rates for Energy outreach budget is reduced by $1 million per program year. </w:t>
      </w:r>
    </w:p>
    <w:p w:rsidRPr="00A65A5E" w:rsidR="000C1980" w:rsidP="003D15AD" w:rsidRDefault="000C1980" w14:paraId="1F0E710C" w14:textId="1A7211DB">
      <w:pPr>
        <w:pStyle w:val="OP"/>
        <w:numPr>
          <w:ilvl w:val="0"/>
          <w:numId w:val="24"/>
        </w:numPr>
        <w:tabs>
          <w:tab w:val="left" w:pos="990"/>
        </w:tabs>
        <w:ind w:left="0" w:firstLine="547"/>
        <w:rPr>
          <w:rFonts w:eastAsia="Times New Roman"/>
          <w:szCs w:val="26"/>
        </w:rPr>
      </w:pPr>
      <w:r w:rsidRPr="00A65A5E">
        <w:t xml:space="preserve">The Family Electric Rate Assistance program enrollment goal </w:t>
      </w:r>
      <w:r w:rsidR="00C06D55">
        <w:t>is</w:t>
      </w:r>
      <w:r w:rsidRPr="00A65A5E">
        <w:t xml:space="preserve"> set at </w:t>
      </w:r>
      <w:r w:rsidRPr="00A65A5E">
        <w:rPr>
          <w:rFonts w:eastAsia="Times New Roman"/>
          <w:szCs w:val="26"/>
        </w:rPr>
        <w:t xml:space="preserve">50 percent to be achieved </w:t>
      </w:r>
      <w:r w:rsidR="000B1A5E">
        <w:rPr>
          <w:rFonts w:eastAsia="Times New Roman"/>
          <w:szCs w:val="26"/>
        </w:rPr>
        <w:t xml:space="preserve">by </w:t>
      </w:r>
      <w:r w:rsidRPr="00A65A5E">
        <w:rPr>
          <w:rFonts w:eastAsia="Times New Roman"/>
          <w:szCs w:val="26"/>
        </w:rPr>
        <w:t xml:space="preserve">2023, with the aim to reach 70 percent by 2026. </w:t>
      </w:r>
    </w:p>
    <w:p w:rsidRPr="00A65A5E" w:rsidR="000C1980" w:rsidP="003D15AD" w:rsidRDefault="000C1980" w14:paraId="08139455" w14:textId="4ECA69BD">
      <w:pPr>
        <w:pStyle w:val="OP"/>
        <w:numPr>
          <w:ilvl w:val="0"/>
          <w:numId w:val="24"/>
        </w:numPr>
        <w:tabs>
          <w:tab w:val="left" w:pos="990"/>
        </w:tabs>
        <w:ind w:left="0" w:firstLine="547"/>
        <w:rPr>
          <w:rFonts w:eastAsia="Times New Roman"/>
          <w:szCs w:val="26"/>
        </w:rPr>
      </w:pPr>
      <w:r w:rsidRPr="00A65A5E">
        <w:t xml:space="preserve">The Family Electric Rate Assistance (FERA) enrollment rate </w:t>
      </w:r>
      <w:r w:rsidR="00AE2592">
        <w:t>must</w:t>
      </w:r>
      <w:r w:rsidRPr="00A65A5E" w:rsidR="00AE2592">
        <w:t xml:space="preserve"> </w:t>
      </w:r>
      <w:r w:rsidRPr="00A65A5E">
        <w:t>be</w:t>
      </w:r>
      <w:r w:rsidRPr="00A65A5E">
        <w:rPr>
          <w:rFonts w:eastAsia="Times New Roman"/>
          <w:szCs w:val="26"/>
        </w:rPr>
        <w:t xml:space="preserve"> measured for each utility as the ratio of enrolled FERA households to total eligible FERA households, as estimated by the yearly </w:t>
      </w:r>
      <w:r w:rsidRPr="00A65A5E">
        <w:t xml:space="preserve">Annual </w:t>
      </w:r>
      <w:r w:rsidRPr="006A1090">
        <w:t xml:space="preserve">California Alternate Rates </w:t>
      </w:r>
      <w:r>
        <w:t>f</w:t>
      </w:r>
      <w:r w:rsidRPr="006A1090">
        <w:t>or Energy</w:t>
      </w:r>
      <w:r w:rsidR="003D40A0">
        <w:t>/FERA</w:t>
      </w:r>
      <w:r w:rsidRPr="00A65A5E">
        <w:t xml:space="preserve"> Eligibility Report</w:t>
      </w:r>
      <w:r w:rsidRPr="00A65A5E">
        <w:rPr>
          <w:rFonts w:eastAsia="Times New Roman"/>
          <w:szCs w:val="26"/>
        </w:rPr>
        <w:t>.</w:t>
      </w:r>
    </w:p>
    <w:p w:rsidRPr="00A65A5E" w:rsidR="000C1980" w:rsidP="003D15AD" w:rsidRDefault="000C1980" w14:paraId="722E327B" w14:textId="7DAA29D2">
      <w:pPr>
        <w:pStyle w:val="OP"/>
        <w:numPr>
          <w:ilvl w:val="0"/>
          <w:numId w:val="24"/>
        </w:numPr>
        <w:tabs>
          <w:tab w:val="left" w:pos="990"/>
        </w:tabs>
        <w:ind w:left="0" w:firstLine="547"/>
        <w:rPr>
          <w:rFonts w:eastAsia="Times New Roman"/>
          <w:szCs w:val="26"/>
        </w:rPr>
      </w:pPr>
      <w:r w:rsidRPr="00A65A5E">
        <w:rPr>
          <w:rFonts w:eastAsia="Times New Roman"/>
          <w:szCs w:val="26"/>
        </w:rPr>
        <w:t>The</w:t>
      </w:r>
      <w:r w:rsidRPr="00A65A5E">
        <w:t xml:space="preserve"> Family Electric Rate Assistance </w:t>
      </w:r>
      <w:r w:rsidRPr="00A65A5E">
        <w:rPr>
          <w:rFonts w:eastAsia="Times New Roman"/>
          <w:szCs w:val="26"/>
        </w:rPr>
        <w:t xml:space="preserve">program proceeding </w:t>
      </w:r>
      <w:r w:rsidR="00AE2592">
        <w:rPr>
          <w:rFonts w:eastAsia="Times New Roman"/>
          <w:szCs w:val="26"/>
        </w:rPr>
        <w:t>will</w:t>
      </w:r>
      <w:r w:rsidRPr="00A65A5E" w:rsidR="00AE2592">
        <w:rPr>
          <w:rFonts w:eastAsia="Times New Roman"/>
          <w:szCs w:val="26"/>
        </w:rPr>
        <w:t xml:space="preserve"> </w:t>
      </w:r>
      <w:r w:rsidRPr="00A65A5E">
        <w:rPr>
          <w:rFonts w:eastAsia="Times New Roman"/>
          <w:szCs w:val="26"/>
        </w:rPr>
        <w:t xml:space="preserve">be consolidated with </w:t>
      </w:r>
      <w:r w:rsidR="00135514">
        <w:rPr>
          <w:rFonts w:eastAsia="Times New Roman"/>
          <w:szCs w:val="26"/>
        </w:rPr>
        <w:t xml:space="preserve">the </w:t>
      </w:r>
      <w:r w:rsidRPr="00A65A5E">
        <w:t xml:space="preserve">California Alternate Rates for Energy </w:t>
      </w:r>
      <w:r w:rsidRPr="00A65A5E">
        <w:rPr>
          <w:rFonts w:eastAsia="Times New Roman"/>
          <w:szCs w:val="26"/>
        </w:rPr>
        <w:t xml:space="preserve">and </w:t>
      </w:r>
      <w:r w:rsidR="00135514">
        <w:rPr>
          <w:rFonts w:eastAsia="Times New Roman"/>
          <w:szCs w:val="26"/>
        </w:rPr>
        <w:t xml:space="preserve">the </w:t>
      </w:r>
      <w:r w:rsidRPr="00135514" w:rsidR="00135514">
        <w:rPr>
          <w:rFonts w:eastAsia="Times New Roman"/>
          <w:szCs w:val="26"/>
        </w:rPr>
        <w:t xml:space="preserve">Energy Savings Assistance </w:t>
      </w:r>
      <w:r w:rsidRPr="00A65A5E">
        <w:rPr>
          <w:rFonts w:eastAsia="Times New Roman"/>
          <w:szCs w:val="26"/>
        </w:rPr>
        <w:t xml:space="preserve">program proceeding.  </w:t>
      </w:r>
    </w:p>
    <w:p w:rsidRPr="00A65A5E" w:rsidR="000C1980" w:rsidP="003D15AD" w:rsidRDefault="000C1980" w14:paraId="71537BF6" w14:textId="1DF4C4D0">
      <w:pPr>
        <w:pStyle w:val="OP"/>
        <w:numPr>
          <w:ilvl w:val="0"/>
          <w:numId w:val="24"/>
        </w:numPr>
        <w:tabs>
          <w:tab w:val="left" w:pos="990"/>
        </w:tabs>
        <w:ind w:left="0" w:firstLine="547"/>
        <w:rPr>
          <w:rFonts w:eastAsia="Times New Roman"/>
          <w:szCs w:val="26"/>
        </w:rPr>
      </w:pPr>
      <w:r w:rsidRPr="00A65A5E">
        <w:rPr>
          <w:rFonts w:eastAsia="Times New Roman"/>
          <w:szCs w:val="26"/>
        </w:rPr>
        <w:t xml:space="preserve">Pacific Gas and Electric Company, Southern California Edison Company, and San Diego Gas &amp; Electric Company </w:t>
      </w:r>
      <w:r w:rsidR="003843CD">
        <w:rPr>
          <w:rFonts w:eastAsia="Times New Roman"/>
          <w:szCs w:val="26"/>
        </w:rPr>
        <w:t>must</w:t>
      </w:r>
      <w:r w:rsidRPr="00A65A5E" w:rsidR="003843CD">
        <w:rPr>
          <w:rFonts w:eastAsia="Times New Roman"/>
          <w:szCs w:val="26"/>
        </w:rPr>
        <w:t xml:space="preserve"> </w:t>
      </w:r>
      <w:r w:rsidR="001415C5">
        <w:rPr>
          <w:rFonts w:eastAsia="Times New Roman"/>
          <w:szCs w:val="26"/>
        </w:rPr>
        <w:t xml:space="preserve">each </w:t>
      </w:r>
      <w:r w:rsidRPr="00A65A5E">
        <w:t>implement</w:t>
      </w:r>
      <w:r w:rsidR="005F1DC8">
        <w:t>,</w:t>
      </w:r>
      <w:r w:rsidRPr="005F1DC8" w:rsidR="005F1DC8">
        <w:rPr>
          <w:rFonts w:eastAsia="Times New Roman"/>
        </w:rPr>
        <w:t xml:space="preserve"> </w:t>
      </w:r>
      <w:r w:rsidRPr="3776745C" w:rsidR="005F1DC8">
        <w:rPr>
          <w:rFonts w:eastAsia="Times New Roman"/>
        </w:rPr>
        <w:t>by no later than December 31, 2022</w:t>
      </w:r>
      <w:r w:rsidR="005F1DC8">
        <w:rPr>
          <w:rFonts w:eastAsia="Times New Roman"/>
        </w:rPr>
        <w:t>,</w:t>
      </w:r>
      <w:r w:rsidRPr="00A65A5E">
        <w:t xml:space="preserve"> </w:t>
      </w:r>
      <w:r w:rsidR="009E29D6">
        <w:t xml:space="preserve">an </w:t>
      </w:r>
      <w:r w:rsidRPr="00A65A5E" w:rsidR="009E29D6">
        <w:t xml:space="preserve">auto-recertification process </w:t>
      </w:r>
      <w:r w:rsidRPr="00A65A5E">
        <w:t xml:space="preserve">for </w:t>
      </w:r>
      <w:r w:rsidR="009E29D6">
        <w:t xml:space="preserve">the </w:t>
      </w:r>
      <w:r>
        <w:t>Family Electric Rate Assistance (FERA)</w:t>
      </w:r>
      <w:r w:rsidRPr="00A65A5E">
        <w:t xml:space="preserve"> </w:t>
      </w:r>
      <w:r w:rsidR="003843CD">
        <w:t xml:space="preserve">program </w:t>
      </w:r>
      <w:r w:rsidRPr="00A65A5E">
        <w:t xml:space="preserve">customers that mirrors the California Alternate Rates for Energy </w:t>
      </w:r>
      <w:r w:rsidR="003843CD">
        <w:t>program</w:t>
      </w:r>
      <w:r w:rsidR="008B5B92">
        <w:t xml:space="preserve"> </w:t>
      </w:r>
      <w:r w:rsidRPr="00A65A5E">
        <w:t xml:space="preserve">auto-recertification process.  The Utilities </w:t>
      </w:r>
      <w:r w:rsidR="008B5B92">
        <w:t>must</w:t>
      </w:r>
      <w:r w:rsidRPr="00A65A5E">
        <w:t xml:space="preserve"> implement an auto-recertification process for customers that its probability model identifies as having a high probability of being FERA eligible, where “high probability of being FERA eligible” is defined as those households that have at least an 80 percent probability of being FERA-eligible as identified by each utility’s probability model.  </w:t>
      </w:r>
    </w:p>
    <w:p w:rsidRPr="00A65A5E" w:rsidR="000C1980" w:rsidP="003D15AD" w:rsidRDefault="000C1980" w14:paraId="2AC78022" w14:textId="027801B8">
      <w:pPr>
        <w:pStyle w:val="OP"/>
        <w:numPr>
          <w:ilvl w:val="0"/>
          <w:numId w:val="24"/>
        </w:numPr>
        <w:tabs>
          <w:tab w:val="left" w:pos="990"/>
        </w:tabs>
        <w:ind w:left="0" w:firstLine="547"/>
        <w:rPr>
          <w:rFonts w:eastAsia="Times New Roman"/>
          <w:szCs w:val="26"/>
        </w:rPr>
      </w:pPr>
      <w:r w:rsidRPr="00A65A5E">
        <w:rPr>
          <w:rFonts w:eastAsia="Times New Roman"/>
          <w:szCs w:val="26"/>
        </w:rPr>
        <w:lastRenderedPageBreak/>
        <w:t xml:space="preserve">Pacific Gas and Electric Company, Southern California Edison Company, and San Diego Gas &amp; Electric Company </w:t>
      </w:r>
      <w:r w:rsidR="000C3E83">
        <w:rPr>
          <w:rFonts w:eastAsia="Times New Roman"/>
          <w:szCs w:val="26"/>
        </w:rPr>
        <w:t>must</w:t>
      </w:r>
      <w:r w:rsidRPr="00A65A5E" w:rsidR="000C3E83">
        <w:rPr>
          <w:rFonts w:eastAsia="Times New Roman"/>
          <w:szCs w:val="26"/>
        </w:rPr>
        <w:t xml:space="preserve"> </w:t>
      </w:r>
      <w:r w:rsidRPr="00A65A5E">
        <w:t xml:space="preserve">implement a high usage </w:t>
      </w:r>
      <w:r w:rsidR="000C3E83">
        <w:t>post</w:t>
      </w:r>
      <w:r w:rsidR="00933C49">
        <w:t>-</w:t>
      </w:r>
      <w:r w:rsidR="000C3E83">
        <w:t>enrollment verification</w:t>
      </w:r>
      <w:r w:rsidRPr="00A65A5E" w:rsidR="000C3E83">
        <w:t xml:space="preserve"> </w:t>
      </w:r>
      <w:r w:rsidRPr="00A65A5E">
        <w:t xml:space="preserve">policy for </w:t>
      </w:r>
      <w:r w:rsidR="00BE0A33">
        <w:t xml:space="preserve">the </w:t>
      </w:r>
      <w:r w:rsidRPr="00A65A5E">
        <w:t xml:space="preserve">Family Electric Rate Assistance (FERA) </w:t>
      </w:r>
      <w:r w:rsidR="00BE0A33">
        <w:t>program</w:t>
      </w:r>
      <w:r w:rsidRPr="00A65A5E">
        <w:t xml:space="preserve"> where FERA customers will be flagged for high usage </w:t>
      </w:r>
      <w:r w:rsidR="00E2625D">
        <w:t>post</w:t>
      </w:r>
      <w:r w:rsidR="009B5D65">
        <w:t>-</w:t>
      </w:r>
      <w:r w:rsidR="00E2625D">
        <w:t xml:space="preserve">enrollment verification </w:t>
      </w:r>
      <w:r w:rsidRPr="00A65A5E">
        <w:t xml:space="preserve">after three instances of going over the 400 percent baseline consumption in a </w:t>
      </w:r>
      <w:proofErr w:type="gramStart"/>
      <w:r w:rsidRPr="00A65A5E">
        <w:t>12 month</w:t>
      </w:r>
      <w:proofErr w:type="gramEnd"/>
      <w:r w:rsidRPr="00A65A5E">
        <w:t xml:space="preserve"> period.  </w:t>
      </w:r>
      <w:r w:rsidRPr="006452BF" w:rsidR="006452BF">
        <w:t xml:space="preserve">However, FERA customers </w:t>
      </w:r>
      <w:r w:rsidR="00621F15">
        <w:t xml:space="preserve">flagged for high use post enrollment verification </w:t>
      </w:r>
      <w:r w:rsidRPr="006452BF" w:rsidR="006452BF">
        <w:t>are not required to apply for the E</w:t>
      </w:r>
      <w:r w:rsidR="006452BF">
        <w:t xml:space="preserve">nergy </w:t>
      </w:r>
      <w:r w:rsidRPr="006452BF" w:rsidR="006452BF">
        <w:t>S</w:t>
      </w:r>
      <w:r w:rsidR="006452BF">
        <w:t xml:space="preserve">avings </w:t>
      </w:r>
      <w:r w:rsidRPr="006452BF" w:rsidR="006452BF">
        <w:t>A</w:t>
      </w:r>
      <w:r w:rsidR="006452BF">
        <w:t xml:space="preserve">ssistance (ESA) </w:t>
      </w:r>
      <w:r w:rsidRPr="006452BF" w:rsidR="006452BF">
        <w:t xml:space="preserve">program within 45 days of </w:t>
      </w:r>
      <w:r w:rsidR="006452BF">
        <w:t xml:space="preserve">the </w:t>
      </w:r>
      <w:r w:rsidRPr="006452BF" w:rsidR="006452BF">
        <w:t xml:space="preserve">high usage notice because they do not meet the income limits of the ESA program.     </w:t>
      </w:r>
    </w:p>
    <w:p w:rsidRPr="00A65A5E" w:rsidR="000C1980" w:rsidP="003D15AD" w:rsidRDefault="000C1980" w14:paraId="428B6441" w14:textId="36A10D65">
      <w:pPr>
        <w:pStyle w:val="OP"/>
        <w:numPr>
          <w:ilvl w:val="0"/>
          <w:numId w:val="24"/>
        </w:numPr>
        <w:tabs>
          <w:tab w:val="left" w:pos="990"/>
        </w:tabs>
        <w:ind w:left="0" w:firstLine="547"/>
        <w:rPr>
          <w:rFonts w:eastAsia="Times New Roman"/>
          <w:szCs w:val="26"/>
        </w:rPr>
      </w:pPr>
      <w:r w:rsidRPr="00A65A5E">
        <w:rPr>
          <w:rFonts w:eastAsia="Times New Roman"/>
          <w:szCs w:val="26"/>
        </w:rPr>
        <w:t xml:space="preserve">Pacific Gas and Electric Company, Southern California Edison Company, and San Diego Gas &amp; Electric Company </w:t>
      </w:r>
      <w:r w:rsidR="000909DD">
        <w:rPr>
          <w:rFonts w:eastAsia="Times New Roman"/>
          <w:szCs w:val="26"/>
        </w:rPr>
        <w:t>must</w:t>
      </w:r>
      <w:r w:rsidRPr="00A65A5E" w:rsidR="000909DD">
        <w:rPr>
          <w:rFonts w:eastAsia="Times New Roman"/>
          <w:szCs w:val="26"/>
        </w:rPr>
        <w:t xml:space="preserve"> </w:t>
      </w:r>
      <w:r w:rsidRPr="00A65A5E">
        <w:t xml:space="preserve">align </w:t>
      </w:r>
      <w:r w:rsidRPr="00A65A5E">
        <w:rPr>
          <w:rFonts w:eastAsia="Times New Roman"/>
          <w:szCs w:val="26"/>
        </w:rPr>
        <w:t xml:space="preserve">the </w:t>
      </w:r>
      <w:r w:rsidRPr="00A65A5E">
        <w:t>Family Electric Rate Assistance</w:t>
      </w:r>
      <w:r w:rsidR="000909DD">
        <w:t xml:space="preserve"> program</w:t>
      </w:r>
      <w:r w:rsidRPr="00A65A5E">
        <w:t xml:space="preserve"> income verification requirement for high usage </w:t>
      </w:r>
      <w:r w:rsidRPr="00A13442" w:rsidR="00A13442">
        <w:t>post</w:t>
      </w:r>
      <w:r w:rsidR="007F21F4">
        <w:t>-</w:t>
      </w:r>
      <w:r w:rsidRPr="00A13442" w:rsidR="00A13442">
        <w:t xml:space="preserve">enrollment verification </w:t>
      </w:r>
      <w:r w:rsidRPr="00A65A5E">
        <w:t xml:space="preserve">with that of the California Alternate Rates for Energy program where high usage </w:t>
      </w:r>
      <w:r w:rsidR="00A13442">
        <w:t>post</w:t>
      </w:r>
      <w:r w:rsidR="007F21F4">
        <w:t>-</w:t>
      </w:r>
      <w:r w:rsidR="00A13442">
        <w:t xml:space="preserve">enrollment verified </w:t>
      </w:r>
      <w:r w:rsidRPr="00A65A5E">
        <w:t xml:space="preserve">customers are able to verify their income using the documentation used in the regular </w:t>
      </w:r>
      <w:r w:rsidR="00A13442">
        <w:t xml:space="preserve">post enrollment verification </w:t>
      </w:r>
      <w:r w:rsidRPr="00A65A5E">
        <w:t>process, rather than requiring a transcript of Internal Revenue Service (IRS) tax return or IRS verification of non</w:t>
      </w:r>
      <w:r w:rsidRPr="00A65A5E">
        <w:noBreakHyphen/>
        <w:t xml:space="preserve">filing.    </w:t>
      </w:r>
    </w:p>
    <w:p w:rsidRPr="00A65A5E" w:rsidR="000C1980" w:rsidP="003D15AD" w:rsidRDefault="000C1980" w14:paraId="7891EB86" w14:textId="7FA4DF9F">
      <w:pPr>
        <w:pStyle w:val="OP"/>
        <w:numPr>
          <w:ilvl w:val="0"/>
          <w:numId w:val="24"/>
        </w:numPr>
        <w:tabs>
          <w:tab w:val="left" w:pos="990"/>
        </w:tabs>
        <w:ind w:left="0" w:firstLine="547"/>
      </w:pPr>
      <w:r w:rsidRPr="00A65A5E">
        <w:rPr>
          <w:rFonts w:eastAsia="Times New Roman"/>
          <w:szCs w:val="26"/>
        </w:rPr>
        <w:t xml:space="preserve">Pacific Gas and Electric Company, Southern California Edison Company, and San Diego Gas &amp; Electric Company </w:t>
      </w:r>
      <w:r w:rsidR="003B7C9A">
        <w:rPr>
          <w:rFonts w:eastAsia="Times New Roman"/>
          <w:szCs w:val="26"/>
        </w:rPr>
        <w:t>must</w:t>
      </w:r>
      <w:r w:rsidRPr="00A65A5E" w:rsidR="003B7C9A">
        <w:rPr>
          <w:rFonts w:eastAsia="Times New Roman"/>
          <w:szCs w:val="26"/>
        </w:rPr>
        <w:t xml:space="preserve"> </w:t>
      </w:r>
      <w:r w:rsidRPr="00A65A5E">
        <w:t xml:space="preserve">automatically enroll all customers who </w:t>
      </w:r>
      <w:r w:rsidR="003D59BD">
        <w:t xml:space="preserve">apply but </w:t>
      </w:r>
      <w:r w:rsidRPr="00A65A5E">
        <w:t xml:space="preserve">do not qualify for </w:t>
      </w:r>
      <w:r w:rsidR="003B7C9A">
        <w:t xml:space="preserve">the </w:t>
      </w:r>
      <w:r w:rsidRPr="00A65A5E">
        <w:t>California Alternate Rates for Energy</w:t>
      </w:r>
      <w:r w:rsidR="003B7C9A">
        <w:t xml:space="preserve"> program</w:t>
      </w:r>
      <w:r w:rsidRPr="00A65A5E">
        <w:t xml:space="preserve"> but qualify for Family Electric Rate Assistance (FERA)</w:t>
      </w:r>
      <w:r w:rsidR="003B7C9A">
        <w:t xml:space="preserve"> program</w:t>
      </w:r>
      <w:r w:rsidRPr="00A65A5E">
        <w:t xml:space="preserve">, into the FERA program, if not already currently doing so. </w:t>
      </w:r>
    </w:p>
    <w:p w:rsidRPr="00A65A5E" w:rsidR="000C1980" w:rsidP="003D15AD" w:rsidRDefault="000C1980" w14:paraId="110572B0" w14:textId="74079AAB">
      <w:pPr>
        <w:pStyle w:val="OP"/>
        <w:numPr>
          <w:ilvl w:val="0"/>
          <w:numId w:val="24"/>
        </w:numPr>
        <w:tabs>
          <w:tab w:val="left" w:pos="990"/>
        </w:tabs>
        <w:ind w:left="0" w:firstLine="547"/>
      </w:pPr>
      <w:r w:rsidRPr="00A65A5E">
        <w:rPr>
          <w:rFonts w:eastAsia="Times New Roman"/>
          <w:szCs w:val="26"/>
        </w:rPr>
        <w:t xml:space="preserve">Pacific Gas and Electric Company, Southern California Edison Company, and San Diego Gas &amp; Electric Company’s </w:t>
      </w:r>
      <w:r w:rsidRPr="00A65A5E">
        <w:t>Family Electric Rate Assistance</w:t>
      </w:r>
      <w:r w:rsidRPr="00A65A5E">
        <w:rPr>
          <w:rFonts w:eastAsia="Times New Roman"/>
          <w:szCs w:val="26"/>
        </w:rPr>
        <w:t xml:space="preserve"> program m</w:t>
      </w:r>
      <w:r w:rsidRPr="00A65A5E">
        <w:t>arketing and outreach strategies are approved with exceptions and addition of new efforts</w:t>
      </w:r>
      <w:r w:rsidR="0003262F">
        <w:t xml:space="preserve"> as discussed in this decision</w:t>
      </w:r>
      <w:r w:rsidRPr="00A65A5E">
        <w:t xml:space="preserve">.   </w:t>
      </w:r>
    </w:p>
    <w:p w:rsidRPr="00A65A5E" w:rsidR="000C1980" w:rsidP="003D15AD" w:rsidRDefault="000C1980" w14:paraId="34E4A4F1" w14:textId="26F6C19A">
      <w:pPr>
        <w:pStyle w:val="OP"/>
        <w:numPr>
          <w:ilvl w:val="0"/>
          <w:numId w:val="24"/>
        </w:numPr>
        <w:tabs>
          <w:tab w:val="left" w:pos="990"/>
        </w:tabs>
        <w:ind w:left="0" w:firstLine="547"/>
      </w:pPr>
      <w:r w:rsidRPr="00A65A5E">
        <w:rPr>
          <w:rFonts w:eastAsia="Times New Roman"/>
          <w:szCs w:val="26"/>
        </w:rPr>
        <w:lastRenderedPageBreak/>
        <w:t>Pacific Gas and Electric Company, Southern California Edison Company, and San Diego Gas &amp; Electric Company</w:t>
      </w:r>
      <w:r w:rsidRPr="00A65A5E">
        <w:t xml:space="preserve"> </w:t>
      </w:r>
      <w:r w:rsidR="00857518">
        <w:t>must</w:t>
      </w:r>
      <w:r w:rsidRPr="00A65A5E" w:rsidR="00857518">
        <w:t xml:space="preserve"> </w:t>
      </w:r>
      <w:r w:rsidRPr="00A65A5E">
        <w:t xml:space="preserve">establish a new capitation program for the Family Electric Rate Assistance </w:t>
      </w:r>
      <w:r w:rsidR="00857518">
        <w:t xml:space="preserve">program </w:t>
      </w:r>
      <w:proofErr w:type="gramStart"/>
      <w:r w:rsidRPr="00A65A5E">
        <w:t>similar to</w:t>
      </w:r>
      <w:proofErr w:type="gramEnd"/>
      <w:r w:rsidRPr="00A65A5E">
        <w:t xml:space="preserve"> the California Alternate Rates for Energy capitation program and provide a reimbursement rate of up to $30 per enrollment.  </w:t>
      </w:r>
    </w:p>
    <w:p w:rsidRPr="00A65A5E" w:rsidR="000C1980" w:rsidP="003D15AD" w:rsidRDefault="000C1980" w14:paraId="429875A9" w14:textId="389428D6">
      <w:pPr>
        <w:pStyle w:val="OP"/>
        <w:numPr>
          <w:ilvl w:val="0"/>
          <w:numId w:val="24"/>
        </w:numPr>
        <w:tabs>
          <w:tab w:val="left" w:pos="990"/>
        </w:tabs>
        <w:ind w:left="0" w:firstLine="547"/>
      </w:pPr>
      <w:r w:rsidRPr="00A65A5E">
        <w:rPr>
          <w:rFonts w:eastAsia="Times New Roman"/>
          <w:szCs w:val="26"/>
        </w:rPr>
        <w:t xml:space="preserve">Southern California Edison Company’s </w:t>
      </w:r>
      <w:r w:rsidRPr="00A65A5E">
        <w:t xml:space="preserve">telemarketing pilot aimed at </w:t>
      </w:r>
      <w:r w:rsidR="0003262F">
        <w:t>reaching out</w:t>
      </w:r>
      <w:r w:rsidRPr="00A65A5E" w:rsidR="0003262F">
        <w:t xml:space="preserve"> </w:t>
      </w:r>
      <w:r w:rsidR="00B905C3">
        <w:t xml:space="preserve">to </w:t>
      </w:r>
      <w:r w:rsidRPr="00A65A5E">
        <w:t>customers who receive a Family Electric Rate Assistance direct mail letter but elect not to enroll is approved.</w:t>
      </w:r>
    </w:p>
    <w:p w:rsidRPr="00A65A5E" w:rsidR="000C1980" w:rsidP="003D15AD" w:rsidRDefault="000C1980" w14:paraId="6DE6B281" w14:textId="2380DED1">
      <w:pPr>
        <w:pStyle w:val="OP"/>
        <w:numPr>
          <w:ilvl w:val="0"/>
          <w:numId w:val="24"/>
        </w:numPr>
        <w:tabs>
          <w:tab w:val="left" w:pos="990"/>
        </w:tabs>
        <w:ind w:left="0" w:firstLine="547"/>
      </w:pPr>
      <w:r w:rsidRPr="00A65A5E">
        <w:rPr>
          <w:szCs w:val="26"/>
        </w:rPr>
        <w:t xml:space="preserve">Southern California Edison Company </w:t>
      </w:r>
      <w:r w:rsidR="002B76AB">
        <w:rPr>
          <w:szCs w:val="26"/>
        </w:rPr>
        <w:t>must</w:t>
      </w:r>
      <w:r w:rsidRPr="00A65A5E" w:rsidR="002B76AB">
        <w:rPr>
          <w:szCs w:val="26"/>
        </w:rPr>
        <w:t xml:space="preserve"> </w:t>
      </w:r>
      <w:r w:rsidRPr="00A65A5E">
        <w:rPr>
          <w:szCs w:val="26"/>
        </w:rPr>
        <w:t xml:space="preserve">file a Tier 1 </w:t>
      </w:r>
      <w:r w:rsidR="00EA6E00">
        <w:rPr>
          <w:szCs w:val="26"/>
        </w:rPr>
        <w:t>a</w:t>
      </w:r>
      <w:r w:rsidRPr="00A65A5E">
        <w:rPr>
          <w:szCs w:val="26"/>
        </w:rPr>
        <w:t xml:space="preserve">dvice letter within 30 days </w:t>
      </w:r>
      <w:r w:rsidRPr="00C47214" w:rsidR="00DA04A7">
        <w:t xml:space="preserve">after the approval </w:t>
      </w:r>
      <w:r w:rsidRPr="00A65A5E">
        <w:rPr>
          <w:szCs w:val="26"/>
        </w:rPr>
        <w:t xml:space="preserve">of this decision, separating out the approved </w:t>
      </w:r>
      <w:r w:rsidRPr="00A65A5E">
        <w:t>Family Electric Rate Assistance (</w:t>
      </w:r>
      <w:r w:rsidRPr="00A65A5E">
        <w:rPr>
          <w:szCs w:val="26"/>
        </w:rPr>
        <w:t xml:space="preserve">FERA) program management costs from the approved </w:t>
      </w:r>
      <w:r w:rsidRPr="00A65A5E">
        <w:t>California Alternate Rates for Energy (</w:t>
      </w:r>
      <w:r w:rsidRPr="00A65A5E">
        <w:rPr>
          <w:szCs w:val="26"/>
        </w:rPr>
        <w:t xml:space="preserve">CARE) program management costs and provide new and separate budget tables for CARE and FERA.  The new CARE and FERA budget tables in the advice letter </w:t>
      </w:r>
      <w:r w:rsidR="002B76AB">
        <w:rPr>
          <w:szCs w:val="26"/>
        </w:rPr>
        <w:t>must</w:t>
      </w:r>
      <w:r w:rsidRPr="00A65A5E" w:rsidR="002B76AB">
        <w:rPr>
          <w:szCs w:val="26"/>
        </w:rPr>
        <w:t xml:space="preserve"> </w:t>
      </w:r>
      <w:r w:rsidRPr="00A65A5E">
        <w:rPr>
          <w:szCs w:val="26"/>
        </w:rPr>
        <w:t xml:space="preserve">not exceed what is being authorized in this decision for CARE and FERA program management costs combined.   </w:t>
      </w:r>
    </w:p>
    <w:p w:rsidRPr="00A65A5E" w:rsidR="000C1980" w:rsidP="003D15AD" w:rsidRDefault="000C1980" w14:paraId="465ADE19" w14:textId="5C0B5A5B">
      <w:pPr>
        <w:pStyle w:val="OP"/>
        <w:numPr>
          <w:ilvl w:val="0"/>
          <w:numId w:val="24"/>
        </w:numPr>
        <w:tabs>
          <w:tab w:val="left" w:pos="990"/>
        </w:tabs>
        <w:ind w:left="0" w:firstLine="547"/>
      </w:pPr>
      <w:r w:rsidRPr="00A65A5E">
        <w:rPr>
          <w:rFonts w:eastAsia="Times New Roman"/>
          <w:szCs w:val="26"/>
        </w:rPr>
        <w:t xml:space="preserve">Pacific Gas and Electric Company, Southern California Edison Company, and San Diego Gas &amp; Electric Company </w:t>
      </w:r>
      <w:r w:rsidR="00763130">
        <w:rPr>
          <w:rFonts w:eastAsia="Times New Roman"/>
          <w:szCs w:val="26"/>
        </w:rPr>
        <w:t>must</w:t>
      </w:r>
      <w:r w:rsidRPr="00A65A5E" w:rsidR="00763130">
        <w:rPr>
          <w:rFonts w:eastAsia="Times New Roman"/>
          <w:szCs w:val="26"/>
        </w:rPr>
        <w:t xml:space="preserve"> </w:t>
      </w:r>
      <w:r w:rsidRPr="00A65A5E">
        <w:rPr>
          <w:rFonts w:eastAsia="Times New Roman"/>
          <w:szCs w:val="26"/>
        </w:rPr>
        <w:t xml:space="preserve">track all </w:t>
      </w:r>
      <w:r w:rsidRPr="00A65A5E">
        <w:t>Family Electric Rate Assistance (FERA) related costs in a separate FERA balancing</w:t>
      </w:r>
      <w:r w:rsidR="00DD6039">
        <w:t xml:space="preserve"> account</w:t>
      </w:r>
      <w:r w:rsidRPr="00A65A5E">
        <w:t xml:space="preserve">.  For those costs spent on joint FERA, California Alternate Rates for Energy (CARE), or </w:t>
      </w:r>
      <w:r w:rsidRPr="00A65A5E">
        <w:rPr>
          <w:szCs w:val="26"/>
        </w:rPr>
        <w:t xml:space="preserve">Energy Savings Assistance </w:t>
      </w:r>
      <w:r>
        <w:rPr>
          <w:szCs w:val="26"/>
        </w:rPr>
        <w:t>(</w:t>
      </w:r>
      <w:r w:rsidRPr="00A65A5E">
        <w:t>ESA</w:t>
      </w:r>
      <w:r>
        <w:t>)</w:t>
      </w:r>
      <w:r w:rsidRPr="00A65A5E">
        <w:t xml:space="preserve"> related efforts, the costs </w:t>
      </w:r>
      <w:r w:rsidR="009F5A3B">
        <w:t>must</w:t>
      </w:r>
      <w:r w:rsidRPr="00A65A5E" w:rsidR="00763130">
        <w:t xml:space="preserve"> </w:t>
      </w:r>
      <w:r w:rsidRPr="00A65A5E">
        <w:t xml:space="preserve">be split between the programs as has been done with joint CARE and ESA efforts at the appropriate level determined by the </w:t>
      </w:r>
      <w:r>
        <w:t>Utilities</w:t>
      </w:r>
      <w:r w:rsidRPr="00A65A5E">
        <w:t>.</w:t>
      </w:r>
    </w:p>
    <w:p w:rsidRPr="00A65A5E" w:rsidR="000C1980" w:rsidP="003D15AD" w:rsidRDefault="000C1980" w14:paraId="270739D4" w14:textId="7323C2F5">
      <w:pPr>
        <w:pStyle w:val="OP"/>
        <w:numPr>
          <w:ilvl w:val="0"/>
          <w:numId w:val="24"/>
        </w:numPr>
        <w:tabs>
          <w:tab w:val="left" w:pos="990"/>
        </w:tabs>
        <w:ind w:left="0" w:firstLine="547"/>
      </w:pPr>
      <w:r w:rsidRPr="00A65A5E">
        <w:rPr>
          <w:rFonts w:eastAsia="Times New Roman"/>
          <w:szCs w:val="26"/>
        </w:rPr>
        <w:t>Southern California Edison Company</w:t>
      </w:r>
      <w:r w:rsidRPr="00A65A5E">
        <w:t xml:space="preserve"> </w:t>
      </w:r>
      <w:r w:rsidR="006B7751">
        <w:t>must</w:t>
      </w:r>
      <w:r w:rsidRPr="00A65A5E" w:rsidR="006B7751">
        <w:t xml:space="preserve"> </w:t>
      </w:r>
      <w:r w:rsidRPr="00A65A5E">
        <w:t xml:space="preserve">reestablish a Family Electric Rate Assistance (FERA) balancing account within six months from the </w:t>
      </w:r>
      <w:r w:rsidR="00B27751">
        <w:t>a</w:t>
      </w:r>
      <w:r w:rsidR="002B702D">
        <w:t>pproval</w:t>
      </w:r>
      <w:r w:rsidRPr="00A65A5E" w:rsidR="00B27751">
        <w:t xml:space="preserve"> </w:t>
      </w:r>
      <w:r w:rsidRPr="00A65A5E">
        <w:t>of this decision and record all FERA-related expenses.</w:t>
      </w:r>
    </w:p>
    <w:p w:rsidRPr="00A65A5E" w:rsidR="000C1980" w:rsidP="003D15AD" w:rsidRDefault="000C1980" w14:paraId="17590F9C" w14:textId="78CECAE1">
      <w:pPr>
        <w:pStyle w:val="OP"/>
        <w:numPr>
          <w:ilvl w:val="0"/>
          <w:numId w:val="24"/>
        </w:numPr>
        <w:tabs>
          <w:tab w:val="left" w:pos="990"/>
        </w:tabs>
        <w:ind w:left="0" w:firstLine="547"/>
      </w:pPr>
      <w:r w:rsidRPr="00A65A5E">
        <w:rPr>
          <w:rFonts w:eastAsia="Times New Roman"/>
          <w:szCs w:val="26"/>
        </w:rPr>
        <w:lastRenderedPageBreak/>
        <w:t xml:space="preserve">San Diego Gas &amp; Electric Company </w:t>
      </w:r>
      <w:r w:rsidR="00D74D3E">
        <w:rPr>
          <w:rFonts w:eastAsia="Times New Roman"/>
          <w:szCs w:val="26"/>
        </w:rPr>
        <w:t>must</w:t>
      </w:r>
      <w:r w:rsidRPr="00A65A5E" w:rsidR="00D74D3E">
        <w:rPr>
          <w:rFonts w:eastAsia="Times New Roman"/>
          <w:szCs w:val="26"/>
        </w:rPr>
        <w:t xml:space="preserve"> </w:t>
      </w:r>
      <w:r w:rsidRPr="00A65A5E">
        <w:t xml:space="preserve">eliminate the Family Electric Rate Assistance subaccount in the Baseline Balancing Account.  </w:t>
      </w:r>
    </w:p>
    <w:p w:rsidRPr="00A65A5E" w:rsidR="000C1980" w:rsidP="003D15AD" w:rsidRDefault="000C1980" w14:paraId="4EB8886C" w14:textId="209BB2B7">
      <w:pPr>
        <w:pStyle w:val="OP"/>
        <w:numPr>
          <w:ilvl w:val="0"/>
          <w:numId w:val="24"/>
        </w:numPr>
        <w:tabs>
          <w:tab w:val="left" w:pos="990"/>
        </w:tabs>
        <w:ind w:left="0" w:firstLine="547"/>
      </w:pPr>
      <w:r w:rsidRPr="00A65A5E">
        <w:t xml:space="preserve">Pacific Gas and Electric Company, Southern California Edison Company, Southern California Gas Company and San Diego Gas &amp; Electric Company </w:t>
      </w:r>
      <w:r w:rsidR="006B7751">
        <w:t>must</w:t>
      </w:r>
      <w:r w:rsidRPr="00A65A5E" w:rsidR="006B7751">
        <w:t xml:space="preserve"> </w:t>
      </w:r>
      <w:r w:rsidRPr="00A65A5E">
        <w:t xml:space="preserve">implement the Staff Proposal’s </w:t>
      </w:r>
      <w:r w:rsidRPr="00A65A5E">
        <w:rPr>
          <w:szCs w:val="26"/>
        </w:rPr>
        <w:t>Energy Savings Assistance</w:t>
      </w:r>
      <w:r w:rsidRPr="00A65A5E">
        <w:t xml:space="preserve"> design concept on a pilot basis, the Pilot Plus and Pilot Deep program, and gather data on the feasibility of the strategic measures delivery, the level of investment required for such deep energy retrofits, the realized savings to the household, the long term benefits of these treatments, and the cost effectiveness of each treatment tier.    </w:t>
      </w:r>
    </w:p>
    <w:p w:rsidRPr="00A65A5E" w:rsidR="000C1980" w:rsidP="003D15AD" w:rsidRDefault="000C1980" w14:paraId="18566C48" w14:textId="36EFD780">
      <w:pPr>
        <w:pStyle w:val="OP"/>
        <w:numPr>
          <w:ilvl w:val="0"/>
          <w:numId w:val="24"/>
        </w:numPr>
        <w:tabs>
          <w:tab w:val="left" w:pos="990"/>
        </w:tabs>
        <w:ind w:left="0" w:firstLine="547"/>
      </w:pPr>
      <w:r w:rsidRPr="00A65A5E">
        <w:t>A</w:t>
      </w:r>
      <w:r w:rsidRPr="00A65A5E">
        <w:rPr>
          <w:rFonts w:eastAsia="Garamond" w:cs="Garamond"/>
        </w:rPr>
        <w:t xml:space="preserve">pproximately $44 million for </w:t>
      </w:r>
      <w:r w:rsidRPr="00A65A5E">
        <w:t>Pacific Gas and Electric Company</w:t>
      </w:r>
      <w:r w:rsidRPr="00A65A5E">
        <w:rPr>
          <w:rFonts w:eastAsia="Garamond" w:cs="Garamond"/>
        </w:rPr>
        <w:t xml:space="preserve">, $19 million for </w:t>
      </w:r>
      <w:r w:rsidRPr="00A65A5E">
        <w:t>Southern California Edison Company</w:t>
      </w:r>
      <w:r w:rsidRPr="00A65A5E">
        <w:rPr>
          <w:rFonts w:eastAsia="Garamond" w:cs="Garamond"/>
        </w:rPr>
        <w:t xml:space="preserve">, $33 million for </w:t>
      </w:r>
      <w:r w:rsidRPr="00A65A5E">
        <w:t xml:space="preserve">Southern California Gas Company </w:t>
      </w:r>
      <w:r w:rsidRPr="00A65A5E">
        <w:rPr>
          <w:rFonts w:eastAsia="Garamond" w:cs="Garamond"/>
        </w:rPr>
        <w:t xml:space="preserve">and $8 million for </w:t>
      </w:r>
      <w:r w:rsidRPr="00A65A5E">
        <w:t>San Diego Gas &amp; Electric Company will be allocated for the Pilot Plus and Pilot Deep program</w:t>
      </w:r>
      <w:r w:rsidRPr="00A65A5E">
        <w:rPr>
          <w:rFonts w:eastAsia="Garamond" w:cs="Garamond"/>
        </w:rPr>
        <w:t xml:space="preserve">.  </w:t>
      </w:r>
    </w:p>
    <w:p w:rsidRPr="00A65A5E" w:rsidR="000C1980" w:rsidP="003D15AD" w:rsidRDefault="000C1980" w14:paraId="4684BFDA" w14:textId="4C0571E6">
      <w:pPr>
        <w:pStyle w:val="OP"/>
        <w:numPr>
          <w:ilvl w:val="0"/>
          <w:numId w:val="24"/>
        </w:numPr>
        <w:tabs>
          <w:tab w:val="left" w:pos="990"/>
        </w:tabs>
        <w:ind w:left="0" w:firstLine="547"/>
      </w:pPr>
      <w:r w:rsidRPr="00A65A5E">
        <w:t xml:space="preserve">Pacific Gas and Electric Company, Southern California Edison Company, Southern California Gas Company and San Diego Gas &amp; Electric Company, </w:t>
      </w:r>
      <w:r w:rsidRPr="00A65A5E">
        <w:rPr>
          <w:rFonts w:eastAsia="Garamond" w:cs="Garamond"/>
        </w:rPr>
        <w:t xml:space="preserve">in coordination with Energy Division staff, </w:t>
      </w:r>
      <w:r w:rsidR="006B7751">
        <w:rPr>
          <w:rFonts w:eastAsia="Garamond" w:cs="Garamond"/>
        </w:rPr>
        <w:t>must</w:t>
      </w:r>
      <w:r w:rsidRPr="00A65A5E" w:rsidR="006B7751">
        <w:rPr>
          <w:rFonts w:eastAsia="Garamond" w:cs="Garamond"/>
        </w:rPr>
        <w:t xml:space="preserve"> </w:t>
      </w:r>
      <w:r w:rsidRPr="00A65A5E">
        <w:rPr>
          <w:rFonts w:eastAsia="Garamond" w:cs="Garamond"/>
        </w:rPr>
        <w:t xml:space="preserve">lead at least one workshop with stakeholders to introduce the preliminary implementation plans for the Pilot Plus and Pilot Deep </w:t>
      </w:r>
      <w:r w:rsidR="006B7751">
        <w:rPr>
          <w:rFonts w:eastAsia="Garamond" w:cs="Garamond"/>
        </w:rPr>
        <w:t>program</w:t>
      </w:r>
      <w:r w:rsidRPr="00A65A5E">
        <w:rPr>
          <w:rFonts w:eastAsia="Garamond" w:cs="Garamond"/>
        </w:rPr>
        <w:t xml:space="preserve"> and seek stakeholder feedback within </w:t>
      </w:r>
      <w:r w:rsidR="00DE7EAB">
        <w:rPr>
          <w:rFonts w:eastAsia="Garamond" w:cs="Garamond"/>
        </w:rPr>
        <w:t>120</w:t>
      </w:r>
      <w:r w:rsidRPr="00A65A5E" w:rsidR="00DE7EAB">
        <w:rPr>
          <w:rFonts w:eastAsia="Garamond" w:cs="Garamond"/>
        </w:rPr>
        <w:t> </w:t>
      </w:r>
      <w:r w:rsidRPr="00A65A5E">
        <w:rPr>
          <w:rFonts w:eastAsia="Garamond" w:cs="Garamond"/>
        </w:rPr>
        <w:t xml:space="preserve">days </w:t>
      </w:r>
      <w:r w:rsidRPr="00C47214" w:rsidR="00DA04A7">
        <w:t xml:space="preserve">after the approval </w:t>
      </w:r>
      <w:r w:rsidRPr="00A65A5E">
        <w:rPr>
          <w:rFonts w:eastAsia="Garamond" w:cs="Garamond"/>
        </w:rPr>
        <w:t>of this decision.</w:t>
      </w:r>
    </w:p>
    <w:p w:rsidRPr="00B171D3" w:rsidR="00726451" w:rsidP="003D15AD" w:rsidRDefault="000C1980" w14:paraId="143D9872" w14:textId="07EF5D46">
      <w:pPr>
        <w:pStyle w:val="OP"/>
        <w:numPr>
          <w:ilvl w:val="0"/>
          <w:numId w:val="24"/>
        </w:numPr>
        <w:tabs>
          <w:tab w:val="left" w:pos="990"/>
        </w:tabs>
        <w:ind w:left="0" w:firstLine="547"/>
      </w:pPr>
      <w:r w:rsidRPr="00A65A5E">
        <w:t xml:space="preserve">Pacific Gas and Electric Company, Southern California Edison Company, Southern California Gas Company and San Diego Gas &amp; Electric Company </w:t>
      </w:r>
      <w:r w:rsidR="006B7751">
        <w:t>must</w:t>
      </w:r>
      <w:r w:rsidRPr="00A65A5E" w:rsidR="006B7751">
        <w:t xml:space="preserve"> </w:t>
      </w:r>
      <w:r w:rsidRPr="00A65A5E">
        <w:t>each fil</w:t>
      </w:r>
      <w:r w:rsidRPr="00A65A5E">
        <w:rPr>
          <w:rFonts w:eastAsia="Garamond" w:cs="Garamond"/>
        </w:rPr>
        <w:t xml:space="preserve">e a Tier 2 advice letter no later than </w:t>
      </w:r>
      <w:r w:rsidR="00DE7EAB">
        <w:rPr>
          <w:rFonts w:cs="Garamond" w:eastAsiaTheme="minorEastAsia"/>
        </w:rPr>
        <w:t>90</w:t>
      </w:r>
      <w:r w:rsidRPr="00A65A5E" w:rsidR="00DE7EAB">
        <w:rPr>
          <w:rFonts w:cs="Garamond" w:eastAsiaTheme="minorEastAsia"/>
        </w:rPr>
        <w:t xml:space="preserve"> </w:t>
      </w:r>
      <w:r w:rsidRPr="00A65A5E">
        <w:rPr>
          <w:rFonts w:cs="Garamond" w:eastAsiaTheme="minorEastAsia"/>
        </w:rPr>
        <w:t xml:space="preserve">days after the first pilot workshop </w:t>
      </w:r>
      <w:r w:rsidRPr="00A65A5E">
        <w:rPr>
          <w:rFonts w:eastAsia="Garamond" w:cs="Garamond"/>
        </w:rPr>
        <w:t xml:space="preserve">detailing </w:t>
      </w:r>
      <w:r w:rsidR="00653749">
        <w:rPr>
          <w:rFonts w:eastAsia="Garamond" w:cs="Garamond"/>
        </w:rPr>
        <w:t xml:space="preserve">the </w:t>
      </w:r>
      <w:r w:rsidRPr="00A65A5E" w:rsidR="00653749">
        <w:t>Pilot Plus and Pilot Deep program</w:t>
      </w:r>
      <w:r w:rsidRPr="00A65A5E" w:rsidDel="00653749" w:rsidR="00653749">
        <w:rPr>
          <w:rFonts w:eastAsia="Garamond" w:cs="Garamond"/>
        </w:rPr>
        <w:t xml:space="preserve"> </w:t>
      </w:r>
      <w:r w:rsidRPr="00A65A5E">
        <w:rPr>
          <w:rFonts w:eastAsia="Garamond" w:cs="Garamond"/>
        </w:rPr>
        <w:t>implementation plan</w:t>
      </w:r>
      <w:r w:rsidR="00726451">
        <w:rPr>
          <w:rFonts w:eastAsia="Garamond" w:cs="Garamond"/>
        </w:rPr>
        <w:t>.</w:t>
      </w:r>
    </w:p>
    <w:p w:rsidRPr="00A65A5E" w:rsidR="000C1980" w:rsidP="003D15AD" w:rsidRDefault="00D52560" w14:paraId="6DC0E2C9" w14:textId="04D9FC4F">
      <w:pPr>
        <w:pStyle w:val="OP"/>
        <w:numPr>
          <w:ilvl w:val="0"/>
          <w:numId w:val="24"/>
        </w:numPr>
        <w:tabs>
          <w:tab w:val="left" w:pos="990"/>
        </w:tabs>
        <w:ind w:left="0" w:firstLine="547"/>
      </w:pPr>
      <w:r>
        <w:lastRenderedPageBreak/>
        <w:t xml:space="preserve">The </w:t>
      </w:r>
      <w:r w:rsidRPr="00A65A5E">
        <w:t>Pilot Plus and Pilot Deep program</w:t>
      </w:r>
      <w:r w:rsidRPr="00A65A5E" w:rsidR="000C1980">
        <w:rPr>
          <w:rFonts w:eastAsia="Garamond" w:cs="Garamond"/>
        </w:rPr>
        <w:t xml:space="preserve"> </w:t>
      </w:r>
      <w:r>
        <w:rPr>
          <w:rFonts w:eastAsia="Garamond" w:cs="Garamond"/>
        </w:rPr>
        <w:t xml:space="preserve">must be launched by the </w:t>
      </w:r>
      <w:r w:rsidR="00727EC2">
        <w:rPr>
          <w:rFonts w:eastAsia="Garamond" w:cs="Garamond"/>
        </w:rPr>
        <w:t xml:space="preserve">beginning of </w:t>
      </w:r>
      <w:r w:rsidR="008F18FE">
        <w:rPr>
          <w:rFonts w:eastAsia="Garamond" w:cs="Garamond"/>
        </w:rPr>
        <w:t xml:space="preserve">the </w:t>
      </w:r>
      <w:r w:rsidR="00DE7EAB">
        <w:rPr>
          <w:rFonts w:eastAsia="Garamond" w:cs="Garamond"/>
        </w:rPr>
        <w:t xml:space="preserve">third </w:t>
      </w:r>
      <w:r>
        <w:rPr>
          <w:rFonts w:eastAsia="Garamond" w:cs="Garamond"/>
        </w:rPr>
        <w:t xml:space="preserve">quarter of </w:t>
      </w:r>
      <w:r w:rsidRPr="3776745C" w:rsidR="00407B58">
        <w:rPr>
          <w:rFonts w:eastAsia="Garamond" w:cs="Garamond"/>
        </w:rPr>
        <w:t>2022</w:t>
      </w:r>
      <w:r w:rsidRPr="00A65A5E" w:rsidR="000C1980">
        <w:rPr>
          <w:rFonts w:eastAsia="Garamond" w:cs="Garamond"/>
        </w:rPr>
        <w:t>.</w:t>
      </w:r>
    </w:p>
    <w:p w:rsidRPr="00A65A5E" w:rsidR="000C1980" w:rsidP="003D15AD" w:rsidRDefault="000C1980" w14:paraId="1BC93BFF" w14:textId="085B0CB6">
      <w:pPr>
        <w:pStyle w:val="OP"/>
        <w:numPr>
          <w:ilvl w:val="0"/>
          <w:numId w:val="24"/>
        </w:numPr>
        <w:tabs>
          <w:tab w:val="left" w:pos="990"/>
        </w:tabs>
        <w:ind w:left="0" w:firstLine="547"/>
        <w:rPr>
          <w:rFonts w:eastAsia="Book Antiqua" w:cs="Book Antiqua"/>
          <w:szCs w:val="26"/>
        </w:rPr>
      </w:pPr>
      <w:r w:rsidRPr="00A65A5E">
        <w:t xml:space="preserve">Pacific Gas and Electric Company, Southern California Edison Company, Southern California Gas Company and San Diego Gas &amp; Electric Company </w:t>
      </w:r>
      <w:r w:rsidR="006B7751">
        <w:t>must</w:t>
      </w:r>
      <w:r w:rsidRPr="00A65A5E" w:rsidR="006B7751">
        <w:t xml:space="preserve"> </w:t>
      </w:r>
      <w:r w:rsidRPr="00A65A5E">
        <w:rPr>
          <w:rFonts w:eastAsia="Book Antiqua" w:cs="Book Antiqua"/>
          <w:szCs w:val="26"/>
        </w:rPr>
        <w:t xml:space="preserve">hold a clean energy programs workshop within 120 days </w:t>
      </w:r>
      <w:r w:rsidRPr="00C47214" w:rsidR="0083258C">
        <w:t xml:space="preserve">after the approval </w:t>
      </w:r>
      <w:r w:rsidRPr="00A65A5E">
        <w:rPr>
          <w:rFonts w:eastAsia="Book Antiqua" w:cs="Book Antiqua"/>
          <w:szCs w:val="26"/>
        </w:rPr>
        <w:t>of this decision, with other low income and/or clean energy program administrators</w:t>
      </w:r>
      <w:r w:rsidR="00082EAF">
        <w:rPr>
          <w:rFonts w:eastAsia="Book Antiqua" w:cs="Book Antiqua"/>
          <w:szCs w:val="26"/>
        </w:rPr>
        <w:t>,</w:t>
      </w:r>
      <w:r w:rsidRPr="00A65A5E">
        <w:rPr>
          <w:rFonts w:eastAsia="Book Antiqua" w:cs="Book Antiqua"/>
          <w:szCs w:val="26"/>
        </w:rPr>
        <w:t xml:space="preserve"> to discuss how the various program administrators can better align customer eligibility for the programs, increase referrals and enrollment across multiple programs, and increase coordination efforts</w:t>
      </w:r>
      <w:r w:rsidRPr="00DC10A3" w:rsidR="00DC10A3">
        <w:rPr>
          <w:rFonts w:eastAsia="Book Antiqua" w:cs="Book Antiqua"/>
        </w:rPr>
        <w:t xml:space="preserve"> </w:t>
      </w:r>
      <w:r w:rsidRPr="3776745C" w:rsidR="00DC10A3">
        <w:rPr>
          <w:rFonts w:eastAsia="Book Antiqua" w:cs="Book Antiqua"/>
        </w:rPr>
        <w:t>to improve customer experience and confidence, and increase customer enrollment in, and customer benefits from these programs, as further described in this decision</w:t>
      </w:r>
      <w:r w:rsidRPr="00A65A5E">
        <w:rPr>
          <w:rFonts w:eastAsia="Book Antiqua" w:cs="Book Antiqua"/>
          <w:szCs w:val="26"/>
        </w:rPr>
        <w:t xml:space="preserve">.  These efforts include but are not limited to data sharing, cost sharing, joint enrollment, and/or other joint agreements and/or </w:t>
      </w:r>
      <w:r w:rsidRPr="00AC0FC0" w:rsidR="00AC0FC0">
        <w:rPr>
          <w:rFonts w:eastAsia="Book Antiqua" w:cs="Book Antiqua"/>
          <w:szCs w:val="26"/>
        </w:rPr>
        <w:t xml:space="preserve">memorandums of understandings </w:t>
      </w:r>
      <w:r w:rsidRPr="00A65A5E">
        <w:rPr>
          <w:rFonts w:eastAsia="Book Antiqua" w:cs="Book Antiqua"/>
          <w:szCs w:val="26"/>
        </w:rPr>
        <w:t xml:space="preserve">between program administrators. </w:t>
      </w:r>
    </w:p>
    <w:p w:rsidRPr="00A65A5E" w:rsidR="000C1980" w:rsidP="003D15AD" w:rsidRDefault="000C1980" w14:paraId="120F6C99" w14:textId="1CE92181">
      <w:pPr>
        <w:pStyle w:val="OP"/>
        <w:numPr>
          <w:ilvl w:val="0"/>
          <w:numId w:val="24"/>
        </w:numPr>
        <w:tabs>
          <w:tab w:val="left" w:pos="990"/>
        </w:tabs>
        <w:ind w:left="0" w:firstLine="547"/>
        <w:rPr>
          <w:rFonts w:eastAsia="Book Antiqua" w:cs="Book Antiqua"/>
          <w:szCs w:val="26"/>
        </w:rPr>
      </w:pPr>
      <w:r w:rsidRPr="00A65A5E">
        <w:t xml:space="preserve">Pacific Gas and Electric Company, Southern California Edison Company, Southern California Gas Company and San Diego Gas &amp; Electric Company </w:t>
      </w:r>
      <w:r w:rsidR="00AC0FC0">
        <w:t>must</w:t>
      </w:r>
      <w:r w:rsidRPr="00A65A5E" w:rsidR="00AC0FC0">
        <w:t xml:space="preserve"> </w:t>
      </w:r>
      <w:r w:rsidRPr="00A65A5E">
        <w:t xml:space="preserve">file </w:t>
      </w:r>
      <w:r w:rsidRPr="00A65A5E">
        <w:rPr>
          <w:rFonts w:eastAsia="Book Antiqua" w:cs="Book Antiqua"/>
          <w:szCs w:val="26"/>
        </w:rPr>
        <w:t>a Tier 1 Advice Letter within 30 days after the clean energy programs workshop, with a summary of the workshop’s discussion, including a plan for how the Utilities will increase and improve referral, leveraging, and coordination efforts, a proposed schedule across the program cycle, new metrics and reporting templates to be used in the monthly and annual reports, and other future considerations to be incorporated into the mid-cycle process.</w:t>
      </w:r>
    </w:p>
    <w:p w:rsidRPr="00A65A5E" w:rsidR="000C1980" w:rsidP="003D15AD" w:rsidRDefault="000C1980" w14:paraId="74C5DD94" w14:textId="513FC573">
      <w:pPr>
        <w:pStyle w:val="OP"/>
        <w:numPr>
          <w:ilvl w:val="0"/>
          <w:numId w:val="24"/>
        </w:numPr>
        <w:tabs>
          <w:tab w:val="left" w:pos="990"/>
        </w:tabs>
        <w:ind w:left="0" w:firstLine="547"/>
        <w:rPr>
          <w:rFonts w:eastAsia="Book Antiqua" w:cs="Book Antiqua"/>
          <w:szCs w:val="26"/>
        </w:rPr>
      </w:pPr>
      <w:r w:rsidRPr="00A65A5E">
        <w:rPr>
          <w:rFonts w:eastAsia="Book Antiqua" w:cs="Book Antiqua"/>
          <w:szCs w:val="26"/>
        </w:rPr>
        <w:t xml:space="preserve">Pacific Gas and Electric Company, Southern California Edison Company, Southern California Gas Company and San Diego Gas &amp; Electric Company </w:t>
      </w:r>
      <w:r w:rsidR="00AC0FC0">
        <w:rPr>
          <w:rFonts w:eastAsia="Book Antiqua" w:cs="Book Antiqua"/>
          <w:szCs w:val="26"/>
        </w:rPr>
        <w:t>must</w:t>
      </w:r>
      <w:r w:rsidRPr="00A65A5E" w:rsidR="00AC0FC0">
        <w:rPr>
          <w:rFonts w:eastAsia="Book Antiqua" w:cs="Book Antiqua"/>
          <w:szCs w:val="26"/>
        </w:rPr>
        <w:t xml:space="preserve"> </w:t>
      </w:r>
      <w:r w:rsidRPr="00A65A5E">
        <w:rPr>
          <w:rFonts w:eastAsia="Book Antiqua" w:cs="Book Antiqua"/>
          <w:szCs w:val="26"/>
        </w:rPr>
        <w:t>set up a Universal Application System working group, as part of the overall E</w:t>
      </w:r>
      <w:r>
        <w:rPr>
          <w:rFonts w:eastAsia="Book Antiqua" w:cs="Book Antiqua"/>
          <w:szCs w:val="26"/>
        </w:rPr>
        <w:t xml:space="preserve">nergy </w:t>
      </w:r>
      <w:r w:rsidRPr="00A65A5E">
        <w:rPr>
          <w:rFonts w:eastAsia="Book Antiqua" w:cs="Book Antiqua"/>
          <w:szCs w:val="26"/>
        </w:rPr>
        <w:t>S</w:t>
      </w:r>
      <w:r>
        <w:rPr>
          <w:rFonts w:eastAsia="Book Antiqua" w:cs="Book Antiqua"/>
          <w:szCs w:val="26"/>
        </w:rPr>
        <w:t xml:space="preserve">avings </w:t>
      </w:r>
      <w:r w:rsidRPr="00A65A5E">
        <w:rPr>
          <w:rFonts w:eastAsia="Book Antiqua" w:cs="Book Antiqua"/>
          <w:szCs w:val="26"/>
        </w:rPr>
        <w:t>A</w:t>
      </w:r>
      <w:r>
        <w:rPr>
          <w:rFonts w:eastAsia="Book Antiqua" w:cs="Book Antiqua"/>
          <w:szCs w:val="26"/>
        </w:rPr>
        <w:t>ssistance</w:t>
      </w:r>
      <w:r w:rsidRPr="00A65A5E">
        <w:rPr>
          <w:rFonts w:eastAsia="Book Antiqua" w:cs="Book Antiqua"/>
          <w:szCs w:val="26"/>
        </w:rPr>
        <w:t xml:space="preserve"> Working Group</w:t>
      </w:r>
      <w:r w:rsidR="00FA3419">
        <w:rPr>
          <w:rFonts w:eastAsia="Book Antiqua" w:cs="Book Antiqua"/>
          <w:szCs w:val="26"/>
        </w:rPr>
        <w:t>,</w:t>
      </w:r>
      <w:r w:rsidRPr="00A65A5E">
        <w:rPr>
          <w:rFonts w:eastAsia="Book Antiqua" w:cs="Book Antiqua"/>
          <w:szCs w:val="26"/>
        </w:rPr>
        <w:t xml:space="preserve"> to complete the various </w:t>
      </w:r>
      <w:r w:rsidRPr="00A65A5E">
        <w:rPr>
          <w:rFonts w:eastAsia="Book Antiqua" w:cs="Book Antiqua"/>
          <w:szCs w:val="26"/>
        </w:rPr>
        <w:lastRenderedPageBreak/>
        <w:t xml:space="preserve">tasks during a year-long development process.  These tasks include identifying the Universal Application System’s purpose, goals, requirements, and intra- and interagency solutions/alternatives.  </w:t>
      </w:r>
    </w:p>
    <w:p w:rsidRPr="00A65A5E" w:rsidR="000C1980" w:rsidP="003D15AD" w:rsidRDefault="000C1980" w14:paraId="65D27937" w14:textId="2A739CD1">
      <w:pPr>
        <w:pStyle w:val="OP"/>
        <w:numPr>
          <w:ilvl w:val="0"/>
          <w:numId w:val="24"/>
        </w:numPr>
        <w:tabs>
          <w:tab w:val="left" w:pos="990"/>
        </w:tabs>
        <w:ind w:left="0" w:firstLine="547"/>
        <w:rPr>
          <w:rFonts w:eastAsia="Book Antiqua" w:cs="Book Antiqua"/>
          <w:szCs w:val="26"/>
        </w:rPr>
      </w:pPr>
      <w:r w:rsidRPr="00A65A5E">
        <w:rPr>
          <w:rFonts w:eastAsia="Book Antiqua" w:cs="Book Antiqua"/>
          <w:szCs w:val="26"/>
        </w:rPr>
        <w:t xml:space="preserve">Pacific Gas and Electric Company, Southern California Edison Company, Southern California Gas Company and San Diego Gas &amp; Electric Company </w:t>
      </w:r>
      <w:r w:rsidR="00AC0FC0">
        <w:rPr>
          <w:rFonts w:eastAsia="Book Antiqua" w:cs="Book Antiqua"/>
          <w:szCs w:val="26"/>
        </w:rPr>
        <w:t>must</w:t>
      </w:r>
      <w:r w:rsidRPr="00A65A5E" w:rsidR="00AC0FC0">
        <w:rPr>
          <w:rFonts w:eastAsia="Book Antiqua" w:cs="Book Antiqua"/>
          <w:szCs w:val="26"/>
        </w:rPr>
        <w:t xml:space="preserve"> </w:t>
      </w:r>
      <w:r w:rsidRPr="00A65A5E">
        <w:rPr>
          <w:rFonts w:eastAsia="Book Antiqua" w:cs="Book Antiqua"/>
          <w:szCs w:val="26"/>
        </w:rPr>
        <w:t xml:space="preserve">submit a report to Energy Division and this proceeding’s service list summarizing the Universal Application System’s working group progress by July 1, 2022.  The report will answer various questions and provide the working group’s recommendation as to whether to continue the development of a Universal Application System. </w:t>
      </w:r>
    </w:p>
    <w:p w:rsidRPr="00A65A5E" w:rsidR="000C1980" w:rsidP="003D15AD" w:rsidRDefault="000C1980" w14:paraId="568115F6" w14:textId="190848B8">
      <w:pPr>
        <w:pStyle w:val="OP"/>
        <w:numPr>
          <w:ilvl w:val="0"/>
          <w:numId w:val="24"/>
        </w:numPr>
        <w:tabs>
          <w:tab w:val="left" w:pos="990"/>
        </w:tabs>
        <w:ind w:left="0" w:firstLine="547"/>
        <w:rPr>
          <w:rFonts w:eastAsia="Book Antiqua" w:cs="Book Antiqua"/>
          <w:szCs w:val="26"/>
        </w:rPr>
      </w:pPr>
      <w:r w:rsidRPr="00A65A5E">
        <w:rPr>
          <w:rFonts w:eastAsia="Book Antiqua" w:cs="Book Antiqua"/>
          <w:szCs w:val="26"/>
        </w:rPr>
        <w:t xml:space="preserve">Pacific Gas and Electric Company, Southern California Edison Company, Southern California Gas Company and San Diego Gas &amp; Electric Company </w:t>
      </w:r>
      <w:r w:rsidR="00AC0FC0">
        <w:rPr>
          <w:rFonts w:eastAsia="Book Antiqua" w:cs="Book Antiqua"/>
          <w:szCs w:val="26"/>
        </w:rPr>
        <w:t>must</w:t>
      </w:r>
      <w:r w:rsidRPr="00A65A5E" w:rsidR="00AC0FC0">
        <w:rPr>
          <w:rFonts w:eastAsia="Book Antiqua" w:cs="Book Antiqua"/>
          <w:szCs w:val="26"/>
        </w:rPr>
        <w:t xml:space="preserve"> </w:t>
      </w:r>
      <w:r w:rsidRPr="00A65A5E">
        <w:rPr>
          <w:rFonts w:eastAsia="Book Antiqua" w:cs="Book Antiqua"/>
          <w:szCs w:val="26"/>
        </w:rPr>
        <w:t xml:space="preserve">file a joint advice letter requesting a fund shift from another budget category, such as </w:t>
      </w:r>
      <w:r>
        <w:rPr>
          <w:rFonts w:eastAsia="Book Antiqua" w:cs="Book Antiqua"/>
          <w:szCs w:val="26"/>
        </w:rPr>
        <w:t>marketing, education, outreach</w:t>
      </w:r>
      <w:r w:rsidRPr="00A65A5E">
        <w:rPr>
          <w:rFonts w:eastAsia="Book Antiqua" w:cs="Book Antiqua"/>
          <w:szCs w:val="26"/>
        </w:rPr>
        <w:t>, if the Universal Application System’s working group report recommends developing a Universal Application System or connecting with an existing Universal Application System’</w:t>
      </w:r>
      <w:r w:rsidR="00EB7DB5">
        <w:rPr>
          <w:rFonts w:eastAsia="Book Antiqua" w:cs="Book Antiqua"/>
          <w:szCs w:val="26"/>
        </w:rPr>
        <w:t>s</w:t>
      </w:r>
      <w:r w:rsidRPr="00A65A5E">
        <w:rPr>
          <w:rFonts w:eastAsia="Book Antiqua" w:cs="Book Antiqua"/>
          <w:szCs w:val="26"/>
        </w:rPr>
        <w:t xml:space="preserve"> effort.</w:t>
      </w:r>
    </w:p>
    <w:p w:rsidRPr="00C00603" w:rsidR="000C1980" w:rsidP="003D15AD" w:rsidRDefault="000C1980" w14:paraId="3134562F" w14:textId="6DDA6C25">
      <w:pPr>
        <w:pStyle w:val="OP"/>
        <w:numPr>
          <w:ilvl w:val="0"/>
          <w:numId w:val="24"/>
        </w:numPr>
        <w:tabs>
          <w:tab w:val="left" w:pos="990"/>
        </w:tabs>
        <w:ind w:left="0" w:firstLine="547"/>
        <w:rPr>
          <w:rFonts w:eastAsia="Book Antiqua" w:cs="Book Antiqua"/>
          <w:szCs w:val="26"/>
        </w:rPr>
      </w:pPr>
      <w:r w:rsidRPr="00C00603">
        <w:rPr>
          <w:rFonts w:eastAsia="Book Antiqua" w:cs="Book Antiqua"/>
          <w:szCs w:val="26"/>
        </w:rPr>
        <w:t xml:space="preserve">Energy Division may submit its own resolution to the Commission for consideration of developing a new Universal Application System or integrating with an existing Universal Application System and the necessary budget for that purpose if there is 1) low working group participation, 2) inadequate public participation, 3) no consensus </w:t>
      </w:r>
      <w:r w:rsidRPr="00C00603" w:rsidR="00C221FD">
        <w:rPr>
          <w:rFonts w:eastAsia="Book Antiqua" w:cs="Book Antiqua"/>
          <w:szCs w:val="26"/>
        </w:rPr>
        <w:t xml:space="preserve">or near consensus </w:t>
      </w:r>
      <w:r w:rsidRPr="00C00603">
        <w:rPr>
          <w:rFonts w:eastAsia="Book Antiqua" w:cs="Book Antiqua"/>
          <w:szCs w:val="26"/>
        </w:rPr>
        <w:t>recommendation from the Universal Application System Working Group</w:t>
      </w:r>
      <w:r w:rsidRPr="00C00603" w:rsidR="00A23FEA">
        <w:rPr>
          <w:rFonts w:eastAsia="Book Antiqua" w:cs="Book Antiqua"/>
          <w:szCs w:val="26"/>
        </w:rPr>
        <w:t xml:space="preserve">, or </w:t>
      </w:r>
      <w:r w:rsidRPr="00C00603" w:rsidR="00FE3529">
        <w:rPr>
          <w:rFonts w:eastAsia="Book Antiqua" w:cs="Book Antiqua"/>
          <w:szCs w:val="26"/>
        </w:rPr>
        <w:t>4) if the Energy Division believes further consideration of the options is appropriate</w:t>
      </w:r>
      <w:r w:rsidRPr="00C00603">
        <w:rPr>
          <w:rFonts w:eastAsia="Book Antiqua" w:cs="Book Antiqua"/>
          <w:szCs w:val="26"/>
        </w:rPr>
        <w:t>.</w:t>
      </w:r>
    </w:p>
    <w:p w:rsidRPr="00A65A5E" w:rsidR="000C1980" w:rsidP="003D15AD" w:rsidRDefault="000C1980" w14:paraId="542AC470" w14:textId="39B106D1">
      <w:pPr>
        <w:pStyle w:val="OP"/>
        <w:numPr>
          <w:ilvl w:val="0"/>
          <w:numId w:val="24"/>
        </w:numPr>
        <w:tabs>
          <w:tab w:val="left" w:pos="990"/>
        </w:tabs>
        <w:ind w:left="0" w:firstLine="547"/>
      </w:pPr>
      <w:r w:rsidRPr="00C00603">
        <w:rPr>
          <w:rFonts w:eastAsia="Book Antiqua" w:cs="Book Antiqua"/>
          <w:szCs w:val="26"/>
        </w:rPr>
        <w:t xml:space="preserve">Pacific Gas and Electric Company, Southern California Edison Company, Southern California Gas Company and San Diego Gas &amp; Electric </w:t>
      </w:r>
      <w:r w:rsidRPr="00C00603">
        <w:rPr>
          <w:rFonts w:eastAsia="Book Antiqua" w:cs="Book Antiqua"/>
          <w:szCs w:val="26"/>
        </w:rPr>
        <w:lastRenderedPageBreak/>
        <w:t xml:space="preserve">Company </w:t>
      </w:r>
      <w:r w:rsidRPr="00C00603" w:rsidR="00BC1EF3">
        <w:rPr>
          <w:rFonts w:eastAsia="Book Antiqua" w:cs="Book Antiqua"/>
          <w:szCs w:val="26"/>
        </w:rPr>
        <w:t xml:space="preserve">must </w:t>
      </w:r>
      <w:r w:rsidRPr="00C00603">
        <w:t xml:space="preserve">allow customers to self-certify that they meet the </w:t>
      </w:r>
      <w:r w:rsidRPr="00C00603">
        <w:rPr>
          <w:szCs w:val="26"/>
        </w:rPr>
        <w:t>Energy Savings</w:t>
      </w:r>
      <w:r w:rsidRPr="00A65A5E">
        <w:rPr>
          <w:szCs w:val="26"/>
        </w:rPr>
        <w:t xml:space="preserve"> Assistance </w:t>
      </w:r>
      <w:r>
        <w:rPr>
          <w:szCs w:val="26"/>
        </w:rPr>
        <w:t>(</w:t>
      </w:r>
      <w:r w:rsidRPr="00A65A5E">
        <w:t>ESA</w:t>
      </w:r>
      <w:r>
        <w:t>)</w:t>
      </w:r>
      <w:r w:rsidRPr="00A65A5E">
        <w:t xml:space="preserve"> program income eligibility requirement to receive ESA basic measures, which may include energy education, LED light bulbs and smart power strips, and Energy Conservation Savings Kits.  </w:t>
      </w:r>
      <w:r w:rsidR="0061401A">
        <w:t xml:space="preserve">Measures </w:t>
      </w:r>
      <w:r w:rsidR="009D6270">
        <w:t xml:space="preserve">requiring modifications to dwellings, which includes grounding, such as </w:t>
      </w:r>
      <w:r w:rsidR="00996397">
        <w:t>refrigerators, portable air conditioners, and smart thermostats, are exempt from this requirement</w:t>
      </w:r>
      <w:r w:rsidRPr="00722673" w:rsidR="00722673">
        <w:t xml:space="preserve"> </w:t>
      </w:r>
      <w:r w:rsidR="00722673">
        <w:t>to be provided to self-certifying customers</w:t>
      </w:r>
      <w:r w:rsidR="00996397">
        <w:t xml:space="preserve">. </w:t>
      </w:r>
      <w:r w:rsidRPr="00A65A5E">
        <w:t xml:space="preserve">The Utilities </w:t>
      </w:r>
      <w:r w:rsidR="007B5BBD">
        <w:rPr>
          <w:rFonts w:eastAsia="Book Antiqua" w:cs="Book Antiqua"/>
          <w:szCs w:val="26"/>
        </w:rPr>
        <w:t>must</w:t>
      </w:r>
      <w:r w:rsidRPr="00A65A5E" w:rsidR="007B5BBD">
        <w:rPr>
          <w:rFonts w:eastAsia="Book Antiqua" w:cs="Book Antiqua"/>
          <w:szCs w:val="26"/>
        </w:rPr>
        <w:t xml:space="preserve"> </w:t>
      </w:r>
      <w:r w:rsidRPr="00A65A5E">
        <w:t>file as part of the joint Tier 2 advice letter compliance filing which set of measures</w:t>
      </w:r>
      <w:r w:rsidR="0082264F">
        <w:t xml:space="preserve">, including those provided through self-certification and those that are </w:t>
      </w:r>
      <w:proofErr w:type="gramStart"/>
      <w:r w:rsidR="0082264F">
        <w:t>exempt,</w:t>
      </w:r>
      <w:r w:rsidRPr="00A65A5E" w:rsidR="0082264F">
        <w:t xml:space="preserve"> </w:t>
      </w:r>
      <w:r w:rsidRPr="00A65A5E">
        <w:t xml:space="preserve"> will</w:t>
      </w:r>
      <w:proofErr w:type="gramEnd"/>
      <w:r w:rsidRPr="00A65A5E">
        <w:t xml:space="preserve"> be part of the “basic” offerings</w:t>
      </w:r>
      <w:r w:rsidR="007B5BBD">
        <w:t xml:space="preserve">, </w:t>
      </w:r>
      <w:r w:rsidRPr="00AC4D24" w:rsidR="00AC4D24">
        <w:t>per Attachment 3</w:t>
      </w:r>
      <w:r w:rsidRPr="00A65A5E">
        <w:t xml:space="preserve">.   </w:t>
      </w:r>
    </w:p>
    <w:p w:rsidRPr="00A65A5E" w:rsidR="000C1980" w:rsidP="003D15AD" w:rsidRDefault="000C1980" w14:paraId="07BEE72A" w14:textId="5E270BA3">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Company </w:t>
      </w:r>
      <w:r w:rsidR="00821BF4">
        <w:rPr>
          <w:rFonts w:eastAsia="Book Antiqua" w:cs="Book Antiqua"/>
          <w:szCs w:val="26"/>
        </w:rPr>
        <w:t>must</w:t>
      </w:r>
      <w:r w:rsidRPr="00A65A5E" w:rsidR="00821BF4">
        <w:rPr>
          <w:rFonts w:eastAsia="Book Antiqua" w:cs="Book Antiqua"/>
          <w:szCs w:val="26"/>
        </w:rPr>
        <w:t xml:space="preserve"> </w:t>
      </w:r>
      <w:r w:rsidRPr="00A65A5E">
        <w:t xml:space="preserve">automatically enroll customers who are participating in the </w:t>
      </w:r>
      <w:r w:rsidRPr="00A65A5E">
        <w:rPr>
          <w:szCs w:val="26"/>
        </w:rPr>
        <w:t>Energy Savings Assistance</w:t>
      </w:r>
      <w:r w:rsidRPr="00A65A5E">
        <w:t xml:space="preserve"> program into the California Alternate Rates for Energy program, with the customer’s consent. </w:t>
      </w:r>
    </w:p>
    <w:p w:rsidRPr="00A65A5E" w:rsidR="000C1980" w:rsidP="003D15AD" w:rsidRDefault="000C1980" w14:paraId="21D57B99" w14:textId="185151BB">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Company </w:t>
      </w:r>
      <w:r w:rsidR="00821BF4">
        <w:rPr>
          <w:rFonts w:eastAsia="Book Antiqua" w:cs="Book Antiqua"/>
          <w:szCs w:val="26"/>
        </w:rPr>
        <w:t>must</w:t>
      </w:r>
      <w:r w:rsidRPr="00A65A5E" w:rsidR="00821BF4">
        <w:rPr>
          <w:rFonts w:eastAsia="Book Antiqua" w:cs="Book Antiqua"/>
          <w:szCs w:val="26"/>
        </w:rPr>
        <w:t xml:space="preserve"> </w:t>
      </w:r>
      <w:r w:rsidRPr="00A65A5E">
        <w:rPr>
          <w:rFonts w:eastAsia="Book Antiqua" w:cs="Book Antiqua"/>
          <w:szCs w:val="26"/>
        </w:rPr>
        <w:t xml:space="preserve">offer </w:t>
      </w:r>
      <w:r w:rsidRPr="00A65A5E">
        <w:t>alternative enrollment options, either to be completed outside the home or online.  These alternative options must make the enrollment process as user friendly as possible, available in multiple languages, and include an option to seek additional assistance during the online application process (either through offering a live-chat function, an assistance hotline,</w:t>
      </w:r>
      <w:r w:rsidR="00EB7DB5">
        <w:t xml:space="preserve"> and/</w:t>
      </w:r>
      <w:r w:rsidRPr="00A65A5E">
        <w:t xml:space="preserve">or an email inquiry for questions). </w:t>
      </w:r>
    </w:p>
    <w:p w:rsidRPr="00A65A5E" w:rsidR="000C1980" w:rsidP="003D15AD" w:rsidRDefault="000C1980" w14:paraId="15F37141" w14:textId="5BDA37FA">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w:t>
      </w:r>
      <w:r w:rsidRPr="00A65A5E">
        <w:rPr>
          <w:rFonts w:eastAsia="Book Antiqua" w:cs="Book Antiqua"/>
          <w:szCs w:val="26"/>
        </w:rPr>
        <w:lastRenderedPageBreak/>
        <w:t xml:space="preserve">Company </w:t>
      </w:r>
      <w:r w:rsidR="00821BF4">
        <w:rPr>
          <w:rFonts w:eastAsia="Book Antiqua" w:cs="Book Antiqua"/>
          <w:szCs w:val="26"/>
        </w:rPr>
        <w:t>must</w:t>
      </w:r>
      <w:r w:rsidRPr="00A65A5E" w:rsidR="00821BF4">
        <w:rPr>
          <w:rFonts w:eastAsia="Book Antiqua" w:cs="Book Antiqua"/>
          <w:szCs w:val="26"/>
        </w:rPr>
        <w:t xml:space="preserve"> </w:t>
      </w:r>
      <w:r w:rsidRPr="00A65A5E">
        <w:rPr>
          <w:rFonts w:eastAsia="Book Antiqua" w:cs="Book Antiqua"/>
          <w:szCs w:val="26"/>
        </w:rPr>
        <w:t xml:space="preserve">continue to offer </w:t>
      </w:r>
      <w:r w:rsidRPr="00A65A5E">
        <w:t xml:space="preserve">the existing enrollment processes where households can enroll during an in-home assessment with a contractor.  </w:t>
      </w:r>
    </w:p>
    <w:p w:rsidRPr="00A65A5E" w:rsidR="000C1980" w:rsidP="003D15AD" w:rsidRDefault="000C1980" w14:paraId="374C87D5" w14:textId="56E1CFB5">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Company </w:t>
      </w:r>
      <w:r w:rsidR="00EB7DB5">
        <w:rPr>
          <w:rFonts w:eastAsia="Book Antiqua" w:cs="Book Antiqua"/>
          <w:szCs w:val="26"/>
        </w:rPr>
        <w:t>must make available to</w:t>
      </w:r>
      <w:r w:rsidRPr="00A65A5E">
        <w:rPr>
          <w:rFonts w:eastAsia="Book Antiqua" w:cs="Book Antiqua"/>
          <w:szCs w:val="26"/>
        </w:rPr>
        <w:t xml:space="preserve"> </w:t>
      </w:r>
      <w:r w:rsidRPr="00A65A5E">
        <w:t xml:space="preserve">customers </w:t>
      </w:r>
      <w:r w:rsidR="00EB7DB5">
        <w:t>a voluntary</w:t>
      </w:r>
      <w:r w:rsidRPr="00A65A5E">
        <w:t xml:space="preserve"> energy audit at or before the time of enrollment, preferably completed online.  </w:t>
      </w:r>
    </w:p>
    <w:p w:rsidRPr="00A65A5E" w:rsidR="000C1980" w:rsidP="003D15AD" w:rsidRDefault="00A05C0B" w14:paraId="5AE36468" w14:textId="52506391">
      <w:pPr>
        <w:pStyle w:val="OP"/>
        <w:numPr>
          <w:ilvl w:val="0"/>
          <w:numId w:val="24"/>
        </w:numPr>
        <w:tabs>
          <w:tab w:val="left" w:pos="990"/>
        </w:tabs>
        <w:ind w:left="0" w:firstLine="547"/>
      </w:pPr>
      <w:r w:rsidRPr="00A05C0B">
        <w:rPr>
          <w:rFonts w:eastAsia="Book Antiqua" w:cs="Book Antiqua"/>
          <w:szCs w:val="26"/>
        </w:rPr>
        <w:t>Pacific Gas and Electric Company, Southern California Edison Company, Southern California Gas Company and San Diego Gas &amp; Electric Company</w:t>
      </w:r>
      <w:r w:rsidRPr="00A65A5E" w:rsidR="000C1980">
        <w:t xml:space="preserve"> </w:t>
      </w:r>
      <w:r w:rsidR="00EA762E">
        <w:t xml:space="preserve">must </w:t>
      </w:r>
      <w:r w:rsidRPr="00A65A5E" w:rsidR="000C1980">
        <w:t xml:space="preserve">waive the Property Owner Approval/Authorization requirements for </w:t>
      </w:r>
      <w:r w:rsidR="00EA762E">
        <w:t xml:space="preserve">qualified </w:t>
      </w:r>
      <w:r w:rsidRPr="00A65A5E" w:rsidR="000C1980">
        <w:t xml:space="preserve">households to receive the basic level of </w:t>
      </w:r>
      <w:r w:rsidRPr="00A65A5E" w:rsidR="000C1980">
        <w:rPr>
          <w:szCs w:val="26"/>
        </w:rPr>
        <w:t xml:space="preserve">Energy Savings Assistance </w:t>
      </w:r>
      <w:r w:rsidR="00EA762E">
        <w:rPr>
          <w:szCs w:val="26"/>
        </w:rPr>
        <w:t xml:space="preserve">program </w:t>
      </w:r>
      <w:r w:rsidRPr="00A65A5E" w:rsidR="000C1980">
        <w:t xml:space="preserve">services. </w:t>
      </w:r>
      <w:r w:rsidRPr="002D50AC" w:rsidR="002D50AC">
        <w:t>Measures requiring modifications to dwellings, which includes grounding, such as refrigerators, portable air conditioners, and smart thermostats, are exempt from this requirement</w:t>
      </w:r>
      <w:r w:rsidRPr="007E4148" w:rsidR="007E4148">
        <w:t xml:space="preserve"> </w:t>
      </w:r>
      <w:r w:rsidR="007E4148">
        <w:t>to be provided to self-certifying customers</w:t>
      </w:r>
      <w:r w:rsidRPr="002D50AC" w:rsidR="002D50AC">
        <w:t>.</w:t>
      </w:r>
    </w:p>
    <w:p w:rsidRPr="00A65A5E" w:rsidR="000C1980" w:rsidP="003D15AD" w:rsidRDefault="0045641E" w14:paraId="608FDE71" w14:textId="286B3E12">
      <w:pPr>
        <w:pStyle w:val="OP"/>
        <w:numPr>
          <w:ilvl w:val="0"/>
          <w:numId w:val="24"/>
        </w:numPr>
        <w:tabs>
          <w:tab w:val="left" w:pos="990"/>
        </w:tabs>
        <w:ind w:left="0" w:firstLine="547"/>
      </w:pPr>
      <w:r w:rsidRPr="0045641E">
        <w:rPr>
          <w:rFonts w:eastAsia="Book Antiqua" w:cs="Book Antiqua"/>
          <w:szCs w:val="26"/>
        </w:rPr>
        <w:t>Pacific Gas and Electric Company, Southern California Edison Company, Southern California Gas Company and San Diego Gas &amp; Electric Company</w:t>
      </w:r>
      <w:r w:rsidRPr="0045641E" w:rsidDel="00C22C37">
        <w:rPr>
          <w:rFonts w:eastAsia="Book Antiqua" w:cs="Book Antiqua"/>
          <w:szCs w:val="26"/>
        </w:rPr>
        <w:t xml:space="preserve"> </w:t>
      </w:r>
      <w:r w:rsidRPr="0045641E">
        <w:rPr>
          <w:rFonts w:eastAsia="Book Antiqua" w:cs="Book Antiqua"/>
          <w:szCs w:val="26"/>
        </w:rPr>
        <w:t xml:space="preserve">must </w:t>
      </w:r>
      <w:r w:rsidRPr="00A65A5E" w:rsidR="000C1980">
        <w:t>extend the Property Owner Approval/Authorization validation date from one year to two years.</w:t>
      </w:r>
    </w:p>
    <w:p w:rsidRPr="00A65A5E" w:rsidR="000C1980" w:rsidP="003D15AD" w:rsidRDefault="000C1980" w14:paraId="0F3A9C93" w14:textId="36BD5E78">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Company </w:t>
      </w:r>
      <w:r w:rsidR="00D3257D">
        <w:rPr>
          <w:rFonts w:eastAsia="Book Antiqua" w:cs="Book Antiqua"/>
          <w:szCs w:val="26"/>
        </w:rPr>
        <w:t>must</w:t>
      </w:r>
      <w:r w:rsidRPr="00A65A5E" w:rsidR="00D3257D">
        <w:rPr>
          <w:rFonts w:eastAsia="Book Antiqua" w:cs="Book Antiqua"/>
          <w:szCs w:val="26"/>
        </w:rPr>
        <w:t xml:space="preserve"> </w:t>
      </w:r>
      <w:r w:rsidRPr="00A65A5E">
        <w:t xml:space="preserve">shift the </w:t>
      </w:r>
      <w:r w:rsidRPr="00A65A5E">
        <w:rPr>
          <w:szCs w:val="26"/>
        </w:rPr>
        <w:t>Energy Savings Assistance</w:t>
      </w:r>
      <w:r w:rsidRPr="00A65A5E">
        <w:t xml:space="preserve"> program </w:t>
      </w:r>
      <w:r w:rsidR="005F3670">
        <w:t>towards</w:t>
      </w:r>
      <w:r w:rsidRPr="00A65A5E">
        <w:t xml:space="preserve"> a customer-centered</w:t>
      </w:r>
      <w:r w:rsidR="00114176">
        <w:t>,</w:t>
      </w:r>
      <w:r w:rsidRPr="00A65A5E">
        <w:t xml:space="preserve"> prioritization model based on household needs and customer profile. </w:t>
      </w:r>
    </w:p>
    <w:p w:rsidRPr="00A65A5E" w:rsidR="000C1980" w:rsidP="003D15AD" w:rsidRDefault="000C1980" w14:paraId="56956E4C" w14:textId="73A5EF75">
      <w:pPr>
        <w:pStyle w:val="OP"/>
        <w:numPr>
          <w:ilvl w:val="0"/>
          <w:numId w:val="24"/>
        </w:numPr>
        <w:tabs>
          <w:tab w:val="left" w:pos="990"/>
        </w:tabs>
        <w:ind w:left="0" w:firstLine="547"/>
      </w:pPr>
      <w:r w:rsidRPr="00A65A5E">
        <w:rPr>
          <w:rFonts w:eastAsia="Book Antiqua" w:cs="Book Antiqua"/>
          <w:szCs w:val="26"/>
        </w:rPr>
        <w:t>Pacific Gas and Electric Company, Southern California Edison Company, Southern California Gas Company and San Diego Gas &amp; Electric Company’s E</w:t>
      </w:r>
      <w:r>
        <w:rPr>
          <w:rFonts w:eastAsia="Book Antiqua" w:cs="Book Antiqua"/>
          <w:szCs w:val="26"/>
        </w:rPr>
        <w:t xml:space="preserve">nergy </w:t>
      </w:r>
      <w:r w:rsidRPr="00A65A5E">
        <w:rPr>
          <w:rFonts w:eastAsia="Book Antiqua" w:cs="Book Antiqua"/>
          <w:szCs w:val="26"/>
        </w:rPr>
        <w:t>S</w:t>
      </w:r>
      <w:r>
        <w:rPr>
          <w:rFonts w:eastAsia="Book Antiqua" w:cs="Book Antiqua"/>
          <w:szCs w:val="26"/>
        </w:rPr>
        <w:t xml:space="preserve">avings </w:t>
      </w:r>
      <w:r w:rsidRPr="00A65A5E">
        <w:rPr>
          <w:rFonts w:eastAsia="Book Antiqua" w:cs="Book Antiqua"/>
          <w:szCs w:val="26"/>
        </w:rPr>
        <w:t>A</w:t>
      </w:r>
      <w:r>
        <w:rPr>
          <w:rFonts w:eastAsia="Book Antiqua" w:cs="Book Antiqua"/>
          <w:szCs w:val="26"/>
        </w:rPr>
        <w:t>ssistance</w:t>
      </w:r>
      <w:r w:rsidRPr="00A65A5E">
        <w:rPr>
          <w:rFonts w:eastAsia="Book Antiqua" w:cs="Book Antiqua"/>
          <w:szCs w:val="26"/>
        </w:rPr>
        <w:t xml:space="preserve"> delivery models are approved with </w:t>
      </w:r>
      <w:r w:rsidRPr="00A65A5E">
        <w:rPr>
          <w:rFonts w:eastAsia="Book Antiqua" w:cs="Book Antiqua"/>
          <w:szCs w:val="26"/>
        </w:rPr>
        <w:lastRenderedPageBreak/>
        <w:t xml:space="preserve">additional </w:t>
      </w:r>
      <w:r w:rsidRPr="00A65A5E">
        <w:t>reporting requirements (per the reporting template to be developed and issued by Energy Division staff)</w:t>
      </w:r>
      <w:r w:rsidRPr="00A65A5E">
        <w:rPr>
          <w:rFonts w:eastAsia="Book Antiqua" w:cs="Book Antiqua"/>
          <w:szCs w:val="26"/>
        </w:rPr>
        <w:t xml:space="preserve">, including </w:t>
      </w:r>
      <w:r w:rsidRPr="00A65A5E">
        <w:t xml:space="preserve">allowing online audits prior to in-home visits, limited self-installation of simple measures, limited self- assessments, targeted treatment tiers based on customer segments and needs, and the move towards deeper and more thoughtful retrofits.  </w:t>
      </w:r>
    </w:p>
    <w:p w:rsidRPr="00A65A5E" w:rsidR="000C1980" w:rsidP="003D15AD" w:rsidRDefault="000C1980" w14:paraId="6A3063B5" w14:textId="7D6E639E">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Company </w:t>
      </w:r>
      <w:r w:rsidR="00CD5B3B">
        <w:rPr>
          <w:rFonts w:eastAsia="Book Antiqua" w:cs="Book Antiqua"/>
          <w:szCs w:val="26"/>
        </w:rPr>
        <w:t>must</w:t>
      </w:r>
      <w:r w:rsidRPr="00A65A5E" w:rsidR="00CD5B3B">
        <w:rPr>
          <w:rFonts w:eastAsia="Book Antiqua" w:cs="Book Antiqua"/>
          <w:szCs w:val="26"/>
        </w:rPr>
        <w:t xml:space="preserve"> </w:t>
      </w:r>
      <w:r w:rsidRPr="00A65A5E">
        <w:t xml:space="preserve">submit a joint Tier 2 advice letter compliance filing within </w:t>
      </w:r>
      <w:r w:rsidR="00567798">
        <w:t>90 </w:t>
      </w:r>
      <w:r w:rsidRPr="006F0981">
        <w:t>days</w:t>
      </w:r>
      <w:r w:rsidRPr="00A65A5E">
        <w:t xml:space="preserve"> </w:t>
      </w:r>
      <w:r w:rsidRPr="00C47214" w:rsidR="0083258C">
        <w:t xml:space="preserve">after the approval </w:t>
      </w:r>
      <w:r w:rsidRPr="00A65A5E">
        <w:t xml:space="preserve">of this decision to identify the common set of </w:t>
      </w:r>
      <w:r w:rsidR="007601BB">
        <w:t>Energy Savings Assistance program measures</w:t>
      </w:r>
      <w:r w:rsidRPr="00A65A5E">
        <w:t xml:space="preserve"> within each treatment tier, and detail what level of treatment will be provided to which customer segments</w:t>
      </w:r>
      <w:r w:rsidR="00F44F3C">
        <w:t>, per Attachment 3</w:t>
      </w:r>
      <w:r w:rsidRPr="00A65A5E">
        <w:t xml:space="preserve">.  The Utilities </w:t>
      </w:r>
      <w:r w:rsidR="00F44F3C">
        <w:t>must</w:t>
      </w:r>
      <w:r w:rsidRPr="00A65A5E" w:rsidR="00F44F3C">
        <w:t xml:space="preserve"> </w:t>
      </w:r>
      <w:r w:rsidRPr="00A65A5E">
        <w:t xml:space="preserve">also </w:t>
      </w:r>
      <w:r w:rsidRPr="00A65A5E">
        <w:rPr>
          <w:rFonts w:eastAsia="Times New Roman"/>
          <w:szCs w:val="26"/>
        </w:rPr>
        <w:t xml:space="preserve">propose a consistent statewide definition for low, medium, and high usage customers, in the joint compliance filing. </w:t>
      </w:r>
    </w:p>
    <w:p w:rsidRPr="00A65A5E" w:rsidR="000C1980" w:rsidP="003D15AD" w:rsidRDefault="000C1980" w14:paraId="5BEC3382" w14:textId="0A37128F">
      <w:pPr>
        <w:pStyle w:val="OP"/>
        <w:numPr>
          <w:ilvl w:val="0"/>
          <w:numId w:val="24"/>
        </w:numPr>
        <w:tabs>
          <w:tab w:val="left" w:pos="990"/>
        </w:tabs>
        <w:ind w:left="0" w:firstLine="547"/>
      </w:pPr>
      <w:r w:rsidRPr="00A65A5E">
        <w:rPr>
          <w:rFonts w:eastAsia="Book Antiqua" w:cs="Book Antiqua"/>
          <w:szCs w:val="26"/>
        </w:rPr>
        <w:t xml:space="preserve">Pacific Gas and Electric Company, Southern California Edison Company, Southern California Gas Company and San Diego Gas &amp; Electric Company’s </w:t>
      </w:r>
      <w:r w:rsidRPr="00BE41A7" w:rsidR="00BE41A7">
        <w:rPr>
          <w:rFonts w:eastAsia="Book Antiqua" w:cs="Book Antiqua"/>
          <w:szCs w:val="26"/>
        </w:rPr>
        <w:t xml:space="preserve">Energy Savings Assistance </w:t>
      </w:r>
      <w:r w:rsidRPr="00A65A5E">
        <w:rPr>
          <w:rFonts w:eastAsia="Book Antiqua" w:cs="Book Antiqua"/>
          <w:szCs w:val="26"/>
        </w:rPr>
        <w:t>program portfolio measure mix</w:t>
      </w:r>
      <w:r w:rsidR="0078774C">
        <w:rPr>
          <w:rFonts w:eastAsia="Book Antiqua" w:cs="Book Antiqua"/>
          <w:szCs w:val="26"/>
        </w:rPr>
        <w:t>,</w:t>
      </w:r>
      <w:r w:rsidRPr="00141913" w:rsidR="00141913">
        <w:rPr>
          <w:rFonts w:eastAsia="Book Antiqua" w:cs="Book Antiqua"/>
        </w:rPr>
        <w:t xml:space="preserve"> </w:t>
      </w:r>
      <w:r w:rsidR="00141913">
        <w:rPr>
          <w:rFonts w:eastAsia="Book Antiqua" w:cs="Book Antiqua"/>
        </w:rPr>
        <w:t>a</w:t>
      </w:r>
      <w:r w:rsidRPr="3776745C" w:rsidR="00141913">
        <w:rPr>
          <w:rFonts w:eastAsia="Book Antiqua" w:cs="Book Antiqua"/>
        </w:rPr>
        <w:t>s proposed in their applications</w:t>
      </w:r>
      <w:r w:rsidR="00D1457E">
        <w:rPr>
          <w:rFonts w:eastAsia="Book Antiqua" w:cs="Book Antiqua"/>
          <w:szCs w:val="26"/>
        </w:rPr>
        <w:t xml:space="preserve"> a</w:t>
      </w:r>
      <w:r w:rsidRPr="3776745C" w:rsidR="00D1457E">
        <w:rPr>
          <w:rFonts w:eastAsia="Book Antiqua" w:cs="Book Antiqua"/>
        </w:rPr>
        <w:t>nd updated per the joint Tier 2 advice letter compliance filing</w:t>
      </w:r>
      <w:r w:rsidR="007601BB">
        <w:rPr>
          <w:rFonts w:eastAsia="Book Antiqua" w:cs="Book Antiqua"/>
        </w:rPr>
        <w:t>,</w:t>
      </w:r>
      <w:r w:rsidRPr="3776745C" w:rsidR="00D1457E">
        <w:rPr>
          <w:rFonts w:eastAsia="Book Antiqua" w:cs="Book Antiqua"/>
        </w:rPr>
        <w:t xml:space="preserve"> </w:t>
      </w:r>
      <w:r w:rsidRPr="00A65A5E">
        <w:rPr>
          <w:rFonts w:eastAsia="Book Antiqua" w:cs="Book Antiqua"/>
          <w:szCs w:val="26"/>
        </w:rPr>
        <w:t>is approved</w:t>
      </w:r>
      <w:r w:rsidRPr="00A65A5E">
        <w:t>.</w:t>
      </w:r>
    </w:p>
    <w:p w:rsidRPr="00A65A5E" w:rsidR="000C1980" w:rsidP="003D15AD" w:rsidRDefault="000C1980" w14:paraId="0F80EC41" w14:textId="28DF77CB">
      <w:pPr>
        <w:pStyle w:val="OP"/>
        <w:numPr>
          <w:ilvl w:val="0"/>
          <w:numId w:val="24"/>
        </w:numPr>
        <w:tabs>
          <w:tab w:val="left" w:pos="990"/>
        </w:tabs>
        <w:ind w:left="0" w:firstLine="547"/>
        <w:rPr>
          <w:rFonts w:eastAsia="Book Antiqua" w:cs="Book Antiqua"/>
        </w:rPr>
      </w:pPr>
      <w:r w:rsidRPr="00A65A5E">
        <w:rPr>
          <w:rFonts w:eastAsia="Book Antiqua" w:cs="Book Antiqua"/>
          <w:szCs w:val="26"/>
        </w:rPr>
        <w:t xml:space="preserve">Pacific Gas and Electric Company, Southern California Edison Company, Southern California Gas Company and San Diego Gas &amp; Electric Company </w:t>
      </w:r>
      <w:r w:rsidR="00BE41A7">
        <w:rPr>
          <w:rFonts w:eastAsia="Book Antiqua" w:cs="Book Antiqua"/>
          <w:szCs w:val="26"/>
        </w:rPr>
        <w:t>must</w:t>
      </w:r>
      <w:r w:rsidRPr="00A65A5E" w:rsidR="00BE41A7">
        <w:rPr>
          <w:rFonts w:eastAsia="Book Antiqua" w:cs="Book Antiqua"/>
          <w:szCs w:val="26"/>
        </w:rPr>
        <w:t xml:space="preserve"> </w:t>
      </w:r>
      <w:r w:rsidRPr="00A65A5E">
        <w:t xml:space="preserve">utilize the </w:t>
      </w:r>
      <w:r w:rsidR="00ED64AD">
        <w:t xml:space="preserve">Energy Savings Assistance (ESA) program </w:t>
      </w:r>
      <w:r w:rsidRPr="00A65A5E">
        <w:t xml:space="preserve">monthly reports (for notification purposes) for </w:t>
      </w:r>
      <w:r w:rsidR="00ED64AD">
        <w:t xml:space="preserve">ESA </w:t>
      </w:r>
      <w:r w:rsidRPr="00A65A5E">
        <w:t xml:space="preserve">measure mix changes. </w:t>
      </w:r>
    </w:p>
    <w:p w:rsidRPr="00A65A5E" w:rsidR="000C1980" w:rsidP="003D15AD" w:rsidRDefault="000C1980" w14:paraId="5FF42DE9" w14:textId="1BA8A14B">
      <w:pPr>
        <w:pStyle w:val="OP"/>
        <w:numPr>
          <w:ilvl w:val="0"/>
          <w:numId w:val="24"/>
        </w:numPr>
        <w:tabs>
          <w:tab w:val="left" w:pos="990"/>
        </w:tabs>
        <w:ind w:left="0" w:firstLine="547"/>
        <w:rPr>
          <w:rFonts w:eastAsia="Book Antiqua" w:cs="Book Antiqua"/>
        </w:rPr>
      </w:pPr>
      <w:r w:rsidRPr="00A65A5E">
        <w:rPr>
          <w:rFonts w:eastAsia="Book Antiqua" w:cs="Book Antiqua"/>
          <w:szCs w:val="26"/>
        </w:rPr>
        <w:t xml:space="preserve">Pacific Gas and Electric Company, Southern California Edison Company, Southern California Gas Company and San Diego Gas &amp; Electric Company </w:t>
      </w:r>
      <w:r w:rsidR="00BE41A7">
        <w:rPr>
          <w:rFonts w:eastAsia="Book Antiqua" w:cs="Book Antiqua"/>
          <w:szCs w:val="26"/>
        </w:rPr>
        <w:t>must</w:t>
      </w:r>
      <w:r w:rsidRPr="00A65A5E" w:rsidR="00BE41A7">
        <w:rPr>
          <w:rFonts w:eastAsia="Book Antiqua" w:cs="Book Antiqua"/>
          <w:szCs w:val="26"/>
        </w:rPr>
        <w:t xml:space="preserve"> </w:t>
      </w:r>
      <w:r w:rsidRPr="00A65A5E">
        <w:rPr>
          <w:rFonts w:eastAsia="Book Antiqua" w:cs="Book Antiqua"/>
          <w:szCs w:val="26"/>
        </w:rPr>
        <w:t xml:space="preserve">work with </w:t>
      </w:r>
      <w:r w:rsidRPr="00A65A5E">
        <w:t xml:space="preserve">parties and stakeholders to propose </w:t>
      </w:r>
      <w:r w:rsidR="001F7AF1">
        <w:t xml:space="preserve">Energy Savings Assistance (ESA) program </w:t>
      </w:r>
      <w:r w:rsidRPr="00A65A5E">
        <w:t xml:space="preserve">measure changes, through the </w:t>
      </w:r>
      <w:r w:rsidR="001F7AF1">
        <w:rPr>
          <w:szCs w:val="26"/>
        </w:rPr>
        <w:t xml:space="preserve">ESA </w:t>
      </w:r>
      <w:r w:rsidRPr="00A65A5E">
        <w:t xml:space="preserve">Working Group as </w:t>
      </w:r>
      <w:r w:rsidRPr="00A65A5E">
        <w:lastRenderedPageBreak/>
        <w:t xml:space="preserve">the venue to discuss these measure changes, as well as changes to measure co-pays and measure replacement criteria, before submitting them for notification through the </w:t>
      </w:r>
      <w:r w:rsidR="001F7AF1">
        <w:t xml:space="preserve">ESA </w:t>
      </w:r>
      <w:r w:rsidRPr="00A65A5E">
        <w:t xml:space="preserve">monthly reports.      </w:t>
      </w:r>
    </w:p>
    <w:p w:rsidRPr="00A65A5E" w:rsidR="000C1980" w:rsidP="003D15AD" w:rsidRDefault="000C1980" w14:paraId="46057BBB" w14:textId="3CA7276C">
      <w:pPr>
        <w:pStyle w:val="OP"/>
        <w:numPr>
          <w:ilvl w:val="0"/>
          <w:numId w:val="24"/>
        </w:numPr>
        <w:tabs>
          <w:tab w:val="left" w:pos="990"/>
        </w:tabs>
        <w:ind w:left="0" w:firstLine="547"/>
        <w:rPr>
          <w:rFonts w:eastAsia="Book Antiqua" w:cs="Book Antiqua"/>
        </w:rPr>
      </w:pPr>
      <w:r w:rsidRPr="00A65A5E">
        <w:rPr>
          <w:rFonts w:eastAsia="Book Antiqua" w:cs="Book Antiqua"/>
          <w:szCs w:val="26"/>
        </w:rPr>
        <w:t xml:space="preserve">Pacific Gas and Electric Company, Southern California Edison Company, Southern California Gas Company and San Diego Gas &amp; Electric Company </w:t>
      </w:r>
      <w:r w:rsidR="00BE41A7">
        <w:rPr>
          <w:rFonts w:eastAsiaTheme="minorEastAsia"/>
        </w:rPr>
        <w:t>must</w:t>
      </w:r>
      <w:r w:rsidRPr="00A65A5E" w:rsidR="00BE41A7">
        <w:rPr>
          <w:rFonts w:eastAsiaTheme="minorEastAsia"/>
        </w:rPr>
        <w:t xml:space="preserve"> </w:t>
      </w:r>
      <w:r w:rsidRPr="00A65A5E">
        <w:rPr>
          <w:rFonts w:eastAsiaTheme="minorEastAsia"/>
        </w:rPr>
        <w:t xml:space="preserve">continue to target and treat </w:t>
      </w:r>
      <w:r w:rsidR="004E206B">
        <w:t>Energy Savings Assistance program</w:t>
      </w:r>
      <w:r w:rsidRPr="00A65A5E" w:rsidR="004E206B">
        <w:rPr>
          <w:rFonts w:eastAsiaTheme="minorEastAsia"/>
        </w:rPr>
        <w:t xml:space="preserve"> </w:t>
      </w:r>
      <w:r w:rsidRPr="00A65A5E">
        <w:rPr>
          <w:rFonts w:eastAsiaTheme="minorEastAsia"/>
        </w:rPr>
        <w:t xml:space="preserve">customers within the mobile home sector who are a part of multiple need states. </w:t>
      </w:r>
    </w:p>
    <w:p w:rsidRPr="00A65A5E" w:rsidR="000C1980" w:rsidP="003D15AD" w:rsidRDefault="000C1980" w14:paraId="5B688747" w14:textId="7AECFBE4">
      <w:pPr>
        <w:pStyle w:val="OP"/>
        <w:numPr>
          <w:ilvl w:val="0"/>
          <w:numId w:val="24"/>
        </w:numPr>
        <w:tabs>
          <w:tab w:val="left" w:pos="990"/>
        </w:tabs>
        <w:ind w:left="0" w:firstLine="547"/>
        <w:rPr>
          <w:rFonts w:eastAsia="Book Antiqua" w:cs="Book Antiqua"/>
        </w:rPr>
      </w:pPr>
      <w:r w:rsidRPr="00A65A5E">
        <w:rPr>
          <w:rFonts w:eastAsia="Book Antiqua" w:cs="Book Antiqua"/>
          <w:szCs w:val="26"/>
        </w:rPr>
        <w:t xml:space="preserve">Pacific Gas and Electric Company, Southern California Edison Company, Southern California Gas Company and San Diego Gas &amp; Electric Company </w:t>
      </w:r>
      <w:r w:rsidR="00BE41A7">
        <w:rPr>
          <w:rFonts w:eastAsia="Book Antiqua" w:cs="Book Antiqua"/>
          <w:szCs w:val="26"/>
        </w:rPr>
        <w:t>must</w:t>
      </w:r>
      <w:r w:rsidRPr="00A65A5E" w:rsidR="00BE41A7">
        <w:rPr>
          <w:rFonts w:eastAsiaTheme="minorEastAsia"/>
        </w:rPr>
        <w:t xml:space="preserve"> </w:t>
      </w:r>
      <w:r w:rsidRPr="00A65A5E">
        <w:rPr>
          <w:rFonts w:eastAsiaTheme="minorEastAsia"/>
        </w:rPr>
        <w:t xml:space="preserve">continue to report on and study the </w:t>
      </w:r>
      <w:proofErr w:type="gramStart"/>
      <w:r w:rsidR="004E206B">
        <w:rPr>
          <w:rFonts w:eastAsiaTheme="minorEastAsia"/>
        </w:rPr>
        <w:t>low income</w:t>
      </w:r>
      <w:proofErr w:type="gramEnd"/>
      <w:r w:rsidR="004E206B">
        <w:rPr>
          <w:rFonts w:eastAsiaTheme="minorEastAsia"/>
        </w:rPr>
        <w:t xml:space="preserve"> </w:t>
      </w:r>
      <w:r w:rsidRPr="00A65A5E">
        <w:rPr>
          <w:rFonts w:eastAsiaTheme="minorEastAsia"/>
        </w:rPr>
        <w:t xml:space="preserve">mobile home segment, understand its needs, proposes new </w:t>
      </w:r>
      <w:r w:rsidR="004E206B">
        <w:t>Energy Savings Assistance program</w:t>
      </w:r>
      <w:r w:rsidRPr="00A65A5E" w:rsidR="004E206B">
        <w:rPr>
          <w:rFonts w:eastAsiaTheme="minorEastAsia"/>
        </w:rPr>
        <w:t xml:space="preserve"> </w:t>
      </w:r>
      <w:r w:rsidRPr="00A65A5E">
        <w:rPr>
          <w:rFonts w:eastAsiaTheme="minorEastAsia"/>
        </w:rPr>
        <w:t xml:space="preserve">measures as they become available, and propose modifications as they see fit and effective. </w:t>
      </w:r>
    </w:p>
    <w:p w:rsidRPr="00A65A5E" w:rsidR="000C1980" w:rsidP="003D15AD" w:rsidRDefault="00E04764" w14:paraId="541AA089" w14:textId="1DFA76D5">
      <w:pPr>
        <w:pStyle w:val="OP"/>
        <w:numPr>
          <w:ilvl w:val="0"/>
          <w:numId w:val="24"/>
        </w:numPr>
        <w:tabs>
          <w:tab w:val="left" w:pos="990"/>
        </w:tabs>
        <w:ind w:left="0" w:firstLine="547"/>
        <w:rPr>
          <w:rFonts w:eastAsia="Book Antiqua" w:cs="Book Antiqua"/>
        </w:rPr>
      </w:pPr>
      <w:r w:rsidRPr="00E04764">
        <w:rPr>
          <w:rFonts w:eastAsiaTheme="minorEastAsia"/>
        </w:rPr>
        <w:t xml:space="preserve">Pacific Gas and Electric Company, Southern California Edison Company, Southern California Gas Company and San Diego Gas &amp; Electric Company must </w:t>
      </w:r>
      <w:r w:rsidRPr="00A65A5E" w:rsidR="000C1980">
        <w:t xml:space="preserve">refer customers who have already received </w:t>
      </w:r>
      <w:r w:rsidRPr="00BB382A" w:rsidR="00BB382A">
        <w:t>Energy Savings Assistance program</w:t>
      </w:r>
      <w:r w:rsidRPr="00BB382A" w:rsidDel="00BB382A" w:rsidR="00BB382A">
        <w:t xml:space="preserve"> </w:t>
      </w:r>
      <w:r w:rsidRPr="00A65A5E" w:rsidR="000C1980">
        <w:t>treatment, and who may be candidates for additional solar measures, to these existing programs (</w:t>
      </w:r>
      <w:r w:rsidR="006902D2">
        <w:t>e.g.,</w:t>
      </w:r>
      <w:r w:rsidR="00802A89">
        <w:t xml:space="preserve"> </w:t>
      </w:r>
      <w:r w:rsidRPr="00A65A5E" w:rsidR="000C1980">
        <w:t xml:space="preserve">SOMAH, DAC-SASH, SGIP, etc.).  </w:t>
      </w:r>
    </w:p>
    <w:p w:rsidRPr="00A65A5E" w:rsidR="000C1980" w:rsidP="003D15AD" w:rsidRDefault="000C1980" w14:paraId="7A256130" w14:textId="0EAC1603">
      <w:pPr>
        <w:pStyle w:val="OP"/>
        <w:numPr>
          <w:ilvl w:val="0"/>
          <w:numId w:val="24"/>
        </w:numPr>
        <w:tabs>
          <w:tab w:val="left" w:pos="990"/>
        </w:tabs>
        <w:ind w:left="0" w:firstLine="547"/>
        <w:rPr>
          <w:rFonts w:eastAsia="Book Antiqua" w:cs="Book Antiqua"/>
        </w:rPr>
      </w:pPr>
      <w:r w:rsidRPr="00A65A5E">
        <w:rPr>
          <w:rFonts w:eastAsia="Book Antiqua" w:cs="Book Antiqua"/>
          <w:szCs w:val="26"/>
        </w:rPr>
        <w:t xml:space="preserve">Pacific Gas and Electric Company, Southern California Edison Company, Southern California Gas Company and San Diego Gas &amp; Electric Company </w:t>
      </w:r>
      <w:r w:rsidR="00BB382A">
        <w:rPr>
          <w:rFonts w:eastAsia="Book Antiqua" w:cs="Book Antiqua"/>
          <w:szCs w:val="26"/>
        </w:rPr>
        <w:t>must</w:t>
      </w:r>
      <w:r w:rsidRPr="00A65A5E" w:rsidR="00BB382A">
        <w:rPr>
          <w:rFonts w:eastAsiaTheme="minorEastAsia"/>
        </w:rPr>
        <w:t xml:space="preserve"> </w:t>
      </w:r>
      <w:r w:rsidRPr="00A65A5E">
        <w:rPr>
          <w:rFonts w:eastAsiaTheme="minorEastAsia"/>
        </w:rPr>
        <w:t xml:space="preserve">continue to </w:t>
      </w:r>
      <w:r w:rsidRPr="00A65A5E">
        <w:t xml:space="preserve">offer the most effective </w:t>
      </w:r>
      <w:r w:rsidR="00513843">
        <w:t>Energy Savings Assistance program</w:t>
      </w:r>
      <w:r w:rsidRPr="00A65A5E" w:rsidR="00513843">
        <w:t xml:space="preserve"> </w:t>
      </w:r>
      <w:r w:rsidRPr="00A65A5E">
        <w:t>package</w:t>
      </w:r>
      <w:r w:rsidR="00513843">
        <w:t>s</w:t>
      </w:r>
      <w:r w:rsidRPr="00A65A5E">
        <w:t xml:space="preserve"> consisting of both gas and electric measures based on the customer’s need or need states.  </w:t>
      </w:r>
    </w:p>
    <w:p w:rsidRPr="00A65A5E" w:rsidR="000C1980" w:rsidP="003D15AD" w:rsidRDefault="000C1980" w14:paraId="070E6773" w14:textId="507C7B74">
      <w:pPr>
        <w:pStyle w:val="OP"/>
        <w:numPr>
          <w:ilvl w:val="0"/>
          <w:numId w:val="24"/>
        </w:numPr>
        <w:tabs>
          <w:tab w:val="left" w:pos="990"/>
        </w:tabs>
        <w:ind w:left="0" w:firstLine="547"/>
        <w:rPr>
          <w:rFonts w:eastAsia="Book Antiqua" w:cs="Book Antiqua"/>
        </w:rPr>
      </w:pPr>
      <w:r w:rsidRPr="00A65A5E">
        <w:t xml:space="preserve">Pacific Gas and Electric Company, Southern California Edison Company, Southern California Gas Company and San Diego Gas &amp; Electric Company </w:t>
      </w:r>
      <w:r w:rsidR="00BB382A">
        <w:t>must</w:t>
      </w:r>
      <w:r w:rsidRPr="00A65A5E" w:rsidR="00BB382A">
        <w:rPr>
          <w:rFonts w:eastAsiaTheme="minorEastAsia"/>
        </w:rPr>
        <w:t xml:space="preserve"> </w:t>
      </w:r>
      <w:r w:rsidRPr="00A65A5E">
        <w:t xml:space="preserve">use the </w:t>
      </w:r>
      <w:r w:rsidRPr="00A65A5E">
        <w:rPr>
          <w:szCs w:val="26"/>
        </w:rPr>
        <w:t>Energy Savings Assistance</w:t>
      </w:r>
      <w:r w:rsidRPr="00A65A5E">
        <w:t xml:space="preserve"> Working Group to address </w:t>
      </w:r>
      <w:r w:rsidRPr="00A65A5E">
        <w:lastRenderedPageBreak/>
        <w:t xml:space="preserve">the issue of healthy building material and consider the benefits of incorporating healthy building materials into the Installation Standards Manual against any additional costs to the program and potential adverse impacts to cost-effectiveness. </w:t>
      </w:r>
    </w:p>
    <w:p w:rsidRPr="00A65A5E" w:rsidR="000C1980" w:rsidP="003D15AD" w:rsidRDefault="000C1980" w14:paraId="4EA367BD" w14:textId="2592CF21">
      <w:pPr>
        <w:pStyle w:val="OP"/>
        <w:numPr>
          <w:ilvl w:val="0"/>
          <w:numId w:val="24"/>
        </w:numPr>
        <w:tabs>
          <w:tab w:val="left" w:pos="990"/>
        </w:tabs>
        <w:ind w:left="0" w:firstLine="547"/>
        <w:rPr>
          <w:rFonts w:eastAsia="Calibri"/>
        </w:rPr>
      </w:pPr>
      <w:r w:rsidRPr="00A65A5E">
        <w:rPr>
          <w:rFonts w:eastAsia="Book Antiqua" w:cs="Book Antiqua"/>
          <w:szCs w:val="26"/>
        </w:rPr>
        <w:t xml:space="preserve">Pacific Gas and Electric Company, Southern California Edison Company, Southern California Gas Company and San Diego Gas &amp; Electric Company </w:t>
      </w:r>
      <w:r w:rsidR="00BB382A">
        <w:rPr>
          <w:rFonts w:eastAsia="Book Antiqua" w:cs="Book Antiqua"/>
          <w:szCs w:val="26"/>
        </w:rPr>
        <w:t>must</w:t>
      </w:r>
      <w:r w:rsidRPr="00A65A5E" w:rsidR="00BB382A">
        <w:rPr>
          <w:rFonts w:eastAsiaTheme="minorEastAsia"/>
        </w:rPr>
        <w:t xml:space="preserve"> </w:t>
      </w:r>
      <w:r w:rsidRPr="00A65A5E">
        <w:t xml:space="preserve">gather information to consider the </w:t>
      </w:r>
      <w:r w:rsidR="00C64821">
        <w:t>Energy Savings Assistance program’s</w:t>
      </w:r>
      <w:r w:rsidRPr="00A65A5E" w:rsidR="00C64821">
        <w:t xml:space="preserve"> </w:t>
      </w:r>
      <w:r w:rsidRPr="00A65A5E">
        <w:t xml:space="preserve">contractors’ use of healthy building materials through the contract solicitation and request for proposal process. </w:t>
      </w:r>
    </w:p>
    <w:p w:rsidRPr="00A65A5E" w:rsidR="000C1980" w:rsidP="003D15AD" w:rsidRDefault="00A10689" w14:paraId="52B9DB3A" w14:textId="3BA6CD8B">
      <w:pPr>
        <w:pStyle w:val="OP"/>
        <w:numPr>
          <w:ilvl w:val="0"/>
          <w:numId w:val="24"/>
        </w:numPr>
        <w:tabs>
          <w:tab w:val="left" w:pos="990"/>
        </w:tabs>
        <w:ind w:left="0" w:firstLine="547"/>
        <w:rPr>
          <w:rFonts w:eastAsia="Calibri"/>
        </w:rPr>
      </w:pPr>
      <w:r w:rsidRPr="00A10689">
        <w:rPr>
          <w:szCs w:val="26"/>
        </w:rPr>
        <w:t xml:space="preserve">Pacific Gas and Electric Company, Southern California Edison Company, Southern California Gas Company and San Diego Gas &amp; Electric Company must </w:t>
      </w:r>
      <w:r w:rsidRPr="00A65A5E" w:rsidR="000C1980">
        <w:t xml:space="preserve">increase the </w:t>
      </w:r>
      <w:r w:rsidRPr="00A65A5E">
        <w:rPr>
          <w:szCs w:val="26"/>
        </w:rPr>
        <w:t>Energy Savings Assistance</w:t>
      </w:r>
      <w:r w:rsidRPr="00A65A5E" w:rsidDel="00D234DA">
        <w:t xml:space="preserve"> </w:t>
      </w:r>
      <w:r w:rsidR="00C64821">
        <w:t xml:space="preserve">(ESA) </w:t>
      </w:r>
      <w:r>
        <w:t>program</w:t>
      </w:r>
      <w:r w:rsidR="00D078F7">
        <w:t xml:space="preserve">’s </w:t>
      </w:r>
      <w:r w:rsidRPr="00A65A5E" w:rsidR="000C1980">
        <w:t xml:space="preserve">minor home repair cap to $2,500.  The Utilities </w:t>
      </w:r>
      <w:r>
        <w:rPr>
          <w:rFonts w:eastAsia="Book Antiqua" w:cs="Book Antiqua"/>
          <w:szCs w:val="26"/>
        </w:rPr>
        <w:t>must</w:t>
      </w:r>
      <w:r w:rsidRPr="00A65A5E">
        <w:rPr>
          <w:rFonts w:eastAsiaTheme="minorEastAsia"/>
        </w:rPr>
        <w:t xml:space="preserve"> </w:t>
      </w:r>
      <w:r w:rsidRPr="00A65A5E" w:rsidDel="00D234DA" w:rsidR="000C1980">
        <w:t>monitor the minor home repairs cap to ensure an appropriate share of total program budget</w:t>
      </w:r>
      <w:r w:rsidRPr="00A65A5E" w:rsidR="000C1980">
        <w:t xml:space="preserve">, and the </w:t>
      </w:r>
      <w:r w:rsidR="00C64821">
        <w:rPr>
          <w:szCs w:val="26"/>
        </w:rPr>
        <w:t xml:space="preserve">ESA </w:t>
      </w:r>
      <w:r w:rsidRPr="00A65A5E" w:rsidDel="00D234DA" w:rsidR="000C1980">
        <w:t xml:space="preserve">Working Group </w:t>
      </w:r>
      <w:r w:rsidRPr="00A65A5E" w:rsidR="000C1980">
        <w:t xml:space="preserve">is </w:t>
      </w:r>
      <w:r w:rsidR="00B764D4">
        <w:t>authorized</w:t>
      </w:r>
      <w:r w:rsidRPr="00A65A5E" w:rsidDel="00D234DA" w:rsidR="00B764D4">
        <w:t xml:space="preserve"> </w:t>
      </w:r>
      <w:r w:rsidRPr="00A65A5E" w:rsidDel="00D234DA" w:rsidR="000C1980">
        <w:t>to adjust the minor home repairs cap to up to 150 percent of average household costs</w:t>
      </w:r>
      <w:r w:rsidRPr="00A65A5E" w:rsidR="000C1980">
        <w:t>.</w:t>
      </w:r>
    </w:p>
    <w:p w:rsidRPr="00A65A5E" w:rsidR="000C1980" w:rsidP="003D15AD" w:rsidRDefault="000C1980" w14:paraId="50C41499" w14:textId="39BC0E97">
      <w:pPr>
        <w:pStyle w:val="OP"/>
        <w:numPr>
          <w:ilvl w:val="0"/>
          <w:numId w:val="24"/>
        </w:numPr>
        <w:tabs>
          <w:tab w:val="left" w:pos="990"/>
        </w:tabs>
        <w:ind w:left="0" w:firstLine="547"/>
        <w:rPr>
          <w:rFonts w:eastAsiaTheme="minorEastAsia"/>
        </w:rPr>
      </w:pPr>
      <w:r w:rsidRPr="00A65A5E">
        <w:rPr>
          <w:szCs w:val="26"/>
        </w:rPr>
        <w:t xml:space="preserve">Pacific Gas and Electric Company, Southern California Edison Company, Southern California Gas Company and San Diego Gas &amp; Electric Company </w:t>
      </w:r>
      <w:r w:rsidR="001E0492">
        <w:rPr>
          <w:szCs w:val="26"/>
        </w:rPr>
        <w:t>must</w:t>
      </w:r>
      <w:r w:rsidRPr="00A65A5E" w:rsidR="001E0492">
        <w:rPr>
          <w:rFonts w:eastAsiaTheme="minorEastAsia"/>
        </w:rPr>
        <w:t xml:space="preserve"> </w:t>
      </w:r>
      <w:r w:rsidRPr="00A65A5E">
        <w:rPr>
          <w:rFonts w:eastAsiaTheme="minorEastAsia"/>
        </w:rPr>
        <w:t xml:space="preserve">add, remove, and/or modify measures, via the </w:t>
      </w:r>
      <w:r w:rsidRPr="00E15C57" w:rsidR="00E15C57">
        <w:rPr>
          <w:rFonts w:eastAsiaTheme="minorEastAsia"/>
        </w:rPr>
        <w:t xml:space="preserve">Energy Savings Assistance </w:t>
      </w:r>
      <w:r w:rsidR="00D55861">
        <w:rPr>
          <w:rFonts w:eastAsiaTheme="minorEastAsia"/>
        </w:rPr>
        <w:t xml:space="preserve">(ESA) </w:t>
      </w:r>
      <w:r w:rsidR="00367AA4">
        <w:rPr>
          <w:rFonts w:eastAsiaTheme="minorEastAsia"/>
        </w:rPr>
        <w:t xml:space="preserve">monthly </w:t>
      </w:r>
      <w:r w:rsidRPr="00A65A5E">
        <w:rPr>
          <w:rFonts w:eastAsiaTheme="minorEastAsia"/>
        </w:rPr>
        <w:t>reports, so long as it does not result in spending beyond the approved budgets or adversely impact cost</w:t>
      </w:r>
      <w:r w:rsidR="00D55861">
        <w:rPr>
          <w:rFonts w:eastAsiaTheme="minorEastAsia"/>
        </w:rPr>
        <w:t xml:space="preserve"> </w:t>
      </w:r>
      <w:r w:rsidRPr="00A65A5E">
        <w:rPr>
          <w:rFonts w:eastAsiaTheme="minorEastAsia"/>
        </w:rPr>
        <w:t xml:space="preserve">effectiveness results.  The Utilities </w:t>
      </w:r>
      <w:r w:rsidR="00E15C57">
        <w:rPr>
          <w:rFonts w:eastAsiaTheme="minorEastAsia"/>
        </w:rPr>
        <w:t>must</w:t>
      </w:r>
      <w:r w:rsidRPr="00A65A5E" w:rsidR="00E15C57">
        <w:rPr>
          <w:rFonts w:eastAsiaTheme="minorEastAsia"/>
        </w:rPr>
        <w:t xml:space="preserve"> </w:t>
      </w:r>
      <w:r w:rsidRPr="00A65A5E">
        <w:t xml:space="preserve">discuss the revisions through the </w:t>
      </w:r>
      <w:r w:rsidR="00D55861">
        <w:rPr>
          <w:szCs w:val="26"/>
        </w:rPr>
        <w:t>ESA</w:t>
      </w:r>
      <w:r w:rsidRPr="00A65A5E">
        <w:rPr>
          <w:szCs w:val="26"/>
        </w:rPr>
        <w:t xml:space="preserve"> </w:t>
      </w:r>
      <w:r w:rsidRPr="00A65A5E">
        <w:t>Working Group first before submitting for notification through monthly reports</w:t>
      </w:r>
      <w:r w:rsidR="00E15C57">
        <w:t>.</w:t>
      </w:r>
    </w:p>
    <w:p w:rsidRPr="00A65A5E" w:rsidR="000C1980" w:rsidP="003D15AD" w:rsidRDefault="000C1980" w14:paraId="0D571145" w14:textId="6B643998">
      <w:pPr>
        <w:pStyle w:val="OP"/>
        <w:numPr>
          <w:ilvl w:val="0"/>
          <w:numId w:val="24"/>
        </w:numPr>
        <w:tabs>
          <w:tab w:val="left" w:pos="990"/>
        </w:tabs>
        <w:ind w:left="0" w:firstLine="547"/>
        <w:rPr>
          <w:rFonts w:eastAsiaTheme="minorEastAsia"/>
        </w:rPr>
      </w:pPr>
      <w:r w:rsidRPr="00A65A5E">
        <w:rPr>
          <w:szCs w:val="26"/>
        </w:rPr>
        <w:t>Pacific Gas and Electric Company, Southern California Edison Company, Southern California Gas Company and San Diego Gas &amp; Electric Company</w:t>
      </w:r>
      <w:r w:rsidRPr="00A65A5E">
        <w:rPr>
          <w:rFonts w:eastAsiaTheme="minorEastAsia"/>
        </w:rPr>
        <w:t xml:space="preserve"> </w:t>
      </w:r>
      <w:r w:rsidR="00E15C57">
        <w:rPr>
          <w:rFonts w:eastAsiaTheme="minorEastAsia"/>
        </w:rPr>
        <w:t>must</w:t>
      </w:r>
      <w:r w:rsidRPr="00A65A5E" w:rsidR="00E15C57">
        <w:rPr>
          <w:rFonts w:eastAsiaTheme="minorEastAsia"/>
        </w:rPr>
        <w:t xml:space="preserve"> </w:t>
      </w:r>
      <w:r w:rsidRPr="00A65A5E">
        <w:rPr>
          <w:rFonts w:eastAsiaTheme="minorEastAsia"/>
        </w:rPr>
        <w:t xml:space="preserve">develop and maintain a list of </w:t>
      </w:r>
      <w:r w:rsidR="00201EDB">
        <w:t xml:space="preserve">Energy Savings Assistance </w:t>
      </w:r>
      <w:r w:rsidR="00201EDB">
        <w:lastRenderedPageBreak/>
        <w:t>program</w:t>
      </w:r>
      <w:r w:rsidRPr="00A65A5E" w:rsidR="00201EDB">
        <w:rPr>
          <w:rFonts w:eastAsiaTheme="minorEastAsia"/>
        </w:rPr>
        <w:t xml:space="preserve"> </w:t>
      </w:r>
      <w:r w:rsidRPr="00A65A5E">
        <w:rPr>
          <w:rFonts w:eastAsiaTheme="minorEastAsia"/>
        </w:rPr>
        <w:t xml:space="preserve">measures, </w:t>
      </w:r>
      <w:r w:rsidRPr="00A65A5E" w:rsidR="00F2506A">
        <w:rPr>
          <w:rFonts w:eastAsiaTheme="minorEastAsia"/>
        </w:rPr>
        <w:t>that should be offered throughout the state, even if a measure would only be installed if it is cost</w:t>
      </w:r>
      <w:r w:rsidR="00F2506A">
        <w:rPr>
          <w:rFonts w:eastAsiaTheme="minorEastAsia"/>
        </w:rPr>
        <w:t xml:space="preserve"> </w:t>
      </w:r>
      <w:r w:rsidRPr="00A65A5E" w:rsidR="00F2506A">
        <w:rPr>
          <w:rFonts w:eastAsiaTheme="minorEastAsia"/>
        </w:rPr>
        <w:t xml:space="preserve">effective </w:t>
      </w:r>
      <w:r w:rsidRPr="3776745C" w:rsidR="00F2506A">
        <w:rPr>
          <w:rFonts w:eastAsiaTheme="minorEastAsia"/>
        </w:rPr>
        <w:t>for a specific utility or climate zone</w:t>
      </w:r>
      <w:r w:rsidRPr="00A65A5E" w:rsidDel="00E307D7" w:rsidR="00F2506A">
        <w:rPr>
          <w:rFonts w:eastAsiaTheme="minorEastAsia"/>
        </w:rPr>
        <w:t xml:space="preserve"> </w:t>
      </w:r>
      <w:r w:rsidRPr="00A65A5E" w:rsidR="00F2506A">
        <w:rPr>
          <w:rFonts w:eastAsiaTheme="minorEastAsia"/>
        </w:rPr>
        <w:t xml:space="preserve">or offers a health, comfort and safety benefit and is appropriate considering the </w:t>
      </w:r>
      <w:r w:rsidR="00F2506A">
        <w:rPr>
          <w:rFonts w:eastAsiaTheme="minorEastAsia"/>
        </w:rPr>
        <w:t>Utilities</w:t>
      </w:r>
      <w:r w:rsidRPr="00A65A5E" w:rsidR="00F2506A">
        <w:rPr>
          <w:rFonts w:eastAsiaTheme="minorEastAsia"/>
        </w:rPr>
        <w:t xml:space="preserve">’ proposed program delivery model and the customer segmentation. </w:t>
      </w:r>
      <w:r w:rsidR="00F2506A">
        <w:rPr>
          <w:rFonts w:eastAsiaTheme="minorEastAsia"/>
        </w:rPr>
        <w:t xml:space="preserve">The Utilities must note </w:t>
      </w:r>
      <w:r w:rsidRPr="3776745C" w:rsidR="00D10B91">
        <w:rPr>
          <w:rFonts w:eastAsiaTheme="minorEastAsia"/>
        </w:rPr>
        <w:t>whether the measure is consistent or different across the utilities,</w:t>
      </w:r>
      <w:r w:rsidR="00D10B91">
        <w:rPr>
          <w:rFonts w:eastAsiaTheme="minorEastAsia"/>
        </w:rPr>
        <w:t xml:space="preserve"> </w:t>
      </w:r>
      <w:r w:rsidRPr="00A65A5E">
        <w:rPr>
          <w:rFonts w:eastAsiaTheme="minorEastAsia"/>
        </w:rPr>
        <w:t xml:space="preserve">both for the post-decision joint </w:t>
      </w:r>
      <w:r w:rsidRPr="00A65A5E">
        <w:t>Tier 2 advice letter compliance filing</w:t>
      </w:r>
      <w:r w:rsidR="00AC1D87">
        <w:t>,</w:t>
      </w:r>
      <w:r w:rsidRPr="00AC1D87" w:rsidR="00AC1D87">
        <w:t xml:space="preserve"> </w:t>
      </w:r>
      <w:r w:rsidR="00AC1D87">
        <w:t>per Attachment 3,</w:t>
      </w:r>
      <w:r w:rsidRPr="002A560C" w:rsidR="00AC1D87">
        <w:t xml:space="preserve"> </w:t>
      </w:r>
      <w:r w:rsidRPr="00A65A5E">
        <w:rPr>
          <w:rFonts w:eastAsiaTheme="minorEastAsia"/>
        </w:rPr>
        <w:t xml:space="preserve">as well as in the ongoing Policies and Procedures Manual, across all </w:t>
      </w:r>
      <w:r w:rsidR="00AC1D87">
        <w:rPr>
          <w:rFonts w:eastAsiaTheme="minorEastAsia"/>
        </w:rPr>
        <w:t>utility</w:t>
      </w:r>
      <w:r w:rsidRPr="00A65A5E" w:rsidR="00AC1D87">
        <w:rPr>
          <w:rFonts w:eastAsiaTheme="minorEastAsia"/>
        </w:rPr>
        <w:t xml:space="preserve"> </w:t>
      </w:r>
      <w:r w:rsidRPr="00A65A5E">
        <w:rPr>
          <w:rFonts w:eastAsiaTheme="minorEastAsia"/>
        </w:rPr>
        <w:t>territories.</w:t>
      </w:r>
    </w:p>
    <w:p w:rsidRPr="00A65A5E" w:rsidR="000C1980" w:rsidP="003D15AD" w:rsidRDefault="000C1980" w14:paraId="603E35D1" w14:textId="012802AC">
      <w:pPr>
        <w:pStyle w:val="OP"/>
        <w:numPr>
          <w:ilvl w:val="0"/>
          <w:numId w:val="24"/>
        </w:numPr>
        <w:tabs>
          <w:tab w:val="left" w:pos="990"/>
        </w:tabs>
        <w:ind w:left="0" w:firstLine="547"/>
        <w:rPr>
          <w:rFonts w:eastAsiaTheme="minorEastAsia"/>
        </w:rPr>
      </w:pPr>
      <w:r w:rsidRPr="00A65A5E">
        <w:rPr>
          <w:szCs w:val="26"/>
        </w:rPr>
        <w:t>Pacific Gas and Electric Company, Southern California Edison Company, Southern California Gas Company and San Diego Gas &amp; Electric Company</w:t>
      </w:r>
      <w:r w:rsidRPr="00A65A5E">
        <w:rPr>
          <w:rFonts w:eastAsiaTheme="minorEastAsia"/>
        </w:rPr>
        <w:t xml:space="preserve"> </w:t>
      </w:r>
      <w:r w:rsidR="00F57C00">
        <w:rPr>
          <w:rFonts w:eastAsiaTheme="minorEastAsia"/>
        </w:rPr>
        <w:t>must</w:t>
      </w:r>
      <w:r w:rsidRPr="00A65A5E" w:rsidR="00F57C00">
        <w:rPr>
          <w:rFonts w:eastAsiaTheme="minorEastAsia"/>
        </w:rPr>
        <w:t xml:space="preserve"> </w:t>
      </w:r>
      <w:r w:rsidRPr="00A65A5E">
        <w:t xml:space="preserve">map the list of </w:t>
      </w:r>
      <w:r w:rsidR="00A039E9">
        <w:t>Energy Savings Assistance program</w:t>
      </w:r>
      <w:r w:rsidRPr="00A65A5E" w:rsidR="00A039E9">
        <w:t xml:space="preserve"> </w:t>
      </w:r>
      <w:r w:rsidRPr="00A65A5E">
        <w:t>measures to the</w:t>
      </w:r>
      <w:r w:rsidRPr="00A65A5E">
        <w:rPr>
          <w:rFonts w:eastAsiaTheme="minorEastAsia"/>
        </w:rPr>
        <w:t xml:space="preserve"> proposed </w:t>
      </w:r>
      <w:r w:rsidR="00A039E9">
        <w:rPr>
          <w:rFonts w:eastAsiaTheme="minorEastAsia"/>
        </w:rPr>
        <w:t xml:space="preserve">customer </w:t>
      </w:r>
      <w:r w:rsidRPr="00A65A5E">
        <w:rPr>
          <w:rFonts w:eastAsiaTheme="minorEastAsia"/>
        </w:rPr>
        <w:t xml:space="preserve">segments, as well as the treatment tiers, and to note where they are consistent or different across the </w:t>
      </w:r>
      <w:r>
        <w:rPr>
          <w:rFonts w:eastAsiaTheme="minorEastAsia"/>
        </w:rPr>
        <w:t>Utilities</w:t>
      </w:r>
      <w:r w:rsidRPr="00A65A5E">
        <w:rPr>
          <w:rFonts w:eastAsiaTheme="minorEastAsia"/>
        </w:rPr>
        <w:t>, in the joint compliance advice letter filing</w:t>
      </w:r>
      <w:r w:rsidR="000E7DB5">
        <w:rPr>
          <w:rFonts w:eastAsiaTheme="minorEastAsia"/>
        </w:rPr>
        <w:t>, per Attachment 3</w:t>
      </w:r>
      <w:r w:rsidRPr="00A65A5E">
        <w:rPr>
          <w:rFonts w:eastAsiaTheme="minorEastAsia"/>
        </w:rPr>
        <w:t>.</w:t>
      </w:r>
    </w:p>
    <w:p w:rsidRPr="00A65A5E" w:rsidR="000C1980" w:rsidP="003D15AD" w:rsidRDefault="000C1980" w14:paraId="4DA38424" w14:textId="702C4CDD">
      <w:pPr>
        <w:pStyle w:val="OP"/>
        <w:numPr>
          <w:ilvl w:val="0"/>
          <w:numId w:val="24"/>
        </w:numPr>
        <w:tabs>
          <w:tab w:val="left" w:pos="990"/>
        </w:tabs>
        <w:ind w:left="0" w:firstLine="547"/>
      </w:pPr>
      <w:r w:rsidRPr="00A65A5E">
        <w:rPr>
          <w:szCs w:val="26"/>
        </w:rPr>
        <w:t>Pacific Gas and Electric Company, Southern California Edison Company, Southern California Gas Company and San Diego Gas &amp; Electric Company’s</w:t>
      </w:r>
      <w:r w:rsidRPr="00A65A5E">
        <w:rPr>
          <w:rFonts w:eastAsiaTheme="minorEastAsia"/>
        </w:rPr>
        <w:t xml:space="preserve"> customer segment </w:t>
      </w:r>
      <w:r w:rsidRPr="00A65A5E">
        <w:t>prioritizations</w:t>
      </w:r>
      <w:r w:rsidR="00B744E6">
        <w:t>,</w:t>
      </w:r>
      <w:r w:rsidRPr="00B744E6" w:rsidR="00B744E6">
        <w:t xml:space="preserve"> </w:t>
      </w:r>
      <w:r w:rsidR="00B744E6">
        <w:t>as proposed in their applications</w:t>
      </w:r>
      <w:r w:rsidR="0001016C">
        <w:t xml:space="preserve">, are </w:t>
      </w:r>
      <w:proofErr w:type="gramStart"/>
      <w:r w:rsidR="0001016C">
        <w:t>approved</w:t>
      </w:r>
      <w:proofErr w:type="gramEnd"/>
      <w:r w:rsidR="00B744E6">
        <w:t xml:space="preserve"> </w:t>
      </w:r>
      <w:r w:rsidRPr="3776745C" w:rsidR="00B744E6">
        <w:rPr>
          <w:rFonts w:eastAsia="Book Antiqua" w:cs="Book Antiqua"/>
        </w:rPr>
        <w:t xml:space="preserve">and </w:t>
      </w:r>
      <w:r w:rsidR="00BA212F">
        <w:rPr>
          <w:rFonts w:eastAsia="Book Antiqua" w:cs="Book Antiqua"/>
        </w:rPr>
        <w:t xml:space="preserve">shall be </w:t>
      </w:r>
      <w:r w:rsidRPr="3776745C" w:rsidR="00B744E6">
        <w:rPr>
          <w:rFonts w:eastAsia="Book Antiqua" w:cs="Book Antiqua"/>
        </w:rPr>
        <w:t>updated per the post</w:t>
      </w:r>
      <w:r w:rsidR="00A039E9">
        <w:rPr>
          <w:rFonts w:eastAsia="Book Antiqua" w:cs="Book Antiqua"/>
        </w:rPr>
        <w:t xml:space="preserve"> </w:t>
      </w:r>
      <w:r w:rsidRPr="3776745C" w:rsidR="00B744E6">
        <w:rPr>
          <w:rFonts w:eastAsia="Book Antiqua" w:cs="Book Antiqua"/>
        </w:rPr>
        <w:t>decision joint Tier 2 advice letter compliance filing</w:t>
      </w:r>
      <w:r w:rsidRPr="00A65A5E">
        <w:t xml:space="preserve"> with additional reporting, per the reporting template to be developed and issued by Energy Division staff</w:t>
      </w:r>
      <w:r w:rsidRPr="00A65A5E">
        <w:rPr>
          <w:rFonts w:eastAsia="Book Antiqua" w:cs="Book Antiqua"/>
          <w:szCs w:val="26"/>
        </w:rPr>
        <w:t>.</w:t>
      </w:r>
      <w:r w:rsidR="00E23B2F">
        <w:rPr>
          <w:rFonts w:eastAsia="Book Antiqua" w:cs="Book Antiqua"/>
          <w:szCs w:val="26"/>
        </w:rPr>
        <w:t xml:space="preserve">  </w:t>
      </w:r>
    </w:p>
    <w:p w:rsidRPr="00A65A5E" w:rsidR="000C1980" w:rsidP="003D15AD" w:rsidRDefault="000C1980" w14:paraId="15114487" w14:textId="4E01818A">
      <w:pPr>
        <w:pStyle w:val="OP"/>
        <w:numPr>
          <w:ilvl w:val="0"/>
          <w:numId w:val="24"/>
        </w:numPr>
        <w:tabs>
          <w:tab w:val="left" w:pos="990"/>
        </w:tabs>
        <w:ind w:left="0" w:firstLine="547"/>
      </w:pPr>
      <w:r w:rsidRPr="00A65A5E">
        <w:rPr>
          <w:szCs w:val="26"/>
        </w:rPr>
        <w:t xml:space="preserve">Pacific Gas and Electric Company, Southern California Edison Company, Southern California Gas Company and San Diego Gas &amp; Electric Company </w:t>
      </w:r>
      <w:r w:rsidR="00B51AD5">
        <w:rPr>
          <w:szCs w:val="26"/>
        </w:rPr>
        <w:t>must</w:t>
      </w:r>
      <w:r w:rsidRPr="00A65A5E" w:rsidR="00B51AD5">
        <w:rPr>
          <w:szCs w:val="26"/>
        </w:rPr>
        <w:t xml:space="preserve"> </w:t>
      </w:r>
      <w:r w:rsidR="00CC4295">
        <w:rPr>
          <w:szCs w:val="26"/>
        </w:rPr>
        <w:t xml:space="preserve">report on and </w:t>
      </w:r>
      <w:r w:rsidRPr="00A65A5E">
        <w:t>identify a combination of variables that make a household eligible for different income</w:t>
      </w:r>
      <w:r w:rsidR="004A652C">
        <w:t xml:space="preserve"> </w:t>
      </w:r>
      <w:r w:rsidRPr="00A65A5E">
        <w:t>qualified programs</w:t>
      </w:r>
      <w:r w:rsidR="00B835B4">
        <w:t xml:space="preserve">, </w:t>
      </w:r>
      <w:r w:rsidRPr="00A65A5E" w:rsidR="00B835B4">
        <w:t>per the reporting template to be developed and issued by Energy Division staff</w:t>
      </w:r>
      <w:r w:rsidRPr="00A65A5E">
        <w:t xml:space="preserve">.  The Utilities </w:t>
      </w:r>
      <w:r w:rsidR="00B51AD5">
        <w:t>must</w:t>
      </w:r>
      <w:r w:rsidRPr="00A65A5E" w:rsidR="00B51AD5">
        <w:t xml:space="preserve"> </w:t>
      </w:r>
      <w:r w:rsidRPr="00A65A5E">
        <w:lastRenderedPageBreak/>
        <w:t xml:space="preserve">also ensure that contractors are aware and </w:t>
      </w:r>
      <w:r w:rsidR="00B51AD5">
        <w:t xml:space="preserve">must </w:t>
      </w:r>
      <w:r w:rsidRPr="00A65A5E">
        <w:t xml:space="preserve">inform customers during treatment that there are additional opportunities for which they may qualify. </w:t>
      </w:r>
    </w:p>
    <w:p w:rsidRPr="00A65A5E" w:rsidR="000C1980" w:rsidP="003D15AD" w:rsidRDefault="000C1980" w14:paraId="527EB4A7" w14:textId="0B037410">
      <w:pPr>
        <w:pStyle w:val="OP"/>
        <w:numPr>
          <w:ilvl w:val="0"/>
          <w:numId w:val="24"/>
        </w:numPr>
        <w:tabs>
          <w:tab w:val="left" w:pos="990"/>
        </w:tabs>
        <w:ind w:left="0" w:firstLine="547"/>
      </w:pPr>
      <w:r w:rsidRPr="00A65A5E">
        <w:rPr>
          <w:szCs w:val="26"/>
        </w:rPr>
        <w:t xml:space="preserve">Pacific Gas and Electric Company, Southern California Edison Company, Southern California Gas Company and San Diego Gas &amp; Electric Company </w:t>
      </w:r>
      <w:r w:rsidR="00B51AD5">
        <w:rPr>
          <w:szCs w:val="26"/>
        </w:rPr>
        <w:t>must</w:t>
      </w:r>
      <w:r w:rsidRPr="00A65A5E" w:rsidR="00B51AD5">
        <w:rPr>
          <w:szCs w:val="26"/>
        </w:rPr>
        <w:t xml:space="preserve"> </w:t>
      </w:r>
      <w:r w:rsidRPr="00A65A5E">
        <w:t xml:space="preserve">track monthly, </w:t>
      </w:r>
      <w:r w:rsidR="004F2F49">
        <w:t>and</w:t>
      </w:r>
      <w:r w:rsidRPr="00A65A5E" w:rsidR="004F2F49">
        <w:t xml:space="preserve"> </w:t>
      </w:r>
      <w:r w:rsidRPr="00A65A5E">
        <w:t xml:space="preserve">report annually, the </w:t>
      </w:r>
      <w:r w:rsidR="00D63C9A">
        <w:t>information to demonstrate</w:t>
      </w:r>
      <w:r w:rsidRPr="00A65A5E" w:rsidDel="00D63C9A" w:rsidR="00D63C9A">
        <w:t xml:space="preserve"> </w:t>
      </w:r>
      <w:r w:rsidRPr="00A65A5E">
        <w:t xml:space="preserve">that the </w:t>
      </w:r>
      <w:r>
        <w:t>Utilities</w:t>
      </w:r>
      <w:r w:rsidRPr="00A65A5E">
        <w:t xml:space="preserve"> meet the leveraging, coordination, and referral requirement per the reporting template to be developed and issued by Energy Division staff</w:t>
      </w:r>
      <w:r w:rsidRPr="00A65A5E">
        <w:rPr>
          <w:rFonts w:eastAsia="Book Antiqua" w:cs="Book Antiqua"/>
          <w:szCs w:val="26"/>
        </w:rPr>
        <w:t xml:space="preserve">. </w:t>
      </w:r>
    </w:p>
    <w:p w:rsidR="000C1980" w:rsidP="003D15AD" w:rsidRDefault="000C1980" w14:paraId="61E53AB1" w14:textId="1443C834">
      <w:pPr>
        <w:pStyle w:val="OP"/>
        <w:numPr>
          <w:ilvl w:val="0"/>
          <w:numId w:val="24"/>
        </w:numPr>
        <w:tabs>
          <w:tab w:val="left" w:pos="990"/>
        </w:tabs>
        <w:ind w:left="0" w:firstLine="547"/>
      </w:pPr>
      <w:r w:rsidRPr="00A65A5E">
        <w:rPr>
          <w:szCs w:val="26"/>
        </w:rPr>
        <w:t xml:space="preserve">Pacific Gas and Electric Company, Southern California Edison Company, Southern California Gas Company and San Diego Gas &amp; Electric Company’s </w:t>
      </w:r>
      <w:r w:rsidRPr="00A65A5E">
        <w:t xml:space="preserve">portfolio level energy savings </w:t>
      </w:r>
      <w:r w:rsidR="006E58AE">
        <w:t>goals are</w:t>
      </w:r>
      <w:r w:rsidRPr="00A65A5E">
        <w:t xml:space="preserve"> approved as follows</w:t>
      </w:r>
      <w:r w:rsidRPr="00A65A5E">
        <w:rPr>
          <w:i/>
          <w:iCs/>
        </w:rPr>
        <w:t>.</w:t>
      </w:r>
    </w:p>
    <w:tbl>
      <w:tblPr>
        <w:tblStyle w:val="TableTheme"/>
        <w:tblW w:w="9689" w:type="dxa"/>
        <w:tblLayout w:type="fixed"/>
        <w:tblLook w:val="04A0" w:firstRow="1" w:lastRow="0" w:firstColumn="1" w:lastColumn="0" w:noHBand="0" w:noVBand="1"/>
      </w:tblPr>
      <w:tblGrid>
        <w:gridCol w:w="1255"/>
        <w:gridCol w:w="1890"/>
        <w:gridCol w:w="1080"/>
        <w:gridCol w:w="1246"/>
        <w:gridCol w:w="1055"/>
        <w:gridCol w:w="1054"/>
        <w:gridCol w:w="1054"/>
        <w:gridCol w:w="1055"/>
      </w:tblGrid>
      <w:tr w:rsidRPr="006D75B9" w:rsidR="004C07A1" w:rsidTr="00481B2D" w14:paraId="2057379B" w14:textId="77777777">
        <w:trPr>
          <w:trHeight w:val="547"/>
        </w:trPr>
        <w:tc>
          <w:tcPr>
            <w:tcW w:w="9689" w:type="dxa"/>
            <w:gridSpan w:val="8"/>
            <w:vAlign w:val="center"/>
          </w:tcPr>
          <w:p w:rsidRPr="006E58AE" w:rsidR="004C07A1" w:rsidP="00481B2D" w:rsidRDefault="004C07A1" w14:paraId="6C8AB539" w14:textId="77777777">
            <w:pPr>
              <w:pStyle w:val="FoF"/>
              <w:numPr>
                <w:ilvl w:val="0"/>
                <w:numId w:val="0"/>
              </w:numPr>
              <w:spacing w:line="240" w:lineRule="auto"/>
              <w:ind w:left="540"/>
              <w:jc w:val="center"/>
              <w:rPr>
                <w:b/>
                <w:bCs/>
              </w:rPr>
            </w:pPr>
            <w:r w:rsidRPr="006E58AE">
              <w:rPr>
                <w:b/>
                <w:bCs/>
              </w:rPr>
              <w:t>Approved Energy Savings Assistance Program Portfolio Savings Goal, Program Years 202</w:t>
            </w:r>
            <w:r>
              <w:rPr>
                <w:b/>
                <w:bCs/>
              </w:rPr>
              <w:t>2</w:t>
            </w:r>
            <w:r w:rsidRPr="006E58AE">
              <w:rPr>
                <w:b/>
                <w:bCs/>
              </w:rPr>
              <w:t>-2026</w:t>
            </w:r>
          </w:p>
        </w:tc>
      </w:tr>
      <w:tr w:rsidRPr="006D75B9" w:rsidR="004C07A1" w:rsidTr="004C07A1" w14:paraId="6E3298CF" w14:textId="77777777">
        <w:trPr>
          <w:trHeight w:val="547"/>
        </w:trPr>
        <w:tc>
          <w:tcPr>
            <w:tcW w:w="3145" w:type="dxa"/>
            <w:gridSpan w:val="2"/>
            <w:vAlign w:val="center"/>
            <w:hideMark/>
          </w:tcPr>
          <w:p w:rsidRPr="006D75B9" w:rsidR="004C07A1" w:rsidP="00481B2D" w:rsidRDefault="004C07A1" w14:paraId="20B71373" w14:textId="583728DF">
            <w:pPr>
              <w:jc w:val="center"/>
              <w:rPr>
                <w:rFonts w:eastAsia="Times New Roman" w:cstheme="minorHAnsi"/>
                <w:b/>
                <w:bCs/>
                <w:color w:val="000000"/>
                <w:sz w:val="22"/>
                <w:szCs w:val="22"/>
              </w:rPr>
            </w:pPr>
            <w:r w:rsidRPr="006D75B9">
              <w:rPr>
                <w:rFonts w:eastAsia="Times New Roman" w:cstheme="minorHAnsi"/>
                <w:b/>
                <w:bCs/>
                <w:color w:val="000000"/>
                <w:sz w:val="22"/>
                <w:szCs w:val="22"/>
              </w:rPr>
              <w:t>IOU</w:t>
            </w:r>
          </w:p>
        </w:tc>
        <w:tc>
          <w:tcPr>
            <w:tcW w:w="1080" w:type="dxa"/>
            <w:noWrap/>
            <w:hideMark/>
          </w:tcPr>
          <w:p w:rsidRPr="006D75B9" w:rsidR="004C07A1" w:rsidP="00481B2D" w:rsidRDefault="004C07A1" w14:paraId="2A71D834" w14:textId="77777777">
            <w:pPr>
              <w:jc w:val="center"/>
              <w:rPr>
                <w:rFonts w:eastAsia="Times New Roman" w:cstheme="minorHAnsi"/>
                <w:b/>
                <w:bCs/>
                <w:color w:val="000000"/>
                <w:sz w:val="22"/>
                <w:szCs w:val="22"/>
              </w:rPr>
            </w:pPr>
            <w:r w:rsidRPr="006D75B9">
              <w:rPr>
                <w:rFonts w:eastAsia="Times New Roman" w:cstheme="minorHAnsi"/>
                <w:b/>
                <w:bCs/>
                <w:color w:val="000000"/>
                <w:sz w:val="22"/>
                <w:szCs w:val="22"/>
              </w:rPr>
              <w:t>2022</w:t>
            </w:r>
          </w:p>
        </w:tc>
        <w:tc>
          <w:tcPr>
            <w:tcW w:w="1246" w:type="dxa"/>
            <w:noWrap/>
            <w:hideMark/>
          </w:tcPr>
          <w:p w:rsidRPr="006D75B9" w:rsidR="004C07A1" w:rsidP="00481B2D" w:rsidRDefault="004C07A1" w14:paraId="6C8009EC" w14:textId="77777777">
            <w:pPr>
              <w:jc w:val="center"/>
              <w:rPr>
                <w:rFonts w:eastAsia="Times New Roman" w:cstheme="minorHAnsi"/>
                <w:b/>
                <w:bCs/>
                <w:color w:val="000000"/>
                <w:sz w:val="22"/>
                <w:szCs w:val="22"/>
              </w:rPr>
            </w:pPr>
            <w:r w:rsidRPr="006D75B9">
              <w:rPr>
                <w:rFonts w:eastAsia="Times New Roman" w:cstheme="minorHAnsi"/>
                <w:b/>
                <w:bCs/>
                <w:color w:val="000000"/>
                <w:sz w:val="22"/>
                <w:szCs w:val="22"/>
              </w:rPr>
              <w:t>2023</w:t>
            </w:r>
          </w:p>
        </w:tc>
        <w:tc>
          <w:tcPr>
            <w:tcW w:w="1055" w:type="dxa"/>
            <w:noWrap/>
            <w:hideMark/>
          </w:tcPr>
          <w:p w:rsidRPr="006D75B9" w:rsidR="004C07A1" w:rsidP="00481B2D" w:rsidRDefault="004C07A1" w14:paraId="07098412" w14:textId="77777777">
            <w:pPr>
              <w:jc w:val="center"/>
              <w:rPr>
                <w:rFonts w:eastAsia="Times New Roman" w:cstheme="minorHAnsi"/>
                <w:b/>
                <w:bCs/>
                <w:color w:val="000000"/>
                <w:sz w:val="22"/>
                <w:szCs w:val="22"/>
              </w:rPr>
            </w:pPr>
            <w:r w:rsidRPr="006D75B9">
              <w:rPr>
                <w:rFonts w:eastAsia="Times New Roman" w:cstheme="minorHAnsi"/>
                <w:b/>
                <w:bCs/>
                <w:color w:val="000000"/>
                <w:sz w:val="22"/>
                <w:szCs w:val="22"/>
              </w:rPr>
              <w:t>2024</w:t>
            </w:r>
          </w:p>
        </w:tc>
        <w:tc>
          <w:tcPr>
            <w:tcW w:w="1054" w:type="dxa"/>
            <w:noWrap/>
            <w:hideMark/>
          </w:tcPr>
          <w:p w:rsidRPr="006D75B9" w:rsidR="004C07A1" w:rsidP="00481B2D" w:rsidRDefault="004C07A1" w14:paraId="131C5838" w14:textId="77777777">
            <w:pPr>
              <w:jc w:val="center"/>
              <w:rPr>
                <w:rFonts w:eastAsia="Times New Roman" w:cstheme="minorHAnsi"/>
                <w:b/>
                <w:bCs/>
                <w:color w:val="000000"/>
                <w:sz w:val="22"/>
                <w:szCs w:val="22"/>
              </w:rPr>
            </w:pPr>
            <w:r w:rsidRPr="006D75B9">
              <w:rPr>
                <w:rFonts w:eastAsia="Times New Roman" w:cstheme="minorHAnsi"/>
                <w:b/>
                <w:bCs/>
                <w:color w:val="000000"/>
                <w:sz w:val="22"/>
                <w:szCs w:val="22"/>
              </w:rPr>
              <w:t>2025</w:t>
            </w:r>
          </w:p>
        </w:tc>
        <w:tc>
          <w:tcPr>
            <w:tcW w:w="1054" w:type="dxa"/>
            <w:noWrap/>
            <w:hideMark/>
          </w:tcPr>
          <w:p w:rsidRPr="006D75B9" w:rsidR="004C07A1" w:rsidP="00481B2D" w:rsidRDefault="004C07A1" w14:paraId="4171203B" w14:textId="77777777">
            <w:pPr>
              <w:jc w:val="center"/>
              <w:rPr>
                <w:rFonts w:eastAsia="Times New Roman" w:cstheme="minorHAnsi"/>
                <w:b/>
                <w:bCs/>
                <w:color w:val="000000"/>
                <w:sz w:val="22"/>
                <w:szCs w:val="22"/>
              </w:rPr>
            </w:pPr>
            <w:r w:rsidRPr="006D75B9">
              <w:rPr>
                <w:rFonts w:eastAsia="Times New Roman" w:cstheme="minorHAnsi"/>
                <w:b/>
                <w:bCs/>
                <w:color w:val="000000"/>
                <w:sz w:val="22"/>
                <w:szCs w:val="22"/>
              </w:rPr>
              <w:t>2026</w:t>
            </w:r>
          </w:p>
        </w:tc>
        <w:tc>
          <w:tcPr>
            <w:tcW w:w="1055" w:type="dxa"/>
            <w:noWrap/>
            <w:hideMark/>
          </w:tcPr>
          <w:p w:rsidRPr="006D75B9" w:rsidR="004C07A1" w:rsidP="00481B2D" w:rsidRDefault="004C07A1" w14:paraId="2BEE40A4" w14:textId="77777777">
            <w:pPr>
              <w:jc w:val="center"/>
              <w:rPr>
                <w:rFonts w:eastAsia="Times New Roman" w:cstheme="minorHAnsi"/>
                <w:b/>
                <w:bCs/>
                <w:color w:val="000000"/>
                <w:sz w:val="22"/>
                <w:szCs w:val="22"/>
              </w:rPr>
            </w:pPr>
            <w:r w:rsidRPr="006D75B9">
              <w:rPr>
                <w:rFonts w:eastAsia="Times New Roman" w:cstheme="minorHAnsi"/>
                <w:b/>
                <w:bCs/>
                <w:color w:val="000000"/>
                <w:sz w:val="22"/>
                <w:szCs w:val="22"/>
              </w:rPr>
              <w:t>Total</w:t>
            </w:r>
          </w:p>
        </w:tc>
      </w:tr>
      <w:tr w:rsidRPr="006D75B9" w:rsidR="004C07A1" w:rsidTr="004C07A1" w14:paraId="6331487A" w14:textId="77777777">
        <w:trPr>
          <w:trHeight w:val="547"/>
        </w:trPr>
        <w:tc>
          <w:tcPr>
            <w:tcW w:w="1255" w:type="dxa"/>
            <w:vMerge w:val="restart"/>
            <w:vAlign w:val="center"/>
            <w:hideMark/>
          </w:tcPr>
          <w:p w:rsidRPr="006D75B9" w:rsidR="004C07A1" w:rsidP="00481B2D" w:rsidRDefault="004C07A1" w14:paraId="261D371C" w14:textId="77777777">
            <w:pPr>
              <w:rPr>
                <w:rFonts w:eastAsia="Times New Roman" w:cstheme="minorHAnsi"/>
                <w:color w:val="000000"/>
                <w:sz w:val="22"/>
                <w:szCs w:val="22"/>
              </w:rPr>
            </w:pPr>
            <w:r w:rsidRPr="006D75B9">
              <w:rPr>
                <w:rFonts w:eastAsia="Times New Roman" w:cstheme="minorHAnsi"/>
                <w:color w:val="000000"/>
                <w:sz w:val="22"/>
                <w:szCs w:val="22"/>
              </w:rPr>
              <w:t>PG&amp;E</w:t>
            </w:r>
          </w:p>
        </w:tc>
        <w:tc>
          <w:tcPr>
            <w:tcW w:w="1890" w:type="dxa"/>
          </w:tcPr>
          <w:p w:rsidRPr="006D75B9" w:rsidR="004C07A1" w:rsidP="00481B2D" w:rsidRDefault="004C07A1" w14:paraId="7CDFEECC" w14:textId="4BC4C4A7">
            <w:pPr>
              <w:jc w:val="right"/>
              <w:rPr>
                <w:rFonts w:eastAsia="Times New Roman" w:cstheme="minorHAnsi"/>
                <w:color w:val="000000"/>
                <w:sz w:val="22"/>
                <w:szCs w:val="22"/>
              </w:rPr>
            </w:pPr>
            <w:r w:rsidRPr="006D75B9">
              <w:rPr>
                <w:sz w:val="22"/>
                <w:szCs w:val="22"/>
              </w:rPr>
              <w:t>GWh</w:t>
            </w:r>
          </w:p>
        </w:tc>
        <w:tc>
          <w:tcPr>
            <w:tcW w:w="1080" w:type="dxa"/>
            <w:noWrap/>
            <w:hideMark/>
          </w:tcPr>
          <w:p w:rsidRPr="006D75B9" w:rsidR="004C07A1" w:rsidP="00481B2D" w:rsidRDefault="004C07A1" w14:paraId="35D8FF7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15.1 </w:t>
            </w:r>
          </w:p>
        </w:tc>
        <w:tc>
          <w:tcPr>
            <w:tcW w:w="1246" w:type="dxa"/>
            <w:noWrap/>
            <w:hideMark/>
          </w:tcPr>
          <w:p w:rsidRPr="006D75B9" w:rsidR="004C07A1" w:rsidP="00481B2D" w:rsidRDefault="004C07A1" w14:paraId="60CD8611"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35.8 </w:t>
            </w:r>
          </w:p>
        </w:tc>
        <w:tc>
          <w:tcPr>
            <w:tcW w:w="1055" w:type="dxa"/>
            <w:noWrap/>
            <w:hideMark/>
          </w:tcPr>
          <w:p w:rsidRPr="006D75B9" w:rsidR="004C07A1" w:rsidP="00481B2D" w:rsidRDefault="004C07A1" w14:paraId="479D3475"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34.3  </w:t>
            </w:r>
          </w:p>
        </w:tc>
        <w:tc>
          <w:tcPr>
            <w:tcW w:w="1054" w:type="dxa"/>
            <w:noWrap/>
            <w:hideMark/>
          </w:tcPr>
          <w:p w:rsidRPr="006D75B9" w:rsidR="004C07A1" w:rsidP="00481B2D" w:rsidRDefault="004C07A1" w14:paraId="74F25720"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33.8 </w:t>
            </w:r>
          </w:p>
        </w:tc>
        <w:tc>
          <w:tcPr>
            <w:tcW w:w="1054" w:type="dxa"/>
            <w:noWrap/>
            <w:hideMark/>
          </w:tcPr>
          <w:p w:rsidRPr="006D75B9" w:rsidR="004C07A1" w:rsidP="00481B2D" w:rsidRDefault="004C07A1" w14:paraId="100552AD"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33.2 </w:t>
            </w:r>
          </w:p>
        </w:tc>
        <w:tc>
          <w:tcPr>
            <w:tcW w:w="1055" w:type="dxa"/>
            <w:noWrap/>
            <w:hideMark/>
          </w:tcPr>
          <w:p w:rsidRPr="006D75B9" w:rsidR="004C07A1" w:rsidP="00481B2D" w:rsidRDefault="004C07A1" w14:paraId="374167A0"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w:t>
            </w:r>
            <w:r>
              <w:rPr>
                <w:rFonts w:eastAsia="Times New Roman" w:cstheme="minorBidi"/>
                <w:color w:val="000000" w:themeColor="text1"/>
                <w:sz w:val="22"/>
                <w:szCs w:val="22"/>
              </w:rPr>
              <w:t>152.2</w:t>
            </w:r>
            <w:r w:rsidRPr="302375C6">
              <w:rPr>
                <w:rFonts w:eastAsia="Times New Roman" w:cstheme="minorBidi"/>
                <w:color w:val="000000" w:themeColor="text1"/>
                <w:sz w:val="22"/>
                <w:szCs w:val="22"/>
              </w:rPr>
              <w:t xml:space="preserve"> </w:t>
            </w:r>
          </w:p>
        </w:tc>
      </w:tr>
      <w:tr w:rsidRPr="006D75B9" w:rsidR="004C07A1" w:rsidTr="004C07A1" w14:paraId="1F0504B0" w14:textId="77777777">
        <w:trPr>
          <w:trHeight w:val="547"/>
        </w:trPr>
        <w:tc>
          <w:tcPr>
            <w:tcW w:w="1255" w:type="dxa"/>
            <w:vMerge/>
            <w:vAlign w:val="center"/>
          </w:tcPr>
          <w:p w:rsidRPr="006D75B9" w:rsidR="004C07A1" w:rsidP="00481B2D" w:rsidRDefault="004C07A1" w14:paraId="74B66AFA" w14:textId="77777777">
            <w:pPr>
              <w:rPr>
                <w:rFonts w:eastAsia="Times New Roman" w:cstheme="minorHAnsi"/>
                <w:color w:val="000000"/>
                <w:sz w:val="22"/>
                <w:szCs w:val="22"/>
              </w:rPr>
            </w:pPr>
          </w:p>
        </w:tc>
        <w:tc>
          <w:tcPr>
            <w:tcW w:w="1890" w:type="dxa"/>
          </w:tcPr>
          <w:p w:rsidRPr="006D75B9" w:rsidR="004C07A1" w:rsidP="00481B2D" w:rsidRDefault="004C07A1" w14:paraId="5BC5382D" w14:textId="5115FA29">
            <w:pPr>
              <w:jc w:val="right"/>
              <w:rPr>
                <w:rFonts w:eastAsia="Times New Roman" w:cstheme="minorHAnsi"/>
                <w:color w:val="000000"/>
                <w:sz w:val="22"/>
                <w:szCs w:val="22"/>
              </w:rPr>
            </w:pPr>
            <w:r w:rsidRPr="006D75B9">
              <w:rPr>
                <w:sz w:val="22"/>
                <w:szCs w:val="22"/>
              </w:rPr>
              <w:t>MW</w:t>
            </w:r>
          </w:p>
        </w:tc>
        <w:tc>
          <w:tcPr>
            <w:tcW w:w="1080" w:type="dxa"/>
            <w:noWrap/>
          </w:tcPr>
          <w:p w:rsidRPr="006D75B9" w:rsidR="004C07A1" w:rsidP="00481B2D" w:rsidRDefault="004C07A1" w14:paraId="3808EF37"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2.9 </w:t>
            </w:r>
          </w:p>
        </w:tc>
        <w:tc>
          <w:tcPr>
            <w:tcW w:w="1246" w:type="dxa"/>
            <w:noWrap/>
          </w:tcPr>
          <w:p w:rsidRPr="006D75B9" w:rsidR="004C07A1" w:rsidP="00481B2D" w:rsidRDefault="004C07A1" w14:paraId="49CDD4CA"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3.2 </w:t>
            </w:r>
          </w:p>
        </w:tc>
        <w:tc>
          <w:tcPr>
            <w:tcW w:w="1055" w:type="dxa"/>
            <w:noWrap/>
          </w:tcPr>
          <w:p w:rsidRPr="006D75B9" w:rsidR="004C07A1" w:rsidP="00481B2D" w:rsidRDefault="004C07A1" w14:paraId="786931FB"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2.9 </w:t>
            </w:r>
          </w:p>
        </w:tc>
        <w:tc>
          <w:tcPr>
            <w:tcW w:w="1054" w:type="dxa"/>
            <w:noWrap/>
          </w:tcPr>
          <w:p w:rsidRPr="006D75B9" w:rsidR="004C07A1" w:rsidP="00481B2D" w:rsidRDefault="004C07A1" w14:paraId="76AF59E6"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2.9 </w:t>
            </w:r>
          </w:p>
        </w:tc>
        <w:tc>
          <w:tcPr>
            <w:tcW w:w="1054" w:type="dxa"/>
            <w:noWrap/>
          </w:tcPr>
          <w:p w:rsidRPr="006D75B9" w:rsidR="004C07A1" w:rsidP="00481B2D" w:rsidRDefault="004C07A1" w14:paraId="4018C62A"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2.7 </w:t>
            </w:r>
          </w:p>
        </w:tc>
        <w:tc>
          <w:tcPr>
            <w:tcW w:w="1055" w:type="dxa"/>
            <w:noWrap/>
          </w:tcPr>
          <w:p w:rsidRPr="006D75B9" w:rsidR="004C07A1" w:rsidP="00481B2D" w:rsidRDefault="004C07A1" w14:paraId="11770B9B"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w:t>
            </w:r>
            <w:r>
              <w:rPr>
                <w:rFonts w:eastAsia="Times New Roman" w:cstheme="minorHAnsi"/>
                <w:color w:val="000000"/>
                <w:sz w:val="22"/>
                <w:szCs w:val="22"/>
              </w:rPr>
              <w:t>14.6</w:t>
            </w:r>
            <w:r w:rsidRPr="006D75B9">
              <w:rPr>
                <w:rFonts w:eastAsia="Times New Roman" w:cstheme="minorHAnsi"/>
                <w:color w:val="000000"/>
                <w:sz w:val="22"/>
                <w:szCs w:val="22"/>
              </w:rPr>
              <w:t xml:space="preserve"> </w:t>
            </w:r>
          </w:p>
        </w:tc>
      </w:tr>
      <w:tr w:rsidRPr="006D75B9" w:rsidR="004C07A1" w:rsidTr="004C07A1" w14:paraId="728BA30C" w14:textId="77777777">
        <w:trPr>
          <w:trHeight w:val="547"/>
        </w:trPr>
        <w:tc>
          <w:tcPr>
            <w:tcW w:w="1255" w:type="dxa"/>
            <w:vMerge/>
            <w:vAlign w:val="center"/>
          </w:tcPr>
          <w:p w:rsidRPr="006D75B9" w:rsidR="004C07A1" w:rsidP="00481B2D" w:rsidRDefault="004C07A1" w14:paraId="1E91A370" w14:textId="77777777">
            <w:pPr>
              <w:rPr>
                <w:rFonts w:eastAsia="Times New Roman" w:cstheme="minorHAnsi"/>
                <w:color w:val="000000"/>
                <w:sz w:val="22"/>
                <w:szCs w:val="22"/>
              </w:rPr>
            </w:pPr>
          </w:p>
        </w:tc>
        <w:tc>
          <w:tcPr>
            <w:tcW w:w="1890" w:type="dxa"/>
          </w:tcPr>
          <w:p w:rsidRPr="006D75B9" w:rsidR="004C07A1" w:rsidP="00481B2D" w:rsidRDefault="004C07A1" w14:paraId="7C05D434" w14:textId="46A93F8F">
            <w:pPr>
              <w:jc w:val="right"/>
              <w:rPr>
                <w:rFonts w:eastAsia="Times New Roman" w:cstheme="minorHAnsi"/>
                <w:color w:val="000000"/>
                <w:sz w:val="22"/>
                <w:szCs w:val="22"/>
              </w:rPr>
            </w:pPr>
            <w:r w:rsidRPr="006D75B9">
              <w:rPr>
                <w:sz w:val="22"/>
                <w:szCs w:val="22"/>
              </w:rPr>
              <w:t xml:space="preserve">Million </w:t>
            </w:r>
            <w:proofErr w:type="spellStart"/>
            <w:r w:rsidRPr="006D75B9">
              <w:rPr>
                <w:sz w:val="22"/>
                <w:szCs w:val="22"/>
              </w:rPr>
              <w:t>Therms</w:t>
            </w:r>
            <w:proofErr w:type="spellEnd"/>
          </w:p>
        </w:tc>
        <w:tc>
          <w:tcPr>
            <w:tcW w:w="1080" w:type="dxa"/>
            <w:noWrap/>
          </w:tcPr>
          <w:p w:rsidRPr="006D75B9" w:rsidR="004C07A1" w:rsidP="00481B2D" w:rsidRDefault="004C07A1" w14:paraId="06AADC82"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0.63 </w:t>
            </w:r>
          </w:p>
        </w:tc>
        <w:tc>
          <w:tcPr>
            <w:tcW w:w="1246" w:type="dxa"/>
            <w:noWrap/>
          </w:tcPr>
          <w:p w:rsidRPr="006D75B9" w:rsidR="004C07A1" w:rsidP="00481B2D" w:rsidRDefault="004C07A1" w14:paraId="63DA2664"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1.46 </w:t>
            </w:r>
          </w:p>
        </w:tc>
        <w:tc>
          <w:tcPr>
            <w:tcW w:w="1055" w:type="dxa"/>
            <w:noWrap/>
          </w:tcPr>
          <w:p w:rsidRPr="006D75B9" w:rsidR="004C07A1" w:rsidP="00481B2D" w:rsidRDefault="004C07A1" w14:paraId="42FFA8E3"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1.39  </w:t>
            </w:r>
          </w:p>
        </w:tc>
        <w:tc>
          <w:tcPr>
            <w:tcW w:w="1054" w:type="dxa"/>
            <w:noWrap/>
          </w:tcPr>
          <w:p w:rsidRPr="006D75B9" w:rsidR="004C07A1" w:rsidP="00481B2D" w:rsidRDefault="004C07A1" w14:paraId="64FEEF25"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1.37 </w:t>
            </w:r>
          </w:p>
        </w:tc>
        <w:tc>
          <w:tcPr>
            <w:tcW w:w="1054" w:type="dxa"/>
            <w:noWrap/>
          </w:tcPr>
          <w:p w:rsidRPr="006D75B9" w:rsidR="004C07A1" w:rsidP="00481B2D" w:rsidRDefault="004C07A1" w14:paraId="232940C0"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1.35  </w:t>
            </w:r>
          </w:p>
        </w:tc>
        <w:tc>
          <w:tcPr>
            <w:tcW w:w="1055" w:type="dxa"/>
            <w:noWrap/>
          </w:tcPr>
          <w:p w:rsidRPr="006D75B9" w:rsidR="004C07A1" w:rsidP="00481B2D" w:rsidRDefault="004C07A1" w14:paraId="00A5C538"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6.</w:t>
            </w:r>
            <w:r>
              <w:rPr>
                <w:rFonts w:eastAsia="Times New Roman" w:cstheme="minorBidi"/>
                <w:color w:val="000000" w:themeColor="text1"/>
                <w:sz w:val="22"/>
                <w:szCs w:val="22"/>
              </w:rPr>
              <w:t xml:space="preserve">20 </w:t>
            </w:r>
          </w:p>
        </w:tc>
      </w:tr>
      <w:tr w:rsidRPr="006D75B9" w:rsidR="004C07A1" w:rsidTr="004C07A1" w14:paraId="2397D13B" w14:textId="77777777">
        <w:trPr>
          <w:trHeight w:val="547"/>
        </w:trPr>
        <w:tc>
          <w:tcPr>
            <w:tcW w:w="1255" w:type="dxa"/>
            <w:vMerge w:val="restart"/>
            <w:vAlign w:val="center"/>
            <w:hideMark/>
          </w:tcPr>
          <w:p w:rsidRPr="006D75B9" w:rsidR="004C07A1" w:rsidP="00481B2D" w:rsidRDefault="004C07A1" w14:paraId="71FAFBEB" w14:textId="77777777">
            <w:pPr>
              <w:rPr>
                <w:rFonts w:eastAsia="Times New Roman" w:cstheme="minorHAnsi"/>
                <w:color w:val="000000"/>
                <w:sz w:val="22"/>
                <w:szCs w:val="22"/>
              </w:rPr>
            </w:pPr>
            <w:r w:rsidRPr="006D75B9">
              <w:rPr>
                <w:rFonts w:eastAsia="Times New Roman" w:cstheme="minorHAnsi"/>
                <w:color w:val="000000"/>
                <w:sz w:val="22"/>
                <w:szCs w:val="22"/>
              </w:rPr>
              <w:t>SCE</w:t>
            </w:r>
          </w:p>
          <w:p w:rsidRPr="006D75B9" w:rsidR="004C07A1" w:rsidP="00481B2D" w:rsidRDefault="004C07A1" w14:paraId="449F55CA" w14:textId="77777777">
            <w:pPr>
              <w:rPr>
                <w:rFonts w:eastAsia="Times New Roman" w:cstheme="minorHAnsi"/>
                <w:color w:val="000000"/>
                <w:sz w:val="22"/>
                <w:szCs w:val="22"/>
              </w:rPr>
            </w:pPr>
          </w:p>
          <w:p w:rsidRPr="006D75B9" w:rsidR="004C07A1" w:rsidP="00481B2D" w:rsidRDefault="004C07A1" w14:paraId="2FAB041F" w14:textId="77777777">
            <w:pPr>
              <w:rPr>
                <w:rFonts w:eastAsia="Times New Roman" w:cstheme="minorHAnsi"/>
                <w:color w:val="000000"/>
                <w:sz w:val="22"/>
                <w:szCs w:val="22"/>
              </w:rPr>
            </w:pPr>
          </w:p>
        </w:tc>
        <w:tc>
          <w:tcPr>
            <w:tcW w:w="1890" w:type="dxa"/>
          </w:tcPr>
          <w:p w:rsidRPr="006D75B9" w:rsidR="004C07A1" w:rsidP="00481B2D" w:rsidRDefault="004C07A1" w14:paraId="301650F2" w14:textId="08D70033">
            <w:pPr>
              <w:jc w:val="right"/>
              <w:rPr>
                <w:rFonts w:eastAsia="Times New Roman" w:cstheme="minorHAnsi"/>
                <w:color w:val="000000"/>
                <w:sz w:val="22"/>
                <w:szCs w:val="22"/>
              </w:rPr>
            </w:pPr>
            <w:r w:rsidRPr="006D75B9">
              <w:rPr>
                <w:sz w:val="22"/>
                <w:szCs w:val="22"/>
              </w:rPr>
              <w:t>GWh</w:t>
            </w:r>
          </w:p>
        </w:tc>
        <w:tc>
          <w:tcPr>
            <w:tcW w:w="1080" w:type="dxa"/>
            <w:noWrap/>
            <w:hideMark/>
          </w:tcPr>
          <w:p w:rsidRPr="006D75B9" w:rsidR="004C07A1" w:rsidP="00481B2D" w:rsidRDefault="004C07A1" w14:paraId="632C0F41"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18.8 </w:t>
            </w:r>
          </w:p>
        </w:tc>
        <w:tc>
          <w:tcPr>
            <w:tcW w:w="1246" w:type="dxa"/>
            <w:noWrap/>
            <w:hideMark/>
          </w:tcPr>
          <w:p w:rsidRPr="006D75B9" w:rsidR="004C07A1" w:rsidP="00481B2D" w:rsidRDefault="004C07A1" w14:paraId="2C522B6C"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22.4 </w:t>
            </w:r>
          </w:p>
        </w:tc>
        <w:tc>
          <w:tcPr>
            <w:tcW w:w="1055" w:type="dxa"/>
            <w:noWrap/>
            <w:hideMark/>
          </w:tcPr>
          <w:p w:rsidRPr="006D75B9" w:rsidR="004C07A1" w:rsidP="00481B2D" w:rsidRDefault="004C07A1" w14:paraId="67589CE8"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31.8 </w:t>
            </w:r>
          </w:p>
        </w:tc>
        <w:tc>
          <w:tcPr>
            <w:tcW w:w="1054" w:type="dxa"/>
            <w:noWrap/>
            <w:hideMark/>
          </w:tcPr>
          <w:p w:rsidRPr="006D75B9" w:rsidR="004C07A1" w:rsidP="00481B2D" w:rsidRDefault="004C07A1" w14:paraId="4D8865D8"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33.5 </w:t>
            </w:r>
          </w:p>
        </w:tc>
        <w:tc>
          <w:tcPr>
            <w:tcW w:w="1054" w:type="dxa"/>
            <w:noWrap/>
            <w:hideMark/>
          </w:tcPr>
          <w:p w:rsidRPr="006D75B9" w:rsidR="004C07A1" w:rsidP="00481B2D" w:rsidRDefault="004C07A1" w14:paraId="04B7E916"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25.1 </w:t>
            </w:r>
          </w:p>
        </w:tc>
        <w:tc>
          <w:tcPr>
            <w:tcW w:w="1055" w:type="dxa"/>
            <w:noWrap/>
            <w:hideMark/>
          </w:tcPr>
          <w:p w:rsidRPr="006D75B9" w:rsidR="004C07A1" w:rsidP="00481B2D" w:rsidRDefault="004C07A1" w14:paraId="1E75ADC3"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w:t>
            </w:r>
            <w:r>
              <w:rPr>
                <w:rFonts w:eastAsia="Times New Roman" w:cstheme="minorHAnsi"/>
                <w:color w:val="000000"/>
                <w:sz w:val="22"/>
                <w:szCs w:val="22"/>
              </w:rPr>
              <w:t xml:space="preserve">131.5 </w:t>
            </w:r>
          </w:p>
        </w:tc>
      </w:tr>
      <w:tr w:rsidRPr="006D75B9" w:rsidR="004C07A1" w:rsidTr="004C07A1" w14:paraId="5C71CDED" w14:textId="77777777">
        <w:trPr>
          <w:trHeight w:val="547"/>
        </w:trPr>
        <w:tc>
          <w:tcPr>
            <w:tcW w:w="1255" w:type="dxa"/>
            <w:vMerge/>
            <w:vAlign w:val="center"/>
          </w:tcPr>
          <w:p w:rsidRPr="006D75B9" w:rsidR="004C07A1" w:rsidP="00481B2D" w:rsidRDefault="004C07A1" w14:paraId="1242918A" w14:textId="77777777">
            <w:pPr>
              <w:rPr>
                <w:rFonts w:eastAsia="Times New Roman" w:cstheme="minorHAnsi"/>
                <w:color w:val="000000"/>
                <w:sz w:val="22"/>
                <w:szCs w:val="22"/>
              </w:rPr>
            </w:pPr>
          </w:p>
        </w:tc>
        <w:tc>
          <w:tcPr>
            <w:tcW w:w="1890" w:type="dxa"/>
          </w:tcPr>
          <w:p w:rsidRPr="006D75B9" w:rsidR="004C07A1" w:rsidP="00481B2D" w:rsidRDefault="004C07A1" w14:paraId="14742E6D" w14:textId="19FD0A29">
            <w:pPr>
              <w:jc w:val="right"/>
              <w:rPr>
                <w:rFonts w:eastAsia="Times New Roman" w:cstheme="minorHAnsi"/>
                <w:color w:val="000000"/>
                <w:sz w:val="22"/>
                <w:szCs w:val="22"/>
              </w:rPr>
            </w:pPr>
            <w:r w:rsidRPr="006D75B9">
              <w:rPr>
                <w:sz w:val="22"/>
                <w:szCs w:val="22"/>
              </w:rPr>
              <w:t>MW</w:t>
            </w:r>
          </w:p>
        </w:tc>
        <w:tc>
          <w:tcPr>
            <w:tcW w:w="1080" w:type="dxa"/>
            <w:noWrap/>
          </w:tcPr>
          <w:p w:rsidRPr="006D75B9" w:rsidR="004C07A1" w:rsidP="00481B2D" w:rsidRDefault="004C07A1" w14:paraId="4825C07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7.1 </w:t>
            </w:r>
          </w:p>
        </w:tc>
        <w:tc>
          <w:tcPr>
            <w:tcW w:w="1246" w:type="dxa"/>
            <w:noWrap/>
          </w:tcPr>
          <w:p w:rsidRPr="006D75B9" w:rsidR="004C07A1" w:rsidP="00481B2D" w:rsidRDefault="004C07A1" w14:paraId="6B56AB1D"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8.8 </w:t>
            </w:r>
          </w:p>
        </w:tc>
        <w:tc>
          <w:tcPr>
            <w:tcW w:w="1055" w:type="dxa"/>
            <w:noWrap/>
          </w:tcPr>
          <w:p w:rsidRPr="006D75B9" w:rsidR="004C07A1" w:rsidP="00481B2D" w:rsidRDefault="004C07A1" w14:paraId="76EF75B6"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12.7 </w:t>
            </w:r>
          </w:p>
        </w:tc>
        <w:tc>
          <w:tcPr>
            <w:tcW w:w="1054" w:type="dxa"/>
            <w:noWrap/>
          </w:tcPr>
          <w:p w:rsidRPr="006D75B9" w:rsidR="004C07A1" w:rsidP="00481B2D" w:rsidRDefault="004C07A1" w14:paraId="5B83C2D3"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13.5 </w:t>
            </w:r>
          </w:p>
        </w:tc>
        <w:tc>
          <w:tcPr>
            <w:tcW w:w="1054" w:type="dxa"/>
            <w:noWrap/>
          </w:tcPr>
          <w:p w:rsidRPr="006D75B9" w:rsidR="004C07A1" w:rsidP="00481B2D" w:rsidRDefault="004C07A1" w14:paraId="68D5EE4B"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9.9 </w:t>
            </w:r>
          </w:p>
        </w:tc>
        <w:tc>
          <w:tcPr>
            <w:tcW w:w="1055" w:type="dxa"/>
            <w:noWrap/>
          </w:tcPr>
          <w:p w:rsidRPr="006D75B9" w:rsidR="004C07A1" w:rsidP="00481B2D" w:rsidRDefault="004C07A1" w14:paraId="7223A4A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w:t>
            </w:r>
            <w:r>
              <w:rPr>
                <w:rFonts w:eastAsia="Times New Roman" w:cstheme="minorHAnsi"/>
                <w:color w:val="000000"/>
                <w:sz w:val="22"/>
                <w:szCs w:val="22"/>
              </w:rPr>
              <w:t xml:space="preserve">52.0 </w:t>
            </w:r>
          </w:p>
        </w:tc>
      </w:tr>
      <w:tr w:rsidRPr="006D75B9" w:rsidR="004C07A1" w:rsidTr="004C07A1" w14:paraId="27F0E408" w14:textId="77777777">
        <w:trPr>
          <w:trHeight w:val="547"/>
        </w:trPr>
        <w:tc>
          <w:tcPr>
            <w:tcW w:w="1255" w:type="dxa"/>
            <w:vMerge/>
            <w:vAlign w:val="center"/>
          </w:tcPr>
          <w:p w:rsidRPr="006D75B9" w:rsidR="004C07A1" w:rsidP="00481B2D" w:rsidRDefault="004C07A1" w14:paraId="14F5DCC9" w14:textId="77777777">
            <w:pPr>
              <w:rPr>
                <w:rFonts w:eastAsia="Times New Roman" w:cstheme="minorHAnsi"/>
                <w:color w:val="000000"/>
                <w:sz w:val="22"/>
                <w:szCs w:val="22"/>
              </w:rPr>
            </w:pPr>
          </w:p>
        </w:tc>
        <w:tc>
          <w:tcPr>
            <w:tcW w:w="1890" w:type="dxa"/>
          </w:tcPr>
          <w:p w:rsidRPr="006D75B9" w:rsidR="004C07A1" w:rsidP="00481B2D" w:rsidRDefault="004C07A1" w14:paraId="710DC2C8" w14:textId="4EB2724A">
            <w:pPr>
              <w:jc w:val="right"/>
              <w:rPr>
                <w:rFonts w:eastAsia="Times New Roman" w:cstheme="minorHAnsi"/>
                <w:color w:val="000000"/>
                <w:sz w:val="22"/>
                <w:szCs w:val="22"/>
              </w:rPr>
            </w:pPr>
            <w:r w:rsidRPr="006D75B9">
              <w:rPr>
                <w:sz w:val="22"/>
                <w:szCs w:val="22"/>
              </w:rPr>
              <w:t xml:space="preserve">Million </w:t>
            </w:r>
            <w:proofErr w:type="spellStart"/>
            <w:r w:rsidRPr="006D75B9">
              <w:rPr>
                <w:sz w:val="22"/>
                <w:szCs w:val="22"/>
              </w:rPr>
              <w:t>Therms</w:t>
            </w:r>
            <w:proofErr w:type="spellEnd"/>
          </w:p>
        </w:tc>
        <w:tc>
          <w:tcPr>
            <w:tcW w:w="1080" w:type="dxa"/>
            <w:noWrap/>
          </w:tcPr>
          <w:p w:rsidRPr="006D75B9" w:rsidR="004C07A1" w:rsidP="00481B2D" w:rsidRDefault="004C07A1" w14:paraId="37F65E1B"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0.19 </w:t>
            </w:r>
          </w:p>
        </w:tc>
        <w:tc>
          <w:tcPr>
            <w:tcW w:w="1246" w:type="dxa"/>
            <w:noWrap/>
          </w:tcPr>
          <w:p w:rsidRPr="006D75B9" w:rsidR="004C07A1" w:rsidP="00481B2D" w:rsidRDefault="004C07A1" w14:paraId="0184F792"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0.24 </w:t>
            </w:r>
          </w:p>
        </w:tc>
        <w:tc>
          <w:tcPr>
            <w:tcW w:w="1055" w:type="dxa"/>
            <w:noWrap/>
          </w:tcPr>
          <w:p w:rsidRPr="006D75B9" w:rsidR="004C07A1" w:rsidP="00481B2D" w:rsidRDefault="004C07A1" w14:paraId="651A53A2"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0.38 </w:t>
            </w:r>
          </w:p>
        </w:tc>
        <w:tc>
          <w:tcPr>
            <w:tcW w:w="1054" w:type="dxa"/>
            <w:noWrap/>
          </w:tcPr>
          <w:p w:rsidRPr="006D75B9" w:rsidR="004C07A1" w:rsidP="00481B2D" w:rsidRDefault="004C07A1" w14:paraId="3E076583"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0.36 </w:t>
            </w:r>
          </w:p>
        </w:tc>
        <w:tc>
          <w:tcPr>
            <w:tcW w:w="1054" w:type="dxa"/>
            <w:noWrap/>
          </w:tcPr>
          <w:p w:rsidRPr="006D75B9" w:rsidR="004C07A1" w:rsidP="00481B2D" w:rsidRDefault="004C07A1" w14:paraId="3CCE3AF7"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0.29 </w:t>
            </w:r>
          </w:p>
        </w:tc>
        <w:tc>
          <w:tcPr>
            <w:tcW w:w="1055" w:type="dxa"/>
            <w:noWrap/>
          </w:tcPr>
          <w:p w:rsidRPr="006D75B9" w:rsidR="004C07A1" w:rsidP="00481B2D" w:rsidRDefault="004C07A1" w14:paraId="4EB8F08B"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w:t>
            </w:r>
            <w:r>
              <w:rPr>
                <w:rFonts w:eastAsia="Times New Roman" w:cstheme="minorHAnsi"/>
                <w:color w:val="000000"/>
                <w:sz w:val="22"/>
                <w:szCs w:val="22"/>
              </w:rPr>
              <w:t>48</w:t>
            </w:r>
            <w:r w:rsidRPr="006D75B9">
              <w:rPr>
                <w:rFonts w:eastAsia="Times New Roman" w:cstheme="minorHAnsi"/>
                <w:color w:val="000000"/>
                <w:sz w:val="22"/>
                <w:szCs w:val="22"/>
              </w:rPr>
              <w:t xml:space="preserve"> </w:t>
            </w:r>
          </w:p>
        </w:tc>
      </w:tr>
      <w:tr w:rsidRPr="006D75B9" w:rsidR="004C07A1" w:rsidTr="004C07A1" w14:paraId="01C88A95" w14:textId="77777777">
        <w:trPr>
          <w:trHeight w:val="547"/>
        </w:trPr>
        <w:tc>
          <w:tcPr>
            <w:tcW w:w="1255" w:type="dxa"/>
            <w:vMerge w:val="restart"/>
            <w:vAlign w:val="center"/>
            <w:hideMark/>
          </w:tcPr>
          <w:p w:rsidRPr="006D75B9" w:rsidR="004C07A1" w:rsidP="00481B2D" w:rsidRDefault="004C07A1" w14:paraId="5F68D115" w14:textId="77777777">
            <w:pPr>
              <w:rPr>
                <w:rFonts w:eastAsia="Times New Roman" w:cstheme="minorHAnsi"/>
                <w:color w:val="000000"/>
                <w:sz w:val="22"/>
                <w:szCs w:val="22"/>
              </w:rPr>
            </w:pPr>
            <w:r w:rsidRPr="006D75B9">
              <w:rPr>
                <w:rFonts w:eastAsia="Times New Roman" w:cstheme="minorHAnsi"/>
                <w:color w:val="000000"/>
                <w:sz w:val="22"/>
                <w:szCs w:val="22"/>
              </w:rPr>
              <w:t>SoCalGas</w:t>
            </w:r>
          </w:p>
        </w:tc>
        <w:tc>
          <w:tcPr>
            <w:tcW w:w="1890" w:type="dxa"/>
          </w:tcPr>
          <w:p w:rsidRPr="006D75B9" w:rsidR="004C07A1" w:rsidP="00481B2D" w:rsidRDefault="004C07A1" w14:paraId="0F1E92B2" w14:textId="325D9A60">
            <w:pPr>
              <w:jc w:val="right"/>
              <w:rPr>
                <w:rFonts w:eastAsia="Times New Roman" w:cstheme="minorHAnsi"/>
                <w:color w:val="000000"/>
                <w:sz w:val="22"/>
                <w:szCs w:val="22"/>
              </w:rPr>
            </w:pPr>
            <w:r w:rsidRPr="006D75B9">
              <w:rPr>
                <w:sz w:val="22"/>
                <w:szCs w:val="22"/>
              </w:rPr>
              <w:t>GWh</w:t>
            </w:r>
          </w:p>
        </w:tc>
        <w:tc>
          <w:tcPr>
            <w:tcW w:w="1080" w:type="dxa"/>
            <w:noWrap/>
            <w:hideMark/>
          </w:tcPr>
          <w:p w:rsidRPr="006D75B9" w:rsidR="004C07A1" w:rsidP="00481B2D" w:rsidRDefault="004C07A1" w14:paraId="22EE5CF4"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246" w:type="dxa"/>
            <w:noWrap/>
            <w:hideMark/>
          </w:tcPr>
          <w:p w:rsidRPr="006D75B9" w:rsidR="004C07A1" w:rsidP="00481B2D" w:rsidRDefault="004C07A1" w14:paraId="2D70CF83"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5" w:type="dxa"/>
            <w:noWrap/>
            <w:hideMark/>
          </w:tcPr>
          <w:p w:rsidRPr="006D75B9" w:rsidR="004C07A1" w:rsidP="00481B2D" w:rsidRDefault="004C07A1" w14:paraId="5BD5AA62"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4" w:type="dxa"/>
            <w:noWrap/>
            <w:hideMark/>
          </w:tcPr>
          <w:p w:rsidRPr="006D75B9" w:rsidR="004C07A1" w:rsidP="00481B2D" w:rsidRDefault="004C07A1" w14:paraId="2EF64A9E"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4" w:type="dxa"/>
            <w:noWrap/>
            <w:hideMark/>
          </w:tcPr>
          <w:p w:rsidRPr="006D75B9" w:rsidR="004C07A1" w:rsidP="00481B2D" w:rsidRDefault="004C07A1" w14:paraId="39996125"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5" w:type="dxa"/>
            <w:noWrap/>
            <w:hideMark/>
          </w:tcPr>
          <w:p w:rsidRPr="006D75B9" w:rsidR="004C07A1" w:rsidP="00481B2D" w:rsidRDefault="004C07A1" w14:paraId="4C30A8CC"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r>
      <w:tr w:rsidRPr="006D75B9" w:rsidR="004C07A1" w:rsidTr="004C07A1" w14:paraId="27C5A5C3" w14:textId="77777777">
        <w:trPr>
          <w:trHeight w:val="547"/>
        </w:trPr>
        <w:tc>
          <w:tcPr>
            <w:tcW w:w="1255" w:type="dxa"/>
            <w:vMerge/>
            <w:vAlign w:val="center"/>
          </w:tcPr>
          <w:p w:rsidRPr="006D75B9" w:rsidR="004C07A1" w:rsidP="00481B2D" w:rsidRDefault="004C07A1" w14:paraId="05791BE6" w14:textId="77777777">
            <w:pPr>
              <w:rPr>
                <w:rFonts w:eastAsia="Times New Roman" w:cstheme="minorHAnsi"/>
                <w:color w:val="000000"/>
                <w:sz w:val="22"/>
                <w:szCs w:val="22"/>
              </w:rPr>
            </w:pPr>
          </w:p>
        </w:tc>
        <w:tc>
          <w:tcPr>
            <w:tcW w:w="1890" w:type="dxa"/>
          </w:tcPr>
          <w:p w:rsidRPr="006D75B9" w:rsidR="004C07A1" w:rsidP="00481B2D" w:rsidRDefault="004C07A1" w14:paraId="52FD0B93" w14:textId="53F45B0D">
            <w:pPr>
              <w:jc w:val="right"/>
              <w:rPr>
                <w:rFonts w:eastAsia="Times New Roman" w:cstheme="minorHAnsi"/>
                <w:color w:val="000000"/>
                <w:sz w:val="22"/>
                <w:szCs w:val="22"/>
              </w:rPr>
            </w:pPr>
            <w:r w:rsidRPr="006D75B9">
              <w:rPr>
                <w:sz w:val="22"/>
                <w:szCs w:val="22"/>
              </w:rPr>
              <w:t>MW</w:t>
            </w:r>
          </w:p>
        </w:tc>
        <w:tc>
          <w:tcPr>
            <w:tcW w:w="1080" w:type="dxa"/>
            <w:noWrap/>
          </w:tcPr>
          <w:p w:rsidRPr="006D75B9" w:rsidR="004C07A1" w:rsidP="00481B2D" w:rsidRDefault="004C07A1" w14:paraId="50B1EAD8"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246" w:type="dxa"/>
            <w:noWrap/>
          </w:tcPr>
          <w:p w:rsidRPr="006D75B9" w:rsidR="004C07A1" w:rsidP="00481B2D" w:rsidRDefault="004C07A1" w14:paraId="548B39E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5" w:type="dxa"/>
            <w:noWrap/>
          </w:tcPr>
          <w:p w:rsidRPr="006D75B9" w:rsidR="004C07A1" w:rsidP="00481B2D" w:rsidRDefault="004C07A1" w14:paraId="7C3A5B04"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4" w:type="dxa"/>
            <w:noWrap/>
          </w:tcPr>
          <w:p w:rsidRPr="006D75B9" w:rsidR="004C07A1" w:rsidP="00481B2D" w:rsidRDefault="004C07A1" w14:paraId="65C29672"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4" w:type="dxa"/>
            <w:noWrap/>
          </w:tcPr>
          <w:p w:rsidRPr="006D75B9" w:rsidR="004C07A1" w:rsidP="00481B2D" w:rsidRDefault="004C07A1" w14:paraId="75128620"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c>
          <w:tcPr>
            <w:tcW w:w="1055" w:type="dxa"/>
            <w:noWrap/>
          </w:tcPr>
          <w:p w:rsidRPr="006D75B9" w:rsidR="004C07A1" w:rsidP="00481B2D" w:rsidRDefault="004C07A1" w14:paraId="62B07D5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   </w:t>
            </w:r>
          </w:p>
        </w:tc>
      </w:tr>
      <w:tr w:rsidRPr="006D75B9" w:rsidR="004C07A1" w:rsidTr="004C07A1" w14:paraId="254C8DD3" w14:textId="77777777">
        <w:trPr>
          <w:trHeight w:val="547"/>
        </w:trPr>
        <w:tc>
          <w:tcPr>
            <w:tcW w:w="1255" w:type="dxa"/>
            <w:vMerge/>
            <w:vAlign w:val="center"/>
          </w:tcPr>
          <w:p w:rsidRPr="006D75B9" w:rsidR="004C07A1" w:rsidP="00481B2D" w:rsidRDefault="004C07A1" w14:paraId="6474E8ED" w14:textId="77777777">
            <w:pPr>
              <w:rPr>
                <w:rFonts w:eastAsia="Times New Roman" w:cstheme="minorHAnsi"/>
                <w:color w:val="000000"/>
                <w:sz w:val="22"/>
                <w:szCs w:val="22"/>
              </w:rPr>
            </w:pPr>
          </w:p>
        </w:tc>
        <w:tc>
          <w:tcPr>
            <w:tcW w:w="1890" w:type="dxa"/>
          </w:tcPr>
          <w:p w:rsidRPr="006D75B9" w:rsidR="004C07A1" w:rsidP="00481B2D" w:rsidRDefault="004C07A1" w14:paraId="760C3B85" w14:textId="5F1745CE">
            <w:pPr>
              <w:jc w:val="right"/>
              <w:rPr>
                <w:rFonts w:eastAsia="Times New Roman" w:cstheme="minorHAnsi"/>
                <w:color w:val="000000"/>
                <w:sz w:val="22"/>
                <w:szCs w:val="22"/>
              </w:rPr>
            </w:pPr>
            <w:r w:rsidRPr="006D75B9">
              <w:rPr>
                <w:sz w:val="22"/>
                <w:szCs w:val="22"/>
              </w:rPr>
              <w:t xml:space="preserve">Million </w:t>
            </w:r>
            <w:proofErr w:type="spellStart"/>
            <w:r w:rsidRPr="006D75B9">
              <w:rPr>
                <w:sz w:val="22"/>
                <w:szCs w:val="22"/>
              </w:rPr>
              <w:t>Therms</w:t>
            </w:r>
            <w:proofErr w:type="spellEnd"/>
          </w:p>
        </w:tc>
        <w:tc>
          <w:tcPr>
            <w:tcW w:w="1080" w:type="dxa"/>
            <w:noWrap/>
          </w:tcPr>
          <w:p w:rsidRPr="006D75B9" w:rsidR="004C07A1" w:rsidP="00481B2D" w:rsidRDefault="004C07A1" w14:paraId="4E54659C"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1.44 </w:t>
            </w:r>
          </w:p>
        </w:tc>
        <w:tc>
          <w:tcPr>
            <w:tcW w:w="1246" w:type="dxa"/>
            <w:noWrap/>
          </w:tcPr>
          <w:p w:rsidRPr="006D75B9" w:rsidR="004C07A1" w:rsidP="00481B2D" w:rsidRDefault="004C07A1" w14:paraId="16CAFB1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1.44 </w:t>
            </w:r>
          </w:p>
        </w:tc>
        <w:tc>
          <w:tcPr>
            <w:tcW w:w="1055" w:type="dxa"/>
            <w:noWrap/>
          </w:tcPr>
          <w:p w:rsidRPr="006D75B9" w:rsidR="004C07A1" w:rsidP="00481B2D" w:rsidRDefault="004C07A1" w14:paraId="040FB75E"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1.44 </w:t>
            </w:r>
          </w:p>
        </w:tc>
        <w:tc>
          <w:tcPr>
            <w:tcW w:w="1054" w:type="dxa"/>
            <w:noWrap/>
          </w:tcPr>
          <w:p w:rsidRPr="006D75B9" w:rsidR="004C07A1" w:rsidP="00481B2D" w:rsidRDefault="004C07A1" w14:paraId="69FA36FC"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1.44 </w:t>
            </w:r>
          </w:p>
        </w:tc>
        <w:tc>
          <w:tcPr>
            <w:tcW w:w="1054" w:type="dxa"/>
            <w:noWrap/>
          </w:tcPr>
          <w:p w:rsidRPr="006D75B9" w:rsidR="004C07A1" w:rsidP="00481B2D" w:rsidRDefault="004C07A1" w14:paraId="3F1C5756"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1.44 </w:t>
            </w:r>
          </w:p>
        </w:tc>
        <w:tc>
          <w:tcPr>
            <w:tcW w:w="1055" w:type="dxa"/>
            <w:noWrap/>
          </w:tcPr>
          <w:p w:rsidRPr="006D75B9" w:rsidR="004C07A1" w:rsidP="00481B2D" w:rsidRDefault="004C07A1" w14:paraId="3D4F4666"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w:t>
            </w:r>
            <w:r>
              <w:rPr>
                <w:rFonts w:eastAsia="Times New Roman" w:cstheme="minorHAnsi"/>
                <w:color w:val="000000"/>
                <w:sz w:val="22"/>
                <w:szCs w:val="22"/>
              </w:rPr>
              <w:t>7.18</w:t>
            </w:r>
            <w:r w:rsidRPr="006D75B9">
              <w:rPr>
                <w:rFonts w:eastAsia="Times New Roman" w:cstheme="minorHAnsi"/>
                <w:color w:val="000000"/>
                <w:sz w:val="22"/>
                <w:szCs w:val="22"/>
              </w:rPr>
              <w:t xml:space="preserve"> </w:t>
            </w:r>
          </w:p>
        </w:tc>
      </w:tr>
      <w:tr w:rsidRPr="006D75B9" w:rsidR="004C07A1" w:rsidTr="004C07A1" w14:paraId="4A52D683" w14:textId="77777777">
        <w:trPr>
          <w:trHeight w:val="547"/>
        </w:trPr>
        <w:tc>
          <w:tcPr>
            <w:tcW w:w="1255" w:type="dxa"/>
            <w:vMerge w:val="restart"/>
            <w:vAlign w:val="center"/>
            <w:hideMark/>
          </w:tcPr>
          <w:p w:rsidRPr="006D75B9" w:rsidR="004C07A1" w:rsidP="00481B2D" w:rsidRDefault="004C07A1" w14:paraId="04E9982B" w14:textId="77777777">
            <w:pPr>
              <w:rPr>
                <w:rFonts w:eastAsia="Times New Roman" w:cstheme="minorHAnsi"/>
                <w:color w:val="000000"/>
                <w:sz w:val="22"/>
                <w:szCs w:val="22"/>
              </w:rPr>
            </w:pPr>
            <w:r w:rsidRPr="006D75B9">
              <w:rPr>
                <w:rFonts w:eastAsia="Times New Roman" w:cstheme="minorHAnsi"/>
                <w:color w:val="000000"/>
                <w:sz w:val="22"/>
                <w:szCs w:val="22"/>
              </w:rPr>
              <w:t>SDG&amp;E</w:t>
            </w:r>
          </w:p>
        </w:tc>
        <w:tc>
          <w:tcPr>
            <w:tcW w:w="1890" w:type="dxa"/>
          </w:tcPr>
          <w:p w:rsidRPr="006D75B9" w:rsidR="004C07A1" w:rsidP="00481B2D" w:rsidRDefault="004C07A1" w14:paraId="03651FC3" w14:textId="1437768F">
            <w:pPr>
              <w:jc w:val="right"/>
              <w:rPr>
                <w:rFonts w:eastAsia="Times New Roman" w:cstheme="minorHAnsi"/>
                <w:color w:val="000000"/>
                <w:sz w:val="22"/>
                <w:szCs w:val="22"/>
              </w:rPr>
            </w:pPr>
            <w:r w:rsidRPr="006D75B9">
              <w:rPr>
                <w:sz w:val="22"/>
                <w:szCs w:val="22"/>
              </w:rPr>
              <w:t>GWh</w:t>
            </w:r>
          </w:p>
        </w:tc>
        <w:tc>
          <w:tcPr>
            <w:tcW w:w="1080" w:type="dxa"/>
            <w:noWrap/>
            <w:hideMark/>
          </w:tcPr>
          <w:p w:rsidRPr="006D75B9" w:rsidR="004C07A1" w:rsidP="00481B2D" w:rsidRDefault="004C07A1" w14:paraId="59803E86"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3.0 </w:t>
            </w:r>
          </w:p>
        </w:tc>
        <w:tc>
          <w:tcPr>
            <w:tcW w:w="1246" w:type="dxa"/>
            <w:noWrap/>
            <w:hideMark/>
          </w:tcPr>
          <w:p w:rsidRPr="006D75B9" w:rsidR="004C07A1" w:rsidP="00481B2D" w:rsidRDefault="004C07A1" w14:paraId="27EB8DD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2.6 </w:t>
            </w:r>
          </w:p>
        </w:tc>
        <w:tc>
          <w:tcPr>
            <w:tcW w:w="1055" w:type="dxa"/>
            <w:noWrap/>
            <w:hideMark/>
          </w:tcPr>
          <w:p w:rsidRPr="006D75B9" w:rsidR="004C07A1" w:rsidP="00481B2D" w:rsidRDefault="004C07A1" w14:paraId="12AD7847"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2.8 </w:t>
            </w:r>
          </w:p>
        </w:tc>
        <w:tc>
          <w:tcPr>
            <w:tcW w:w="1054" w:type="dxa"/>
            <w:noWrap/>
            <w:hideMark/>
          </w:tcPr>
          <w:p w:rsidRPr="006D75B9" w:rsidR="004C07A1" w:rsidP="00481B2D" w:rsidRDefault="004C07A1" w14:paraId="23EC095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2.9 </w:t>
            </w:r>
          </w:p>
        </w:tc>
        <w:tc>
          <w:tcPr>
            <w:tcW w:w="1054" w:type="dxa"/>
            <w:noWrap/>
            <w:hideMark/>
          </w:tcPr>
          <w:p w:rsidRPr="006D75B9" w:rsidR="004C07A1" w:rsidP="00481B2D" w:rsidRDefault="004C07A1" w14:paraId="312F4EBC"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3.2 </w:t>
            </w:r>
          </w:p>
        </w:tc>
        <w:tc>
          <w:tcPr>
            <w:tcW w:w="1055" w:type="dxa"/>
            <w:noWrap/>
            <w:hideMark/>
          </w:tcPr>
          <w:p w:rsidRPr="006D75B9" w:rsidR="004C07A1" w:rsidP="00481B2D" w:rsidRDefault="004C07A1" w14:paraId="7EEC4CF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w:t>
            </w:r>
            <w:r>
              <w:rPr>
                <w:rFonts w:eastAsia="Times New Roman" w:cstheme="minorHAnsi"/>
                <w:color w:val="000000"/>
                <w:sz w:val="22"/>
                <w:szCs w:val="22"/>
              </w:rPr>
              <w:t>14.4</w:t>
            </w:r>
            <w:r w:rsidRPr="006D75B9">
              <w:rPr>
                <w:rFonts w:eastAsia="Times New Roman" w:cstheme="minorHAnsi"/>
                <w:color w:val="000000"/>
                <w:sz w:val="22"/>
                <w:szCs w:val="22"/>
              </w:rPr>
              <w:t xml:space="preserve"> </w:t>
            </w:r>
          </w:p>
        </w:tc>
      </w:tr>
      <w:tr w:rsidRPr="006D75B9" w:rsidR="004C07A1" w:rsidTr="004C07A1" w14:paraId="1BB4E662" w14:textId="77777777">
        <w:trPr>
          <w:trHeight w:val="547"/>
        </w:trPr>
        <w:tc>
          <w:tcPr>
            <w:tcW w:w="1255" w:type="dxa"/>
            <w:vMerge/>
            <w:vAlign w:val="center"/>
          </w:tcPr>
          <w:p w:rsidRPr="006D75B9" w:rsidR="004C07A1" w:rsidP="00481B2D" w:rsidRDefault="004C07A1" w14:paraId="66FC2D70" w14:textId="77777777">
            <w:pPr>
              <w:rPr>
                <w:rFonts w:eastAsia="Times New Roman" w:cstheme="minorHAnsi"/>
                <w:color w:val="000000"/>
                <w:sz w:val="22"/>
                <w:szCs w:val="22"/>
              </w:rPr>
            </w:pPr>
          </w:p>
        </w:tc>
        <w:tc>
          <w:tcPr>
            <w:tcW w:w="1890" w:type="dxa"/>
          </w:tcPr>
          <w:p w:rsidRPr="006D75B9" w:rsidR="004C07A1" w:rsidP="00481B2D" w:rsidRDefault="004C07A1" w14:paraId="7B53ABBB" w14:textId="0B54E529">
            <w:pPr>
              <w:jc w:val="right"/>
              <w:rPr>
                <w:rFonts w:eastAsia="Times New Roman" w:cstheme="minorHAnsi"/>
                <w:color w:val="000000"/>
                <w:sz w:val="22"/>
                <w:szCs w:val="22"/>
              </w:rPr>
            </w:pPr>
            <w:r w:rsidRPr="006D75B9">
              <w:rPr>
                <w:sz w:val="22"/>
                <w:szCs w:val="22"/>
              </w:rPr>
              <w:t>MW</w:t>
            </w:r>
          </w:p>
        </w:tc>
        <w:tc>
          <w:tcPr>
            <w:tcW w:w="1080" w:type="dxa"/>
            <w:noWrap/>
          </w:tcPr>
          <w:p w:rsidRPr="006D75B9" w:rsidR="004C07A1" w:rsidP="00481B2D" w:rsidRDefault="004C07A1" w14:paraId="53F02A61"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0.4 </w:t>
            </w:r>
          </w:p>
        </w:tc>
        <w:tc>
          <w:tcPr>
            <w:tcW w:w="1246" w:type="dxa"/>
            <w:noWrap/>
          </w:tcPr>
          <w:p w:rsidRPr="006D75B9" w:rsidR="004C07A1" w:rsidP="00481B2D" w:rsidRDefault="004C07A1" w14:paraId="3F96B86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0.4 </w:t>
            </w:r>
          </w:p>
        </w:tc>
        <w:tc>
          <w:tcPr>
            <w:tcW w:w="1055" w:type="dxa"/>
            <w:noWrap/>
          </w:tcPr>
          <w:p w:rsidRPr="006D75B9" w:rsidR="004C07A1" w:rsidP="00481B2D" w:rsidRDefault="004C07A1" w14:paraId="142D6093"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0.4 </w:t>
            </w:r>
          </w:p>
        </w:tc>
        <w:tc>
          <w:tcPr>
            <w:tcW w:w="1054" w:type="dxa"/>
            <w:noWrap/>
          </w:tcPr>
          <w:p w:rsidRPr="006D75B9" w:rsidR="004C07A1" w:rsidP="00481B2D" w:rsidRDefault="004C07A1" w14:paraId="2BDEA55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0.4 </w:t>
            </w:r>
          </w:p>
        </w:tc>
        <w:tc>
          <w:tcPr>
            <w:tcW w:w="1054" w:type="dxa"/>
            <w:noWrap/>
          </w:tcPr>
          <w:p w:rsidRPr="006D75B9" w:rsidR="004C07A1" w:rsidP="00481B2D" w:rsidRDefault="004C07A1" w14:paraId="177AE94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0.5 </w:t>
            </w:r>
          </w:p>
        </w:tc>
        <w:tc>
          <w:tcPr>
            <w:tcW w:w="1055" w:type="dxa"/>
            <w:noWrap/>
          </w:tcPr>
          <w:p w:rsidRPr="006D75B9" w:rsidR="004C07A1" w:rsidP="00481B2D" w:rsidRDefault="004C07A1" w14:paraId="61552D3A"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w:t>
            </w:r>
            <w:r>
              <w:rPr>
                <w:rFonts w:eastAsia="Times New Roman" w:cstheme="minorHAnsi"/>
                <w:color w:val="000000"/>
                <w:sz w:val="22"/>
                <w:szCs w:val="22"/>
              </w:rPr>
              <w:t>1</w:t>
            </w:r>
            <w:r w:rsidRPr="006D75B9">
              <w:rPr>
                <w:rFonts w:eastAsia="Times New Roman" w:cstheme="minorHAnsi"/>
                <w:color w:val="000000"/>
                <w:sz w:val="22"/>
                <w:szCs w:val="22"/>
              </w:rPr>
              <w:t xml:space="preserve"> </w:t>
            </w:r>
          </w:p>
        </w:tc>
      </w:tr>
      <w:tr w:rsidRPr="006D75B9" w:rsidR="004C07A1" w:rsidTr="004C07A1" w14:paraId="583629C2" w14:textId="77777777">
        <w:trPr>
          <w:trHeight w:val="547"/>
        </w:trPr>
        <w:tc>
          <w:tcPr>
            <w:tcW w:w="1255" w:type="dxa"/>
            <w:vMerge/>
            <w:vAlign w:val="center"/>
          </w:tcPr>
          <w:p w:rsidRPr="006D75B9" w:rsidR="004C07A1" w:rsidP="00481B2D" w:rsidRDefault="004C07A1" w14:paraId="05F70F0D" w14:textId="77777777">
            <w:pPr>
              <w:rPr>
                <w:rFonts w:eastAsia="Times New Roman" w:cstheme="minorHAnsi"/>
                <w:color w:val="000000"/>
                <w:sz w:val="22"/>
                <w:szCs w:val="22"/>
              </w:rPr>
            </w:pPr>
          </w:p>
        </w:tc>
        <w:tc>
          <w:tcPr>
            <w:tcW w:w="1890" w:type="dxa"/>
          </w:tcPr>
          <w:p w:rsidRPr="006D75B9" w:rsidR="004C07A1" w:rsidP="00481B2D" w:rsidRDefault="004C07A1" w14:paraId="64A50DD7" w14:textId="65F17AB7">
            <w:pPr>
              <w:jc w:val="right"/>
              <w:rPr>
                <w:rFonts w:eastAsia="Times New Roman" w:cstheme="minorHAnsi"/>
                <w:color w:val="000000"/>
                <w:sz w:val="22"/>
                <w:szCs w:val="22"/>
              </w:rPr>
            </w:pPr>
            <w:r w:rsidRPr="006D75B9">
              <w:rPr>
                <w:sz w:val="22"/>
                <w:szCs w:val="22"/>
              </w:rPr>
              <w:t xml:space="preserve">Million </w:t>
            </w:r>
            <w:proofErr w:type="spellStart"/>
            <w:r w:rsidRPr="006D75B9">
              <w:rPr>
                <w:sz w:val="22"/>
                <w:szCs w:val="22"/>
              </w:rPr>
              <w:t>Therms</w:t>
            </w:r>
            <w:proofErr w:type="spellEnd"/>
          </w:p>
        </w:tc>
        <w:tc>
          <w:tcPr>
            <w:tcW w:w="1080" w:type="dxa"/>
            <w:noWrap/>
          </w:tcPr>
          <w:p w:rsidRPr="006D75B9" w:rsidR="004C07A1" w:rsidP="00481B2D" w:rsidRDefault="004C07A1" w14:paraId="2B10E22D"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0.13 </w:t>
            </w:r>
          </w:p>
        </w:tc>
        <w:tc>
          <w:tcPr>
            <w:tcW w:w="1246" w:type="dxa"/>
            <w:noWrap/>
          </w:tcPr>
          <w:p w:rsidRPr="006D75B9" w:rsidR="004C07A1" w:rsidP="00481B2D" w:rsidRDefault="004C07A1" w14:paraId="41C18F7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0.11 </w:t>
            </w:r>
          </w:p>
        </w:tc>
        <w:tc>
          <w:tcPr>
            <w:tcW w:w="1055" w:type="dxa"/>
            <w:noWrap/>
          </w:tcPr>
          <w:p w:rsidRPr="006D75B9" w:rsidR="004C07A1" w:rsidP="00481B2D" w:rsidRDefault="004C07A1" w14:paraId="39AAC8FD"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0.12 </w:t>
            </w:r>
          </w:p>
        </w:tc>
        <w:tc>
          <w:tcPr>
            <w:tcW w:w="1054" w:type="dxa"/>
            <w:noWrap/>
          </w:tcPr>
          <w:p w:rsidRPr="006D75B9" w:rsidR="004C07A1" w:rsidP="00481B2D" w:rsidRDefault="004C07A1" w14:paraId="67ED612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0.12 </w:t>
            </w:r>
          </w:p>
        </w:tc>
        <w:tc>
          <w:tcPr>
            <w:tcW w:w="1054" w:type="dxa"/>
            <w:noWrap/>
          </w:tcPr>
          <w:p w:rsidRPr="006D75B9" w:rsidR="004C07A1" w:rsidP="00481B2D" w:rsidRDefault="004C07A1" w14:paraId="18B628A9"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0.13 </w:t>
            </w:r>
          </w:p>
        </w:tc>
        <w:tc>
          <w:tcPr>
            <w:tcW w:w="1055" w:type="dxa"/>
            <w:noWrap/>
          </w:tcPr>
          <w:p w:rsidRPr="006D75B9" w:rsidR="004C07A1" w:rsidP="00481B2D" w:rsidRDefault="004C07A1" w14:paraId="1F42940B"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0.</w:t>
            </w:r>
            <w:r>
              <w:rPr>
                <w:rFonts w:eastAsia="Times New Roman" w:cstheme="minorHAnsi"/>
                <w:color w:val="000000"/>
                <w:sz w:val="22"/>
                <w:szCs w:val="22"/>
              </w:rPr>
              <w:t>60</w:t>
            </w:r>
            <w:r w:rsidRPr="006D75B9">
              <w:rPr>
                <w:rFonts w:eastAsia="Times New Roman" w:cstheme="minorHAnsi"/>
                <w:color w:val="000000"/>
                <w:sz w:val="22"/>
                <w:szCs w:val="22"/>
              </w:rPr>
              <w:t xml:space="preserve"> </w:t>
            </w:r>
          </w:p>
        </w:tc>
      </w:tr>
      <w:tr w:rsidRPr="006D75B9" w:rsidR="004C07A1" w:rsidTr="004C07A1" w14:paraId="11D0D029" w14:textId="77777777">
        <w:trPr>
          <w:trHeight w:val="547"/>
        </w:trPr>
        <w:tc>
          <w:tcPr>
            <w:tcW w:w="1255" w:type="dxa"/>
            <w:vMerge w:val="restart"/>
            <w:vAlign w:val="center"/>
            <w:hideMark/>
          </w:tcPr>
          <w:p w:rsidRPr="006D75B9" w:rsidR="004C07A1" w:rsidP="00481B2D" w:rsidRDefault="004C07A1" w14:paraId="30ECE76C" w14:textId="77777777">
            <w:pPr>
              <w:rPr>
                <w:rFonts w:eastAsia="Times New Roman" w:cstheme="minorHAnsi"/>
                <w:color w:val="000000"/>
                <w:sz w:val="22"/>
                <w:szCs w:val="22"/>
              </w:rPr>
            </w:pPr>
            <w:r w:rsidRPr="006D75B9">
              <w:rPr>
                <w:rFonts w:eastAsia="Times New Roman" w:cstheme="minorHAnsi"/>
                <w:color w:val="000000"/>
                <w:sz w:val="22"/>
                <w:szCs w:val="22"/>
              </w:rPr>
              <w:t>Annual Total</w:t>
            </w:r>
          </w:p>
        </w:tc>
        <w:tc>
          <w:tcPr>
            <w:tcW w:w="1890" w:type="dxa"/>
          </w:tcPr>
          <w:p w:rsidRPr="006D75B9" w:rsidR="004C07A1" w:rsidP="00481B2D" w:rsidRDefault="004C07A1" w14:paraId="69E0B837" w14:textId="6AB178CA">
            <w:pPr>
              <w:jc w:val="right"/>
              <w:rPr>
                <w:rFonts w:eastAsia="Times New Roman" w:cstheme="minorHAnsi"/>
                <w:color w:val="000000"/>
                <w:sz w:val="22"/>
                <w:szCs w:val="22"/>
              </w:rPr>
            </w:pPr>
            <w:r w:rsidRPr="006D75B9">
              <w:rPr>
                <w:sz w:val="22"/>
                <w:szCs w:val="22"/>
              </w:rPr>
              <w:t>GWh</w:t>
            </w:r>
          </w:p>
        </w:tc>
        <w:tc>
          <w:tcPr>
            <w:tcW w:w="1080" w:type="dxa"/>
            <w:noWrap/>
            <w:hideMark/>
          </w:tcPr>
          <w:p w:rsidRPr="006D75B9" w:rsidR="004C07A1" w:rsidP="00481B2D" w:rsidRDefault="004C07A1" w14:paraId="6D0805F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36.8 </w:t>
            </w:r>
          </w:p>
        </w:tc>
        <w:tc>
          <w:tcPr>
            <w:tcW w:w="1246" w:type="dxa"/>
            <w:noWrap/>
            <w:hideMark/>
          </w:tcPr>
          <w:p w:rsidRPr="006D75B9" w:rsidR="004C07A1" w:rsidP="00481B2D" w:rsidRDefault="004C07A1" w14:paraId="67DAF6AE"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60.8 </w:t>
            </w:r>
          </w:p>
        </w:tc>
        <w:tc>
          <w:tcPr>
            <w:tcW w:w="1055" w:type="dxa"/>
            <w:noWrap/>
            <w:hideMark/>
          </w:tcPr>
          <w:p w:rsidRPr="006D75B9" w:rsidR="004C07A1" w:rsidP="00481B2D" w:rsidRDefault="004C07A1" w14:paraId="5636528B"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68.8  </w:t>
            </w:r>
          </w:p>
        </w:tc>
        <w:tc>
          <w:tcPr>
            <w:tcW w:w="1054" w:type="dxa"/>
            <w:noWrap/>
            <w:hideMark/>
          </w:tcPr>
          <w:p w:rsidRPr="006D75B9" w:rsidR="004C07A1" w:rsidP="00481B2D" w:rsidRDefault="004C07A1" w14:paraId="7D097675"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70.2</w:t>
            </w:r>
          </w:p>
        </w:tc>
        <w:tc>
          <w:tcPr>
            <w:tcW w:w="1054" w:type="dxa"/>
            <w:noWrap/>
            <w:hideMark/>
          </w:tcPr>
          <w:p w:rsidRPr="006D75B9" w:rsidR="004C07A1" w:rsidP="00481B2D" w:rsidRDefault="004C07A1" w14:paraId="6F127025"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61.4</w:t>
            </w:r>
          </w:p>
        </w:tc>
        <w:tc>
          <w:tcPr>
            <w:tcW w:w="1055" w:type="dxa"/>
            <w:noWrap/>
            <w:hideMark/>
          </w:tcPr>
          <w:p w:rsidRPr="006D75B9" w:rsidR="004C07A1" w:rsidP="00481B2D" w:rsidRDefault="004C07A1" w14:paraId="31652F35"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w:t>
            </w:r>
            <w:r>
              <w:rPr>
                <w:rFonts w:eastAsia="Times New Roman" w:cstheme="minorBidi"/>
                <w:color w:val="000000" w:themeColor="text1"/>
                <w:sz w:val="22"/>
                <w:szCs w:val="22"/>
              </w:rPr>
              <w:t xml:space="preserve">298.1 </w:t>
            </w:r>
          </w:p>
        </w:tc>
      </w:tr>
      <w:tr w:rsidRPr="006D75B9" w:rsidR="004C07A1" w:rsidTr="004C07A1" w14:paraId="79107F89" w14:textId="77777777">
        <w:trPr>
          <w:trHeight w:val="547"/>
        </w:trPr>
        <w:tc>
          <w:tcPr>
            <w:tcW w:w="1255" w:type="dxa"/>
            <w:vMerge/>
          </w:tcPr>
          <w:p w:rsidRPr="006D75B9" w:rsidR="004C07A1" w:rsidP="00481B2D" w:rsidRDefault="004C07A1" w14:paraId="12CE6873" w14:textId="77777777">
            <w:pPr>
              <w:rPr>
                <w:rFonts w:eastAsia="Times New Roman" w:cstheme="minorHAnsi"/>
                <w:color w:val="000000"/>
                <w:sz w:val="22"/>
                <w:szCs w:val="22"/>
              </w:rPr>
            </w:pPr>
          </w:p>
        </w:tc>
        <w:tc>
          <w:tcPr>
            <w:tcW w:w="1890" w:type="dxa"/>
          </w:tcPr>
          <w:p w:rsidRPr="006D75B9" w:rsidR="004C07A1" w:rsidP="00481B2D" w:rsidRDefault="004C07A1" w14:paraId="251A0C5B" w14:textId="70DEB7A1">
            <w:pPr>
              <w:jc w:val="right"/>
              <w:rPr>
                <w:rFonts w:eastAsia="Times New Roman" w:cstheme="minorHAnsi"/>
                <w:color w:val="000000"/>
                <w:sz w:val="22"/>
                <w:szCs w:val="22"/>
              </w:rPr>
            </w:pPr>
            <w:r w:rsidRPr="006D75B9">
              <w:rPr>
                <w:sz w:val="22"/>
                <w:szCs w:val="22"/>
              </w:rPr>
              <w:t>MW</w:t>
            </w:r>
          </w:p>
        </w:tc>
        <w:tc>
          <w:tcPr>
            <w:tcW w:w="1080" w:type="dxa"/>
            <w:noWrap/>
          </w:tcPr>
          <w:p w:rsidRPr="006D75B9" w:rsidR="004C07A1" w:rsidP="00481B2D" w:rsidRDefault="004C07A1" w14:paraId="7358CDA8"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10.4 </w:t>
            </w:r>
          </w:p>
        </w:tc>
        <w:tc>
          <w:tcPr>
            <w:tcW w:w="1246" w:type="dxa"/>
            <w:noWrap/>
          </w:tcPr>
          <w:p w:rsidRPr="006D75B9" w:rsidR="004C07A1" w:rsidP="00481B2D" w:rsidRDefault="004C07A1" w14:paraId="30D694A0"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12.4 </w:t>
            </w:r>
          </w:p>
        </w:tc>
        <w:tc>
          <w:tcPr>
            <w:tcW w:w="1055" w:type="dxa"/>
            <w:noWrap/>
          </w:tcPr>
          <w:p w:rsidRPr="006D75B9" w:rsidR="004C07A1" w:rsidP="00481B2D" w:rsidRDefault="004C07A1" w14:paraId="33109BDD"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16.0 </w:t>
            </w:r>
          </w:p>
        </w:tc>
        <w:tc>
          <w:tcPr>
            <w:tcW w:w="1054" w:type="dxa"/>
            <w:noWrap/>
          </w:tcPr>
          <w:p w:rsidRPr="006D75B9" w:rsidR="004C07A1" w:rsidP="00481B2D" w:rsidRDefault="004C07A1" w14:paraId="1F3829AE"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16.7 </w:t>
            </w:r>
          </w:p>
        </w:tc>
        <w:tc>
          <w:tcPr>
            <w:tcW w:w="1054" w:type="dxa"/>
            <w:noWrap/>
          </w:tcPr>
          <w:p w:rsidRPr="006D75B9" w:rsidR="004C07A1" w:rsidP="00481B2D" w:rsidRDefault="004C07A1" w14:paraId="48A3BB1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13.1 </w:t>
            </w:r>
          </w:p>
        </w:tc>
        <w:tc>
          <w:tcPr>
            <w:tcW w:w="1055" w:type="dxa"/>
            <w:noWrap/>
          </w:tcPr>
          <w:p w:rsidRPr="006D75B9" w:rsidR="004C07A1" w:rsidP="00481B2D" w:rsidRDefault="004C07A1" w14:paraId="4C4E75F8"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w:t>
            </w:r>
            <w:r>
              <w:rPr>
                <w:rFonts w:eastAsia="Times New Roman" w:cstheme="minorHAnsi"/>
                <w:color w:val="000000"/>
                <w:sz w:val="22"/>
                <w:szCs w:val="22"/>
              </w:rPr>
              <w:t xml:space="preserve">68.7 </w:t>
            </w:r>
          </w:p>
        </w:tc>
      </w:tr>
      <w:tr w:rsidRPr="006D75B9" w:rsidR="004C07A1" w:rsidTr="004C07A1" w14:paraId="6259343B" w14:textId="77777777">
        <w:trPr>
          <w:trHeight w:val="547"/>
        </w:trPr>
        <w:tc>
          <w:tcPr>
            <w:tcW w:w="1255" w:type="dxa"/>
            <w:vMerge/>
          </w:tcPr>
          <w:p w:rsidRPr="006D75B9" w:rsidR="004C07A1" w:rsidP="00481B2D" w:rsidRDefault="004C07A1" w14:paraId="08F99FD0" w14:textId="77777777">
            <w:pPr>
              <w:rPr>
                <w:rFonts w:eastAsia="Times New Roman" w:cstheme="minorHAnsi"/>
                <w:color w:val="000000"/>
                <w:sz w:val="22"/>
                <w:szCs w:val="22"/>
              </w:rPr>
            </w:pPr>
          </w:p>
        </w:tc>
        <w:tc>
          <w:tcPr>
            <w:tcW w:w="1890" w:type="dxa"/>
          </w:tcPr>
          <w:p w:rsidRPr="006D75B9" w:rsidR="004C07A1" w:rsidP="00481B2D" w:rsidRDefault="004C07A1" w14:paraId="72E6BD68" w14:textId="5E723C5F">
            <w:pPr>
              <w:jc w:val="right"/>
              <w:rPr>
                <w:rFonts w:eastAsia="Times New Roman" w:cstheme="minorHAnsi"/>
                <w:color w:val="000000"/>
                <w:sz w:val="22"/>
                <w:szCs w:val="22"/>
              </w:rPr>
            </w:pPr>
            <w:r w:rsidRPr="006D75B9">
              <w:rPr>
                <w:sz w:val="22"/>
                <w:szCs w:val="22"/>
              </w:rPr>
              <w:t xml:space="preserve">Million </w:t>
            </w:r>
            <w:proofErr w:type="spellStart"/>
            <w:r w:rsidRPr="006D75B9">
              <w:rPr>
                <w:sz w:val="22"/>
                <w:szCs w:val="22"/>
              </w:rPr>
              <w:t>Therms</w:t>
            </w:r>
            <w:proofErr w:type="spellEnd"/>
          </w:p>
        </w:tc>
        <w:tc>
          <w:tcPr>
            <w:tcW w:w="1080" w:type="dxa"/>
            <w:noWrap/>
          </w:tcPr>
          <w:p w:rsidRPr="006D75B9" w:rsidR="004C07A1" w:rsidP="00481B2D" w:rsidRDefault="004C07A1" w14:paraId="18FD402F" w14:textId="77777777">
            <w:pPr>
              <w:jc w:val="right"/>
              <w:rPr>
                <w:rFonts w:eastAsia="Times New Roman" w:cstheme="minorHAnsi"/>
                <w:color w:val="000000"/>
                <w:sz w:val="22"/>
                <w:szCs w:val="22"/>
              </w:rPr>
            </w:pPr>
            <w:r w:rsidRPr="006D75B9">
              <w:rPr>
                <w:rFonts w:eastAsia="Times New Roman" w:cstheme="minorHAnsi"/>
                <w:color w:val="000000"/>
                <w:sz w:val="22"/>
                <w:szCs w:val="22"/>
              </w:rPr>
              <w:t xml:space="preserve">     2.39 </w:t>
            </w:r>
          </w:p>
        </w:tc>
        <w:tc>
          <w:tcPr>
            <w:tcW w:w="1246" w:type="dxa"/>
            <w:noWrap/>
          </w:tcPr>
          <w:p w:rsidRPr="006D75B9" w:rsidR="004C07A1" w:rsidP="00481B2D" w:rsidRDefault="004C07A1" w14:paraId="46941939"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3.25 </w:t>
            </w:r>
          </w:p>
        </w:tc>
        <w:tc>
          <w:tcPr>
            <w:tcW w:w="1055" w:type="dxa"/>
            <w:noWrap/>
          </w:tcPr>
          <w:p w:rsidRPr="006D75B9" w:rsidR="004C07A1" w:rsidP="00481B2D" w:rsidRDefault="004C07A1" w14:paraId="3A988ADB"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3.33  </w:t>
            </w:r>
          </w:p>
        </w:tc>
        <w:tc>
          <w:tcPr>
            <w:tcW w:w="1054" w:type="dxa"/>
            <w:noWrap/>
          </w:tcPr>
          <w:p w:rsidRPr="006D75B9" w:rsidR="004C07A1" w:rsidP="00481B2D" w:rsidRDefault="004C07A1" w14:paraId="0913C3A9"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3.29 </w:t>
            </w:r>
          </w:p>
        </w:tc>
        <w:tc>
          <w:tcPr>
            <w:tcW w:w="1054" w:type="dxa"/>
            <w:noWrap/>
          </w:tcPr>
          <w:p w:rsidRPr="006D75B9" w:rsidR="004C07A1" w:rsidP="00481B2D" w:rsidRDefault="004C07A1" w14:paraId="5645E48A"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3.20  </w:t>
            </w:r>
          </w:p>
        </w:tc>
        <w:tc>
          <w:tcPr>
            <w:tcW w:w="1055" w:type="dxa"/>
            <w:noWrap/>
          </w:tcPr>
          <w:p w:rsidRPr="006D75B9" w:rsidR="004C07A1" w:rsidP="00481B2D" w:rsidRDefault="004C07A1" w14:paraId="525D5A2C" w14:textId="77777777">
            <w:pPr>
              <w:jc w:val="right"/>
              <w:rPr>
                <w:rFonts w:eastAsia="Times New Roman" w:cstheme="minorHAnsi"/>
                <w:color w:val="000000"/>
                <w:sz w:val="22"/>
                <w:szCs w:val="22"/>
              </w:rPr>
            </w:pPr>
            <w:r w:rsidRPr="302375C6">
              <w:rPr>
                <w:rFonts w:eastAsia="Times New Roman" w:cstheme="minorBidi"/>
                <w:color w:val="000000" w:themeColor="text1"/>
                <w:sz w:val="22"/>
                <w:szCs w:val="22"/>
              </w:rPr>
              <w:t xml:space="preserve">     </w:t>
            </w:r>
            <w:r>
              <w:rPr>
                <w:rFonts w:eastAsia="Times New Roman" w:cstheme="minorBidi"/>
                <w:color w:val="000000" w:themeColor="text1"/>
                <w:sz w:val="22"/>
                <w:szCs w:val="22"/>
              </w:rPr>
              <w:t xml:space="preserve">15.45 </w:t>
            </w:r>
          </w:p>
        </w:tc>
      </w:tr>
    </w:tbl>
    <w:p w:rsidRPr="008A2406" w:rsidR="000C1980" w:rsidP="008A2406" w:rsidRDefault="000C1980" w14:paraId="6474CCE7" w14:textId="425E2413">
      <w:pPr>
        <w:pStyle w:val="OP"/>
        <w:numPr>
          <w:ilvl w:val="0"/>
          <w:numId w:val="24"/>
        </w:numPr>
        <w:tabs>
          <w:tab w:val="left" w:pos="990"/>
        </w:tabs>
        <w:ind w:left="0" w:firstLine="547"/>
        <w:rPr>
          <w:szCs w:val="26"/>
        </w:rPr>
      </w:pPr>
      <w:r w:rsidRPr="008A2406">
        <w:rPr>
          <w:szCs w:val="26"/>
        </w:rPr>
        <w:t xml:space="preserve">Pacific Gas and Electric Company, Southern California Edison Company, Southern California Gas Company and San Diego Gas &amp; Electric Company </w:t>
      </w:r>
      <w:r w:rsidR="008A2406">
        <w:rPr>
          <w:szCs w:val="26"/>
        </w:rPr>
        <w:t>must</w:t>
      </w:r>
      <w:r w:rsidRPr="008A2406" w:rsidR="008A2406">
        <w:rPr>
          <w:szCs w:val="26"/>
        </w:rPr>
        <w:t xml:space="preserve"> </w:t>
      </w:r>
      <w:r w:rsidRPr="008A2406">
        <w:rPr>
          <w:szCs w:val="26"/>
        </w:rPr>
        <w:t>begin tracking three</w:t>
      </w:r>
      <w:r w:rsidR="008815A5">
        <w:rPr>
          <w:szCs w:val="26"/>
        </w:rPr>
        <w:t xml:space="preserve"> household</w:t>
      </w:r>
      <w:r w:rsidRPr="008A2406">
        <w:rPr>
          <w:szCs w:val="26"/>
        </w:rPr>
        <w:t xml:space="preserve"> </w:t>
      </w:r>
      <w:r w:rsidRPr="009D7EAF" w:rsidR="00526DCF">
        <w:rPr>
          <w:szCs w:val="26"/>
        </w:rPr>
        <w:t xml:space="preserve">Energy Savings Assistance program </w:t>
      </w:r>
      <w:r w:rsidRPr="008A2406">
        <w:rPr>
          <w:szCs w:val="26"/>
        </w:rPr>
        <w:t xml:space="preserve">energy saving metrics and report them on an annual basis, </w:t>
      </w:r>
      <w:r w:rsidR="003911AC">
        <w:t>as described in this decision and</w:t>
      </w:r>
      <w:r w:rsidRPr="008A2406" w:rsidR="003911AC">
        <w:rPr>
          <w:szCs w:val="26"/>
        </w:rPr>
        <w:t xml:space="preserve"> </w:t>
      </w:r>
      <w:r w:rsidRPr="008A2406">
        <w:rPr>
          <w:szCs w:val="26"/>
        </w:rPr>
        <w:t>per the reporting template to be developed and issued by Energy Division staff.  These include the average household first-year energy savings metric (energy saving measures only), the average household first-year energy savings metric (energy savings and health, comfort, and safety measures), and average first-year household energy savings as a percent of estimated total annual energy consumption (energy savings and health, comfort, and safety measures).</w:t>
      </w:r>
    </w:p>
    <w:p w:rsidRPr="008B6F9A" w:rsidR="000C1980" w:rsidP="00B171D3" w:rsidRDefault="000C1980" w14:paraId="5902C160" w14:textId="48121AC1">
      <w:pPr>
        <w:pStyle w:val="OP"/>
        <w:numPr>
          <w:ilvl w:val="0"/>
          <w:numId w:val="24"/>
        </w:numPr>
        <w:tabs>
          <w:tab w:val="left" w:pos="990"/>
        </w:tabs>
        <w:ind w:left="0" w:firstLine="547"/>
        <w:rPr>
          <w:szCs w:val="26"/>
        </w:rPr>
      </w:pPr>
      <w:r w:rsidRPr="00C14B06">
        <w:rPr>
          <w:szCs w:val="26"/>
        </w:rPr>
        <w:t xml:space="preserve">Pacific Gas and Electric Company, Southern California Edison Company, Southern California Gas Company and San Diego Gas &amp; Electric Company </w:t>
      </w:r>
      <w:r w:rsidR="00045FF4">
        <w:rPr>
          <w:szCs w:val="26"/>
        </w:rPr>
        <w:t>must</w:t>
      </w:r>
      <w:r w:rsidRPr="00045FF4" w:rsidR="00045FF4">
        <w:rPr>
          <w:szCs w:val="26"/>
        </w:rPr>
        <w:t xml:space="preserve"> </w:t>
      </w:r>
      <w:r w:rsidRPr="00045FF4">
        <w:rPr>
          <w:szCs w:val="26"/>
        </w:rPr>
        <w:t xml:space="preserve">utilize the current Potential and Goals study process </w:t>
      </w:r>
      <w:r w:rsidR="005D518D">
        <w:t>under the Energy Efficiency Rulemaking</w:t>
      </w:r>
      <w:r w:rsidRPr="00045FF4" w:rsidR="005D518D">
        <w:rPr>
          <w:szCs w:val="26"/>
        </w:rPr>
        <w:t xml:space="preserve"> </w:t>
      </w:r>
      <w:r w:rsidRPr="00045FF4">
        <w:rPr>
          <w:szCs w:val="26"/>
        </w:rPr>
        <w:t xml:space="preserve">to help inform the goals for the </w:t>
      </w:r>
      <w:r w:rsidRPr="00921263" w:rsidR="00B52C0C">
        <w:t xml:space="preserve">Energy Savings Assistance </w:t>
      </w:r>
      <w:r w:rsidRPr="00045FF4">
        <w:rPr>
          <w:szCs w:val="26"/>
        </w:rPr>
        <w:t>program</w:t>
      </w:r>
      <w:r w:rsidRPr="00B52C0C">
        <w:rPr>
          <w:szCs w:val="26"/>
        </w:rPr>
        <w:t xml:space="preserve">. </w:t>
      </w:r>
      <w:r w:rsidRPr="009D7EAF">
        <w:rPr>
          <w:szCs w:val="26"/>
        </w:rPr>
        <w:t xml:space="preserve"> </w:t>
      </w:r>
    </w:p>
    <w:p w:rsidRPr="00A73AF0" w:rsidR="000C1980" w:rsidP="00B171D3" w:rsidRDefault="000C1980" w14:paraId="59C164F4" w14:textId="77777777">
      <w:pPr>
        <w:pStyle w:val="OP"/>
        <w:numPr>
          <w:ilvl w:val="0"/>
          <w:numId w:val="24"/>
        </w:numPr>
        <w:tabs>
          <w:tab w:val="left" w:pos="990"/>
        </w:tabs>
        <w:ind w:left="0" w:firstLine="547"/>
        <w:rPr>
          <w:szCs w:val="26"/>
        </w:rPr>
      </w:pPr>
      <w:r w:rsidRPr="00045FF4">
        <w:rPr>
          <w:szCs w:val="26"/>
        </w:rPr>
        <w:t>Energy Division staff will work with stakeholders and the Potential and Goals study consultants</w:t>
      </w:r>
      <w:r w:rsidRPr="00B25AF3">
        <w:rPr>
          <w:szCs w:val="26"/>
        </w:rPr>
        <w:t xml:space="preserve"> </w:t>
      </w:r>
      <w:r w:rsidRPr="00736459">
        <w:rPr>
          <w:szCs w:val="26"/>
        </w:rPr>
        <w:t xml:space="preserve">on the next Potential and Goals study in 2023, to refine and update the methodology </w:t>
      </w:r>
      <w:r w:rsidRPr="003E6A0A">
        <w:rPr>
          <w:szCs w:val="26"/>
        </w:rPr>
        <w:t xml:space="preserve">used for the </w:t>
      </w:r>
      <w:proofErr w:type="gramStart"/>
      <w:r w:rsidRPr="003E6A0A">
        <w:rPr>
          <w:szCs w:val="26"/>
        </w:rPr>
        <w:t>low income</w:t>
      </w:r>
      <w:proofErr w:type="gramEnd"/>
      <w:r w:rsidRPr="003E6A0A">
        <w:rPr>
          <w:szCs w:val="26"/>
        </w:rPr>
        <w:t xml:space="preserve"> customer segment</w:t>
      </w:r>
      <w:r w:rsidRPr="00D80E2C">
        <w:rPr>
          <w:szCs w:val="26"/>
        </w:rPr>
        <w:t xml:space="preserve"> to ensure better alignment with this market’s profile.</w:t>
      </w:r>
      <w:r w:rsidRPr="004764F0">
        <w:rPr>
          <w:szCs w:val="26"/>
        </w:rPr>
        <w:t xml:space="preserve">  </w:t>
      </w:r>
    </w:p>
    <w:p w:rsidRPr="009D7EAF" w:rsidR="000C1980" w:rsidP="00B171D3" w:rsidRDefault="000C1980" w14:paraId="1996F2AB" w14:textId="6D30BFB5">
      <w:pPr>
        <w:pStyle w:val="OP"/>
        <w:numPr>
          <w:ilvl w:val="0"/>
          <w:numId w:val="24"/>
        </w:numPr>
        <w:tabs>
          <w:tab w:val="left" w:pos="990"/>
        </w:tabs>
        <w:ind w:left="0" w:firstLine="547"/>
        <w:rPr>
          <w:szCs w:val="26"/>
        </w:rPr>
      </w:pPr>
      <w:r w:rsidRPr="009D7EAF">
        <w:rPr>
          <w:szCs w:val="26"/>
        </w:rPr>
        <w:lastRenderedPageBreak/>
        <w:t xml:space="preserve">Pacific Gas and Electric Company, Southern California Edison Company, Southern California Gas Company and San Diego Gas &amp; Electric Company </w:t>
      </w:r>
      <w:r w:rsidRPr="009D7EAF" w:rsidR="009D7EAF">
        <w:rPr>
          <w:szCs w:val="26"/>
        </w:rPr>
        <w:t xml:space="preserve">must </w:t>
      </w:r>
      <w:r w:rsidRPr="009D7EAF">
        <w:rPr>
          <w:szCs w:val="26"/>
        </w:rPr>
        <w:t>provide consistent formats for tracking Energy Savings Assistance program goals and other relevant data being collected per the reporting template to be developed and issued by Energy Division staff</w:t>
      </w:r>
      <w:r w:rsidRPr="00B171D3">
        <w:rPr>
          <w:szCs w:val="26"/>
        </w:rPr>
        <w:t>.</w:t>
      </w:r>
    </w:p>
    <w:p w:rsidRPr="00B171D3" w:rsidR="000C1980" w:rsidP="00B171D3" w:rsidRDefault="000C1980" w14:paraId="4EE83F52" w14:textId="3E0E0CAA">
      <w:pPr>
        <w:pStyle w:val="OP"/>
        <w:numPr>
          <w:ilvl w:val="0"/>
          <w:numId w:val="24"/>
        </w:numPr>
        <w:tabs>
          <w:tab w:val="left" w:pos="990"/>
        </w:tabs>
        <w:ind w:left="0" w:firstLine="547"/>
        <w:rPr>
          <w:szCs w:val="26"/>
        </w:rPr>
      </w:pPr>
      <w:r w:rsidRPr="008A0476">
        <w:rPr>
          <w:szCs w:val="26"/>
        </w:rPr>
        <w:t xml:space="preserve">Pacific Gas and Electric Company, Southern California Edison Company, Southern California Gas Company and San Diego Gas &amp; Electric Company </w:t>
      </w:r>
      <w:r w:rsidR="009D7EAF">
        <w:rPr>
          <w:szCs w:val="26"/>
        </w:rPr>
        <w:t>must</w:t>
      </w:r>
      <w:r w:rsidRPr="008A0476" w:rsidR="009D7EAF">
        <w:rPr>
          <w:szCs w:val="26"/>
        </w:rPr>
        <w:t xml:space="preserve"> </w:t>
      </w:r>
      <w:r w:rsidRPr="008A0476">
        <w:rPr>
          <w:szCs w:val="26"/>
        </w:rPr>
        <w:t>track</w:t>
      </w:r>
      <w:r>
        <w:rPr>
          <w:szCs w:val="26"/>
        </w:rPr>
        <w:t xml:space="preserve"> additional health, comfort and safety </w:t>
      </w:r>
      <w:r w:rsidRPr="008A0476">
        <w:rPr>
          <w:szCs w:val="26"/>
        </w:rPr>
        <w:t xml:space="preserve">and hardship-reduction metrics in their annual </w:t>
      </w:r>
      <w:r w:rsidRPr="009D7EAF" w:rsidR="006148DB">
        <w:rPr>
          <w:szCs w:val="26"/>
        </w:rPr>
        <w:t xml:space="preserve">Energy Savings Assistance program </w:t>
      </w:r>
      <w:r w:rsidRPr="008A0476">
        <w:rPr>
          <w:szCs w:val="26"/>
        </w:rPr>
        <w:t>reports</w:t>
      </w:r>
      <w:r>
        <w:rPr>
          <w:szCs w:val="26"/>
        </w:rPr>
        <w:t xml:space="preserve">, </w:t>
      </w:r>
      <w:r w:rsidR="00A9474F">
        <w:t xml:space="preserve">as described in this decision and </w:t>
      </w:r>
      <w:r w:rsidRPr="00045FF4">
        <w:rPr>
          <w:szCs w:val="26"/>
        </w:rPr>
        <w:t>per the reporting template to be developed and issu</w:t>
      </w:r>
      <w:r w:rsidRPr="00B25AF3">
        <w:rPr>
          <w:szCs w:val="26"/>
        </w:rPr>
        <w:t>ed by Energy Division staff</w:t>
      </w:r>
      <w:r w:rsidRPr="00B171D3">
        <w:rPr>
          <w:szCs w:val="26"/>
        </w:rPr>
        <w:t xml:space="preserve">.  These include a </w:t>
      </w:r>
      <w:r w:rsidRPr="00B55DCA">
        <w:rPr>
          <w:szCs w:val="26"/>
        </w:rPr>
        <w:t>health, comfort, and safety b</w:t>
      </w:r>
      <w:r w:rsidRPr="00B171D3">
        <w:rPr>
          <w:szCs w:val="26"/>
        </w:rPr>
        <w:t xml:space="preserve">enefits per household metric (energy saving and </w:t>
      </w:r>
      <w:r w:rsidRPr="00B55DCA">
        <w:rPr>
          <w:szCs w:val="26"/>
        </w:rPr>
        <w:t xml:space="preserve">health, </w:t>
      </w:r>
      <w:proofErr w:type="gramStart"/>
      <w:r w:rsidRPr="00B55DCA">
        <w:rPr>
          <w:szCs w:val="26"/>
        </w:rPr>
        <w:t>comfort</w:t>
      </w:r>
      <w:proofErr w:type="gramEnd"/>
      <w:r w:rsidRPr="00B55DCA">
        <w:rPr>
          <w:szCs w:val="26"/>
        </w:rPr>
        <w:t xml:space="preserve"> and safety </w:t>
      </w:r>
      <w:r w:rsidRPr="00B171D3">
        <w:rPr>
          <w:szCs w:val="26"/>
        </w:rPr>
        <w:t xml:space="preserve">measures), and a hardship reduction metric (bill savings plus </w:t>
      </w:r>
      <w:r w:rsidRPr="00B55DCA">
        <w:rPr>
          <w:szCs w:val="26"/>
        </w:rPr>
        <w:t>health, comfort and safety b</w:t>
      </w:r>
      <w:r w:rsidRPr="00B171D3">
        <w:rPr>
          <w:szCs w:val="26"/>
        </w:rPr>
        <w:t xml:space="preserve">enefits for energy saving and </w:t>
      </w:r>
      <w:r w:rsidRPr="00B55DCA">
        <w:rPr>
          <w:szCs w:val="26"/>
        </w:rPr>
        <w:t xml:space="preserve">health, comfort and safety </w:t>
      </w:r>
      <w:r w:rsidRPr="00B171D3">
        <w:rPr>
          <w:szCs w:val="26"/>
        </w:rPr>
        <w:t xml:space="preserve">measures).  </w:t>
      </w:r>
    </w:p>
    <w:p w:rsidR="000C1980" w:rsidP="00B171D3" w:rsidRDefault="000C1980" w14:paraId="3ED20548" w14:textId="2D8EAFC9">
      <w:pPr>
        <w:pStyle w:val="OP"/>
        <w:numPr>
          <w:ilvl w:val="0"/>
          <w:numId w:val="24"/>
        </w:numPr>
        <w:tabs>
          <w:tab w:val="left" w:pos="990"/>
        </w:tabs>
        <w:ind w:left="0" w:firstLine="547"/>
        <w:rPr>
          <w:szCs w:val="26"/>
        </w:rPr>
      </w:pPr>
      <w:r w:rsidRPr="008A0476">
        <w:rPr>
          <w:szCs w:val="26"/>
        </w:rPr>
        <w:t>T</w:t>
      </w:r>
      <w:r w:rsidRPr="00045FF4">
        <w:rPr>
          <w:szCs w:val="26"/>
        </w:rPr>
        <w:t xml:space="preserve">he </w:t>
      </w:r>
      <w:r w:rsidRPr="00A65A5E">
        <w:rPr>
          <w:szCs w:val="26"/>
        </w:rPr>
        <w:t>Energy Savings Assistance</w:t>
      </w:r>
      <w:r w:rsidRPr="00045FF4">
        <w:rPr>
          <w:szCs w:val="26"/>
        </w:rPr>
        <w:t xml:space="preserve"> </w:t>
      </w:r>
      <w:r w:rsidR="006B3A11">
        <w:rPr>
          <w:szCs w:val="26"/>
        </w:rPr>
        <w:t xml:space="preserve">(ESA) </w:t>
      </w:r>
      <w:r w:rsidRPr="00045FF4">
        <w:rPr>
          <w:szCs w:val="26"/>
        </w:rPr>
        <w:t xml:space="preserve">Working Group </w:t>
      </w:r>
      <w:r w:rsidR="009D7EAF">
        <w:rPr>
          <w:szCs w:val="26"/>
        </w:rPr>
        <w:t>must</w:t>
      </w:r>
      <w:r w:rsidRPr="00045FF4" w:rsidR="009D7EAF">
        <w:rPr>
          <w:szCs w:val="26"/>
        </w:rPr>
        <w:t xml:space="preserve"> </w:t>
      </w:r>
      <w:r w:rsidRPr="00045FF4">
        <w:rPr>
          <w:szCs w:val="26"/>
        </w:rPr>
        <w:t xml:space="preserve">review the </w:t>
      </w:r>
      <w:r w:rsidR="006B3A11">
        <w:rPr>
          <w:szCs w:val="26"/>
        </w:rPr>
        <w:t>ESA</w:t>
      </w:r>
      <w:r w:rsidRPr="009D7EAF" w:rsidR="006148DB">
        <w:rPr>
          <w:szCs w:val="26"/>
        </w:rPr>
        <w:t xml:space="preserve"> program </w:t>
      </w:r>
      <w:r>
        <w:rPr>
          <w:szCs w:val="26"/>
        </w:rPr>
        <w:t xml:space="preserve">health, comfort and safety </w:t>
      </w:r>
      <w:r w:rsidRPr="008A0476">
        <w:rPr>
          <w:szCs w:val="26"/>
        </w:rPr>
        <w:t xml:space="preserve">and hardship-reduction metrics </w:t>
      </w:r>
      <w:r w:rsidRPr="00045FF4">
        <w:rPr>
          <w:szCs w:val="26"/>
        </w:rPr>
        <w:t xml:space="preserve">data collected during the first half of the program cycle and </w:t>
      </w:r>
      <w:r w:rsidR="009D7EAF">
        <w:rPr>
          <w:szCs w:val="26"/>
        </w:rPr>
        <w:t>must</w:t>
      </w:r>
      <w:r w:rsidRPr="00045FF4" w:rsidR="009D7EAF">
        <w:rPr>
          <w:szCs w:val="26"/>
        </w:rPr>
        <w:t xml:space="preserve"> </w:t>
      </w:r>
      <w:r w:rsidRPr="00045FF4">
        <w:rPr>
          <w:szCs w:val="26"/>
        </w:rPr>
        <w:t>include in the m</w:t>
      </w:r>
      <w:r w:rsidRPr="009D7EAF">
        <w:rPr>
          <w:szCs w:val="26"/>
        </w:rPr>
        <w:t xml:space="preserve">id-cycle progress report </w:t>
      </w:r>
      <w:proofErr w:type="spellStart"/>
      <w:r w:rsidRPr="009D7EAF">
        <w:rPr>
          <w:szCs w:val="26"/>
        </w:rPr>
        <w:t>i</w:t>
      </w:r>
      <w:proofErr w:type="spellEnd"/>
      <w:r w:rsidRPr="009D7EAF">
        <w:rPr>
          <w:szCs w:val="26"/>
        </w:rPr>
        <w:t xml:space="preserve">) whether </w:t>
      </w:r>
      <w:r>
        <w:rPr>
          <w:szCs w:val="26"/>
        </w:rPr>
        <w:t xml:space="preserve">health, comfort and safety </w:t>
      </w:r>
      <w:r w:rsidRPr="008A0476">
        <w:rPr>
          <w:szCs w:val="26"/>
        </w:rPr>
        <w:t xml:space="preserve">and hardship-reduction goals should be set, why or why not, </w:t>
      </w:r>
      <w:r>
        <w:rPr>
          <w:szCs w:val="26"/>
        </w:rPr>
        <w:t>ii</w:t>
      </w:r>
      <w:r w:rsidRPr="008A0476">
        <w:rPr>
          <w:szCs w:val="26"/>
        </w:rPr>
        <w:t xml:space="preserve">) </w:t>
      </w:r>
      <w:r w:rsidRPr="00045FF4">
        <w:rPr>
          <w:szCs w:val="26"/>
        </w:rPr>
        <w:t xml:space="preserve">how </w:t>
      </w:r>
      <w:r>
        <w:rPr>
          <w:szCs w:val="26"/>
        </w:rPr>
        <w:t xml:space="preserve">health, comfort and safety </w:t>
      </w:r>
      <w:r w:rsidRPr="008A0476">
        <w:rPr>
          <w:szCs w:val="26"/>
        </w:rPr>
        <w:t xml:space="preserve">and hardship-reduction goals should be calculated, and </w:t>
      </w:r>
      <w:r>
        <w:rPr>
          <w:szCs w:val="26"/>
        </w:rPr>
        <w:t>iii</w:t>
      </w:r>
      <w:r w:rsidRPr="008A0476">
        <w:rPr>
          <w:szCs w:val="26"/>
        </w:rPr>
        <w:t xml:space="preserve">) at what specific level should </w:t>
      </w:r>
      <w:r>
        <w:rPr>
          <w:szCs w:val="26"/>
        </w:rPr>
        <w:t xml:space="preserve">health, comfort and safety </w:t>
      </w:r>
      <w:r w:rsidRPr="008A0476">
        <w:rPr>
          <w:szCs w:val="26"/>
        </w:rPr>
        <w:t>and hardship-reduction goals be set.</w:t>
      </w:r>
    </w:p>
    <w:p w:rsidRPr="007F3EB5" w:rsidR="000C1980" w:rsidP="007F3EB5" w:rsidRDefault="000C1980" w14:paraId="0DCC2C41" w14:textId="195949C5">
      <w:pPr>
        <w:pStyle w:val="OP"/>
        <w:numPr>
          <w:ilvl w:val="0"/>
          <w:numId w:val="24"/>
        </w:numPr>
        <w:tabs>
          <w:tab w:val="left" w:pos="990"/>
        </w:tabs>
        <w:ind w:left="0" w:firstLine="547"/>
        <w:rPr>
          <w:szCs w:val="26"/>
        </w:rPr>
      </w:pPr>
      <w:r w:rsidRPr="00775BA0">
        <w:rPr>
          <w:szCs w:val="26"/>
        </w:rPr>
        <w:t xml:space="preserve">Pacific Gas and Electric Company, Southern California Edison Company, Southern California Gas Company and San Diego Gas &amp; Electric Company’s </w:t>
      </w:r>
      <w:r w:rsidRPr="00A65A5E">
        <w:rPr>
          <w:szCs w:val="26"/>
        </w:rPr>
        <w:t xml:space="preserve">Energy Savings Assistance </w:t>
      </w:r>
      <w:r>
        <w:rPr>
          <w:szCs w:val="26"/>
        </w:rPr>
        <w:t xml:space="preserve">program </w:t>
      </w:r>
      <w:r w:rsidRPr="00775BA0">
        <w:rPr>
          <w:szCs w:val="26"/>
        </w:rPr>
        <w:t xml:space="preserve">household treatment </w:t>
      </w:r>
      <w:r w:rsidR="003C19FE">
        <w:rPr>
          <w:szCs w:val="26"/>
        </w:rPr>
        <w:t xml:space="preserve">goals and </w:t>
      </w:r>
      <w:r w:rsidRPr="00775BA0">
        <w:rPr>
          <w:szCs w:val="26"/>
        </w:rPr>
        <w:t xml:space="preserve">targets </w:t>
      </w:r>
      <w:r w:rsidR="00614C68">
        <w:rPr>
          <w:szCs w:val="26"/>
        </w:rPr>
        <w:t xml:space="preserve">are </w:t>
      </w:r>
      <w:r>
        <w:rPr>
          <w:szCs w:val="26"/>
        </w:rPr>
        <w:t xml:space="preserve">approved </w:t>
      </w:r>
      <w:r w:rsidR="00614C68">
        <w:rPr>
          <w:szCs w:val="26"/>
        </w:rPr>
        <w:t xml:space="preserve">as </w:t>
      </w:r>
      <w:r>
        <w:rPr>
          <w:szCs w:val="26"/>
        </w:rPr>
        <w:t>follows:</w:t>
      </w:r>
      <w:r w:rsidRPr="00775BA0">
        <w:rPr>
          <w:szCs w:val="26"/>
        </w:rPr>
        <w:t xml:space="preserve"> </w:t>
      </w:r>
    </w:p>
    <w:tbl>
      <w:tblPr>
        <w:tblStyle w:val="TableGrid"/>
        <w:tblW w:w="10350" w:type="dxa"/>
        <w:tblInd w:w="-455" w:type="dxa"/>
        <w:tblLayout w:type="fixed"/>
        <w:tblLook w:val="06A0" w:firstRow="1" w:lastRow="0" w:firstColumn="1" w:lastColumn="0" w:noHBand="1" w:noVBand="1"/>
      </w:tblPr>
      <w:tblGrid>
        <w:gridCol w:w="1350"/>
        <w:gridCol w:w="1260"/>
        <w:gridCol w:w="1260"/>
        <w:gridCol w:w="1260"/>
        <w:gridCol w:w="1260"/>
        <w:gridCol w:w="1350"/>
        <w:gridCol w:w="1260"/>
        <w:gridCol w:w="1350"/>
      </w:tblGrid>
      <w:tr w:rsidRPr="003A4145" w:rsidR="004A7AEA" w:rsidTr="000E5251" w14:paraId="6505A292" w14:textId="2A48FE95">
        <w:tc>
          <w:tcPr>
            <w:tcW w:w="10350" w:type="dxa"/>
            <w:gridSpan w:val="8"/>
          </w:tcPr>
          <w:p w:rsidRPr="004A7AEA" w:rsidR="004A7AEA" w:rsidP="00072DBF" w:rsidRDefault="004A7AEA" w14:paraId="6697B4F2" w14:textId="7FA75EEA">
            <w:pPr>
              <w:spacing w:after="120"/>
              <w:jc w:val="center"/>
            </w:pPr>
            <w:r w:rsidRPr="004A7AEA">
              <w:lastRenderedPageBreak/>
              <w:t xml:space="preserve">Approved </w:t>
            </w:r>
            <w:r w:rsidRPr="004A7AEA">
              <w:rPr>
                <w:szCs w:val="26"/>
              </w:rPr>
              <w:t xml:space="preserve">Energy Savings Assistance </w:t>
            </w:r>
            <w:r w:rsidRPr="004A7AEA">
              <w:t xml:space="preserve">Household Treatment </w:t>
            </w:r>
            <w:r w:rsidR="00C31A5D">
              <w:t xml:space="preserve">Goals and </w:t>
            </w:r>
            <w:r w:rsidRPr="004A7AEA">
              <w:t>Targets, Program Years 2021-2026</w:t>
            </w:r>
          </w:p>
        </w:tc>
      </w:tr>
      <w:tr w:rsidRPr="003A4145" w:rsidR="000E5251" w:rsidTr="000E5251" w14:paraId="3F5C3410" w14:textId="534A8E52">
        <w:tc>
          <w:tcPr>
            <w:tcW w:w="1350" w:type="dxa"/>
          </w:tcPr>
          <w:p w:rsidRPr="003A4145" w:rsidR="000C1980" w:rsidP="00072DBF" w:rsidRDefault="000C1980" w14:paraId="6CCA8118" w14:textId="451B89B1">
            <w:r>
              <w:t>IOU</w:t>
            </w:r>
          </w:p>
        </w:tc>
        <w:tc>
          <w:tcPr>
            <w:tcW w:w="1260" w:type="dxa"/>
          </w:tcPr>
          <w:p w:rsidR="000C1980" w:rsidP="00072DBF" w:rsidRDefault="000C1980" w14:paraId="6E5EAD0B" w14:textId="52F136E9">
            <w:r w:rsidRPr="003A4145">
              <w:t>2021</w:t>
            </w:r>
          </w:p>
          <w:p w:rsidR="00C31A5D" w:rsidP="00072DBF" w:rsidRDefault="00C31A5D" w14:paraId="0AD464E3" w14:textId="43BBE2DC">
            <w:r>
              <w:t>(Goals)</w:t>
            </w:r>
          </w:p>
          <w:p w:rsidRPr="003A4145" w:rsidR="00926C23" w:rsidP="00072DBF" w:rsidRDefault="00926C23" w14:paraId="2FC75A80" w14:textId="4E83C6C2">
            <w:r>
              <w:t>(July 1-Dec. 31)</w:t>
            </w:r>
          </w:p>
        </w:tc>
        <w:tc>
          <w:tcPr>
            <w:tcW w:w="1260" w:type="dxa"/>
            <w:vAlign w:val="center"/>
          </w:tcPr>
          <w:p w:rsidRPr="003A4145" w:rsidR="000C1980" w:rsidP="00072DBF" w:rsidRDefault="000C1980" w14:paraId="0DE79FD1" w14:textId="6F537599">
            <w:pPr>
              <w:rPr>
                <w:sz w:val="22"/>
                <w:szCs w:val="22"/>
              </w:rPr>
            </w:pPr>
            <w:r w:rsidRPr="003A4145">
              <w:rPr>
                <w:sz w:val="22"/>
                <w:szCs w:val="22"/>
              </w:rPr>
              <w:t>2022</w:t>
            </w:r>
            <w:r w:rsidR="007255F8">
              <w:rPr>
                <w:sz w:val="22"/>
                <w:szCs w:val="22"/>
              </w:rPr>
              <w:t xml:space="preserve"> </w:t>
            </w:r>
            <w:r w:rsidRPr="007255F8" w:rsidR="007255F8">
              <w:t>(Targets)</w:t>
            </w:r>
          </w:p>
        </w:tc>
        <w:tc>
          <w:tcPr>
            <w:tcW w:w="1260" w:type="dxa"/>
            <w:vAlign w:val="center"/>
          </w:tcPr>
          <w:p w:rsidRPr="003A4145" w:rsidR="000C1980" w:rsidP="00072DBF" w:rsidRDefault="000C1980" w14:paraId="09EADB10" w14:textId="44D8DE25">
            <w:pPr>
              <w:rPr>
                <w:sz w:val="22"/>
                <w:szCs w:val="22"/>
              </w:rPr>
            </w:pPr>
            <w:r w:rsidRPr="003A4145">
              <w:rPr>
                <w:sz w:val="22"/>
                <w:szCs w:val="22"/>
              </w:rPr>
              <w:t>2023</w:t>
            </w:r>
            <w:r w:rsidR="007255F8">
              <w:rPr>
                <w:sz w:val="22"/>
                <w:szCs w:val="22"/>
              </w:rPr>
              <w:t xml:space="preserve"> </w:t>
            </w:r>
            <w:r w:rsidRPr="007255F8" w:rsidR="007255F8">
              <w:t>(Targets)</w:t>
            </w:r>
          </w:p>
        </w:tc>
        <w:tc>
          <w:tcPr>
            <w:tcW w:w="1260" w:type="dxa"/>
            <w:vAlign w:val="center"/>
          </w:tcPr>
          <w:p w:rsidRPr="003A4145" w:rsidR="000C1980" w:rsidP="00072DBF" w:rsidRDefault="000C1980" w14:paraId="11E2A8E4" w14:textId="7777E042">
            <w:pPr>
              <w:rPr>
                <w:sz w:val="22"/>
                <w:szCs w:val="22"/>
              </w:rPr>
            </w:pPr>
            <w:r w:rsidRPr="003A4145">
              <w:rPr>
                <w:sz w:val="22"/>
                <w:szCs w:val="22"/>
              </w:rPr>
              <w:t>2024</w:t>
            </w:r>
            <w:r w:rsidR="007255F8">
              <w:rPr>
                <w:sz w:val="22"/>
                <w:szCs w:val="22"/>
              </w:rPr>
              <w:t xml:space="preserve"> </w:t>
            </w:r>
            <w:r w:rsidRPr="007255F8" w:rsidR="007255F8">
              <w:t>(Targets)</w:t>
            </w:r>
          </w:p>
        </w:tc>
        <w:tc>
          <w:tcPr>
            <w:tcW w:w="1350" w:type="dxa"/>
            <w:vAlign w:val="center"/>
          </w:tcPr>
          <w:p w:rsidRPr="003A4145" w:rsidR="000C1980" w:rsidP="00072DBF" w:rsidRDefault="000C1980" w14:paraId="3F75EF85" w14:textId="42DB8B91">
            <w:pPr>
              <w:rPr>
                <w:sz w:val="22"/>
                <w:szCs w:val="22"/>
              </w:rPr>
            </w:pPr>
            <w:r w:rsidRPr="003A4145">
              <w:rPr>
                <w:sz w:val="22"/>
                <w:szCs w:val="22"/>
              </w:rPr>
              <w:t>2025</w:t>
            </w:r>
            <w:r w:rsidR="007255F8">
              <w:rPr>
                <w:sz w:val="22"/>
                <w:szCs w:val="22"/>
              </w:rPr>
              <w:t xml:space="preserve"> </w:t>
            </w:r>
            <w:r w:rsidRPr="007255F8" w:rsidR="007255F8">
              <w:t>(Targets)</w:t>
            </w:r>
          </w:p>
        </w:tc>
        <w:tc>
          <w:tcPr>
            <w:tcW w:w="1260" w:type="dxa"/>
            <w:vAlign w:val="center"/>
          </w:tcPr>
          <w:p w:rsidRPr="003A4145" w:rsidR="000C1980" w:rsidP="00072DBF" w:rsidRDefault="000C1980" w14:paraId="2A72A01A" w14:textId="5FC1B67B">
            <w:pPr>
              <w:rPr>
                <w:sz w:val="22"/>
                <w:szCs w:val="22"/>
              </w:rPr>
            </w:pPr>
            <w:r w:rsidRPr="003A4145">
              <w:rPr>
                <w:sz w:val="22"/>
                <w:szCs w:val="22"/>
              </w:rPr>
              <w:t>2026</w:t>
            </w:r>
            <w:r w:rsidR="007255F8">
              <w:rPr>
                <w:sz w:val="22"/>
                <w:szCs w:val="22"/>
              </w:rPr>
              <w:t xml:space="preserve"> </w:t>
            </w:r>
            <w:r w:rsidRPr="007255F8" w:rsidR="007255F8">
              <w:t>(Targets)</w:t>
            </w:r>
          </w:p>
        </w:tc>
        <w:tc>
          <w:tcPr>
            <w:tcW w:w="1350" w:type="dxa"/>
            <w:vAlign w:val="center"/>
          </w:tcPr>
          <w:p w:rsidRPr="003A4145" w:rsidR="000C1980" w:rsidP="00072DBF" w:rsidRDefault="000C1980" w14:paraId="0A74D6AC" w14:textId="6E79D76E">
            <w:r w:rsidRPr="003A4145">
              <w:t>Total</w:t>
            </w:r>
          </w:p>
        </w:tc>
      </w:tr>
      <w:tr w:rsidRPr="003A4145" w:rsidR="000E5251" w:rsidTr="000E5251" w14:paraId="3CCC2F12" w14:textId="25258D45">
        <w:tc>
          <w:tcPr>
            <w:tcW w:w="1350" w:type="dxa"/>
          </w:tcPr>
          <w:p w:rsidRPr="003A4145" w:rsidR="00CC7438" w:rsidP="00072DBF" w:rsidRDefault="00CC7438" w14:paraId="4F4630C3" w14:textId="12E34FA0">
            <w:r w:rsidRPr="003A4145">
              <w:t>PG&amp;E</w:t>
            </w:r>
          </w:p>
        </w:tc>
        <w:tc>
          <w:tcPr>
            <w:tcW w:w="1260" w:type="dxa"/>
          </w:tcPr>
          <w:p w:rsidRPr="003A4145" w:rsidR="00CC7438" w:rsidP="00072DBF" w:rsidRDefault="00CC7438" w14:paraId="52C998B5" w14:textId="023762E4">
            <w:r>
              <w:t>50,000</w:t>
            </w:r>
          </w:p>
        </w:tc>
        <w:tc>
          <w:tcPr>
            <w:tcW w:w="1260" w:type="dxa"/>
          </w:tcPr>
          <w:p w:rsidRPr="003A4145" w:rsidR="00CC7438" w:rsidP="00072DBF" w:rsidRDefault="00CC7438" w14:paraId="1AF438DD" w14:textId="76959C07">
            <w:r w:rsidRPr="003A4145">
              <w:t>59,340</w:t>
            </w:r>
          </w:p>
        </w:tc>
        <w:tc>
          <w:tcPr>
            <w:tcW w:w="1260" w:type="dxa"/>
          </w:tcPr>
          <w:p w:rsidRPr="003A4145" w:rsidR="00CC7438" w:rsidP="00072DBF" w:rsidRDefault="00CC7438" w14:paraId="26363959" w14:textId="76C97F10">
            <w:r w:rsidRPr="003A4145">
              <w:t>60,437</w:t>
            </w:r>
          </w:p>
        </w:tc>
        <w:tc>
          <w:tcPr>
            <w:tcW w:w="1260" w:type="dxa"/>
          </w:tcPr>
          <w:p w:rsidRPr="003A4145" w:rsidR="00CC7438" w:rsidP="00072DBF" w:rsidRDefault="00CC7438" w14:paraId="0942D49E" w14:textId="7DE9F0FE">
            <w:r w:rsidRPr="003A4145">
              <w:t>54,876</w:t>
            </w:r>
          </w:p>
        </w:tc>
        <w:tc>
          <w:tcPr>
            <w:tcW w:w="1350" w:type="dxa"/>
          </w:tcPr>
          <w:p w:rsidRPr="003A4145" w:rsidR="00CC7438" w:rsidP="00072DBF" w:rsidRDefault="00CC7438" w14:paraId="63E3573C" w14:textId="31349950">
            <w:r w:rsidRPr="003A4145">
              <w:t>52,954</w:t>
            </w:r>
          </w:p>
        </w:tc>
        <w:tc>
          <w:tcPr>
            <w:tcW w:w="1260" w:type="dxa"/>
          </w:tcPr>
          <w:p w:rsidRPr="003A4145" w:rsidR="00CC7438" w:rsidP="00072DBF" w:rsidRDefault="00CC7438" w14:paraId="23968E96" w14:textId="3CDC20E6">
            <w:r w:rsidRPr="003A4145">
              <w:t>51,099</w:t>
            </w:r>
          </w:p>
        </w:tc>
        <w:tc>
          <w:tcPr>
            <w:tcW w:w="1350" w:type="dxa"/>
          </w:tcPr>
          <w:p w:rsidRPr="003A4145" w:rsidR="00CC7438" w:rsidP="00072DBF" w:rsidRDefault="00CC7438" w14:paraId="61E8D8A5" w14:textId="084D824A">
            <w:r>
              <w:t xml:space="preserve">328,705 </w:t>
            </w:r>
          </w:p>
        </w:tc>
      </w:tr>
      <w:tr w:rsidRPr="003A4145" w:rsidR="000E5251" w:rsidTr="000E5251" w14:paraId="2A6E374A" w14:textId="1ED3EE50">
        <w:tc>
          <w:tcPr>
            <w:tcW w:w="1350" w:type="dxa"/>
          </w:tcPr>
          <w:p w:rsidRPr="003A4145" w:rsidR="00CC7438" w:rsidP="00072DBF" w:rsidRDefault="00CC7438" w14:paraId="0036AC6B" w14:textId="77D85767">
            <w:r w:rsidRPr="003A4145">
              <w:t>SCE</w:t>
            </w:r>
          </w:p>
        </w:tc>
        <w:tc>
          <w:tcPr>
            <w:tcW w:w="1260" w:type="dxa"/>
          </w:tcPr>
          <w:p w:rsidRPr="003A4145" w:rsidR="00CC7438" w:rsidP="00072DBF" w:rsidRDefault="00CC7438" w14:paraId="4C814768" w14:textId="208C15AB">
            <w:r>
              <w:t>43,562</w:t>
            </w:r>
          </w:p>
        </w:tc>
        <w:tc>
          <w:tcPr>
            <w:tcW w:w="1260" w:type="dxa"/>
          </w:tcPr>
          <w:p w:rsidRPr="003A4145" w:rsidR="00CC7438" w:rsidP="00072DBF" w:rsidRDefault="00CC7438" w14:paraId="169D4604" w14:textId="3A0E4B43">
            <w:r w:rsidRPr="003A4145">
              <w:t>27,051</w:t>
            </w:r>
          </w:p>
        </w:tc>
        <w:tc>
          <w:tcPr>
            <w:tcW w:w="1260" w:type="dxa"/>
          </w:tcPr>
          <w:p w:rsidRPr="003A4145" w:rsidR="00CC7438" w:rsidP="00072DBF" w:rsidRDefault="00CC7438" w14:paraId="2A93B22A" w14:textId="6CAF9197">
            <w:r w:rsidRPr="003A4145">
              <w:t>37,871</w:t>
            </w:r>
          </w:p>
        </w:tc>
        <w:tc>
          <w:tcPr>
            <w:tcW w:w="1260" w:type="dxa"/>
          </w:tcPr>
          <w:p w:rsidRPr="003A4145" w:rsidR="00CC7438" w:rsidP="00072DBF" w:rsidRDefault="00CC7438" w14:paraId="7F26BD43" w14:textId="642E22CC">
            <w:r w:rsidRPr="003A4145">
              <w:t>64,922</w:t>
            </w:r>
          </w:p>
        </w:tc>
        <w:tc>
          <w:tcPr>
            <w:tcW w:w="1350" w:type="dxa"/>
          </w:tcPr>
          <w:p w:rsidRPr="003A4145" w:rsidR="00CC7438" w:rsidP="00072DBF" w:rsidRDefault="00CC7438" w14:paraId="0C37A289" w14:textId="04258AAF">
            <w:r w:rsidRPr="003A4145">
              <w:t>59,512</w:t>
            </w:r>
          </w:p>
        </w:tc>
        <w:tc>
          <w:tcPr>
            <w:tcW w:w="1260" w:type="dxa"/>
          </w:tcPr>
          <w:p w:rsidRPr="003A4145" w:rsidR="00CC7438" w:rsidP="00072DBF" w:rsidRDefault="00CC7438" w14:paraId="4D632A86" w14:textId="2AFBF715">
            <w:r w:rsidRPr="003A4145">
              <w:t>56,806</w:t>
            </w:r>
          </w:p>
        </w:tc>
        <w:tc>
          <w:tcPr>
            <w:tcW w:w="1350" w:type="dxa"/>
          </w:tcPr>
          <w:p w:rsidRPr="003A4145" w:rsidR="00CC7438" w:rsidP="00072DBF" w:rsidRDefault="00CC7438" w14:paraId="70633ED4" w14:textId="5D07380B">
            <w:r>
              <w:t xml:space="preserve">289,725 </w:t>
            </w:r>
          </w:p>
        </w:tc>
      </w:tr>
      <w:tr w:rsidRPr="003A4145" w:rsidR="000E5251" w:rsidTr="000E5251" w14:paraId="63466D18" w14:textId="4942C738">
        <w:tc>
          <w:tcPr>
            <w:tcW w:w="1350" w:type="dxa"/>
          </w:tcPr>
          <w:p w:rsidRPr="003A4145" w:rsidR="00CC7438" w:rsidP="00072DBF" w:rsidRDefault="00CC7438" w14:paraId="614BD77D" w14:textId="5F37B58C">
            <w:r w:rsidRPr="003A4145">
              <w:t>SoCalGas</w:t>
            </w:r>
          </w:p>
        </w:tc>
        <w:tc>
          <w:tcPr>
            <w:tcW w:w="1260" w:type="dxa"/>
          </w:tcPr>
          <w:p w:rsidRPr="003A4145" w:rsidR="00CC7438" w:rsidP="00072DBF" w:rsidRDefault="00CC7438" w14:paraId="3596CCCC" w14:textId="408F98E9">
            <w:r>
              <w:t>60,000</w:t>
            </w:r>
          </w:p>
        </w:tc>
        <w:tc>
          <w:tcPr>
            <w:tcW w:w="1260" w:type="dxa"/>
          </w:tcPr>
          <w:p w:rsidRPr="003A4145" w:rsidR="00CC7438" w:rsidP="00072DBF" w:rsidRDefault="00CC7438" w14:paraId="753B87A5" w14:textId="10BEB8AD">
            <w:r w:rsidRPr="003A4145">
              <w:t>94,600</w:t>
            </w:r>
          </w:p>
        </w:tc>
        <w:tc>
          <w:tcPr>
            <w:tcW w:w="1260" w:type="dxa"/>
          </w:tcPr>
          <w:p w:rsidRPr="003A4145" w:rsidR="00CC7438" w:rsidP="00072DBF" w:rsidRDefault="00CC7438" w14:paraId="07CFC778" w14:textId="03537713">
            <w:r w:rsidRPr="5E8D80E8">
              <w:t>69</w:t>
            </w:r>
            <w:r w:rsidRPr="275FEF39">
              <w:t>,837</w:t>
            </w:r>
          </w:p>
        </w:tc>
        <w:tc>
          <w:tcPr>
            <w:tcW w:w="1260" w:type="dxa"/>
          </w:tcPr>
          <w:p w:rsidRPr="003A4145" w:rsidR="00CC7438" w:rsidP="00072DBF" w:rsidRDefault="00CC7438" w14:paraId="49240A41" w14:textId="40ADBFC7">
            <w:r w:rsidRPr="5E8D80E8">
              <w:t>69,837</w:t>
            </w:r>
          </w:p>
        </w:tc>
        <w:tc>
          <w:tcPr>
            <w:tcW w:w="1350" w:type="dxa"/>
          </w:tcPr>
          <w:p w:rsidRPr="003A4145" w:rsidR="00CC7438" w:rsidP="00072DBF" w:rsidRDefault="00CC7438" w14:paraId="06AA3A48" w14:textId="2092D687">
            <w:r w:rsidRPr="5E8D80E8">
              <w:t>69</w:t>
            </w:r>
            <w:r w:rsidRPr="4E01D240">
              <w:t>,837</w:t>
            </w:r>
          </w:p>
        </w:tc>
        <w:tc>
          <w:tcPr>
            <w:tcW w:w="1260" w:type="dxa"/>
          </w:tcPr>
          <w:p w:rsidRPr="003A4145" w:rsidR="00CC7438" w:rsidP="00072DBF" w:rsidRDefault="00CC7438" w14:paraId="4B8A8764" w14:textId="7F09781B">
            <w:r w:rsidRPr="5E8D80E8">
              <w:t>69,837</w:t>
            </w:r>
          </w:p>
        </w:tc>
        <w:tc>
          <w:tcPr>
            <w:tcW w:w="1350" w:type="dxa"/>
          </w:tcPr>
          <w:p w:rsidRPr="003A4145" w:rsidR="00CC7438" w:rsidP="00072DBF" w:rsidRDefault="00CC7438" w14:paraId="1C78D9C0" w14:textId="5FE9F630">
            <w:r>
              <w:t xml:space="preserve">433,948 </w:t>
            </w:r>
          </w:p>
        </w:tc>
      </w:tr>
      <w:tr w:rsidRPr="003A4145" w:rsidR="000E5251" w:rsidTr="000E5251" w14:paraId="143E6B04" w14:textId="28AAA32E">
        <w:tc>
          <w:tcPr>
            <w:tcW w:w="1350" w:type="dxa"/>
          </w:tcPr>
          <w:p w:rsidRPr="003A4145" w:rsidR="00CC7438" w:rsidP="00072DBF" w:rsidRDefault="00CC7438" w14:paraId="1FD42376" w14:textId="66BFC611">
            <w:r w:rsidRPr="003A4145">
              <w:t>SDG&amp;E</w:t>
            </w:r>
          </w:p>
        </w:tc>
        <w:tc>
          <w:tcPr>
            <w:tcW w:w="1260" w:type="dxa"/>
          </w:tcPr>
          <w:p w:rsidRPr="003A4145" w:rsidR="00CC7438" w:rsidP="00072DBF" w:rsidRDefault="00CC7438" w14:paraId="2861355E" w14:textId="015C976C">
            <w:r>
              <w:t>5,973</w:t>
            </w:r>
          </w:p>
        </w:tc>
        <w:tc>
          <w:tcPr>
            <w:tcW w:w="1260" w:type="dxa"/>
          </w:tcPr>
          <w:p w:rsidRPr="003A4145" w:rsidR="00CC7438" w:rsidP="00072DBF" w:rsidRDefault="00CC7438" w14:paraId="34492646" w14:textId="57133EE3">
            <w:r w:rsidRPr="003A4145">
              <w:t>13,760</w:t>
            </w:r>
          </w:p>
        </w:tc>
        <w:tc>
          <w:tcPr>
            <w:tcW w:w="1260" w:type="dxa"/>
          </w:tcPr>
          <w:p w:rsidRPr="003A4145" w:rsidR="00CC7438" w:rsidP="00072DBF" w:rsidRDefault="00CC7438" w14:paraId="754E1E13" w14:textId="48A0CBB8">
            <w:r w:rsidRPr="5E8D80E8">
              <w:t>11,711</w:t>
            </w:r>
          </w:p>
        </w:tc>
        <w:tc>
          <w:tcPr>
            <w:tcW w:w="1260" w:type="dxa"/>
          </w:tcPr>
          <w:p w:rsidRPr="003A4145" w:rsidR="00CC7438" w:rsidP="00072DBF" w:rsidRDefault="00CC7438" w14:paraId="50E4A627" w14:textId="4794AE0A">
            <w:r w:rsidRPr="5E8D80E8">
              <w:t>14</w:t>
            </w:r>
            <w:r w:rsidRPr="4E01D240">
              <w:t>,138</w:t>
            </w:r>
          </w:p>
        </w:tc>
        <w:tc>
          <w:tcPr>
            <w:tcW w:w="1350" w:type="dxa"/>
          </w:tcPr>
          <w:p w:rsidRPr="003A4145" w:rsidR="00CC7438" w:rsidP="00072DBF" w:rsidRDefault="00CC7438" w14:paraId="6EC70BB1" w14:textId="1ED25BA9">
            <w:r w:rsidRPr="5E8D80E8">
              <w:t>14</w:t>
            </w:r>
            <w:r w:rsidRPr="4E01D240">
              <w:t>,780</w:t>
            </w:r>
          </w:p>
        </w:tc>
        <w:tc>
          <w:tcPr>
            <w:tcW w:w="1260" w:type="dxa"/>
          </w:tcPr>
          <w:p w:rsidRPr="003A4145" w:rsidR="00CC7438" w:rsidP="00072DBF" w:rsidRDefault="00CC7438" w14:paraId="65188A39" w14:textId="0659CE3A">
            <w:r w:rsidRPr="5E8D80E8">
              <w:t>16,065</w:t>
            </w:r>
          </w:p>
        </w:tc>
        <w:tc>
          <w:tcPr>
            <w:tcW w:w="1350" w:type="dxa"/>
          </w:tcPr>
          <w:p w:rsidRPr="003A4145" w:rsidR="00CC7438" w:rsidP="00072DBF" w:rsidRDefault="00CC7438" w14:paraId="797B8F89" w14:textId="5829B8FD">
            <w:r>
              <w:t>76,427</w:t>
            </w:r>
          </w:p>
        </w:tc>
      </w:tr>
      <w:tr w:rsidRPr="003A4145" w:rsidR="000E5251" w:rsidTr="000E5251" w14:paraId="1829D0BF" w14:textId="6AB142AA">
        <w:tc>
          <w:tcPr>
            <w:tcW w:w="1350" w:type="dxa"/>
          </w:tcPr>
          <w:p w:rsidRPr="003A4145" w:rsidR="00CC7438" w:rsidP="00072DBF" w:rsidRDefault="00CC7438" w14:paraId="399C2FD3" w14:textId="620FD3B5">
            <w:r w:rsidRPr="003A4145">
              <w:t>Total</w:t>
            </w:r>
          </w:p>
        </w:tc>
        <w:tc>
          <w:tcPr>
            <w:tcW w:w="1260" w:type="dxa"/>
          </w:tcPr>
          <w:p w:rsidRPr="003A4145" w:rsidR="00CC7438" w:rsidP="00072DBF" w:rsidRDefault="00CC7438" w14:paraId="37E39469" w14:textId="42262F98">
            <w:r>
              <w:t>159,535</w:t>
            </w:r>
          </w:p>
        </w:tc>
        <w:tc>
          <w:tcPr>
            <w:tcW w:w="1260" w:type="dxa"/>
          </w:tcPr>
          <w:p w:rsidRPr="003A4145" w:rsidR="00CC7438" w:rsidP="00072DBF" w:rsidRDefault="00CC7438" w14:paraId="30C1430F" w14:textId="1CA4A9F7">
            <w:r w:rsidRPr="003A4145">
              <w:t>194,751</w:t>
            </w:r>
          </w:p>
        </w:tc>
        <w:tc>
          <w:tcPr>
            <w:tcW w:w="1260" w:type="dxa"/>
          </w:tcPr>
          <w:p w:rsidRPr="003A4145" w:rsidR="00CC7438" w:rsidP="00072DBF" w:rsidRDefault="00CC7438" w14:paraId="013651CC" w14:textId="067DBF56">
            <w:pPr>
              <w:rPr>
                <w:rFonts w:eastAsiaTheme="minorEastAsia" w:cstheme="minorBidi"/>
              </w:rPr>
            </w:pPr>
            <w:r w:rsidRPr="5E8D80E8">
              <w:t>179,857</w:t>
            </w:r>
          </w:p>
        </w:tc>
        <w:tc>
          <w:tcPr>
            <w:tcW w:w="1260" w:type="dxa"/>
          </w:tcPr>
          <w:p w:rsidRPr="003A4145" w:rsidR="00CC7438" w:rsidP="00072DBF" w:rsidRDefault="00CC7438" w14:paraId="1BECAD31" w14:textId="321C3AFF">
            <w:pPr>
              <w:rPr>
                <w:rFonts w:eastAsiaTheme="minorEastAsia" w:cstheme="minorBidi"/>
              </w:rPr>
            </w:pPr>
            <w:r w:rsidRPr="5E8D80E8">
              <w:t>203,773</w:t>
            </w:r>
          </w:p>
        </w:tc>
        <w:tc>
          <w:tcPr>
            <w:tcW w:w="1350" w:type="dxa"/>
          </w:tcPr>
          <w:p w:rsidRPr="003A4145" w:rsidR="00CC7438" w:rsidP="00072DBF" w:rsidRDefault="00CC7438" w14:paraId="61BCFF7A" w14:textId="03F0CC0D">
            <w:r w:rsidRPr="5E8D80E8">
              <w:t>197,083</w:t>
            </w:r>
          </w:p>
        </w:tc>
        <w:tc>
          <w:tcPr>
            <w:tcW w:w="1260" w:type="dxa"/>
          </w:tcPr>
          <w:p w:rsidRPr="003A4145" w:rsidR="00CC7438" w:rsidP="00072DBF" w:rsidRDefault="00CC7438" w14:paraId="2AA1C606" w14:textId="2E88FFED">
            <w:r w:rsidRPr="5E8D80E8">
              <w:t>193,807</w:t>
            </w:r>
          </w:p>
        </w:tc>
        <w:tc>
          <w:tcPr>
            <w:tcW w:w="1350" w:type="dxa"/>
          </w:tcPr>
          <w:p w:rsidRPr="003A4145" w:rsidR="00CC7438" w:rsidP="00072DBF" w:rsidRDefault="00CC7438" w14:paraId="1B36961F" w14:textId="7277B669">
            <w:r>
              <w:t>1,128,805</w:t>
            </w:r>
          </w:p>
        </w:tc>
      </w:tr>
    </w:tbl>
    <w:p w:rsidRPr="00B85080" w:rsidR="000C1980" w:rsidP="000C1980" w:rsidRDefault="000C1980" w14:paraId="1739ECAE" w14:textId="77777777">
      <w:pPr>
        <w:pStyle w:val="FoF"/>
        <w:numPr>
          <w:ilvl w:val="0"/>
          <w:numId w:val="0"/>
        </w:numPr>
        <w:ind w:left="540"/>
        <w:rPr>
          <w:sz w:val="10"/>
          <w:szCs w:val="10"/>
        </w:rPr>
      </w:pPr>
    </w:p>
    <w:p w:rsidRPr="009C5F77" w:rsidR="000C1980" w:rsidP="00B171D3" w:rsidRDefault="000C1980" w14:paraId="3C178459" w14:textId="208B5542">
      <w:pPr>
        <w:pStyle w:val="OP"/>
        <w:numPr>
          <w:ilvl w:val="0"/>
          <w:numId w:val="24"/>
        </w:numPr>
        <w:tabs>
          <w:tab w:val="left" w:pos="990"/>
        </w:tabs>
        <w:ind w:left="0" w:firstLine="547"/>
        <w:rPr>
          <w:szCs w:val="26"/>
        </w:rPr>
      </w:pPr>
      <w:r w:rsidRPr="00775BA0">
        <w:rPr>
          <w:szCs w:val="26"/>
        </w:rPr>
        <w:t>Pacific Gas and Electric Company, Southern California Edison Company, Southern California Gas Company and San Diego Gas &amp; Electric Company</w:t>
      </w:r>
      <w:r>
        <w:rPr>
          <w:szCs w:val="26"/>
        </w:rPr>
        <w:t xml:space="preserve"> </w:t>
      </w:r>
      <w:r w:rsidR="003E6A0A">
        <w:rPr>
          <w:szCs w:val="26"/>
        </w:rPr>
        <w:t xml:space="preserve">must </w:t>
      </w:r>
      <w:r w:rsidRPr="00736459">
        <w:rPr>
          <w:szCs w:val="26"/>
        </w:rPr>
        <w:t xml:space="preserve">use an average 0.7 ESACET </w:t>
      </w:r>
      <w:r w:rsidRPr="003E6A0A">
        <w:rPr>
          <w:szCs w:val="26"/>
        </w:rPr>
        <w:t xml:space="preserve">target for the portfolio level as a guideline when developing their </w:t>
      </w:r>
      <w:r w:rsidRPr="00A65A5E">
        <w:rPr>
          <w:szCs w:val="26"/>
        </w:rPr>
        <w:t>Energy Savings Assistance</w:t>
      </w:r>
      <w:r w:rsidRPr="00736459">
        <w:rPr>
          <w:szCs w:val="26"/>
        </w:rPr>
        <w:t xml:space="preserve"> </w:t>
      </w:r>
      <w:r w:rsidR="00664B11">
        <w:rPr>
          <w:szCs w:val="26"/>
        </w:rPr>
        <w:t xml:space="preserve">program </w:t>
      </w:r>
      <w:r w:rsidRPr="00736459">
        <w:rPr>
          <w:szCs w:val="26"/>
        </w:rPr>
        <w:t>portfolio measure mix</w:t>
      </w:r>
      <w:r w:rsidRPr="00D80E2C">
        <w:rPr>
          <w:szCs w:val="26"/>
        </w:rPr>
        <w:t xml:space="preserve">.  </w:t>
      </w:r>
      <w:r w:rsidR="00AC6D75">
        <w:rPr>
          <w:szCs w:val="26"/>
        </w:rPr>
        <w:t>T</w:t>
      </w:r>
      <w:r w:rsidRPr="00D80E2C">
        <w:rPr>
          <w:szCs w:val="26"/>
        </w:rPr>
        <w:t>o</w:t>
      </w:r>
      <w:r w:rsidRPr="00DD4527">
        <w:rPr>
          <w:szCs w:val="26"/>
        </w:rPr>
        <w:t xml:space="preserve"> </w:t>
      </w:r>
      <w:r w:rsidRPr="004764F0">
        <w:rPr>
          <w:szCs w:val="26"/>
        </w:rPr>
        <w:t xml:space="preserve">aim for a </w:t>
      </w:r>
      <w:r w:rsidRPr="00E36942">
        <w:rPr>
          <w:szCs w:val="26"/>
        </w:rPr>
        <w:t xml:space="preserve">portfolio level of 0.7 </w:t>
      </w:r>
      <w:r w:rsidRPr="004F3A73">
        <w:rPr>
          <w:szCs w:val="26"/>
        </w:rPr>
        <w:t xml:space="preserve">ESACET, the Utilities </w:t>
      </w:r>
      <w:r w:rsidR="00827D49">
        <w:rPr>
          <w:szCs w:val="26"/>
        </w:rPr>
        <w:t>must</w:t>
      </w:r>
      <w:r w:rsidRPr="00827D49" w:rsidR="00827D49">
        <w:rPr>
          <w:szCs w:val="26"/>
        </w:rPr>
        <w:t xml:space="preserve"> </w:t>
      </w:r>
      <w:r w:rsidRPr="00827D49">
        <w:rPr>
          <w:szCs w:val="26"/>
        </w:rPr>
        <w:t>re</w:t>
      </w:r>
      <w:r w:rsidRPr="00827D49">
        <w:rPr>
          <w:szCs w:val="26"/>
        </w:rPr>
        <w:noBreakHyphen/>
        <w:t xml:space="preserve">evaluate all measures with ESACET scores </w:t>
      </w:r>
      <w:r w:rsidRPr="00B93FF4">
        <w:rPr>
          <w:szCs w:val="26"/>
        </w:rPr>
        <w:t xml:space="preserve">of </w:t>
      </w:r>
      <w:r w:rsidRPr="00D80E2C">
        <w:rPr>
          <w:szCs w:val="26"/>
        </w:rPr>
        <w:t>less than</w:t>
      </w:r>
      <w:r w:rsidRPr="00DD4527">
        <w:rPr>
          <w:szCs w:val="26"/>
        </w:rPr>
        <w:t xml:space="preserve"> </w:t>
      </w:r>
      <w:r w:rsidRPr="004764F0">
        <w:rPr>
          <w:szCs w:val="26"/>
        </w:rPr>
        <w:t xml:space="preserve">0.30 to determine if the </w:t>
      </w:r>
      <w:r w:rsidRPr="004F3A73">
        <w:rPr>
          <w:szCs w:val="26"/>
        </w:rPr>
        <w:t>measure should be removed from the portfolio</w:t>
      </w:r>
      <w:r w:rsidRPr="00247102">
        <w:rPr>
          <w:szCs w:val="26"/>
        </w:rPr>
        <w:t>, giving limited exceptions to measures that provide valuable health, comfort and safety benefits, high energy savings, or other programmatic benefits</w:t>
      </w:r>
      <w:r w:rsidRPr="00054B32">
        <w:rPr>
          <w:szCs w:val="26"/>
        </w:rPr>
        <w:t xml:space="preserve">.  </w:t>
      </w:r>
    </w:p>
    <w:p w:rsidRPr="00DC5F6A" w:rsidR="000C1980" w:rsidP="00B171D3" w:rsidRDefault="000C1980" w14:paraId="6D3D140F" w14:textId="3A78438C">
      <w:pPr>
        <w:pStyle w:val="OP"/>
        <w:numPr>
          <w:ilvl w:val="0"/>
          <w:numId w:val="24"/>
        </w:numPr>
        <w:tabs>
          <w:tab w:val="left" w:pos="990"/>
        </w:tabs>
        <w:ind w:left="0" w:firstLine="547"/>
        <w:rPr>
          <w:szCs w:val="26"/>
        </w:rPr>
      </w:pPr>
      <w:r w:rsidRPr="00775BA0">
        <w:rPr>
          <w:szCs w:val="26"/>
        </w:rPr>
        <w:t>Pacific Gas and Electric Company, Southern California Edison Company, Southern California Gas Company and San Diego Gas &amp; Electric Company</w:t>
      </w:r>
      <w:r>
        <w:rPr>
          <w:szCs w:val="26"/>
        </w:rPr>
        <w:t xml:space="preserve"> </w:t>
      </w:r>
      <w:r w:rsidR="00827D49">
        <w:rPr>
          <w:szCs w:val="26"/>
        </w:rPr>
        <w:t xml:space="preserve">must </w:t>
      </w:r>
      <w:r w:rsidRPr="00736459">
        <w:rPr>
          <w:szCs w:val="26"/>
        </w:rPr>
        <w:t xml:space="preserve">complete the review of the </w:t>
      </w:r>
      <w:r w:rsidRPr="00A65A5E" w:rsidR="000B1FFA">
        <w:rPr>
          <w:szCs w:val="26"/>
        </w:rPr>
        <w:t>Energy Savings Assistance</w:t>
      </w:r>
      <w:r w:rsidRPr="00736459" w:rsidR="000B1FFA">
        <w:rPr>
          <w:szCs w:val="26"/>
        </w:rPr>
        <w:t xml:space="preserve"> </w:t>
      </w:r>
      <w:r w:rsidR="000B1FFA">
        <w:rPr>
          <w:szCs w:val="26"/>
        </w:rPr>
        <w:t xml:space="preserve">program </w:t>
      </w:r>
      <w:r w:rsidRPr="00736459">
        <w:rPr>
          <w:szCs w:val="26"/>
        </w:rPr>
        <w:t>measure mix using the 0.30 ESACET criteria and identify the results when submitt</w:t>
      </w:r>
      <w:r w:rsidRPr="00827D49">
        <w:rPr>
          <w:szCs w:val="26"/>
        </w:rPr>
        <w:t xml:space="preserve">ing the joint </w:t>
      </w:r>
      <w:r w:rsidRPr="00B93FF4">
        <w:rPr>
          <w:szCs w:val="26"/>
        </w:rPr>
        <w:t>Tier 2 advice letter compliance filing</w:t>
      </w:r>
      <w:r w:rsidR="00DC5F6A">
        <w:rPr>
          <w:szCs w:val="26"/>
        </w:rPr>
        <w:t xml:space="preserve">, </w:t>
      </w:r>
      <w:r w:rsidR="00DC5F6A">
        <w:t>per Attachment 3</w:t>
      </w:r>
      <w:r w:rsidRPr="00DC5F6A">
        <w:rPr>
          <w:szCs w:val="26"/>
        </w:rPr>
        <w:t>.</w:t>
      </w:r>
    </w:p>
    <w:p w:rsidRPr="00DD4527" w:rsidR="000C1980" w:rsidP="00B171D3" w:rsidRDefault="000C1980" w14:paraId="5B377976" w14:textId="69D51D31">
      <w:pPr>
        <w:pStyle w:val="OP"/>
        <w:numPr>
          <w:ilvl w:val="0"/>
          <w:numId w:val="24"/>
        </w:numPr>
        <w:tabs>
          <w:tab w:val="left" w:pos="990"/>
        </w:tabs>
        <w:ind w:left="0" w:firstLine="547"/>
        <w:rPr>
          <w:szCs w:val="26"/>
        </w:rPr>
      </w:pPr>
      <w:r w:rsidRPr="00B93FF4">
        <w:rPr>
          <w:szCs w:val="26"/>
        </w:rPr>
        <w:t xml:space="preserve">The </w:t>
      </w:r>
      <w:r w:rsidRPr="00A65A5E">
        <w:rPr>
          <w:szCs w:val="26"/>
        </w:rPr>
        <w:t>Energy Savings Assistance</w:t>
      </w:r>
      <w:r w:rsidRPr="00736459">
        <w:rPr>
          <w:szCs w:val="26"/>
        </w:rPr>
        <w:t xml:space="preserve"> Working Group </w:t>
      </w:r>
      <w:r w:rsidR="00B93FF4">
        <w:rPr>
          <w:szCs w:val="26"/>
        </w:rPr>
        <w:t>must</w:t>
      </w:r>
      <w:r w:rsidRPr="00736459" w:rsidR="00B93FF4">
        <w:rPr>
          <w:szCs w:val="26"/>
        </w:rPr>
        <w:t xml:space="preserve"> </w:t>
      </w:r>
      <w:r w:rsidRPr="00736459">
        <w:rPr>
          <w:szCs w:val="26"/>
        </w:rPr>
        <w:t xml:space="preserve">provide recommendations on cost effectiveness test considerations via a progress report to be distributed to the service list </w:t>
      </w:r>
      <w:r w:rsidR="000170D5">
        <w:rPr>
          <w:szCs w:val="26"/>
        </w:rPr>
        <w:t>of this proceeding or a successor proceeding</w:t>
      </w:r>
      <w:r w:rsidRPr="00736459" w:rsidR="000170D5">
        <w:rPr>
          <w:szCs w:val="26"/>
        </w:rPr>
        <w:t xml:space="preserve"> </w:t>
      </w:r>
      <w:r w:rsidRPr="00736459">
        <w:rPr>
          <w:szCs w:val="26"/>
        </w:rPr>
        <w:t xml:space="preserve">no later than </w:t>
      </w:r>
      <w:r w:rsidR="0005266C">
        <w:rPr>
          <w:szCs w:val="26"/>
        </w:rPr>
        <w:t xml:space="preserve">the end of </w:t>
      </w:r>
      <w:r w:rsidRPr="00736459">
        <w:rPr>
          <w:szCs w:val="26"/>
        </w:rPr>
        <w:t>the first qua</w:t>
      </w:r>
      <w:r w:rsidRPr="00D80E2C">
        <w:rPr>
          <w:szCs w:val="26"/>
        </w:rPr>
        <w:t xml:space="preserve">rter of 2023. </w:t>
      </w:r>
    </w:p>
    <w:p w:rsidRPr="0006225C" w:rsidR="000C1980" w:rsidP="00B171D3" w:rsidRDefault="000C1980" w14:paraId="7A3B8100" w14:textId="1DC518AD">
      <w:pPr>
        <w:pStyle w:val="OP"/>
        <w:numPr>
          <w:ilvl w:val="0"/>
          <w:numId w:val="24"/>
        </w:numPr>
        <w:tabs>
          <w:tab w:val="left" w:pos="990"/>
        </w:tabs>
        <w:ind w:left="0" w:firstLine="547"/>
        <w:rPr>
          <w:szCs w:val="26"/>
        </w:rPr>
      </w:pPr>
      <w:r w:rsidRPr="004764F0">
        <w:rPr>
          <w:szCs w:val="26"/>
        </w:rPr>
        <w:lastRenderedPageBreak/>
        <w:t xml:space="preserve">The </w:t>
      </w:r>
      <w:r w:rsidRPr="00A65A5E">
        <w:rPr>
          <w:szCs w:val="26"/>
        </w:rPr>
        <w:t>Energy Savings Assistance</w:t>
      </w:r>
      <w:r w:rsidRPr="00736459">
        <w:rPr>
          <w:szCs w:val="26"/>
        </w:rPr>
        <w:t xml:space="preserve"> Working Group </w:t>
      </w:r>
      <w:r w:rsidR="00B93FF4">
        <w:rPr>
          <w:szCs w:val="26"/>
        </w:rPr>
        <w:t>must</w:t>
      </w:r>
      <w:r w:rsidRPr="00736459" w:rsidR="00B93FF4">
        <w:rPr>
          <w:szCs w:val="26"/>
        </w:rPr>
        <w:t xml:space="preserve"> </w:t>
      </w:r>
      <w:r w:rsidRPr="00736459">
        <w:rPr>
          <w:szCs w:val="26"/>
        </w:rPr>
        <w:t xml:space="preserve">provide recommendations on the </w:t>
      </w:r>
      <w:proofErr w:type="gramStart"/>
      <w:r w:rsidRPr="0006225C" w:rsidR="0006225C">
        <w:rPr>
          <w:szCs w:val="26"/>
        </w:rPr>
        <w:t>Non Energy</w:t>
      </w:r>
      <w:proofErr w:type="gramEnd"/>
      <w:r w:rsidRPr="0006225C" w:rsidR="0006225C">
        <w:rPr>
          <w:szCs w:val="26"/>
        </w:rPr>
        <w:t xml:space="preserve"> Benefits </w:t>
      </w:r>
      <w:r w:rsidRPr="00736459">
        <w:rPr>
          <w:szCs w:val="26"/>
        </w:rPr>
        <w:t>study and stakeholder process via a progress report to be distributed to the service list</w:t>
      </w:r>
      <w:r w:rsidR="0008073B">
        <w:rPr>
          <w:szCs w:val="26"/>
        </w:rPr>
        <w:t xml:space="preserve"> of this proceeding or a successor proceeding</w:t>
      </w:r>
      <w:r w:rsidRPr="00736459">
        <w:rPr>
          <w:szCs w:val="26"/>
        </w:rPr>
        <w:t xml:space="preserve"> no later than December 31, 2022.</w:t>
      </w:r>
    </w:p>
    <w:p w:rsidRPr="0006225C" w:rsidR="000C1980" w:rsidP="00B171D3" w:rsidRDefault="000C1980" w14:paraId="57D0D4BC" w14:textId="1ECF511A">
      <w:pPr>
        <w:pStyle w:val="OP"/>
        <w:numPr>
          <w:ilvl w:val="0"/>
          <w:numId w:val="24"/>
        </w:numPr>
        <w:tabs>
          <w:tab w:val="left" w:pos="990"/>
        </w:tabs>
        <w:ind w:left="0" w:firstLine="547"/>
        <w:rPr>
          <w:szCs w:val="26"/>
        </w:rPr>
      </w:pPr>
      <w:r w:rsidRPr="00442B21">
        <w:rPr>
          <w:szCs w:val="26"/>
        </w:rPr>
        <w:t xml:space="preserve">Pacific Gas and Electric Company, Southern California Edison Company, Southern California Gas Company and San Diego Gas &amp; Electric Company </w:t>
      </w:r>
      <w:r w:rsidR="0006225C">
        <w:rPr>
          <w:szCs w:val="26"/>
        </w:rPr>
        <w:t>must</w:t>
      </w:r>
      <w:r w:rsidRPr="00442B21" w:rsidR="0006225C">
        <w:rPr>
          <w:szCs w:val="26"/>
        </w:rPr>
        <w:t xml:space="preserve"> </w:t>
      </w:r>
      <w:r w:rsidRPr="00442B21">
        <w:rPr>
          <w:szCs w:val="26"/>
        </w:rPr>
        <w:t xml:space="preserve">file </w:t>
      </w:r>
      <w:r w:rsidRPr="00736459">
        <w:rPr>
          <w:szCs w:val="26"/>
        </w:rPr>
        <w:t xml:space="preserve">a joint Tier 1 advice letter upon completion of the </w:t>
      </w:r>
      <w:proofErr w:type="gramStart"/>
      <w:r w:rsidRPr="0006225C" w:rsidR="0006225C">
        <w:rPr>
          <w:szCs w:val="26"/>
        </w:rPr>
        <w:t>Non</w:t>
      </w:r>
      <w:r w:rsidR="000E5251">
        <w:rPr>
          <w:szCs w:val="26"/>
        </w:rPr>
        <w:t> </w:t>
      </w:r>
      <w:r w:rsidRPr="0006225C" w:rsidR="0006225C">
        <w:rPr>
          <w:szCs w:val="26"/>
        </w:rPr>
        <w:t>Energy</w:t>
      </w:r>
      <w:proofErr w:type="gramEnd"/>
      <w:r w:rsidRPr="0006225C" w:rsidR="0006225C">
        <w:rPr>
          <w:szCs w:val="26"/>
        </w:rPr>
        <w:t xml:space="preserve"> Benefits </w:t>
      </w:r>
      <w:r w:rsidR="0006225C">
        <w:rPr>
          <w:szCs w:val="26"/>
        </w:rPr>
        <w:t>(</w:t>
      </w:r>
      <w:r w:rsidRPr="00736459">
        <w:rPr>
          <w:szCs w:val="26"/>
        </w:rPr>
        <w:t>NEBs</w:t>
      </w:r>
      <w:r w:rsidR="0006225C">
        <w:rPr>
          <w:szCs w:val="26"/>
        </w:rPr>
        <w:t>)</w:t>
      </w:r>
      <w:r w:rsidRPr="00736459">
        <w:rPr>
          <w:szCs w:val="26"/>
        </w:rPr>
        <w:t xml:space="preserve"> study and stakeholder process progress report, informing the Commission of the next steps they will be taking to begin the NEBs study, and how the recommendations from the </w:t>
      </w:r>
      <w:r w:rsidRPr="0006225C" w:rsidR="0006225C">
        <w:rPr>
          <w:szCs w:val="26"/>
        </w:rPr>
        <w:t>Energy Savings Assistance</w:t>
      </w:r>
      <w:r w:rsidRPr="0006225C" w:rsidDel="0006225C" w:rsidR="0006225C">
        <w:rPr>
          <w:szCs w:val="26"/>
        </w:rPr>
        <w:t xml:space="preserve"> </w:t>
      </w:r>
      <w:r w:rsidRPr="00736459">
        <w:rPr>
          <w:szCs w:val="26"/>
        </w:rPr>
        <w:t>Working Group will be t</w:t>
      </w:r>
      <w:r w:rsidRPr="0006225C">
        <w:rPr>
          <w:szCs w:val="26"/>
        </w:rPr>
        <w:t xml:space="preserve">aken into consideration.  </w:t>
      </w:r>
    </w:p>
    <w:p w:rsidRPr="00D23493" w:rsidR="000C1980" w:rsidP="00B171D3" w:rsidRDefault="002226C7" w14:paraId="017E1455" w14:textId="350EE9E6">
      <w:pPr>
        <w:pStyle w:val="OP"/>
        <w:numPr>
          <w:ilvl w:val="0"/>
          <w:numId w:val="24"/>
        </w:numPr>
        <w:tabs>
          <w:tab w:val="left" w:pos="990"/>
        </w:tabs>
        <w:ind w:left="0" w:firstLine="547"/>
        <w:rPr>
          <w:szCs w:val="26"/>
        </w:rPr>
      </w:pPr>
      <w:r>
        <w:rPr>
          <w:szCs w:val="26"/>
        </w:rPr>
        <w:t>The</w:t>
      </w:r>
      <w:r w:rsidRPr="00067D3C" w:rsidR="000C1980">
        <w:rPr>
          <w:szCs w:val="26"/>
        </w:rPr>
        <w:t xml:space="preserve"> ESACET discounting methodology</w:t>
      </w:r>
      <w:r>
        <w:rPr>
          <w:szCs w:val="26"/>
        </w:rPr>
        <w:t xml:space="preserve"> must be updated</w:t>
      </w:r>
      <w:r w:rsidRPr="00067D3C" w:rsidR="000C1980">
        <w:rPr>
          <w:szCs w:val="26"/>
        </w:rPr>
        <w:t xml:space="preserve"> to use the latest </w:t>
      </w:r>
      <w:r w:rsidR="008D29E1">
        <w:t xml:space="preserve">California Energy Data and Reporting System </w:t>
      </w:r>
      <w:r w:rsidRPr="00067D3C" w:rsidR="000C1980">
        <w:rPr>
          <w:szCs w:val="26"/>
        </w:rPr>
        <w:t xml:space="preserve">cost effectiveness test functionality to express outputs from the cost effectiveness test in the relevant program year </w:t>
      </w:r>
      <w:r w:rsidR="009B1406">
        <w:rPr>
          <w:szCs w:val="26"/>
        </w:rPr>
        <w:t xml:space="preserve">that the </w:t>
      </w:r>
      <w:r w:rsidRPr="00067D3C" w:rsidR="000C1980">
        <w:rPr>
          <w:szCs w:val="26"/>
        </w:rPr>
        <w:t>net present value is approved.</w:t>
      </w:r>
      <w:r w:rsidRPr="00D23493" w:rsidR="00D23493">
        <w:t xml:space="preserve"> </w:t>
      </w:r>
      <w:r w:rsidRPr="00D23493" w:rsidR="00D23493">
        <w:rPr>
          <w:szCs w:val="26"/>
        </w:rPr>
        <w:t xml:space="preserve">Pacific Gas and Electric Company, Southern California Edison Company, Southern California Gas Company and San Diego Gas &amp; Electric Company must file a joint Tier 1 advice letter </w:t>
      </w:r>
      <w:r w:rsidRPr="00D23493" w:rsidR="00D23493">
        <w:rPr>
          <w:i/>
          <w:iCs/>
          <w:szCs w:val="26"/>
        </w:rPr>
        <w:t xml:space="preserve">if </w:t>
      </w:r>
      <w:r w:rsidRPr="00D23493" w:rsidR="00D23493">
        <w:rPr>
          <w:szCs w:val="26"/>
        </w:rPr>
        <w:t>the Utilities decide to update this methodology again</w:t>
      </w:r>
      <w:r w:rsidR="00067D3C">
        <w:rPr>
          <w:szCs w:val="26"/>
        </w:rPr>
        <w:t>.</w:t>
      </w:r>
    </w:p>
    <w:p w:rsidRPr="00B171D3" w:rsidR="000C1980" w:rsidP="00B171D3" w:rsidRDefault="00E73886" w14:paraId="63CB9A7C" w14:textId="61D998FF">
      <w:pPr>
        <w:pStyle w:val="OP"/>
        <w:numPr>
          <w:ilvl w:val="0"/>
          <w:numId w:val="24"/>
        </w:numPr>
        <w:tabs>
          <w:tab w:val="left" w:pos="990"/>
        </w:tabs>
        <w:ind w:left="0" w:firstLine="547"/>
        <w:rPr>
          <w:szCs w:val="26"/>
        </w:rPr>
      </w:pPr>
      <w:r>
        <w:rPr>
          <w:szCs w:val="26"/>
        </w:rPr>
        <w:t>T</w:t>
      </w:r>
      <w:r w:rsidRPr="00067D3C" w:rsidR="000C1980">
        <w:rPr>
          <w:szCs w:val="26"/>
        </w:rPr>
        <w:t xml:space="preserve">he </w:t>
      </w:r>
      <w:r w:rsidRPr="00A65A5E" w:rsidR="000C1980">
        <w:rPr>
          <w:szCs w:val="26"/>
        </w:rPr>
        <w:t>Energy Savings Assistance</w:t>
      </w:r>
      <w:r w:rsidRPr="00B171D3" w:rsidR="000C1980">
        <w:rPr>
          <w:szCs w:val="26"/>
        </w:rPr>
        <w:t xml:space="preserve"> Working Group </w:t>
      </w:r>
      <w:r>
        <w:rPr>
          <w:szCs w:val="26"/>
        </w:rPr>
        <w:t>must</w:t>
      </w:r>
      <w:r w:rsidRPr="00B171D3">
        <w:rPr>
          <w:szCs w:val="26"/>
        </w:rPr>
        <w:t xml:space="preserve"> </w:t>
      </w:r>
      <w:r w:rsidRPr="00B171D3" w:rsidR="000C1980">
        <w:rPr>
          <w:szCs w:val="26"/>
        </w:rPr>
        <w:t xml:space="preserve">evaluate and recommend whether the Resource Test should continue to be used. </w:t>
      </w:r>
    </w:p>
    <w:p w:rsidRPr="00B171D3" w:rsidR="000C1980" w:rsidP="00B171D3" w:rsidRDefault="000C1980" w14:paraId="14F26D54" w14:textId="442A55F1">
      <w:pPr>
        <w:pStyle w:val="OP"/>
        <w:numPr>
          <w:ilvl w:val="0"/>
          <w:numId w:val="24"/>
        </w:numPr>
        <w:tabs>
          <w:tab w:val="left" w:pos="990"/>
        </w:tabs>
        <w:ind w:left="0" w:firstLine="547"/>
        <w:rPr>
          <w:szCs w:val="26"/>
        </w:rPr>
      </w:pPr>
      <w:r w:rsidRPr="00B171D3">
        <w:rPr>
          <w:szCs w:val="26"/>
        </w:rPr>
        <w:t xml:space="preserve">Pacific Gas and Electric Company, Southern California Edison Company, Southern California Gas Company and San Diego Gas &amp; Electric Company’s </w:t>
      </w:r>
      <w:r w:rsidRPr="00B171D3" w:rsidR="00B340B8">
        <w:rPr>
          <w:szCs w:val="26"/>
        </w:rPr>
        <w:t xml:space="preserve">Energy Savings Assistance program </w:t>
      </w:r>
      <w:r w:rsidRPr="00B171D3">
        <w:rPr>
          <w:szCs w:val="26"/>
        </w:rPr>
        <w:t xml:space="preserve">marketing, </w:t>
      </w:r>
      <w:r w:rsidRPr="00B171D3" w:rsidR="00B340B8">
        <w:rPr>
          <w:szCs w:val="26"/>
        </w:rPr>
        <w:t>education,</w:t>
      </w:r>
      <w:r w:rsidRPr="00B171D3">
        <w:rPr>
          <w:szCs w:val="26"/>
        </w:rPr>
        <w:t xml:space="preserve"> and outreach strategies are approved with additional reporting per the reporting template to be developed and issued by Energy Division staff. </w:t>
      </w:r>
    </w:p>
    <w:p w:rsidRPr="00D80E2C" w:rsidR="000C1980" w:rsidP="00B171D3" w:rsidRDefault="000C1980" w14:paraId="3358E0AB" w14:textId="5F8F68CA">
      <w:pPr>
        <w:pStyle w:val="OP"/>
        <w:numPr>
          <w:ilvl w:val="0"/>
          <w:numId w:val="24"/>
        </w:numPr>
        <w:tabs>
          <w:tab w:val="left" w:pos="990"/>
        </w:tabs>
        <w:ind w:left="0" w:firstLine="547"/>
        <w:rPr>
          <w:szCs w:val="26"/>
        </w:rPr>
      </w:pPr>
      <w:r w:rsidRPr="00B171D3">
        <w:rPr>
          <w:szCs w:val="26"/>
        </w:rPr>
        <w:lastRenderedPageBreak/>
        <w:t xml:space="preserve">Pacific Gas and Electric Company, Southern California Edison Company, Southern California Gas Company and San Diego Gas &amp; Electric Company </w:t>
      </w:r>
      <w:r w:rsidR="00E41EA3">
        <w:rPr>
          <w:szCs w:val="26"/>
        </w:rPr>
        <w:t>must</w:t>
      </w:r>
      <w:r w:rsidRPr="00E41EA3" w:rsidR="00E41EA3">
        <w:rPr>
          <w:szCs w:val="26"/>
        </w:rPr>
        <w:t xml:space="preserve"> </w:t>
      </w:r>
      <w:r w:rsidRPr="00E41EA3">
        <w:rPr>
          <w:szCs w:val="26"/>
        </w:rPr>
        <w:t xml:space="preserve">continue to market and </w:t>
      </w:r>
      <w:r w:rsidR="003E6F0B">
        <w:rPr>
          <w:szCs w:val="26"/>
        </w:rPr>
        <w:t xml:space="preserve">conduct </w:t>
      </w:r>
      <w:r w:rsidRPr="00E41EA3">
        <w:rPr>
          <w:szCs w:val="26"/>
        </w:rPr>
        <w:t xml:space="preserve">outreach to long term California Alternate Rates for Energy </w:t>
      </w:r>
      <w:r w:rsidR="00DA545E">
        <w:rPr>
          <w:szCs w:val="26"/>
        </w:rPr>
        <w:t xml:space="preserve">eligible </w:t>
      </w:r>
      <w:r w:rsidRPr="00E41EA3">
        <w:rPr>
          <w:szCs w:val="26"/>
        </w:rPr>
        <w:t>customers in conjunction with the prioritized customer segments.</w:t>
      </w:r>
    </w:p>
    <w:p w:rsidRPr="00B171D3" w:rsidR="000C1980" w:rsidP="00B171D3" w:rsidRDefault="000C1980" w14:paraId="73AFDFF4" w14:textId="70065796">
      <w:pPr>
        <w:pStyle w:val="OP"/>
        <w:numPr>
          <w:ilvl w:val="0"/>
          <w:numId w:val="24"/>
        </w:numPr>
        <w:tabs>
          <w:tab w:val="left" w:pos="990"/>
        </w:tabs>
        <w:ind w:left="0" w:firstLine="547"/>
        <w:rPr>
          <w:szCs w:val="26"/>
        </w:rPr>
      </w:pPr>
      <w:r w:rsidRPr="004764F0">
        <w:rPr>
          <w:szCs w:val="26"/>
        </w:rPr>
        <w:t xml:space="preserve"> Pacific Gas and Electric Company, Southern California Edison Company, Southern California Gas Company and San Diego Gas &amp; Electric C</w:t>
      </w:r>
      <w:r w:rsidRPr="004F3A73">
        <w:rPr>
          <w:szCs w:val="26"/>
        </w:rPr>
        <w:t xml:space="preserve">ompany </w:t>
      </w:r>
      <w:r w:rsidR="00DA545E">
        <w:rPr>
          <w:szCs w:val="26"/>
        </w:rPr>
        <w:t>must</w:t>
      </w:r>
      <w:r w:rsidRPr="00DA545E" w:rsidR="00DA545E">
        <w:rPr>
          <w:szCs w:val="26"/>
        </w:rPr>
        <w:t xml:space="preserve"> </w:t>
      </w:r>
      <w:r w:rsidRPr="00DA545E">
        <w:rPr>
          <w:szCs w:val="26"/>
        </w:rPr>
        <w:t xml:space="preserve">continue to report and track </w:t>
      </w:r>
      <w:r w:rsidRPr="00A65A5E" w:rsidR="008B4B9A">
        <w:rPr>
          <w:szCs w:val="26"/>
        </w:rPr>
        <w:t>Energy Savings Assistance</w:t>
      </w:r>
      <w:r w:rsidRPr="00736459" w:rsidR="008B4B9A">
        <w:rPr>
          <w:szCs w:val="26"/>
        </w:rPr>
        <w:t xml:space="preserve"> </w:t>
      </w:r>
      <w:r w:rsidR="008B4B9A">
        <w:rPr>
          <w:szCs w:val="26"/>
        </w:rPr>
        <w:t xml:space="preserve">program’s </w:t>
      </w:r>
      <w:r w:rsidR="00E05727">
        <w:rPr>
          <w:szCs w:val="26"/>
        </w:rPr>
        <w:t xml:space="preserve">contractor </w:t>
      </w:r>
      <w:r w:rsidRPr="00DA545E">
        <w:rPr>
          <w:szCs w:val="26"/>
        </w:rPr>
        <w:t>energy education efforts per the reporting template to be developed and issued by Energy Division staff</w:t>
      </w:r>
      <w:r w:rsidRPr="00B171D3">
        <w:rPr>
          <w:szCs w:val="26"/>
        </w:rPr>
        <w:t>.</w:t>
      </w:r>
    </w:p>
    <w:p w:rsidRPr="00E36942" w:rsidR="000C1980" w:rsidP="00B171D3" w:rsidRDefault="000C1980" w14:paraId="3D2F79B2" w14:textId="35A9E184">
      <w:pPr>
        <w:pStyle w:val="OP"/>
        <w:numPr>
          <w:ilvl w:val="0"/>
          <w:numId w:val="24"/>
        </w:numPr>
        <w:tabs>
          <w:tab w:val="left" w:pos="990"/>
        </w:tabs>
        <w:ind w:left="0" w:firstLine="547"/>
        <w:rPr>
          <w:szCs w:val="26"/>
        </w:rPr>
      </w:pPr>
      <w:r w:rsidRPr="00B171D3">
        <w:rPr>
          <w:szCs w:val="26"/>
        </w:rPr>
        <w:t xml:space="preserve">Pacific Gas and Electric Company, Southern California Edison Company, Southern California Gas Company and San Diego Gas &amp; Electric Company </w:t>
      </w:r>
      <w:r w:rsidR="00DA545E">
        <w:rPr>
          <w:szCs w:val="26"/>
        </w:rPr>
        <w:t>must</w:t>
      </w:r>
      <w:r w:rsidRPr="00DA545E" w:rsidR="00DA545E">
        <w:rPr>
          <w:szCs w:val="26"/>
        </w:rPr>
        <w:t xml:space="preserve"> </w:t>
      </w:r>
      <w:r w:rsidRPr="00DA545E">
        <w:rPr>
          <w:szCs w:val="26"/>
        </w:rPr>
        <w:t>leverage the contractors’ Energy Savings Assistance</w:t>
      </w:r>
      <w:r w:rsidR="00312B78">
        <w:rPr>
          <w:szCs w:val="26"/>
        </w:rPr>
        <w:t xml:space="preserve"> program’s</w:t>
      </w:r>
      <w:r w:rsidRPr="00DA545E">
        <w:rPr>
          <w:szCs w:val="26"/>
        </w:rPr>
        <w:t xml:space="preserve"> in-home visit and energy education to assist customers with other utility account services, including, but not limited to, online account creation </w:t>
      </w:r>
      <w:r w:rsidRPr="00D80E2C">
        <w:rPr>
          <w:szCs w:val="26"/>
        </w:rPr>
        <w:t xml:space="preserve">and enrollment in bill </w:t>
      </w:r>
      <w:r w:rsidRPr="00DD4527">
        <w:rPr>
          <w:szCs w:val="26"/>
        </w:rPr>
        <w:t>payment plan programs</w:t>
      </w:r>
      <w:r w:rsidRPr="004764F0">
        <w:rPr>
          <w:szCs w:val="26"/>
        </w:rPr>
        <w:t xml:space="preserve"> such as Arrearage Management Plan if</w:t>
      </w:r>
      <w:r w:rsidR="00224D72">
        <w:rPr>
          <w:szCs w:val="26"/>
        </w:rPr>
        <w:t xml:space="preserve"> the</w:t>
      </w:r>
      <w:r w:rsidRPr="004764F0">
        <w:rPr>
          <w:szCs w:val="26"/>
        </w:rPr>
        <w:t xml:space="preserve"> customer is eligible.</w:t>
      </w:r>
    </w:p>
    <w:p w:rsidRPr="00DA545E" w:rsidR="000C1980" w:rsidP="00B171D3" w:rsidRDefault="000C1980" w14:paraId="615C646C" w14:textId="776E3E9C">
      <w:pPr>
        <w:pStyle w:val="OP"/>
        <w:numPr>
          <w:ilvl w:val="0"/>
          <w:numId w:val="24"/>
        </w:numPr>
        <w:tabs>
          <w:tab w:val="left" w:pos="990"/>
        </w:tabs>
        <w:ind w:left="0" w:firstLine="547"/>
        <w:rPr>
          <w:szCs w:val="26"/>
        </w:rPr>
      </w:pPr>
      <w:r w:rsidRPr="004F3A73">
        <w:rPr>
          <w:szCs w:val="26"/>
        </w:rPr>
        <w:t xml:space="preserve"> Pacific Gas and Electric Company, Southern California Edison Company, Southern California Gas Company and San Diego Gas &amp; Electric Company</w:t>
      </w:r>
      <w:r w:rsidRPr="00247102">
        <w:rPr>
          <w:szCs w:val="26"/>
        </w:rPr>
        <w:t xml:space="preserve"> </w:t>
      </w:r>
      <w:r w:rsidR="00DA545E">
        <w:rPr>
          <w:szCs w:val="26"/>
        </w:rPr>
        <w:t>must</w:t>
      </w:r>
      <w:r w:rsidRPr="00DA545E" w:rsidR="00DA545E">
        <w:rPr>
          <w:szCs w:val="26"/>
        </w:rPr>
        <w:t xml:space="preserve"> continue to establish relationships with local organizations that have existing relationships with the </w:t>
      </w:r>
      <w:proofErr w:type="gramStart"/>
      <w:r w:rsidR="00EF691C">
        <w:rPr>
          <w:szCs w:val="26"/>
        </w:rPr>
        <w:t>low income</w:t>
      </w:r>
      <w:proofErr w:type="gramEnd"/>
      <w:r w:rsidR="00EF691C">
        <w:rPr>
          <w:szCs w:val="26"/>
        </w:rPr>
        <w:t xml:space="preserve"> </w:t>
      </w:r>
      <w:r w:rsidRPr="00DA545E" w:rsidR="00DA545E">
        <w:rPr>
          <w:szCs w:val="26"/>
        </w:rPr>
        <w:t>households</w:t>
      </w:r>
      <w:r w:rsidR="00DA545E">
        <w:rPr>
          <w:szCs w:val="26"/>
        </w:rPr>
        <w:t>.</w:t>
      </w:r>
    </w:p>
    <w:p w:rsidRPr="009C5F77" w:rsidR="000C1980" w:rsidP="00B171D3" w:rsidRDefault="000C1980" w14:paraId="0C275BD7" w14:textId="450BFA0D">
      <w:pPr>
        <w:pStyle w:val="OP"/>
        <w:numPr>
          <w:ilvl w:val="0"/>
          <w:numId w:val="24"/>
        </w:numPr>
        <w:tabs>
          <w:tab w:val="left" w:pos="990"/>
        </w:tabs>
        <w:ind w:left="0" w:firstLine="547"/>
        <w:rPr>
          <w:szCs w:val="26"/>
        </w:rPr>
      </w:pPr>
      <w:r w:rsidRPr="00B171D3">
        <w:rPr>
          <w:szCs w:val="26"/>
        </w:rPr>
        <w:t xml:space="preserve">Pacific Gas and Electric Company, Southern California Edison Company, Southern California Gas Company and San Diego Gas &amp; Electric Company </w:t>
      </w:r>
      <w:r w:rsidR="00DA545E">
        <w:rPr>
          <w:szCs w:val="26"/>
        </w:rPr>
        <w:t>must</w:t>
      </w:r>
      <w:r w:rsidRPr="00DA545E" w:rsidR="00DA545E">
        <w:rPr>
          <w:szCs w:val="26"/>
        </w:rPr>
        <w:t xml:space="preserve"> </w:t>
      </w:r>
      <w:r w:rsidRPr="00DA545E">
        <w:rPr>
          <w:szCs w:val="26"/>
        </w:rPr>
        <w:t>continue to report marketing, education, and outreach</w:t>
      </w:r>
      <w:r w:rsidRPr="00D80E2C">
        <w:rPr>
          <w:szCs w:val="26"/>
        </w:rPr>
        <w:t xml:space="preserve"> activities</w:t>
      </w:r>
      <w:r w:rsidRPr="004764F0">
        <w:rPr>
          <w:szCs w:val="26"/>
        </w:rPr>
        <w:t xml:space="preserve"> in their </w:t>
      </w:r>
      <w:r w:rsidRPr="00A65A5E" w:rsidR="00EF691C">
        <w:rPr>
          <w:szCs w:val="26"/>
        </w:rPr>
        <w:t>Energy Savings Assistance</w:t>
      </w:r>
      <w:r w:rsidRPr="00736459" w:rsidR="00EF691C">
        <w:rPr>
          <w:szCs w:val="26"/>
        </w:rPr>
        <w:t xml:space="preserve"> </w:t>
      </w:r>
      <w:r w:rsidR="00EF691C">
        <w:rPr>
          <w:szCs w:val="26"/>
        </w:rPr>
        <w:t xml:space="preserve">program </w:t>
      </w:r>
      <w:r w:rsidRPr="004764F0">
        <w:rPr>
          <w:szCs w:val="26"/>
        </w:rPr>
        <w:t xml:space="preserve">monthly reports per the reporting template to be developed and issued by Energy Division staff, including </w:t>
      </w:r>
      <w:r w:rsidRPr="00E36942">
        <w:rPr>
          <w:szCs w:val="26"/>
        </w:rPr>
        <w:t>the two</w:t>
      </w:r>
      <w:r w:rsidRPr="004F3A73">
        <w:rPr>
          <w:szCs w:val="26"/>
        </w:rPr>
        <w:t xml:space="preserve"> </w:t>
      </w:r>
      <w:r w:rsidRPr="004F3A73">
        <w:rPr>
          <w:szCs w:val="26"/>
        </w:rPr>
        <w:lastRenderedPageBreak/>
        <w:t xml:space="preserve">new metrics: </w:t>
      </w:r>
      <w:proofErr w:type="spellStart"/>
      <w:r w:rsidRPr="004F3A73">
        <w:rPr>
          <w:szCs w:val="26"/>
        </w:rPr>
        <w:t>i</w:t>
      </w:r>
      <w:proofErr w:type="spellEnd"/>
      <w:r w:rsidRPr="004F3A73">
        <w:rPr>
          <w:szCs w:val="26"/>
        </w:rPr>
        <w:t>) whether customers know where to get more in</w:t>
      </w:r>
      <w:r w:rsidRPr="00247102">
        <w:rPr>
          <w:szCs w:val="26"/>
        </w:rPr>
        <w:t>formation about how to manage their energy use, and ii) whether customers were provided with information and services to help reduce their energy bill</w:t>
      </w:r>
      <w:r w:rsidRPr="00054B32">
        <w:rPr>
          <w:szCs w:val="26"/>
        </w:rPr>
        <w:t>.</w:t>
      </w:r>
    </w:p>
    <w:p w:rsidRPr="00DA545E" w:rsidR="000C1980" w:rsidP="00B171D3" w:rsidRDefault="000C1980" w14:paraId="02528840" w14:textId="5FE02B3B">
      <w:pPr>
        <w:pStyle w:val="OP"/>
        <w:numPr>
          <w:ilvl w:val="0"/>
          <w:numId w:val="24"/>
        </w:numPr>
        <w:tabs>
          <w:tab w:val="left" w:pos="990"/>
        </w:tabs>
        <w:ind w:left="0" w:firstLine="547"/>
        <w:rPr>
          <w:szCs w:val="26"/>
        </w:rPr>
      </w:pPr>
      <w:r w:rsidRPr="00660F4B">
        <w:rPr>
          <w:szCs w:val="26"/>
        </w:rPr>
        <w:t>Pacific Gas and Electric Company, Southern California Edison Company, Southern California Gas Company and San Diego Gas &amp; Electric Company</w:t>
      </w:r>
      <w:r>
        <w:rPr>
          <w:szCs w:val="26"/>
        </w:rPr>
        <w:t xml:space="preserve"> </w:t>
      </w:r>
      <w:r w:rsidR="00DA545E">
        <w:rPr>
          <w:szCs w:val="26"/>
        </w:rPr>
        <w:t xml:space="preserve">must </w:t>
      </w:r>
      <w:r w:rsidRPr="00736459">
        <w:rPr>
          <w:szCs w:val="26"/>
        </w:rPr>
        <w:t xml:space="preserve">begin the transition away from hard copy education booklets </w:t>
      </w:r>
      <w:r w:rsidR="007A0923">
        <w:rPr>
          <w:szCs w:val="26"/>
        </w:rPr>
        <w:t xml:space="preserve">and </w:t>
      </w:r>
      <w:r w:rsidRPr="00736459">
        <w:rPr>
          <w:szCs w:val="26"/>
        </w:rPr>
        <w:t>towards</w:t>
      </w:r>
      <w:r w:rsidRPr="00DA545E">
        <w:rPr>
          <w:szCs w:val="26"/>
        </w:rPr>
        <w:t xml:space="preserve"> customized online energy education modules that customers can access at their ongoing convenience.  The online modules shall replace the hard copy </w:t>
      </w:r>
      <w:r w:rsidRPr="00D80E2C">
        <w:rPr>
          <w:szCs w:val="26"/>
        </w:rPr>
        <w:t>education booklets</w:t>
      </w:r>
      <w:r w:rsidRPr="00DD4527">
        <w:rPr>
          <w:szCs w:val="26"/>
        </w:rPr>
        <w:t xml:space="preserve"> and shall</w:t>
      </w:r>
      <w:r w:rsidRPr="004764F0">
        <w:rPr>
          <w:szCs w:val="26"/>
        </w:rPr>
        <w:t xml:space="preserve"> be offered to all customers enrolled into the Energy Savings Assistance program except for those that a</w:t>
      </w:r>
      <w:r w:rsidRPr="004F3A73">
        <w:rPr>
          <w:szCs w:val="26"/>
        </w:rPr>
        <w:t>re limited by broadband access</w:t>
      </w:r>
      <w:r w:rsidRPr="001155BB" w:rsidR="001155BB">
        <w:t xml:space="preserve"> </w:t>
      </w:r>
      <w:r w:rsidR="001155BB">
        <w:t>or do not have access to online resources</w:t>
      </w:r>
      <w:r w:rsidRPr="004F3A73">
        <w:rPr>
          <w:szCs w:val="26"/>
        </w:rPr>
        <w:t xml:space="preserve">.  In these instances, the Utilities </w:t>
      </w:r>
      <w:r w:rsidR="00DA545E">
        <w:rPr>
          <w:szCs w:val="26"/>
        </w:rPr>
        <w:t>may</w:t>
      </w:r>
      <w:r w:rsidRPr="00DA545E" w:rsidR="00DA545E">
        <w:rPr>
          <w:szCs w:val="26"/>
        </w:rPr>
        <w:t xml:space="preserve"> </w:t>
      </w:r>
      <w:r w:rsidRPr="00DA545E">
        <w:rPr>
          <w:szCs w:val="26"/>
        </w:rPr>
        <w:t xml:space="preserve">provide hard copies. </w:t>
      </w:r>
    </w:p>
    <w:p w:rsidRPr="003356E4" w:rsidR="000C1980" w:rsidP="00B171D3" w:rsidRDefault="000C1980" w14:paraId="7B4711AC" w14:textId="22077ED1">
      <w:pPr>
        <w:pStyle w:val="OP"/>
        <w:numPr>
          <w:ilvl w:val="0"/>
          <w:numId w:val="24"/>
        </w:numPr>
        <w:tabs>
          <w:tab w:val="left" w:pos="990"/>
        </w:tabs>
        <w:ind w:left="0" w:firstLine="547"/>
        <w:rPr>
          <w:szCs w:val="26"/>
        </w:rPr>
      </w:pPr>
      <w:r w:rsidRPr="00B171D3">
        <w:rPr>
          <w:szCs w:val="26"/>
        </w:rPr>
        <w:t xml:space="preserve">Pacific Gas and Electric Company, Southern California Edison Company, Southern California Gas Company and San Diego Gas &amp; Electric Company’s </w:t>
      </w:r>
      <w:r w:rsidRPr="00A65A5E" w:rsidR="00ED4FDB">
        <w:rPr>
          <w:szCs w:val="26"/>
        </w:rPr>
        <w:t>Energy Savings Assistance</w:t>
      </w:r>
      <w:r w:rsidRPr="00736459" w:rsidR="00ED4FDB">
        <w:rPr>
          <w:szCs w:val="26"/>
        </w:rPr>
        <w:t xml:space="preserve"> </w:t>
      </w:r>
      <w:r w:rsidR="00ED4FDB">
        <w:rPr>
          <w:szCs w:val="26"/>
        </w:rPr>
        <w:t xml:space="preserve">program </w:t>
      </w:r>
      <w:r w:rsidRPr="00B171D3">
        <w:rPr>
          <w:szCs w:val="26"/>
        </w:rPr>
        <w:t xml:space="preserve">referral, leveraging, and coordination efforts and relationships are approved, including those </w:t>
      </w:r>
      <w:r w:rsidR="007A0923">
        <w:rPr>
          <w:szCs w:val="26"/>
        </w:rPr>
        <w:t xml:space="preserve">ongoing </w:t>
      </w:r>
      <w:r w:rsidRPr="007A0923">
        <w:rPr>
          <w:szCs w:val="26"/>
        </w:rPr>
        <w:t>with</w:t>
      </w:r>
      <w:r w:rsidR="007A0923">
        <w:rPr>
          <w:szCs w:val="26"/>
        </w:rPr>
        <w:t>, and desired by</w:t>
      </w:r>
      <w:r w:rsidR="00D34E51">
        <w:rPr>
          <w:szCs w:val="26"/>
        </w:rPr>
        <w:t>,</w:t>
      </w:r>
      <w:r w:rsidRPr="007A0923">
        <w:rPr>
          <w:szCs w:val="26"/>
        </w:rPr>
        <w:t xml:space="preserve"> the California Department of Community Services and Development, and the Commission’s Self-Generation Incentive </w:t>
      </w:r>
      <w:r w:rsidR="00D70160">
        <w:rPr>
          <w:szCs w:val="26"/>
        </w:rPr>
        <w:t>P</w:t>
      </w:r>
      <w:r w:rsidRPr="00771390">
        <w:rPr>
          <w:szCs w:val="26"/>
        </w:rPr>
        <w:t>rogram.</w:t>
      </w:r>
    </w:p>
    <w:p w:rsidRPr="00B171D3" w:rsidR="000C1980" w:rsidP="00B171D3" w:rsidRDefault="000C1980" w14:paraId="707DE5D3" w14:textId="377B9833">
      <w:pPr>
        <w:pStyle w:val="OP"/>
        <w:numPr>
          <w:ilvl w:val="0"/>
          <w:numId w:val="24"/>
        </w:numPr>
        <w:tabs>
          <w:tab w:val="left" w:pos="990"/>
        </w:tabs>
        <w:ind w:left="0" w:firstLine="547"/>
        <w:rPr>
          <w:szCs w:val="26"/>
        </w:rPr>
      </w:pPr>
      <w:r w:rsidRPr="004A3A46">
        <w:rPr>
          <w:szCs w:val="26"/>
        </w:rPr>
        <w:t xml:space="preserve"> Pacific Gas and Electric Company, Southern California Edison Company, Sou</w:t>
      </w:r>
      <w:r w:rsidRPr="00D4778D">
        <w:rPr>
          <w:szCs w:val="26"/>
        </w:rPr>
        <w:t xml:space="preserve">thern California Gas Company and San Diego Gas &amp; Electric Company’s </w:t>
      </w:r>
      <w:r w:rsidRPr="00A65A5E" w:rsidR="00ED4FDB">
        <w:rPr>
          <w:szCs w:val="26"/>
        </w:rPr>
        <w:t>Energy Savings Assistance</w:t>
      </w:r>
      <w:r w:rsidRPr="00736459" w:rsidR="00ED4FDB">
        <w:rPr>
          <w:szCs w:val="26"/>
        </w:rPr>
        <w:t xml:space="preserve"> </w:t>
      </w:r>
      <w:r w:rsidR="00ED4FDB">
        <w:rPr>
          <w:szCs w:val="26"/>
        </w:rPr>
        <w:t xml:space="preserve">program </w:t>
      </w:r>
      <w:r w:rsidRPr="00D4778D">
        <w:rPr>
          <w:szCs w:val="26"/>
        </w:rPr>
        <w:t xml:space="preserve">workforce, education and training programs are approved with modifications and additional reporting per the </w:t>
      </w:r>
      <w:r w:rsidRPr="00B171D3">
        <w:rPr>
          <w:szCs w:val="26"/>
        </w:rPr>
        <w:t xml:space="preserve">reporting template to be developed and issued by Energy Division staff. </w:t>
      </w:r>
    </w:p>
    <w:p w:rsidRPr="003E6A0A" w:rsidR="000C1980" w:rsidP="00B171D3" w:rsidRDefault="000C1980" w14:paraId="28E6B0B0" w14:textId="67FB5F12">
      <w:pPr>
        <w:pStyle w:val="OP"/>
        <w:numPr>
          <w:ilvl w:val="0"/>
          <w:numId w:val="24"/>
        </w:numPr>
        <w:tabs>
          <w:tab w:val="left" w:pos="990"/>
        </w:tabs>
        <w:ind w:left="0" w:firstLine="547"/>
        <w:rPr>
          <w:szCs w:val="26"/>
        </w:rPr>
      </w:pPr>
      <w:r w:rsidRPr="00B171D3">
        <w:rPr>
          <w:szCs w:val="26"/>
        </w:rPr>
        <w:t xml:space="preserve">Pacific Gas and Electric Company, Southern California Edison Company, Southern California Gas Company and San Diego Gas &amp; Electric Company </w:t>
      </w:r>
      <w:r w:rsidR="00DA545E">
        <w:rPr>
          <w:szCs w:val="26"/>
        </w:rPr>
        <w:t>must</w:t>
      </w:r>
      <w:r w:rsidRPr="00DA545E" w:rsidR="00DA545E">
        <w:rPr>
          <w:szCs w:val="26"/>
        </w:rPr>
        <w:t xml:space="preserve"> </w:t>
      </w:r>
      <w:r w:rsidRPr="00DA545E">
        <w:rPr>
          <w:szCs w:val="26"/>
        </w:rPr>
        <w:t xml:space="preserve">incorporate training related to the new </w:t>
      </w:r>
      <w:r w:rsidRPr="00A65A5E" w:rsidR="00604885">
        <w:rPr>
          <w:szCs w:val="26"/>
        </w:rPr>
        <w:t xml:space="preserve">Energy Savings </w:t>
      </w:r>
      <w:r w:rsidRPr="00A65A5E" w:rsidR="00604885">
        <w:rPr>
          <w:szCs w:val="26"/>
        </w:rPr>
        <w:lastRenderedPageBreak/>
        <w:t>Assistance</w:t>
      </w:r>
      <w:r w:rsidRPr="00736459" w:rsidR="00604885">
        <w:rPr>
          <w:szCs w:val="26"/>
        </w:rPr>
        <w:t xml:space="preserve"> </w:t>
      </w:r>
      <w:r w:rsidR="00604885">
        <w:rPr>
          <w:szCs w:val="26"/>
        </w:rPr>
        <w:t xml:space="preserve">program </w:t>
      </w:r>
      <w:r w:rsidRPr="00DA545E">
        <w:rPr>
          <w:szCs w:val="26"/>
        </w:rPr>
        <w:t>tiered measure offerin</w:t>
      </w:r>
      <w:r w:rsidRPr="00D80E2C">
        <w:rPr>
          <w:szCs w:val="26"/>
        </w:rPr>
        <w:t xml:space="preserve">gs by customer segments/ need state to ensure that all contractors are well versed in distinguishing which tier might best fit the customer prior to the </w:t>
      </w:r>
      <w:proofErr w:type="gramStart"/>
      <w:r w:rsidRPr="00D80E2C">
        <w:rPr>
          <w:szCs w:val="26"/>
        </w:rPr>
        <w:t>in home</w:t>
      </w:r>
      <w:proofErr w:type="gramEnd"/>
      <w:r w:rsidRPr="00D80E2C">
        <w:rPr>
          <w:szCs w:val="26"/>
        </w:rPr>
        <w:t xml:space="preserve"> visits.  The Utilities shall ensure that all the training provided builds upon existing soft an</w:t>
      </w:r>
      <w:r w:rsidRPr="004764F0">
        <w:rPr>
          <w:szCs w:val="26"/>
        </w:rPr>
        <w:t xml:space="preserve">d technical skills and promotes direct access to employment (to </w:t>
      </w:r>
      <w:r w:rsidRPr="00A65A5E">
        <w:rPr>
          <w:szCs w:val="26"/>
        </w:rPr>
        <w:t>Energy Savings Assistance</w:t>
      </w:r>
      <w:r w:rsidRPr="00736459">
        <w:rPr>
          <w:szCs w:val="26"/>
        </w:rPr>
        <w:t xml:space="preserve"> and the broader energy efficiency industry).  </w:t>
      </w:r>
    </w:p>
    <w:p w:rsidRPr="004764F0" w:rsidR="000C1980" w:rsidP="00815B6D" w:rsidRDefault="000C1980" w14:paraId="35150C1B" w14:textId="77777777">
      <w:pPr>
        <w:pStyle w:val="OP"/>
        <w:numPr>
          <w:ilvl w:val="0"/>
          <w:numId w:val="24"/>
        </w:numPr>
        <w:tabs>
          <w:tab w:val="left" w:pos="1170"/>
        </w:tabs>
        <w:ind w:left="0" w:firstLine="547"/>
        <w:rPr>
          <w:szCs w:val="26"/>
        </w:rPr>
      </w:pPr>
      <w:r w:rsidRPr="0006225C">
        <w:rPr>
          <w:szCs w:val="26"/>
        </w:rPr>
        <w:t>Pacific Gas and Electric Company, Southern California Edison Company, Southern California Gas Company and San Diego Gas</w:t>
      </w:r>
      <w:r w:rsidRPr="00D80E2C">
        <w:rPr>
          <w:szCs w:val="26"/>
        </w:rPr>
        <w:t xml:space="preserve"> &amp; Electric Company</w:t>
      </w:r>
      <w:r w:rsidRPr="004764F0">
        <w:rPr>
          <w:szCs w:val="26"/>
        </w:rPr>
        <w:t xml:space="preserve"> shall explore the feasibility of coordinating with other existing job training programs, centers, or community colleges to target workforce, education and training efforts towards </w:t>
      </w:r>
      <w:proofErr w:type="gramStart"/>
      <w:r w:rsidRPr="004764F0">
        <w:rPr>
          <w:szCs w:val="26"/>
        </w:rPr>
        <w:t>low income</w:t>
      </w:r>
      <w:proofErr w:type="gramEnd"/>
      <w:r w:rsidRPr="004764F0">
        <w:rPr>
          <w:szCs w:val="26"/>
        </w:rPr>
        <w:t xml:space="preserve"> areas and disadvantaged communities. </w:t>
      </w:r>
    </w:p>
    <w:p w:rsidRPr="00736459" w:rsidR="000C1980" w:rsidP="00815B6D" w:rsidRDefault="000C1980" w14:paraId="037E3C2F" w14:textId="2BE0FEE4">
      <w:pPr>
        <w:pStyle w:val="OP"/>
        <w:numPr>
          <w:ilvl w:val="0"/>
          <w:numId w:val="24"/>
        </w:numPr>
        <w:tabs>
          <w:tab w:val="left" w:pos="1170"/>
        </w:tabs>
        <w:ind w:left="0" w:firstLine="547"/>
        <w:rPr>
          <w:szCs w:val="26"/>
        </w:rPr>
      </w:pPr>
      <w:r w:rsidRPr="004F3A73">
        <w:rPr>
          <w:szCs w:val="26"/>
        </w:rPr>
        <w:t xml:space="preserve">Pacific Gas and Electric Company, Southern California Edison Company, Southern California Gas Company and San Diego Gas &amp; Electric Company </w:t>
      </w:r>
      <w:r w:rsidR="00DA545E">
        <w:rPr>
          <w:szCs w:val="26"/>
        </w:rPr>
        <w:t>must</w:t>
      </w:r>
      <w:r w:rsidRPr="00DA545E" w:rsidR="00DA545E">
        <w:rPr>
          <w:szCs w:val="26"/>
        </w:rPr>
        <w:t xml:space="preserve"> </w:t>
      </w:r>
      <w:r w:rsidRPr="00DA545E">
        <w:rPr>
          <w:szCs w:val="26"/>
        </w:rPr>
        <w:t xml:space="preserve">inquire of potential bidders how the </w:t>
      </w:r>
      <w:r w:rsidR="00DA545E">
        <w:rPr>
          <w:szCs w:val="26"/>
        </w:rPr>
        <w:t>Energy Savings Assistance</w:t>
      </w:r>
      <w:r w:rsidRPr="00DA545E" w:rsidR="00DA545E">
        <w:rPr>
          <w:szCs w:val="26"/>
        </w:rPr>
        <w:t xml:space="preserve"> </w:t>
      </w:r>
      <w:r w:rsidRPr="00DA545E">
        <w:rPr>
          <w:szCs w:val="26"/>
        </w:rPr>
        <w:t xml:space="preserve">program can facilitate </w:t>
      </w:r>
      <w:r w:rsidRPr="00B171D3">
        <w:rPr>
          <w:szCs w:val="26"/>
        </w:rPr>
        <w:t xml:space="preserve">the hiring of local and disadvantaged workers, worker training, and career-ladder job development, as well </w:t>
      </w:r>
      <w:r w:rsidR="008548D6">
        <w:rPr>
          <w:szCs w:val="26"/>
        </w:rPr>
        <w:t xml:space="preserve">as develop </w:t>
      </w:r>
      <w:r w:rsidRPr="00B171D3">
        <w:rPr>
          <w:szCs w:val="26"/>
        </w:rPr>
        <w:t>any new metrics to track these efforts.</w:t>
      </w:r>
    </w:p>
    <w:p w:rsidRPr="004764F0" w:rsidR="000C1980" w:rsidP="00815B6D" w:rsidRDefault="000C1980" w14:paraId="1CD7786B" w14:textId="576FD00B">
      <w:pPr>
        <w:pStyle w:val="OP"/>
        <w:numPr>
          <w:ilvl w:val="0"/>
          <w:numId w:val="24"/>
        </w:numPr>
        <w:tabs>
          <w:tab w:val="left" w:pos="1170"/>
        </w:tabs>
        <w:ind w:left="0" w:firstLine="547"/>
        <w:rPr>
          <w:szCs w:val="26"/>
        </w:rPr>
      </w:pPr>
      <w:r w:rsidRPr="00D80E2C">
        <w:rPr>
          <w:szCs w:val="26"/>
        </w:rPr>
        <w:t>Pacific Gas and Electric Company, Southern California Edison Company, Southern California Gas Company and San Diego Gas &amp; Electric Company</w:t>
      </w:r>
      <w:r w:rsidRPr="004764F0">
        <w:rPr>
          <w:szCs w:val="26"/>
        </w:rPr>
        <w:t xml:space="preserve"> </w:t>
      </w:r>
      <w:r w:rsidR="00DA545E">
        <w:rPr>
          <w:szCs w:val="26"/>
        </w:rPr>
        <w:t>must</w:t>
      </w:r>
      <w:r w:rsidRPr="00DA545E" w:rsidR="00DA545E">
        <w:rPr>
          <w:szCs w:val="26"/>
        </w:rPr>
        <w:t xml:space="preserve"> </w:t>
      </w:r>
      <w:r w:rsidRPr="00DA545E">
        <w:rPr>
          <w:szCs w:val="26"/>
        </w:rPr>
        <w:t>leverage the statewide Career &amp; Workforce Readiness program</w:t>
      </w:r>
      <w:r w:rsidRPr="00D80E2C">
        <w:rPr>
          <w:szCs w:val="26"/>
        </w:rPr>
        <w:t xml:space="preserve"> to target workers in disadvantaged areas with specific training, as well as partner with organizations that provide training and job-related services.</w:t>
      </w:r>
    </w:p>
    <w:p w:rsidRPr="004764F0" w:rsidR="000C1980" w:rsidP="00815B6D" w:rsidRDefault="000C1980" w14:paraId="11337432" w14:textId="30F3A34F">
      <w:pPr>
        <w:pStyle w:val="OP"/>
        <w:numPr>
          <w:ilvl w:val="0"/>
          <w:numId w:val="24"/>
        </w:numPr>
        <w:tabs>
          <w:tab w:val="left" w:pos="1170"/>
        </w:tabs>
        <w:ind w:left="0" w:firstLine="547"/>
        <w:rPr>
          <w:szCs w:val="26"/>
        </w:rPr>
      </w:pPr>
      <w:r w:rsidRPr="004764F0">
        <w:rPr>
          <w:szCs w:val="26"/>
        </w:rPr>
        <w:t>Pacific Gas and Electric Company, Southern Cali</w:t>
      </w:r>
      <w:r w:rsidRPr="00E36942">
        <w:rPr>
          <w:szCs w:val="26"/>
        </w:rPr>
        <w:t>fornia Edison Company, Southern California Gas Company and San Diego Gas &amp; Electric Company</w:t>
      </w:r>
      <w:r w:rsidRPr="004F3A73">
        <w:rPr>
          <w:szCs w:val="26"/>
        </w:rPr>
        <w:t xml:space="preserve"> </w:t>
      </w:r>
      <w:r w:rsidR="00DA545E">
        <w:rPr>
          <w:szCs w:val="26"/>
        </w:rPr>
        <w:t>must</w:t>
      </w:r>
      <w:r w:rsidRPr="00DA545E" w:rsidR="00DA545E">
        <w:rPr>
          <w:szCs w:val="26"/>
        </w:rPr>
        <w:t xml:space="preserve"> </w:t>
      </w:r>
      <w:r w:rsidRPr="00DA545E">
        <w:rPr>
          <w:szCs w:val="26"/>
        </w:rPr>
        <w:t xml:space="preserve">include additional metrics related to </w:t>
      </w:r>
      <w:r w:rsidR="00604885">
        <w:rPr>
          <w:szCs w:val="26"/>
        </w:rPr>
        <w:t xml:space="preserve">the </w:t>
      </w:r>
      <w:r w:rsidRPr="00A65A5E" w:rsidR="00604885">
        <w:rPr>
          <w:szCs w:val="26"/>
        </w:rPr>
        <w:t>Energy Savings Assistance</w:t>
      </w:r>
      <w:r w:rsidRPr="00736459" w:rsidR="00604885">
        <w:rPr>
          <w:szCs w:val="26"/>
        </w:rPr>
        <w:t xml:space="preserve"> </w:t>
      </w:r>
      <w:r w:rsidR="00604885">
        <w:rPr>
          <w:szCs w:val="26"/>
        </w:rPr>
        <w:t xml:space="preserve">(ESA) program’s </w:t>
      </w:r>
      <w:r w:rsidRPr="00D80E2C">
        <w:rPr>
          <w:szCs w:val="26"/>
        </w:rPr>
        <w:t>workforce, education, and training</w:t>
      </w:r>
      <w:r w:rsidRPr="004764F0">
        <w:rPr>
          <w:szCs w:val="26"/>
        </w:rPr>
        <w:t xml:space="preserve"> that are currently </w:t>
      </w:r>
      <w:r w:rsidRPr="004764F0">
        <w:rPr>
          <w:szCs w:val="26"/>
        </w:rPr>
        <w:lastRenderedPageBreak/>
        <w:t>reported through the Utilities’</w:t>
      </w:r>
      <w:r w:rsidRPr="00E36942">
        <w:rPr>
          <w:szCs w:val="26"/>
        </w:rPr>
        <w:t xml:space="preserve"> </w:t>
      </w:r>
      <w:r w:rsidRPr="004F3A73">
        <w:rPr>
          <w:szCs w:val="26"/>
        </w:rPr>
        <w:t>main energy efficiency</w:t>
      </w:r>
      <w:r w:rsidRPr="00247102">
        <w:rPr>
          <w:szCs w:val="26"/>
        </w:rPr>
        <w:t xml:space="preserve"> </w:t>
      </w:r>
      <w:r w:rsidRPr="00F44120">
        <w:rPr>
          <w:szCs w:val="26"/>
        </w:rPr>
        <w:t>a</w:t>
      </w:r>
      <w:r w:rsidRPr="003177C1">
        <w:rPr>
          <w:szCs w:val="26"/>
        </w:rPr>
        <w:t xml:space="preserve">nnual </w:t>
      </w:r>
      <w:r w:rsidRPr="00054B32">
        <w:rPr>
          <w:szCs w:val="26"/>
        </w:rPr>
        <w:t>re</w:t>
      </w:r>
      <w:r w:rsidRPr="009C5F77">
        <w:rPr>
          <w:szCs w:val="26"/>
        </w:rPr>
        <w:t xml:space="preserve">ports, in </w:t>
      </w:r>
      <w:r w:rsidRPr="000503CA">
        <w:rPr>
          <w:szCs w:val="26"/>
        </w:rPr>
        <w:t xml:space="preserve">the </w:t>
      </w:r>
      <w:r w:rsidR="00604885">
        <w:rPr>
          <w:szCs w:val="26"/>
        </w:rPr>
        <w:t xml:space="preserve">ESA </w:t>
      </w:r>
      <w:r w:rsidRPr="00D80E2C">
        <w:rPr>
          <w:szCs w:val="26"/>
        </w:rPr>
        <w:t>annual r</w:t>
      </w:r>
      <w:r w:rsidRPr="00326094">
        <w:rPr>
          <w:szCs w:val="26"/>
        </w:rPr>
        <w:t xml:space="preserve">eports per the reporting template to be developed and issued by Energy Division staff. </w:t>
      </w:r>
    </w:p>
    <w:p w:rsidRPr="00326094" w:rsidR="000C1980" w:rsidP="00815B6D" w:rsidRDefault="000C1980" w14:paraId="62D745FF" w14:textId="7107946F">
      <w:pPr>
        <w:pStyle w:val="OP"/>
        <w:numPr>
          <w:ilvl w:val="0"/>
          <w:numId w:val="24"/>
        </w:numPr>
        <w:tabs>
          <w:tab w:val="left" w:pos="1170"/>
        </w:tabs>
        <w:ind w:left="0" w:firstLine="547"/>
        <w:rPr>
          <w:szCs w:val="26"/>
        </w:rPr>
      </w:pPr>
      <w:r w:rsidRPr="00D80E2C">
        <w:rPr>
          <w:szCs w:val="26"/>
        </w:rPr>
        <w:t xml:space="preserve">Pacific Gas and Electric Company, Southern California Edison Company, Southern California Gas Company and San Diego Gas &amp; Electric Company </w:t>
      </w:r>
      <w:r w:rsidR="00D80E2C">
        <w:rPr>
          <w:szCs w:val="26"/>
        </w:rPr>
        <w:t>must</w:t>
      </w:r>
      <w:r w:rsidRPr="00D80E2C" w:rsidR="00D80E2C">
        <w:rPr>
          <w:szCs w:val="26"/>
        </w:rPr>
        <w:t xml:space="preserve"> </w:t>
      </w:r>
      <w:r w:rsidRPr="00D80E2C">
        <w:rPr>
          <w:szCs w:val="26"/>
        </w:rPr>
        <w:t>comply with the following additional workforce, education, and training efforts:</w:t>
      </w:r>
    </w:p>
    <w:p w:rsidRPr="004764F0" w:rsidR="000C1980" w:rsidP="000E5251" w:rsidRDefault="000C1980" w14:paraId="77A52E5C" w14:textId="77777777">
      <w:pPr>
        <w:pStyle w:val="ListBullet"/>
      </w:pPr>
      <w:r w:rsidRPr="00326094">
        <w:t xml:space="preserve">Alignment with the California Workforce Development Board’s Energy and Climate Jobs </w:t>
      </w:r>
      <w:proofErr w:type="gramStart"/>
      <w:r w:rsidRPr="00326094">
        <w:t>initiatives</w:t>
      </w:r>
      <w:r w:rsidRPr="004764F0">
        <w:t>;</w:t>
      </w:r>
      <w:proofErr w:type="gramEnd"/>
    </w:p>
    <w:p w:rsidRPr="00DD4527" w:rsidR="000C1980" w:rsidP="000E5251" w:rsidRDefault="000C1980" w14:paraId="16F080C0" w14:textId="77777777">
      <w:pPr>
        <w:pStyle w:val="ListBullet"/>
      </w:pPr>
      <w:r w:rsidRPr="004F3A73">
        <w:t xml:space="preserve">Alignment of </w:t>
      </w:r>
      <w:r w:rsidRPr="00A65A5E">
        <w:t>Energy Savings Assistance</w:t>
      </w:r>
      <w:r>
        <w:t xml:space="preserve"> (ESA)</w:t>
      </w:r>
      <w:r w:rsidRPr="00736459">
        <w:t xml:space="preserve"> training with </w:t>
      </w:r>
      <w:r w:rsidRPr="003E6A0A">
        <w:t xml:space="preserve">the </w:t>
      </w:r>
      <w:r w:rsidRPr="00D80E2C">
        <w:t>Multi-Craft Core Curriculum</w:t>
      </w:r>
      <w:r w:rsidRPr="00DD4527">
        <w:t>; and</w:t>
      </w:r>
    </w:p>
    <w:p w:rsidRPr="00156F86" w:rsidR="000C1980" w:rsidP="000E5251" w:rsidRDefault="000C1980" w14:paraId="23880D02" w14:textId="6CF1A477">
      <w:pPr>
        <w:pStyle w:val="ListBullet"/>
      </w:pPr>
      <w:r w:rsidRPr="00DD4527">
        <w:t xml:space="preserve">Establishment of formal partnerships between the Utilities, contractors, apprenticeships, and community college programs to better integrate ESA into </w:t>
      </w:r>
      <w:r w:rsidRPr="004764F0">
        <w:t xml:space="preserve">energy efficiency workforce education, as well as </w:t>
      </w:r>
      <w:r w:rsidR="008C36A8">
        <w:t xml:space="preserve">with </w:t>
      </w:r>
      <w:r w:rsidRPr="004764F0">
        <w:t xml:space="preserve">organizations that provide services to assist in developing </w:t>
      </w:r>
      <w:r w:rsidRPr="004F3A73">
        <w:t xml:space="preserve">ESA workers into more advanced positions, and </w:t>
      </w:r>
      <w:r w:rsidR="00C75544">
        <w:t xml:space="preserve">with </w:t>
      </w:r>
      <w:proofErr w:type="gramStart"/>
      <w:r w:rsidRPr="004F3A73">
        <w:t>community based</w:t>
      </w:r>
      <w:proofErr w:type="gramEnd"/>
      <w:r w:rsidRPr="004F3A73">
        <w:t xml:space="preserve"> organizations that provide services to assist those in </w:t>
      </w:r>
      <w:r w:rsidRPr="00156F86" w:rsidR="00156F86">
        <w:t xml:space="preserve">disadvantaged communities </w:t>
      </w:r>
      <w:r w:rsidRPr="00156F86">
        <w:t>or who are underrepresented.</w:t>
      </w:r>
    </w:p>
    <w:p w:rsidRPr="00DD4527" w:rsidR="000C1980" w:rsidP="00815B6D" w:rsidRDefault="000C1980" w14:paraId="3F21A7B0" w14:textId="4C363177">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Southern California Gas Company and San Diego Gas &amp; Electric Company </w:t>
      </w:r>
      <w:r w:rsidR="00156F86">
        <w:rPr>
          <w:szCs w:val="26"/>
        </w:rPr>
        <w:t>must</w:t>
      </w:r>
      <w:r w:rsidRPr="00156F86" w:rsidR="00156F86">
        <w:rPr>
          <w:szCs w:val="26"/>
        </w:rPr>
        <w:t xml:space="preserve"> </w:t>
      </w:r>
      <w:r w:rsidRPr="00156F86">
        <w:rPr>
          <w:szCs w:val="26"/>
        </w:rPr>
        <w:t xml:space="preserve">modify the policy related to background checks for the </w:t>
      </w:r>
      <w:r w:rsidRPr="00A65A5E">
        <w:rPr>
          <w:szCs w:val="26"/>
        </w:rPr>
        <w:t>Energy Savings Assistance</w:t>
      </w:r>
      <w:r w:rsidRPr="00736459">
        <w:rPr>
          <w:szCs w:val="26"/>
        </w:rPr>
        <w:t xml:space="preserve"> program to be consistent with th</w:t>
      </w:r>
      <w:r w:rsidRPr="003E6A0A">
        <w:rPr>
          <w:szCs w:val="26"/>
        </w:rPr>
        <w:t>e current direction for energy efficiency contractors as ordered in Decision</w:t>
      </w:r>
      <w:r w:rsidR="00DE7B9A">
        <w:rPr>
          <w:szCs w:val="26"/>
        </w:rPr>
        <w:t xml:space="preserve"> (D.)</w:t>
      </w:r>
      <w:r w:rsidRPr="003E6A0A">
        <w:rPr>
          <w:szCs w:val="26"/>
        </w:rPr>
        <w:t xml:space="preserve"> 18-10</w:t>
      </w:r>
      <w:r w:rsidRPr="00D80E2C">
        <w:rPr>
          <w:szCs w:val="26"/>
        </w:rPr>
        <w:t>-008 and corrected in D.19</w:t>
      </w:r>
      <w:r w:rsidRPr="00DD4527">
        <w:rPr>
          <w:szCs w:val="26"/>
        </w:rPr>
        <w:noBreakHyphen/>
        <w:t xml:space="preserve">07-016.  </w:t>
      </w:r>
    </w:p>
    <w:p w:rsidRPr="00DD4527" w:rsidR="000C1980" w:rsidP="00815B6D" w:rsidRDefault="000C1980" w14:paraId="092AD8DE" w14:textId="71449861">
      <w:pPr>
        <w:pStyle w:val="OP"/>
        <w:numPr>
          <w:ilvl w:val="0"/>
          <w:numId w:val="24"/>
        </w:numPr>
        <w:tabs>
          <w:tab w:val="left" w:pos="1170"/>
        </w:tabs>
        <w:ind w:left="0" w:firstLine="547"/>
        <w:rPr>
          <w:szCs w:val="26"/>
        </w:rPr>
      </w:pPr>
      <w:r w:rsidRPr="001E6D27">
        <w:rPr>
          <w:szCs w:val="26"/>
        </w:rPr>
        <w:t>Pacific Gas and Electric Company, Southern California Edison Company, Southern California Gas Company and San Diego Gas &amp; Electric Company</w:t>
      </w:r>
      <w:r w:rsidRPr="00736459">
        <w:rPr>
          <w:szCs w:val="26"/>
        </w:rPr>
        <w:t xml:space="preserve"> </w:t>
      </w:r>
      <w:r w:rsidR="00156F86">
        <w:rPr>
          <w:szCs w:val="26"/>
        </w:rPr>
        <w:t>must</w:t>
      </w:r>
      <w:r w:rsidRPr="003E6A0A" w:rsidR="00156F86">
        <w:rPr>
          <w:szCs w:val="26"/>
        </w:rPr>
        <w:t xml:space="preserve"> </w:t>
      </w:r>
      <w:r w:rsidRPr="003E6A0A">
        <w:rPr>
          <w:szCs w:val="26"/>
        </w:rPr>
        <w:t xml:space="preserve">include the following changes in their agreements with </w:t>
      </w:r>
      <w:r w:rsidRPr="00A65A5E" w:rsidR="00DE7B9A">
        <w:rPr>
          <w:szCs w:val="26"/>
        </w:rPr>
        <w:t>Energy Savings Assistance</w:t>
      </w:r>
      <w:r w:rsidRPr="00736459" w:rsidR="00DE7B9A">
        <w:rPr>
          <w:szCs w:val="26"/>
        </w:rPr>
        <w:t xml:space="preserve"> </w:t>
      </w:r>
      <w:r w:rsidR="00DE7B9A">
        <w:rPr>
          <w:szCs w:val="26"/>
        </w:rPr>
        <w:t xml:space="preserve">program </w:t>
      </w:r>
      <w:r w:rsidRPr="003E6A0A">
        <w:rPr>
          <w:szCs w:val="26"/>
        </w:rPr>
        <w:t xml:space="preserve">contractors:  requiring standard term background </w:t>
      </w:r>
      <w:r w:rsidRPr="003E6A0A">
        <w:rPr>
          <w:szCs w:val="26"/>
        </w:rPr>
        <w:lastRenderedPageBreak/>
        <w:t xml:space="preserve">checks of third-party employees or representatives who have direct contact with Utility facilities or assets, and/or access to </w:t>
      </w:r>
      <w:r w:rsidRPr="00DD4527">
        <w:rPr>
          <w:szCs w:val="26"/>
        </w:rPr>
        <w:t>customer premises, where an individual’s court record for the seven</w:t>
      </w:r>
      <w:r w:rsidR="00D9078C">
        <w:rPr>
          <w:szCs w:val="26"/>
        </w:rPr>
        <w:t>-</w:t>
      </w:r>
      <w:r w:rsidRPr="00DD4527">
        <w:rPr>
          <w:szCs w:val="26"/>
        </w:rPr>
        <w:t xml:space="preserve">year period immediately preceding the individual’s date of hire would be considered. </w:t>
      </w:r>
    </w:p>
    <w:p w:rsidRPr="00DD4527" w:rsidR="000C1980" w:rsidP="00815B6D" w:rsidRDefault="000C1980" w14:paraId="49265381" w14:textId="0DCCD39C">
      <w:pPr>
        <w:pStyle w:val="OP"/>
        <w:numPr>
          <w:ilvl w:val="0"/>
          <w:numId w:val="24"/>
        </w:numPr>
        <w:tabs>
          <w:tab w:val="left" w:pos="1170"/>
        </w:tabs>
        <w:ind w:left="0" w:firstLine="547"/>
        <w:rPr>
          <w:szCs w:val="26"/>
        </w:rPr>
      </w:pPr>
      <w:r w:rsidRPr="00DA352C">
        <w:rPr>
          <w:szCs w:val="26"/>
        </w:rPr>
        <w:t xml:space="preserve">Pacific Gas and Electric Company, Southern California Edison Company, Southern California Gas Company and San Diego Gas &amp; Electric Company </w:t>
      </w:r>
      <w:r w:rsidR="000F597D">
        <w:rPr>
          <w:szCs w:val="26"/>
        </w:rPr>
        <w:t>must</w:t>
      </w:r>
      <w:r w:rsidRPr="00DA352C" w:rsidR="000F597D">
        <w:rPr>
          <w:szCs w:val="26"/>
        </w:rPr>
        <w:t xml:space="preserve"> </w:t>
      </w:r>
      <w:r w:rsidRPr="00736459">
        <w:rPr>
          <w:szCs w:val="26"/>
        </w:rPr>
        <w:t xml:space="preserve">perform competitive solicitations for the implementation </w:t>
      </w:r>
      <w:r w:rsidR="00BC77A1">
        <w:t xml:space="preserve">and/or program delivery </w:t>
      </w:r>
      <w:r w:rsidRPr="00736459">
        <w:rPr>
          <w:szCs w:val="26"/>
        </w:rPr>
        <w:t xml:space="preserve">of the </w:t>
      </w:r>
      <w:r w:rsidRPr="00A65A5E">
        <w:rPr>
          <w:szCs w:val="26"/>
        </w:rPr>
        <w:t xml:space="preserve">Energy Savings Assistance </w:t>
      </w:r>
      <w:r w:rsidRPr="003E6A0A">
        <w:rPr>
          <w:szCs w:val="26"/>
        </w:rPr>
        <w:t>program</w:t>
      </w:r>
      <w:r w:rsidRPr="0006225C">
        <w:rPr>
          <w:szCs w:val="26"/>
        </w:rPr>
        <w:t xml:space="preserve">, </w:t>
      </w:r>
      <w:r w:rsidRPr="00DD4527">
        <w:rPr>
          <w:szCs w:val="26"/>
        </w:rPr>
        <w:t>us</w:t>
      </w:r>
      <w:r w:rsidR="00BC77A1">
        <w:rPr>
          <w:szCs w:val="26"/>
        </w:rPr>
        <w:t>ing</w:t>
      </w:r>
      <w:r w:rsidRPr="00DD4527">
        <w:rPr>
          <w:szCs w:val="26"/>
        </w:rPr>
        <w:t xml:space="preserve"> an open competitive bidding process</w:t>
      </w:r>
      <w:r w:rsidR="00AD472A">
        <w:rPr>
          <w:szCs w:val="26"/>
        </w:rPr>
        <w:t>,</w:t>
      </w:r>
      <w:r w:rsidRPr="00AD472A" w:rsidR="00AD472A">
        <w:t xml:space="preserve"> </w:t>
      </w:r>
      <w:r w:rsidR="00AD472A">
        <w:t>as described in this decision</w:t>
      </w:r>
      <w:r w:rsidRPr="00DD4527">
        <w:rPr>
          <w:szCs w:val="26"/>
        </w:rPr>
        <w:t xml:space="preserve">. </w:t>
      </w:r>
    </w:p>
    <w:p w:rsidRPr="00DD4527" w:rsidR="000C1980" w:rsidP="00815B6D" w:rsidRDefault="000C1980" w14:paraId="5E5E5B3F" w14:textId="7B9A6F35">
      <w:pPr>
        <w:pStyle w:val="OP"/>
        <w:numPr>
          <w:ilvl w:val="0"/>
          <w:numId w:val="24"/>
        </w:numPr>
        <w:tabs>
          <w:tab w:val="left" w:pos="1170"/>
        </w:tabs>
        <w:ind w:left="0" w:firstLine="547"/>
        <w:rPr>
          <w:szCs w:val="26"/>
        </w:rPr>
      </w:pPr>
      <w:r w:rsidRPr="00BA2EFD">
        <w:rPr>
          <w:szCs w:val="26"/>
        </w:rPr>
        <w:t xml:space="preserve">Pacific Gas and Electric Company, Southern California Edison Company, Southern California Gas Company and San Diego Gas &amp; Electric Company’s </w:t>
      </w:r>
      <w:r w:rsidRPr="00736459">
        <w:rPr>
          <w:szCs w:val="26"/>
        </w:rPr>
        <w:t>open competitive bidding process</w:t>
      </w:r>
      <w:r w:rsidRPr="003E6A0A">
        <w:rPr>
          <w:szCs w:val="26"/>
        </w:rPr>
        <w:t xml:space="preserve"> for the </w:t>
      </w:r>
      <w:r w:rsidRPr="00A65A5E">
        <w:rPr>
          <w:szCs w:val="26"/>
        </w:rPr>
        <w:t xml:space="preserve">Energy Savings Assistance </w:t>
      </w:r>
      <w:r>
        <w:rPr>
          <w:szCs w:val="26"/>
        </w:rPr>
        <w:t>(</w:t>
      </w:r>
      <w:r w:rsidRPr="00736459">
        <w:rPr>
          <w:szCs w:val="26"/>
        </w:rPr>
        <w:t xml:space="preserve">ESA) program </w:t>
      </w:r>
      <w:r w:rsidR="00E84039">
        <w:t xml:space="preserve">implementation and/or program delivery </w:t>
      </w:r>
      <w:r w:rsidRPr="00736459">
        <w:rPr>
          <w:szCs w:val="26"/>
        </w:rPr>
        <w:t>must include posting request</w:t>
      </w:r>
      <w:r w:rsidR="00DC1C47">
        <w:rPr>
          <w:szCs w:val="26"/>
        </w:rPr>
        <w:t>s</w:t>
      </w:r>
      <w:r w:rsidRPr="00736459">
        <w:rPr>
          <w:szCs w:val="26"/>
        </w:rPr>
        <w:t xml:space="preserve"> for proposals as open to all qualified entities, beyond the existing ESA contractor workforce. </w:t>
      </w:r>
    </w:p>
    <w:p w:rsidRPr="00736459" w:rsidR="000C1980" w:rsidP="00815B6D" w:rsidRDefault="000C1980" w14:paraId="68D2571C" w14:textId="3A19443E">
      <w:pPr>
        <w:pStyle w:val="OP"/>
        <w:numPr>
          <w:ilvl w:val="0"/>
          <w:numId w:val="24"/>
        </w:numPr>
        <w:tabs>
          <w:tab w:val="left" w:pos="1170"/>
        </w:tabs>
        <w:ind w:left="0" w:firstLine="547"/>
        <w:rPr>
          <w:szCs w:val="26"/>
        </w:rPr>
      </w:pPr>
      <w:r w:rsidRPr="00A431F5">
        <w:rPr>
          <w:szCs w:val="26"/>
        </w:rPr>
        <w:t xml:space="preserve">Pacific Gas and Electric Company, Southern California Edison Company, Southern California Gas Company and San Diego Gas &amp; Electric Company </w:t>
      </w:r>
      <w:r w:rsidR="00E36942">
        <w:rPr>
          <w:szCs w:val="26"/>
        </w:rPr>
        <w:t>must</w:t>
      </w:r>
      <w:r w:rsidRPr="00A431F5" w:rsidR="00E36942">
        <w:rPr>
          <w:szCs w:val="26"/>
        </w:rPr>
        <w:t xml:space="preserve"> </w:t>
      </w:r>
      <w:r w:rsidRPr="00A431F5">
        <w:rPr>
          <w:szCs w:val="26"/>
        </w:rPr>
        <w:t xml:space="preserve">jointly communicate to the proceeding service list within 90 days </w:t>
      </w:r>
      <w:r w:rsidRPr="00C47214" w:rsidR="001F06E9">
        <w:t xml:space="preserve">after the approval </w:t>
      </w:r>
      <w:r w:rsidRPr="00A431F5">
        <w:rPr>
          <w:szCs w:val="26"/>
        </w:rPr>
        <w:t>of this decision</w:t>
      </w:r>
      <w:r w:rsidRPr="00E0791B">
        <w:rPr>
          <w:szCs w:val="26"/>
        </w:rPr>
        <w:t xml:space="preserve"> </w:t>
      </w:r>
      <w:proofErr w:type="spellStart"/>
      <w:r>
        <w:rPr>
          <w:szCs w:val="26"/>
        </w:rPr>
        <w:t>i</w:t>
      </w:r>
      <w:proofErr w:type="spellEnd"/>
      <w:r w:rsidRPr="00E0791B">
        <w:rPr>
          <w:szCs w:val="26"/>
        </w:rPr>
        <w:t xml:space="preserve">) </w:t>
      </w:r>
      <w:r w:rsidR="0064395A">
        <w:rPr>
          <w:szCs w:val="26"/>
        </w:rPr>
        <w:t>the</w:t>
      </w:r>
      <w:r w:rsidRPr="00E0791B">
        <w:rPr>
          <w:szCs w:val="26"/>
        </w:rPr>
        <w:t xml:space="preserve"> projected solicitation timing, </w:t>
      </w:r>
      <w:r>
        <w:rPr>
          <w:szCs w:val="26"/>
        </w:rPr>
        <w:t>ii</w:t>
      </w:r>
      <w:r w:rsidRPr="00E0791B">
        <w:rPr>
          <w:szCs w:val="26"/>
        </w:rPr>
        <w:t xml:space="preserve">) an overview of stages/process the solicitation will follow, </w:t>
      </w:r>
      <w:r>
        <w:rPr>
          <w:szCs w:val="26"/>
        </w:rPr>
        <w:t>iii</w:t>
      </w:r>
      <w:r w:rsidRPr="00E0791B">
        <w:rPr>
          <w:szCs w:val="26"/>
        </w:rPr>
        <w:t xml:space="preserve">) the platforms/websites bidders can expect to find, or be alerted of upcoming solicitations, </w:t>
      </w:r>
      <w:r>
        <w:rPr>
          <w:szCs w:val="26"/>
        </w:rPr>
        <w:t>iv</w:t>
      </w:r>
      <w:r w:rsidRPr="00E0791B">
        <w:rPr>
          <w:szCs w:val="26"/>
        </w:rPr>
        <w:t xml:space="preserve">) any other already known contract scope, bidder eligibility requirements, or other information to help potential bidders prepare and </w:t>
      </w:r>
      <w:r>
        <w:rPr>
          <w:szCs w:val="26"/>
        </w:rPr>
        <w:t>v</w:t>
      </w:r>
      <w:r w:rsidRPr="00E0791B">
        <w:rPr>
          <w:szCs w:val="26"/>
        </w:rPr>
        <w:t xml:space="preserve">) whether a </w:t>
      </w:r>
      <w:r w:rsidR="00BD5181">
        <w:t xml:space="preserve">Procurement </w:t>
      </w:r>
      <w:r w:rsidRPr="00736459">
        <w:rPr>
          <w:szCs w:val="26"/>
        </w:rPr>
        <w:t>Review Group and an Indepen</w:t>
      </w:r>
      <w:r w:rsidRPr="00DD4527">
        <w:rPr>
          <w:szCs w:val="26"/>
        </w:rPr>
        <w:t xml:space="preserve">dent Evaluator </w:t>
      </w:r>
      <w:r w:rsidRPr="00E0791B">
        <w:rPr>
          <w:szCs w:val="26"/>
        </w:rPr>
        <w:t xml:space="preserve">will be used </w:t>
      </w:r>
      <w:r>
        <w:rPr>
          <w:szCs w:val="26"/>
        </w:rPr>
        <w:t xml:space="preserve">in the </w:t>
      </w:r>
      <w:r w:rsidRPr="00E0791B">
        <w:rPr>
          <w:szCs w:val="26"/>
        </w:rPr>
        <w:t>solicitation process</w:t>
      </w:r>
      <w:r>
        <w:rPr>
          <w:szCs w:val="26"/>
        </w:rPr>
        <w:t xml:space="preserve">, for all solicitations to be issued for the </w:t>
      </w:r>
      <w:r w:rsidRPr="00A65A5E">
        <w:rPr>
          <w:szCs w:val="26"/>
        </w:rPr>
        <w:t>Energy Savings Assistance</w:t>
      </w:r>
      <w:r>
        <w:rPr>
          <w:szCs w:val="26"/>
        </w:rPr>
        <w:t xml:space="preserve"> program. </w:t>
      </w:r>
      <w:r w:rsidR="0015090D">
        <w:rPr>
          <w:szCs w:val="26"/>
        </w:rPr>
        <w:t>The Utilities</w:t>
      </w:r>
      <w:r w:rsidRPr="0015090D" w:rsidR="0015090D">
        <w:rPr>
          <w:szCs w:val="26"/>
        </w:rPr>
        <w:t xml:space="preserve"> must provide a timely update to the </w:t>
      </w:r>
      <w:r w:rsidRPr="0015090D" w:rsidR="0015090D">
        <w:rPr>
          <w:szCs w:val="26"/>
        </w:rPr>
        <w:lastRenderedPageBreak/>
        <w:t>proceeding service list whenever there are new solicitation opportunities during the program cycle</w:t>
      </w:r>
      <w:r w:rsidR="0015090D">
        <w:rPr>
          <w:szCs w:val="26"/>
        </w:rPr>
        <w:t>.</w:t>
      </w:r>
    </w:p>
    <w:p w:rsidRPr="00736459" w:rsidR="000C1980" w:rsidP="00815B6D" w:rsidRDefault="000C1980" w14:paraId="7AD1F3F4" w14:textId="54257646">
      <w:pPr>
        <w:pStyle w:val="OP"/>
        <w:numPr>
          <w:ilvl w:val="0"/>
          <w:numId w:val="24"/>
        </w:numPr>
        <w:tabs>
          <w:tab w:val="left" w:pos="1170"/>
        </w:tabs>
        <w:ind w:left="0" w:firstLine="547"/>
        <w:rPr>
          <w:szCs w:val="26"/>
        </w:rPr>
      </w:pPr>
      <w:r w:rsidRPr="00A5198F">
        <w:rPr>
          <w:szCs w:val="26"/>
        </w:rPr>
        <w:t xml:space="preserve">Pacific Gas and Electric Company, Southern California Edison Company, Southern California Gas Company and San Diego Gas &amp; Electric Company </w:t>
      </w:r>
      <w:r>
        <w:rPr>
          <w:szCs w:val="26"/>
        </w:rPr>
        <w:t xml:space="preserve">must </w:t>
      </w:r>
      <w:r w:rsidRPr="00A5198F">
        <w:rPr>
          <w:szCs w:val="26"/>
        </w:rPr>
        <w:t>comply with D</w:t>
      </w:r>
      <w:r>
        <w:rPr>
          <w:szCs w:val="26"/>
        </w:rPr>
        <w:t xml:space="preserve">ecision </w:t>
      </w:r>
      <w:r w:rsidRPr="00A5198F">
        <w:rPr>
          <w:szCs w:val="26"/>
        </w:rPr>
        <w:t>18-01-004 Attachment A Standard Contract Terms</w:t>
      </w:r>
      <w:r>
        <w:rPr>
          <w:szCs w:val="26"/>
        </w:rPr>
        <w:t xml:space="preserve"> f</w:t>
      </w:r>
      <w:r w:rsidRPr="00A5198F">
        <w:rPr>
          <w:szCs w:val="26"/>
        </w:rPr>
        <w:t xml:space="preserve">or finalized </w:t>
      </w:r>
      <w:r w:rsidRPr="00A65A5E" w:rsidR="00DF6D85">
        <w:rPr>
          <w:szCs w:val="26"/>
        </w:rPr>
        <w:t>Energy Savings Assistance</w:t>
      </w:r>
      <w:r w:rsidRPr="00736459" w:rsidR="00DF6D85">
        <w:rPr>
          <w:szCs w:val="26"/>
        </w:rPr>
        <w:t xml:space="preserve"> </w:t>
      </w:r>
      <w:r w:rsidR="00DF6D85">
        <w:rPr>
          <w:szCs w:val="26"/>
        </w:rPr>
        <w:t xml:space="preserve">program </w:t>
      </w:r>
      <w:r w:rsidRPr="00A5198F">
        <w:rPr>
          <w:szCs w:val="26"/>
        </w:rPr>
        <w:t>contracts</w:t>
      </w:r>
      <w:r>
        <w:rPr>
          <w:szCs w:val="26"/>
        </w:rPr>
        <w:t>.</w:t>
      </w:r>
    </w:p>
    <w:p w:rsidRPr="00B171D3" w:rsidR="000C1980" w:rsidP="00815B6D" w:rsidRDefault="000C1980" w14:paraId="6388D3B8" w14:textId="1D6B618F">
      <w:pPr>
        <w:pStyle w:val="OP"/>
        <w:numPr>
          <w:ilvl w:val="0"/>
          <w:numId w:val="24"/>
        </w:numPr>
        <w:tabs>
          <w:tab w:val="left" w:pos="1170"/>
        </w:tabs>
        <w:ind w:left="0" w:firstLine="547"/>
        <w:rPr>
          <w:szCs w:val="26"/>
        </w:rPr>
      </w:pPr>
      <w:r w:rsidRPr="00A5198F">
        <w:rPr>
          <w:szCs w:val="26"/>
        </w:rPr>
        <w:t xml:space="preserve">Pacific Gas and Electric Company, Southern California Edison Company, Southern California Gas Company and San Diego Gas &amp; Electric Company </w:t>
      </w:r>
      <w:r w:rsidR="00E91FC0">
        <w:rPr>
          <w:szCs w:val="26"/>
        </w:rPr>
        <w:t xml:space="preserve">must </w:t>
      </w:r>
      <w:r>
        <w:rPr>
          <w:szCs w:val="26"/>
        </w:rPr>
        <w:t xml:space="preserve">include the </w:t>
      </w:r>
      <w:r w:rsidRPr="00B171D3">
        <w:rPr>
          <w:szCs w:val="26"/>
        </w:rPr>
        <w:t>following questions to bidders in any request for proposals which cover</w:t>
      </w:r>
      <w:r w:rsidR="00226186">
        <w:rPr>
          <w:szCs w:val="26"/>
        </w:rPr>
        <w:t>s</w:t>
      </w:r>
      <w:r w:rsidRPr="00B171D3">
        <w:rPr>
          <w:szCs w:val="26"/>
        </w:rPr>
        <w:t xml:space="preserve"> solicitations for the </w:t>
      </w:r>
      <w:r w:rsidRPr="00A65A5E">
        <w:rPr>
          <w:szCs w:val="26"/>
        </w:rPr>
        <w:t xml:space="preserve">Energy Savings Assistance </w:t>
      </w:r>
      <w:r>
        <w:rPr>
          <w:szCs w:val="26"/>
        </w:rPr>
        <w:t>(</w:t>
      </w:r>
      <w:r w:rsidRPr="00B171D3">
        <w:rPr>
          <w:szCs w:val="26"/>
        </w:rPr>
        <w:t xml:space="preserve">ESA) programs’ delivery and/or implementation, including in-home programs and pilots: </w:t>
      </w:r>
    </w:p>
    <w:p w:rsidRPr="00DD4527" w:rsidR="000C1980" w:rsidP="000E5251" w:rsidRDefault="000C1980" w14:paraId="132F3242" w14:textId="697358F0">
      <w:pPr>
        <w:pStyle w:val="ListBullet"/>
      </w:pPr>
      <w:r w:rsidRPr="00736459">
        <w:t>How the E</w:t>
      </w:r>
      <w:r w:rsidRPr="003E6A0A">
        <w:t>SA WE&amp;T objectives described in S</w:t>
      </w:r>
      <w:r w:rsidRPr="0006225C">
        <w:t xml:space="preserve">ection 6.13 </w:t>
      </w:r>
      <w:r w:rsidR="00FA0DA1">
        <w:t>of this decision</w:t>
      </w:r>
      <w:r w:rsidR="00CB7539">
        <w:t xml:space="preserve"> </w:t>
      </w:r>
      <w:r w:rsidRPr="0006225C">
        <w:t>will be met, including the hiring of local and disadvantaged workers, worker training, and career-ladder job development, as well as any new metrics to track these objectives.</w:t>
      </w:r>
    </w:p>
    <w:p w:rsidRPr="00366655" w:rsidR="000C1980" w:rsidP="000E5251" w:rsidRDefault="000C1980" w14:paraId="14A7BD7C" w14:textId="77777777">
      <w:pPr>
        <w:pStyle w:val="ListBullet"/>
      </w:pPr>
      <w:r w:rsidRPr="00DD4527">
        <w:t xml:space="preserve">Where applicable, a payment term structure that reflects the program design shift away from </w:t>
      </w:r>
      <w:proofErr w:type="gramStart"/>
      <w:r w:rsidRPr="00DD4527">
        <w:t>a number of</w:t>
      </w:r>
      <w:proofErr w:type="gramEnd"/>
      <w:r w:rsidRPr="00DD4527">
        <w:t xml:space="preserve"> homes treated goal to the portfolio energy savings goal, including deeper energy savings per household</w:t>
      </w:r>
      <w:r w:rsidRPr="004764F0">
        <w:t>.</w:t>
      </w:r>
    </w:p>
    <w:p w:rsidR="000C1980" w:rsidP="000E5251" w:rsidRDefault="000C1980" w14:paraId="021CF7AC" w14:textId="77777777">
      <w:pPr>
        <w:pStyle w:val="ListBullet"/>
      </w:pPr>
      <w:r w:rsidRPr="4FC83D76">
        <w:t>How to provide q</w:t>
      </w:r>
      <w:r w:rsidRPr="007B182D">
        <w:t xml:space="preserve">uality of service to </w:t>
      </w:r>
      <w:r w:rsidRPr="4FC83D76">
        <w:t xml:space="preserve">the </w:t>
      </w:r>
      <w:r w:rsidRPr="007B182D">
        <w:t xml:space="preserve">customer, including managing customer expectations on what </w:t>
      </w:r>
      <w:r>
        <w:t>measures</w:t>
      </w:r>
      <w:r w:rsidRPr="007B182D">
        <w:t xml:space="preserve">/benefits they will receive </w:t>
      </w:r>
      <w:r>
        <w:t>at what program phase.</w:t>
      </w:r>
      <w:r w:rsidRPr="007B182D">
        <w:t xml:space="preserve"> </w:t>
      </w:r>
    </w:p>
    <w:p w:rsidRPr="00DD4527" w:rsidR="000C1980" w:rsidP="000E5251" w:rsidRDefault="000C1980" w14:paraId="2C5628C0" w14:textId="77777777">
      <w:pPr>
        <w:pStyle w:val="ListBullet"/>
      </w:pPr>
      <w:r w:rsidRPr="00736459">
        <w:t>How community input will be incorporated to develop ideas that increase customer willingness to participate, are</w:t>
      </w:r>
      <w:r w:rsidRPr="00DD4527">
        <w:t xml:space="preserve"> practical to implement, and will result in high quality of service from the customer’s perspective.</w:t>
      </w:r>
    </w:p>
    <w:p w:rsidRPr="00C2083F" w:rsidR="000C1980" w:rsidP="00815B6D" w:rsidRDefault="000C1980" w14:paraId="65526AD8" w14:textId="53B6072F">
      <w:pPr>
        <w:pStyle w:val="OP"/>
        <w:numPr>
          <w:ilvl w:val="0"/>
          <w:numId w:val="24"/>
        </w:numPr>
        <w:tabs>
          <w:tab w:val="left" w:pos="1170"/>
        </w:tabs>
        <w:ind w:left="0" w:firstLine="547"/>
        <w:rPr>
          <w:szCs w:val="26"/>
        </w:rPr>
      </w:pPr>
      <w:r w:rsidRPr="00736459">
        <w:rPr>
          <w:szCs w:val="26"/>
        </w:rPr>
        <w:t xml:space="preserve">Pacific Gas and Electric Company, Southern California Edison Company, Southern California Gas Company and San Diego Gas &amp; Electric </w:t>
      </w:r>
      <w:r w:rsidRPr="00736459">
        <w:rPr>
          <w:szCs w:val="26"/>
        </w:rPr>
        <w:lastRenderedPageBreak/>
        <w:t>Company</w:t>
      </w:r>
      <w:r w:rsidRPr="00827D49">
        <w:rPr>
          <w:szCs w:val="26"/>
        </w:rPr>
        <w:t xml:space="preserve">’s </w:t>
      </w:r>
      <w:r w:rsidRPr="00A65A5E">
        <w:rPr>
          <w:szCs w:val="26"/>
        </w:rPr>
        <w:t>Energy Savings Assistance</w:t>
      </w:r>
      <w:r w:rsidRPr="00736459">
        <w:rPr>
          <w:szCs w:val="26"/>
        </w:rPr>
        <w:t xml:space="preserve"> </w:t>
      </w:r>
      <w:r w:rsidR="005B3D12">
        <w:rPr>
          <w:szCs w:val="26"/>
        </w:rPr>
        <w:t xml:space="preserve">(ESA) </w:t>
      </w:r>
      <w:r w:rsidRPr="00736459">
        <w:rPr>
          <w:szCs w:val="26"/>
        </w:rPr>
        <w:t xml:space="preserve">program </w:t>
      </w:r>
      <w:r w:rsidRPr="00827D49">
        <w:rPr>
          <w:szCs w:val="26"/>
        </w:rPr>
        <w:t xml:space="preserve">administrative </w:t>
      </w:r>
      <w:r w:rsidRPr="0006225C">
        <w:rPr>
          <w:szCs w:val="26"/>
        </w:rPr>
        <w:t>expenses are capped at e</w:t>
      </w:r>
      <w:r w:rsidRPr="00D80E2C">
        <w:rPr>
          <w:szCs w:val="26"/>
        </w:rPr>
        <w:t xml:space="preserve">ither 10 percent of total program costs, or the </w:t>
      </w:r>
      <w:r w:rsidRPr="00DD4527">
        <w:rPr>
          <w:szCs w:val="26"/>
        </w:rPr>
        <w:t>Utility’s historical five-year average spend on administrative costs as a percentage of total program costs, whichever is greater.  The use of the historical five-year average spend will be phased out such that the Utilities must propose to spend no</w:t>
      </w:r>
      <w:r w:rsidRPr="004764F0">
        <w:rPr>
          <w:szCs w:val="26"/>
        </w:rPr>
        <w:t xml:space="preserve"> more than 10 percent of total program costs on administrative costs starting in program year 2024. </w:t>
      </w:r>
      <w:r w:rsidR="005B3D12">
        <w:rPr>
          <w:szCs w:val="26"/>
        </w:rPr>
        <w:t>The</w:t>
      </w:r>
      <w:r w:rsidRPr="005B3D12" w:rsidR="005B3D12">
        <w:rPr>
          <w:szCs w:val="26"/>
        </w:rPr>
        <w:t xml:space="preserve"> definition and categorization of administrative cost for the ESA program </w:t>
      </w:r>
      <w:r w:rsidR="005B3D12">
        <w:rPr>
          <w:szCs w:val="26"/>
        </w:rPr>
        <w:t>will</w:t>
      </w:r>
      <w:r w:rsidRPr="005B3D12" w:rsidR="005B3D12">
        <w:rPr>
          <w:szCs w:val="26"/>
        </w:rPr>
        <w:t xml:space="preserve"> be consistent with that of the main energy efficiency program</w:t>
      </w:r>
      <w:r w:rsidR="005B3D12">
        <w:rPr>
          <w:szCs w:val="26"/>
        </w:rPr>
        <w:t>.</w:t>
      </w:r>
    </w:p>
    <w:p w:rsidRPr="00E36942" w:rsidR="000C1980" w:rsidP="00815B6D" w:rsidRDefault="000C1980" w14:paraId="608F6C61" w14:textId="63989CD3">
      <w:pPr>
        <w:pStyle w:val="OP"/>
        <w:numPr>
          <w:ilvl w:val="0"/>
          <w:numId w:val="24"/>
        </w:numPr>
        <w:tabs>
          <w:tab w:val="left" w:pos="1170"/>
        </w:tabs>
        <w:ind w:left="0" w:firstLine="547"/>
        <w:rPr>
          <w:szCs w:val="26"/>
        </w:rPr>
      </w:pPr>
      <w:r w:rsidRPr="00736459">
        <w:rPr>
          <w:szCs w:val="26"/>
        </w:rPr>
        <w:t xml:space="preserve">Pacific Gas and Electric Company, Southern California Edison Company, Southern California Gas Company and San Diego Gas &amp; Electric Company </w:t>
      </w:r>
      <w:r w:rsidR="004F3A73">
        <w:rPr>
          <w:szCs w:val="26"/>
        </w:rPr>
        <w:t>must</w:t>
      </w:r>
      <w:r w:rsidRPr="00DD4527" w:rsidR="004F3A73">
        <w:rPr>
          <w:szCs w:val="26"/>
        </w:rPr>
        <w:t xml:space="preserve"> </w:t>
      </w:r>
      <w:r w:rsidRPr="00DD4527">
        <w:rPr>
          <w:szCs w:val="26"/>
        </w:rPr>
        <w:t xml:space="preserve">use all unspent and uncommitted </w:t>
      </w:r>
      <w:r w:rsidRPr="00A65A5E" w:rsidR="00A8257D">
        <w:rPr>
          <w:szCs w:val="26"/>
        </w:rPr>
        <w:t>Energy Savings Assistance</w:t>
      </w:r>
      <w:r w:rsidRPr="00736459" w:rsidR="00A8257D">
        <w:rPr>
          <w:szCs w:val="26"/>
        </w:rPr>
        <w:t xml:space="preserve"> </w:t>
      </w:r>
      <w:r w:rsidR="00A8257D">
        <w:rPr>
          <w:szCs w:val="26"/>
        </w:rPr>
        <w:t xml:space="preserve">program </w:t>
      </w:r>
      <w:r w:rsidRPr="00DD4527">
        <w:rPr>
          <w:szCs w:val="26"/>
        </w:rPr>
        <w:t>funds remaining at the end of the 2020 program cycle</w:t>
      </w:r>
      <w:r w:rsidRPr="004764F0">
        <w:rPr>
          <w:szCs w:val="26"/>
        </w:rPr>
        <w:t xml:space="preserve"> </w:t>
      </w:r>
      <w:r w:rsidRPr="00E36942">
        <w:rPr>
          <w:szCs w:val="26"/>
        </w:rPr>
        <w:t xml:space="preserve">and the 2021 bridge period to offset future collections.  </w:t>
      </w:r>
    </w:p>
    <w:p w:rsidRPr="003177C1" w:rsidR="000C1980" w:rsidP="00815B6D" w:rsidRDefault="000C1980" w14:paraId="793DB853" w14:textId="1CAAA303">
      <w:pPr>
        <w:pStyle w:val="OP"/>
        <w:numPr>
          <w:ilvl w:val="0"/>
          <w:numId w:val="24"/>
        </w:numPr>
        <w:tabs>
          <w:tab w:val="left" w:pos="1170"/>
        </w:tabs>
        <w:ind w:left="0" w:firstLine="547"/>
        <w:rPr>
          <w:szCs w:val="26"/>
        </w:rPr>
      </w:pPr>
      <w:r w:rsidRPr="0015090D">
        <w:rPr>
          <w:szCs w:val="26"/>
        </w:rPr>
        <w:t xml:space="preserve">Pacific Gas and Electric Company, Southern California Edison Company, Southern California Gas Company and </w:t>
      </w:r>
      <w:r w:rsidRPr="004F3A73">
        <w:rPr>
          <w:szCs w:val="26"/>
        </w:rPr>
        <w:t xml:space="preserve">San Diego Gas &amp; Electric Company </w:t>
      </w:r>
      <w:r w:rsidR="004F3A73">
        <w:rPr>
          <w:szCs w:val="26"/>
        </w:rPr>
        <w:t>must</w:t>
      </w:r>
      <w:r w:rsidRPr="004F3A73" w:rsidR="004F3A73">
        <w:rPr>
          <w:szCs w:val="26"/>
        </w:rPr>
        <w:t xml:space="preserve"> </w:t>
      </w:r>
      <w:r w:rsidRPr="004F3A73">
        <w:rPr>
          <w:szCs w:val="26"/>
        </w:rPr>
        <w:t xml:space="preserve">annually carry over any unspent and uncommitted </w:t>
      </w:r>
      <w:r w:rsidRPr="00A65A5E" w:rsidR="00A8257D">
        <w:rPr>
          <w:szCs w:val="26"/>
        </w:rPr>
        <w:t>Energy Savings Assistance</w:t>
      </w:r>
      <w:r w:rsidRPr="00736459" w:rsidR="00A8257D">
        <w:rPr>
          <w:szCs w:val="26"/>
        </w:rPr>
        <w:t xml:space="preserve"> </w:t>
      </w:r>
      <w:r w:rsidR="00A8257D">
        <w:rPr>
          <w:szCs w:val="26"/>
        </w:rPr>
        <w:t xml:space="preserve">program </w:t>
      </w:r>
      <w:r w:rsidRPr="004F3A73">
        <w:rPr>
          <w:szCs w:val="26"/>
        </w:rPr>
        <w:t xml:space="preserve">funds remaining at the end of each year </w:t>
      </w:r>
      <w:r w:rsidR="006F6DF6">
        <w:rPr>
          <w:szCs w:val="26"/>
        </w:rPr>
        <w:t xml:space="preserve">and apply </w:t>
      </w:r>
      <w:r w:rsidRPr="004F3A73">
        <w:rPr>
          <w:szCs w:val="26"/>
        </w:rPr>
        <w:t xml:space="preserve">to offset </w:t>
      </w:r>
      <w:r w:rsidRPr="00247102">
        <w:rPr>
          <w:szCs w:val="26"/>
        </w:rPr>
        <w:t xml:space="preserve">the next year’s </w:t>
      </w:r>
      <w:r w:rsidRPr="00F44120">
        <w:rPr>
          <w:szCs w:val="26"/>
        </w:rPr>
        <w:t xml:space="preserve">collections.  </w:t>
      </w:r>
    </w:p>
    <w:p w:rsidRPr="00B171D3" w:rsidR="000C1980" w:rsidP="00815B6D" w:rsidRDefault="000C1980" w14:paraId="4FD5485B" w14:textId="11843B5D">
      <w:pPr>
        <w:pStyle w:val="OP"/>
        <w:numPr>
          <w:ilvl w:val="0"/>
          <w:numId w:val="24"/>
        </w:numPr>
        <w:tabs>
          <w:tab w:val="left" w:pos="1170"/>
        </w:tabs>
        <w:ind w:left="0" w:firstLine="547"/>
        <w:rPr>
          <w:szCs w:val="26"/>
        </w:rPr>
      </w:pPr>
      <w:r w:rsidRPr="00054B32">
        <w:rPr>
          <w:szCs w:val="26"/>
        </w:rPr>
        <w:t>Pacific Gas and Electric Company, Southern California Edison Company, Southern Californi</w:t>
      </w:r>
      <w:r w:rsidRPr="009C5F77">
        <w:rPr>
          <w:szCs w:val="26"/>
        </w:rPr>
        <w:t xml:space="preserve">a Gas Company and San Diego Gas &amp; Electric Company </w:t>
      </w:r>
      <w:r w:rsidR="004F3A73">
        <w:rPr>
          <w:szCs w:val="26"/>
        </w:rPr>
        <w:t>must</w:t>
      </w:r>
      <w:r w:rsidRPr="004F3A73" w:rsidR="004F3A73">
        <w:rPr>
          <w:szCs w:val="26"/>
        </w:rPr>
        <w:t xml:space="preserve"> </w:t>
      </w:r>
      <w:r w:rsidRPr="004F3A73">
        <w:rPr>
          <w:szCs w:val="26"/>
        </w:rPr>
        <w:t>submit a joint Tier 2 advice letter filing</w:t>
      </w:r>
      <w:r w:rsidR="00C043AF">
        <w:rPr>
          <w:szCs w:val="26"/>
        </w:rPr>
        <w:t>,</w:t>
      </w:r>
      <w:r w:rsidRPr="00C043AF" w:rsidR="00C043AF">
        <w:rPr>
          <w:rFonts w:cs="TimesNewRomanPSMT"/>
        </w:rPr>
        <w:t xml:space="preserve"> </w:t>
      </w:r>
      <w:r w:rsidR="00C043AF">
        <w:rPr>
          <w:rFonts w:cs="TimesNewRomanPSMT"/>
        </w:rPr>
        <w:t>per Attachment 3,</w:t>
      </w:r>
      <w:r w:rsidR="00D80EFE">
        <w:rPr>
          <w:rFonts w:cs="TimesNewRomanPSMT"/>
        </w:rPr>
        <w:t xml:space="preserve"> </w:t>
      </w:r>
      <w:r w:rsidRPr="004F3A73">
        <w:rPr>
          <w:szCs w:val="26"/>
        </w:rPr>
        <w:t xml:space="preserve">within </w:t>
      </w:r>
      <w:r w:rsidR="00677C76">
        <w:rPr>
          <w:szCs w:val="26"/>
        </w:rPr>
        <w:t>90</w:t>
      </w:r>
      <w:r w:rsidRPr="004F3A73" w:rsidR="00677C76">
        <w:rPr>
          <w:szCs w:val="26"/>
        </w:rPr>
        <w:t xml:space="preserve"> </w:t>
      </w:r>
      <w:r w:rsidRPr="004F3A73">
        <w:rPr>
          <w:szCs w:val="26"/>
        </w:rPr>
        <w:t xml:space="preserve">days </w:t>
      </w:r>
      <w:r w:rsidRPr="00C47214" w:rsidR="001F06E9">
        <w:t xml:space="preserve">after the approval </w:t>
      </w:r>
      <w:r w:rsidRPr="004F3A73">
        <w:rPr>
          <w:szCs w:val="26"/>
        </w:rPr>
        <w:t xml:space="preserve">of this </w:t>
      </w:r>
      <w:r w:rsidRPr="00E51BDB">
        <w:rPr>
          <w:szCs w:val="26"/>
        </w:rPr>
        <w:t xml:space="preserve">decision to </w:t>
      </w:r>
      <w:proofErr w:type="spellStart"/>
      <w:r w:rsidRPr="00E51BDB">
        <w:rPr>
          <w:szCs w:val="26"/>
        </w:rPr>
        <w:t>i</w:t>
      </w:r>
      <w:proofErr w:type="spellEnd"/>
      <w:r w:rsidRPr="00E51BDB">
        <w:rPr>
          <w:szCs w:val="26"/>
        </w:rPr>
        <w:t xml:space="preserve">) identify which set of </w:t>
      </w:r>
      <w:r w:rsidRPr="00E51BDB" w:rsidR="00D80EFE">
        <w:rPr>
          <w:szCs w:val="26"/>
        </w:rPr>
        <w:t>Energy Savings Assistance (ESA)</w:t>
      </w:r>
      <w:r w:rsidR="00E51BDB">
        <w:rPr>
          <w:szCs w:val="26"/>
        </w:rPr>
        <w:t xml:space="preserve"> </w:t>
      </w:r>
      <w:r w:rsidRPr="00E51BDB" w:rsidR="00D80EFE">
        <w:rPr>
          <w:szCs w:val="26"/>
        </w:rPr>
        <w:t xml:space="preserve">program </w:t>
      </w:r>
      <w:r w:rsidRPr="00E51BDB">
        <w:rPr>
          <w:szCs w:val="26"/>
        </w:rPr>
        <w:t>measures will be part of the “basic” offerings</w:t>
      </w:r>
      <w:r w:rsidRPr="00736459">
        <w:rPr>
          <w:szCs w:val="26"/>
        </w:rPr>
        <w:t>, ii) </w:t>
      </w:r>
      <w:r w:rsidRPr="00DD4527">
        <w:rPr>
          <w:szCs w:val="26"/>
        </w:rPr>
        <w:t xml:space="preserve">identify the common set of measures within each treatment tier, iii) detail </w:t>
      </w:r>
      <w:r w:rsidRPr="004764F0">
        <w:rPr>
          <w:szCs w:val="26"/>
        </w:rPr>
        <w:t>what level of treatment will be provided to which customer segments</w:t>
      </w:r>
      <w:r w:rsidRPr="00E36942">
        <w:rPr>
          <w:szCs w:val="26"/>
        </w:rPr>
        <w:t>, iv) </w:t>
      </w:r>
      <w:r w:rsidRPr="004F3A73">
        <w:rPr>
          <w:szCs w:val="26"/>
        </w:rPr>
        <w:t xml:space="preserve">propose a consistent statewide definition for low, medium, and high usage </w:t>
      </w:r>
      <w:r w:rsidRPr="00C043AF">
        <w:rPr>
          <w:szCs w:val="26"/>
        </w:rPr>
        <w:lastRenderedPageBreak/>
        <w:t>customers</w:t>
      </w:r>
      <w:r w:rsidRPr="00560506">
        <w:rPr>
          <w:szCs w:val="26"/>
        </w:rPr>
        <w:t xml:space="preserve">, </w:t>
      </w:r>
      <w:r w:rsidR="004E7D8A">
        <w:rPr>
          <w:szCs w:val="26"/>
        </w:rPr>
        <w:t xml:space="preserve">and </w:t>
      </w:r>
      <w:r w:rsidRPr="00560506">
        <w:rPr>
          <w:szCs w:val="26"/>
        </w:rPr>
        <w:t>v) complete the review of the measure mix using the 0.30 ESACET criteria and identify the ESACET results</w:t>
      </w:r>
      <w:r w:rsidRPr="004E7D8A">
        <w:rPr>
          <w:szCs w:val="26"/>
        </w:rPr>
        <w:t xml:space="preserve">.  </w:t>
      </w:r>
    </w:p>
    <w:p w:rsidRPr="00247102" w:rsidR="000C1980" w:rsidP="00815B6D" w:rsidRDefault="000C1980" w14:paraId="44459CCE" w14:textId="4DA222A6">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Southern California Gas Company and San Diego Gas &amp; Electric Company’s </w:t>
      </w:r>
      <w:r w:rsidR="00C043AF">
        <w:rPr>
          <w:szCs w:val="26"/>
        </w:rPr>
        <w:t>must</w:t>
      </w:r>
      <w:r w:rsidRPr="00C043AF" w:rsidR="00C043AF">
        <w:rPr>
          <w:szCs w:val="26"/>
        </w:rPr>
        <w:t xml:space="preserve"> </w:t>
      </w:r>
      <w:r w:rsidR="004F6B25">
        <w:t xml:space="preserve">develop a competitive solicitation for </w:t>
      </w:r>
      <w:r w:rsidRPr="00C043AF">
        <w:rPr>
          <w:szCs w:val="26"/>
        </w:rPr>
        <w:t xml:space="preserve">the implementation, delivery, and certain design aspects of the multifamily whole building program </w:t>
      </w:r>
      <w:r w:rsidR="00F97479">
        <w:rPr>
          <w:szCs w:val="26"/>
        </w:rPr>
        <w:t>by</w:t>
      </w:r>
      <w:r w:rsidRPr="00C043AF">
        <w:rPr>
          <w:szCs w:val="26"/>
        </w:rPr>
        <w:t xml:space="preserve"> a third-party, using a single-stage solicitation process with two-step selection that will include the use of a </w:t>
      </w:r>
      <w:r w:rsidR="00D52C5F">
        <w:t xml:space="preserve">Procurement </w:t>
      </w:r>
      <w:r w:rsidRPr="00C043AF">
        <w:rPr>
          <w:szCs w:val="26"/>
        </w:rPr>
        <w:t xml:space="preserve">Review Group and an Independent Evaluator.  </w:t>
      </w:r>
    </w:p>
    <w:p w:rsidRPr="0006225C" w:rsidR="000C1980" w:rsidP="00815B6D" w:rsidRDefault="000C1980" w14:paraId="3D9D6B32" w14:textId="38B85D4F">
      <w:pPr>
        <w:pStyle w:val="OP"/>
        <w:numPr>
          <w:ilvl w:val="0"/>
          <w:numId w:val="24"/>
        </w:numPr>
        <w:tabs>
          <w:tab w:val="left" w:pos="1170"/>
        </w:tabs>
        <w:ind w:left="0" w:firstLine="547"/>
        <w:rPr>
          <w:szCs w:val="26"/>
        </w:rPr>
      </w:pPr>
      <w:r w:rsidRPr="00054B32">
        <w:rPr>
          <w:szCs w:val="26"/>
        </w:rPr>
        <w:t>Pacific Gas and Electric Company, Southern California Edison Company, Southern California Gas Company and San Diego Gas &amp; Electric Comp</w:t>
      </w:r>
      <w:r w:rsidRPr="009C5F77">
        <w:rPr>
          <w:szCs w:val="26"/>
        </w:rPr>
        <w:t>any</w:t>
      </w:r>
      <w:r w:rsidRPr="000503CA">
        <w:rPr>
          <w:szCs w:val="26"/>
        </w:rPr>
        <w:t xml:space="preserve"> </w:t>
      </w:r>
      <w:r w:rsidR="00560506">
        <w:rPr>
          <w:szCs w:val="26"/>
        </w:rPr>
        <w:t>must</w:t>
      </w:r>
      <w:r w:rsidRPr="00560506" w:rsidR="00560506">
        <w:rPr>
          <w:szCs w:val="26"/>
        </w:rPr>
        <w:t xml:space="preserve"> </w:t>
      </w:r>
      <w:r w:rsidRPr="00560506">
        <w:rPr>
          <w:szCs w:val="26"/>
        </w:rPr>
        <w:t>maintain an active role in the multifamily whole building program design,  provide minimum requirements and direction in the solicitation phase (rather than leaving all design aspects up to the bidder), and work with the contracted third party up</w:t>
      </w:r>
      <w:r w:rsidRPr="00247102">
        <w:rPr>
          <w:szCs w:val="26"/>
        </w:rPr>
        <w:t xml:space="preserve">on completion of the competitive solicitation phase to develop a design that is in full compliance with this decision, in particular adhering to cost-effectiveness guidelines and the </w:t>
      </w:r>
      <w:r w:rsidRPr="00A65A5E">
        <w:rPr>
          <w:szCs w:val="26"/>
        </w:rPr>
        <w:t>Energy Savings Assistance</w:t>
      </w:r>
      <w:r w:rsidRPr="00736459">
        <w:rPr>
          <w:szCs w:val="26"/>
        </w:rPr>
        <w:t xml:space="preserve"> </w:t>
      </w:r>
      <w:r w:rsidR="00641C48">
        <w:rPr>
          <w:szCs w:val="26"/>
        </w:rPr>
        <w:t xml:space="preserve">program </w:t>
      </w:r>
      <w:r w:rsidRPr="00736459">
        <w:rPr>
          <w:szCs w:val="26"/>
        </w:rPr>
        <w:t xml:space="preserve">portfolio goals. </w:t>
      </w:r>
    </w:p>
    <w:p w:rsidRPr="00431408" w:rsidR="000C1980" w:rsidP="00815B6D" w:rsidRDefault="000C1980" w14:paraId="5B262744" w14:textId="60181BA3">
      <w:pPr>
        <w:pStyle w:val="OP"/>
        <w:numPr>
          <w:ilvl w:val="0"/>
          <w:numId w:val="24"/>
        </w:numPr>
        <w:tabs>
          <w:tab w:val="left" w:pos="1170"/>
        </w:tabs>
        <w:ind w:left="0" w:firstLine="547"/>
        <w:rPr>
          <w:szCs w:val="26"/>
        </w:rPr>
      </w:pPr>
      <w:r w:rsidRPr="00DD4527">
        <w:rPr>
          <w:szCs w:val="26"/>
        </w:rPr>
        <w:t>Pacific Gas and Electric Company, Southern California Edison Company, Southern California Gas Company and San Diego Gas &amp; Electric Company’s multifamily whole building program</w:t>
      </w:r>
      <w:r w:rsidR="005D6C8D">
        <w:rPr>
          <w:szCs w:val="26"/>
        </w:rPr>
        <w:t>s</w:t>
      </w:r>
      <w:r w:rsidRPr="004764F0">
        <w:rPr>
          <w:szCs w:val="26"/>
        </w:rPr>
        <w:t xml:space="preserve"> </w:t>
      </w:r>
      <w:r w:rsidR="00641C48">
        <w:rPr>
          <w:szCs w:val="26"/>
        </w:rPr>
        <w:t>must</w:t>
      </w:r>
      <w:r w:rsidRPr="00E36942" w:rsidR="00641C48">
        <w:rPr>
          <w:szCs w:val="26"/>
        </w:rPr>
        <w:t xml:space="preserve"> </w:t>
      </w:r>
      <w:r w:rsidR="005D6C8D">
        <w:rPr>
          <w:szCs w:val="26"/>
        </w:rPr>
        <w:t xml:space="preserve">each </w:t>
      </w:r>
      <w:r w:rsidRPr="00E36942">
        <w:rPr>
          <w:szCs w:val="26"/>
        </w:rPr>
        <w:t>work towards maximizing a building’s demand response technologies, greenhouse gas reduction, water</w:t>
      </w:r>
      <w:r w:rsidR="00677C76">
        <w:rPr>
          <w:szCs w:val="26"/>
        </w:rPr>
        <w:t xml:space="preserve"> </w:t>
      </w:r>
      <w:r w:rsidRPr="004F3A73">
        <w:rPr>
          <w:szCs w:val="26"/>
        </w:rPr>
        <w:t xml:space="preserve">energy nexus, and the health, comfort, and safety of tenants.  The Utilities </w:t>
      </w:r>
      <w:r w:rsidR="00641C48">
        <w:rPr>
          <w:szCs w:val="26"/>
        </w:rPr>
        <w:t>must</w:t>
      </w:r>
      <w:r w:rsidRPr="004F3A73" w:rsidR="00641C48">
        <w:rPr>
          <w:szCs w:val="26"/>
        </w:rPr>
        <w:t xml:space="preserve"> </w:t>
      </w:r>
      <w:r w:rsidRPr="004F3A73">
        <w:rPr>
          <w:szCs w:val="26"/>
        </w:rPr>
        <w:t xml:space="preserve">include these program considerations </w:t>
      </w:r>
      <w:r w:rsidRPr="00641C48">
        <w:rPr>
          <w:szCs w:val="26"/>
        </w:rPr>
        <w:t>into the multifamily whole building solicitation process.</w:t>
      </w:r>
    </w:p>
    <w:p w:rsidRPr="00247102" w:rsidR="000C1980" w:rsidP="00815B6D" w:rsidRDefault="000C1980" w14:paraId="61BD4E31" w14:textId="4660F963">
      <w:pPr>
        <w:pStyle w:val="OP"/>
        <w:numPr>
          <w:ilvl w:val="0"/>
          <w:numId w:val="24"/>
        </w:numPr>
        <w:tabs>
          <w:tab w:val="left" w:pos="1170"/>
        </w:tabs>
        <w:ind w:left="0" w:firstLine="547"/>
        <w:rPr>
          <w:szCs w:val="26"/>
        </w:rPr>
      </w:pPr>
      <w:r w:rsidRPr="00247102">
        <w:rPr>
          <w:szCs w:val="26"/>
        </w:rPr>
        <w:lastRenderedPageBreak/>
        <w:t>Pacific Gas and Electric Company, Southern California Edison Company, Southern Ca</w:t>
      </w:r>
      <w:r w:rsidRPr="00054B32">
        <w:rPr>
          <w:szCs w:val="26"/>
        </w:rPr>
        <w:t>lifornia Gas Company and San Diego Gas &amp; Electric Company</w:t>
      </w:r>
      <w:r w:rsidRPr="009C5F77">
        <w:rPr>
          <w:szCs w:val="26"/>
        </w:rPr>
        <w:t xml:space="preserve">’s final </w:t>
      </w:r>
      <w:r w:rsidRPr="000503CA">
        <w:rPr>
          <w:szCs w:val="26"/>
        </w:rPr>
        <w:t xml:space="preserve">multifamily whole building program </w:t>
      </w:r>
      <w:r w:rsidR="00641C48">
        <w:rPr>
          <w:szCs w:val="26"/>
        </w:rPr>
        <w:t>must</w:t>
      </w:r>
      <w:r w:rsidRPr="00641C48" w:rsidR="00641C48">
        <w:rPr>
          <w:szCs w:val="26"/>
        </w:rPr>
        <w:t xml:space="preserve"> </w:t>
      </w:r>
      <w:r w:rsidRPr="00641C48">
        <w:rPr>
          <w:szCs w:val="26"/>
        </w:rPr>
        <w:t>include all multifamily sector services (in unit, common area measures and whole building measures) to be implemented by a non-utility, third-party.</w:t>
      </w:r>
    </w:p>
    <w:p w:rsidRPr="009432EF" w:rsidR="000C1980" w:rsidP="00815B6D" w:rsidRDefault="000C1980" w14:paraId="261E4C0A" w14:textId="6819F43D">
      <w:pPr>
        <w:pStyle w:val="OP"/>
        <w:numPr>
          <w:ilvl w:val="0"/>
          <w:numId w:val="24"/>
        </w:numPr>
        <w:tabs>
          <w:tab w:val="left" w:pos="1170"/>
        </w:tabs>
        <w:ind w:left="0" w:firstLine="547"/>
        <w:rPr>
          <w:szCs w:val="26"/>
        </w:rPr>
      </w:pPr>
      <w:r w:rsidRPr="009432EF">
        <w:rPr>
          <w:szCs w:val="26"/>
        </w:rPr>
        <w:t>Pacific Gas and Electric Company</w:t>
      </w:r>
      <w:r w:rsidR="00B445AD">
        <w:rPr>
          <w:szCs w:val="26"/>
        </w:rPr>
        <w:t xml:space="preserve"> (PG&amp;E)</w:t>
      </w:r>
      <w:r w:rsidRPr="009432EF">
        <w:rPr>
          <w:szCs w:val="26"/>
        </w:rPr>
        <w:t>, Southern California Edison Company</w:t>
      </w:r>
      <w:r w:rsidR="00B445AD">
        <w:rPr>
          <w:szCs w:val="26"/>
        </w:rPr>
        <w:t xml:space="preserve"> (SCE)</w:t>
      </w:r>
      <w:r w:rsidRPr="009432EF">
        <w:rPr>
          <w:szCs w:val="26"/>
        </w:rPr>
        <w:t xml:space="preserve">, Southern California Gas Company </w:t>
      </w:r>
      <w:r w:rsidR="00B445AD">
        <w:rPr>
          <w:szCs w:val="26"/>
        </w:rPr>
        <w:t xml:space="preserve">(SoCalGas) </w:t>
      </w:r>
      <w:r w:rsidRPr="009432EF">
        <w:rPr>
          <w:szCs w:val="26"/>
        </w:rPr>
        <w:t xml:space="preserve">and San Diego Gas &amp; Electric Company </w:t>
      </w:r>
      <w:r w:rsidR="00B445AD">
        <w:rPr>
          <w:szCs w:val="26"/>
        </w:rPr>
        <w:t xml:space="preserve">(SDG&amp;E) </w:t>
      </w:r>
      <w:r w:rsidRPr="009432EF" w:rsidR="00431408">
        <w:rPr>
          <w:szCs w:val="26"/>
        </w:rPr>
        <w:t xml:space="preserve">must </w:t>
      </w:r>
      <w:r w:rsidRPr="009432EF">
        <w:rPr>
          <w:szCs w:val="26"/>
        </w:rPr>
        <w:t xml:space="preserve">issue solicitations for and administer two multifamily whole building programs, a Northern multifamily whole building (MFWB) and a Southern MFWB program.  </w:t>
      </w:r>
      <w:r w:rsidR="00B445AD">
        <w:rPr>
          <w:szCs w:val="26"/>
        </w:rPr>
        <w:t>SCE</w:t>
      </w:r>
      <w:r w:rsidRPr="009432EF">
        <w:rPr>
          <w:szCs w:val="26"/>
        </w:rPr>
        <w:t xml:space="preserve">, </w:t>
      </w:r>
      <w:r w:rsidR="00B445AD">
        <w:rPr>
          <w:szCs w:val="26"/>
        </w:rPr>
        <w:t>SoCalGas</w:t>
      </w:r>
      <w:r w:rsidRPr="009432EF">
        <w:rPr>
          <w:szCs w:val="26"/>
        </w:rPr>
        <w:t xml:space="preserve"> and </w:t>
      </w:r>
      <w:r w:rsidR="00B445AD">
        <w:rPr>
          <w:szCs w:val="26"/>
        </w:rPr>
        <w:t>SDG&amp;E</w:t>
      </w:r>
      <w:r w:rsidRPr="009432EF">
        <w:rPr>
          <w:szCs w:val="26"/>
        </w:rPr>
        <w:t xml:space="preserve"> </w:t>
      </w:r>
      <w:r w:rsidRPr="009432EF" w:rsidR="00431408">
        <w:rPr>
          <w:szCs w:val="26"/>
        </w:rPr>
        <w:t xml:space="preserve">must </w:t>
      </w:r>
      <w:r w:rsidRPr="009432EF">
        <w:rPr>
          <w:szCs w:val="26"/>
        </w:rPr>
        <w:t xml:space="preserve">contribute funding to the Southern MFWB program, with </w:t>
      </w:r>
      <w:r w:rsidR="00B445AD">
        <w:rPr>
          <w:szCs w:val="26"/>
        </w:rPr>
        <w:t>SDG&amp;E</w:t>
      </w:r>
      <w:r w:rsidRPr="009432EF">
        <w:rPr>
          <w:szCs w:val="26"/>
        </w:rPr>
        <w:t xml:space="preserve"> designated as the lead utility leading the solicitation process and program management.  </w:t>
      </w:r>
      <w:r w:rsidR="00B445AD">
        <w:rPr>
          <w:szCs w:val="26"/>
        </w:rPr>
        <w:t>PG&amp;E</w:t>
      </w:r>
      <w:r w:rsidRPr="009432EF">
        <w:rPr>
          <w:szCs w:val="26"/>
        </w:rPr>
        <w:t xml:space="preserve"> </w:t>
      </w:r>
      <w:r w:rsidRPr="009432EF" w:rsidR="008A5BD2">
        <w:rPr>
          <w:szCs w:val="26"/>
        </w:rPr>
        <w:t xml:space="preserve">must </w:t>
      </w:r>
      <w:r w:rsidRPr="009432EF">
        <w:rPr>
          <w:szCs w:val="26"/>
        </w:rPr>
        <w:t xml:space="preserve">run and manage </w:t>
      </w:r>
      <w:r w:rsidR="00B445AD">
        <w:rPr>
          <w:szCs w:val="26"/>
        </w:rPr>
        <w:t>the</w:t>
      </w:r>
      <w:r w:rsidRPr="009432EF">
        <w:rPr>
          <w:szCs w:val="26"/>
        </w:rPr>
        <w:t xml:space="preserve"> Northern MFWB program. </w:t>
      </w:r>
      <w:r w:rsidR="009432EF">
        <w:t xml:space="preserve">The lead </w:t>
      </w:r>
      <w:r w:rsidR="00B445AD">
        <w:t>Utilit</w:t>
      </w:r>
      <w:r w:rsidR="00482FA2">
        <w:t xml:space="preserve">ies </w:t>
      </w:r>
      <w:r w:rsidRPr="009432EF" w:rsidR="008A5BD2">
        <w:rPr>
          <w:szCs w:val="26"/>
        </w:rPr>
        <w:t xml:space="preserve">must </w:t>
      </w:r>
      <w:r w:rsidRPr="009432EF">
        <w:rPr>
          <w:szCs w:val="26"/>
        </w:rPr>
        <w:t xml:space="preserve">work together to select an appropriate Independent Evaluator for the Northern and Southern MFWB programs.  </w:t>
      </w:r>
    </w:p>
    <w:p w:rsidRPr="004F3A73" w:rsidR="000C1980" w:rsidP="00815B6D" w:rsidRDefault="000C1980" w14:paraId="7357F206" w14:textId="5CF58721">
      <w:pPr>
        <w:pStyle w:val="OP"/>
        <w:numPr>
          <w:ilvl w:val="0"/>
          <w:numId w:val="24"/>
        </w:numPr>
        <w:tabs>
          <w:tab w:val="left" w:pos="1170"/>
        </w:tabs>
        <w:ind w:left="0" w:firstLine="547"/>
        <w:rPr>
          <w:szCs w:val="26"/>
        </w:rPr>
      </w:pPr>
      <w:r w:rsidRPr="00E36942">
        <w:rPr>
          <w:szCs w:val="26"/>
        </w:rPr>
        <w:t xml:space="preserve">The </w:t>
      </w:r>
      <w:proofErr w:type="gramStart"/>
      <w:r w:rsidRPr="00E36942">
        <w:rPr>
          <w:szCs w:val="26"/>
        </w:rPr>
        <w:t>low income</w:t>
      </w:r>
      <w:proofErr w:type="gramEnd"/>
      <w:r w:rsidRPr="00E36942">
        <w:rPr>
          <w:szCs w:val="26"/>
        </w:rPr>
        <w:t xml:space="preserve"> </w:t>
      </w:r>
      <w:r w:rsidRPr="0015090D">
        <w:rPr>
          <w:szCs w:val="26"/>
        </w:rPr>
        <w:t xml:space="preserve">multifamily whole building program’s </w:t>
      </w:r>
      <w:r w:rsidR="00861F88">
        <w:t xml:space="preserve">Procurement </w:t>
      </w:r>
      <w:r w:rsidRPr="0015090D">
        <w:rPr>
          <w:szCs w:val="26"/>
        </w:rPr>
        <w:t xml:space="preserve">Review Group </w:t>
      </w:r>
      <w:r w:rsidR="00FE588F">
        <w:rPr>
          <w:szCs w:val="26"/>
        </w:rPr>
        <w:t>must</w:t>
      </w:r>
      <w:r w:rsidRPr="0015090D" w:rsidR="00FE588F">
        <w:rPr>
          <w:szCs w:val="26"/>
        </w:rPr>
        <w:t xml:space="preserve"> </w:t>
      </w:r>
      <w:r w:rsidRPr="0015090D">
        <w:rPr>
          <w:szCs w:val="26"/>
        </w:rPr>
        <w:t>i</w:t>
      </w:r>
      <w:r w:rsidRPr="004F3A73">
        <w:rPr>
          <w:szCs w:val="26"/>
        </w:rPr>
        <w:t xml:space="preserve">nclude members of non-financially-interested parties, including Commission staff </w:t>
      </w:r>
      <w:r w:rsidR="000A05E6">
        <w:rPr>
          <w:szCs w:val="26"/>
        </w:rPr>
        <w:t xml:space="preserve">and </w:t>
      </w:r>
      <w:r w:rsidRPr="004F3A73">
        <w:rPr>
          <w:szCs w:val="26"/>
        </w:rPr>
        <w:t xml:space="preserve">the Public Advocates Office, with membership approved by the Director of the Commission’s Energy Division.  </w:t>
      </w:r>
    </w:p>
    <w:p w:rsidRPr="003177C1" w:rsidR="000C1980" w:rsidP="00815B6D" w:rsidRDefault="000C1980" w14:paraId="07BE96E9" w14:textId="275FD4DD">
      <w:pPr>
        <w:pStyle w:val="OP"/>
        <w:numPr>
          <w:ilvl w:val="0"/>
          <w:numId w:val="24"/>
        </w:numPr>
        <w:tabs>
          <w:tab w:val="left" w:pos="1170"/>
        </w:tabs>
        <w:ind w:left="0" w:firstLine="547"/>
        <w:rPr>
          <w:szCs w:val="26"/>
        </w:rPr>
      </w:pPr>
      <w:r w:rsidRPr="00B171D3">
        <w:rPr>
          <w:szCs w:val="26"/>
        </w:rPr>
        <w:t xml:space="preserve">The lead Utilities for the Northern and Southern multifamily whole building </w:t>
      </w:r>
      <w:r w:rsidR="007E4DB4">
        <w:rPr>
          <w:szCs w:val="26"/>
        </w:rPr>
        <w:t xml:space="preserve">(MFWB) </w:t>
      </w:r>
      <w:r w:rsidRPr="00B171D3">
        <w:rPr>
          <w:szCs w:val="26"/>
        </w:rPr>
        <w:t xml:space="preserve">programs </w:t>
      </w:r>
      <w:r w:rsidR="00FE588F">
        <w:rPr>
          <w:szCs w:val="26"/>
        </w:rPr>
        <w:t>must</w:t>
      </w:r>
      <w:r w:rsidRPr="00FE588F" w:rsidR="00FE588F">
        <w:rPr>
          <w:szCs w:val="26"/>
        </w:rPr>
        <w:t xml:space="preserve"> </w:t>
      </w:r>
      <w:r w:rsidRPr="00FE588F">
        <w:rPr>
          <w:szCs w:val="26"/>
        </w:rPr>
        <w:t xml:space="preserve">submit a Tier 2 advice letter within 15 days of when the solicitation process concludes and a contract is executed, and at a date no later than November 30, 2022, detailing the </w:t>
      </w:r>
      <w:r w:rsidR="007E4DB4">
        <w:rPr>
          <w:szCs w:val="26"/>
        </w:rPr>
        <w:t>MFWB</w:t>
      </w:r>
      <w:r w:rsidRPr="00FE588F">
        <w:rPr>
          <w:szCs w:val="26"/>
        </w:rPr>
        <w:t xml:space="preserve"> program design, including a budget by category, measure offerings, energy savings goals, treatment targets, cost </w:t>
      </w:r>
      <w:r w:rsidRPr="00247102">
        <w:rPr>
          <w:szCs w:val="26"/>
        </w:rPr>
        <w:t xml:space="preserve">effectiveness values, contract terms, and Independent </w:t>
      </w:r>
      <w:r w:rsidR="00917A3A">
        <w:t xml:space="preserve">Evaluator </w:t>
      </w:r>
      <w:r w:rsidRPr="003177C1">
        <w:rPr>
          <w:szCs w:val="26"/>
        </w:rPr>
        <w:t xml:space="preserve">report. </w:t>
      </w:r>
    </w:p>
    <w:p w:rsidRPr="00247102" w:rsidR="000C1980" w:rsidP="00815B6D" w:rsidRDefault="000C1980" w14:paraId="35B025A3" w14:textId="0C16C644">
      <w:pPr>
        <w:pStyle w:val="OP"/>
        <w:numPr>
          <w:ilvl w:val="0"/>
          <w:numId w:val="24"/>
        </w:numPr>
        <w:tabs>
          <w:tab w:val="left" w:pos="1170"/>
        </w:tabs>
        <w:ind w:left="0" w:firstLine="547"/>
        <w:rPr>
          <w:szCs w:val="26"/>
        </w:rPr>
      </w:pPr>
      <w:r w:rsidRPr="00054B32">
        <w:rPr>
          <w:szCs w:val="26"/>
        </w:rPr>
        <w:lastRenderedPageBreak/>
        <w:t xml:space="preserve">The Northern and Southern </w:t>
      </w:r>
      <w:r w:rsidRPr="009C5F77">
        <w:rPr>
          <w:szCs w:val="26"/>
        </w:rPr>
        <w:t xml:space="preserve">multifamily whole building programs </w:t>
      </w:r>
      <w:r w:rsidR="00247102">
        <w:rPr>
          <w:szCs w:val="26"/>
        </w:rPr>
        <w:t>must</w:t>
      </w:r>
      <w:r w:rsidRPr="00247102" w:rsidR="00247102">
        <w:rPr>
          <w:szCs w:val="26"/>
        </w:rPr>
        <w:t xml:space="preserve"> </w:t>
      </w:r>
      <w:r w:rsidRPr="00247102">
        <w:rPr>
          <w:szCs w:val="26"/>
        </w:rPr>
        <w:t xml:space="preserve">begin </w:t>
      </w:r>
      <w:r w:rsidR="002D774D">
        <w:rPr>
          <w:szCs w:val="26"/>
        </w:rPr>
        <w:t xml:space="preserve">implementation </w:t>
      </w:r>
      <w:r w:rsidRPr="00247102">
        <w:rPr>
          <w:szCs w:val="26"/>
        </w:rPr>
        <w:t xml:space="preserve">no sooner than January 1, 2023. </w:t>
      </w:r>
    </w:p>
    <w:p w:rsidRPr="00247102" w:rsidR="000C1980" w:rsidP="00815B6D" w:rsidRDefault="000C1980" w14:paraId="41A0B282" w14:textId="0226D473">
      <w:pPr>
        <w:pStyle w:val="OP"/>
        <w:numPr>
          <w:ilvl w:val="0"/>
          <w:numId w:val="24"/>
        </w:numPr>
        <w:tabs>
          <w:tab w:val="left" w:pos="1170"/>
        </w:tabs>
        <w:ind w:left="0" w:firstLine="547"/>
        <w:rPr>
          <w:szCs w:val="26"/>
        </w:rPr>
      </w:pPr>
      <w:r w:rsidRPr="00247102">
        <w:rPr>
          <w:szCs w:val="26"/>
        </w:rPr>
        <w:t xml:space="preserve">The design of the Northern and Southern </w:t>
      </w:r>
      <w:r w:rsidRPr="00F44120">
        <w:rPr>
          <w:szCs w:val="26"/>
        </w:rPr>
        <w:t>multifamily whole building (</w:t>
      </w:r>
      <w:r w:rsidRPr="003177C1">
        <w:rPr>
          <w:szCs w:val="26"/>
        </w:rPr>
        <w:t xml:space="preserve">MFWB) programs </w:t>
      </w:r>
      <w:r w:rsidR="00247102">
        <w:rPr>
          <w:szCs w:val="26"/>
        </w:rPr>
        <w:t>must</w:t>
      </w:r>
      <w:r w:rsidRPr="00247102" w:rsidR="00247102">
        <w:rPr>
          <w:szCs w:val="26"/>
        </w:rPr>
        <w:t xml:space="preserve"> </w:t>
      </w:r>
      <w:r w:rsidRPr="00247102">
        <w:rPr>
          <w:szCs w:val="26"/>
        </w:rPr>
        <w:t>have the following minimum requirements:</w:t>
      </w:r>
    </w:p>
    <w:p w:rsidRPr="003177C1" w:rsidR="000C1980" w:rsidP="000E5251" w:rsidRDefault="000C1980" w14:paraId="4CED0C54" w14:textId="17E9142F">
      <w:pPr>
        <w:pStyle w:val="ListBullet"/>
      </w:pPr>
      <w:r w:rsidRPr="003177C1">
        <w:t>A single in-take application (which can include reliance on the MFWB portal</w:t>
      </w:r>
      <w:proofErr w:type="gramStart"/>
      <w:r w:rsidRPr="003177C1">
        <w:t>)</w:t>
      </w:r>
      <w:r w:rsidR="009A6FCF">
        <w:t>;</w:t>
      </w:r>
      <w:proofErr w:type="gramEnd"/>
    </w:p>
    <w:p w:rsidRPr="009C5F77" w:rsidR="000C1980" w:rsidP="000E5251" w:rsidRDefault="000C1980" w14:paraId="3CFEC9F5" w14:textId="63B80BFD">
      <w:pPr>
        <w:pStyle w:val="ListBullet"/>
      </w:pPr>
      <w:r w:rsidRPr="00054B32">
        <w:t xml:space="preserve">Comprehensive technical </w:t>
      </w:r>
      <w:proofErr w:type="gramStart"/>
      <w:r w:rsidRPr="00054B32">
        <w:t>assistance</w:t>
      </w:r>
      <w:r w:rsidR="009A6FCF">
        <w:t>;</w:t>
      </w:r>
      <w:proofErr w:type="gramEnd"/>
    </w:p>
    <w:p w:rsidRPr="00FF0022" w:rsidR="000C1980" w:rsidP="000E5251" w:rsidRDefault="000C1980" w14:paraId="159694DF" w14:textId="26B0DC9A">
      <w:pPr>
        <w:pStyle w:val="ListBullet"/>
      </w:pPr>
      <w:r w:rsidRPr="000503CA">
        <w:t>Consideration of</w:t>
      </w:r>
      <w:r w:rsidRPr="00453FD2">
        <w:t xml:space="preserve"> healthy building </w:t>
      </w:r>
      <w:proofErr w:type="gramStart"/>
      <w:r w:rsidRPr="00453FD2">
        <w:t>materials</w:t>
      </w:r>
      <w:r w:rsidR="009A6FCF">
        <w:t>;</w:t>
      </w:r>
      <w:proofErr w:type="gramEnd"/>
    </w:p>
    <w:p w:rsidRPr="007B351F" w:rsidR="000C1980" w:rsidP="000E5251" w:rsidRDefault="000C1980" w14:paraId="4CD9F2D2" w14:textId="2489FC03">
      <w:pPr>
        <w:pStyle w:val="ListBullet"/>
      </w:pPr>
      <w:r w:rsidRPr="00075B67">
        <w:t>Energy audits and expanded measure lists</w:t>
      </w:r>
      <w:r w:rsidR="005D52E9">
        <w:t>,</w:t>
      </w:r>
      <w:r w:rsidRPr="009A6FCF" w:rsidR="009A6FCF">
        <w:t xml:space="preserve"> </w:t>
      </w:r>
      <w:r w:rsidR="009A6FCF">
        <w:t xml:space="preserve">with consideration for highly efficient electrification </w:t>
      </w:r>
      <w:proofErr w:type="gramStart"/>
      <w:r w:rsidR="009A6FCF">
        <w:t>measures;</w:t>
      </w:r>
      <w:proofErr w:type="gramEnd"/>
    </w:p>
    <w:p w:rsidRPr="00B11AAF" w:rsidR="000C1980" w:rsidP="000E5251" w:rsidRDefault="000C1980" w14:paraId="60454AE3" w14:textId="6A0BC4CD">
      <w:pPr>
        <w:pStyle w:val="ListBullet"/>
      </w:pPr>
      <w:r w:rsidRPr="00AA1EAC">
        <w:t xml:space="preserve">Segmentation treatment </w:t>
      </w:r>
      <w:proofErr w:type="gramStart"/>
      <w:r w:rsidRPr="00AA1EAC">
        <w:t>plan</w:t>
      </w:r>
      <w:r w:rsidR="009A6FCF">
        <w:t>;</w:t>
      </w:r>
      <w:proofErr w:type="gramEnd"/>
    </w:p>
    <w:p w:rsidRPr="00B11AAF" w:rsidR="000C1980" w:rsidP="000E5251" w:rsidRDefault="000C1980" w14:paraId="5D56D62E" w14:textId="6089E9E7">
      <w:pPr>
        <w:pStyle w:val="ListBullet"/>
      </w:pPr>
      <w:r w:rsidRPr="00B11AAF">
        <w:t xml:space="preserve">Program leveraging, including program-to-program customer </w:t>
      </w:r>
      <w:proofErr w:type="gramStart"/>
      <w:r w:rsidRPr="00B11AAF">
        <w:t>referrals</w:t>
      </w:r>
      <w:r w:rsidR="00EC138F">
        <w:t>;</w:t>
      </w:r>
      <w:proofErr w:type="gramEnd"/>
    </w:p>
    <w:p w:rsidRPr="009F4133" w:rsidR="000C1980" w:rsidP="000E5251" w:rsidRDefault="000C1980" w14:paraId="67639C3E" w14:textId="25DF1F4E">
      <w:pPr>
        <w:pStyle w:val="ListBullet"/>
      </w:pPr>
      <w:r w:rsidRPr="001F7F7A">
        <w:t xml:space="preserve">A </w:t>
      </w:r>
      <w:r w:rsidRPr="005078BD">
        <w:t>comprehensive</w:t>
      </w:r>
      <w:r w:rsidRPr="003B750A">
        <w:t xml:space="preserve"> treatment</w:t>
      </w:r>
      <w:r w:rsidRPr="004B01A7">
        <w:t xml:space="preserve"> approach including in unit and common area </w:t>
      </w:r>
      <w:proofErr w:type="gramStart"/>
      <w:r w:rsidRPr="004B01A7">
        <w:t>measures</w:t>
      </w:r>
      <w:r w:rsidR="00EC138F">
        <w:t>;</w:t>
      </w:r>
      <w:proofErr w:type="gramEnd"/>
    </w:p>
    <w:p w:rsidRPr="00B171D3" w:rsidR="000C1980" w:rsidP="000E5251" w:rsidRDefault="000C1980" w14:paraId="736DE830" w14:textId="7BC0CBBF">
      <w:pPr>
        <w:pStyle w:val="ListBullet"/>
      </w:pPr>
      <w:r w:rsidRPr="00775B92">
        <w:t xml:space="preserve">Leveraging with California Department of Community Services and Development’s Low Income Weatherization Program to provide </w:t>
      </w:r>
      <w:r w:rsidRPr="00D75AC7">
        <w:t>Energy Savings Assistance</w:t>
      </w:r>
      <w:r w:rsidRPr="0099018E">
        <w:t xml:space="preserve"> funding for in-unit treatment measures that are common to both </w:t>
      </w:r>
      <w:proofErr w:type="gramStart"/>
      <w:r w:rsidRPr="0099018E">
        <w:t>programs</w:t>
      </w:r>
      <w:r w:rsidR="00EC138F">
        <w:t>;</w:t>
      </w:r>
      <w:proofErr w:type="gramEnd"/>
    </w:p>
    <w:p w:rsidRPr="00B171D3" w:rsidR="000C1980" w:rsidP="000E5251" w:rsidRDefault="000C1980" w14:paraId="5A716855" w14:textId="2E556B7A">
      <w:pPr>
        <w:pStyle w:val="ListBullet"/>
      </w:pPr>
      <w:r w:rsidRPr="003177C1">
        <w:t xml:space="preserve">In-language applications and marketing materials, at a minimum </w:t>
      </w:r>
      <w:r w:rsidR="00C662E5">
        <w:t xml:space="preserve">in </w:t>
      </w:r>
      <w:proofErr w:type="gramStart"/>
      <w:r w:rsidRPr="003177C1">
        <w:t>Spanish</w:t>
      </w:r>
      <w:r w:rsidR="00EC138F">
        <w:t>;</w:t>
      </w:r>
      <w:proofErr w:type="gramEnd"/>
    </w:p>
    <w:p w:rsidRPr="00B171D3" w:rsidR="000C1980" w:rsidP="000E5251" w:rsidRDefault="000C1980" w14:paraId="4BBC5820" w14:textId="1E09025C">
      <w:pPr>
        <w:pStyle w:val="ListBullet"/>
      </w:pPr>
      <w:r w:rsidRPr="003177C1">
        <w:t>Workforce outreach plans for leveraging existing available workforce, education and training programs, a preference for hiring from disadvantaged and local communities</w:t>
      </w:r>
      <w:r w:rsidR="00EC138F">
        <w:t>;</w:t>
      </w:r>
      <w:r w:rsidR="005D52E9">
        <w:t xml:space="preserve"> and</w:t>
      </w:r>
    </w:p>
    <w:p w:rsidRPr="00B171D3" w:rsidR="000C1980" w:rsidP="000E5251" w:rsidRDefault="00E87133" w14:paraId="138D95E6" w14:textId="26B0E146">
      <w:pPr>
        <w:pStyle w:val="ListBullet"/>
      </w:pPr>
      <w:r w:rsidRPr="00E87133">
        <w:t xml:space="preserve">Single Point of Contact </w:t>
      </w:r>
      <w:r w:rsidRPr="003177C1" w:rsidR="000C1980">
        <w:t>services (where proposed to be outsourced), to be a “true one stop model”</w:t>
      </w:r>
      <w:r w:rsidRPr="00B171D3" w:rsidR="000C1980">
        <w:t xml:space="preserve"> </w:t>
      </w:r>
      <w:r w:rsidRPr="003177C1" w:rsidR="000C1980">
        <w:t>whereby a property owner, manager or tenant will rely on them to facilitate and coordinate program access.</w:t>
      </w:r>
    </w:p>
    <w:p w:rsidR="0051355C" w:rsidP="00815B6D" w:rsidRDefault="0051355C" w14:paraId="395039E5" w14:textId="4DA89426">
      <w:pPr>
        <w:pStyle w:val="OP"/>
        <w:numPr>
          <w:ilvl w:val="0"/>
          <w:numId w:val="24"/>
        </w:numPr>
        <w:tabs>
          <w:tab w:val="left" w:pos="990"/>
          <w:tab w:val="left" w:pos="1170"/>
        </w:tabs>
        <w:ind w:left="0" w:firstLine="547"/>
        <w:rPr>
          <w:szCs w:val="26"/>
        </w:rPr>
      </w:pPr>
      <w:r>
        <w:rPr>
          <w:szCs w:val="26"/>
        </w:rPr>
        <w:t xml:space="preserve">The Utilities and </w:t>
      </w:r>
      <w:r w:rsidR="00CD690D">
        <w:rPr>
          <w:szCs w:val="26"/>
        </w:rPr>
        <w:t>the multifamily</w:t>
      </w:r>
      <w:r>
        <w:rPr>
          <w:szCs w:val="26"/>
        </w:rPr>
        <w:t xml:space="preserve"> </w:t>
      </w:r>
      <w:r w:rsidR="00CD690D">
        <w:rPr>
          <w:szCs w:val="26"/>
        </w:rPr>
        <w:t xml:space="preserve">whole building (MFWB) </w:t>
      </w:r>
      <w:r w:rsidRPr="0051355C">
        <w:rPr>
          <w:szCs w:val="26"/>
        </w:rPr>
        <w:t>program administrators will make annual presentations to the E</w:t>
      </w:r>
      <w:r w:rsidR="00CD690D">
        <w:rPr>
          <w:szCs w:val="26"/>
        </w:rPr>
        <w:t xml:space="preserve">nergy Savings </w:t>
      </w:r>
      <w:r w:rsidR="00A27D3E">
        <w:rPr>
          <w:szCs w:val="26"/>
        </w:rPr>
        <w:t xml:space="preserve">Assistance </w:t>
      </w:r>
      <w:r w:rsidR="00CD690D">
        <w:rPr>
          <w:szCs w:val="26"/>
        </w:rPr>
        <w:lastRenderedPageBreak/>
        <w:t xml:space="preserve">Working Group </w:t>
      </w:r>
      <w:r w:rsidRPr="0051355C">
        <w:rPr>
          <w:szCs w:val="26"/>
        </w:rPr>
        <w:t>to report on progress and receive feedback</w:t>
      </w:r>
      <w:r w:rsidR="00CD690D">
        <w:rPr>
          <w:szCs w:val="26"/>
        </w:rPr>
        <w:t xml:space="preserve"> on the MFWB programs </w:t>
      </w:r>
      <w:r w:rsidR="00572903">
        <w:rPr>
          <w:szCs w:val="26"/>
        </w:rPr>
        <w:t xml:space="preserve">once the </w:t>
      </w:r>
      <w:r w:rsidRPr="0051355C" w:rsidR="00572903">
        <w:rPr>
          <w:szCs w:val="26"/>
        </w:rPr>
        <w:t>MFWB programs are operational</w:t>
      </w:r>
      <w:r w:rsidR="00CD690D">
        <w:rPr>
          <w:szCs w:val="26"/>
        </w:rPr>
        <w:t>.</w:t>
      </w:r>
      <w:r w:rsidRPr="00CD690D" w:rsidR="00CD690D">
        <w:rPr>
          <w:szCs w:val="26"/>
        </w:rPr>
        <w:t xml:space="preserve"> </w:t>
      </w:r>
    </w:p>
    <w:p w:rsidRPr="00F44120" w:rsidR="000C1980" w:rsidP="00815B6D" w:rsidRDefault="000C1980" w14:paraId="39BC5CF7" w14:textId="6E83BB8A">
      <w:pPr>
        <w:pStyle w:val="OP"/>
        <w:numPr>
          <w:ilvl w:val="0"/>
          <w:numId w:val="24"/>
        </w:numPr>
        <w:tabs>
          <w:tab w:val="left" w:pos="990"/>
          <w:tab w:val="left" w:pos="1170"/>
        </w:tabs>
        <w:ind w:left="0" w:firstLine="547"/>
        <w:rPr>
          <w:szCs w:val="26"/>
        </w:rPr>
      </w:pPr>
      <w:r w:rsidRPr="00736459">
        <w:rPr>
          <w:szCs w:val="26"/>
        </w:rPr>
        <w:t>Pacific Gas and Electric Company</w:t>
      </w:r>
      <w:r w:rsidR="00646FFB">
        <w:rPr>
          <w:szCs w:val="26"/>
        </w:rPr>
        <w:t xml:space="preserve"> (PG&amp;E)</w:t>
      </w:r>
      <w:r w:rsidRPr="00736459">
        <w:rPr>
          <w:szCs w:val="26"/>
        </w:rPr>
        <w:t>, Southern California Edison Company, San Diego Gas &amp; Electric Company and Southern C</w:t>
      </w:r>
      <w:r w:rsidRPr="00DD4527">
        <w:rPr>
          <w:szCs w:val="26"/>
        </w:rPr>
        <w:t xml:space="preserve">alifornia Gas Company </w:t>
      </w:r>
      <w:r w:rsidR="008F1F69">
        <w:rPr>
          <w:szCs w:val="26"/>
        </w:rPr>
        <w:t>must</w:t>
      </w:r>
      <w:r w:rsidRPr="00DD4527" w:rsidR="008F1F69">
        <w:rPr>
          <w:szCs w:val="26"/>
        </w:rPr>
        <w:t xml:space="preserve"> </w:t>
      </w:r>
      <w:r w:rsidRPr="00DD4527">
        <w:rPr>
          <w:szCs w:val="26"/>
        </w:rPr>
        <w:t>create an online statewide multifamily application portal, (</w:t>
      </w:r>
      <w:r w:rsidRPr="004764F0">
        <w:rPr>
          <w:szCs w:val="26"/>
        </w:rPr>
        <w:t>Multifamily Central Portal</w:t>
      </w:r>
      <w:r w:rsidRPr="00E36942">
        <w:rPr>
          <w:szCs w:val="26"/>
        </w:rPr>
        <w:t>), funded at up to $500</w:t>
      </w:r>
      <w:r w:rsidR="008045FB">
        <w:rPr>
          <w:szCs w:val="26"/>
        </w:rPr>
        <w:t>,000</w:t>
      </w:r>
      <w:r w:rsidRPr="00E36942">
        <w:rPr>
          <w:szCs w:val="26"/>
        </w:rPr>
        <w:t xml:space="preserve"> statewide from </w:t>
      </w:r>
      <w:r w:rsidRPr="0015090D">
        <w:rPr>
          <w:szCs w:val="26"/>
        </w:rPr>
        <w:t xml:space="preserve">the Utilities’ </w:t>
      </w:r>
      <w:r w:rsidRPr="00A65A5E">
        <w:rPr>
          <w:szCs w:val="26"/>
        </w:rPr>
        <w:t>Energy Savings Assistance</w:t>
      </w:r>
      <w:r w:rsidRPr="00736459">
        <w:rPr>
          <w:szCs w:val="26"/>
        </w:rPr>
        <w:t xml:space="preserve"> </w:t>
      </w:r>
      <w:r w:rsidRPr="0006225C">
        <w:rPr>
          <w:szCs w:val="26"/>
        </w:rPr>
        <w:t>marketing, education, and outreach</w:t>
      </w:r>
      <w:r w:rsidRPr="00D23493">
        <w:rPr>
          <w:szCs w:val="26"/>
        </w:rPr>
        <w:t xml:space="preserve"> budgets</w:t>
      </w:r>
      <w:r w:rsidRPr="00DA545E">
        <w:rPr>
          <w:szCs w:val="26"/>
        </w:rPr>
        <w:t xml:space="preserve">. </w:t>
      </w:r>
      <w:r w:rsidR="00646FFB">
        <w:rPr>
          <w:szCs w:val="26"/>
        </w:rPr>
        <w:t>PG&amp;E</w:t>
      </w:r>
      <w:r w:rsidRPr="00DD4527">
        <w:rPr>
          <w:szCs w:val="26"/>
        </w:rPr>
        <w:t xml:space="preserve"> </w:t>
      </w:r>
      <w:r w:rsidR="008F1F69">
        <w:rPr>
          <w:szCs w:val="26"/>
        </w:rPr>
        <w:t>will</w:t>
      </w:r>
      <w:r w:rsidRPr="00DD4527" w:rsidR="008F1F69">
        <w:rPr>
          <w:szCs w:val="26"/>
        </w:rPr>
        <w:t xml:space="preserve"> </w:t>
      </w:r>
      <w:r w:rsidRPr="00DD4527">
        <w:rPr>
          <w:szCs w:val="26"/>
        </w:rPr>
        <w:t xml:space="preserve">be the lead Utility for the </w:t>
      </w:r>
      <w:r w:rsidRPr="004764F0">
        <w:rPr>
          <w:szCs w:val="26"/>
        </w:rPr>
        <w:t xml:space="preserve">development and implementation of the </w:t>
      </w:r>
      <w:r w:rsidRPr="00E36942">
        <w:rPr>
          <w:szCs w:val="26"/>
        </w:rPr>
        <w:t xml:space="preserve">Multifamily Central Portal which </w:t>
      </w:r>
      <w:r w:rsidR="008F1F69">
        <w:rPr>
          <w:szCs w:val="26"/>
        </w:rPr>
        <w:t>must</w:t>
      </w:r>
      <w:r w:rsidRPr="0015090D" w:rsidR="008F1F69">
        <w:rPr>
          <w:szCs w:val="26"/>
        </w:rPr>
        <w:t xml:space="preserve"> </w:t>
      </w:r>
      <w:r w:rsidRPr="0015090D">
        <w:rPr>
          <w:szCs w:val="26"/>
        </w:rPr>
        <w:t xml:space="preserve">be available by </w:t>
      </w:r>
      <w:r w:rsidR="003D57D6">
        <w:t>November 30, 2022</w:t>
      </w:r>
      <w:r w:rsidRPr="00947965" w:rsidR="00947965">
        <w:rPr>
          <w:szCs w:val="26"/>
        </w:rPr>
        <w:t>.</w:t>
      </w:r>
    </w:p>
    <w:p w:rsidRPr="00B11AAF" w:rsidR="000C1980" w:rsidP="00815B6D" w:rsidRDefault="000C1980" w14:paraId="0A47435B" w14:textId="4EBE8AFA">
      <w:pPr>
        <w:pStyle w:val="OP"/>
        <w:numPr>
          <w:ilvl w:val="0"/>
          <w:numId w:val="24"/>
        </w:numPr>
        <w:tabs>
          <w:tab w:val="left" w:pos="990"/>
          <w:tab w:val="left" w:pos="1170"/>
        </w:tabs>
        <w:ind w:left="0" w:firstLine="547"/>
        <w:rPr>
          <w:szCs w:val="26"/>
        </w:rPr>
      </w:pPr>
      <w:r w:rsidRPr="00F44120">
        <w:rPr>
          <w:szCs w:val="26"/>
        </w:rPr>
        <w:t xml:space="preserve">The </w:t>
      </w:r>
      <w:r w:rsidRPr="003177C1">
        <w:rPr>
          <w:szCs w:val="26"/>
        </w:rPr>
        <w:t xml:space="preserve">Multifamily Central Portal, at a minimum, </w:t>
      </w:r>
      <w:r w:rsidRPr="00947965" w:rsidR="00622004">
        <w:rPr>
          <w:szCs w:val="26"/>
        </w:rPr>
        <w:t>and by November 30, 2022</w:t>
      </w:r>
      <w:r w:rsidR="00622004">
        <w:rPr>
          <w:szCs w:val="26"/>
        </w:rPr>
        <w:t xml:space="preserve">, </w:t>
      </w:r>
      <w:r w:rsidR="008F1F69">
        <w:rPr>
          <w:szCs w:val="26"/>
        </w:rPr>
        <w:t>must</w:t>
      </w:r>
      <w:r w:rsidRPr="00E87133" w:rsidR="008F1F69">
        <w:rPr>
          <w:szCs w:val="26"/>
        </w:rPr>
        <w:t xml:space="preserve"> </w:t>
      </w:r>
      <w:r w:rsidRPr="00E87133">
        <w:rPr>
          <w:szCs w:val="26"/>
        </w:rPr>
        <w:t xml:space="preserve">allow tenants </w:t>
      </w:r>
      <w:r w:rsidR="00A34BD6">
        <w:rPr>
          <w:szCs w:val="26"/>
        </w:rPr>
        <w:t>and</w:t>
      </w:r>
      <w:r w:rsidRPr="00E87133" w:rsidR="00A34BD6">
        <w:rPr>
          <w:szCs w:val="26"/>
        </w:rPr>
        <w:t xml:space="preserve"> </w:t>
      </w:r>
      <w:r w:rsidRPr="00E87133">
        <w:rPr>
          <w:szCs w:val="26"/>
        </w:rPr>
        <w:t xml:space="preserve">property owners to submit inquiries and applications for the Northern and Southern </w:t>
      </w:r>
      <w:r w:rsidRPr="008F1F69">
        <w:rPr>
          <w:szCs w:val="26"/>
        </w:rPr>
        <w:t>multifamily whole building</w:t>
      </w:r>
      <w:r w:rsidRPr="001A3468">
        <w:rPr>
          <w:szCs w:val="26"/>
        </w:rPr>
        <w:t xml:space="preserve"> </w:t>
      </w:r>
      <w:r w:rsidRPr="00054B32">
        <w:rPr>
          <w:szCs w:val="26"/>
        </w:rPr>
        <w:t>p</w:t>
      </w:r>
      <w:r w:rsidRPr="009C5F77">
        <w:rPr>
          <w:szCs w:val="26"/>
        </w:rPr>
        <w:t>rograms</w:t>
      </w:r>
      <w:r w:rsidRPr="00AB3E3E" w:rsidR="00AB3E3E">
        <w:t xml:space="preserve"> </w:t>
      </w:r>
      <w:r w:rsidR="00AB3E3E">
        <w:t>and track that information for program administrators</w:t>
      </w:r>
      <w:r w:rsidRPr="009C5F77">
        <w:rPr>
          <w:szCs w:val="26"/>
        </w:rPr>
        <w:t xml:space="preserve">.  </w:t>
      </w:r>
      <w:r w:rsidRPr="000503CA">
        <w:rPr>
          <w:szCs w:val="26"/>
        </w:rPr>
        <w:t xml:space="preserve">The Utilities </w:t>
      </w:r>
      <w:r w:rsidRPr="00D34A5A">
        <w:rPr>
          <w:szCs w:val="26"/>
        </w:rPr>
        <w:t xml:space="preserve">must provide easy-to-find, clear and distinguishable links to </w:t>
      </w:r>
      <w:r w:rsidRPr="00FF0022">
        <w:rPr>
          <w:szCs w:val="26"/>
        </w:rPr>
        <w:t xml:space="preserve">the </w:t>
      </w:r>
      <w:r w:rsidRPr="00075B67">
        <w:rPr>
          <w:szCs w:val="26"/>
        </w:rPr>
        <w:t>Multifamily Central Portal</w:t>
      </w:r>
      <w:r w:rsidRPr="007B351F">
        <w:rPr>
          <w:szCs w:val="26"/>
        </w:rPr>
        <w:t xml:space="preserve"> from their</w:t>
      </w:r>
      <w:r w:rsidRPr="008145B7">
        <w:rPr>
          <w:szCs w:val="26"/>
        </w:rPr>
        <w:t xml:space="preserve"> </w:t>
      </w:r>
      <w:r w:rsidRPr="00AA1EAC">
        <w:rPr>
          <w:szCs w:val="26"/>
        </w:rPr>
        <w:t>respective</w:t>
      </w:r>
      <w:r w:rsidRPr="00B11AAF">
        <w:rPr>
          <w:szCs w:val="26"/>
        </w:rPr>
        <w:t xml:space="preserve"> websites.</w:t>
      </w:r>
    </w:p>
    <w:p w:rsidRPr="00DD4527" w:rsidR="000C1980" w:rsidP="00815B6D" w:rsidRDefault="000C1980" w14:paraId="6AEFA271" w14:textId="166D8F31">
      <w:pPr>
        <w:pStyle w:val="OP"/>
        <w:numPr>
          <w:ilvl w:val="0"/>
          <w:numId w:val="24"/>
        </w:numPr>
        <w:tabs>
          <w:tab w:val="left" w:pos="990"/>
          <w:tab w:val="left" w:pos="1170"/>
        </w:tabs>
        <w:ind w:left="0" w:firstLine="547"/>
        <w:rPr>
          <w:szCs w:val="26"/>
        </w:rPr>
      </w:pPr>
      <w:r w:rsidRPr="00B11AAF">
        <w:rPr>
          <w:szCs w:val="26"/>
        </w:rPr>
        <w:t xml:space="preserve">Pacific Gas and Electric Company, Southern California Edison Company, San Diego Gas &amp; Electric Company and Southern California Gas Company </w:t>
      </w:r>
      <w:r w:rsidR="008F1F69">
        <w:rPr>
          <w:szCs w:val="26"/>
        </w:rPr>
        <w:t>must</w:t>
      </w:r>
      <w:r w:rsidRPr="008F1F69" w:rsidR="008F1F69">
        <w:rPr>
          <w:szCs w:val="26"/>
        </w:rPr>
        <w:t xml:space="preserve"> </w:t>
      </w:r>
      <w:r w:rsidRPr="008F1F69">
        <w:rPr>
          <w:szCs w:val="26"/>
        </w:rPr>
        <w:t xml:space="preserve">continue to offer their respective </w:t>
      </w:r>
      <w:r w:rsidR="00F2579C">
        <w:rPr>
          <w:szCs w:val="26"/>
        </w:rPr>
        <w:t>Energy Savings Assistance (ESA) program</w:t>
      </w:r>
      <w:r w:rsidRPr="00DD4527" w:rsidR="00F2579C">
        <w:rPr>
          <w:szCs w:val="26"/>
        </w:rPr>
        <w:t xml:space="preserve"> </w:t>
      </w:r>
      <w:r w:rsidRPr="008F1F69">
        <w:rPr>
          <w:szCs w:val="26"/>
        </w:rPr>
        <w:t xml:space="preserve">multifamily in unit and common area measure offerings </w:t>
      </w:r>
      <w:r w:rsidRPr="00054B32">
        <w:rPr>
          <w:szCs w:val="26"/>
        </w:rPr>
        <w:t xml:space="preserve">until </w:t>
      </w:r>
      <w:r w:rsidRPr="009C5F77">
        <w:rPr>
          <w:szCs w:val="26"/>
        </w:rPr>
        <w:t xml:space="preserve">the multifamily whole building </w:t>
      </w:r>
      <w:r w:rsidRPr="000503CA">
        <w:rPr>
          <w:szCs w:val="26"/>
        </w:rPr>
        <w:t>programs</w:t>
      </w:r>
      <w:r w:rsidRPr="00453FD2">
        <w:rPr>
          <w:szCs w:val="26"/>
        </w:rPr>
        <w:t xml:space="preserve"> are up and running</w:t>
      </w:r>
      <w:r w:rsidRPr="00D34A5A">
        <w:rPr>
          <w:szCs w:val="26"/>
        </w:rPr>
        <w:t xml:space="preserve">. </w:t>
      </w:r>
      <w:r w:rsidRPr="00FF0022">
        <w:rPr>
          <w:szCs w:val="26"/>
        </w:rPr>
        <w:t xml:space="preserve"> </w:t>
      </w:r>
      <w:r w:rsidRPr="00075B67">
        <w:rPr>
          <w:szCs w:val="26"/>
        </w:rPr>
        <w:t>Until that time, the rules adopted in D</w:t>
      </w:r>
      <w:r w:rsidRPr="00D9232D">
        <w:rPr>
          <w:szCs w:val="26"/>
        </w:rPr>
        <w:t xml:space="preserve">ecision </w:t>
      </w:r>
      <w:r w:rsidRPr="007B351F">
        <w:rPr>
          <w:szCs w:val="26"/>
        </w:rPr>
        <w:t xml:space="preserve">17-12-009 governing </w:t>
      </w:r>
      <w:r w:rsidRPr="00AA1EAC">
        <w:rPr>
          <w:szCs w:val="26"/>
        </w:rPr>
        <w:t>common area measures shall</w:t>
      </w:r>
      <w:r w:rsidRPr="00B11AAF">
        <w:rPr>
          <w:szCs w:val="26"/>
        </w:rPr>
        <w:t xml:space="preserve"> remain, except for any revisions to eligibility, </w:t>
      </w:r>
      <w:r w:rsidR="00F2579C">
        <w:rPr>
          <w:szCs w:val="26"/>
        </w:rPr>
        <w:t>ESA</w:t>
      </w:r>
      <w:r w:rsidRPr="00736459">
        <w:rPr>
          <w:szCs w:val="26"/>
        </w:rPr>
        <w:t xml:space="preserve"> </w:t>
      </w:r>
      <w:r w:rsidR="008F1F69">
        <w:rPr>
          <w:szCs w:val="26"/>
        </w:rPr>
        <w:t xml:space="preserve">program </w:t>
      </w:r>
      <w:r w:rsidRPr="00736459">
        <w:rPr>
          <w:szCs w:val="26"/>
        </w:rPr>
        <w:t>measure changes, and</w:t>
      </w:r>
      <w:r w:rsidRPr="0006225C">
        <w:rPr>
          <w:szCs w:val="26"/>
        </w:rPr>
        <w:t xml:space="preserve"> reporting requirements </w:t>
      </w:r>
      <w:r w:rsidRPr="00DD4527">
        <w:rPr>
          <w:szCs w:val="26"/>
        </w:rPr>
        <w:t xml:space="preserve">updated in this decision. </w:t>
      </w:r>
    </w:p>
    <w:p w:rsidRPr="00054B32" w:rsidR="000C1980" w:rsidP="00815B6D" w:rsidRDefault="000C1980" w14:paraId="0637C596" w14:textId="6B72FBED">
      <w:pPr>
        <w:pStyle w:val="OP"/>
        <w:numPr>
          <w:ilvl w:val="0"/>
          <w:numId w:val="24"/>
        </w:numPr>
        <w:tabs>
          <w:tab w:val="left" w:pos="990"/>
          <w:tab w:val="left" w:pos="1170"/>
        </w:tabs>
        <w:ind w:left="0" w:firstLine="547"/>
        <w:rPr>
          <w:szCs w:val="26"/>
        </w:rPr>
      </w:pPr>
      <w:r w:rsidRPr="004764F0">
        <w:rPr>
          <w:szCs w:val="26"/>
        </w:rPr>
        <w:t xml:space="preserve">Pacific Gas and Electric Company, Southern California Edison Company, San Diego Gas &amp; Electric Company and Southern California Gas Company </w:t>
      </w:r>
      <w:r w:rsidR="008F1F69">
        <w:rPr>
          <w:szCs w:val="26"/>
        </w:rPr>
        <w:t>must</w:t>
      </w:r>
      <w:r w:rsidRPr="00E36942" w:rsidR="008F1F69">
        <w:rPr>
          <w:szCs w:val="26"/>
        </w:rPr>
        <w:t xml:space="preserve"> </w:t>
      </w:r>
      <w:r w:rsidRPr="00E36942">
        <w:rPr>
          <w:szCs w:val="26"/>
        </w:rPr>
        <w:t xml:space="preserve">continue the </w:t>
      </w:r>
      <w:r w:rsidR="00F2579C">
        <w:rPr>
          <w:szCs w:val="26"/>
        </w:rPr>
        <w:t xml:space="preserve">multifamily </w:t>
      </w:r>
      <w:r w:rsidRPr="00E36942">
        <w:rPr>
          <w:szCs w:val="26"/>
        </w:rPr>
        <w:t xml:space="preserve">common area measures annual </w:t>
      </w:r>
      <w:r w:rsidRPr="00E36942">
        <w:rPr>
          <w:szCs w:val="26"/>
        </w:rPr>
        <w:lastRenderedPageBreak/>
        <w:t>reporting requireme</w:t>
      </w:r>
      <w:r w:rsidRPr="004F3A73">
        <w:rPr>
          <w:szCs w:val="26"/>
        </w:rPr>
        <w:t xml:space="preserve">nts and report the normalized energy </w:t>
      </w:r>
      <w:r w:rsidRPr="00247102">
        <w:rPr>
          <w:szCs w:val="26"/>
        </w:rPr>
        <w:t xml:space="preserve">use </w:t>
      </w:r>
      <w:r w:rsidRPr="00F44120">
        <w:rPr>
          <w:szCs w:val="26"/>
        </w:rPr>
        <w:t>and savings</w:t>
      </w:r>
      <w:r w:rsidR="00F2579C">
        <w:rPr>
          <w:szCs w:val="26"/>
        </w:rPr>
        <w:t xml:space="preserve"> in the Energy Savings Assistance program reports</w:t>
      </w:r>
      <w:r w:rsidRPr="00F44120">
        <w:rPr>
          <w:szCs w:val="26"/>
        </w:rPr>
        <w:t xml:space="preserve"> per the reporting template to be developed and issued by Energy Division staff.</w:t>
      </w:r>
    </w:p>
    <w:p w:rsidRPr="00DD4527" w:rsidR="000C1980" w:rsidP="00815B6D" w:rsidRDefault="000C1980" w14:paraId="24A3BAC6" w14:textId="7CE57C9D">
      <w:pPr>
        <w:pStyle w:val="OP"/>
        <w:numPr>
          <w:ilvl w:val="0"/>
          <w:numId w:val="24"/>
        </w:numPr>
        <w:tabs>
          <w:tab w:val="left" w:pos="990"/>
          <w:tab w:val="left" w:pos="1170"/>
        </w:tabs>
        <w:ind w:left="0" w:firstLine="547"/>
        <w:rPr>
          <w:szCs w:val="26"/>
        </w:rPr>
      </w:pPr>
      <w:r w:rsidRPr="009C5F77">
        <w:rPr>
          <w:szCs w:val="26"/>
        </w:rPr>
        <w:t>Pacific Gas and Electric Company, Southern California Edison Company, San Diego Gas &amp; Electric Company and Souther</w:t>
      </w:r>
      <w:r w:rsidRPr="000503CA">
        <w:rPr>
          <w:szCs w:val="26"/>
        </w:rPr>
        <w:t>n California Gas Company</w:t>
      </w:r>
      <w:r w:rsidRPr="00D34A5A">
        <w:rPr>
          <w:szCs w:val="26"/>
        </w:rPr>
        <w:t xml:space="preserve">’s </w:t>
      </w:r>
      <w:r w:rsidR="001A3468">
        <w:rPr>
          <w:szCs w:val="26"/>
        </w:rPr>
        <w:t>Single Point of Contact (SPOC)</w:t>
      </w:r>
      <w:r w:rsidRPr="001A3468" w:rsidR="001A3468">
        <w:rPr>
          <w:szCs w:val="26"/>
        </w:rPr>
        <w:t xml:space="preserve"> </w:t>
      </w:r>
      <w:r w:rsidRPr="001A3468">
        <w:rPr>
          <w:szCs w:val="26"/>
        </w:rPr>
        <w:t xml:space="preserve">proposals are approved, with modifications to align key SPOC services. The Utilities’ SPOC services </w:t>
      </w:r>
      <w:r w:rsidR="001A3468">
        <w:rPr>
          <w:szCs w:val="26"/>
        </w:rPr>
        <w:t>must</w:t>
      </w:r>
      <w:r w:rsidRPr="001A3468" w:rsidR="001A3468">
        <w:rPr>
          <w:szCs w:val="26"/>
        </w:rPr>
        <w:t xml:space="preserve"> </w:t>
      </w:r>
      <w:r w:rsidRPr="001A3468">
        <w:rPr>
          <w:szCs w:val="26"/>
        </w:rPr>
        <w:t xml:space="preserve">1) offer benchmarking services (through EPA Portfolio Manager), 2) offer financial services, 3) be a “true one </w:t>
      </w:r>
      <w:r w:rsidRPr="00997A0F">
        <w:rPr>
          <w:szCs w:val="26"/>
        </w:rPr>
        <w:t>stop model”</w:t>
      </w:r>
      <w:r w:rsidRPr="00B171D3">
        <w:rPr>
          <w:szCs w:val="26"/>
        </w:rPr>
        <w:t xml:space="preserve"> </w:t>
      </w:r>
      <w:r w:rsidRPr="00736459">
        <w:rPr>
          <w:szCs w:val="26"/>
        </w:rPr>
        <w:t>whereby a property owner, manager or tenant will rely on them to facilitate and coordinate program access</w:t>
      </w:r>
      <w:r w:rsidRPr="00D23493">
        <w:rPr>
          <w:szCs w:val="26"/>
        </w:rPr>
        <w:t xml:space="preserve">, and </w:t>
      </w:r>
      <w:r w:rsidR="00D90C7B">
        <w:rPr>
          <w:szCs w:val="26"/>
        </w:rPr>
        <w:t>4</w:t>
      </w:r>
      <w:r w:rsidRPr="00D23493">
        <w:rPr>
          <w:szCs w:val="26"/>
        </w:rPr>
        <w:t xml:space="preserve">) continue to </w:t>
      </w:r>
      <w:r w:rsidRPr="00DD4527">
        <w:rPr>
          <w:szCs w:val="26"/>
        </w:rPr>
        <w:t>offer on-bill financing to qualified deed-restricted multifamily properties.</w:t>
      </w:r>
    </w:p>
    <w:p w:rsidRPr="004764F0" w:rsidR="000C1980" w:rsidP="00815B6D" w:rsidRDefault="000C1980" w14:paraId="38410902" w14:textId="7810B48B">
      <w:pPr>
        <w:pStyle w:val="OP"/>
        <w:numPr>
          <w:ilvl w:val="0"/>
          <w:numId w:val="24"/>
        </w:numPr>
        <w:tabs>
          <w:tab w:val="left" w:pos="990"/>
          <w:tab w:val="left" w:pos="1170"/>
        </w:tabs>
        <w:ind w:left="0" w:firstLine="547"/>
        <w:rPr>
          <w:szCs w:val="26"/>
        </w:rPr>
      </w:pPr>
      <w:r w:rsidRPr="00DD4527">
        <w:rPr>
          <w:szCs w:val="26"/>
        </w:rPr>
        <w:t>San Diego Gas &amp; Electric Company</w:t>
      </w:r>
      <w:r w:rsidRPr="00156F86">
        <w:rPr>
          <w:szCs w:val="26"/>
        </w:rPr>
        <w:t xml:space="preserve">’s proposal to use its “rapid feedback” budget to study its </w:t>
      </w:r>
      <w:r w:rsidRPr="00997A0F" w:rsidR="00997A0F">
        <w:rPr>
          <w:szCs w:val="26"/>
        </w:rPr>
        <w:t xml:space="preserve">Single Point of Contact </w:t>
      </w:r>
      <w:r w:rsidRPr="00156F86">
        <w:rPr>
          <w:szCs w:val="26"/>
        </w:rPr>
        <w:t>model is approved.</w:t>
      </w:r>
    </w:p>
    <w:p w:rsidRPr="0055031B" w:rsidR="000C1980" w:rsidP="00815B6D" w:rsidRDefault="000C1980" w14:paraId="32036BB7" w14:textId="42371212">
      <w:pPr>
        <w:pStyle w:val="OP"/>
        <w:numPr>
          <w:ilvl w:val="0"/>
          <w:numId w:val="24"/>
        </w:numPr>
        <w:tabs>
          <w:tab w:val="left" w:pos="990"/>
          <w:tab w:val="left" w:pos="1170"/>
        </w:tabs>
        <w:ind w:left="0" w:firstLine="547"/>
        <w:rPr>
          <w:szCs w:val="26"/>
        </w:rPr>
      </w:pPr>
      <w:r w:rsidRPr="00E36942">
        <w:rPr>
          <w:szCs w:val="26"/>
        </w:rPr>
        <w:t xml:space="preserve">Eligibility for the Utilities’ </w:t>
      </w:r>
      <w:r w:rsidRPr="00A65A5E" w:rsidR="009B7295">
        <w:rPr>
          <w:szCs w:val="26"/>
        </w:rPr>
        <w:t xml:space="preserve">Energy Savings Assistance </w:t>
      </w:r>
      <w:r w:rsidRPr="00E36942">
        <w:rPr>
          <w:szCs w:val="26"/>
        </w:rPr>
        <w:t xml:space="preserve">multifamily </w:t>
      </w:r>
      <w:r w:rsidR="00D05E42">
        <w:rPr>
          <w:szCs w:val="26"/>
        </w:rPr>
        <w:t>services</w:t>
      </w:r>
      <w:r w:rsidRPr="00F44120">
        <w:rPr>
          <w:szCs w:val="26"/>
        </w:rPr>
        <w:t xml:space="preserve"> (including in unit, common area and </w:t>
      </w:r>
      <w:r w:rsidR="00D05E42">
        <w:rPr>
          <w:szCs w:val="26"/>
        </w:rPr>
        <w:t>whole building</w:t>
      </w:r>
      <w:r w:rsidRPr="00F44120" w:rsidR="00D05E42">
        <w:rPr>
          <w:szCs w:val="26"/>
        </w:rPr>
        <w:t xml:space="preserve"> </w:t>
      </w:r>
      <w:r w:rsidRPr="00F44120">
        <w:rPr>
          <w:szCs w:val="26"/>
        </w:rPr>
        <w:t xml:space="preserve">measures) </w:t>
      </w:r>
      <w:r w:rsidR="00997A0F">
        <w:rPr>
          <w:szCs w:val="26"/>
        </w:rPr>
        <w:t>must</w:t>
      </w:r>
      <w:r w:rsidRPr="00F44120" w:rsidR="00997A0F">
        <w:rPr>
          <w:szCs w:val="26"/>
        </w:rPr>
        <w:t xml:space="preserve"> </w:t>
      </w:r>
      <w:r w:rsidRPr="00F44120">
        <w:rPr>
          <w:szCs w:val="26"/>
        </w:rPr>
        <w:t>be extended to n</w:t>
      </w:r>
      <w:r w:rsidRPr="00997A0F">
        <w:rPr>
          <w:szCs w:val="26"/>
        </w:rPr>
        <w:t>on-deed</w:t>
      </w:r>
      <w:r w:rsidR="00BE6535">
        <w:rPr>
          <w:szCs w:val="26"/>
        </w:rPr>
        <w:t xml:space="preserve"> </w:t>
      </w:r>
      <w:r w:rsidRPr="00997A0F">
        <w:rPr>
          <w:szCs w:val="26"/>
        </w:rPr>
        <w:t xml:space="preserve">restricted multifamily properties that meet the program’s income requirements.  </w:t>
      </w:r>
      <w:r w:rsidR="008573DF">
        <w:rPr>
          <w:szCs w:val="26"/>
        </w:rPr>
        <w:t xml:space="preserve">This eligibility </w:t>
      </w:r>
      <w:r w:rsidR="00BE6535">
        <w:rPr>
          <w:szCs w:val="26"/>
        </w:rPr>
        <w:t xml:space="preserve">requirement shall extend to </w:t>
      </w:r>
      <w:r w:rsidRPr="007B351F" w:rsidR="009B7295">
        <w:rPr>
          <w:szCs w:val="26"/>
        </w:rPr>
        <w:t xml:space="preserve">Marin Clean Energy’s </w:t>
      </w:r>
      <w:proofErr w:type="gramStart"/>
      <w:r w:rsidRPr="008145B7" w:rsidR="009B7295">
        <w:rPr>
          <w:szCs w:val="26"/>
        </w:rPr>
        <w:t>Low Income</w:t>
      </w:r>
      <w:proofErr w:type="gramEnd"/>
      <w:r w:rsidRPr="008145B7" w:rsidR="009B7295">
        <w:rPr>
          <w:szCs w:val="26"/>
        </w:rPr>
        <w:t xml:space="preserve"> Families and Tenants pilot</w:t>
      </w:r>
      <w:r w:rsidR="00BE6535">
        <w:rPr>
          <w:szCs w:val="26"/>
        </w:rPr>
        <w:t>.</w:t>
      </w:r>
    </w:p>
    <w:p w:rsidRPr="00156F86" w:rsidR="000C1980" w:rsidP="00815B6D" w:rsidRDefault="000C1980" w14:paraId="48482B17" w14:textId="35474467">
      <w:pPr>
        <w:pStyle w:val="OP"/>
        <w:numPr>
          <w:ilvl w:val="0"/>
          <w:numId w:val="24"/>
        </w:numPr>
        <w:tabs>
          <w:tab w:val="left" w:pos="990"/>
          <w:tab w:val="left" w:pos="1170"/>
        </w:tabs>
        <w:ind w:left="0" w:firstLine="547"/>
        <w:rPr>
          <w:szCs w:val="26"/>
        </w:rPr>
      </w:pPr>
      <w:r w:rsidRPr="00054B32">
        <w:rPr>
          <w:szCs w:val="26"/>
        </w:rPr>
        <w:t xml:space="preserve">The income qualification threshold </w:t>
      </w:r>
      <w:r w:rsidRPr="009C5F77">
        <w:rPr>
          <w:szCs w:val="26"/>
        </w:rPr>
        <w:t xml:space="preserve">to receive </w:t>
      </w:r>
      <w:r w:rsidR="00D90C7B">
        <w:rPr>
          <w:szCs w:val="26"/>
        </w:rPr>
        <w:t xml:space="preserve">Energy Savings Assistance </w:t>
      </w:r>
      <w:r w:rsidR="00BE6535">
        <w:rPr>
          <w:szCs w:val="26"/>
        </w:rPr>
        <w:t xml:space="preserve">(ESA) </w:t>
      </w:r>
      <w:r w:rsidR="00D90C7B">
        <w:rPr>
          <w:szCs w:val="26"/>
        </w:rPr>
        <w:t>program</w:t>
      </w:r>
      <w:r w:rsidR="004815B3">
        <w:rPr>
          <w:szCs w:val="26"/>
        </w:rPr>
        <w:t>s</w:t>
      </w:r>
      <w:r w:rsidRPr="00DD4527" w:rsidR="00D90C7B">
        <w:rPr>
          <w:szCs w:val="26"/>
        </w:rPr>
        <w:t xml:space="preserve"> </w:t>
      </w:r>
      <w:r w:rsidRPr="009C5F77">
        <w:rPr>
          <w:szCs w:val="26"/>
        </w:rPr>
        <w:t xml:space="preserve">multifamily whole building services or common area measures </w:t>
      </w:r>
      <w:r w:rsidR="00997A0F">
        <w:rPr>
          <w:szCs w:val="26"/>
        </w:rPr>
        <w:t>must</w:t>
      </w:r>
      <w:r w:rsidRPr="00997A0F" w:rsidR="00997A0F">
        <w:rPr>
          <w:szCs w:val="26"/>
        </w:rPr>
        <w:t xml:space="preserve"> </w:t>
      </w:r>
      <w:r w:rsidRPr="00997A0F">
        <w:rPr>
          <w:szCs w:val="26"/>
        </w:rPr>
        <w:t xml:space="preserve">be lowered from 80 percent of the households at the property meeting the </w:t>
      </w:r>
      <w:r w:rsidR="00D90C7B">
        <w:rPr>
          <w:szCs w:val="26"/>
        </w:rPr>
        <w:t>ESA</w:t>
      </w:r>
      <w:r w:rsidRPr="00736459">
        <w:rPr>
          <w:szCs w:val="26"/>
        </w:rPr>
        <w:t xml:space="preserve"> </w:t>
      </w:r>
      <w:r w:rsidR="00997A0F">
        <w:rPr>
          <w:szCs w:val="26"/>
        </w:rPr>
        <w:t xml:space="preserve">program </w:t>
      </w:r>
      <w:r w:rsidRPr="00736459">
        <w:rPr>
          <w:szCs w:val="26"/>
        </w:rPr>
        <w:t>income requirements to 65</w:t>
      </w:r>
      <w:r w:rsidRPr="00DD4527">
        <w:rPr>
          <w:szCs w:val="26"/>
        </w:rPr>
        <w:t xml:space="preserve"> percent for</w:t>
      </w:r>
      <w:r w:rsidRPr="00156F86">
        <w:rPr>
          <w:szCs w:val="26"/>
        </w:rPr>
        <w:t xml:space="preserve"> deed restricted properties.  </w:t>
      </w:r>
      <w:r w:rsidRPr="009E669E" w:rsidR="009E669E">
        <w:rPr>
          <w:szCs w:val="26"/>
        </w:rPr>
        <w:t xml:space="preserve">This </w:t>
      </w:r>
      <w:r w:rsidRPr="00054B32" w:rsidR="009E669E">
        <w:rPr>
          <w:szCs w:val="26"/>
        </w:rPr>
        <w:t xml:space="preserve">income qualification threshold </w:t>
      </w:r>
      <w:r w:rsidRPr="009E669E" w:rsidR="009E669E">
        <w:rPr>
          <w:szCs w:val="26"/>
        </w:rPr>
        <w:t xml:space="preserve">shall extend to Marin Clean Energy’s </w:t>
      </w:r>
      <w:proofErr w:type="gramStart"/>
      <w:r w:rsidRPr="009E669E" w:rsidR="009E669E">
        <w:rPr>
          <w:szCs w:val="26"/>
        </w:rPr>
        <w:t>Low Income</w:t>
      </w:r>
      <w:proofErr w:type="gramEnd"/>
      <w:r w:rsidRPr="009E669E" w:rsidR="009E669E">
        <w:rPr>
          <w:szCs w:val="26"/>
        </w:rPr>
        <w:t xml:space="preserve"> Families and Tenants pilot.</w:t>
      </w:r>
    </w:p>
    <w:p w:rsidRPr="00156F86" w:rsidR="000C1980" w:rsidP="00815B6D" w:rsidRDefault="000C1980" w14:paraId="13A9E281" w14:textId="187D3B54">
      <w:pPr>
        <w:pStyle w:val="OP"/>
        <w:numPr>
          <w:ilvl w:val="0"/>
          <w:numId w:val="24"/>
        </w:numPr>
        <w:tabs>
          <w:tab w:val="left" w:pos="990"/>
          <w:tab w:val="left" w:pos="1170"/>
        </w:tabs>
        <w:ind w:left="0" w:firstLine="547"/>
        <w:rPr>
          <w:szCs w:val="26"/>
        </w:rPr>
      </w:pPr>
      <w:r w:rsidRPr="004764F0">
        <w:rPr>
          <w:szCs w:val="26"/>
        </w:rPr>
        <w:lastRenderedPageBreak/>
        <w:t>The income qualification threshold to qualify for full</w:t>
      </w:r>
      <w:r w:rsidRPr="00E36942">
        <w:rPr>
          <w:szCs w:val="26"/>
        </w:rPr>
        <w:t xml:space="preserve"> property treatment of </w:t>
      </w:r>
      <w:r w:rsidRPr="00A65A5E">
        <w:rPr>
          <w:szCs w:val="26"/>
        </w:rPr>
        <w:t xml:space="preserve">Energy Savings Assistance </w:t>
      </w:r>
      <w:r>
        <w:rPr>
          <w:szCs w:val="26"/>
        </w:rPr>
        <w:t>(</w:t>
      </w:r>
      <w:r w:rsidRPr="00736459">
        <w:rPr>
          <w:szCs w:val="26"/>
        </w:rPr>
        <w:t>ESA)</w:t>
      </w:r>
      <w:r w:rsidRPr="0006225C">
        <w:rPr>
          <w:szCs w:val="26"/>
        </w:rPr>
        <w:t xml:space="preserve"> </w:t>
      </w:r>
      <w:r w:rsidR="00A841E7">
        <w:rPr>
          <w:szCs w:val="26"/>
        </w:rPr>
        <w:t>program</w:t>
      </w:r>
      <w:r w:rsidR="000F7F40">
        <w:rPr>
          <w:szCs w:val="26"/>
        </w:rPr>
        <w:t>s</w:t>
      </w:r>
      <w:r w:rsidR="00A841E7">
        <w:rPr>
          <w:szCs w:val="26"/>
        </w:rPr>
        <w:t xml:space="preserve"> </w:t>
      </w:r>
      <w:r w:rsidRPr="0006225C">
        <w:rPr>
          <w:szCs w:val="26"/>
        </w:rPr>
        <w:t xml:space="preserve">in-unit services </w:t>
      </w:r>
      <w:r w:rsidR="00A841E7">
        <w:rPr>
          <w:szCs w:val="26"/>
        </w:rPr>
        <w:t>must</w:t>
      </w:r>
      <w:r w:rsidRPr="0006225C" w:rsidR="00A841E7">
        <w:rPr>
          <w:szCs w:val="26"/>
        </w:rPr>
        <w:t xml:space="preserve"> </w:t>
      </w:r>
      <w:r w:rsidRPr="0006225C">
        <w:rPr>
          <w:szCs w:val="26"/>
        </w:rPr>
        <w:t>be lowered from 80</w:t>
      </w:r>
      <w:r w:rsidRPr="00D23493">
        <w:rPr>
          <w:szCs w:val="26"/>
        </w:rPr>
        <w:t> percent</w:t>
      </w:r>
      <w:r w:rsidRPr="00D80E2C">
        <w:rPr>
          <w:szCs w:val="26"/>
        </w:rPr>
        <w:t xml:space="preserve"> of the hous</w:t>
      </w:r>
      <w:r w:rsidRPr="00DD4527">
        <w:rPr>
          <w:szCs w:val="26"/>
        </w:rPr>
        <w:t xml:space="preserve">eholds at the property meeting the </w:t>
      </w:r>
      <w:r w:rsidRPr="00A65A5E">
        <w:rPr>
          <w:szCs w:val="26"/>
        </w:rPr>
        <w:t>ESA</w:t>
      </w:r>
      <w:r w:rsidRPr="00736459">
        <w:rPr>
          <w:szCs w:val="26"/>
        </w:rPr>
        <w:t xml:space="preserve"> income requirements to 65</w:t>
      </w:r>
      <w:r w:rsidRPr="00DD4527">
        <w:rPr>
          <w:szCs w:val="26"/>
        </w:rPr>
        <w:t> percent for deed restricted properties.</w:t>
      </w:r>
      <w:r w:rsidRPr="009E669E" w:rsidR="009E669E">
        <w:rPr>
          <w:szCs w:val="26"/>
        </w:rPr>
        <w:t xml:space="preserve"> This </w:t>
      </w:r>
      <w:r w:rsidRPr="00054B32" w:rsidR="009E669E">
        <w:rPr>
          <w:szCs w:val="26"/>
        </w:rPr>
        <w:t xml:space="preserve">income qualification threshold </w:t>
      </w:r>
      <w:r w:rsidRPr="009E669E" w:rsidR="009E669E">
        <w:rPr>
          <w:szCs w:val="26"/>
        </w:rPr>
        <w:t xml:space="preserve">shall extend to Marin Clean Energy’s </w:t>
      </w:r>
      <w:proofErr w:type="gramStart"/>
      <w:r w:rsidRPr="009E669E" w:rsidR="009E669E">
        <w:rPr>
          <w:szCs w:val="26"/>
        </w:rPr>
        <w:t>Low Income</w:t>
      </w:r>
      <w:proofErr w:type="gramEnd"/>
      <w:r w:rsidRPr="009E669E" w:rsidR="009E669E">
        <w:rPr>
          <w:szCs w:val="26"/>
        </w:rPr>
        <w:t xml:space="preserve"> Families and Tenants pilot.</w:t>
      </w:r>
    </w:p>
    <w:p w:rsidRPr="00F44120" w:rsidR="000C1980" w:rsidP="00815B6D" w:rsidRDefault="000C1980" w14:paraId="2BDF8C22" w14:textId="1B56675C">
      <w:pPr>
        <w:pStyle w:val="OP"/>
        <w:numPr>
          <w:ilvl w:val="0"/>
          <w:numId w:val="24"/>
        </w:numPr>
        <w:tabs>
          <w:tab w:val="left" w:pos="990"/>
          <w:tab w:val="left" w:pos="1170"/>
        </w:tabs>
        <w:ind w:left="0" w:firstLine="547"/>
        <w:rPr>
          <w:szCs w:val="26"/>
        </w:rPr>
      </w:pPr>
      <w:r w:rsidRPr="00DD4527">
        <w:rPr>
          <w:szCs w:val="26"/>
        </w:rPr>
        <w:t>Pacific Gas and Electr</w:t>
      </w:r>
      <w:r w:rsidRPr="004764F0">
        <w:rPr>
          <w:szCs w:val="26"/>
        </w:rPr>
        <w:t xml:space="preserve">ic Company, Southern California Edison Company, San Diego Gas &amp; Electric Company and Southern California Gas Company </w:t>
      </w:r>
      <w:r w:rsidR="00A841E7">
        <w:rPr>
          <w:szCs w:val="26"/>
        </w:rPr>
        <w:t>must</w:t>
      </w:r>
      <w:r w:rsidRPr="00E36942" w:rsidR="00A841E7">
        <w:rPr>
          <w:szCs w:val="26"/>
        </w:rPr>
        <w:t xml:space="preserve"> </w:t>
      </w:r>
      <w:r w:rsidRPr="00E36942">
        <w:rPr>
          <w:szCs w:val="26"/>
        </w:rPr>
        <w:t>allow property owners to enroll tenants in</w:t>
      </w:r>
      <w:r w:rsidRPr="0015090D">
        <w:rPr>
          <w:szCs w:val="26"/>
        </w:rPr>
        <w:t xml:space="preserve">to </w:t>
      </w:r>
      <w:r w:rsidRPr="0055031B" w:rsidR="0055031B">
        <w:rPr>
          <w:szCs w:val="26"/>
        </w:rPr>
        <w:t>the Energy Savings Assistance program</w:t>
      </w:r>
      <w:r w:rsidR="00CA28BB">
        <w:rPr>
          <w:szCs w:val="26"/>
        </w:rPr>
        <w:t>s</w:t>
      </w:r>
      <w:r w:rsidRPr="0055031B" w:rsidR="0055031B">
        <w:rPr>
          <w:szCs w:val="26"/>
        </w:rPr>
        <w:t xml:space="preserve"> </w:t>
      </w:r>
      <w:r w:rsidRPr="0015090D">
        <w:rPr>
          <w:szCs w:val="26"/>
        </w:rPr>
        <w:t>for in-unit measures</w:t>
      </w:r>
      <w:r w:rsidRPr="004F3A73">
        <w:rPr>
          <w:szCs w:val="26"/>
        </w:rPr>
        <w:t xml:space="preserve"> and install measures without the tenant having to separately enroll, so long as the property owner provides </w:t>
      </w:r>
      <w:r w:rsidRPr="00F44120">
        <w:rPr>
          <w:szCs w:val="26"/>
        </w:rPr>
        <w:t>appropriate income eligibility documentation.</w:t>
      </w:r>
      <w:r w:rsidR="0054126B">
        <w:rPr>
          <w:szCs w:val="26"/>
        </w:rPr>
        <w:t xml:space="preserve"> </w:t>
      </w:r>
      <w:r w:rsidRPr="009E669E" w:rsidR="0054126B">
        <w:rPr>
          <w:szCs w:val="26"/>
        </w:rPr>
        <w:t xml:space="preserve">This </w:t>
      </w:r>
      <w:r w:rsidR="0054126B">
        <w:rPr>
          <w:szCs w:val="26"/>
        </w:rPr>
        <w:t>enrollment</w:t>
      </w:r>
      <w:r w:rsidRPr="00054B32" w:rsidR="0054126B">
        <w:rPr>
          <w:szCs w:val="26"/>
        </w:rPr>
        <w:t xml:space="preserve"> </w:t>
      </w:r>
      <w:r w:rsidR="0054126B">
        <w:rPr>
          <w:szCs w:val="26"/>
        </w:rPr>
        <w:t>option</w:t>
      </w:r>
      <w:r w:rsidRPr="00054B32" w:rsidR="0054126B">
        <w:rPr>
          <w:szCs w:val="26"/>
        </w:rPr>
        <w:t xml:space="preserve"> </w:t>
      </w:r>
      <w:r w:rsidRPr="009E669E" w:rsidR="0054126B">
        <w:rPr>
          <w:szCs w:val="26"/>
        </w:rPr>
        <w:t xml:space="preserve">shall extend to Marin Clean Energy’s </w:t>
      </w:r>
      <w:proofErr w:type="gramStart"/>
      <w:r w:rsidRPr="009E669E" w:rsidR="0054126B">
        <w:rPr>
          <w:szCs w:val="26"/>
        </w:rPr>
        <w:t>Low Income</w:t>
      </w:r>
      <w:proofErr w:type="gramEnd"/>
      <w:r w:rsidRPr="009E669E" w:rsidR="0054126B">
        <w:rPr>
          <w:szCs w:val="26"/>
        </w:rPr>
        <w:t xml:space="preserve"> Families and Tenants pilot.</w:t>
      </w:r>
    </w:p>
    <w:p w:rsidRPr="007B351F" w:rsidR="000C1980" w:rsidP="00815B6D" w:rsidRDefault="000C1980" w14:paraId="3A0FB996" w14:textId="39090D6F">
      <w:pPr>
        <w:pStyle w:val="OP"/>
        <w:numPr>
          <w:ilvl w:val="0"/>
          <w:numId w:val="24"/>
        </w:numPr>
        <w:tabs>
          <w:tab w:val="left" w:pos="990"/>
          <w:tab w:val="left" w:pos="1170"/>
        </w:tabs>
        <w:ind w:left="0" w:firstLine="547"/>
        <w:rPr>
          <w:szCs w:val="26"/>
        </w:rPr>
      </w:pPr>
      <w:r w:rsidRPr="00054B32">
        <w:rPr>
          <w:szCs w:val="26"/>
        </w:rPr>
        <w:t xml:space="preserve">Pacific Gas and Electric Company, Southern California Edison Company, San Diego Gas &amp; Electric Company and Southern California Gas </w:t>
      </w:r>
      <w:r w:rsidRPr="009C5F77">
        <w:rPr>
          <w:szCs w:val="26"/>
        </w:rPr>
        <w:t xml:space="preserve">Company </w:t>
      </w:r>
      <w:r w:rsidR="0055031B">
        <w:rPr>
          <w:szCs w:val="26"/>
        </w:rPr>
        <w:t>must</w:t>
      </w:r>
      <w:r w:rsidRPr="0055031B" w:rsidR="0055031B">
        <w:rPr>
          <w:szCs w:val="26"/>
        </w:rPr>
        <w:t xml:space="preserve"> </w:t>
      </w:r>
      <w:r w:rsidRPr="0055031B">
        <w:rPr>
          <w:szCs w:val="26"/>
        </w:rPr>
        <w:t xml:space="preserve">continue to allow non-deed restricted multifamily property owners to </w:t>
      </w:r>
      <w:r w:rsidRPr="00054B32">
        <w:rPr>
          <w:szCs w:val="26"/>
        </w:rPr>
        <w:t>certify that at least 80</w:t>
      </w:r>
      <w:r w:rsidRPr="009C5F77">
        <w:rPr>
          <w:szCs w:val="26"/>
        </w:rPr>
        <w:t xml:space="preserve"> percent of the building’s tenants meet </w:t>
      </w:r>
      <w:r w:rsidRPr="000503CA">
        <w:rPr>
          <w:szCs w:val="26"/>
        </w:rPr>
        <w:t>the</w:t>
      </w:r>
      <w:r w:rsidRPr="0055031B" w:rsidR="0055031B">
        <w:rPr>
          <w:szCs w:val="26"/>
        </w:rPr>
        <w:t xml:space="preserve"> Energy Savings Assistance program</w:t>
      </w:r>
      <w:r w:rsidR="00A055FB">
        <w:rPr>
          <w:szCs w:val="26"/>
        </w:rPr>
        <w:t>s</w:t>
      </w:r>
      <w:r w:rsidRPr="0055031B" w:rsidR="0055031B">
        <w:rPr>
          <w:szCs w:val="26"/>
        </w:rPr>
        <w:t xml:space="preserve"> </w:t>
      </w:r>
      <w:r w:rsidRPr="0055031B">
        <w:rPr>
          <w:szCs w:val="26"/>
        </w:rPr>
        <w:t xml:space="preserve">income eligibility thresholds and therefore </w:t>
      </w:r>
      <w:r w:rsidRPr="00054B32">
        <w:rPr>
          <w:szCs w:val="26"/>
        </w:rPr>
        <w:t>authorize treatment for all households withou</w:t>
      </w:r>
      <w:r w:rsidRPr="009C5F77">
        <w:rPr>
          <w:szCs w:val="26"/>
        </w:rPr>
        <w:t>t the Utilities</w:t>
      </w:r>
      <w:r w:rsidRPr="000503CA">
        <w:rPr>
          <w:szCs w:val="26"/>
        </w:rPr>
        <w:t xml:space="preserve"> requiring </w:t>
      </w:r>
      <w:r w:rsidRPr="00D34A5A">
        <w:rPr>
          <w:szCs w:val="26"/>
        </w:rPr>
        <w:t xml:space="preserve">individual </w:t>
      </w:r>
      <w:r w:rsidRPr="00FF0022">
        <w:rPr>
          <w:szCs w:val="26"/>
        </w:rPr>
        <w:t xml:space="preserve">tenant </w:t>
      </w:r>
      <w:r w:rsidRPr="00075B67">
        <w:rPr>
          <w:szCs w:val="26"/>
        </w:rPr>
        <w:t>verification</w:t>
      </w:r>
      <w:r w:rsidRPr="00D9232D">
        <w:rPr>
          <w:szCs w:val="26"/>
        </w:rPr>
        <w:t>.</w:t>
      </w:r>
      <w:r w:rsidR="007E60DC">
        <w:rPr>
          <w:szCs w:val="26"/>
        </w:rPr>
        <w:t xml:space="preserve"> </w:t>
      </w:r>
      <w:r w:rsidRPr="009E669E" w:rsidR="00A427F0">
        <w:rPr>
          <w:szCs w:val="26"/>
        </w:rPr>
        <w:t xml:space="preserve">This </w:t>
      </w:r>
      <w:r w:rsidR="00A427F0">
        <w:rPr>
          <w:szCs w:val="26"/>
        </w:rPr>
        <w:t>enrollment</w:t>
      </w:r>
      <w:r w:rsidRPr="00054B32" w:rsidR="00A427F0">
        <w:rPr>
          <w:szCs w:val="26"/>
        </w:rPr>
        <w:t xml:space="preserve"> </w:t>
      </w:r>
      <w:r w:rsidR="00A427F0">
        <w:rPr>
          <w:szCs w:val="26"/>
        </w:rPr>
        <w:t>option</w:t>
      </w:r>
      <w:r w:rsidRPr="00054B32" w:rsidR="00A427F0">
        <w:rPr>
          <w:szCs w:val="26"/>
        </w:rPr>
        <w:t xml:space="preserve"> </w:t>
      </w:r>
      <w:r w:rsidRPr="009E669E" w:rsidR="00A427F0">
        <w:rPr>
          <w:szCs w:val="26"/>
        </w:rPr>
        <w:t xml:space="preserve">shall extend to Marin Clean Energy’s </w:t>
      </w:r>
      <w:proofErr w:type="gramStart"/>
      <w:r w:rsidRPr="009E669E" w:rsidR="00A427F0">
        <w:rPr>
          <w:szCs w:val="26"/>
        </w:rPr>
        <w:t>Low Income</w:t>
      </w:r>
      <w:proofErr w:type="gramEnd"/>
      <w:r w:rsidRPr="009E669E" w:rsidR="00A427F0">
        <w:rPr>
          <w:szCs w:val="26"/>
        </w:rPr>
        <w:t xml:space="preserve"> Families and Tenants pilot.</w:t>
      </w:r>
    </w:p>
    <w:p w:rsidRPr="0015090D" w:rsidR="000C1980" w:rsidP="00815B6D" w:rsidRDefault="000C1980" w14:paraId="084F830A" w14:textId="3C1718EE">
      <w:pPr>
        <w:pStyle w:val="OP"/>
        <w:numPr>
          <w:ilvl w:val="0"/>
          <w:numId w:val="24"/>
        </w:numPr>
        <w:tabs>
          <w:tab w:val="left" w:pos="990"/>
          <w:tab w:val="left" w:pos="1170"/>
        </w:tabs>
        <w:ind w:left="0" w:firstLine="547"/>
        <w:rPr>
          <w:szCs w:val="26"/>
        </w:rPr>
      </w:pPr>
      <w:r w:rsidRPr="00AA1EAC">
        <w:rPr>
          <w:szCs w:val="26"/>
        </w:rPr>
        <w:t xml:space="preserve">Pacific Gas and Electric Company, Southern California Edison Company, San Diego Gas &amp; Electric Company and Southern California Gas Company </w:t>
      </w:r>
      <w:r w:rsidR="0055031B">
        <w:rPr>
          <w:szCs w:val="26"/>
        </w:rPr>
        <w:t>must</w:t>
      </w:r>
      <w:r w:rsidRPr="0055031B" w:rsidR="0055031B">
        <w:rPr>
          <w:szCs w:val="26"/>
        </w:rPr>
        <w:t xml:space="preserve"> </w:t>
      </w:r>
      <w:r w:rsidRPr="0055031B">
        <w:rPr>
          <w:szCs w:val="26"/>
        </w:rPr>
        <w:t xml:space="preserve">allow deed restricted multifamily property owners to </w:t>
      </w:r>
      <w:r w:rsidRPr="00054B32">
        <w:rPr>
          <w:szCs w:val="26"/>
        </w:rPr>
        <w:t>certify that</w:t>
      </w:r>
      <w:r w:rsidRPr="009C5F77">
        <w:rPr>
          <w:szCs w:val="26"/>
        </w:rPr>
        <w:t xml:space="preserve"> at least 65 percent</w:t>
      </w:r>
      <w:r w:rsidRPr="000503CA">
        <w:rPr>
          <w:szCs w:val="26"/>
        </w:rPr>
        <w:t xml:space="preserve"> of the building’s tenants meet the </w:t>
      </w:r>
      <w:r w:rsidRPr="00A65A5E">
        <w:rPr>
          <w:szCs w:val="26"/>
        </w:rPr>
        <w:t>Energy Savings Assistance</w:t>
      </w:r>
      <w:r w:rsidRPr="00736459">
        <w:rPr>
          <w:szCs w:val="26"/>
        </w:rPr>
        <w:t xml:space="preserve"> </w:t>
      </w:r>
      <w:r w:rsidR="0055031B">
        <w:rPr>
          <w:szCs w:val="26"/>
        </w:rPr>
        <w:t>program</w:t>
      </w:r>
      <w:r w:rsidR="00A055FB">
        <w:rPr>
          <w:szCs w:val="26"/>
        </w:rPr>
        <w:t>s</w:t>
      </w:r>
      <w:r w:rsidR="0055031B">
        <w:rPr>
          <w:szCs w:val="26"/>
        </w:rPr>
        <w:t xml:space="preserve"> </w:t>
      </w:r>
      <w:r w:rsidRPr="00736459">
        <w:rPr>
          <w:szCs w:val="26"/>
        </w:rPr>
        <w:t>income eligibility thresholds and</w:t>
      </w:r>
      <w:r w:rsidRPr="00DD4527">
        <w:rPr>
          <w:szCs w:val="26"/>
        </w:rPr>
        <w:t xml:space="preserve"> therefore authorize treatment for all </w:t>
      </w:r>
      <w:r w:rsidRPr="00DD4527">
        <w:rPr>
          <w:szCs w:val="26"/>
        </w:rPr>
        <w:lastRenderedPageBreak/>
        <w:t>households without the Utilities</w:t>
      </w:r>
      <w:r w:rsidRPr="004764F0">
        <w:rPr>
          <w:szCs w:val="26"/>
        </w:rPr>
        <w:t xml:space="preserve"> </w:t>
      </w:r>
      <w:r w:rsidRPr="00E36942">
        <w:rPr>
          <w:szCs w:val="26"/>
        </w:rPr>
        <w:t xml:space="preserve">requiring individual </w:t>
      </w:r>
      <w:r w:rsidRPr="0015090D">
        <w:rPr>
          <w:szCs w:val="26"/>
        </w:rPr>
        <w:t xml:space="preserve">tenant verification. </w:t>
      </w:r>
      <w:r w:rsidR="000E5251">
        <w:rPr>
          <w:szCs w:val="26"/>
        </w:rPr>
        <w:t xml:space="preserve"> </w:t>
      </w:r>
      <w:r w:rsidRPr="009E669E" w:rsidR="00A427F0">
        <w:rPr>
          <w:szCs w:val="26"/>
        </w:rPr>
        <w:t xml:space="preserve">This </w:t>
      </w:r>
      <w:r w:rsidR="00A427F0">
        <w:rPr>
          <w:szCs w:val="26"/>
        </w:rPr>
        <w:t>enrollment</w:t>
      </w:r>
      <w:r w:rsidRPr="00054B32" w:rsidR="00A427F0">
        <w:rPr>
          <w:szCs w:val="26"/>
        </w:rPr>
        <w:t xml:space="preserve"> </w:t>
      </w:r>
      <w:r w:rsidR="00A427F0">
        <w:rPr>
          <w:szCs w:val="26"/>
        </w:rPr>
        <w:t>option</w:t>
      </w:r>
      <w:r w:rsidRPr="00054B32" w:rsidR="00A427F0">
        <w:rPr>
          <w:szCs w:val="26"/>
        </w:rPr>
        <w:t xml:space="preserve"> </w:t>
      </w:r>
      <w:r w:rsidRPr="009E669E" w:rsidR="00A427F0">
        <w:rPr>
          <w:szCs w:val="26"/>
        </w:rPr>
        <w:t xml:space="preserve">shall extend to Marin Clean Energy’s </w:t>
      </w:r>
      <w:proofErr w:type="gramStart"/>
      <w:r w:rsidRPr="009E669E" w:rsidR="00A427F0">
        <w:rPr>
          <w:szCs w:val="26"/>
        </w:rPr>
        <w:t>Low Income</w:t>
      </w:r>
      <w:proofErr w:type="gramEnd"/>
      <w:r w:rsidRPr="009E669E" w:rsidR="00A427F0">
        <w:rPr>
          <w:szCs w:val="26"/>
        </w:rPr>
        <w:t xml:space="preserve"> Families and Tenants pilot.</w:t>
      </w:r>
    </w:p>
    <w:p w:rsidRPr="00DD4527" w:rsidR="000C1980" w:rsidP="00815B6D" w:rsidRDefault="000C1980" w14:paraId="6D62DE69" w14:textId="7E6403BF">
      <w:pPr>
        <w:pStyle w:val="OP"/>
        <w:numPr>
          <w:ilvl w:val="0"/>
          <w:numId w:val="24"/>
        </w:numPr>
        <w:tabs>
          <w:tab w:val="left" w:pos="990"/>
          <w:tab w:val="left" w:pos="1170"/>
        </w:tabs>
        <w:ind w:left="0" w:firstLine="547"/>
        <w:rPr>
          <w:szCs w:val="26"/>
        </w:rPr>
      </w:pPr>
      <w:r w:rsidRPr="004F3A73">
        <w:rPr>
          <w:szCs w:val="26"/>
        </w:rPr>
        <w:t xml:space="preserve">Pacific Gas and Electric Company, Southern California Edison Company, San Diego Gas &amp; Electric Company and Southern California Gas Company </w:t>
      </w:r>
      <w:r w:rsidR="001D0ACA">
        <w:rPr>
          <w:szCs w:val="26"/>
        </w:rPr>
        <w:t>must</w:t>
      </w:r>
      <w:r w:rsidRPr="00F44120" w:rsidR="001D0ACA">
        <w:rPr>
          <w:szCs w:val="26"/>
        </w:rPr>
        <w:t xml:space="preserve"> </w:t>
      </w:r>
      <w:r w:rsidRPr="00F44120">
        <w:rPr>
          <w:szCs w:val="26"/>
        </w:rPr>
        <w:t>require a 50 percent</w:t>
      </w:r>
      <w:r w:rsidRPr="003177C1">
        <w:rPr>
          <w:szCs w:val="26"/>
        </w:rPr>
        <w:t xml:space="preserve"> property owner co-pay for </w:t>
      </w:r>
      <w:r w:rsidRPr="00A65A5E" w:rsidR="003379DF">
        <w:rPr>
          <w:szCs w:val="26"/>
        </w:rPr>
        <w:t>Energy Savings Assistance</w:t>
      </w:r>
      <w:r w:rsidR="003379DF">
        <w:rPr>
          <w:szCs w:val="26"/>
        </w:rPr>
        <w:t xml:space="preserve"> (ESA) program</w:t>
      </w:r>
      <w:r w:rsidR="00A055FB">
        <w:rPr>
          <w:szCs w:val="26"/>
        </w:rPr>
        <w:t>s</w:t>
      </w:r>
      <w:r w:rsidR="003379DF">
        <w:rPr>
          <w:szCs w:val="26"/>
        </w:rPr>
        <w:t xml:space="preserve"> </w:t>
      </w:r>
      <w:r w:rsidRPr="003177C1">
        <w:rPr>
          <w:szCs w:val="26"/>
        </w:rPr>
        <w:t xml:space="preserve">multifamily whole building </w:t>
      </w:r>
      <w:r w:rsidRPr="00997A0F">
        <w:rPr>
          <w:szCs w:val="26"/>
        </w:rPr>
        <w:t>measures and common area measures in</w:t>
      </w:r>
      <w:r w:rsidRPr="00054B32">
        <w:rPr>
          <w:szCs w:val="26"/>
        </w:rPr>
        <w:t xml:space="preserve"> non-deed restricted buildi</w:t>
      </w:r>
      <w:r w:rsidRPr="009C5F77">
        <w:rPr>
          <w:szCs w:val="26"/>
        </w:rPr>
        <w:t>ngs</w:t>
      </w:r>
      <w:r w:rsidRPr="000503CA">
        <w:rPr>
          <w:szCs w:val="26"/>
        </w:rPr>
        <w:t xml:space="preserve">.  Eligible multifamily </w:t>
      </w:r>
      <w:r w:rsidR="003379DF">
        <w:rPr>
          <w:szCs w:val="26"/>
        </w:rPr>
        <w:t xml:space="preserve">ESA </w:t>
      </w:r>
      <w:r w:rsidR="001D0ACA">
        <w:rPr>
          <w:szCs w:val="26"/>
        </w:rPr>
        <w:t>program</w:t>
      </w:r>
      <w:r w:rsidRPr="00736459">
        <w:rPr>
          <w:szCs w:val="26"/>
        </w:rPr>
        <w:t xml:space="preserve"> i</w:t>
      </w:r>
      <w:r w:rsidRPr="0006225C">
        <w:rPr>
          <w:szCs w:val="26"/>
        </w:rPr>
        <w:t xml:space="preserve">n-unit measures </w:t>
      </w:r>
      <w:r w:rsidR="001D0ACA">
        <w:rPr>
          <w:szCs w:val="26"/>
        </w:rPr>
        <w:t>will</w:t>
      </w:r>
      <w:r w:rsidRPr="00D23493" w:rsidR="001D0ACA">
        <w:rPr>
          <w:szCs w:val="26"/>
        </w:rPr>
        <w:t xml:space="preserve"> </w:t>
      </w:r>
      <w:r w:rsidRPr="00D23493">
        <w:rPr>
          <w:szCs w:val="26"/>
        </w:rPr>
        <w:t>continue to be fully subsidized for both deed restricted and non-deed restricted properties</w:t>
      </w:r>
      <w:r w:rsidRPr="00DD4527">
        <w:rPr>
          <w:szCs w:val="26"/>
        </w:rPr>
        <w:t xml:space="preserve">. </w:t>
      </w:r>
    </w:p>
    <w:p w:rsidRPr="00054B32" w:rsidR="000C1980" w:rsidP="00815B6D" w:rsidRDefault="000C1980" w14:paraId="04FB62CD" w14:textId="58803302">
      <w:pPr>
        <w:pStyle w:val="OP"/>
        <w:numPr>
          <w:ilvl w:val="0"/>
          <w:numId w:val="24"/>
        </w:numPr>
        <w:tabs>
          <w:tab w:val="left" w:pos="990"/>
          <w:tab w:val="left" w:pos="1170"/>
        </w:tabs>
        <w:ind w:left="0" w:firstLine="547"/>
        <w:rPr>
          <w:szCs w:val="26"/>
        </w:rPr>
      </w:pPr>
      <w:r w:rsidRPr="00DD4527">
        <w:rPr>
          <w:szCs w:val="26"/>
        </w:rPr>
        <w:t xml:space="preserve">Pacific Gas and Electric Company, Southern California Edison Company, San Diego Gas &amp; </w:t>
      </w:r>
      <w:r w:rsidRPr="004764F0">
        <w:rPr>
          <w:szCs w:val="26"/>
        </w:rPr>
        <w:t xml:space="preserve">Electric Company and Southern California Gas Company </w:t>
      </w:r>
      <w:r w:rsidR="001D0ACA">
        <w:rPr>
          <w:szCs w:val="26"/>
        </w:rPr>
        <w:t>must</w:t>
      </w:r>
      <w:r w:rsidRPr="00E36942" w:rsidR="001D0ACA">
        <w:rPr>
          <w:szCs w:val="26"/>
        </w:rPr>
        <w:t xml:space="preserve"> </w:t>
      </w:r>
      <w:r w:rsidRPr="00E36942">
        <w:rPr>
          <w:szCs w:val="26"/>
        </w:rPr>
        <w:t>execute rent restriction agreements between the respective Utility and non-deed restricted multifamily whole building (</w:t>
      </w:r>
      <w:r w:rsidRPr="004F3A73" w:rsidDel="002B68B1">
        <w:rPr>
          <w:szCs w:val="26"/>
        </w:rPr>
        <w:t>MFWB</w:t>
      </w:r>
      <w:r w:rsidRPr="004F3A73">
        <w:rPr>
          <w:szCs w:val="26"/>
        </w:rPr>
        <w:t>)</w:t>
      </w:r>
      <w:r w:rsidRPr="004F3A73" w:rsidDel="002B68B1">
        <w:rPr>
          <w:szCs w:val="26"/>
        </w:rPr>
        <w:t xml:space="preserve"> program </w:t>
      </w:r>
      <w:r w:rsidRPr="00F44120">
        <w:rPr>
          <w:szCs w:val="26"/>
        </w:rPr>
        <w:t>property owners, stipulating that the property owner shall agree to maintain at least 50</w:t>
      </w:r>
      <w:r w:rsidRPr="003177C1">
        <w:rPr>
          <w:szCs w:val="26"/>
        </w:rPr>
        <w:t xml:space="preserve"> </w:t>
      </w:r>
      <w:r w:rsidRPr="001D0ACA">
        <w:rPr>
          <w:szCs w:val="26"/>
        </w:rPr>
        <w:t>percent</w:t>
      </w:r>
      <w:r w:rsidRPr="00054B32">
        <w:rPr>
          <w:szCs w:val="26"/>
        </w:rPr>
        <w:t xml:space="preserve"> of the building tenants as </w:t>
      </w:r>
      <w:r w:rsidRPr="00B171D3">
        <w:rPr>
          <w:szCs w:val="26"/>
        </w:rPr>
        <w:t xml:space="preserve">California Alternate Rates for Energy income qualified for a period of 10 years following the measures received, using Massachusetts’s LEAN Program’s “Multifamily Owner Affordability Agreement” as a model.  The property owner </w:t>
      </w:r>
      <w:r w:rsidR="00054B32">
        <w:rPr>
          <w:szCs w:val="26"/>
        </w:rPr>
        <w:t>must</w:t>
      </w:r>
      <w:r w:rsidRPr="00054B32" w:rsidR="00054B32">
        <w:rPr>
          <w:szCs w:val="26"/>
        </w:rPr>
        <w:t xml:space="preserve"> </w:t>
      </w:r>
      <w:r w:rsidRPr="00054B32">
        <w:rPr>
          <w:szCs w:val="26"/>
        </w:rPr>
        <w:t xml:space="preserve">also agree to not significantly increase rents because of home improvements over this same period.  If a deed restricted property’s term ends within 10 years after receiving MFWB or common area measure treatment, then the deed restricted property </w:t>
      </w:r>
      <w:r w:rsidR="00054B32">
        <w:rPr>
          <w:szCs w:val="26"/>
        </w:rPr>
        <w:t>must</w:t>
      </w:r>
      <w:r w:rsidRPr="00054B32" w:rsidR="00054B32">
        <w:rPr>
          <w:szCs w:val="26"/>
        </w:rPr>
        <w:t xml:space="preserve"> </w:t>
      </w:r>
      <w:r w:rsidRPr="00054B32">
        <w:rPr>
          <w:szCs w:val="26"/>
        </w:rPr>
        <w:t xml:space="preserve">also be subject to the same tenant protection agreement </w:t>
      </w:r>
      <w:r w:rsidR="00C75E7B">
        <w:rPr>
          <w:szCs w:val="26"/>
        </w:rPr>
        <w:t>from the time of expiration</w:t>
      </w:r>
      <w:r w:rsidRPr="00054B32" w:rsidR="00C75E7B">
        <w:rPr>
          <w:szCs w:val="26"/>
        </w:rPr>
        <w:t xml:space="preserve"> </w:t>
      </w:r>
      <w:r w:rsidRPr="00054B32">
        <w:rPr>
          <w:szCs w:val="26"/>
        </w:rPr>
        <w:t xml:space="preserve">through the end of the 10-year period.  </w:t>
      </w:r>
    </w:p>
    <w:p w:rsidRPr="003379DF" w:rsidR="000C1980" w:rsidP="00815B6D" w:rsidRDefault="000C1980" w14:paraId="09E0D4F9" w14:textId="5201F98E">
      <w:pPr>
        <w:pStyle w:val="OP"/>
        <w:numPr>
          <w:ilvl w:val="0"/>
          <w:numId w:val="24"/>
        </w:numPr>
        <w:tabs>
          <w:tab w:val="left" w:pos="990"/>
          <w:tab w:val="left" w:pos="1170"/>
        </w:tabs>
        <w:ind w:left="0" w:firstLine="547"/>
        <w:rPr>
          <w:szCs w:val="26"/>
        </w:rPr>
      </w:pPr>
      <w:r w:rsidRPr="009C5F77">
        <w:rPr>
          <w:szCs w:val="26"/>
        </w:rPr>
        <w:t xml:space="preserve">Pacific Gas and Electric Company, Southern California Edison Company, San Diego Gas &amp; Electric </w:t>
      </w:r>
      <w:r w:rsidRPr="000503CA">
        <w:rPr>
          <w:szCs w:val="26"/>
        </w:rPr>
        <w:t xml:space="preserve">Company and Southern California Gas </w:t>
      </w:r>
      <w:r w:rsidRPr="000503CA">
        <w:rPr>
          <w:szCs w:val="26"/>
        </w:rPr>
        <w:lastRenderedPageBreak/>
        <w:t>Company</w:t>
      </w:r>
      <w:r w:rsidRPr="00D34A5A">
        <w:rPr>
          <w:szCs w:val="26"/>
        </w:rPr>
        <w:t xml:space="preserve">’s multifamily household </w:t>
      </w:r>
      <w:r w:rsidRPr="00FF0022">
        <w:rPr>
          <w:szCs w:val="26"/>
        </w:rPr>
        <w:t xml:space="preserve">treatment </w:t>
      </w:r>
      <w:r w:rsidRPr="00075B67">
        <w:rPr>
          <w:szCs w:val="26"/>
        </w:rPr>
        <w:t>targets</w:t>
      </w:r>
      <w:r w:rsidRPr="00D9232D">
        <w:rPr>
          <w:szCs w:val="26"/>
        </w:rPr>
        <w:t xml:space="preserve"> </w:t>
      </w:r>
      <w:r w:rsidRPr="007B351F">
        <w:rPr>
          <w:szCs w:val="26"/>
        </w:rPr>
        <w:t>for the</w:t>
      </w:r>
      <w:r w:rsidRPr="008145B7">
        <w:rPr>
          <w:szCs w:val="26"/>
        </w:rPr>
        <w:t xml:space="preserve"> </w:t>
      </w:r>
      <w:r w:rsidRPr="00AA1EAC">
        <w:rPr>
          <w:szCs w:val="26"/>
        </w:rPr>
        <w:t>20</w:t>
      </w:r>
      <w:r w:rsidRPr="00B92E50">
        <w:rPr>
          <w:szCs w:val="26"/>
        </w:rPr>
        <w:t>22</w:t>
      </w:r>
      <w:r w:rsidRPr="00FC02B8">
        <w:rPr>
          <w:szCs w:val="26"/>
        </w:rPr>
        <w:t xml:space="preserve"> </w:t>
      </w:r>
      <w:r w:rsidRPr="00B11AAF">
        <w:rPr>
          <w:szCs w:val="26"/>
        </w:rPr>
        <w:t xml:space="preserve">program cycle are </w:t>
      </w:r>
      <w:r w:rsidR="00034D23">
        <w:rPr>
          <w:szCs w:val="26"/>
        </w:rPr>
        <w:t xml:space="preserve">collectively </w:t>
      </w:r>
      <w:r w:rsidRPr="00B11AAF">
        <w:rPr>
          <w:szCs w:val="26"/>
        </w:rPr>
        <w:t xml:space="preserve">approved </w:t>
      </w:r>
      <w:r w:rsidR="00090388">
        <w:rPr>
          <w:szCs w:val="26"/>
        </w:rPr>
        <w:t>at 47,12</w:t>
      </w:r>
      <w:r w:rsidR="00E25817">
        <w:rPr>
          <w:szCs w:val="26"/>
        </w:rPr>
        <w:t>1 households</w:t>
      </w:r>
      <w:r w:rsidR="000E5251">
        <w:rPr>
          <w:szCs w:val="26"/>
        </w:rPr>
        <w:t>.</w:t>
      </w:r>
    </w:p>
    <w:p w:rsidRPr="00AA1EAC" w:rsidR="000C1980" w:rsidP="00815B6D" w:rsidRDefault="000C1980" w14:paraId="7DBAC0CA" w14:textId="30CFAA95">
      <w:pPr>
        <w:pStyle w:val="OP"/>
        <w:numPr>
          <w:ilvl w:val="0"/>
          <w:numId w:val="24"/>
        </w:numPr>
        <w:tabs>
          <w:tab w:val="left" w:pos="990"/>
          <w:tab w:val="left" w:pos="1170"/>
        </w:tabs>
        <w:ind w:left="0" w:firstLine="547"/>
        <w:rPr>
          <w:szCs w:val="26"/>
        </w:rPr>
      </w:pPr>
      <w:r w:rsidRPr="00054B32">
        <w:rPr>
          <w:szCs w:val="26"/>
        </w:rPr>
        <w:t>Pacific Gas and Electric Company, Southern California Edison Company, San Diego Gas &amp; Electric Company and Southern California Gas Company</w:t>
      </w:r>
      <w:r w:rsidRPr="009C5F77">
        <w:rPr>
          <w:szCs w:val="26"/>
        </w:rPr>
        <w:t xml:space="preserve">’s multifamily whole building (MFWB) household </w:t>
      </w:r>
      <w:r w:rsidRPr="000503CA">
        <w:rPr>
          <w:szCs w:val="26"/>
        </w:rPr>
        <w:t xml:space="preserve">treatment </w:t>
      </w:r>
      <w:r w:rsidRPr="00453FD2">
        <w:rPr>
          <w:szCs w:val="26"/>
        </w:rPr>
        <w:t>targets for the</w:t>
      </w:r>
      <w:r w:rsidRPr="00D34A5A">
        <w:rPr>
          <w:szCs w:val="26"/>
        </w:rPr>
        <w:t xml:space="preserve"> 202</w:t>
      </w:r>
      <w:r w:rsidRPr="00FF0022">
        <w:rPr>
          <w:szCs w:val="26"/>
        </w:rPr>
        <w:t>3</w:t>
      </w:r>
      <w:r w:rsidRPr="00FF0022">
        <w:rPr>
          <w:szCs w:val="26"/>
        </w:rPr>
        <w:noBreakHyphen/>
        <w:t>20</w:t>
      </w:r>
      <w:r w:rsidRPr="00075B67">
        <w:rPr>
          <w:szCs w:val="26"/>
        </w:rPr>
        <w:t>2</w:t>
      </w:r>
      <w:r w:rsidRPr="00D9232D">
        <w:rPr>
          <w:szCs w:val="26"/>
        </w:rPr>
        <w:t>6</w:t>
      </w:r>
      <w:r w:rsidRPr="007B351F">
        <w:rPr>
          <w:szCs w:val="26"/>
        </w:rPr>
        <w:t xml:space="preserve"> </w:t>
      </w:r>
      <w:r w:rsidRPr="008145B7">
        <w:rPr>
          <w:szCs w:val="26"/>
        </w:rPr>
        <w:t xml:space="preserve">program </w:t>
      </w:r>
      <w:r w:rsidR="00340D63">
        <w:rPr>
          <w:szCs w:val="26"/>
        </w:rPr>
        <w:t>years</w:t>
      </w:r>
      <w:r w:rsidRPr="008145B7" w:rsidR="00340D63">
        <w:rPr>
          <w:szCs w:val="26"/>
        </w:rPr>
        <w:t xml:space="preserve"> </w:t>
      </w:r>
      <w:r w:rsidRPr="008145B7">
        <w:rPr>
          <w:szCs w:val="26"/>
        </w:rPr>
        <w:t xml:space="preserve">are approved as follows: </w:t>
      </w:r>
    </w:p>
    <w:tbl>
      <w:tblPr>
        <w:tblStyle w:val="TableGrid"/>
        <w:tblW w:w="9360" w:type="dxa"/>
        <w:tblLayout w:type="fixed"/>
        <w:tblLook w:val="06A0" w:firstRow="1" w:lastRow="0" w:firstColumn="1" w:lastColumn="0" w:noHBand="1" w:noVBand="1"/>
      </w:tblPr>
      <w:tblGrid>
        <w:gridCol w:w="3595"/>
        <w:gridCol w:w="5765"/>
      </w:tblGrid>
      <w:tr w:rsidRPr="00C70585" w:rsidR="000C1980" w:rsidTr="000E5251" w14:paraId="012FFD28" w14:textId="77777777">
        <w:trPr>
          <w:trHeight w:val="710"/>
        </w:trPr>
        <w:tc>
          <w:tcPr>
            <w:tcW w:w="3595" w:type="dxa"/>
            <w:vAlign w:val="center"/>
          </w:tcPr>
          <w:p w:rsidRPr="00C70585" w:rsidR="000C1980" w:rsidP="00072DBF" w:rsidRDefault="000C1980" w14:paraId="3EECEC7B" w14:textId="77777777">
            <w:r w:rsidRPr="00C70585">
              <w:t>Program</w:t>
            </w:r>
          </w:p>
        </w:tc>
        <w:tc>
          <w:tcPr>
            <w:tcW w:w="5765" w:type="dxa"/>
            <w:vAlign w:val="center"/>
          </w:tcPr>
          <w:p w:rsidRPr="00152C76" w:rsidR="000C1980" w:rsidP="00072DBF" w:rsidRDefault="00152C76" w14:paraId="2239098C" w14:textId="2C654D62">
            <w:pPr>
              <w:jc w:val="center"/>
            </w:pPr>
            <w:r>
              <w:t xml:space="preserve">Approved </w:t>
            </w:r>
            <w:r w:rsidRPr="00C70585" w:rsidR="000C1980">
              <w:t>MFWB Household Treatment Targets</w:t>
            </w:r>
            <w:r>
              <w:t xml:space="preserve">, Program Years </w:t>
            </w:r>
            <w:r w:rsidRPr="00C70585">
              <w:t>2023-2026</w:t>
            </w:r>
            <w:r w:rsidR="000E5251">
              <w:br/>
            </w:r>
          </w:p>
        </w:tc>
      </w:tr>
      <w:tr w:rsidRPr="00E05DF0" w:rsidR="000C1980" w:rsidTr="000E5251" w14:paraId="1A274259" w14:textId="77777777">
        <w:tc>
          <w:tcPr>
            <w:tcW w:w="3595" w:type="dxa"/>
            <w:vAlign w:val="center"/>
          </w:tcPr>
          <w:p w:rsidRPr="00E05DF0" w:rsidR="000C1980" w:rsidP="00072DBF" w:rsidRDefault="000C1980" w14:paraId="290F8AF9" w14:textId="77777777">
            <w:r w:rsidRPr="00E05DF0">
              <w:t>Northern MFWB Program</w:t>
            </w:r>
          </w:p>
        </w:tc>
        <w:tc>
          <w:tcPr>
            <w:tcW w:w="5765" w:type="dxa"/>
            <w:vAlign w:val="center"/>
          </w:tcPr>
          <w:p w:rsidR="000E5251" w:rsidP="00072DBF" w:rsidRDefault="000E5251" w14:paraId="078F5743" w14:textId="77777777">
            <w:pPr>
              <w:jc w:val="center"/>
            </w:pPr>
          </w:p>
          <w:p w:rsidRPr="00E05DF0" w:rsidR="000C1980" w:rsidP="00072DBF" w:rsidRDefault="000C1980" w14:paraId="54534913" w14:textId="1F2C74F3">
            <w:pPr>
              <w:jc w:val="center"/>
            </w:pPr>
            <w:r w:rsidRPr="00E05DF0">
              <w:t>71,400</w:t>
            </w:r>
            <w:r w:rsidR="000E5251">
              <w:br/>
            </w:r>
          </w:p>
        </w:tc>
      </w:tr>
      <w:tr w:rsidRPr="00E05DF0" w:rsidR="000C1980" w:rsidTr="000E5251" w14:paraId="1FE94C06" w14:textId="77777777">
        <w:tc>
          <w:tcPr>
            <w:tcW w:w="3595" w:type="dxa"/>
            <w:vAlign w:val="center"/>
          </w:tcPr>
          <w:p w:rsidRPr="00E05DF0" w:rsidR="000C1980" w:rsidP="00072DBF" w:rsidRDefault="000C1980" w14:paraId="6F29036E" w14:textId="77777777">
            <w:r w:rsidRPr="00E05DF0">
              <w:t>Southern MFWB Program</w:t>
            </w:r>
            <w:r w:rsidRPr="00E05DF0">
              <w:rPr>
                <w:rStyle w:val="FootnoteReference"/>
                <w:szCs w:val="26"/>
              </w:rPr>
              <w:footnoteReference w:id="1161"/>
            </w:r>
          </w:p>
        </w:tc>
        <w:tc>
          <w:tcPr>
            <w:tcW w:w="5765" w:type="dxa"/>
            <w:vAlign w:val="center"/>
          </w:tcPr>
          <w:p w:rsidR="000E5251" w:rsidP="00072DBF" w:rsidRDefault="000E5251" w14:paraId="7DCA6107" w14:textId="77777777">
            <w:pPr>
              <w:jc w:val="center"/>
            </w:pPr>
          </w:p>
          <w:p w:rsidR="000C1980" w:rsidP="00072DBF" w:rsidRDefault="00417A86" w14:paraId="0EAF173F" w14:textId="77777777">
            <w:pPr>
              <w:jc w:val="center"/>
            </w:pPr>
            <w:r>
              <w:t>172,700</w:t>
            </w:r>
          </w:p>
          <w:p w:rsidRPr="00E05DF0" w:rsidR="000E5251" w:rsidP="00072DBF" w:rsidRDefault="000E5251" w14:paraId="13758E85" w14:textId="57F93690">
            <w:pPr>
              <w:jc w:val="center"/>
            </w:pPr>
          </w:p>
        </w:tc>
      </w:tr>
    </w:tbl>
    <w:p w:rsidRPr="00072DBF" w:rsidR="000C1980" w:rsidP="00072DBF" w:rsidRDefault="000C1980" w14:paraId="54165580" w14:textId="77777777">
      <w:pPr>
        <w:rPr>
          <w:sz w:val="10"/>
          <w:szCs w:val="10"/>
        </w:rPr>
      </w:pPr>
    </w:p>
    <w:p w:rsidRPr="00A14D02" w:rsidR="000C1980" w:rsidP="00815B6D" w:rsidRDefault="000C1980" w14:paraId="241F8150" w14:textId="4EDAEEF5">
      <w:pPr>
        <w:pStyle w:val="OP"/>
        <w:numPr>
          <w:ilvl w:val="0"/>
          <w:numId w:val="24"/>
        </w:numPr>
        <w:tabs>
          <w:tab w:val="left" w:pos="1170"/>
        </w:tabs>
        <w:ind w:left="0" w:firstLine="547"/>
        <w:rPr>
          <w:szCs w:val="26"/>
        </w:rPr>
      </w:pPr>
      <w:r w:rsidRPr="009C5F77">
        <w:rPr>
          <w:szCs w:val="26"/>
        </w:rPr>
        <w:t>Pacific Gas and Electric Company, Southern California Edison Company, San Diego Gas &amp; Electric Company and Southern California Gas Company</w:t>
      </w:r>
      <w:r w:rsidRPr="000503CA">
        <w:rPr>
          <w:szCs w:val="26"/>
        </w:rPr>
        <w:t>’s multifamily whole building (MFWB) energy savings goals for the</w:t>
      </w:r>
      <w:r w:rsidRPr="00453FD2">
        <w:rPr>
          <w:szCs w:val="26"/>
        </w:rPr>
        <w:t xml:space="preserve"> 202</w:t>
      </w:r>
      <w:r w:rsidRPr="00D34A5A">
        <w:rPr>
          <w:szCs w:val="26"/>
        </w:rPr>
        <w:t>3</w:t>
      </w:r>
      <w:r w:rsidRPr="00FF0022">
        <w:rPr>
          <w:szCs w:val="26"/>
        </w:rPr>
        <w:t>-</w:t>
      </w:r>
      <w:r w:rsidRPr="00075B67">
        <w:rPr>
          <w:szCs w:val="26"/>
        </w:rPr>
        <w:t>20</w:t>
      </w:r>
      <w:r w:rsidRPr="00D9232D">
        <w:rPr>
          <w:szCs w:val="26"/>
        </w:rPr>
        <w:t>2</w:t>
      </w:r>
      <w:r w:rsidRPr="007B351F">
        <w:rPr>
          <w:szCs w:val="26"/>
        </w:rPr>
        <w:t>6</w:t>
      </w:r>
      <w:r w:rsidRPr="008145B7">
        <w:rPr>
          <w:szCs w:val="26"/>
        </w:rPr>
        <w:t xml:space="preserve"> </w:t>
      </w:r>
      <w:r w:rsidRPr="00AA1EAC">
        <w:rPr>
          <w:szCs w:val="26"/>
        </w:rPr>
        <w:t xml:space="preserve">program cycle are approved as follows: </w:t>
      </w:r>
    </w:p>
    <w:tbl>
      <w:tblPr>
        <w:tblStyle w:val="TableGrid"/>
        <w:tblW w:w="0" w:type="auto"/>
        <w:tblLook w:val="04A0" w:firstRow="1" w:lastRow="0" w:firstColumn="1" w:lastColumn="0" w:noHBand="0" w:noVBand="1"/>
      </w:tblPr>
      <w:tblGrid>
        <w:gridCol w:w="2425"/>
        <w:gridCol w:w="3657"/>
        <w:gridCol w:w="2463"/>
      </w:tblGrid>
      <w:tr w:rsidR="000C1980" w:rsidTr="00A14D02" w14:paraId="33D4E88E" w14:textId="77777777">
        <w:tc>
          <w:tcPr>
            <w:tcW w:w="2425" w:type="dxa"/>
            <w:vMerge w:val="restart"/>
            <w:vAlign w:val="center"/>
          </w:tcPr>
          <w:p w:rsidR="000C1980" w:rsidP="00072DBF" w:rsidRDefault="000C1980" w14:paraId="67B0AE34" w14:textId="77777777">
            <w:pPr>
              <w:spacing w:after="120"/>
            </w:pPr>
            <w:r>
              <w:t>Program</w:t>
            </w:r>
          </w:p>
        </w:tc>
        <w:tc>
          <w:tcPr>
            <w:tcW w:w="6120" w:type="dxa"/>
            <w:gridSpan w:val="2"/>
          </w:tcPr>
          <w:p w:rsidR="000C1980" w:rsidP="00072DBF" w:rsidRDefault="00A14D02" w14:paraId="0018006C" w14:textId="0A7C1180">
            <w:pPr>
              <w:spacing w:after="120"/>
              <w:jc w:val="center"/>
            </w:pPr>
            <w:r>
              <w:t xml:space="preserve">Approved </w:t>
            </w:r>
            <w:r w:rsidRPr="00E706AE">
              <w:t xml:space="preserve">MFWB Portfolio Savings Goals, </w:t>
            </w:r>
            <w:r>
              <w:t xml:space="preserve">Program Years </w:t>
            </w:r>
            <w:r w:rsidRPr="00E706AE">
              <w:t>2023-2026</w:t>
            </w:r>
          </w:p>
        </w:tc>
      </w:tr>
      <w:tr w:rsidR="000C1980" w:rsidTr="00A14D02" w14:paraId="4529862B" w14:textId="77777777">
        <w:trPr>
          <w:trHeight w:val="46"/>
        </w:trPr>
        <w:tc>
          <w:tcPr>
            <w:tcW w:w="2425" w:type="dxa"/>
            <w:vMerge/>
          </w:tcPr>
          <w:p w:rsidR="000C1980" w:rsidP="00072DBF" w:rsidRDefault="000C1980" w14:paraId="09EA67B5" w14:textId="77777777">
            <w:pPr>
              <w:spacing w:after="120"/>
            </w:pPr>
          </w:p>
        </w:tc>
        <w:tc>
          <w:tcPr>
            <w:tcW w:w="3657" w:type="dxa"/>
          </w:tcPr>
          <w:p w:rsidR="000C1980" w:rsidP="00072DBF" w:rsidRDefault="000C1980" w14:paraId="00993CE3" w14:textId="77777777">
            <w:pPr>
              <w:spacing w:after="120"/>
              <w:jc w:val="center"/>
            </w:pPr>
            <w:r>
              <w:t>kWh</w:t>
            </w:r>
          </w:p>
        </w:tc>
        <w:tc>
          <w:tcPr>
            <w:tcW w:w="2463" w:type="dxa"/>
          </w:tcPr>
          <w:p w:rsidR="000C1980" w:rsidP="00072DBF" w:rsidRDefault="000C1980" w14:paraId="11C17170" w14:textId="77777777">
            <w:pPr>
              <w:spacing w:after="120"/>
              <w:jc w:val="center"/>
            </w:pPr>
            <w:proofErr w:type="spellStart"/>
            <w:r>
              <w:t>therms</w:t>
            </w:r>
            <w:proofErr w:type="spellEnd"/>
          </w:p>
        </w:tc>
      </w:tr>
      <w:tr w:rsidR="000C1980" w:rsidTr="00A14D02" w14:paraId="71AA6B67" w14:textId="77777777">
        <w:tc>
          <w:tcPr>
            <w:tcW w:w="2425" w:type="dxa"/>
          </w:tcPr>
          <w:p w:rsidR="000C1980" w:rsidP="00072DBF" w:rsidRDefault="000C1980" w14:paraId="650CF29A" w14:textId="77777777">
            <w:pPr>
              <w:spacing w:after="120"/>
            </w:pPr>
            <w:r>
              <w:t>Northern MFWB</w:t>
            </w:r>
          </w:p>
        </w:tc>
        <w:tc>
          <w:tcPr>
            <w:tcW w:w="3657" w:type="dxa"/>
          </w:tcPr>
          <w:p w:rsidR="000C1980" w:rsidP="00072DBF" w:rsidRDefault="000C1980" w14:paraId="3CC3F156" w14:textId="77777777">
            <w:pPr>
              <w:spacing w:after="120"/>
              <w:jc w:val="center"/>
            </w:pPr>
            <w:r w:rsidRPr="008232D6">
              <w:t>76,960,131</w:t>
            </w:r>
          </w:p>
        </w:tc>
        <w:tc>
          <w:tcPr>
            <w:tcW w:w="2463" w:type="dxa"/>
          </w:tcPr>
          <w:p w:rsidR="000C1980" w:rsidP="00072DBF" w:rsidRDefault="000C1980" w14:paraId="440E3F97" w14:textId="77777777">
            <w:pPr>
              <w:spacing w:after="120"/>
              <w:jc w:val="center"/>
            </w:pPr>
            <w:r w:rsidRPr="008232D6">
              <w:t>2,992,244</w:t>
            </w:r>
          </w:p>
        </w:tc>
      </w:tr>
      <w:tr w:rsidR="000C1980" w:rsidTr="00A14D02" w14:paraId="629DC96F" w14:textId="77777777">
        <w:tc>
          <w:tcPr>
            <w:tcW w:w="2425" w:type="dxa"/>
          </w:tcPr>
          <w:p w:rsidR="000C1980" w:rsidP="00072DBF" w:rsidRDefault="000C1980" w14:paraId="31E74FAC" w14:textId="77777777">
            <w:pPr>
              <w:spacing w:after="120"/>
            </w:pPr>
            <w:r>
              <w:t>Southern MFWB</w:t>
            </w:r>
          </w:p>
        </w:tc>
        <w:tc>
          <w:tcPr>
            <w:tcW w:w="3657" w:type="dxa"/>
          </w:tcPr>
          <w:p w:rsidR="000C1980" w:rsidP="00072DBF" w:rsidRDefault="000C1980" w14:paraId="11E839B3" w14:textId="77777777">
            <w:pPr>
              <w:spacing w:after="120"/>
              <w:jc w:val="center"/>
            </w:pPr>
            <w:r w:rsidRPr="001E58E9">
              <w:t>39,365,118</w:t>
            </w:r>
          </w:p>
        </w:tc>
        <w:tc>
          <w:tcPr>
            <w:tcW w:w="2463" w:type="dxa"/>
          </w:tcPr>
          <w:p w:rsidR="000C1980" w:rsidP="00072DBF" w:rsidRDefault="000C1980" w14:paraId="14FA550E" w14:textId="77777777">
            <w:pPr>
              <w:spacing w:after="120"/>
              <w:jc w:val="center"/>
            </w:pPr>
            <w:r w:rsidRPr="001E58E9">
              <w:t>2,293,375</w:t>
            </w:r>
          </w:p>
        </w:tc>
      </w:tr>
    </w:tbl>
    <w:p w:rsidRPr="00767EDD" w:rsidR="000C1980" w:rsidP="000C1980" w:rsidRDefault="000C1980" w14:paraId="5A458EE0" w14:textId="77777777">
      <w:pPr>
        <w:pStyle w:val="FoF"/>
        <w:numPr>
          <w:ilvl w:val="0"/>
          <w:numId w:val="0"/>
        </w:numPr>
        <w:ind w:left="540"/>
        <w:rPr>
          <w:sz w:val="10"/>
          <w:szCs w:val="10"/>
        </w:rPr>
      </w:pPr>
    </w:p>
    <w:p w:rsidRPr="00FF0022" w:rsidR="000C1980" w:rsidP="00815B6D" w:rsidRDefault="000C1980" w14:paraId="39870244" w14:textId="2730660C">
      <w:pPr>
        <w:pStyle w:val="OP"/>
        <w:numPr>
          <w:ilvl w:val="0"/>
          <w:numId w:val="24"/>
        </w:numPr>
        <w:tabs>
          <w:tab w:val="left" w:pos="1170"/>
        </w:tabs>
        <w:ind w:left="0" w:firstLine="547"/>
        <w:rPr>
          <w:szCs w:val="26"/>
        </w:rPr>
      </w:pPr>
      <w:r w:rsidRPr="000503CA">
        <w:rPr>
          <w:szCs w:val="26"/>
        </w:rPr>
        <w:t xml:space="preserve">Pacific Gas and Electric Company, Southern California Edison </w:t>
      </w:r>
      <w:r w:rsidRPr="00D34A5A">
        <w:rPr>
          <w:szCs w:val="26"/>
        </w:rPr>
        <w:t xml:space="preserve">Company, San Diego Gas &amp; Electric Company and Southern California Gas </w:t>
      </w:r>
      <w:r w:rsidRPr="00D34A5A">
        <w:rPr>
          <w:szCs w:val="26"/>
        </w:rPr>
        <w:lastRenderedPageBreak/>
        <w:t xml:space="preserve">Company </w:t>
      </w:r>
      <w:r w:rsidR="00453FD2">
        <w:rPr>
          <w:szCs w:val="26"/>
        </w:rPr>
        <w:t>must</w:t>
      </w:r>
      <w:r w:rsidRPr="00453FD2" w:rsidR="00453FD2">
        <w:rPr>
          <w:szCs w:val="26"/>
        </w:rPr>
        <w:t xml:space="preserve"> </w:t>
      </w:r>
      <w:r w:rsidRPr="00453FD2">
        <w:rPr>
          <w:szCs w:val="26"/>
        </w:rPr>
        <w:t xml:space="preserve">report the </w:t>
      </w:r>
      <w:r w:rsidR="00A1630E">
        <w:rPr>
          <w:szCs w:val="26"/>
        </w:rPr>
        <w:t xml:space="preserve">Energy Savings Assistance (ESA) </w:t>
      </w:r>
      <w:r w:rsidRPr="00453FD2">
        <w:rPr>
          <w:szCs w:val="26"/>
        </w:rPr>
        <w:t xml:space="preserve">multifamily whole building program’s energy savings goals </w:t>
      </w:r>
      <w:r w:rsidR="00167983">
        <w:rPr>
          <w:szCs w:val="26"/>
        </w:rPr>
        <w:t xml:space="preserve">in </w:t>
      </w:r>
      <w:r w:rsidRPr="00453FD2">
        <w:rPr>
          <w:szCs w:val="26"/>
        </w:rPr>
        <w:t xml:space="preserve">the Utilities’ </w:t>
      </w:r>
      <w:r w:rsidR="00A1630E">
        <w:rPr>
          <w:szCs w:val="26"/>
        </w:rPr>
        <w:t xml:space="preserve">ESA </w:t>
      </w:r>
      <w:r w:rsidRPr="00453FD2">
        <w:rPr>
          <w:szCs w:val="26"/>
        </w:rPr>
        <w:t>monthly and annual reports per the reporting template to be developed and issued</w:t>
      </w:r>
      <w:r w:rsidRPr="00D34A5A">
        <w:rPr>
          <w:szCs w:val="26"/>
        </w:rPr>
        <w:t xml:space="preserve"> by Energy Division staff</w:t>
      </w:r>
      <w:r w:rsidRPr="00FF0022">
        <w:rPr>
          <w:szCs w:val="26"/>
        </w:rPr>
        <w:t>.</w:t>
      </w:r>
    </w:p>
    <w:p w:rsidRPr="008718F0" w:rsidR="000C1980" w:rsidP="00815B6D" w:rsidRDefault="00B9166B" w14:paraId="0B6EAAD8" w14:textId="7AAB5566">
      <w:pPr>
        <w:pStyle w:val="OP"/>
        <w:numPr>
          <w:ilvl w:val="0"/>
          <w:numId w:val="24"/>
        </w:numPr>
        <w:tabs>
          <w:tab w:val="left" w:pos="1170"/>
        </w:tabs>
        <w:ind w:left="0" w:firstLine="547"/>
        <w:rPr>
          <w:szCs w:val="26"/>
        </w:rPr>
      </w:pPr>
      <w:r w:rsidRPr="00075B67">
        <w:rPr>
          <w:szCs w:val="26"/>
        </w:rPr>
        <w:t>Pacific Gas and Electric Company, Southern California Edison Company, San Diego Gas &amp; Electric Company and Southern California Gas Company</w:t>
      </w:r>
      <w:r w:rsidRPr="007B351F">
        <w:rPr>
          <w:szCs w:val="26"/>
        </w:rPr>
        <w:t xml:space="preserve"> may adjust the </w:t>
      </w:r>
      <w:r>
        <w:rPr>
          <w:szCs w:val="26"/>
        </w:rPr>
        <w:t xml:space="preserve">Energy Savings Assistance </w:t>
      </w:r>
      <w:r w:rsidRPr="007B351F">
        <w:rPr>
          <w:szCs w:val="26"/>
        </w:rPr>
        <w:t>multifamily whole building (MFWB) program’s energy savings goals after the</w:t>
      </w:r>
      <w:r w:rsidRPr="00AA1EAC">
        <w:rPr>
          <w:szCs w:val="26"/>
        </w:rPr>
        <w:t xml:space="preserve"> solicitation process for the Northern and Southern MFWB programs are completed</w:t>
      </w:r>
      <w:r>
        <w:rPr>
          <w:szCs w:val="26"/>
        </w:rPr>
        <w:t>,</w:t>
      </w:r>
      <w:r w:rsidRPr="00AA1EAC">
        <w:rPr>
          <w:szCs w:val="26"/>
        </w:rPr>
        <w:t xml:space="preserve"> </w:t>
      </w:r>
      <w:r>
        <w:rPr>
          <w:szCs w:val="26"/>
        </w:rPr>
        <w:t>only upwards adjustments are</w:t>
      </w:r>
      <w:r w:rsidRPr="008718F0">
        <w:rPr>
          <w:szCs w:val="26"/>
        </w:rPr>
        <w:t xml:space="preserve"> permit</w:t>
      </w:r>
      <w:r>
        <w:rPr>
          <w:szCs w:val="26"/>
        </w:rPr>
        <w:t>ted</w:t>
      </w:r>
      <w:r w:rsidRPr="008718F0" w:rsidR="000C1980">
        <w:rPr>
          <w:szCs w:val="26"/>
        </w:rPr>
        <w:t xml:space="preserve">. </w:t>
      </w:r>
    </w:p>
    <w:p w:rsidRPr="0077529B" w:rsidR="000C1980" w:rsidP="00815B6D" w:rsidRDefault="000C1980" w14:paraId="31449C84" w14:textId="71C03270">
      <w:pPr>
        <w:pStyle w:val="OP"/>
        <w:numPr>
          <w:ilvl w:val="0"/>
          <w:numId w:val="24"/>
        </w:numPr>
        <w:tabs>
          <w:tab w:val="left" w:pos="1170"/>
        </w:tabs>
        <w:ind w:left="0" w:firstLine="547"/>
        <w:rPr>
          <w:szCs w:val="26"/>
        </w:rPr>
      </w:pPr>
      <w:r w:rsidRPr="00D34A5A">
        <w:rPr>
          <w:szCs w:val="26"/>
        </w:rPr>
        <w:t xml:space="preserve">Pacific Gas and Electric Company, Southern California Edison Company, San Diego Gas &amp; Electric Company and Southern California Gas </w:t>
      </w:r>
      <w:r w:rsidRPr="00075B67">
        <w:rPr>
          <w:szCs w:val="26"/>
        </w:rPr>
        <w:t>Company</w:t>
      </w:r>
      <w:r w:rsidRPr="00D9232D">
        <w:rPr>
          <w:szCs w:val="26"/>
        </w:rPr>
        <w:t xml:space="preserve">’s </w:t>
      </w:r>
      <w:r w:rsidR="0077529B">
        <w:rPr>
          <w:szCs w:val="26"/>
        </w:rPr>
        <w:t xml:space="preserve">Energy Savings Assistance </w:t>
      </w:r>
      <w:r w:rsidRPr="00D9232D">
        <w:rPr>
          <w:szCs w:val="26"/>
        </w:rPr>
        <w:t>multifamily budgets</w:t>
      </w:r>
      <w:r w:rsidRPr="007B351F">
        <w:rPr>
          <w:szCs w:val="26"/>
        </w:rPr>
        <w:t xml:space="preserve"> </w:t>
      </w:r>
      <w:r w:rsidRPr="008145B7">
        <w:rPr>
          <w:szCs w:val="26"/>
        </w:rPr>
        <w:t>for the</w:t>
      </w:r>
      <w:r w:rsidRPr="00AA1EAC">
        <w:rPr>
          <w:szCs w:val="26"/>
        </w:rPr>
        <w:t xml:space="preserve"> </w:t>
      </w:r>
      <w:r w:rsidRPr="00B92E50">
        <w:rPr>
          <w:szCs w:val="26"/>
        </w:rPr>
        <w:t>20</w:t>
      </w:r>
      <w:r w:rsidRPr="00B11AAF">
        <w:rPr>
          <w:szCs w:val="26"/>
        </w:rPr>
        <w:t xml:space="preserve">22 program </w:t>
      </w:r>
      <w:r w:rsidR="00034D23">
        <w:rPr>
          <w:szCs w:val="26"/>
        </w:rPr>
        <w:t>year</w:t>
      </w:r>
      <w:r w:rsidRPr="00B11AAF" w:rsidR="00034D23">
        <w:rPr>
          <w:szCs w:val="26"/>
        </w:rPr>
        <w:t xml:space="preserve"> </w:t>
      </w:r>
      <w:r w:rsidRPr="00B11AAF">
        <w:rPr>
          <w:szCs w:val="26"/>
        </w:rPr>
        <w:t xml:space="preserve">are approved </w:t>
      </w:r>
      <w:r w:rsidRPr="00034D23" w:rsidR="00034D23">
        <w:rPr>
          <w:szCs w:val="26"/>
        </w:rPr>
        <w:t>at</w:t>
      </w:r>
      <w:r w:rsidR="00CA045D">
        <w:rPr>
          <w:szCs w:val="26"/>
        </w:rPr>
        <w:t xml:space="preserve"> $35.4 million, $5.</w:t>
      </w:r>
      <w:r w:rsidR="00E35E87">
        <w:rPr>
          <w:szCs w:val="26"/>
        </w:rPr>
        <w:t xml:space="preserve">7 million, </w:t>
      </w:r>
      <w:r w:rsidR="00C72719">
        <w:rPr>
          <w:szCs w:val="26"/>
        </w:rPr>
        <w:t xml:space="preserve">$4.6 million, and </w:t>
      </w:r>
      <w:proofErr w:type="gramStart"/>
      <w:r w:rsidR="00E35E87">
        <w:rPr>
          <w:szCs w:val="26"/>
        </w:rPr>
        <w:t>$18.6 million</w:t>
      </w:r>
      <w:proofErr w:type="gramEnd"/>
      <w:r w:rsidR="00C72719">
        <w:rPr>
          <w:szCs w:val="26"/>
        </w:rPr>
        <w:t xml:space="preserve"> respectively.</w:t>
      </w:r>
      <w:r w:rsidRPr="00B11AAF">
        <w:rPr>
          <w:szCs w:val="26"/>
        </w:rPr>
        <w:t xml:space="preserve"> </w:t>
      </w:r>
    </w:p>
    <w:p w:rsidRPr="00FF0022" w:rsidR="000C1980" w:rsidP="00815B6D" w:rsidRDefault="000C1980" w14:paraId="69018D0A" w14:textId="600C8E68">
      <w:pPr>
        <w:pStyle w:val="OP"/>
        <w:numPr>
          <w:ilvl w:val="0"/>
          <w:numId w:val="24"/>
        </w:numPr>
        <w:tabs>
          <w:tab w:val="left" w:pos="1170"/>
        </w:tabs>
        <w:ind w:left="0" w:firstLine="547"/>
        <w:rPr>
          <w:szCs w:val="26"/>
        </w:rPr>
      </w:pPr>
      <w:r w:rsidRPr="00D34A5A">
        <w:rPr>
          <w:szCs w:val="26"/>
        </w:rPr>
        <w:t xml:space="preserve">Pacific Gas and Electric Company, Southern California Edison Company, San Diego Gas &amp; Electric Company and Southern California Gas Company </w:t>
      </w:r>
      <w:r w:rsidR="00FF0022">
        <w:rPr>
          <w:szCs w:val="26"/>
        </w:rPr>
        <w:t>must</w:t>
      </w:r>
      <w:r w:rsidRPr="00D34A5A" w:rsidR="00FF0022">
        <w:rPr>
          <w:szCs w:val="26"/>
        </w:rPr>
        <w:t xml:space="preserve"> </w:t>
      </w:r>
      <w:r w:rsidRPr="00D34A5A">
        <w:rPr>
          <w:szCs w:val="26"/>
        </w:rPr>
        <w:t xml:space="preserve">carry-forward </w:t>
      </w:r>
      <w:r w:rsidR="00FF0022">
        <w:rPr>
          <w:szCs w:val="26"/>
        </w:rPr>
        <w:t>all</w:t>
      </w:r>
      <w:r w:rsidRPr="00D34A5A" w:rsidR="00FF0022">
        <w:rPr>
          <w:szCs w:val="26"/>
        </w:rPr>
        <w:t xml:space="preserve"> </w:t>
      </w:r>
      <w:r w:rsidRPr="00D34A5A">
        <w:rPr>
          <w:szCs w:val="26"/>
        </w:rPr>
        <w:t xml:space="preserve">unspent and uncommitted </w:t>
      </w:r>
      <w:r w:rsidR="007155F5">
        <w:rPr>
          <w:szCs w:val="26"/>
        </w:rPr>
        <w:t xml:space="preserve">Energy Savings Assistance (ESA) </w:t>
      </w:r>
      <w:r w:rsidRPr="00D34A5A">
        <w:rPr>
          <w:szCs w:val="26"/>
        </w:rPr>
        <w:t xml:space="preserve">common area measures funding remaining </w:t>
      </w:r>
      <w:r w:rsidR="00AD04FD">
        <w:t xml:space="preserve">as of June 30, </w:t>
      </w:r>
      <w:proofErr w:type="gramStart"/>
      <w:r w:rsidR="00AD04FD">
        <w:t>2021</w:t>
      </w:r>
      <w:proofErr w:type="gramEnd"/>
      <w:r w:rsidR="00AD04FD">
        <w:t xml:space="preserve"> into</w:t>
      </w:r>
      <w:r w:rsidRPr="007C018B" w:rsidR="00AD04FD">
        <w:t xml:space="preserve"> the </w:t>
      </w:r>
      <w:r w:rsidR="00AD04FD">
        <w:t xml:space="preserve">remainder of PY </w:t>
      </w:r>
      <w:r w:rsidRPr="007C018B" w:rsidR="00AD04FD">
        <w:t>2021</w:t>
      </w:r>
      <w:r w:rsidR="00AD04FD">
        <w:t xml:space="preserve"> and</w:t>
      </w:r>
      <w:r w:rsidRPr="007C018B" w:rsidR="00AD04FD">
        <w:t xml:space="preserve"> 2022</w:t>
      </w:r>
      <w:r w:rsidRPr="00FF0022">
        <w:rPr>
          <w:szCs w:val="26"/>
        </w:rPr>
        <w:t xml:space="preserve">to supplement the Utility approved </w:t>
      </w:r>
      <w:r w:rsidR="007155F5">
        <w:rPr>
          <w:szCs w:val="26"/>
        </w:rPr>
        <w:t xml:space="preserve">ESA </w:t>
      </w:r>
      <w:r w:rsidRPr="00FF0022">
        <w:rPr>
          <w:szCs w:val="26"/>
        </w:rPr>
        <w:t xml:space="preserve">multifamily budgets for </w:t>
      </w:r>
      <w:r w:rsidR="00FF0022">
        <w:rPr>
          <w:szCs w:val="26"/>
        </w:rPr>
        <w:t xml:space="preserve">program years </w:t>
      </w:r>
      <w:r w:rsidRPr="00FF0022">
        <w:rPr>
          <w:szCs w:val="26"/>
        </w:rPr>
        <w:t xml:space="preserve">2021-2022.   </w:t>
      </w:r>
    </w:p>
    <w:p w:rsidRPr="00B11AAF" w:rsidR="000C1980" w:rsidP="00815B6D" w:rsidRDefault="009B2A64" w14:paraId="7B8CADF8" w14:textId="2F971E40">
      <w:pPr>
        <w:pStyle w:val="OP"/>
        <w:numPr>
          <w:ilvl w:val="0"/>
          <w:numId w:val="24"/>
        </w:numPr>
        <w:tabs>
          <w:tab w:val="left" w:pos="1170"/>
        </w:tabs>
        <w:ind w:left="0" w:firstLine="547"/>
        <w:rPr>
          <w:szCs w:val="26"/>
        </w:rPr>
      </w:pPr>
      <w:r w:rsidRPr="00075B67">
        <w:rPr>
          <w:szCs w:val="26"/>
        </w:rPr>
        <w:t xml:space="preserve">Pacific Gas and Electric Company, Southern California Edison Company, San Diego Gas &amp; Electric Company and Southern California Gas Company </w:t>
      </w:r>
      <w:r>
        <w:rPr>
          <w:szCs w:val="26"/>
        </w:rPr>
        <w:t>must</w:t>
      </w:r>
      <w:r w:rsidRPr="00FF0022">
        <w:rPr>
          <w:szCs w:val="26"/>
        </w:rPr>
        <w:t xml:space="preserve"> use any unspent and uncommitted </w:t>
      </w:r>
      <w:r>
        <w:rPr>
          <w:szCs w:val="26"/>
        </w:rPr>
        <w:t xml:space="preserve">Energy Savings Assistance program </w:t>
      </w:r>
      <w:r w:rsidRPr="00FF0022">
        <w:rPr>
          <w:szCs w:val="26"/>
        </w:rPr>
        <w:t xml:space="preserve">funds allocated to the multifamily efforts remaining upon the implementation of the Northern and Southern </w:t>
      </w:r>
      <w:r w:rsidRPr="00075B67">
        <w:rPr>
          <w:szCs w:val="26"/>
        </w:rPr>
        <w:t xml:space="preserve">multifamily whole building </w:t>
      </w:r>
      <w:r w:rsidRPr="00075B67">
        <w:rPr>
          <w:szCs w:val="26"/>
        </w:rPr>
        <w:lastRenderedPageBreak/>
        <w:t>(</w:t>
      </w:r>
      <w:r w:rsidRPr="00D9232D">
        <w:rPr>
          <w:szCs w:val="26"/>
        </w:rPr>
        <w:t>MFWB)</w:t>
      </w:r>
      <w:r w:rsidRPr="007B351F">
        <w:rPr>
          <w:szCs w:val="26"/>
        </w:rPr>
        <w:t xml:space="preserve"> programs, to offset collections for the MFWB programs, </w:t>
      </w:r>
      <w:r>
        <w:rPr>
          <w:szCs w:val="26"/>
        </w:rPr>
        <w:t>rather than</w:t>
      </w:r>
      <w:r w:rsidRPr="007B351F">
        <w:rPr>
          <w:szCs w:val="26"/>
        </w:rPr>
        <w:t xml:space="preserve"> being used to s</w:t>
      </w:r>
      <w:r w:rsidRPr="00AA1EAC">
        <w:rPr>
          <w:szCs w:val="26"/>
        </w:rPr>
        <w:t>upplement the MFWB programs</w:t>
      </w:r>
      <w:r w:rsidRPr="00AA1EAC" w:rsidR="000C1980">
        <w:rPr>
          <w:szCs w:val="26"/>
        </w:rPr>
        <w:t>.</w:t>
      </w:r>
    </w:p>
    <w:p w:rsidRPr="00075B67" w:rsidR="000C1980" w:rsidP="00815B6D" w:rsidRDefault="000C1980" w14:paraId="5EFAEE2A" w14:textId="450E6CEE">
      <w:pPr>
        <w:pStyle w:val="OP"/>
        <w:numPr>
          <w:ilvl w:val="0"/>
          <w:numId w:val="24"/>
        </w:numPr>
        <w:tabs>
          <w:tab w:val="left" w:pos="1170"/>
        </w:tabs>
        <w:ind w:left="0" w:firstLine="547"/>
        <w:rPr>
          <w:szCs w:val="26"/>
        </w:rPr>
      </w:pPr>
      <w:r w:rsidRPr="00B11AAF">
        <w:rPr>
          <w:szCs w:val="26"/>
        </w:rPr>
        <w:t xml:space="preserve">Pacific Gas and Electric Company, Southern California Edison Company, San Diego Gas &amp; Electric Company and Southern California Gas Company </w:t>
      </w:r>
      <w:r w:rsidR="00FF0022">
        <w:rPr>
          <w:szCs w:val="26"/>
        </w:rPr>
        <w:t>must</w:t>
      </w:r>
      <w:r w:rsidRPr="00FF0022" w:rsidR="00FF0022">
        <w:rPr>
          <w:szCs w:val="26"/>
        </w:rPr>
        <w:t xml:space="preserve"> </w:t>
      </w:r>
      <w:r w:rsidRPr="00FF0022">
        <w:rPr>
          <w:szCs w:val="26"/>
        </w:rPr>
        <w:t xml:space="preserve">file a Tier 1 advice letter within </w:t>
      </w:r>
      <w:r w:rsidR="005E095F">
        <w:rPr>
          <w:szCs w:val="26"/>
        </w:rPr>
        <w:t>60</w:t>
      </w:r>
      <w:r w:rsidRPr="00FF0022" w:rsidR="005E095F">
        <w:rPr>
          <w:szCs w:val="26"/>
        </w:rPr>
        <w:t xml:space="preserve"> </w:t>
      </w:r>
      <w:r w:rsidRPr="00FF0022">
        <w:rPr>
          <w:szCs w:val="26"/>
        </w:rPr>
        <w:t xml:space="preserve">days </w:t>
      </w:r>
      <w:r w:rsidRPr="00C47214" w:rsidR="001F06E9">
        <w:t xml:space="preserve">after the approval </w:t>
      </w:r>
      <w:r w:rsidRPr="00FF0022">
        <w:rPr>
          <w:szCs w:val="26"/>
        </w:rPr>
        <w:t xml:space="preserve">of this decision with the updated </w:t>
      </w:r>
      <w:r w:rsidRPr="00A65A5E">
        <w:rPr>
          <w:szCs w:val="26"/>
        </w:rPr>
        <w:t>Energy Savings Assistance</w:t>
      </w:r>
      <w:r>
        <w:rPr>
          <w:szCs w:val="26"/>
        </w:rPr>
        <w:t xml:space="preserve"> (ESA)</w:t>
      </w:r>
      <w:r w:rsidRPr="00D34A5A">
        <w:rPr>
          <w:szCs w:val="26"/>
        </w:rPr>
        <w:t xml:space="preserve"> multifamily </w:t>
      </w:r>
      <w:r w:rsidR="008E66AD">
        <w:t xml:space="preserve">common area measure </w:t>
      </w:r>
      <w:r w:rsidRPr="00D34A5A">
        <w:rPr>
          <w:szCs w:val="26"/>
        </w:rPr>
        <w:t xml:space="preserve">budgets for </w:t>
      </w:r>
      <w:r w:rsidR="00E71B9B">
        <w:rPr>
          <w:szCs w:val="26"/>
        </w:rPr>
        <w:t xml:space="preserve">the remainder of </w:t>
      </w:r>
      <w:r w:rsidRPr="00D34A5A">
        <w:rPr>
          <w:szCs w:val="26"/>
        </w:rPr>
        <w:t>program year 2021</w:t>
      </w:r>
      <w:r w:rsidR="00E71B9B">
        <w:rPr>
          <w:szCs w:val="26"/>
        </w:rPr>
        <w:t xml:space="preserve"> and </w:t>
      </w:r>
      <w:r w:rsidRPr="00D34A5A">
        <w:rPr>
          <w:szCs w:val="26"/>
        </w:rPr>
        <w:t>2022</w:t>
      </w:r>
      <w:r w:rsidR="006E04CE">
        <w:rPr>
          <w:szCs w:val="26"/>
        </w:rPr>
        <w:t>,</w:t>
      </w:r>
      <w:r w:rsidRPr="00D34A5A">
        <w:rPr>
          <w:szCs w:val="26"/>
        </w:rPr>
        <w:t xml:space="preserve"> with the amounts being supplemented by the unspent and uncommitted common area measures funding </w:t>
      </w:r>
      <w:r w:rsidRPr="00FF0022">
        <w:rPr>
          <w:szCs w:val="26"/>
        </w:rPr>
        <w:t xml:space="preserve">remaining </w:t>
      </w:r>
      <w:r w:rsidR="00E71B9B">
        <w:rPr>
          <w:szCs w:val="26"/>
        </w:rPr>
        <w:t>as of June 30, 2021</w:t>
      </w:r>
      <w:r w:rsidR="000F3313">
        <w:t xml:space="preserve"> as well as annual property treatment targets</w:t>
      </w:r>
      <w:r w:rsidRPr="00FF0022">
        <w:rPr>
          <w:szCs w:val="26"/>
        </w:rPr>
        <w:t xml:space="preserve">. </w:t>
      </w:r>
    </w:p>
    <w:p w:rsidRPr="00FF0022" w:rsidR="000C1980" w:rsidP="00815B6D" w:rsidRDefault="000C1980" w14:paraId="5B8FB0D3" w14:textId="42E94D5F">
      <w:pPr>
        <w:pStyle w:val="OP"/>
        <w:numPr>
          <w:ilvl w:val="0"/>
          <w:numId w:val="24"/>
        </w:numPr>
        <w:tabs>
          <w:tab w:val="left" w:pos="1170"/>
        </w:tabs>
        <w:ind w:left="0" w:firstLine="547"/>
        <w:rPr>
          <w:szCs w:val="26"/>
        </w:rPr>
      </w:pPr>
      <w:r w:rsidRPr="007B351F">
        <w:rPr>
          <w:szCs w:val="26"/>
        </w:rPr>
        <w:t>Pacific Gas and Electric Company</w:t>
      </w:r>
      <w:r w:rsidRPr="008145B7">
        <w:rPr>
          <w:szCs w:val="26"/>
        </w:rPr>
        <w:t xml:space="preserve"> (P</w:t>
      </w:r>
      <w:r w:rsidRPr="00AA1EAC">
        <w:rPr>
          <w:szCs w:val="26"/>
        </w:rPr>
        <w:t>G&amp;E)</w:t>
      </w:r>
      <w:r w:rsidRPr="00B92E50">
        <w:rPr>
          <w:szCs w:val="26"/>
        </w:rPr>
        <w:t xml:space="preserve">, Southern California Edison Company, San Diego Gas &amp; Electric Company and Southern California Gas Company’s </w:t>
      </w:r>
      <w:r w:rsidRPr="00B11AAF">
        <w:rPr>
          <w:szCs w:val="26"/>
        </w:rPr>
        <w:t>multifamily whole building (MFWB)</w:t>
      </w:r>
      <w:r w:rsidRPr="001F7F7A">
        <w:rPr>
          <w:szCs w:val="26"/>
        </w:rPr>
        <w:t xml:space="preserve"> budget</w:t>
      </w:r>
      <w:r w:rsidRPr="005078BD">
        <w:rPr>
          <w:szCs w:val="26"/>
        </w:rPr>
        <w:t>s</w:t>
      </w:r>
      <w:r w:rsidRPr="003B750A">
        <w:rPr>
          <w:szCs w:val="26"/>
        </w:rPr>
        <w:t xml:space="preserve"> for the 2023-2026 program cycle, which will include all multifamily offerings (MFWB, in unit, and com</w:t>
      </w:r>
      <w:r w:rsidRPr="009F4133">
        <w:rPr>
          <w:szCs w:val="26"/>
        </w:rPr>
        <w:t>mon area measures), as well as program administration costs, (S</w:t>
      </w:r>
      <w:r w:rsidR="00FF0022">
        <w:rPr>
          <w:szCs w:val="26"/>
        </w:rPr>
        <w:t xml:space="preserve">ingle </w:t>
      </w:r>
      <w:r w:rsidRPr="00FF0022">
        <w:rPr>
          <w:szCs w:val="26"/>
        </w:rPr>
        <w:t>P</w:t>
      </w:r>
      <w:r w:rsidR="00FF0022">
        <w:rPr>
          <w:szCs w:val="26"/>
        </w:rPr>
        <w:t xml:space="preserve">oint of </w:t>
      </w:r>
      <w:r w:rsidRPr="00FF0022">
        <w:rPr>
          <w:szCs w:val="26"/>
        </w:rPr>
        <w:t>C</w:t>
      </w:r>
      <w:r w:rsidR="00FF0022">
        <w:rPr>
          <w:szCs w:val="26"/>
        </w:rPr>
        <w:t>ontact</w:t>
      </w:r>
      <w:r w:rsidRPr="00FF0022">
        <w:rPr>
          <w:szCs w:val="26"/>
        </w:rPr>
        <w:t xml:space="preserve"> for PG&amp;E only, Inspections</w:t>
      </w:r>
      <w:r w:rsidR="00A45D07">
        <w:rPr>
          <w:szCs w:val="26"/>
        </w:rPr>
        <w:t>,</w:t>
      </w:r>
      <w:r w:rsidRPr="00A45D07" w:rsidR="00A45D07">
        <w:t xml:space="preserve"> </w:t>
      </w:r>
      <w:r w:rsidR="00A45D07">
        <w:t>IOU Third Party Program Administration, etc.</w:t>
      </w:r>
      <w:r w:rsidRPr="00FF0022">
        <w:rPr>
          <w:szCs w:val="26"/>
        </w:rPr>
        <w:t xml:space="preserve">), are approved as follows: </w:t>
      </w:r>
    </w:p>
    <w:tbl>
      <w:tblPr>
        <w:tblStyle w:val="TableGrid"/>
        <w:tblW w:w="9360" w:type="dxa"/>
        <w:tblLayout w:type="fixed"/>
        <w:tblLook w:val="06A0" w:firstRow="1" w:lastRow="0" w:firstColumn="1" w:lastColumn="0" w:noHBand="1" w:noVBand="1"/>
      </w:tblPr>
      <w:tblGrid>
        <w:gridCol w:w="4680"/>
        <w:gridCol w:w="4680"/>
      </w:tblGrid>
      <w:tr w:rsidRPr="00F0209A" w:rsidR="00AF30A3" w:rsidTr="00655890" w14:paraId="3EFFBAE3" w14:textId="77777777">
        <w:tc>
          <w:tcPr>
            <w:tcW w:w="9360" w:type="dxa"/>
            <w:gridSpan w:val="2"/>
          </w:tcPr>
          <w:p w:rsidRPr="00AF30A3" w:rsidR="00AF30A3" w:rsidP="00072DBF" w:rsidRDefault="00AF30A3" w14:paraId="3981AE12" w14:textId="63D1B9D9">
            <w:pPr>
              <w:keepNext/>
              <w:keepLines/>
              <w:spacing w:after="120"/>
              <w:jc w:val="center"/>
            </w:pPr>
            <w:r w:rsidRPr="007E344F">
              <w:t xml:space="preserve">Approved Northern and Southern MFWB Budgets, </w:t>
            </w:r>
            <w:r>
              <w:t xml:space="preserve">Program Years </w:t>
            </w:r>
            <w:r w:rsidRPr="007E344F">
              <w:t>2023-2026</w:t>
            </w:r>
          </w:p>
        </w:tc>
      </w:tr>
      <w:tr w:rsidRPr="00F0209A" w:rsidR="000C1980" w:rsidTr="000C1980" w14:paraId="71CCF61D" w14:textId="77777777">
        <w:tc>
          <w:tcPr>
            <w:tcW w:w="4680" w:type="dxa"/>
          </w:tcPr>
          <w:p w:rsidRPr="00F0209A" w:rsidR="000C1980" w:rsidP="00072DBF" w:rsidRDefault="000C1980" w14:paraId="5F81BCCB" w14:textId="77777777">
            <w:pPr>
              <w:pStyle w:val="ALJBodyText"/>
              <w:ind w:firstLine="0"/>
              <w:jc w:val="center"/>
            </w:pPr>
            <w:r w:rsidRPr="00F0209A">
              <w:t>Program</w:t>
            </w:r>
          </w:p>
        </w:tc>
        <w:tc>
          <w:tcPr>
            <w:tcW w:w="4680" w:type="dxa"/>
          </w:tcPr>
          <w:p w:rsidRPr="00F0209A" w:rsidR="000C1980" w:rsidP="00072DBF" w:rsidRDefault="000C1980" w14:paraId="0F34A5E5" w14:textId="77777777">
            <w:pPr>
              <w:pStyle w:val="ALJBodyText"/>
              <w:ind w:firstLine="0"/>
              <w:jc w:val="center"/>
            </w:pPr>
            <w:r>
              <w:t>Budget (</w:t>
            </w:r>
            <w:r w:rsidRPr="00F0209A">
              <w:t>202</w:t>
            </w:r>
            <w:r>
              <w:t>3</w:t>
            </w:r>
            <w:r w:rsidRPr="00F0209A">
              <w:t>-</w:t>
            </w:r>
            <w:r>
              <w:t>20</w:t>
            </w:r>
            <w:r w:rsidRPr="00F0209A">
              <w:t>26</w:t>
            </w:r>
            <w:r>
              <w:t>)</w:t>
            </w:r>
          </w:p>
        </w:tc>
      </w:tr>
      <w:tr w:rsidR="000C1980" w:rsidTr="000C1980" w14:paraId="42D68128" w14:textId="77777777">
        <w:tc>
          <w:tcPr>
            <w:tcW w:w="4680" w:type="dxa"/>
          </w:tcPr>
          <w:p w:rsidR="000C1980" w:rsidP="00072DBF" w:rsidRDefault="000C1980" w14:paraId="5F0AB204" w14:textId="77777777">
            <w:pPr>
              <w:pStyle w:val="ALJBodyText"/>
              <w:ind w:firstLine="0"/>
              <w:jc w:val="center"/>
            </w:pPr>
            <w:r>
              <w:t>Northern MFWB Program</w:t>
            </w:r>
          </w:p>
        </w:tc>
        <w:tc>
          <w:tcPr>
            <w:tcW w:w="4680" w:type="dxa"/>
          </w:tcPr>
          <w:p w:rsidR="000C1980" w:rsidP="00072DBF" w:rsidRDefault="000C1980" w14:paraId="385C2A7B" w14:textId="77777777">
            <w:pPr>
              <w:pStyle w:val="ALJBodyText"/>
              <w:ind w:firstLine="0"/>
              <w:jc w:val="center"/>
            </w:pPr>
            <w:r>
              <w:t>$174,076,023</w:t>
            </w:r>
          </w:p>
        </w:tc>
      </w:tr>
      <w:tr w:rsidR="000C1980" w:rsidTr="000C1980" w14:paraId="18C576E0" w14:textId="77777777">
        <w:tc>
          <w:tcPr>
            <w:tcW w:w="4680" w:type="dxa"/>
          </w:tcPr>
          <w:p w:rsidR="000C1980" w:rsidP="00072DBF" w:rsidRDefault="000C1980" w14:paraId="3A25B885" w14:textId="77777777">
            <w:pPr>
              <w:pStyle w:val="ALJBodyText"/>
              <w:ind w:firstLine="0"/>
              <w:jc w:val="center"/>
            </w:pPr>
            <w:r>
              <w:t>Southern MFWB Program</w:t>
            </w:r>
          </w:p>
        </w:tc>
        <w:tc>
          <w:tcPr>
            <w:tcW w:w="4680" w:type="dxa"/>
          </w:tcPr>
          <w:p w:rsidR="000C1980" w:rsidP="00072DBF" w:rsidRDefault="000C1980" w14:paraId="542489C0" w14:textId="77777777">
            <w:pPr>
              <w:pStyle w:val="ALJBodyText"/>
              <w:ind w:firstLine="0"/>
              <w:jc w:val="center"/>
            </w:pPr>
            <w:r>
              <w:t>$173,310,891</w:t>
            </w:r>
          </w:p>
        </w:tc>
      </w:tr>
    </w:tbl>
    <w:p w:rsidRPr="00767EDD" w:rsidR="000C1980" w:rsidP="000C1980" w:rsidRDefault="000C1980" w14:paraId="6A6E26F8" w14:textId="77777777">
      <w:pPr>
        <w:spacing w:line="360" w:lineRule="auto"/>
        <w:ind w:firstLine="720"/>
        <w:rPr>
          <w:sz w:val="10"/>
          <w:szCs w:val="10"/>
        </w:rPr>
      </w:pPr>
    </w:p>
    <w:p w:rsidRPr="007B351F" w:rsidR="000C1980" w:rsidP="00815B6D" w:rsidRDefault="000C1980" w14:paraId="1ED9EFC2" w14:textId="0282952D">
      <w:pPr>
        <w:pStyle w:val="OP"/>
        <w:numPr>
          <w:ilvl w:val="0"/>
          <w:numId w:val="24"/>
        </w:numPr>
        <w:tabs>
          <w:tab w:val="left" w:pos="1170"/>
        </w:tabs>
        <w:ind w:left="0" w:firstLine="547"/>
        <w:rPr>
          <w:szCs w:val="26"/>
        </w:rPr>
      </w:pPr>
      <w:r w:rsidRPr="00075B67">
        <w:rPr>
          <w:szCs w:val="26"/>
        </w:rPr>
        <w:t xml:space="preserve">Pacific Gas and Electric Company, Southern California Edison Company, San Diego Gas &amp; Electric Company and Southern California Gas Company’s </w:t>
      </w:r>
      <w:r w:rsidRPr="00A65A5E" w:rsidR="00B0432D">
        <w:rPr>
          <w:szCs w:val="26"/>
        </w:rPr>
        <w:t>Energy Savings Assistanc</w:t>
      </w:r>
      <w:r w:rsidR="00B0432D">
        <w:rPr>
          <w:szCs w:val="26"/>
        </w:rPr>
        <w:t>e</w:t>
      </w:r>
      <w:r w:rsidRPr="00D34A5A" w:rsidR="00B0432D">
        <w:rPr>
          <w:szCs w:val="26"/>
        </w:rPr>
        <w:t xml:space="preserve"> </w:t>
      </w:r>
      <w:r w:rsidRPr="00D9232D">
        <w:rPr>
          <w:szCs w:val="26"/>
        </w:rPr>
        <w:t>multifamily whole building (</w:t>
      </w:r>
      <w:r w:rsidRPr="00260009">
        <w:rPr>
          <w:szCs w:val="26"/>
        </w:rPr>
        <w:t>MFWB</w:t>
      </w:r>
      <w:r w:rsidRPr="007B351F">
        <w:rPr>
          <w:szCs w:val="26"/>
        </w:rPr>
        <w:t>)</w:t>
      </w:r>
      <w:r w:rsidRPr="008145B7">
        <w:rPr>
          <w:szCs w:val="26"/>
        </w:rPr>
        <w:t xml:space="preserve"> </w:t>
      </w:r>
      <w:r w:rsidRPr="00AA1EAC">
        <w:rPr>
          <w:szCs w:val="26"/>
        </w:rPr>
        <w:t xml:space="preserve">programs’ administration costs </w:t>
      </w:r>
      <w:r w:rsidR="00D9232D">
        <w:rPr>
          <w:szCs w:val="26"/>
        </w:rPr>
        <w:t>must</w:t>
      </w:r>
      <w:r w:rsidRPr="00D9232D" w:rsidR="00D9232D">
        <w:rPr>
          <w:szCs w:val="26"/>
        </w:rPr>
        <w:t xml:space="preserve"> </w:t>
      </w:r>
      <w:r w:rsidRPr="00D9232D">
        <w:rPr>
          <w:szCs w:val="26"/>
        </w:rPr>
        <w:t xml:space="preserve">not exceed 10 percent of the total MFWB </w:t>
      </w:r>
      <w:r w:rsidRPr="00260009">
        <w:rPr>
          <w:szCs w:val="26"/>
        </w:rPr>
        <w:t xml:space="preserve">program budgets. </w:t>
      </w:r>
    </w:p>
    <w:p w:rsidRPr="004B01A7" w:rsidR="000C1980" w:rsidP="00815B6D" w:rsidRDefault="00694C4A" w14:paraId="29CF9C07" w14:textId="4E4720C9">
      <w:pPr>
        <w:pStyle w:val="OP"/>
        <w:numPr>
          <w:ilvl w:val="0"/>
          <w:numId w:val="24"/>
        </w:numPr>
        <w:tabs>
          <w:tab w:val="left" w:pos="1170"/>
        </w:tabs>
        <w:ind w:left="0" w:firstLine="547"/>
        <w:rPr>
          <w:szCs w:val="26"/>
        </w:rPr>
      </w:pPr>
      <w:r w:rsidRPr="00AA1EAC">
        <w:rPr>
          <w:szCs w:val="26"/>
        </w:rPr>
        <w:lastRenderedPageBreak/>
        <w:t xml:space="preserve">The Southern multifamily whole building program </w:t>
      </w:r>
      <w:r w:rsidRPr="00B92E50">
        <w:rPr>
          <w:szCs w:val="26"/>
        </w:rPr>
        <w:t xml:space="preserve">budget </w:t>
      </w:r>
      <w:r>
        <w:rPr>
          <w:szCs w:val="26"/>
        </w:rPr>
        <w:t>must</w:t>
      </w:r>
      <w:r w:rsidRPr="00260009">
        <w:rPr>
          <w:szCs w:val="26"/>
        </w:rPr>
        <w:t xml:space="preserve"> be allocated as follow: Southern California Edison Company</w:t>
      </w:r>
      <w:r>
        <w:rPr>
          <w:szCs w:val="26"/>
        </w:rPr>
        <w:t>,</w:t>
      </w:r>
      <w:r w:rsidRPr="00260009">
        <w:rPr>
          <w:szCs w:val="26"/>
        </w:rPr>
        <w:t xml:space="preserve"> 31 percent</w:t>
      </w:r>
      <w:r>
        <w:rPr>
          <w:szCs w:val="26"/>
        </w:rPr>
        <w:t>;</w:t>
      </w:r>
      <w:r w:rsidRPr="00260009">
        <w:rPr>
          <w:szCs w:val="26"/>
        </w:rPr>
        <w:t xml:space="preserve"> </w:t>
      </w:r>
      <w:r w:rsidRPr="007B351F">
        <w:rPr>
          <w:szCs w:val="26"/>
        </w:rPr>
        <w:t>Southern</w:t>
      </w:r>
      <w:r w:rsidRPr="008145B7">
        <w:rPr>
          <w:szCs w:val="26"/>
        </w:rPr>
        <w:t> </w:t>
      </w:r>
      <w:r w:rsidRPr="00AA1EAC">
        <w:rPr>
          <w:szCs w:val="26"/>
        </w:rPr>
        <w:t>California Gas Company</w:t>
      </w:r>
      <w:r>
        <w:rPr>
          <w:szCs w:val="26"/>
        </w:rPr>
        <w:t>,</w:t>
      </w:r>
      <w:r w:rsidRPr="00B92E50">
        <w:rPr>
          <w:szCs w:val="26"/>
        </w:rPr>
        <w:t xml:space="preserve"> 49</w:t>
      </w:r>
      <w:r w:rsidRPr="00B11AAF">
        <w:rPr>
          <w:szCs w:val="26"/>
        </w:rPr>
        <w:t xml:space="preserve"> percent</w:t>
      </w:r>
      <w:r>
        <w:rPr>
          <w:szCs w:val="26"/>
        </w:rPr>
        <w:t>;</w:t>
      </w:r>
      <w:r w:rsidRPr="00B11AAF">
        <w:rPr>
          <w:szCs w:val="26"/>
        </w:rPr>
        <w:t xml:space="preserve"> and San Diego Gas &amp; Electric </w:t>
      </w:r>
      <w:r w:rsidRPr="001F7F7A">
        <w:rPr>
          <w:szCs w:val="26"/>
        </w:rPr>
        <w:t>Company</w:t>
      </w:r>
      <w:r>
        <w:rPr>
          <w:szCs w:val="26"/>
        </w:rPr>
        <w:t>,</w:t>
      </w:r>
      <w:r w:rsidRPr="001F7F7A">
        <w:rPr>
          <w:szCs w:val="26"/>
        </w:rPr>
        <w:t xml:space="preserve"> </w:t>
      </w:r>
      <w:r w:rsidRPr="005078BD">
        <w:rPr>
          <w:szCs w:val="26"/>
        </w:rPr>
        <w:t>20</w:t>
      </w:r>
      <w:r w:rsidRPr="003B750A">
        <w:rPr>
          <w:szCs w:val="26"/>
        </w:rPr>
        <w:t xml:space="preserve"> percent</w:t>
      </w:r>
      <w:r w:rsidRPr="003B750A" w:rsidR="000C1980">
        <w:rPr>
          <w:szCs w:val="26"/>
        </w:rPr>
        <w:t>.</w:t>
      </w:r>
    </w:p>
    <w:p w:rsidRPr="00B92E50" w:rsidR="000C1980" w:rsidP="00815B6D" w:rsidRDefault="00F8313C" w14:paraId="1CA17503" w14:textId="5D910CAF">
      <w:pPr>
        <w:pStyle w:val="OP"/>
        <w:numPr>
          <w:ilvl w:val="0"/>
          <w:numId w:val="24"/>
        </w:numPr>
        <w:tabs>
          <w:tab w:val="left" w:pos="1170"/>
        </w:tabs>
        <w:ind w:left="0" w:firstLine="547"/>
        <w:rPr>
          <w:szCs w:val="26"/>
        </w:rPr>
      </w:pPr>
      <w:r w:rsidRPr="009F4133">
        <w:rPr>
          <w:szCs w:val="26"/>
        </w:rPr>
        <w:t>For the Southern multifamily whole building program</w:t>
      </w:r>
      <w:r w:rsidRPr="00775B92">
        <w:rPr>
          <w:szCs w:val="26"/>
        </w:rPr>
        <w:t xml:space="preserve">, to preserve service for multifamily customers in each </w:t>
      </w:r>
      <w:r w:rsidRPr="00D75AC7">
        <w:rPr>
          <w:szCs w:val="26"/>
        </w:rPr>
        <w:t>Utility</w:t>
      </w:r>
      <w:r w:rsidRPr="0099018E">
        <w:rPr>
          <w:szCs w:val="26"/>
        </w:rPr>
        <w:t xml:space="preserve"> territory, a minimum portion of the direct implementation budget</w:t>
      </w:r>
      <w:r w:rsidRPr="00581F69">
        <w:rPr>
          <w:szCs w:val="26"/>
        </w:rPr>
        <w:t xml:space="preserve"> </w:t>
      </w:r>
      <w:r>
        <w:rPr>
          <w:szCs w:val="26"/>
        </w:rPr>
        <w:t>must</w:t>
      </w:r>
      <w:r w:rsidRPr="00260009">
        <w:rPr>
          <w:szCs w:val="26"/>
        </w:rPr>
        <w:t xml:space="preserve"> be reserved for each </w:t>
      </w:r>
      <w:r w:rsidRPr="007B351F">
        <w:rPr>
          <w:szCs w:val="26"/>
        </w:rPr>
        <w:t>Utilit</w:t>
      </w:r>
      <w:r>
        <w:rPr>
          <w:szCs w:val="26"/>
        </w:rPr>
        <w:t>y’s</w:t>
      </w:r>
      <w:r w:rsidRPr="008145B7">
        <w:rPr>
          <w:szCs w:val="26"/>
        </w:rPr>
        <w:t xml:space="preserve"> customers at an amount proportional to </w:t>
      </w:r>
      <w:r w:rsidRPr="00AA1EAC">
        <w:rPr>
          <w:szCs w:val="26"/>
        </w:rPr>
        <w:t>the Utility</w:t>
      </w:r>
      <w:r>
        <w:rPr>
          <w:szCs w:val="26"/>
        </w:rPr>
        <w:t>’s</w:t>
      </w:r>
      <w:r w:rsidRPr="00B92E50">
        <w:rPr>
          <w:szCs w:val="26"/>
        </w:rPr>
        <w:t xml:space="preserve"> overall contribution to the program</w:t>
      </w:r>
      <w:r w:rsidRPr="00B11AAF">
        <w:rPr>
          <w:szCs w:val="26"/>
        </w:rPr>
        <w:t xml:space="preserve">, while the savings attribution </w:t>
      </w:r>
      <w:r>
        <w:rPr>
          <w:szCs w:val="26"/>
        </w:rPr>
        <w:t xml:space="preserve">will </w:t>
      </w:r>
      <w:r w:rsidRPr="00260009">
        <w:rPr>
          <w:szCs w:val="26"/>
        </w:rPr>
        <w:t>continue to follow the statewid</w:t>
      </w:r>
      <w:r w:rsidRPr="007B351F">
        <w:rPr>
          <w:szCs w:val="26"/>
        </w:rPr>
        <w:t>e program protocol of accruing based on proportion of overall budget contribution</w:t>
      </w:r>
      <w:r w:rsidRPr="00AA1EAC" w:rsidR="000C1980">
        <w:rPr>
          <w:szCs w:val="26"/>
        </w:rPr>
        <w:t>.</w:t>
      </w:r>
    </w:p>
    <w:p w:rsidRPr="00AA1EAC" w:rsidR="000C1980" w:rsidP="00815B6D" w:rsidRDefault="000C1980" w14:paraId="7912BDF7" w14:textId="204B2810">
      <w:pPr>
        <w:pStyle w:val="OP"/>
        <w:numPr>
          <w:ilvl w:val="0"/>
          <w:numId w:val="24"/>
        </w:numPr>
        <w:tabs>
          <w:tab w:val="left" w:pos="1170"/>
        </w:tabs>
        <w:ind w:left="0" w:firstLine="547"/>
        <w:rPr>
          <w:szCs w:val="26"/>
        </w:rPr>
      </w:pPr>
      <w:r w:rsidRPr="00B11AAF">
        <w:rPr>
          <w:szCs w:val="26"/>
        </w:rPr>
        <w:t xml:space="preserve"> Pacific Gas and Electric Company, Southern California Edison Company, San Diego Gas &amp; Electric Company and Southern California Gas Company </w:t>
      </w:r>
      <w:r w:rsidR="00F7031B">
        <w:rPr>
          <w:szCs w:val="26"/>
        </w:rPr>
        <w:t>must</w:t>
      </w:r>
      <w:r w:rsidRPr="00F7031B" w:rsidR="00F7031B">
        <w:rPr>
          <w:szCs w:val="26"/>
        </w:rPr>
        <w:t xml:space="preserve"> </w:t>
      </w:r>
      <w:r w:rsidRPr="00F7031B">
        <w:rPr>
          <w:szCs w:val="26"/>
        </w:rPr>
        <w:t>report on the multifamily and multifamily whole building programs’ progress</w:t>
      </w:r>
      <w:r w:rsidRPr="007B351F">
        <w:rPr>
          <w:szCs w:val="26"/>
        </w:rPr>
        <w:t xml:space="preserve"> </w:t>
      </w:r>
      <w:r w:rsidRPr="008145B7">
        <w:rPr>
          <w:szCs w:val="26"/>
        </w:rPr>
        <w:t xml:space="preserve">in the </w:t>
      </w:r>
      <w:r w:rsidRPr="00A65A5E" w:rsidR="00C32405">
        <w:rPr>
          <w:szCs w:val="26"/>
        </w:rPr>
        <w:t>Energy Savings Assistance</w:t>
      </w:r>
      <w:r w:rsidR="00C32405">
        <w:rPr>
          <w:szCs w:val="26"/>
        </w:rPr>
        <w:t xml:space="preserve"> </w:t>
      </w:r>
      <w:r w:rsidRPr="008145B7">
        <w:rPr>
          <w:szCs w:val="26"/>
        </w:rPr>
        <w:t>monthly and annual reports per the reporting template to be developed and issued by Energy Division staff.</w:t>
      </w:r>
    </w:p>
    <w:p w:rsidRPr="00F7031B" w:rsidR="000C1980" w:rsidP="00815B6D" w:rsidRDefault="000C1980" w14:paraId="519CD81B" w14:textId="5636527F">
      <w:pPr>
        <w:pStyle w:val="OP"/>
        <w:numPr>
          <w:ilvl w:val="0"/>
          <w:numId w:val="24"/>
        </w:numPr>
        <w:tabs>
          <w:tab w:val="left" w:pos="1170"/>
        </w:tabs>
        <w:ind w:left="0" w:firstLine="547"/>
        <w:rPr>
          <w:szCs w:val="26"/>
        </w:rPr>
      </w:pPr>
      <w:r w:rsidRPr="00B171D3">
        <w:rPr>
          <w:szCs w:val="26"/>
        </w:rPr>
        <w:t xml:space="preserve">Ancillary Services, for the purposes of the </w:t>
      </w:r>
      <w:r w:rsidRPr="00A65A5E">
        <w:rPr>
          <w:szCs w:val="26"/>
        </w:rPr>
        <w:t xml:space="preserve">Energy Savings Assistance </w:t>
      </w:r>
      <w:r w:rsidRPr="00075B67">
        <w:rPr>
          <w:szCs w:val="26"/>
        </w:rPr>
        <w:t>program,</w:t>
      </w:r>
      <w:r w:rsidRPr="00D9232D">
        <w:rPr>
          <w:szCs w:val="26"/>
        </w:rPr>
        <w:t xml:space="preserve"> </w:t>
      </w:r>
      <w:r w:rsidR="00F7031B">
        <w:rPr>
          <w:szCs w:val="26"/>
        </w:rPr>
        <w:t>must</w:t>
      </w:r>
      <w:r w:rsidRPr="00D9232D" w:rsidR="00F7031B">
        <w:rPr>
          <w:szCs w:val="26"/>
        </w:rPr>
        <w:t xml:space="preserve"> </w:t>
      </w:r>
      <w:r w:rsidRPr="00260009">
        <w:rPr>
          <w:szCs w:val="26"/>
        </w:rPr>
        <w:t xml:space="preserve">include activities to protect tenant needs during construction as well as commissioning. </w:t>
      </w:r>
    </w:p>
    <w:p w:rsidRPr="00B171D3" w:rsidR="000C1980" w:rsidP="00815B6D" w:rsidRDefault="007940EF" w14:paraId="091B55EF" w14:textId="37A959BE">
      <w:pPr>
        <w:pStyle w:val="OP"/>
        <w:numPr>
          <w:ilvl w:val="0"/>
          <w:numId w:val="24"/>
        </w:numPr>
        <w:tabs>
          <w:tab w:val="left" w:pos="1170"/>
        </w:tabs>
        <w:ind w:left="0" w:firstLine="547"/>
        <w:rPr>
          <w:szCs w:val="26"/>
        </w:rPr>
      </w:pPr>
      <w:r w:rsidRPr="00B171D3">
        <w:rPr>
          <w:szCs w:val="26"/>
        </w:rPr>
        <w:t xml:space="preserve">Deed-Restriction, for the purposes of the </w:t>
      </w:r>
      <w:r w:rsidRPr="00A65A5E">
        <w:rPr>
          <w:szCs w:val="26"/>
        </w:rPr>
        <w:t xml:space="preserve">Energy Savings Assistance </w:t>
      </w:r>
      <w:r>
        <w:rPr>
          <w:szCs w:val="26"/>
        </w:rPr>
        <w:t xml:space="preserve">(ESA) </w:t>
      </w:r>
      <w:r w:rsidRPr="00075B67">
        <w:rPr>
          <w:szCs w:val="26"/>
        </w:rPr>
        <w:t>program,</w:t>
      </w:r>
      <w:r w:rsidRPr="00B171D3">
        <w:rPr>
          <w:szCs w:val="26"/>
        </w:rPr>
        <w:t xml:space="preserve"> </w:t>
      </w:r>
      <w:r>
        <w:rPr>
          <w:szCs w:val="26"/>
        </w:rPr>
        <w:t>will</w:t>
      </w:r>
      <w:r w:rsidRPr="00B171D3">
        <w:rPr>
          <w:szCs w:val="26"/>
        </w:rPr>
        <w:t xml:space="preserve"> be defined consistent with Decision 17-12-009, </w:t>
      </w:r>
      <w:r>
        <w:rPr>
          <w:szCs w:val="26"/>
        </w:rPr>
        <w:t>which provides</w:t>
      </w:r>
      <w:r w:rsidRPr="00B171D3">
        <w:rPr>
          <w:szCs w:val="26"/>
        </w:rPr>
        <w:t xml:space="preserve">: “Eligible properties must meet the partial definition of deed-restricted in California Public Utilities Code Section 2852(a)(A) further modified here.  For this ESA </w:t>
      </w:r>
      <w:r>
        <w:rPr>
          <w:szCs w:val="26"/>
        </w:rPr>
        <w:t>p</w:t>
      </w:r>
      <w:r w:rsidRPr="00B171D3">
        <w:rPr>
          <w:szCs w:val="26"/>
        </w:rPr>
        <w:t xml:space="preserve">rogram multi-family effort, a property must be a multi-family residential complex financed with </w:t>
      </w:r>
      <w:proofErr w:type="gramStart"/>
      <w:r w:rsidRPr="00B171D3">
        <w:rPr>
          <w:szCs w:val="26"/>
        </w:rPr>
        <w:t>low income</w:t>
      </w:r>
      <w:proofErr w:type="gramEnd"/>
      <w:r w:rsidRPr="00B171D3">
        <w:rPr>
          <w:szCs w:val="26"/>
        </w:rPr>
        <w:t xml:space="preserve"> housing tax credits, tax-exempt </w:t>
      </w:r>
      <w:r w:rsidRPr="00B171D3">
        <w:rPr>
          <w:szCs w:val="26"/>
        </w:rPr>
        <w:lastRenderedPageBreak/>
        <w:t>mortgage revenue bonds, general obligation bonds, or local, state, or federal loans or grants</w:t>
      </w:r>
      <w:r w:rsidRPr="00B171D3" w:rsidR="000C1980">
        <w:rPr>
          <w:szCs w:val="26"/>
        </w:rPr>
        <w:t>.”</w:t>
      </w:r>
    </w:p>
    <w:p w:rsidRPr="00AA1EAC" w:rsidR="000C1980" w:rsidP="00815B6D" w:rsidRDefault="000C1980" w14:paraId="78BC684B" w14:textId="31A48524">
      <w:pPr>
        <w:pStyle w:val="OP"/>
        <w:numPr>
          <w:ilvl w:val="0"/>
          <w:numId w:val="24"/>
        </w:numPr>
        <w:tabs>
          <w:tab w:val="left" w:pos="1170"/>
        </w:tabs>
        <w:ind w:left="0" w:firstLine="547"/>
        <w:rPr>
          <w:szCs w:val="26"/>
        </w:rPr>
      </w:pPr>
      <w:r w:rsidRPr="00B171D3">
        <w:rPr>
          <w:szCs w:val="26"/>
        </w:rPr>
        <w:t xml:space="preserve">Multifamily, for the purposes of the </w:t>
      </w:r>
      <w:r w:rsidRPr="00A65A5E" w:rsidR="00AE111F">
        <w:rPr>
          <w:szCs w:val="26"/>
        </w:rPr>
        <w:t xml:space="preserve">Energy Savings Assistance </w:t>
      </w:r>
      <w:r w:rsidRPr="00B171D3">
        <w:rPr>
          <w:szCs w:val="26"/>
        </w:rPr>
        <w:t xml:space="preserve">program, </w:t>
      </w:r>
      <w:r w:rsidR="00F7031B">
        <w:rPr>
          <w:szCs w:val="26"/>
        </w:rPr>
        <w:t>will</w:t>
      </w:r>
      <w:r w:rsidRPr="00F7031B" w:rsidR="00F7031B">
        <w:rPr>
          <w:szCs w:val="26"/>
        </w:rPr>
        <w:t xml:space="preserve"> </w:t>
      </w:r>
      <w:r w:rsidRPr="00F7031B">
        <w:rPr>
          <w:szCs w:val="26"/>
        </w:rPr>
        <w:t xml:space="preserve">be defined as having five or more units, </w:t>
      </w:r>
      <w:r w:rsidR="00A74A0C">
        <w:rPr>
          <w:szCs w:val="26"/>
        </w:rPr>
        <w:t>and</w:t>
      </w:r>
      <w:r w:rsidRPr="00F7031B" w:rsidR="00A74A0C">
        <w:rPr>
          <w:szCs w:val="26"/>
        </w:rPr>
        <w:t xml:space="preserve"> </w:t>
      </w:r>
      <w:r w:rsidRPr="00F7031B">
        <w:rPr>
          <w:szCs w:val="26"/>
        </w:rPr>
        <w:t xml:space="preserve">that </w:t>
      </w:r>
      <w:r w:rsidR="00A74A0C">
        <w:rPr>
          <w:szCs w:val="26"/>
        </w:rPr>
        <w:t>each</w:t>
      </w:r>
      <w:r w:rsidRPr="00F7031B">
        <w:rPr>
          <w:szCs w:val="26"/>
        </w:rPr>
        <w:t xml:space="preserve"> unit must be comb</w:t>
      </w:r>
      <w:r w:rsidRPr="007B351F">
        <w:rPr>
          <w:szCs w:val="26"/>
        </w:rPr>
        <w:t xml:space="preserve">ined </w:t>
      </w:r>
      <w:r w:rsidRPr="008145B7">
        <w:rPr>
          <w:szCs w:val="26"/>
        </w:rPr>
        <w:t>(sharing a wall or floor/ceiling)</w:t>
      </w:r>
      <w:r w:rsidRPr="0091451C" w:rsidR="0091451C">
        <w:t xml:space="preserve"> </w:t>
      </w:r>
      <w:r w:rsidR="0091451C">
        <w:t>with at least one other unit</w:t>
      </w:r>
      <w:r w:rsidR="00135BAB">
        <w:rPr>
          <w:szCs w:val="26"/>
        </w:rPr>
        <w:t>,</w:t>
      </w:r>
      <w:r w:rsidRPr="008145B7">
        <w:rPr>
          <w:szCs w:val="26"/>
        </w:rPr>
        <w:t xml:space="preserve"> since often in California there are low-rise apartments which may not have all five units connected. </w:t>
      </w:r>
    </w:p>
    <w:p w:rsidRPr="006922CF" w:rsidR="000C1980" w:rsidP="00815B6D" w:rsidRDefault="000C1980" w14:paraId="08FD7B1C" w14:textId="247CCA69">
      <w:pPr>
        <w:pStyle w:val="OP"/>
        <w:numPr>
          <w:ilvl w:val="0"/>
          <w:numId w:val="24"/>
        </w:numPr>
        <w:tabs>
          <w:tab w:val="left" w:pos="1170"/>
        </w:tabs>
        <w:ind w:left="0" w:firstLine="547"/>
        <w:rPr>
          <w:szCs w:val="26"/>
        </w:rPr>
      </w:pPr>
      <w:r w:rsidRPr="00B171D3">
        <w:rPr>
          <w:szCs w:val="26"/>
        </w:rPr>
        <w:t xml:space="preserve">Pacific Gas and Electric Company’s Northern multifamily whole building program </w:t>
      </w:r>
      <w:r w:rsidR="006922CF">
        <w:rPr>
          <w:szCs w:val="26"/>
        </w:rPr>
        <w:t>must</w:t>
      </w:r>
      <w:r w:rsidRPr="006922CF" w:rsidR="006922CF">
        <w:rPr>
          <w:szCs w:val="26"/>
        </w:rPr>
        <w:t xml:space="preserve"> </w:t>
      </w:r>
      <w:r w:rsidRPr="006922CF">
        <w:rPr>
          <w:szCs w:val="26"/>
        </w:rPr>
        <w:t xml:space="preserve">carry forward the lessons learned from Marin Clean Energy’s </w:t>
      </w:r>
      <w:proofErr w:type="gramStart"/>
      <w:r w:rsidRPr="006922CF">
        <w:rPr>
          <w:szCs w:val="26"/>
        </w:rPr>
        <w:t>Low Income</w:t>
      </w:r>
      <w:proofErr w:type="gramEnd"/>
      <w:r w:rsidRPr="006922CF">
        <w:rPr>
          <w:szCs w:val="26"/>
        </w:rPr>
        <w:t xml:space="preserve"> Families and Tenants pilot.  </w:t>
      </w:r>
    </w:p>
    <w:p w:rsidRPr="006922CF" w:rsidR="000C1980" w:rsidP="00815B6D" w:rsidRDefault="000C1980" w14:paraId="7F68A607" w14:textId="0F947146">
      <w:pPr>
        <w:pStyle w:val="OP"/>
        <w:numPr>
          <w:ilvl w:val="0"/>
          <w:numId w:val="24"/>
        </w:numPr>
        <w:tabs>
          <w:tab w:val="left" w:pos="1170"/>
        </w:tabs>
        <w:ind w:left="0" w:firstLine="547"/>
        <w:rPr>
          <w:szCs w:val="26"/>
        </w:rPr>
      </w:pPr>
      <w:r w:rsidRPr="007B351F">
        <w:rPr>
          <w:szCs w:val="26"/>
        </w:rPr>
        <w:t xml:space="preserve">Marin Clean Energy’s </w:t>
      </w:r>
      <w:proofErr w:type="gramStart"/>
      <w:r w:rsidRPr="008145B7">
        <w:rPr>
          <w:szCs w:val="26"/>
        </w:rPr>
        <w:t>Low Income</w:t>
      </w:r>
      <w:proofErr w:type="gramEnd"/>
      <w:r w:rsidRPr="008145B7">
        <w:rPr>
          <w:szCs w:val="26"/>
        </w:rPr>
        <w:t xml:space="preserve"> Families and Tenants (LIFT) pilot </w:t>
      </w:r>
      <w:r w:rsidR="006922CF">
        <w:rPr>
          <w:szCs w:val="26"/>
        </w:rPr>
        <w:t>will</w:t>
      </w:r>
      <w:r w:rsidRPr="006922CF" w:rsidR="006922CF">
        <w:rPr>
          <w:szCs w:val="26"/>
        </w:rPr>
        <w:t xml:space="preserve"> </w:t>
      </w:r>
      <w:r w:rsidRPr="006922CF">
        <w:rPr>
          <w:szCs w:val="26"/>
        </w:rPr>
        <w:t xml:space="preserve">be extended until </w:t>
      </w:r>
      <w:r w:rsidR="005C5938">
        <w:t>December 31, 2023</w:t>
      </w:r>
      <w:r w:rsidRPr="006922CF">
        <w:rPr>
          <w:szCs w:val="26"/>
        </w:rPr>
        <w:t xml:space="preserve">, with the following requirements and guidance: </w:t>
      </w:r>
    </w:p>
    <w:p w:rsidR="000C1980" w:rsidP="00402362" w:rsidRDefault="000C1980" w14:paraId="6CB657F8" w14:textId="4CCA50F0">
      <w:pPr>
        <w:pStyle w:val="ListBullet"/>
      </w:pPr>
      <w:r>
        <w:t xml:space="preserve">Funding for the LIFT pilot </w:t>
      </w:r>
      <w:r w:rsidR="008145B7">
        <w:t xml:space="preserve">will </w:t>
      </w:r>
      <w:r>
        <w:t xml:space="preserve">be extended through 2023 at an annual budget of </w:t>
      </w:r>
      <w:r w:rsidRPr="004D45CA">
        <w:t xml:space="preserve">$1.3M </w:t>
      </w:r>
      <w:r>
        <w:t xml:space="preserve">or </w:t>
      </w:r>
      <w:r w:rsidRPr="004D45CA">
        <w:t>$3.</w:t>
      </w:r>
      <w:r w:rsidR="008B5235">
        <w:t>25</w:t>
      </w:r>
      <w:r w:rsidRPr="004D45CA" w:rsidR="008B5235">
        <w:t xml:space="preserve">M </w:t>
      </w:r>
      <w:r w:rsidRPr="004D45CA">
        <w:t>total</w:t>
      </w:r>
      <w:r>
        <w:t>.</w:t>
      </w:r>
      <w:r w:rsidRPr="004D45CA">
        <w:t xml:space="preserve">  As in D.17-12-009, </w:t>
      </w:r>
      <w:r w:rsidRPr="00D33B33">
        <w:t>Pacific Gas and Electric Company</w:t>
      </w:r>
      <w:r>
        <w:t xml:space="preserve"> shall </w:t>
      </w:r>
      <w:r w:rsidRPr="004D45CA">
        <w:t xml:space="preserve">collect and transfer these funds to </w:t>
      </w:r>
      <w:r>
        <w:t>Marin Clean Energy</w:t>
      </w:r>
      <w:r w:rsidRPr="004D45CA">
        <w:t>.</w:t>
      </w:r>
    </w:p>
    <w:p w:rsidRPr="004D45CA" w:rsidR="005C0883" w:rsidP="00402362" w:rsidRDefault="002262F2" w14:paraId="3A71066D" w14:textId="6B0181ED">
      <w:pPr>
        <w:pStyle w:val="ListBullet"/>
      </w:pPr>
      <w:r w:rsidRPr="7B061E80">
        <w:t xml:space="preserve">Revised eligibility rules </w:t>
      </w:r>
      <w:r>
        <w:t>approved in this decision will</w:t>
      </w:r>
      <w:r w:rsidRPr="7B061E80">
        <w:t xml:space="preserve"> apply to this pilot</w:t>
      </w:r>
      <w:r>
        <w:t xml:space="preserve"> as relevant.</w:t>
      </w:r>
    </w:p>
    <w:p w:rsidR="000C1980" w:rsidP="00402362" w:rsidRDefault="000C1980" w14:paraId="2A59C7FF" w14:textId="088FDE1C">
      <w:pPr>
        <w:pStyle w:val="ListBullet"/>
      </w:pPr>
      <w:r>
        <w:t xml:space="preserve">Marin Clean Energy </w:t>
      </w:r>
      <w:r w:rsidR="008145B7">
        <w:t xml:space="preserve">must </w:t>
      </w:r>
      <w:r>
        <w:t>submit a Tier 1 advice letter</w:t>
      </w:r>
      <w:r w:rsidRPr="00780253">
        <w:t xml:space="preserve"> </w:t>
      </w:r>
      <w:r>
        <w:t xml:space="preserve">no later than 6 months following this </w:t>
      </w:r>
      <w:r w:rsidR="00D8738C">
        <w:t xml:space="preserve">approval of this </w:t>
      </w:r>
      <w:r>
        <w:t xml:space="preserve">decision to update the LIFT pilot design, measure offerings (optional), and treatment and energy savings goals </w:t>
      </w:r>
      <w:proofErr w:type="gramStart"/>
      <w:r>
        <w:t>in light of</w:t>
      </w:r>
      <w:proofErr w:type="gramEnd"/>
      <w:r>
        <w:t xml:space="preserve"> the additional time and funding provided.  The advice letter </w:t>
      </w:r>
      <w:r w:rsidR="008145B7">
        <w:t xml:space="preserve">must </w:t>
      </w:r>
      <w:r>
        <w:t xml:space="preserve">also include an updated program manual and new evaluation plan. All fuel substitution measures must pass the </w:t>
      </w:r>
      <w:r w:rsidR="009D2AA8">
        <w:t xml:space="preserve">latest Commission </w:t>
      </w:r>
      <w:r>
        <w:t>Fuel Substitution Test.</w:t>
      </w:r>
    </w:p>
    <w:p w:rsidRPr="000B0CAB" w:rsidR="000C1980" w:rsidP="00402362" w:rsidRDefault="000C1980" w14:paraId="515A41B3" w14:textId="545DC792">
      <w:pPr>
        <w:pStyle w:val="ListBullet"/>
      </w:pPr>
      <w:r>
        <w:t xml:space="preserve">Marin Clean Energy </w:t>
      </w:r>
      <w:r w:rsidR="008145B7">
        <w:t xml:space="preserve">must </w:t>
      </w:r>
      <w:r>
        <w:t>modify the</w:t>
      </w:r>
      <w:r w:rsidRPr="000B0CAB">
        <w:t xml:space="preserve"> plan to pursue program leveraging to reduce heat pump costs, promote efficiency and demand response technologies, allow customer choice of </w:t>
      </w:r>
      <w:r w:rsidRPr="000B0CAB">
        <w:lastRenderedPageBreak/>
        <w:t>contractors, give tenant education on heat pump operation, and contractor education on heat pump installations</w:t>
      </w:r>
      <w:r>
        <w:t>.</w:t>
      </w:r>
      <w:r w:rsidRPr="000B0CAB">
        <w:t xml:space="preserve"> </w:t>
      </w:r>
    </w:p>
    <w:p w:rsidR="000C1980" w:rsidP="00402362" w:rsidRDefault="000C1980" w14:paraId="0E97557C" w14:textId="77777777">
      <w:pPr>
        <w:pStyle w:val="ListBullet"/>
      </w:pPr>
      <w:r>
        <w:t xml:space="preserve">Marin Clean Energy’s new evaluation plan must consider re-assessing current cycle LIFT phase one participants to understand energy and bill savings persistence, tenant turn-over, treated household income changes, and contractor education barriers. </w:t>
      </w:r>
    </w:p>
    <w:p w:rsidRPr="00994437" w:rsidR="000C1980" w:rsidP="00402362" w:rsidRDefault="000C1980" w14:paraId="5EB72746" w14:textId="0D95069E">
      <w:pPr>
        <w:pStyle w:val="ListBullet"/>
      </w:pPr>
      <w:r>
        <w:t xml:space="preserve">Marin Clean Energy </w:t>
      </w:r>
      <w:r w:rsidR="00E93028">
        <w:t>must</w:t>
      </w:r>
      <w:r w:rsidRPr="00983DB2" w:rsidR="00E93028">
        <w:t xml:space="preserve"> </w:t>
      </w:r>
      <w:r w:rsidRPr="00983DB2">
        <w:t xml:space="preserve">continue </w:t>
      </w:r>
      <w:r>
        <w:t xml:space="preserve">to </w:t>
      </w:r>
      <w:r w:rsidRPr="00983DB2">
        <w:t>provid</w:t>
      </w:r>
      <w:r>
        <w:t>e</w:t>
      </w:r>
      <w:r w:rsidRPr="00983DB2">
        <w:t xml:space="preserve"> monthly reports </w:t>
      </w:r>
      <w:r>
        <w:t xml:space="preserve">with an </w:t>
      </w:r>
      <w:r w:rsidRPr="00983DB2">
        <w:t xml:space="preserve">interim </w:t>
      </w:r>
      <w:r>
        <w:t xml:space="preserve">progress </w:t>
      </w:r>
      <w:r w:rsidRPr="00983DB2">
        <w:t>report due May 1</w:t>
      </w:r>
      <w:r>
        <w:t xml:space="preserve">, 2022, and a </w:t>
      </w:r>
      <w:r w:rsidRPr="00983DB2">
        <w:t>final report due May</w:t>
      </w:r>
      <w:r>
        <w:t> </w:t>
      </w:r>
      <w:r w:rsidRPr="00983DB2">
        <w:t>1</w:t>
      </w:r>
      <w:r>
        <w:t xml:space="preserve">, 2024 </w:t>
      </w:r>
      <w:r w:rsidRPr="00994437">
        <w:t>(per the reporting template to be developed and issued by Energy Division staff)</w:t>
      </w:r>
      <w:r>
        <w:t>.</w:t>
      </w:r>
    </w:p>
    <w:p w:rsidRPr="000B0CAB" w:rsidR="000C1980" w:rsidP="00402362" w:rsidRDefault="000C1980" w14:paraId="336A8F3B" w14:textId="1A13816C">
      <w:pPr>
        <w:pStyle w:val="ListBullet"/>
      </w:pPr>
      <w:r>
        <w:t xml:space="preserve">The LIFT pilot </w:t>
      </w:r>
      <w:r w:rsidR="00E93028">
        <w:t xml:space="preserve">must </w:t>
      </w:r>
      <w:r>
        <w:t xml:space="preserve">end on December 31, 2023, with all unspent and uncommitted funds being returned to ratepayers through </w:t>
      </w:r>
      <w:r w:rsidRPr="00D17D39">
        <w:rPr>
          <w:rFonts w:ascii="Palatino" w:hAnsi="Palatino"/>
          <w:szCs w:val="26"/>
        </w:rPr>
        <w:t>Pacific Gas and Electric Company</w:t>
      </w:r>
      <w:r>
        <w:t>’s next annual true-up advice letter in 2024.</w:t>
      </w:r>
    </w:p>
    <w:p w:rsidRPr="008145B7" w:rsidR="000C1980" w:rsidP="00815B6D" w:rsidRDefault="000C1980" w14:paraId="1A05AC5E" w14:textId="1A9FF77F">
      <w:pPr>
        <w:pStyle w:val="OP"/>
        <w:numPr>
          <w:ilvl w:val="0"/>
          <w:numId w:val="24"/>
        </w:numPr>
        <w:tabs>
          <w:tab w:val="left" w:pos="1170"/>
        </w:tabs>
        <w:ind w:left="0" w:firstLine="547"/>
        <w:rPr>
          <w:szCs w:val="26"/>
        </w:rPr>
      </w:pPr>
      <w:r w:rsidRPr="006E13A4">
        <w:rPr>
          <w:szCs w:val="26"/>
        </w:rPr>
        <w:t xml:space="preserve">Marin Clean Energy and </w:t>
      </w:r>
      <w:r w:rsidRPr="00B171D3">
        <w:rPr>
          <w:szCs w:val="26"/>
        </w:rPr>
        <w:t xml:space="preserve">Pacific Gas and Electric Company </w:t>
      </w:r>
      <w:r w:rsidR="006E13A4">
        <w:rPr>
          <w:szCs w:val="26"/>
        </w:rPr>
        <w:t>must</w:t>
      </w:r>
      <w:r w:rsidRPr="00B171D3" w:rsidR="006E13A4">
        <w:rPr>
          <w:szCs w:val="26"/>
        </w:rPr>
        <w:t xml:space="preserve"> </w:t>
      </w:r>
      <w:r w:rsidRPr="00B171D3">
        <w:rPr>
          <w:szCs w:val="26"/>
        </w:rPr>
        <w:t>have an</w:t>
      </w:r>
      <w:r w:rsidRPr="007B351F">
        <w:rPr>
          <w:szCs w:val="26"/>
        </w:rPr>
        <w:t xml:space="preserve"> agreement to coordinate </w:t>
      </w:r>
      <w:r w:rsidR="006E13A4">
        <w:rPr>
          <w:szCs w:val="26"/>
        </w:rPr>
        <w:t xml:space="preserve">on multifamily </w:t>
      </w:r>
      <w:r w:rsidRPr="007B351F">
        <w:rPr>
          <w:szCs w:val="26"/>
        </w:rPr>
        <w:t>efforts.</w:t>
      </w:r>
      <w:r w:rsidRPr="008145B7">
        <w:rPr>
          <w:szCs w:val="26"/>
        </w:rPr>
        <w:t xml:space="preserve"> </w:t>
      </w:r>
    </w:p>
    <w:p w:rsidRPr="009F04B3" w:rsidR="000C1980" w:rsidP="00815B6D" w:rsidRDefault="000C1980" w14:paraId="6278E206" w14:textId="12488043">
      <w:pPr>
        <w:pStyle w:val="OP"/>
        <w:numPr>
          <w:ilvl w:val="0"/>
          <w:numId w:val="24"/>
        </w:numPr>
        <w:tabs>
          <w:tab w:val="left" w:pos="1170"/>
        </w:tabs>
        <w:ind w:left="0" w:firstLine="547"/>
        <w:rPr>
          <w:szCs w:val="26"/>
        </w:rPr>
      </w:pPr>
      <w:r w:rsidRPr="00B171D3">
        <w:rPr>
          <w:szCs w:val="26"/>
        </w:rPr>
        <w:t>Pacific Gas and Electric Company</w:t>
      </w:r>
      <w:r w:rsidR="008F665E">
        <w:rPr>
          <w:szCs w:val="26"/>
        </w:rPr>
        <w:t xml:space="preserve"> (PG&amp;E)</w:t>
      </w:r>
      <w:r w:rsidRPr="008F665E">
        <w:rPr>
          <w:szCs w:val="26"/>
        </w:rPr>
        <w:t>, Southern California Edison Company</w:t>
      </w:r>
      <w:r w:rsidR="008F665E">
        <w:rPr>
          <w:szCs w:val="26"/>
        </w:rPr>
        <w:t xml:space="preserve"> (SCE)</w:t>
      </w:r>
      <w:r w:rsidRPr="008F665E">
        <w:rPr>
          <w:szCs w:val="26"/>
        </w:rPr>
        <w:t xml:space="preserve">, San Diego Gas &amp; Electric Company </w:t>
      </w:r>
      <w:r w:rsidR="008F665E">
        <w:rPr>
          <w:szCs w:val="26"/>
        </w:rPr>
        <w:t xml:space="preserve">(SDG&amp;E) </w:t>
      </w:r>
      <w:r w:rsidRPr="008F665E">
        <w:rPr>
          <w:szCs w:val="26"/>
        </w:rPr>
        <w:t xml:space="preserve">and Southern California Gas Company </w:t>
      </w:r>
      <w:r w:rsidR="008F665E">
        <w:rPr>
          <w:szCs w:val="26"/>
        </w:rPr>
        <w:t xml:space="preserve">(SoCalGas) </w:t>
      </w:r>
      <w:r w:rsidR="00BF53F5">
        <w:rPr>
          <w:szCs w:val="26"/>
        </w:rPr>
        <w:t>must</w:t>
      </w:r>
      <w:r w:rsidRPr="00BF53F5" w:rsidR="00BF53F5">
        <w:rPr>
          <w:szCs w:val="26"/>
        </w:rPr>
        <w:t xml:space="preserve"> </w:t>
      </w:r>
      <w:r w:rsidRPr="00BF53F5">
        <w:rPr>
          <w:szCs w:val="26"/>
        </w:rPr>
        <w:t xml:space="preserve">adopt an approach to defining an overall statewide study budget along with a study roadmap process to scope forthcoming study proposals and associated budgets to be included in the annual </w:t>
      </w:r>
      <w:r w:rsidRPr="00A65A5E" w:rsidR="00490B79">
        <w:rPr>
          <w:szCs w:val="26"/>
        </w:rPr>
        <w:t xml:space="preserve">Energy Savings Assistance </w:t>
      </w:r>
      <w:r w:rsidR="00490B79">
        <w:rPr>
          <w:szCs w:val="26"/>
        </w:rPr>
        <w:t>(</w:t>
      </w:r>
      <w:r w:rsidRPr="007B351F" w:rsidR="00490B79">
        <w:rPr>
          <w:szCs w:val="26"/>
        </w:rPr>
        <w:t>ESA</w:t>
      </w:r>
      <w:r w:rsidRPr="008145B7" w:rsidR="00490B79">
        <w:rPr>
          <w:szCs w:val="26"/>
        </w:rPr>
        <w:t>)</w:t>
      </w:r>
      <w:r w:rsidR="007A219D">
        <w:rPr>
          <w:szCs w:val="26"/>
        </w:rPr>
        <w:t>/</w:t>
      </w:r>
      <w:r w:rsidRPr="008145B7" w:rsidR="00490B79">
        <w:rPr>
          <w:szCs w:val="26"/>
        </w:rPr>
        <w:t>California Alternate Rates for Energy (CARE</w:t>
      </w:r>
      <w:r w:rsidRPr="006E13A4" w:rsidR="00490B79">
        <w:rPr>
          <w:szCs w:val="26"/>
        </w:rPr>
        <w:t>)</w:t>
      </w:r>
      <w:r w:rsidR="007A219D">
        <w:rPr>
          <w:szCs w:val="26"/>
        </w:rPr>
        <w:t>/</w:t>
      </w:r>
      <w:r w:rsidR="009F04B3">
        <w:rPr>
          <w:szCs w:val="26"/>
        </w:rPr>
        <w:t xml:space="preserve"> Family Electric Rate Assistance</w:t>
      </w:r>
      <w:r w:rsidRPr="00BF53F5">
        <w:rPr>
          <w:szCs w:val="26"/>
        </w:rPr>
        <w:t xml:space="preserve"> reports. With this approach, statewide budgets </w:t>
      </w:r>
      <w:r w:rsidR="00490B79">
        <w:rPr>
          <w:szCs w:val="26"/>
        </w:rPr>
        <w:t>will</w:t>
      </w:r>
      <w:r w:rsidRPr="00BF53F5" w:rsidR="00490B79">
        <w:rPr>
          <w:szCs w:val="26"/>
        </w:rPr>
        <w:t xml:space="preserve"> </w:t>
      </w:r>
      <w:r w:rsidRPr="00BF53F5">
        <w:rPr>
          <w:szCs w:val="26"/>
        </w:rPr>
        <w:t xml:space="preserve">be proposed for study categories, not specific studies, and therefore specific budgets for each specific study </w:t>
      </w:r>
      <w:r w:rsidR="00490B79">
        <w:rPr>
          <w:szCs w:val="26"/>
        </w:rPr>
        <w:t>will</w:t>
      </w:r>
      <w:r w:rsidRPr="009F04B3" w:rsidR="00490B79">
        <w:rPr>
          <w:szCs w:val="26"/>
        </w:rPr>
        <w:t xml:space="preserve"> </w:t>
      </w:r>
      <w:r w:rsidRPr="009F04B3">
        <w:rPr>
          <w:szCs w:val="26"/>
        </w:rPr>
        <w:t xml:space="preserve">be designated as they are scoped.  The Utilities </w:t>
      </w:r>
      <w:r w:rsidR="00490B79">
        <w:rPr>
          <w:szCs w:val="26"/>
        </w:rPr>
        <w:t>must</w:t>
      </w:r>
      <w:r w:rsidRPr="009F04B3" w:rsidR="00490B79">
        <w:rPr>
          <w:szCs w:val="26"/>
        </w:rPr>
        <w:t xml:space="preserve"> </w:t>
      </w:r>
      <w:r w:rsidRPr="009F04B3">
        <w:rPr>
          <w:szCs w:val="26"/>
        </w:rPr>
        <w:t xml:space="preserve">work with the </w:t>
      </w:r>
      <w:r w:rsidRPr="007B351F">
        <w:rPr>
          <w:szCs w:val="26"/>
        </w:rPr>
        <w:t>ESA</w:t>
      </w:r>
      <w:r w:rsidRPr="008145B7">
        <w:rPr>
          <w:szCs w:val="26"/>
        </w:rPr>
        <w:t>/</w:t>
      </w:r>
      <w:r w:rsidRPr="008145B7" w:rsidDel="00490B79" w:rsidR="00490B79">
        <w:rPr>
          <w:szCs w:val="26"/>
        </w:rPr>
        <w:t xml:space="preserve"> </w:t>
      </w:r>
      <w:r w:rsidRPr="008145B7">
        <w:rPr>
          <w:szCs w:val="26"/>
        </w:rPr>
        <w:t>CARE</w:t>
      </w:r>
      <w:r w:rsidRPr="00BF53F5">
        <w:rPr>
          <w:szCs w:val="26"/>
        </w:rPr>
        <w:t xml:space="preserve"> Study Working Group to finalize the project scope and timing of each study and </w:t>
      </w:r>
      <w:r w:rsidR="00490B79">
        <w:rPr>
          <w:szCs w:val="26"/>
        </w:rPr>
        <w:t>must</w:t>
      </w:r>
      <w:r w:rsidRPr="00BF53F5" w:rsidR="00490B79">
        <w:rPr>
          <w:szCs w:val="26"/>
        </w:rPr>
        <w:t xml:space="preserve"> </w:t>
      </w:r>
      <w:r w:rsidRPr="00BF53F5">
        <w:rPr>
          <w:szCs w:val="26"/>
        </w:rPr>
        <w:t xml:space="preserve">continue to manage the projects </w:t>
      </w:r>
      <w:r w:rsidRPr="008F665E">
        <w:rPr>
          <w:szCs w:val="26"/>
        </w:rPr>
        <w:t xml:space="preserve">using </w:t>
      </w:r>
      <w:r w:rsidRPr="008F665E" w:rsidR="008F665E">
        <w:t>the traditional IOU funding split (</w:t>
      </w:r>
      <w:r w:rsidRPr="008F665E" w:rsidR="00B425B3">
        <w:t>PG&amp;E</w:t>
      </w:r>
      <w:r w:rsidR="00B425B3">
        <w:t>,</w:t>
      </w:r>
      <w:r w:rsidRPr="008F665E" w:rsidR="00B425B3">
        <w:t xml:space="preserve"> 30</w:t>
      </w:r>
      <w:r w:rsidRPr="008F665E" w:rsidR="00B425B3">
        <w:rPr>
          <w:b/>
          <w:bCs/>
        </w:rPr>
        <w:t xml:space="preserve"> </w:t>
      </w:r>
      <w:r w:rsidRPr="008F665E" w:rsidR="00B425B3">
        <w:t>percent</w:t>
      </w:r>
      <w:r w:rsidR="00B425B3">
        <w:t>;</w:t>
      </w:r>
      <w:r w:rsidRPr="008F665E" w:rsidR="00B425B3">
        <w:t xml:space="preserve"> SCE</w:t>
      </w:r>
      <w:r w:rsidR="00B425B3">
        <w:t>,</w:t>
      </w:r>
      <w:r w:rsidRPr="008F665E" w:rsidR="00B425B3">
        <w:t xml:space="preserve"> 30 </w:t>
      </w:r>
      <w:r w:rsidRPr="008F665E" w:rsidR="00B425B3">
        <w:lastRenderedPageBreak/>
        <w:t>percent</w:t>
      </w:r>
      <w:r w:rsidR="00B425B3">
        <w:t>;</w:t>
      </w:r>
      <w:r w:rsidRPr="008F665E" w:rsidR="00B425B3">
        <w:t xml:space="preserve"> SoCalGas</w:t>
      </w:r>
      <w:r w:rsidR="00B425B3">
        <w:t>,</w:t>
      </w:r>
      <w:r w:rsidRPr="008F665E" w:rsidR="00B425B3">
        <w:t xml:space="preserve"> 25</w:t>
      </w:r>
      <w:r w:rsidRPr="008F665E" w:rsidR="00B425B3">
        <w:rPr>
          <w:b/>
          <w:bCs/>
        </w:rPr>
        <w:t xml:space="preserve"> </w:t>
      </w:r>
      <w:r w:rsidRPr="008F665E" w:rsidR="00B425B3">
        <w:t>percent</w:t>
      </w:r>
      <w:r w:rsidR="00B425B3">
        <w:t>;</w:t>
      </w:r>
      <w:r w:rsidRPr="008F665E" w:rsidR="00B425B3">
        <w:t xml:space="preserve"> SDG&amp;E 15 percent</w:t>
      </w:r>
      <w:r w:rsidR="00B425B3">
        <w:rPr>
          <w:szCs w:val="26"/>
        </w:rPr>
        <w:t xml:space="preserve">) </w:t>
      </w:r>
      <w:r w:rsidRPr="00BF53F5" w:rsidR="00B425B3">
        <w:rPr>
          <w:szCs w:val="26"/>
        </w:rPr>
        <w:t>with an assigned lead utility for each project</w:t>
      </w:r>
      <w:r w:rsidRPr="009F04B3">
        <w:rPr>
          <w:szCs w:val="26"/>
        </w:rPr>
        <w:t xml:space="preserve">.  </w:t>
      </w:r>
    </w:p>
    <w:p w:rsidRPr="00226DB2" w:rsidR="000C1980" w:rsidP="00815B6D" w:rsidRDefault="000C1980" w14:paraId="5283F6DE" w14:textId="77583287">
      <w:pPr>
        <w:pStyle w:val="OP"/>
        <w:numPr>
          <w:ilvl w:val="0"/>
          <w:numId w:val="24"/>
        </w:numPr>
        <w:tabs>
          <w:tab w:val="left" w:pos="1170"/>
        </w:tabs>
        <w:ind w:left="0" w:firstLine="547"/>
        <w:rPr>
          <w:szCs w:val="26"/>
        </w:rPr>
      </w:pPr>
      <w:r w:rsidRPr="00AA1EAC">
        <w:rPr>
          <w:szCs w:val="26"/>
        </w:rPr>
        <w:t>Pacific Gas and Electric Company</w:t>
      </w:r>
      <w:r w:rsidRPr="00B92E50">
        <w:rPr>
          <w:szCs w:val="26"/>
        </w:rPr>
        <w:t xml:space="preserve">’s </w:t>
      </w:r>
      <w:r w:rsidR="00090605">
        <w:rPr>
          <w:szCs w:val="26"/>
        </w:rPr>
        <w:t xml:space="preserve">(PG&amp;E) </w:t>
      </w:r>
      <w:r w:rsidRPr="00B92E50">
        <w:rPr>
          <w:szCs w:val="26"/>
        </w:rPr>
        <w:t>L</w:t>
      </w:r>
      <w:r w:rsidRPr="00B11AAF">
        <w:rPr>
          <w:szCs w:val="26"/>
        </w:rPr>
        <w:t>ong-Term California Alternate Rates for Energy (</w:t>
      </w:r>
      <w:r w:rsidRPr="001F7F7A">
        <w:rPr>
          <w:szCs w:val="26"/>
        </w:rPr>
        <w:t>CARE</w:t>
      </w:r>
      <w:r w:rsidRPr="005078BD">
        <w:rPr>
          <w:szCs w:val="26"/>
        </w:rPr>
        <w:t>)</w:t>
      </w:r>
      <w:r w:rsidRPr="003B750A">
        <w:rPr>
          <w:szCs w:val="26"/>
        </w:rPr>
        <w:t xml:space="preserve"> Customer Research plan is approved to be funded through its existing authorized </w:t>
      </w:r>
      <w:r w:rsidRPr="00A65A5E">
        <w:rPr>
          <w:szCs w:val="26"/>
        </w:rPr>
        <w:t>Energy Savings Assistance</w:t>
      </w:r>
      <w:r w:rsidRPr="007B351F">
        <w:rPr>
          <w:szCs w:val="26"/>
        </w:rPr>
        <w:t xml:space="preserve"> </w:t>
      </w:r>
      <w:r w:rsidR="00226DB2">
        <w:rPr>
          <w:szCs w:val="26"/>
        </w:rPr>
        <w:t xml:space="preserve">program </w:t>
      </w:r>
      <w:r w:rsidRPr="007B351F">
        <w:rPr>
          <w:szCs w:val="26"/>
        </w:rPr>
        <w:t>marketing and outre</w:t>
      </w:r>
      <w:r w:rsidRPr="00226DB2">
        <w:rPr>
          <w:szCs w:val="26"/>
        </w:rPr>
        <w:t xml:space="preserve">ach budget, with the revision that CARE customers will not receive messaging that their discounts are in jeopardy.  </w:t>
      </w:r>
      <w:r w:rsidR="00090605">
        <w:rPr>
          <w:szCs w:val="26"/>
        </w:rPr>
        <w:t xml:space="preserve">PG&amp;E </w:t>
      </w:r>
      <w:r w:rsidR="00226DB2">
        <w:rPr>
          <w:szCs w:val="26"/>
        </w:rPr>
        <w:t>must</w:t>
      </w:r>
      <w:r w:rsidRPr="00226DB2" w:rsidR="00226DB2">
        <w:rPr>
          <w:szCs w:val="26"/>
        </w:rPr>
        <w:t xml:space="preserve"> </w:t>
      </w:r>
      <w:r w:rsidRPr="00226DB2">
        <w:rPr>
          <w:szCs w:val="26"/>
        </w:rPr>
        <w:t xml:space="preserve">also produce a final report to be appended to its </w:t>
      </w:r>
      <w:r w:rsidR="00090605">
        <w:rPr>
          <w:szCs w:val="26"/>
        </w:rPr>
        <w:t xml:space="preserve">CARE </w:t>
      </w:r>
      <w:r w:rsidRPr="00226DB2">
        <w:rPr>
          <w:szCs w:val="26"/>
        </w:rPr>
        <w:t>annual report in the year following the conclusion of this research.</w:t>
      </w:r>
    </w:p>
    <w:p w:rsidRPr="00B171D3" w:rsidR="000C1980" w:rsidP="00815B6D" w:rsidRDefault="000C1980" w14:paraId="2BA271B3" w14:textId="34EEE0D4">
      <w:pPr>
        <w:pStyle w:val="OP"/>
        <w:numPr>
          <w:ilvl w:val="0"/>
          <w:numId w:val="24"/>
        </w:numPr>
        <w:tabs>
          <w:tab w:val="left" w:pos="1170"/>
        </w:tabs>
        <w:ind w:left="0" w:firstLine="547"/>
        <w:rPr>
          <w:szCs w:val="26"/>
        </w:rPr>
      </w:pPr>
      <w:r w:rsidRPr="00AA1EAC">
        <w:rPr>
          <w:szCs w:val="26"/>
        </w:rPr>
        <w:t>Pacific Gas and Electric Company</w:t>
      </w:r>
      <w:r w:rsidRPr="00B92E50">
        <w:rPr>
          <w:szCs w:val="26"/>
        </w:rPr>
        <w:t>’s</w:t>
      </w:r>
      <w:r w:rsidRPr="00B11AAF">
        <w:rPr>
          <w:szCs w:val="26"/>
        </w:rPr>
        <w:t xml:space="preserve"> Virtual Energy Coach pilot is approved, with additional reporting</w:t>
      </w:r>
      <w:r w:rsidRPr="00B171D3">
        <w:rPr>
          <w:szCs w:val="26"/>
        </w:rPr>
        <w:t xml:space="preserve"> </w:t>
      </w:r>
      <w:r w:rsidRPr="008145B7">
        <w:rPr>
          <w:szCs w:val="26"/>
        </w:rPr>
        <w:t>per the reporting template to be developed and issued by Energy Division staff</w:t>
      </w:r>
      <w:r w:rsidRPr="00490B79">
        <w:rPr>
          <w:szCs w:val="26"/>
        </w:rPr>
        <w:t xml:space="preserve">, and a requirement to coordinate the pilot evaluation with the </w:t>
      </w:r>
      <w:r w:rsidRPr="00A65A5E">
        <w:rPr>
          <w:szCs w:val="26"/>
        </w:rPr>
        <w:t>Energy Savings Assistance</w:t>
      </w:r>
      <w:r w:rsidRPr="007B351F">
        <w:rPr>
          <w:szCs w:val="26"/>
        </w:rPr>
        <w:t>/</w:t>
      </w:r>
      <w:r w:rsidRPr="008145B7">
        <w:rPr>
          <w:szCs w:val="26"/>
        </w:rPr>
        <w:t xml:space="preserve">California Alternate Rates for Energy </w:t>
      </w:r>
      <w:r w:rsidRPr="00B171D3">
        <w:rPr>
          <w:szCs w:val="26"/>
        </w:rPr>
        <w:t xml:space="preserve">Study Working Group. </w:t>
      </w:r>
    </w:p>
    <w:p w:rsidRPr="007B351F" w:rsidR="000C1980" w:rsidP="00815B6D" w:rsidRDefault="000C1980" w14:paraId="11F0ABB5" w14:textId="25FE5224">
      <w:pPr>
        <w:pStyle w:val="OP"/>
        <w:numPr>
          <w:ilvl w:val="0"/>
          <w:numId w:val="24"/>
        </w:numPr>
        <w:tabs>
          <w:tab w:val="left" w:pos="1170"/>
        </w:tabs>
        <w:ind w:left="0" w:firstLine="547"/>
        <w:rPr>
          <w:szCs w:val="26"/>
        </w:rPr>
      </w:pPr>
      <w:r w:rsidRPr="00B171D3">
        <w:rPr>
          <w:szCs w:val="26"/>
        </w:rPr>
        <w:t xml:space="preserve">Southern California Edison Company’s </w:t>
      </w:r>
      <w:r w:rsidR="00994B3D">
        <w:rPr>
          <w:szCs w:val="26"/>
        </w:rPr>
        <w:t xml:space="preserve">(SCE) </w:t>
      </w:r>
      <w:r w:rsidRPr="00994B3D">
        <w:rPr>
          <w:szCs w:val="26"/>
        </w:rPr>
        <w:t xml:space="preserve">Building Electrification </w:t>
      </w:r>
      <w:r w:rsidR="00A95EDE">
        <w:rPr>
          <w:szCs w:val="26"/>
        </w:rPr>
        <w:t xml:space="preserve">(BE) </w:t>
      </w:r>
      <w:r w:rsidRPr="00994B3D">
        <w:rPr>
          <w:szCs w:val="26"/>
        </w:rPr>
        <w:t xml:space="preserve">pilot is approved with goals and a budget not to exceed $40.8 million, and the option to revisit the pilot through the mid-cycle process.  </w:t>
      </w:r>
      <w:r w:rsidR="00994B3D">
        <w:rPr>
          <w:szCs w:val="26"/>
        </w:rPr>
        <w:t>SCE</w:t>
      </w:r>
      <w:r w:rsidRPr="00994B3D">
        <w:rPr>
          <w:szCs w:val="26"/>
        </w:rPr>
        <w:t xml:space="preserve"> </w:t>
      </w:r>
      <w:r w:rsidR="00963F3F">
        <w:rPr>
          <w:szCs w:val="26"/>
        </w:rPr>
        <w:t>must</w:t>
      </w:r>
      <w:r w:rsidRPr="00963F3F" w:rsidR="00963F3F">
        <w:rPr>
          <w:szCs w:val="26"/>
        </w:rPr>
        <w:t xml:space="preserve"> </w:t>
      </w:r>
      <w:r w:rsidRPr="00963F3F">
        <w:rPr>
          <w:szCs w:val="26"/>
        </w:rPr>
        <w:t xml:space="preserve">also </w:t>
      </w:r>
      <w:proofErr w:type="spellStart"/>
      <w:r w:rsidRPr="00963F3F">
        <w:rPr>
          <w:szCs w:val="26"/>
        </w:rPr>
        <w:t>i</w:t>
      </w:r>
      <w:proofErr w:type="spellEnd"/>
      <w:r w:rsidRPr="00963F3F">
        <w:rPr>
          <w:szCs w:val="26"/>
        </w:rPr>
        <w:t xml:space="preserve">) ensure that the fuel substitution/electrification measures in this </w:t>
      </w:r>
      <w:r w:rsidRPr="00AA1EAC">
        <w:rPr>
          <w:szCs w:val="26"/>
        </w:rPr>
        <w:t>p</w:t>
      </w:r>
      <w:r w:rsidRPr="00B92E50">
        <w:rPr>
          <w:szCs w:val="26"/>
        </w:rPr>
        <w:t xml:space="preserve">ilot pass the </w:t>
      </w:r>
      <w:r w:rsidR="000B365B">
        <w:t xml:space="preserve">latest Commission </w:t>
      </w:r>
      <w:r w:rsidRPr="00B92E50">
        <w:rPr>
          <w:szCs w:val="26"/>
        </w:rPr>
        <w:t>Fuel Substitution Test</w:t>
      </w:r>
      <w:r w:rsidRPr="00B11AAF">
        <w:rPr>
          <w:szCs w:val="26"/>
        </w:rPr>
        <w:t>, ii) utilize the mea</w:t>
      </w:r>
      <w:r w:rsidRPr="001F7F7A">
        <w:rPr>
          <w:szCs w:val="26"/>
        </w:rPr>
        <w:t>sure update process described in this decision</w:t>
      </w:r>
      <w:r w:rsidRPr="005078BD">
        <w:rPr>
          <w:szCs w:val="26"/>
        </w:rPr>
        <w:t xml:space="preserve">, iii) report on the pilot’s progress through the </w:t>
      </w:r>
      <w:r w:rsidR="00611EBE">
        <w:rPr>
          <w:szCs w:val="26"/>
        </w:rPr>
        <w:t xml:space="preserve">Energy Savings Assistance </w:t>
      </w:r>
      <w:r w:rsidRPr="005078BD">
        <w:rPr>
          <w:szCs w:val="26"/>
        </w:rPr>
        <w:t>monthly and annual reports (</w:t>
      </w:r>
      <w:r w:rsidRPr="003B750A">
        <w:rPr>
          <w:szCs w:val="26"/>
        </w:rPr>
        <w:t xml:space="preserve">per the reporting template to be developed and issued by Energy Division staff), and iv) utilize </w:t>
      </w:r>
      <w:r w:rsidRPr="00B171D3">
        <w:rPr>
          <w:szCs w:val="26"/>
        </w:rPr>
        <w:t xml:space="preserve">Resolution E-5043’s </w:t>
      </w:r>
      <w:r w:rsidR="002D2078">
        <w:rPr>
          <w:szCs w:val="26"/>
        </w:rPr>
        <w:t xml:space="preserve">Appendix B </w:t>
      </w:r>
      <w:r w:rsidRPr="00B171D3">
        <w:rPr>
          <w:szCs w:val="26"/>
        </w:rPr>
        <w:t>‘Split Incentives Agreement’ that requires owner</w:t>
      </w:r>
      <w:r w:rsidR="00972D46">
        <w:rPr>
          <w:szCs w:val="26"/>
        </w:rPr>
        <w:t>s</w:t>
      </w:r>
      <w:r w:rsidRPr="00B171D3">
        <w:rPr>
          <w:szCs w:val="26"/>
        </w:rPr>
        <w:t xml:space="preserve"> to agree for five years to eviction limits and a fixed cap on annual rent increases at 3.6</w:t>
      </w:r>
      <w:r w:rsidRPr="007B351F">
        <w:rPr>
          <w:szCs w:val="26"/>
        </w:rPr>
        <w:t xml:space="preserve"> </w:t>
      </w:r>
      <w:r w:rsidRPr="008145B7">
        <w:rPr>
          <w:szCs w:val="26"/>
        </w:rPr>
        <w:t>percent</w:t>
      </w:r>
      <w:r w:rsidRPr="00B171D3">
        <w:rPr>
          <w:szCs w:val="26"/>
        </w:rPr>
        <w:t xml:space="preserve"> to protect participating renters from significant rent increases or displacement post</w:t>
      </w:r>
      <w:r w:rsidRPr="00B171D3">
        <w:rPr>
          <w:szCs w:val="26"/>
        </w:rPr>
        <w:noBreakHyphen/>
        <w:t>treatment</w:t>
      </w:r>
      <w:r w:rsidR="000C11B5">
        <w:rPr>
          <w:szCs w:val="26"/>
        </w:rPr>
        <w:t xml:space="preserve">.  </w:t>
      </w:r>
      <w:r w:rsidRPr="00FA7826" w:rsidR="001D42FF">
        <w:rPr>
          <w:rFonts w:eastAsia="Book Antiqua" w:cs="Book Antiqua"/>
          <w:color w:val="000000" w:themeColor="text1"/>
          <w:szCs w:val="26"/>
        </w:rPr>
        <w:t xml:space="preserve">SCE must adjust the required signing parties to </w:t>
      </w:r>
      <w:r w:rsidRPr="00FA7826" w:rsidR="001D42FF">
        <w:rPr>
          <w:rFonts w:eastAsia="Book Antiqua" w:cs="Book Antiqua"/>
          <w:color w:val="000000" w:themeColor="text1"/>
          <w:szCs w:val="26"/>
        </w:rPr>
        <w:lastRenderedPageBreak/>
        <w:t xml:space="preserve">their BE </w:t>
      </w:r>
      <w:r w:rsidR="00A95EDE">
        <w:rPr>
          <w:rFonts w:eastAsia="Book Antiqua" w:cs="Book Antiqua"/>
          <w:color w:val="000000" w:themeColor="text1"/>
          <w:szCs w:val="26"/>
        </w:rPr>
        <w:t>p</w:t>
      </w:r>
      <w:r w:rsidRPr="00FA7826" w:rsidR="001D42FF">
        <w:rPr>
          <w:rFonts w:eastAsia="Book Antiqua" w:cs="Book Antiqua"/>
          <w:color w:val="000000" w:themeColor="text1"/>
          <w:szCs w:val="26"/>
        </w:rPr>
        <w:t>ilot ‘Split Incentives Agreement’ to include the property owner, tenant, and either their implementer or the utility</w:t>
      </w:r>
      <w:r w:rsidRPr="00B171D3">
        <w:rPr>
          <w:szCs w:val="26"/>
        </w:rPr>
        <w:t>.</w:t>
      </w:r>
    </w:p>
    <w:p w:rsidRPr="00B171D3" w:rsidR="000C1980" w:rsidP="00815B6D" w:rsidRDefault="000C1980" w14:paraId="58F803C3" w14:textId="28A1E434">
      <w:pPr>
        <w:pStyle w:val="OP"/>
        <w:numPr>
          <w:ilvl w:val="0"/>
          <w:numId w:val="24"/>
        </w:numPr>
        <w:tabs>
          <w:tab w:val="left" w:pos="1170"/>
        </w:tabs>
        <w:ind w:left="0" w:firstLine="547"/>
        <w:rPr>
          <w:szCs w:val="26"/>
        </w:rPr>
      </w:pPr>
      <w:r w:rsidRPr="00AA1EAC">
        <w:rPr>
          <w:szCs w:val="26"/>
        </w:rPr>
        <w:t>Southern C</w:t>
      </w:r>
      <w:r w:rsidRPr="00B92E50">
        <w:rPr>
          <w:szCs w:val="26"/>
        </w:rPr>
        <w:t>alifornia Edison Compan</w:t>
      </w:r>
      <w:r w:rsidRPr="00B11AAF">
        <w:rPr>
          <w:szCs w:val="26"/>
        </w:rPr>
        <w:t xml:space="preserve">y’s </w:t>
      </w:r>
      <w:r w:rsidR="00A95EDE">
        <w:rPr>
          <w:szCs w:val="26"/>
        </w:rPr>
        <w:t xml:space="preserve">(SCE) </w:t>
      </w:r>
      <w:r w:rsidRPr="00B11AAF">
        <w:rPr>
          <w:szCs w:val="26"/>
        </w:rPr>
        <w:t>Clean Energy Homes pilot is approved</w:t>
      </w:r>
      <w:r w:rsidRPr="001F7F7A">
        <w:rPr>
          <w:szCs w:val="26"/>
        </w:rPr>
        <w:t xml:space="preserve"> </w:t>
      </w:r>
      <w:r w:rsidRPr="00B171D3">
        <w:rPr>
          <w:szCs w:val="26"/>
        </w:rPr>
        <w:t xml:space="preserve">at a budget not to exceed $10.5 million.  </w:t>
      </w:r>
      <w:r w:rsidR="00A95EDE">
        <w:rPr>
          <w:szCs w:val="26"/>
        </w:rPr>
        <w:t>SCE</w:t>
      </w:r>
      <w:r w:rsidRPr="00B171D3">
        <w:rPr>
          <w:szCs w:val="26"/>
        </w:rPr>
        <w:t xml:space="preserve"> </w:t>
      </w:r>
      <w:r w:rsidR="00963F3F">
        <w:rPr>
          <w:szCs w:val="26"/>
        </w:rPr>
        <w:t>must</w:t>
      </w:r>
      <w:r w:rsidRPr="00963F3F" w:rsidR="00963F3F">
        <w:rPr>
          <w:szCs w:val="26"/>
        </w:rPr>
        <w:t xml:space="preserve"> </w:t>
      </w:r>
      <w:proofErr w:type="spellStart"/>
      <w:r w:rsidRPr="00963F3F">
        <w:rPr>
          <w:szCs w:val="26"/>
        </w:rPr>
        <w:t>i</w:t>
      </w:r>
      <w:proofErr w:type="spellEnd"/>
      <w:r w:rsidRPr="00963F3F">
        <w:rPr>
          <w:szCs w:val="26"/>
        </w:rPr>
        <w:t>) coordinate with the C</w:t>
      </w:r>
      <w:r w:rsidR="00A95EDE">
        <w:rPr>
          <w:szCs w:val="26"/>
        </w:rPr>
        <w:t xml:space="preserve">alifornia </w:t>
      </w:r>
      <w:r w:rsidRPr="00963F3F">
        <w:rPr>
          <w:szCs w:val="26"/>
        </w:rPr>
        <w:t>E</w:t>
      </w:r>
      <w:r w:rsidR="00A95EDE">
        <w:rPr>
          <w:szCs w:val="26"/>
        </w:rPr>
        <w:t xml:space="preserve">nergy </w:t>
      </w:r>
      <w:r w:rsidRPr="00963F3F">
        <w:rPr>
          <w:szCs w:val="26"/>
        </w:rPr>
        <w:t>C</w:t>
      </w:r>
      <w:r w:rsidR="00A95EDE">
        <w:rPr>
          <w:szCs w:val="26"/>
        </w:rPr>
        <w:t>ommission</w:t>
      </w:r>
      <w:r w:rsidRPr="00963F3F">
        <w:rPr>
          <w:szCs w:val="26"/>
        </w:rPr>
        <w:t xml:space="preserve">’s </w:t>
      </w:r>
      <w:r w:rsidR="00A95EDE">
        <w:rPr>
          <w:szCs w:val="26"/>
        </w:rPr>
        <w:t xml:space="preserve">(CEC) </w:t>
      </w:r>
      <w:r w:rsidRPr="00963F3F">
        <w:rPr>
          <w:szCs w:val="26"/>
        </w:rPr>
        <w:t>forthcoming Building Initiative for Low Emissions Development</w:t>
      </w:r>
      <w:r w:rsidRPr="00AA1EAC">
        <w:rPr>
          <w:szCs w:val="26"/>
        </w:rPr>
        <w:t xml:space="preserve"> to increase customer opportunities and avoid duplication</w:t>
      </w:r>
      <w:r w:rsidRPr="00B11AAF">
        <w:rPr>
          <w:szCs w:val="26"/>
        </w:rPr>
        <w:t>, ii) implement the Clean Energy Homes pilot program in geographic areas not served by the other</w:t>
      </w:r>
      <w:r w:rsidRPr="001F7F7A">
        <w:rPr>
          <w:szCs w:val="26"/>
        </w:rPr>
        <w:t xml:space="preserve"> </w:t>
      </w:r>
      <w:r w:rsidRPr="005078BD">
        <w:rPr>
          <w:szCs w:val="26"/>
        </w:rPr>
        <w:t>U</w:t>
      </w:r>
      <w:r w:rsidRPr="003B750A">
        <w:rPr>
          <w:szCs w:val="26"/>
        </w:rPr>
        <w:t>tilities</w:t>
      </w:r>
      <w:r w:rsidRPr="009F4133">
        <w:rPr>
          <w:szCs w:val="26"/>
        </w:rPr>
        <w:t>, including but not limited to Long Beach, Vernon, Catalina Island, and port</w:t>
      </w:r>
      <w:r w:rsidRPr="00775B92">
        <w:rPr>
          <w:szCs w:val="26"/>
        </w:rPr>
        <w:t>ions of Inyo and Mono counties, or for properties or buildings that do not meet the Building Initiative for Low Emissions Development program’s low income/</w:t>
      </w:r>
      <w:r w:rsidRPr="00D75AC7">
        <w:rPr>
          <w:szCs w:val="26"/>
        </w:rPr>
        <w:t>disadvantaged communities</w:t>
      </w:r>
      <w:r w:rsidRPr="0099018E">
        <w:rPr>
          <w:szCs w:val="26"/>
        </w:rPr>
        <w:t xml:space="preserve"> definition, or for other properties or buildings that do not meet the Building Initiative for Low Emissions Development program’s requirements</w:t>
      </w:r>
      <w:r w:rsidRPr="00581F69">
        <w:rPr>
          <w:szCs w:val="26"/>
        </w:rPr>
        <w:t>, iii) file a Tier 1 advice letter by December</w:t>
      </w:r>
      <w:r w:rsidRPr="005E3B9A">
        <w:rPr>
          <w:szCs w:val="26"/>
        </w:rPr>
        <w:t> </w:t>
      </w:r>
      <w:r w:rsidRPr="006E54B7">
        <w:rPr>
          <w:szCs w:val="26"/>
        </w:rPr>
        <w:t>31, 2021</w:t>
      </w:r>
      <w:r w:rsidRPr="00AA28A4">
        <w:rPr>
          <w:szCs w:val="26"/>
        </w:rPr>
        <w:t xml:space="preserve">, after </w:t>
      </w:r>
      <w:r w:rsidRPr="005F6FE9">
        <w:rPr>
          <w:szCs w:val="26"/>
        </w:rPr>
        <w:t>coordinatin</w:t>
      </w:r>
      <w:r w:rsidRPr="00BF7DC7">
        <w:rPr>
          <w:szCs w:val="26"/>
        </w:rPr>
        <w:t>g</w:t>
      </w:r>
      <w:r w:rsidRPr="00B32F60">
        <w:rPr>
          <w:szCs w:val="26"/>
        </w:rPr>
        <w:t xml:space="preserve"> with the CEC, with an updated budget not to exceed $10.5 million, and implementation details based on the geograp</w:t>
      </w:r>
      <w:r w:rsidRPr="00D948BC">
        <w:rPr>
          <w:szCs w:val="26"/>
        </w:rPr>
        <w:t>hic and eligibility limitations</w:t>
      </w:r>
      <w:r w:rsidRPr="00CF390D">
        <w:rPr>
          <w:szCs w:val="26"/>
        </w:rPr>
        <w:t xml:space="preserve">, and iv) </w:t>
      </w:r>
      <w:r w:rsidRPr="0024344B">
        <w:rPr>
          <w:szCs w:val="26"/>
        </w:rPr>
        <w:t xml:space="preserve">coordinate with the </w:t>
      </w:r>
      <w:r w:rsidRPr="00A65A5E">
        <w:rPr>
          <w:szCs w:val="26"/>
        </w:rPr>
        <w:t>Energy Savings Assistance</w:t>
      </w:r>
      <w:r w:rsidRPr="008145B7">
        <w:rPr>
          <w:szCs w:val="26"/>
        </w:rPr>
        <w:t xml:space="preserve">/ California Alternate Rates for Energy </w:t>
      </w:r>
      <w:r w:rsidRPr="00490B79">
        <w:rPr>
          <w:szCs w:val="26"/>
        </w:rPr>
        <w:t xml:space="preserve">Study Working Group to finalize the proposed study scope prior to filing the advice letter. </w:t>
      </w:r>
    </w:p>
    <w:p w:rsidRPr="00B171D3" w:rsidR="000C1980" w:rsidP="00815B6D" w:rsidRDefault="000C1980" w14:paraId="3DB534D8" w14:textId="761C2BE6">
      <w:pPr>
        <w:pStyle w:val="OP"/>
        <w:numPr>
          <w:ilvl w:val="0"/>
          <w:numId w:val="24"/>
        </w:numPr>
        <w:tabs>
          <w:tab w:val="left" w:pos="1170"/>
        </w:tabs>
        <w:ind w:left="0" w:firstLine="547"/>
        <w:rPr>
          <w:szCs w:val="26"/>
        </w:rPr>
      </w:pPr>
      <w:r w:rsidRPr="007B351F">
        <w:rPr>
          <w:szCs w:val="26"/>
        </w:rPr>
        <w:t>Southern California Edis</w:t>
      </w:r>
      <w:r w:rsidRPr="008145B7">
        <w:rPr>
          <w:szCs w:val="26"/>
        </w:rPr>
        <w:t xml:space="preserve">on Company’s Telemarketing “Nurture” </w:t>
      </w:r>
      <w:r w:rsidRPr="00AA1EAC">
        <w:rPr>
          <w:szCs w:val="26"/>
        </w:rPr>
        <w:t>pilot is approved at $127,308 for program years 2021-2026, with additional reporting (per the reporting template to be developed and issued by Energy Division staff).</w:t>
      </w:r>
    </w:p>
    <w:p w:rsidRPr="00B171D3" w:rsidR="000C1980" w:rsidP="00815B6D" w:rsidRDefault="000C1980" w14:paraId="6BB9169C" w14:textId="37FBBEA1">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Company's </w:t>
      </w:r>
      <w:r w:rsidRPr="00A65A5E">
        <w:rPr>
          <w:szCs w:val="26"/>
        </w:rPr>
        <w:t xml:space="preserve">Energy Savings Assistance </w:t>
      </w:r>
      <w:r>
        <w:rPr>
          <w:szCs w:val="26"/>
        </w:rPr>
        <w:t>(</w:t>
      </w:r>
      <w:r w:rsidRPr="007B351F">
        <w:rPr>
          <w:szCs w:val="26"/>
        </w:rPr>
        <w:t xml:space="preserve">ESA) impact evaluations are approved with a statewide budget of $1,500,000 utilizing the traditional </w:t>
      </w:r>
      <w:r w:rsidR="009112CB">
        <w:rPr>
          <w:szCs w:val="26"/>
        </w:rPr>
        <w:t>Utility</w:t>
      </w:r>
      <w:r w:rsidRPr="007B351F" w:rsidR="009112CB">
        <w:rPr>
          <w:szCs w:val="26"/>
        </w:rPr>
        <w:t xml:space="preserve"> </w:t>
      </w:r>
      <w:r w:rsidRPr="007B351F">
        <w:rPr>
          <w:szCs w:val="26"/>
        </w:rPr>
        <w:t>funding split.  T</w:t>
      </w:r>
      <w:r w:rsidRPr="009112CB">
        <w:rPr>
          <w:szCs w:val="26"/>
        </w:rPr>
        <w:t xml:space="preserve">he specific studies’ scope </w:t>
      </w:r>
      <w:r w:rsidR="009112CB">
        <w:rPr>
          <w:szCs w:val="26"/>
        </w:rPr>
        <w:t>will</w:t>
      </w:r>
      <w:r w:rsidRPr="009112CB" w:rsidR="009112CB">
        <w:rPr>
          <w:szCs w:val="26"/>
        </w:rPr>
        <w:t xml:space="preserve"> </w:t>
      </w:r>
      <w:r w:rsidRPr="009112CB">
        <w:rPr>
          <w:szCs w:val="26"/>
        </w:rPr>
        <w:t xml:space="preserve">be deferred to the ESA/ California </w:t>
      </w:r>
      <w:r w:rsidRPr="009112CB">
        <w:rPr>
          <w:szCs w:val="26"/>
        </w:rPr>
        <w:lastRenderedPageBreak/>
        <w:t xml:space="preserve">Alternate Rates for Energy </w:t>
      </w:r>
      <w:r w:rsidRPr="00B171D3">
        <w:rPr>
          <w:szCs w:val="26"/>
        </w:rPr>
        <w:t xml:space="preserve">Study Working Group and </w:t>
      </w:r>
      <w:r w:rsidR="008F0574">
        <w:rPr>
          <w:szCs w:val="26"/>
        </w:rPr>
        <w:t>must</w:t>
      </w:r>
      <w:r w:rsidRPr="008F0574" w:rsidR="008F0574">
        <w:rPr>
          <w:szCs w:val="26"/>
        </w:rPr>
        <w:t xml:space="preserve"> </w:t>
      </w:r>
      <w:r w:rsidRPr="008F0574">
        <w:rPr>
          <w:szCs w:val="26"/>
        </w:rPr>
        <w:t>include evaluation of the multifamily whole building programs.</w:t>
      </w:r>
    </w:p>
    <w:p w:rsidRPr="00B171D3" w:rsidR="000C1980" w:rsidP="00815B6D" w:rsidRDefault="000C1980" w14:paraId="36A55E33" w14:textId="044AE272">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Company's </w:t>
      </w:r>
      <w:r w:rsidRPr="007B351F">
        <w:rPr>
          <w:szCs w:val="26"/>
        </w:rPr>
        <w:t xml:space="preserve">Low Income Needs Assessment </w:t>
      </w:r>
      <w:r w:rsidRPr="008145B7">
        <w:rPr>
          <w:szCs w:val="26"/>
        </w:rPr>
        <w:t>(</w:t>
      </w:r>
      <w:r w:rsidRPr="00B171D3">
        <w:rPr>
          <w:szCs w:val="26"/>
        </w:rPr>
        <w:t>LINA) study budgets are approved</w:t>
      </w:r>
      <w:r w:rsidRPr="007B351F">
        <w:rPr>
          <w:szCs w:val="26"/>
        </w:rPr>
        <w:t xml:space="preserve"> for the </w:t>
      </w:r>
      <w:r w:rsidRPr="00AA1EAC">
        <w:rPr>
          <w:szCs w:val="26"/>
        </w:rPr>
        <w:t>2025 and 2028</w:t>
      </w:r>
      <w:r w:rsidRPr="00B92E50">
        <w:rPr>
          <w:szCs w:val="26"/>
        </w:rPr>
        <w:t xml:space="preserve"> </w:t>
      </w:r>
      <w:r w:rsidRPr="00B11AAF">
        <w:rPr>
          <w:szCs w:val="26"/>
        </w:rPr>
        <w:t>LINA studies not to exceed $500,000 each, utilizing the traditional Utility funding split an</w:t>
      </w:r>
      <w:r w:rsidRPr="001F7F7A">
        <w:rPr>
          <w:szCs w:val="26"/>
        </w:rPr>
        <w:t xml:space="preserve">d allocated evenly between the </w:t>
      </w:r>
      <w:r w:rsidRPr="005078BD">
        <w:rPr>
          <w:szCs w:val="26"/>
        </w:rPr>
        <w:t>California Alternate Rates for Energy</w:t>
      </w:r>
      <w:r w:rsidRPr="003B750A">
        <w:rPr>
          <w:szCs w:val="26"/>
        </w:rPr>
        <w:t xml:space="preserve"> and Energy Savings Assistance budgets. </w:t>
      </w:r>
      <w:r w:rsidRPr="00A41178">
        <w:rPr>
          <w:szCs w:val="26"/>
        </w:rPr>
        <w:t xml:space="preserve"> The 2025 LINA </w:t>
      </w:r>
      <w:r w:rsidR="00EE2B7F">
        <w:rPr>
          <w:szCs w:val="26"/>
        </w:rPr>
        <w:t>must</w:t>
      </w:r>
      <w:r w:rsidRPr="00EE2B7F" w:rsidR="00EE2B7F">
        <w:rPr>
          <w:szCs w:val="26"/>
        </w:rPr>
        <w:t xml:space="preserve"> </w:t>
      </w:r>
      <w:r w:rsidRPr="00EE2B7F">
        <w:rPr>
          <w:szCs w:val="26"/>
        </w:rPr>
        <w:t xml:space="preserve">be scoped and solicited by the end of 2023, and the 2028 LINA </w:t>
      </w:r>
      <w:r w:rsidR="00EE2B7F">
        <w:rPr>
          <w:szCs w:val="26"/>
        </w:rPr>
        <w:t>must</w:t>
      </w:r>
      <w:r w:rsidRPr="00EE2B7F" w:rsidR="00EE2B7F">
        <w:rPr>
          <w:szCs w:val="26"/>
        </w:rPr>
        <w:t xml:space="preserve"> </w:t>
      </w:r>
      <w:r w:rsidRPr="00EE2B7F">
        <w:rPr>
          <w:szCs w:val="26"/>
        </w:rPr>
        <w:t>be scoped and solicited by the end of 2026.  The authorized and committed budget for the 2028 LINA study may be carried forward into the next program cycle, if needed.</w:t>
      </w:r>
    </w:p>
    <w:p w:rsidRPr="009F4133" w:rsidR="000C1980" w:rsidP="00815B6D" w:rsidRDefault="000C1980" w14:paraId="1D63717A" w14:textId="25284415">
      <w:pPr>
        <w:pStyle w:val="OP"/>
        <w:numPr>
          <w:ilvl w:val="0"/>
          <w:numId w:val="24"/>
        </w:numPr>
        <w:tabs>
          <w:tab w:val="left" w:pos="1170"/>
        </w:tabs>
        <w:ind w:left="0" w:firstLine="547"/>
        <w:rPr>
          <w:szCs w:val="26"/>
        </w:rPr>
      </w:pPr>
      <w:r w:rsidRPr="00AA1EAC">
        <w:rPr>
          <w:szCs w:val="26"/>
        </w:rPr>
        <w:t>The 2025 and 2028</w:t>
      </w:r>
      <w:r w:rsidRPr="00B92E50">
        <w:rPr>
          <w:szCs w:val="26"/>
        </w:rPr>
        <w:t xml:space="preserve"> </w:t>
      </w:r>
      <w:r w:rsidRPr="00B11AAF">
        <w:rPr>
          <w:szCs w:val="26"/>
        </w:rPr>
        <w:t>Low Income Needs Assessment (LINA</w:t>
      </w:r>
      <w:r w:rsidRPr="001F7F7A">
        <w:rPr>
          <w:szCs w:val="26"/>
        </w:rPr>
        <w:t>)</w:t>
      </w:r>
      <w:r w:rsidRPr="005078BD">
        <w:rPr>
          <w:szCs w:val="26"/>
        </w:rPr>
        <w:t xml:space="preserve"> studies</w:t>
      </w:r>
      <w:r w:rsidRPr="003B750A" w:rsidDel="00401FB2">
        <w:rPr>
          <w:szCs w:val="26"/>
        </w:rPr>
        <w:t xml:space="preserve"> </w:t>
      </w:r>
      <w:r w:rsidR="00EE2B7F">
        <w:rPr>
          <w:szCs w:val="26"/>
        </w:rPr>
        <w:t>must</w:t>
      </w:r>
      <w:r w:rsidRPr="00EE2B7F" w:rsidR="00EE2B7F">
        <w:rPr>
          <w:szCs w:val="26"/>
        </w:rPr>
        <w:t xml:space="preserve"> </w:t>
      </w:r>
      <w:r w:rsidRPr="00EE2B7F">
        <w:rPr>
          <w:szCs w:val="26"/>
        </w:rPr>
        <w:t>implement survey tools</w:t>
      </w:r>
      <w:r w:rsidRPr="00AA1EAC">
        <w:rPr>
          <w:szCs w:val="26"/>
        </w:rPr>
        <w:t xml:space="preserve"> that are</w:t>
      </w:r>
      <w:r w:rsidRPr="00B92E50">
        <w:rPr>
          <w:szCs w:val="26"/>
        </w:rPr>
        <w:t xml:space="preserve"> available in</w:t>
      </w:r>
      <w:r w:rsidRPr="00B11AAF">
        <w:rPr>
          <w:szCs w:val="26"/>
        </w:rPr>
        <w:t xml:space="preserve"> at least the top three non</w:t>
      </w:r>
      <w:r w:rsidRPr="00B11AAF">
        <w:rPr>
          <w:szCs w:val="26"/>
        </w:rPr>
        <w:noBreakHyphen/>
      </w:r>
      <w:r w:rsidRPr="001F7F7A">
        <w:rPr>
          <w:szCs w:val="26"/>
        </w:rPr>
        <w:t>English languages</w:t>
      </w:r>
      <w:r w:rsidRPr="005078BD">
        <w:rPr>
          <w:szCs w:val="26"/>
        </w:rPr>
        <w:t xml:space="preserve"> identified as the primary language spoken in California’s </w:t>
      </w:r>
      <w:proofErr w:type="gramStart"/>
      <w:r w:rsidRPr="005078BD">
        <w:rPr>
          <w:szCs w:val="26"/>
        </w:rPr>
        <w:t>low income</w:t>
      </w:r>
      <w:proofErr w:type="gramEnd"/>
      <w:r w:rsidRPr="003B750A">
        <w:rPr>
          <w:szCs w:val="26"/>
        </w:rPr>
        <w:t xml:space="preserve"> households.  The Utilities may refer to the latest LINA data as the source for the top three non-English languages, or another reliable source that has since updated these results.   </w:t>
      </w:r>
    </w:p>
    <w:p w:rsidRPr="00EE2B7F" w:rsidR="000C1980" w:rsidP="00815B6D" w:rsidRDefault="000C1980" w14:paraId="0B0517F0" w14:textId="6937E8BE">
      <w:pPr>
        <w:pStyle w:val="OP"/>
        <w:numPr>
          <w:ilvl w:val="0"/>
          <w:numId w:val="24"/>
        </w:numPr>
        <w:tabs>
          <w:tab w:val="left" w:pos="1170"/>
        </w:tabs>
        <w:ind w:left="0" w:firstLine="547"/>
        <w:rPr>
          <w:szCs w:val="26"/>
        </w:rPr>
      </w:pPr>
      <w:r w:rsidRPr="00B171D3">
        <w:rPr>
          <w:szCs w:val="26"/>
        </w:rPr>
        <w:t>Pacific Gas and Electric Company, Southern California Edison Company, San Diego Gas &amp; Electric Company and Southern California Gas Company's</w:t>
      </w:r>
      <w:r w:rsidRPr="007B351F">
        <w:rPr>
          <w:szCs w:val="26"/>
        </w:rPr>
        <w:t xml:space="preserve"> </w:t>
      </w:r>
      <w:r w:rsidRPr="00A65A5E">
        <w:rPr>
          <w:szCs w:val="26"/>
        </w:rPr>
        <w:t xml:space="preserve">Energy Savings Assistance </w:t>
      </w:r>
      <w:r>
        <w:rPr>
          <w:szCs w:val="26"/>
        </w:rPr>
        <w:t>(</w:t>
      </w:r>
      <w:r w:rsidRPr="007B351F">
        <w:rPr>
          <w:szCs w:val="26"/>
        </w:rPr>
        <w:t xml:space="preserve">ESA) process evaluations are approved with a statewide budget not to exceed </w:t>
      </w:r>
      <w:r w:rsidRPr="00AA1EAC">
        <w:rPr>
          <w:szCs w:val="26"/>
        </w:rPr>
        <w:t>$500,000</w:t>
      </w:r>
      <w:r w:rsidRPr="00B92E50">
        <w:rPr>
          <w:szCs w:val="26"/>
        </w:rPr>
        <w:t xml:space="preserve"> utilizing the traditional Utility funding split.  The specific e</w:t>
      </w:r>
      <w:r w:rsidRPr="00B11AAF">
        <w:rPr>
          <w:szCs w:val="26"/>
        </w:rPr>
        <w:t xml:space="preserve">valuations’ scope </w:t>
      </w:r>
      <w:r w:rsidR="00EE2B7F">
        <w:rPr>
          <w:szCs w:val="26"/>
        </w:rPr>
        <w:t>will</w:t>
      </w:r>
      <w:r w:rsidRPr="00EE2B7F" w:rsidR="00EE2B7F">
        <w:rPr>
          <w:szCs w:val="26"/>
        </w:rPr>
        <w:t xml:space="preserve"> </w:t>
      </w:r>
      <w:r w:rsidRPr="00EE2B7F">
        <w:rPr>
          <w:szCs w:val="26"/>
        </w:rPr>
        <w:t>be deferred to the ESA/ California Alternate Rates for Energy</w:t>
      </w:r>
      <w:r w:rsidR="00EE2B7F">
        <w:rPr>
          <w:szCs w:val="26"/>
        </w:rPr>
        <w:t xml:space="preserve"> </w:t>
      </w:r>
      <w:r w:rsidRPr="00EE2B7F">
        <w:rPr>
          <w:szCs w:val="26"/>
        </w:rPr>
        <w:t xml:space="preserve">Study Working Group and </w:t>
      </w:r>
      <w:r w:rsidR="00EE2B7F">
        <w:rPr>
          <w:szCs w:val="26"/>
        </w:rPr>
        <w:t>must</w:t>
      </w:r>
      <w:r w:rsidRPr="00EE2B7F" w:rsidR="00EE2B7F">
        <w:rPr>
          <w:szCs w:val="26"/>
        </w:rPr>
        <w:t xml:space="preserve"> </w:t>
      </w:r>
      <w:r w:rsidRPr="00EE2B7F">
        <w:rPr>
          <w:szCs w:val="26"/>
        </w:rPr>
        <w:t xml:space="preserve">include evaluation of all the programs within the ESA portfolio, including but not limited to the multifamily whole building programs, and the customer-centered </w:t>
      </w:r>
      <w:r w:rsidRPr="00EE2B7F">
        <w:rPr>
          <w:szCs w:val="26"/>
        </w:rPr>
        <w:lastRenderedPageBreak/>
        <w:t xml:space="preserve">program design. </w:t>
      </w:r>
      <w:r w:rsidR="0051502D">
        <w:rPr>
          <w:szCs w:val="26"/>
        </w:rPr>
        <w:t xml:space="preserve">The </w:t>
      </w:r>
      <w:r w:rsidR="00067DB9">
        <w:t>Pilot Plus and Pilot Deep program evaluations shall come from the Pilot budget.</w:t>
      </w:r>
    </w:p>
    <w:p w:rsidRPr="00A1247F" w:rsidR="000C1980" w:rsidP="00815B6D" w:rsidRDefault="000C1980" w14:paraId="5D73FD28" w14:textId="0B144ED4">
      <w:pPr>
        <w:pStyle w:val="OP"/>
        <w:numPr>
          <w:ilvl w:val="0"/>
          <w:numId w:val="24"/>
        </w:numPr>
        <w:tabs>
          <w:tab w:val="left" w:pos="1170"/>
        </w:tabs>
        <w:ind w:left="0" w:firstLine="547"/>
        <w:rPr>
          <w:szCs w:val="26"/>
        </w:rPr>
      </w:pPr>
      <w:r w:rsidRPr="00B171D3">
        <w:rPr>
          <w:szCs w:val="26"/>
        </w:rPr>
        <w:t>Pacific Gas and Electric Company, Southern California Edison Company, San Diego Gas &amp; Electric Company and Southern California Gas Company's</w:t>
      </w:r>
      <w:r w:rsidRPr="007B351F">
        <w:rPr>
          <w:szCs w:val="26"/>
        </w:rPr>
        <w:t xml:space="preserve"> Categor</w:t>
      </w:r>
      <w:r w:rsidRPr="008145B7">
        <w:rPr>
          <w:szCs w:val="26"/>
        </w:rPr>
        <w:t xml:space="preserve">ical Eligibility study is approved with modifications at a budget of $150,000 utilizing the traditional Utility funding split </w:t>
      </w:r>
      <w:r w:rsidRPr="00AA1EAC">
        <w:rPr>
          <w:szCs w:val="26"/>
        </w:rPr>
        <w:t>to be split</w:t>
      </w:r>
      <w:r w:rsidRPr="00B92E50">
        <w:rPr>
          <w:szCs w:val="26"/>
        </w:rPr>
        <w:t xml:space="preserve"> evenly between the Energy Savings Assistance and </w:t>
      </w:r>
      <w:r w:rsidRPr="00B11AAF">
        <w:rPr>
          <w:szCs w:val="26"/>
        </w:rPr>
        <w:t xml:space="preserve">California Alternate Rates for Energy (CARE) budgets.  The Utilities </w:t>
      </w:r>
      <w:r w:rsidR="00887FCB">
        <w:rPr>
          <w:szCs w:val="26"/>
        </w:rPr>
        <w:t>must</w:t>
      </w:r>
      <w:r w:rsidRPr="00887FCB" w:rsidR="00887FCB">
        <w:rPr>
          <w:szCs w:val="26"/>
        </w:rPr>
        <w:t xml:space="preserve"> </w:t>
      </w:r>
      <w:proofErr w:type="spellStart"/>
      <w:r w:rsidRPr="00887FCB">
        <w:rPr>
          <w:szCs w:val="26"/>
        </w:rPr>
        <w:t>i</w:t>
      </w:r>
      <w:proofErr w:type="spellEnd"/>
      <w:r w:rsidRPr="00887FCB">
        <w:rPr>
          <w:szCs w:val="26"/>
        </w:rPr>
        <w:t>) submit the completed study to Energy Division and distribute it over relevant service lists by no later than December 31, 2022, ii) </w:t>
      </w:r>
      <w:r w:rsidRPr="00AA1EAC">
        <w:rPr>
          <w:szCs w:val="26"/>
        </w:rPr>
        <w:t xml:space="preserve">incorporate public input on the study and </w:t>
      </w:r>
      <w:r w:rsidRPr="00B92E50">
        <w:rPr>
          <w:szCs w:val="26"/>
        </w:rPr>
        <w:t>implement specific s</w:t>
      </w:r>
      <w:r w:rsidRPr="00B11AAF">
        <w:rPr>
          <w:szCs w:val="26"/>
        </w:rPr>
        <w:t xml:space="preserve">takeholder engagement process as detailed in this decision, iii) include in the study scope consideration of whether any categorical programs would be good candidates for </w:t>
      </w:r>
      <w:r w:rsidR="008C073A">
        <w:t xml:space="preserve">potential data sharing opportunities between the Utilities and state and federal agencies as it applies to providing a pathway for automatic enrollment in </w:t>
      </w:r>
      <w:r w:rsidRPr="00B11AAF">
        <w:rPr>
          <w:szCs w:val="26"/>
        </w:rPr>
        <w:t xml:space="preserve">CARE or the Family Electric Rate Assistance </w:t>
      </w:r>
      <w:r w:rsidR="00A1247F">
        <w:rPr>
          <w:szCs w:val="26"/>
        </w:rPr>
        <w:t>programs</w:t>
      </w:r>
      <w:r w:rsidR="00AF075B">
        <w:rPr>
          <w:szCs w:val="26"/>
        </w:rPr>
        <w:t>,</w:t>
      </w:r>
      <w:r w:rsidR="00A1247F">
        <w:rPr>
          <w:szCs w:val="26"/>
        </w:rPr>
        <w:t xml:space="preserve"> </w:t>
      </w:r>
      <w:r w:rsidRPr="00A1247F">
        <w:rPr>
          <w:szCs w:val="26"/>
        </w:rPr>
        <w:t xml:space="preserve">and any budgetary and data security barriers and solutions that would accompany this type of automatic enrollment service. </w:t>
      </w:r>
    </w:p>
    <w:p w:rsidRPr="00B11AAF" w:rsidR="000C1980" w:rsidP="00815B6D" w:rsidRDefault="000C1980" w14:paraId="45C3DB1C" w14:textId="7606304C">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 </w:t>
      </w:r>
      <w:r w:rsidR="00986884">
        <w:rPr>
          <w:szCs w:val="26"/>
        </w:rPr>
        <w:t>must</w:t>
      </w:r>
      <w:r w:rsidRPr="00B171D3" w:rsidR="00986884">
        <w:rPr>
          <w:szCs w:val="26"/>
        </w:rPr>
        <w:t xml:space="preserve"> </w:t>
      </w:r>
      <w:r w:rsidRPr="00B171D3">
        <w:rPr>
          <w:szCs w:val="26"/>
        </w:rPr>
        <w:t xml:space="preserve">file a </w:t>
      </w:r>
      <w:r w:rsidRPr="007B351F">
        <w:rPr>
          <w:szCs w:val="26"/>
        </w:rPr>
        <w:t>joint Tier 2 advice letter 60 days after the completi</w:t>
      </w:r>
      <w:r w:rsidRPr="008145B7">
        <w:rPr>
          <w:szCs w:val="26"/>
        </w:rPr>
        <w:t xml:space="preserve">on of the Categorical Eligibility study, proposing an updated list of categorical programs for enrollment in the </w:t>
      </w:r>
      <w:r w:rsidRPr="00A65A5E">
        <w:rPr>
          <w:szCs w:val="26"/>
        </w:rPr>
        <w:t xml:space="preserve">Energy Savings Assistance </w:t>
      </w:r>
      <w:r>
        <w:rPr>
          <w:szCs w:val="26"/>
        </w:rPr>
        <w:t>(</w:t>
      </w:r>
      <w:r w:rsidRPr="007B351F">
        <w:rPr>
          <w:szCs w:val="26"/>
        </w:rPr>
        <w:t xml:space="preserve">ESA), </w:t>
      </w:r>
      <w:r w:rsidRPr="008145B7">
        <w:rPr>
          <w:szCs w:val="26"/>
        </w:rPr>
        <w:t xml:space="preserve">California Alternate Rates for Energy </w:t>
      </w:r>
      <w:r w:rsidRPr="00986884">
        <w:rPr>
          <w:szCs w:val="26"/>
        </w:rPr>
        <w:t xml:space="preserve">(CARE) and Family Electric Rate Assistance (FERA) programs.  The advice </w:t>
      </w:r>
      <w:r w:rsidRPr="00AA1EAC">
        <w:rPr>
          <w:szCs w:val="26"/>
        </w:rPr>
        <w:t xml:space="preserve">letter must discuss </w:t>
      </w:r>
      <w:proofErr w:type="spellStart"/>
      <w:r w:rsidRPr="00AA1EAC">
        <w:rPr>
          <w:szCs w:val="26"/>
        </w:rPr>
        <w:t>i</w:t>
      </w:r>
      <w:proofErr w:type="spellEnd"/>
      <w:r w:rsidRPr="00AA1EAC">
        <w:rPr>
          <w:szCs w:val="26"/>
        </w:rPr>
        <w:t xml:space="preserve">) how the findings of the recent Categorical Eligibility study informed the Utilities’ recommendations, ii) feedback received from stakeholders during the study and how it was taken into consideration, </w:t>
      </w:r>
      <w:r w:rsidRPr="00AA1EAC">
        <w:rPr>
          <w:szCs w:val="26"/>
        </w:rPr>
        <w:lastRenderedPageBreak/>
        <w:t>iii) budgetary impacts the propos</w:t>
      </w:r>
      <w:r w:rsidRPr="00B11AAF">
        <w:rPr>
          <w:szCs w:val="26"/>
        </w:rPr>
        <w:t xml:space="preserve">ed changes to the categorical eligibility categories would have on the ESA, CARE and FERA programs, iv) the implementation plan for incorporating any changes in categorical eligibility into these programs, and v) the communication plan to customers, partnering community based organizations and other agencies supporting marketing, education and outreach and program enrollment efforts, as well as </w:t>
      </w:r>
      <w:r w:rsidR="00E76FE6">
        <w:rPr>
          <w:szCs w:val="26"/>
        </w:rPr>
        <w:t xml:space="preserve">programs </w:t>
      </w:r>
      <w:r w:rsidRPr="00B11AAF">
        <w:rPr>
          <w:szCs w:val="26"/>
        </w:rPr>
        <w:t xml:space="preserve">impacted by these changes. </w:t>
      </w:r>
    </w:p>
    <w:p w:rsidRPr="00646315" w:rsidR="000C1980" w:rsidP="00815B6D" w:rsidRDefault="000C1980" w14:paraId="05B98ECD" w14:textId="73CDE443">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Company's </w:t>
      </w:r>
      <w:r w:rsidR="009C76BF">
        <w:rPr>
          <w:szCs w:val="26"/>
        </w:rPr>
        <w:t>Non-Energy Benefits (</w:t>
      </w:r>
      <w:r w:rsidRPr="00B171D3">
        <w:rPr>
          <w:szCs w:val="26"/>
        </w:rPr>
        <w:t>NEBs</w:t>
      </w:r>
      <w:r w:rsidR="009C76BF">
        <w:rPr>
          <w:szCs w:val="26"/>
        </w:rPr>
        <w:t>)</w:t>
      </w:r>
      <w:r w:rsidRPr="00B171D3">
        <w:rPr>
          <w:szCs w:val="26"/>
        </w:rPr>
        <w:t xml:space="preserve"> study is approved at </w:t>
      </w:r>
      <w:r w:rsidRPr="007B351F">
        <w:rPr>
          <w:szCs w:val="26"/>
        </w:rPr>
        <w:t xml:space="preserve">$500,000 utilizing the traditional Utility funding split.  The study scope </w:t>
      </w:r>
      <w:r w:rsidR="009C76BF">
        <w:rPr>
          <w:szCs w:val="26"/>
        </w:rPr>
        <w:t>will</w:t>
      </w:r>
      <w:r w:rsidRPr="007B351F" w:rsidR="009C76BF">
        <w:rPr>
          <w:szCs w:val="26"/>
        </w:rPr>
        <w:t xml:space="preserve"> </w:t>
      </w:r>
      <w:r w:rsidRPr="007B351F">
        <w:rPr>
          <w:szCs w:val="26"/>
        </w:rPr>
        <w:t xml:space="preserve">be deferred to the </w:t>
      </w:r>
      <w:r w:rsidRPr="00A65A5E">
        <w:rPr>
          <w:szCs w:val="26"/>
        </w:rPr>
        <w:t xml:space="preserve">Energy Savings Assistance </w:t>
      </w:r>
      <w:r>
        <w:rPr>
          <w:szCs w:val="26"/>
        </w:rPr>
        <w:t>(</w:t>
      </w:r>
      <w:r w:rsidRPr="007B351F">
        <w:rPr>
          <w:szCs w:val="26"/>
        </w:rPr>
        <w:t>ESA</w:t>
      </w:r>
      <w:r w:rsidR="00125F3A">
        <w:rPr>
          <w:szCs w:val="26"/>
        </w:rPr>
        <w:t>)</w:t>
      </w:r>
      <w:r w:rsidRPr="008145B7">
        <w:rPr>
          <w:szCs w:val="26"/>
        </w:rPr>
        <w:t xml:space="preserve"> </w:t>
      </w:r>
      <w:r w:rsidRPr="006E13A4">
        <w:rPr>
          <w:szCs w:val="26"/>
        </w:rPr>
        <w:t>Working Group or the ESA/</w:t>
      </w:r>
      <w:r w:rsidRPr="00781D4B" w:rsidR="00781D4B">
        <w:rPr>
          <w:szCs w:val="26"/>
        </w:rPr>
        <w:t xml:space="preserve"> </w:t>
      </w:r>
      <w:r w:rsidRPr="008145B7" w:rsidR="00781D4B">
        <w:rPr>
          <w:szCs w:val="26"/>
        </w:rPr>
        <w:t>California Alternate Rates for Energy</w:t>
      </w:r>
      <w:r w:rsidRPr="006E13A4">
        <w:rPr>
          <w:szCs w:val="26"/>
        </w:rPr>
        <w:t xml:space="preserve"> </w:t>
      </w:r>
      <w:r w:rsidRPr="00B171D3">
        <w:rPr>
          <w:szCs w:val="26"/>
        </w:rPr>
        <w:t>Study</w:t>
      </w:r>
      <w:r w:rsidRPr="007B351F">
        <w:rPr>
          <w:szCs w:val="26"/>
        </w:rPr>
        <w:t xml:space="preserve"> Working Group, </w:t>
      </w:r>
      <w:r w:rsidR="00646315">
        <w:rPr>
          <w:szCs w:val="26"/>
        </w:rPr>
        <w:t>must</w:t>
      </w:r>
      <w:r w:rsidRPr="007B351F" w:rsidR="00646315">
        <w:rPr>
          <w:szCs w:val="26"/>
        </w:rPr>
        <w:t xml:space="preserve"> </w:t>
      </w:r>
      <w:r w:rsidRPr="007B351F">
        <w:rPr>
          <w:szCs w:val="26"/>
        </w:rPr>
        <w:t xml:space="preserve">consider inclusion of common area measure NEBs, and </w:t>
      </w:r>
      <w:r w:rsidR="00646315">
        <w:rPr>
          <w:szCs w:val="26"/>
        </w:rPr>
        <w:t>must</w:t>
      </w:r>
      <w:r w:rsidRPr="007B351F" w:rsidR="00646315">
        <w:rPr>
          <w:szCs w:val="26"/>
        </w:rPr>
        <w:t xml:space="preserve"> </w:t>
      </w:r>
      <w:r w:rsidRPr="007B351F">
        <w:rPr>
          <w:szCs w:val="26"/>
        </w:rPr>
        <w:t>be completed by no later than June 30, 2025, with results being incorporated into the latest version of the NEBs model and all sub</w:t>
      </w:r>
      <w:r w:rsidRPr="009C76BF">
        <w:rPr>
          <w:szCs w:val="26"/>
        </w:rPr>
        <w:t xml:space="preserve">sequent ESACET calculations by the Utilities.   </w:t>
      </w:r>
    </w:p>
    <w:p w:rsidRPr="008145B7" w:rsidR="000C1980" w:rsidP="00815B6D" w:rsidRDefault="000C1980" w14:paraId="3AA808D8" w14:textId="77777777">
      <w:pPr>
        <w:pStyle w:val="OP"/>
        <w:numPr>
          <w:ilvl w:val="0"/>
          <w:numId w:val="24"/>
        </w:numPr>
        <w:tabs>
          <w:tab w:val="left" w:pos="1170"/>
        </w:tabs>
        <w:ind w:left="0" w:firstLine="547"/>
        <w:rPr>
          <w:szCs w:val="26"/>
        </w:rPr>
      </w:pPr>
      <w:r w:rsidRPr="00B171D3">
        <w:rPr>
          <w:szCs w:val="26"/>
        </w:rPr>
        <w:t>Pacific Gas and Electric Company, Southern California Edison Company, San Diego Gas &amp; Electric Company and Southern California Gas Company's Evolving Study and Data Needs budget is approved at</w:t>
      </w:r>
      <w:r w:rsidRPr="007B351F">
        <w:rPr>
          <w:szCs w:val="26"/>
        </w:rPr>
        <w:t xml:space="preserve"> </w:t>
      </w:r>
      <w:r w:rsidRPr="008145B7">
        <w:rPr>
          <w:szCs w:val="26"/>
        </w:rPr>
        <w:t xml:space="preserve">$1.2 million. </w:t>
      </w:r>
    </w:p>
    <w:p w:rsidRPr="00B11AAF" w:rsidR="000C1980" w:rsidP="00815B6D" w:rsidRDefault="000C1980" w14:paraId="5B680D0D" w14:textId="27F7CA5E">
      <w:pPr>
        <w:pStyle w:val="OP"/>
        <w:numPr>
          <w:ilvl w:val="0"/>
          <w:numId w:val="24"/>
        </w:numPr>
        <w:tabs>
          <w:tab w:val="left" w:pos="1170"/>
        </w:tabs>
        <w:ind w:left="0" w:firstLine="547"/>
        <w:rPr>
          <w:szCs w:val="26"/>
        </w:rPr>
      </w:pPr>
      <w:r w:rsidRPr="00B171D3">
        <w:rPr>
          <w:szCs w:val="26"/>
        </w:rPr>
        <w:t xml:space="preserve">Southern California Gas Company's </w:t>
      </w:r>
      <w:r w:rsidRPr="007B351F">
        <w:rPr>
          <w:szCs w:val="26"/>
        </w:rPr>
        <w:t>customer feedback study</w:t>
      </w:r>
      <w:r w:rsidRPr="008145B7">
        <w:rPr>
          <w:szCs w:val="26"/>
        </w:rPr>
        <w:t xml:space="preserve"> is approved at </w:t>
      </w:r>
      <w:r w:rsidRPr="00AA1EAC">
        <w:rPr>
          <w:szCs w:val="26"/>
        </w:rPr>
        <w:t>$3</w:t>
      </w:r>
      <w:r w:rsidRPr="00B92E50">
        <w:rPr>
          <w:szCs w:val="26"/>
        </w:rPr>
        <w:t>5</w:t>
      </w:r>
      <w:r w:rsidRPr="00B11AAF">
        <w:rPr>
          <w:szCs w:val="26"/>
        </w:rPr>
        <w:t xml:space="preserve">,000.  The study findings related to customer segmentation data collection and coordination opportunities </w:t>
      </w:r>
      <w:r w:rsidR="00646315">
        <w:rPr>
          <w:szCs w:val="26"/>
        </w:rPr>
        <w:t>will</w:t>
      </w:r>
      <w:r w:rsidRPr="00646315" w:rsidR="00646315">
        <w:rPr>
          <w:szCs w:val="26"/>
        </w:rPr>
        <w:t xml:space="preserve"> </w:t>
      </w:r>
      <w:r w:rsidRPr="00646315">
        <w:rPr>
          <w:szCs w:val="26"/>
        </w:rPr>
        <w:t xml:space="preserve">be used to inform future goal setting and program design, and the final report </w:t>
      </w:r>
      <w:r w:rsidR="00646315">
        <w:rPr>
          <w:szCs w:val="26"/>
        </w:rPr>
        <w:t>must</w:t>
      </w:r>
      <w:r w:rsidRPr="00646315" w:rsidR="00646315">
        <w:rPr>
          <w:szCs w:val="26"/>
        </w:rPr>
        <w:t xml:space="preserve"> </w:t>
      </w:r>
      <w:r w:rsidRPr="00646315">
        <w:rPr>
          <w:szCs w:val="26"/>
        </w:rPr>
        <w:t>include a discussion of the outreach or focus group efforts that were performed to inform the design of the new tactics, and any information collected to reflect baseline of current day tactics, against which to compare custo</w:t>
      </w:r>
      <w:r w:rsidRPr="00AA1EAC">
        <w:rPr>
          <w:szCs w:val="26"/>
        </w:rPr>
        <w:t xml:space="preserve">mer’s perspective/success of new tactics. </w:t>
      </w:r>
    </w:p>
    <w:p w:rsidRPr="00646315" w:rsidR="000C1980" w:rsidP="00815B6D" w:rsidRDefault="000C1980" w14:paraId="6BB0F000" w14:textId="285ACD66">
      <w:pPr>
        <w:pStyle w:val="OP"/>
        <w:numPr>
          <w:ilvl w:val="0"/>
          <w:numId w:val="24"/>
        </w:numPr>
        <w:tabs>
          <w:tab w:val="left" w:pos="1170"/>
        </w:tabs>
        <w:ind w:left="0" w:firstLine="547"/>
        <w:rPr>
          <w:szCs w:val="26"/>
        </w:rPr>
      </w:pPr>
      <w:r w:rsidRPr="00B171D3">
        <w:rPr>
          <w:szCs w:val="26"/>
        </w:rPr>
        <w:lastRenderedPageBreak/>
        <w:t xml:space="preserve">Pacific Gas and Electric Company, Southern California Edison Company, San Diego Gas &amp; Electric Company and Southern California Gas Company </w:t>
      </w:r>
      <w:r w:rsidR="00646315">
        <w:rPr>
          <w:szCs w:val="26"/>
        </w:rPr>
        <w:t>must</w:t>
      </w:r>
      <w:r w:rsidRPr="00646315" w:rsidR="00646315">
        <w:rPr>
          <w:szCs w:val="26"/>
        </w:rPr>
        <w:t xml:space="preserve"> </w:t>
      </w:r>
      <w:r w:rsidRPr="00646315">
        <w:rPr>
          <w:szCs w:val="26"/>
        </w:rPr>
        <w:t xml:space="preserve">continue to address actions that improve local air quality, benefit public health, increase climate resiliency </w:t>
      </w:r>
      <w:r w:rsidRPr="00AA1EAC">
        <w:rPr>
          <w:szCs w:val="26"/>
        </w:rPr>
        <w:t>and</w:t>
      </w:r>
      <w:r w:rsidRPr="00B92E50">
        <w:rPr>
          <w:szCs w:val="26"/>
        </w:rPr>
        <w:t xml:space="preserve"> provide economic benefits within </w:t>
      </w:r>
      <w:r w:rsidRPr="00B11AAF">
        <w:rPr>
          <w:szCs w:val="26"/>
        </w:rPr>
        <w:t>E</w:t>
      </w:r>
      <w:r w:rsidR="00646315">
        <w:rPr>
          <w:szCs w:val="26"/>
        </w:rPr>
        <w:t xml:space="preserve">nvironmental and </w:t>
      </w:r>
      <w:r w:rsidRPr="00646315">
        <w:rPr>
          <w:szCs w:val="26"/>
        </w:rPr>
        <w:t>S</w:t>
      </w:r>
      <w:r w:rsidR="00646315">
        <w:rPr>
          <w:szCs w:val="26"/>
        </w:rPr>
        <w:t xml:space="preserve">ocial </w:t>
      </w:r>
      <w:r w:rsidRPr="00646315">
        <w:rPr>
          <w:szCs w:val="26"/>
        </w:rPr>
        <w:t>J</w:t>
      </w:r>
      <w:r w:rsidR="00646315">
        <w:rPr>
          <w:szCs w:val="26"/>
        </w:rPr>
        <w:t>ustice</w:t>
      </w:r>
      <w:r w:rsidRPr="00646315">
        <w:rPr>
          <w:szCs w:val="26"/>
        </w:rPr>
        <w:t xml:space="preserve"> communities. </w:t>
      </w:r>
    </w:p>
    <w:p w:rsidRPr="00B171D3" w:rsidR="000C1980" w:rsidP="00815B6D" w:rsidRDefault="00DD727B" w14:paraId="7DF41107" w14:textId="6322D184">
      <w:pPr>
        <w:pStyle w:val="OP"/>
        <w:numPr>
          <w:ilvl w:val="0"/>
          <w:numId w:val="24"/>
        </w:numPr>
        <w:tabs>
          <w:tab w:val="left" w:pos="1170"/>
        </w:tabs>
        <w:ind w:left="0" w:firstLine="547"/>
        <w:rPr>
          <w:szCs w:val="26"/>
        </w:rPr>
      </w:pPr>
      <w:r>
        <w:rPr>
          <w:szCs w:val="26"/>
        </w:rPr>
        <w:t>The</w:t>
      </w:r>
      <w:r w:rsidRPr="00DD727B">
        <w:rPr>
          <w:szCs w:val="26"/>
        </w:rPr>
        <w:t xml:space="preserve"> </w:t>
      </w:r>
      <w:r w:rsidRPr="00A65A5E" w:rsidR="000C1980">
        <w:rPr>
          <w:szCs w:val="26"/>
        </w:rPr>
        <w:t xml:space="preserve">Energy Savings Assistance </w:t>
      </w:r>
      <w:r w:rsidR="000C1980">
        <w:rPr>
          <w:szCs w:val="26"/>
        </w:rPr>
        <w:t>(</w:t>
      </w:r>
      <w:r w:rsidRPr="007B351F" w:rsidR="000C1980">
        <w:rPr>
          <w:szCs w:val="26"/>
        </w:rPr>
        <w:t>ESA)/</w:t>
      </w:r>
      <w:r w:rsidRPr="008145B7" w:rsidR="000C1980">
        <w:rPr>
          <w:szCs w:val="26"/>
        </w:rPr>
        <w:t xml:space="preserve">California Alternate Rates for Energy </w:t>
      </w:r>
      <w:r w:rsidRPr="00DD727B" w:rsidR="000C1980">
        <w:rPr>
          <w:szCs w:val="26"/>
        </w:rPr>
        <w:t xml:space="preserve">(CARE) </w:t>
      </w:r>
      <w:r w:rsidRPr="00B171D3" w:rsidR="000C1980">
        <w:rPr>
          <w:i/>
          <w:iCs/>
          <w:szCs w:val="26"/>
        </w:rPr>
        <w:t>Study</w:t>
      </w:r>
      <w:r w:rsidRPr="00DD727B" w:rsidR="000C1980">
        <w:rPr>
          <w:szCs w:val="26"/>
        </w:rPr>
        <w:t xml:space="preserve"> Working Group </w:t>
      </w:r>
      <w:r>
        <w:rPr>
          <w:szCs w:val="26"/>
        </w:rPr>
        <w:t>will</w:t>
      </w:r>
      <w:r w:rsidRPr="00DD727B">
        <w:rPr>
          <w:szCs w:val="26"/>
        </w:rPr>
        <w:t xml:space="preserve"> </w:t>
      </w:r>
      <w:r w:rsidRPr="00DD727B" w:rsidR="000C1980">
        <w:rPr>
          <w:szCs w:val="26"/>
        </w:rPr>
        <w:t xml:space="preserve">be formed to provide a collaborative, stakeholder-inclusive and consensus-based process towards managing the Utilities’ non-statutory ESA and CARE studies during the program cycle.  The ESA/CARE </w:t>
      </w:r>
      <w:r w:rsidRPr="00B171D3" w:rsidR="000C1980">
        <w:rPr>
          <w:i/>
          <w:iCs/>
          <w:szCs w:val="26"/>
        </w:rPr>
        <w:t>Study</w:t>
      </w:r>
      <w:r w:rsidRPr="00DD727B" w:rsidR="000C1980">
        <w:rPr>
          <w:szCs w:val="26"/>
        </w:rPr>
        <w:t xml:space="preserve"> Working Group </w:t>
      </w:r>
      <w:r>
        <w:rPr>
          <w:szCs w:val="26"/>
        </w:rPr>
        <w:t>must</w:t>
      </w:r>
      <w:r w:rsidRPr="00DD727B">
        <w:rPr>
          <w:szCs w:val="26"/>
        </w:rPr>
        <w:t xml:space="preserve"> </w:t>
      </w:r>
      <w:r w:rsidRPr="00DD727B" w:rsidR="000C1980">
        <w:rPr>
          <w:szCs w:val="26"/>
        </w:rPr>
        <w:t xml:space="preserve">perform and deliver on the tasks as detailed in this decision. </w:t>
      </w:r>
    </w:p>
    <w:p w:rsidRPr="00B171D3" w:rsidR="000C1980" w:rsidP="00815B6D" w:rsidRDefault="00DD727B" w14:paraId="173E4271" w14:textId="20E8BA69">
      <w:pPr>
        <w:pStyle w:val="OP"/>
        <w:numPr>
          <w:ilvl w:val="0"/>
          <w:numId w:val="24"/>
        </w:numPr>
        <w:tabs>
          <w:tab w:val="left" w:pos="1170"/>
        </w:tabs>
        <w:ind w:left="0" w:firstLine="547"/>
        <w:rPr>
          <w:szCs w:val="26"/>
        </w:rPr>
      </w:pPr>
      <w:r>
        <w:rPr>
          <w:szCs w:val="26"/>
        </w:rPr>
        <w:t>The</w:t>
      </w:r>
      <w:r w:rsidRPr="00DD727B">
        <w:rPr>
          <w:szCs w:val="26"/>
        </w:rPr>
        <w:t xml:space="preserve"> </w:t>
      </w:r>
      <w:r w:rsidRPr="00A65A5E" w:rsidR="000C1980">
        <w:rPr>
          <w:szCs w:val="26"/>
        </w:rPr>
        <w:t xml:space="preserve">Energy Savings Assistance </w:t>
      </w:r>
      <w:r w:rsidR="000C1980">
        <w:rPr>
          <w:szCs w:val="26"/>
        </w:rPr>
        <w:t>(</w:t>
      </w:r>
      <w:r w:rsidRPr="007B351F" w:rsidR="000C1980">
        <w:rPr>
          <w:szCs w:val="26"/>
        </w:rPr>
        <w:t>ESA)</w:t>
      </w:r>
      <w:r w:rsidRPr="00DD727B" w:rsidR="000C1980">
        <w:rPr>
          <w:szCs w:val="26"/>
        </w:rPr>
        <w:t xml:space="preserve"> Working Group </w:t>
      </w:r>
      <w:r>
        <w:rPr>
          <w:szCs w:val="26"/>
        </w:rPr>
        <w:t>will</w:t>
      </w:r>
      <w:r w:rsidRPr="00DD727B">
        <w:rPr>
          <w:szCs w:val="26"/>
        </w:rPr>
        <w:t xml:space="preserve"> </w:t>
      </w:r>
      <w:r w:rsidRPr="00DD727B" w:rsidR="000C1980">
        <w:rPr>
          <w:szCs w:val="26"/>
        </w:rPr>
        <w:t xml:space="preserve">be formed to provide a collaborative, stakeholder-inclusive and </w:t>
      </w:r>
      <w:proofErr w:type="gramStart"/>
      <w:r w:rsidRPr="00DD727B" w:rsidR="000C1980">
        <w:rPr>
          <w:szCs w:val="26"/>
        </w:rPr>
        <w:t>consensus</w:t>
      </w:r>
      <w:r w:rsidR="00E244A2">
        <w:rPr>
          <w:szCs w:val="26"/>
        </w:rPr>
        <w:t xml:space="preserve"> </w:t>
      </w:r>
      <w:r w:rsidRPr="00DD727B" w:rsidR="000C1980">
        <w:rPr>
          <w:szCs w:val="26"/>
        </w:rPr>
        <w:t>based</w:t>
      </w:r>
      <w:proofErr w:type="gramEnd"/>
      <w:r w:rsidRPr="00DD727B" w:rsidR="000C1980">
        <w:rPr>
          <w:szCs w:val="26"/>
        </w:rPr>
        <w:t xml:space="preserve"> process towards managing the Utilities’ </w:t>
      </w:r>
      <w:r w:rsidR="00863C26">
        <w:rPr>
          <w:szCs w:val="26"/>
        </w:rPr>
        <w:t>low income</w:t>
      </w:r>
      <w:r w:rsidRPr="00DD727B" w:rsidR="000C1980">
        <w:rPr>
          <w:szCs w:val="26"/>
        </w:rPr>
        <w:t xml:space="preserve"> program</w:t>
      </w:r>
      <w:r w:rsidR="00863C26">
        <w:rPr>
          <w:szCs w:val="26"/>
        </w:rPr>
        <w:t>s</w:t>
      </w:r>
      <w:r w:rsidRPr="00DD727B" w:rsidR="000C1980">
        <w:rPr>
          <w:szCs w:val="26"/>
        </w:rPr>
        <w:t xml:space="preserve"> during the program cycle.  The ESA Working Group </w:t>
      </w:r>
      <w:r>
        <w:rPr>
          <w:szCs w:val="26"/>
        </w:rPr>
        <w:t>must</w:t>
      </w:r>
      <w:r w:rsidRPr="00DD727B">
        <w:rPr>
          <w:szCs w:val="26"/>
        </w:rPr>
        <w:t xml:space="preserve"> </w:t>
      </w:r>
      <w:r w:rsidRPr="00DD727B" w:rsidR="000C1980">
        <w:rPr>
          <w:szCs w:val="26"/>
        </w:rPr>
        <w:t xml:space="preserve">perform and deliver on the tasks as detailed in this decision. </w:t>
      </w:r>
    </w:p>
    <w:p w:rsidRPr="00B171D3" w:rsidR="000C1980" w:rsidP="00815B6D" w:rsidRDefault="005B7850" w14:paraId="4EBDC207" w14:textId="1BC6A0AD">
      <w:pPr>
        <w:pStyle w:val="OP"/>
        <w:numPr>
          <w:ilvl w:val="0"/>
          <w:numId w:val="24"/>
        </w:numPr>
        <w:tabs>
          <w:tab w:val="left" w:pos="1170"/>
        </w:tabs>
        <w:ind w:left="0" w:firstLine="547"/>
        <w:rPr>
          <w:szCs w:val="26"/>
        </w:rPr>
      </w:pPr>
      <w:r w:rsidRPr="00B171D3">
        <w:rPr>
          <w:szCs w:val="26"/>
        </w:rPr>
        <w:t xml:space="preserve">All working group membership </w:t>
      </w:r>
      <w:r>
        <w:rPr>
          <w:szCs w:val="26"/>
        </w:rPr>
        <w:t>must</w:t>
      </w:r>
      <w:r w:rsidRPr="00DD727B">
        <w:rPr>
          <w:szCs w:val="26"/>
        </w:rPr>
        <w:t xml:space="preserve"> comprise the </w:t>
      </w:r>
      <w:r w:rsidRPr="00AA1EAC">
        <w:rPr>
          <w:szCs w:val="26"/>
        </w:rPr>
        <w:t>Utilities’</w:t>
      </w:r>
      <w:r w:rsidRPr="00B92E50">
        <w:rPr>
          <w:szCs w:val="26"/>
        </w:rPr>
        <w:t xml:space="preserve"> representatives, Energy Division staff</w:t>
      </w:r>
      <w:r w:rsidRPr="00B11AAF">
        <w:rPr>
          <w:szCs w:val="26"/>
        </w:rPr>
        <w:t xml:space="preserve">, and no </w:t>
      </w:r>
      <w:r w:rsidRPr="001F7F7A">
        <w:rPr>
          <w:szCs w:val="26"/>
        </w:rPr>
        <w:t xml:space="preserve">more than two representatives from each segment of the </w:t>
      </w:r>
      <w:r w:rsidRPr="005078BD">
        <w:rPr>
          <w:szCs w:val="26"/>
        </w:rPr>
        <w:t xml:space="preserve">following interest groups: </w:t>
      </w:r>
      <w:r w:rsidRPr="003B750A">
        <w:rPr>
          <w:szCs w:val="26"/>
        </w:rPr>
        <w:t xml:space="preserve">contractors, </w:t>
      </w:r>
      <w:proofErr w:type="gramStart"/>
      <w:r w:rsidRPr="009F4133">
        <w:rPr>
          <w:szCs w:val="26"/>
        </w:rPr>
        <w:t>community based</w:t>
      </w:r>
      <w:proofErr w:type="gramEnd"/>
      <w:r w:rsidRPr="009F4133">
        <w:rPr>
          <w:szCs w:val="26"/>
        </w:rPr>
        <w:t xml:space="preserve"> organizations,</w:t>
      </w:r>
      <w:r w:rsidRPr="00775B92">
        <w:rPr>
          <w:szCs w:val="26"/>
        </w:rPr>
        <w:t xml:space="preserve"> </w:t>
      </w:r>
      <w:r>
        <w:rPr>
          <w:szCs w:val="26"/>
        </w:rPr>
        <w:t>t</w:t>
      </w:r>
      <w:r w:rsidRPr="00D75AC7">
        <w:rPr>
          <w:szCs w:val="26"/>
        </w:rPr>
        <w:t>he Public Advocates Offic</w:t>
      </w:r>
      <w:r w:rsidRPr="0099018E">
        <w:rPr>
          <w:szCs w:val="26"/>
        </w:rPr>
        <w:t xml:space="preserve">e, </w:t>
      </w:r>
      <w:r w:rsidRPr="0013238C">
        <w:rPr>
          <w:szCs w:val="26"/>
        </w:rPr>
        <w:t xml:space="preserve">consumer </w:t>
      </w:r>
      <w:r w:rsidRPr="00581F69">
        <w:rPr>
          <w:szCs w:val="26"/>
        </w:rPr>
        <w:t xml:space="preserve">protection/advocates, </w:t>
      </w:r>
      <w:r w:rsidRPr="005E3B9A">
        <w:rPr>
          <w:szCs w:val="26"/>
        </w:rPr>
        <w:t xml:space="preserve">and </w:t>
      </w:r>
      <w:r w:rsidRPr="006E54B7">
        <w:rPr>
          <w:szCs w:val="26"/>
        </w:rPr>
        <w:t>other interest groups</w:t>
      </w:r>
      <w:r w:rsidRPr="00AA28A4">
        <w:rPr>
          <w:szCs w:val="26"/>
        </w:rPr>
        <w:t xml:space="preserve"> (as applicable to the subject).</w:t>
      </w:r>
      <w:r w:rsidRPr="005F6FE9">
        <w:rPr>
          <w:szCs w:val="26"/>
        </w:rPr>
        <w:t xml:space="preserve">  Rep</w:t>
      </w:r>
      <w:r w:rsidRPr="00BF7DC7">
        <w:rPr>
          <w:szCs w:val="26"/>
        </w:rPr>
        <w:t xml:space="preserve">resentatives </w:t>
      </w:r>
      <w:r>
        <w:rPr>
          <w:szCs w:val="26"/>
        </w:rPr>
        <w:t>must</w:t>
      </w:r>
      <w:r w:rsidRPr="00DD727B">
        <w:rPr>
          <w:szCs w:val="26"/>
        </w:rPr>
        <w:t xml:space="preserve"> have expertise in the issues relating to the working group’s purpose and tasks and are expected to contribute significantly to the progress and resolution of the tasks; those that do not may be removed or replaced.  Working group </w:t>
      </w:r>
      <w:r w:rsidRPr="00AA1EAC">
        <w:rPr>
          <w:szCs w:val="26"/>
        </w:rPr>
        <w:t>represe</w:t>
      </w:r>
      <w:r w:rsidRPr="00B92E50">
        <w:rPr>
          <w:szCs w:val="26"/>
        </w:rPr>
        <w:t xml:space="preserve">ntatives </w:t>
      </w:r>
      <w:r>
        <w:rPr>
          <w:szCs w:val="26"/>
        </w:rPr>
        <w:t>may be different individuals,</w:t>
      </w:r>
      <w:r w:rsidRPr="00B11AAF">
        <w:rPr>
          <w:szCs w:val="26"/>
        </w:rPr>
        <w:t xml:space="preserve"> based on the subject matter and level of expertise.  However, the working group </w:t>
      </w:r>
      <w:r>
        <w:rPr>
          <w:szCs w:val="26"/>
        </w:rPr>
        <w:t>must</w:t>
      </w:r>
      <w:r w:rsidRPr="00DD727B">
        <w:rPr>
          <w:szCs w:val="26"/>
        </w:rPr>
        <w:t xml:space="preserve"> adhere </w:t>
      </w:r>
      <w:r w:rsidRPr="00DD727B">
        <w:rPr>
          <w:szCs w:val="26"/>
        </w:rPr>
        <w:lastRenderedPageBreak/>
        <w:t>to the number of allowed representatives from each party/segment to ensure that the size of the group is manageable for the deliverables expected</w:t>
      </w:r>
      <w:r w:rsidRPr="00DD727B" w:rsidR="000C1980">
        <w:rPr>
          <w:szCs w:val="26"/>
        </w:rPr>
        <w:t xml:space="preserve">.  </w:t>
      </w:r>
    </w:p>
    <w:p w:rsidRPr="00B171D3" w:rsidR="000C1980" w:rsidP="00815B6D" w:rsidRDefault="0024760F" w14:paraId="60C955BE" w14:textId="437F4FB4">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 </w:t>
      </w:r>
      <w:r>
        <w:rPr>
          <w:szCs w:val="26"/>
        </w:rPr>
        <w:t>must</w:t>
      </w:r>
      <w:r w:rsidRPr="005161CE">
        <w:rPr>
          <w:szCs w:val="26"/>
        </w:rPr>
        <w:t xml:space="preserve"> s</w:t>
      </w:r>
      <w:r w:rsidRPr="00B171D3">
        <w:rPr>
          <w:szCs w:val="26"/>
        </w:rPr>
        <w:t xml:space="preserve">ubmit a joint mid-cycle progress report, in consultation with the </w:t>
      </w:r>
      <w:r w:rsidRPr="00A65A5E">
        <w:rPr>
          <w:szCs w:val="26"/>
        </w:rPr>
        <w:t>Energy Savings Assistance</w:t>
      </w:r>
      <w:r w:rsidRPr="004C6E28">
        <w:rPr>
          <w:szCs w:val="26"/>
        </w:rPr>
        <w:t xml:space="preserve"> </w:t>
      </w:r>
      <w:r w:rsidRPr="00B171D3">
        <w:rPr>
          <w:szCs w:val="26"/>
        </w:rPr>
        <w:t xml:space="preserve">working group, to the Commission and </w:t>
      </w:r>
      <w:r>
        <w:rPr>
          <w:szCs w:val="26"/>
        </w:rPr>
        <w:t xml:space="preserve">the service list of </w:t>
      </w:r>
      <w:r w:rsidRPr="00B171D3">
        <w:rPr>
          <w:szCs w:val="26"/>
        </w:rPr>
        <w:t xml:space="preserve">this proceeding </w:t>
      </w:r>
      <w:r>
        <w:rPr>
          <w:szCs w:val="26"/>
        </w:rPr>
        <w:t>or a successor proceeding</w:t>
      </w:r>
      <w:r w:rsidRPr="00B171D3">
        <w:rPr>
          <w:szCs w:val="26"/>
        </w:rPr>
        <w:t xml:space="preserve"> by December 31, 2023.  At a minimum, the progress report </w:t>
      </w:r>
      <w:r>
        <w:rPr>
          <w:szCs w:val="26"/>
        </w:rPr>
        <w:t>must</w:t>
      </w:r>
      <w:r w:rsidRPr="004C6E28">
        <w:rPr>
          <w:szCs w:val="26"/>
        </w:rPr>
        <w:t xml:space="preserve"> discuss 1) whether the energy savings goals set in this decision are aligned with the P</w:t>
      </w:r>
      <w:r w:rsidRPr="00AA1EAC">
        <w:rPr>
          <w:szCs w:val="26"/>
        </w:rPr>
        <w:t xml:space="preserve">otential </w:t>
      </w:r>
      <w:r w:rsidRPr="00B92E50">
        <w:rPr>
          <w:szCs w:val="26"/>
        </w:rPr>
        <w:t>&amp;</w:t>
      </w:r>
      <w:r w:rsidRPr="00B11AAF">
        <w:rPr>
          <w:szCs w:val="26"/>
        </w:rPr>
        <w:t xml:space="preserve"> Goa</w:t>
      </w:r>
      <w:r w:rsidRPr="001F7F7A">
        <w:rPr>
          <w:szCs w:val="26"/>
        </w:rPr>
        <w:t xml:space="preserve">ls </w:t>
      </w:r>
      <w:r w:rsidRPr="005078BD">
        <w:rPr>
          <w:szCs w:val="26"/>
        </w:rPr>
        <w:t>study results, why or why not</w:t>
      </w:r>
      <w:r w:rsidRPr="003B750A">
        <w:rPr>
          <w:szCs w:val="26"/>
        </w:rPr>
        <w:t xml:space="preserve">, 2) whether the </w:t>
      </w:r>
      <w:r w:rsidRPr="00A41178">
        <w:rPr>
          <w:szCs w:val="26"/>
        </w:rPr>
        <w:t>Utilities</w:t>
      </w:r>
      <w:r w:rsidRPr="00B86AE4">
        <w:rPr>
          <w:szCs w:val="26"/>
        </w:rPr>
        <w:t xml:space="preserve"> are on track to meet the goals </w:t>
      </w:r>
      <w:r w:rsidRPr="009F4133">
        <w:rPr>
          <w:szCs w:val="26"/>
        </w:rPr>
        <w:t xml:space="preserve">and targets </w:t>
      </w:r>
      <w:r w:rsidRPr="00775B92">
        <w:rPr>
          <w:szCs w:val="26"/>
        </w:rPr>
        <w:t xml:space="preserve">set in this decision, why or why not, 3) </w:t>
      </w:r>
      <w:r w:rsidRPr="00D75AC7">
        <w:rPr>
          <w:szCs w:val="26"/>
        </w:rPr>
        <w:t>whether</w:t>
      </w:r>
      <w:r w:rsidRPr="0099018E">
        <w:rPr>
          <w:szCs w:val="26"/>
        </w:rPr>
        <w:t xml:space="preserve"> </w:t>
      </w:r>
      <w:r w:rsidRPr="0013238C">
        <w:rPr>
          <w:szCs w:val="26"/>
        </w:rPr>
        <w:t xml:space="preserve">any of the goals </w:t>
      </w:r>
      <w:r w:rsidRPr="0045033F">
        <w:rPr>
          <w:szCs w:val="26"/>
        </w:rPr>
        <w:t xml:space="preserve">or targets </w:t>
      </w:r>
      <w:r w:rsidRPr="001C6D65">
        <w:rPr>
          <w:szCs w:val="26"/>
        </w:rPr>
        <w:t>set in this decision need to be updated in light of the data and new informat</w:t>
      </w:r>
      <w:r w:rsidRPr="00581F69">
        <w:rPr>
          <w:szCs w:val="26"/>
        </w:rPr>
        <w:t xml:space="preserve">ion collected during the first half of the program cycle, why or why not, 4) best practices under the new designs, 5) status of the </w:t>
      </w:r>
      <w:r w:rsidRPr="00B171D3">
        <w:rPr>
          <w:szCs w:val="26"/>
        </w:rPr>
        <w:t xml:space="preserve">Pilot Plus and Pilot Deep </w:t>
      </w:r>
      <w:r>
        <w:rPr>
          <w:szCs w:val="26"/>
        </w:rPr>
        <w:t>program</w:t>
      </w:r>
      <w:r w:rsidRPr="004C6E28">
        <w:rPr>
          <w:szCs w:val="26"/>
        </w:rPr>
        <w:t xml:space="preserve">, and 6) state of the ESA program’s cost effectiveness level under the new guidance thresholds.  Any updates being suggested by the Utilities in the report must be reviewed by the ESA Working Group, supported by the data collected, and clearly justified.  If such updates </w:t>
      </w:r>
      <w:r w:rsidRPr="00B171D3">
        <w:rPr>
          <w:szCs w:val="26"/>
        </w:rPr>
        <w:t xml:space="preserve">require lowering the program goals, or increasing the approved budgets, then the Utilities </w:t>
      </w:r>
      <w:r>
        <w:rPr>
          <w:szCs w:val="26"/>
        </w:rPr>
        <w:t>must</w:t>
      </w:r>
      <w:r w:rsidRPr="00B171D3">
        <w:rPr>
          <w:szCs w:val="26"/>
        </w:rPr>
        <w:t xml:space="preserve"> file a petition for modification.  Otherwise, all other proposed updates </w:t>
      </w:r>
      <w:r>
        <w:rPr>
          <w:szCs w:val="26"/>
        </w:rPr>
        <w:t>must</w:t>
      </w:r>
      <w:r w:rsidRPr="00B171D3">
        <w:rPr>
          <w:szCs w:val="26"/>
        </w:rPr>
        <w:t xml:space="preserve"> be filed via a Tier 2 advice letter</w:t>
      </w:r>
      <w:r w:rsidRPr="00B171D3" w:rsidR="000C1980">
        <w:rPr>
          <w:szCs w:val="26"/>
        </w:rPr>
        <w:t xml:space="preserve">.   </w:t>
      </w:r>
    </w:p>
    <w:p w:rsidRPr="00B171D3" w:rsidR="000C1980" w:rsidP="00815B6D" w:rsidRDefault="000C1980" w14:paraId="26EB33A4" w14:textId="1BC8A142">
      <w:pPr>
        <w:pStyle w:val="OP"/>
        <w:numPr>
          <w:ilvl w:val="0"/>
          <w:numId w:val="24"/>
        </w:numPr>
        <w:tabs>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 shall comply with </w:t>
      </w:r>
      <w:r w:rsidR="00E91E6E">
        <w:rPr>
          <w:szCs w:val="26"/>
        </w:rPr>
        <w:t>all</w:t>
      </w:r>
      <w:r w:rsidRPr="00B171D3">
        <w:rPr>
          <w:szCs w:val="26"/>
        </w:rPr>
        <w:t xml:space="preserve"> Commission ordered audits of the </w:t>
      </w:r>
      <w:proofErr w:type="gramStart"/>
      <w:r w:rsidRPr="00B171D3">
        <w:rPr>
          <w:szCs w:val="26"/>
        </w:rPr>
        <w:t>low income</w:t>
      </w:r>
      <w:proofErr w:type="gramEnd"/>
      <w:r w:rsidRPr="00B171D3">
        <w:rPr>
          <w:szCs w:val="26"/>
        </w:rPr>
        <w:t xml:space="preserve"> programs. </w:t>
      </w:r>
    </w:p>
    <w:p w:rsidRPr="002356AC" w:rsidR="000C1980" w:rsidP="00815B6D" w:rsidRDefault="000C1980" w14:paraId="6A8BF64E" w14:textId="53C6FA0F">
      <w:pPr>
        <w:pStyle w:val="OP"/>
        <w:numPr>
          <w:ilvl w:val="0"/>
          <w:numId w:val="24"/>
        </w:numPr>
        <w:tabs>
          <w:tab w:val="left" w:pos="1170"/>
        </w:tabs>
        <w:ind w:left="0" w:firstLine="547"/>
        <w:rPr>
          <w:szCs w:val="26"/>
        </w:rPr>
      </w:pPr>
      <w:r w:rsidRPr="00B171D3">
        <w:rPr>
          <w:szCs w:val="26"/>
        </w:rPr>
        <w:lastRenderedPageBreak/>
        <w:t xml:space="preserve">Pacific Gas and Electric Company, Southern California Edison Company, San Diego Gas &amp; Electric Company and Southern California Gas Company </w:t>
      </w:r>
      <w:r w:rsidR="002356AC">
        <w:rPr>
          <w:szCs w:val="26"/>
        </w:rPr>
        <w:t>must</w:t>
      </w:r>
      <w:r w:rsidRPr="002356AC" w:rsidR="002356AC">
        <w:rPr>
          <w:szCs w:val="26"/>
        </w:rPr>
        <w:t xml:space="preserve"> </w:t>
      </w:r>
      <w:r w:rsidRPr="002356AC">
        <w:rPr>
          <w:szCs w:val="26"/>
        </w:rPr>
        <w:t>comply with the following fund shifting rules:</w:t>
      </w:r>
    </w:p>
    <w:p w:rsidR="000C1980" w:rsidP="00402362" w:rsidRDefault="000C1980" w14:paraId="16750B05" w14:textId="77777777">
      <w:pPr>
        <w:pStyle w:val="ListBullet"/>
      </w:pPr>
      <w:r>
        <w:t xml:space="preserve">Fund shifting of any amount between budget categories and between electric and gas budgets is allowed within the program year, with reporting of any shifts in the annual reports (no need for monthly reporting, and no need for advice letters unless otherwise noted below). </w:t>
      </w:r>
    </w:p>
    <w:p w:rsidR="000C1980" w:rsidP="00402362" w:rsidRDefault="000C1980" w14:paraId="23347BE3" w14:textId="2568FE23">
      <w:pPr>
        <w:pStyle w:val="ListBullet"/>
        <w:numPr>
          <w:ilvl w:val="0"/>
          <w:numId w:val="22"/>
        </w:numPr>
      </w:pPr>
      <w:r>
        <w:t xml:space="preserve">This applies to the </w:t>
      </w:r>
      <w:r w:rsidRPr="0085520A">
        <w:t xml:space="preserve">California Alternate Rates for Energy </w:t>
      </w:r>
      <w:r>
        <w:t xml:space="preserve">(CARE) and Family Electric Rate Assistance (FERA) administrative budgets (not subsidy budgets), and the total </w:t>
      </w:r>
      <w:r w:rsidRPr="009776DB" w:rsidR="009776DB">
        <w:t xml:space="preserve">Energy Savings Assistance </w:t>
      </w:r>
      <w:r w:rsidR="009776DB">
        <w:t>(</w:t>
      </w:r>
      <w:r>
        <w:t>ESA</w:t>
      </w:r>
      <w:r w:rsidR="009776DB">
        <w:t>)</w:t>
      </w:r>
      <w:r>
        <w:t xml:space="preserve"> program budget (including administrative budgets).</w:t>
      </w:r>
    </w:p>
    <w:p w:rsidR="000C1980" w:rsidP="00402362" w:rsidRDefault="000C1980" w14:paraId="2F81685E" w14:textId="6BC85795">
      <w:pPr>
        <w:pStyle w:val="ListBullet"/>
      </w:pPr>
      <w:r>
        <w:t xml:space="preserve">Any fund shifting </w:t>
      </w:r>
      <w:r w:rsidR="009776DB">
        <w:t xml:space="preserve">must </w:t>
      </w:r>
      <w:r>
        <w:t xml:space="preserve">comply with the existing cap on ESA administrative costs (currently set at no more than </w:t>
      </w:r>
      <w:r w:rsidRPr="00785075">
        <w:t>10 percent of total program costs, or the U</w:t>
      </w:r>
      <w:r>
        <w:t>tilities</w:t>
      </w:r>
      <w:r w:rsidRPr="00785075">
        <w:t>’ historical five-year average spend on administrative costs as a percentage of total program costs, whichever is greater</w:t>
      </w:r>
      <w:r>
        <w:t>)</w:t>
      </w:r>
      <w:r w:rsidR="00773241">
        <w:t>,</w:t>
      </w:r>
      <w:r w:rsidRPr="00773241" w:rsidR="00773241">
        <w:t xml:space="preserve"> </w:t>
      </w:r>
      <w:r w:rsidR="00773241">
        <w:t>and any other caps established in this decision (minor home repairs, etc.) or future decisions, unless otherwise noted</w:t>
      </w:r>
      <w:r>
        <w:t xml:space="preserve">. </w:t>
      </w:r>
    </w:p>
    <w:p w:rsidR="000C1980" w:rsidP="00402362" w:rsidRDefault="005967A8" w14:paraId="128D9AC5" w14:textId="1C7A715D">
      <w:pPr>
        <w:pStyle w:val="ListBullet"/>
      </w:pPr>
      <w:r>
        <w:t>F</w:t>
      </w:r>
      <w:r w:rsidR="00897DAF">
        <w:t>und shift</w:t>
      </w:r>
      <w:r>
        <w:t>ing</w:t>
      </w:r>
      <w:r w:rsidR="00897DAF">
        <w:t xml:space="preserve"> in and out of the multifamily whole building (MFWB) programs, and pilots (including the</w:t>
      </w:r>
      <w:r w:rsidRPr="00C57694" w:rsidR="00897DAF">
        <w:t xml:space="preserve"> </w:t>
      </w:r>
      <w:r w:rsidR="00897DAF">
        <w:t>Pilot Plus and Pilot Deep program), must be requested via a Tier 2 advice letter</w:t>
      </w:r>
      <w:r w:rsidR="000C1980">
        <w:t xml:space="preserve">.   </w:t>
      </w:r>
    </w:p>
    <w:p w:rsidR="000C1980" w:rsidP="00402362" w:rsidRDefault="000C1980" w14:paraId="5D772905" w14:textId="77777777">
      <w:pPr>
        <w:pStyle w:val="ListBullet"/>
      </w:pPr>
      <w:r>
        <w:t>Fund shifting is not allowed between program years; any remaining uncommitted and unspent funds at the end of a program year must be used to offset the next year’s collection.</w:t>
      </w:r>
    </w:p>
    <w:p w:rsidR="000C1980" w:rsidP="00402362" w:rsidRDefault="00007038" w14:paraId="3F6D7A29" w14:textId="205BCF49">
      <w:pPr>
        <w:pStyle w:val="ListBullet"/>
        <w:numPr>
          <w:ilvl w:val="0"/>
          <w:numId w:val="23"/>
        </w:numPr>
      </w:pPr>
      <w:r>
        <w:t xml:space="preserve">An exception to this rule is granted </w:t>
      </w:r>
      <w:r w:rsidR="003E2B4A">
        <w:t>for the MFWB programs, pilots (including the</w:t>
      </w:r>
      <w:r w:rsidRPr="00C57694" w:rsidR="003E2B4A">
        <w:t xml:space="preserve"> </w:t>
      </w:r>
      <w:r w:rsidR="003E2B4A">
        <w:t xml:space="preserve">Pilot Plus and Pilot Deep </w:t>
      </w:r>
      <w:r w:rsidRPr="00767EDD" w:rsidR="003E2B4A">
        <w:t>program</w:t>
      </w:r>
      <w:r w:rsidR="003E2B4A">
        <w:t xml:space="preserve">), and studies </w:t>
      </w:r>
      <w:r w:rsidR="0062463A">
        <w:t xml:space="preserve">(where funds </w:t>
      </w:r>
      <w:r w:rsidR="003E2B4A">
        <w:t>may be rolled over to the next program year</w:t>
      </w:r>
      <w:r w:rsidR="0087378A">
        <w:t xml:space="preserve"> or borrowed from a future program year within the cycle</w:t>
      </w:r>
      <w:r w:rsidR="003E2B4A">
        <w:t>, to allow for flexibility in scheduling changes with these efforts</w:t>
      </w:r>
      <w:r w:rsidR="0087378A">
        <w:t>)</w:t>
      </w:r>
      <w:r w:rsidR="00AA1EAC">
        <w:t>.</w:t>
      </w:r>
    </w:p>
    <w:p w:rsidR="000C1980" w:rsidP="004C2E01" w:rsidRDefault="000C1980" w14:paraId="65F44C76" w14:textId="0841EC49">
      <w:pPr>
        <w:pStyle w:val="ListBullet"/>
      </w:pPr>
      <w:r>
        <w:t xml:space="preserve">Fund shifting activities </w:t>
      </w:r>
      <w:r w:rsidR="00AA1EAC">
        <w:t xml:space="preserve">must </w:t>
      </w:r>
      <w:r w:rsidR="00AF5FDA">
        <w:t>also</w:t>
      </w:r>
      <w:r>
        <w:t xml:space="preserve"> be reported to the </w:t>
      </w:r>
      <w:proofErr w:type="gramStart"/>
      <w:r w:rsidRPr="00044316">
        <w:t>L</w:t>
      </w:r>
      <w:r>
        <w:t xml:space="preserve">ow </w:t>
      </w:r>
      <w:r w:rsidRPr="00044316">
        <w:t>I</w:t>
      </w:r>
      <w:r>
        <w:t>ncome</w:t>
      </w:r>
      <w:proofErr w:type="gramEnd"/>
      <w:r>
        <w:t xml:space="preserve"> </w:t>
      </w:r>
      <w:r w:rsidRPr="00044316">
        <w:t>O</w:t>
      </w:r>
      <w:r>
        <w:t xml:space="preserve">versight </w:t>
      </w:r>
      <w:r w:rsidRPr="00044316">
        <w:t>B</w:t>
      </w:r>
      <w:r>
        <w:t>oard (LIOB) via quarterly LIOB reports.</w:t>
      </w:r>
    </w:p>
    <w:p w:rsidRPr="006E54B7" w:rsidR="000C1980" w:rsidP="00815B6D" w:rsidRDefault="000C1980" w14:paraId="68263557" w14:textId="6801A6CD">
      <w:pPr>
        <w:pStyle w:val="OP"/>
        <w:numPr>
          <w:ilvl w:val="0"/>
          <w:numId w:val="24"/>
        </w:numPr>
        <w:tabs>
          <w:tab w:val="left" w:pos="990"/>
          <w:tab w:val="left" w:pos="1170"/>
        </w:tabs>
        <w:ind w:left="0" w:firstLine="547"/>
        <w:rPr>
          <w:szCs w:val="26"/>
        </w:rPr>
      </w:pPr>
      <w:r w:rsidRPr="00AA1EAC">
        <w:rPr>
          <w:szCs w:val="26"/>
        </w:rPr>
        <w:lastRenderedPageBreak/>
        <w:t>Pacific Gas and Electric Company</w:t>
      </w:r>
      <w:r w:rsidRPr="00B92E50">
        <w:rPr>
          <w:szCs w:val="26"/>
        </w:rPr>
        <w:t xml:space="preserve">’s proposal to assign 53 percent of the </w:t>
      </w:r>
      <w:r w:rsidRPr="00B92E50" w:rsidR="00B92E50">
        <w:rPr>
          <w:szCs w:val="26"/>
        </w:rPr>
        <w:t>Energy Savings Assistance</w:t>
      </w:r>
      <w:r w:rsidRPr="00B92E50">
        <w:rPr>
          <w:szCs w:val="26"/>
        </w:rPr>
        <w:t xml:space="preserve"> program expenses to electric customers and 47</w:t>
      </w:r>
      <w:r w:rsidRPr="00B11AAF">
        <w:rPr>
          <w:szCs w:val="26"/>
        </w:rPr>
        <w:t xml:space="preserve"> percent to gas customers, and its current </w:t>
      </w:r>
      <w:r w:rsidRPr="001F7F7A">
        <w:rPr>
          <w:szCs w:val="26"/>
        </w:rPr>
        <w:t xml:space="preserve">method for allocating </w:t>
      </w:r>
      <w:r w:rsidRPr="005078BD">
        <w:rPr>
          <w:szCs w:val="26"/>
        </w:rPr>
        <w:t xml:space="preserve">California Alternate Rates for Energy </w:t>
      </w:r>
      <w:r w:rsidRPr="003B750A">
        <w:rPr>
          <w:szCs w:val="26"/>
        </w:rPr>
        <w:t>(CARE) expenses between gas and electric customers</w:t>
      </w:r>
      <w:r w:rsidRPr="009F4133">
        <w:rPr>
          <w:szCs w:val="26"/>
        </w:rPr>
        <w:t xml:space="preserve">, which </w:t>
      </w:r>
      <w:r w:rsidRPr="00775B92">
        <w:rPr>
          <w:szCs w:val="26"/>
        </w:rPr>
        <w:t>assign</w:t>
      </w:r>
      <w:r w:rsidR="00D517A9">
        <w:rPr>
          <w:szCs w:val="26"/>
        </w:rPr>
        <w:t>s</w:t>
      </w:r>
      <w:r w:rsidRPr="00775B92">
        <w:rPr>
          <w:szCs w:val="26"/>
        </w:rPr>
        <w:t xml:space="preserve"> 80</w:t>
      </w:r>
      <w:r w:rsidRPr="00D75AC7">
        <w:rPr>
          <w:szCs w:val="26"/>
        </w:rPr>
        <w:t xml:space="preserve"> percent</w:t>
      </w:r>
      <w:r w:rsidRPr="0099018E">
        <w:rPr>
          <w:szCs w:val="26"/>
        </w:rPr>
        <w:t xml:space="preserve"> of the CARE </w:t>
      </w:r>
      <w:r w:rsidRPr="0013238C">
        <w:rPr>
          <w:szCs w:val="26"/>
        </w:rPr>
        <w:t>program expenses to electric customers and 20</w:t>
      </w:r>
      <w:r w:rsidRPr="00581F69">
        <w:rPr>
          <w:szCs w:val="26"/>
        </w:rPr>
        <w:t xml:space="preserve"> percent to gas customers</w:t>
      </w:r>
      <w:r w:rsidRPr="005E3B9A">
        <w:rPr>
          <w:szCs w:val="26"/>
        </w:rPr>
        <w:t xml:space="preserve"> is approved.</w:t>
      </w:r>
    </w:p>
    <w:p w:rsidRPr="00B92E50" w:rsidR="000C1980" w:rsidP="00815B6D" w:rsidRDefault="000C1980" w14:paraId="1CD928B8" w14:textId="5A4EB8ED">
      <w:pPr>
        <w:pStyle w:val="OP"/>
        <w:numPr>
          <w:ilvl w:val="0"/>
          <w:numId w:val="24"/>
        </w:numPr>
        <w:tabs>
          <w:tab w:val="left" w:pos="990"/>
          <w:tab w:val="left" w:pos="1170"/>
        </w:tabs>
        <w:ind w:left="0" w:firstLine="547"/>
        <w:rPr>
          <w:szCs w:val="26"/>
        </w:rPr>
      </w:pPr>
      <w:r w:rsidRPr="00AA28A4">
        <w:rPr>
          <w:szCs w:val="26"/>
        </w:rPr>
        <w:t xml:space="preserve">The </w:t>
      </w:r>
      <w:proofErr w:type="gramStart"/>
      <w:r w:rsidRPr="00B171D3">
        <w:rPr>
          <w:szCs w:val="26"/>
        </w:rPr>
        <w:t>Low Income</w:t>
      </w:r>
      <w:proofErr w:type="gramEnd"/>
      <w:r w:rsidRPr="00B171D3">
        <w:rPr>
          <w:szCs w:val="26"/>
        </w:rPr>
        <w:t xml:space="preserve"> Oversight Board member term </w:t>
      </w:r>
      <w:r w:rsidR="00854889">
        <w:rPr>
          <w:szCs w:val="26"/>
        </w:rPr>
        <w:t>for Utility representatives</w:t>
      </w:r>
      <w:r w:rsidR="00B51C11">
        <w:rPr>
          <w:szCs w:val="26"/>
        </w:rPr>
        <w:t xml:space="preserve"> </w:t>
      </w:r>
      <w:r w:rsidR="00015F8A">
        <w:rPr>
          <w:szCs w:val="26"/>
        </w:rPr>
        <w:t>will be</w:t>
      </w:r>
      <w:r w:rsidRPr="00B92E50" w:rsidR="00015F8A">
        <w:rPr>
          <w:szCs w:val="26"/>
        </w:rPr>
        <w:t xml:space="preserve"> </w:t>
      </w:r>
      <w:r w:rsidRPr="00B92E50">
        <w:rPr>
          <w:szCs w:val="26"/>
        </w:rPr>
        <w:t>two years.</w:t>
      </w:r>
    </w:p>
    <w:p w:rsidRPr="00B51C11" w:rsidR="000C1980" w:rsidP="00815B6D" w:rsidRDefault="000C1980" w14:paraId="44F5E826" w14:textId="316CFFA0">
      <w:pPr>
        <w:pStyle w:val="OP"/>
        <w:numPr>
          <w:ilvl w:val="0"/>
          <w:numId w:val="24"/>
        </w:numPr>
        <w:tabs>
          <w:tab w:val="left" w:pos="990"/>
          <w:tab w:val="left" w:pos="1170"/>
        </w:tabs>
        <w:ind w:left="0" w:firstLine="547"/>
        <w:rPr>
          <w:szCs w:val="26"/>
        </w:rPr>
      </w:pPr>
      <w:r w:rsidRPr="00B171D3">
        <w:rPr>
          <w:szCs w:val="26"/>
        </w:rPr>
        <w:t xml:space="preserve">Pacific Gas and Electric Company, Southern California Edison Company, and San Diego Gas &amp; Electric Company </w:t>
      </w:r>
      <w:r w:rsidR="00B51C11">
        <w:rPr>
          <w:szCs w:val="26"/>
        </w:rPr>
        <w:t>must</w:t>
      </w:r>
      <w:r w:rsidRPr="00B51C11" w:rsidR="00B51C11">
        <w:rPr>
          <w:szCs w:val="26"/>
        </w:rPr>
        <w:t xml:space="preserve"> </w:t>
      </w:r>
      <w:r w:rsidRPr="00B51C11">
        <w:rPr>
          <w:szCs w:val="26"/>
        </w:rPr>
        <w:t>file monthly Family Electric Rate Assistance reports (per the reporting template to be developed and issued by Energy Division staff).</w:t>
      </w:r>
    </w:p>
    <w:p w:rsidRPr="00B171D3" w:rsidR="000C1980" w:rsidP="00815B6D" w:rsidRDefault="000C1980" w14:paraId="28D7DD63" w14:textId="1A42C91C">
      <w:pPr>
        <w:pStyle w:val="OP"/>
        <w:numPr>
          <w:ilvl w:val="0"/>
          <w:numId w:val="24"/>
        </w:numPr>
        <w:tabs>
          <w:tab w:val="left" w:pos="990"/>
          <w:tab w:val="left" w:pos="1170"/>
        </w:tabs>
        <w:ind w:left="0" w:firstLine="547"/>
        <w:rPr>
          <w:szCs w:val="26"/>
        </w:rPr>
      </w:pPr>
      <w:r w:rsidRPr="00B11AAF">
        <w:rPr>
          <w:szCs w:val="26"/>
        </w:rPr>
        <w:t>Pacific Gas and Electric Company, Southern California Edison Company, and San Diego Gas &amp; Elect</w:t>
      </w:r>
      <w:r w:rsidRPr="001F7F7A">
        <w:rPr>
          <w:szCs w:val="26"/>
        </w:rPr>
        <w:t xml:space="preserve">ric Company </w:t>
      </w:r>
      <w:r w:rsidR="00B51C11">
        <w:rPr>
          <w:szCs w:val="26"/>
        </w:rPr>
        <w:t>must</w:t>
      </w:r>
      <w:r w:rsidRPr="00B51C11" w:rsidR="00B51C11">
        <w:rPr>
          <w:szCs w:val="26"/>
        </w:rPr>
        <w:t xml:space="preserve"> </w:t>
      </w:r>
      <w:r w:rsidRPr="00B171D3">
        <w:rPr>
          <w:szCs w:val="26"/>
        </w:rPr>
        <w:t xml:space="preserve">combine the Family Electric Rate Assistance monthly and annual report with the </w:t>
      </w:r>
      <w:r w:rsidRPr="00A65A5E">
        <w:rPr>
          <w:szCs w:val="26"/>
        </w:rPr>
        <w:t>Energy Savings Assistance</w:t>
      </w:r>
      <w:r w:rsidRPr="00B171D3">
        <w:rPr>
          <w:szCs w:val="26"/>
        </w:rPr>
        <w:t xml:space="preserve"> and California Alternate Rates for Energy monthly and annual reports, with the first combined annual reporting beginning with the 2022 annual report.</w:t>
      </w:r>
    </w:p>
    <w:p w:rsidRPr="00B171D3" w:rsidR="000C1980" w:rsidP="00815B6D" w:rsidRDefault="000C1980" w14:paraId="7C54E1CC" w14:textId="5B7EE34D">
      <w:pPr>
        <w:pStyle w:val="OP"/>
        <w:numPr>
          <w:ilvl w:val="0"/>
          <w:numId w:val="24"/>
        </w:numPr>
        <w:tabs>
          <w:tab w:val="left" w:pos="990"/>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 </w:t>
      </w:r>
      <w:r w:rsidR="00B51C11">
        <w:rPr>
          <w:szCs w:val="26"/>
        </w:rPr>
        <w:t>must</w:t>
      </w:r>
      <w:r w:rsidRPr="00B51C11" w:rsidR="00B51C11">
        <w:rPr>
          <w:szCs w:val="26"/>
        </w:rPr>
        <w:t xml:space="preserve"> </w:t>
      </w:r>
      <w:r w:rsidRPr="00B171D3">
        <w:rPr>
          <w:szCs w:val="26"/>
        </w:rPr>
        <w:t xml:space="preserve">incorporate the </w:t>
      </w:r>
      <w:proofErr w:type="gramStart"/>
      <w:r w:rsidRPr="00B171D3">
        <w:rPr>
          <w:szCs w:val="26"/>
        </w:rPr>
        <w:t>low income</w:t>
      </w:r>
      <w:proofErr w:type="gramEnd"/>
      <w:r w:rsidRPr="00B171D3">
        <w:rPr>
          <w:szCs w:val="26"/>
        </w:rPr>
        <w:t xml:space="preserve"> program reporting into a single online data management and visualization dashboard that would allow for utility-specific annual historical </w:t>
      </w:r>
      <w:r w:rsidRPr="00B51C11" w:rsidR="00B51C11">
        <w:rPr>
          <w:szCs w:val="26"/>
        </w:rPr>
        <w:t>Energy Savings Assistance</w:t>
      </w:r>
      <w:r w:rsidR="00B51C11">
        <w:rPr>
          <w:szCs w:val="26"/>
        </w:rPr>
        <w:t xml:space="preserve"> (</w:t>
      </w:r>
      <w:r w:rsidRPr="00B171D3">
        <w:rPr>
          <w:szCs w:val="26"/>
        </w:rPr>
        <w:t>ESA</w:t>
      </w:r>
      <w:r w:rsidR="00B51C11">
        <w:rPr>
          <w:szCs w:val="26"/>
        </w:rPr>
        <w:t>)</w:t>
      </w:r>
      <w:r w:rsidRPr="00B171D3">
        <w:rPr>
          <w:szCs w:val="26"/>
        </w:rPr>
        <w:t xml:space="preserve">, California Alternate Rates for Energy (CARE) and Family Electric Rate Assistance (FERA) data to be referenced.  This online data management system </w:t>
      </w:r>
      <w:r w:rsidR="00C42A28">
        <w:rPr>
          <w:szCs w:val="26"/>
        </w:rPr>
        <w:t>will</w:t>
      </w:r>
      <w:r w:rsidRPr="00B171D3" w:rsidR="00C42A28">
        <w:rPr>
          <w:szCs w:val="26"/>
        </w:rPr>
        <w:t xml:space="preserve"> </w:t>
      </w:r>
      <w:r w:rsidRPr="00B171D3">
        <w:rPr>
          <w:szCs w:val="26"/>
        </w:rPr>
        <w:t xml:space="preserve">be updated on </w:t>
      </w:r>
      <w:r w:rsidRPr="00B171D3">
        <w:rPr>
          <w:szCs w:val="26"/>
        </w:rPr>
        <w:lastRenderedPageBreak/>
        <w:t xml:space="preserve">an annual basis </w:t>
      </w:r>
      <w:r w:rsidRPr="3776745C" w:rsidR="00F31697">
        <w:rPr>
          <w:rFonts w:eastAsia="Calibri"/>
        </w:rPr>
        <w:t xml:space="preserve">beginning no later than December 31, </w:t>
      </w:r>
      <w:proofErr w:type="gramStart"/>
      <w:r w:rsidRPr="3776745C" w:rsidR="00F31697">
        <w:rPr>
          <w:rFonts w:eastAsia="Calibri"/>
        </w:rPr>
        <w:t>2023</w:t>
      </w:r>
      <w:proofErr w:type="gramEnd"/>
      <w:r w:rsidRPr="3776745C" w:rsidR="00F31697">
        <w:rPr>
          <w:rFonts w:eastAsia="Calibri"/>
        </w:rPr>
        <w:t xml:space="preserve"> </w:t>
      </w:r>
      <w:r w:rsidRPr="00B171D3">
        <w:rPr>
          <w:szCs w:val="26"/>
        </w:rPr>
        <w:t>and allow users to access at least 10 years of historical</w:t>
      </w:r>
      <w:r w:rsidRPr="002B3FD5">
        <w:rPr>
          <w:szCs w:val="26"/>
        </w:rPr>
        <w:t xml:space="preserve"> </w:t>
      </w:r>
      <w:r w:rsidRPr="00B171D3">
        <w:rPr>
          <w:szCs w:val="26"/>
        </w:rPr>
        <w:t xml:space="preserve">ESA, CARE and FERA data.   </w:t>
      </w:r>
    </w:p>
    <w:p w:rsidRPr="00B171D3" w:rsidR="000C1980" w:rsidP="00815B6D" w:rsidRDefault="00BA4D31" w14:paraId="5F675036" w14:textId="7BDFF430">
      <w:pPr>
        <w:pStyle w:val="OP"/>
        <w:numPr>
          <w:ilvl w:val="0"/>
          <w:numId w:val="24"/>
        </w:numPr>
        <w:tabs>
          <w:tab w:val="left" w:pos="990"/>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 </w:t>
      </w:r>
      <w:r>
        <w:rPr>
          <w:szCs w:val="26"/>
        </w:rPr>
        <w:t>must</w:t>
      </w:r>
      <w:r w:rsidRPr="0094315B">
        <w:rPr>
          <w:szCs w:val="26"/>
        </w:rPr>
        <w:t xml:space="preserve"> </w:t>
      </w:r>
      <w:r w:rsidRPr="00B171D3">
        <w:rPr>
          <w:szCs w:val="26"/>
        </w:rPr>
        <w:t xml:space="preserve">file a joint Tier 2 advice letter by no later than </w:t>
      </w:r>
      <w:r w:rsidR="00023335">
        <w:rPr>
          <w:szCs w:val="26"/>
        </w:rPr>
        <w:t>120</w:t>
      </w:r>
      <w:r w:rsidRPr="00B171D3" w:rsidR="00023335">
        <w:rPr>
          <w:szCs w:val="26"/>
        </w:rPr>
        <w:t xml:space="preserve"> </w:t>
      </w:r>
      <w:r w:rsidRPr="00B171D3">
        <w:rPr>
          <w:szCs w:val="26"/>
        </w:rPr>
        <w:t xml:space="preserve">days after the </w:t>
      </w:r>
      <w:r w:rsidRPr="00C47214" w:rsidR="001F06E9">
        <w:t xml:space="preserve">approval </w:t>
      </w:r>
      <w:r w:rsidRPr="00B171D3">
        <w:rPr>
          <w:szCs w:val="26"/>
        </w:rPr>
        <w:t xml:space="preserve">of this decision detailing </w:t>
      </w:r>
      <w:r>
        <w:rPr>
          <w:szCs w:val="26"/>
        </w:rPr>
        <w:t>each Utility’s</w:t>
      </w:r>
      <w:r w:rsidRPr="00B171D3">
        <w:rPr>
          <w:szCs w:val="26"/>
        </w:rPr>
        <w:t xml:space="preserve"> respective plan for this online data management and visualization dashboard. The Tier 2 advice letter must contain the information as detailed in this decision</w:t>
      </w:r>
      <w:r w:rsidRPr="00B171D3" w:rsidR="000C1980">
        <w:rPr>
          <w:szCs w:val="26"/>
        </w:rPr>
        <w:t xml:space="preserve">. </w:t>
      </w:r>
    </w:p>
    <w:p w:rsidRPr="00B171D3" w:rsidR="000C1980" w:rsidP="00815B6D" w:rsidRDefault="009A2EA4" w14:paraId="197D0043" w14:textId="59A7BEEF">
      <w:pPr>
        <w:pStyle w:val="OP"/>
        <w:numPr>
          <w:ilvl w:val="0"/>
          <w:numId w:val="24"/>
        </w:numPr>
        <w:tabs>
          <w:tab w:val="left" w:pos="990"/>
          <w:tab w:val="left" w:pos="1170"/>
        </w:tabs>
        <w:ind w:left="0" w:firstLine="547"/>
        <w:rPr>
          <w:szCs w:val="26"/>
        </w:rPr>
      </w:pPr>
      <w:r w:rsidRPr="00B171D3">
        <w:rPr>
          <w:szCs w:val="26"/>
        </w:rPr>
        <w:t xml:space="preserve">Pacific Gas and Electric Company, Southern California Edison Company, San Diego Gas &amp; Electric Company and Southern California Gas Company </w:t>
      </w:r>
      <w:r>
        <w:rPr>
          <w:szCs w:val="26"/>
        </w:rPr>
        <w:t>must</w:t>
      </w:r>
      <w:r w:rsidRPr="0094315B">
        <w:rPr>
          <w:szCs w:val="26"/>
        </w:rPr>
        <w:t xml:space="preserve"> </w:t>
      </w:r>
      <w:r>
        <w:rPr>
          <w:szCs w:val="26"/>
        </w:rPr>
        <w:t xml:space="preserve">each </w:t>
      </w:r>
      <w:r w:rsidRPr="00B171D3">
        <w:rPr>
          <w:szCs w:val="26"/>
        </w:rPr>
        <w:t xml:space="preserve">continue to issue its monthly and annual </w:t>
      </w:r>
      <w:r w:rsidRPr="00A65A5E">
        <w:rPr>
          <w:szCs w:val="26"/>
        </w:rPr>
        <w:t xml:space="preserve">Energy Savings Assistance </w:t>
      </w:r>
      <w:r>
        <w:rPr>
          <w:szCs w:val="26"/>
        </w:rPr>
        <w:t>(</w:t>
      </w:r>
      <w:r w:rsidRPr="00B171D3">
        <w:rPr>
          <w:szCs w:val="26"/>
        </w:rPr>
        <w:t xml:space="preserve">ESA), California Alternate Rates for Energy (CARE) and Family Electric Rate Assistance (FERA) reports in PDF and </w:t>
      </w:r>
      <w:r>
        <w:rPr>
          <w:szCs w:val="26"/>
        </w:rPr>
        <w:t>spreadsheet</w:t>
      </w:r>
      <w:r w:rsidRPr="00B171D3">
        <w:rPr>
          <w:szCs w:val="26"/>
        </w:rPr>
        <w:t xml:space="preserve"> format </w:t>
      </w:r>
      <w:r>
        <w:rPr>
          <w:szCs w:val="26"/>
        </w:rPr>
        <w:t xml:space="preserve">and send it to </w:t>
      </w:r>
      <w:r w:rsidRPr="00B171D3">
        <w:rPr>
          <w:szCs w:val="26"/>
        </w:rPr>
        <w:t>the service lists</w:t>
      </w:r>
      <w:r>
        <w:rPr>
          <w:szCs w:val="26"/>
        </w:rPr>
        <w:t xml:space="preserve"> of the appropriate proceedings</w:t>
      </w:r>
      <w:r w:rsidRPr="00B171D3">
        <w:rPr>
          <w:szCs w:val="26"/>
        </w:rPr>
        <w:t xml:space="preserve"> during and after construction of the online data management and visualization dashboard.  If </w:t>
      </w:r>
      <w:r>
        <w:rPr>
          <w:szCs w:val="26"/>
        </w:rPr>
        <w:t>the</w:t>
      </w:r>
      <w:r w:rsidRPr="00B171D3">
        <w:rPr>
          <w:szCs w:val="26"/>
        </w:rPr>
        <w:t xml:space="preserve"> Utilities or Energy Division determines that the online data management and visualization dashboard could replace the need for </w:t>
      </w:r>
      <w:r>
        <w:rPr>
          <w:szCs w:val="26"/>
        </w:rPr>
        <w:t>spreadsheets</w:t>
      </w:r>
      <w:r w:rsidRPr="00FA7826">
        <w:rPr>
          <w:szCs w:val="26"/>
        </w:rPr>
        <w:t xml:space="preserve"> </w:t>
      </w:r>
      <w:r w:rsidRPr="00B171D3">
        <w:rPr>
          <w:szCs w:val="26"/>
        </w:rPr>
        <w:t xml:space="preserve">and </w:t>
      </w:r>
      <w:r>
        <w:rPr>
          <w:szCs w:val="26"/>
        </w:rPr>
        <w:t>PDF</w:t>
      </w:r>
      <w:r w:rsidRPr="00B171D3">
        <w:rPr>
          <w:szCs w:val="26"/>
        </w:rPr>
        <w:t xml:space="preserve"> reports, the </w:t>
      </w:r>
      <w:r>
        <w:rPr>
          <w:szCs w:val="26"/>
        </w:rPr>
        <w:t>Utilities must</w:t>
      </w:r>
      <w:r w:rsidRPr="00B171D3">
        <w:rPr>
          <w:szCs w:val="26"/>
        </w:rPr>
        <w:t xml:space="preserve"> file a Tier 2 advice letter requesting that the annual data reporting medium and process for the ESA, CARE and FERA program</w:t>
      </w:r>
      <w:r>
        <w:rPr>
          <w:szCs w:val="26"/>
        </w:rPr>
        <w:t>s</w:t>
      </w:r>
      <w:r w:rsidRPr="00B171D3">
        <w:rPr>
          <w:szCs w:val="26"/>
        </w:rPr>
        <w:t xml:space="preserve"> be updated</w:t>
      </w:r>
      <w:r>
        <w:rPr>
          <w:szCs w:val="26"/>
        </w:rPr>
        <w:t xml:space="preserve"> to reflect this change</w:t>
      </w:r>
      <w:r w:rsidRPr="00B171D3" w:rsidR="000C1980">
        <w:rPr>
          <w:szCs w:val="26"/>
        </w:rPr>
        <w:t xml:space="preserve">. </w:t>
      </w:r>
    </w:p>
    <w:p w:rsidRPr="00B171D3" w:rsidR="000C1980" w:rsidP="00815B6D" w:rsidRDefault="000C1980" w14:paraId="6B7FB93E" w14:textId="77777777">
      <w:pPr>
        <w:pStyle w:val="OP"/>
        <w:numPr>
          <w:ilvl w:val="0"/>
          <w:numId w:val="24"/>
        </w:numPr>
        <w:tabs>
          <w:tab w:val="left" w:pos="990"/>
          <w:tab w:val="left" w:pos="1170"/>
        </w:tabs>
        <w:ind w:left="0" w:firstLine="547"/>
        <w:rPr>
          <w:szCs w:val="26"/>
        </w:rPr>
      </w:pPr>
      <w:r w:rsidRPr="00B171D3">
        <w:rPr>
          <w:szCs w:val="26"/>
        </w:rPr>
        <w:t>The Annual California Alternate Rates for Energy Eligibility Report filing date is extended to February 12 of each year for the current year.</w:t>
      </w:r>
    </w:p>
    <w:p w:rsidRPr="00B11AAF" w:rsidR="000C1980" w:rsidP="00815B6D" w:rsidRDefault="00E17563" w14:paraId="1DF2747D" w14:textId="40D91B13">
      <w:pPr>
        <w:pStyle w:val="OP"/>
        <w:numPr>
          <w:ilvl w:val="0"/>
          <w:numId w:val="24"/>
        </w:numPr>
        <w:tabs>
          <w:tab w:val="left" w:pos="990"/>
          <w:tab w:val="left" w:pos="1170"/>
        </w:tabs>
        <w:ind w:left="0" w:firstLine="547"/>
        <w:rPr>
          <w:szCs w:val="26"/>
        </w:rPr>
      </w:pPr>
      <w:r w:rsidRPr="00B171D3">
        <w:rPr>
          <w:szCs w:val="26"/>
        </w:rPr>
        <w:t>Pacific Gas and Electric Company, Southern California Edison Company, San Diego Gas &amp; Electric Company and Southern California Gas Company’s leveraging plans and activities with water agencies are approved.  The Utilities</w:t>
      </w:r>
      <w:r>
        <w:rPr>
          <w:szCs w:val="26"/>
        </w:rPr>
        <w:t xml:space="preserve"> must</w:t>
      </w:r>
      <w:r w:rsidRPr="009E5C04">
        <w:rPr>
          <w:szCs w:val="26"/>
        </w:rPr>
        <w:t xml:space="preserve"> continue these relationships, particularly if new water-related </w:t>
      </w:r>
      <w:r w:rsidRPr="009E5C04">
        <w:rPr>
          <w:szCs w:val="26"/>
        </w:rPr>
        <w:lastRenderedPageBreak/>
        <w:t>measures and technologies can be added to the E</w:t>
      </w:r>
      <w:r>
        <w:rPr>
          <w:szCs w:val="26"/>
        </w:rPr>
        <w:t xml:space="preserve">nergy </w:t>
      </w:r>
      <w:r w:rsidRPr="009E5C04">
        <w:rPr>
          <w:szCs w:val="26"/>
        </w:rPr>
        <w:t>S</w:t>
      </w:r>
      <w:r>
        <w:rPr>
          <w:szCs w:val="26"/>
        </w:rPr>
        <w:t xml:space="preserve">avings </w:t>
      </w:r>
      <w:r w:rsidRPr="009E5C04">
        <w:rPr>
          <w:szCs w:val="26"/>
        </w:rPr>
        <w:t>A</w:t>
      </w:r>
      <w:r>
        <w:rPr>
          <w:szCs w:val="26"/>
        </w:rPr>
        <w:t>ssistance</w:t>
      </w:r>
      <w:r w:rsidRPr="009E5C04">
        <w:rPr>
          <w:szCs w:val="26"/>
        </w:rPr>
        <w:t xml:space="preserve"> program given the new measure flexibility rules adopted in this decision and conduct no-cost / low-cost campaigns to include informatio</w:t>
      </w:r>
      <w:r w:rsidRPr="00B11AAF">
        <w:rPr>
          <w:szCs w:val="26"/>
        </w:rPr>
        <w:t xml:space="preserve">n about </w:t>
      </w:r>
      <w:proofErr w:type="gramStart"/>
      <w:r w:rsidRPr="00B11AAF">
        <w:rPr>
          <w:szCs w:val="26"/>
        </w:rPr>
        <w:t>low income</w:t>
      </w:r>
      <w:proofErr w:type="gramEnd"/>
      <w:r w:rsidRPr="00B11AAF">
        <w:rPr>
          <w:szCs w:val="26"/>
        </w:rPr>
        <w:t xml:space="preserve"> water programs in their existing marketing, education, and outreach efforts</w:t>
      </w:r>
      <w:r w:rsidRPr="00B11AAF" w:rsidR="000C1980">
        <w:rPr>
          <w:szCs w:val="26"/>
        </w:rPr>
        <w:t xml:space="preserve">. </w:t>
      </w:r>
    </w:p>
    <w:p w:rsidRPr="00581F69" w:rsidR="000C1980" w:rsidP="00815B6D" w:rsidRDefault="000C1980" w14:paraId="320DFC2F" w14:textId="4AF22FFF">
      <w:pPr>
        <w:pStyle w:val="OP"/>
        <w:numPr>
          <w:ilvl w:val="0"/>
          <w:numId w:val="24"/>
        </w:numPr>
        <w:tabs>
          <w:tab w:val="left" w:pos="990"/>
          <w:tab w:val="left" w:pos="1170"/>
        </w:tabs>
        <w:ind w:left="0" w:firstLine="547"/>
        <w:rPr>
          <w:szCs w:val="26"/>
        </w:rPr>
      </w:pPr>
      <w:r w:rsidRPr="00B91B69">
        <w:rPr>
          <w:szCs w:val="26"/>
        </w:rPr>
        <w:t xml:space="preserve">The definition of “Tribal communities,” for the purposes of the </w:t>
      </w:r>
      <w:r w:rsidRPr="00A65A5E">
        <w:rPr>
          <w:szCs w:val="26"/>
        </w:rPr>
        <w:t xml:space="preserve">Energy Savings Assistance </w:t>
      </w:r>
      <w:r w:rsidRPr="00AA1EAC">
        <w:rPr>
          <w:szCs w:val="26"/>
        </w:rPr>
        <w:t>program,</w:t>
      </w:r>
      <w:r w:rsidRPr="00B171D3">
        <w:rPr>
          <w:szCs w:val="26"/>
        </w:rPr>
        <w:t xml:space="preserve"> </w:t>
      </w:r>
      <w:r w:rsidR="00DF7068">
        <w:rPr>
          <w:szCs w:val="26"/>
        </w:rPr>
        <w:t>will</w:t>
      </w:r>
      <w:r w:rsidRPr="00B171D3" w:rsidR="00DF7068">
        <w:rPr>
          <w:szCs w:val="26"/>
        </w:rPr>
        <w:t xml:space="preserve"> </w:t>
      </w:r>
      <w:r w:rsidRPr="00B171D3">
        <w:rPr>
          <w:szCs w:val="26"/>
        </w:rPr>
        <w:t>be consistent with the Commission’s Tribal Consultation Policy, where the terms “tribes” and “</w:t>
      </w:r>
      <w:r w:rsidR="0013238C">
        <w:rPr>
          <w:szCs w:val="26"/>
        </w:rPr>
        <w:t>T</w:t>
      </w:r>
      <w:r w:rsidRPr="0013238C">
        <w:rPr>
          <w:szCs w:val="26"/>
        </w:rPr>
        <w:t xml:space="preserve">ribal governments” refer to elected officials and other representatives of </w:t>
      </w:r>
      <w:proofErr w:type="gramStart"/>
      <w:r w:rsidRPr="0013238C">
        <w:rPr>
          <w:szCs w:val="26"/>
        </w:rPr>
        <w:t>federally-recognized</w:t>
      </w:r>
      <w:proofErr w:type="gramEnd"/>
      <w:r w:rsidRPr="0013238C">
        <w:rPr>
          <w:szCs w:val="26"/>
        </w:rPr>
        <w:t xml:space="preserve"> Tribes and other California Native Americans.</w:t>
      </w:r>
    </w:p>
    <w:p w:rsidRPr="00B11AAF" w:rsidR="000C1980" w:rsidP="00815B6D" w:rsidRDefault="000C1980" w14:paraId="5D9075B5" w14:textId="7FB1FF6D">
      <w:pPr>
        <w:pStyle w:val="OP"/>
        <w:numPr>
          <w:ilvl w:val="0"/>
          <w:numId w:val="24"/>
        </w:numPr>
        <w:tabs>
          <w:tab w:val="left" w:pos="990"/>
          <w:tab w:val="left" w:pos="1170"/>
        </w:tabs>
        <w:ind w:left="0" w:firstLine="547"/>
        <w:rPr>
          <w:szCs w:val="26"/>
        </w:rPr>
      </w:pPr>
      <w:r w:rsidRPr="00581F69">
        <w:rPr>
          <w:szCs w:val="26"/>
        </w:rPr>
        <w:t>Pacific Gas and Electric Company, Southern California Edison Company,</w:t>
      </w:r>
      <w:r w:rsidRPr="005E3B9A">
        <w:rPr>
          <w:szCs w:val="26"/>
        </w:rPr>
        <w:t xml:space="preserve"> San Diego Gas &amp; Electric Company and Southern Cal</w:t>
      </w:r>
      <w:r w:rsidRPr="006E54B7">
        <w:rPr>
          <w:szCs w:val="26"/>
        </w:rPr>
        <w:t xml:space="preserve">ifornia Gas Company </w:t>
      </w:r>
      <w:r w:rsidR="00DF7068">
        <w:rPr>
          <w:szCs w:val="26"/>
        </w:rPr>
        <w:t>must</w:t>
      </w:r>
      <w:r w:rsidRPr="00DF7068" w:rsidR="00DF7068">
        <w:rPr>
          <w:szCs w:val="26"/>
        </w:rPr>
        <w:t xml:space="preserve"> </w:t>
      </w:r>
      <w:r w:rsidRPr="00DF7068">
        <w:rPr>
          <w:szCs w:val="26"/>
        </w:rPr>
        <w:t>continue outreach to Tribes located in California and Utility service territor</w:t>
      </w:r>
      <w:r w:rsidRPr="00B11AAF">
        <w:rPr>
          <w:szCs w:val="26"/>
        </w:rPr>
        <w:t>ies, with or without federal recognition.  The Utilities’</w:t>
      </w:r>
      <w:r w:rsidRPr="001F7F7A">
        <w:rPr>
          <w:szCs w:val="26"/>
        </w:rPr>
        <w:t xml:space="preserve"> </w:t>
      </w:r>
      <w:r w:rsidR="00DF7068">
        <w:rPr>
          <w:szCs w:val="26"/>
        </w:rPr>
        <w:t>must</w:t>
      </w:r>
      <w:r w:rsidRPr="00DF7068" w:rsidR="00DF7068">
        <w:rPr>
          <w:szCs w:val="26"/>
        </w:rPr>
        <w:t xml:space="preserve"> </w:t>
      </w:r>
      <w:r w:rsidRPr="00DF7068">
        <w:rPr>
          <w:szCs w:val="26"/>
        </w:rPr>
        <w:t>adhere to any consultation or outreach requ</w:t>
      </w:r>
      <w:r w:rsidRPr="00B11AAF">
        <w:rPr>
          <w:szCs w:val="26"/>
        </w:rPr>
        <w:t>irements as part of the Commission’s Tribal Consultation Policy</w:t>
      </w:r>
      <w:r w:rsidRPr="001F7F7A">
        <w:rPr>
          <w:szCs w:val="26"/>
        </w:rPr>
        <w:t xml:space="preserve"> and </w:t>
      </w:r>
      <w:r w:rsidR="00DF7068">
        <w:rPr>
          <w:szCs w:val="26"/>
        </w:rPr>
        <w:t>must</w:t>
      </w:r>
      <w:r w:rsidRPr="00DF7068" w:rsidR="00DF7068">
        <w:rPr>
          <w:szCs w:val="26"/>
        </w:rPr>
        <w:t xml:space="preserve"> </w:t>
      </w:r>
      <w:r w:rsidRPr="00DF7068">
        <w:rPr>
          <w:szCs w:val="26"/>
        </w:rPr>
        <w:t>contact each tribe and/or conduct individual meetings with Tribes in their territory at least once every 6 </w:t>
      </w:r>
      <w:r w:rsidRPr="00C82C0F">
        <w:rPr>
          <w:szCs w:val="26"/>
        </w:rPr>
        <w:t>months.</w:t>
      </w:r>
    </w:p>
    <w:p w:rsidRPr="003B750A" w:rsidR="000C1980" w:rsidP="00815B6D" w:rsidRDefault="000C1980" w14:paraId="0A008A68" w14:textId="43D016BF">
      <w:pPr>
        <w:pStyle w:val="OP"/>
        <w:numPr>
          <w:ilvl w:val="0"/>
          <w:numId w:val="24"/>
        </w:numPr>
        <w:tabs>
          <w:tab w:val="left" w:pos="990"/>
          <w:tab w:val="left" w:pos="1170"/>
        </w:tabs>
        <w:ind w:left="0" w:firstLine="547"/>
        <w:rPr>
          <w:szCs w:val="26"/>
        </w:rPr>
      </w:pPr>
      <w:r w:rsidRPr="00B11AAF">
        <w:rPr>
          <w:szCs w:val="26"/>
        </w:rPr>
        <w:t xml:space="preserve">Pacific Gas and Electric Company, Southern California Edison Company, San Diego Gas &amp; Electric Company and Southern California Gas Company </w:t>
      </w:r>
      <w:r w:rsidR="00C82C0F">
        <w:rPr>
          <w:szCs w:val="26"/>
        </w:rPr>
        <w:t>must</w:t>
      </w:r>
      <w:r w:rsidRPr="00C82C0F" w:rsidR="00C82C0F">
        <w:rPr>
          <w:szCs w:val="26"/>
        </w:rPr>
        <w:t xml:space="preserve"> </w:t>
      </w:r>
      <w:r w:rsidRPr="00C82C0F">
        <w:rPr>
          <w:szCs w:val="26"/>
        </w:rPr>
        <w:t>strive to maintain at least two</w:t>
      </w:r>
      <w:r w:rsidRPr="00B11AAF">
        <w:rPr>
          <w:szCs w:val="26"/>
        </w:rPr>
        <w:t xml:space="preserve"> Tribal contacts for each Tribe and consider a public facing system where Tribal contact info</w:t>
      </w:r>
      <w:r w:rsidRPr="001F7F7A">
        <w:rPr>
          <w:szCs w:val="26"/>
        </w:rPr>
        <w:t>rmation</w:t>
      </w:r>
      <w:r w:rsidRPr="005078BD">
        <w:rPr>
          <w:szCs w:val="26"/>
        </w:rPr>
        <w:t xml:space="preserve"> is available to all Tribal members and the pub</w:t>
      </w:r>
      <w:r w:rsidRPr="003B750A">
        <w:rPr>
          <w:szCs w:val="26"/>
        </w:rPr>
        <w:t xml:space="preserve">lic statewide. </w:t>
      </w:r>
    </w:p>
    <w:p w:rsidRPr="00B11AAF" w:rsidR="000C1980" w:rsidP="00815B6D" w:rsidRDefault="000C1980" w14:paraId="51CA6F9A" w14:textId="5FEC04CB">
      <w:pPr>
        <w:pStyle w:val="OP"/>
        <w:numPr>
          <w:ilvl w:val="0"/>
          <w:numId w:val="24"/>
        </w:numPr>
        <w:tabs>
          <w:tab w:val="left" w:pos="990"/>
          <w:tab w:val="left" w:pos="1170"/>
        </w:tabs>
        <w:ind w:left="0" w:firstLine="547"/>
        <w:rPr>
          <w:szCs w:val="26"/>
        </w:rPr>
      </w:pPr>
      <w:r w:rsidRPr="009F4133">
        <w:rPr>
          <w:szCs w:val="26"/>
        </w:rPr>
        <w:t xml:space="preserve">Pacific Gas and Electric Company, Southern California Edison Company, San Diego Gas &amp; Electric Company and Southern California Gas Company </w:t>
      </w:r>
      <w:r w:rsidR="00C82C0F">
        <w:rPr>
          <w:szCs w:val="26"/>
        </w:rPr>
        <w:t>must</w:t>
      </w:r>
      <w:r w:rsidRPr="00C82C0F" w:rsidR="00C82C0F">
        <w:rPr>
          <w:szCs w:val="26"/>
        </w:rPr>
        <w:t xml:space="preserve"> </w:t>
      </w:r>
      <w:r w:rsidRPr="00C82C0F">
        <w:rPr>
          <w:szCs w:val="26"/>
        </w:rPr>
        <w:t xml:space="preserve">offer </w:t>
      </w:r>
      <w:proofErr w:type="gramStart"/>
      <w:r w:rsidRPr="00C82C0F">
        <w:rPr>
          <w:szCs w:val="26"/>
        </w:rPr>
        <w:t>mini-grants</w:t>
      </w:r>
      <w:proofErr w:type="gramEnd"/>
      <w:r w:rsidRPr="00C82C0F">
        <w:rPr>
          <w:szCs w:val="26"/>
        </w:rPr>
        <w:t xml:space="preserve"> to those </w:t>
      </w:r>
      <w:r w:rsidRPr="00B11AAF">
        <w:rPr>
          <w:szCs w:val="26"/>
        </w:rPr>
        <w:t>point persons at the Tribe maintaining regular communications with the Utilities</w:t>
      </w:r>
      <w:r w:rsidRPr="001F7F7A">
        <w:rPr>
          <w:szCs w:val="26"/>
        </w:rPr>
        <w:t xml:space="preserve"> and assisting in outreach for </w:t>
      </w:r>
      <w:r w:rsidRPr="00A65A5E">
        <w:rPr>
          <w:szCs w:val="26"/>
        </w:rPr>
        <w:t>Energy Savings Assistance</w:t>
      </w:r>
      <w:r w:rsidRPr="00AA1EAC">
        <w:rPr>
          <w:szCs w:val="26"/>
        </w:rPr>
        <w:t xml:space="preserve"> and </w:t>
      </w:r>
      <w:r w:rsidRPr="00B92E50">
        <w:rPr>
          <w:szCs w:val="26"/>
        </w:rPr>
        <w:t>California Alternate Rates for Energy</w:t>
      </w:r>
      <w:r w:rsidR="00727099">
        <w:rPr>
          <w:szCs w:val="26"/>
        </w:rPr>
        <w:t xml:space="preserve"> programs</w:t>
      </w:r>
      <w:r w:rsidRPr="00B51C11">
        <w:rPr>
          <w:szCs w:val="26"/>
        </w:rPr>
        <w:t xml:space="preserve">.  The </w:t>
      </w:r>
      <w:r w:rsidRPr="00B51C11">
        <w:rPr>
          <w:szCs w:val="26"/>
        </w:rPr>
        <w:lastRenderedPageBreak/>
        <w:t xml:space="preserve">Utilities have flexibility in determining </w:t>
      </w:r>
      <w:r w:rsidRPr="0094315B">
        <w:rPr>
          <w:szCs w:val="26"/>
        </w:rPr>
        <w:t xml:space="preserve">the </w:t>
      </w:r>
      <w:r w:rsidRPr="00644A49">
        <w:rPr>
          <w:szCs w:val="26"/>
        </w:rPr>
        <w:t xml:space="preserve">specific </w:t>
      </w:r>
      <w:r w:rsidRPr="00C82C0F">
        <w:rPr>
          <w:szCs w:val="26"/>
        </w:rPr>
        <w:t>outreach and appropriate grant level, with the grants to be funded through each Utility’s respective existing marketing, education and outreach</w:t>
      </w:r>
      <w:r w:rsidRPr="00727099">
        <w:rPr>
          <w:szCs w:val="26"/>
        </w:rPr>
        <w:t xml:space="preserve"> budgets</w:t>
      </w:r>
      <w:r w:rsidRPr="00FC02B8">
        <w:rPr>
          <w:szCs w:val="26"/>
        </w:rPr>
        <w:t xml:space="preserve"> approved in this decision</w:t>
      </w:r>
      <w:r w:rsidRPr="00B11AAF">
        <w:rPr>
          <w:szCs w:val="26"/>
        </w:rPr>
        <w:t>.</w:t>
      </w:r>
    </w:p>
    <w:p w:rsidRPr="00FC02B8" w:rsidR="000C1980" w:rsidP="00815B6D" w:rsidRDefault="000C1980" w14:paraId="5E284D25" w14:textId="2CD60125">
      <w:pPr>
        <w:pStyle w:val="OP"/>
        <w:numPr>
          <w:ilvl w:val="0"/>
          <w:numId w:val="24"/>
        </w:numPr>
        <w:tabs>
          <w:tab w:val="left" w:pos="990"/>
          <w:tab w:val="left" w:pos="1170"/>
        </w:tabs>
        <w:ind w:left="0" w:firstLine="547"/>
        <w:rPr>
          <w:szCs w:val="26"/>
        </w:rPr>
      </w:pPr>
      <w:r w:rsidRPr="00B11AAF">
        <w:rPr>
          <w:szCs w:val="26"/>
        </w:rPr>
        <w:t xml:space="preserve">Pacific Gas and Electric Company, Southern California Edison Company, San Diego Gas &amp; Electric Company and Southern California Gas Company </w:t>
      </w:r>
      <w:r w:rsidR="00727099">
        <w:rPr>
          <w:szCs w:val="26"/>
        </w:rPr>
        <w:t>must</w:t>
      </w:r>
      <w:r w:rsidRPr="00727099" w:rsidR="00727099">
        <w:rPr>
          <w:szCs w:val="26"/>
        </w:rPr>
        <w:t xml:space="preserve"> </w:t>
      </w:r>
      <w:r w:rsidRPr="00727099">
        <w:rPr>
          <w:szCs w:val="26"/>
        </w:rPr>
        <w:t>work with Tribal communities to encourage participation in the</w:t>
      </w:r>
      <w:r w:rsidRPr="00B11AAF">
        <w:rPr>
          <w:szCs w:val="26"/>
        </w:rPr>
        <w:t xml:space="preserve"> California Alternate Rates for Energy and Family Electric Rate Assistance</w:t>
      </w:r>
      <w:r w:rsidRPr="001F7F7A">
        <w:rPr>
          <w:szCs w:val="26"/>
        </w:rPr>
        <w:t xml:space="preserve"> capitation program</w:t>
      </w:r>
      <w:r w:rsidR="00727099">
        <w:rPr>
          <w:szCs w:val="26"/>
        </w:rPr>
        <w:t>s</w:t>
      </w:r>
      <w:r w:rsidRPr="00727099">
        <w:rPr>
          <w:szCs w:val="26"/>
        </w:rPr>
        <w:t>.</w:t>
      </w:r>
    </w:p>
    <w:p w:rsidRPr="0013238C" w:rsidR="000C1980" w:rsidP="00815B6D" w:rsidRDefault="00C0422F" w14:paraId="4B247B5A" w14:textId="2F5BCAC5">
      <w:pPr>
        <w:pStyle w:val="OP"/>
        <w:numPr>
          <w:ilvl w:val="0"/>
          <w:numId w:val="24"/>
        </w:numPr>
        <w:tabs>
          <w:tab w:val="left" w:pos="990"/>
          <w:tab w:val="left" w:pos="1170"/>
        </w:tabs>
        <w:ind w:left="0" w:firstLine="547"/>
        <w:rPr>
          <w:szCs w:val="26"/>
        </w:rPr>
      </w:pPr>
      <w:r w:rsidRPr="00B11AAF">
        <w:rPr>
          <w:szCs w:val="26"/>
        </w:rPr>
        <w:t xml:space="preserve">Pacific Gas and Electric Company, Southern California Edison Company, San Diego Gas &amp; Electric Company and Southern California Gas Company </w:t>
      </w:r>
      <w:r>
        <w:rPr>
          <w:szCs w:val="26"/>
        </w:rPr>
        <w:t>must each</w:t>
      </w:r>
      <w:r w:rsidRPr="00727099">
        <w:rPr>
          <w:szCs w:val="26"/>
        </w:rPr>
        <w:t xml:space="preserve"> report on its </w:t>
      </w:r>
      <w:r w:rsidRPr="00FC02B8">
        <w:rPr>
          <w:szCs w:val="26"/>
        </w:rPr>
        <w:t xml:space="preserve">Tribal outreach efforts </w:t>
      </w:r>
      <w:r w:rsidRPr="00B11AAF">
        <w:rPr>
          <w:szCs w:val="26"/>
        </w:rPr>
        <w:t xml:space="preserve">in the monthly and annual reports (per the reporting template to be developed and issued by Energy Division staff), as well as during the quarterly </w:t>
      </w:r>
      <w:r w:rsidRPr="001F7F7A">
        <w:rPr>
          <w:szCs w:val="26"/>
        </w:rPr>
        <w:t>L</w:t>
      </w:r>
      <w:r w:rsidRPr="005078BD">
        <w:rPr>
          <w:szCs w:val="26"/>
        </w:rPr>
        <w:t xml:space="preserve">ow </w:t>
      </w:r>
      <w:r w:rsidRPr="003B750A">
        <w:rPr>
          <w:szCs w:val="26"/>
        </w:rPr>
        <w:t xml:space="preserve">Income </w:t>
      </w:r>
      <w:r w:rsidRPr="00B86AE4">
        <w:rPr>
          <w:szCs w:val="26"/>
        </w:rPr>
        <w:t xml:space="preserve">Oversight </w:t>
      </w:r>
      <w:r w:rsidRPr="009F4133">
        <w:rPr>
          <w:szCs w:val="26"/>
        </w:rPr>
        <w:t>B</w:t>
      </w:r>
      <w:r w:rsidRPr="00775B92">
        <w:rPr>
          <w:szCs w:val="26"/>
        </w:rPr>
        <w:t>oard</w:t>
      </w:r>
      <w:r w:rsidRPr="00D75AC7">
        <w:rPr>
          <w:szCs w:val="26"/>
        </w:rPr>
        <w:t xml:space="preserve"> and subcommittee meetings</w:t>
      </w:r>
      <w:r w:rsidRPr="00D75AC7" w:rsidR="000C1980">
        <w:rPr>
          <w:szCs w:val="26"/>
        </w:rPr>
        <w:t>.</w:t>
      </w:r>
      <w:r w:rsidRPr="0099018E" w:rsidR="000C1980">
        <w:rPr>
          <w:szCs w:val="26"/>
        </w:rPr>
        <w:t xml:space="preserve"> </w:t>
      </w:r>
    </w:p>
    <w:p w:rsidR="00D96057" w:rsidP="00815B6D" w:rsidRDefault="00D96057" w14:paraId="15937B8E" w14:textId="77777777">
      <w:pPr>
        <w:pStyle w:val="OP"/>
        <w:numPr>
          <w:ilvl w:val="0"/>
          <w:numId w:val="24"/>
        </w:numPr>
        <w:tabs>
          <w:tab w:val="left" w:pos="990"/>
          <w:tab w:val="left" w:pos="1170"/>
        </w:tabs>
        <w:ind w:left="0" w:firstLine="547"/>
        <w:rPr>
          <w:szCs w:val="26"/>
        </w:rPr>
      </w:pPr>
      <w:r w:rsidRPr="00D96057">
        <w:rPr>
          <w:szCs w:val="26"/>
        </w:rPr>
        <w:t xml:space="preserve">Pacific Gas and Electric Company, Southern California Edison Company, San Diego Gas &amp; Electric Company and Southern California Gas Company must comply with all guidance and directives set forth in Attachments 1-7.   </w:t>
      </w:r>
    </w:p>
    <w:p w:rsidRPr="00B11AAF" w:rsidR="000C1980" w:rsidP="00815B6D" w:rsidRDefault="000C1980" w14:paraId="519D0FA6" w14:textId="1519B077">
      <w:pPr>
        <w:pStyle w:val="OP"/>
        <w:numPr>
          <w:ilvl w:val="0"/>
          <w:numId w:val="24"/>
        </w:numPr>
        <w:tabs>
          <w:tab w:val="left" w:pos="990"/>
          <w:tab w:val="left" w:pos="1170"/>
        </w:tabs>
        <w:ind w:left="0" w:firstLine="547"/>
        <w:rPr>
          <w:szCs w:val="26"/>
        </w:rPr>
      </w:pPr>
      <w:r w:rsidRPr="00FC02B8">
        <w:rPr>
          <w:szCs w:val="26"/>
        </w:rPr>
        <w:t>All other requests not specifically approved in this decision are hereby denied.</w:t>
      </w:r>
    </w:p>
    <w:p w:rsidRPr="00FC02B8" w:rsidR="000C1980" w:rsidP="00815B6D" w:rsidRDefault="000C1980" w14:paraId="116E38FC" w14:textId="77777777">
      <w:pPr>
        <w:pStyle w:val="OP"/>
        <w:numPr>
          <w:ilvl w:val="0"/>
          <w:numId w:val="24"/>
        </w:numPr>
        <w:tabs>
          <w:tab w:val="left" w:pos="990"/>
          <w:tab w:val="left" w:pos="1170"/>
        </w:tabs>
        <w:ind w:left="0" w:firstLine="547"/>
        <w:rPr>
          <w:szCs w:val="26"/>
        </w:rPr>
      </w:pPr>
      <w:r w:rsidRPr="00D96057">
        <w:rPr>
          <w:szCs w:val="26"/>
        </w:rPr>
        <w:t>All outstanding motions are hereby denied</w:t>
      </w:r>
      <w:r w:rsidRPr="00B827DE">
        <w:rPr>
          <w:szCs w:val="26"/>
        </w:rPr>
        <w:t>.</w:t>
      </w:r>
    </w:p>
    <w:p w:rsidRPr="001C6D65" w:rsidR="000C1980" w:rsidP="006C527B" w:rsidRDefault="000C1980" w14:paraId="4C8CE1AE" w14:textId="54DF3C97">
      <w:pPr>
        <w:pStyle w:val="OP"/>
        <w:keepNext/>
        <w:keepLines/>
        <w:numPr>
          <w:ilvl w:val="0"/>
          <w:numId w:val="24"/>
        </w:numPr>
        <w:tabs>
          <w:tab w:val="left" w:pos="990"/>
          <w:tab w:val="left" w:pos="1170"/>
        </w:tabs>
        <w:ind w:left="0" w:firstLine="547"/>
        <w:rPr>
          <w:szCs w:val="26"/>
        </w:rPr>
      </w:pPr>
      <w:r w:rsidRPr="00B11AAF">
        <w:rPr>
          <w:szCs w:val="26"/>
        </w:rPr>
        <w:lastRenderedPageBreak/>
        <w:t xml:space="preserve">Applications (A.) </w:t>
      </w:r>
      <w:r w:rsidRPr="001F7F7A">
        <w:rPr>
          <w:szCs w:val="26"/>
        </w:rPr>
        <w:t>19-11-</w:t>
      </w:r>
      <w:r w:rsidR="00655890">
        <w:rPr>
          <w:szCs w:val="26"/>
        </w:rPr>
        <w:t>003</w:t>
      </w:r>
      <w:r w:rsidRPr="005078BD">
        <w:rPr>
          <w:szCs w:val="26"/>
        </w:rPr>
        <w:t>, A.</w:t>
      </w:r>
      <w:r w:rsidRPr="003B750A">
        <w:rPr>
          <w:szCs w:val="26"/>
        </w:rPr>
        <w:t>19-11-004, A.</w:t>
      </w:r>
      <w:r w:rsidRPr="00B86AE4">
        <w:rPr>
          <w:szCs w:val="26"/>
        </w:rPr>
        <w:t xml:space="preserve"> 19-11-005, A.</w:t>
      </w:r>
      <w:r w:rsidRPr="009F4133">
        <w:rPr>
          <w:szCs w:val="26"/>
        </w:rPr>
        <w:t>19-11-006</w:t>
      </w:r>
      <w:r w:rsidRPr="00775B92">
        <w:rPr>
          <w:szCs w:val="26"/>
        </w:rPr>
        <w:t xml:space="preserve"> </w:t>
      </w:r>
      <w:r w:rsidRPr="00D75AC7">
        <w:rPr>
          <w:szCs w:val="26"/>
        </w:rPr>
        <w:t>and A.</w:t>
      </w:r>
      <w:r w:rsidRPr="0099018E">
        <w:rPr>
          <w:szCs w:val="26"/>
        </w:rPr>
        <w:t>19-11-007</w:t>
      </w:r>
      <w:r w:rsidRPr="0013238C">
        <w:rPr>
          <w:szCs w:val="26"/>
        </w:rPr>
        <w:t xml:space="preserve"> are c</w:t>
      </w:r>
      <w:r w:rsidRPr="0045033F">
        <w:rPr>
          <w:szCs w:val="26"/>
        </w:rPr>
        <w:t xml:space="preserve">losed.  </w:t>
      </w:r>
    </w:p>
    <w:p w:rsidRPr="007504FC" w:rsidR="000C1980" w:rsidP="006C527B" w:rsidRDefault="000C1980" w14:paraId="53BAAAA6" w14:textId="77777777">
      <w:pPr>
        <w:pStyle w:val="ALJBodyText"/>
        <w:keepNext/>
        <w:keepLines/>
      </w:pPr>
      <w:r w:rsidRPr="007504FC">
        <w:t>This order is effective today.</w:t>
      </w:r>
    </w:p>
    <w:p w:rsidR="000C1980" w:rsidP="006C527B" w:rsidRDefault="000C1980" w14:paraId="3B31855C" w14:textId="22DF90DD">
      <w:pPr>
        <w:pStyle w:val="ALJBodyText"/>
        <w:keepNext/>
        <w:keepLines/>
      </w:pPr>
      <w:r w:rsidRPr="007504FC">
        <w:t xml:space="preserve">Dated </w:t>
      </w:r>
      <w:r w:rsidR="006C527B">
        <w:t>June 3, 2021</w:t>
      </w:r>
      <w:r>
        <w:t>,</w:t>
      </w:r>
      <w:r w:rsidRPr="007504FC">
        <w:t xml:space="preserve"> at San Francisco, California.</w:t>
      </w:r>
    </w:p>
    <w:p w:rsidR="00714CF2" w:rsidP="006C527B" w:rsidRDefault="00714CF2" w14:paraId="70AA510D" w14:textId="37082BA7">
      <w:pPr>
        <w:keepNext/>
        <w:keepLines/>
        <w:tabs>
          <w:tab w:val="left" w:pos="5306"/>
        </w:tabs>
        <w:rPr>
          <w:rFonts w:cs="Palatino"/>
          <w:szCs w:val="26"/>
        </w:rPr>
      </w:pPr>
    </w:p>
    <w:p w:rsidRPr="00AE0DE2" w:rsidR="006C527B" w:rsidP="006C527B" w:rsidRDefault="006C527B" w14:paraId="668E0F74" w14:textId="77777777">
      <w:pPr>
        <w:keepNext/>
        <w:keepLines/>
        <w:autoSpaceDE w:val="0"/>
        <w:autoSpaceDN w:val="0"/>
        <w:adjustRightInd w:val="0"/>
        <w:ind w:left="4320"/>
        <w:jc w:val="both"/>
      </w:pPr>
      <w:bookmarkStart w:name="_Hlk17215919" w:id="793"/>
      <w:r w:rsidRPr="00AE0DE2">
        <w:t>MARYBEL BATJER</w:t>
      </w:r>
    </w:p>
    <w:p w:rsidR="006C527B" w:rsidP="006C527B" w:rsidRDefault="006C527B" w14:paraId="72F3B69F" w14:textId="77777777">
      <w:pPr>
        <w:keepNext/>
        <w:keepLines/>
        <w:autoSpaceDE w:val="0"/>
        <w:autoSpaceDN w:val="0"/>
        <w:adjustRightInd w:val="0"/>
        <w:ind w:firstLine="720"/>
        <w:jc w:val="both"/>
      </w:pPr>
      <w:r w:rsidRPr="00AE0DE2">
        <w:tab/>
      </w:r>
      <w:r w:rsidRPr="00AE0DE2">
        <w:tab/>
      </w:r>
      <w:r w:rsidRPr="00AE0DE2">
        <w:tab/>
      </w:r>
      <w:r w:rsidRPr="00AE0DE2">
        <w:tab/>
      </w:r>
      <w:r w:rsidRPr="00AE0DE2">
        <w:tab/>
        <w:t xml:space="preserve">                       President</w:t>
      </w:r>
    </w:p>
    <w:p w:rsidRPr="00AE0DE2" w:rsidR="006C527B" w:rsidP="006C527B" w:rsidRDefault="006C527B" w14:paraId="0AB1D7AB" w14:textId="77777777">
      <w:pPr>
        <w:keepNext/>
        <w:keepLines/>
        <w:autoSpaceDE w:val="0"/>
        <w:autoSpaceDN w:val="0"/>
        <w:adjustRightInd w:val="0"/>
        <w:ind w:left="4320"/>
        <w:jc w:val="both"/>
      </w:pPr>
      <w:r w:rsidRPr="00AE0DE2">
        <w:t>MARTHA GUZMAN ACEVES</w:t>
      </w:r>
    </w:p>
    <w:p w:rsidRPr="00AE0DE2" w:rsidR="006C527B" w:rsidP="006C527B" w:rsidRDefault="006C527B" w14:paraId="63AB6FCB" w14:textId="77777777">
      <w:pPr>
        <w:keepNext/>
        <w:keepLines/>
        <w:autoSpaceDE w:val="0"/>
        <w:autoSpaceDN w:val="0"/>
        <w:adjustRightInd w:val="0"/>
        <w:ind w:left="4320"/>
        <w:jc w:val="both"/>
      </w:pPr>
      <w:r w:rsidRPr="00AE0DE2">
        <w:t>CLIFFORD RECHTSCHAFFEN</w:t>
      </w:r>
    </w:p>
    <w:p w:rsidR="006C527B" w:rsidP="006C527B" w:rsidRDefault="006C527B" w14:paraId="42ECB32F" w14:textId="77777777">
      <w:pPr>
        <w:autoSpaceDE w:val="0"/>
        <w:autoSpaceDN w:val="0"/>
        <w:adjustRightInd w:val="0"/>
        <w:ind w:left="4320"/>
        <w:jc w:val="both"/>
      </w:pPr>
      <w:r w:rsidRPr="00AE0DE2">
        <w:t>GENEVIEVE SHIROMA</w:t>
      </w:r>
    </w:p>
    <w:p w:rsidRPr="00AE0DE2" w:rsidR="006C527B" w:rsidP="006C527B" w:rsidRDefault="006C527B" w14:paraId="0DA2F642" w14:textId="77777777">
      <w:pPr>
        <w:autoSpaceDE w:val="0"/>
        <w:autoSpaceDN w:val="0"/>
        <w:adjustRightInd w:val="0"/>
        <w:ind w:left="3600" w:firstLine="720"/>
        <w:jc w:val="both"/>
      </w:pPr>
      <w:r>
        <w:t>DARCIE HOUCK</w:t>
      </w:r>
    </w:p>
    <w:p w:rsidRPr="00AE0DE2" w:rsidR="006C527B" w:rsidP="006C527B" w:rsidRDefault="006C527B" w14:paraId="3FCDEFD5" w14:textId="77777777">
      <w:pPr>
        <w:autoSpaceDE w:val="0"/>
        <w:autoSpaceDN w:val="0"/>
        <w:adjustRightInd w:val="0"/>
        <w:ind w:left="4320" w:firstLine="720"/>
        <w:jc w:val="both"/>
      </w:pPr>
      <w:r w:rsidRPr="00AE0DE2">
        <w:t xml:space="preserve">                 Commissioners</w:t>
      </w:r>
    </w:p>
    <w:bookmarkEnd w:id="793"/>
    <w:p w:rsidRPr="00257E90" w:rsidR="006C527B" w:rsidP="00257E90" w:rsidRDefault="006C527B" w14:paraId="4F7F6D39" w14:textId="77777777">
      <w:pPr>
        <w:tabs>
          <w:tab w:val="left" w:pos="5306"/>
        </w:tabs>
        <w:rPr>
          <w:rFonts w:cs="Palatino"/>
          <w:szCs w:val="26"/>
        </w:rPr>
      </w:pPr>
    </w:p>
    <w:sectPr w:rsidRPr="00257E90" w:rsidR="006C527B" w:rsidSect="007C687F">
      <w:footerReference w:type="default" r:id="rId27"/>
      <w:pgSz w:w="12240" w:h="15840"/>
      <w:pgMar w:top="1728" w:right="1440" w:bottom="1440" w:left="1440" w:header="720" w:footer="720" w:gutter="0"/>
      <w:pgNumType w:start="2"/>
      <w:cols w:space="720"/>
      <w:docGrid w:linePitch="360"/>
    </w:sectPr>
    <w:p>
      <w:r>
        <w:t xml:space="preserve"/>
      </w:r>
    </w:p>
    <w:p>
      <w:r>
        <w:t xml:space="preserve">Attachment 1: </w:t>
      </w:r>
    </w:p>
    <w:p>
      <w:hyperlink w:history="true" r:id="Rbf281b33c7a64e2c">
        <w:r w:rsidRPr="00CB1292">
          <w:rPr>
            <w:rStyle w:val="Hyperlink"/>
            <w:color w:val="2E74B5" w:themeColor="accent1" w:themeShade="BF"/>
            <w:u w:val="single"/>
          </w:rPr>
          <w:t>D2106015 Attachments 1-7.pdf</w:t>
        </w:r>
      </w:hyperlink>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570D8" w14:textId="77777777" w:rsidR="00271086" w:rsidRDefault="00271086" w:rsidP="0098138E">
      <w:r>
        <w:separator/>
      </w:r>
    </w:p>
  </w:endnote>
  <w:endnote w:type="continuationSeparator" w:id="0">
    <w:p w14:paraId="606B2C6F" w14:textId="77777777" w:rsidR="00271086" w:rsidRDefault="00271086" w:rsidP="0098138E">
      <w:r>
        <w:continuationSeparator/>
      </w:r>
    </w:p>
  </w:endnote>
  <w:endnote w:type="continuationNotice" w:id="1">
    <w:p w14:paraId="7E8A8124" w14:textId="77777777" w:rsidR="00271086" w:rsidRDefault="00271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altName w:val="Arial"/>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charset w:val="00"/>
    <w:family w:val="auto"/>
    <w:pitch w:val="default"/>
    <w:sig w:usb0="00000003" w:usb1="00000000" w:usb2="00000000" w:usb3="00000000" w:csb0="00000001" w:csb1="00000000"/>
  </w:font>
  <w:font w:name="CIDFont+F2">
    <w:altName w:val="Calibri"/>
    <w:charset w:val="00"/>
    <w:family w:val="auto"/>
    <w:pitch w:val="default"/>
    <w:sig w:usb0="00000003" w:usb1="08070000" w:usb2="00000010" w:usb3="00000000" w:csb0="00020001" w:csb1="00000000"/>
  </w:font>
  <w:font w:name="ArialMT">
    <w:altName w:val="Arial"/>
    <w:charset w:val="00"/>
    <w:family w:val="auto"/>
    <w:pitch w:val="variable"/>
    <w:sig w:usb0="00000000" w:usb1="C0007843" w:usb2="00000009" w:usb3="00000000" w:csb0="000001FF" w:csb1="00000000"/>
  </w:font>
  <w:font w:name="TimesNewRoman">
    <w:altName w:val="MS Mincho"/>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576553"/>
      <w:docPartObj>
        <w:docPartGallery w:val="Page Numbers (Bottom of Page)"/>
        <w:docPartUnique/>
      </w:docPartObj>
    </w:sdtPr>
    <w:sdtEndPr>
      <w:rPr>
        <w:noProof/>
      </w:rPr>
    </w:sdtEndPr>
    <w:sdtContent>
      <w:p w14:paraId="12C5AF4E" w14:textId="1450F866" w:rsidR="00655890" w:rsidRDefault="000D5832" w:rsidP="000C1980">
        <w:pPr>
          <w:pStyle w:val="Footer"/>
        </w:pPr>
        <w:r w:rsidRPr="000D5832">
          <w:rPr>
            <w:sz w:val="18"/>
            <w:szCs w:val="18"/>
          </w:rPr>
          <w:t>387107687</w:t>
        </w:r>
        <w:r w:rsidR="00655890">
          <w:tab/>
        </w:r>
        <w:r w:rsidR="00655890">
          <w:rPr>
            <w:noProof/>
          </w:rPr>
          <w:t>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339762"/>
      <w:docPartObj>
        <w:docPartGallery w:val="Page Numbers (Bottom of Page)"/>
        <w:docPartUnique/>
      </w:docPartObj>
    </w:sdtPr>
    <w:sdtEndPr>
      <w:rPr>
        <w:noProof/>
      </w:rPr>
    </w:sdtEndPr>
    <w:sdtContent>
      <w:p w14:paraId="0BC7125E" w14:textId="77777777" w:rsidR="00655890" w:rsidRDefault="00655890" w:rsidP="000C1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866680"/>
      <w:docPartObj>
        <w:docPartGallery w:val="Page Numbers (Bottom of Page)"/>
        <w:docPartUnique/>
      </w:docPartObj>
    </w:sdtPr>
    <w:sdtEndPr>
      <w:rPr>
        <w:noProof/>
      </w:rPr>
    </w:sdtEndPr>
    <w:sdtContent>
      <w:p w14:paraId="0090C0C7" w14:textId="77777777" w:rsidR="00655890" w:rsidRDefault="00655890" w:rsidP="000C19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9B32" w14:textId="646BC47B" w:rsidR="00655890" w:rsidRDefault="000D5832" w:rsidP="007E0FEE">
    <w:pPr>
      <w:jc w:val="center"/>
    </w:pPr>
    <w:sdt>
      <w:sdtPr>
        <w:id w:val="1935164809"/>
        <w:docPartObj>
          <w:docPartGallery w:val="Page Numbers (Bottom of Page)"/>
          <w:docPartUnique/>
        </w:docPartObj>
      </w:sdtPr>
      <w:sdtEndPr>
        <w:rPr>
          <w:noProof/>
        </w:rPr>
      </w:sdtEndPr>
      <w:sdtContent>
        <w:r w:rsidR="00655890">
          <w:fldChar w:fldCharType="begin"/>
        </w:r>
        <w:r w:rsidR="00655890">
          <w:instrText xml:space="preserve"> PAGE   \* MERGEFORMAT </w:instrText>
        </w:r>
        <w:r w:rsidR="00655890">
          <w:fldChar w:fldCharType="separate"/>
        </w:r>
        <w:r w:rsidR="00655890">
          <w:rPr>
            <w:noProof/>
          </w:rPr>
          <w:t>2</w:t>
        </w:r>
        <w:r w:rsidR="0065589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6C08A" w14:textId="77777777" w:rsidR="00271086" w:rsidRDefault="00271086" w:rsidP="00DF58E7">
      <w:r>
        <w:separator/>
      </w:r>
    </w:p>
  </w:footnote>
  <w:footnote w:type="continuationSeparator" w:id="0">
    <w:p w14:paraId="44A40902" w14:textId="77777777" w:rsidR="00271086" w:rsidRDefault="00271086" w:rsidP="00DF58E7">
      <w:r>
        <w:continuationSeparator/>
      </w:r>
    </w:p>
  </w:footnote>
  <w:footnote w:type="continuationNotice" w:id="1">
    <w:p w14:paraId="17681D96" w14:textId="77777777" w:rsidR="00271086" w:rsidRPr="00DF58E7" w:rsidRDefault="00271086" w:rsidP="00DF58E7">
      <w:pPr>
        <w:jc w:val="right"/>
        <w:rPr>
          <w:i/>
          <w:sz w:val="22"/>
        </w:rPr>
      </w:pPr>
    </w:p>
  </w:footnote>
  <w:footnote w:id="2">
    <w:p w14:paraId="1C79B147" w14:textId="77777777" w:rsidR="00655890" w:rsidRPr="00B1326D" w:rsidRDefault="00655890" w:rsidP="000C1980">
      <w:pPr>
        <w:pStyle w:val="FootnoteText"/>
        <w:rPr>
          <w:lang w:val="es-ES"/>
        </w:rPr>
      </w:pPr>
      <w:r>
        <w:rPr>
          <w:rStyle w:val="FootnoteReference"/>
        </w:rPr>
        <w:footnoteRef/>
      </w:r>
      <w:r>
        <w:rPr>
          <w:lang w:val="es-ES"/>
        </w:rPr>
        <w:t xml:space="preserve">  </w:t>
      </w:r>
      <w:r w:rsidRPr="00F32F78">
        <w:rPr>
          <w:lang w:val="es-ES"/>
        </w:rPr>
        <w:t>Pub. Util. Code § 739.1(a).</w:t>
      </w:r>
    </w:p>
  </w:footnote>
  <w:footnote w:id="3">
    <w:p w14:paraId="0392BCED" w14:textId="77777777" w:rsidR="00655890" w:rsidRDefault="00655890" w:rsidP="000C1980">
      <w:pPr>
        <w:pStyle w:val="FootnoteText"/>
      </w:pPr>
      <w:r>
        <w:rPr>
          <w:rStyle w:val="FootnoteReference"/>
        </w:rPr>
        <w:footnoteRef/>
      </w:r>
      <w:r>
        <w:t xml:space="preserve">  </w:t>
      </w:r>
      <w:r w:rsidRPr="008F1EE5">
        <w:t>Pub. Util. Code §</w:t>
      </w:r>
      <w:r>
        <w:t xml:space="preserve"> </w:t>
      </w:r>
      <w:r w:rsidRPr="00FD5424">
        <w:t>739.1.</w:t>
      </w:r>
    </w:p>
  </w:footnote>
  <w:footnote w:id="4">
    <w:p w14:paraId="2F667231" w14:textId="77777777" w:rsidR="00655890" w:rsidRDefault="00655890" w:rsidP="000C1980">
      <w:pPr>
        <w:pStyle w:val="FootnoteText"/>
      </w:pPr>
      <w:r>
        <w:rPr>
          <w:rStyle w:val="FootnoteReference"/>
        </w:rPr>
        <w:footnoteRef/>
      </w:r>
      <w:r>
        <w:t xml:space="preserve">  </w:t>
      </w:r>
      <w:r w:rsidRPr="008F1EE5">
        <w:t>Pub. Util. Code §</w:t>
      </w:r>
      <w:r>
        <w:t xml:space="preserve"> </w:t>
      </w:r>
      <w:r w:rsidRPr="00DE4E1A">
        <w:t>739.1(c)(3).</w:t>
      </w:r>
    </w:p>
  </w:footnote>
  <w:footnote w:id="5">
    <w:p w14:paraId="08378E15" w14:textId="77777777" w:rsidR="00655890" w:rsidRDefault="00655890" w:rsidP="000C1980">
      <w:pPr>
        <w:pStyle w:val="FootnoteText"/>
      </w:pPr>
      <w:r>
        <w:rPr>
          <w:rStyle w:val="FootnoteReference"/>
        </w:rPr>
        <w:footnoteRef/>
      </w:r>
      <w:r>
        <w:t xml:space="preserve">  </w:t>
      </w:r>
      <w:r w:rsidRPr="002D3D07">
        <w:t>In 2013, the California state legislature revised Section 739.1(c) to require that the CARE electric discount be no less than 30 percent and no greater than 35 percent of the revenues that would have been provided for the same billed usage by non-CARE customers</w:t>
      </w:r>
      <w:r>
        <w:t xml:space="preserve"> per </w:t>
      </w:r>
      <w:r w:rsidRPr="002D3D07">
        <w:t>California Assembly Bill (AB) 327 (Perea 2013)</w:t>
      </w:r>
      <w:r>
        <w:t xml:space="preserve">. </w:t>
      </w:r>
    </w:p>
  </w:footnote>
  <w:footnote w:id="6">
    <w:p w14:paraId="56526BA8" w14:textId="77777777" w:rsidR="00655890" w:rsidRDefault="00655890" w:rsidP="000C1980">
      <w:pPr>
        <w:pStyle w:val="FootnoteText"/>
      </w:pPr>
      <w:r>
        <w:rPr>
          <w:rStyle w:val="FootnoteReference"/>
        </w:rPr>
        <w:footnoteRef/>
      </w:r>
      <w:r>
        <w:t xml:space="preserve">  </w:t>
      </w:r>
      <w:r w:rsidRPr="000A560F">
        <w:t>The categorical eligibility process automatically considers low-income customers to be qualified for the CARE program if the customer is already enrolled in one of the Commission-approved means-tested low-income public assistance programs.</w:t>
      </w:r>
      <w:r w:rsidRPr="000A560F">
        <w:rPr>
          <w:sz w:val="26"/>
        </w:rPr>
        <w:t xml:space="preserve"> </w:t>
      </w:r>
      <w:r w:rsidRPr="000A560F">
        <w:t>Means-tested programs are low-income assistance programs in which the customer’s income is verified by the appropriate state and federal agencies</w:t>
      </w:r>
      <w:r>
        <w:t>.</w:t>
      </w:r>
    </w:p>
  </w:footnote>
  <w:footnote w:id="7">
    <w:p w14:paraId="32F8F66E" w14:textId="1230E62E" w:rsidR="00655890" w:rsidRPr="00C90800" w:rsidRDefault="00655890" w:rsidP="000C1980">
      <w:pPr>
        <w:pStyle w:val="FootnoteText"/>
        <w:rPr>
          <w:lang w:val="es-ES"/>
        </w:rPr>
      </w:pPr>
      <w:r>
        <w:rPr>
          <w:rStyle w:val="FootnoteReference"/>
        </w:rPr>
        <w:footnoteRef/>
      </w:r>
      <w:r>
        <w:rPr>
          <w:lang w:val="es-ES"/>
        </w:rPr>
        <w:t xml:space="preserve">  </w:t>
      </w:r>
      <w:r w:rsidRPr="00F32F78">
        <w:rPr>
          <w:lang w:val="es-ES"/>
        </w:rPr>
        <w:t>Pub. Util. Code § 739.2(a)(1)-(3).</w:t>
      </w:r>
    </w:p>
  </w:footnote>
  <w:footnote w:id="8">
    <w:p w14:paraId="1412B11B" w14:textId="77777777" w:rsidR="00655890" w:rsidRPr="00196FA2" w:rsidRDefault="00655890" w:rsidP="000C1980">
      <w:pPr>
        <w:pStyle w:val="FootnoteText"/>
        <w:rPr>
          <w:szCs w:val="22"/>
        </w:rPr>
      </w:pPr>
      <w:r w:rsidRPr="00196FA2">
        <w:rPr>
          <w:rStyle w:val="FootnoteReference"/>
          <w:szCs w:val="22"/>
        </w:rPr>
        <w:footnoteRef/>
      </w:r>
      <w:r w:rsidRPr="00196FA2">
        <w:rPr>
          <w:szCs w:val="22"/>
        </w:rPr>
        <w:t xml:space="preserve"> </w:t>
      </w:r>
      <w:r>
        <w:rPr>
          <w:szCs w:val="22"/>
        </w:rPr>
        <w:t xml:space="preserve"> </w:t>
      </w:r>
      <w:r w:rsidRPr="008F1EE5">
        <w:t>Pub. Util. Code §</w:t>
      </w:r>
      <w:r>
        <w:t xml:space="preserve"> </w:t>
      </w:r>
      <w:r w:rsidRPr="00196FA2">
        <w:rPr>
          <w:szCs w:val="22"/>
        </w:rPr>
        <w:t xml:space="preserve">382.  </w:t>
      </w:r>
    </w:p>
  </w:footnote>
  <w:footnote w:id="9">
    <w:p w14:paraId="43AF6B08" w14:textId="78FB3B63" w:rsidR="00655890" w:rsidRDefault="00655890" w:rsidP="001F7F7A">
      <w:pPr>
        <w:pStyle w:val="FootnoteText"/>
      </w:pPr>
      <w:r>
        <w:rPr>
          <w:rStyle w:val="FootnoteReference"/>
        </w:rPr>
        <w:footnoteRef/>
      </w:r>
      <w:r>
        <w:t xml:space="preserve">  </w:t>
      </w:r>
      <w:r w:rsidRPr="007C0D98">
        <w:t>FERA was authorized by D.04-02-057 as the Large Household Program.</w:t>
      </w:r>
    </w:p>
  </w:footnote>
  <w:footnote w:id="10">
    <w:p w14:paraId="3BA9E1EE" w14:textId="6796B668" w:rsidR="00655890" w:rsidRDefault="00655890" w:rsidP="001F7F7A">
      <w:pPr>
        <w:pStyle w:val="FootnoteText"/>
      </w:pPr>
      <w:r>
        <w:rPr>
          <w:rStyle w:val="FootnoteReference"/>
        </w:rPr>
        <w:footnoteRef/>
      </w:r>
      <w:r>
        <w:t xml:space="preserve">  FERA income limits:  </w:t>
      </w:r>
      <w:hyperlink r:id="rId1" w:history="1">
        <w:r w:rsidRPr="002C1D3F">
          <w:rPr>
            <w:rStyle w:val="Hyperlink"/>
          </w:rPr>
          <w:t>https://www.cpuc.ca.gov/lowincomerates/</w:t>
        </w:r>
      </w:hyperlink>
      <w:r w:rsidR="003264DB">
        <w:rPr>
          <w:rStyle w:val="Hyperlink"/>
        </w:rPr>
        <w:t>.</w:t>
      </w:r>
    </w:p>
  </w:footnote>
  <w:footnote w:id="11">
    <w:p w14:paraId="33724AC7" w14:textId="77777777" w:rsidR="00655890" w:rsidRDefault="00655890" w:rsidP="000C1980">
      <w:pPr>
        <w:pStyle w:val="FootnoteText"/>
      </w:pPr>
      <w:r>
        <w:rPr>
          <w:rStyle w:val="FootnoteReference"/>
        </w:rPr>
        <w:footnoteRef/>
      </w:r>
      <w:r>
        <w:t xml:space="preserve">  </w:t>
      </w:r>
      <w:r w:rsidRPr="00187B77">
        <w:t>Pub. Util. Code § 739.1(a).</w:t>
      </w:r>
    </w:p>
  </w:footnote>
  <w:footnote w:id="12">
    <w:p w14:paraId="0DDCCEC2" w14:textId="3F70D9E6" w:rsidR="00655890" w:rsidRDefault="00655890" w:rsidP="00B11AAF">
      <w:pPr>
        <w:pStyle w:val="FootnoteText"/>
      </w:pPr>
      <w:r>
        <w:rPr>
          <w:rStyle w:val="FootnoteReference"/>
        </w:rPr>
        <w:footnoteRef/>
      </w:r>
      <w:r>
        <w:t xml:space="preserve">  </w:t>
      </w:r>
      <w:r w:rsidRPr="00B964C1">
        <w:t>D</w:t>
      </w:r>
      <w:r>
        <w:t>.</w:t>
      </w:r>
      <w:r w:rsidRPr="00B964C1">
        <w:t>19-06-022</w:t>
      </w:r>
      <w:r>
        <w:t xml:space="preserve">, 5-8. </w:t>
      </w:r>
    </w:p>
  </w:footnote>
  <w:footnote w:id="13">
    <w:p w14:paraId="42AB8D28" w14:textId="053C23BC" w:rsidR="00655890" w:rsidRPr="00494671" w:rsidRDefault="00655890" w:rsidP="000C1980">
      <w:pPr>
        <w:pStyle w:val="FootnoteText"/>
      </w:pPr>
      <w:r w:rsidRPr="00494671">
        <w:rPr>
          <w:rStyle w:val="FootnoteReference"/>
        </w:rPr>
        <w:footnoteRef/>
      </w:r>
      <w:r w:rsidRPr="00494671">
        <w:t xml:space="preserve">  D.19-06-022 Ordering Paragraphs 1 and </w:t>
      </w:r>
      <w:proofErr w:type="gramStart"/>
      <w:r w:rsidRPr="00494671">
        <w:t>11</w:t>
      </w:r>
      <w:proofErr w:type="gramEnd"/>
      <w:r w:rsidRPr="00494671">
        <w:t xml:space="preserve"> respectively. </w:t>
      </w:r>
    </w:p>
  </w:footnote>
  <w:footnote w:id="14">
    <w:p w14:paraId="4A5321B4" w14:textId="6F338B62" w:rsidR="00655890" w:rsidRPr="00494671" w:rsidRDefault="00655890" w:rsidP="000C1980">
      <w:pPr>
        <w:pStyle w:val="FootnoteText"/>
      </w:pPr>
      <w:r w:rsidRPr="00494671">
        <w:rPr>
          <w:rStyle w:val="FootnoteReference"/>
        </w:rPr>
        <w:footnoteRef/>
      </w:r>
      <w:r w:rsidRPr="00494671">
        <w:t xml:space="preserve">  D.19</w:t>
      </w:r>
      <w:r w:rsidRPr="00494671">
        <w:noBreakHyphen/>
        <w:t>06</w:t>
      </w:r>
      <w:r w:rsidRPr="00494671">
        <w:noBreakHyphen/>
        <w:t xml:space="preserve">022, Ordering Paragraph 1. </w:t>
      </w:r>
    </w:p>
  </w:footnote>
  <w:footnote w:id="15">
    <w:p w14:paraId="7240DEFD" w14:textId="27770F43" w:rsidR="00655890" w:rsidRDefault="00655890" w:rsidP="000C1980">
      <w:pPr>
        <w:pStyle w:val="FootnoteText"/>
      </w:pPr>
      <w:r w:rsidRPr="00494671">
        <w:rPr>
          <w:rStyle w:val="FootnoteReference"/>
        </w:rPr>
        <w:footnoteRef/>
      </w:r>
      <w:r w:rsidRPr="00494671">
        <w:t xml:space="preserve">  D.16-11-022, 390-391.</w:t>
      </w:r>
    </w:p>
  </w:footnote>
  <w:footnote w:id="16">
    <w:p w14:paraId="3DB77FA1" w14:textId="77777777" w:rsidR="00655890" w:rsidRPr="00196FA2" w:rsidRDefault="00655890" w:rsidP="000C1980">
      <w:pPr>
        <w:pStyle w:val="FootnoteText"/>
        <w:rPr>
          <w:szCs w:val="22"/>
        </w:rPr>
      </w:pPr>
      <w:r w:rsidRPr="00196FA2">
        <w:rPr>
          <w:rStyle w:val="FootnoteReference"/>
          <w:szCs w:val="22"/>
        </w:rPr>
        <w:footnoteRef/>
      </w:r>
      <w:r w:rsidRPr="00196FA2">
        <w:rPr>
          <w:szCs w:val="22"/>
        </w:rPr>
        <w:t xml:space="preserve"> </w:t>
      </w:r>
      <w:r>
        <w:rPr>
          <w:szCs w:val="22"/>
        </w:rPr>
        <w:t xml:space="preserve"> December 24, </w:t>
      </w:r>
      <w:proofErr w:type="gramStart"/>
      <w:r>
        <w:rPr>
          <w:szCs w:val="22"/>
        </w:rPr>
        <w:t>2019</w:t>
      </w:r>
      <w:proofErr w:type="gramEnd"/>
      <w:r>
        <w:rPr>
          <w:szCs w:val="22"/>
        </w:rPr>
        <w:t xml:space="preserve"> Administrative Law Judge’s Ruling Consolidating Proceedings and Setting a Joint Prehearing Conference.</w:t>
      </w:r>
    </w:p>
  </w:footnote>
  <w:footnote w:id="17">
    <w:p w14:paraId="43A816BC" w14:textId="7675F297" w:rsidR="00655890" w:rsidRPr="00CE6453" w:rsidRDefault="00655890" w:rsidP="000C1980">
      <w:pPr>
        <w:pStyle w:val="FootnoteText"/>
      </w:pPr>
      <w:r>
        <w:rPr>
          <w:rStyle w:val="FootnoteReference"/>
        </w:rPr>
        <w:footnoteRef/>
      </w:r>
      <w:r>
        <w:t xml:space="preserve"> </w:t>
      </w:r>
      <w:bookmarkStart w:id="37" w:name="_Hlk51664929"/>
      <w:r>
        <w:t xml:space="preserve"> A.19-11-003 et </w:t>
      </w:r>
      <w:r w:rsidRPr="00CE6453">
        <w:t>al.</w:t>
      </w:r>
      <w:r w:rsidR="00627E4A">
        <w:t>,</w:t>
      </w:r>
      <w:r w:rsidRPr="00CE6453">
        <w:t xml:space="preserve"> </w:t>
      </w:r>
      <w:r>
        <w:t>Assigned Commissioner’s Scoping Memo and Ruling,</w:t>
      </w:r>
      <w:r w:rsidRPr="00CE6453">
        <w:t xml:space="preserve"> February 18, 2020.</w:t>
      </w:r>
      <w:bookmarkEnd w:id="37"/>
    </w:p>
  </w:footnote>
  <w:footnote w:id="18">
    <w:p w14:paraId="227CFC92" w14:textId="20B21207" w:rsidR="00655890" w:rsidRDefault="00655890" w:rsidP="000C1980">
      <w:pPr>
        <w:pStyle w:val="FootnoteText"/>
      </w:pPr>
      <w:r>
        <w:rPr>
          <w:rStyle w:val="FootnoteReference"/>
        </w:rPr>
        <w:footnoteRef/>
      </w:r>
      <w:r>
        <w:t xml:space="preserve">  </w:t>
      </w:r>
      <w:r w:rsidR="00394B86">
        <w:t xml:space="preserve">May 11, </w:t>
      </w:r>
      <w:proofErr w:type="gramStart"/>
      <w:r w:rsidR="00394B86">
        <w:t>20</w:t>
      </w:r>
      <w:r w:rsidR="00B51273" w:rsidRPr="00B51273">
        <w:t>20</w:t>
      </w:r>
      <w:proofErr w:type="gramEnd"/>
      <w:r w:rsidR="00B51273" w:rsidRPr="00B51273">
        <w:t xml:space="preserve"> ALJ Ruling modifying procedural schedule</w:t>
      </w:r>
      <w:r w:rsidR="00394B86">
        <w:t xml:space="preserve">. </w:t>
      </w:r>
      <w:hyperlink w:history="1"/>
    </w:p>
  </w:footnote>
  <w:footnote w:id="19">
    <w:p w14:paraId="2FF23173" w14:textId="2FF4AE55" w:rsidR="00655890" w:rsidRDefault="00655890" w:rsidP="000C1980">
      <w:pPr>
        <w:pStyle w:val="FootnoteText"/>
      </w:pPr>
      <w:r>
        <w:rPr>
          <w:rStyle w:val="FootnoteReference"/>
        </w:rPr>
        <w:footnoteRef/>
      </w:r>
      <w:r>
        <w:t xml:space="preserve">  </w:t>
      </w:r>
      <w:r w:rsidR="00394B86">
        <w:t>August 11</w:t>
      </w:r>
      <w:r w:rsidR="00C37A74">
        <w:t xml:space="preserve">, </w:t>
      </w:r>
      <w:proofErr w:type="gramStart"/>
      <w:r w:rsidR="00C37A74">
        <w:t>20</w:t>
      </w:r>
      <w:r w:rsidR="00394B86" w:rsidRPr="00394B86">
        <w:t>20</w:t>
      </w:r>
      <w:proofErr w:type="gramEnd"/>
      <w:r w:rsidR="00394B86" w:rsidRPr="00394B86">
        <w:t xml:space="preserve"> ALJ Ruling modifying procedural schedule</w:t>
      </w:r>
      <w:r w:rsidR="00C37A74">
        <w:t xml:space="preserve">. </w:t>
      </w:r>
      <w:hyperlink w:history="1"/>
      <w:r>
        <w:t xml:space="preserve"> </w:t>
      </w:r>
    </w:p>
  </w:footnote>
  <w:footnote w:id="20">
    <w:p w14:paraId="795FDC65" w14:textId="77777777" w:rsidR="00655890" w:rsidRDefault="00655890" w:rsidP="000C1980">
      <w:pPr>
        <w:pStyle w:val="FootnoteText"/>
      </w:pPr>
      <w:r>
        <w:rPr>
          <w:rStyle w:val="FootnoteReference"/>
        </w:rPr>
        <w:footnoteRef/>
      </w:r>
      <w:r>
        <w:t xml:space="preserve">  </w:t>
      </w:r>
      <w:hyperlink r:id="rId2" w:history="1">
        <w:r w:rsidRPr="00CA65E3">
          <w:rPr>
            <w:rStyle w:val="Hyperlink"/>
          </w:rPr>
          <w:t>https://docs.cpuc.ca.gov/PublishedDocs/Efile/G000/M348/K580/348580187.PDF</w:t>
        </w:r>
      </w:hyperlink>
      <w:r>
        <w:t xml:space="preserve">. </w:t>
      </w:r>
    </w:p>
  </w:footnote>
  <w:footnote w:id="21">
    <w:p w14:paraId="6D9703CD" w14:textId="77777777" w:rsidR="00655890" w:rsidRDefault="00655890" w:rsidP="000C1980">
      <w:pPr>
        <w:pStyle w:val="FootnoteText"/>
      </w:pPr>
      <w:r>
        <w:rPr>
          <w:rStyle w:val="FootnoteReference"/>
        </w:rPr>
        <w:footnoteRef/>
      </w:r>
      <w:r>
        <w:t xml:space="preserve">  </w:t>
      </w:r>
      <w:hyperlink r:id="rId3" w:history="1">
        <w:r w:rsidRPr="00CA65E3">
          <w:rPr>
            <w:rStyle w:val="Hyperlink"/>
          </w:rPr>
          <w:t>https://docs.cpuc.ca.gov/SearchRes.aspx?DocFormat=ALL&amp;DocID=349245342</w:t>
        </w:r>
      </w:hyperlink>
      <w:r>
        <w:t xml:space="preserve">. </w:t>
      </w:r>
    </w:p>
  </w:footnote>
  <w:footnote w:id="22">
    <w:p w14:paraId="5579CC14" w14:textId="77777777" w:rsidR="00655890" w:rsidRDefault="00655890" w:rsidP="000C1980">
      <w:pPr>
        <w:pStyle w:val="FootnoteText"/>
      </w:pPr>
      <w:r>
        <w:rPr>
          <w:rStyle w:val="FootnoteReference"/>
        </w:rPr>
        <w:footnoteRef/>
      </w:r>
      <w:r>
        <w:t xml:space="preserve">  </w:t>
      </w:r>
      <w:r w:rsidRPr="00B92D91">
        <w:t>Pub. Util. Code §§ 454.5(g) and 583 address</w:t>
      </w:r>
      <w:r w:rsidRPr="004F45A1">
        <w:t>es</w:t>
      </w:r>
      <w:r w:rsidRPr="00B92D91">
        <w:t xml:space="preserve"> the Commission processes regarding confidential documents in general, while Rule 11.5 addresses sealing all or part of an evidentiary record</w:t>
      </w:r>
      <w:r>
        <w:t>.</w:t>
      </w:r>
    </w:p>
  </w:footnote>
  <w:footnote w:id="23">
    <w:p w14:paraId="3C96F7CD" w14:textId="1398F2C4" w:rsidR="00655890" w:rsidRDefault="00655890" w:rsidP="000C1980">
      <w:pPr>
        <w:pStyle w:val="FootnoteText"/>
      </w:pPr>
      <w:r>
        <w:rPr>
          <w:rStyle w:val="FootnoteReference"/>
        </w:rPr>
        <w:footnoteRef/>
      </w:r>
      <w:r>
        <w:t xml:space="preserve">  </w:t>
      </w:r>
      <w:r w:rsidRPr="00B71721">
        <w:t>A.19-11-003 et al.</w:t>
      </w:r>
      <w:r w:rsidR="00060F14">
        <w:t>,</w:t>
      </w:r>
      <w:r w:rsidRPr="00B71721">
        <w:t xml:space="preserve"> Assigned Commissioner’s Scoping Memo and Ruling, February 18, 2020</w:t>
      </w:r>
      <w:r>
        <w:t xml:space="preserve">, </w:t>
      </w:r>
      <w:r w:rsidRPr="00B71721">
        <w:t>4</w:t>
      </w:r>
      <w:r>
        <w:noBreakHyphen/>
      </w:r>
      <w:r w:rsidRPr="00B71721">
        <w:t>6.</w:t>
      </w:r>
    </w:p>
  </w:footnote>
  <w:footnote w:id="24">
    <w:p w14:paraId="06AD59D4" w14:textId="77777777" w:rsidR="00655890" w:rsidRDefault="00655890" w:rsidP="000C1980">
      <w:pPr>
        <w:pStyle w:val="FootnoteText"/>
      </w:pPr>
      <w:r>
        <w:rPr>
          <w:rStyle w:val="FootnoteReference"/>
        </w:rPr>
        <w:footnoteRef/>
      </w:r>
      <w:r>
        <w:t xml:space="preserve">  KEMA Consulting, “</w:t>
      </w:r>
      <w:r w:rsidRPr="00C22358">
        <w:rPr>
          <w:i/>
          <w:iCs/>
        </w:rPr>
        <w:t>Final Report on Phase 2 Low Income Needs Assessment</w:t>
      </w:r>
      <w:r>
        <w:t xml:space="preserve">”, September 7, 2007, 7-19, </w:t>
      </w:r>
      <w:hyperlink r:id="rId4" w:history="1">
        <w:r w:rsidRPr="008355CA">
          <w:rPr>
            <w:rStyle w:val="Hyperlink"/>
          </w:rPr>
          <w:t>http://www.calmac.org/publications/Needs_Assessment-Final_Report-Sept-2007.pdf</w:t>
        </w:r>
      </w:hyperlink>
      <w:r>
        <w:t>.</w:t>
      </w:r>
    </w:p>
  </w:footnote>
  <w:footnote w:id="25">
    <w:p w14:paraId="435BD223" w14:textId="77777777" w:rsidR="00655890" w:rsidRDefault="00655890" w:rsidP="000C1980">
      <w:pPr>
        <w:pStyle w:val="FootnoteText"/>
      </w:pPr>
      <w:r>
        <w:rPr>
          <w:rStyle w:val="FootnoteReference"/>
        </w:rPr>
        <w:footnoteRef/>
      </w:r>
      <w:r>
        <w:t xml:space="preserve">  </w:t>
      </w:r>
      <w:r w:rsidRPr="004B6664">
        <w:t xml:space="preserve">In D.12-08-044, the Commission granted the Joint Utilities’ request to file the annual CARE eligibility estimates on December 31 of each year. </w:t>
      </w:r>
    </w:p>
  </w:footnote>
  <w:footnote w:id="26">
    <w:p w14:paraId="3499646E" w14:textId="77777777" w:rsidR="00655890" w:rsidRDefault="00655890" w:rsidP="000C1980">
      <w:pPr>
        <w:pStyle w:val="FootnoteText"/>
      </w:pPr>
      <w:r>
        <w:rPr>
          <w:rStyle w:val="FootnoteReference"/>
        </w:rPr>
        <w:footnoteRef/>
      </w:r>
      <w:r>
        <w:t xml:space="preserve">  PG&amp;E Prepared Testimony, II-19.</w:t>
      </w:r>
    </w:p>
  </w:footnote>
  <w:footnote w:id="27">
    <w:p w14:paraId="7BAE9005" w14:textId="58D0AEE5" w:rsidR="00655890" w:rsidRDefault="00655890" w:rsidP="000C1980">
      <w:pPr>
        <w:pStyle w:val="FootnoteText"/>
      </w:pPr>
      <w:r>
        <w:rPr>
          <w:rStyle w:val="FootnoteReference"/>
        </w:rPr>
        <w:footnoteRef/>
      </w:r>
      <w:r>
        <w:t xml:space="preserve">  </w:t>
      </w:r>
      <w:r w:rsidR="008D4E29" w:rsidRPr="00CB4AE6">
        <w:rPr>
          <w:i/>
          <w:iCs/>
        </w:rPr>
        <w:t>Id</w:t>
      </w:r>
      <w:r w:rsidR="008D4E29">
        <w:t xml:space="preserve"> at 0-</w:t>
      </w:r>
      <w:proofErr w:type="gramStart"/>
      <w:r w:rsidR="008D4E29">
        <w:t>5.</w:t>
      </w:r>
      <w:r>
        <w:t>.</w:t>
      </w:r>
      <w:proofErr w:type="gramEnd"/>
    </w:p>
  </w:footnote>
  <w:footnote w:id="28">
    <w:p w14:paraId="72D81BA1" w14:textId="58D273FC" w:rsidR="00655890" w:rsidRDefault="00655890" w:rsidP="00494671">
      <w:pPr>
        <w:pStyle w:val="FootnoteText"/>
      </w:pPr>
      <w:r>
        <w:rPr>
          <w:rStyle w:val="FootnoteReference"/>
        </w:rPr>
        <w:footnoteRef/>
      </w:r>
      <w:r>
        <w:t xml:space="preserve">  </w:t>
      </w:r>
      <w:r w:rsidR="00421105" w:rsidRPr="00CB4AE6">
        <w:rPr>
          <w:i/>
          <w:iCs/>
        </w:rPr>
        <w:t>Id</w:t>
      </w:r>
      <w:r w:rsidR="00421105">
        <w:t xml:space="preserve"> at II-12</w:t>
      </w:r>
      <w:r>
        <w:t>.</w:t>
      </w:r>
    </w:p>
  </w:footnote>
  <w:footnote w:id="29">
    <w:p w14:paraId="67A8ED97" w14:textId="6D344A7E" w:rsidR="00655890" w:rsidRDefault="00655890" w:rsidP="00494671">
      <w:pPr>
        <w:pStyle w:val="FootnoteText"/>
      </w:pPr>
      <w:r>
        <w:rPr>
          <w:rStyle w:val="FootnoteReference"/>
        </w:rPr>
        <w:footnoteRef/>
      </w:r>
      <w:r>
        <w:t xml:space="preserve">  </w:t>
      </w:r>
      <w:r w:rsidR="00C737A3" w:rsidRPr="00CB4AE6">
        <w:rPr>
          <w:i/>
          <w:iCs/>
        </w:rPr>
        <w:t>Id</w:t>
      </w:r>
      <w:r w:rsidR="00C737A3">
        <w:t xml:space="preserve"> at II-26</w:t>
      </w:r>
      <w:r>
        <w:t>.</w:t>
      </w:r>
    </w:p>
  </w:footnote>
  <w:footnote w:id="30">
    <w:p w14:paraId="56AFAEAB" w14:textId="77777777" w:rsidR="00655890" w:rsidRDefault="00655890" w:rsidP="00494671">
      <w:pPr>
        <w:pStyle w:val="FootnoteText"/>
      </w:pPr>
      <w:r>
        <w:rPr>
          <w:rStyle w:val="FootnoteReference"/>
        </w:rPr>
        <w:footnoteRef/>
      </w:r>
      <w:r>
        <w:t xml:space="preserve">  SCE Prepared Testimony, III-1.</w:t>
      </w:r>
    </w:p>
  </w:footnote>
  <w:footnote w:id="31">
    <w:p w14:paraId="2CCCB6C8" w14:textId="1FE4A89D" w:rsidR="00655890" w:rsidRDefault="00655890" w:rsidP="00494671">
      <w:pPr>
        <w:pStyle w:val="FootnoteText"/>
      </w:pPr>
      <w:r>
        <w:rPr>
          <w:rStyle w:val="FootnoteReference"/>
        </w:rPr>
        <w:footnoteRef/>
      </w:r>
      <w:r>
        <w:t xml:space="preserve">  </w:t>
      </w:r>
      <w:r w:rsidR="00880292" w:rsidRPr="00CB4AE6">
        <w:rPr>
          <w:i/>
          <w:iCs/>
        </w:rPr>
        <w:t>Id</w:t>
      </w:r>
      <w:r w:rsidR="00880292">
        <w:t xml:space="preserve"> at III-31</w:t>
      </w:r>
      <w:r>
        <w:t>.</w:t>
      </w:r>
    </w:p>
  </w:footnote>
  <w:footnote w:id="32">
    <w:p w14:paraId="448CD645" w14:textId="1A707CAE" w:rsidR="00655890" w:rsidRDefault="00655890" w:rsidP="00494671">
      <w:pPr>
        <w:pStyle w:val="FootnoteText"/>
      </w:pPr>
      <w:r>
        <w:rPr>
          <w:rStyle w:val="FootnoteReference"/>
        </w:rPr>
        <w:footnoteRef/>
      </w:r>
      <w:r>
        <w:t xml:space="preserve">  </w:t>
      </w:r>
      <w:r w:rsidR="00636D07" w:rsidRPr="00CB4AE6">
        <w:rPr>
          <w:i/>
          <w:iCs/>
        </w:rPr>
        <w:t>Id</w:t>
      </w:r>
      <w:r w:rsidR="00636D07">
        <w:t xml:space="preserve"> at III-21</w:t>
      </w:r>
      <w:r>
        <w:t>.</w:t>
      </w:r>
    </w:p>
  </w:footnote>
  <w:footnote w:id="33">
    <w:p w14:paraId="6A04F712" w14:textId="77777777" w:rsidR="00655890" w:rsidRDefault="00655890" w:rsidP="00494671">
      <w:pPr>
        <w:pStyle w:val="FootnoteText"/>
      </w:pPr>
      <w:r>
        <w:rPr>
          <w:rStyle w:val="FootnoteReference"/>
        </w:rPr>
        <w:footnoteRef/>
      </w:r>
      <w:r>
        <w:t xml:space="preserve">  SoCalGas Application, 8.</w:t>
      </w:r>
    </w:p>
  </w:footnote>
  <w:footnote w:id="34">
    <w:p w14:paraId="5B875DDB" w14:textId="686BCCC4" w:rsidR="00655890" w:rsidRDefault="00655890" w:rsidP="000C1980">
      <w:pPr>
        <w:pStyle w:val="FootnoteText"/>
      </w:pPr>
      <w:r>
        <w:rPr>
          <w:rStyle w:val="FootnoteReference"/>
        </w:rPr>
        <w:footnoteRef/>
      </w:r>
      <w:r>
        <w:t xml:space="preserve">  </w:t>
      </w:r>
      <w:r w:rsidR="00676920" w:rsidRPr="00CB4AE6">
        <w:rPr>
          <w:i/>
          <w:iCs/>
        </w:rPr>
        <w:t>Id</w:t>
      </w:r>
      <w:r w:rsidR="00676920">
        <w:t xml:space="preserve"> at 23</w:t>
      </w:r>
      <w:r>
        <w:t>.</w:t>
      </w:r>
    </w:p>
  </w:footnote>
  <w:footnote w:id="35">
    <w:p w14:paraId="73287F1C" w14:textId="069E3BB4" w:rsidR="00655890" w:rsidRDefault="00655890" w:rsidP="000C1980">
      <w:pPr>
        <w:pStyle w:val="FootnoteText"/>
      </w:pPr>
      <w:r>
        <w:rPr>
          <w:rStyle w:val="FootnoteReference"/>
        </w:rPr>
        <w:footnoteRef/>
      </w:r>
      <w:r>
        <w:t xml:space="preserve">  </w:t>
      </w:r>
      <w:r w:rsidR="008308CD" w:rsidRPr="00CB4AE6">
        <w:rPr>
          <w:i/>
          <w:iCs/>
        </w:rPr>
        <w:t>Id</w:t>
      </w:r>
      <w:r w:rsidR="008308CD">
        <w:t xml:space="preserve"> at 24</w:t>
      </w:r>
      <w:r>
        <w:t>.</w:t>
      </w:r>
    </w:p>
  </w:footnote>
  <w:footnote w:id="36">
    <w:p w14:paraId="73A14C3B" w14:textId="77777777" w:rsidR="00655890" w:rsidRDefault="00655890" w:rsidP="000C1980">
      <w:pPr>
        <w:pStyle w:val="FootnoteText"/>
      </w:pPr>
      <w:r>
        <w:rPr>
          <w:rStyle w:val="FootnoteReference"/>
        </w:rPr>
        <w:footnoteRef/>
      </w:r>
      <w:r>
        <w:t xml:space="preserve">  SDG&amp;E Application, 11. </w:t>
      </w:r>
    </w:p>
  </w:footnote>
  <w:footnote w:id="37">
    <w:p w14:paraId="0DF66567" w14:textId="7F651904" w:rsidR="00655890" w:rsidRDefault="00655890" w:rsidP="000C1980">
      <w:pPr>
        <w:pStyle w:val="FootnoteText"/>
      </w:pPr>
      <w:r>
        <w:rPr>
          <w:rStyle w:val="FootnoteReference"/>
        </w:rPr>
        <w:footnoteRef/>
      </w:r>
      <w:r>
        <w:t xml:space="preserve">  </w:t>
      </w:r>
      <w:r w:rsidR="00853A42" w:rsidRPr="00CB4AE6">
        <w:rPr>
          <w:i/>
          <w:iCs/>
        </w:rPr>
        <w:t>Id</w:t>
      </w:r>
      <w:r w:rsidR="00853A42">
        <w:t xml:space="preserve"> at 17</w:t>
      </w:r>
      <w:r>
        <w:t>.</w:t>
      </w:r>
    </w:p>
  </w:footnote>
  <w:footnote w:id="38">
    <w:p w14:paraId="409CDE89" w14:textId="77777777" w:rsidR="00655890" w:rsidRDefault="00655890" w:rsidP="000C1980">
      <w:pPr>
        <w:pStyle w:val="FootnoteText"/>
      </w:pPr>
      <w:r>
        <w:rPr>
          <w:rStyle w:val="FootnoteReference"/>
        </w:rPr>
        <w:footnoteRef/>
      </w:r>
      <w:r>
        <w:t xml:space="preserve">  </w:t>
      </w:r>
      <w:r w:rsidRPr="000A560F">
        <w:t>The categorical eligibility process automatically considers low-income customers to be qualified for the CARE program if the customer is already enrolled in one of the Commission-approved means-tested low-income public assistance programs.</w:t>
      </w:r>
      <w:r w:rsidRPr="000A560F">
        <w:rPr>
          <w:sz w:val="26"/>
        </w:rPr>
        <w:t xml:space="preserve"> </w:t>
      </w:r>
      <w:r w:rsidRPr="000A560F">
        <w:t>Means-tested programs are low-income assistance programs in which the customer’s income is verified by the appropriate state and federal agencies</w:t>
      </w:r>
      <w:r>
        <w:t>.</w:t>
      </w:r>
    </w:p>
  </w:footnote>
  <w:footnote w:id="39">
    <w:p w14:paraId="5D11F77F" w14:textId="3D263225" w:rsidR="00655890" w:rsidRDefault="00655890" w:rsidP="000C1980">
      <w:pPr>
        <w:pStyle w:val="FootnoteText"/>
      </w:pPr>
      <w:r>
        <w:rPr>
          <w:rStyle w:val="FootnoteReference"/>
        </w:rPr>
        <w:footnoteRef/>
      </w:r>
      <w:r>
        <w:t xml:space="preserve">  </w:t>
      </w:r>
      <w:r w:rsidRPr="00E9450D">
        <w:t>D.06-12-038</w:t>
      </w:r>
      <w:r>
        <w:t>, COL 39, 71.</w:t>
      </w:r>
    </w:p>
  </w:footnote>
  <w:footnote w:id="40">
    <w:p w14:paraId="1550B927" w14:textId="77777777" w:rsidR="00655890" w:rsidRDefault="00655890" w:rsidP="000C1980">
      <w:pPr>
        <w:pStyle w:val="FootnoteText"/>
      </w:pPr>
      <w:r>
        <w:rPr>
          <w:rStyle w:val="FootnoteReference"/>
        </w:rPr>
        <w:footnoteRef/>
      </w:r>
      <w:r>
        <w:t xml:space="preserve">  PG&amp;E Prepared Testimony, II-20.</w:t>
      </w:r>
    </w:p>
  </w:footnote>
  <w:footnote w:id="41">
    <w:p w14:paraId="54DBC3DD" w14:textId="647DAA3C" w:rsidR="00655890" w:rsidRPr="00494671" w:rsidRDefault="00655890" w:rsidP="00494671">
      <w:pPr>
        <w:spacing w:after="120"/>
        <w:rPr>
          <w:sz w:val="22"/>
          <w:szCs w:val="22"/>
        </w:rPr>
      </w:pPr>
      <w:r w:rsidRPr="00494671">
        <w:rPr>
          <w:rStyle w:val="FootnoteReference"/>
          <w:iCs/>
          <w:sz w:val="22"/>
          <w:szCs w:val="22"/>
        </w:rPr>
        <w:footnoteRef/>
      </w:r>
      <w:r w:rsidRPr="00494671">
        <w:rPr>
          <w:sz w:val="22"/>
          <w:szCs w:val="22"/>
        </w:rPr>
        <w:t xml:space="preserve"> </w:t>
      </w:r>
      <w:r w:rsidR="00494671" w:rsidRPr="00494671">
        <w:rPr>
          <w:sz w:val="22"/>
          <w:szCs w:val="22"/>
        </w:rPr>
        <w:t xml:space="preserve"> </w:t>
      </w:r>
      <w:r w:rsidRPr="00494671">
        <w:rPr>
          <w:sz w:val="22"/>
          <w:szCs w:val="22"/>
        </w:rPr>
        <w:t>SCE Prepared Testimony, III-14.</w:t>
      </w:r>
    </w:p>
  </w:footnote>
  <w:footnote w:id="42">
    <w:p w14:paraId="0DF5E60E" w14:textId="43F89C55" w:rsidR="00655890" w:rsidRPr="00494671" w:rsidRDefault="00655890" w:rsidP="00494671">
      <w:pPr>
        <w:spacing w:after="120"/>
        <w:rPr>
          <w:sz w:val="22"/>
          <w:szCs w:val="22"/>
        </w:rPr>
      </w:pPr>
      <w:r w:rsidRPr="00494671">
        <w:rPr>
          <w:rStyle w:val="FootnoteReference"/>
          <w:sz w:val="22"/>
          <w:szCs w:val="22"/>
        </w:rPr>
        <w:footnoteRef/>
      </w:r>
      <w:r w:rsidRPr="00494671">
        <w:rPr>
          <w:rStyle w:val="FootnoteReference"/>
          <w:iCs/>
          <w:sz w:val="22"/>
          <w:szCs w:val="22"/>
        </w:rPr>
        <w:t xml:space="preserve">  </w:t>
      </w:r>
      <w:r w:rsidR="006F3F02" w:rsidRPr="00494671">
        <w:rPr>
          <w:i/>
          <w:iCs/>
          <w:sz w:val="22"/>
          <w:szCs w:val="22"/>
        </w:rPr>
        <w:t>Id</w:t>
      </w:r>
      <w:r w:rsidR="006F3F02" w:rsidRPr="00494671">
        <w:rPr>
          <w:sz w:val="22"/>
          <w:szCs w:val="22"/>
        </w:rPr>
        <w:t xml:space="preserve"> at III-13</w:t>
      </w:r>
      <w:r w:rsidRPr="00494671">
        <w:rPr>
          <w:sz w:val="22"/>
          <w:szCs w:val="22"/>
        </w:rPr>
        <w:t>.</w:t>
      </w:r>
    </w:p>
  </w:footnote>
  <w:footnote w:id="43">
    <w:p w14:paraId="2D8768B9" w14:textId="60989B0E" w:rsidR="00655890" w:rsidRPr="001C6900" w:rsidRDefault="00655890" w:rsidP="00494671">
      <w:pPr>
        <w:spacing w:after="120"/>
        <w:rPr>
          <w:sz w:val="22"/>
        </w:rPr>
      </w:pPr>
      <w:r w:rsidRPr="00494671">
        <w:rPr>
          <w:rStyle w:val="FootnoteReference"/>
          <w:sz w:val="22"/>
          <w:szCs w:val="22"/>
        </w:rPr>
        <w:footnoteRef/>
      </w:r>
      <w:r w:rsidRPr="00494671">
        <w:rPr>
          <w:rStyle w:val="FootnoteReference"/>
          <w:sz w:val="22"/>
          <w:szCs w:val="22"/>
        </w:rPr>
        <w:t xml:space="preserve"> </w:t>
      </w:r>
      <w:r w:rsidRPr="00494671">
        <w:rPr>
          <w:sz w:val="22"/>
          <w:szCs w:val="22"/>
        </w:rPr>
        <w:t xml:space="preserve"> </w:t>
      </w:r>
      <w:r w:rsidR="002516BD" w:rsidRPr="00494671">
        <w:rPr>
          <w:i/>
          <w:iCs/>
          <w:sz w:val="22"/>
          <w:szCs w:val="22"/>
        </w:rPr>
        <w:t>Ibid</w:t>
      </w:r>
      <w:r w:rsidR="002516BD" w:rsidRPr="00494671">
        <w:rPr>
          <w:sz w:val="22"/>
          <w:szCs w:val="22"/>
        </w:rPr>
        <w:t>.</w:t>
      </w:r>
    </w:p>
  </w:footnote>
  <w:footnote w:id="44">
    <w:p w14:paraId="3EC95F8B" w14:textId="59814D8A" w:rsidR="00655890" w:rsidRPr="00494671" w:rsidRDefault="00655890" w:rsidP="00494671">
      <w:pPr>
        <w:spacing w:after="120"/>
        <w:rPr>
          <w:sz w:val="22"/>
          <w:szCs w:val="22"/>
        </w:rPr>
      </w:pPr>
      <w:r w:rsidRPr="00494671">
        <w:rPr>
          <w:rStyle w:val="FootnoteReference"/>
          <w:bCs/>
          <w:iCs/>
          <w:sz w:val="22"/>
          <w:szCs w:val="22"/>
        </w:rPr>
        <w:footnoteRef/>
      </w:r>
      <w:r w:rsidRPr="00494671">
        <w:rPr>
          <w:rStyle w:val="FootnoteReference"/>
          <w:bCs/>
          <w:iCs/>
          <w:sz w:val="22"/>
          <w:szCs w:val="22"/>
        </w:rPr>
        <w:t xml:space="preserve"> </w:t>
      </w:r>
      <w:r w:rsidRPr="00494671">
        <w:rPr>
          <w:bCs/>
          <w:iCs/>
          <w:sz w:val="22"/>
          <w:szCs w:val="22"/>
        </w:rPr>
        <w:t xml:space="preserve"> </w:t>
      </w:r>
      <w:r w:rsidR="00F25FAA" w:rsidRPr="00494671">
        <w:rPr>
          <w:i/>
          <w:iCs/>
          <w:sz w:val="22"/>
          <w:szCs w:val="22"/>
        </w:rPr>
        <w:t>Id</w:t>
      </w:r>
      <w:r w:rsidR="00F25FAA" w:rsidRPr="00494671">
        <w:rPr>
          <w:sz w:val="22"/>
          <w:szCs w:val="22"/>
        </w:rPr>
        <w:t xml:space="preserve"> at IIII-14</w:t>
      </w:r>
      <w:r w:rsidRPr="00494671">
        <w:rPr>
          <w:sz w:val="22"/>
          <w:szCs w:val="22"/>
        </w:rPr>
        <w:t>.</w:t>
      </w:r>
    </w:p>
  </w:footnote>
  <w:footnote w:id="45">
    <w:p w14:paraId="4E632545" w14:textId="1F726603" w:rsidR="00655890" w:rsidRPr="00494671" w:rsidRDefault="00655890" w:rsidP="00494671">
      <w:pPr>
        <w:spacing w:after="120"/>
        <w:rPr>
          <w:bCs/>
          <w:sz w:val="22"/>
          <w:szCs w:val="22"/>
        </w:rPr>
      </w:pPr>
      <w:r w:rsidRPr="00494671">
        <w:rPr>
          <w:rStyle w:val="FootnoteReference"/>
          <w:bCs/>
          <w:iCs/>
          <w:sz w:val="22"/>
          <w:szCs w:val="22"/>
        </w:rPr>
        <w:footnoteRef/>
      </w:r>
      <w:r w:rsidRPr="00494671">
        <w:rPr>
          <w:rStyle w:val="FootnoteReference"/>
          <w:iCs/>
          <w:sz w:val="22"/>
          <w:szCs w:val="22"/>
        </w:rPr>
        <w:t xml:space="preserve">  </w:t>
      </w:r>
      <w:r w:rsidR="00B511AA" w:rsidRPr="00494671">
        <w:rPr>
          <w:i/>
          <w:iCs/>
          <w:sz w:val="22"/>
          <w:szCs w:val="22"/>
        </w:rPr>
        <w:t>Id</w:t>
      </w:r>
      <w:r w:rsidR="00B511AA" w:rsidRPr="00494671">
        <w:rPr>
          <w:sz w:val="22"/>
          <w:szCs w:val="22"/>
        </w:rPr>
        <w:t xml:space="preserve"> at </w:t>
      </w:r>
      <w:r w:rsidRPr="00494671">
        <w:rPr>
          <w:sz w:val="22"/>
          <w:szCs w:val="22"/>
        </w:rPr>
        <w:t>III-</w:t>
      </w:r>
      <w:r w:rsidRPr="00494671">
        <w:rPr>
          <w:bCs/>
          <w:sz w:val="22"/>
          <w:szCs w:val="22"/>
        </w:rPr>
        <w:t>22.</w:t>
      </w:r>
    </w:p>
  </w:footnote>
  <w:footnote w:id="46">
    <w:p w14:paraId="4C99B6BC" w14:textId="02C03CA9" w:rsidR="00655890" w:rsidRPr="00494671" w:rsidRDefault="00655890" w:rsidP="00494671">
      <w:pPr>
        <w:pStyle w:val="FootnoteText"/>
        <w:rPr>
          <w:rStyle w:val="FootnoteReference"/>
          <w:bCs/>
          <w:szCs w:val="22"/>
        </w:rPr>
      </w:pPr>
      <w:r w:rsidRPr="00494671">
        <w:rPr>
          <w:rStyle w:val="FootnoteReference"/>
          <w:bCs/>
          <w:iCs/>
          <w:szCs w:val="22"/>
        </w:rPr>
        <w:footnoteRef/>
      </w:r>
      <w:r w:rsidRPr="00494671">
        <w:rPr>
          <w:rStyle w:val="FootnoteReference"/>
          <w:bCs/>
          <w:szCs w:val="22"/>
        </w:rPr>
        <w:t xml:space="preserve">  </w:t>
      </w:r>
      <w:r w:rsidR="00B511AA" w:rsidRPr="00494671">
        <w:rPr>
          <w:i/>
          <w:iCs/>
          <w:szCs w:val="22"/>
        </w:rPr>
        <w:t>Id</w:t>
      </w:r>
      <w:r w:rsidR="00B511AA" w:rsidRPr="00494671">
        <w:rPr>
          <w:szCs w:val="22"/>
        </w:rPr>
        <w:t xml:space="preserve"> at </w:t>
      </w:r>
      <w:r w:rsidRPr="00494671">
        <w:rPr>
          <w:szCs w:val="22"/>
        </w:rPr>
        <w:t>III-28.</w:t>
      </w:r>
    </w:p>
  </w:footnote>
  <w:footnote w:id="47">
    <w:p w14:paraId="40042F00" w14:textId="23E3E262" w:rsidR="00655890" w:rsidRPr="00494671" w:rsidRDefault="00655890" w:rsidP="00494671">
      <w:pPr>
        <w:pStyle w:val="FootnoteText"/>
        <w:rPr>
          <w:rStyle w:val="FootnoteReference"/>
          <w:bCs/>
          <w:szCs w:val="22"/>
        </w:rPr>
      </w:pPr>
      <w:r w:rsidRPr="00494671">
        <w:rPr>
          <w:rStyle w:val="FootnoteReference"/>
          <w:bCs/>
          <w:iCs/>
          <w:szCs w:val="22"/>
        </w:rPr>
        <w:footnoteRef/>
      </w:r>
      <w:r w:rsidRPr="00494671">
        <w:rPr>
          <w:rStyle w:val="FootnoteReference"/>
          <w:bCs/>
          <w:szCs w:val="22"/>
        </w:rPr>
        <w:t xml:space="preserve"> </w:t>
      </w:r>
      <w:r w:rsidRPr="00494671">
        <w:rPr>
          <w:szCs w:val="22"/>
        </w:rPr>
        <w:t xml:space="preserve"> </w:t>
      </w:r>
      <w:r w:rsidR="00B511AA" w:rsidRPr="00494671">
        <w:rPr>
          <w:i/>
          <w:iCs/>
          <w:szCs w:val="22"/>
        </w:rPr>
        <w:t>Id</w:t>
      </w:r>
      <w:r w:rsidR="00B511AA" w:rsidRPr="00494671">
        <w:rPr>
          <w:szCs w:val="22"/>
        </w:rPr>
        <w:t xml:space="preserve"> at </w:t>
      </w:r>
      <w:r w:rsidRPr="00494671">
        <w:rPr>
          <w:szCs w:val="22"/>
        </w:rPr>
        <w:t>III-38.</w:t>
      </w:r>
    </w:p>
  </w:footnote>
  <w:footnote w:id="48">
    <w:p w14:paraId="7B8BF1A2" w14:textId="78708BEA" w:rsidR="00655890" w:rsidRPr="00494671" w:rsidRDefault="00655890" w:rsidP="00494671">
      <w:pPr>
        <w:spacing w:after="120"/>
        <w:rPr>
          <w:bCs/>
          <w:sz w:val="22"/>
          <w:szCs w:val="22"/>
        </w:rPr>
      </w:pPr>
      <w:r w:rsidRPr="00494671">
        <w:rPr>
          <w:rStyle w:val="FootnoteReference"/>
          <w:bCs/>
          <w:sz w:val="22"/>
          <w:szCs w:val="22"/>
        </w:rPr>
        <w:footnoteRef/>
      </w:r>
      <w:r w:rsidRPr="00494671">
        <w:rPr>
          <w:bCs/>
          <w:sz w:val="22"/>
          <w:szCs w:val="22"/>
        </w:rPr>
        <w:t xml:space="preserve"> </w:t>
      </w:r>
      <w:r w:rsidR="00494671" w:rsidRPr="00494671">
        <w:rPr>
          <w:bCs/>
          <w:sz w:val="22"/>
          <w:szCs w:val="22"/>
        </w:rPr>
        <w:t xml:space="preserve"> </w:t>
      </w:r>
      <w:r w:rsidRPr="00494671">
        <w:rPr>
          <w:bCs/>
          <w:sz w:val="22"/>
          <w:szCs w:val="22"/>
        </w:rPr>
        <w:t>SCE</w:t>
      </w:r>
      <w:r w:rsidRPr="00494671">
        <w:rPr>
          <w:sz w:val="22"/>
          <w:szCs w:val="22"/>
        </w:rPr>
        <w:t xml:space="preserve"> Prepared Testimony, III-</w:t>
      </w:r>
      <w:r w:rsidRPr="00494671">
        <w:rPr>
          <w:bCs/>
          <w:sz w:val="22"/>
          <w:szCs w:val="22"/>
        </w:rPr>
        <w:t>15.</w:t>
      </w:r>
    </w:p>
  </w:footnote>
  <w:footnote w:id="49">
    <w:p w14:paraId="42C1BD80" w14:textId="462EA360" w:rsidR="00655890" w:rsidRPr="00494671" w:rsidRDefault="00655890" w:rsidP="00494671">
      <w:pPr>
        <w:spacing w:after="120"/>
        <w:rPr>
          <w:bCs/>
          <w:sz w:val="22"/>
          <w:szCs w:val="22"/>
        </w:rPr>
      </w:pPr>
      <w:r w:rsidRPr="00494671">
        <w:rPr>
          <w:rStyle w:val="FootnoteReference"/>
          <w:bCs/>
          <w:iCs/>
          <w:sz w:val="22"/>
          <w:szCs w:val="22"/>
        </w:rPr>
        <w:footnoteRef/>
      </w:r>
      <w:r w:rsidRPr="00494671">
        <w:rPr>
          <w:bCs/>
          <w:sz w:val="22"/>
          <w:szCs w:val="22"/>
        </w:rPr>
        <w:t xml:space="preserve"> </w:t>
      </w:r>
      <w:r w:rsidR="00494671" w:rsidRPr="00494671">
        <w:rPr>
          <w:bCs/>
          <w:sz w:val="22"/>
          <w:szCs w:val="22"/>
        </w:rPr>
        <w:t xml:space="preserve"> </w:t>
      </w:r>
      <w:r w:rsidR="002516BD" w:rsidRPr="00494671">
        <w:rPr>
          <w:i/>
          <w:iCs/>
          <w:sz w:val="22"/>
          <w:szCs w:val="22"/>
        </w:rPr>
        <w:t>Ibid</w:t>
      </w:r>
      <w:r w:rsidR="002516BD" w:rsidRPr="00494671">
        <w:rPr>
          <w:sz w:val="22"/>
          <w:szCs w:val="22"/>
        </w:rPr>
        <w:t>.</w:t>
      </w:r>
    </w:p>
  </w:footnote>
  <w:footnote w:id="50">
    <w:p w14:paraId="1D8FB5D6" w14:textId="063E863A" w:rsidR="00655890" w:rsidRPr="00494671" w:rsidRDefault="00655890" w:rsidP="00494671">
      <w:pPr>
        <w:pStyle w:val="FootnoteText"/>
        <w:rPr>
          <w:rStyle w:val="FootnoteReference"/>
          <w:bCs/>
          <w:szCs w:val="22"/>
        </w:rPr>
      </w:pPr>
      <w:r w:rsidRPr="00494671">
        <w:rPr>
          <w:rStyle w:val="FootnoteReference"/>
          <w:bCs/>
          <w:iCs/>
          <w:szCs w:val="22"/>
        </w:rPr>
        <w:footnoteRef/>
      </w:r>
      <w:r w:rsidRPr="00494671">
        <w:rPr>
          <w:rStyle w:val="FootnoteReference"/>
          <w:bCs/>
          <w:szCs w:val="22"/>
        </w:rPr>
        <w:t xml:space="preserve">   </w:t>
      </w:r>
      <w:r w:rsidR="006D669E" w:rsidRPr="00494671">
        <w:rPr>
          <w:i/>
          <w:iCs/>
          <w:szCs w:val="22"/>
        </w:rPr>
        <w:t>Id</w:t>
      </w:r>
      <w:r w:rsidR="006D669E" w:rsidRPr="00494671">
        <w:rPr>
          <w:szCs w:val="22"/>
        </w:rPr>
        <w:t xml:space="preserve"> at</w:t>
      </w:r>
      <w:r w:rsidRPr="00494671">
        <w:rPr>
          <w:bCs/>
          <w:szCs w:val="22"/>
        </w:rPr>
        <w:t xml:space="preserve"> III-13.</w:t>
      </w:r>
    </w:p>
  </w:footnote>
  <w:footnote w:id="51">
    <w:p w14:paraId="2D3FA085" w14:textId="26C4AD8E" w:rsidR="00655890" w:rsidRPr="00494671" w:rsidRDefault="00655890" w:rsidP="00494671">
      <w:pPr>
        <w:spacing w:after="120"/>
        <w:rPr>
          <w:sz w:val="22"/>
          <w:szCs w:val="22"/>
        </w:rPr>
      </w:pPr>
      <w:r w:rsidRPr="00494671">
        <w:rPr>
          <w:rStyle w:val="FootnoteReference"/>
          <w:bCs/>
          <w:sz w:val="22"/>
          <w:szCs w:val="22"/>
        </w:rPr>
        <w:footnoteRef/>
      </w:r>
      <w:r w:rsidRPr="00494671">
        <w:rPr>
          <w:bCs/>
          <w:sz w:val="22"/>
          <w:szCs w:val="22"/>
        </w:rPr>
        <w:t xml:space="preserve">  </w:t>
      </w:r>
      <w:r w:rsidR="006D669E" w:rsidRPr="00494671">
        <w:rPr>
          <w:i/>
          <w:iCs/>
          <w:sz w:val="22"/>
          <w:szCs w:val="22"/>
        </w:rPr>
        <w:t>Id</w:t>
      </w:r>
      <w:r w:rsidR="006D669E" w:rsidRPr="00494671">
        <w:rPr>
          <w:sz w:val="22"/>
          <w:szCs w:val="22"/>
        </w:rPr>
        <w:t xml:space="preserve"> at </w:t>
      </w:r>
      <w:r w:rsidRPr="00494671">
        <w:rPr>
          <w:sz w:val="22"/>
          <w:szCs w:val="22"/>
        </w:rPr>
        <w:t>III-</w:t>
      </w:r>
      <w:r w:rsidRPr="00494671">
        <w:rPr>
          <w:bCs/>
          <w:sz w:val="22"/>
          <w:szCs w:val="22"/>
        </w:rPr>
        <w:t>15-16.</w:t>
      </w:r>
    </w:p>
  </w:footnote>
  <w:footnote w:id="52">
    <w:p w14:paraId="7CFDD69E" w14:textId="6242D842" w:rsidR="00655890" w:rsidRPr="00494671" w:rsidRDefault="00655890" w:rsidP="00494671">
      <w:pPr>
        <w:pStyle w:val="FootnoteText"/>
        <w:rPr>
          <w:rStyle w:val="FootnoteReference"/>
          <w:b/>
          <w:iCs/>
          <w:szCs w:val="22"/>
        </w:rPr>
      </w:pPr>
      <w:r w:rsidRPr="00494671">
        <w:rPr>
          <w:rStyle w:val="FootnoteReference"/>
          <w:szCs w:val="22"/>
        </w:rPr>
        <w:footnoteRef/>
      </w:r>
      <w:r w:rsidRPr="00494671">
        <w:rPr>
          <w:rStyle w:val="FootnoteReference"/>
          <w:b/>
          <w:iCs/>
          <w:szCs w:val="22"/>
        </w:rPr>
        <w:t xml:space="preserve"> </w:t>
      </w:r>
      <w:r w:rsidRPr="00494671">
        <w:rPr>
          <w:b/>
          <w:iCs/>
          <w:szCs w:val="22"/>
        </w:rPr>
        <w:t xml:space="preserve"> </w:t>
      </w:r>
      <w:r w:rsidR="006D669E" w:rsidRPr="00494671">
        <w:rPr>
          <w:i/>
          <w:iCs/>
          <w:szCs w:val="22"/>
        </w:rPr>
        <w:t>Id</w:t>
      </w:r>
      <w:r w:rsidR="006D669E" w:rsidRPr="00494671">
        <w:rPr>
          <w:szCs w:val="22"/>
        </w:rPr>
        <w:t xml:space="preserve"> at </w:t>
      </w:r>
      <w:r w:rsidRPr="00494671">
        <w:rPr>
          <w:szCs w:val="22"/>
        </w:rPr>
        <w:t>III-16.</w:t>
      </w:r>
    </w:p>
  </w:footnote>
  <w:footnote w:id="53">
    <w:p w14:paraId="311F7677" w14:textId="396F343E" w:rsidR="00655890" w:rsidRPr="007900D2" w:rsidRDefault="00655890" w:rsidP="00494671">
      <w:pPr>
        <w:pStyle w:val="FootnoteText"/>
        <w:rPr>
          <w:rStyle w:val="FootnoteReference"/>
          <w:bCs/>
        </w:rPr>
      </w:pPr>
      <w:r w:rsidRPr="00494671">
        <w:rPr>
          <w:rStyle w:val="FootnoteReference"/>
          <w:bCs/>
          <w:iCs/>
          <w:szCs w:val="22"/>
        </w:rPr>
        <w:footnoteRef/>
      </w:r>
      <w:r w:rsidRPr="00494671">
        <w:rPr>
          <w:rStyle w:val="FootnoteReference"/>
          <w:bCs/>
          <w:szCs w:val="22"/>
        </w:rPr>
        <w:t xml:space="preserve">  </w:t>
      </w:r>
      <w:r w:rsidR="006D669E" w:rsidRPr="00494671">
        <w:rPr>
          <w:i/>
          <w:iCs/>
          <w:szCs w:val="22"/>
        </w:rPr>
        <w:t>Id</w:t>
      </w:r>
      <w:r w:rsidR="006D669E" w:rsidRPr="00494671">
        <w:rPr>
          <w:szCs w:val="22"/>
        </w:rPr>
        <w:t xml:space="preserve"> at</w:t>
      </w:r>
      <w:r w:rsidRPr="00494671">
        <w:rPr>
          <w:bCs/>
          <w:szCs w:val="22"/>
        </w:rPr>
        <w:t xml:space="preserve"> III-13.</w:t>
      </w:r>
    </w:p>
  </w:footnote>
  <w:footnote w:id="54">
    <w:p w14:paraId="1F1091DE" w14:textId="77777777"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SoCalGas Application Testimony of Octavio Verduzco, OV-30.</w:t>
      </w:r>
    </w:p>
  </w:footnote>
  <w:footnote w:id="55">
    <w:p w14:paraId="59B8B4EF" w14:textId="7A34074F"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w:t>
      </w:r>
      <w:proofErr w:type="gramStart"/>
      <w:r w:rsidR="00C2344A" w:rsidRPr="00494671">
        <w:rPr>
          <w:i/>
          <w:iCs/>
          <w:szCs w:val="22"/>
        </w:rPr>
        <w:t>Ibid.</w:t>
      </w:r>
      <w:r w:rsidRPr="00494671">
        <w:rPr>
          <w:szCs w:val="22"/>
        </w:rPr>
        <w:t>.</w:t>
      </w:r>
      <w:proofErr w:type="gramEnd"/>
    </w:p>
  </w:footnote>
  <w:footnote w:id="56">
    <w:p w14:paraId="1E021303" w14:textId="77777777" w:rsidR="00655890" w:rsidRPr="00494671" w:rsidRDefault="00655890" w:rsidP="00494671">
      <w:pPr>
        <w:spacing w:after="120"/>
        <w:rPr>
          <w:bCs/>
          <w:sz w:val="22"/>
          <w:szCs w:val="22"/>
        </w:rPr>
      </w:pPr>
      <w:r w:rsidRPr="00494671">
        <w:rPr>
          <w:rStyle w:val="FootnoteReference"/>
          <w:bCs/>
          <w:iCs/>
          <w:sz w:val="22"/>
          <w:szCs w:val="22"/>
        </w:rPr>
        <w:footnoteRef/>
      </w:r>
      <w:r w:rsidRPr="00494671">
        <w:rPr>
          <w:bCs/>
          <w:sz w:val="22"/>
          <w:szCs w:val="22"/>
        </w:rPr>
        <w:t xml:space="preserve">  SoCalGas Application, 27.</w:t>
      </w:r>
    </w:p>
  </w:footnote>
  <w:footnote w:id="57">
    <w:p w14:paraId="50A019EE" w14:textId="39096B45" w:rsidR="00655890" w:rsidRPr="001C6900" w:rsidRDefault="00655890" w:rsidP="00494671">
      <w:pPr>
        <w:spacing w:after="120"/>
        <w:rPr>
          <w:bCs/>
        </w:rPr>
      </w:pPr>
      <w:r w:rsidRPr="00494671">
        <w:rPr>
          <w:rStyle w:val="FootnoteReference"/>
          <w:bCs/>
          <w:sz w:val="22"/>
          <w:szCs w:val="22"/>
        </w:rPr>
        <w:footnoteRef/>
      </w:r>
      <w:r w:rsidRPr="00494671">
        <w:rPr>
          <w:bCs/>
          <w:sz w:val="22"/>
          <w:szCs w:val="22"/>
        </w:rPr>
        <w:t xml:space="preserve">  </w:t>
      </w:r>
      <w:r w:rsidR="002516BD" w:rsidRPr="00494671">
        <w:rPr>
          <w:i/>
          <w:iCs/>
          <w:sz w:val="22"/>
          <w:szCs w:val="22"/>
        </w:rPr>
        <w:t>Ibid</w:t>
      </w:r>
      <w:r w:rsidR="002516BD" w:rsidRPr="00494671">
        <w:rPr>
          <w:sz w:val="22"/>
          <w:szCs w:val="22"/>
        </w:rPr>
        <w:t>.</w:t>
      </w:r>
    </w:p>
  </w:footnote>
  <w:footnote w:id="58">
    <w:p w14:paraId="290F9003" w14:textId="77777777"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SDG&amp;E Application Testimony of Sara Nordin, SN-CARE-25.</w:t>
      </w:r>
    </w:p>
  </w:footnote>
  <w:footnote w:id="59">
    <w:p w14:paraId="551480AE" w14:textId="3964FC6D" w:rsidR="00655890" w:rsidRPr="00494671" w:rsidRDefault="00655890" w:rsidP="00494671">
      <w:pPr>
        <w:spacing w:after="120"/>
        <w:rPr>
          <w:bCs/>
          <w:sz w:val="22"/>
          <w:szCs w:val="22"/>
        </w:rPr>
      </w:pPr>
      <w:r w:rsidRPr="00494671">
        <w:rPr>
          <w:rStyle w:val="FootnoteReference"/>
          <w:bCs/>
          <w:iCs/>
          <w:sz w:val="22"/>
          <w:szCs w:val="22"/>
        </w:rPr>
        <w:footnoteRef/>
      </w:r>
      <w:r w:rsidRPr="00494671">
        <w:rPr>
          <w:bCs/>
          <w:sz w:val="22"/>
          <w:szCs w:val="22"/>
        </w:rPr>
        <w:t xml:space="preserve">  </w:t>
      </w:r>
      <w:r w:rsidR="008B5275" w:rsidRPr="00494671">
        <w:rPr>
          <w:i/>
          <w:iCs/>
          <w:sz w:val="22"/>
          <w:szCs w:val="22"/>
        </w:rPr>
        <w:t>Id</w:t>
      </w:r>
      <w:r w:rsidR="008B5275" w:rsidRPr="00494671">
        <w:rPr>
          <w:sz w:val="22"/>
          <w:szCs w:val="22"/>
        </w:rPr>
        <w:t xml:space="preserve"> at </w:t>
      </w:r>
      <w:r w:rsidRPr="00494671">
        <w:rPr>
          <w:bCs/>
          <w:sz w:val="22"/>
          <w:szCs w:val="22"/>
        </w:rPr>
        <w:t>18-19.</w:t>
      </w:r>
    </w:p>
  </w:footnote>
  <w:footnote w:id="60">
    <w:p w14:paraId="0E9978E4" w14:textId="77777777" w:rsidR="00655890" w:rsidRPr="001C6900" w:rsidRDefault="00655890" w:rsidP="00494671">
      <w:pPr>
        <w:spacing w:after="120"/>
        <w:rPr>
          <w:bCs/>
        </w:rPr>
      </w:pPr>
      <w:r w:rsidRPr="00494671">
        <w:rPr>
          <w:rStyle w:val="FootnoteReference"/>
          <w:bCs/>
          <w:sz w:val="22"/>
          <w:szCs w:val="22"/>
        </w:rPr>
        <w:footnoteRef/>
      </w:r>
      <w:r w:rsidRPr="00494671">
        <w:rPr>
          <w:rStyle w:val="FootnoteReference"/>
          <w:bCs/>
          <w:iCs/>
          <w:sz w:val="22"/>
          <w:szCs w:val="22"/>
        </w:rPr>
        <w:t xml:space="preserve"> </w:t>
      </w:r>
      <w:r w:rsidRPr="00494671">
        <w:rPr>
          <w:bCs/>
          <w:iCs/>
          <w:sz w:val="22"/>
          <w:szCs w:val="22"/>
        </w:rPr>
        <w:t xml:space="preserve"> </w:t>
      </w:r>
      <w:r w:rsidRPr="00494671">
        <w:rPr>
          <w:bCs/>
          <w:sz w:val="22"/>
          <w:szCs w:val="22"/>
        </w:rPr>
        <w:t>SDG&amp;E Application, 19.</w:t>
      </w:r>
    </w:p>
  </w:footnote>
  <w:footnote w:id="61">
    <w:p w14:paraId="30BF88F6" w14:textId="7234AA93" w:rsidR="00655890" w:rsidRPr="00494671" w:rsidRDefault="00655890" w:rsidP="00494671">
      <w:pPr>
        <w:spacing w:after="120"/>
        <w:rPr>
          <w:rStyle w:val="FootnoteReference"/>
          <w:iCs/>
          <w:sz w:val="22"/>
          <w:szCs w:val="22"/>
        </w:rPr>
      </w:pPr>
      <w:r w:rsidRPr="00494671">
        <w:rPr>
          <w:rStyle w:val="FootnoteReference"/>
          <w:sz w:val="22"/>
          <w:szCs w:val="22"/>
        </w:rPr>
        <w:footnoteRef/>
      </w:r>
      <w:r w:rsidRPr="00494671">
        <w:rPr>
          <w:rStyle w:val="FootnoteReference"/>
          <w:iCs/>
          <w:sz w:val="22"/>
          <w:szCs w:val="22"/>
        </w:rPr>
        <w:t xml:space="preserve">  </w:t>
      </w:r>
      <w:r w:rsidR="002516BD" w:rsidRPr="00494671">
        <w:rPr>
          <w:i/>
          <w:iCs/>
          <w:sz w:val="22"/>
          <w:szCs w:val="22"/>
        </w:rPr>
        <w:t>Ibid</w:t>
      </w:r>
      <w:r w:rsidR="002516BD" w:rsidRPr="00494671">
        <w:rPr>
          <w:sz w:val="22"/>
          <w:szCs w:val="22"/>
        </w:rPr>
        <w:t>.</w:t>
      </w:r>
    </w:p>
  </w:footnote>
  <w:footnote w:id="62">
    <w:p w14:paraId="3EF61FCE" w14:textId="6980C675" w:rsidR="00655890" w:rsidRPr="00494671" w:rsidRDefault="00655890" w:rsidP="00494671">
      <w:pPr>
        <w:spacing w:after="120"/>
        <w:rPr>
          <w:rStyle w:val="FootnoteReference"/>
          <w:iCs/>
          <w:sz w:val="22"/>
          <w:szCs w:val="22"/>
        </w:rPr>
      </w:pPr>
      <w:r w:rsidRPr="00494671">
        <w:rPr>
          <w:rStyle w:val="FootnoteReference"/>
          <w:sz w:val="22"/>
          <w:szCs w:val="22"/>
        </w:rPr>
        <w:footnoteRef/>
      </w:r>
      <w:r w:rsidRPr="00494671">
        <w:rPr>
          <w:rStyle w:val="FootnoteReference"/>
          <w:iCs/>
          <w:sz w:val="22"/>
          <w:szCs w:val="22"/>
        </w:rPr>
        <w:t xml:space="preserve"> </w:t>
      </w:r>
      <w:r w:rsidRPr="00494671">
        <w:rPr>
          <w:iCs/>
          <w:sz w:val="22"/>
          <w:szCs w:val="22"/>
        </w:rPr>
        <w:t xml:space="preserve"> </w:t>
      </w:r>
      <w:r w:rsidR="008B5275" w:rsidRPr="00494671">
        <w:rPr>
          <w:i/>
          <w:iCs/>
          <w:sz w:val="22"/>
          <w:szCs w:val="22"/>
        </w:rPr>
        <w:t>Id</w:t>
      </w:r>
      <w:r w:rsidR="008B5275" w:rsidRPr="00494671">
        <w:rPr>
          <w:sz w:val="22"/>
          <w:szCs w:val="22"/>
        </w:rPr>
        <w:t xml:space="preserve"> at </w:t>
      </w:r>
      <w:r w:rsidRPr="00494671">
        <w:rPr>
          <w:bCs/>
          <w:sz w:val="22"/>
          <w:szCs w:val="22"/>
        </w:rPr>
        <w:t>28.</w:t>
      </w:r>
    </w:p>
  </w:footnote>
  <w:footnote w:id="63">
    <w:p w14:paraId="032F04E5" w14:textId="77777777" w:rsidR="00655890" w:rsidRPr="00494671" w:rsidRDefault="00655890" w:rsidP="00494671">
      <w:pPr>
        <w:spacing w:after="120"/>
        <w:rPr>
          <w:rStyle w:val="FootnoteReference"/>
          <w:iCs/>
          <w:sz w:val="22"/>
          <w:szCs w:val="22"/>
        </w:rPr>
      </w:pPr>
      <w:r w:rsidRPr="00494671">
        <w:rPr>
          <w:rStyle w:val="FootnoteReference"/>
          <w:sz w:val="22"/>
          <w:szCs w:val="22"/>
        </w:rPr>
        <w:footnoteRef/>
      </w:r>
      <w:r w:rsidRPr="00494671">
        <w:rPr>
          <w:rStyle w:val="FootnoteReference"/>
          <w:iCs/>
          <w:sz w:val="22"/>
          <w:szCs w:val="22"/>
        </w:rPr>
        <w:t xml:space="preserve">  </w:t>
      </w:r>
      <w:r w:rsidRPr="00494671">
        <w:rPr>
          <w:bCs/>
          <w:sz w:val="22"/>
          <w:szCs w:val="22"/>
        </w:rPr>
        <w:t>SDG&amp;E Application Testimony of Sara Nordin, SN-CARE-27.</w:t>
      </w:r>
    </w:p>
  </w:footnote>
  <w:footnote w:id="64">
    <w:p w14:paraId="3DDB7D9D" w14:textId="0C4A567E" w:rsidR="00655890" w:rsidRDefault="00655890" w:rsidP="00494671">
      <w:pPr>
        <w:spacing w:after="120"/>
      </w:pPr>
      <w:r w:rsidRPr="00494671">
        <w:rPr>
          <w:rStyle w:val="FootnoteReference"/>
          <w:sz w:val="22"/>
          <w:szCs w:val="22"/>
        </w:rPr>
        <w:footnoteRef/>
      </w:r>
      <w:r w:rsidRPr="00494671">
        <w:rPr>
          <w:sz w:val="22"/>
          <w:szCs w:val="22"/>
        </w:rPr>
        <w:t xml:space="preserve">  </w:t>
      </w:r>
      <w:r w:rsidR="008B5275" w:rsidRPr="00494671">
        <w:rPr>
          <w:i/>
          <w:iCs/>
          <w:sz w:val="22"/>
          <w:szCs w:val="22"/>
        </w:rPr>
        <w:t>Id</w:t>
      </w:r>
      <w:r w:rsidR="008B5275" w:rsidRPr="00494671">
        <w:rPr>
          <w:sz w:val="22"/>
          <w:szCs w:val="22"/>
        </w:rPr>
        <w:t xml:space="preserve"> at </w:t>
      </w:r>
      <w:r w:rsidRPr="00494671">
        <w:rPr>
          <w:sz w:val="22"/>
          <w:szCs w:val="22"/>
        </w:rPr>
        <w:t>SN-CARE-21.</w:t>
      </w:r>
    </w:p>
  </w:footnote>
  <w:footnote w:id="65">
    <w:p w14:paraId="286EC143" w14:textId="44F907C0" w:rsidR="00655890" w:rsidRDefault="00655890" w:rsidP="000C1980">
      <w:pPr>
        <w:pStyle w:val="FootnoteText"/>
      </w:pPr>
      <w:r>
        <w:rPr>
          <w:rStyle w:val="FootnoteReference"/>
        </w:rPr>
        <w:footnoteRef/>
      </w:r>
      <w:r>
        <w:t xml:space="preserve">  Cal Advocates Amended, 2-7 - 2-8.</w:t>
      </w:r>
    </w:p>
  </w:footnote>
  <w:footnote w:id="66">
    <w:p w14:paraId="3BF8EDEC" w14:textId="1AE4C70A" w:rsidR="00655890" w:rsidRDefault="00655890" w:rsidP="000C1980">
      <w:pPr>
        <w:pStyle w:val="FootnoteText"/>
      </w:pPr>
      <w:r>
        <w:rPr>
          <w:rStyle w:val="FootnoteReference"/>
        </w:rPr>
        <w:footnoteRef/>
      </w:r>
      <w:r>
        <w:t xml:space="preserve">  </w:t>
      </w:r>
      <w:r w:rsidR="008B5275" w:rsidRPr="00CB4AE6">
        <w:rPr>
          <w:i/>
          <w:iCs/>
        </w:rPr>
        <w:t>Id</w:t>
      </w:r>
      <w:r w:rsidR="008B5275">
        <w:t xml:space="preserve"> at </w:t>
      </w:r>
      <w:r>
        <w:t>2-5.</w:t>
      </w:r>
    </w:p>
  </w:footnote>
  <w:footnote w:id="67">
    <w:p w14:paraId="57CC549E" w14:textId="55B48500" w:rsidR="00655890" w:rsidRDefault="00655890" w:rsidP="000C1980">
      <w:pPr>
        <w:pStyle w:val="FootnoteText"/>
      </w:pPr>
      <w:r>
        <w:rPr>
          <w:rStyle w:val="FootnoteReference"/>
        </w:rPr>
        <w:footnoteRef/>
      </w:r>
      <w:r>
        <w:t xml:space="preserve">  </w:t>
      </w:r>
      <w:r w:rsidR="008B5275" w:rsidRPr="00CB4AE6">
        <w:rPr>
          <w:i/>
          <w:iCs/>
        </w:rPr>
        <w:t>Id</w:t>
      </w:r>
      <w:r w:rsidR="008B5275">
        <w:t xml:space="preserve"> at </w:t>
      </w:r>
      <w:r>
        <w:t>2-5.</w:t>
      </w:r>
    </w:p>
  </w:footnote>
  <w:footnote w:id="68">
    <w:p w14:paraId="54D72217" w14:textId="25D84ACD" w:rsidR="00655890" w:rsidRDefault="00655890" w:rsidP="000C1980">
      <w:pPr>
        <w:pStyle w:val="FootnoteText"/>
      </w:pPr>
      <w:r>
        <w:rPr>
          <w:rStyle w:val="FootnoteReference"/>
        </w:rPr>
        <w:footnoteRef/>
      </w:r>
      <w:r>
        <w:t xml:space="preserve">  TURN </w:t>
      </w:r>
      <w:r w:rsidR="008F467C">
        <w:t>Opening Brief</w:t>
      </w:r>
      <w:r>
        <w:t xml:space="preserve">, </w:t>
      </w:r>
      <w:r w:rsidR="008F467C">
        <w:t>6</w:t>
      </w:r>
      <w:r>
        <w:t>.</w:t>
      </w:r>
    </w:p>
  </w:footnote>
  <w:footnote w:id="69">
    <w:p w14:paraId="5C43AD63" w14:textId="0A4881CF"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TURN Prepared Testimony of Hayley Goodson, 3.</w:t>
      </w:r>
    </w:p>
  </w:footnote>
  <w:footnote w:id="70">
    <w:p w14:paraId="2B5F916C" w14:textId="40EE0710"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SCE CARE PEV income verification document list: </w:t>
      </w:r>
      <w:hyperlink r:id="rId5" w:anchor="page=1" w:history="1">
        <w:r w:rsidR="00063112" w:rsidRPr="00494671">
          <w:rPr>
            <w:rStyle w:val="Hyperlink"/>
            <w:szCs w:val="22"/>
          </w:rPr>
          <w:t>https://www.sce.com/sites/default/files/inline-files/5193_SCE_ApprovedDocListVerification_20161013_AA.pdf#page=1</w:t>
        </w:r>
      </w:hyperlink>
      <w:hyperlink w:history="1"/>
      <w:r w:rsidR="00ED1385" w:rsidRPr="00494671">
        <w:rPr>
          <w:szCs w:val="22"/>
        </w:rPr>
        <w:t>.</w:t>
      </w:r>
      <w:r w:rsidRPr="00494671">
        <w:rPr>
          <w:szCs w:val="22"/>
        </w:rPr>
        <w:t xml:space="preserve"> </w:t>
      </w:r>
    </w:p>
  </w:footnote>
  <w:footnote w:id="71">
    <w:p w14:paraId="0C5AA9A4" w14:textId="77777777" w:rsidR="00655890" w:rsidRPr="00494671" w:rsidRDefault="00655890" w:rsidP="00494671">
      <w:pPr>
        <w:spacing w:after="120"/>
        <w:rPr>
          <w:rStyle w:val="FootnoteReference"/>
          <w:iCs/>
          <w:sz w:val="22"/>
          <w:szCs w:val="22"/>
        </w:rPr>
      </w:pPr>
      <w:r w:rsidRPr="00494671">
        <w:rPr>
          <w:rStyle w:val="FootnoteReference"/>
          <w:sz w:val="22"/>
          <w:szCs w:val="22"/>
        </w:rPr>
        <w:footnoteRef/>
      </w:r>
      <w:r w:rsidRPr="00494671">
        <w:rPr>
          <w:rStyle w:val="FootnoteReference"/>
          <w:iCs/>
          <w:sz w:val="22"/>
          <w:szCs w:val="22"/>
        </w:rPr>
        <w:t xml:space="preserve"> </w:t>
      </w:r>
      <w:r w:rsidRPr="00494671">
        <w:rPr>
          <w:iCs/>
          <w:sz w:val="22"/>
          <w:szCs w:val="22"/>
        </w:rPr>
        <w:t xml:space="preserve"> </w:t>
      </w:r>
      <w:r w:rsidRPr="00494671">
        <w:rPr>
          <w:bCs/>
          <w:sz w:val="22"/>
          <w:szCs w:val="22"/>
        </w:rPr>
        <w:t>CforAT Response to SCE, 3-4.</w:t>
      </w:r>
    </w:p>
  </w:footnote>
  <w:footnote w:id="72">
    <w:p w14:paraId="0D2A9E0C" w14:textId="77777777" w:rsidR="00655890" w:rsidRDefault="00655890" w:rsidP="00494671">
      <w:pPr>
        <w:pStyle w:val="FootnoteText"/>
      </w:pPr>
      <w:r w:rsidRPr="00494671">
        <w:rPr>
          <w:rStyle w:val="FootnoteReference"/>
          <w:szCs w:val="22"/>
        </w:rPr>
        <w:footnoteRef/>
      </w:r>
      <w:r w:rsidRPr="00494671">
        <w:rPr>
          <w:szCs w:val="22"/>
        </w:rPr>
        <w:t xml:space="preserve">  PG&amp;E Rebuttal Testimony, II-6.</w:t>
      </w:r>
    </w:p>
  </w:footnote>
  <w:footnote w:id="73">
    <w:p w14:paraId="36FDDEF1" w14:textId="0691B886" w:rsidR="00655890" w:rsidRDefault="00655890" w:rsidP="0064402B">
      <w:pPr>
        <w:pStyle w:val="FootnoteText"/>
      </w:pPr>
      <w:r>
        <w:rPr>
          <w:rStyle w:val="FootnoteReference"/>
        </w:rPr>
        <w:footnoteRef/>
      </w:r>
      <w:r>
        <w:t xml:space="preserve">  </w:t>
      </w:r>
      <w:r w:rsidR="008B5275" w:rsidRPr="00CB4AE6">
        <w:rPr>
          <w:i/>
          <w:iCs/>
        </w:rPr>
        <w:t>Id</w:t>
      </w:r>
      <w:r w:rsidR="008B5275">
        <w:t xml:space="preserve"> at </w:t>
      </w:r>
      <w:r>
        <w:t>II-10.</w:t>
      </w:r>
    </w:p>
  </w:footnote>
  <w:footnote w:id="74">
    <w:p w14:paraId="445EA050" w14:textId="77777777" w:rsidR="00655890" w:rsidRDefault="00655890" w:rsidP="000C1980">
      <w:pPr>
        <w:pStyle w:val="FootnoteText"/>
      </w:pPr>
      <w:r>
        <w:rPr>
          <w:rStyle w:val="FootnoteReference"/>
        </w:rPr>
        <w:footnoteRef/>
      </w:r>
      <w:r>
        <w:t xml:space="preserve">  SCE Rebuttal Testimony, 39.</w:t>
      </w:r>
    </w:p>
  </w:footnote>
  <w:footnote w:id="75">
    <w:p w14:paraId="7D38F1F4" w14:textId="1F6099A4" w:rsidR="00655890" w:rsidRDefault="00655890" w:rsidP="000C1980">
      <w:pPr>
        <w:pStyle w:val="FootnoteText"/>
      </w:pPr>
      <w:r>
        <w:rPr>
          <w:rStyle w:val="FootnoteReference"/>
        </w:rPr>
        <w:footnoteRef/>
      </w:r>
      <w:r>
        <w:t xml:space="preserve">  </w:t>
      </w:r>
      <w:r w:rsidR="008B5275" w:rsidRPr="00CB4AE6">
        <w:rPr>
          <w:i/>
          <w:iCs/>
        </w:rPr>
        <w:t>Id</w:t>
      </w:r>
      <w:r w:rsidR="008B5275">
        <w:t xml:space="preserve"> at </w:t>
      </w:r>
      <w:r>
        <w:t>37-38.</w:t>
      </w:r>
    </w:p>
  </w:footnote>
  <w:footnote w:id="76">
    <w:p w14:paraId="0CA71621" w14:textId="77777777" w:rsidR="00655890" w:rsidRDefault="00655890" w:rsidP="000C1980">
      <w:pPr>
        <w:pStyle w:val="FootnoteText"/>
      </w:pPr>
      <w:r>
        <w:rPr>
          <w:rStyle w:val="FootnoteReference"/>
        </w:rPr>
        <w:footnoteRef/>
      </w:r>
      <w:r>
        <w:t xml:space="preserve">  SoCalGas Rebuttal Testimony of Octavio Verduzco, 2.</w:t>
      </w:r>
    </w:p>
  </w:footnote>
  <w:footnote w:id="77">
    <w:p w14:paraId="0108A677" w14:textId="77777777" w:rsidR="00655890" w:rsidRDefault="00655890" w:rsidP="000C1980">
      <w:pPr>
        <w:pStyle w:val="FootnoteText"/>
      </w:pPr>
      <w:r>
        <w:rPr>
          <w:rStyle w:val="FootnoteReference"/>
        </w:rPr>
        <w:footnoteRef/>
      </w:r>
      <w:r>
        <w:t xml:space="preserve">  SDG&amp;E Rebuttal Testimony of Sara Nordin, SN-CARE-3.</w:t>
      </w:r>
    </w:p>
  </w:footnote>
  <w:footnote w:id="78">
    <w:p w14:paraId="43E6D8BB" w14:textId="57F2DB74" w:rsidR="00655890" w:rsidRDefault="00655890" w:rsidP="000C1980">
      <w:pPr>
        <w:pStyle w:val="FootnoteText"/>
      </w:pPr>
      <w:r>
        <w:rPr>
          <w:rStyle w:val="FootnoteReference"/>
        </w:rPr>
        <w:footnoteRef/>
      </w:r>
      <w:r>
        <w:t xml:space="preserve">  </w:t>
      </w:r>
      <w:r w:rsidR="008B5275" w:rsidRPr="00CB4AE6">
        <w:rPr>
          <w:i/>
          <w:iCs/>
        </w:rPr>
        <w:t>Id</w:t>
      </w:r>
      <w:r w:rsidR="008B5275">
        <w:t xml:space="preserve"> at </w:t>
      </w:r>
      <w:r>
        <w:t>SN-CARE-3.</w:t>
      </w:r>
    </w:p>
  </w:footnote>
  <w:footnote w:id="79">
    <w:p w14:paraId="69A7D1EA" w14:textId="3E1700DB" w:rsidR="00F64EF6" w:rsidRDefault="00F64EF6">
      <w:pPr>
        <w:pStyle w:val="FootnoteText"/>
      </w:pPr>
      <w:r>
        <w:rPr>
          <w:rStyle w:val="FootnoteReference"/>
        </w:rPr>
        <w:footnoteRef/>
      </w:r>
      <w:r>
        <w:t xml:space="preserve"> SDG&amp;E Reply Brief, 19.</w:t>
      </w:r>
    </w:p>
  </w:footnote>
  <w:footnote w:id="80">
    <w:p w14:paraId="0A154BF0" w14:textId="75727EBC" w:rsidR="00655890" w:rsidRDefault="00655890" w:rsidP="000C1980">
      <w:pPr>
        <w:pStyle w:val="FootnoteText"/>
      </w:pPr>
      <w:r>
        <w:rPr>
          <w:rStyle w:val="FootnoteReference"/>
        </w:rPr>
        <w:footnoteRef/>
      </w:r>
      <w:r>
        <w:t xml:space="preserve">  2019 LINA, 59.</w:t>
      </w:r>
    </w:p>
  </w:footnote>
  <w:footnote w:id="81">
    <w:p w14:paraId="6E0EF87F" w14:textId="7A90921F" w:rsidR="00655890" w:rsidRDefault="00655890" w:rsidP="000C1980">
      <w:pPr>
        <w:pStyle w:val="FootnoteText"/>
      </w:pPr>
      <w:r>
        <w:rPr>
          <w:rStyle w:val="FootnoteReference"/>
        </w:rPr>
        <w:footnoteRef/>
      </w:r>
      <w:r>
        <w:t xml:space="preserve"> </w:t>
      </w:r>
      <w:r w:rsidR="00494671">
        <w:t xml:space="preserve"> </w:t>
      </w:r>
      <w:r w:rsidRPr="00D53216">
        <w:t>Decision 12-08-044</w:t>
      </w:r>
      <w:r>
        <w:t>, 213.</w:t>
      </w:r>
    </w:p>
  </w:footnote>
  <w:footnote w:id="82">
    <w:p w14:paraId="4F6016D3" w14:textId="77777777" w:rsidR="00655890" w:rsidRDefault="00655890" w:rsidP="000C1980">
      <w:pPr>
        <w:pStyle w:val="FootnoteText"/>
      </w:pPr>
      <w:r>
        <w:rPr>
          <w:rStyle w:val="FootnoteReference"/>
        </w:rPr>
        <w:footnoteRef/>
      </w:r>
      <w:r>
        <w:t xml:space="preserve"> PG&amp;E Application Testimony Chapter II, 9.</w:t>
      </w:r>
    </w:p>
  </w:footnote>
  <w:footnote w:id="83">
    <w:p w14:paraId="34586BB4" w14:textId="1AD9D7CC" w:rsidR="00655890" w:rsidRDefault="00655890" w:rsidP="000C1980">
      <w:pPr>
        <w:pStyle w:val="FootnoteText"/>
      </w:pPr>
      <w:r>
        <w:rPr>
          <w:rStyle w:val="FootnoteReference"/>
        </w:rPr>
        <w:footnoteRef/>
      </w:r>
      <w:r>
        <w:t xml:space="preserve"> SoCalGas Application Testimony of Octavio Verduzco, OV-23.</w:t>
      </w:r>
    </w:p>
  </w:footnote>
  <w:footnote w:id="84">
    <w:p w14:paraId="3F28A412" w14:textId="77777777" w:rsidR="00655890" w:rsidRDefault="00655890" w:rsidP="000C1980">
      <w:pPr>
        <w:pStyle w:val="FootnoteText"/>
      </w:pPr>
      <w:r>
        <w:rPr>
          <w:rStyle w:val="FootnoteReference"/>
        </w:rPr>
        <w:footnoteRef/>
      </w:r>
      <w:r>
        <w:t xml:space="preserve"> SDG&amp;E Rebuttal Testimony of Sarah Nordin, SN-CARE-3.</w:t>
      </w:r>
    </w:p>
  </w:footnote>
  <w:footnote w:id="85">
    <w:p w14:paraId="152B0B8D" w14:textId="77777777" w:rsidR="00655890" w:rsidRDefault="00655890" w:rsidP="000C1980">
      <w:pPr>
        <w:pStyle w:val="FootnoteText"/>
      </w:pPr>
      <w:r>
        <w:rPr>
          <w:rStyle w:val="FootnoteReference"/>
        </w:rPr>
        <w:footnoteRef/>
      </w:r>
      <w:r>
        <w:t xml:space="preserve">  Energy Division Data Request to IOUs issued on September 17, 2020.</w:t>
      </w:r>
    </w:p>
  </w:footnote>
  <w:footnote w:id="86">
    <w:p w14:paraId="2F66DEDD" w14:textId="10C093C9" w:rsidR="00655890" w:rsidRDefault="00655890" w:rsidP="000C1980">
      <w:pPr>
        <w:pStyle w:val="FootnoteText"/>
      </w:pPr>
      <w:r>
        <w:rPr>
          <w:rStyle w:val="FootnoteReference"/>
        </w:rPr>
        <w:footnoteRef/>
      </w:r>
      <w:r>
        <w:t xml:space="preserve">  PG&amp;E, SCE and SDG&amp;E 2018 CARE Annual Reports, CARE Table 3.</w:t>
      </w:r>
    </w:p>
  </w:footnote>
  <w:footnote w:id="87">
    <w:p w14:paraId="1880986F" w14:textId="77777777" w:rsidR="00655890" w:rsidRDefault="00655890" w:rsidP="000C1980">
      <w:pPr>
        <w:pStyle w:val="FootnoteText"/>
      </w:pPr>
      <w:r>
        <w:rPr>
          <w:rStyle w:val="FootnoteReference"/>
        </w:rPr>
        <w:footnoteRef/>
      </w:r>
      <w:r>
        <w:t xml:space="preserve">  IOU statewide attrition rate for HU PEV process calculated from 2018-2019 CARE Annual Reports.</w:t>
      </w:r>
    </w:p>
  </w:footnote>
  <w:footnote w:id="88">
    <w:p w14:paraId="18648D21" w14:textId="77777777" w:rsidR="00655890" w:rsidRDefault="00655890" w:rsidP="000C1980">
      <w:pPr>
        <w:pStyle w:val="FootnoteText"/>
      </w:pPr>
      <w:r>
        <w:rPr>
          <w:rStyle w:val="FootnoteReference"/>
        </w:rPr>
        <w:footnoteRef/>
      </w:r>
      <w:r>
        <w:t xml:space="preserve">  D.12-08-044 discusses anecdotal evidence that was presented in 2011 that some marijuana growers were using the CARE rate for their operations.  That decision required the IOUs to develop and field a standard income verification document for these instances which may require customers to provide a state or federally verified form of income proof, such as the household’s annual tax returns.</w:t>
      </w:r>
    </w:p>
  </w:footnote>
  <w:footnote w:id="89">
    <w:p w14:paraId="6486E44E" w14:textId="77777777" w:rsidR="00655890" w:rsidRDefault="00655890" w:rsidP="000C1980">
      <w:pPr>
        <w:pStyle w:val="FootnoteText"/>
      </w:pPr>
      <w:r>
        <w:rPr>
          <w:rStyle w:val="FootnoteReference"/>
        </w:rPr>
        <w:footnoteRef/>
      </w:r>
      <w:r>
        <w:t xml:space="preserve">  TURN Intervenor Testimony of Hayley Goodson, 4.</w:t>
      </w:r>
    </w:p>
  </w:footnote>
  <w:footnote w:id="90">
    <w:p w14:paraId="25F182D1" w14:textId="61331B5E" w:rsidR="00655890" w:rsidRDefault="00655890" w:rsidP="000C1980">
      <w:pPr>
        <w:pStyle w:val="FootnoteText"/>
      </w:pPr>
      <w:r>
        <w:rPr>
          <w:rStyle w:val="FootnoteReference"/>
        </w:rPr>
        <w:footnoteRef/>
      </w:r>
      <w:r>
        <w:t xml:space="preserve">  2019 California Low Income Needs Assessment, </w:t>
      </w:r>
      <w:r w:rsidRPr="005E69BF">
        <w:t>Final Report: Volume 1 of 3: Summary of Key Findings</w:t>
      </w:r>
      <w:r>
        <w:t>, 3.</w:t>
      </w:r>
    </w:p>
  </w:footnote>
  <w:footnote w:id="91">
    <w:p w14:paraId="3D3456C8" w14:textId="77777777"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D. 12-08-044, 225.</w:t>
      </w:r>
    </w:p>
  </w:footnote>
  <w:footnote w:id="92">
    <w:p w14:paraId="1F3D4B2C" w14:textId="0D86BFA7" w:rsidR="00655890" w:rsidRPr="00494671" w:rsidRDefault="00655890" w:rsidP="00494671">
      <w:pPr>
        <w:pStyle w:val="FootnoteText"/>
        <w:rPr>
          <w:szCs w:val="22"/>
        </w:rPr>
      </w:pPr>
      <w:r w:rsidRPr="00494671">
        <w:rPr>
          <w:rStyle w:val="FootnoteReference"/>
          <w:szCs w:val="22"/>
        </w:rPr>
        <w:footnoteRef/>
      </w:r>
      <w:r w:rsidRPr="00494671">
        <w:rPr>
          <w:szCs w:val="22"/>
        </w:rPr>
        <w:t xml:space="preserve"> D.01-05-033, OP 6-88.</w:t>
      </w:r>
    </w:p>
  </w:footnote>
  <w:footnote w:id="93">
    <w:p w14:paraId="58630163" w14:textId="44A27DBF" w:rsidR="00655890" w:rsidRPr="00494671" w:rsidRDefault="00655890" w:rsidP="00494671">
      <w:pPr>
        <w:spacing w:after="120"/>
        <w:rPr>
          <w:sz w:val="22"/>
          <w:szCs w:val="22"/>
        </w:rPr>
      </w:pPr>
      <w:r w:rsidRPr="00494671">
        <w:rPr>
          <w:rStyle w:val="FootnoteReference"/>
          <w:sz w:val="22"/>
          <w:szCs w:val="22"/>
        </w:rPr>
        <w:footnoteRef/>
      </w:r>
      <w:r w:rsidRPr="00494671">
        <w:rPr>
          <w:sz w:val="22"/>
          <w:szCs w:val="22"/>
        </w:rPr>
        <w:t xml:space="preserve"> D.06-12-038, OP 22-75.</w:t>
      </w:r>
    </w:p>
  </w:footnote>
  <w:footnote w:id="94">
    <w:p w14:paraId="31C635A5" w14:textId="02E7F065" w:rsidR="00655890" w:rsidRDefault="00655890" w:rsidP="00494671">
      <w:pPr>
        <w:pStyle w:val="FootnoteText"/>
      </w:pPr>
      <w:r w:rsidRPr="00494671">
        <w:rPr>
          <w:rStyle w:val="FootnoteReference"/>
          <w:szCs w:val="22"/>
        </w:rPr>
        <w:footnoteRef/>
      </w:r>
      <w:r w:rsidRPr="00494671">
        <w:rPr>
          <w:szCs w:val="22"/>
        </w:rPr>
        <w:t xml:space="preserve"> D.12-08-044, OP 105-403.</w:t>
      </w:r>
    </w:p>
  </w:footnote>
  <w:footnote w:id="95">
    <w:p w14:paraId="79E4FDE9" w14:textId="77777777" w:rsidR="00655890" w:rsidRDefault="00655890" w:rsidP="000C1980">
      <w:pPr>
        <w:pStyle w:val="FootnoteText"/>
      </w:pPr>
      <w:r>
        <w:rPr>
          <w:rStyle w:val="FootnoteReference"/>
        </w:rPr>
        <w:footnoteRef/>
      </w:r>
      <w:r>
        <w:t xml:space="preserve">  D.18-08-008, 8.</w:t>
      </w:r>
    </w:p>
  </w:footnote>
  <w:footnote w:id="96">
    <w:p w14:paraId="60EDD63E" w14:textId="77777777" w:rsidR="00655890" w:rsidRDefault="00655890" w:rsidP="000C1980">
      <w:pPr>
        <w:pStyle w:val="FootnoteText"/>
      </w:pPr>
      <w:r>
        <w:rPr>
          <w:rStyle w:val="FootnoteReference"/>
        </w:rPr>
        <w:footnoteRef/>
      </w:r>
      <w:r>
        <w:t xml:space="preserve">  SDG&amp;E Application Testimony, SN-CARE-21.</w:t>
      </w:r>
    </w:p>
  </w:footnote>
  <w:footnote w:id="97">
    <w:p w14:paraId="1F40F971" w14:textId="3B44C80A" w:rsidR="00655890" w:rsidRDefault="00655890" w:rsidP="000C1980">
      <w:pPr>
        <w:pStyle w:val="FootnoteText"/>
      </w:pPr>
      <w:r>
        <w:rPr>
          <w:rStyle w:val="FootnoteReference"/>
        </w:rPr>
        <w:footnoteRef/>
      </w:r>
      <w:r>
        <w:t xml:space="preserve">  Decision 06-12-038.</w:t>
      </w:r>
    </w:p>
  </w:footnote>
  <w:footnote w:id="98">
    <w:p w14:paraId="1AAE33A1" w14:textId="77777777" w:rsidR="00655890" w:rsidRDefault="00655890" w:rsidP="000C1980">
      <w:pPr>
        <w:pStyle w:val="FootnoteText"/>
      </w:pPr>
      <w:r>
        <w:rPr>
          <w:rStyle w:val="FootnoteReference"/>
        </w:rPr>
        <w:footnoteRef/>
      </w:r>
      <w:r>
        <w:t xml:space="preserve">  PG&amp;E Prepared Testimony, II-31.</w:t>
      </w:r>
    </w:p>
  </w:footnote>
  <w:footnote w:id="99">
    <w:p w14:paraId="27FF5738" w14:textId="32385ABE" w:rsidR="00655890" w:rsidRDefault="00655890" w:rsidP="000C1980">
      <w:pPr>
        <w:pStyle w:val="FootnoteText"/>
      </w:pPr>
      <w:r>
        <w:rPr>
          <w:rStyle w:val="FootnoteReference"/>
        </w:rPr>
        <w:footnoteRef/>
      </w:r>
      <w:r>
        <w:t xml:space="preserve">  </w:t>
      </w:r>
      <w:r w:rsidR="000F4ECE" w:rsidRPr="00CB4AE6">
        <w:rPr>
          <w:i/>
          <w:iCs/>
        </w:rPr>
        <w:t>Id</w:t>
      </w:r>
      <w:r w:rsidR="000F4ECE">
        <w:t xml:space="preserve"> at</w:t>
      </w:r>
      <w:r>
        <w:t xml:space="preserve"> II-27.</w:t>
      </w:r>
    </w:p>
  </w:footnote>
  <w:footnote w:id="100">
    <w:p w14:paraId="09C1CDDF" w14:textId="77777777" w:rsidR="00655890" w:rsidRDefault="00655890" w:rsidP="000C1980">
      <w:pPr>
        <w:pStyle w:val="FootnoteText"/>
      </w:pPr>
      <w:r>
        <w:rPr>
          <w:rStyle w:val="FootnoteReference"/>
        </w:rPr>
        <w:footnoteRef/>
      </w:r>
      <w:r>
        <w:t xml:space="preserve">  PG&amp;E Response to June 25, </w:t>
      </w:r>
      <w:proofErr w:type="gramStart"/>
      <w:r>
        <w:t>2020</w:t>
      </w:r>
      <w:proofErr w:type="gramEnd"/>
      <w:r>
        <w:t xml:space="preserve"> ALJ Ruling Questions, 49.</w:t>
      </w:r>
    </w:p>
  </w:footnote>
  <w:footnote w:id="101">
    <w:p w14:paraId="6B03A546" w14:textId="36FDF641" w:rsidR="00655890" w:rsidRDefault="00655890" w:rsidP="000C1980">
      <w:pPr>
        <w:pStyle w:val="FootnoteText"/>
      </w:pPr>
      <w:r>
        <w:rPr>
          <w:rStyle w:val="FootnoteReference"/>
        </w:rPr>
        <w:footnoteRef/>
      </w:r>
      <w:r>
        <w:t xml:space="preserve"> </w:t>
      </w:r>
      <w:r w:rsidR="00494671">
        <w:t xml:space="preserve"> </w:t>
      </w:r>
      <w:r>
        <w:t>PG&amp;E Application Testimony, II-48.</w:t>
      </w:r>
    </w:p>
  </w:footnote>
  <w:footnote w:id="102">
    <w:p w14:paraId="05E8504A" w14:textId="77777777" w:rsidR="00655890" w:rsidRDefault="00655890" w:rsidP="000C1980">
      <w:pPr>
        <w:pStyle w:val="FootnoteText"/>
      </w:pPr>
      <w:r>
        <w:rPr>
          <w:rStyle w:val="FootnoteReference"/>
        </w:rPr>
        <w:footnoteRef/>
      </w:r>
      <w:r>
        <w:t xml:space="preserve">  </w:t>
      </w:r>
      <w:r w:rsidRPr="003F4480">
        <w:t xml:space="preserve">A </w:t>
      </w:r>
      <w:r>
        <w:t>“decile” splits</w:t>
      </w:r>
      <w:r w:rsidRPr="003F4480">
        <w:t xml:space="preserve"> up a set of ranked data into 10 equally large subsections.</w:t>
      </w:r>
      <w:r>
        <w:t xml:space="preserve"> For PG&amp;E, Decile 1 represents the portion of the residential population most likely to be eligible for CARE and Decile 10 being a portion of the population least likely to be eligible. Customers who score in Deciles 1 or 2 of their propensity model are the portion of the population considered to have “extremely high” likelihood of CARE eligibility.</w:t>
      </w:r>
    </w:p>
  </w:footnote>
  <w:footnote w:id="103">
    <w:p w14:paraId="3C5CE30D" w14:textId="77777777" w:rsidR="00655890" w:rsidRDefault="00655890" w:rsidP="000C1980">
      <w:pPr>
        <w:pStyle w:val="FootnoteText"/>
      </w:pPr>
      <w:r>
        <w:rPr>
          <w:rStyle w:val="FootnoteReference"/>
        </w:rPr>
        <w:footnoteRef/>
      </w:r>
      <w:r>
        <w:t xml:space="preserve">  PG&amp;E Prepared Testimony, II-39.</w:t>
      </w:r>
    </w:p>
  </w:footnote>
  <w:footnote w:id="104">
    <w:p w14:paraId="527F3E17" w14:textId="47DCDD2D" w:rsidR="00655890" w:rsidRDefault="00655890" w:rsidP="00494671">
      <w:pPr>
        <w:pStyle w:val="FootnoteText"/>
      </w:pPr>
      <w:r>
        <w:rPr>
          <w:rStyle w:val="FootnoteReference"/>
        </w:rPr>
        <w:footnoteRef/>
      </w:r>
      <w:r>
        <w:t xml:space="preserve">  </w:t>
      </w:r>
      <w:r w:rsidR="000F4ECE" w:rsidRPr="00CB4AE6">
        <w:rPr>
          <w:i/>
          <w:iCs/>
        </w:rPr>
        <w:t>Id</w:t>
      </w:r>
      <w:r w:rsidR="000F4ECE">
        <w:t xml:space="preserve"> at </w:t>
      </w:r>
      <w:r>
        <w:t>II-40.</w:t>
      </w:r>
    </w:p>
  </w:footnote>
  <w:footnote w:id="105">
    <w:p w14:paraId="767DE66C" w14:textId="77777777" w:rsidR="00655890" w:rsidRDefault="00655890" w:rsidP="00494671">
      <w:pPr>
        <w:pStyle w:val="FootnoteText"/>
      </w:pPr>
      <w:r>
        <w:rPr>
          <w:rStyle w:val="FootnoteReference"/>
        </w:rPr>
        <w:footnoteRef/>
      </w:r>
      <w:r>
        <w:t xml:space="preserve">  </w:t>
      </w:r>
      <w:r w:rsidRPr="001A4C9C">
        <w:rPr>
          <w:i/>
          <w:iCs/>
        </w:rPr>
        <w:t>Ibid</w:t>
      </w:r>
      <w:r>
        <w:t>.</w:t>
      </w:r>
    </w:p>
  </w:footnote>
  <w:footnote w:id="106">
    <w:p w14:paraId="56FDB6EB" w14:textId="77777777" w:rsidR="00655890" w:rsidRDefault="00655890" w:rsidP="00494671">
      <w:pPr>
        <w:pStyle w:val="FootnoteText"/>
      </w:pPr>
      <w:r>
        <w:rPr>
          <w:rStyle w:val="FootnoteReference"/>
        </w:rPr>
        <w:footnoteRef/>
      </w:r>
      <w:r>
        <w:t xml:space="preserve">  PG&amp;E Prepared Testimony, II-30.</w:t>
      </w:r>
    </w:p>
  </w:footnote>
  <w:footnote w:id="107">
    <w:p w14:paraId="5E5F2E9C" w14:textId="7F1DDEB6" w:rsidR="00655890" w:rsidRDefault="00655890" w:rsidP="00494671">
      <w:pPr>
        <w:pStyle w:val="FootnoteText"/>
      </w:pPr>
      <w:r>
        <w:rPr>
          <w:rStyle w:val="FootnoteReference"/>
        </w:rPr>
        <w:footnoteRef/>
      </w:r>
      <w:r>
        <w:t xml:space="preserve">  </w:t>
      </w:r>
      <w:r w:rsidR="00565068" w:rsidRPr="001A4C9C">
        <w:rPr>
          <w:i/>
          <w:iCs/>
        </w:rPr>
        <w:t>Ibid</w:t>
      </w:r>
      <w:r w:rsidR="00565068">
        <w:t>.</w:t>
      </w:r>
    </w:p>
  </w:footnote>
  <w:footnote w:id="108">
    <w:p w14:paraId="048BFD54" w14:textId="77777777" w:rsidR="00655890" w:rsidRDefault="00655890" w:rsidP="00494671">
      <w:pPr>
        <w:pStyle w:val="FootnoteText"/>
      </w:pPr>
      <w:r>
        <w:rPr>
          <w:rStyle w:val="FootnoteReference"/>
        </w:rPr>
        <w:footnoteRef/>
      </w:r>
      <w:r>
        <w:t xml:space="preserve">  D.17-12-009; Prepared Testimony II-29-30.</w:t>
      </w:r>
    </w:p>
  </w:footnote>
  <w:footnote w:id="109">
    <w:p w14:paraId="09822D27" w14:textId="77777777" w:rsidR="00655890" w:rsidRDefault="00655890" w:rsidP="00494671">
      <w:pPr>
        <w:pStyle w:val="FootnoteText"/>
      </w:pPr>
      <w:r>
        <w:rPr>
          <w:rStyle w:val="FootnoteReference"/>
        </w:rPr>
        <w:footnoteRef/>
      </w:r>
      <w:r>
        <w:t xml:space="preserve">  PG&amp;E Prepared Testimony, II-34.</w:t>
      </w:r>
    </w:p>
  </w:footnote>
  <w:footnote w:id="110">
    <w:p w14:paraId="620AD608" w14:textId="77777777" w:rsidR="00655890" w:rsidRDefault="00655890" w:rsidP="00494671">
      <w:pPr>
        <w:pStyle w:val="FootnoteText"/>
      </w:pPr>
      <w:r>
        <w:rPr>
          <w:rStyle w:val="FootnoteReference"/>
        </w:rPr>
        <w:footnoteRef/>
      </w:r>
      <w:r>
        <w:t xml:space="preserve">  D.17-12-009; Prepared Testimony, II-52-53.</w:t>
      </w:r>
    </w:p>
  </w:footnote>
  <w:footnote w:id="111">
    <w:p w14:paraId="54C1D8D5" w14:textId="37F5E461" w:rsidR="00655890" w:rsidRDefault="00655890" w:rsidP="00494671">
      <w:pPr>
        <w:pStyle w:val="FootnoteText"/>
      </w:pPr>
      <w:r>
        <w:rPr>
          <w:rStyle w:val="FootnoteReference"/>
        </w:rPr>
        <w:footnoteRef/>
      </w:r>
      <w:r>
        <w:t xml:space="preserve">  </w:t>
      </w:r>
      <w:r w:rsidR="00823282" w:rsidRPr="001A4C9C">
        <w:rPr>
          <w:i/>
          <w:iCs/>
        </w:rPr>
        <w:t>Ibid</w:t>
      </w:r>
      <w:r w:rsidR="00823282">
        <w:t>.</w:t>
      </w:r>
    </w:p>
  </w:footnote>
  <w:footnote w:id="112">
    <w:p w14:paraId="2BA83ABF" w14:textId="77777777" w:rsidR="00655890" w:rsidRDefault="00655890" w:rsidP="00494671">
      <w:pPr>
        <w:pStyle w:val="FootnoteText"/>
      </w:pPr>
      <w:r>
        <w:rPr>
          <w:rStyle w:val="FootnoteReference"/>
        </w:rPr>
        <w:footnoteRef/>
      </w:r>
      <w:r>
        <w:t xml:space="preserve">  SCE</w:t>
      </w:r>
      <w:r w:rsidRPr="00BA13A4">
        <w:t xml:space="preserve"> </w:t>
      </w:r>
      <w:r w:rsidRPr="00C10123">
        <w:t>Prepared Testimony, III-</w:t>
      </w:r>
      <w:r>
        <w:t>17.</w:t>
      </w:r>
    </w:p>
  </w:footnote>
  <w:footnote w:id="113">
    <w:p w14:paraId="6FE28348" w14:textId="3EDE1D99" w:rsidR="00655890" w:rsidRDefault="00655890" w:rsidP="00494671">
      <w:pPr>
        <w:pStyle w:val="FootnoteText"/>
      </w:pPr>
      <w:r>
        <w:rPr>
          <w:rStyle w:val="FootnoteReference"/>
        </w:rPr>
        <w:footnoteRef/>
      </w:r>
      <w:r>
        <w:t xml:space="preserve">  </w:t>
      </w:r>
      <w:r w:rsidR="00425F52" w:rsidRPr="00CB4AE6">
        <w:rPr>
          <w:i/>
          <w:iCs/>
        </w:rPr>
        <w:t>Id</w:t>
      </w:r>
      <w:r w:rsidR="00425F52">
        <w:t xml:space="preserve"> at</w:t>
      </w:r>
      <w:r w:rsidRPr="00C10123">
        <w:t>, III-</w:t>
      </w:r>
      <w:r>
        <w:t>34.</w:t>
      </w:r>
    </w:p>
  </w:footnote>
  <w:footnote w:id="114">
    <w:p w14:paraId="5FD34F73" w14:textId="63426EC9" w:rsidR="00655890" w:rsidRDefault="00655890" w:rsidP="000C1980">
      <w:pPr>
        <w:pStyle w:val="FootnoteText"/>
      </w:pPr>
      <w:r>
        <w:rPr>
          <w:rStyle w:val="FootnoteReference"/>
        </w:rPr>
        <w:footnoteRef/>
      </w:r>
      <w:r>
        <w:t xml:space="preserve">  </w:t>
      </w:r>
      <w:r w:rsidR="00425F52" w:rsidRPr="00CB4AE6">
        <w:rPr>
          <w:i/>
          <w:iCs/>
        </w:rPr>
        <w:t>Id</w:t>
      </w:r>
      <w:r w:rsidR="00425F52">
        <w:t xml:space="preserve"> at </w:t>
      </w:r>
      <w:r w:rsidRPr="00C10123">
        <w:t>III-</w:t>
      </w:r>
      <w:r>
        <w:t>39.</w:t>
      </w:r>
    </w:p>
  </w:footnote>
  <w:footnote w:id="115">
    <w:p w14:paraId="489BD701" w14:textId="6BE3A41E" w:rsidR="00655890" w:rsidRDefault="00655890" w:rsidP="000C1980">
      <w:pPr>
        <w:pStyle w:val="FootnoteText"/>
      </w:pPr>
      <w:r>
        <w:rPr>
          <w:rStyle w:val="FootnoteReference"/>
        </w:rPr>
        <w:footnoteRef/>
      </w:r>
      <w:r>
        <w:t xml:space="preserve">  </w:t>
      </w:r>
      <w:r w:rsidR="00425F52" w:rsidRPr="00CB4AE6">
        <w:rPr>
          <w:i/>
          <w:iCs/>
        </w:rPr>
        <w:t>Id</w:t>
      </w:r>
      <w:r w:rsidR="00425F52">
        <w:t xml:space="preserve"> at </w:t>
      </w:r>
      <w:r w:rsidRPr="00C10123">
        <w:t>III-</w:t>
      </w:r>
      <w:r>
        <w:t>29.</w:t>
      </w:r>
    </w:p>
  </w:footnote>
  <w:footnote w:id="116">
    <w:p w14:paraId="1D940E3E" w14:textId="5855EBBB" w:rsidR="00655890" w:rsidRDefault="00655890" w:rsidP="000C1980">
      <w:pPr>
        <w:pStyle w:val="FootnoteText"/>
      </w:pPr>
      <w:r>
        <w:rPr>
          <w:rStyle w:val="FootnoteReference"/>
        </w:rPr>
        <w:footnoteRef/>
      </w:r>
      <w:r>
        <w:t xml:space="preserve">  </w:t>
      </w:r>
      <w:r w:rsidR="00425F52" w:rsidRPr="00CB4AE6">
        <w:rPr>
          <w:i/>
          <w:iCs/>
        </w:rPr>
        <w:t>Id</w:t>
      </w:r>
      <w:r w:rsidR="00425F52">
        <w:t xml:space="preserve"> at </w:t>
      </w:r>
      <w:r w:rsidRPr="00C10123">
        <w:t>II-</w:t>
      </w:r>
      <w:r>
        <w:t>33.</w:t>
      </w:r>
    </w:p>
  </w:footnote>
  <w:footnote w:id="117">
    <w:p w14:paraId="53F321EF" w14:textId="79C9228E" w:rsidR="00655890" w:rsidRDefault="00655890" w:rsidP="000C1980">
      <w:pPr>
        <w:pStyle w:val="FootnoteText"/>
      </w:pPr>
      <w:r>
        <w:rPr>
          <w:rStyle w:val="FootnoteReference"/>
        </w:rPr>
        <w:footnoteRef/>
      </w:r>
      <w:r>
        <w:t xml:space="preserve">  </w:t>
      </w:r>
      <w:r w:rsidR="00425F52" w:rsidRPr="00CB4AE6">
        <w:rPr>
          <w:i/>
          <w:iCs/>
        </w:rPr>
        <w:t>Id</w:t>
      </w:r>
      <w:r w:rsidR="00425F52">
        <w:t xml:space="preserve"> at </w:t>
      </w:r>
      <w:r w:rsidRPr="00C10123">
        <w:t>III-</w:t>
      </w:r>
      <w:r>
        <w:t>35.</w:t>
      </w:r>
    </w:p>
  </w:footnote>
  <w:footnote w:id="118">
    <w:p w14:paraId="3169BD9E" w14:textId="0DCB2844" w:rsidR="00655890" w:rsidRDefault="00655890" w:rsidP="000C1980">
      <w:pPr>
        <w:pStyle w:val="FootnoteText"/>
      </w:pPr>
      <w:r>
        <w:rPr>
          <w:rStyle w:val="FootnoteReference"/>
        </w:rPr>
        <w:footnoteRef/>
      </w:r>
      <w:r>
        <w:t xml:space="preserve">  </w:t>
      </w:r>
      <w:r w:rsidR="00425F52" w:rsidRPr="00CB4AE6">
        <w:rPr>
          <w:i/>
          <w:iCs/>
        </w:rPr>
        <w:t>Id</w:t>
      </w:r>
      <w:r w:rsidR="00425F52">
        <w:t xml:space="preserve"> at </w:t>
      </w:r>
      <w:r w:rsidRPr="00C10123">
        <w:t>II-</w:t>
      </w:r>
      <w:r>
        <w:t>33.</w:t>
      </w:r>
    </w:p>
  </w:footnote>
  <w:footnote w:id="119">
    <w:p w14:paraId="409C308A" w14:textId="463CB513" w:rsidR="00655890" w:rsidRDefault="00655890" w:rsidP="000C1980">
      <w:pPr>
        <w:pStyle w:val="FootnoteText"/>
      </w:pPr>
      <w:r>
        <w:rPr>
          <w:rStyle w:val="FootnoteReference"/>
        </w:rPr>
        <w:footnoteRef/>
      </w:r>
      <w:r>
        <w:t xml:space="preserve">  </w:t>
      </w:r>
      <w:r w:rsidR="00262945" w:rsidRPr="00620A2B">
        <w:rPr>
          <w:i/>
          <w:iCs/>
          <w:szCs w:val="22"/>
        </w:rPr>
        <w:t>Ibid</w:t>
      </w:r>
      <w:r w:rsidR="00262945" w:rsidRPr="00620A2B">
        <w:rPr>
          <w:szCs w:val="22"/>
        </w:rPr>
        <w:t>.</w:t>
      </w:r>
    </w:p>
  </w:footnote>
  <w:footnote w:id="120">
    <w:p w14:paraId="42FEE551" w14:textId="77777777" w:rsidR="00655890" w:rsidRDefault="00655890" w:rsidP="000C1980">
      <w:pPr>
        <w:pStyle w:val="FootnoteText"/>
      </w:pPr>
      <w:r>
        <w:rPr>
          <w:rStyle w:val="FootnoteReference"/>
        </w:rPr>
        <w:footnoteRef/>
      </w:r>
      <w:r>
        <w:t xml:space="preserve">  SCE</w:t>
      </w:r>
      <w:r w:rsidRPr="0077749C">
        <w:t xml:space="preserve"> </w:t>
      </w:r>
      <w:r w:rsidRPr="00C10123">
        <w:t>Prepared Testimony, III-</w:t>
      </w:r>
      <w:r>
        <w:t>35.</w:t>
      </w:r>
    </w:p>
  </w:footnote>
  <w:footnote w:id="121">
    <w:p w14:paraId="47B01D55" w14:textId="390F4EA9" w:rsidR="00655890" w:rsidRDefault="00655890" w:rsidP="000C1980">
      <w:pPr>
        <w:pStyle w:val="FootnoteText"/>
      </w:pPr>
      <w:r>
        <w:rPr>
          <w:rStyle w:val="FootnoteReference"/>
        </w:rPr>
        <w:footnoteRef/>
      </w:r>
      <w:r>
        <w:t xml:space="preserve">  </w:t>
      </w:r>
      <w:r w:rsidR="009062E0" w:rsidRPr="001A4C9C">
        <w:rPr>
          <w:i/>
          <w:iCs/>
        </w:rPr>
        <w:t>Ibid</w:t>
      </w:r>
      <w:r w:rsidR="009062E0">
        <w:t>.</w:t>
      </w:r>
    </w:p>
  </w:footnote>
  <w:footnote w:id="122">
    <w:p w14:paraId="4A62159A" w14:textId="77777777" w:rsidR="00655890" w:rsidRDefault="00655890" w:rsidP="000C1980">
      <w:pPr>
        <w:pStyle w:val="FootnoteText"/>
      </w:pPr>
      <w:r>
        <w:rPr>
          <w:rStyle w:val="FootnoteReference"/>
        </w:rPr>
        <w:footnoteRef/>
      </w:r>
      <w:r>
        <w:t xml:space="preserve">  SCE Response to Ruling Questions, 31.</w:t>
      </w:r>
    </w:p>
  </w:footnote>
  <w:footnote w:id="123">
    <w:p w14:paraId="2FE398FA" w14:textId="77777777" w:rsidR="00655890" w:rsidRDefault="00655890" w:rsidP="000C1980">
      <w:pPr>
        <w:pStyle w:val="FootnoteText"/>
      </w:pPr>
      <w:r>
        <w:rPr>
          <w:rStyle w:val="FootnoteReference"/>
        </w:rPr>
        <w:footnoteRef/>
      </w:r>
      <w:r>
        <w:t xml:space="preserve">  SCE Application Testimony, III-38.</w:t>
      </w:r>
    </w:p>
  </w:footnote>
  <w:footnote w:id="124">
    <w:p w14:paraId="4970751A" w14:textId="2530E158" w:rsidR="00655890" w:rsidRDefault="00655890" w:rsidP="000C1980">
      <w:pPr>
        <w:pStyle w:val="FootnoteText"/>
      </w:pPr>
      <w:r>
        <w:rPr>
          <w:rStyle w:val="FootnoteReference"/>
        </w:rPr>
        <w:footnoteRef/>
      </w:r>
      <w:r>
        <w:t xml:space="preserve">  </w:t>
      </w:r>
      <w:r w:rsidR="005E673B" w:rsidRPr="00CB4AE6">
        <w:rPr>
          <w:i/>
          <w:iCs/>
        </w:rPr>
        <w:t>Id</w:t>
      </w:r>
      <w:r w:rsidR="005E673B">
        <w:t xml:space="preserve"> at</w:t>
      </w:r>
      <w:r w:rsidRPr="00C10123">
        <w:t xml:space="preserve"> III-</w:t>
      </w:r>
      <w:r>
        <w:t>36.</w:t>
      </w:r>
    </w:p>
  </w:footnote>
  <w:footnote w:id="125">
    <w:p w14:paraId="7A494ED1" w14:textId="08B179AF" w:rsidR="00655890" w:rsidRDefault="00655890" w:rsidP="000C1980">
      <w:pPr>
        <w:pStyle w:val="FootnoteText"/>
      </w:pPr>
      <w:r>
        <w:rPr>
          <w:rStyle w:val="FootnoteReference"/>
        </w:rPr>
        <w:footnoteRef/>
      </w:r>
      <w:r>
        <w:t xml:space="preserve">  </w:t>
      </w:r>
      <w:r w:rsidR="005E673B" w:rsidRPr="00CB4AE6">
        <w:rPr>
          <w:i/>
          <w:iCs/>
        </w:rPr>
        <w:t>Id</w:t>
      </w:r>
      <w:r w:rsidR="005E673B">
        <w:t xml:space="preserve"> at </w:t>
      </w:r>
      <w:r w:rsidRPr="00C10123">
        <w:t>III-</w:t>
      </w:r>
      <w:r>
        <w:t>36.</w:t>
      </w:r>
    </w:p>
  </w:footnote>
  <w:footnote w:id="126">
    <w:p w14:paraId="6961A91A" w14:textId="679A7385" w:rsidR="00655890" w:rsidRDefault="00655890" w:rsidP="000C1980">
      <w:pPr>
        <w:pStyle w:val="FootnoteText"/>
      </w:pPr>
      <w:r w:rsidRPr="00B75878">
        <w:rPr>
          <w:rStyle w:val="FootnoteReference"/>
        </w:rPr>
        <w:footnoteRef/>
      </w:r>
      <w:r>
        <w:t xml:space="preserve">  </w:t>
      </w:r>
      <w:r w:rsidR="005E673B" w:rsidRPr="00CB4AE6">
        <w:rPr>
          <w:i/>
          <w:iCs/>
        </w:rPr>
        <w:t>Id</w:t>
      </w:r>
      <w:r w:rsidR="005E673B">
        <w:t xml:space="preserve"> at</w:t>
      </w:r>
      <w:r w:rsidRPr="00C10123">
        <w:t>, III-</w:t>
      </w:r>
      <w:r>
        <w:t xml:space="preserve">26. </w:t>
      </w:r>
    </w:p>
  </w:footnote>
  <w:footnote w:id="127">
    <w:p w14:paraId="62A129FA" w14:textId="62ED756D" w:rsidR="00655890" w:rsidRDefault="00655890" w:rsidP="000C1980">
      <w:pPr>
        <w:pStyle w:val="FootnoteText"/>
      </w:pPr>
      <w:r w:rsidRPr="00A72BCA">
        <w:rPr>
          <w:rStyle w:val="FootnoteReference"/>
          <w:b/>
          <w:caps/>
        </w:rPr>
        <w:footnoteRef/>
      </w:r>
      <w:r w:rsidRPr="00A72BCA">
        <w:rPr>
          <w:rStyle w:val="FootnoteReference"/>
        </w:rPr>
        <w:t xml:space="preserve"> </w:t>
      </w:r>
      <w:r>
        <w:rPr>
          <w:rStyle w:val="FootnoteReference"/>
        </w:rPr>
        <w:t xml:space="preserve"> </w:t>
      </w:r>
      <w:r w:rsidR="005E673B" w:rsidRPr="00CB4AE6">
        <w:rPr>
          <w:i/>
          <w:iCs/>
        </w:rPr>
        <w:t>Id</w:t>
      </w:r>
      <w:r w:rsidR="005E673B">
        <w:t xml:space="preserve"> at </w:t>
      </w:r>
      <w:r w:rsidRPr="00C10123">
        <w:t>III-</w:t>
      </w:r>
      <w:r>
        <w:t>25.</w:t>
      </w:r>
    </w:p>
  </w:footnote>
  <w:footnote w:id="128">
    <w:p w14:paraId="5BD44C5C" w14:textId="1F0B8EAF" w:rsidR="00655890" w:rsidRDefault="00655890" w:rsidP="000C1980">
      <w:pPr>
        <w:pStyle w:val="FootnoteText"/>
      </w:pPr>
      <w:r>
        <w:rPr>
          <w:rStyle w:val="FootnoteReference"/>
        </w:rPr>
        <w:footnoteRef/>
      </w:r>
      <w:r>
        <w:t xml:space="preserve">  </w:t>
      </w:r>
      <w:r w:rsidR="005E673B" w:rsidRPr="00CB4AE6">
        <w:rPr>
          <w:i/>
          <w:iCs/>
        </w:rPr>
        <w:t>Id</w:t>
      </w:r>
      <w:r w:rsidR="005E673B">
        <w:t xml:space="preserve"> at</w:t>
      </w:r>
      <w:r w:rsidRPr="00C10123">
        <w:t xml:space="preserve"> III-</w:t>
      </w:r>
      <w:r>
        <w:t>37.</w:t>
      </w:r>
    </w:p>
  </w:footnote>
  <w:footnote w:id="129">
    <w:p w14:paraId="7A825EE1" w14:textId="77777777" w:rsidR="00655890" w:rsidRDefault="00655890" w:rsidP="000C1980">
      <w:pPr>
        <w:pStyle w:val="FootnoteText"/>
      </w:pPr>
      <w:r>
        <w:rPr>
          <w:rStyle w:val="FootnoteReference"/>
        </w:rPr>
        <w:footnoteRef/>
      </w:r>
      <w:r>
        <w:t xml:space="preserve">  SoCalGas Application, 25.</w:t>
      </w:r>
    </w:p>
  </w:footnote>
  <w:footnote w:id="130">
    <w:p w14:paraId="767EC86F" w14:textId="196DA2D2" w:rsidR="00655890" w:rsidRDefault="00655890" w:rsidP="000C1980">
      <w:pPr>
        <w:pStyle w:val="FootnoteText"/>
      </w:pPr>
      <w:r>
        <w:rPr>
          <w:rStyle w:val="FootnoteReference"/>
        </w:rPr>
        <w:footnoteRef/>
      </w:r>
      <w:r>
        <w:t xml:space="preserve">  </w:t>
      </w:r>
      <w:r w:rsidR="005E673B" w:rsidRPr="00CB4AE6">
        <w:rPr>
          <w:i/>
          <w:iCs/>
        </w:rPr>
        <w:t>Id</w:t>
      </w:r>
      <w:r w:rsidR="005E673B">
        <w:t xml:space="preserve"> at </w:t>
      </w:r>
      <w:r>
        <w:t>27.</w:t>
      </w:r>
    </w:p>
  </w:footnote>
  <w:footnote w:id="131">
    <w:p w14:paraId="78DC3D56" w14:textId="1E0C2490" w:rsidR="00655890" w:rsidRDefault="00655890" w:rsidP="000C1980">
      <w:pPr>
        <w:pStyle w:val="FootnoteText"/>
      </w:pPr>
      <w:r>
        <w:rPr>
          <w:rStyle w:val="FootnoteReference"/>
        </w:rPr>
        <w:footnoteRef/>
      </w:r>
      <w:r>
        <w:t xml:space="preserve">  SoCalGas Application Testimony of Octavio Verduzco, OV-40. </w:t>
      </w:r>
    </w:p>
  </w:footnote>
  <w:footnote w:id="132">
    <w:p w14:paraId="342A058D" w14:textId="52E36CB9" w:rsidR="00655890" w:rsidRDefault="00655890" w:rsidP="000C1980">
      <w:pPr>
        <w:pStyle w:val="FootnoteText"/>
      </w:pPr>
      <w:r>
        <w:rPr>
          <w:rStyle w:val="FootnoteReference"/>
        </w:rPr>
        <w:footnoteRef/>
      </w:r>
      <w:r>
        <w:t xml:space="preserve">  </w:t>
      </w:r>
      <w:r w:rsidR="005E673B" w:rsidRPr="00CB4AE6">
        <w:rPr>
          <w:i/>
          <w:iCs/>
        </w:rPr>
        <w:t>Id</w:t>
      </w:r>
      <w:r w:rsidR="005E673B">
        <w:t xml:space="preserve"> at </w:t>
      </w:r>
      <w:r>
        <w:t>OV-38.</w:t>
      </w:r>
    </w:p>
  </w:footnote>
  <w:footnote w:id="133">
    <w:p w14:paraId="4B23CF0F" w14:textId="77777777" w:rsidR="00655890" w:rsidRDefault="00655890" w:rsidP="001F6BDD">
      <w:pPr>
        <w:pStyle w:val="FootnoteText"/>
      </w:pPr>
      <w:r>
        <w:rPr>
          <w:rStyle w:val="FootnoteReference"/>
        </w:rPr>
        <w:footnoteRef/>
      </w:r>
      <w:r>
        <w:t xml:space="preserve">  SoCalGas Application, 27-28.</w:t>
      </w:r>
    </w:p>
  </w:footnote>
  <w:footnote w:id="134">
    <w:p w14:paraId="37CB4E50" w14:textId="77777777" w:rsidR="00655890" w:rsidRDefault="00655890" w:rsidP="001F6BDD">
      <w:pPr>
        <w:pStyle w:val="FootnoteText"/>
      </w:pPr>
      <w:r>
        <w:rPr>
          <w:rStyle w:val="FootnoteReference"/>
        </w:rPr>
        <w:footnoteRef/>
      </w:r>
      <w:r>
        <w:t xml:space="preserve">  SoCalGas Response to Ruling Questions, 40.</w:t>
      </w:r>
    </w:p>
  </w:footnote>
  <w:footnote w:id="135">
    <w:p w14:paraId="0D882111" w14:textId="77777777" w:rsidR="00655890" w:rsidRDefault="00655890" w:rsidP="001F6BDD">
      <w:pPr>
        <w:pStyle w:val="FootnoteText"/>
      </w:pPr>
      <w:r>
        <w:rPr>
          <w:rStyle w:val="FootnoteReference"/>
        </w:rPr>
        <w:footnoteRef/>
      </w:r>
      <w:r>
        <w:t xml:space="preserve">  SoCalGas Application Testimony of Octavio Verduzco, OV-42.</w:t>
      </w:r>
    </w:p>
  </w:footnote>
  <w:footnote w:id="136">
    <w:p w14:paraId="3A694006" w14:textId="77777777" w:rsidR="00655890" w:rsidRDefault="00655890" w:rsidP="001F6BDD">
      <w:pPr>
        <w:pStyle w:val="FootnoteText"/>
      </w:pPr>
      <w:r>
        <w:rPr>
          <w:rStyle w:val="FootnoteReference"/>
        </w:rPr>
        <w:footnoteRef/>
      </w:r>
      <w:r>
        <w:t xml:space="preserve">  SoCalGas Application, 28-29.</w:t>
      </w:r>
    </w:p>
  </w:footnote>
  <w:footnote w:id="137">
    <w:p w14:paraId="72C9FE84" w14:textId="79CEC8D3" w:rsidR="00655890" w:rsidRDefault="00655890" w:rsidP="001F6BDD">
      <w:pPr>
        <w:pStyle w:val="FootnoteText"/>
      </w:pPr>
      <w:r>
        <w:rPr>
          <w:rStyle w:val="FootnoteReference"/>
        </w:rPr>
        <w:footnoteRef/>
      </w:r>
      <w:r>
        <w:t xml:space="preserve">  </w:t>
      </w:r>
      <w:r w:rsidR="00C114BC" w:rsidRPr="001A4C9C">
        <w:rPr>
          <w:i/>
          <w:iCs/>
        </w:rPr>
        <w:t>Ibid</w:t>
      </w:r>
      <w:r w:rsidR="00C114BC">
        <w:t>.</w:t>
      </w:r>
    </w:p>
  </w:footnote>
  <w:footnote w:id="138">
    <w:p w14:paraId="4A361413" w14:textId="0CFB3BC5" w:rsidR="00655890" w:rsidRDefault="00655890" w:rsidP="001F6BDD">
      <w:pPr>
        <w:pStyle w:val="FootnoteText"/>
      </w:pPr>
      <w:r>
        <w:rPr>
          <w:rStyle w:val="FootnoteReference"/>
        </w:rPr>
        <w:footnoteRef/>
      </w:r>
      <w:r>
        <w:t xml:space="preserve">  SoCalGas Application Testimony of Octavio Verduzco, OV-38.</w:t>
      </w:r>
    </w:p>
  </w:footnote>
  <w:footnote w:id="139">
    <w:p w14:paraId="17ACFC24" w14:textId="77777777" w:rsidR="00655890" w:rsidRDefault="00655890" w:rsidP="000C1980">
      <w:pPr>
        <w:pStyle w:val="FootnoteText"/>
      </w:pPr>
      <w:r>
        <w:rPr>
          <w:rStyle w:val="FootnoteReference"/>
        </w:rPr>
        <w:footnoteRef/>
      </w:r>
      <w:r>
        <w:t xml:space="preserve">  SoCalGas Application, 30.</w:t>
      </w:r>
    </w:p>
  </w:footnote>
  <w:footnote w:id="140">
    <w:p w14:paraId="62519F62" w14:textId="1D30A473" w:rsidR="00655890" w:rsidRDefault="00655890" w:rsidP="000C1980">
      <w:pPr>
        <w:pStyle w:val="FootnoteText"/>
      </w:pPr>
      <w:r>
        <w:rPr>
          <w:rStyle w:val="FootnoteReference"/>
        </w:rPr>
        <w:footnoteRef/>
      </w:r>
      <w:r>
        <w:t xml:space="preserve">  </w:t>
      </w:r>
      <w:r w:rsidR="007E695B" w:rsidRPr="001A4C9C">
        <w:rPr>
          <w:i/>
          <w:iCs/>
        </w:rPr>
        <w:t>Ibid</w:t>
      </w:r>
      <w:r w:rsidR="007E695B">
        <w:t>.</w:t>
      </w:r>
    </w:p>
  </w:footnote>
  <w:footnote w:id="141">
    <w:p w14:paraId="705C562E" w14:textId="77777777" w:rsidR="00655890" w:rsidRDefault="00655890" w:rsidP="000C1980">
      <w:pPr>
        <w:pStyle w:val="FootnoteText"/>
      </w:pPr>
      <w:r>
        <w:rPr>
          <w:rStyle w:val="FootnoteReference"/>
        </w:rPr>
        <w:footnoteRef/>
      </w:r>
      <w:r>
        <w:t xml:space="preserve">  SDG&amp;E Application, 17.</w:t>
      </w:r>
    </w:p>
  </w:footnote>
  <w:footnote w:id="142">
    <w:p w14:paraId="21630BEA" w14:textId="6E2185E0" w:rsidR="00655890" w:rsidRDefault="00655890" w:rsidP="000C1980">
      <w:pPr>
        <w:pStyle w:val="FootnoteText"/>
      </w:pPr>
      <w:r>
        <w:rPr>
          <w:rStyle w:val="FootnoteReference"/>
        </w:rPr>
        <w:footnoteRef/>
      </w:r>
      <w:r>
        <w:t xml:space="preserve">  </w:t>
      </w:r>
      <w:r w:rsidR="006C44F7" w:rsidRPr="00CB4AE6">
        <w:rPr>
          <w:i/>
          <w:iCs/>
        </w:rPr>
        <w:t>Id</w:t>
      </w:r>
      <w:r w:rsidR="006C44F7">
        <w:t xml:space="preserve"> at </w:t>
      </w:r>
      <w:r>
        <w:t>20.</w:t>
      </w:r>
    </w:p>
  </w:footnote>
  <w:footnote w:id="143">
    <w:p w14:paraId="6FCCC461" w14:textId="77777777" w:rsidR="00655890" w:rsidRDefault="00655890" w:rsidP="000C1980">
      <w:pPr>
        <w:pStyle w:val="FootnoteText"/>
      </w:pPr>
      <w:r>
        <w:rPr>
          <w:rStyle w:val="FootnoteReference"/>
        </w:rPr>
        <w:footnoteRef/>
      </w:r>
      <w:r>
        <w:t xml:space="preserve">  SDG&amp;E Response to Ruling Questions, 49.</w:t>
      </w:r>
    </w:p>
  </w:footnote>
  <w:footnote w:id="144">
    <w:p w14:paraId="1D96BC2B" w14:textId="77777777" w:rsidR="00655890" w:rsidRDefault="00655890" w:rsidP="000C1980">
      <w:pPr>
        <w:pStyle w:val="FootnoteText"/>
      </w:pPr>
      <w:r>
        <w:rPr>
          <w:rStyle w:val="FootnoteReference"/>
        </w:rPr>
        <w:footnoteRef/>
      </w:r>
      <w:r>
        <w:t xml:space="preserve">  SDG&amp;E Application Testimony of Sara Nordin, SN-CARE-31.</w:t>
      </w:r>
    </w:p>
  </w:footnote>
  <w:footnote w:id="145">
    <w:p w14:paraId="3ABD8C12" w14:textId="1719C1C3" w:rsidR="00655890" w:rsidRDefault="00655890" w:rsidP="000C1980">
      <w:pPr>
        <w:pStyle w:val="FootnoteText"/>
      </w:pPr>
      <w:r>
        <w:rPr>
          <w:rStyle w:val="FootnoteReference"/>
        </w:rPr>
        <w:footnoteRef/>
      </w:r>
      <w:r>
        <w:t xml:space="preserve">  </w:t>
      </w:r>
      <w:r w:rsidR="006C44F7" w:rsidRPr="00CB4AE6">
        <w:rPr>
          <w:i/>
          <w:iCs/>
        </w:rPr>
        <w:t>Id</w:t>
      </w:r>
      <w:r w:rsidR="006C44F7">
        <w:t xml:space="preserve"> at </w:t>
      </w:r>
      <w:r>
        <w:t>SN-CARE-33.</w:t>
      </w:r>
    </w:p>
  </w:footnote>
  <w:footnote w:id="146">
    <w:p w14:paraId="14B36F33" w14:textId="77777777" w:rsidR="00655890" w:rsidRDefault="00655890" w:rsidP="000C1980">
      <w:pPr>
        <w:pStyle w:val="FootnoteText"/>
      </w:pPr>
      <w:r>
        <w:rPr>
          <w:rStyle w:val="FootnoteReference"/>
        </w:rPr>
        <w:footnoteRef/>
      </w:r>
      <w:r>
        <w:t xml:space="preserve">  Cal Advocates Joint Protest, 2.</w:t>
      </w:r>
    </w:p>
  </w:footnote>
  <w:footnote w:id="147">
    <w:p w14:paraId="42BDB724" w14:textId="77777777" w:rsidR="00655890" w:rsidRDefault="00655890" w:rsidP="000C1980">
      <w:pPr>
        <w:pStyle w:val="FootnoteText"/>
      </w:pPr>
      <w:r>
        <w:rPr>
          <w:rStyle w:val="FootnoteReference"/>
        </w:rPr>
        <w:footnoteRef/>
      </w:r>
      <w:r>
        <w:t xml:space="preserve">  Cal Advocates Joint Protest, 3.</w:t>
      </w:r>
    </w:p>
  </w:footnote>
  <w:footnote w:id="148">
    <w:p w14:paraId="0327C217" w14:textId="77777777" w:rsidR="00655890" w:rsidRDefault="00655890" w:rsidP="000C1980">
      <w:pPr>
        <w:pStyle w:val="FootnoteText"/>
      </w:pPr>
      <w:r>
        <w:rPr>
          <w:rStyle w:val="FootnoteReference"/>
        </w:rPr>
        <w:footnoteRef/>
      </w:r>
      <w:r>
        <w:t xml:space="preserve">  CforAT response to SCE, 2.</w:t>
      </w:r>
    </w:p>
  </w:footnote>
  <w:footnote w:id="149">
    <w:p w14:paraId="274D8FF3" w14:textId="77777777" w:rsidR="00655890" w:rsidRDefault="00655890" w:rsidP="000C1980">
      <w:pPr>
        <w:pStyle w:val="FootnoteText"/>
      </w:pPr>
      <w:r>
        <w:rPr>
          <w:rStyle w:val="FootnoteReference"/>
        </w:rPr>
        <w:footnoteRef/>
      </w:r>
      <w:r>
        <w:t xml:space="preserve">  Enervee Response to SDG&amp;E Application, 9.</w:t>
      </w:r>
    </w:p>
  </w:footnote>
  <w:footnote w:id="150">
    <w:p w14:paraId="65981B78" w14:textId="2174C084" w:rsidR="00655890" w:rsidRDefault="00655890" w:rsidP="000C1980">
      <w:pPr>
        <w:pStyle w:val="FootnoteText"/>
      </w:pPr>
      <w:r>
        <w:rPr>
          <w:rStyle w:val="FootnoteReference"/>
        </w:rPr>
        <w:footnoteRef/>
      </w:r>
      <w:r>
        <w:t xml:space="preserve">  Enervee Intervenor Testimony, 15.</w:t>
      </w:r>
    </w:p>
  </w:footnote>
  <w:footnote w:id="151">
    <w:p w14:paraId="1762B24C" w14:textId="77777777" w:rsidR="00655890" w:rsidRDefault="00655890" w:rsidP="000C1980">
      <w:pPr>
        <w:pStyle w:val="FootnoteText"/>
      </w:pPr>
      <w:r>
        <w:rPr>
          <w:rStyle w:val="FootnoteReference"/>
        </w:rPr>
        <w:footnoteRef/>
      </w:r>
      <w:r>
        <w:t xml:space="preserve">  Enervee Response to SDG&amp;E Application, 9.</w:t>
      </w:r>
    </w:p>
  </w:footnote>
  <w:footnote w:id="152">
    <w:p w14:paraId="405ED012" w14:textId="522B1228" w:rsidR="00655890" w:rsidRDefault="00655890" w:rsidP="000C1980">
      <w:pPr>
        <w:pStyle w:val="FootnoteText"/>
      </w:pPr>
      <w:r>
        <w:rPr>
          <w:rStyle w:val="FootnoteReference"/>
        </w:rPr>
        <w:footnoteRef/>
      </w:r>
      <w:r>
        <w:t xml:space="preserve">  </w:t>
      </w:r>
      <w:r w:rsidR="00ED62D6" w:rsidRPr="001A4C9C">
        <w:rPr>
          <w:i/>
          <w:iCs/>
        </w:rPr>
        <w:t>Ibid</w:t>
      </w:r>
      <w:r w:rsidR="00ED62D6">
        <w:t>.</w:t>
      </w:r>
    </w:p>
  </w:footnote>
  <w:footnote w:id="153">
    <w:p w14:paraId="641C11E2" w14:textId="22AA1597" w:rsidR="00A52BA5" w:rsidRDefault="00A52BA5" w:rsidP="00A52BA5">
      <w:pPr>
        <w:pStyle w:val="FootnoteText"/>
      </w:pPr>
      <w:r>
        <w:rPr>
          <w:rStyle w:val="FootnoteReference"/>
        </w:rPr>
        <w:footnoteRef/>
      </w:r>
      <w:r>
        <w:t xml:space="preserve"> </w:t>
      </w:r>
      <w:r w:rsidR="001F6BDD">
        <w:t xml:space="preserve"> </w:t>
      </w:r>
      <w:r>
        <w:t xml:space="preserve">Enervee Opening Brief, 13. </w:t>
      </w:r>
    </w:p>
  </w:footnote>
  <w:footnote w:id="154">
    <w:p w14:paraId="106120CD" w14:textId="77777777" w:rsidR="00655890" w:rsidRDefault="00655890" w:rsidP="000C1980">
      <w:pPr>
        <w:pStyle w:val="FootnoteText"/>
      </w:pPr>
      <w:r>
        <w:rPr>
          <w:rStyle w:val="FootnoteReference"/>
        </w:rPr>
        <w:footnoteRef/>
      </w:r>
      <w:r>
        <w:t xml:space="preserve">  EEC et. al. Rebuttal Testimony, 29.</w:t>
      </w:r>
    </w:p>
  </w:footnote>
  <w:footnote w:id="155">
    <w:p w14:paraId="79341F47" w14:textId="77777777" w:rsidR="00655890" w:rsidRDefault="00655890" w:rsidP="000C1980">
      <w:pPr>
        <w:pStyle w:val="FootnoteText"/>
      </w:pPr>
      <w:r>
        <w:rPr>
          <w:rStyle w:val="FootnoteReference"/>
        </w:rPr>
        <w:footnoteRef/>
      </w:r>
      <w:r>
        <w:t xml:space="preserve">  CETF protest to PG&amp;E, 2. CETF filed nearly identical protests to all four major IOUs, and arguments found in a protest to one IOU are repeated in protests to other IOUs.</w:t>
      </w:r>
    </w:p>
  </w:footnote>
  <w:footnote w:id="156">
    <w:p w14:paraId="5FA0D995" w14:textId="77777777" w:rsidR="00655890" w:rsidRDefault="00655890" w:rsidP="000C1980">
      <w:pPr>
        <w:pStyle w:val="FootnoteText"/>
      </w:pPr>
      <w:r>
        <w:rPr>
          <w:rStyle w:val="FootnoteReference"/>
        </w:rPr>
        <w:footnoteRef/>
      </w:r>
      <w:r>
        <w:t xml:space="preserve">  CETF protest to PG&amp;E, 4.</w:t>
      </w:r>
    </w:p>
  </w:footnote>
  <w:footnote w:id="157">
    <w:p w14:paraId="38C80D75" w14:textId="59646AD6" w:rsidR="00655890" w:rsidRDefault="00655890" w:rsidP="000C1980">
      <w:pPr>
        <w:pStyle w:val="FootnoteText"/>
      </w:pPr>
      <w:r>
        <w:rPr>
          <w:rStyle w:val="FootnoteReference"/>
        </w:rPr>
        <w:footnoteRef/>
      </w:r>
      <w:r>
        <w:t xml:space="preserve">  </w:t>
      </w:r>
      <w:r w:rsidR="006C44F7" w:rsidRPr="00CB4AE6">
        <w:rPr>
          <w:i/>
          <w:iCs/>
        </w:rPr>
        <w:t>Id</w:t>
      </w:r>
      <w:r w:rsidR="006C44F7">
        <w:t xml:space="preserve"> at </w:t>
      </w:r>
      <w:r>
        <w:t xml:space="preserve">11. </w:t>
      </w:r>
    </w:p>
  </w:footnote>
  <w:footnote w:id="158">
    <w:p w14:paraId="6DB923A8" w14:textId="0F3BAA1D" w:rsidR="00655890" w:rsidRDefault="00655890" w:rsidP="000C1980">
      <w:pPr>
        <w:pStyle w:val="FootnoteText"/>
      </w:pPr>
      <w:r>
        <w:rPr>
          <w:rStyle w:val="FootnoteReference"/>
        </w:rPr>
        <w:footnoteRef/>
      </w:r>
      <w:r>
        <w:t xml:space="preserve">  </w:t>
      </w:r>
      <w:r w:rsidR="006C44F7" w:rsidRPr="00CB4AE6">
        <w:rPr>
          <w:i/>
          <w:iCs/>
        </w:rPr>
        <w:t>Id</w:t>
      </w:r>
      <w:r w:rsidR="006C44F7">
        <w:t xml:space="preserve"> at </w:t>
      </w:r>
      <w:r>
        <w:t>8, citing D.19-06-022, 5.</w:t>
      </w:r>
    </w:p>
  </w:footnote>
  <w:footnote w:id="159">
    <w:p w14:paraId="7299E248" w14:textId="7EF9C684" w:rsidR="00655890" w:rsidRDefault="00655890" w:rsidP="000C1980">
      <w:pPr>
        <w:pStyle w:val="FootnoteText"/>
      </w:pPr>
      <w:r>
        <w:rPr>
          <w:rStyle w:val="FootnoteReference"/>
        </w:rPr>
        <w:footnoteRef/>
      </w:r>
      <w:r>
        <w:t xml:space="preserve">  </w:t>
      </w:r>
      <w:r w:rsidR="006C44F7" w:rsidRPr="00CB4AE6">
        <w:rPr>
          <w:i/>
          <w:iCs/>
        </w:rPr>
        <w:t>Id</w:t>
      </w:r>
      <w:r w:rsidR="006C44F7">
        <w:t xml:space="preserve"> at </w:t>
      </w:r>
      <w:r>
        <w:t>8.</w:t>
      </w:r>
    </w:p>
  </w:footnote>
  <w:footnote w:id="160">
    <w:p w14:paraId="148AE6E9" w14:textId="4F41A7B2" w:rsidR="00655890" w:rsidRDefault="00655890" w:rsidP="000C1980">
      <w:pPr>
        <w:pStyle w:val="FootnoteText"/>
      </w:pPr>
      <w:r>
        <w:rPr>
          <w:rStyle w:val="FootnoteReference"/>
        </w:rPr>
        <w:footnoteRef/>
      </w:r>
      <w:r>
        <w:t xml:space="preserve">  </w:t>
      </w:r>
      <w:r w:rsidR="006C44F7" w:rsidRPr="00CB4AE6">
        <w:rPr>
          <w:i/>
          <w:iCs/>
        </w:rPr>
        <w:t>Id</w:t>
      </w:r>
      <w:r w:rsidR="006C44F7">
        <w:t xml:space="preserve"> at </w:t>
      </w:r>
      <w:r>
        <w:t>9.</w:t>
      </w:r>
    </w:p>
  </w:footnote>
  <w:footnote w:id="161">
    <w:p w14:paraId="2FC92AC6" w14:textId="77777777" w:rsidR="00655890" w:rsidRDefault="00655890" w:rsidP="000C1980">
      <w:pPr>
        <w:pStyle w:val="FootnoteText"/>
      </w:pPr>
      <w:r>
        <w:rPr>
          <w:rStyle w:val="FootnoteReference"/>
        </w:rPr>
        <w:footnoteRef/>
      </w:r>
      <w:r>
        <w:t xml:space="preserve">  </w:t>
      </w:r>
      <w:r w:rsidRPr="001A4C9C">
        <w:rPr>
          <w:i/>
          <w:iCs/>
        </w:rPr>
        <w:t>See</w:t>
      </w:r>
      <w:r>
        <w:t xml:space="preserve"> </w:t>
      </w:r>
      <w:proofErr w:type="gramStart"/>
      <w:r w:rsidRPr="001A4C9C">
        <w:rPr>
          <w:i/>
          <w:iCs/>
        </w:rPr>
        <w:t>e.g</w:t>
      </w:r>
      <w:r>
        <w:t>.</w:t>
      </w:r>
      <w:proofErr w:type="gramEnd"/>
      <w:r>
        <w:t xml:space="preserve"> CETF Protest to SDG&amp;E Application, 11.</w:t>
      </w:r>
    </w:p>
  </w:footnote>
  <w:footnote w:id="162">
    <w:p w14:paraId="537AB543" w14:textId="77777777" w:rsidR="00655890" w:rsidRDefault="00655890" w:rsidP="000C1980">
      <w:pPr>
        <w:pStyle w:val="FootnoteText"/>
      </w:pPr>
      <w:r>
        <w:rPr>
          <w:rStyle w:val="FootnoteReference"/>
        </w:rPr>
        <w:footnoteRef/>
      </w:r>
      <w:r>
        <w:t xml:space="preserve">  CEFT Comments on Energy Division Staff Proposal, 5.</w:t>
      </w:r>
    </w:p>
  </w:footnote>
  <w:footnote w:id="163">
    <w:p w14:paraId="2588A22F" w14:textId="77777777" w:rsidR="00655890" w:rsidRDefault="00655890" w:rsidP="000C1980">
      <w:pPr>
        <w:pStyle w:val="FootnoteText"/>
      </w:pPr>
      <w:r>
        <w:rPr>
          <w:rStyle w:val="FootnoteReference"/>
        </w:rPr>
        <w:footnoteRef/>
      </w:r>
      <w:r>
        <w:t xml:space="preserve">  TURN Rebuttal Testimony, 6-8.</w:t>
      </w:r>
    </w:p>
  </w:footnote>
  <w:footnote w:id="164">
    <w:p w14:paraId="05C2AC8F" w14:textId="77777777" w:rsidR="00655890" w:rsidRDefault="00655890" w:rsidP="000C1980">
      <w:pPr>
        <w:pStyle w:val="FootnoteText"/>
      </w:pPr>
      <w:r>
        <w:rPr>
          <w:rStyle w:val="FootnoteReference"/>
        </w:rPr>
        <w:footnoteRef/>
      </w:r>
      <w:r>
        <w:t xml:space="preserve">  EEC et. al. Rebuttal Testimony, 23-25.</w:t>
      </w:r>
    </w:p>
  </w:footnote>
  <w:footnote w:id="165">
    <w:p w14:paraId="1862A85E" w14:textId="77777777" w:rsidR="00655890" w:rsidRDefault="00655890" w:rsidP="000C1980">
      <w:pPr>
        <w:pStyle w:val="FootnoteText"/>
      </w:pPr>
      <w:r>
        <w:rPr>
          <w:rStyle w:val="FootnoteReference"/>
        </w:rPr>
        <w:footnoteRef/>
      </w:r>
      <w:r>
        <w:t xml:space="preserve">  PG&amp;E Reply to Protests, 4.</w:t>
      </w:r>
    </w:p>
  </w:footnote>
  <w:footnote w:id="166">
    <w:p w14:paraId="1BE1DD64" w14:textId="77777777" w:rsidR="00655890" w:rsidRDefault="00655890" w:rsidP="000C1980">
      <w:pPr>
        <w:pStyle w:val="FootnoteText"/>
      </w:pPr>
      <w:r>
        <w:rPr>
          <w:rStyle w:val="FootnoteReference"/>
        </w:rPr>
        <w:footnoteRef/>
      </w:r>
      <w:r>
        <w:t xml:space="preserve">  SCE Reply to Protests, 2.</w:t>
      </w:r>
    </w:p>
  </w:footnote>
  <w:footnote w:id="167">
    <w:p w14:paraId="42F7047E" w14:textId="77777777" w:rsidR="00655890" w:rsidRDefault="00655890" w:rsidP="000C1980">
      <w:pPr>
        <w:pStyle w:val="FootnoteText"/>
      </w:pPr>
      <w:r>
        <w:rPr>
          <w:rStyle w:val="FootnoteReference"/>
        </w:rPr>
        <w:footnoteRef/>
      </w:r>
      <w:r>
        <w:t xml:space="preserve">  SDG&amp;E Reply to Protests, 3.</w:t>
      </w:r>
    </w:p>
  </w:footnote>
  <w:footnote w:id="168">
    <w:p w14:paraId="19743456" w14:textId="24CB2751" w:rsidR="00655890" w:rsidRDefault="00655890" w:rsidP="000C1980">
      <w:pPr>
        <w:pStyle w:val="FootnoteText"/>
      </w:pPr>
      <w:r>
        <w:rPr>
          <w:rStyle w:val="FootnoteReference"/>
        </w:rPr>
        <w:footnoteRef/>
      </w:r>
      <w:r>
        <w:t xml:space="preserve">  </w:t>
      </w:r>
      <w:r w:rsidR="00B20B50" w:rsidRPr="00620A2B">
        <w:rPr>
          <w:i/>
          <w:iCs/>
          <w:szCs w:val="22"/>
        </w:rPr>
        <w:t>Ibid</w:t>
      </w:r>
      <w:r w:rsidR="00B20B50" w:rsidRPr="00620A2B">
        <w:rPr>
          <w:szCs w:val="22"/>
        </w:rPr>
        <w:t>.</w:t>
      </w:r>
    </w:p>
  </w:footnote>
  <w:footnote w:id="169">
    <w:p w14:paraId="1A088390" w14:textId="77777777" w:rsidR="00655890" w:rsidRDefault="00655890" w:rsidP="000C1980">
      <w:pPr>
        <w:pStyle w:val="FootnoteText"/>
      </w:pPr>
      <w:r>
        <w:rPr>
          <w:rStyle w:val="FootnoteReference"/>
        </w:rPr>
        <w:footnoteRef/>
      </w:r>
      <w:r>
        <w:t xml:space="preserve">  SDG&amp;E Reply to protests, 3.</w:t>
      </w:r>
    </w:p>
  </w:footnote>
  <w:footnote w:id="170">
    <w:p w14:paraId="53ABE741" w14:textId="20B00520" w:rsidR="00655890" w:rsidRDefault="00655890" w:rsidP="000C1980">
      <w:pPr>
        <w:pStyle w:val="FootnoteText"/>
      </w:pPr>
      <w:r>
        <w:rPr>
          <w:rStyle w:val="FootnoteReference"/>
        </w:rPr>
        <w:footnoteRef/>
      </w:r>
      <w:r>
        <w:t xml:space="preserve">  </w:t>
      </w:r>
      <w:r w:rsidR="00B20B50" w:rsidRPr="00620A2B">
        <w:rPr>
          <w:i/>
          <w:iCs/>
          <w:szCs w:val="22"/>
        </w:rPr>
        <w:t>Ibid</w:t>
      </w:r>
      <w:r w:rsidR="00B20B50" w:rsidRPr="00620A2B">
        <w:rPr>
          <w:szCs w:val="22"/>
        </w:rPr>
        <w:t>.</w:t>
      </w:r>
    </w:p>
  </w:footnote>
  <w:footnote w:id="171">
    <w:p w14:paraId="04D38E72" w14:textId="74BDD53A" w:rsidR="00655890" w:rsidRDefault="00655890" w:rsidP="000C1980">
      <w:pPr>
        <w:pStyle w:val="FootnoteText"/>
      </w:pPr>
      <w:r>
        <w:rPr>
          <w:rStyle w:val="FootnoteReference"/>
        </w:rPr>
        <w:footnoteRef/>
      </w:r>
      <w:r>
        <w:t xml:space="preserve">  PG&amp;E Rebuttal Testimony, Appendix B. </w:t>
      </w:r>
    </w:p>
  </w:footnote>
  <w:footnote w:id="172">
    <w:p w14:paraId="652FF6F1" w14:textId="49A4CA53" w:rsidR="00DB0186" w:rsidRDefault="00DB0186">
      <w:pPr>
        <w:pStyle w:val="FootnoteText"/>
      </w:pPr>
      <w:r>
        <w:rPr>
          <w:rStyle w:val="FootnoteReference"/>
        </w:rPr>
        <w:footnoteRef/>
      </w:r>
      <w:r>
        <w:t xml:space="preserve"> </w:t>
      </w:r>
      <w:r w:rsidR="009E1206">
        <w:t xml:space="preserve"> </w:t>
      </w:r>
      <w:r>
        <w:t xml:space="preserve">TURN Reply Brief, </w:t>
      </w:r>
      <w:r w:rsidR="0051744C">
        <w:t>21-22.</w:t>
      </w:r>
    </w:p>
  </w:footnote>
  <w:footnote w:id="173">
    <w:p w14:paraId="4CFA3F49" w14:textId="51F29D9B" w:rsidR="00991E2B" w:rsidRDefault="00991E2B">
      <w:pPr>
        <w:pStyle w:val="FootnoteText"/>
      </w:pPr>
      <w:r>
        <w:rPr>
          <w:rStyle w:val="FootnoteReference"/>
        </w:rPr>
        <w:footnoteRef/>
      </w:r>
      <w:r>
        <w:t xml:space="preserve"> </w:t>
      </w:r>
      <w:r w:rsidR="009E1206">
        <w:t xml:space="preserve"> </w:t>
      </w:r>
      <w:r>
        <w:t>PG&amp;E Reply Brief, 19.</w:t>
      </w:r>
    </w:p>
  </w:footnote>
  <w:footnote w:id="174">
    <w:p w14:paraId="430C591F" w14:textId="77777777" w:rsidR="00655890" w:rsidRDefault="00655890" w:rsidP="000C1980">
      <w:pPr>
        <w:pStyle w:val="FootnoteText"/>
      </w:pPr>
      <w:r>
        <w:rPr>
          <w:rStyle w:val="FootnoteReference"/>
        </w:rPr>
        <w:footnoteRef/>
      </w:r>
      <w:r>
        <w:t xml:space="preserve">  Decision 19-06-022, Attachment A-31.</w:t>
      </w:r>
    </w:p>
  </w:footnote>
  <w:footnote w:id="175">
    <w:p w14:paraId="4BC3CC75" w14:textId="46C231A1" w:rsidR="00655890" w:rsidRDefault="00655890" w:rsidP="000C1980">
      <w:pPr>
        <w:pStyle w:val="FootnoteText"/>
      </w:pPr>
      <w:r>
        <w:rPr>
          <w:rStyle w:val="FootnoteReference"/>
        </w:rPr>
        <w:footnoteRef/>
      </w:r>
      <w:r>
        <w:t xml:space="preserve">  SCE Prepared Testimony III-30, Pursuant to D.17-12-009.</w:t>
      </w:r>
    </w:p>
  </w:footnote>
  <w:footnote w:id="176">
    <w:p w14:paraId="3187884F" w14:textId="77777777" w:rsidR="00655890" w:rsidRDefault="00655890" w:rsidP="000C1980">
      <w:pPr>
        <w:pStyle w:val="FootnoteText"/>
      </w:pPr>
      <w:r>
        <w:rPr>
          <w:rStyle w:val="FootnoteReference"/>
        </w:rPr>
        <w:footnoteRef/>
      </w:r>
      <w:r>
        <w:t xml:space="preserve">  SoCalGas Application, Attachment B-1.</w:t>
      </w:r>
    </w:p>
  </w:footnote>
  <w:footnote w:id="177">
    <w:p w14:paraId="37851671" w14:textId="77777777" w:rsidR="00655890" w:rsidRDefault="00655890" w:rsidP="000C1980">
      <w:pPr>
        <w:pStyle w:val="FootnoteText"/>
      </w:pPr>
      <w:r>
        <w:rPr>
          <w:rStyle w:val="FootnoteReference"/>
        </w:rPr>
        <w:footnoteRef/>
      </w:r>
      <w:r>
        <w:t xml:space="preserve">  </w:t>
      </w:r>
      <w:r w:rsidRPr="008F4BA0">
        <w:rPr>
          <w:i/>
          <w:iCs/>
        </w:rPr>
        <w:t xml:space="preserve">See generally </w:t>
      </w:r>
      <w:r w:rsidRPr="008F4BA0">
        <w:t>A.17-10-007/-008 (cons.), Test Year 2019 General Rate Case Application of San</w:t>
      </w:r>
      <w:r>
        <w:t> </w:t>
      </w:r>
      <w:r w:rsidRPr="008F4BA0">
        <w:t xml:space="preserve">Diego Gas &amp; Electric Company (October 6, 2017) (approving Cooling Zone Program budget, although not specifically referenced); </w:t>
      </w:r>
      <w:r w:rsidRPr="008F4BA0">
        <w:rPr>
          <w:i/>
          <w:iCs/>
        </w:rPr>
        <w:t xml:space="preserve">see also </w:t>
      </w:r>
      <w:r w:rsidRPr="008F4BA0">
        <w:t>A.17-10-007/-008 (cons.), SDG&amp;E Direct Testimony of Lisa C. Davidson (Customer Service Information and Technologies) (October</w:t>
      </w:r>
      <w:r>
        <w:t> </w:t>
      </w:r>
      <w:r w:rsidRPr="008F4BA0">
        <w:t>6,</w:t>
      </w:r>
      <w:r>
        <w:t> </w:t>
      </w:r>
      <w:r w:rsidRPr="008F4BA0">
        <w:t>2017)</w:t>
      </w:r>
      <w:r>
        <w:t xml:space="preserve">, </w:t>
      </w:r>
      <w:r w:rsidRPr="008F4BA0">
        <w:t xml:space="preserve">14. </w:t>
      </w:r>
    </w:p>
  </w:footnote>
  <w:footnote w:id="178">
    <w:p w14:paraId="07BABB6E" w14:textId="77777777" w:rsidR="00655890" w:rsidRDefault="00655890" w:rsidP="001F6BDD">
      <w:pPr>
        <w:pStyle w:val="FootnoteText"/>
      </w:pPr>
      <w:r>
        <w:rPr>
          <w:rStyle w:val="FootnoteReference"/>
        </w:rPr>
        <w:footnoteRef/>
      </w:r>
      <w:r>
        <w:t xml:space="preserve">  D.16-11-022, as modified by D.17-12-009, 23-24.</w:t>
      </w:r>
    </w:p>
  </w:footnote>
  <w:footnote w:id="179">
    <w:p w14:paraId="21B51E4A" w14:textId="77777777" w:rsidR="00655890" w:rsidRDefault="00655890" w:rsidP="001F6BDD">
      <w:pPr>
        <w:pStyle w:val="FootnoteText"/>
      </w:pPr>
      <w:r>
        <w:rPr>
          <w:rStyle w:val="FootnoteReference"/>
        </w:rPr>
        <w:footnoteRef/>
      </w:r>
      <w:r>
        <w:t xml:space="preserve">  D.19-06-022, Attachment A-31.</w:t>
      </w:r>
    </w:p>
  </w:footnote>
  <w:footnote w:id="180">
    <w:p w14:paraId="3C57C09E" w14:textId="77777777" w:rsidR="00655890" w:rsidRDefault="00655890" w:rsidP="000C1980">
      <w:pPr>
        <w:pStyle w:val="FootnoteText"/>
      </w:pPr>
      <w:r>
        <w:rPr>
          <w:rStyle w:val="FootnoteReference"/>
        </w:rPr>
        <w:footnoteRef/>
      </w:r>
      <w:r>
        <w:t xml:space="preserve">  PG&amp;E Prepared Testimony, II-57.</w:t>
      </w:r>
    </w:p>
  </w:footnote>
  <w:footnote w:id="181">
    <w:p w14:paraId="0D854F09" w14:textId="694AD191" w:rsidR="00655890" w:rsidRDefault="00655890" w:rsidP="000C1980">
      <w:pPr>
        <w:pStyle w:val="FootnoteText"/>
      </w:pPr>
      <w:r>
        <w:rPr>
          <w:rStyle w:val="FootnoteReference"/>
        </w:rPr>
        <w:footnoteRef/>
      </w:r>
      <w:r>
        <w:t xml:space="preserve">  Decision 15-12-047, 28.</w:t>
      </w:r>
    </w:p>
  </w:footnote>
  <w:footnote w:id="182">
    <w:p w14:paraId="4E35B362" w14:textId="77777777" w:rsidR="00655890" w:rsidRDefault="00655890" w:rsidP="000C1980">
      <w:pPr>
        <w:pStyle w:val="FootnoteText"/>
      </w:pPr>
      <w:r>
        <w:rPr>
          <w:rStyle w:val="FootnoteReference"/>
        </w:rPr>
        <w:footnoteRef/>
      </w:r>
      <w:r>
        <w:t xml:space="preserve">  SCE</w:t>
      </w:r>
      <w:r w:rsidRPr="00491A77">
        <w:t xml:space="preserve"> </w:t>
      </w:r>
      <w:r w:rsidRPr="00C10123">
        <w:t>Prepared Testimony, III-</w:t>
      </w:r>
      <w:r>
        <w:t>29-30.</w:t>
      </w:r>
    </w:p>
  </w:footnote>
  <w:footnote w:id="183">
    <w:p w14:paraId="7D2F8965" w14:textId="77777777" w:rsidR="00655890" w:rsidRDefault="00655890" w:rsidP="000C1980">
      <w:pPr>
        <w:pStyle w:val="FootnoteText"/>
      </w:pPr>
      <w:r>
        <w:rPr>
          <w:rStyle w:val="FootnoteReference"/>
        </w:rPr>
        <w:footnoteRef/>
      </w:r>
      <w:r>
        <w:t xml:space="preserve">  SCE</w:t>
      </w:r>
      <w:r w:rsidRPr="00CE2BA3">
        <w:t xml:space="preserve"> </w:t>
      </w:r>
      <w:r w:rsidRPr="00C10123">
        <w:t>Prepared Testimony, III-</w:t>
      </w:r>
      <w:r>
        <w:t>30.</w:t>
      </w:r>
    </w:p>
  </w:footnote>
  <w:footnote w:id="184">
    <w:p w14:paraId="23B6DCE2" w14:textId="77777777" w:rsidR="00655890" w:rsidRDefault="00655890" w:rsidP="000C1980">
      <w:pPr>
        <w:pStyle w:val="FootnoteText"/>
      </w:pPr>
      <w:r>
        <w:rPr>
          <w:rStyle w:val="FootnoteReference"/>
        </w:rPr>
        <w:footnoteRef/>
      </w:r>
      <w:r>
        <w:t xml:space="preserve">  SoCalGas Application Testimony of Octavio Verduzco, OV-54.</w:t>
      </w:r>
    </w:p>
  </w:footnote>
  <w:footnote w:id="185">
    <w:p w14:paraId="394480E0" w14:textId="77777777" w:rsidR="00655890" w:rsidRDefault="00655890" w:rsidP="000C1980">
      <w:pPr>
        <w:pStyle w:val="FootnoteText"/>
      </w:pPr>
      <w:r>
        <w:rPr>
          <w:rStyle w:val="FootnoteReference"/>
        </w:rPr>
        <w:footnoteRef/>
      </w:r>
      <w:r>
        <w:t xml:space="preserve">  SoCalGas Application, 32.</w:t>
      </w:r>
    </w:p>
  </w:footnote>
  <w:footnote w:id="186">
    <w:p w14:paraId="1410E2C0" w14:textId="77777777" w:rsidR="00655890" w:rsidRDefault="00655890" w:rsidP="000C1980">
      <w:pPr>
        <w:pStyle w:val="FootnoteText"/>
      </w:pPr>
      <w:r>
        <w:rPr>
          <w:rStyle w:val="FootnoteReference"/>
        </w:rPr>
        <w:footnoteRef/>
      </w:r>
      <w:r>
        <w:t xml:space="preserve">  SDG&amp;E Application, 18.</w:t>
      </w:r>
    </w:p>
  </w:footnote>
  <w:footnote w:id="187">
    <w:p w14:paraId="66D79D44" w14:textId="77777777" w:rsidR="00655890" w:rsidRDefault="00655890" w:rsidP="000C1980">
      <w:pPr>
        <w:pStyle w:val="FootnoteText"/>
      </w:pPr>
      <w:r>
        <w:rPr>
          <w:rStyle w:val="FootnoteReference"/>
        </w:rPr>
        <w:footnoteRef/>
      </w:r>
      <w:r>
        <w:t xml:space="preserve">  SDG&amp;E Application Testimony of Sara Nordin, SN-CARE-42.</w:t>
      </w:r>
    </w:p>
  </w:footnote>
  <w:footnote w:id="188">
    <w:p w14:paraId="78B91869" w14:textId="1BC16708" w:rsidR="00655890" w:rsidRDefault="00655890" w:rsidP="000C1980">
      <w:pPr>
        <w:pStyle w:val="FootnoteText"/>
      </w:pPr>
      <w:r>
        <w:rPr>
          <w:rStyle w:val="FootnoteReference"/>
        </w:rPr>
        <w:footnoteRef/>
      </w:r>
      <w:r>
        <w:t xml:space="preserve">  </w:t>
      </w:r>
      <w:r w:rsidRPr="004915BF">
        <w:rPr>
          <w:i/>
          <w:iCs/>
        </w:rPr>
        <w:t>Ibid</w:t>
      </w:r>
      <w:r>
        <w:t xml:space="preserve">. </w:t>
      </w:r>
    </w:p>
  </w:footnote>
  <w:footnote w:id="189">
    <w:p w14:paraId="6FEA64C2" w14:textId="77777777" w:rsidR="00655890" w:rsidRDefault="00655890" w:rsidP="000C1980">
      <w:pPr>
        <w:pStyle w:val="FootnoteText"/>
      </w:pPr>
      <w:r>
        <w:rPr>
          <w:rStyle w:val="FootnoteReference"/>
        </w:rPr>
        <w:footnoteRef/>
      </w:r>
      <w:r>
        <w:t xml:space="preserve">  SDG&amp;E </w:t>
      </w:r>
      <w:r w:rsidRPr="005236BB">
        <w:t>four-year GRC cycle is currently being considered in Rulemaking 13-11-006</w:t>
      </w:r>
      <w:r>
        <w:t>.</w:t>
      </w:r>
      <w:r w:rsidRPr="005236BB">
        <w:t xml:space="preserve"> </w:t>
      </w:r>
    </w:p>
  </w:footnote>
  <w:footnote w:id="190">
    <w:p w14:paraId="0E2866FB" w14:textId="77777777" w:rsidR="00655890" w:rsidRDefault="00655890" w:rsidP="000C1980">
      <w:pPr>
        <w:pStyle w:val="FootnoteText"/>
      </w:pPr>
      <w:r>
        <w:rPr>
          <w:rStyle w:val="FootnoteReference"/>
        </w:rPr>
        <w:footnoteRef/>
      </w:r>
      <w:r>
        <w:t xml:space="preserve">  TURN Prepared Testimony of Hayley Goodson, 5.</w:t>
      </w:r>
    </w:p>
  </w:footnote>
  <w:footnote w:id="191">
    <w:p w14:paraId="3F037271" w14:textId="77777777" w:rsidR="00655890" w:rsidRDefault="00655890" w:rsidP="000C1980">
      <w:pPr>
        <w:pStyle w:val="FootnoteText"/>
      </w:pPr>
      <w:r>
        <w:rPr>
          <w:rStyle w:val="FootnoteReference"/>
        </w:rPr>
        <w:footnoteRef/>
      </w:r>
      <w:r>
        <w:t xml:space="preserve">  PG&amp;E Application Testimony</w:t>
      </w:r>
      <w:r w:rsidRPr="00AC54B9">
        <w:t>, II-21</w:t>
      </w:r>
      <w:r>
        <w:t>.</w:t>
      </w:r>
    </w:p>
  </w:footnote>
  <w:footnote w:id="192">
    <w:p w14:paraId="024A28EE" w14:textId="77777777" w:rsidR="00655890" w:rsidRDefault="00655890" w:rsidP="000C1980">
      <w:pPr>
        <w:pStyle w:val="FootnoteText"/>
      </w:pPr>
      <w:r>
        <w:rPr>
          <w:rStyle w:val="FootnoteReference"/>
        </w:rPr>
        <w:footnoteRef/>
      </w:r>
      <w:r>
        <w:t xml:space="preserve">  PG&amp;E Rebuttal Testimony, II-13</w:t>
      </w:r>
    </w:p>
  </w:footnote>
  <w:footnote w:id="193">
    <w:p w14:paraId="7210D7B3" w14:textId="77777777" w:rsidR="00655890" w:rsidRPr="001F6BDD" w:rsidRDefault="00655890" w:rsidP="001F6BDD">
      <w:pPr>
        <w:pStyle w:val="FootnoteText"/>
        <w:rPr>
          <w:szCs w:val="22"/>
        </w:rPr>
      </w:pPr>
      <w:r w:rsidRPr="001F6BDD">
        <w:rPr>
          <w:rStyle w:val="FootnoteReference"/>
          <w:szCs w:val="22"/>
        </w:rPr>
        <w:footnoteRef/>
      </w:r>
      <w:r w:rsidRPr="001F6BDD">
        <w:rPr>
          <w:szCs w:val="22"/>
        </w:rPr>
        <w:t xml:space="preserve">  D.15-12-047, OP-32</w:t>
      </w:r>
    </w:p>
  </w:footnote>
  <w:footnote w:id="194">
    <w:p w14:paraId="0B2FD270" w14:textId="659A5F8B" w:rsidR="00655890" w:rsidRDefault="00655890" w:rsidP="001F6BDD">
      <w:pPr>
        <w:pStyle w:val="FootnoteText"/>
      </w:pPr>
      <w:r w:rsidRPr="001F6BDD">
        <w:rPr>
          <w:rStyle w:val="FootnoteReference"/>
          <w:szCs w:val="22"/>
        </w:rPr>
        <w:footnoteRef/>
      </w:r>
      <w:r w:rsidRPr="001F6BDD">
        <w:rPr>
          <w:szCs w:val="22"/>
        </w:rPr>
        <w:t xml:space="preserve">  </w:t>
      </w:r>
      <w:r w:rsidR="00A32377" w:rsidRPr="001F6BDD">
        <w:rPr>
          <w:i/>
          <w:iCs/>
          <w:szCs w:val="22"/>
        </w:rPr>
        <w:t>Id</w:t>
      </w:r>
      <w:r w:rsidR="00A32377" w:rsidRPr="001F6BDD">
        <w:rPr>
          <w:szCs w:val="22"/>
        </w:rPr>
        <w:t xml:space="preserve"> at </w:t>
      </w:r>
      <w:r w:rsidRPr="001F6BDD">
        <w:rPr>
          <w:szCs w:val="22"/>
        </w:rPr>
        <w:t>19.</w:t>
      </w:r>
    </w:p>
  </w:footnote>
  <w:footnote w:id="195">
    <w:p w14:paraId="44A8C62A" w14:textId="69164351" w:rsidR="00655890" w:rsidRDefault="00655890" w:rsidP="000C1980">
      <w:pPr>
        <w:pStyle w:val="FootnoteText"/>
      </w:pPr>
      <w:r>
        <w:rPr>
          <w:rStyle w:val="FootnoteReference"/>
        </w:rPr>
        <w:footnoteRef/>
      </w:r>
      <w:r>
        <w:t xml:space="preserve">  PG&amp;E Prepared Testimony, 0-6.</w:t>
      </w:r>
    </w:p>
  </w:footnote>
  <w:footnote w:id="196">
    <w:p w14:paraId="19C70AEF" w14:textId="3712D8DC" w:rsidR="00655890" w:rsidRDefault="00655890" w:rsidP="000C1980">
      <w:pPr>
        <w:pStyle w:val="FootnoteText"/>
      </w:pPr>
      <w:r>
        <w:rPr>
          <w:rStyle w:val="FootnoteReference"/>
        </w:rPr>
        <w:footnoteRef/>
      </w:r>
      <w:r>
        <w:t xml:space="preserve">  PG&amp;E CARE Application, Attachment B, Table “</w:t>
      </w:r>
      <w:r w:rsidRPr="00E65ADB">
        <w:t>B-1 CARE Budget</w:t>
      </w:r>
      <w:r>
        <w:t>.”</w:t>
      </w:r>
    </w:p>
  </w:footnote>
  <w:footnote w:id="197">
    <w:p w14:paraId="03FB25DB" w14:textId="77777777" w:rsidR="00655890" w:rsidRDefault="00655890" w:rsidP="000C1980">
      <w:pPr>
        <w:pStyle w:val="FootnoteText"/>
      </w:pPr>
      <w:r>
        <w:rPr>
          <w:rStyle w:val="FootnoteReference"/>
        </w:rPr>
        <w:footnoteRef/>
      </w:r>
      <w:r>
        <w:t xml:space="preserve">  SCE</w:t>
      </w:r>
      <w:r w:rsidRPr="000601BC">
        <w:t xml:space="preserve"> </w:t>
      </w:r>
      <w:r w:rsidRPr="00C10123">
        <w:t>Prepared Testimony, III-</w:t>
      </w:r>
      <w:r>
        <w:t>28-29.</w:t>
      </w:r>
    </w:p>
  </w:footnote>
  <w:footnote w:id="198">
    <w:p w14:paraId="54E7EA6B" w14:textId="16215AA3" w:rsidR="00655890" w:rsidRDefault="00655890" w:rsidP="000C1980">
      <w:pPr>
        <w:pStyle w:val="FootnoteText"/>
      </w:pPr>
      <w:r>
        <w:rPr>
          <w:rStyle w:val="FootnoteReference"/>
        </w:rPr>
        <w:footnoteRef/>
      </w:r>
      <w:r>
        <w:t xml:space="preserve">  SCE CARE Application, Attachment B, Table “</w:t>
      </w:r>
      <w:r w:rsidRPr="00E65ADB">
        <w:t>B-1 CARE Budget</w:t>
      </w:r>
      <w:r>
        <w:t>.”</w:t>
      </w:r>
    </w:p>
  </w:footnote>
  <w:footnote w:id="199">
    <w:p w14:paraId="6018FCFC" w14:textId="189EDB63" w:rsidR="00655890" w:rsidRDefault="00655890" w:rsidP="000C1980">
      <w:pPr>
        <w:pStyle w:val="FootnoteText"/>
      </w:pPr>
      <w:r>
        <w:rPr>
          <w:rStyle w:val="FootnoteReference"/>
        </w:rPr>
        <w:footnoteRef/>
      </w:r>
      <w:r>
        <w:t xml:space="preserve">  </w:t>
      </w:r>
      <w:r w:rsidRPr="000D3B49">
        <w:t xml:space="preserve">SoCalGas </w:t>
      </w:r>
      <w:r>
        <w:t xml:space="preserve">CARE Application, </w:t>
      </w:r>
      <w:r w:rsidRPr="000D3B49">
        <w:t>Attachment B</w:t>
      </w:r>
      <w:r>
        <w:t>, Table “</w:t>
      </w:r>
      <w:r w:rsidRPr="00E65ADB">
        <w:t>B-1 CARE Budget</w:t>
      </w:r>
      <w:r>
        <w:t>.”</w:t>
      </w:r>
    </w:p>
  </w:footnote>
  <w:footnote w:id="200">
    <w:p w14:paraId="39AE41E3" w14:textId="0617456F" w:rsidR="00655890" w:rsidRDefault="00655890" w:rsidP="000C1980">
      <w:pPr>
        <w:pStyle w:val="FootnoteText"/>
      </w:pPr>
      <w:r>
        <w:rPr>
          <w:rStyle w:val="FootnoteReference"/>
        </w:rPr>
        <w:footnoteRef/>
      </w:r>
      <w:r>
        <w:t xml:space="preserve">  </w:t>
      </w:r>
      <w:r w:rsidR="00573A17" w:rsidRPr="001A4C9C">
        <w:rPr>
          <w:i/>
          <w:iCs/>
        </w:rPr>
        <w:t>Ibid</w:t>
      </w:r>
      <w:r w:rsidR="00573A17">
        <w:t>.</w:t>
      </w:r>
    </w:p>
  </w:footnote>
  <w:footnote w:id="201">
    <w:p w14:paraId="6D228258" w14:textId="1536F8B1" w:rsidR="00655890" w:rsidRDefault="00655890" w:rsidP="000C1980">
      <w:pPr>
        <w:pStyle w:val="FootnoteText"/>
      </w:pPr>
      <w:r>
        <w:rPr>
          <w:rStyle w:val="FootnoteReference"/>
        </w:rPr>
        <w:footnoteRef/>
      </w:r>
      <w:r>
        <w:t xml:space="preserve">  </w:t>
      </w:r>
      <w:r w:rsidR="00573A17" w:rsidRPr="001A4C9C">
        <w:rPr>
          <w:i/>
          <w:iCs/>
        </w:rPr>
        <w:t>Ibid</w:t>
      </w:r>
      <w:r w:rsidR="00573A17">
        <w:t>.</w:t>
      </w:r>
    </w:p>
  </w:footnote>
  <w:footnote w:id="202">
    <w:p w14:paraId="5FEF64D9" w14:textId="5858F894" w:rsidR="00655890" w:rsidRDefault="00655890" w:rsidP="000C1980">
      <w:pPr>
        <w:pStyle w:val="FootnoteText"/>
      </w:pPr>
      <w:r>
        <w:rPr>
          <w:rStyle w:val="FootnoteReference"/>
        </w:rPr>
        <w:footnoteRef/>
      </w:r>
      <w:r>
        <w:t xml:space="preserve">  SDG&amp;E CARE Application, </w:t>
      </w:r>
      <w:r w:rsidRPr="00700186">
        <w:t>Attachment B</w:t>
      </w:r>
      <w:r>
        <w:t>, Table “</w:t>
      </w:r>
      <w:r w:rsidRPr="00E65ADB">
        <w:t>B-1 CARE Budget</w:t>
      </w:r>
      <w:r>
        <w:t>.”</w:t>
      </w:r>
    </w:p>
  </w:footnote>
  <w:footnote w:id="203">
    <w:p w14:paraId="7DFCD4D6" w14:textId="77777777" w:rsidR="00655890" w:rsidRDefault="00655890" w:rsidP="000C1980">
      <w:pPr>
        <w:pStyle w:val="FootnoteText"/>
      </w:pPr>
      <w:r>
        <w:rPr>
          <w:rStyle w:val="FootnoteReference"/>
        </w:rPr>
        <w:footnoteRef/>
      </w:r>
      <w:r>
        <w:t xml:space="preserve">  SDG&amp;E’s low CARE discount budget in 2020 ($76M) is a forecast from their 2018 Mid-Cycle ALs.  This has occurred in the past, for example, in 2019 the CARE forecasted budget was $74M, compared with actual CARE discount expenditures of $118M. SDG&amp;E u</w:t>
      </w:r>
      <w:r w:rsidRPr="00A611AC">
        <w:t>pdated</w:t>
      </w:r>
      <w:r>
        <w:t xml:space="preserve"> their</w:t>
      </w:r>
      <w:r w:rsidRPr="00A611AC">
        <w:t xml:space="preserve"> CARE </w:t>
      </w:r>
      <w:r>
        <w:t>d</w:t>
      </w:r>
      <w:r w:rsidRPr="00A611AC">
        <w:t xml:space="preserve">iscount </w:t>
      </w:r>
      <w:r>
        <w:t>budget to</w:t>
      </w:r>
      <w:r w:rsidRPr="00A611AC">
        <w:t xml:space="preserve"> $122</w:t>
      </w:r>
      <w:r>
        <w:t>M for 2020</w:t>
      </w:r>
      <w:r w:rsidRPr="00A611AC">
        <w:t xml:space="preserve"> as authorized in Advice Letter 3440-E and Advice Letter 2815-G, effective January 1, 2020.</w:t>
      </w:r>
      <w:r>
        <w:t xml:space="preserve"> SDG&amp;E has told staff that they are updating their CARE discounting forecasting methodology to be more accurate going forward into the next program years. </w:t>
      </w:r>
    </w:p>
  </w:footnote>
  <w:footnote w:id="204">
    <w:p w14:paraId="677E072E" w14:textId="1307EB9F" w:rsidR="00655890" w:rsidRDefault="00655890" w:rsidP="000C1980">
      <w:pPr>
        <w:pStyle w:val="FootnoteText"/>
      </w:pPr>
      <w:r>
        <w:rPr>
          <w:rStyle w:val="FootnoteReference"/>
        </w:rPr>
        <w:footnoteRef/>
      </w:r>
      <w:r>
        <w:t xml:space="preserve">  PG&amp;E Application </w:t>
      </w:r>
      <w:r w:rsidRPr="003534FB">
        <w:t>At</w:t>
      </w:r>
      <w:r>
        <w:t xml:space="preserve">tachment A, </w:t>
      </w:r>
      <w:r w:rsidRPr="003534FB">
        <w:t>II-1</w:t>
      </w:r>
      <w:r>
        <w:t>.</w:t>
      </w:r>
      <w:r w:rsidRPr="003534FB">
        <w:t xml:space="preserve"> </w:t>
      </w:r>
    </w:p>
  </w:footnote>
  <w:footnote w:id="205">
    <w:p w14:paraId="68E67036" w14:textId="77777777" w:rsidR="00655890" w:rsidRDefault="00655890" w:rsidP="000C1980">
      <w:pPr>
        <w:pStyle w:val="FootnoteText"/>
      </w:pPr>
      <w:r>
        <w:rPr>
          <w:rStyle w:val="FootnoteReference"/>
        </w:rPr>
        <w:footnoteRef/>
      </w:r>
      <w:r>
        <w:t xml:space="preserve">  Energy Division Data Request to SCE issued on September 3, </w:t>
      </w:r>
      <w:proofErr w:type="gramStart"/>
      <w:r>
        <w:t>2020</w:t>
      </w:r>
      <w:proofErr w:type="gramEnd"/>
      <w:r>
        <w:t xml:space="preserve"> clarified that the FERA portion of this Outreach budget proposed is about $775,000/year.</w:t>
      </w:r>
    </w:p>
  </w:footnote>
  <w:footnote w:id="206">
    <w:p w14:paraId="6B6BB529" w14:textId="62A1962E" w:rsidR="00655890" w:rsidRDefault="00655890" w:rsidP="000C1980">
      <w:pPr>
        <w:pStyle w:val="FootnoteText"/>
      </w:pPr>
      <w:r>
        <w:rPr>
          <w:rStyle w:val="FootnoteReference"/>
        </w:rPr>
        <w:footnoteRef/>
      </w:r>
      <w:r>
        <w:t xml:space="preserve">  SCE Prepared Testimony, III-19.</w:t>
      </w:r>
    </w:p>
  </w:footnote>
  <w:footnote w:id="207">
    <w:p w14:paraId="1E11D52A" w14:textId="78EF5AD7" w:rsidR="00655890" w:rsidRDefault="00655890" w:rsidP="000C1980">
      <w:pPr>
        <w:pStyle w:val="FootnoteText"/>
      </w:pPr>
      <w:r>
        <w:rPr>
          <w:rStyle w:val="FootnoteReference"/>
        </w:rPr>
        <w:footnoteRef/>
      </w:r>
      <w:r>
        <w:t xml:space="preserve">  </w:t>
      </w:r>
      <w:r w:rsidR="00A32377" w:rsidRPr="00CB4AE6">
        <w:rPr>
          <w:i/>
          <w:iCs/>
        </w:rPr>
        <w:t>Id</w:t>
      </w:r>
      <w:r w:rsidR="00A32377">
        <w:t xml:space="preserve"> at </w:t>
      </w:r>
      <w:r>
        <w:t>III-17.</w:t>
      </w:r>
    </w:p>
  </w:footnote>
  <w:footnote w:id="208">
    <w:p w14:paraId="2D2B7C0F" w14:textId="28B3994D" w:rsidR="00655890" w:rsidRDefault="00655890" w:rsidP="000C1980">
      <w:pPr>
        <w:pStyle w:val="FootnoteText"/>
      </w:pPr>
      <w:r>
        <w:rPr>
          <w:rStyle w:val="FootnoteReference"/>
        </w:rPr>
        <w:footnoteRef/>
      </w:r>
      <w:r>
        <w:t xml:space="preserve">  SoCalGas Application Testimony of Octavio Verduzco, pg. OV-16 to OV-28.</w:t>
      </w:r>
    </w:p>
  </w:footnote>
  <w:footnote w:id="209">
    <w:p w14:paraId="78431015" w14:textId="736725A0" w:rsidR="00655890" w:rsidRDefault="00655890" w:rsidP="000C1980">
      <w:pPr>
        <w:pStyle w:val="FootnoteText"/>
      </w:pPr>
      <w:r>
        <w:rPr>
          <w:rStyle w:val="FootnoteReference"/>
        </w:rPr>
        <w:footnoteRef/>
      </w:r>
      <w:r>
        <w:t xml:space="preserve">  SoCalGas 2017, 2018 and 2019 Annual Reports, CARE Table 1.</w:t>
      </w:r>
    </w:p>
  </w:footnote>
  <w:footnote w:id="210">
    <w:p w14:paraId="3FCCDE27" w14:textId="77777777" w:rsidR="00655890" w:rsidRDefault="00655890" w:rsidP="000C1980">
      <w:pPr>
        <w:pStyle w:val="FootnoteText"/>
      </w:pPr>
      <w:r>
        <w:rPr>
          <w:rStyle w:val="FootnoteReference"/>
        </w:rPr>
        <w:footnoteRef/>
      </w:r>
      <w:r>
        <w:t xml:space="preserve">  SDG&amp;E Application, 17.</w:t>
      </w:r>
    </w:p>
  </w:footnote>
  <w:footnote w:id="211">
    <w:p w14:paraId="317366FE" w14:textId="117CE152" w:rsidR="00655890" w:rsidRDefault="00655890" w:rsidP="000C1980">
      <w:pPr>
        <w:pStyle w:val="FootnoteText"/>
      </w:pPr>
      <w:r>
        <w:rPr>
          <w:rStyle w:val="FootnoteReference"/>
        </w:rPr>
        <w:footnoteRef/>
      </w:r>
      <w:r>
        <w:t xml:space="preserve"> </w:t>
      </w:r>
      <w:r w:rsidR="001E5CCA" w:rsidRPr="00620A2B">
        <w:rPr>
          <w:i/>
          <w:iCs/>
          <w:szCs w:val="22"/>
        </w:rPr>
        <w:t>Ibid</w:t>
      </w:r>
      <w:r w:rsidR="001E5CCA" w:rsidRPr="00620A2B">
        <w:rPr>
          <w:szCs w:val="22"/>
        </w:rPr>
        <w:t>.</w:t>
      </w:r>
    </w:p>
  </w:footnote>
  <w:footnote w:id="212">
    <w:p w14:paraId="3342FC89" w14:textId="60434D01" w:rsidR="00655890" w:rsidRDefault="00655890" w:rsidP="000C1980">
      <w:pPr>
        <w:pStyle w:val="FootnoteText"/>
      </w:pPr>
      <w:r>
        <w:rPr>
          <w:rStyle w:val="FootnoteReference"/>
        </w:rPr>
        <w:footnoteRef/>
      </w:r>
      <w:r>
        <w:t xml:space="preserve"> </w:t>
      </w:r>
      <w:r w:rsidR="001F6BDD">
        <w:t xml:space="preserve"> </w:t>
      </w:r>
      <w:r w:rsidRPr="0075686D">
        <w:rPr>
          <w:i/>
          <w:iCs/>
        </w:rPr>
        <w:t>Ibid.</w:t>
      </w:r>
    </w:p>
  </w:footnote>
  <w:footnote w:id="213">
    <w:p w14:paraId="2BDEDA94" w14:textId="2A025108" w:rsidR="00655890" w:rsidRDefault="00655890" w:rsidP="000C1980">
      <w:pPr>
        <w:pStyle w:val="FootnoteText"/>
      </w:pPr>
      <w:r>
        <w:rPr>
          <w:rStyle w:val="FootnoteReference"/>
        </w:rPr>
        <w:footnoteRef/>
      </w:r>
      <w:r>
        <w:t xml:space="preserve">  Decision 18-08-013 on Pacific Gas and Electric Company’s Proposed Rate Designs and Related Issues</w:t>
      </w:r>
      <w:r w:rsidR="005B624F">
        <w:t>.</w:t>
      </w:r>
    </w:p>
  </w:footnote>
  <w:footnote w:id="214">
    <w:p w14:paraId="1F742C32" w14:textId="35EB61C5" w:rsidR="00655890" w:rsidRDefault="00655890" w:rsidP="000C1980">
      <w:pPr>
        <w:pStyle w:val="FootnoteText"/>
      </w:pPr>
      <w:r>
        <w:rPr>
          <w:rStyle w:val="FootnoteReference"/>
        </w:rPr>
        <w:footnoteRef/>
      </w:r>
      <w:r>
        <w:t xml:space="preserve">  Decision 18-11-027 on Southern California Edison Company’s </w:t>
      </w:r>
      <w:r w:rsidRPr="00594819">
        <w:t>Proposed Rate Designs and Related Issues</w:t>
      </w:r>
      <w:r w:rsidR="005B624F">
        <w:t>.</w:t>
      </w:r>
    </w:p>
  </w:footnote>
  <w:footnote w:id="215">
    <w:p w14:paraId="46D03821" w14:textId="77777777" w:rsidR="00655890" w:rsidRDefault="00655890" w:rsidP="000C1980">
      <w:pPr>
        <w:pStyle w:val="FootnoteText"/>
      </w:pPr>
      <w:r>
        <w:rPr>
          <w:rStyle w:val="FootnoteReference"/>
        </w:rPr>
        <w:footnoteRef/>
      </w:r>
      <w:r>
        <w:t xml:space="preserve">  Decision 19-06-022, Attachment A, 31.</w:t>
      </w:r>
    </w:p>
  </w:footnote>
  <w:footnote w:id="216">
    <w:p w14:paraId="3D062C25" w14:textId="77777777" w:rsidR="00655890" w:rsidRDefault="00655890" w:rsidP="000C1980">
      <w:pPr>
        <w:pStyle w:val="FootnoteText"/>
      </w:pPr>
      <w:r>
        <w:rPr>
          <w:rStyle w:val="FootnoteReference"/>
        </w:rPr>
        <w:footnoteRef/>
      </w:r>
      <w:r>
        <w:t xml:space="preserve">  SDG&amp;E Application, SN-FERA- 4.</w:t>
      </w:r>
    </w:p>
  </w:footnote>
  <w:footnote w:id="217">
    <w:p w14:paraId="30D85F55" w14:textId="5B8C939A" w:rsidR="00655890" w:rsidRDefault="00655890" w:rsidP="000C1980">
      <w:pPr>
        <w:pStyle w:val="FootnoteText"/>
      </w:pPr>
      <w:r>
        <w:rPr>
          <w:rStyle w:val="FootnoteReference"/>
        </w:rPr>
        <w:footnoteRef/>
      </w:r>
      <w:r>
        <w:t xml:space="preserve">  PG&amp;E </w:t>
      </w:r>
      <w:r w:rsidRPr="00A8556E">
        <w:t>Prepared Testimony</w:t>
      </w:r>
      <w:r>
        <w:t xml:space="preserve">, </w:t>
      </w:r>
      <w:r w:rsidRPr="00A8556E">
        <w:t>II-64 – II-65.</w:t>
      </w:r>
    </w:p>
  </w:footnote>
  <w:footnote w:id="218">
    <w:p w14:paraId="77CE1C30" w14:textId="77777777" w:rsidR="00655890" w:rsidRDefault="00655890" w:rsidP="000C1980">
      <w:pPr>
        <w:pStyle w:val="FootnoteText"/>
      </w:pPr>
      <w:r>
        <w:rPr>
          <w:rStyle w:val="FootnoteReference"/>
        </w:rPr>
        <w:footnoteRef/>
      </w:r>
      <w:r>
        <w:t xml:space="preserve">  SCE response to Energy Division Data Request submitted on November 2, </w:t>
      </w:r>
      <w:proofErr w:type="gramStart"/>
      <w:r>
        <w:t>2020</w:t>
      </w:r>
      <w:proofErr w:type="gramEnd"/>
      <w:r>
        <w:t xml:space="preserve"> and received on November 9, 2020.</w:t>
      </w:r>
    </w:p>
  </w:footnote>
  <w:footnote w:id="219">
    <w:p w14:paraId="391C5540" w14:textId="77777777" w:rsidR="00655890" w:rsidRDefault="00655890" w:rsidP="000C1980">
      <w:pPr>
        <w:pStyle w:val="FootnoteText"/>
      </w:pPr>
      <w:r>
        <w:rPr>
          <w:rStyle w:val="FootnoteReference"/>
        </w:rPr>
        <w:footnoteRef/>
      </w:r>
      <w:r>
        <w:t xml:space="preserve">  SCE</w:t>
      </w:r>
      <w:r w:rsidRPr="00FD1563">
        <w:t xml:space="preserve"> </w:t>
      </w:r>
      <w:r w:rsidRPr="00C10123">
        <w:t>Prepared Testimony, III</w:t>
      </w:r>
      <w:r>
        <w:t>-40.</w:t>
      </w:r>
    </w:p>
  </w:footnote>
  <w:footnote w:id="220">
    <w:p w14:paraId="0EFF3CD0" w14:textId="77777777" w:rsidR="00655890" w:rsidRDefault="00655890" w:rsidP="000C1980">
      <w:pPr>
        <w:pStyle w:val="FootnoteText"/>
      </w:pPr>
      <w:r>
        <w:rPr>
          <w:rStyle w:val="FootnoteReference"/>
        </w:rPr>
        <w:footnoteRef/>
      </w:r>
      <w:r>
        <w:t xml:space="preserve">  SDG&amp;E Application, 23.</w:t>
      </w:r>
    </w:p>
  </w:footnote>
  <w:footnote w:id="221">
    <w:p w14:paraId="52206FF9" w14:textId="10EDF9E1" w:rsidR="004D5BC1" w:rsidRDefault="004D5BC1">
      <w:pPr>
        <w:pStyle w:val="FootnoteText"/>
      </w:pPr>
      <w:r>
        <w:rPr>
          <w:rStyle w:val="FootnoteReference"/>
        </w:rPr>
        <w:footnoteRef/>
      </w:r>
      <w:r>
        <w:t xml:space="preserve"> </w:t>
      </w:r>
      <w:r w:rsidR="001F6BDD">
        <w:t xml:space="preserve"> </w:t>
      </w:r>
      <w:r>
        <w:t>TURN Opening Brief, 8.</w:t>
      </w:r>
    </w:p>
  </w:footnote>
  <w:footnote w:id="222">
    <w:p w14:paraId="01DD3953" w14:textId="1497F067" w:rsidR="00DC474C" w:rsidRDefault="00DC474C">
      <w:pPr>
        <w:pStyle w:val="FootnoteText"/>
      </w:pPr>
      <w:r>
        <w:rPr>
          <w:rStyle w:val="FootnoteReference"/>
        </w:rPr>
        <w:footnoteRef/>
      </w:r>
      <w:r>
        <w:t xml:space="preserve"> </w:t>
      </w:r>
      <w:r w:rsidR="001F6BDD">
        <w:t xml:space="preserve"> </w:t>
      </w:r>
      <w:r w:rsidR="00302760">
        <w:t xml:space="preserve">EEC and TELACU et al. </w:t>
      </w:r>
      <w:r>
        <w:t xml:space="preserve">Reply Briefs, </w:t>
      </w:r>
      <w:r w:rsidR="00302760">
        <w:t>2.</w:t>
      </w:r>
    </w:p>
  </w:footnote>
  <w:footnote w:id="223">
    <w:p w14:paraId="755E976E" w14:textId="23EE53B8" w:rsidR="00302760" w:rsidRDefault="00302760">
      <w:pPr>
        <w:pStyle w:val="FootnoteText"/>
      </w:pPr>
      <w:r>
        <w:rPr>
          <w:rStyle w:val="FootnoteReference"/>
        </w:rPr>
        <w:footnoteRef/>
      </w:r>
      <w:r>
        <w:t xml:space="preserve"> </w:t>
      </w:r>
      <w:r w:rsidR="001F6BDD">
        <w:t xml:space="preserve"> </w:t>
      </w:r>
      <w:r w:rsidRPr="0075686D">
        <w:rPr>
          <w:i/>
          <w:iCs/>
        </w:rPr>
        <w:t>Ibid.</w:t>
      </w:r>
    </w:p>
  </w:footnote>
  <w:footnote w:id="224">
    <w:p w14:paraId="70CCB2C1" w14:textId="1A933B6C" w:rsidR="00655890" w:rsidRDefault="00655890" w:rsidP="000C1980">
      <w:pPr>
        <w:pStyle w:val="FootnoteText"/>
      </w:pPr>
      <w:r>
        <w:rPr>
          <w:rStyle w:val="FootnoteReference"/>
        </w:rPr>
        <w:footnoteRef/>
      </w:r>
      <w:r>
        <w:t xml:space="preserve">  PG&amp;E 2019 FERA Annual Report, 13</w:t>
      </w:r>
      <w:r w:rsidR="003368D9">
        <w:t>.</w:t>
      </w:r>
    </w:p>
  </w:footnote>
  <w:footnote w:id="225">
    <w:p w14:paraId="77F282FB" w14:textId="157A0AAC" w:rsidR="00655890" w:rsidRDefault="00655890" w:rsidP="000C1980">
      <w:pPr>
        <w:pStyle w:val="FootnoteText"/>
      </w:pPr>
      <w:r>
        <w:rPr>
          <w:rStyle w:val="FootnoteReference"/>
        </w:rPr>
        <w:footnoteRef/>
      </w:r>
      <w:r>
        <w:t xml:space="preserve">  SDG&amp;E 2019 FERA Annual Report, 11-13.</w:t>
      </w:r>
    </w:p>
  </w:footnote>
  <w:footnote w:id="226">
    <w:p w14:paraId="2D97D48A" w14:textId="05F83896" w:rsidR="00655890" w:rsidRPr="001F6BDD" w:rsidRDefault="00655890" w:rsidP="000C1980">
      <w:pPr>
        <w:pStyle w:val="FootnoteText"/>
        <w:rPr>
          <w:szCs w:val="22"/>
        </w:rPr>
      </w:pPr>
      <w:r w:rsidRPr="001F6BDD">
        <w:rPr>
          <w:rStyle w:val="FootnoteReference"/>
          <w:szCs w:val="22"/>
        </w:rPr>
        <w:footnoteRef/>
      </w:r>
      <w:r w:rsidRPr="001F6BDD">
        <w:rPr>
          <w:szCs w:val="22"/>
        </w:rPr>
        <w:t xml:space="preserve">  PG&amp;E GRC D.18-08-01, 75.</w:t>
      </w:r>
    </w:p>
  </w:footnote>
  <w:footnote w:id="227">
    <w:p w14:paraId="34C187A1" w14:textId="0F746ED9" w:rsidR="00655890" w:rsidRPr="001F6BDD" w:rsidRDefault="00655890" w:rsidP="000C1980">
      <w:pPr>
        <w:pStyle w:val="FootnoteText"/>
        <w:rPr>
          <w:szCs w:val="22"/>
        </w:rPr>
      </w:pPr>
      <w:r w:rsidRPr="001F6BDD">
        <w:rPr>
          <w:rStyle w:val="FootnoteReference"/>
          <w:szCs w:val="22"/>
        </w:rPr>
        <w:footnoteRef/>
      </w:r>
      <w:r w:rsidRPr="001F6BDD">
        <w:rPr>
          <w:szCs w:val="22"/>
        </w:rPr>
        <w:t xml:space="preserve">  SCE GRC D.18-11-027, 49.</w:t>
      </w:r>
    </w:p>
  </w:footnote>
  <w:footnote w:id="228">
    <w:p w14:paraId="7F7CE8A0" w14:textId="40E47B7E" w:rsidR="00655890" w:rsidRDefault="00655890" w:rsidP="000C1980">
      <w:pPr>
        <w:pStyle w:val="FootnoteText"/>
      </w:pPr>
      <w:r w:rsidRPr="001F6BDD">
        <w:rPr>
          <w:rStyle w:val="FootnoteReference"/>
          <w:szCs w:val="22"/>
        </w:rPr>
        <w:footnoteRef/>
      </w:r>
      <w:r w:rsidRPr="001F6BDD">
        <w:rPr>
          <w:szCs w:val="22"/>
        </w:rPr>
        <w:t xml:space="preserve">  PG&amp;E GRC D.18-08-013, COL 50, 173.</w:t>
      </w:r>
    </w:p>
  </w:footnote>
  <w:footnote w:id="229">
    <w:p w14:paraId="75F54AB7" w14:textId="00CD2F36" w:rsidR="00655890" w:rsidRDefault="00655890" w:rsidP="000C1980">
      <w:pPr>
        <w:pStyle w:val="FootnoteText"/>
      </w:pPr>
      <w:r>
        <w:rPr>
          <w:rStyle w:val="FootnoteReference"/>
        </w:rPr>
        <w:footnoteRef/>
      </w:r>
      <w:r>
        <w:t xml:space="preserve">  PG&amp;E Application, </w:t>
      </w:r>
      <w:r w:rsidRPr="00304B63">
        <w:t>II-65</w:t>
      </w:r>
      <w:r>
        <w:t>.</w:t>
      </w:r>
      <w:r w:rsidRPr="00304B63">
        <w:t xml:space="preserve"> </w:t>
      </w:r>
    </w:p>
  </w:footnote>
  <w:footnote w:id="230">
    <w:p w14:paraId="5E4053C7" w14:textId="0F8A5E46" w:rsidR="00655890" w:rsidRDefault="00655890" w:rsidP="000C1980">
      <w:pPr>
        <w:pStyle w:val="FootnoteText"/>
      </w:pPr>
      <w:r>
        <w:rPr>
          <w:rStyle w:val="FootnoteReference"/>
        </w:rPr>
        <w:footnoteRef/>
      </w:r>
      <w:r>
        <w:t xml:space="preserve">  PG&amp;E Testimony, II-64.</w:t>
      </w:r>
    </w:p>
  </w:footnote>
  <w:footnote w:id="231">
    <w:p w14:paraId="64DAD886" w14:textId="7EDCB9F6" w:rsidR="00655890" w:rsidRDefault="00655890" w:rsidP="000C1980">
      <w:pPr>
        <w:pStyle w:val="FootnoteText"/>
      </w:pPr>
      <w:r>
        <w:rPr>
          <w:rStyle w:val="FootnoteReference"/>
        </w:rPr>
        <w:footnoteRef/>
      </w:r>
      <w:r>
        <w:t xml:space="preserve">  </w:t>
      </w:r>
      <w:r w:rsidR="003368D9" w:rsidRPr="00620A2B">
        <w:rPr>
          <w:i/>
          <w:iCs/>
          <w:szCs w:val="22"/>
        </w:rPr>
        <w:t>Ibid</w:t>
      </w:r>
      <w:r w:rsidR="003368D9" w:rsidRPr="00620A2B">
        <w:rPr>
          <w:szCs w:val="22"/>
        </w:rPr>
        <w:t>.</w:t>
      </w:r>
    </w:p>
  </w:footnote>
  <w:footnote w:id="232">
    <w:p w14:paraId="3AB187B6" w14:textId="4A4F6B36" w:rsidR="00655890" w:rsidRDefault="00655890" w:rsidP="000C1980">
      <w:pPr>
        <w:pStyle w:val="FootnoteText"/>
      </w:pPr>
      <w:r>
        <w:rPr>
          <w:rStyle w:val="FootnoteReference"/>
        </w:rPr>
        <w:footnoteRef/>
      </w:r>
      <w:r>
        <w:t xml:space="preserve">  SDG&amp;E Application, 25.</w:t>
      </w:r>
    </w:p>
  </w:footnote>
  <w:footnote w:id="233">
    <w:p w14:paraId="47B034B2" w14:textId="63D0D0E7" w:rsidR="00655890" w:rsidRDefault="00655890" w:rsidP="000C1980">
      <w:pPr>
        <w:pStyle w:val="FootnoteText"/>
      </w:pPr>
      <w:r>
        <w:rPr>
          <w:rStyle w:val="FootnoteReference"/>
        </w:rPr>
        <w:footnoteRef/>
      </w:r>
      <w:r>
        <w:t xml:space="preserve">  </w:t>
      </w:r>
      <w:r w:rsidRPr="001321F1">
        <w:t xml:space="preserve">PG&amp;E GRC D.18-08-013, </w:t>
      </w:r>
      <w:r>
        <w:t>OP 16</w:t>
      </w:r>
      <w:r w:rsidRPr="001321F1">
        <w:t xml:space="preserve">; </w:t>
      </w:r>
      <w:r>
        <w:t>SCE</w:t>
      </w:r>
      <w:r w:rsidRPr="001321F1">
        <w:t xml:space="preserve"> GRC 18-11-027, </w:t>
      </w:r>
      <w:r>
        <w:t>OP 13.</w:t>
      </w:r>
    </w:p>
  </w:footnote>
  <w:footnote w:id="234">
    <w:p w14:paraId="4DE279DD" w14:textId="77777777" w:rsidR="00655890" w:rsidRDefault="00655890" w:rsidP="000C1980">
      <w:pPr>
        <w:pStyle w:val="FootnoteText"/>
      </w:pPr>
      <w:r>
        <w:rPr>
          <w:rStyle w:val="FootnoteReference"/>
        </w:rPr>
        <w:footnoteRef/>
      </w:r>
      <w:r>
        <w:t xml:space="preserve">  PG&amp;E Testimony, II-69.</w:t>
      </w:r>
    </w:p>
  </w:footnote>
  <w:footnote w:id="235">
    <w:p w14:paraId="0469EE07" w14:textId="74D714E4" w:rsidR="00655890" w:rsidRDefault="00655890" w:rsidP="000C1980">
      <w:pPr>
        <w:pStyle w:val="FootnoteText"/>
      </w:pPr>
      <w:r>
        <w:rPr>
          <w:rStyle w:val="FootnoteReference"/>
        </w:rPr>
        <w:footnoteRef/>
      </w:r>
      <w:r>
        <w:t xml:space="preserve">  </w:t>
      </w:r>
      <w:r w:rsidR="005B624F" w:rsidRPr="00CB4AE6">
        <w:rPr>
          <w:i/>
          <w:iCs/>
        </w:rPr>
        <w:t>Id</w:t>
      </w:r>
      <w:r w:rsidR="005B624F">
        <w:t xml:space="preserve"> at </w:t>
      </w:r>
      <w:r>
        <w:t>II-69.</w:t>
      </w:r>
    </w:p>
  </w:footnote>
  <w:footnote w:id="236">
    <w:p w14:paraId="6EDD34BE" w14:textId="7A4958D9" w:rsidR="00655890" w:rsidRDefault="00655890" w:rsidP="000C1980">
      <w:pPr>
        <w:pStyle w:val="FootnoteText"/>
      </w:pPr>
      <w:r>
        <w:rPr>
          <w:rStyle w:val="FootnoteReference"/>
        </w:rPr>
        <w:footnoteRef/>
      </w:r>
      <w:r>
        <w:t xml:space="preserve"> </w:t>
      </w:r>
      <w:r w:rsidR="001F6BDD">
        <w:t xml:space="preserve"> </w:t>
      </w:r>
      <w:r w:rsidR="005B624F" w:rsidRPr="00CB4AE6">
        <w:rPr>
          <w:i/>
          <w:iCs/>
        </w:rPr>
        <w:t>Id</w:t>
      </w:r>
      <w:r w:rsidR="005B624F">
        <w:t xml:space="preserve"> at </w:t>
      </w:r>
      <w:r>
        <w:t>II-69-70.</w:t>
      </w:r>
    </w:p>
  </w:footnote>
  <w:footnote w:id="237">
    <w:p w14:paraId="373D51B0" w14:textId="6AE27DEE" w:rsidR="00655890" w:rsidRDefault="00655890" w:rsidP="000C1980">
      <w:pPr>
        <w:pStyle w:val="FootnoteText"/>
      </w:pPr>
      <w:r w:rsidRPr="00805080">
        <w:rPr>
          <w:rStyle w:val="FootnoteReference"/>
          <w:b/>
          <w:caps/>
        </w:rPr>
        <w:footnoteRef/>
      </w:r>
      <w:r>
        <w:t xml:space="preserve"> </w:t>
      </w:r>
      <w:r w:rsidR="001F6BDD">
        <w:t xml:space="preserve"> </w:t>
      </w:r>
      <w:r w:rsidR="005B624F" w:rsidRPr="00CB4AE6">
        <w:rPr>
          <w:i/>
          <w:iCs/>
        </w:rPr>
        <w:t>Id</w:t>
      </w:r>
      <w:r w:rsidR="005B624F">
        <w:t xml:space="preserve"> at </w:t>
      </w:r>
      <w:r>
        <w:t>II-77.</w:t>
      </w:r>
    </w:p>
  </w:footnote>
  <w:footnote w:id="238">
    <w:p w14:paraId="46739FBC" w14:textId="0E061278" w:rsidR="00655890" w:rsidRDefault="00655890" w:rsidP="000C1980">
      <w:pPr>
        <w:pStyle w:val="FootnoteText"/>
      </w:pPr>
      <w:r>
        <w:rPr>
          <w:rStyle w:val="FootnoteReference"/>
        </w:rPr>
        <w:footnoteRef/>
      </w:r>
      <w:r>
        <w:t xml:space="preserve"> </w:t>
      </w:r>
      <w:r w:rsidR="001F6BDD">
        <w:t xml:space="preserve"> </w:t>
      </w:r>
      <w:r w:rsidR="005B624F" w:rsidRPr="00CB4AE6">
        <w:rPr>
          <w:i/>
          <w:iCs/>
        </w:rPr>
        <w:t>Id</w:t>
      </w:r>
      <w:r w:rsidR="005B624F">
        <w:t xml:space="preserve"> at </w:t>
      </w:r>
      <w:r>
        <w:t>II-72.</w:t>
      </w:r>
    </w:p>
  </w:footnote>
  <w:footnote w:id="239">
    <w:p w14:paraId="5CC3BE1F" w14:textId="6E90C0F8" w:rsidR="00655890" w:rsidRDefault="00655890" w:rsidP="000C1980">
      <w:pPr>
        <w:pStyle w:val="FootnoteText"/>
      </w:pPr>
      <w:r>
        <w:rPr>
          <w:rStyle w:val="FootnoteReference"/>
        </w:rPr>
        <w:footnoteRef/>
      </w:r>
      <w:r>
        <w:t xml:space="preserve"> </w:t>
      </w:r>
      <w:r w:rsidR="001F6BDD">
        <w:t xml:space="preserve"> </w:t>
      </w:r>
      <w:r w:rsidR="003C7DD8" w:rsidRPr="001A4C9C">
        <w:rPr>
          <w:i/>
          <w:iCs/>
        </w:rPr>
        <w:t>Ibid</w:t>
      </w:r>
      <w:r w:rsidR="003C7DD8">
        <w:t>.</w:t>
      </w:r>
    </w:p>
  </w:footnote>
  <w:footnote w:id="240">
    <w:p w14:paraId="5C618865" w14:textId="0AFF3E77" w:rsidR="00655890" w:rsidRDefault="00655890" w:rsidP="000C1980">
      <w:pPr>
        <w:pStyle w:val="FootnoteText"/>
      </w:pPr>
      <w:r>
        <w:rPr>
          <w:rStyle w:val="FootnoteReference"/>
        </w:rPr>
        <w:footnoteRef/>
      </w:r>
      <w:r>
        <w:t xml:space="preserve"> </w:t>
      </w:r>
      <w:r w:rsidR="001F6BDD">
        <w:t xml:space="preserve"> </w:t>
      </w:r>
      <w:r>
        <w:t>PG&amp;E Testimony, II-74.</w:t>
      </w:r>
    </w:p>
  </w:footnote>
  <w:footnote w:id="241">
    <w:p w14:paraId="24BA826E" w14:textId="4247D491" w:rsidR="00655890" w:rsidRDefault="00655890" w:rsidP="001F6BDD">
      <w:pPr>
        <w:pStyle w:val="FootnoteText"/>
      </w:pPr>
      <w:r>
        <w:rPr>
          <w:rStyle w:val="FootnoteReference"/>
        </w:rPr>
        <w:footnoteRef/>
      </w:r>
      <w:r>
        <w:t xml:space="preserve"> </w:t>
      </w:r>
      <w:r w:rsidR="001F6BDD">
        <w:t xml:space="preserve"> </w:t>
      </w:r>
      <w:r w:rsidR="005B624F" w:rsidRPr="00CB4AE6">
        <w:rPr>
          <w:i/>
          <w:iCs/>
        </w:rPr>
        <w:t>Id</w:t>
      </w:r>
      <w:r w:rsidR="005B624F">
        <w:t xml:space="preserve"> at</w:t>
      </w:r>
      <w:r>
        <w:t>II-73.</w:t>
      </w:r>
    </w:p>
  </w:footnote>
  <w:footnote w:id="242">
    <w:p w14:paraId="222A737B" w14:textId="58B29CDC" w:rsidR="00655890" w:rsidRDefault="00655890" w:rsidP="001F6BDD">
      <w:pPr>
        <w:pStyle w:val="FootnoteText"/>
      </w:pPr>
      <w:r>
        <w:rPr>
          <w:rStyle w:val="FootnoteReference"/>
        </w:rPr>
        <w:footnoteRef/>
      </w:r>
      <w:r>
        <w:t xml:space="preserve">  </w:t>
      </w:r>
      <w:r w:rsidR="0044781D" w:rsidRPr="00CB4AE6">
        <w:rPr>
          <w:i/>
          <w:iCs/>
        </w:rPr>
        <w:t>Id</w:t>
      </w:r>
      <w:r w:rsidR="0044781D">
        <w:t xml:space="preserve"> at </w:t>
      </w:r>
      <w:r>
        <w:t>II-72-73.</w:t>
      </w:r>
    </w:p>
  </w:footnote>
  <w:footnote w:id="243">
    <w:p w14:paraId="519CEE07" w14:textId="57388A1F" w:rsidR="00655890" w:rsidRDefault="00655890" w:rsidP="001F6BDD">
      <w:pPr>
        <w:pStyle w:val="FootnoteText"/>
      </w:pPr>
      <w:r>
        <w:rPr>
          <w:rStyle w:val="FootnoteReference"/>
        </w:rPr>
        <w:footnoteRef/>
      </w:r>
      <w:r>
        <w:t xml:space="preserve">  </w:t>
      </w:r>
      <w:r w:rsidR="0044781D" w:rsidRPr="00CB4AE6">
        <w:rPr>
          <w:i/>
          <w:iCs/>
        </w:rPr>
        <w:t>Id</w:t>
      </w:r>
      <w:r w:rsidR="0044781D">
        <w:t xml:space="preserve"> at </w:t>
      </w:r>
      <w:r>
        <w:t>II-73.</w:t>
      </w:r>
    </w:p>
  </w:footnote>
  <w:footnote w:id="244">
    <w:p w14:paraId="0C64732A" w14:textId="2F17BE2D" w:rsidR="00655890" w:rsidRDefault="00655890" w:rsidP="001F6BDD">
      <w:pPr>
        <w:pStyle w:val="FootnoteText"/>
      </w:pPr>
      <w:r>
        <w:rPr>
          <w:rStyle w:val="FootnoteReference"/>
        </w:rPr>
        <w:footnoteRef/>
      </w:r>
      <w:r>
        <w:t xml:space="preserve">  </w:t>
      </w:r>
      <w:r w:rsidR="0044781D" w:rsidRPr="00CB4AE6">
        <w:rPr>
          <w:i/>
          <w:iCs/>
        </w:rPr>
        <w:t>Id</w:t>
      </w:r>
      <w:r w:rsidR="0044781D">
        <w:t xml:space="preserve"> at </w:t>
      </w:r>
      <w:r>
        <w:t>II-75.</w:t>
      </w:r>
    </w:p>
  </w:footnote>
  <w:footnote w:id="245">
    <w:p w14:paraId="04A2C5F6" w14:textId="3CE781F0" w:rsidR="00655890" w:rsidRDefault="00655890" w:rsidP="001F6BDD">
      <w:pPr>
        <w:pStyle w:val="FootnoteText"/>
      </w:pPr>
      <w:r>
        <w:rPr>
          <w:rStyle w:val="FootnoteReference"/>
        </w:rPr>
        <w:footnoteRef/>
      </w:r>
      <w:r>
        <w:t xml:space="preserve">  </w:t>
      </w:r>
      <w:r w:rsidR="0013276C" w:rsidRPr="001A4C9C">
        <w:rPr>
          <w:i/>
          <w:iCs/>
        </w:rPr>
        <w:t>Ibid</w:t>
      </w:r>
      <w:r w:rsidR="0013276C">
        <w:t>.</w:t>
      </w:r>
    </w:p>
  </w:footnote>
  <w:footnote w:id="246">
    <w:p w14:paraId="73912E94" w14:textId="77777777" w:rsidR="00655890" w:rsidRDefault="00655890" w:rsidP="001F6BDD">
      <w:pPr>
        <w:pStyle w:val="FootnoteText"/>
      </w:pPr>
      <w:r>
        <w:rPr>
          <w:rStyle w:val="FootnoteReference"/>
        </w:rPr>
        <w:footnoteRef/>
      </w:r>
      <w:r>
        <w:t xml:space="preserve">  PG&amp;E Testimony, II-64.</w:t>
      </w:r>
    </w:p>
  </w:footnote>
  <w:footnote w:id="247">
    <w:p w14:paraId="23B4D728" w14:textId="77777777" w:rsidR="00655890" w:rsidRDefault="00655890" w:rsidP="001F6BDD">
      <w:pPr>
        <w:pStyle w:val="FootnoteText"/>
      </w:pPr>
      <w:r>
        <w:rPr>
          <w:rStyle w:val="FootnoteReference"/>
        </w:rPr>
        <w:footnoteRef/>
      </w:r>
      <w:r>
        <w:t xml:space="preserve">  SCE</w:t>
      </w:r>
      <w:r w:rsidRPr="00E561E7">
        <w:t xml:space="preserve"> </w:t>
      </w:r>
      <w:r w:rsidRPr="00C10123">
        <w:t>Prepared Testimony, III</w:t>
      </w:r>
      <w:r>
        <w:t>-22-23.</w:t>
      </w:r>
    </w:p>
  </w:footnote>
  <w:footnote w:id="248">
    <w:p w14:paraId="6BAEE8E1" w14:textId="77777777" w:rsidR="00655890" w:rsidRDefault="00655890" w:rsidP="001F6BDD">
      <w:pPr>
        <w:pStyle w:val="FootnoteText"/>
      </w:pPr>
      <w:r>
        <w:rPr>
          <w:rStyle w:val="FootnoteReference"/>
        </w:rPr>
        <w:footnoteRef/>
      </w:r>
      <w:r>
        <w:t xml:space="preserve">  SCE Application Testimony, III-39-44.</w:t>
      </w:r>
    </w:p>
  </w:footnote>
  <w:footnote w:id="249">
    <w:p w14:paraId="3028E74A" w14:textId="4076B618" w:rsidR="00655890" w:rsidRDefault="00655890" w:rsidP="000C1980">
      <w:pPr>
        <w:pStyle w:val="FootnoteText"/>
      </w:pPr>
      <w:r>
        <w:rPr>
          <w:rStyle w:val="FootnoteReference"/>
        </w:rPr>
        <w:footnoteRef/>
      </w:r>
      <w:r>
        <w:t xml:space="preserve">  </w:t>
      </w:r>
      <w:r w:rsidR="0044781D" w:rsidRPr="00CB4AE6">
        <w:rPr>
          <w:i/>
          <w:iCs/>
        </w:rPr>
        <w:t>Id</w:t>
      </w:r>
      <w:r w:rsidR="0044781D">
        <w:t xml:space="preserve"> at </w:t>
      </w:r>
      <w:r w:rsidRPr="00C10123">
        <w:t>III</w:t>
      </w:r>
      <w:r>
        <w:t>-41.</w:t>
      </w:r>
    </w:p>
  </w:footnote>
  <w:footnote w:id="250">
    <w:p w14:paraId="2C3DDCEC" w14:textId="10AB4F56" w:rsidR="00655890" w:rsidRDefault="00655890" w:rsidP="000C1980">
      <w:pPr>
        <w:pStyle w:val="FootnoteText"/>
      </w:pPr>
      <w:r>
        <w:rPr>
          <w:rStyle w:val="FootnoteReference"/>
        </w:rPr>
        <w:footnoteRef/>
      </w:r>
      <w:r>
        <w:t xml:space="preserve">  </w:t>
      </w:r>
      <w:r w:rsidR="00EC4C8C" w:rsidRPr="001A4C9C">
        <w:rPr>
          <w:i/>
          <w:iCs/>
        </w:rPr>
        <w:t>Ibid</w:t>
      </w:r>
      <w:r w:rsidR="00EC4C8C">
        <w:t>.</w:t>
      </w:r>
    </w:p>
  </w:footnote>
  <w:footnote w:id="251">
    <w:p w14:paraId="5C5117CF" w14:textId="77777777" w:rsidR="00655890" w:rsidRDefault="00655890" w:rsidP="000C1980">
      <w:pPr>
        <w:pStyle w:val="FootnoteText"/>
      </w:pPr>
      <w:r>
        <w:rPr>
          <w:rStyle w:val="FootnoteReference"/>
        </w:rPr>
        <w:footnoteRef/>
      </w:r>
      <w:r>
        <w:t xml:space="preserve">  SCE</w:t>
      </w:r>
      <w:r w:rsidRPr="00805080">
        <w:t xml:space="preserve"> </w:t>
      </w:r>
      <w:r w:rsidRPr="00C10123">
        <w:t>Prepared Testimony, III-</w:t>
      </w:r>
      <w:r>
        <w:t>42.</w:t>
      </w:r>
    </w:p>
  </w:footnote>
  <w:footnote w:id="252">
    <w:p w14:paraId="2E0B4461" w14:textId="22F3131A" w:rsidR="00655890" w:rsidRDefault="00655890" w:rsidP="000C1980">
      <w:pPr>
        <w:pStyle w:val="FootnoteText"/>
      </w:pPr>
      <w:r>
        <w:rPr>
          <w:rStyle w:val="FootnoteReference"/>
        </w:rPr>
        <w:footnoteRef/>
      </w:r>
      <w:r>
        <w:t xml:space="preserve">  </w:t>
      </w:r>
      <w:r w:rsidR="0044781D" w:rsidRPr="00CB4AE6">
        <w:rPr>
          <w:i/>
          <w:iCs/>
        </w:rPr>
        <w:t>Id</w:t>
      </w:r>
      <w:r w:rsidR="0044781D">
        <w:t xml:space="preserve"> at </w:t>
      </w:r>
      <w:r w:rsidRPr="00C10123">
        <w:t>III-</w:t>
      </w:r>
      <w:r>
        <w:t>41.</w:t>
      </w:r>
    </w:p>
  </w:footnote>
  <w:footnote w:id="253">
    <w:p w14:paraId="014B1176" w14:textId="0A0453E3" w:rsidR="00655890" w:rsidRDefault="00655890" w:rsidP="000C1980">
      <w:pPr>
        <w:pStyle w:val="FootnoteText"/>
      </w:pPr>
      <w:r>
        <w:rPr>
          <w:rStyle w:val="FootnoteReference"/>
        </w:rPr>
        <w:footnoteRef/>
      </w:r>
      <w:r>
        <w:t xml:space="preserve">  </w:t>
      </w:r>
      <w:r w:rsidR="0044781D" w:rsidRPr="00CB4AE6">
        <w:rPr>
          <w:i/>
          <w:iCs/>
        </w:rPr>
        <w:t>Id</w:t>
      </w:r>
      <w:r w:rsidR="0044781D">
        <w:t xml:space="preserve"> at </w:t>
      </w:r>
      <w:r w:rsidRPr="00C10123">
        <w:t>III-</w:t>
      </w:r>
      <w:r>
        <w:t>43.</w:t>
      </w:r>
    </w:p>
  </w:footnote>
  <w:footnote w:id="254">
    <w:p w14:paraId="37E995A3" w14:textId="1EF7C79A" w:rsidR="00655890" w:rsidRDefault="00655890" w:rsidP="000C1980">
      <w:pPr>
        <w:pStyle w:val="FootnoteText"/>
      </w:pPr>
      <w:r>
        <w:rPr>
          <w:rStyle w:val="FootnoteReference"/>
        </w:rPr>
        <w:footnoteRef/>
      </w:r>
      <w:r>
        <w:t xml:space="preserve">  </w:t>
      </w:r>
      <w:r w:rsidR="00FC4AAB" w:rsidRPr="001A4C9C">
        <w:rPr>
          <w:i/>
          <w:iCs/>
        </w:rPr>
        <w:t>Ibid</w:t>
      </w:r>
      <w:r w:rsidR="00FC4AAB">
        <w:t>.</w:t>
      </w:r>
    </w:p>
  </w:footnote>
  <w:footnote w:id="255">
    <w:p w14:paraId="171E69C8" w14:textId="77777777" w:rsidR="00655890" w:rsidRDefault="00655890" w:rsidP="000C1980">
      <w:pPr>
        <w:pStyle w:val="FootnoteText"/>
      </w:pPr>
      <w:r>
        <w:rPr>
          <w:rStyle w:val="FootnoteReference"/>
        </w:rPr>
        <w:footnoteRef/>
      </w:r>
      <w:r>
        <w:t xml:space="preserve">  SCE</w:t>
      </w:r>
      <w:r w:rsidRPr="00805080">
        <w:t xml:space="preserve"> </w:t>
      </w:r>
      <w:r w:rsidRPr="00C10123">
        <w:t>Prepared Testimony, III-</w:t>
      </w:r>
      <w:r>
        <w:t>44.</w:t>
      </w:r>
    </w:p>
  </w:footnote>
  <w:footnote w:id="256">
    <w:p w14:paraId="04CCDB40" w14:textId="2F5418FA" w:rsidR="00655890" w:rsidRDefault="00655890" w:rsidP="000C1980">
      <w:pPr>
        <w:pStyle w:val="FootnoteText"/>
      </w:pPr>
      <w:r>
        <w:rPr>
          <w:rStyle w:val="FootnoteReference"/>
        </w:rPr>
        <w:footnoteRef/>
      </w:r>
      <w:r>
        <w:t xml:space="preserve">  SDG&amp;E Application, 24-25.</w:t>
      </w:r>
    </w:p>
  </w:footnote>
  <w:footnote w:id="257">
    <w:p w14:paraId="4203E591" w14:textId="22B10F20" w:rsidR="00655890" w:rsidRDefault="00655890" w:rsidP="000C1980">
      <w:pPr>
        <w:pStyle w:val="FootnoteText"/>
      </w:pPr>
      <w:r>
        <w:rPr>
          <w:rStyle w:val="FootnoteReference"/>
        </w:rPr>
        <w:footnoteRef/>
      </w:r>
      <w:r>
        <w:t xml:space="preserve">  </w:t>
      </w:r>
      <w:r w:rsidR="0044781D" w:rsidRPr="00CB4AE6">
        <w:rPr>
          <w:i/>
          <w:iCs/>
        </w:rPr>
        <w:t>Id</w:t>
      </w:r>
      <w:r w:rsidR="0044781D">
        <w:t xml:space="preserve"> at </w:t>
      </w:r>
      <w:r>
        <w:t>26.</w:t>
      </w:r>
    </w:p>
  </w:footnote>
  <w:footnote w:id="258">
    <w:p w14:paraId="2A8AB1CF" w14:textId="4D4BC695" w:rsidR="00655890" w:rsidRDefault="00655890" w:rsidP="000C1980">
      <w:pPr>
        <w:pStyle w:val="FootnoteText"/>
      </w:pPr>
      <w:r>
        <w:rPr>
          <w:rStyle w:val="FootnoteReference"/>
        </w:rPr>
        <w:footnoteRef/>
      </w:r>
      <w:r>
        <w:t xml:space="preserve">  SDG&amp;E Application Testimony of Sara Nordin, SN-FERA-12.</w:t>
      </w:r>
    </w:p>
  </w:footnote>
  <w:footnote w:id="259">
    <w:p w14:paraId="25D42CA4" w14:textId="33EF8C7C" w:rsidR="00655890" w:rsidRDefault="00655890" w:rsidP="000C1980">
      <w:pPr>
        <w:pStyle w:val="FootnoteText"/>
      </w:pPr>
      <w:r>
        <w:rPr>
          <w:rStyle w:val="FootnoteReference"/>
        </w:rPr>
        <w:footnoteRef/>
      </w:r>
      <w:r>
        <w:t xml:space="preserve">  </w:t>
      </w:r>
      <w:r w:rsidR="0044781D" w:rsidRPr="00CB4AE6">
        <w:rPr>
          <w:i/>
          <w:iCs/>
        </w:rPr>
        <w:t>Id</w:t>
      </w:r>
      <w:r w:rsidR="0044781D">
        <w:t xml:space="preserve"> at </w:t>
      </w:r>
      <w:r w:rsidRPr="00096EBD">
        <w:t>SN-FERA-1</w:t>
      </w:r>
      <w:r>
        <w:t>3.</w:t>
      </w:r>
    </w:p>
  </w:footnote>
  <w:footnote w:id="260">
    <w:p w14:paraId="57C14C45" w14:textId="7FDBF498" w:rsidR="00655890" w:rsidRDefault="00655890" w:rsidP="001F6BDD">
      <w:pPr>
        <w:pStyle w:val="FootnoteText"/>
      </w:pPr>
      <w:r>
        <w:rPr>
          <w:rStyle w:val="FootnoteReference"/>
        </w:rPr>
        <w:footnoteRef/>
      </w:r>
      <w:r>
        <w:t xml:space="preserve">  SDG&amp;E Application Testimony of Horace Tantum IV, ME&amp;O-14.</w:t>
      </w:r>
    </w:p>
  </w:footnote>
  <w:footnote w:id="261">
    <w:p w14:paraId="2D97D1DA" w14:textId="77777777" w:rsidR="00655890" w:rsidRDefault="00655890" w:rsidP="001F6BDD">
      <w:pPr>
        <w:pStyle w:val="FootnoteText"/>
      </w:pPr>
      <w:r>
        <w:rPr>
          <w:rStyle w:val="FootnoteReference"/>
        </w:rPr>
        <w:footnoteRef/>
      </w:r>
      <w:r>
        <w:t xml:space="preserve">  Cal Advocates Joint Protest, 2-3.</w:t>
      </w:r>
    </w:p>
  </w:footnote>
  <w:footnote w:id="262">
    <w:p w14:paraId="345A696B" w14:textId="77777777" w:rsidR="00655890" w:rsidRDefault="00655890" w:rsidP="001F6BDD">
      <w:pPr>
        <w:pStyle w:val="FootnoteText"/>
      </w:pPr>
      <w:r>
        <w:rPr>
          <w:rStyle w:val="FootnoteReference"/>
        </w:rPr>
        <w:footnoteRef/>
      </w:r>
      <w:r>
        <w:t xml:space="preserve">  Enervee Response to PG&amp;E, 3.</w:t>
      </w:r>
    </w:p>
  </w:footnote>
  <w:footnote w:id="263">
    <w:p w14:paraId="0B8B03D1" w14:textId="07ED2EDE" w:rsidR="00655890" w:rsidRDefault="00655890" w:rsidP="001F6BDD">
      <w:pPr>
        <w:pStyle w:val="FootnoteText"/>
      </w:pPr>
      <w:r>
        <w:rPr>
          <w:rStyle w:val="FootnoteReference"/>
        </w:rPr>
        <w:footnoteRef/>
      </w:r>
      <w:r>
        <w:t xml:space="preserve">  </w:t>
      </w:r>
      <w:r w:rsidR="004234CA" w:rsidRPr="001A4C9C">
        <w:rPr>
          <w:i/>
          <w:iCs/>
        </w:rPr>
        <w:t>Ibid</w:t>
      </w:r>
      <w:r w:rsidR="004234CA">
        <w:t>.</w:t>
      </w:r>
    </w:p>
  </w:footnote>
  <w:footnote w:id="264">
    <w:p w14:paraId="6F1E2983" w14:textId="77777777" w:rsidR="00655890" w:rsidRDefault="00655890" w:rsidP="001F6BDD">
      <w:pPr>
        <w:pStyle w:val="FootnoteText"/>
      </w:pPr>
      <w:r>
        <w:rPr>
          <w:rStyle w:val="FootnoteReference"/>
        </w:rPr>
        <w:footnoteRef/>
      </w:r>
      <w:r>
        <w:t xml:space="preserve">  Enervee Response to PG&amp;E, 8.</w:t>
      </w:r>
    </w:p>
  </w:footnote>
  <w:footnote w:id="265">
    <w:p w14:paraId="3EDDEF26" w14:textId="77777777" w:rsidR="00AE3C19" w:rsidRPr="001F6BDD" w:rsidRDefault="00AE3C19" w:rsidP="001F6BDD">
      <w:pPr>
        <w:pStyle w:val="FootnoteText"/>
        <w:rPr>
          <w:szCs w:val="22"/>
        </w:rPr>
      </w:pPr>
      <w:r w:rsidRPr="001F6BDD">
        <w:rPr>
          <w:rStyle w:val="FootnoteReference"/>
          <w:szCs w:val="22"/>
        </w:rPr>
        <w:footnoteRef/>
      </w:r>
      <w:r w:rsidRPr="001F6BDD">
        <w:rPr>
          <w:szCs w:val="22"/>
        </w:rPr>
        <w:t xml:space="preserve"> Enervee Opening Briefs, 13.</w:t>
      </w:r>
    </w:p>
  </w:footnote>
  <w:footnote w:id="266">
    <w:p w14:paraId="732B7674" w14:textId="484EEA63" w:rsidR="00655890" w:rsidRDefault="00655890" w:rsidP="001F6BDD">
      <w:pPr>
        <w:pStyle w:val="FootnoteText"/>
      </w:pPr>
      <w:r w:rsidRPr="001F6BDD">
        <w:rPr>
          <w:rStyle w:val="FootnoteReference"/>
          <w:szCs w:val="22"/>
        </w:rPr>
        <w:footnoteRef/>
      </w:r>
      <w:r w:rsidRPr="001F6BDD">
        <w:rPr>
          <w:szCs w:val="22"/>
        </w:rPr>
        <w:t xml:space="preserve">  PG&amp;E Application, II-72.</w:t>
      </w:r>
      <w:r w:rsidRPr="00C20E3C">
        <w:t xml:space="preserve"> </w:t>
      </w:r>
    </w:p>
  </w:footnote>
  <w:footnote w:id="267">
    <w:p w14:paraId="656C47AF" w14:textId="77777777" w:rsidR="00655890" w:rsidRDefault="00655890" w:rsidP="000C1980">
      <w:pPr>
        <w:pStyle w:val="FootnoteText"/>
      </w:pPr>
      <w:r>
        <w:rPr>
          <w:rStyle w:val="FootnoteReference"/>
        </w:rPr>
        <w:footnoteRef/>
      </w:r>
      <w:r>
        <w:t xml:space="preserve">  PG&amp;E response to Energy Division Data Request submitted on September 17, </w:t>
      </w:r>
      <w:proofErr w:type="gramStart"/>
      <w:r>
        <w:t>2020</w:t>
      </w:r>
      <w:proofErr w:type="gramEnd"/>
      <w:r>
        <w:t xml:space="preserve"> and received on October 2, 2020. </w:t>
      </w:r>
    </w:p>
  </w:footnote>
  <w:footnote w:id="268">
    <w:p w14:paraId="0606F50C" w14:textId="78C39DEA" w:rsidR="00655890" w:rsidRDefault="00655890" w:rsidP="000C1980">
      <w:pPr>
        <w:pStyle w:val="FootnoteText"/>
      </w:pPr>
      <w:r>
        <w:rPr>
          <w:rStyle w:val="FootnoteReference"/>
        </w:rPr>
        <w:footnoteRef/>
      </w:r>
      <w:r>
        <w:t xml:space="preserve">  </w:t>
      </w:r>
      <w:r w:rsidRPr="007C1A27">
        <w:t>D.18-08-013</w:t>
      </w:r>
      <w:r>
        <w:t>, 75.</w:t>
      </w:r>
    </w:p>
  </w:footnote>
  <w:footnote w:id="269">
    <w:p w14:paraId="53F3731F" w14:textId="7A8B1E39" w:rsidR="00655890" w:rsidRDefault="00655890" w:rsidP="000C1980">
      <w:pPr>
        <w:pStyle w:val="FootnoteText"/>
      </w:pPr>
      <w:r>
        <w:rPr>
          <w:rStyle w:val="FootnoteReference"/>
        </w:rPr>
        <w:footnoteRef/>
      </w:r>
      <w:r>
        <w:t xml:space="preserve">  PG&amp;E, SCE, SDG&amp;E and SoCalGas 2019 CARE Annual Reports, CARE-Table 7 and CARE-Table 1.</w:t>
      </w:r>
    </w:p>
  </w:footnote>
  <w:footnote w:id="270">
    <w:p w14:paraId="3D945B15" w14:textId="62AA73EE" w:rsidR="00655890" w:rsidRDefault="00655890" w:rsidP="000C1980">
      <w:pPr>
        <w:pStyle w:val="FootnoteText"/>
      </w:pPr>
      <w:r>
        <w:rPr>
          <w:rStyle w:val="FootnoteReference"/>
        </w:rPr>
        <w:footnoteRef/>
      </w:r>
      <w:r>
        <w:t xml:space="preserve">  SCE Application, 45.</w:t>
      </w:r>
    </w:p>
  </w:footnote>
  <w:footnote w:id="271">
    <w:p w14:paraId="7F7700E7" w14:textId="77777777" w:rsidR="00655890" w:rsidRDefault="00655890" w:rsidP="000C1980">
      <w:pPr>
        <w:pStyle w:val="FootnoteText"/>
      </w:pPr>
      <w:r>
        <w:rPr>
          <w:rStyle w:val="FootnoteReference"/>
        </w:rPr>
        <w:footnoteRef/>
      </w:r>
      <w:r>
        <w:t xml:space="preserve">  PG&amp;E Testimony, II-61-62.</w:t>
      </w:r>
    </w:p>
  </w:footnote>
  <w:footnote w:id="272">
    <w:p w14:paraId="136A9AAD" w14:textId="312BA881" w:rsidR="00655890" w:rsidRDefault="00655890" w:rsidP="000C1980">
      <w:pPr>
        <w:pStyle w:val="FootnoteText"/>
      </w:pPr>
      <w:r>
        <w:rPr>
          <w:rStyle w:val="FootnoteReference"/>
        </w:rPr>
        <w:footnoteRef/>
      </w:r>
      <w:r>
        <w:t xml:space="preserve">  </w:t>
      </w:r>
      <w:r w:rsidR="0044781D" w:rsidRPr="00CB4AE6">
        <w:rPr>
          <w:i/>
          <w:iCs/>
        </w:rPr>
        <w:t>Id</w:t>
      </w:r>
      <w:r w:rsidR="0044781D">
        <w:t xml:space="preserve"> at </w:t>
      </w:r>
      <w:r>
        <w:t>II-72.</w:t>
      </w:r>
    </w:p>
  </w:footnote>
  <w:footnote w:id="273">
    <w:p w14:paraId="7BBCA2F4" w14:textId="4B578ABA" w:rsidR="00655890" w:rsidRDefault="00655890" w:rsidP="000C1980">
      <w:pPr>
        <w:pStyle w:val="FootnoteText"/>
      </w:pPr>
      <w:r>
        <w:rPr>
          <w:rStyle w:val="FootnoteReference"/>
        </w:rPr>
        <w:footnoteRef/>
      </w:r>
      <w:r>
        <w:t xml:space="preserve">  PG&amp;E Application, 12.</w:t>
      </w:r>
    </w:p>
  </w:footnote>
  <w:footnote w:id="274">
    <w:p w14:paraId="0EC46F1E" w14:textId="77777777" w:rsidR="00655890" w:rsidRDefault="00655890" w:rsidP="000C1980">
      <w:pPr>
        <w:pStyle w:val="FootnoteText"/>
      </w:pPr>
      <w:r>
        <w:rPr>
          <w:rStyle w:val="FootnoteReference"/>
        </w:rPr>
        <w:footnoteRef/>
      </w:r>
      <w:r>
        <w:t xml:space="preserve">  PG&amp;E Testimony, II-66.</w:t>
      </w:r>
    </w:p>
  </w:footnote>
  <w:footnote w:id="275">
    <w:p w14:paraId="20E78AC5" w14:textId="77777777" w:rsidR="00655890" w:rsidRDefault="00655890" w:rsidP="000C1980">
      <w:pPr>
        <w:pStyle w:val="FootnoteText"/>
      </w:pPr>
      <w:r>
        <w:rPr>
          <w:rStyle w:val="FootnoteReference"/>
        </w:rPr>
        <w:footnoteRef/>
      </w:r>
      <w:r>
        <w:t xml:space="preserve">  SCE Application Testimony, III-45.</w:t>
      </w:r>
    </w:p>
  </w:footnote>
  <w:footnote w:id="276">
    <w:p w14:paraId="6DC37C3C" w14:textId="7871DFFA" w:rsidR="00655890" w:rsidRDefault="00655890" w:rsidP="000C1980">
      <w:pPr>
        <w:pStyle w:val="FootnoteText"/>
      </w:pPr>
      <w:r>
        <w:rPr>
          <w:rStyle w:val="FootnoteReference"/>
        </w:rPr>
        <w:footnoteRef/>
      </w:r>
      <w:r>
        <w:t xml:space="preserve">  SDG&amp;E CARE Application, </w:t>
      </w:r>
      <w:r w:rsidRPr="00700186">
        <w:t>Attachment B</w:t>
      </w:r>
      <w:r>
        <w:t>, Table “D</w:t>
      </w:r>
      <w:r w:rsidRPr="00E65ADB">
        <w:t>-1 CARE Budget</w:t>
      </w:r>
      <w:r>
        <w:t>.”</w:t>
      </w:r>
    </w:p>
  </w:footnote>
  <w:footnote w:id="277">
    <w:p w14:paraId="7F81ED5F" w14:textId="09F33274" w:rsidR="00655890" w:rsidRDefault="00655890" w:rsidP="000C1980">
      <w:pPr>
        <w:pStyle w:val="FootnoteText"/>
      </w:pPr>
      <w:r>
        <w:rPr>
          <w:rStyle w:val="FootnoteReference"/>
        </w:rPr>
        <w:footnoteRef/>
      </w:r>
      <w:r>
        <w:t xml:space="preserve">  </w:t>
      </w:r>
      <w:r w:rsidRPr="00D6498F">
        <w:t>D</w:t>
      </w:r>
      <w:r>
        <w:t xml:space="preserve">ecision </w:t>
      </w:r>
      <w:r w:rsidRPr="00D6498F">
        <w:t>04-02-057</w:t>
      </w:r>
      <w:r>
        <w:t xml:space="preserve">, </w:t>
      </w:r>
      <w:r w:rsidRPr="00D6498F">
        <w:t>OP 6</w:t>
      </w:r>
      <w:r>
        <w:t>.</w:t>
      </w:r>
    </w:p>
  </w:footnote>
  <w:footnote w:id="278">
    <w:p w14:paraId="367C6526" w14:textId="77777777" w:rsidR="00655890" w:rsidRDefault="00655890" w:rsidP="000C1980">
      <w:pPr>
        <w:pStyle w:val="FootnoteText"/>
      </w:pPr>
      <w:r>
        <w:rPr>
          <w:rStyle w:val="FootnoteReference"/>
        </w:rPr>
        <w:footnoteRef/>
      </w:r>
      <w:r>
        <w:t xml:space="preserve">  SDG&amp;E Application, 24.</w:t>
      </w:r>
    </w:p>
  </w:footnote>
  <w:footnote w:id="279">
    <w:p w14:paraId="5D414496" w14:textId="51E33A12" w:rsidR="00655890" w:rsidRDefault="00655890" w:rsidP="000C1980">
      <w:pPr>
        <w:pStyle w:val="FootnoteText"/>
      </w:pPr>
      <w:r>
        <w:rPr>
          <w:rStyle w:val="FootnoteReference"/>
        </w:rPr>
        <w:footnoteRef/>
      </w:r>
      <w:r>
        <w:t xml:space="preserve">  </w:t>
      </w:r>
      <w:r w:rsidRPr="0049613B">
        <w:t>D</w:t>
      </w:r>
      <w:r>
        <w:t xml:space="preserve">ecision </w:t>
      </w:r>
      <w:r w:rsidRPr="0049613B">
        <w:t>08-11-031</w:t>
      </w:r>
      <w:r>
        <w:t>.</w:t>
      </w:r>
    </w:p>
  </w:footnote>
  <w:footnote w:id="280">
    <w:p w14:paraId="2BF109E8" w14:textId="77777777" w:rsidR="00655890" w:rsidRDefault="00655890" w:rsidP="000C1980">
      <w:pPr>
        <w:pStyle w:val="FootnoteText"/>
      </w:pPr>
      <w:r>
        <w:rPr>
          <w:rStyle w:val="FootnoteReference"/>
        </w:rPr>
        <w:footnoteRef/>
      </w:r>
      <w:r>
        <w:t xml:space="preserve">  The ESA program was previously named the Low-Income Energy Efficiency (LIEE) program.  </w:t>
      </w:r>
    </w:p>
  </w:footnote>
  <w:footnote w:id="281">
    <w:p w14:paraId="5915D3D5" w14:textId="77777777" w:rsidR="00655890" w:rsidRPr="00C264ED" w:rsidRDefault="00655890" w:rsidP="000C1980">
      <w:pPr>
        <w:pStyle w:val="FootnoteText"/>
        <w:rPr>
          <w:szCs w:val="26"/>
        </w:rPr>
      </w:pPr>
      <w:r w:rsidRPr="00C264ED">
        <w:rPr>
          <w:szCs w:val="26"/>
          <w:vertAlign w:val="superscript"/>
        </w:rPr>
        <w:footnoteRef/>
      </w:r>
      <w:r w:rsidRPr="00C264ED">
        <w:rPr>
          <w:szCs w:val="26"/>
        </w:rPr>
        <w:t xml:space="preserve"> </w:t>
      </w:r>
      <w:r>
        <w:rPr>
          <w:szCs w:val="26"/>
        </w:rPr>
        <w:t xml:space="preserve"> </w:t>
      </w:r>
      <w:r w:rsidRPr="00C264ED">
        <w:rPr>
          <w:szCs w:val="26"/>
        </w:rPr>
        <w:t>D.07-12-051</w:t>
      </w:r>
      <w:r>
        <w:rPr>
          <w:szCs w:val="26"/>
        </w:rPr>
        <w:t>,</w:t>
      </w:r>
      <w:r w:rsidRPr="00C264ED">
        <w:rPr>
          <w:szCs w:val="26"/>
        </w:rPr>
        <w:t xml:space="preserve"> 28</w:t>
      </w:r>
      <w:r>
        <w:rPr>
          <w:szCs w:val="26"/>
        </w:rPr>
        <w:t>-</w:t>
      </w:r>
      <w:r w:rsidRPr="00C264ED">
        <w:rPr>
          <w:szCs w:val="26"/>
        </w:rPr>
        <w:t>29.</w:t>
      </w:r>
    </w:p>
  </w:footnote>
  <w:footnote w:id="282">
    <w:p w14:paraId="356C8851" w14:textId="77777777" w:rsidR="00655890" w:rsidRPr="00C264ED" w:rsidRDefault="00655890" w:rsidP="000C1980">
      <w:pPr>
        <w:pStyle w:val="FootnoteText"/>
        <w:rPr>
          <w:szCs w:val="26"/>
        </w:rPr>
      </w:pPr>
      <w:r w:rsidRPr="00C264ED">
        <w:rPr>
          <w:szCs w:val="26"/>
          <w:vertAlign w:val="superscript"/>
        </w:rPr>
        <w:footnoteRef/>
      </w:r>
      <w:r w:rsidRPr="00C264ED">
        <w:rPr>
          <w:szCs w:val="26"/>
        </w:rPr>
        <w:t xml:space="preserve"> </w:t>
      </w:r>
      <w:r>
        <w:rPr>
          <w:szCs w:val="26"/>
        </w:rPr>
        <w:t xml:space="preserve"> </w:t>
      </w:r>
      <w:r w:rsidRPr="00C264ED">
        <w:rPr>
          <w:szCs w:val="26"/>
        </w:rPr>
        <w:t>D.12-08-044</w:t>
      </w:r>
      <w:r>
        <w:rPr>
          <w:szCs w:val="26"/>
        </w:rPr>
        <w:t xml:space="preserve">, </w:t>
      </w:r>
      <w:r w:rsidRPr="00C264ED">
        <w:rPr>
          <w:szCs w:val="26"/>
        </w:rPr>
        <w:t>18-20.</w:t>
      </w:r>
    </w:p>
  </w:footnote>
  <w:footnote w:id="283">
    <w:p w14:paraId="1FB66185" w14:textId="77777777" w:rsidR="00655890" w:rsidRDefault="00655890" w:rsidP="000C1980">
      <w:r w:rsidRPr="009D13CA">
        <w:rPr>
          <w:vertAlign w:val="superscript"/>
        </w:rPr>
        <w:footnoteRef/>
      </w:r>
      <w:r>
        <w:t xml:space="preserve"> </w:t>
      </w:r>
      <w:r w:rsidRPr="003D69FA">
        <w:rPr>
          <w:sz w:val="22"/>
        </w:rPr>
        <w:t>Based on the IOUs’ 2019 Annual Reports, and December 2020 monthly reports.</w:t>
      </w:r>
    </w:p>
  </w:footnote>
  <w:footnote w:id="284">
    <w:p w14:paraId="32C7F9D8" w14:textId="77777777" w:rsidR="00655890" w:rsidRDefault="00655890" w:rsidP="000C1980">
      <w:pPr>
        <w:pStyle w:val="FootnoteText"/>
      </w:pPr>
      <w:r w:rsidRPr="002D11AC">
        <w:rPr>
          <w:rStyle w:val="FootnoteReference"/>
        </w:rPr>
        <w:footnoteRef/>
      </w:r>
      <w:r w:rsidRPr="002D11AC">
        <w:t xml:space="preserve"> </w:t>
      </w:r>
      <w:r w:rsidRPr="04774BFE">
        <w:rPr>
          <w:sz w:val="26"/>
          <w:szCs w:val="26"/>
        </w:rPr>
        <w:t xml:space="preserve"> </w:t>
      </w:r>
      <w:r w:rsidRPr="00F1082B">
        <w:rPr>
          <w:sz w:val="24"/>
          <w:szCs w:val="24"/>
        </w:rPr>
        <w:t>The</w:t>
      </w:r>
      <w:r w:rsidRPr="04774BFE">
        <w:rPr>
          <w:sz w:val="26"/>
          <w:szCs w:val="26"/>
        </w:rPr>
        <w:t xml:space="preserve"> </w:t>
      </w:r>
      <w:r w:rsidRPr="001B29A8">
        <w:t>denominator used to calculate whether the IOUs achieve</w:t>
      </w:r>
      <w:r>
        <w:t>d</w:t>
      </w:r>
      <w:r w:rsidRPr="001B29A8">
        <w:t xml:space="preserve"> their </w:t>
      </w:r>
      <w:r>
        <w:t xml:space="preserve">2020 </w:t>
      </w:r>
      <w:r w:rsidRPr="001B29A8">
        <w:t>ESA household treatment goal used the 2018 Athens Report of eligible households, escalated it by 1</w:t>
      </w:r>
      <w:r>
        <w:t xml:space="preserve"> percent</w:t>
      </w:r>
      <w:r w:rsidRPr="001B29A8">
        <w:t xml:space="preserve"> over two years to create a 2020 estimate of eligible ESA households. Next, it subtracted out previous first</w:t>
      </w:r>
      <w:r>
        <w:noBreakHyphen/>
      </w:r>
      <w:r w:rsidRPr="001B29A8">
        <w:t>time ESA treatments from 2002-2017, previous LIHEAP treatments from 2002</w:t>
      </w:r>
      <w:r>
        <w:noBreakHyphen/>
      </w:r>
      <w:r w:rsidRPr="001B29A8">
        <w:t xml:space="preserve">2017 and projected 2018-2020 LIHEAP treatments, </w:t>
      </w:r>
      <w:r w:rsidRPr="002D11AC">
        <w:t>and then multiplied this remaining population by a</w:t>
      </w:r>
      <w:r w:rsidRPr="00CD4785">
        <w:t xml:space="preserve"> </w:t>
      </w:r>
      <w:r w:rsidRPr="002D11AC">
        <w:t>60</w:t>
      </w:r>
      <w:r>
        <w:t> percent</w:t>
      </w:r>
      <w:r w:rsidRPr="002D11AC">
        <w:t xml:space="preserve"> Willingness-To-Participate factor to arrive at</w:t>
      </w:r>
      <w:r>
        <w:t xml:space="preserve"> a total remaining first</w:t>
      </w:r>
      <w:r>
        <w:noBreakHyphen/>
        <w:t>time household treatment goals that the IOUs had to treat between 2018 and 2020.  The numerator is based on the IOUs 2019 Annual Reports and December 2020 monthly reports.</w:t>
      </w:r>
    </w:p>
  </w:footnote>
  <w:footnote w:id="285">
    <w:p w14:paraId="3CC894BB" w14:textId="77777777" w:rsidR="00655890" w:rsidRDefault="00655890" w:rsidP="000C1980">
      <w:pPr>
        <w:pStyle w:val="FootnoteText"/>
      </w:pPr>
      <w:r>
        <w:rPr>
          <w:rStyle w:val="FootnoteReference"/>
        </w:rPr>
        <w:footnoteRef/>
      </w:r>
      <w:r>
        <w:t xml:space="preserve">  Ruling seeking comments on staff proposal issued June 25, </w:t>
      </w:r>
      <w:proofErr w:type="gramStart"/>
      <w:r>
        <w:t>2020</w:t>
      </w:r>
      <w:proofErr w:type="gramEnd"/>
      <w:r>
        <w:t xml:space="preserve"> under Application Proceeding A.19-11-003.</w:t>
      </w:r>
    </w:p>
  </w:footnote>
  <w:footnote w:id="286">
    <w:p w14:paraId="75FEABC9" w14:textId="72EC3CFE" w:rsidR="00655890" w:rsidRDefault="00655890" w:rsidP="000C1980">
      <w:pPr>
        <w:pStyle w:val="FootnoteText"/>
      </w:pPr>
      <w:r>
        <w:rPr>
          <w:rStyle w:val="FootnoteReference"/>
        </w:rPr>
        <w:footnoteRef/>
      </w:r>
      <w:r>
        <w:t xml:space="preserve">  This increase is consistent with D.16-11-022, OP 6, 446, which set targets based on a 5 percent increase in yearly energy savings.  </w:t>
      </w:r>
    </w:p>
  </w:footnote>
  <w:footnote w:id="287">
    <w:p w14:paraId="461146C3" w14:textId="77777777" w:rsidR="00655890" w:rsidRDefault="00655890" w:rsidP="000C1980">
      <w:pPr>
        <w:pStyle w:val="FootnoteText"/>
        <w:rPr>
          <w:rFonts w:ascii="Garamond" w:eastAsia="Garamond" w:hAnsi="Garamond" w:cs="Garamond"/>
          <w:sz w:val="16"/>
          <w:szCs w:val="16"/>
        </w:rPr>
      </w:pPr>
      <w:r w:rsidRPr="5F8DF44D">
        <w:rPr>
          <w:rStyle w:val="FootnoteReference"/>
        </w:rPr>
        <w:footnoteRef/>
      </w:r>
      <w:r>
        <w:t xml:space="preserve">  Public Utilities Code Section </w:t>
      </w:r>
      <w:r w:rsidRPr="5F8DF44D">
        <w:rPr>
          <w:color w:val="333333"/>
        </w:rPr>
        <w:t>382(e) directs electrical corporations and gas corporations to make all reasonable efforts to coordinate ratepayer-funded programs with other energy conservation and efficiency programs.</w:t>
      </w:r>
    </w:p>
  </w:footnote>
  <w:footnote w:id="288">
    <w:p w14:paraId="1FD493B7" w14:textId="77777777" w:rsidR="00655890" w:rsidRDefault="00655890" w:rsidP="000C1980">
      <w:pPr>
        <w:pStyle w:val="FootnoteText"/>
        <w:rPr>
          <w:rStyle w:val="Hyperlink"/>
        </w:rPr>
      </w:pPr>
      <w:r w:rsidRPr="3D586CA0">
        <w:rPr>
          <w:rStyle w:val="FootnoteReference"/>
        </w:rPr>
        <w:footnoteRef/>
      </w:r>
      <w:r>
        <w:t xml:space="preserve">  </w:t>
      </w:r>
      <w:r w:rsidRPr="00C51445">
        <w:rPr>
          <w:color w:val="333333"/>
        </w:rPr>
        <w:t xml:space="preserve">Pacific Gas and Electric worked with Sonoma Clean Power and Bay Area Air Quality Management District to build a single application for a joint program, the Advanced Energy Rebuild Program, where each contributed financially as well (program website is </w:t>
      </w:r>
      <w:hyperlink r:id="rId6" w:history="1">
        <w:r w:rsidRPr="45FD651C">
          <w:rPr>
            <w:rStyle w:val="Hyperlink"/>
          </w:rPr>
          <w:t>https://sonomacleanpower.org/programs/advanced-energy-rebuild</w:t>
        </w:r>
      </w:hyperlink>
      <w:r w:rsidRPr="00322EAE">
        <w:rPr>
          <w:rStyle w:val="Hyperlink"/>
        </w:rPr>
        <w:t>).</w:t>
      </w:r>
    </w:p>
  </w:footnote>
  <w:footnote w:id="289">
    <w:p w14:paraId="39338409" w14:textId="170DB211" w:rsidR="00655890" w:rsidRDefault="00655890" w:rsidP="00AF76AE">
      <w:pPr>
        <w:pStyle w:val="FootnoteText"/>
        <w:spacing w:after="0"/>
      </w:pPr>
      <w:r>
        <w:rPr>
          <w:rStyle w:val="FootnoteReference"/>
        </w:rPr>
        <w:footnoteRef/>
      </w:r>
      <w:r>
        <w:t xml:space="preserve"> PG&amp;E Comments on June 25, </w:t>
      </w:r>
      <w:proofErr w:type="gramStart"/>
      <w:r>
        <w:t>2020</w:t>
      </w:r>
      <w:proofErr w:type="gramEnd"/>
      <w:r>
        <w:t xml:space="preserve"> ALJ Ruling, 4-6.</w:t>
      </w:r>
    </w:p>
  </w:footnote>
  <w:footnote w:id="290">
    <w:p w14:paraId="21A7ADE6" w14:textId="1610A11A" w:rsidR="00655890" w:rsidRPr="00FA7826" w:rsidRDefault="00655890" w:rsidP="00AF76AE">
      <w:pPr>
        <w:rPr>
          <w:sz w:val="22"/>
          <w:szCs w:val="22"/>
        </w:rPr>
      </w:pPr>
      <w:r w:rsidRPr="00AF76AE">
        <w:rPr>
          <w:rStyle w:val="FootnoteReference"/>
          <w:sz w:val="22"/>
        </w:rPr>
        <w:footnoteRef/>
      </w:r>
      <w:r>
        <w:t xml:space="preserve"> </w:t>
      </w:r>
      <w:r w:rsidR="0044781D" w:rsidRPr="00CB4AE6">
        <w:rPr>
          <w:i/>
          <w:iCs/>
        </w:rPr>
        <w:t>Id</w:t>
      </w:r>
      <w:r w:rsidR="0044781D">
        <w:t xml:space="preserve"> at </w:t>
      </w:r>
      <w:r w:rsidRPr="00FA7826">
        <w:rPr>
          <w:sz w:val="22"/>
          <w:szCs w:val="22"/>
        </w:rPr>
        <w:t>16.</w:t>
      </w:r>
    </w:p>
  </w:footnote>
  <w:footnote w:id="291">
    <w:p w14:paraId="31882D5A" w14:textId="7A69966E" w:rsidR="00655890" w:rsidRPr="00FA7826" w:rsidRDefault="00655890" w:rsidP="00AF76AE">
      <w:pPr>
        <w:rPr>
          <w:sz w:val="22"/>
          <w:szCs w:val="22"/>
        </w:rPr>
      </w:pPr>
      <w:r w:rsidRPr="00AF76AE">
        <w:rPr>
          <w:rStyle w:val="FootnoteReference"/>
          <w:sz w:val="22"/>
        </w:rPr>
        <w:footnoteRef/>
      </w:r>
      <w:r>
        <w:t xml:space="preserve"> </w:t>
      </w:r>
      <w:r w:rsidRPr="00FA7826">
        <w:rPr>
          <w:sz w:val="22"/>
          <w:szCs w:val="22"/>
        </w:rPr>
        <w:t xml:space="preserve">SCE Comments on June 25, </w:t>
      </w:r>
      <w:proofErr w:type="gramStart"/>
      <w:r w:rsidRPr="00FA7826">
        <w:rPr>
          <w:sz w:val="22"/>
          <w:szCs w:val="22"/>
        </w:rPr>
        <w:t>2020</w:t>
      </w:r>
      <w:proofErr w:type="gramEnd"/>
      <w:r w:rsidRPr="00FA7826">
        <w:rPr>
          <w:sz w:val="22"/>
          <w:szCs w:val="22"/>
        </w:rPr>
        <w:t xml:space="preserve"> ALJ Ruling</w:t>
      </w:r>
      <w:r>
        <w:rPr>
          <w:sz w:val="22"/>
          <w:szCs w:val="22"/>
        </w:rPr>
        <w:t xml:space="preserve">, </w:t>
      </w:r>
      <w:r w:rsidRPr="00FA7826">
        <w:rPr>
          <w:sz w:val="22"/>
          <w:szCs w:val="22"/>
        </w:rPr>
        <w:t>13.</w:t>
      </w:r>
    </w:p>
  </w:footnote>
  <w:footnote w:id="292">
    <w:p w14:paraId="76FD4280" w14:textId="17010D3B" w:rsidR="00655890" w:rsidRDefault="00655890" w:rsidP="000C1980">
      <w:pPr>
        <w:pStyle w:val="FootnoteText"/>
      </w:pPr>
      <w:r>
        <w:rPr>
          <w:rStyle w:val="FootnoteReference"/>
        </w:rPr>
        <w:footnoteRef/>
      </w:r>
      <w:r>
        <w:t xml:space="preserve"> SoCalGas Comments on June 25, </w:t>
      </w:r>
      <w:proofErr w:type="gramStart"/>
      <w:r>
        <w:t>2020</w:t>
      </w:r>
      <w:proofErr w:type="gramEnd"/>
      <w:r>
        <w:t xml:space="preserve"> ALJ Ruling, 2.</w:t>
      </w:r>
    </w:p>
  </w:footnote>
  <w:footnote w:id="293">
    <w:p w14:paraId="6CED0E7A" w14:textId="0BF9B8A2" w:rsidR="00655890" w:rsidRDefault="00655890" w:rsidP="000C1980">
      <w:pPr>
        <w:pStyle w:val="FootnoteText"/>
      </w:pPr>
      <w:r>
        <w:rPr>
          <w:rStyle w:val="FootnoteReference"/>
        </w:rPr>
        <w:footnoteRef/>
      </w:r>
      <w:r>
        <w:t xml:space="preserve">  SDG&amp;E Comments on June 25, </w:t>
      </w:r>
      <w:proofErr w:type="gramStart"/>
      <w:r>
        <w:t>2020</w:t>
      </w:r>
      <w:proofErr w:type="gramEnd"/>
      <w:r>
        <w:t xml:space="preserve"> ALJ Ruling, 2-3.</w:t>
      </w:r>
    </w:p>
  </w:footnote>
  <w:footnote w:id="294">
    <w:p w14:paraId="5D514066" w14:textId="1E655F69" w:rsidR="00655890" w:rsidRDefault="00655890" w:rsidP="000C1980">
      <w:pPr>
        <w:pStyle w:val="FootnoteText"/>
      </w:pPr>
      <w:r>
        <w:rPr>
          <w:rStyle w:val="FootnoteReference"/>
        </w:rPr>
        <w:footnoteRef/>
      </w:r>
      <w:r>
        <w:t xml:space="preserve">  </w:t>
      </w:r>
      <w:r w:rsidR="003B17DC" w:rsidRPr="00CB4AE6">
        <w:rPr>
          <w:i/>
          <w:iCs/>
        </w:rPr>
        <w:t>Id</w:t>
      </w:r>
      <w:r w:rsidR="003B17DC">
        <w:t xml:space="preserve"> at </w:t>
      </w:r>
      <w:r>
        <w:t>11-14.</w:t>
      </w:r>
    </w:p>
  </w:footnote>
  <w:footnote w:id="295">
    <w:p w14:paraId="1120806B" w14:textId="7F5EF5C9" w:rsidR="00655890" w:rsidRDefault="00655890" w:rsidP="000C1980">
      <w:pPr>
        <w:pStyle w:val="FootnoteText"/>
      </w:pPr>
      <w:r>
        <w:rPr>
          <w:rStyle w:val="FootnoteReference"/>
        </w:rPr>
        <w:footnoteRef/>
      </w:r>
      <w:r>
        <w:t xml:space="preserve"> MCE Comments on June 25, </w:t>
      </w:r>
      <w:proofErr w:type="gramStart"/>
      <w:r>
        <w:t>2020</w:t>
      </w:r>
      <w:proofErr w:type="gramEnd"/>
      <w:r>
        <w:t xml:space="preserve"> ALJ Ruling, 2-3, 5-6. </w:t>
      </w:r>
    </w:p>
  </w:footnote>
  <w:footnote w:id="296">
    <w:p w14:paraId="26EB49E9" w14:textId="320A03DB" w:rsidR="00655890" w:rsidRDefault="00655890" w:rsidP="000C1980">
      <w:pPr>
        <w:pStyle w:val="FootnoteText"/>
      </w:pPr>
      <w:r>
        <w:rPr>
          <w:rStyle w:val="FootnoteReference"/>
        </w:rPr>
        <w:footnoteRef/>
      </w:r>
      <w:r>
        <w:t xml:space="preserve"> Cal Advocates</w:t>
      </w:r>
      <w:r w:rsidRPr="00FC0A58">
        <w:t xml:space="preserve"> Comments on June 25, </w:t>
      </w:r>
      <w:proofErr w:type="gramStart"/>
      <w:r w:rsidRPr="00FC0A58">
        <w:t>2020</w:t>
      </w:r>
      <w:proofErr w:type="gramEnd"/>
      <w:r w:rsidRPr="00FC0A58">
        <w:t xml:space="preserve"> ALJ </w:t>
      </w:r>
      <w:r w:rsidR="00807950">
        <w:t>R</w:t>
      </w:r>
      <w:r w:rsidRPr="00FC0A58">
        <w:t>uling</w:t>
      </w:r>
      <w:r>
        <w:t>,</w:t>
      </w:r>
      <w:r w:rsidRPr="00FC0A58">
        <w:t xml:space="preserve"> </w:t>
      </w:r>
      <w:r>
        <w:t>5-10.</w:t>
      </w:r>
    </w:p>
  </w:footnote>
  <w:footnote w:id="297">
    <w:p w14:paraId="2B7F3C99" w14:textId="4542B1B0" w:rsidR="00655890" w:rsidRDefault="00655890" w:rsidP="000C1980">
      <w:pPr>
        <w:pStyle w:val="FootnoteText"/>
      </w:pPr>
      <w:r>
        <w:rPr>
          <w:rStyle w:val="FootnoteReference"/>
        </w:rPr>
        <w:footnoteRef/>
      </w:r>
      <w:r>
        <w:t xml:space="preserve"> CETF</w:t>
      </w:r>
      <w:r w:rsidRPr="00FC0A58">
        <w:t xml:space="preserve"> Comments on June 25, </w:t>
      </w:r>
      <w:proofErr w:type="gramStart"/>
      <w:r w:rsidRPr="00FC0A58">
        <w:t>2020</w:t>
      </w:r>
      <w:proofErr w:type="gramEnd"/>
      <w:r w:rsidRPr="00FC0A58">
        <w:t xml:space="preserve"> ALJ </w:t>
      </w:r>
      <w:r w:rsidR="00807950">
        <w:t>R</w:t>
      </w:r>
      <w:r w:rsidRPr="00FC0A58">
        <w:t>uling</w:t>
      </w:r>
      <w:r>
        <w:t>,</w:t>
      </w:r>
      <w:r w:rsidRPr="00FC0A58">
        <w:t xml:space="preserve"> </w:t>
      </w:r>
      <w:r>
        <w:t>4-5.</w:t>
      </w:r>
    </w:p>
  </w:footnote>
  <w:footnote w:id="298">
    <w:p w14:paraId="4B4481F6" w14:textId="2AA79191" w:rsidR="00655890" w:rsidRDefault="00655890" w:rsidP="000C1980">
      <w:pPr>
        <w:pStyle w:val="FootnoteText"/>
      </w:pPr>
      <w:r>
        <w:rPr>
          <w:rStyle w:val="FootnoteReference"/>
        </w:rPr>
        <w:footnoteRef/>
      </w:r>
      <w:r>
        <w:t xml:space="preserve"> </w:t>
      </w:r>
      <w:r w:rsidR="00354202">
        <w:t xml:space="preserve"> </w:t>
      </w:r>
      <w:r>
        <w:t xml:space="preserve">CEDMC </w:t>
      </w:r>
      <w:r w:rsidRPr="00FC0A58">
        <w:t xml:space="preserve">Comments on June 25, </w:t>
      </w:r>
      <w:proofErr w:type="gramStart"/>
      <w:r w:rsidRPr="00FC0A58">
        <w:t>2020</w:t>
      </w:r>
      <w:proofErr w:type="gramEnd"/>
      <w:r w:rsidRPr="00FC0A58">
        <w:t xml:space="preserve"> ALJ </w:t>
      </w:r>
      <w:r w:rsidR="00807950">
        <w:t>R</w:t>
      </w:r>
      <w:r w:rsidRPr="00FC0A58">
        <w:t>uling</w:t>
      </w:r>
      <w:r>
        <w:t>.</w:t>
      </w:r>
    </w:p>
  </w:footnote>
  <w:footnote w:id="299">
    <w:p w14:paraId="1E3AA60B" w14:textId="79883F57" w:rsidR="00655890" w:rsidRDefault="00655890" w:rsidP="000C1980">
      <w:pPr>
        <w:pStyle w:val="FootnoteText"/>
      </w:pPr>
      <w:r>
        <w:rPr>
          <w:rStyle w:val="FootnoteReference"/>
        </w:rPr>
        <w:footnoteRef/>
      </w:r>
      <w:r>
        <w:t xml:space="preserve"> </w:t>
      </w:r>
      <w:r w:rsidR="00354202">
        <w:t xml:space="preserve"> </w:t>
      </w:r>
      <w:r>
        <w:t>CforAT</w:t>
      </w:r>
      <w:r w:rsidRPr="00240989">
        <w:t xml:space="preserve"> </w:t>
      </w:r>
      <w:r w:rsidRPr="00FC0A58">
        <w:t xml:space="preserve">Comments on June 25, </w:t>
      </w:r>
      <w:proofErr w:type="gramStart"/>
      <w:r w:rsidRPr="00FC0A58">
        <w:t>2020</w:t>
      </w:r>
      <w:proofErr w:type="gramEnd"/>
      <w:r w:rsidRPr="00FC0A58">
        <w:t xml:space="preserve"> ALJ </w:t>
      </w:r>
      <w:r w:rsidR="00807950">
        <w:t>R</w:t>
      </w:r>
      <w:r w:rsidRPr="00FC0A58">
        <w:t>uling</w:t>
      </w:r>
      <w:r>
        <w:t xml:space="preserve">. </w:t>
      </w:r>
    </w:p>
  </w:footnote>
  <w:footnote w:id="300">
    <w:p w14:paraId="4B00A825" w14:textId="216FE137" w:rsidR="00655890" w:rsidRDefault="00655890" w:rsidP="000C1980">
      <w:pPr>
        <w:pStyle w:val="FootnoteText"/>
      </w:pPr>
      <w:r>
        <w:rPr>
          <w:rStyle w:val="FootnoteReference"/>
        </w:rPr>
        <w:footnoteRef/>
      </w:r>
      <w:r>
        <w:t xml:space="preserve"> TURN </w:t>
      </w:r>
      <w:r w:rsidRPr="00B734EF">
        <w:t>Testimony of Alice Napoleon</w:t>
      </w:r>
      <w:r>
        <w:t>, 53.</w:t>
      </w:r>
    </w:p>
  </w:footnote>
  <w:footnote w:id="301">
    <w:p w14:paraId="733F7D76" w14:textId="13101260" w:rsidR="00655890" w:rsidRDefault="00655890" w:rsidP="000C1980">
      <w:pPr>
        <w:pStyle w:val="FootnoteText"/>
      </w:pPr>
      <w:r>
        <w:rPr>
          <w:rStyle w:val="FootnoteReference"/>
        </w:rPr>
        <w:footnoteRef/>
      </w:r>
      <w:r>
        <w:t xml:space="preserve"> PCF Testimony of Bill Powers, 10-11.</w:t>
      </w:r>
    </w:p>
  </w:footnote>
  <w:footnote w:id="302">
    <w:p w14:paraId="65BD18E4" w14:textId="7AF2DA5F" w:rsidR="00655890" w:rsidRDefault="00655890" w:rsidP="00FF4D2D">
      <w:pPr>
        <w:pStyle w:val="FootnoteText"/>
        <w:spacing w:after="0"/>
      </w:pPr>
      <w:r>
        <w:rPr>
          <w:rStyle w:val="FootnoteReference"/>
        </w:rPr>
        <w:footnoteRef/>
      </w:r>
      <w:r>
        <w:t xml:space="preserve"> EEC and TELACU at el. Comments </w:t>
      </w:r>
      <w:r w:rsidRPr="00FC0A58">
        <w:t xml:space="preserve">on June 25, </w:t>
      </w:r>
      <w:proofErr w:type="gramStart"/>
      <w:r w:rsidRPr="00FC0A58">
        <w:t>2020</w:t>
      </w:r>
      <w:proofErr w:type="gramEnd"/>
      <w:r w:rsidRPr="00FC0A58">
        <w:t xml:space="preserve"> ALJ </w:t>
      </w:r>
      <w:r w:rsidR="00807950">
        <w:t>R</w:t>
      </w:r>
      <w:r w:rsidRPr="00FC0A58">
        <w:t>uling</w:t>
      </w:r>
      <w:r>
        <w:t>.</w:t>
      </w:r>
    </w:p>
  </w:footnote>
  <w:footnote w:id="303">
    <w:p w14:paraId="2270DAF1" w14:textId="51B072C2" w:rsidR="00655890" w:rsidRDefault="00655890" w:rsidP="00FF4D2D">
      <w:pPr>
        <w:pStyle w:val="FootnoteText"/>
        <w:spacing w:after="0"/>
      </w:pPr>
      <w:r>
        <w:rPr>
          <w:rStyle w:val="FootnoteReference"/>
        </w:rPr>
        <w:footnoteRef/>
      </w:r>
      <w:r>
        <w:t xml:space="preserve"> Joint Parties</w:t>
      </w:r>
      <w:r w:rsidRPr="00F130F1">
        <w:t xml:space="preserve"> Comments on June 25, </w:t>
      </w:r>
      <w:proofErr w:type="gramStart"/>
      <w:r w:rsidRPr="00F130F1">
        <w:t>2020</w:t>
      </w:r>
      <w:proofErr w:type="gramEnd"/>
      <w:r w:rsidRPr="00F130F1">
        <w:t xml:space="preserve"> ALJ </w:t>
      </w:r>
      <w:r w:rsidR="00807950">
        <w:t>R</w:t>
      </w:r>
      <w:r w:rsidRPr="00F130F1">
        <w:t>uling</w:t>
      </w:r>
      <w:r>
        <w:t>,</w:t>
      </w:r>
      <w:r w:rsidRPr="00F130F1">
        <w:t xml:space="preserve"> </w:t>
      </w:r>
      <w:r>
        <w:t>2-3.</w:t>
      </w:r>
    </w:p>
  </w:footnote>
  <w:footnote w:id="304">
    <w:p w14:paraId="574D3D0B" w14:textId="3A52B204" w:rsidR="00655890" w:rsidRPr="00FA7826" w:rsidRDefault="00655890" w:rsidP="00FF4D2D">
      <w:pPr>
        <w:rPr>
          <w:sz w:val="22"/>
          <w:szCs w:val="22"/>
        </w:rPr>
      </w:pPr>
      <w:r w:rsidRPr="3776745C">
        <w:rPr>
          <w:sz w:val="22"/>
          <w:szCs w:val="22"/>
          <w:vertAlign w:val="superscript"/>
        </w:rPr>
        <w:footnoteRef/>
      </w:r>
      <w:r w:rsidRPr="00FA7826">
        <w:rPr>
          <w:sz w:val="22"/>
          <w:szCs w:val="22"/>
        </w:rPr>
        <w:t xml:space="preserve"> </w:t>
      </w:r>
      <w:r w:rsidR="003B17DC" w:rsidRPr="00CB4AE6">
        <w:rPr>
          <w:i/>
          <w:iCs/>
        </w:rPr>
        <w:t>Id</w:t>
      </w:r>
      <w:r w:rsidR="003B17DC">
        <w:t xml:space="preserve"> at </w:t>
      </w:r>
      <w:r w:rsidRPr="00FA7826">
        <w:rPr>
          <w:sz w:val="22"/>
          <w:szCs w:val="22"/>
        </w:rPr>
        <w:t xml:space="preserve">12. </w:t>
      </w:r>
    </w:p>
  </w:footnote>
  <w:footnote w:id="305">
    <w:p w14:paraId="5E8C098B" w14:textId="50A2A91E" w:rsidR="00655890" w:rsidRDefault="00655890" w:rsidP="00FF4D2D">
      <w:pPr>
        <w:pStyle w:val="FootnoteText"/>
        <w:spacing w:after="0"/>
      </w:pPr>
      <w:r>
        <w:rPr>
          <w:rStyle w:val="FootnoteReference"/>
        </w:rPr>
        <w:footnoteRef/>
      </w:r>
      <w:r>
        <w:t xml:space="preserve"> La Cooperative et al. Testimony, 3-6.</w:t>
      </w:r>
    </w:p>
  </w:footnote>
  <w:footnote w:id="306">
    <w:p w14:paraId="2137CB7D" w14:textId="5EB78A83" w:rsidR="007E6F37" w:rsidRDefault="007E6F37">
      <w:pPr>
        <w:pStyle w:val="FootnoteText"/>
      </w:pPr>
      <w:r>
        <w:rPr>
          <w:rStyle w:val="FootnoteReference"/>
        </w:rPr>
        <w:footnoteRef/>
      </w:r>
      <w:r>
        <w:t xml:space="preserve"> </w:t>
      </w:r>
      <w:r w:rsidR="004A13D0">
        <w:t xml:space="preserve"> </w:t>
      </w:r>
      <w:r w:rsidR="006B64E5">
        <w:t xml:space="preserve">PG&amp;E </w:t>
      </w:r>
      <w:r w:rsidR="006B64E5" w:rsidRPr="006B64E5">
        <w:t>Amended Testimony, I-122.</w:t>
      </w:r>
    </w:p>
  </w:footnote>
  <w:footnote w:id="307">
    <w:p w14:paraId="3D5709F7" w14:textId="42499D21" w:rsidR="00655890" w:rsidRDefault="00655890" w:rsidP="000C1980">
      <w:pPr>
        <w:pStyle w:val="FootnoteText"/>
      </w:pPr>
      <w:r>
        <w:rPr>
          <w:rStyle w:val="FootnoteReference"/>
        </w:rPr>
        <w:footnoteRef/>
      </w:r>
      <w:r>
        <w:t xml:space="preserve"> </w:t>
      </w:r>
      <w:r w:rsidR="004A13D0">
        <w:t xml:space="preserve"> </w:t>
      </w:r>
      <w:r>
        <w:t>PG&amp;E Testimony, I-122-123.</w:t>
      </w:r>
    </w:p>
  </w:footnote>
  <w:footnote w:id="308">
    <w:p w14:paraId="4F2614DB" w14:textId="1184113B" w:rsidR="00655890" w:rsidRDefault="00655890" w:rsidP="000C1980">
      <w:pPr>
        <w:pStyle w:val="FootnoteText"/>
      </w:pPr>
      <w:r>
        <w:rPr>
          <w:rStyle w:val="FootnoteReference"/>
        </w:rPr>
        <w:footnoteRef/>
      </w:r>
      <w:r>
        <w:t xml:space="preserve"> </w:t>
      </w:r>
      <w:r w:rsidR="004A13D0">
        <w:t xml:space="preserve"> </w:t>
      </w:r>
      <w:r w:rsidR="003B17DC" w:rsidRPr="00CB4AE6">
        <w:rPr>
          <w:i/>
          <w:iCs/>
        </w:rPr>
        <w:t>Id</w:t>
      </w:r>
      <w:r w:rsidR="003B17DC">
        <w:t xml:space="preserve"> at </w:t>
      </w:r>
      <w:r>
        <w:t>I-150-151.</w:t>
      </w:r>
    </w:p>
  </w:footnote>
  <w:footnote w:id="309">
    <w:p w14:paraId="02FB0462" w14:textId="17DC535E" w:rsidR="00655890" w:rsidRDefault="00655890" w:rsidP="000C1980">
      <w:pPr>
        <w:pStyle w:val="FootnoteText"/>
      </w:pPr>
      <w:r>
        <w:rPr>
          <w:rStyle w:val="FootnoteReference"/>
        </w:rPr>
        <w:footnoteRef/>
      </w:r>
      <w:r>
        <w:t xml:space="preserve"> </w:t>
      </w:r>
      <w:r w:rsidR="004A13D0">
        <w:t xml:space="preserve"> </w:t>
      </w:r>
      <w:r w:rsidR="005C1944" w:rsidRPr="005C1944">
        <w:rPr>
          <w:i/>
          <w:iCs/>
        </w:rPr>
        <w:t>Ibid.</w:t>
      </w:r>
    </w:p>
  </w:footnote>
  <w:footnote w:id="310">
    <w:p w14:paraId="72E3C983" w14:textId="3575836F" w:rsidR="00655890" w:rsidRDefault="00655890" w:rsidP="000C1980">
      <w:pPr>
        <w:pStyle w:val="FootnoteText"/>
      </w:pPr>
      <w:r>
        <w:rPr>
          <w:rStyle w:val="FootnoteReference"/>
        </w:rPr>
        <w:footnoteRef/>
      </w:r>
      <w:r>
        <w:t xml:space="preserve"> P</w:t>
      </w:r>
      <w:r w:rsidRPr="000C7CCF">
        <w:t xml:space="preserve">repared </w:t>
      </w:r>
      <w:r>
        <w:t>D</w:t>
      </w:r>
      <w:r w:rsidRPr="000C7CCF">
        <w:t xml:space="preserve">irect </w:t>
      </w:r>
      <w:r>
        <w:t>T</w:t>
      </w:r>
      <w:r w:rsidRPr="000C7CCF">
        <w:t xml:space="preserve">estimony of </w:t>
      </w:r>
      <w:r>
        <w:t>M</w:t>
      </w:r>
      <w:r w:rsidRPr="000C7CCF">
        <w:t xml:space="preserve">ark </w:t>
      </w:r>
      <w:r>
        <w:t>A</w:t>
      </w:r>
      <w:r w:rsidRPr="000C7CCF">
        <w:t xml:space="preserve">guirre and </w:t>
      </w:r>
      <w:r>
        <w:t>E</w:t>
      </w:r>
      <w:r w:rsidRPr="000C7CCF">
        <w:t xml:space="preserve">rin </w:t>
      </w:r>
      <w:r>
        <w:t>B</w:t>
      </w:r>
      <w:r w:rsidRPr="000C7CCF">
        <w:t>rooks</w:t>
      </w:r>
      <w:r>
        <w:t>,</w:t>
      </w:r>
      <w:r w:rsidRPr="000C7CCF">
        <w:t xml:space="preserve"> 126.</w:t>
      </w:r>
    </w:p>
  </w:footnote>
  <w:footnote w:id="311">
    <w:p w14:paraId="27B6A359" w14:textId="4D05E181" w:rsidR="00655890" w:rsidRDefault="00655890" w:rsidP="000C1980">
      <w:pPr>
        <w:pStyle w:val="FootnoteText"/>
      </w:pPr>
      <w:r>
        <w:rPr>
          <w:rStyle w:val="FootnoteReference"/>
        </w:rPr>
        <w:footnoteRef/>
      </w:r>
      <w:r>
        <w:t xml:space="preserve"> </w:t>
      </w:r>
      <w:r w:rsidR="00852E3E" w:rsidRPr="005C1944">
        <w:rPr>
          <w:i/>
          <w:iCs/>
        </w:rPr>
        <w:t>Ibid.</w:t>
      </w:r>
    </w:p>
  </w:footnote>
  <w:footnote w:id="312">
    <w:p w14:paraId="24A5685F" w14:textId="1D4DE9DC" w:rsidR="00655890" w:rsidRDefault="00655890" w:rsidP="000C1980">
      <w:pPr>
        <w:pStyle w:val="FootnoteText"/>
      </w:pPr>
      <w:r>
        <w:rPr>
          <w:rStyle w:val="FootnoteReference"/>
        </w:rPr>
        <w:footnoteRef/>
      </w:r>
      <w:r>
        <w:t xml:space="preserve"> </w:t>
      </w:r>
      <w:r w:rsidR="003B17DC" w:rsidRPr="004C2E01">
        <w:rPr>
          <w:i/>
          <w:iCs/>
        </w:rPr>
        <w:t>Ibid.</w:t>
      </w:r>
    </w:p>
  </w:footnote>
  <w:footnote w:id="313">
    <w:p w14:paraId="78A1D295" w14:textId="72634C18" w:rsidR="00655890" w:rsidRDefault="00655890" w:rsidP="000C1980">
      <w:pPr>
        <w:pStyle w:val="FootnoteText"/>
      </w:pPr>
      <w:r>
        <w:rPr>
          <w:rStyle w:val="FootnoteReference"/>
        </w:rPr>
        <w:footnoteRef/>
      </w:r>
      <w:r>
        <w:t xml:space="preserve"> SDG&amp;E Testimony, SN-ESA 15.</w:t>
      </w:r>
    </w:p>
  </w:footnote>
  <w:footnote w:id="314">
    <w:p w14:paraId="7318A8AB" w14:textId="511153FE" w:rsidR="00655890" w:rsidRDefault="00655890" w:rsidP="000C1980">
      <w:pPr>
        <w:pStyle w:val="FootnoteText"/>
      </w:pPr>
      <w:r>
        <w:rPr>
          <w:rStyle w:val="FootnoteReference"/>
        </w:rPr>
        <w:footnoteRef/>
      </w:r>
      <w:r>
        <w:t xml:space="preserve"> </w:t>
      </w:r>
      <w:r w:rsidR="004A13D0">
        <w:t xml:space="preserve"> </w:t>
      </w:r>
      <w:r w:rsidR="003B17DC" w:rsidRPr="00CB4AE6">
        <w:rPr>
          <w:i/>
          <w:iCs/>
        </w:rPr>
        <w:t>Id</w:t>
      </w:r>
      <w:r w:rsidR="003B17DC">
        <w:t xml:space="preserve"> at </w:t>
      </w:r>
      <w:r>
        <w:t>SN-ESA 14-16</w:t>
      </w:r>
      <w:r>
        <w:rPr>
          <w:b/>
          <w:bCs/>
        </w:rPr>
        <w:t>.</w:t>
      </w:r>
    </w:p>
  </w:footnote>
  <w:footnote w:id="315">
    <w:p w14:paraId="140BA2C8" w14:textId="20D02485" w:rsidR="00655890" w:rsidRDefault="00655890" w:rsidP="000C1980">
      <w:pPr>
        <w:pStyle w:val="FootnoteText"/>
      </w:pPr>
      <w:r>
        <w:rPr>
          <w:rStyle w:val="FootnoteReference"/>
        </w:rPr>
        <w:footnoteRef/>
      </w:r>
      <w:r>
        <w:t xml:space="preserve"> </w:t>
      </w:r>
      <w:r w:rsidR="004A13D0">
        <w:t xml:space="preserve"> </w:t>
      </w:r>
      <w:r w:rsidR="003B17DC" w:rsidRPr="00CB4AE6">
        <w:rPr>
          <w:i/>
          <w:iCs/>
        </w:rPr>
        <w:t>Id</w:t>
      </w:r>
      <w:r w:rsidR="003B17DC">
        <w:t xml:space="preserve"> at </w:t>
      </w:r>
      <w:r>
        <w:t>SN-ESA 102</w:t>
      </w:r>
      <w:r>
        <w:rPr>
          <w:b/>
          <w:bCs/>
        </w:rPr>
        <w:t>.</w:t>
      </w:r>
    </w:p>
  </w:footnote>
  <w:footnote w:id="316">
    <w:p w14:paraId="1D709379" w14:textId="6C15D5B6" w:rsidR="00655890" w:rsidRDefault="00655890" w:rsidP="000C1980">
      <w:pPr>
        <w:pStyle w:val="FootnoteText"/>
      </w:pPr>
      <w:r>
        <w:rPr>
          <w:rStyle w:val="FootnoteReference"/>
        </w:rPr>
        <w:footnoteRef/>
      </w:r>
      <w:r>
        <w:t xml:space="preserve"> </w:t>
      </w:r>
      <w:r w:rsidR="004A13D0">
        <w:t xml:space="preserve"> </w:t>
      </w:r>
      <w:r w:rsidR="00BC1C87" w:rsidRPr="00620A2B">
        <w:rPr>
          <w:i/>
          <w:iCs/>
          <w:szCs w:val="22"/>
        </w:rPr>
        <w:t>Ibid</w:t>
      </w:r>
      <w:r w:rsidR="00BC1C87" w:rsidRPr="00620A2B">
        <w:rPr>
          <w:szCs w:val="22"/>
        </w:rPr>
        <w:t>.</w:t>
      </w:r>
    </w:p>
  </w:footnote>
  <w:footnote w:id="317">
    <w:p w14:paraId="02D64102" w14:textId="2191F651" w:rsidR="00655890" w:rsidRDefault="00655890" w:rsidP="000C1980">
      <w:pPr>
        <w:pStyle w:val="FootnoteText"/>
      </w:pPr>
      <w:r>
        <w:rPr>
          <w:rStyle w:val="FootnoteReference"/>
        </w:rPr>
        <w:footnoteRef/>
      </w:r>
      <w:r>
        <w:t xml:space="preserve"> </w:t>
      </w:r>
      <w:r w:rsidR="004A13D0">
        <w:t xml:space="preserve"> </w:t>
      </w:r>
      <w:r>
        <w:t>Energy Efficiency Council protest to PG&amp;E, 2.</w:t>
      </w:r>
    </w:p>
  </w:footnote>
  <w:footnote w:id="318">
    <w:p w14:paraId="7A1651D8" w14:textId="5C9514A1" w:rsidR="00D42051" w:rsidRDefault="00D42051">
      <w:pPr>
        <w:pStyle w:val="FootnoteText"/>
      </w:pPr>
      <w:r>
        <w:rPr>
          <w:rStyle w:val="FootnoteReference"/>
        </w:rPr>
        <w:footnoteRef/>
      </w:r>
      <w:r>
        <w:t xml:space="preserve"> </w:t>
      </w:r>
      <w:r w:rsidR="004A13D0">
        <w:t xml:space="preserve"> </w:t>
      </w:r>
      <w:r w:rsidR="00410A54">
        <w:t>Energy Efficiency Council Opening Brief, 9.</w:t>
      </w:r>
    </w:p>
  </w:footnote>
  <w:footnote w:id="319">
    <w:p w14:paraId="43402E5C" w14:textId="5E454C90" w:rsidR="00655890" w:rsidRDefault="00655890" w:rsidP="000C1980">
      <w:pPr>
        <w:pStyle w:val="FootnoteText"/>
      </w:pPr>
      <w:r>
        <w:rPr>
          <w:rStyle w:val="FootnoteReference"/>
        </w:rPr>
        <w:footnoteRef/>
      </w:r>
      <w:r>
        <w:t xml:space="preserve"> </w:t>
      </w:r>
      <w:r w:rsidR="004A13D0">
        <w:t xml:space="preserve"> </w:t>
      </w:r>
      <w:r>
        <w:t>EEC testimony of Allan Rago, 12.</w:t>
      </w:r>
    </w:p>
  </w:footnote>
  <w:footnote w:id="320">
    <w:p w14:paraId="103F5538" w14:textId="1CB48754" w:rsidR="00655890" w:rsidRDefault="00655890" w:rsidP="000C1980">
      <w:pPr>
        <w:pStyle w:val="FootnoteText"/>
      </w:pPr>
      <w:r>
        <w:rPr>
          <w:rStyle w:val="FootnoteReference"/>
        </w:rPr>
        <w:footnoteRef/>
      </w:r>
      <w:r>
        <w:t xml:space="preserve"> </w:t>
      </w:r>
      <w:r w:rsidR="004A13D0">
        <w:t xml:space="preserve"> </w:t>
      </w:r>
      <w:r w:rsidR="003B17DC" w:rsidRPr="00CB4AE6">
        <w:rPr>
          <w:i/>
          <w:iCs/>
        </w:rPr>
        <w:t>Id</w:t>
      </w:r>
      <w:r w:rsidR="003B17DC">
        <w:t xml:space="preserve"> at </w:t>
      </w:r>
      <w:r>
        <w:t>5.</w:t>
      </w:r>
    </w:p>
  </w:footnote>
  <w:footnote w:id="321">
    <w:p w14:paraId="68B4F7FE" w14:textId="7625180D" w:rsidR="00655890" w:rsidRDefault="00655890" w:rsidP="000C1980">
      <w:pPr>
        <w:pStyle w:val="FootnoteText"/>
      </w:pPr>
      <w:r>
        <w:rPr>
          <w:rStyle w:val="FootnoteReference"/>
        </w:rPr>
        <w:footnoteRef/>
      </w:r>
      <w:r>
        <w:t xml:space="preserve"> </w:t>
      </w:r>
      <w:r w:rsidR="004A13D0">
        <w:t xml:space="preserve"> </w:t>
      </w:r>
      <w:r>
        <w:t>La Cooperativa et al.</w:t>
      </w:r>
      <w:r w:rsidR="00BC1C87">
        <w:t>,</w:t>
      </w:r>
      <w:r>
        <w:t xml:space="preserve"> Testimony, 4-5.</w:t>
      </w:r>
    </w:p>
  </w:footnote>
  <w:footnote w:id="322">
    <w:p w14:paraId="019AC363" w14:textId="081899C5" w:rsidR="00655890" w:rsidRDefault="00655890" w:rsidP="000C1980">
      <w:pPr>
        <w:pStyle w:val="FootnoteText"/>
      </w:pPr>
      <w:r w:rsidRPr="00A3370B">
        <w:rPr>
          <w:rStyle w:val="FootnoteReference"/>
        </w:rPr>
        <w:footnoteRef/>
      </w:r>
      <w:r w:rsidRPr="00A3370B">
        <w:t xml:space="preserve"> </w:t>
      </w:r>
      <w:r w:rsidR="004A13D0">
        <w:t xml:space="preserve"> </w:t>
      </w:r>
      <w:r w:rsidRPr="00A3370B">
        <w:t>TELACU et al. Protest to IOU Applications</w:t>
      </w:r>
      <w:r>
        <w:t>,</w:t>
      </w:r>
      <w:r w:rsidRPr="00A3370B">
        <w:t xml:space="preserve"> 4.</w:t>
      </w:r>
    </w:p>
  </w:footnote>
  <w:footnote w:id="323">
    <w:p w14:paraId="294666F6" w14:textId="32CFD589" w:rsidR="00655890" w:rsidRDefault="00655890" w:rsidP="000C1980">
      <w:pPr>
        <w:pStyle w:val="FootnoteText"/>
      </w:pPr>
      <w:r>
        <w:rPr>
          <w:rStyle w:val="FootnoteReference"/>
        </w:rPr>
        <w:footnoteRef/>
      </w:r>
      <w:r>
        <w:t xml:space="preserve"> </w:t>
      </w:r>
      <w:r w:rsidR="004A13D0">
        <w:t xml:space="preserve"> </w:t>
      </w:r>
      <w:r>
        <w:t>TURN Testimony of Alice Napoleon, 48-50</w:t>
      </w:r>
      <w:r w:rsidR="00BC1C87">
        <w:t>.</w:t>
      </w:r>
      <w:r>
        <w:t xml:space="preserve"> </w:t>
      </w:r>
    </w:p>
  </w:footnote>
  <w:footnote w:id="324">
    <w:p w14:paraId="0B1568D5" w14:textId="6A3FC0BC" w:rsidR="00375E9F" w:rsidRDefault="00375E9F">
      <w:pPr>
        <w:pStyle w:val="FootnoteText"/>
      </w:pPr>
      <w:r>
        <w:rPr>
          <w:rStyle w:val="FootnoteReference"/>
        </w:rPr>
        <w:footnoteRef/>
      </w:r>
      <w:r>
        <w:t xml:space="preserve"> </w:t>
      </w:r>
      <w:r w:rsidR="004A13D0">
        <w:t xml:space="preserve"> </w:t>
      </w:r>
      <w:r>
        <w:t>TURN Reply Brief, 11.</w:t>
      </w:r>
    </w:p>
  </w:footnote>
  <w:footnote w:id="325">
    <w:p w14:paraId="73CEC77F" w14:textId="1D961395" w:rsidR="006C3C14" w:rsidRDefault="006C3C14">
      <w:pPr>
        <w:pStyle w:val="FootnoteText"/>
      </w:pPr>
      <w:r>
        <w:rPr>
          <w:rStyle w:val="FootnoteReference"/>
        </w:rPr>
        <w:footnoteRef/>
      </w:r>
      <w:r>
        <w:t xml:space="preserve"> </w:t>
      </w:r>
      <w:r w:rsidR="004A13D0">
        <w:t xml:space="preserve"> </w:t>
      </w:r>
      <w:r>
        <w:t>Joint Parties Reply Brief, 20-21.</w:t>
      </w:r>
    </w:p>
  </w:footnote>
  <w:footnote w:id="326">
    <w:p w14:paraId="0CE8B57A" w14:textId="1D47DF6C" w:rsidR="00655890" w:rsidRDefault="00655890" w:rsidP="000C1980">
      <w:pPr>
        <w:pStyle w:val="FootnoteText"/>
      </w:pPr>
      <w:r>
        <w:rPr>
          <w:rStyle w:val="FootnoteReference"/>
        </w:rPr>
        <w:footnoteRef/>
      </w:r>
      <w:r>
        <w:t xml:space="preserve"> SCE Amended Testimony, 17.</w:t>
      </w:r>
    </w:p>
  </w:footnote>
  <w:footnote w:id="327">
    <w:p w14:paraId="0151A3EA" w14:textId="2CDA6696" w:rsidR="00621B2F" w:rsidRDefault="00621B2F">
      <w:pPr>
        <w:pStyle w:val="FootnoteText"/>
      </w:pPr>
      <w:r>
        <w:rPr>
          <w:rStyle w:val="FootnoteReference"/>
        </w:rPr>
        <w:footnoteRef/>
      </w:r>
      <w:r>
        <w:t xml:space="preserve"> SCE Reply Brief, 11.</w:t>
      </w:r>
    </w:p>
  </w:footnote>
  <w:footnote w:id="328">
    <w:p w14:paraId="5686BA96" w14:textId="39DDB2BD" w:rsidR="00655890" w:rsidRDefault="00655890" w:rsidP="000C1980">
      <w:pPr>
        <w:pStyle w:val="FootnoteText"/>
      </w:pPr>
      <w:r>
        <w:rPr>
          <w:rStyle w:val="FootnoteReference"/>
        </w:rPr>
        <w:footnoteRef/>
      </w:r>
      <w:r>
        <w:t xml:space="preserve"> SDG&amp;E Rebuttal Testimony, AK-5-7.</w:t>
      </w:r>
    </w:p>
  </w:footnote>
  <w:footnote w:id="329">
    <w:p w14:paraId="09B0E39A" w14:textId="2179EBD6" w:rsidR="00655890" w:rsidRDefault="00655890" w:rsidP="000C1980">
      <w:pPr>
        <w:pStyle w:val="FootnoteText"/>
      </w:pPr>
      <w:r>
        <w:rPr>
          <w:rStyle w:val="FootnoteReference"/>
        </w:rPr>
        <w:footnoteRef/>
      </w:r>
      <w:r>
        <w:t xml:space="preserve"> </w:t>
      </w:r>
      <w:r w:rsidR="004A13D0">
        <w:t xml:space="preserve"> </w:t>
      </w:r>
      <w:r>
        <w:t>SDG&amp;E Rebuttal Testimony,</w:t>
      </w:r>
      <w:r w:rsidRPr="005D268E">
        <w:rPr>
          <w:rFonts w:ascii="TimesNewRomanPSMT" w:hAnsi="TimesNewRomanPSMT" w:cs="TimesNewRomanPSMT"/>
          <w:sz w:val="24"/>
          <w:szCs w:val="24"/>
        </w:rPr>
        <w:t xml:space="preserve"> </w:t>
      </w:r>
      <w:r w:rsidRPr="005D268E">
        <w:t>SN-ESA</w:t>
      </w:r>
      <w:r>
        <w:t xml:space="preserve"> </w:t>
      </w:r>
      <w:r w:rsidRPr="005D268E">
        <w:t>1</w:t>
      </w:r>
      <w:r>
        <w:t>1-12.</w:t>
      </w:r>
    </w:p>
  </w:footnote>
  <w:footnote w:id="330">
    <w:p w14:paraId="6218314F" w14:textId="5D5926C4" w:rsidR="00655890" w:rsidRDefault="00655890" w:rsidP="000C1980">
      <w:pPr>
        <w:pStyle w:val="FootnoteText"/>
      </w:pPr>
      <w:r>
        <w:rPr>
          <w:rStyle w:val="FootnoteReference"/>
        </w:rPr>
        <w:footnoteRef/>
      </w:r>
      <w:r>
        <w:t xml:space="preserve"> </w:t>
      </w:r>
      <w:r w:rsidR="004A13D0">
        <w:t xml:space="preserve"> </w:t>
      </w:r>
      <w:r w:rsidRPr="002755B6">
        <w:t>P</w:t>
      </w:r>
      <w:r>
        <w:t xml:space="preserve">ublic </w:t>
      </w:r>
      <w:r w:rsidRPr="002755B6">
        <w:t>U</w:t>
      </w:r>
      <w:r>
        <w:t xml:space="preserve">tilities </w:t>
      </w:r>
      <w:r w:rsidRPr="002755B6">
        <w:t>C</w:t>
      </w:r>
      <w:r>
        <w:t>ode</w:t>
      </w:r>
      <w:r w:rsidRPr="002755B6">
        <w:t xml:space="preserve"> 739.1(e)</w:t>
      </w:r>
      <w:r>
        <w:t>.</w:t>
      </w:r>
    </w:p>
  </w:footnote>
  <w:footnote w:id="331">
    <w:p w14:paraId="55287D8A" w14:textId="40C7ED0B" w:rsidR="00655890" w:rsidRDefault="00655890" w:rsidP="000E12E9">
      <w:r>
        <w:rPr>
          <w:rStyle w:val="FootnoteReference"/>
          <w:sz w:val="22"/>
        </w:rPr>
        <w:footnoteRef/>
      </w:r>
      <w:r>
        <w:t xml:space="preserve"> </w:t>
      </w:r>
      <w:r w:rsidR="000E12E9" w:rsidRPr="000E12E9">
        <w:rPr>
          <w:sz w:val="22"/>
          <w:szCs w:val="22"/>
        </w:rPr>
        <w:t>Ca</w:t>
      </w:r>
      <w:r w:rsidR="000E12E9">
        <w:rPr>
          <w:sz w:val="22"/>
          <w:szCs w:val="22"/>
        </w:rPr>
        <w:t xml:space="preserve">lifornia Environmental Protection Agency, Designation of Disadvantaged Communities Pursuant to Senate Bill 535(De Leon), </w:t>
      </w:r>
      <w:hyperlink r:id="rId7" w:history="1">
        <w:r w:rsidR="000E12E9" w:rsidRPr="000E12E9">
          <w:rPr>
            <w:rStyle w:val="Hyperlink"/>
            <w:sz w:val="22"/>
          </w:rPr>
          <w:t>https://calepa.ca.gov/wp-content/uploads/sites/6/2017/04/SB-535-Designation-Final.pdf</w:t>
        </w:r>
      </w:hyperlink>
      <w:r>
        <w:rPr>
          <w:sz w:val="22"/>
        </w:rPr>
        <w:t>.</w:t>
      </w:r>
    </w:p>
  </w:footnote>
  <w:footnote w:id="332">
    <w:p w14:paraId="0D64E8CF" w14:textId="53CAD1CA" w:rsidR="00655890" w:rsidRDefault="00655890" w:rsidP="000C1980">
      <w:r>
        <w:rPr>
          <w:rStyle w:val="FootnoteReference"/>
          <w:sz w:val="22"/>
        </w:rPr>
        <w:footnoteRef/>
      </w:r>
      <w:r>
        <w:t xml:space="preserve"> </w:t>
      </w:r>
      <w:r w:rsidR="00D40545" w:rsidRPr="00D40545">
        <w:rPr>
          <w:sz w:val="22"/>
          <w:szCs w:val="22"/>
        </w:rPr>
        <w:t>California Public Utilities Commission</w:t>
      </w:r>
      <w:r w:rsidR="00D40545">
        <w:rPr>
          <w:sz w:val="22"/>
          <w:szCs w:val="22"/>
        </w:rPr>
        <w:t xml:space="preserve">, Socioeconomic Vulnerability Index Interactive </w:t>
      </w:r>
      <w:proofErr w:type="gramStart"/>
      <w:r w:rsidR="00D40545">
        <w:rPr>
          <w:sz w:val="22"/>
          <w:szCs w:val="22"/>
        </w:rPr>
        <w:t xml:space="preserve">Map, </w:t>
      </w:r>
      <w:r w:rsidR="00D40545">
        <w:t xml:space="preserve"> </w:t>
      </w:r>
      <w:r>
        <w:rPr>
          <w:rStyle w:val="Hyperlink"/>
          <w:sz w:val="22"/>
        </w:rPr>
        <w:t>https://www.cpuc.ca.gov/SEVI-2019/</w:t>
      </w:r>
      <w:proofErr w:type="gramEnd"/>
      <w:r>
        <w:rPr>
          <w:rStyle w:val="Hyperlink"/>
          <w:sz w:val="22"/>
        </w:rPr>
        <w:t>.</w:t>
      </w:r>
    </w:p>
  </w:footnote>
  <w:footnote w:id="333">
    <w:p w14:paraId="73440039" w14:textId="37815797" w:rsidR="00655890" w:rsidRDefault="00655890" w:rsidP="000C1980">
      <w:pPr>
        <w:pStyle w:val="FootnoteText"/>
      </w:pPr>
      <w:r>
        <w:rPr>
          <w:rStyle w:val="FootnoteReference"/>
        </w:rPr>
        <w:footnoteRef/>
      </w:r>
      <w:r>
        <w:t xml:space="preserve"> </w:t>
      </w:r>
      <w:r w:rsidR="004A13D0">
        <w:t xml:space="preserve"> </w:t>
      </w:r>
      <w:r>
        <w:t>Decision 19-06-022, 11-12.</w:t>
      </w:r>
    </w:p>
  </w:footnote>
  <w:footnote w:id="334">
    <w:p w14:paraId="12C97F4C" w14:textId="780A02F6" w:rsidR="00655890" w:rsidRDefault="00655890" w:rsidP="000C1980">
      <w:pPr>
        <w:pStyle w:val="FootnoteText"/>
      </w:pPr>
      <w:r>
        <w:rPr>
          <w:rStyle w:val="FootnoteReference"/>
        </w:rPr>
        <w:footnoteRef/>
      </w:r>
      <w:r>
        <w:t xml:space="preserve"> </w:t>
      </w:r>
      <w:r w:rsidR="004A13D0">
        <w:t xml:space="preserve"> </w:t>
      </w:r>
      <w:r>
        <w:t>PG&amp;E Testimony, I-19.</w:t>
      </w:r>
    </w:p>
  </w:footnote>
  <w:footnote w:id="335">
    <w:p w14:paraId="5725525C" w14:textId="54B85DAF"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t>I-61.</w:t>
      </w:r>
    </w:p>
  </w:footnote>
  <w:footnote w:id="336">
    <w:p w14:paraId="4DD585C3" w14:textId="3FEED6F2"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t>I-61.</w:t>
      </w:r>
    </w:p>
  </w:footnote>
  <w:footnote w:id="337">
    <w:p w14:paraId="13796ABA" w14:textId="48B8C99F"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t>I-71.</w:t>
      </w:r>
    </w:p>
  </w:footnote>
  <w:footnote w:id="338">
    <w:p w14:paraId="34000FBA" w14:textId="741BAC14" w:rsidR="00655890" w:rsidRDefault="00655890" w:rsidP="000C1980">
      <w:pPr>
        <w:pStyle w:val="FootnoteText"/>
      </w:pPr>
      <w:r>
        <w:rPr>
          <w:rStyle w:val="FootnoteReference"/>
        </w:rPr>
        <w:footnoteRef/>
      </w:r>
      <w:r>
        <w:t xml:space="preserve"> </w:t>
      </w:r>
      <w:r w:rsidR="004A13D0">
        <w:t xml:space="preserve"> </w:t>
      </w:r>
      <w:r w:rsidR="00FF16CF" w:rsidRPr="00FF16CF">
        <w:rPr>
          <w:i/>
          <w:iCs/>
        </w:rPr>
        <w:t>Ibid.</w:t>
      </w:r>
    </w:p>
  </w:footnote>
  <w:footnote w:id="339">
    <w:p w14:paraId="01682838" w14:textId="23BF77B0" w:rsidR="00655890" w:rsidRDefault="00655890" w:rsidP="000C1980">
      <w:pPr>
        <w:pStyle w:val="FootnoteText"/>
      </w:pPr>
      <w:r>
        <w:rPr>
          <w:rStyle w:val="FootnoteReference"/>
        </w:rPr>
        <w:footnoteRef/>
      </w:r>
      <w:r>
        <w:t xml:space="preserve"> </w:t>
      </w:r>
      <w:r w:rsidR="004A13D0">
        <w:t xml:space="preserve"> </w:t>
      </w:r>
      <w:r>
        <w:t>PG&amp;E Testimony, I-89.</w:t>
      </w:r>
    </w:p>
  </w:footnote>
  <w:footnote w:id="340">
    <w:p w14:paraId="13DB9110" w14:textId="035F5C34" w:rsidR="00655890" w:rsidRDefault="00655890" w:rsidP="000C1980">
      <w:pPr>
        <w:pStyle w:val="FootnoteText"/>
      </w:pPr>
      <w:r>
        <w:rPr>
          <w:rStyle w:val="FootnoteReference"/>
        </w:rPr>
        <w:footnoteRef/>
      </w:r>
      <w:r>
        <w:t xml:space="preserve"> </w:t>
      </w:r>
      <w:r w:rsidR="004A13D0">
        <w:t xml:space="preserve"> </w:t>
      </w:r>
      <w:r>
        <w:t>SCE</w:t>
      </w:r>
      <w:r w:rsidRPr="006F0FEF">
        <w:t xml:space="preserve"> </w:t>
      </w:r>
      <w:r w:rsidRPr="00C10123">
        <w:t>Prepared Testimony, II</w:t>
      </w:r>
      <w:r>
        <w:t>-7-8.</w:t>
      </w:r>
    </w:p>
  </w:footnote>
  <w:footnote w:id="341">
    <w:p w14:paraId="6958C670" w14:textId="0C41A6D7"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rsidRPr="00C10123">
        <w:t>II</w:t>
      </w:r>
      <w:r>
        <w:t>-30.</w:t>
      </w:r>
    </w:p>
  </w:footnote>
  <w:footnote w:id="342">
    <w:p w14:paraId="0DC1A1CD" w14:textId="1960F8EC"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rsidRPr="00C10123">
        <w:t>II</w:t>
      </w:r>
      <w:r>
        <w:t>-30-35.</w:t>
      </w:r>
    </w:p>
  </w:footnote>
  <w:footnote w:id="343">
    <w:p w14:paraId="5868EEDE" w14:textId="4334AF05"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rsidRPr="00C10123">
        <w:t>II</w:t>
      </w:r>
      <w:r>
        <w:t>-35.</w:t>
      </w:r>
    </w:p>
  </w:footnote>
  <w:footnote w:id="344">
    <w:p w14:paraId="4CA099BB" w14:textId="658EE229" w:rsidR="00655890" w:rsidRDefault="00655890" w:rsidP="000C1980">
      <w:pPr>
        <w:pStyle w:val="FootnoteText"/>
      </w:pPr>
      <w:r>
        <w:rPr>
          <w:rStyle w:val="FootnoteReference"/>
        </w:rPr>
        <w:footnoteRef/>
      </w:r>
      <w:r>
        <w:t xml:space="preserve"> </w:t>
      </w:r>
      <w:r w:rsidR="004A13D0">
        <w:t xml:space="preserve"> </w:t>
      </w:r>
      <w:r w:rsidR="00D5044E" w:rsidRPr="00D5044E">
        <w:rPr>
          <w:i/>
          <w:iCs/>
        </w:rPr>
        <w:t>Ibid.</w:t>
      </w:r>
    </w:p>
  </w:footnote>
  <w:footnote w:id="345">
    <w:p w14:paraId="48368807" w14:textId="27FFE5D1" w:rsidR="00655890" w:rsidRDefault="00655890" w:rsidP="000C1980">
      <w:pPr>
        <w:pStyle w:val="FootnoteText"/>
      </w:pPr>
      <w:r>
        <w:rPr>
          <w:rStyle w:val="FootnoteReference"/>
        </w:rPr>
        <w:footnoteRef/>
      </w:r>
      <w:r>
        <w:t xml:space="preserve"> </w:t>
      </w:r>
      <w:r w:rsidR="004A13D0">
        <w:t xml:space="preserve"> </w:t>
      </w:r>
      <w:r>
        <w:t>SCE</w:t>
      </w:r>
      <w:r w:rsidRPr="00C42D4C">
        <w:t xml:space="preserve"> </w:t>
      </w:r>
      <w:r w:rsidRPr="00C10123">
        <w:t>Prepared Testimony, II</w:t>
      </w:r>
      <w:r>
        <w:t>-34-37.</w:t>
      </w:r>
    </w:p>
  </w:footnote>
  <w:footnote w:id="346">
    <w:p w14:paraId="6F0D605D" w14:textId="2A1E9E03"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 </w:t>
      </w:r>
      <w:r w:rsidRPr="00C10123">
        <w:t>II</w:t>
      </w:r>
      <w:r>
        <w:t>-36.</w:t>
      </w:r>
    </w:p>
  </w:footnote>
  <w:footnote w:id="347">
    <w:p w14:paraId="6F36B83C" w14:textId="32DC5331" w:rsidR="00655890" w:rsidRDefault="00655890" w:rsidP="000C1980">
      <w:pPr>
        <w:pStyle w:val="FootnoteText"/>
      </w:pPr>
      <w:r>
        <w:rPr>
          <w:rStyle w:val="FootnoteReference"/>
        </w:rPr>
        <w:footnoteRef/>
      </w:r>
      <w:r>
        <w:t xml:space="preserve"> </w:t>
      </w:r>
      <w:r w:rsidR="004A13D0">
        <w:t xml:space="preserve"> </w:t>
      </w:r>
      <w:r>
        <w:t>SoCalGas Testimony of Mark Aguirre and Erin Brooks, 23.</w:t>
      </w:r>
    </w:p>
  </w:footnote>
  <w:footnote w:id="348">
    <w:p w14:paraId="2146B7BB" w14:textId="73A0A37E" w:rsidR="00655890" w:rsidRDefault="00655890" w:rsidP="000C1980">
      <w:pPr>
        <w:pStyle w:val="FootnoteText"/>
      </w:pPr>
      <w:r>
        <w:rPr>
          <w:rStyle w:val="FootnoteReference"/>
        </w:rPr>
        <w:footnoteRef/>
      </w:r>
      <w:r>
        <w:t xml:space="preserve"> </w:t>
      </w:r>
      <w:r w:rsidR="004A13D0">
        <w:t xml:space="preserve"> </w:t>
      </w:r>
      <w:r w:rsidR="00A33E57" w:rsidRPr="00620A2B">
        <w:rPr>
          <w:i/>
          <w:iCs/>
          <w:szCs w:val="22"/>
        </w:rPr>
        <w:t>Ibid</w:t>
      </w:r>
      <w:r w:rsidR="00A33E57" w:rsidRPr="00620A2B">
        <w:rPr>
          <w:szCs w:val="22"/>
        </w:rPr>
        <w:t>.</w:t>
      </w:r>
    </w:p>
  </w:footnote>
  <w:footnote w:id="349">
    <w:p w14:paraId="310343FF" w14:textId="76A09643" w:rsidR="00655890" w:rsidRDefault="00655890" w:rsidP="000C1980">
      <w:pPr>
        <w:pStyle w:val="FootnoteText"/>
      </w:pPr>
      <w:r>
        <w:rPr>
          <w:rStyle w:val="FootnoteReference"/>
        </w:rPr>
        <w:footnoteRef/>
      </w:r>
      <w:r>
        <w:t xml:space="preserve"> </w:t>
      </w:r>
      <w:r w:rsidR="004A13D0">
        <w:t xml:space="preserve"> </w:t>
      </w:r>
      <w:r>
        <w:t>SDG&amp;E Application, 6.</w:t>
      </w:r>
    </w:p>
  </w:footnote>
  <w:footnote w:id="350">
    <w:p w14:paraId="655456EA" w14:textId="74AD00C5" w:rsidR="00655890" w:rsidRDefault="00655890" w:rsidP="000C1980">
      <w:pPr>
        <w:pStyle w:val="FootnoteText"/>
      </w:pPr>
      <w:r>
        <w:rPr>
          <w:rStyle w:val="FootnoteReference"/>
        </w:rPr>
        <w:footnoteRef/>
      </w:r>
      <w:r>
        <w:t xml:space="preserve"> </w:t>
      </w:r>
      <w:r w:rsidR="004A13D0">
        <w:t xml:space="preserve"> </w:t>
      </w:r>
      <w:r w:rsidR="00A865D7" w:rsidRPr="00CB4AE6">
        <w:rPr>
          <w:i/>
          <w:iCs/>
        </w:rPr>
        <w:t>Id</w:t>
      </w:r>
      <w:r w:rsidR="00A865D7">
        <w:t xml:space="preserve"> at</w:t>
      </w:r>
      <w:r>
        <w:t>, 7.</w:t>
      </w:r>
    </w:p>
  </w:footnote>
  <w:footnote w:id="351">
    <w:p w14:paraId="6F974192" w14:textId="7BE401D3" w:rsidR="00655890" w:rsidRDefault="00655890" w:rsidP="000C1980">
      <w:pPr>
        <w:pStyle w:val="FootnoteText"/>
      </w:pPr>
      <w:r>
        <w:rPr>
          <w:rStyle w:val="FootnoteReference"/>
        </w:rPr>
        <w:footnoteRef/>
      </w:r>
      <w:r>
        <w:t xml:space="preserve"> </w:t>
      </w:r>
      <w:r w:rsidR="004A13D0">
        <w:t xml:space="preserve"> </w:t>
      </w:r>
      <w:r>
        <w:t>SDG&amp;E Testimony, SN-ESA 15-16.</w:t>
      </w:r>
    </w:p>
  </w:footnote>
  <w:footnote w:id="352">
    <w:p w14:paraId="18BB73D4" w14:textId="7526F662" w:rsidR="00655890" w:rsidRDefault="00655890" w:rsidP="000C1980">
      <w:pPr>
        <w:pStyle w:val="FootnoteText"/>
      </w:pPr>
      <w:r>
        <w:rPr>
          <w:rStyle w:val="FootnoteReference"/>
        </w:rPr>
        <w:footnoteRef/>
      </w:r>
      <w:r>
        <w:t xml:space="preserve"> </w:t>
      </w:r>
      <w:r w:rsidR="004A13D0">
        <w:t xml:space="preserve"> </w:t>
      </w:r>
      <w:r>
        <w:t>SDG&amp;E Application, 7.</w:t>
      </w:r>
    </w:p>
  </w:footnote>
  <w:footnote w:id="353">
    <w:p w14:paraId="6A57542B" w14:textId="2C038A44" w:rsidR="00655890" w:rsidRDefault="00655890" w:rsidP="000C1980">
      <w:pPr>
        <w:pStyle w:val="FootnoteText"/>
      </w:pPr>
      <w:r>
        <w:rPr>
          <w:rStyle w:val="FootnoteReference"/>
        </w:rPr>
        <w:footnoteRef/>
      </w:r>
      <w:r>
        <w:t xml:space="preserve"> </w:t>
      </w:r>
      <w:r w:rsidR="004A13D0">
        <w:t xml:space="preserve"> </w:t>
      </w:r>
      <w:r w:rsidR="00A33E57" w:rsidRPr="00620A2B">
        <w:rPr>
          <w:i/>
          <w:iCs/>
          <w:szCs w:val="22"/>
        </w:rPr>
        <w:t>Ibid</w:t>
      </w:r>
      <w:r w:rsidR="00A33E57" w:rsidRPr="00620A2B">
        <w:rPr>
          <w:szCs w:val="22"/>
        </w:rPr>
        <w:t>.</w:t>
      </w:r>
    </w:p>
  </w:footnote>
  <w:footnote w:id="354">
    <w:p w14:paraId="3344F2C1" w14:textId="1EDC208E" w:rsidR="00655890" w:rsidRDefault="00655890" w:rsidP="000C1980">
      <w:pPr>
        <w:pStyle w:val="FootnoteText"/>
      </w:pPr>
      <w:r>
        <w:rPr>
          <w:rStyle w:val="FootnoteReference"/>
        </w:rPr>
        <w:footnoteRef/>
      </w:r>
      <w:r>
        <w:t xml:space="preserve"> </w:t>
      </w:r>
      <w:r w:rsidR="004A13D0">
        <w:t xml:space="preserve"> </w:t>
      </w:r>
      <w:r w:rsidR="00A33E57" w:rsidRPr="00620A2B">
        <w:rPr>
          <w:i/>
          <w:iCs/>
          <w:szCs w:val="22"/>
        </w:rPr>
        <w:t>Ibid</w:t>
      </w:r>
      <w:r w:rsidR="00A33E57" w:rsidRPr="00620A2B">
        <w:rPr>
          <w:szCs w:val="22"/>
        </w:rPr>
        <w:t>.</w:t>
      </w:r>
    </w:p>
  </w:footnote>
  <w:footnote w:id="355">
    <w:p w14:paraId="772196A0" w14:textId="7DD9B6DB" w:rsidR="00655890" w:rsidRDefault="00655890" w:rsidP="000C1980">
      <w:pPr>
        <w:pStyle w:val="FootnoteText"/>
      </w:pPr>
      <w:r>
        <w:rPr>
          <w:rStyle w:val="FootnoteReference"/>
        </w:rPr>
        <w:footnoteRef/>
      </w:r>
      <w:r>
        <w:t xml:space="preserve"> </w:t>
      </w:r>
      <w:r w:rsidR="004A13D0">
        <w:t xml:space="preserve"> </w:t>
      </w:r>
      <w:r w:rsidR="00827C73" w:rsidRPr="00D5044E">
        <w:rPr>
          <w:i/>
          <w:iCs/>
        </w:rPr>
        <w:t>Ibid.</w:t>
      </w:r>
    </w:p>
  </w:footnote>
  <w:footnote w:id="356">
    <w:p w14:paraId="5E9C6106" w14:textId="2448F682" w:rsidR="00655890" w:rsidRDefault="00655890" w:rsidP="000C1980">
      <w:pPr>
        <w:pStyle w:val="FootnoteText"/>
      </w:pPr>
      <w:r>
        <w:rPr>
          <w:rStyle w:val="FootnoteReference"/>
        </w:rPr>
        <w:footnoteRef/>
      </w:r>
      <w:r>
        <w:t xml:space="preserve"> </w:t>
      </w:r>
      <w:r w:rsidR="004A13D0">
        <w:t xml:space="preserve"> </w:t>
      </w:r>
      <w:r w:rsidR="00827C73" w:rsidRPr="00D5044E">
        <w:rPr>
          <w:i/>
          <w:iCs/>
        </w:rPr>
        <w:t>Ibid.</w:t>
      </w:r>
    </w:p>
  </w:footnote>
  <w:footnote w:id="357">
    <w:p w14:paraId="30430869" w14:textId="16ED476A" w:rsidR="00655890" w:rsidRDefault="00655890" w:rsidP="000C1980">
      <w:pPr>
        <w:pStyle w:val="FootnoteText"/>
      </w:pPr>
      <w:r>
        <w:rPr>
          <w:rStyle w:val="FootnoteReference"/>
        </w:rPr>
        <w:footnoteRef/>
      </w:r>
      <w:r>
        <w:t xml:space="preserve"> </w:t>
      </w:r>
      <w:r w:rsidR="004A13D0">
        <w:t xml:space="preserve"> </w:t>
      </w:r>
      <w:r>
        <w:t>SDG&amp;E Application, 8.</w:t>
      </w:r>
    </w:p>
  </w:footnote>
  <w:footnote w:id="358">
    <w:p w14:paraId="16A666D5" w14:textId="27D972D1" w:rsidR="00655890" w:rsidRDefault="00655890" w:rsidP="000C1980">
      <w:pPr>
        <w:pStyle w:val="FootnoteText"/>
      </w:pPr>
      <w:r>
        <w:rPr>
          <w:rStyle w:val="FootnoteReference"/>
        </w:rPr>
        <w:footnoteRef/>
      </w:r>
      <w:r>
        <w:t xml:space="preserve"> </w:t>
      </w:r>
      <w:r w:rsidR="004A13D0">
        <w:t xml:space="preserve"> </w:t>
      </w:r>
      <w:r>
        <w:t>EEC Protest to SCE application, 6.</w:t>
      </w:r>
    </w:p>
  </w:footnote>
  <w:footnote w:id="359">
    <w:p w14:paraId="08C3C62F" w14:textId="5C169670" w:rsidR="00655890" w:rsidRDefault="00655890" w:rsidP="000C1980">
      <w:pPr>
        <w:pStyle w:val="FootnoteText"/>
      </w:pPr>
      <w:r>
        <w:rPr>
          <w:rStyle w:val="FootnoteReference"/>
        </w:rPr>
        <w:footnoteRef/>
      </w:r>
      <w:r>
        <w:t xml:space="preserve"> </w:t>
      </w:r>
      <w:r w:rsidR="004A13D0">
        <w:t xml:space="preserve"> </w:t>
      </w:r>
      <w:r>
        <w:t xml:space="preserve">EEC </w:t>
      </w:r>
      <w:r w:rsidRPr="00C57333">
        <w:t>Response</w:t>
      </w:r>
      <w:r>
        <w:t>, 2.</w:t>
      </w:r>
    </w:p>
  </w:footnote>
  <w:footnote w:id="360">
    <w:p w14:paraId="5996B384" w14:textId="699630B5" w:rsidR="00655890" w:rsidRDefault="00655890" w:rsidP="000C1980">
      <w:pPr>
        <w:pStyle w:val="FootnoteText"/>
      </w:pPr>
      <w:r>
        <w:rPr>
          <w:rStyle w:val="FootnoteReference"/>
        </w:rPr>
        <w:footnoteRef/>
      </w:r>
      <w:r>
        <w:t xml:space="preserve"> </w:t>
      </w:r>
      <w:r w:rsidR="004A13D0">
        <w:t xml:space="preserve"> </w:t>
      </w:r>
      <w:r>
        <w:t>EEC testimony of Allan Rago, 17.</w:t>
      </w:r>
    </w:p>
  </w:footnote>
  <w:footnote w:id="361">
    <w:p w14:paraId="0571C2DF" w14:textId="05DA1A42" w:rsidR="00655890" w:rsidRDefault="00655890" w:rsidP="000C1980">
      <w:pPr>
        <w:pStyle w:val="FootnoteText"/>
      </w:pPr>
      <w:r>
        <w:rPr>
          <w:rStyle w:val="FootnoteReference"/>
        </w:rPr>
        <w:footnoteRef/>
      </w:r>
      <w:r>
        <w:t xml:space="preserve"> </w:t>
      </w:r>
      <w:r w:rsidR="004A13D0">
        <w:t xml:space="preserve"> </w:t>
      </w:r>
      <w:r>
        <w:t>La Cooperativa Protest to SCE Application, 8.</w:t>
      </w:r>
    </w:p>
  </w:footnote>
  <w:footnote w:id="362">
    <w:p w14:paraId="784D9869" w14:textId="1B2E0209" w:rsidR="00655890" w:rsidRDefault="00655890" w:rsidP="000C1980">
      <w:pPr>
        <w:pStyle w:val="FootnoteText"/>
      </w:pPr>
      <w:r>
        <w:rPr>
          <w:rStyle w:val="FootnoteReference"/>
        </w:rPr>
        <w:footnoteRef/>
      </w:r>
      <w:r>
        <w:t xml:space="preserve"> </w:t>
      </w:r>
      <w:r w:rsidR="004A13D0">
        <w:t xml:space="preserve"> </w:t>
      </w:r>
      <w:r>
        <w:t>La Cooperativa Protest to SCE Application, 6.</w:t>
      </w:r>
    </w:p>
  </w:footnote>
  <w:footnote w:id="363">
    <w:p w14:paraId="53DCE536" w14:textId="4F10E59D" w:rsidR="00655890" w:rsidRDefault="00655890" w:rsidP="000C1980">
      <w:pPr>
        <w:pStyle w:val="FootnoteText"/>
      </w:pPr>
      <w:r>
        <w:rPr>
          <w:rStyle w:val="FootnoteReference"/>
        </w:rPr>
        <w:footnoteRef/>
      </w:r>
      <w:r>
        <w:t xml:space="preserve"> </w:t>
      </w:r>
      <w:r w:rsidR="004A13D0">
        <w:t xml:space="preserve"> </w:t>
      </w:r>
      <w:r>
        <w:t>La Cooperativa protest to SoCalGas Application, 2.</w:t>
      </w:r>
    </w:p>
  </w:footnote>
  <w:footnote w:id="364">
    <w:p w14:paraId="5C522634" w14:textId="1E2591F3" w:rsidR="00655890" w:rsidRDefault="00655890" w:rsidP="000C1980">
      <w:pPr>
        <w:pStyle w:val="FootnoteText"/>
      </w:pPr>
      <w:r>
        <w:rPr>
          <w:rStyle w:val="FootnoteReference"/>
        </w:rPr>
        <w:footnoteRef/>
      </w:r>
      <w:r>
        <w:t xml:space="preserve"> </w:t>
      </w:r>
      <w:r w:rsidR="004A13D0">
        <w:t xml:space="preserve"> </w:t>
      </w:r>
      <w:r w:rsidR="00FC6688" w:rsidRPr="00CB4AE6">
        <w:rPr>
          <w:i/>
          <w:iCs/>
        </w:rPr>
        <w:t>Id</w:t>
      </w:r>
      <w:r w:rsidR="00FC6688">
        <w:t xml:space="preserve"> at </w:t>
      </w:r>
      <w:r>
        <w:t>4.</w:t>
      </w:r>
    </w:p>
  </w:footnote>
  <w:footnote w:id="365">
    <w:p w14:paraId="56906DB5" w14:textId="5FBDDE8C" w:rsidR="00655890" w:rsidRDefault="00655890" w:rsidP="000C1980">
      <w:pPr>
        <w:pStyle w:val="FootnoteText"/>
      </w:pPr>
      <w:r>
        <w:rPr>
          <w:rStyle w:val="FootnoteReference"/>
        </w:rPr>
        <w:footnoteRef/>
      </w:r>
      <w:r>
        <w:t xml:space="preserve"> </w:t>
      </w:r>
      <w:r w:rsidR="004A13D0">
        <w:t xml:space="preserve"> </w:t>
      </w:r>
      <w:r w:rsidR="000813A0" w:rsidRPr="00D5044E">
        <w:rPr>
          <w:i/>
          <w:iCs/>
        </w:rPr>
        <w:t>Ibid.</w:t>
      </w:r>
    </w:p>
  </w:footnote>
  <w:footnote w:id="366">
    <w:p w14:paraId="7DCDAA44" w14:textId="373805A9" w:rsidR="00655890" w:rsidRDefault="00655890" w:rsidP="000C1980">
      <w:pPr>
        <w:pStyle w:val="FootnoteText"/>
      </w:pPr>
      <w:r>
        <w:rPr>
          <w:rStyle w:val="FootnoteReference"/>
        </w:rPr>
        <w:footnoteRef/>
      </w:r>
      <w:r>
        <w:t xml:space="preserve"> </w:t>
      </w:r>
      <w:r w:rsidR="004A13D0">
        <w:t xml:space="preserve"> </w:t>
      </w:r>
      <w:r>
        <w:t>La</w:t>
      </w:r>
      <w:r w:rsidRPr="00E80AF2">
        <w:t xml:space="preserve"> </w:t>
      </w:r>
      <w:r>
        <w:t>Cooperativa et al. Testimony at 4-5</w:t>
      </w:r>
      <w:r w:rsidR="00A33E57">
        <w:t>.</w:t>
      </w:r>
    </w:p>
  </w:footnote>
  <w:footnote w:id="367">
    <w:p w14:paraId="5609FA06" w14:textId="7B3DE547" w:rsidR="00655890" w:rsidRDefault="00655890" w:rsidP="000C1980">
      <w:pPr>
        <w:pStyle w:val="FootnoteText"/>
      </w:pPr>
      <w:r>
        <w:rPr>
          <w:rStyle w:val="FootnoteReference"/>
        </w:rPr>
        <w:footnoteRef/>
      </w:r>
      <w:r>
        <w:t xml:space="preserve"> </w:t>
      </w:r>
      <w:r w:rsidR="004A13D0">
        <w:t xml:space="preserve"> </w:t>
      </w:r>
      <w:r>
        <w:t>CforAT Protest to SCE, 6.</w:t>
      </w:r>
    </w:p>
  </w:footnote>
  <w:footnote w:id="368">
    <w:p w14:paraId="57C993D1" w14:textId="120F8950" w:rsidR="00655890" w:rsidRDefault="00655890" w:rsidP="000C1980">
      <w:pPr>
        <w:pStyle w:val="FootnoteText"/>
      </w:pPr>
      <w:r>
        <w:rPr>
          <w:rStyle w:val="FootnoteReference"/>
        </w:rPr>
        <w:footnoteRef/>
      </w:r>
      <w:r>
        <w:t xml:space="preserve"> </w:t>
      </w:r>
      <w:r w:rsidR="004A13D0">
        <w:t xml:space="preserve"> </w:t>
      </w:r>
      <w:r w:rsidR="00E43DDC" w:rsidRPr="00D5044E">
        <w:rPr>
          <w:i/>
          <w:iCs/>
        </w:rPr>
        <w:t>Ibid.</w:t>
      </w:r>
    </w:p>
  </w:footnote>
  <w:footnote w:id="369">
    <w:p w14:paraId="6B389862" w14:textId="475FB878" w:rsidR="00655890" w:rsidRDefault="00655890" w:rsidP="000C1980">
      <w:pPr>
        <w:pStyle w:val="FootnoteText"/>
      </w:pPr>
      <w:r>
        <w:rPr>
          <w:rStyle w:val="FootnoteReference"/>
        </w:rPr>
        <w:footnoteRef/>
      </w:r>
      <w:r>
        <w:t xml:space="preserve"> </w:t>
      </w:r>
      <w:r w:rsidR="004A13D0">
        <w:t xml:space="preserve"> </w:t>
      </w:r>
      <w:r>
        <w:t>CforAT Protest to PG&amp;E application at 4.</w:t>
      </w:r>
    </w:p>
  </w:footnote>
  <w:footnote w:id="370">
    <w:p w14:paraId="753AD12C" w14:textId="3E349F1F" w:rsidR="00655890" w:rsidRPr="00D360DC" w:rsidRDefault="00655890" w:rsidP="000C1980">
      <w:pPr>
        <w:pStyle w:val="FootnoteText"/>
      </w:pPr>
      <w:r>
        <w:rPr>
          <w:rStyle w:val="FootnoteReference"/>
        </w:rPr>
        <w:footnoteRef/>
      </w:r>
      <w:r w:rsidR="004A13D0">
        <w:t xml:space="preserve"> </w:t>
      </w:r>
      <w:r>
        <w:t xml:space="preserve"> Joint Parties </w:t>
      </w:r>
      <w:r w:rsidRPr="00D360DC">
        <w:t>Testimony of</w:t>
      </w:r>
      <w:r w:rsidRPr="00D360DC">
        <w:rPr>
          <w:rFonts w:ascii="TimesNewRomanPS-BoldMT" w:hAnsi="TimesNewRomanPS-BoldMT" w:cs="TimesNewRomanPS-BoldMT"/>
          <w:sz w:val="24"/>
          <w:szCs w:val="24"/>
        </w:rPr>
        <w:t xml:space="preserve"> </w:t>
      </w:r>
      <w:r w:rsidRPr="00D360DC">
        <w:t>M</w:t>
      </w:r>
      <w:r>
        <w:t>ohit</w:t>
      </w:r>
      <w:r w:rsidRPr="00D360DC">
        <w:t xml:space="preserve"> C</w:t>
      </w:r>
      <w:r>
        <w:t xml:space="preserve">hhabra, </w:t>
      </w:r>
      <w:r w:rsidRPr="00D360DC">
        <w:t>6-7.</w:t>
      </w:r>
    </w:p>
  </w:footnote>
  <w:footnote w:id="371">
    <w:p w14:paraId="6C7782A3" w14:textId="50CF835F" w:rsidR="00655890" w:rsidRDefault="00655890" w:rsidP="000C1980">
      <w:pPr>
        <w:pStyle w:val="FootnoteText"/>
      </w:pPr>
      <w:r>
        <w:rPr>
          <w:rStyle w:val="FootnoteReference"/>
        </w:rPr>
        <w:footnoteRef/>
      </w:r>
      <w:r>
        <w:t xml:space="preserve"> </w:t>
      </w:r>
      <w:r w:rsidR="004A13D0">
        <w:t xml:space="preserve"> </w:t>
      </w:r>
      <w:r w:rsidR="00FC6688" w:rsidRPr="00CB4AE6">
        <w:rPr>
          <w:i/>
          <w:iCs/>
        </w:rPr>
        <w:t>Id</w:t>
      </w:r>
      <w:r w:rsidR="00FC6688">
        <w:t xml:space="preserve"> at </w:t>
      </w:r>
      <w:r>
        <w:t>10-11</w:t>
      </w:r>
      <w:r w:rsidRPr="00D360DC">
        <w:t>.</w:t>
      </w:r>
    </w:p>
  </w:footnote>
  <w:footnote w:id="372">
    <w:p w14:paraId="3FDB9895" w14:textId="5B83AAE8" w:rsidR="00655890" w:rsidRPr="00660363" w:rsidRDefault="00655890" w:rsidP="000C1980">
      <w:pPr>
        <w:pStyle w:val="FootnoteText"/>
      </w:pPr>
      <w:r>
        <w:rPr>
          <w:rStyle w:val="FootnoteReference"/>
        </w:rPr>
        <w:footnoteRef/>
      </w:r>
      <w:r>
        <w:t xml:space="preserve"> </w:t>
      </w:r>
      <w:r w:rsidR="004A13D0">
        <w:t xml:space="preserve"> </w:t>
      </w:r>
      <w:r w:rsidRPr="00660363">
        <w:t>TURN Testimony of Alice Napoleon</w:t>
      </w:r>
      <w:r>
        <w:t xml:space="preserve">, </w:t>
      </w:r>
      <w:r w:rsidRPr="00660363">
        <w:t>26</w:t>
      </w:r>
      <w:r>
        <w:t>-27</w:t>
      </w:r>
      <w:r w:rsidRPr="00660363">
        <w:t>.</w:t>
      </w:r>
    </w:p>
  </w:footnote>
  <w:footnote w:id="373">
    <w:p w14:paraId="66795F39" w14:textId="57D4294F" w:rsidR="00655890" w:rsidRDefault="00655890" w:rsidP="000C1980">
      <w:pPr>
        <w:pStyle w:val="FootnoteText"/>
      </w:pPr>
      <w:r>
        <w:rPr>
          <w:rStyle w:val="FootnoteReference"/>
        </w:rPr>
        <w:footnoteRef/>
      </w:r>
      <w:r>
        <w:t xml:space="preserve">  TELACU et al. Testimony, 5.</w:t>
      </w:r>
    </w:p>
  </w:footnote>
  <w:footnote w:id="374">
    <w:p w14:paraId="56C6E61A" w14:textId="6540800A" w:rsidR="00E340CC" w:rsidRDefault="00E340CC">
      <w:pPr>
        <w:pStyle w:val="FootnoteText"/>
      </w:pPr>
      <w:r>
        <w:rPr>
          <w:rStyle w:val="FootnoteReference"/>
        </w:rPr>
        <w:footnoteRef/>
      </w:r>
      <w:r>
        <w:t xml:space="preserve"> </w:t>
      </w:r>
      <w:r w:rsidR="004A13D0">
        <w:t xml:space="preserve"> </w:t>
      </w:r>
      <w:r>
        <w:t>EEC and TELACU et al Reply Briefs, 5.</w:t>
      </w:r>
    </w:p>
  </w:footnote>
  <w:footnote w:id="375">
    <w:p w14:paraId="5946F867" w14:textId="5B2082CC" w:rsidR="00655890" w:rsidRDefault="00655890" w:rsidP="000C1980">
      <w:pPr>
        <w:pStyle w:val="FootnoteText"/>
      </w:pPr>
      <w:r>
        <w:rPr>
          <w:rStyle w:val="FootnoteReference"/>
        </w:rPr>
        <w:footnoteRef/>
      </w:r>
      <w:r>
        <w:t xml:space="preserve">  PCF Testimony of Bill Powers, 4.</w:t>
      </w:r>
    </w:p>
  </w:footnote>
  <w:footnote w:id="376">
    <w:p w14:paraId="12B47A70" w14:textId="5A447908" w:rsidR="00655890" w:rsidRDefault="00655890" w:rsidP="000C1980">
      <w:pPr>
        <w:pStyle w:val="FootnoteText"/>
      </w:pPr>
      <w:r>
        <w:rPr>
          <w:rStyle w:val="FootnoteReference"/>
        </w:rPr>
        <w:footnoteRef/>
      </w:r>
      <w:r>
        <w:t xml:space="preserve">  PG&amp;E Rebuttal Testimony, I-22-23.</w:t>
      </w:r>
    </w:p>
  </w:footnote>
  <w:footnote w:id="377">
    <w:p w14:paraId="30C9C732" w14:textId="1511E70D" w:rsidR="00655890" w:rsidRDefault="00655890" w:rsidP="000C1980">
      <w:pPr>
        <w:pStyle w:val="FootnoteText"/>
      </w:pPr>
      <w:r>
        <w:rPr>
          <w:rStyle w:val="FootnoteReference"/>
        </w:rPr>
        <w:footnoteRef/>
      </w:r>
      <w:r>
        <w:t xml:space="preserve">  SDG&amp;E Rebuttal Testimony, </w:t>
      </w:r>
      <w:r w:rsidRPr="005D268E">
        <w:t>SN-ESA</w:t>
      </w:r>
      <w:r>
        <w:t>1</w:t>
      </w:r>
      <w:r w:rsidRPr="005D268E">
        <w:t>3</w:t>
      </w:r>
      <w:r w:rsidR="00974EB7">
        <w:t>.</w:t>
      </w:r>
    </w:p>
  </w:footnote>
  <w:footnote w:id="378">
    <w:p w14:paraId="47EB9EF5" w14:textId="739C1358" w:rsidR="00655890" w:rsidRDefault="00655890" w:rsidP="000C1980">
      <w:pPr>
        <w:pStyle w:val="FootnoteText"/>
      </w:pPr>
      <w:r>
        <w:rPr>
          <w:rStyle w:val="FootnoteReference"/>
        </w:rPr>
        <w:footnoteRef/>
      </w:r>
      <w:r>
        <w:t xml:space="preserve">  TURN testimony of Alice Napoleon, 24.</w:t>
      </w:r>
    </w:p>
  </w:footnote>
  <w:footnote w:id="379">
    <w:p w14:paraId="353DF605" w14:textId="7D772AEF" w:rsidR="00655890" w:rsidRDefault="00655890" w:rsidP="000C1980">
      <w:pPr>
        <w:pStyle w:val="FootnoteText"/>
      </w:pPr>
      <w:r>
        <w:rPr>
          <w:rStyle w:val="FootnoteReference"/>
        </w:rPr>
        <w:footnoteRef/>
      </w:r>
      <w:r>
        <w:t xml:space="preserve">  SCE Amended Application, II-A 31-33.</w:t>
      </w:r>
    </w:p>
  </w:footnote>
  <w:footnote w:id="380">
    <w:p w14:paraId="2513EF91" w14:textId="77777777" w:rsidR="00655890" w:rsidRPr="007F40BA" w:rsidRDefault="00655890" w:rsidP="000C1980">
      <w:pPr>
        <w:spacing w:after="120"/>
        <w:rPr>
          <w:sz w:val="22"/>
          <w:szCs w:val="22"/>
        </w:rPr>
      </w:pPr>
      <w:r w:rsidRPr="007F40BA">
        <w:rPr>
          <w:sz w:val="22"/>
          <w:szCs w:val="22"/>
          <w:vertAlign w:val="superscript"/>
        </w:rPr>
        <w:footnoteRef/>
      </w:r>
      <w:r w:rsidRPr="007F40BA">
        <w:rPr>
          <w:sz w:val="22"/>
          <w:szCs w:val="22"/>
        </w:rPr>
        <w:t xml:space="preserve"> </w:t>
      </w:r>
      <w:r>
        <w:rPr>
          <w:sz w:val="22"/>
          <w:szCs w:val="22"/>
        </w:rPr>
        <w:t xml:space="preserve"> </w:t>
      </w:r>
      <w:r w:rsidRPr="007F40BA">
        <w:rPr>
          <w:sz w:val="22"/>
          <w:szCs w:val="22"/>
        </w:rPr>
        <w:t>Decision 17-12-009, modifying D.16-11-022, Ordering Paragraph 9.</w:t>
      </w:r>
    </w:p>
  </w:footnote>
  <w:footnote w:id="381">
    <w:p w14:paraId="08DA47AD" w14:textId="1CF75C30" w:rsidR="00655890" w:rsidRDefault="00655890" w:rsidP="000C1980">
      <w:pPr>
        <w:pStyle w:val="FootnoteText"/>
      </w:pPr>
      <w:r>
        <w:rPr>
          <w:rStyle w:val="FootnoteReference"/>
        </w:rPr>
        <w:footnoteRef/>
      </w:r>
      <w:r>
        <w:t xml:space="preserve">  Decision 19-06-022 Attachment A, 16-17.</w:t>
      </w:r>
    </w:p>
  </w:footnote>
  <w:footnote w:id="382">
    <w:p w14:paraId="38FC5B97" w14:textId="669C9270" w:rsidR="00655890" w:rsidRDefault="00655890" w:rsidP="000C1980">
      <w:pPr>
        <w:pStyle w:val="FootnoteText"/>
      </w:pPr>
      <w:r>
        <w:rPr>
          <w:rStyle w:val="FootnoteReference"/>
        </w:rPr>
        <w:footnoteRef/>
      </w:r>
      <w:r>
        <w:t xml:space="preserve">  PG&amp;E Testimony, I-107.</w:t>
      </w:r>
    </w:p>
  </w:footnote>
  <w:footnote w:id="383">
    <w:p w14:paraId="44527BFC" w14:textId="43EFB8D1"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I-121.</w:t>
      </w:r>
    </w:p>
  </w:footnote>
  <w:footnote w:id="384">
    <w:p w14:paraId="2B6B3B01" w14:textId="5E91F394"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I-116.</w:t>
      </w:r>
    </w:p>
  </w:footnote>
  <w:footnote w:id="385">
    <w:p w14:paraId="4BC361A4" w14:textId="13EADE6D" w:rsidR="00655890" w:rsidRDefault="00655890" w:rsidP="000C1980">
      <w:pPr>
        <w:pStyle w:val="FootnoteText"/>
      </w:pPr>
      <w:r>
        <w:rPr>
          <w:rStyle w:val="FootnoteReference"/>
        </w:rPr>
        <w:footnoteRef/>
      </w:r>
      <w:r>
        <w:t xml:space="preserve">  SCE</w:t>
      </w:r>
      <w:r w:rsidRPr="000908D5">
        <w:t xml:space="preserve"> </w:t>
      </w:r>
      <w:r>
        <w:t>Prepared Testimony, II-33.</w:t>
      </w:r>
    </w:p>
  </w:footnote>
  <w:footnote w:id="386">
    <w:p w14:paraId="2185A6F9" w14:textId="4420C2A1"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II-33-34.</w:t>
      </w:r>
    </w:p>
  </w:footnote>
  <w:footnote w:id="387">
    <w:p w14:paraId="1F63627F" w14:textId="56768506"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II-35-36.</w:t>
      </w:r>
    </w:p>
  </w:footnote>
  <w:footnote w:id="388">
    <w:p w14:paraId="42C652EA" w14:textId="6C9E04B0"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I-5.</w:t>
      </w:r>
    </w:p>
  </w:footnote>
  <w:footnote w:id="389">
    <w:p w14:paraId="4D67BE5D" w14:textId="0526C8E8" w:rsidR="00655890" w:rsidRPr="00917E94" w:rsidRDefault="00655890" w:rsidP="000C1980">
      <w:pPr>
        <w:pStyle w:val="FootnoteText"/>
      </w:pPr>
      <w:r w:rsidRPr="00917E94">
        <w:rPr>
          <w:rStyle w:val="FootnoteReference"/>
        </w:rPr>
        <w:footnoteRef/>
      </w:r>
      <w:r w:rsidRPr="00917E94">
        <w:t xml:space="preserve">  </w:t>
      </w:r>
      <w:r w:rsidR="00FC6688" w:rsidRPr="00CB4AE6">
        <w:rPr>
          <w:i/>
          <w:iCs/>
        </w:rPr>
        <w:t>Id</w:t>
      </w:r>
      <w:r w:rsidR="00FC6688">
        <w:t xml:space="preserve"> at </w:t>
      </w:r>
      <w:r w:rsidRPr="00917E94">
        <w:t>II-35.</w:t>
      </w:r>
    </w:p>
  </w:footnote>
  <w:footnote w:id="390">
    <w:p w14:paraId="1FFECA15" w14:textId="3BF60E39" w:rsidR="00655890" w:rsidRPr="00917E94" w:rsidRDefault="00655890" w:rsidP="000C1980">
      <w:pPr>
        <w:pStyle w:val="FootnoteText"/>
      </w:pPr>
      <w:r w:rsidRPr="00917E94">
        <w:rPr>
          <w:rStyle w:val="FootnoteReference"/>
        </w:rPr>
        <w:footnoteRef/>
      </w:r>
      <w:r w:rsidRPr="00917E94">
        <w:t xml:space="preserve">  </w:t>
      </w:r>
      <w:r w:rsidR="00FC6688" w:rsidRPr="00CB4AE6">
        <w:rPr>
          <w:i/>
          <w:iCs/>
        </w:rPr>
        <w:t>Id</w:t>
      </w:r>
      <w:r w:rsidR="00FC6688">
        <w:t xml:space="preserve"> at </w:t>
      </w:r>
      <w:r w:rsidRPr="00917E94">
        <w:t>II-65.</w:t>
      </w:r>
    </w:p>
  </w:footnote>
  <w:footnote w:id="391">
    <w:p w14:paraId="0C9B485F" w14:textId="698C8569" w:rsidR="00655890" w:rsidRDefault="00655890" w:rsidP="000C1980">
      <w:pPr>
        <w:pStyle w:val="FootnoteText"/>
      </w:pPr>
      <w:r w:rsidRPr="00917E94">
        <w:rPr>
          <w:rStyle w:val="FootnoteReference"/>
        </w:rPr>
        <w:footnoteRef/>
      </w:r>
      <w:r w:rsidRPr="00917E94">
        <w:t xml:space="preserve">  </w:t>
      </w:r>
      <w:r w:rsidR="009A271F" w:rsidRPr="00D5044E">
        <w:rPr>
          <w:i/>
          <w:iCs/>
        </w:rPr>
        <w:t>Ibid.</w:t>
      </w:r>
    </w:p>
  </w:footnote>
  <w:footnote w:id="392">
    <w:p w14:paraId="3C341597" w14:textId="42CB931E" w:rsidR="00655890" w:rsidRDefault="00655890" w:rsidP="000C1980">
      <w:pPr>
        <w:pStyle w:val="FootnoteText"/>
      </w:pPr>
      <w:r>
        <w:rPr>
          <w:rStyle w:val="FootnoteReference"/>
        </w:rPr>
        <w:footnoteRef/>
      </w:r>
      <w:r>
        <w:t xml:space="preserve">  SCE Prepared Testimony, II-78-79.</w:t>
      </w:r>
    </w:p>
  </w:footnote>
  <w:footnote w:id="393">
    <w:p w14:paraId="352D1AB9" w14:textId="595E2ED1" w:rsidR="00655890" w:rsidRDefault="00655890" w:rsidP="000C1980">
      <w:pPr>
        <w:pStyle w:val="FootnoteText"/>
      </w:pPr>
      <w:r>
        <w:rPr>
          <w:rStyle w:val="FootnoteReference"/>
        </w:rPr>
        <w:footnoteRef/>
      </w:r>
      <w:r>
        <w:t xml:space="preserve">  SoCalGas Prepared Direct Testimony of Mark Aguirre and Erin Brooks, 5.</w:t>
      </w:r>
    </w:p>
  </w:footnote>
  <w:footnote w:id="394">
    <w:p w14:paraId="1E66EF05" w14:textId="0BF01AF2" w:rsidR="00655890" w:rsidRDefault="00655890" w:rsidP="000C1980">
      <w:pPr>
        <w:pStyle w:val="FootnoteText"/>
      </w:pPr>
      <w:r>
        <w:rPr>
          <w:rStyle w:val="FootnoteReference"/>
        </w:rPr>
        <w:footnoteRef/>
      </w:r>
      <w:r>
        <w:t xml:space="preserve">  </w:t>
      </w:r>
      <w:r w:rsidR="00954625" w:rsidRPr="00D5044E">
        <w:rPr>
          <w:i/>
          <w:iCs/>
        </w:rPr>
        <w:t>Ibid.</w:t>
      </w:r>
    </w:p>
  </w:footnote>
  <w:footnote w:id="395">
    <w:p w14:paraId="6DEC550D" w14:textId="28EB6DD3" w:rsidR="00655890" w:rsidRDefault="00655890" w:rsidP="000C1980">
      <w:pPr>
        <w:pStyle w:val="FootnoteText"/>
      </w:pPr>
      <w:r>
        <w:rPr>
          <w:rStyle w:val="FootnoteReference"/>
        </w:rPr>
        <w:footnoteRef/>
      </w:r>
      <w:r>
        <w:t xml:space="preserve">  SoCalGas Prepared Direct Testimony of Mark Aguirre and Erin Brooks, 126- 127.</w:t>
      </w:r>
    </w:p>
  </w:footnote>
  <w:footnote w:id="396">
    <w:p w14:paraId="1E87C371" w14:textId="15466DBD"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6.</w:t>
      </w:r>
    </w:p>
  </w:footnote>
  <w:footnote w:id="397">
    <w:p w14:paraId="5961994B" w14:textId="77777777" w:rsidR="00655890" w:rsidRDefault="00655890" w:rsidP="000C1980">
      <w:pPr>
        <w:pStyle w:val="FootnoteText"/>
      </w:pPr>
      <w:r>
        <w:rPr>
          <w:rStyle w:val="FootnoteReference"/>
        </w:rPr>
        <w:footnoteRef/>
      </w:r>
      <w:r>
        <w:t xml:space="preserve">  SDG&amp;E Application, 9.</w:t>
      </w:r>
    </w:p>
  </w:footnote>
  <w:footnote w:id="398">
    <w:p w14:paraId="1042CAE2" w14:textId="177C1E0D" w:rsidR="00655890" w:rsidRDefault="00655890" w:rsidP="000C1980">
      <w:pPr>
        <w:pStyle w:val="FootnoteText"/>
      </w:pPr>
      <w:r>
        <w:rPr>
          <w:rStyle w:val="FootnoteReference"/>
        </w:rPr>
        <w:footnoteRef/>
      </w:r>
      <w:r>
        <w:t xml:space="preserve">  </w:t>
      </w:r>
      <w:r w:rsidR="00FC6688" w:rsidRPr="00CB4AE6">
        <w:rPr>
          <w:i/>
          <w:iCs/>
        </w:rPr>
        <w:t>Id</w:t>
      </w:r>
      <w:r w:rsidR="00FC6688">
        <w:t xml:space="preserve"> at</w:t>
      </w:r>
      <w:r>
        <w:t xml:space="preserve"> 7.</w:t>
      </w:r>
    </w:p>
  </w:footnote>
  <w:footnote w:id="399">
    <w:p w14:paraId="6D6E0482" w14:textId="0EA45EB4" w:rsidR="00655890" w:rsidRDefault="00655890" w:rsidP="000C1980">
      <w:pPr>
        <w:pStyle w:val="FootnoteText"/>
      </w:pPr>
      <w:r>
        <w:rPr>
          <w:rStyle w:val="FootnoteReference"/>
        </w:rPr>
        <w:footnoteRef/>
      </w:r>
      <w:r>
        <w:t xml:space="preserve">  SDG&amp;E Testimony, </w:t>
      </w:r>
      <w:r w:rsidRPr="00222903">
        <w:t>SN-ESA</w:t>
      </w:r>
      <w:r>
        <w:t xml:space="preserve"> </w:t>
      </w:r>
      <w:r w:rsidRPr="00222903">
        <w:t>8</w:t>
      </w:r>
      <w:r>
        <w:t>6-87</w:t>
      </w:r>
    </w:p>
  </w:footnote>
  <w:footnote w:id="400">
    <w:p w14:paraId="30AFE936" w14:textId="77777777" w:rsidR="00655890" w:rsidRDefault="00655890" w:rsidP="000C1980">
      <w:pPr>
        <w:pStyle w:val="FootnoteText"/>
      </w:pPr>
      <w:r>
        <w:rPr>
          <w:rStyle w:val="FootnoteReference"/>
        </w:rPr>
        <w:footnoteRef/>
      </w:r>
      <w:r>
        <w:t xml:space="preserve">  SDG&amp;E Application, 11.</w:t>
      </w:r>
    </w:p>
  </w:footnote>
  <w:footnote w:id="401">
    <w:p w14:paraId="67928B5D" w14:textId="5B1489C5" w:rsidR="00655890" w:rsidRDefault="00655890" w:rsidP="000C1980">
      <w:pPr>
        <w:pStyle w:val="FootnoteText"/>
      </w:pPr>
      <w:r>
        <w:rPr>
          <w:rStyle w:val="FootnoteReference"/>
        </w:rPr>
        <w:footnoteRef/>
      </w:r>
      <w:r>
        <w:t xml:space="preserve">  SDG&amp;E Testimony, </w:t>
      </w:r>
      <w:r w:rsidRPr="00762F36">
        <w:t>SN-ESA</w:t>
      </w:r>
      <w:r>
        <w:t xml:space="preserve"> </w:t>
      </w:r>
      <w:r w:rsidRPr="00762F36">
        <w:t>51</w:t>
      </w:r>
      <w:r>
        <w:t>-52.</w:t>
      </w:r>
    </w:p>
  </w:footnote>
  <w:footnote w:id="402">
    <w:p w14:paraId="7BF96B50" w14:textId="77777777" w:rsidR="00655890" w:rsidRDefault="00655890" w:rsidP="000C1980">
      <w:pPr>
        <w:pStyle w:val="FootnoteText"/>
      </w:pPr>
      <w:r>
        <w:rPr>
          <w:rStyle w:val="FootnoteReference"/>
        </w:rPr>
        <w:footnoteRef/>
      </w:r>
      <w:r>
        <w:t xml:space="preserve">  SDG&amp;E Application, 11.</w:t>
      </w:r>
    </w:p>
  </w:footnote>
  <w:footnote w:id="403">
    <w:p w14:paraId="2A96D7EC" w14:textId="0F999651" w:rsidR="00655890" w:rsidRDefault="00655890" w:rsidP="000C1980">
      <w:pPr>
        <w:pStyle w:val="FootnoteText"/>
      </w:pPr>
      <w:r>
        <w:rPr>
          <w:rStyle w:val="FootnoteReference"/>
        </w:rPr>
        <w:footnoteRef/>
      </w:r>
      <w:r>
        <w:t xml:space="preserve">  </w:t>
      </w:r>
      <w:r w:rsidR="005146D8" w:rsidRPr="00D5044E">
        <w:rPr>
          <w:i/>
          <w:iCs/>
        </w:rPr>
        <w:t>Ibid.</w:t>
      </w:r>
    </w:p>
  </w:footnote>
  <w:footnote w:id="404">
    <w:p w14:paraId="77E635F3" w14:textId="77777777" w:rsidR="00655890" w:rsidRDefault="00655890" w:rsidP="000C1980">
      <w:pPr>
        <w:pStyle w:val="FootnoteText"/>
      </w:pPr>
      <w:r>
        <w:rPr>
          <w:rStyle w:val="FootnoteReference"/>
        </w:rPr>
        <w:footnoteRef/>
      </w:r>
      <w:r>
        <w:t xml:space="preserve">  Energy Efficiency Council protest to PG&amp;E, 2.</w:t>
      </w:r>
    </w:p>
  </w:footnote>
  <w:footnote w:id="405">
    <w:p w14:paraId="55B0947A" w14:textId="5D75FAA0" w:rsidR="00655890" w:rsidRDefault="00655890" w:rsidP="000C1980">
      <w:pPr>
        <w:pStyle w:val="FootnoteText"/>
      </w:pPr>
      <w:r>
        <w:rPr>
          <w:rStyle w:val="FootnoteReference"/>
        </w:rPr>
        <w:footnoteRef/>
      </w:r>
      <w:r>
        <w:t xml:space="preserve">  EEC Protest to SCE application, 6.</w:t>
      </w:r>
    </w:p>
  </w:footnote>
  <w:footnote w:id="406">
    <w:p w14:paraId="723CE70E" w14:textId="4E686E54" w:rsidR="00655890" w:rsidRDefault="00655890" w:rsidP="000C1980">
      <w:pPr>
        <w:pStyle w:val="FootnoteText"/>
      </w:pPr>
      <w:r>
        <w:rPr>
          <w:rStyle w:val="FootnoteReference"/>
        </w:rPr>
        <w:footnoteRef/>
      </w:r>
      <w:r>
        <w:t xml:space="preserve">  EEC </w:t>
      </w:r>
      <w:r w:rsidRPr="00C57333">
        <w:t>Response</w:t>
      </w:r>
      <w:r>
        <w:t>, 2.</w:t>
      </w:r>
    </w:p>
  </w:footnote>
  <w:footnote w:id="407">
    <w:p w14:paraId="25790304" w14:textId="3500801E" w:rsidR="00655890" w:rsidRDefault="00655890" w:rsidP="000C1980">
      <w:pPr>
        <w:pStyle w:val="FootnoteText"/>
      </w:pPr>
      <w:r>
        <w:rPr>
          <w:rStyle w:val="FootnoteReference"/>
        </w:rPr>
        <w:footnoteRef/>
      </w:r>
      <w:r>
        <w:t xml:space="preserve">  EEC testimony of Allan Rago, 14.</w:t>
      </w:r>
    </w:p>
  </w:footnote>
  <w:footnote w:id="408">
    <w:p w14:paraId="2E757EE8" w14:textId="122860BE"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26.</w:t>
      </w:r>
    </w:p>
  </w:footnote>
  <w:footnote w:id="409">
    <w:p w14:paraId="34741975" w14:textId="39C654F5" w:rsidR="00460054" w:rsidRDefault="00460054">
      <w:pPr>
        <w:pStyle w:val="FootnoteText"/>
      </w:pPr>
      <w:r>
        <w:rPr>
          <w:rStyle w:val="FootnoteReference"/>
        </w:rPr>
        <w:footnoteRef/>
      </w:r>
      <w:r>
        <w:t xml:space="preserve"> </w:t>
      </w:r>
      <w:r w:rsidR="002965A3">
        <w:t xml:space="preserve"> </w:t>
      </w:r>
      <w:r>
        <w:t>EEC</w:t>
      </w:r>
      <w:r w:rsidR="00BF5E61">
        <w:t>, TELACU et al. Opening Brief, 2.</w:t>
      </w:r>
    </w:p>
  </w:footnote>
  <w:footnote w:id="410">
    <w:p w14:paraId="6C924493" w14:textId="49B37FAD" w:rsidR="00655890" w:rsidRDefault="00655890" w:rsidP="000C1980">
      <w:pPr>
        <w:pStyle w:val="FootnoteText"/>
      </w:pPr>
      <w:r>
        <w:rPr>
          <w:rStyle w:val="FootnoteReference"/>
        </w:rPr>
        <w:footnoteRef/>
      </w:r>
      <w:r>
        <w:t xml:space="preserve">  La Cooperativa et al.</w:t>
      </w:r>
      <w:r w:rsidR="00B26502">
        <w:t>,</w:t>
      </w:r>
      <w:r>
        <w:t xml:space="preserve"> Protest to SCE Application, 6-8.</w:t>
      </w:r>
    </w:p>
  </w:footnote>
  <w:footnote w:id="411">
    <w:p w14:paraId="425DA161" w14:textId="32141F28"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8-9.</w:t>
      </w:r>
    </w:p>
  </w:footnote>
  <w:footnote w:id="412">
    <w:p w14:paraId="1D04E852" w14:textId="00CE4AF8" w:rsidR="00655890" w:rsidRDefault="00655890" w:rsidP="000C1980">
      <w:pPr>
        <w:pStyle w:val="FootnoteText"/>
      </w:pPr>
      <w:r>
        <w:rPr>
          <w:rStyle w:val="FootnoteReference"/>
        </w:rPr>
        <w:footnoteRef/>
      </w:r>
      <w:r>
        <w:t xml:space="preserve">  CforAT Comments to June 25, </w:t>
      </w:r>
      <w:proofErr w:type="gramStart"/>
      <w:r>
        <w:t>2020</w:t>
      </w:r>
      <w:proofErr w:type="gramEnd"/>
      <w:r>
        <w:t xml:space="preserve"> ALJ Ruling, 5-7.</w:t>
      </w:r>
    </w:p>
  </w:footnote>
  <w:footnote w:id="413">
    <w:p w14:paraId="605162B6" w14:textId="19268345" w:rsidR="00655890" w:rsidRDefault="00655890" w:rsidP="000C1980">
      <w:pPr>
        <w:pStyle w:val="FootnoteText"/>
      </w:pPr>
      <w:r>
        <w:rPr>
          <w:rStyle w:val="FootnoteReference"/>
        </w:rPr>
        <w:footnoteRef/>
      </w:r>
      <w:r>
        <w:t xml:space="preserve"> </w:t>
      </w:r>
      <w:r w:rsidRPr="00CE68AA">
        <w:t>Joint Parties Intervenor Testimony</w:t>
      </w:r>
      <w:r w:rsidRPr="00530435">
        <w:t xml:space="preserve"> </w:t>
      </w:r>
      <w:r>
        <w:t xml:space="preserve">of </w:t>
      </w:r>
      <w:r w:rsidRPr="00CE68AA">
        <w:t xml:space="preserve">Mohit Chhabra, </w:t>
      </w:r>
      <w:r>
        <w:t>V.</w:t>
      </w:r>
    </w:p>
  </w:footnote>
  <w:footnote w:id="414">
    <w:p w14:paraId="2D44C08D" w14:textId="2AFD26F7" w:rsidR="00655890" w:rsidRPr="002F1A72" w:rsidRDefault="00655890" w:rsidP="000C1980">
      <w:pPr>
        <w:pStyle w:val="FootnoteText"/>
      </w:pPr>
      <w:r>
        <w:rPr>
          <w:rStyle w:val="FootnoteReference"/>
        </w:rPr>
        <w:footnoteRef/>
      </w:r>
      <w:r>
        <w:t xml:space="preserve">  Joint Parties </w:t>
      </w:r>
      <w:r w:rsidRPr="002F1A72">
        <w:t>Testimony of V</w:t>
      </w:r>
      <w:r>
        <w:t xml:space="preserve">eena </w:t>
      </w:r>
      <w:r w:rsidRPr="002F1A72">
        <w:t>S</w:t>
      </w:r>
      <w:r>
        <w:t xml:space="preserve">ingla, </w:t>
      </w:r>
      <w:r w:rsidRPr="002F1A72">
        <w:t>5-13.</w:t>
      </w:r>
    </w:p>
  </w:footnote>
  <w:footnote w:id="415">
    <w:p w14:paraId="419BB24C" w14:textId="77777777" w:rsidR="00655890" w:rsidRDefault="00655890" w:rsidP="000C1980">
      <w:pPr>
        <w:pStyle w:val="FootnoteText"/>
      </w:pPr>
      <w:r>
        <w:rPr>
          <w:rStyle w:val="FootnoteReference"/>
        </w:rPr>
        <w:footnoteRef/>
      </w:r>
      <w:r>
        <w:t xml:space="preserve">  NRDC, NCLC, and CHA Prehearing Conference Statement, 29.</w:t>
      </w:r>
    </w:p>
  </w:footnote>
  <w:footnote w:id="416">
    <w:p w14:paraId="0D13D59E" w14:textId="48FC1BF8"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31.</w:t>
      </w:r>
    </w:p>
  </w:footnote>
  <w:footnote w:id="417">
    <w:p w14:paraId="4CF6D73A" w14:textId="0AC9DC27"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31.</w:t>
      </w:r>
    </w:p>
  </w:footnote>
  <w:footnote w:id="418">
    <w:p w14:paraId="34ABBB31" w14:textId="6BD854C2" w:rsidR="00655890" w:rsidRDefault="00655890" w:rsidP="000C1980">
      <w:pPr>
        <w:pStyle w:val="FootnoteText"/>
      </w:pPr>
      <w:r>
        <w:rPr>
          <w:rStyle w:val="FootnoteReference"/>
        </w:rPr>
        <w:footnoteRef/>
      </w:r>
      <w:r>
        <w:t xml:space="preserve">  TURN Testimony of Alice Napoleon, 47.</w:t>
      </w:r>
    </w:p>
  </w:footnote>
  <w:footnote w:id="419">
    <w:p w14:paraId="3B390897" w14:textId="70869D4D" w:rsidR="00655890" w:rsidRDefault="00655890" w:rsidP="000C1980">
      <w:pPr>
        <w:pStyle w:val="FootnoteText"/>
      </w:pPr>
      <w:r>
        <w:rPr>
          <w:rStyle w:val="FootnoteReference"/>
        </w:rPr>
        <w:footnoteRef/>
      </w:r>
      <w:r>
        <w:t xml:space="preserve">  </w:t>
      </w:r>
      <w:r w:rsidRPr="003B0397">
        <w:t>U.S. Department of Energy “Energy-Efficient Manufactured Homes</w:t>
      </w:r>
      <w:r>
        <w:t>.</w:t>
      </w:r>
      <w:r w:rsidRPr="003B0397">
        <w:t>”</w:t>
      </w:r>
      <w:r>
        <w:t xml:space="preserve"> </w:t>
      </w:r>
      <w:hyperlink r:id="rId8" w:history="1">
        <w:r w:rsidRPr="00140282">
          <w:rPr>
            <w:rStyle w:val="Hyperlink"/>
          </w:rPr>
          <w:t>https://www.energy.gov/energysaver/types-homes/energy-efficient-manufactured-homes</w:t>
        </w:r>
      </w:hyperlink>
      <w:r w:rsidRPr="003B0397">
        <w:t>.</w:t>
      </w:r>
      <w:r>
        <w:t xml:space="preserve"> </w:t>
      </w:r>
    </w:p>
  </w:footnote>
  <w:footnote w:id="420">
    <w:p w14:paraId="160B4EC4" w14:textId="7FF91538" w:rsidR="00655890" w:rsidRDefault="00655890" w:rsidP="000C1980">
      <w:pPr>
        <w:pStyle w:val="FootnoteText"/>
      </w:pPr>
      <w:r>
        <w:rPr>
          <w:rStyle w:val="FootnoteReference"/>
        </w:rPr>
        <w:footnoteRef/>
      </w:r>
      <w:r>
        <w:t xml:space="preserve">  </w:t>
      </w:r>
      <w:r w:rsidRPr="00302BCC">
        <w:t>TURN Testimony of Alice Napoleon</w:t>
      </w:r>
      <w:r>
        <w:t xml:space="preserve">, 48. </w:t>
      </w:r>
    </w:p>
  </w:footnote>
  <w:footnote w:id="421">
    <w:p w14:paraId="4AD97ABC" w14:textId="7D0F7C96"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48-50.</w:t>
      </w:r>
    </w:p>
  </w:footnote>
  <w:footnote w:id="422">
    <w:p w14:paraId="14466DB8" w14:textId="562B7E14" w:rsidR="00655890" w:rsidRDefault="00655890" w:rsidP="000C1980">
      <w:pPr>
        <w:pStyle w:val="FootnoteText"/>
      </w:pPr>
      <w:r>
        <w:rPr>
          <w:rStyle w:val="FootnoteReference"/>
        </w:rPr>
        <w:footnoteRef/>
      </w:r>
      <w:r>
        <w:t xml:space="preserve">  </w:t>
      </w:r>
      <w:r w:rsidR="00FC6688" w:rsidRPr="00CB4AE6">
        <w:rPr>
          <w:i/>
          <w:iCs/>
        </w:rPr>
        <w:t>Id</w:t>
      </w:r>
      <w:r w:rsidR="00FC6688">
        <w:t xml:space="preserve"> at </w:t>
      </w:r>
      <w:r>
        <w:t xml:space="preserve">28-29. </w:t>
      </w:r>
    </w:p>
  </w:footnote>
  <w:footnote w:id="423">
    <w:p w14:paraId="0E09433D" w14:textId="7A08DD52" w:rsidR="007F10BD" w:rsidRDefault="007F10BD">
      <w:pPr>
        <w:pStyle w:val="FootnoteText"/>
      </w:pPr>
      <w:r>
        <w:rPr>
          <w:rStyle w:val="FootnoteReference"/>
        </w:rPr>
        <w:footnoteRef/>
      </w:r>
      <w:r>
        <w:t xml:space="preserve"> TURN Opening Brief, 42-43.</w:t>
      </w:r>
    </w:p>
  </w:footnote>
  <w:footnote w:id="424">
    <w:p w14:paraId="31785D55" w14:textId="7E3E7F23" w:rsidR="009C5774" w:rsidRDefault="009C5774">
      <w:pPr>
        <w:pStyle w:val="FootnoteText"/>
      </w:pPr>
      <w:r>
        <w:rPr>
          <w:rStyle w:val="FootnoteReference"/>
        </w:rPr>
        <w:footnoteRef/>
      </w:r>
      <w:r>
        <w:t xml:space="preserve"> </w:t>
      </w:r>
      <w:r w:rsidR="00F816FC" w:rsidRPr="00CB4AE6">
        <w:rPr>
          <w:i/>
          <w:iCs/>
        </w:rPr>
        <w:t>Id</w:t>
      </w:r>
      <w:r w:rsidR="00F816FC">
        <w:t xml:space="preserve"> at </w:t>
      </w:r>
      <w:r>
        <w:t>51.</w:t>
      </w:r>
    </w:p>
  </w:footnote>
  <w:footnote w:id="425">
    <w:p w14:paraId="6CEBE323" w14:textId="4BC57142" w:rsidR="00655890" w:rsidRDefault="00655890" w:rsidP="000C1980">
      <w:pPr>
        <w:pStyle w:val="FootnoteText"/>
      </w:pPr>
      <w:r>
        <w:rPr>
          <w:rStyle w:val="FootnoteReference"/>
        </w:rPr>
        <w:footnoteRef/>
      </w:r>
      <w:r>
        <w:t xml:space="preserve">  TELACU et al. Testimony, 6.</w:t>
      </w:r>
    </w:p>
  </w:footnote>
  <w:footnote w:id="426">
    <w:p w14:paraId="6E60F1EC" w14:textId="77777777" w:rsidR="00BF5E61" w:rsidRDefault="00BF5E61" w:rsidP="00BF5E61">
      <w:pPr>
        <w:pStyle w:val="FootnoteText"/>
      </w:pPr>
      <w:r>
        <w:rPr>
          <w:rStyle w:val="FootnoteReference"/>
        </w:rPr>
        <w:footnoteRef/>
      </w:r>
      <w:r>
        <w:t xml:space="preserve"> </w:t>
      </w:r>
      <w:proofErr w:type="gramStart"/>
      <w:r>
        <w:t>EEC,,</w:t>
      </w:r>
      <w:proofErr w:type="gramEnd"/>
      <w:r>
        <w:t xml:space="preserve"> TELACU et al. Opening Brief, 2.</w:t>
      </w:r>
    </w:p>
  </w:footnote>
  <w:footnote w:id="427">
    <w:p w14:paraId="3075B7DE" w14:textId="5903B93D" w:rsidR="00655890" w:rsidRDefault="00655890" w:rsidP="000C1980">
      <w:pPr>
        <w:pStyle w:val="FootnoteText"/>
      </w:pPr>
      <w:r>
        <w:rPr>
          <w:rStyle w:val="FootnoteReference"/>
        </w:rPr>
        <w:footnoteRef/>
      </w:r>
      <w:r>
        <w:t xml:space="preserve">  PCF Testimony of Bill Powers, 4-8.</w:t>
      </w:r>
    </w:p>
  </w:footnote>
  <w:footnote w:id="428">
    <w:p w14:paraId="2F1B86C2" w14:textId="77777777" w:rsidR="00655890" w:rsidRDefault="00655890" w:rsidP="000C1980">
      <w:pPr>
        <w:pStyle w:val="FootnoteText"/>
      </w:pPr>
      <w:r>
        <w:rPr>
          <w:rStyle w:val="FootnoteReference"/>
        </w:rPr>
        <w:footnoteRef/>
      </w:r>
      <w:r>
        <w:t xml:space="preserve">  Enervee Response to PG&amp;E, 9.</w:t>
      </w:r>
    </w:p>
  </w:footnote>
  <w:footnote w:id="429">
    <w:p w14:paraId="4E0D826A" w14:textId="5D909B35" w:rsidR="00655890" w:rsidRDefault="00655890" w:rsidP="000C1980">
      <w:pPr>
        <w:pStyle w:val="FootnoteText"/>
      </w:pPr>
      <w:r>
        <w:rPr>
          <w:rStyle w:val="FootnoteReference"/>
        </w:rPr>
        <w:footnoteRef/>
      </w:r>
      <w:r>
        <w:t xml:space="preserve">  </w:t>
      </w:r>
      <w:r w:rsidR="00F816FC" w:rsidRPr="00CB4AE6">
        <w:rPr>
          <w:i/>
          <w:iCs/>
        </w:rPr>
        <w:t>Id</w:t>
      </w:r>
      <w:r w:rsidR="00F816FC">
        <w:t xml:space="preserve"> at </w:t>
      </w:r>
      <w:r>
        <w:t>9-10.</w:t>
      </w:r>
    </w:p>
  </w:footnote>
  <w:footnote w:id="430">
    <w:p w14:paraId="7750F059" w14:textId="0F9F2735" w:rsidR="00655890" w:rsidRDefault="00655890" w:rsidP="000C1980">
      <w:pPr>
        <w:pStyle w:val="FootnoteText"/>
      </w:pPr>
      <w:r>
        <w:rPr>
          <w:rStyle w:val="FootnoteReference"/>
        </w:rPr>
        <w:footnoteRef/>
      </w:r>
      <w:r>
        <w:t xml:space="preserve">  </w:t>
      </w:r>
      <w:r w:rsidR="00F816FC" w:rsidRPr="00CB4AE6">
        <w:rPr>
          <w:i/>
          <w:iCs/>
        </w:rPr>
        <w:t>Id</w:t>
      </w:r>
      <w:r w:rsidR="00F816FC">
        <w:t xml:space="preserve"> at </w:t>
      </w:r>
      <w:r>
        <w:t>9.</w:t>
      </w:r>
    </w:p>
  </w:footnote>
  <w:footnote w:id="431">
    <w:p w14:paraId="77219059" w14:textId="67AFE5C2" w:rsidR="00655890" w:rsidRDefault="00655890" w:rsidP="000C1980">
      <w:pPr>
        <w:pStyle w:val="FootnoteText"/>
      </w:pPr>
      <w:r>
        <w:rPr>
          <w:rStyle w:val="FootnoteReference"/>
        </w:rPr>
        <w:footnoteRef/>
      </w:r>
      <w:r>
        <w:t xml:space="preserve">  </w:t>
      </w:r>
      <w:r w:rsidR="00C20D12" w:rsidRPr="00D5044E">
        <w:rPr>
          <w:i/>
          <w:iCs/>
        </w:rPr>
        <w:t>Ibid.</w:t>
      </w:r>
    </w:p>
  </w:footnote>
  <w:footnote w:id="432">
    <w:p w14:paraId="3014B2F1" w14:textId="49132064" w:rsidR="00DD5364" w:rsidRDefault="00DD5364">
      <w:pPr>
        <w:pStyle w:val="FootnoteText"/>
      </w:pPr>
      <w:r>
        <w:rPr>
          <w:rStyle w:val="FootnoteReference"/>
        </w:rPr>
        <w:footnoteRef/>
      </w:r>
      <w:r>
        <w:t xml:space="preserve"> </w:t>
      </w:r>
      <w:r w:rsidR="00345B87">
        <w:t xml:space="preserve"> </w:t>
      </w:r>
      <w:r>
        <w:t>Enervee Opening Brief, 13-14.</w:t>
      </w:r>
    </w:p>
  </w:footnote>
  <w:footnote w:id="433">
    <w:p w14:paraId="5327E446" w14:textId="2FF88E68" w:rsidR="00717FEE" w:rsidRDefault="00717FEE">
      <w:pPr>
        <w:pStyle w:val="FootnoteText"/>
      </w:pPr>
      <w:r>
        <w:rPr>
          <w:rStyle w:val="FootnoteReference"/>
        </w:rPr>
        <w:footnoteRef/>
      </w:r>
      <w:r>
        <w:t xml:space="preserve"> </w:t>
      </w:r>
      <w:r w:rsidR="00345B87">
        <w:t xml:space="preserve"> </w:t>
      </w:r>
      <w:r w:rsidR="00F816FC" w:rsidRPr="00CB4AE6">
        <w:rPr>
          <w:i/>
          <w:iCs/>
        </w:rPr>
        <w:t>Id</w:t>
      </w:r>
      <w:r w:rsidR="00F816FC">
        <w:t xml:space="preserve"> at </w:t>
      </w:r>
      <w:r>
        <w:t>9.</w:t>
      </w:r>
    </w:p>
  </w:footnote>
  <w:footnote w:id="434">
    <w:p w14:paraId="5DAB96A6" w14:textId="081F0C0A" w:rsidR="00655890" w:rsidRDefault="00655890" w:rsidP="000C1980">
      <w:pPr>
        <w:pStyle w:val="FootnoteText"/>
      </w:pPr>
      <w:r>
        <w:rPr>
          <w:rStyle w:val="FootnoteReference"/>
        </w:rPr>
        <w:footnoteRef/>
      </w:r>
      <w:r>
        <w:t xml:space="preserve">  PG&amp;E Rebuttal Testimony, I-22-23.</w:t>
      </w:r>
    </w:p>
  </w:footnote>
  <w:footnote w:id="435">
    <w:p w14:paraId="058CF649" w14:textId="6D7BFFD9" w:rsidR="002D6148" w:rsidRDefault="002D6148">
      <w:pPr>
        <w:pStyle w:val="FootnoteText"/>
      </w:pPr>
      <w:r>
        <w:rPr>
          <w:rStyle w:val="FootnoteReference"/>
        </w:rPr>
        <w:footnoteRef/>
      </w:r>
      <w:r>
        <w:t xml:space="preserve"> </w:t>
      </w:r>
      <w:r w:rsidR="00345B87">
        <w:t xml:space="preserve"> </w:t>
      </w:r>
      <w:r>
        <w:t>PG&amp;E Opening Brief, 22.</w:t>
      </w:r>
    </w:p>
  </w:footnote>
  <w:footnote w:id="436">
    <w:p w14:paraId="1ABF42F0" w14:textId="14804042" w:rsidR="00655890" w:rsidRDefault="00655890" w:rsidP="000C1980">
      <w:pPr>
        <w:pStyle w:val="FootnoteText"/>
      </w:pPr>
      <w:r>
        <w:rPr>
          <w:rStyle w:val="FootnoteReference"/>
        </w:rPr>
        <w:footnoteRef/>
      </w:r>
      <w:r>
        <w:t xml:space="preserve">  PG&amp;E Rebuttal Testimony, I-23-24.</w:t>
      </w:r>
    </w:p>
  </w:footnote>
  <w:footnote w:id="437">
    <w:p w14:paraId="3677A27E" w14:textId="620E2495" w:rsidR="00655890" w:rsidRDefault="00655890" w:rsidP="000C1980">
      <w:pPr>
        <w:pStyle w:val="FootnoteText"/>
      </w:pPr>
      <w:r>
        <w:rPr>
          <w:rStyle w:val="FootnoteReference"/>
        </w:rPr>
        <w:footnoteRef/>
      </w:r>
      <w:r>
        <w:t xml:space="preserve">  </w:t>
      </w:r>
      <w:r w:rsidR="00F816FC" w:rsidRPr="00CB4AE6">
        <w:rPr>
          <w:i/>
          <w:iCs/>
        </w:rPr>
        <w:t>Id</w:t>
      </w:r>
      <w:r w:rsidR="00F816FC">
        <w:t xml:space="preserve"> at </w:t>
      </w:r>
      <w:r>
        <w:t>I-26.</w:t>
      </w:r>
    </w:p>
  </w:footnote>
  <w:footnote w:id="438">
    <w:p w14:paraId="26A1832F" w14:textId="539E518D" w:rsidR="00655890" w:rsidRDefault="00655890" w:rsidP="000C1980">
      <w:pPr>
        <w:pStyle w:val="FootnoteText"/>
      </w:pPr>
      <w:r>
        <w:rPr>
          <w:rStyle w:val="FootnoteReference"/>
        </w:rPr>
        <w:footnoteRef/>
      </w:r>
      <w:r>
        <w:t xml:space="preserve">  </w:t>
      </w:r>
      <w:r w:rsidR="00F816FC" w:rsidRPr="00CB4AE6">
        <w:rPr>
          <w:i/>
          <w:iCs/>
        </w:rPr>
        <w:t>Id</w:t>
      </w:r>
      <w:r w:rsidR="00F816FC">
        <w:t xml:space="preserve"> at </w:t>
      </w:r>
      <w:r>
        <w:t>I-31.</w:t>
      </w:r>
    </w:p>
  </w:footnote>
  <w:footnote w:id="439">
    <w:p w14:paraId="40178D12" w14:textId="7DCE8034" w:rsidR="00605FBE" w:rsidRDefault="00605FBE">
      <w:pPr>
        <w:pStyle w:val="FootnoteText"/>
      </w:pPr>
      <w:r>
        <w:rPr>
          <w:rStyle w:val="FootnoteReference"/>
        </w:rPr>
        <w:footnoteRef/>
      </w:r>
      <w:r w:rsidR="00345B87">
        <w:t xml:space="preserve"> </w:t>
      </w:r>
      <w:r>
        <w:t xml:space="preserve"> PG&amp;E Reply Brief, 14.</w:t>
      </w:r>
    </w:p>
  </w:footnote>
  <w:footnote w:id="440">
    <w:p w14:paraId="1D325986" w14:textId="329CDD80" w:rsidR="00655890" w:rsidRDefault="00655890" w:rsidP="000C1980">
      <w:pPr>
        <w:pStyle w:val="FootnoteText"/>
      </w:pPr>
      <w:r>
        <w:rPr>
          <w:rStyle w:val="FootnoteReference"/>
        </w:rPr>
        <w:footnoteRef/>
      </w:r>
      <w:r>
        <w:t xml:space="preserve">  SCE Amended Testimony, 16.</w:t>
      </w:r>
    </w:p>
  </w:footnote>
  <w:footnote w:id="441">
    <w:p w14:paraId="2FA12D0B" w14:textId="7BAB7DDD" w:rsidR="00655890" w:rsidRDefault="00655890" w:rsidP="000C1980">
      <w:pPr>
        <w:pStyle w:val="FootnoteText"/>
      </w:pPr>
      <w:r>
        <w:rPr>
          <w:rStyle w:val="FootnoteReference"/>
        </w:rPr>
        <w:footnoteRef/>
      </w:r>
      <w:r>
        <w:t xml:space="preserve">  </w:t>
      </w:r>
      <w:r w:rsidR="00F816FC" w:rsidRPr="00CB4AE6">
        <w:rPr>
          <w:i/>
          <w:iCs/>
        </w:rPr>
        <w:t>Id</w:t>
      </w:r>
      <w:r w:rsidR="00F816FC">
        <w:t xml:space="preserve"> at </w:t>
      </w:r>
      <w:r>
        <w:t>17-18.</w:t>
      </w:r>
    </w:p>
  </w:footnote>
  <w:footnote w:id="442">
    <w:p w14:paraId="166EFCA2" w14:textId="76194FF6" w:rsidR="00FD3209" w:rsidRDefault="00FD3209">
      <w:pPr>
        <w:pStyle w:val="FootnoteText"/>
      </w:pPr>
      <w:r>
        <w:rPr>
          <w:rStyle w:val="FootnoteReference"/>
        </w:rPr>
        <w:footnoteRef/>
      </w:r>
      <w:r>
        <w:t xml:space="preserve"> </w:t>
      </w:r>
      <w:r w:rsidR="00345B87">
        <w:t xml:space="preserve"> </w:t>
      </w:r>
      <w:r>
        <w:t>SCE Reply Brief, 20.</w:t>
      </w:r>
    </w:p>
  </w:footnote>
  <w:footnote w:id="443">
    <w:p w14:paraId="71D5989C" w14:textId="24F6E4E6" w:rsidR="000F69FD" w:rsidRDefault="000F69FD">
      <w:pPr>
        <w:pStyle w:val="FootnoteText"/>
      </w:pPr>
      <w:r>
        <w:rPr>
          <w:rStyle w:val="FootnoteReference"/>
        </w:rPr>
        <w:footnoteRef/>
      </w:r>
      <w:r>
        <w:t xml:space="preserve"> </w:t>
      </w:r>
      <w:r w:rsidR="002965A3">
        <w:t xml:space="preserve"> </w:t>
      </w:r>
      <w:r w:rsidR="00F816FC" w:rsidRPr="00CB4AE6">
        <w:rPr>
          <w:i/>
          <w:iCs/>
        </w:rPr>
        <w:t>Id</w:t>
      </w:r>
      <w:r w:rsidR="00F816FC">
        <w:t xml:space="preserve"> at </w:t>
      </w:r>
      <w:r>
        <w:t>6.</w:t>
      </w:r>
    </w:p>
  </w:footnote>
  <w:footnote w:id="444">
    <w:p w14:paraId="2F8FB8CB" w14:textId="2EB80B05" w:rsidR="000E7643" w:rsidRDefault="000E7643">
      <w:pPr>
        <w:pStyle w:val="FootnoteText"/>
      </w:pPr>
      <w:r>
        <w:rPr>
          <w:rStyle w:val="FootnoteReference"/>
        </w:rPr>
        <w:footnoteRef/>
      </w:r>
      <w:r>
        <w:t xml:space="preserve"> </w:t>
      </w:r>
      <w:r w:rsidR="002965A3">
        <w:t xml:space="preserve"> </w:t>
      </w:r>
      <w:r w:rsidR="00F816FC" w:rsidRPr="00CB4AE6">
        <w:rPr>
          <w:i/>
          <w:iCs/>
        </w:rPr>
        <w:t>Id</w:t>
      </w:r>
      <w:r w:rsidR="00F816FC">
        <w:t xml:space="preserve"> at </w:t>
      </w:r>
      <w:r>
        <w:t>14.</w:t>
      </w:r>
    </w:p>
  </w:footnote>
  <w:footnote w:id="445">
    <w:p w14:paraId="5549BDC9" w14:textId="368EE0A9" w:rsidR="00655890" w:rsidRDefault="00655890" w:rsidP="000C1980">
      <w:pPr>
        <w:pStyle w:val="FootnoteText"/>
      </w:pPr>
      <w:r>
        <w:rPr>
          <w:rStyle w:val="FootnoteReference"/>
        </w:rPr>
        <w:footnoteRef/>
      </w:r>
      <w:r>
        <w:t xml:space="preserve">  SoCalGas Rebuttal T</w:t>
      </w:r>
      <w:r w:rsidRPr="005E7127">
        <w:t>estimony of Erin Brooks</w:t>
      </w:r>
      <w:r>
        <w:t>,</w:t>
      </w:r>
      <w:r w:rsidRPr="005E7127">
        <w:t xml:space="preserve"> </w:t>
      </w:r>
      <w:r>
        <w:t>6-8.</w:t>
      </w:r>
    </w:p>
  </w:footnote>
  <w:footnote w:id="446">
    <w:p w14:paraId="0902AA1B" w14:textId="40F24B0C" w:rsidR="00655890" w:rsidRPr="0084335F" w:rsidRDefault="00655890" w:rsidP="000C1980">
      <w:pPr>
        <w:pStyle w:val="FootnoteText"/>
      </w:pPr>
      <w:r>
        <w:rPr>
          <w:rStyle w:val="FootnoteReference"/>
        </w:rPr>
        <w:footnoteRef/>
      </w:r>
      <w:r>
        <w:t xml:space="preserve">  SoCalGas Rebuttal </w:t>
      </w:r>
      <w:r w:rsidRPr="0084335F">
        <w:t>Testimony of M</w:t>
      </w:r>
      <w:r>
        <w:t xml:space="preserve">ark A. </w:t>
      </w:r>
      <w:r w:rsidRPr="0084335F">
        <w:t>A</w:t>
      </w:r>
      <w:r>
        <w:t>guirre and</w:t>
      </w:r>
      <w:r w:rsidRPr="0084335F">
        <w:t xml:space="preserve"> E</w:t>
      </w:r>
      <w:r>
        <w:t xml:space="preserve">rin </w:t>
      </w:r>
      <w:r w:rsidRPr="0084335F">
        <w:t>P.</w:t>
      </w:r>
      <w:r>
        <w:t xml:space="preserve"> </w:t>
      </w:r>
      <w:r w:rsidRPr="0084335F">
        <w:t>B</w:t>
      </w:r>
      <w:r>
        <w:t xml:space="preserve">rooks, </w:t>
      </w:r>
      <w:r w:rsidRPr="0084335F">
        <w:t>13.</w:t>
      </w:r>
    </w:p>
  </w:footnote>
  <w:footnote w:id="447">
    <w:p w14:paraId="4644785E" w14:textId="508AC093" w:rsidR="00655890" w:rsidRDefault="00655890" w:rsidP="000C1980">
      <w:pPr>
        <w:pStyle w:val="FootnoteText"/>
      </w:pPr>
      <w:r>
        <w:rPr>
          <w:rStyle w:val="FootnoteReference"/>
        </w:rPr>
        <w:footnoteRef/>
      </w:r>
      <w:r>
        <w:t xml:space="preserve">  SDG&amp;E Rebuttal Testimony, </w:t>
      </w:r>
      <w:r w:rsidRPr="00222E9D">
        <w:t>SN-ESA</w:t>
      </w:r>
      <w:r>
        <w:t xml:space="preserve"> 10-13.</w:t>
      </w:r>
    </w:p>
  </w:footnote>
  <w:footnote w:id="448">
    <w:p w14:paraId="4BCA8E95" w14:textId="14717AC6" w:rsidR="00655890" w:rsidRDefault="00655890" w:rsidP="000C1980">
      <w:pPr>
        <w:pStyle w:val="FootnoteText"/>
      </w:pPr>
      <w:r>
        <w:rPr>
          <w:rStyle w:val="FootnoteReference"/>
        </w:rPr>
        <w:footnoteRef/>
      </w:r>
      <w:r>
        <w:t xml:space="preserve">  </w:t>
      </w:r>
      <w:r w:rsidRPr="00BF132F">
        <w:t xml:space="preserve">SoCalGas Rebuttal Testimony of </w:t>
      </w:r>
      <w:r w:rsidRPr="0084335F">
        <w:t>M</w:t>
      </w:r>
      <w:r>
        <w:t xml:space="preserve">ark A. </w:t>
      </w:r>
      <w:r w:rsidRPr="0084335F">
        <w:t>A</w:t>
      </w:r>
      <w:r>
        <w:t>guirre and</w:t>
      </w:r>
      <w:r w:rsidRPr="0084335F">
        <w:t xml:space="preserve"> E</w:t>
      </w:r>
      <w:r>
        <w:t xml:space="preserve">rin </w:t>
      </w:r>
      <w:r w:rsidRPr="0084335F">
        <w:t>P.</w:t>
      </w:r>
      <w:r>
        <w:t xml:space="preserve"> </w:t>
      </w:r>
      <w:r w:rsidRPr="0084335F">
        <w:t>B</w:t>
      </w:r>
      <w:r>
        <w:t xml:space="preserve">rooks, </w:t>
      </w:r>
      <w:r w:rsidRPr="00BF132F">
        <w:t>1</w:t>
      </w:r>
      <w:r>
        <w:t>4-15</w:t>
      </w:r>
      <w:r w:rsidRPr="00BF132F">
        <w:t>.</w:t>
      </w:r>
    </w:p>
  </w:footnote>
  <w:footnote w:id="449">
    <w:p w14:paraId="34CCBB34" w14:textId="610F6B2C" w:rsidR="00655890" w:rsidRDefault="00655890" w:rsidP="000C1980">
      <w:pPr>
        <w:pStyle w:val="FootnoteText"/>
      </w:pPr>
      <w:r>
        <w:rPr>
          <w:rStyle w:val="FootnoteReference"/>
        </w:rPr>
        <w:footnoteRef/>
      </w:r>
      <w:r>
        <w:t xml:space="preserve">  SDG&amp;E Rebuttal Testimony, </w:t>
      </w:r>
      <w:r w:rsidRPr="00222E9D">
        <w:t>SN-ESA</w:t>
      </w:r>
      <w:r>
        <w:t xml:space="preserve"> </w:t>
      </w:r>
      <w:r w:rsidRPr="00222E9D">
        <w:t>3</w:t>
      </w:r>
      <w:r>
        <w:t>-4.</w:t>
      </w:r>
    </w:p>
  </w:footnote>
  <w:footnote w:id="450">
    <w:p w14:paraId="2D3681E6" w14:textId="4427D3AF" w:rsidR="00655890" w:rsidRDefault="00655890" w:rsidP="000C1980">
      <w:pPr>
        <w:pStyle w:val="FootnoteText"/>
      </w:pPr>
      <w:r>
        <w:rPr>
          <w:rStyle w:val="FootnoteReference"/>
        </w:rPr>
        <w:footnoteRef/>
      </w:r>
      <w:r>
        <w:t xml:space="preserve">  </w:t>
      </w:r>
      <w:r w:rsidR="00F75B1B" w:rsidRPr="00D5044E">
        <w:rPr>
          <w:i/>
          <w:iCs/>
        </w:rPr>
        <w:t>Ibid.</w:t>
      </w:r>
    </w:p>
  </w:footnote>
  <w:footnote w:id="451">
    <w:p w14:paraId="1F221D63" w14:textId="7EB14324" w:rsidR="00655890" w:rsidRDefault="00655890" w:rsidP="000C1980">
      <w:pPr>
        <w:pStyle w:val="FootnoteText"/>
      </w:pPr>
      <w:r>
        <w:rPr>
          <w:rStyle w:val="FootnoteReference"/>
        </w:rPr>
        <w:footnoteRef/>
      </w:r>
      <w:r>
        <w:t xml:space="preserve">  SDG&amp;E Rebuttal Testimony, </w:t>
      </w:r>
      <w:r w:rsidRPr="00222E9D">
        <w:t>SN-ESA</w:t>
      </w:r>
      <w:r>
        <w:t xml:space="preserve"> 14-15.</w:t>
      </w:r>
    </w:p>
  </w:footnote>
  <w:footnote w:id="452">
    <w:p w14:paraId="7ACE27B8" w14:textId="46F0C654"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rsidRPr="00222E9D">
        <w:t>SN-ESA</w:t>
      </w:r>
      <w:r>
        <w:t xml:space="preserve"> 11.</w:t>
      </w:r>
    </w:p>
  </w:footnote>
  <w:footnote w:id="453">
    <w:p w14:paraId="51D6A5FE" w14:textId="6A9F55B2" w:rsidR="00655890" w:rsidRDefault="00655890" w:rsidP="000C1980">
      <w:pPr>
        <w:pStyle w:val="FootnoteText"/>
      </w:pPr>
      <w:r>
        <w:rPr>
          <w:rStyle w:val="FootnoteReference"/>
        </w:rPr>
        <w:footnoteRef/>
      </w:r>
      <w:r>
        <w:t xml:space="preserve">  SDG&amp;E Rebuttal Testimony, </w:t>
      </w:r>
      <w:r w:rsidRPr="00222E9D">
        <w:t>SN-ESA</w:t>
      </w:r>
      <w:r>
        <w:t xml:space="preserve"> 15-16.</w:t>
      </w:r>
    </w:p>
  </w:footnote>
  <w:footnote w:id="454">
    <w:p w14:paraId="32AAEDB2" w14:textId="0062E9D3" w:rsidR="00655890" w:rsidRDefault="00655890" w:rsidP="000C1980">
      <w:pPr>
        <w:pStyle w:val="FootnoteText"/>
      </w:pPr>
      <w:r>
        <w:rPr>
          <w:rStyle w:val="FootnoteReference"/>
        </w:rPr>
        <w:footnoteRef/>
      </w:r>
      <w:r>
        <w:t xml:space="preserve">  SDG&amp;E Reply, 3.</w:t>
      </w:r>
    </w:p>
  </w:footnote>
  <w:footnote w:id="455">
    <w:p w14:paraId="2A300828" w14:textId="77777777" w:rsidR="00655890" w:rsidRDefault="00655890" w:rsidP="00445923">
      <w:pPr>
        <w:pStyle w:val="FootnoteText"/>
      </w:pPr>
      <w:r>
        <w:rPr>
          <w:rStyle w:val="FootnoteReference"/>
        </w:rPr>
        <w:footnoteRef/>
      </w:r>
      <w:r>
        <w:t xml:space="preserve"> See D.20-03-027 approving two decarbonization pilot programs “designed to develop valuable market experience for the purpose of decarbonizing California’s residential buildings in order to achieve California’s zero-emission goals.”</w:t>
      </w:r>
    </w:p>
  </w:footnote>
  <w:footnote w:id="456">
    <w:p w14:paraId="626D9922" w14:textId="77777777" w:rsidR="00655890" w:rsidRDefault="00655890" w:rsidP="000C1980">
      <w:pPr>
        <w:pStyle w:val="FootnoteText"/>
      </w:pPr>
      <w:r>
        <w:rPr>
          <w:rStyle w:val="FootnoteReference"/>
        </w:rPr>
        <w:footnoteRef/>
      </w:r>
      <w:r>
        <w:t xml:space="preserve">  The IOUs average proposed costs of $1,700 per HH was determined by dividing the IOUs’ total proposed budget of $2.6 billion by the IOUs’ total proposed number of treatments of 1.5 million. </w:t>
      </w:r>
    </w:p>
  </w:footnote>
  <w:footnote w:id="457">
    <w:p w14:paraId="21989488" w14:textId="6DB0F387" w:rsidR="00655890" w:rsidRDefault="00655890" w:rsidP="000C1980">
      <w:pPr>
        <w:pStyle w:val="FootnoteText"/>
      </w:pPr>
      <w:r>
        <w:rPr>
          <w:rStyle w:val="FootnoteReference"/>
        </w:rPr>
        <w:footnoteRef/>
      </w:r>
      <w:r>
        <w:t xml:space="preserve">  </w:t>
      </w:r>
      <w:r w:rsidRPr="00EE7E9E">
        <w:rPr>
          <w:i/>
          <w:iCs/>
        </w:rPr>
        <w:t>See</w:t>
      </w:r>
      <w:r>
        <w:t xml:space="preserve"> Statewide ESA Program 2017-2020 Cycle P&amp;P Manual, Table 5-1.</w:t>
      </w:r>
    </w:p>
  </w:footnote>
  <w:footnote w:id="458">
    <w:p w14:paraId="7586DD73" w14:textId="648360EF" w:rsidR="00655890" w:rsidRDefault="00655890" w:rsidP="000C1980">
      <w:pPr>
        <w:pStyle w:val="FootnoteText"/>
      </w:pPr>
      <w:r>
        <w:rPr>
          <w:rStyle w:val="FootnoteReference"/>
        </w:rPr>
        <w:footnoteRef/>
      </w:r>
      <w:r>
        <w:t xml:space="preserve">  Decision 19-06-022 Attachment A, 13-14. </w:t>
      </w:r>
    </w:p>
  </w:footnote>
  <w:footnote w:id="459">
    <w:p w14:paraId="51EA7FE2" w14:textId="77777777" w:rsidR="00655890" w:rsidRDefault="00655890" w:rsidP="000C1980">
      <w:pPr>
        <w:pStyle w:val="FootnoteText"/>
      </w:pPr>
      <w:r>
        <w:rPr>
          <w:rStyle w:val="FootnoteReference"/>
        </w:rPr>
        <w:footnoteRef/>
      </w:r>
      <w:r>
        <w:t xml:space="preserve">  PG&amp;E Testimony, I-87.</w:t>
      </w:r>
    </w:p>
  </w:footnote>
  <w:footnote w:id="460">
    <w:p w14:paraId="2C38EBBA" w14:textId="77777777" w:rsidR="00655890" w:rsidRDefault="00655890" w:rsidP="000C1980">
      <w:pPr>
        <w:pStyle w:val="FootnoteText"/>
      </w:pPr>
      <w:r>
        <w:rPr>
          <w:rStyle w:val="FootnoteReference"/>
        </w:rPr>
        <w:footnoteRef/>
      </w:r>
      <w:r>
        <w:t xml:space="preserve">  </w:t>
      </w:r>
      <w:r w:rsidRPr="008B77C9">
        <w:t>CARE customers whose electricity usage exceeds</w:t>
      </w:r>
      <w:r>
        <w:t xml:space="preserve"> </w:t>
      </w:r>
      <w:r w:rsidRPr="008B77C9">
        <w:t xml:space="preserve">400 percent of baseline and have received a </w:t>
      </w:r>
      <w:r>
        <w:t>High</w:t>
      </w:r>
      <w:r w:rsidRPr="008B77C9">
        <w:t xml:space="preserve"> Usage Surcharge on their bill, or a CARE customer who has gas usage</w:t>
      </w:r>
      <w:r>
        <w:t xml:space="preserve"> </w:t>
      </w:r>
      <w:r w:rsidRPr="008B77C9">
        <w:t>exceeding 300</w:t>
      </w:r>
      <w:r>
        <w:t> </w:t>
      </w:r>
      <w:r w:rsidRPr="008B77C9">
        <w:t>percent in any one month</w:t>
      </w:r>
      <w:r>
        <w:t>.</w:t>
      </w:r>
    </w:p>
  </w:footnote>
  <w:footnote w:id="461">
    <w:p w14:paraId="1EB80442" w14:textId="77777777" w:rsidR="00655890" w:rsidRDefault="00655890" w:rsidP="000C1980">
      <w:pPr>
        <w:pStyle w:val="FootnoteText"/>
      </w:pPr>
      <w:r>
        <w:rPr>
          <w:rStyle w:val="FootnoteReference"/>
        </w:rPr>
        <w:footnoteRef/>
      </w:r>
      <w:r>
        <w:t xml:space="preserve">  </w:t>
      </w:r>
      <w:r w:rsidRPr="002252F3">
        <w:t>Customers with a medical condition that</w:t>
      </w:r>
      <w:r>
        <w:t xml:space="preserve"> </w:t>
      </w:r>
      <w:r w:rsidRPr="002252F3">
        <w:t>requires device(s) using extra energy. These devices are</w:t>
      </w:r>
      <w:r>
        <w:t xml:space="preserve"> </w:t>
      </w:r>
      <w:r w:rsidRPr="002252F3">
        <w:t>validated by a doctor and typically increase energy usage</w:t>
      </w:r>
      <w:r>
        <w:t>.</w:t>
      </w:r>
    </w:p>
  </w:footnote>
  <w:footnote w:id="462">
    <w:p w14:paraId="1488089C" w14:textId="77777777" w:rsidR="00655890" w:rsidRDefault="00655890" w:rsidP="000C1980">
      <w:pPr>
        <w:pStyle w:val="FootnoteText"/>
      </w:pPr>
      <w:r>
        <w:rPr>
          <w:rStyle w:val="FootnoteReference"/>
        </w:rPr>
        <w:footnoteRef/>
      </w:r>
      <w:r>
        <w:t xml:space="preserve">  </w:t>
      </w:r>
      <w:r w:rsidRPr="00727527">
        <w:t>Customers who continue to have difficulty paying their energy utility bill</w:t>
      </w:r>
      <w:r>
        <w:t xml:space="preserve"> </w:t>
      </w:r>
      <w:r w:rsidRPr="00727527">
        <w:t>and have had their service turned off for non-payment within the</w:t>
      </w:r>
      <w:r>
        <w:t xml:space="preserve"> </w:t>
      </w:r>
      <w:r w:rsidRPr="00727527">
        <w:t>past 12 months</w:t>
      </w:r>
      <w:r>
        <w:t>.</w:t>
      </w:r>
    </w:p>
  </w:footnote>
  <w:footnote w:id="463">
    <w:p w14:paraId="41BEF7BA" w14:textId="774BB75C" w:rsidR="00655890" w:rsidRDefault="00655890" w:rsidP="000C1980">
      <w:pPr>
        <w:pStyle w:val="FootnoteText"/>
      </w:pPr>
      <w:r>
        <w:rPr>
          <w:rStyle w:val="FootnoteReference"/>
        </w:rPr>
        <w:footnoteRef/>
      </w:r>
      <w:r>
        <w:t xml:space="preserve">  </w:t>
      </w:r>
      <w:r w:rsidRPr="00FB6144">
        <w:t>Customers residing in areas defined</w:t>
      </w:r>
      <w:r>
        <w:t xml:space="preserve"> </w:t>
      </w:r>
      <w:r w:rsidRPr="00FB6144">
        <w:t>as extreme danger zones</w:t>
      </w:r>
      <w:r>
        <w:t xml:space="preserve"> (</w:t>
      </w:r>
      <w:r w:rsidRPr="00FB6144">
        <w:t xml:space="preserve">CPUC Fire Threat maps at: </w:t>
      </w:r>
      <w:hyperlink r:id="rId9" w:history="1">
        <w:r w:rsidR="002965A3" w:rsidRPr="00C3557A">
          <w:rPr>
            <w:rStyle w:val="Hyperlink"/>
          </w:rPr>
          <w:t>https://www.cpuc.ca.gov/FireThreatMaps/</w:t>
        </w:r>
      </w:hyperlink>
      <w:r>
        <w:t xml:space="preserve">) </w:t>
      </w:r>
      <w:r w:rsidRPr="00FB6144">
        <w:t>and are most likely to be turned off</w:t>
      </w:r>
      <w:r>
        <w:t xml:space="preserve"> </w:t>
      </w:r>
      <w:r w:rsidRPr="00FB6144">
        <w:t>in the event of high fire danger</w:t>
      </w:r>
      <w:r>
        <w:t>.</w:t>
      </w:r>
    </w:p>
  </w:footnote>
  <w:footnote w:id="464">
    <w:p w14:paraId="5632771B" w14:textId="77777777" w:rsidR="00655890" w:rsidRDefault="00655890" w:rsidP="000C1980">
      <w:pPr>
        <w:pStyle w:val="FootnoteText"/>
      </w:pPr>
      <w:r>
        <w:rPr>
          <w:rStyle w:val="FootnoteReference"/>
        </w:rPr>
        <w:footnoteRef/>
      </w:r>
      <w:r>
        <w:t xml:space="preserve">  PG&amp;E Testimony, I-87.</w:t>
      </w:r>
    </w:p>
  </w:footnote>
  <w:footnote w:id="465">
    <w:p w14:paraId="69102D29" w14:textId="7A8D7323" w:rsidR="00655890" w:rsidRDefault="00655890" w:rsidP="000C1980">
      <w:pPr>
        <w:pStyle w:val="FootnoteText"/>
      </w:pPr>
      <w:r>
        <w:rPr>
          <w:rStyle w:val="FootnoteReference"/>
        </w:rPr>
        <w:footnoteRef/>
      </w:r>
      <w:r>
        <w:t xml:space="preserve">  SCE Prepared Testimony, I 10.</w:t>
      </w:r>
    </w:p>
  </w:footnote>
  <w:footnote w:id="466">
    <w:p w14:paraId="2CA15C61" w14:textId="74477FE8"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II 31-33.</w:t>
      </w:r>
    </w:p>
  </w:footnote>
  <w:footnote w:id="467">
    <w:p w14:paraId="4561D0F3" w14:textId="73C674F8" w:rsidR="00655890" w:rsidRDefault="00655890" w:rsidP="000C1980">
      <w:pPr>
        <w:pStyle w:val="FootnoteText"/>
      </w:pPr>
      <w:r>
        <w:rPr>
          <w:rStyle w:val="FootnoteReference"/>
        </w:rPr>
        <w:footnoteRef/>
      </w:r>
      <w:r>
        <w:t xml:space="preserve">  </w:t>
      </w:r>
      <w:r w:rsidR="0058313C" w:rsidRPr="00CB4AE6">
        <w:rPr>
          <w:i/>
          <w:iCs/>
        </w:rPr>
        <w:t>Id</w:t>
      </w:r>
      <w:r w:rsidR="0058313C">
        <w:t xml:space="preserve"> at</w:t>
      </w:r>
      <w:r>
        <w:t xml:space="preserve"> II, 35.</w:t>
      </w:r>
    </w:p>
  </w:footnote>
  <w:footnote w:id="468">
    <w:p w14:paraId="5499E0B4" w14:textId="1370A343" w:rsidR="00655890" w:rsidRDefault="00655890" w:rsidP="000C1980">
      <w:pPr>
        <w:pStyle w:val="FootnoteText"/>
      </w:pPr>
      <w:r>
        <w:rPr>
          <w:rStyle w:val="FootnoteReference"/>
        </w:rPr>
        <w:footnoteRef/>
      </w:r>
      <w:r>
        <w:t xml:space="preserve">  SoCalGas Testimony of Mark Aguirre and Erin Brooks, 73.</w:t>
      </w:r>
    </w:p>
  </w:footnote>
  <w:footnote w:id="469">
    <w:p w14:paraId="2E4E3ED8" w14:textId="77B3502C" w:rsidR="00655890" w:rsidRDefault="00655890" w:rsidP="000C1980">
      <w:pPr>
        <w:pStyle w:val="FootnoteText"/>
      </w:pPr>
      <w:r>
        <w:rPr>
          <w:rStyle w:val="FootnoteReference"/>
        </w:rPr>
        <w:footnoteRef/>
      </w:r>
      <w:r>
        <w:t xml:space="preserve">  SDG&amp;E Testimony, </w:t>
      </w:r>
      <w:r w:rsidRPr="00AE204E">
        <w:t>SN-ESA</w:t>
      </w:r>
      <w:r>
        <w:t xml:space="preserve"> </w:t>
      </w:r>
      <w:r w:rsidRPr="00AE204E">
        <w:t>66</w:t>
      </w:r>
      <w:r>
        <w:t>.</w:t>
      </w:r>
    </w:p>
  </w:footnote>
  <w:footnote w:id="470">
    <w:p w14:paraId="0ACDBC10" w14:textId="35179455" w:rsidR="00655890" w:rsidRDefault="00655890" w:rsidP="000C1980">
      <w:pPr>
        <w:pStyle w:val="FootnoteText"/>
      </w:pPr>
      <w:r>
        <w:rPr>
          <w:rStyle w:val="FootnoteReference"/>
        </w:rPr>
        <w:footnoteRef/>
      </w:r>
      <w:r>
        <w:t xml:space="preserve">  SDG&amp;E Application, 5-6.</w:t>
      </w:r>
    </w:p>
  </w:footnote>
  <w:footnote w:id="471">
    <w:p w14:paraId="11B47241" w14:textId="2D26D296" w:rsidR="00655890" w:rsidRDefault="00655890" w:rsidP="000C1980">
      <w:pPr>
        <w:pStyle w:val="FootnoteText"/>
      </w:pPr>
      <w:r>
        <w:rPr>
          <w:rStyle w:val="FootnoteReference"/>
        </w:rPr>
        <w:footnoteRef/>
      </w:r>
      <w:r>
        <w:t xml:space="preserve">  </w:t>
      </w:r>
      <w:r w:rsidRPr="00F3376E">
        <w:t>C</w:t>
      </w:r>
      <w:r>
        <w:t>forA</w:t>
      </w:r>
      <w:r w:rsidRPr="00F3376E">
        <w:t xml:space="preserve">T Comments on June 25, </w:t>
      </w:r>
      <w:proofErr w:type="gramStart"/>
      <w:r w:rsidRPr="00F3376E">
        <w:t>2020</w:t>
      </w:r>
      <w:proofErr w:type="gramEnd"/>
      <w:r w:rsidRPr="00F3376E">
        <w:t xml:space="preserve"> ALJ ruling, 1-3</w:t>
      </w:r>
      <w:r>
        <w:t>.</w:t>
      </w:r>
    </w:p>
  </w:footnote>
  <w:footnote w:id="472">
    <w:p w14:paraId="528FE32E" w14:textId="45699D82" w:rsidR="00655890" w:rsidRDefault="00655890" w:rsidP="000C1980">
      <w:pPr>
        <w:pStyle w:val="FootnoteText"/>
      </w:pPr>
      <w:r>
        <w:rPr>
          <w:rStyle w:val="FootnoteReference"/>
        </w:rPr>
        <w:footnoteRef/>
      </w:r>
      <w:r>
        <w:t xml:space="preserve">  </w:t>
      </w:r>
      <w:r w:rsidRPr="00DE2D4B">
        <w:t xml:space="preserve">NRDC, Comments on June 25, </w:t>
      </w:r>
      <w:proofErr w:type="gramStart"/>
      <w:r w:rsidRPr="00DE2D4B">
        <w:t>2020</w:t>
      </w:r>
      <w:proofErr w:type="gramEnd"/>
      <w:r w:rsidRPr="00DE2D4B">
        <w:t xml:space="preserve"> ALJ ruling, 4</w:t>
      </w:r>
      <w:r>
        <w:t>,</w:t>
      </w:r>
    </w:p>
  </w:footnote>
  <w:footnote w:id="473">
    <w:p w14:paraId="750B450F" w14:textId="5D0B11D0" w:rsidR="00655890" w:rsidRDefault="00655890" w:rsidP="000C1980">
      <w:pPr>
        <w:pStyle w:val="FootnoteText"/>
      </w:pPr>
      <w:r>
        <w:rPr>
          <w:rStyle w:val="FootnoteReference"/>
        </w:rPr>
        <w:footnoteRef/>
      </w:r>
      <w:r>
        <w:t xml:space="preserve">  </w:t>
      </w:r>
      <w:r w:rsidRPr="00092AA5">
        <w:t xml:space="preserve">TURN, Comments on June 25, </w:t>
      </w:r>
      <w:proofErr w:type="gramStart"/>
      <w:r w:rsidRPr="00092AA5">
        <w:t>2020</w:t>
      </w:r>
      <w:proofErr w:type="gramEnd"/>
      <w:r w:rsidRPr="00092AA5">
        <w:t xml:space="preserve"> ALJ ruling, 1-4</w:t>
      </w:r>
      <w:r>
        <w:t>.</w:t>
      </w:r>
    </w:p>
  </w:footnote>
  <w:footnote w:id="474">
    <w:p w14:paraId="4C653920" w14:textId="7EA5ED53" w:rsidR="00655890" w:rsidRDefault="00655890" w:rsidP="000C1980">
      <w:pPr>
        <w:pStyle w:val="FootnoteText"/>
      </w:pPr>
      <w:r>
        <w:rPr>
          <w:rStyle w:val="FootnoteReference"/>
        </w:rPr>
        <w:footnoteRef/>
      </w:r>
      <w:r>
        <w:t xml:space="preserve">  CEDM</w:t>
      </w:r>
      <w:r w:rsidRPr="00AC1C72">
        <w:t xml:space="preserve"> </w:t>
      </w:r>
      <w:r w:rsidRPr="00092AA5">
        <w:t xml:space="preserve">Comments on June 25, </w:t>
      </w:r>
      <w:proofErr w:type="gramStart"/>
      <w:r w:rsidRPr="00092AA5">
        <w:t>2020</w:t>
      </w:r>
      <w:proofErr w:type="gramEnd"/>
      <w:r w:rsidRPr="00092AA5">
        <w:t xml:space="preserve"> ALJ ruling</w:t>
      </w:r>
      <w:r>
        <w:t>, 6.</w:t>
      </w:r>
    </w:p>
  </w:footnote>
  <w:footnote w:id="475">
    <w:p w14:paraId="624D5105" w14:textId="494348FF" w:rsidR="00655890" w:rsidRDefault="00655890" w:rsidP="000C1980">
      <w:pPr>
        <w:pStyle w:val="FootnoteText"/>
      </w:pPr>
      <w:r>
        <w:rPr>
          <w:rStyle w:val="FootnoteReference"/>
        </w:rPr>
        <w:footnoteRef/>
      </w:r>
      <w:r>
        <w:t xml:space="preserve">  EEC</w:t>
      </w:r>
      <w:r w:rsidRPr="00AC1C72">
        <w:t xml:space="preserve"> </w:t>
      </w:r>
      <w:r w:rsidRPr="00092AA5">
        <w:t xml:space="preserve">Comments on June 25, </w:t>
      </w:r>
      <w:proofErr w:type="gramStart"/>
      <w:r w:rsidRPr="00092AA5">
        <w:t>2020</w:t>
      </w:r>
      <w:proofErr w:type="gramEnd"/>
      <w:r w:rsidRPr="00092AA5">
        <w:t xml:space="preserve"> ALJ ruling</w:t>
      </w:r>
      <w:r>
        <w:t>, 5.</w:t>
      </w:r>
    </w:p>
  </w:footnote>
  <w:footnote w:id="476">
    <w:p w14:paraId="4B2A2932" w14:textId="7DE57638" w:rsidR="00655890" w:rsidRDefault="00655890" w:rsidP="000C1980">
      <w:pPr>
        <w:pStyle w:val="FootnoteText"/>
      </w:pPr>
      <w:r>
        <w:rPr>
          <w:rStyle w:val="FootnoteReference"/>
        </w:rPr>
        <w:footnoteRef/>
      </w:r>
      <w:r>
        <w:t xml:space="preserve">  MCE </w:t>
      </w:r>
      <w:r w:rsidRPr="00092AA5">
        <w:t xml:space="preserve">Comments on June 25, </w:t>
      </w:r>
      <w:proofErr w:type="gramStart"/>
      <w:r w:rsidRPr="00092AA5">
        <w:t>2020</w:t>
      </w:r>
      <w:proofErr w:type="gramEnd"/>
      <w:r w:rsidRPr="00092AA5">
        <w:t xml:space="preserve"> ALJ ruling</w:t>
      </w:r>
      <w:r>
        <w:t>, 2-3.</w:t>
      </w:r>
    </w:p>
  </w:footnote>
  <w:footnote w:id="477">
    <w:p w14:paraId="2B7B5116" w14:textId="798FAFF7" w:rsidR="00655890" w:rsidRDefault="00655890" w:rsidP="000C1980">
      <w:pPr>
        <w:pStyle w:val="FootnoteText"/>
      </w:pPr>
      <w:r>
        <w:rPr>
          <w:rStyle w:val="FootnoteReference"/>
        </w:rPr>
        <w:footnoteRef/>
      </w:r>
      <w:r>
        <w:t xml:space="preserve">  PCF </w:t>
      </w:r>
      <w:r w:rsidRPr="00092AA5">
        <w:t xml:space="preserve">Comments on June 25, </w:t>
      </w:r>
      <w:proofErr w:type="gramStart"/>
      <w:r w:rsidRPr="00092AA5">
        <w:t>2020</w:t>
      </w:r>
      <w:proofErr w:type="gramEnd"/>
      <w:r w:rsidRPr="00092AA5">
        <w:t xml:space="preserve"> ALJ ruling</w:t>
      </w:r>
      <w:r>
        <w:t>, 2.</w:t>
      </w:r>
    </w:p>
  </w:footnote>
  <w:footnote w:id="478">
    <w:p w14:paraId="34E27E60" w14:textId="77777777" w:rsidR="00655890" w:rsidRDefault="00655890" w:rsidP="000C1980">
      <w:pPr>
        <w:pStyle w:val="FootnoteText"/>
      </w:pPr>
      <w:r>
        <w:rPr>
          <w:rStyle w:val="FootnoteReference"/>
        </w:rPr>
        <w:footnoteRef/>
      </w:r>
      <w:r>
        <w:t xml:space="preserve">  Decision 16-11-022, Ordering Paragraph 5.</w:t>
      </w:r>
    </w:p>
  </w:footnote>
  <w:footnote w:id="479">
    <w:p w14:paraId="70170A5B" w14:textId="5EB9C460" w:rsidR="00655890" w:rsidRDefault="00655890" w:rsidP="000C1980">
      <w:pPr>
        <w:pStyle w:val="FootnoteText"/>
      </w:pPr>
      <w:r>
        <w:rPr>
          <w:rStyle w:val="FootnoteReference"/>
        </w:rPr>
        <w:footnoteRef/>
      </w:r>
      <w:r>
        <w:t xml:space="preserve">  D.</w:t>
      </w:r>
      <w:r w:rsidRPr="00CF59A1">
        <w:t>19-06-022</w:t>
      </w:r>
      <w:r w:rsidR="00A906CF">
        <w:t>,</w:t>
      </w:r>
      <w:r w:rsidRPr="00CF59A1">
        <w:t xml:space="preserve"> </w:t>
      </w:r>
      <w:r>
        <w:t xml:space="preserve">Ordering Paragraphs 5. </w:t>
      </w:r>
    </w:p>
  </w:footnote>
  <w:footnote w:id="480">
    <w:p w14:paraId="3EF52AF6" w14:textId="3820D741"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Attachment A, 7.</w:t>
      </w:r>
    </w:p>
  </w:footnote>
  <w:footnote w:id="481">
    <w:p w14:paraId="5E7DFA67" w14:textId="77777777" w:rsidR="00655890" w:rsidRDefault="00655890" w:rsidP="000C1980">
      <w:pPr>
        <w:pStyle w:val="FootnoteText"/>
      </w:pPr>
      <w:r>
        <w:rPr>
          <w:rStyle w:val="FootnoteReference"/>
        </w:rPr>
        <w:footnoteRef/>
      </w:r>
      <w:r>
        <w:t xml:space="preserve">  PG&amp;E Testimony, IV-11.</w:t>
      </w:r>
    </w:p>
  </w:footnote>
  <w:footnote w:id="482">
    <w:p w14:paraId="21FC35DC" w14:textId="5EEEA7BD"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I-52.</w:t>
      </w:r>
    </w:p>
  </w:footnote>
  <w:footnote w:id="483">
    <w:p w14:paraId="63AAF6BC" w14:textId="77777777" w:rsidR="00655890" w:rsidRDefault="00655890" w:rsidP="000C1980">
      <w:pPr>
        <w:pStyle w:val="FootnoteText"/>
      </w:pPr>
      <w:r>
        <w:rPr>
          <w:rStyle w:val="FootnoteReference"/>
        </w:rPr>
        <w:footnoteRef/>
      </w:r>
      <w:r>
        <w:t xml:space="preserve">  PG&amp;E Amended Testimony, I-47.</w:t>
      </w:r>
    </w:p>
  </w:footnote>
  <w:footnote w:id="484">
    <w:p w14:paraId="30C884E1" w14:textId="371B0D0F" w:rsidR="00655890" w:rsidRDefault="00655890" w:rsidP="000C1980">
      <w:pPr>
        <w:pStyle w:val="FootnoteText"/>
      </w:pPr>
      <w:r>
        <w:rPr>
          <w:rStyle w:val="FootnoteReference"/>
        </w:rPr>
        <w:footnoteRef/>
      </w:r>
      <w:r>
        <w:t xml:space="preserve">  SCE</w:t>
      </w:r>
      <w:r w:rsidRPr="00426E8D">
        <w:t xml:space="preserve"> </w:t>
      </w:r>
      <w:r>
        <w:t>Amended Testimony, I- 9.</w:t>
      </w:r>
    </w:p>
  </w:footnote>
  <w:footnote w:id="485">
    <w:p w14:paraId="179E8BE0" w14:textId="18AD874E"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V-11.</w:t>
      </w:r>
    </w:p>
  </w:footnote>
  <w:footnote w:id="486">
    <w:p w14:paraId="3868C593" w14:textId="7B0E131A" w:rsidR="00655890" w:rsidRDefault="00655890" w:rsidP="000C1980">
      <w:pPr>
        <w:pStyle w:val="FootnoteText"/>
      </w:pPr>
      <w:r>
        <w:rPr>
          <w:rStyle w:val="FootnoteReference"/>
        </w:rPr>
        <w:footnoteRef/>
      </w:r>
      <w:r>
        <w:t xml:space="preserve">  SoCalGas Testimony Mark Aguirre and Erin Brooks, 42.</w:t>
      </w:r>
    </w:p>
  </w:footnote>
  <w:footnote w:id="487">
    <w:p w14:paraId="267070E5" w14:textId="542C8BE2"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38.</w:t>
      </w:r>
    </w:p>
  </w:footnote>
  <w:footnote w:id="488">
    <w:p w14:paraId="42A7C886" w14:textId="77777777" w:rsidR="00655890" w:rsidRDefault="00655890" w:rsidP="000C1980">
      <w:pPr>
        <w:pStyle w:val="FootnoteText"/>
      </w:pPr>
      <w:r>
        <w:rPr>
          <w:rStyle w:val="FootnoteReference"/>
        </w:rPr>
        <w:footnoteRef/>
      </w:r>
      <w:r>
        <w:t xml:space="preserve">  SDG&amp;E Application, Appendix A Table A-4, A-4a, and A-5.</w:t>
      </w:r>
    </w:p>
  </w:footnote>
  <w:footnote w:id="489">
    <w:p w14:paraId="39C49386" w14:textId="1A25E638" w:rsidR="00655890" w:rsidRDefault="00655890" w:rsidP="000C1980">
      <w:pPr>
        <w:pStyle w:val="FootnoteText"/>
      </w:pPr>
      <w:r>
        <w:rPr>
          <w:rStyle w:val="FootnoteReference"/>
        </w:rPr>
        <w:footnoteRef/>
      </w:r>
      <w:r>
        <w:t xml:space="preserve">  SDG&amp;E Testimony SN-ESA 31-32.</w:t>
      </w:r>
    </w:p>
  </w:footnote>
  <w:footnote w:id="490">
    <w:p w14:paraId="7E2AF093" w14:textId="0BEABC3B" w:rsidR="008F7E81" w:rsidRDefault="008F7E81">
      <w:pPr>
        <w:pStyle w:val="FootnoteText"/>
      </w:pPr>
      <w:r>
        <w:rPr>
          <w:rStyle w:val="FootnoteReference"/>
        </w:rPr>
        <w:footnoteRef/>
      </w:r>
      <w:r>
        <w:t xml:space="preserve"> TURN Opening Brief, 17.</w:t>
      </w:r>
    </w:p>
  </w:footnote>
  <w:footnote w:id="491">
    <w:p w14:paraId="03A5713D" w14:textId="2C8E0156" w:rsidR="00CC6A22" w:rsidRDefault="00CC6A22">
      <w:pPr>
        <w:pStyle w:val="FootnoteText"/>
      </w:pPr>
      <w:r>
        <w:rPr>
          <w:rStyle w:val="FootnoteReference"/>
        </w:rPr>
        <w:footnoteRef/>
      </w:r>
      <w:r>
        <w:t xml:space="preserve"> </w:t>
      </w:r>
      <w:r w:rsidR="0058313C" w:rsidRPr="00CB4AE6">
        <w:rPr>
          <w:i/>
          <w:iCs/>
        </w:rPr>
        <w:t>Id</w:t>
      </w:r>
      <w:r w:rsidR="0058313C">
        <w:t xml:space="preserve"> at </w:t>
      </w:r>
      <w:r w:rsidRPr="00CC6A22">
        <w:t>20.</w:t>
      </w:r>
    </w:p>
  </w:footnote>
  <w:footnote w:id="492">
    <w:p w14:paraId="455C4329" w14:textId="12B6AE0D" w:rsidR="00655890" w:rsidRDefault="00655890" w:rsidP="000C1980">
      <w:pPr>
        <w:pStyle w:val="FootnoteText"/>
      </w:pPr>
      <w:r>
        <w:rPr>
          <w:rStyle w:val="FootnoteReference"/>
        </w:rPr>
        <w:footnoteRef/>
      </w:r>
      <w:r>
        <w:t xml:space="preserve">  TURN Amended Testimony of Alice Napoleon, 2-22.</w:t>
      </w:r>
    </w:p>
  </w:footnote>
  <w:footnote w:id="493">
    <w:p w14:paraId="5A0B7F7F" w14:textId="387E4075" w:rsidR="00F03DD7" w:rsidRDefault="00F03DD7">
      <w:pPr>
        <w:pStyle w:val="FootnoteText"/>
      </w:pPr>
      <w:r>
        <w:rPr>
          <w:rStyle w:val="FootnoteReference"/>
        </w:rPr>
        <w:footnoteRef/>
      </w:r>
      <w:r>
        <w:t xml:space="preserve"> </w:t>
      </w:r>
      <w:r w:rsidR="0049788E">
        <w:t xml:space="preserve"> </w:t>
      </w:r>
      <w:r>
        <w:t>TURN Opening Brief, 22.</w:t>
      </w:r>
    </w:p>
  </w:footnote>
  <w:footnote w:id="494">
    <w:p w14:paraId="7F8960AB" w14:textId="4BFF410E" w:rsidR="00655890" w:rsidRDefault="00655890" w:rsidP="000C1980">
      <w:pPr>
        <w:pStyle w:val="FootnoteText"/>
      </w:pPr>
      <w:r>
        <w:rPr>
          <w:rStyle w:val="FootnoteReference"/>
        </w:rPr>
        <w:footnoteRef/>
      </w:r>
      <w:r>
        <w:t xml:space="preserve">  </w:t>
      </w:r>
      <w:r w:rsidR="00710231" w:rsidRPr="00D5044E">
        <w:rPr>
          <w:i/>
          <w:iCs/>
        </w:rPr>
        <w:t>Ibid.</w:t>
      </w:r>
    </w:p>
  </w:footnote>
  <w:footnote w:id="495">
    <w:p w14:paraId="544E8C16" w14:textId="483CB344" w:rsidR="00655890" w:rsidRDefault="00655890" w:rsidP="000C1980">
      <w:pPr>
        <w:pStyle w:val="FootnoteText"/>
      </w:pPr>
      <w:r>
        <w:rPr>
          <w:rStyle w:val="FootnoteReference"/>
        </w:rPr>
        <w:footnoteRef/>
      </w:r>
      <w:r>
        <w:t xml:space="preserve">  </w:t>
      </w:r>
      <w:r w:rsidRPr="00AD266D">
        <w:t xml:space="preserve">TURN </w:t>
      </w:r>
      <w:r w:rsidR="005D5804">
        <w:t>Opening Brief</w:t>
      </w:r>
      <w:r>
        <w:t xml:space="preserve">, </w:t>
      </w:r>
      <w:r w:rsidRPr="00AD266D">
        <w:t>20</w:t>
      </w:r>
      <w:r>
        <w:t xml:space="preserve">. </w:t>
      </w:r>
    </w:p>
  </w:footnote>
  <w:footnote w:id="496">
    <w:p w14:paraId="64610D85" w14:textId="77777777" w:rsidR="00655890" w:rsidRDefault="00655890" w:rsidP="000C1980">
      <w:pPr>
        <w:pStyle w:val="FootnoteText"/>
      </w:pPr>
      <w:r>
        <w:rPr>
          <w:rStyle w:val="FootnoteReference"/>
        </w:rPr>
        <w:footnoteRef/>
      </w:r>
      <w:r>
        <w:t xml:space="preserve">  NRDC, NCLC, and CHP Joint Protest of IOUs’ ESA Applications, 9. </w:t>
      </w:r>
    </w:p>
  </w:footnote>
  <w:footnote w:id="497">
    <w:p w14:paraId="7A5085DF" w14:textId="5BB6167C"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10.</w:t>
      </w:r>
    </w:p>
  </w:footnote>
  <w:footnote w:id="498">
    <w:p w14:paraId="7E2CC50D" w14:textId="73898AA1"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12.</w:t>
      </w:r>
    </w:p>
  </w:footnote>
  <w:footnote w:id="499">
    <w:p w14:paraId="16908C78" w14:textId="7E983ECA" w:rsidR="00655890" w:rsidRDefault="00655890" w:rsidP="000C1980">
      <w:pPr>
        <w:pStyle w:val="FootnoteText"/>
      </w:pPr>
      <w:r>
        <w:rPr>
          <w:rStyle w:val="FootnoteReference"/>
        </w:rPr>
        <w:footnoteRef/>
      </w:r>
      <w:r>
        <w:t xml:space="preserve">  </w:t>
      </w:r>
      <w:r w:rsidR="00C82AE2" w:rsidRPr="00620A2B">
        <w:rPr>
          <w:i/>
          <w:iCs/>
          <w:szCs w:val="22"/>
        </w:rPr>
        <w:t>Ibid</w:t>
      </w:r>
      <w:r w:rsidR="00C82AE2" w:rsidRPr="00620A2B">
        <w:rPr>
          <w:szCs w:val="22"/>
        </w:rPr>
        <w:t>.</w:t>
      </w:r>
    </w:p>
  </w:footnote>
  <w:footnote w:id="500">
    <w:p w14:paraId="42699E1A" w14:textId="10986CAD" w:rsidR="00655890" w:rsidRDefault="00655890" w:rsidP="000C1980">
      <w:pPr>
        <w:pStyle w:val="FootnoteText"/>
      </w:pPr>
      <w:r>
        <w:rPr>
          <w:rStyle w:val="FootnoteReference"/>
        </w:rPr>
        <w:footnoteRef/>
      </w:r>
      <w:r>
        <w:t xml:space="preserve">  NRDC, NCLC, and CHP Joint Protest of IOUs’ ESA Applications, 10-11.</w:t>
      </w:r>
    </w:p>
  </w:footnote>
  <w:footnote w:id="501">
    <w:p w14:paraId="50DB5C54" w14:textId="441D80FC" w:rsidR="00792381" w:rsidRDefault="00792381">
      <w:pPr>
        <w:pStyle w:val="FootnoteText"/>
      </w:pPr>
      <w:r>
        <w:rPr>
          <w:rStyle w:val="FootnoteReference"/>
        </w:rPr>
        <w:footnoteRef/>
      </w:r>
      <w:r>
        <w:t xml:space="preserve"> </w:t>
      </w:r>
      <w:r w:rsidR="00345B87">
        <w:t xml:space="preserve"> </w:t>
      </w:r>
      <w:r>
        <w:t>Joint Parties Reply Brief, 5.</w:t>
      </w:r>
    </w:p>
  </w:footnote>
  <w:footnote w:id="502">
    <w:p w14:paraId="68E3225C" w14:textId="6BA350FF" w:rsidR="00655890" w:rsidRDefault="00655890" w:rsidP="000C1980">
      <w:pPr>
        <w:pStyle w:val="FootnoteText"/>
      </w:pPr>
      <w:r>
        <w:rPr>
          <w:rStyle w:val="FootnoteReference"/>
        </w:rPr>
        <w:footnoteRef/>
      </w:r>
      <w:r>
        <w:t xml:space="preserve">  </w:t>
      </w:r>
      <w:r w:rsidRPr="00922D27">
        <w:t xml:space="preserve">CEDMC Comments on June 25, </w:t>
      </w:r>
      <w:proofErr w:type="gramStart"/>
      <w:r w:rsidRPr="00922D27">
        <w:t>2020</w:t>
      </w:r>
      <w:proofErr w:type="gramEnd"/>
      <w:r w:rsidRPr="00922D27">
        <w:t xml:space="preserve"> ALJ ruling</w:t>
      </w:r>
      <w:r>
        <w:t>,</w:t>
      </w:r>
      <w:r w:rsidRPr="00922D27">
        <w:t xml:space="preserve"> 9-10</w:t>
      </w:r>
      <w:r>
        <w:t>.</w:t>
      </w:r>
    </w:p>
  </w:footnote>
  <w:footnote w:id="503">
    <w:p w14:paraId="1875A683" w14:textId="3AEA1DB0" w:rsidR="001C2509" w:rsidRDefault="001C2509">
      <w:pPr>
        <w:pStyle w:val="FootnoteText"/>
      </w:pPr>
      <w:r>
        <w:rPr>
          <w:rStyle w:val="FootnoteReference"/>
        </w:rPr>
        <w:footnoteRef/>
      </w:r>
      <w:r>
        <w:t xml:space="preserve"> </w:t>
      </w:r>
      <w:r w:rsidR="00345B87">
        <w:t xml:space="preserve"> </w:t>
      </w:r>
      <w:r>
        <w:t>EEC and TELACU et al Reply Briefs, 3.</w:t>
      </w:r>
    </w:p>
  </w:footnote>
  <w:footnote w:id="504">
    <w:p w14:paraId="4EC95A08" w14:textId="4281B01F" w:rsidR="001C2509" w:rsidRDefault="001C2509" w:rsidP="001C2509">
      <w:pPr>
        <w:pStyle w:val="FootnoteText"/>
      </w:pPr>
      <w:r>
        <w:rPr>
          <w:rStyle w:val="FootnoteReference"/>
        </w:rPr>
        <w:footnoteRef/>
      </w:r>
      <w:r>
        <w:t xml:space="preserve"> </w:t>
      </w:r>
      <w:r w:rsidR="00345B87">
        <w:t xml:space="preserve"> </w:t>
      </w:r>
      <w:r w:rsidRPr="00620A2B">
        <w:rPr>
          <w:i/>
          <w:iCs/>
          <w:szCs w:val="22"/>
        </w:rPr>
        <w:t>Ibid</w:t>
      </w:r>
      <w:r w:rsidRPr="00620A2B">
        <w:rPr>
          <w:szCs w:val="22"/>
        </w:rPr>
        <w:t>.</w:t>
      </w:r>
    </w:p>
  </w:footnote>
  <w:footnote w:id="505">
    <w:p w14:paraId="6CAA183C" w14:textId="1864BF13" w:rsidR="00655890" w:rsidRPr="00BA6E0E" w:rsidRDefault="00655890" w:rsidP="000C1980">
      <w:pPr>
        <w:pStyle w:val="FootnoteText"/>
      </w:pPr>
      <w:r>
        <w:rPr>
          <w:rStyle w:val="FootnoteReference"/>
        </w:rPr>
        <w:footnoteRef/>
      </w:r>
      <w:r>
        <w:t xml:space="preserve">  PG&amp;E Rebuttal Testimony </w:t>
      </w:r>
      <w:r w:rsidRPr="00BA6E0E">
        <w:t>of L</w:t>
      </w:r>
      <w:r>
        <w:t>ori</w:t>
      </w:r>
      <w:r w:rsidRPr="00BA6E0E">
        <w:t xml:space="preserve"> L</w:t>
      </w:r>
      <w:r>
        <w:t>eiva</w:t>
      </w:r>
      <w:r w:rsidRPr="00BA6E0E">
        <w:t xml:space="preserve"> J</w:t>
      </w:r>
      <w:r>
        <w:t>ungbluth,</w:t>
      </w:r>
      <w:r w:rsidRPr="00BA6E0E">
        <w:t xml:space="preserve"> I-6.</w:t>
      </w:r>
    </w:p>
  </w:footnote>
  <w:footnote w:id="506">
    <w:p w14:paraId="54709674" w14:textId="7566C876" w:rsidR="00655890" w:rsidRDefault="00655890" w:rsidP="000C1980">
      <w:pPr>
        <w:pStyle w:val="FootnoteText"/>
      </w:pPr>
      <w:r w:rsidRPr="00BA6E0E">
        <w:rPr>
          <w:rStyle w:val="FootnoteReference"/>
        </w:rPr>
        <w:footnoteRef/>
      </w:r>
      <w:r w:rsidRPr="00BA6E0E">
        <w:t xml:space="preserve">  </w:t>
      </w:r>
      <w:r w:rsidR="0058313C" w:rsidRPr="00CB4AE6">
        <w:rPr>
          <w:i/>
          <w:iCs/>
        </w:rPr>
        <w:t>Id</w:t>
      </w:r>
      <w:r w:rsidR="0058313C">
        <w:t xml:space="preserve"> at </w:t>
      </w:r>
      <w:r w:rsidRPr="00BA6E0E">
        <w:t>I-7</w:t>
      </w:r>
      <w:r>
        <w:t>.</w:t>
      </w:r>
    </w:p>
  </w:footnote>
  <w:footnote w:id="507">
    <w:p w14:paraId="7E48C644" w14:textId="05806620" w:rsidR="00655890" w:rsidRDefault="00655890" w:rsidP="000C1980">
      <w:pPr>
        <w:pStyle w:val="FootnoteText"/>
      </w:pPr>
      <w:r>
        <w:rPr>
          <w:rStyle w:val="FootnoteReference"/>
        </w:rPr>
        <w:footnoteRef/>
      </w:r>
      <w:r>
        <w:t xml:space="preserve">  </w:t>
      </w:r>
      <w:r w:rsidRPr="00EE181F">
        <w:t>SCE Amended Rebuttal Testimony</w:t>
      </w:r>
      <w:r>
        <w:t>,</w:t>
      </w:r>
      <w:r w:rsidRPr="00EE181F">
        <w:t xml:space="preserve"> </w:t>
      </w:r>
      <w:r>
        <w:t>10-11</w:t>
      </w:r>
      <w:r w:rsidRPr="00EE181F">
        <w:t>.</w:t>
      </w:r>
    </w:p>
  </w:footnote>
  <w:footnote w:id="508">
    <w:p w14:paraId="48EB0EA5" w14:textId="2FBD16E7" w:rsidR="00655890" w:rsidRDefault="00655890" w:rsidP="000C1980">
      <w:pPr>
        <w:pStyle w:val="FootnoteText"/>
      </w:pPr>
      <w:r>
        <w:rPr>
          <w:rStyle w:val="FootnoteReference"/>
        </w:rPr>
        <w:footnoteRef/>
      </w:r>
      <w:r>
        <w:t xml:space="preserve">  </w:t>
      </w:r>
      <w:r w:rsidR="007444A6" w:rsidRPr="00D5044E">
        <w:rPr>
          <w:i/>
          <w:iCs/>
        </w:rPr>
        <w:t>Ibid.</w:t>
      </w:r>
    </w:p>
  </w:footnote>
  <w:footnote w:id="509">
    <w:p w14:paraId="7C9DB82A" w14:textId="1382C206" w:rsidR="00655890" w:rsidRDefault="00655890" w:rsidP="000C1980">
      <w:pPr>
        <w:pStyle w:val="FootnoteText"/>
      </w:pPr>
      <w:r>
        <w:rPr>
          <w:rStyle w:val="FootnoteReference"/>
        </w:rPr>
        <w:footnoteRef/>
      </w:r>
      <w:r>
        <w:t xml:space="preserve">  </w:t>
      </w:r>
      <w:r w:rsidR="007444A6" w:rsidRPr="00D5044E">
        <w:rPr>
          <w:i/>
          <w:iCs/>
        </w:rPr>
        <w:t>Ibid.</w:t>
      </w:r>
    </w:p>
  </w:footnote>
  <w:footnote w:id="510">
    <w:p w14:paraId="49AF167F" w14:textId="0244C3E1" w:rsidR="00655890" w:rsidRDefault="00655890" w:rsidP="000C1980">
      <w:pPr>
        <w:pStyle w:val="FootnoteText"/>
      </w:pPr>
      <w:r>
        <w:rPr>
          <w:rStyle w:val="FootnoteReference"/>
        </w:rPr>
        <w:footnoteRef/>
      </w:r>
      <w:r>
        <w:t xml:space="preserve">  SCE Amended Rebuttal Testimony, 6-8.</w:t>
      </w:r>
    </w:p>
  </w:footnote>
  <w:footnote w:id="511">
    <w:p w14:paraId="5CFEEE10" w14:textId="332E1477" w:rsidR="00655890" w:rsidRDefault="00655890" w:rsidP="000C1980">
      <w:pPr>
        <w:pStyle w:val="FootnoteText"/>
      </w:pPr>
      <w:r>
        <w:rPr>
          <w:rStyle w:val="FootnoteReference"/>
        </w:rPr>
        <w:footnoteRef/>
      </w:r>
      <w:r>
        <w:t xml:space="preserve">  SoCalGas Rebuttal Testimony of Erin Brooks, 5.</w:t>
      </w:r>
    </w:p>
  </w:footnote>
  <w:footnote w:id="512">
    <w:p w14:paraId="3AFFB32E" w14:textId="77777777" w:rsidR="00655890" w:rsidRDefault="00655890" w:rsidP="000C1980">
      <w:pPr>
        <w:pStyle w:val="FootnoteText"/>
      </w:pPr>
      <w:r>
        <w:rPr>
          <w:rStyle w:val="FootnoteReference"/>
        </w:rPr>
        <w:footnoteRef/>
      </w:r>
      <w:r>
        <w:t xml:space="preserve">  Claiming savings for measures in ESA program must follow all the same rules/methodology for savings claims in the main Energy Efficiency programs.  Thus, as codes and standards are updated to more efficiency appliances, the claimable, or “deemed” savings as established through CPUC Energy Efficiency workpaper process, drops. </w:t>
      </w:r>
    </w:p>
  </w:footnote>
  <w:footnote w:id="513">
    <w:p w14:paraId="7E89BD9B" w14:textId="7A75A295" w:rsidR="00655890" w:rsidRDefault="00655890" w:rsidP="000C1980">
      <w:pPr>
        <w:pStyle w:val="FootnoteText"/>
      </w:pPr>
      <w:r>
        <w:rPr>
          <w:rStyle w:val="FootnoteReference"/>
        </w:rPr>
        <w:footnoteRef/>
      </w:r>
      <w:r>
        <w:t xml:space="preserve">  DNV GL (2019) “ESA </w:t>
      </w:r>
      <w:r w:rsidRPr="00F55DF7">
        <w:t>Impact Evaluation</w:t>
      </w:r>
      <w:r>
        <w:t xml:space="preserve"> </w:t>
      </w:r>
      <w:r w:rsidRPr="00F55DF7">
        <w:t>Program years 2015–2017</w:t>
      </w:r>
      <w:r>
        <w:t xml:space="preserve">”, 3-4, </w:t>
      </w:r>
      <w:hyperlink r:id="rId10" w:anchor="!/documents/2173/view" w:history="1">
        <w:r w:rsidRPr="00380698">
          <w:rPr>
            <w:rStyle w:val="Hyperlink"/>
          </w:rPr>
          <w:t>https://pda.energydataweb.com/#!/documents/2173/view</w:t>
        </w:r>
      </w:hyperlink>
      <w:r>
        <w:t xml:space="preserve"> </w:t>
      </w:r>
    </w:p>
  </w:footnote>
  <w:footnote w:id="514">
    <w:p w14:paraId="54D8CA47" w14:textId="10AC0157" w:rsidR="003A79E6" w:rsidRDefault="003A79E6">
      <w:pPr>
        <w:pStyle w:val="FootnoteText"/>
      </w:pPr>
      <w:r>
        <w:rPr>
          <w:rStyle w:val="FootnoteReference"/>
        </w:rPr>
        <w:footnoteRef/>
      </w:r>
      <w:r w:rsidR="00261D9A">
        <w:t xml:space="preserve"> </w:t>
      </w:r>
      <w:r>
        <w:t xml:space="preserve"> </w:t>
      </w:r>
      <w:r w:rsidR="00C41C49" w:rsidRPr="00C41C49">
        <w:t xml:space="preserve">Fuel substitution measures will be classified as energy saving measures </w:t>
      </w:r>
      <w:proofErr w:type="gramStart"/>
      <w:r w:rsidR="00C41C49" w:rsidRPr="00C41C49">
        <w:t>similar to</w:t>
      </w:r>
      <w:proofErr w:type="gramEnd"/>
      <w:r w:rsidR="00C41C49" w:rsidRPr="00C41C49">
        <w:t xml:space="preserve"> the mainstream Energy Efficiency programs.</w:t>
      </w:r>
    </w:p>
  </w:footnote>
  <w:footnote w:id="515">
    <w:p w14:paraId="053BD19B" w14:textId="0DEB3634" w:rsidR="00655890" w:rsidRDefault="00655890" w:rsidP="000C1980">
      <w:pPr>
        <w:pStyle w:val="FootnoteText"/>
      </w:pPr>
      <w:r>
        <w:rPr>
          <w:rStyle w:val="FootnoteReference"/>
        </w:rPr>
        <w:footnoteRef/>
      </w:r>
      <w:r>
        <w:t xml:space="preserve">  P&amp;G study</w:t>
      </w:r>
      <w:r w:rsidRPr="00172C95">
        <w:t xml:space="preserve"> is </w:t>
      </w:r>
      <w:r>
        <w:t>under mainstream energy efficiency’s rulemaking proceeding R.13-11-005.</w:t>
      </w:r>
    </w:p>
  </w:footnote>
  <w:footnote w:id="516">
    <w:p w14:paraId="62E4E92B" w14:textId="4211AAD6" w:rsidR="00655890" w:rsidRDefault="00655890" w:rsidP="000C1980">
      <w:pPr>
        <w:pStyle w:val="FootnoteText"/>
      </w:pPr>
      <w:r>
        <w:rPr>
          <w:rStyle w:val="FootnoteReference"/>
        </w:rPr>
        <w:footnoteRef/>
      </w:r>
      <w:r>
        <w:t xml:space="preserve">  D.</w:t>
      </w:r>
      <w:r w:rsidRPr="00CF59A1">
        <w:t>19-06-022</w:t>
      </w:r>
      <w:r>
        <w:t>, Attachment A, 7.</w:t>
      </w:r>
    </w:p>
  </w:footnote>
  <w:footnote w:id="517">
    <w:p w14:paraId="02D209DD" w14:textId="5F784BE1"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Attachment A, 9.</w:t>
      </w:r>
    </w:p>
  </w:footnote>
  <w:footnote w:id="518">
    <w:p w14:paraId="4ED124B2" w14:textId="3BC879F6" w:rsidR="00655890" w:rsidRDefault="00655890" w:rsidP="000C1980">
      <w:pPr>
        <w:pStyle w:val="FootnoteText"/>
      </w:pPr>
      <w:r>
        <w:rPr>
          <w:rStyle w:val="FootnoteReference"/>
        </w:rPr>
        <w:footnoteRef/>
      </w:r>
      <w:r>
        <w:t xml:space="preserve">  PG&amp;E Prepared Testimony, I-45</w:t>
      </w:r>
      <w:r w:rsidR="00C82AE2">
        <w:t>.</w:t>
      </w:r>
    </w:p>
  </w:footnote>
  <w:footnote w:id="519">
    <w:p w14:paraId="4879B076" w14:textId="2503E2C9"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I-54.</w:t>
      </w:r>
    </w:p>
  </w:footnote>
  <w:footnote w:id="520">
    <w:p w14:paraId="7F7369A4" w14:textId="21201003"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I-55.</w:t>
      </w:r>
    </w:p>
  </w:footnote>
  <w:footnote w:id="521">
    <w:p w14:paraId="09A8C36D" w14:textId="66131882"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IV-11.</w:t>
      </w:r>
    </w:p>
  </w:footnote>
  <w:footnote w:id="522">
    <w:p w14:paraId="2A5DD00A" w14:textId="05A00FC4"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I-55.</w:t>
      </w:r>
    </w:p>
  </w:footnote>
  <w:footnote w:id="523">
    <w:p w14:paraId="6C02E63F" w14:textId="77777777" w:rsidR="00655890" w:rsidRDefault="00655890" w:rsidP="000C1980">
      <w:pPr>
        <w:pStyle w:val="FootnoteText"/>
      </w:pPr>
      <w:r>
        <w:rPr>
          <w:rStyle w:val="FootnoteReference"/>
        </w:rPr>
        <w:footnoteRef/>
      </w:r>
      <w:r>
        <w:t xml:space="preserve">  SCE</w:t>
      </w:r>
      <w:r w:rsidRPr="00BA6EA3">
        <w:t xml:space="preserve"> </w:t>
      </w:r>
      <w:r w:rsidRPr="00C10123">
        <w:t>Prepared Testimony, II-</w:t>
      </w:r>
      <w:r>
        <w:t>11.</w:t>
      </w:r>
    </w:p>
  </w:footnote>
  <w:footnote w:id="524">
    <w:p w14:paraId="4647FE31" w14:textId="1D9D8BDA" w:rsidR="00655890" w:rsidRDefault="00655890" w:rsidP="000C1980">
      <w:pPr>
        <w:pStyle w:val="FootnoteText"/>
      </w:pPr>
      <w:r>
        <w:rPr>
          <w:rStyle w:val="FootnoteReference"/>
        </w:rPr>
        <w:footnoteRef/>
      </w:r>
      <w:r>
        <w:t xml:space="preserve">  SCE Amended </w:t>
      </w:r>
      <w:r w:rsidRPr="00C10123">
        <w:t>Prepared Testimony</w:t>
      </w:r>
      <w:r>
        <w:t xml:space="preserve"> II-9.</w:t>
      </w:r>
    </w:p>
  </w:footnote>
  <w:footnote w:id="525">
    <w:p w14:paraId="52EF68A7" w14:textId="77777777" w:rsidR="00655890" w:rsidRDefault="00655890" w:rsidP="000C1980">
      <w:pPr>
        <w:pStyle w:val="FootnoteText"/>
      </w:pPr>
      <w:r>
        <w:rPr>
          <w:rStyle w:val="FootnoteReference"/>
        </w:rPr>
        <w:footnoteRef/>
      </w:r>
      <w:r>
        <w:t xml:space="preserve">  SCE</w:t>
      </w:r>
      <w:r w:rsidRPr="00BA6EA3">
        <w:t xml:space="preserve"> </w:t>
      </w:r>
      <w:r w:rsidRPr="00C10123">
        <w:t>Prepared Testimony, II-</w:t>
      </w:r>
      <w:r>
        <w:t>11.</w:t>
      </w:r>
    </w:p>
  </w:footnote>
  <w:footnote w:id="526">
    <w:p w14:paraId="458EBA1D" w14:textId="332BC1BC" w:rsidR="00655890" w:rsidRDefault="00655890" w:rsidP="000C1980">
      <w:pPr>
        <w:pStyle w:val="FootnoteText"/>
      </w:pPr>
      <w:r>
        <w:rPr>
          <w:rStyle w:val="FootnoteReference"/>
        </w:rPr>
        <w:footnoteRef/>
      </w:r>
      <w:r>
        <w:t xml:space="preserve">  SCE</w:t>
      </w:r>
      <w:r w:rsidRPr="00AC04D4">
        <w:t xml:space="preserve"> </w:t>
      </w:r>
      <w:r w:rsidRPr="00C10123">
        <w:t>Prepared Testimony</w:t>
      </w:r>
      <w:r>
        <w:t>, VI Appendix A.</w:t>
      </w:r>
    </w:p>
  </w:footnote>
  <w:footnote w:id="527">
    <w:p w14:paraId="0F86D683" w14:textId="3DA3BE58" w:rsidR="00655890" w:rsidRDefault="00655890" w:rsidP="000C1980">
      <w:pPr>
        <w:pStyle w:val="FootnoteText"/>
      </w:pPr>
      <w:r>
        <w:rPr>
          <w:rStyle w:val="FootnoteReference"/>
        </w:rPr>
        <w:footnoteRef/>
      </w:r>
      <w:r>
        <w:t xml:space="preserve">  SoCalGas Testimony Mark Aguirre and E Brooks, 36-38.</w:t>
      </w:r>
    </w:p>
  </w:footnote>
  <w:footnote w:id="528">
    <w:p w14:paraId="42E00940" w14:textId="68899231"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t>42.</w:t>
      </w:r>
    </w:p>
  </w:footnote>
  <w:footnote w:id="529">
    <w:p w14:paraId="27CFB5CB" w14:textId="77777777" w:rsidR="00655890" w:rsidRDefault="00655890" w:rsidP="000C1980">
      <w:pPr>
        <w:pStyle w:val="FootnoteText"/>
      </w:pPr>
      <w:r>
        <w:rPr>
          <w:rStyle w:val="FootnoteReference"/>
        </w:rPr>
        <w:footnoteRef/>
      </w:r>
      <w:r>
        <w:t xml:space="preserve">  SoCalGas Application, 39.</w:t>
      </w:r>
    </w:p>
  </w:footnote>
  <w:footnote w:id="530">
    <w:p w14:paraId="667DE28B" w14:textId="77777777" w:rsidR="00655890" w:rsidRDefault="00655890" w:rsidP="000C1980">
      <w:pPr>
        <w:pStyle w:val="FootnoteText"/>
      </w:pPr>
      <w:r>
        <w:rPr>
          <w:rStyle w:val="FootnoteReference"/>
        </w:rPr>
        <w:footnoteRef/>
      </w:r>
      <w:r>
        <w:t xml:space="preserve">  SDG&amp;E calculated these values by calculating first-</w:t>
      </w:r>
      <w:r w:rsidRPr="00582D9A">
        <w:t xml:space="preserve">year NEBs delivered for all treated homes in the year, divided by the </w:t>
      </w:r>
      <w:r>
        <w:t>number</w:t>
      </w:r>
      <w:r w:rsidRPr="00582D9A">
        <w:t xml:space="preserve"> of housing units treated.</w:t>
      </w:r>
      <w:r>
        <w:t xml:space="preserve">   </w:t>
      </w:r>
    </w:p>
  </w:footnote>
  <w:footnote w:id="531">
    <w:p w14:paraId="0668D860" w14:textId="025140DB" w:rsidR="00655890" w:rsidRDefault="00655890" w:rsidP="000C1980">
      <w:pPr>
        <w:pStyle w:val="FootnoteText"/>
      </w:pPr>
      <w:r>
        <w:rPr>
          <w:rStyle w:val="FootnoteReference"/>
        </w:rPr>
        <w:footnoteRef/>
      </w:r>
      <w:r>
        <w:t xml:space="preserve">  SDG&amp;E Testimony, SN-ESA 31-32.</w:t>
      </w:r>
    </w:p>
  </w:footnote>
  <w:footnote w:id="532">
    <w:p w14:paraId="7F41813C" w14:textId="00BA404A"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rsidRPr="00655A9F">
        <w:t>SN-ESA</w:t>
      </w:r>
      <w:r>
        <w:t xml:space="preserve"> </w:t>
      </w:r>
      <w:r w:rsidRPr="00655A9F">
        <w:t>34</w:t>
      </w:r>
      <w:r>
        <w:t>.</w:t>
      </w:r>
    </w:p>
  </w:footnote>
  <w:footnote w:id="533">
    <w:p w14:paraId="0F07DB01" w14:textId="25E88916" w:rsidR="00655890" w:rsidRDefault="00655890" w:rsidP="000C1980">
      <w:pPr>
        <w:pStyle w:val="FootnoteText"/>
      </w:pPr>
      <w:r>
        <w:rPr>
          <w:rStyle w:val="FootnoteReference"/>
        </w:rPr>
        <w:footnoteRef/>
      </w:r>
      <w:r>
        <w:t xml:space="preserve">  CforAT Comments to July 25, </w:t>
      </w:r>
      <w:proofErr w:type="gramStart"/>
      <w:r>
        <w:t>2020</w:t>
      </w:r>
      <w:proofErr w:type="gramEnd"/>
      <w:r>
        <w:t xml:space="preserve"> ALJ Ruling, 4.</w:t>
      </w:r>
    </w:p>
  </w:footnote>
  <w:footnote w:id="534">
    <w:p w14:paraId="3B6960BF" w14:textId="650028F2" w:rsidR="00655890" w:rsidRDefault="00655890" w:rsidP="000C1980">
      <w:pPr>
        <w:pStyle w:val="FootnoteText"/>
      </w:pPr>
      <w:r>
        <w:rPr>
          <w:rStyle w:val="FootnoteReference"/>
        </w:rPr>
        <w:footnoteRef/>
      </w:r>
      <w:r>
        <w:t xml:space="preserve">  La Cooperativa Testimony of </w:t>
      </w:r>
      <w:r w:rsidRPr="00460842">
        <w:t>R</w:t>
      </w:r>
      <w:r>
        <w:t xml:space="preserve">oberto </w:t>
      </w:r>
      <w:r w:rsidRPr="00460842">
        <w:t>D</w:t>
      </w:r>
      <w:r>
        <w:t>el</w:t>
      </w:r>
      <w:r w:rsidRPr="00460842">
        <w:t xml:space="preserve"> R</w:t>
      </w:r>
      <w:r>
        <w:t>eal,</w:t>
      </w:r>
      <w:r w:rsidRPr="00460842">
        <w:t xml:space="preserve"> 2-</w:t>
      </w:r>
      <w:r>
        <w:t>3.</w:t>
      </w:r>
    </w:p>
  </w:footnote>
  <w:footnote w:id="535">
    <w:p w14:paraId="458DDFBC" w14:textId="77777777" w:rsidR="00F93EF0" w:rsidRDefault="00F93EF0" w:rsidP="00F93EF0">
      <w:pPr>
        <w:pStyle w:val="FootnoteText"/>
      </w:pPr>
      <w:r>
        <w:rPr>
          <w:rStyle w:val="FootnoteReference"/>
        </w:rPr>
        <w:footnoteRef/>
      </w:r>
      <w:r>
        <w:t xml:space="preserve"> EEC Opening Brief, 5.</w:t>
      </w:r>
    </w:p>
  </w:footnote>
  <w:footnote w:id="536">
    <w:p w14:paraId="64F33D0D" w14:textId="257F6375" w:rsidR="00DC5884" w:rsidRDefault="00DC5884" w:rsidP="00DC5884">
      <w:pPr>
        <w:pStyle w:val="FootnoteText"/>
      </w:pPr>
      <w:r>
        <w:rPr>
          <w:rStyle w:val="FootnoteReference"/>
        </w:rPr>
        <w:footnoteRef/>
      </w:r>
      <w:r>
        <w:t xml:space="preserve"> </w:t>
      </w:r>
      <w:r w:rsidR="000D3EBD">
        <w:t xml:space="preserve"> </w:t>
      </w:r>
      <w:r>
        <w:t xml:space="preserve">EEC </w:t>
      </w:r>
      <w:r w:rsidR="00BB10E7">
        <w:t>and TELACU et al. Reply Brie</w:t>
      </w:r>
      <w:r>
        <w:t xml:space="preserve">f, </w:t>
      </w:r>
      <w:r w:rsidR="00BB10E7">
        <w:t>4</w:t>
      </w:r>
      <w:r>
        <w:t>.</w:t>
      </w:r>
    </w:p>
  </w:footnote>
  <w:footnote w:id="537">
    <w:p w14:paraId="54B15FBE" w14:textId="18D3D80D" w:rsidR="00655890" w:rsidRDefault="00655890" w:rsidP="000C1980">
      <w:pPr>
        <w:pStyle w:val="FootnoteText"/>
      </w:pPr>
      <w:r>
        <w:rPr>
          <w:rStyle w:val="FootnoteReference"/>
        </w:rPr>
        <w:footnoteRef/>
      </w:r>
      <w:r>
        <w:t xml:space="preserve">  SDG&amp;E Rebuttal Testimony, </w:t>
      </w:r>
      <w:r w:rsidRPr="00222E9D">
        <w:t>SN-ESA</w:t>
      </w:r>
      <w:r>
        <w:t xml:space="preserve"> </w:t>
      </w:r>
      <w:r w:rsidRPr="00222E9D">
        <w:t>3</w:t>
      </w:r>
      <w:r>
        <w:t>-4.</w:t>
      </w:r>
    </w:p>
  </w:footnote>
  <w:footnote w:id="538">
    <w:p w14:paraId="33B2EC7E" w14:textId="15EB5FBA" w:rsidR="00655890" w:rsidRDefault="00655890" w:rsidP="000C1980">
      <w:pPr>
        <w:pStyle w:val="FootnoteText"/>
      </w:pPr>
      <w:r>
        <w:rPr>
          <w:rStyle w:val="FootnoteReference"/>
        </w:rPr>
        <w:footnoteRef/>
      </w:r>
      <w:r>
        <w:t xml:space="preserve">  PG&amp;E Prepared Testimony, I-46.</w:t>
      </w:r>
    </w:p>
  </w:footnote>
  <w:footnote w:id="539">
    <w:p w14:paraId="722769E6" w14:textId="77777777" w:rsidR="00655890" w:rsidRDefault="00655890" w:rsidP="000C1980">
      <w:pPr>
        <w:pStyle w:val="FootnoteText"/>
      </w:pPr>
      <w:r>
        <w:rPr>
          <w:rStyle w:val="FootnoteReference"/>
        </w:rPr>
        <w:footnoteRef/>
      </w:r>
      <w:r>
        <w:t xml:space="preserve">  </w:t>
      </w:r>
      <w:r w:rsidRPr="00DB072A">
        <w:t xml:space="preserve">Pub. Util. Code Section </w:t>
      </w:r>
      <w:r w:rsidRPr="00362B6E">
        <w:rPr>
          <w:szCs w:val="26"/>
        </w:rPr>
        <w:t>382(e)</w:t>
      </w:r>
      <w:r>
        <w:rPr>
          <w:szCs w:val="26"/>
        </w:rPr>
        <w:t>.</w:t>
      </w:r>
    </w:p>
  </w:footnote>
  <w:footnote w:id="540">
    <w:p w14:paraId="6D168B5F" w14:textId="77777777" w:rsidR="00655890" w:rsidRDefault="00655890" w:rsidP="000C1980">
      <w:pPr>
        <w:pStyle w:val="FootnoteText"/>
      </w:pPr>
      <w:r>
        <w:rPr>
          <w:rStyle w:val="FootnoteReference"/>
        </w:rPr>
        <w:footnoteRef/>
      </w:r>
      <w:r>
        <w:t xml:space="preserve">  </w:t>
      </w:r>
      <w:r w:rsidRPr="00187B77">
        <w:t>Pub. Util. Code § 2790(a).</w:t>
      </w:r>
    </w:p>
  </w:footnote>
  <w:footnote w:id="541">
    <w:p w14:paraId="14EDAE3B" w14:textId="77777777" w:rsidR="00655890" w:rsidRDefault="00655890" w:rsidP="000C1980">
      <w:pPr>
        <w:pStyle w:val="FootnoteText"/>
      </w:pPr>
      <w:r>
        <w:rPr>
          <w:rStyle w:val="FootnoteReference"/>
        </w:rPr>
        <w:footnoteRef/>
      </w:r>
      <w:r>
        <w:t xml:space="preserve">  Decision 16-11-022 adopted a 60 percent “willingness and feasible to participate” or </w:t>
      </w:r>
      <w:r w:rsidRPr="00AC2B87">
        <w:t xml:space="preserve">WFTP factor </w:t>
      </w:r>
      <w:r>
        <w:t xml:space="preserve">in calculating </w:t>
      </w:r>
      <w:r w:rsidRPr="00AC2B87">
        <w:t>the remaining willing and eligible population</w:t>
      </w:r>
      <w:r>
        <w:t>.</w:t>
      </w:r>
    </w:p>
  </w:footnote>
  <w:footnote w:id="542">
    <w:p w14:paraId="7D41C481" w14:textId="77777777" w:rsidR="00655890" w:rsidRDefault="00655890" w:rsidP="000C1980">
      <w:pPr>
        <w:pStyle w:val="FootnoteText"/>
      </w:pPr>
      <w:r>
        <w:rPr>
          <w:rStyle w:val="FootnoteReference"/>
        </w:rPr>
        <w:footnoteRef/>
      </w:r>
      <w:r>
        <w:t xml:space="preserve">  PG&amp;E Testimony, I-49.</w:t>
      </w:r>
    </w:p>
  </w:footnote>
  <w:footnote w:id="543">
    <w:p w14:paraId="5F1C761B" w14:textId="04410C3C" w:rsidR="00655890" w:rsidRDefault="00655890" w:rsidP="000C1980">
      <w:pPr>
        <w:pStyle w:val="FootnoteText"/>
      </w:pPr>
      <w:r>
        <w:rPr>
          <w:rStyle w:val="FootnoteReference"/>
        </w:rPr>
        <w:footnoteRef/>
      </w:r>
      <w:r>
        <w:t xml:space="preserve">  </w:t>
      </w:r>
      <w:r w:rsidR="00787D06" w:rsidRPr="00D5044E">
        <w:rPr>
          <w:i/>
          <w:iCs/>
        </w:rPr>
        <w:t>Ibid.</w:t>
      </w:r>
    </w:p>
  </w:footnote>
  <w:footnote w:id="544">
    <w:p w14:paraId="61EBE3B7" w14:textId="77777777" w:rsidR="00655890" w:rsidRDefault="00655890" w:rsidP="000C1980">
      <w:pPr>
        <w:pStyle w:val="FootnoteText"/>
      </w:pPr>
      <w:r>
        <w:rPr>
          <w:rStyle w:val="FootnoteReference"/>
        </w:rPr>
        <w:footnoteRef/>
      </w:r>
      <w:r>
        <w:t xml:space="preserve">  SCE</w:t>
      </w:r>
      <w:r w:rsidRPr="00BE5820">
        <w:t xml:space="preserve"> </w:t>
      </w:r>
      <w:r w:rsidRPr="00C10123">
        <w:t>Prepared Testimony, II-</w:t>
      </w:r>
      <w:r>
        <w:t xml:space="preserve"> 9.</w:t>
      </w:r>
    </w:p>
  </w:footnote>
  <w:footnote w:id="545">
    <w:p w14:paraId="318BD1A0" w14:textId="7D0FFDDE" w:rsidR="00655890" w:rsidRDefault="00655890" w:rsidP="000C1980">
      <w:pPr>
        <w:pStyle w:val="FootnoteText"/>
      </w:pPr>
      <w:r>
        <w:rPr>
          <w:rStyle w:val="FootnoteReference"/>
        </w:rPr>
        <w:footnoteRef/>
      </w:r>
      <w:r>
        <w:t xml:space="preserve">  </w:t>
      </w:r>
      <w:r w:rsidR="0058313C" w:rsidRPr="00CB4AE6">
        <w:rPr>
          <w:i/>
          <w:iCs/>
        </w:rPr>
        <w:t>Id</w:t>
      </w:r>
      <w:r w:rsidR="0058313C">
        <w:t xml:space="preserve"> at </w:t>
      </w:r>
      <w:r w:rsidRPr="00C10123">
        <w:t>II-</w:t>
      </w:r>
      <w:r>
        <w:t>10.</w:t>
      </w:r>
    </w:p>
  </w:footnote>
  <w:footnote w:id="546">
    <w:p w14:paraId="5BF5C16A" w14:textId="77777777" w:rsidR="00655890" w:rsidRDefault="00655890" w:rsidP="000C1980">
      <w:pPr>
        <w:pStyle w:val="FootnoteText"/>
      </w:pPr>
      <w:r>
        <w:rPr>
          <w:rStyle w:val="FootnoteReference"/>
        </w:rPr>
        <w:footnoteRef/>
      </w:r>
      <w:r>
        <w:t xml:space="preserve">  SoCalGas Application, 8.</w:t>
      </w:r>
    </w:p>
  </w:footnote>
  <w:footnote w:id="547">
    <w:p w14:paraId="7E09D49F" w14:textId="77777777" w:rsidR="00655890" w:rsidRDefault="00655890" w:rsidP="000C1980">
      <w:pPr>
        <w:pStyle w:val="FootnoteText"/>
      </w:pPr>
      <w:r>
        <w:rPr>
          <w:rStyle w:val="FootnoteReference"/>
        </w:rPr>
        <w:footnoteRef/>
      </w:r>
      <w:r>
        <w:t xml:space="preserve">  SDG&amp;E Application, Appendix A Table A-5.</w:t>
      </w:r>
    </w:p>
  </w:footnote>
  <w:footnote w:id="548">
    <w:p w14:paraId="5A2EE526" w14:textId="430900BD" w:rsidR="00655890" w:rsidRDefault="00655890" w:rsidP="000C1980">
      <w:pPr>
        <w:pStyle w:val="FootnoteText"/>
      </w:pPr>
      <w:r>
        <w:rPr>
          <w:rStyle w:val="FootnoteReference"/>
        </w:rPr>
        <w:footnoteRef/>
      </w:r>
      <w:r>
        <w:t xml:space="preserve">  </w:t>
      </w:r>
      <w:r w:rsidRPr="00AD266D">
        <w:t>TURN Intervenor Testimony</w:t>
      </w:r>
      <w:r>
        <w:t xml:space="preserve"> of</w:t>
      </w:r>
      <w:r w:rsidRPr="00AD266D">
        <w:t xml:space="preserve"> Alice Napoleon</w:t>
      </w:r>
      <w:r>
        <w:t xml:space="preserve">, </w:t>
      </w:r>
      <w:r w:rsidRPr="00AD266D">
        <w:t>20</w:t>
      </w:r>
      <w:r>
        <w:t xml:space="preserve">. </w:t>
      </w:r>
    </w:p>
  </w:footnote>
  <w:footnote w:id="549">
    <w:p w14:paraId="1740DF56" w14:textId="7001AFF6" w:rsidR="000731A6" w:rsidRDefault="000731A6">
      <w:pPr>
        <w:pStyle w:val="FootnoteText"/>
      </w:pPr>
      <w:r>
        <w:rPr>
          <w:rStyle w:val="FootnoteReference"/>
        </w:rPr>
        <w:footnoteRef/>
      </w:r>
      <w:r>
        <w:t xml:space="preserve"> </w:t>
      </w:r>
      <w:r w:rsidR="000D3EBD">
        <w:t xml:space="preserve"> </w:t>
      </w:r>
      <w:r>
        <w:t>TURN Reply Brief, 5.</w:t>
      </w:r>
    </w:p>
  </w:footnote>
  <w:footnote w:id="550">
    <w:p w14:paraId="287C95BE" w14:textId="0BC851ED" w:rsidR="0023378C" w:rsidRDefault="0023378C">
      <w:pPr>
        <w:pStyle w:val="FootnoteText"/>
      </w:pPr>
      <w:r>
        <w:rPr>
          <w:rStyle w:val="FootnoteReference"/>
        </w:rPr>
        <w:footnoteRef/>
      </w:r>
      <w:r>
        <w:t xml:space="preserve"> </w:t>
      </w:r>
      <w:r w:rsidR="000D3EBD">
        <w:t xml:space="preserve"> </w:t>
      </w:r>
      <w:r>
        <w:t xml:space="preserve">PG&amp;E </w:t>
      </w:r>
      <w:r w:rsidR="00167889">
        <w:t>Opening</w:t>
      </w:r>
      <w:r>
        <w:t xml:space="preserve"> </w:t>
      </w:r>
      <w:r w:rsidR="00167889">
        <w:t>Brief, 8.</w:t>
      </w:r>
    </w:p>
  </w:footnote>
  <w:footnote w:id="551">
    <w:p w14:paraId="3BDA37CC" w14:textId="1EFBB7C2" w:rsidR="009C53FE" w:rsidRDefault="009C53FE">
      <w:pPr>
        <w:pStyle w:val="FootnoteText"/>
      </w:pPr>
      <w:r>
        <w:rPr>
          <w:rStyle w:val="FootnoteReference"/>
        </w:rPr>
        <w:footnoteRef/>
      </w:r>
      <w:r>
        <w:t xml:space="preserve"> </w:t>
      </w:r>
      <w:r w:rsidR="000D3EBD">
        <w:t xml:space="preserve"> </w:t>
      </w:r>
      <w:r w:rsidRPr="009C53FE">
        <w:t xml:space="preserve">This matches the </w:t>
      </w:r>
      <w:r>
        <w:t xml:space="preserve">household treatment goals approved </w:t>
      </w:r>
      <w:r w:rsidR="006C759C">
        <w:t xml:space="preserve">for the </w:t>
      </w:r>
      <w:r>
        <w:t>January 1- June 30,</w:t>
      </w:r>
      <w:r w:rsidRPr="009C53FE">
        <w:t xml:space="preserve"> </w:t>
      </w:r>
      <w:proofErr w:type="gramStart"/>
      <w:r w:rsidRPr="009C53FE">
        <w:t>2021</w:t>
      </w:r>
      <w:proofErr w:type="gramEnd"/>
      <w:r w:rsidRPr="009C53FE">
        <w:t xml:space="preserve"> </w:t>
      </w:r>
      <w:r w:rsidR="006C759C">
        <w:t xml:space="preserve">bridge period per </w:t>
      </w:r>
      <w:r w:rsidRPr="009C53FE">
        <w:t>PG&amp;E Advice Letter 6035-E-B/4351-G-B, SCE Advice Letter 4053-A, SoCalGas Advice Letter 5501-G-A, and SDG&amp;E Advice Letter 3612-E/2905-G, per D.19-06-022 and D.20</w:t>
      </w:r>
      <w:r w:rsidR="000D3EBD">
        <w:noBreakHyphen/>
      </w:r>
      <w:r w:rsidRPr="009C53FE">
        <w:t>08-033.</w:t>
      </w:r>
    </w:p>
  </w:footnote>
  <w:footnote w:id="552">
    <w:p w14:paraId="5419D9B7" w14:textId="32B33035" w:rsidR="00655890" w:rsidRDefault="00655890" w:rsidP="000C1980">
      <w:pPr>
        <w:pStyle w:val="FootnoteText"/>
      </w:pPr>
      <w:r>
        <w:rPr>
          <w:rStyle w:val="FootnoteReference"/>
        </w:rPr>
        <w:footnoteRef/>
      </w:r>
      <w:r>
        <w:t xml:space="preserve">  D.16-11-022 as modified by D.17-12-009, COL 99. </w:t>
      </w:r>
    </w:p>
  </w:footnote>
  <w:footnote w:id="553">
    <w:p w14:paraId="7EC2256E" w14:textId="77777777" w:rsidR="00655890" w:rsidRDefault="00655890" w:rsidP="000C1980">
      <w:pPr>
        <w:pStyle w:val="FootnoteText"/>
      </w:pPr>
      <w:r w:rsidRPr="008E169B">
        <w:rPr>
          <w:rStyle w:val="FootnoteReference"/>
        </w:rPr>
        <w:footnoteRef/>
      </w:r>
      <w:r w:rsidRPr="008E169B">
        <w:t xml:space="preserve"> </w:t>
      </w:r>
      <w:r>
        <w:t xml:space="preserve"> </w:t>
      </w:r>
      <w:r w:rsidRPr="00210F16">
        <w:rPr>
          <w:i/>
          <w:iCs/>
        </w:rPr>
        <w:t>See</w:t>
      </w:r>
      <w:r w:rsidRPr="008E169B">
        <w:t xml:space="preserve"> Section 6.</w:t>
      </w:r>
      <w:r>
        <w:t>4</w:t>
      </w:r>
      <w:r w:rsidRPr="006B2A3F">
        <w:t xml:space="preserve"> for discussion</w:t>
      </w:r>
      <w:r>
        <w:t xml:space="preserve"> on the renaming of resource and non-resource measures to energy saving and HCS measures. </w:t>
      </w:r>
    </w:p>
  </w:footnote>
  <w:footnote w:id="554">
    <w:p w14:paraId="7922F900" w14:textId="2F563335" w:rsidR="00655890" w:rsidRDefault="00655890" w:rsidP="000C1980">
      <w:pPr>
        <w:pStyle w:val="FootnoteText"/>
      </w:pPr>
      <w:r>
        <w:rPr>
          <w:rStyle w:val="FootnoteReference"/>
        </w:rPr>
        <w:footnoteRef/>
      </w:r>
      <w:r>
        <w:t xml:space="preserve">  Decision 19-06-022, 16-17. </w:t>
      </w:r>
    </w:p>
  </w:footnote>
  <w:footnote w:id="555">
    <w:p w14:paraId="4DB76192" w14:textId="77777777" w:rsidR="00655890" w:rsidRDefault="00655890" w:rsidP="000C1980">
      <w:pPr>
        <w:pStyle w:val="FootnoteText"/>
      </w:pPr>
      <w:r>
        <w:rPr>
          <w:rStyle w:val="FootnoteReference"/>
        </w:rPr>
        <w:footnoteRef/>
      </w:r>
      <w:r>
        <w:t xml:space="preserve">  PG&amp;E Rebuttal Testimony, I-24.</w:t>
      </w:r>
    </w:p>
  </w:footnote>
  <w:footnote w:id="556">
    <w:p w14:paraId="0F26FF86" w14:textId="77777777" w:rsidR="00655890" w:rsidRDefault="00655890" w:rsidP="000C1980">
      <w:pPr>
        <w:pStyle w:val="FootnoteText"/>
      </w:pPr>
      <w:r>
        <w:rPr>
          <w:rStyle w:val="FootnoteReference"/>
        </w:rPr>
        <w:footnoteRef/>
      </w:r>
      <w:r>
        <w:t xml:space="preserve">  </w:t>
      </w:r>
      <w:r w:rsidRPr="00210F16">
        <w:rPr>
          <w:i/>
          <w:iCs/>
        </w:rPr>
        <w:t>Ibid</w:t>
      </w:r>
      <w:r>
        <w:t>, I-25.</w:t>
      </w:r>
    </w:p>
  </w:footnote>
  <w:footnote w:id="557">
    <w:p w14:paraId="66257738" w14:textId="77777777" w:rsidR="00655890" w:rsidRDefault="00655890" w:rsidP="000C1980">
      <w:pPr>
        <w:pStyle w:val="FootnoteText"/>
      </w:pPr>
      <w:r>
        <w:rPr>
          <w:rStyle w:val="FootnoteReference"/>
        </w:rPr>
        <w:footnoteRef/>
      </w:r>
      <w:r>
        <w:t xml:space="preserve">  PG&amp;E Testimony, I-183.</w:t>
      </w:r>
    </w:p>
  </w:footnote>
  <w:footnote w:id="558">
    <w:p w14:paraId="465B7A62" w14:textId="6D3D834A" w:rsidR="00655890" w:rsidRDefault="00655890" w:rsidP="000C1980">
      <w:pPr>
        <w:pStyle w:val="FootnoteText"/>
      </w:pPr>
      <w:r>
        <w:rPr>
          <w:rStyle w:val="FootnoteReference"/>
        </w:rPr>
        <w:footnoteRef/>
      </w:r>
      <w:r>
        <w:t xml:space="preserve">  PG&amp;E Amended Testimony, I-114</w:t>
      </w:r>
      <w:r w:rsidR="002759C1">
        <w:t>.</w:t>
      </w:r>
    </w:p>
  </w:footnote>
  <w:footnote w:id="559">
    <w:p w14:paraId="3E72CFAD" w14:textId="1F4D22D2" w:rsidR="00655890" w:rsidRDefault="00655890" w:rsidP="000C1980">
      <w:pPr>
        <w:pStyle w:val="FootnoteText"/>
      </w:pPr>
      <w:r>
        <w:rPr>
          <w:rStyle w:val="FootnoteReference"/>
        </w:rPr>
        <w:footnoteRef/>
      </w:r>
      <w:r>
        <w:t xml:space="preserve">  PG&amp;E Testimony, I-120</w:t>
      </w:r>
      <w:r w:rsidR="002759C1">
        <w:t>.</w:t>
      </w:r>
    </w:p>
  </w:footnote>
  <w:footnote w:id="560">
    <w:p w14:paraId="55960407" w14:textId="698B32A5" w:rsidR="00655890" w:rsidRDefault="00655890" w:rsidP="000C1980">
      <w:pPr>
        <w:pStyle w:val="FootnoteText"/>
      </w:pPr>
      <w:r>
        <w:rPr>
          <w:rStyle w:val="FootnoteReference"/>
        </w:rPr>
        <w:footnoteRef/>
      </w:r>
      <w:r>
        <w:t xml:space="preserve">  </w:t>
      </w:r>
      <w:r w:rsidR="00CC1AFE" w:rsidRPr="00D5044E">
        <w:rPr>
          <w:i/>
          <w:iCs/>
        </w:rPr>
        <w:t>Ibid.</w:t>
      </w:r>
    </w:p>
  </w:footnote>
  <w:footnote w:id="561">
    <w:p w14:paraId="772554C2" w14:textId="77777777" w:rsidR="00655890" w:rsidRDefault="00655890" w:rsidP="000C1980">
      <w:pPr>
        <w:pStyle w:val="FootnoteText"/>
      </w:pPr>
      <w:r>
        <w:rPr>
          <w:rStyle w:val="FootnoteReference"/>
        </w:rPr>
        <w:footnoteRef/>
      </w:r>
      <w:r>
        <w:t xml:space="preserve">  PG&amp;E Testimony, I-133-34.</w:t>
      </w:r>
    </w:p>
  </w:footnote>
  <w:footnote w:id="562">
    <w:p w14:paraId="6E319CF8" w14:textId="1C22CDAB"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I-32-33.</w:t>
      </w:r>
    </w:p>
  </w:footnote>
  <w:footnote w:id="563">
    <w:p w14:paraId="005FD819" w14:textId="1E01CEB1" w:rsidR="00655890" w:rsidRDefault="00655890" w:rsidP="000C1980">
      <w:pPr>
        <w:pStyle w:val="FootnoteText"/>
      </w:pPr>
      <w:r>
        <w:rPr>
          <w:rStyle w:val="FootnoteReference"/>
        </w:rPr>
        <w:footnoteRef/>
      </w:r>
      <w:r>
        <w:t xml:space="preserve">  SCE</w:t>
      </w:r>
      <w:r w:rsidRPr="00885498">
        <w:t xml:space="preserve"> </w:t>
      </w:r>
      <w:r>
        <w:t>Prepared Testimony, II-103.</w:t>
      </w:r>
    </w:p>
  </w:footnote>
  <w:footnote w:id="564">
    <w:p w14:paraId="77F1F040" w14:textId="0E299B92"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II- 63.</w:t>
      </w:r>
    </w:p>
  </w:footnote>
  <w:footnote w:id="565">
    <w:p w14:paraId="179AB7CC" w14:textId="0ECD81CE"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II- 64.</w:t>
      </w:r>
    </w:p>
  </w:footnote>
  <w:footnote w:id="566">
    <w:p w14:paraId="2589C83B" w14:textId="7F72C9E1" w:rsidR="00655890" w:rsidRDefault="00655890" w:rsidP="000C1980">
      <w:pPr>
        <w:pStyle w:val="FootnoteText"/>
      </w:pPr>
      <w:r>
        <w:rPr>
          <w:rStyle w:val="FootnoteReference"/>
        </w:rPr>
        <w:footnoteRef/>
      </w:r>
      <w:r>
        <w:t xml:space="preserve">  Cal Advocates Prepared Testimony of Stanley Kuan, 1-23. </w:t>
      </w:r>
    </w:p>
  </w:footnote>
  <w:footnote w:id="567">
    <w:p w14:paraId="31D33EF9" w14:textId="7CF961BF" w:rsidR="00655890" w:rsidRDefault="00655890" w:rsidP="000C1980">
      <w:pPr>
        <w:pStyle w:val="FootnoteText"/>
      </w:pPr>
      <w:r>
        <w:rPr>
          <w:rStyle w:val="FootnoteReference"/>
        </w:rPr>
        <w:footnoteRef/>
      </w:r>
      <w:r>
        <w:t xml:space="preserve">  </w:t>
      </w:r>
      <w:r w:rsidR="006325DC" w:rsidRPr="00D5044E">
        <w:rPr>
          <w:i/>
          <w:iCs/>
        </w:rPr>
        <w:t>Ibid.</w:t>
      </w:r>
      <w:r>
        <w:t xml:space="preserve"> </w:t>
      </w:r>
    </w:p>
  </w:footnote>
  <w:footnote w:id="568">
    <w:p w14:paraId="1023B180" w14:textId="315D856D" w:rsidR="00655890" w:rsidRDefault="00655890" w:rsidP="000C1980">
      <w:pPr>
        <w:pStyle w:val="FootnoteText"/>
      </w:pPr>
      <w:r>
        <w:rPr>
          <w:rStyle w:val="FootnoteReference"/>
        </w:rPr>
        <w:footnoteRef/>
      </w:r>
      <w:r>
        <w:t xml:space="preserve">  Cal Advocates Prepared Testimony of Stanley Kuan, 1-23-24.</w:t>
      </w:r>
    </w:p>
  </w:footnote>
  <w:footnote w:id="569">
    <w:p w14:paraId="445D2336" w14:textId="77777777" w:rsidR="00655890" w:rsidRDefault="00655890" w:rsidP="000C1980">
      <w:pPr>
        <w:pStyle w:val="FootnoteText"/>
      </w:pPr>
      <w:r>
        <w:rPr>
          <w:rStyle w:val="FootnoteReference"/>
        </w:rPr>
        <w:footnoteRef/>
      </w:r>
      <w:r>
        <w:t xml:space="preserve">  </w:t>
      </w:r>
      <w:r w:rsidRPr="006B76A5">
        <w:t>The U</w:t>
      </w:r>
      <w:r>
        <w:t xml:space="preserve">tility </w:t>
      </w:r>
      <w:r w:rsidRPr="006B76A5">
        <w:t>C</w:t>
      </w:r>
      <w:r>
        <w:t xml:space="preserve">ost </w:t>
      </w:r>
      <w:r w:rsidRPr="006B76A5">
        <w:t>T</w:t>
      </w:r>
      <w:r>
        <w:t>est</w:t>
      </w:r>
      <w:r w:rsidRPr="006B76A5">
        <w:t xml:space="preserve"> accounted for administrative costs, avoided costs of supplying electricity, capital (measure)</w:t>
      </w:r>
      <w:r>
        <w:t xml:space="preserve"> </w:t>
      </w:r>
      <w:r w:rsidRPr="006B76A5">
        <w:t>costs to the utility, and utility non-energy benefits.</w:t>
      </w:r>
      <w:r>
        <w:t xml:space="preserve"> </w:t>
      </w:r>
      <w:r w:rsidRPr="00116582">
        <w:t xml:space="preserve"> </w:t>
      </w:r>
      <w:r w:rsidRPr="006B76A5">
        <w:t>The M</w:t>
      </w:r>
      <w:r>
        <w:t xml:space="preserve">odified </w:t>
      </w:r>
      <w:r w:rsidRPr="006B76A5">
        <w:t>P</w:t>
      </w:r>
      <w:r>
        <w:t xml:space="preserve">articipant </w:t>
      </w:r>
      <w:r w:rsidRPr="006B76A5">
        <w:t>T</w:t>
      </w:r>
      <w:r>
        <w:t>est</w:t>
      </w:r>
      <w:r w:rsidRPr="006B76A5">
        <w:t xml:space="preserve"> accounted for administrative costs, net bill</w:t>
      </w:r>
      <w:r>
        <w:t xml:space="preserve"> </w:t>
      </w:r>
      <w:r w:rsidRPr="006B76A5">
        <w:t>reductions, capital (measure) costs to the utility, and participant non-energy benefits.</w:t>
      </w:r>
    </w:p>
  </w:footnote>
  <w:footnote w:id="570">
    <w:p w14:paraId="441CB2CC" w14:textId="60134B3E" w:rsidR="00655890" w:rsidRDefault="00655890" w:rsidP="000C1980">
      <w:pPr>
        <w:pStyle w:val="FootnoteText"/>
      </w:pPr>
      <w:r>
        <w:rPr>
          <w:rStyle w:val="FootnoteReference"/>
        </w:rPr>
        <w:footnoteRef/>
      </w:r>
      <w:r>
        <w:t xml:space="preserve">  </w:t>
      </w:r>
      <w:r w:rsidRPr="00E867A8">
        <w:t>D</w:t>
      </w:r>
      <w:r>
        <w:t xml:space="preserve">ecision </w:t>
      </w:r>
      <w:r w:rsidRPr="00E867A8">
        <w:t>14-08-030 at 121, OP 43; Energy Savings Assistance Program Cost-Effectiveness White Paper,</w:t>
      </w:r>
      <w:r>
        <w:t xml:space="preserve"> </w:t>
      </w:r>
      <w:r w:rsidRPr="00E867A8">
        <w:t>Attachment A</w:t>
      </w:r>
      <w:r>
        <w:t>,</w:t>
      </w:r>
      <w:r w:rsidRPr="00E867A8">
        <w:t xml:space="preserve"> 2. </w:t>
      </w:r>
    </w:p>
  </w:footnote>
  <w:footnote w:id="571">
    <w:p w14:paraId="1C041055" w14:textId="5631DAD8" w:rsidR="00655890" w:rsidRDefault="00655890" w:rsidP="000C1980">
      <w:pPr>
        <w:pStyle w:val="FootnoteText"/>
      </w:pPr>
      <w:r>
        <w:rPr>
          <w:rStyle w:val="FootnoteReference"/>
        </w:rPr>
        <w:footnoteRef/>
      </w:r>
      <w:r>
        <w:t xml:space="preserve">  </w:t>
      </w:r>
      <w:r w:rsidRPr="00DF25D5">
        <w:t>D</w:t>
      </w:r>
      <w:r>
        <w:t xml:space="preserve">ecision </w:t>
      </w:r>
      <w:r w:rsidRPr="00DF25D5">
        <w:t>14-08-030 at 122</w:t>
      </w:r>
      <w:r>
        <w:t xml:space="preserve">, </w:t>
      </w:r>
      <w:r w:rsidRPr="00DF25D5">
        <w:t>OP 44</w:t>
      </w:r>
      <w:r>
        <w:t>.</w:t>
      </w:r>
    </w:p>
  </w:footnote>
  <w:footnote w:id="572">
    <w:p w14:paraId="62F346A6" w14:textId="36FA018F" w:rsidR="00655890" w:rsidRDefault="00655890" w:rsidP="000C1980">
      <w:pPr>
        <w:pStyle w:val="FootnoteText"/>
      </w:pPr>
      <w:r>
        <w:rPr>
          <w:rStyle w:val="FootnoteReference"/>
        </w:rPr>
        <w:footnoteRef/>
      </w:r>
      <w:r>
        <w:t xml:space="preserve">  Cal Advocates Prepared Testimony of Stanley Kuan, 1-28.</w:t>
      </w:r>
    </w:p>
  </w:footnote>
  <w:footnote w:id="573">
    <w:p w14:paraId="29EA29DE" w14:textId="01A38E03" w:rsidR="00655890" w:rsidRDefault="00655890" w:rsidP="000C1980">
      <w:pPr>
        <w:pStyle w:val="FootnoteText"/>
      </w:pPr>
      <w:r>
        <w:rPr>
          <w:rStyle w:val="FootnoteReference"/>
        </w:rPr>
        <w:footnoteRef/>
      </w:r>
      <w:r>
        <w:t xml:space="preserve">  Cal Advocates Amended Testimony, 1-30.</w:t>
      </w:r>
    </w:p>
  </w:footnote>
  <w:footnote w:id="574">
    <w:p w14:paraId="17550224" w14:textId="4C62D18A" w:rsidR="00655890" w:rsidRDefault="00655890" w:rsidP="000C1980">
      <w:pPr>
        <w:pStyle w:val="FootnoteText"/>
      </w:pPr>
      <w:r>
        <w:rPr>
          <w:rStyle w:val="FootnoteReference"/>
        </w:rPr>
        <w:footnoteRef/>
      </w:r>
      <w:r>
        <w:t xml:space="preserve">  Cal Advocates Prepared Testimony of Stanley Kuan, 1-25.</w:t>
      </w:r>
    </w:p>
  </w:footnote>
  <w:footnote w:id="575">
    <w:p w14:paraId="333FE669" w14:textId="6127B6FD" w:rsidR="00655890" w:rsidRDefault="00655890" w:rsidP="000C1980">
      <w:pPr>
        <w:pStyle w:val="FootnoteText"/>
      </w:pPr>
      <w:r>
        <w:rPr>
          <w:rStyle w:val="FootnoteReference"/>
        </w:rPr>
        <w:footnoteRef/>
      </w:r>
      <w:r>
        <w:t xml:space="preserve">  </w:t>
      </w:r>
      <w:r w:rsidRPr="005B12EC">
        <w:t>Cal Advocates Comments on ED Staff Proposal</w:t>
      </w:r>
      <w:r>
        <w:t>,</w:t>
      </w:r>
      <w:r w:rsidRPr="005B12EC">
        <w:t xml:space="preserve"> 12-13.</w:t>
      </w:r>
    </w:p>
  </w:footnote>
  <w:footnote w:id="576">
    <w:p w14:paraId="357720FD" w14:textId="6E57486C" w:rsidR="00655890" w:rsidRDefault="00655890" w:rsidP="000C1980">
      <w:pPr>
        <w:pStyle w:val="FootnoteText"/>
      </w:pPr>
      <w:r>
        <w:rPr>
          <w:rStyle w:val="FootnoteReference"/>
        </w:rPr>
        <w:footnoteRef/>
      </w:r>
      <w:r>
        <w:t xml:space="preserve">  </w:t>
      </w:r>
      <w:r w:rsidRPr="0024106A">
        <w:t xml:space="preserve">Cal Advocated Amended Testimony Exhibit </w:t>
      </w:r>
      <w:r>
        <w:t>II,</w:t>
      </w:r>
      <w:r w:rsidRPr="0024106A">
        <w:t xml:space="preserve"> 25</w:t>
      </w:r>
      <w:r>
        <w:t>-26.</w:t>
      </w:r>
    </w:p>
  </w:footnote>
  <w:footnote w:id="577">
    <w:p w14:paraId="36395165" w14:textId="57483587" w:rsidR="00655890" w:rsidRDefault="00655890" w:rsidP="000C1980">
      <w:pPr>
        <w:pStyle w:val="FootnoteText"/>
      </w:pPr>
      <w:r>
        <w:rPr>
          <w:rStyle w:val="FootnoteReference"/>
        </w:rPr>
        <w:footnoteRef/>
      </w:r>
      <w:r>
        <w:t xml:space="preserve">  Cal Advocated Amended Testimony Exhibit II, 25.</w:t>
      </w:r>
    </w:p>
  </w:footnote>
  <w:footnote w:id="578">
    <w:p w14:paraId="4FF44E1B" w14:textId="12197DDD" w:rsidR="00655890" w:rsidRDefault="00655890" w:rsidP="000C1980">
      <w:pPr>
        <w:pStyle w:val="FootnoteText"/>
      </w:pPr>
      <w:r>
        <w:rPr>
          <w:rStyle w:val="FootnoteReference"/>
        </w:rPr>
        <w:footnoteRef/>
      </w:r>
      <w:r>
        <w:t xml:space="preserve">  </w:t>
      </w:r>
      <w:r w:rsidRPr="00BA5E68">
        <w:t xml:space="preserve">In 2020, the IOUs contracted with APPRISE, a nonprofit research institute that specializes in energy research, to conduct this study of NEBs that arise from the ESA program. </w:t>
      </w:r>
      <w:r>
        <w:t xml:space="preserve"> </w:t>
      </w:r>
      <w:r w:rsidRPr="00BA5E68">
        <w:t>This report provides findings and recommendations from a review and assessment of the previous ESA NEB study that was conducted in 2019, and review of additional NEB research conducted around the country. Study link:</w:t>
      </w:r>
      <w:r>
        <w:t xml:space="preserve"> </w:t>
      </w:r>
      <w:hyperlink r:id="rId11" w:history="1">
        <w:r w:rsidRPr="002B2653">
          <w:rPr>
            <w:rStyle w:val="Hyperlink"/>
          </w:rPr>
          <w:t>https://pda.energydataweb.com/api/view/2471/Final%20CA%20ESA%20NEB%20Report%201-25-21_.pdf</w:t>
        </w:r>
      </w:hyperlink>
      <w:r w:rsidR="000E1A64">
        <w:rPr>
          <w:rStyle w:val="Hyperlink"/>
        </w:rPr>
        <w:t>.</w:t>
      </w:r>
      <w:r>
        <w:t xml:space="preserve"> </w:t>
      </w:r>
    </w:p>
  </w:footnote>
  <w:footnote w:id="579">
    <w:p w14:paraId="6A654769" w14:textId="51B068D0" w:rsidR="00655890" w:rsidRDefault="00655890" w:rsidP="000C1980">
      <w:pPr>
        <w:pStyle w:val="FootnoteText"/>
      </w:pPr>
      <w:r>
        <w:rPr>
          <w:rStyle w:val="FootnoteReference"/>
        </w:rPr>
        <w:footnoteRef/>
      </w:r>
      <w:r>
        <w:t xml:space="preserve">  Cal Advocated Amended Testimony Exhibit 2, 25.</w:t>
      </w:r>
    </w:p>
  </w:footnote>
  <w:footnote w:id="580">
    <w:p w14:paraId="4A716CAC" w14:textId="3C1541C8" w:rsidR="00655890" w:rsidRDefault="00655890" w:rsidP="000C1980">
      <w:pPr>
        <w:pStyle w:val="FootnoteText"/>
      </w:pPr>
      <w:r>
        <w:rPr>
          <w:rStyle w:val="FootnoteReference"/>
        </w:rPr>
        <w:footnoteRef/>
      </w:r>
      <w:r>
        <w:t xml:space="preserve">  </w:t>
      </w:r>
      <w:r w:rsidRPr="006C68A6">
        <w:t>TURN</w:t>
      </w:r>
      <w:r>
        <w:t xml:space="preserve"> </w:t>
      </w:r>
      <w:r w:rsidRPr="006C68A6">
        <w:t>Rebuttal</w:t>
      </w:r>
      <w:r>
        <w:t xml:space="preserve"> T</w:t>
      </w:r>
      <w:r w:rsidRPr="008B72AA">
        <w:t>estimony, Alice Napoleon, 1</w:t>
      </w:r>
      <w:r>
        <w:t xml:space="preserve">2. </w:t>
      </w:r>
    </w:p>
  </w:footnote>
  <w:footnote w:id="581">
    <w:p w14:paraId="7C62E10A" w14:textId="3B695397" w:rsidR="00655890" w:rsidRDefault="00655890" w:rsidP="000C1980">
      <w:pPr>
        <w:pStyle w:val="FootnoteText"/>
      </w:pPr>
      <w:r>
        <w:rPr>
          <w:rStyle w:val="FootnoteReference"/>
        </w:rPr>
        <w:footnoteRef/>
      </w:r>
      <w:r>
        <w:t xml:space="preserve">  </w:t>
      </w:r>
      <w:r w:rsidRPr="006C68A6">
        <w:t>TURN</w:t>
      </w:r>
      <w:r>
        <w:t xml:space="preserve"> T</w:t>
      </w:r>
      <w:r w:rsidRPr="008B72AA">
        <w:t>estimony, Alice Napoleon, 1</w:t>
      </w:r>
      <w:r>
        <w:t>9.</w:t>
      </w:r>
    </w:p>
  </w:footnote>
  <w:footnote w:id="582">
    <w:p w14:paraId="38FEBE92" w14:textId="1035CB46" w:rsidR="00116FFF" w:rsidRDefault="00116FFF">
      <w:pPr>
        <w:pStyle w:val="FootnoteText"/>
      </w:pPr>
      <w:r>
        <w:rPr>
          <w:rStyle w:val="FootnoteReference"/>
        </w:rPr>
        <w:footnoteRef/>
      </w:r>
      <w:r>
        <w:t xml:space="preserve"> </w:t>
      </w:r>
      <w:r w:rsidR="000D3EBD">
        <w:t xml:space="preserve"> </w:t>
      </w:r>
      <w:r>
        <w:t>TURN Opening Brief, 27</w:t>
      </w:r>
      <w:r w:rsidR="006A552B">
        <w:t>-29</w:t>
      </w:r>
      <w:r>
        <w:t>.</w:t>
      </w:r>
    </w:p>
  </w:footnote>
  <w:footnote w:id="583">
    <w:p w14:paraId="205DE03B" w14:textId="4BED7E5B" w:rsidR="00655890" w:rsidRDefault="00655890" w:rsidP="000C1980">
      <w:pPr>
        <w:pStyle w:val="FootnoteText"/>
      </w:pPr>
      <w:r>
        <w:rPr>
          <w:rStyle w:val="FootnoteReference"/>
        </w:rPr>
        <w:footnoteRef/>
      </w:r>
      <w:r>
        <w:t xml:space="preserve">  </w:t>
      </w:r>
      <w:r w:rsidRPr="006C68A6">
        <w:t>TURN</w:t>
      </w:r>
      <w:r>
        <w:t xml:space="preserve"> </w:t>
      </w:r>
      <w:r w:rsidRPr="006C68A6">
        <w:t>Rebuttal</w:t>
      </w:r>
      <w:r>
        <w:t xml:space="preserve"> T</w:t>
      </w:r>
      <w:r w:rsidRPr="008B72AA">
        <w:t>estimony, Alice Napoleon, 1</w:t>
      </w:r>
      <w:r>
        <w:t>3-14.</w:t>
      </w:r>
    </w:p>
  </w:footnote>
  <w:footnote w:id="584">
    <w:p w14:paraId="4C6FFDF1" w14:textId="0965C435"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rsidRPr="008B72AA">
        <w:t>1</w:t>
      </w:r>
      <w:r>
        <w:t>3.</w:t>
      </w:r>
    </w:p>
  </w:footnote>
  <w:footnote w:id="585">
    <w:p w14:paraId="7F6DDD77" w14:textId="5319499C" w:rsidR="00655890" w:rsidRDefault="00655890" w:rsidP="000C1980">
      <w:pPr>
        <w:pStyle w:val="FootnoteText"/>
      </w:pPr>
      <w:r>
        <w:rPr>
          <w:rStyle w:val="FootnoteReference"/>
        </w:rPr>
        <w:footnoteRef/>
      </w:r>
      <w:r>
        <w:t xml:space="preserve">  </w:t>
      </w:r>
      <w:r w:rsidRPr="006C68A6">
        <w:t>TURN</w:t>
      </w:r>
      <w:r>
        <w:t xml:space="preserve"> </w:t>
      </w:r>
      <w:r w:rsidR="001B6595">
        <w:t>Opening Brief, 26-27</w:t>
      </w:r>
      <w:r>
        <w:t>.</w:t>
      </w:r>
    </w:p>
  </w:footnote>
  <w:footnote w:id="586">
    <w:p w14:paraId="34D6130B" w14:textId="024C2CE4" w:rsidR="00655890" w:rsidRDefault="00655890" w:rsidP="000C1980">
      <w:pPr>
        <w:pStyle w:val="FootnoteText"/>
      </w:pPr>
      <w:r>
        <w:rPr>
          <w:rStyle w:val="FootnoteReference"/>
        </w:rPr>
        <w:footnoteRef/>
      </w:r>
      <w:r>
        <w:t xml:space="preserve">  </w:t>
      </w:r>
      <w:r w:rsidRPr="0051094B">
        <w:t xml:space="preserve">Joint Parties' Testimony </w:t>
      </w:r>
      <w:r>
        <w:t xml:space="preserve">of </w:t>
      </w:r>
      <w:r w:rsidRPr="0051094B">
        <w:t>Mohit Chhabra</w:t>
      </w:r>
      <w:r>
        <w:t>, 11.</w:t>
      </w:r>
    </w:p>
  </w:footnote>
  <w:footnote w:id="587">
    <w:p w14:paraId="13A56DBB" w14:textId="0C29DA57" w:rsidR="00655890" w:rsidRDefault="00655890" w:rsidP="000C1980">
      <w:pPr>
        <w:pStyle w:val="FootnoteText"/>
      </w:pPr>
      <w:r>
        <w:rPr>
          <w:rStyle w:val="FootnoteReference"/>
        </w:rPr>
        <w:footnoteRef/>
      </w:r>
      <w:r>
        <w:t xml:space="preserve">  EEC and TELACU at el. Comments </w:t>
      </w:r>
      <w:r w:rsidRPr="00FC0A58">
        <w:t xml:space="preserve">on June 25, </w:t>
      </w:r>
      <w:proofErr w:type="gramStart"/>
      <w:r w:rsidRPr="00FC0A58">
        <w:t>2020</w:t>
      </w:r>
      <w:proofErr w:type="gramEnd"/>
      <w:r w:rsidRPr="00FC0A58">
        <w:t xml:space="preserve"> ALJ </w:t>
      </w:r>
      <w:r w:rsidR="00CA3BB1">
        <w:t>R</w:t>
      </w:r>
      <w:r w:rsidRPr="00FC0A58">
        <w:t>uling</w:t>
      </w:r>
      <w:r>
        <w:t>, 8.</w:t>
      </w:r>
    </w:p>
  </w:footnote>
  <w:footnote w:id="588">
    <w:p w14:paraId="4C6F6584" w14:textId="15F707C5" w:rsidR="00655890" w:rsidRDefault="00655890" w:rsidP="000C1980">
      <w:pPr>
        <w:pStyle w:val="FootnoteText"/>
      </w:pPr>
      <w:r>
        <w:rPr>
          <w:rStyle w:val="FootnoteReference"/>
        </w:rPr>
        <w:footnoteRef/>
      </w:r>
      <w:r>
        <w:t xml:space="preserve">  PCF Testimony of Bill Powers, 14.</w:t>
      </w:r>
    </w:p>
  </w:footnote>
  <w:footnote w:id="589">
    <w:p w14:paraId="689656D6" w14:textId="4114F19B" w:rsidR="00655890" w:rsidRDefault="00655890" w:rsidP="000C1980">
      <w:pPr>
        <w:pStyle w:val="FootnoteText"/>
      </w:pPr>
      <w:r>
        <w:rPr>
          <w:rStyle w:val="FootnoteReference"/>
        </w:rPr>
        <w:footnoteRef/>
      </w:r>
      <w:r>
        <w:t xml:space="preserve">  PG&amp;E Rebuttal Testimony, I-13-14.</w:t>
      </w:r>
    </w:p>
  </w:footnote>
  <w:footnote w:id="590">
    <w:p w14:paraId="71055639" w14:textId="261D306B" w:rsidR="0057237F" w:rsidRDefault="0057237F">
      <w:pPr>
        <w:pStyle w:val="FootnoteText"/>
      </w:pPr>
      <w:r>
        <w:rPr>
          <w:rStyle w:val="FootnoteReference"/>
        </w:rPr>
        <w:footnoteRef/>
      </w:r>
      <w:r>
        <w:t xml:space="preserve"> PG&amp;E Reply Brief, 8.</w:t>
      </w:r>
    </w:p>
  </w:footnote>
  <w:footnote w:id="591">
    <w:p w14:paraId="6A8E406F" w14:textId="22382A65" w:rsidR="00655890" w:rsidRDefault="00655890" w:rsidP="000C1980">
      <w:pPr>
        <w:pStyle w:val="FootnoteText"/>
      </w:pPr>
      <w:r>
        <w:rPr>
          <w:rStyle w:val="FootnoteReference"/>
        </w:rPr>
        <w:footnoteRef/>
      </w:r>
      <w:r>
        <w:t xml:space="preserve">  PG&amp;E Rebuttal Testimony, I-20-21.</w:t>
      </w:r>
    </w:p>
  </w:footnote>
  <w:footnote w:id="592">
    <w:p w14:paraId="6E4AC35B" w14:textId="3CA9E7F7"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I-17-18.</w:t>
      </w:r>
    </w:p>
  </w:footnote>
  <w:footnote w:id="593">
    <w:p w14:paraId="45355C84" w14:textId="5D34B696"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I-19.</w:t>
      </w:r>
    </w:p>
  </w:footnote>
  <w:footnote w:id="594">
    <w:p w14:paraId="2B2B0181" w14:textId="486BDDB7" w:rsidR="00655890" w:rsidRDefault="00655890" w:rsidP="000C1980">
      <w:pPr>
        <w:pStyle w:val="FootnoteText"/>
      </w:pPr>
      <w:r>
        <w:rPr>
          <w:rStyle w:val="FootnoteReference"/>
        </w:rPr>
        <w:footnoteRef/>
      </w:r>
      <w:r>
        <w:t xml:space="preserve">  SCE Amended Rebuttal Testimony, 18-22.</w:t>
      </w:r>
    </w:p>
  </w:footnote>
  <w:footnote w:id="595">
    <w:p w14:paraId="2BE58BA1" w14:textId="32040FC2" w:rsidR="00655890" w:rsidRPr="005B0C45" w:rsidRDefault="00655890" w:rsidP="000C1980">
      <w:pPr>
        <w:pStyle w:val="FootnoteText"/>
      </w:pPr>
      <w:r>
        <w:rPr>
          <w:rStyle w:val="FootnoteReference"/>
        </w:rPr>
        <w:footnoteRef/>
      </w:r>
      <w:r>
        <w:t xml:space="preserve">  SoCalGas Rebuttal </w:t>
      </w:r>
      <w:r w:rsidRPr="005B0C45">
        <w:t>Testimony of M</w:t>
      </w:r>
      <w:r>
        <w:t xml:space="preserve">ark </w:t>
      </w:r>
      <w:r w:rsidRPr="005B0C45">
        <w:t>A. A</w:t>
      </w:r>
      <w:r>
        <w:t xml:space="preserve">guirre and </w:t>
      </w:r>
      <w:r w:rsidRPr="005B0C45">
        <w:t>E</w:t>
      </w:r>
      <w:r>
        <w:t xml:space="preserve">rin </w:t>
      </w:r>
      <w:r w:rsidRPr="005B0C45">
        <w:t>P.</w:t>
      </w:r>
      <w:r>
        <w:t xml:space="preserve"> </w:t>
      </w:r>
      <w:r w:rsidRPr="005B0C45">
        <w:t>B</w:t>
      </w:r>
      <w:r>
        <w:t xml:space="preserve">rooks, </w:t>
      </w:r>
      <w:r w:rsidRPr="005B0C45">
        <w:t>15-17.</w:t>
      </w:r>
    </w:p>
  </w:footnote>
  <w:footnote w:id="596">
    <w:p w14:paraId="202A6A32" w14:textId="670EDC68" w:rsidR="00655890" w:rsidRDefault="00655890" w:rsidP="000C1980">
      <w:pPr>
        <w:pStyle w:val="FootnoteText"/>
      </w:pPr>
      <w:r>
        <w:rPr>
          <w:rStyle w:val="FootnoteReference"/>
        </w:rPr>
        <w:footnoteRef/>
      </w:r>
      <w:r>
        <w:t xml:space="preserve">  SDG&amp;E Rebuttal, </w:t>
      </w:r>
      <w:r w:rsidRPr="00516690">
        <w:t>BG-ESACET</w:t>
      </w:r>
      <w:r>
        <w:t xml:space="preserve"> 2-4.</w:t>
      </w:r>
    </w:p>
  </w:footnote>
  <w:footnote w:id="597">
    <w:p w14:paraId="1638B750" w14:textId="19448BC0"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rsidRPr="00516690">
        <w:t>BG-ESACET</w:t>
      </w:r>
      <w:r>
        <w:t xml:space="preserve"> </w:t>
      </w:r>
      <w:r w:rsidRPr="00516690">
        <w:t>4</w:t>
      </w:r>
      <w:r>
        <w:t>-5</w:t>
      </w:r>
      <w:r w:rsidRPr="00516690">
        <w:t>.</w:t>
      </w:r>
    </w:p>
  </w:footnote>
  <w:footnote w:id="598">
    <w:p w14:paraId="18DD45EA" w14:textId="6FE222B2"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rsidRPr="00516690">
        <w:t>BG-ESACET</w:t>
      </w:r>
      <w:r>
        <w:t xml:space="preserve"> 6-8</w:t>
      </w:r>
      <w:r w:rsidRPr="00516690">
        <w:t>.</w:t>
      </w:r>
    </w:p>
  </w:footnote>
  <w:footnote w:id="599">
    <w:p w14:paraId="7BCFF147" w14:textId="77777777" w:rsidR="00655890" w:rsidRDefault="00655890" w:rsidP="000C1980">
      <w:pPr>
        <w:pStyle w:val="FootnoteText"/>
      </w:pPr>
      <w:r>
        <w:rPr>
          <w:rStyle w:val="FootnoteReference"/>
        </w:rPr>
        <w:footnoteRef/>
      </w:r>
      <w:r>
        <w:t xml:space="preserve">  PG&amp;E Amended Testimony, I-114. </w:t>
      </w:r>
    </w:p>
  </w:footnote>
  <w:footnote w:id="600">
    <w:p w14:paraId="736837BC" w14:textId="3324456B" w:rsidR="00655890" w:rsidRDefault="00655890" w:rsidP="000C1980">
      <w:pPr>
        <w:pStyle w:val="FootnoteText"/>
      </w:pPr>
      <w:r>
        <w:rPr>
          <w:rStyle w:val="FootnoteReference"/>
        </w:rPr>
        <w:footnoteRef/>
      </w:r>
      <w:r>
        <w:t xml:space="preserve">  </w:t>
      </w:r>
      <w:r w:rsidRPr="008D3B40">
        <w:t>Recommendations of the Energy Savings Assistance Program Cost</w:t>
      </w:r>
      <w:r>
        <w:t>-</w:t>
      </w:r>
      <w:r w:rsidRPr="008D3B40">
        <w:t>Effectiveness Working Group, June 2018</w:t>
      </w:r>
      <w:r>
        <w:t>, 4.</w:t>
      </w:r>
    </w:p>
  </w:footnote>
  <w:footnote w:id="601">
    <w:p w14:paraId="002F2CC0" w14:textId="77777777" w:rsidR="00655890" w:rsidRDefault="00655890" w:rsidP="000C1980">
      <w:pPr>
        <w:pStyle w:val="FootnoteText"/>
      </w:pPr>
      <w:r>
        <w:rPr>
          <w:rStyle w:val="FootnoteReference"/>
        </w:rPr>
        <w:footnoteRef/>
      </w:r>
      <w:r>
        <w:t xml:space="preserve">  SDG&amp;E Rebuttal Testimony of Brenda Gettig, 5. </w:t>
      </w:r>
    </w:p>
  </w:footnote>
  <w:footnote w:id="602">
    <w:p w14:paraId="2CD46232" w14:textId="77777777" w:rsidR="00655890" w:rsidRDefault="00655890" w:rsidP="000C1980">
      <w:pPr>
        <w:pStyle w:val="FootnoteText"/>
      </w:pPr>
      <w:r>
        <w:rPr>
          <w:rStyle w:val="FootnoteReference"/>
        </w:rPr>
        <w:footnoteRef/>
      </w:r>
      <w:r>
        <w:t xml:space="preserve">  </w:t>
      </w:r>
      <w:r w:rsidRPr="00322728">
        <w:rPr>
          <w:i/>
          <w:iCs/>
        </w:rPr>
        <w:t>Ibid</w:t>
      </w:r>
      <w:r>
        <w:t>, 6.</w:t>
      </w:r>
    </w:p>
  </w:footnote>
  <w:footnote w:id="603">
    <w:p w14:paraId="6AC7E497" w14:textId="3BCCA381" w:rsidR="00655890" w:rsidRDefault="00655890" w:rsidP="000C1980">
      <w:pPr>
        <w:pStyle w:val="FootnoteText"/>
      </w:pPr>
      <w:r>
        <w:rPr>
          <w:rStyle w:val="FootnoteReference"/>
        </w:rPr>
        <w:footnoteRef/>
      </w:r>
      <w:r>
        <w:t xml:space="preserve">  Decision 19-06-022 Attachment A, 12.</w:t>
      </w:r>
    </w:p>
  </w:footnote>
  <w:footnote w:id="604">
    <w:p w14:paraId="11996793" w14:textId="77777777" w:rsidR="00655890" w:rsidRDefault="00655890" w:rsidP="000C1980">
      <w:pPr>
        <w:pStyle w:val="FootnoteText"/>
      </w:pPr>
      <w:r>
        <w:rPr>
          <w:rStyle w:val="FootnoteReference"/>
        </w:rPr>
        <w:footnoteRef/>
      </w:r>
      <w:r>
        <w:t xml:space="preserve">  PG&amp;E Testimony, I-82-83.</w:t>
      </w:r>
    </w:p>
  </w:footnote>
  <w:footnote w:id="605">
    <w:p w14:paraId="4527297A" w14:textId="5159F94E"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I-75.</w:t>
      </w:r>
    </w:p>
  </w:footnote>
  <w:footnote w:id="606">
    <w:p w14:paraId="0A6EF435" w14:textId="03BDFBE2"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I-76.</w:t>
      </w:r>
    </w:p>
  </w:footnote>
  <w:footnote w:id="607">
    <w:p w14:paraId="5D9B4249" w14:textId="2A74B8B6"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I-77.</w:t>
      </w:r>
    </w:p>
  </w:footnote>
  <w:footnote w:id="608">
    <w:p w14:paraId="284ACABB" w14:textId="5ADEED04"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I-50-51.</w:t>
      </w:r>
    </w:p>
  </w:footnote>
  <w:footnote w:id="609">
    <w:p w14:paraId="5850241A" w14:textId="3537968F"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I-80.</w:t>
      </w:r>
    </w:p>
  </w:footnote>
  <w:footnote w:id="610">
    <w:p w14:paraId="1585CDD1" w14:textId="3097B934"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I-95.</w:t>
      </w:r>
    </w:p>
  </w:footnote>
  <w:footnote w:id="611">
    <w:p w14:paraId="493592A2" w14:textId="2AB84155" w:rsidR="00655890" w:rsidRDefault="00655890" w:rsidP="000C1980">
      <w:pPr>
        <w:pStyle w:val="FootnoteText"/>
      </w:pPr>
      <w:r>
        <w:rPr>
          <w:rStyle w:val="FootnoteReference"/>
        </w:rPr>
        <w:footnoteRef/>
      </w:r>
      <w:r>
        <w:t xml:space="preserve">  SCE</w:t>
      </w:r>
      <w:r w:rsidRPr="003E79BA">
        <w:t xml:space="preserve"> </w:t>
      </w:r>
      <w:r>
        <w:t>Prepared Testimony, II-75.</w:t>
      </w:r>
    </w:p>
  </w:footnote>
  <w:footnote w:id="612">
    <w:p w14:paraId="2747242C" w14:textId="34A9615C" w:rsidR="00655890" w:rsidRDefault="00655890" w:rsidP="000C1980">
      <w:pPr>
        <w:pStyle w:val="FootnoteText"/>
      </w:pPr>
      <w:r>
        <w:rPr>
          <w:rStyle w:val="FootnoteReference"/>
        </w:rPr>
        <w:footnoteRef/>
      </w:r>
      <w:r>
        <w:t xml:space="preserve">  SCE ESA ME&amp;O costs of $13.4M divided by 331,868 households treated (per SCE Rebuttal Testimony, A-3).</w:t>
      </w:r>
    </w:p>
  </w:footnote>
  <w:footnote w:id="613">
    <w:p w14:paraId="6F438539" w14:textId="1436AD6E" w:rsidR="00655890" w:rsidRDefault="00655890" w:rsidP="000C1980">
      <w:pPr>
        <w:pStyle w:val="FootnoteText"/>
      </w:pPr>
      <w:r>
        <w:rPr>
          <w:rStyle w:val="FootnoteReference"/>
        </w:rPr>
        <w:footnoteRef/>
      </w:r>
      <w:r>
        <w:t xml:space="preserve">  SCE</w:t>
      </w:r>
      <w:r w:rsidRPr="003E79BA">
        <w:t xml:space="preserve"> </w:t>
      </w:r>
      <w:r>
        <w:t>Prepared Testimony, II-75.</w:t>
      </w:r>
    </w:p>
  </w:footnote>
  <w:footnote w:id="614">
    <w:p w14:paraId="0C5AC25D" w14:textId="2F13467B"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II-76.</w:t>
      </w:r>
    </w:p>
  </w:footnote>
  <w:footnote w:id="615">
    <w:p w14:paraId="10DF1792" w14:textId="2FAD5F06"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II-77.</w:t>
      </w:r>
    </w:p>
  </w:footnote>
  <w:footnote w:id="616">
    <w:p w14:paraId="5997EED7" w14:textId="4E99A870"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II-79-80.</w:t>
      </w:r>
    </w:p>
  </w:footnote>
  <w:footnote w:id="617">
    <w:p w14:paraId="34B28DCA" w14:textId="77777777" w:rsidR="00655890" w:rsidRDefault="00655890" w:rsidP="000C1980">
      <w:pPr>
        <w:pStyle w:val="FootnoteText"/>
      </w:pPr>
      <w:r>
        <w:rPr>
          <w:rStyle w:val="FootnoteReference"/>
        </w:rPr>
        <w:footnoteRef/>
      </w:r>
      <w:r>
        <w:t xml:space="preserve">  SoCalGas Application, 19.</w:t>
      </w:r>
    </w:p>
  </w:footnote>
  <w:footnote w:id="618">
    <w:p w14:paraId="40F65680" w14:textId="77DFBFA7" w:rsidR="00655890" w:rsidRDefault="00655890" w:rsidP="000C1980">
      <w:pPr>
        <w:pStyle w:val="FootnoteText"/>
      </w:pPr>
      <w:r>
        <w:rPr>
          <w:rStyle w:val="FootnoteReference"/>
        </w:rPr>
        <w:footnoteRef/>
      </w:r>
      <w:r>
        <w:t xml:space="preserve">  </w:t>
      </w:r>
      <w:r w:rsidR="008C3146" w:rsidRPr="00D5044E">
        <w:rPr>
          <w:i/>
          <w:iCs/>
        </w:rPr>
        <w:t>Ibid.</w:t>
      </w:r>
    </w:p>
  </w:footnote>
  <w:footnote w:id="619">
    <w:p w14:paraId="4561375A" w14:textId="5DC86A3E" w:rsidR="00655890" w:rsidRDefault="00655890" w:rsidP="000C1980">
      <w:pPr>
        <w:pStyle w:val="FootnoteText"/>
      </w:pPr>
      <w:r>
        <w:rPr>
          <w:rStyle w:val="FootnoteReference"/>
        </w:rPr>
        <w:footnoteRef/>
      </w:r>
      <w:r>
        <w:t xml:space="preserve">  </w:t>
      </w:r>
      <w:r w:rsidR="008C3146" w:rsidRPr="00D5044E">
        <w:rPr>
          <w:i/>
          <w:iCs/>
        </w:rPr>
        <w:t>Ibid.</w:t>
      </w:r>
    </w:p>
  </w:footnote>
  <w:footnote w:id="620">
    <w:p w14:paraId="3D956325" w14:textId="77777777" w:rsidR="00655890" w:rsidRDefault="00655890" w:rsidP="000C1980">
      <w:pPr>
        <w:pStyle w:val="FootnoteText"/>
      </w:pPr>
      <w:r>
        <w:rPr>
          <w:rStyle w:val="FootnoteReference"/>
        </w:rPr>
        <w:footnoteRef/>
      </w:r>
      <w:r>
        <w:t xml:space="preserve">  SoCalGas ESA Testimony, 86. </w:t>
      </w:r>
    </w:p>
  </w:footnote>
  <w:footnote w:id="621">
    <w:p w14:paraId="2709480D" w14:textId="77777777" w:rsidR="00655890" w:rsidRDefault="00655890" w:rsidP="000C1980">
      <w:pPr>
        <w:pStyle w:val="FootnoteText"/>
      </w:pPr>
      <w:r>
        <w:rPr>
          <w:rStyle w:val="FootnoteReference"/>
        </w:rPr>
        <w:footnoteRef/>
      </w:r>
      <w:r>
        <w:t xml:space="preserve">  SDG&amp;E Application, 13.</w:t>
      </w:r>
    </w:p>
  </w:footnote>
  <w:footnote w:id="622">
    <w:p w14:paraId="2A1DEABF" w14:textId="6CA0C109" w:rsidR="00655890" w:rsidRDefault="00655890" w:rsidP="000C1980">
      <w:pPr>
        <w:pStyle w:val="FootnoteText"/>
      </w:pPr>
      <w:r>
        <w:rPr>
          <w:rStyle w:val="FootnoteReference"/>
        </w:rPr>
        <w:footnoteRef/>
      </w:r>
      <w:r>
        <w:t xml:space="preserve">  </w:t>
      </w:r>
      <w:r w:rsidR="005F3F66" w:rsidRPr="00D5044E">
        <w:rPr>
          <w:i/>
          <w:iCs/>
        </w:rPr>
        <w:t>Ibid.</w:t>
      </w:r>
    </w:p>
  </w:footnote>
  <w:footnote w:id="623">
    <w:p w14:paraId="58C37AED" w14:textId="6E1A616A" w:rsidR="00655890" w:rsidRDefault="00655890" w:rsidP="000C1980">
      <w:pPr>
        <w:pStyle w:val="FootnoteText"/>
      </w:pPr>
      <w:r>
        <w:rPr>
          <w:rStyle w:val="FootnoteReference"/>
        </w:rPr>
        <w:footnoteRef/>
      </w:r>
      <w:r>
        <w:t xml:space="preserve">  </w:t>
      </w:r>
      <w:r w:rsidR="005F3F66" w:rsidRPr="00D5044E">
        <w:rPr>
          <w:i/>
          <w:iCs/>
        </w:rPr>
        <w:t>Ibid.</w:t>
      </w:r>
    </w:p>
  </w:footnote>
  <w:footnote w:id="624">
    <w:p w14:paraId="5E4FB242" w14:textId="291D3E06" w:rsidR="00655890" w:rsidRDefault="00655890" w:rsidP="000C1980">
      <w:pPr>
        <w:pStyle w:val="FootnoteText"/>
      </w:pPr>
      <w:r>
        <w:rPr>
          <w:rStyle w:val="FootnoteReference"/>
        </w:rPr>
        <w:footnoteRef/>
      </w:r>
      <w:r>
        <w:t xml:space="preserve">  Cal Advocates Amended Testimony, 1-20.</w:t>
      </w:r>
    </w:p>
  </w:footnote>
  <w:footnote w:id="625">
    <w:p w14:paraId="327677DA" w14:textId="05181620"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1-20 – 1-23.</w:t>
      </w:r>
    </w:p>
  </w:footnote>
  <w:footnote w:id="626">
    <w:p w14:paraId="05E0B2ED" w14:textId="08156B6C"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1-10 – 1-11.</w:t>
      </w:r>
    </w:p>
  </w:footnote>
  <w:footnote w:id="627">
    <w:p w14:paraId="183CE193" w14:textId="38C6BEA4" w:rsidR="00655890" w:rsidRDefault="00655890" w:rsidP="000C1980">
      <w:pPr>
        <w:pStyle w:val="FootnoteText"/>
      </w:pPr>
      <w:r>
        <w:rPr>
          <w:rStyle w:val="FootnoteReference"/>
        </w:rPr>
        <w:footnoteRef/>
      </w:r>
      <w:r>
        <w:t xml:space="preserve">  </w:t>
      </w:r>
      <w:r w:rsidR="00E40FAD" w:rsidRPr="00CB4AE6">
        <w:rPr>
          <w:i/>
          <w:iCs/>
        </w:rPr>
        <w:t>Id</w:t>
      </w:r>
      <w:r w:rsidR="00E40FAD">
        <w:t xml:space="preserve"> at </w:t>
      </w:r>
      <w:r>
        <w:t>1-15.</w:t>
      </w:r>
    </w:p>
  </w:footnote>
  <w:footnote w:id="628">
    <w:p w14:paraId="72A69612" w14:textId="62CFB98D" w:rsidR="00655890" w:rsidRDefault="00655890" w:rsidP="000C1980">
      <w:pPr>
        <w:pStyle w:val="FootnoteText"/>
      </w:pPr>
      <w:r>
        <w:rPr>
          <w:rStyle w:val="FootnoteReference"/>
        </w:rPr>
        <w:footnoteRef/>
      </w:r>
      <w:r>
        <w:t xml:space="preserve">  </w:t>
      </w:r>
      <w:r w:rsidRPr="005C6DDA">
        <w:t>Cal</w:t>
      </w:r>
      <w:r>
        <w:t xml:space="preserve"> </w:t>
      </w:r>
      <w:r w:rsidRPr="005C6DDA">
        <w:t>A</w:t>
      </w:r>
      <w:r>
        <w:t>dvocates</w:t>
      </w:r>
      <w:r w:rsidRPr="005C6DDA">
        <w:t xml:space="preserve"> Intervenor Testimony Ex 1, I-15, </w:t>
      </w:r>
      <w:r>
        <w:t xml:space="preserve">and </w:t>
      </w:r>
      <w:r w:rsidRPr="005C6DDA">
        <w:t>I-16</w:t>
      </w:r>
      <w:r>
        <w:t>.</w:t>
      </w:r>
    </w:p>
  </w:footnote>
  <w:footnote w:id="629">
    <w:p w14:paraId="7BD8304A" w14:textId="2758F505" w:rsidR="00655890" w:rsidRDefault="00655890" w:rsidP="000C1980">
      <w:pPr>
        <w:pStyle w:val="FootnoteText"/>
      </w:pPr>
      <w:r>
        <w:rPr>
          <w:rStyle w:val="FootnoteReference"/>
        </w:rPr>
        <w:footnoteRef/>
      </w:r>
      <w:r>
        <w:t xml:space="preserve">  </w:t>
      </w:r>
      <w:r w:rsidRPr="007B6B7F">
        <w:t>TURN Rebuttal Testimony of Alice Napoleon</w:t>
      </w:r>
      <w:r>
        <w:t>, 11.</w:t>
      </w:r>
    </w:p>
  </w:footnote>
  <w:footnote w:id="630">
    <w:p w14:paraId="2FC17B8C" w14:textId="5154DDFC" w:rsidR="00655890" w:rsidRDefault="00655890" w:rsidP="000C1980">
      <w:pPr>
        <w:pStyle w:val="FootnoteText"/>
      </w:pPr>
      <w:r>
        <w:rPr>
          <w:rStyle w:val="FootnoteReference"/>
        </w:rPr>
        <w:footnoteRef/>
      </w:r>
      <w:r>
        <w:t xml:space="preserve">  </w:t>
      </w:r>
      <w:r w:rsidRPr="00BB3165">
        <w:t xml:space="preserve">D.16-11-022, A.14-11-007, </w:t>
      </w:r>
      <w:r>
        <w:t>1</w:t>
      </w:r>
      <w:r w:rsidRPr="00BB3165">
        <w:t>71-172.</w:t>
      </w:r>
    </w:p>
  </w:footnote>
  <w:footnote w:id="631">
    <w:p w14:paraId="2CAD7CA8" w14:textId="1AC01D62" w:rsidR="00655890" w:rsidRDefault="00655890" w:rsidP="000C1980">
      <w:pPr>
        <w:pStyle w:val="FootnoteText"/>
      </w:pPr>
      <w:r>
        <w:rPr>
          <w:rStyle w:val="FootnoteReference"/>
        </w:rPr>
        <w:footnoteRef/>
      </w:r>
      <w:r>
        <w:t xml:space="preserve">  TURN Rebuttal Testimony of </w:t>
      </w:r>
      <w:r w:rsidRPr="00BB3165">
        <w:t>Alice Napoleon</w:t>
      </w:r>
      <w:r>
        <w:t>, 8-9.</w:t>
      </w:r>
    </w:p>
  </w:footnote>
  <w:footnote w:id="632">
    <w:p w14:paraId="169407DC" w14:textId="05A0B591" w:rsidR="00655890" w:rsidRDefault="00655890" w:rsidP="000C1980">
      <w:pPr>
        <w:pStyle w:val="FootnoteText"/>
      </w:pPr>
      <w:r>
        <w:rPr>
          <w:rStyle w:val="FootnoteReference"/>
        </w:rPr>
        <w:footnoteRef/>
      </w:r>
      <w:r>
        <w:t xml:space="preserve">  </w:t>
      </w:r>
      <w:r w:rsidRPr="00FC5076">
        <w:t>La Cooperativa Intervenor Testimony, 7</w:t>
      </w:r>
      <w:r>
        <w:t>.</w:t>
      </w:r>
    </w:p>
  </w:footnote>
  <w:footnote w:id="633">
    <w:p w14:paraId="47FE39B2" w14:textId="77777777" w:rsidR="00655890" w:rsidRPr="00322728" w:rsidRDefault="00655890" w:rsidP="000C1980">
      <w:pPr>
        <w:pStyle w:val="FootnoteText"/>
        <w:rPr>
          <w:szCs w:val="22"/>
        </w:rPr>
      </w:pPr>
      <w:r w:rsidRPr="00322728">
        <w:rPr>
          <w:rStyle w:val="FootnoteReference"/>
          <w:szCs w:val="22"/>
        </w:rPr>
        <w:footnoteRef/>
      </w:r>
      <w:r w:rsidRPr="00322728">
        <w:rPr>
          <w:szCs w:val="22"/>
        </w:rPr>
        <w:t xml:space="preserve">  </w:t>
      </w:r>
      <w:r w:rsidRPr="00322728">
        <w:rPr>
          <w:i/>
          <w:iCs/>
          <w:szCs w:val="22"/>
        </w:rPr>
        <w:t xml:space="preserve">See </w:t>
      </w:r>
      <w:proofErr w:type="gramStart"/>
      <w:r w:rsidRPr="00322728">
        <w:rPr>
          <w:i/>
          <w:iCs/>
          <w:szCs w:val="22"/>
        </w:rPr>
        <w:t>e.g</w:t>
      </w:r>
      <w:r w:rsidRPr="00322728">
        <w:rPr>
          <w:szCs w:val="22"/>
        </w:rPr>
        <w:t>.</w:t>
      </w:r>
      <w:proofErr w:type="gramEnd"/>
      <w:r w:rsidRPr="00322728">
        <w:rPr>
          <w:szCs w:val="22"/>
        </w:rPr>
        <w:t xml:space="preserve"> CETF Protest to PG&amp;E Application, 2.</w:t>
      </w:r>
    </w:p>
  </w:footnote>
  <w:footnote w:id="634">
    <w:p w14:paraId="7EF83308" w14:textId="77777777" w:rsidR="00655890" w:rsidRPr="00322728" w:rsidRDefault="00655890" w:rsidP="000C1980">
      <w:pPr>
        <w:pStyle w:val="FootnoteText"/>
        <w:rPr>
          <w:szCs w:val="22"/>
        </w:rPr>
      </w:pPr>
      <w:r w:rsidRPr="00322728">
        <w:rPr>
          <w:rStyle w:val="FootnoteReference"/>
          <w:szCs w:val="22"/>
        </w:rPr>
        <w:footnoteRef/>
      </w:r>
      <w:r w:rsidRPr="00322728">
        <w:rPr>
          <w:szCs w:val="22"/>
        </w:rPr>
        <w:t xml:space="preserve">  CETF Protest to PG&amp;E Application, 2-3.</w:t>
      </w:r>
    </w:p>
  </w:footnote>
  <w:footnote w:id="635">
    <w:p w14:paraId="12CAC427" w14:textId="3B8C5A18" w:rsidR="00655890" w:rsidRPr="00322728" w:rsidRDefault="00655890" w:rsidP="000C1980">
      <w:pPr>
        <w:pStyle w:val="FootnoteText"/>
        <w:rPr>
          <w:szCs w:val="22"/>
        </w:rPr>
      </w:pPr>
      <w:r w:rsidRPr="00322728">
        <w:rPr>
          <w:rStyle w:val="FootnoteReference"/>
          <w:szCs w:val="22"/>
        </w:rPr>
        <w:footnoteRef/>
      </w:r>
      <w:r w:rsidRPr="00322728">
        <w:rPr>
          <w:szCs w:val="22"/>
        </w:rPr>
        <w:t xml:space="preserve">  </w:t>
      </w:r>
      <w:r w:rsidR="00F2699D" w:rsidRPr="00CB4AE6">
        <w:rPr>
          <w:i/>
          <w:iCs/>
        </w:rPr>
        <w:t>Id</w:t>
      </w:r>
      <w:r w:rsidR="00F2699D">
        <w:t xml:space="preserve"> at </w:t>
      </w:r>
      <w:r w:rsidRPr="00322728">
        <w:rPr>
          <w:szCs w:val="22"/>
        </w:rPr>
        <w:t>11.</w:t>
      </w:r>
    </w:p>
  </w:footnote>
  <w:footnote w:id="636">
    <w:p w14:paraId="07D3C498" w14:textId="70CB3BA5" w:rsidR="00655890" w:rsidRDefault="00655890" w:rsidP="000C1980">
      <w:pPr>
        <w:pStyle w:val="FootnoteText"/>
      </w:pPr>
      <w:r w:rsidRPr="00322728">
        <w:rPr>
          <w:rStyle w:val="FootnoteReference"/>
          <w:szCs w:val="22"/>
        </w:rPr>
        <w:footnoteRef/>
      </w:r>
      <w:r w:rsidRPr="00322728">
        <w:rPr>
          <w:szCs w:val="22"/>
        </w:rPr>
        <w:t xml:space="preserve">  PG&amp;E Rebuttal Testimony of </w:t>
      </w:r>
      <w:r w:rsidRPr="00136FDE">
        <w:rPr>
          <w:szCs w:val="22"/>
        </w:rPr>
        <w:t>E</w:t>
      </w:r>
      <w:r>
        <w:rPr>
          <w:szCs w:val="22"/>
        </w:rPr>
        <w:t>rik</w:t>
      </w:r>
      <w:r w:rsidRPr="00136FDE">
        <w:rPr>
          <w:szCs w:val="22"/>
        </w:rPr>
        <w:t xml:space="preserve"> O</w:t>
      </w:r>
      <w:r>
        <w:rPr>
          <w:szCs w:val="22"/>
        </w:rPr>
        <w:t>lsen,</w:t>
      </w:r>
      <w:r w:rsidRPr="00136FDE">
        <w:rPr>
          <w:szCs w:val="22"/>
        </w:rPr>
        <w:t xml:space="preserve"> I-3-4.</w:t>
      </w:r>
    </w:p>
  </w:footnote>
  <w:footnote w:id="637">
    <w:p w14:paraId="6229A613" w14:textId="3FBC1091" w:rsidR="00655890" w:rsidRDefault="00655890" w:rsidP="000C1980">
      <w:pPr>
        <w:pStyle w:val="FootnoteText"/>
      </w:pPr>
      <w:r>
        <w:rPr>
          <w:rStyle w:val="FootnoteReference"/>
        </w:rPr>
        <w:footnoteRef/>
      </w:r>
      <w:r>
        <w:t xml:space="preserve">  </w:t>
      </w:r>
      <w:r w:rsidRPr="00497220">
        <w:t>PG&amp;E Rebuttal Testimony, Mary O’Drain, 46</w:t>
      </w:r>
      <w:r>
        <w:t>.</w:t>
      </w:r>
    </w:p>
  </w:footnote>
  <w:footnote w:id="638">
    <w:p w14:paraId="72D52335" w14:textId="11D82828" w:rsidR="00655890" w:rsidRDefault="00655890" w:rsidP="000C1980">
      <w:pPr>
        <w:pStyle w:val="FootnoteText"/>
      </w:pPr>
      <w:r>
        <w:rPr>
          <w:rStyle w:val="FootnoteReference"/>
        </w:rPr>
        <w:footnoteRef/>
      </w:r>
      <w:r>
        <w:t xml:space="preserve">  SCE Amended Rebuttal Testimony, 13-14.</w:t>
      </w:r>
    </w:p>
  </w:footnote>
  <w:footnote w:id="639">
    <w:p w14:paraId="645C3EBB" w14:textId="72EF2531" w:rsidR="001C7B39" w:rsidRDefault="001C7B39">
      <w:pPr>
        <w:pStyle w:val="FootnoteText"/>
      </w:pPr>
      <w:r>
        <w:rPr>
          <w:rStyle w:val="FootnoteReference"/>
        </w:rPr>
        <w:footnoteRef/>
      </w:r>
      <w:r>
        <w:t xml:space="preserve"> SCE Reply Brief, 15-16.</w:t>
      </w:r>
    </w:p>
  </w:footnote>
  <w:footnote w:id="640">
    <w:p w14:paraId="75B48F34" w14:textId="0408C76B" w:rsidR="00655890" w:rsidRDefault="00655890" w:rsidP="000C1980">
      <w:pPr>
        <w:pStyle w:val="FootnoteText"/>
      </w:pPr>
      <w:r>
        <w:rPr>
          <w:rStyle w:val="FootnoteReference"/>
        </w:rPr>
        <w:footnoteRef/>
      </w:r>
      <w:r>
        <w:t xml:space="preserve">  SDG&amp;E Rebuttal Testimony, </w:t>
      </w:r>
      <w:r w:rsidRPr="000A6BDC">
        <w:t>SN-ESA</w:t>
      </w:r>
      <w:r>
        <w:t xml:space="preserve"> </w:t>
      </w:r>
      <w:r w:rsidRPr="000A6BDC">
        <w:t>9</w:t>
      </w:r>
      <w:r>
        <w:t>- 10.</w:t>
      </w:r>
    </w:p>
  </w:footnote>
  <w:footnote w:id="641">
    <w:p w14:paraId="2AE6ADE9" w14:textId="77777777" w:rsidR="00655890" w:rsidRDefault="00655890" w:rsidP="000C1980">
      <w:pPr>
        <w:pStyle w:val="FootnoteText"/>
      </w:pPr>
      <w:r>
        <w:rPr>
          <w:rStyle w:val="FootnoteReference"/>
        </w:rPr>
        <w:footnoteRef/>
      </w:r>
      <w:r>
        <w:t xml:space="preserve">  2019 LINA, Volume 1, 31. </w:t>
      </w:r>
    </w:p>
  </w:footnote>
  <w:footnote w:id="642">
    <w:p w14:paraId="6EAA8C66" w14:textId="12690D42"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 xml:space="preserve">Volume 1, 45. </w:t>
      </w:r>
    </w:p>
  </w:footnote>
  <w:footnote w:id="643">
    <w:p w14:paraId="1FD90D35" w14:textId="6AAB985A" w:rsidR="00655890" w:rsidRDefault="00655890" w:rsidP="000C1980">
      <w:pPr>
        <w:pStyle w:val="FootnoteText"/>
      </w:pPr>
      <w:r>
        <w:rPr>
          <w:rStyle w:val="FootnoteReference"/>
        </w:rPr>
        <w:footnoteRef/>
      </w:r>
      <w:r>
        <w:t xml:space="preserve">  Decision 19-06-022 Attachment A, 14-16.</w:t>
      </w:r>
    </w:p>
  </w:footnote>
  <w:footnote w:id="644">
    <w:p w14:paraId="64DC704F" w14:textId="77777777" w:rsidR="00655890" w:rsidRDefault="00655890" w:rsidP="000C1980">
      <w:pPr>
        <w:pStyle w:val="FootnoteText"/>
      </w:pPr>
      <w:r>
        <w:rPr>
          <w:rStyle w:val="FootnoteReference"/>
        </w:rPr>
        <w:footnoteRef/>
      </w:r>
      <w:r>
        <w:t xml:space="preserve">  PG&amp;E Testimony, II-52.</w:t>
      </w:r>
    </w:p>
  </w:footnote>
  <w:footnote w:id="645">
    <w:p w14:paraId="77CD8088" w14:textId="632E5BD7"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I-93.</w:t>
      </w:r>
    </w:p>
  </w:footnote>
  <w:footnote w:id="646">
    <w:p w14:paraId="21C8C896" w14:textId="04863029"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I-97.</w:t>
      </w:r>
    </w:p>
  </w:footnote>
  <w:footnote w:id="647">
    <w:p w14:paraId="2EC3DA9D" w14:textId="2AF23B56"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I-102.</w:t>
      </w:r>
    </w:p>
  </w:footnote>
  <w:footnote w:id="648">
    <w:p w14:paraId="2AA694C0" w14:textId="29DB0CB0"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I-105.</w:t>
      </w:r>
    </w:p>
  </w:footnote>
  <w:footnote w:id="649">
    <w:p w14:paraId="53A549D0" w14:textId="5382897D"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I-106.</w:t>
      </w:r>
    </w:p>
  </w:footnote>
  <w:footnote w:id="650">
    <w:p w14:paraId="070D9605" w14:textId="51E15A2C"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I-95.</w:t>
      </w:r>
    </w:p>
  </w:footnote>
  <w:footnote w:id="651">
    <w:p w14:paraId="2F40EF0C" w14:textId="0E19A118" w:rsidR="00655890" w:rsidRDefault="00655890" w:rsidP="000C1980">
      <w:pPr>
        <w:pStyle w:val="FootnoteText"/>
      </w:pPr>
      <w:r>
        <w:rPr>
          <w:rStyle w:val="FootnoteReference"/>
        </w:rPr>
        <w:footnoteRef/>
      </w:r>
      <w:r>
        <w:t xml:space="preserve">  SCE</w:t>
      </w:r>
      <w:r w:rsidRPr="002030CF">
        <w:t xml:space="preserve"> </w:t>
      </w:r>
      <w:r>
        <w:t>Prepared Testimony, II- 67.</w:t>
      </w:r>
    </w:p>
  </w:footnote>
  <w:footnote w:id="652">
    <w:p w14:paraId="691F5FCC" w14:textId="5D89AEA5"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II-68.</w:t>
      </w:r>
    </w:p>
  </w:footnote>
  <w:footnote w:id="653">
    <w:p w14:paraId="73AAF70A" w14:textId="2C541858"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II-69.</w:t>
      </w:r>
    </w:p>
  </w:footnote>
  <w:footnote w:id="654">
    <w:p w14:paraId="00D423FC" w14:textId="23A19974"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II-69.</w:t>
      </w:r>
    </w:p>
  </w:footnote>
  <w:footnote w:id="655">
    <w:p w14:paraId="65753D02" w14:textId="56E37404" w:rsidR="00655890" w:rsidRDefault="00655890" w:rsidP="000C1980">
      <w:pPr>
        <w:pStyle w:val="FootnoteText"/>
      </w:pPr>
      <w:r>
        <w:rPr>
          <w:rStyle w:val="FootnoteReference"/>
        </w:rPr>
        <w:footnoteRef/>
      </w:r>
      <w:r>
        <w:t xml:space="preserve">  SoCalGas Testimony of Mark Aguirre and Erin Brooks, 105.</w:t>
      </w:r>
    </w:p>
  </w:footnote>
  <w:footnote w:id="656">
    <w:p w14:paraId="5DB253FC" w14:textId="0988B616"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107.</w:t>
      </w:r>
    </w:p>
  </w:footnote>
  <w:footnote w:id="657">
    <w:p w14:paraId="1D4CE32F" w14:textId="5CBE0D48"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105-106.</w:t>
      </w:r>
    </w:p>
  </w:footnote>
  <w:footnote w:id="658">
    <w:p w14:paraId="29B4467C" w14:textId="02107234"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107.</w:t>
      </w:r>
    </w:p>
  </w:footnote>
  <w:footnote w:id="659">
    <w:p w14:paraId="0400D6AC" w14:textId="4BF9EFB5"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108-110.</w:t>
      </w:r>
    </w:p>
  </w:footnote>
  <w:footnote w:id="660">
    <w:p w14:paraId="2F382CDF" w14:textId="4E6DE326"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110-111.</w:t>
      </w:r>
    </w:p>
  </w:footnote>
  <w:footnote w:id="661">
    <w:p w14:paraId="191E3D2F" w14:textId="68B004F7"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115-116.</w:t>
      </w:r>
    </w:p>
  </w:footnote>
  <w:footnote w:id="662">
    <w:p w14:paraId="381DE334" w14:textId="0C0A1247" w:rsidR="00655890" w:rsidRDefault="00655890" w:rsidP="000C1980">
      <w:pPr>
        <w:pStyle w:val="FootnoteText"/>
      </w:pPr>
      <w:r>
        <w:rPr>
          <w:rStyle w:val="FootnoteReference"/>
        </w:rPr>
        <w:footnoteRef/>
      </w:r>
      <w:r>
        <w:t xml:space="preserve">  SDG&amp;E Testimony, </w:t>
      </w:r>
      <w:r w:rsidRPr="0041086F">
        <w:t>SN-ESA</w:t>
      </w:r>
      <w:r>
        <w:t xml:space="preserve"> </w:t>
      </w:r>
      <w:r w:rsidRPr="0041086F">
        <w:t>73</w:t>
      </w:r>
      <w:r>
        <w:t>-74.</w:t>
      </w:r>
    </w:p>
  </w:footnote>
  <w:footnote w:id="663">
    <w:p w14:paraId="6DA22565" w14:textId="43BB619B"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rsidRPr="00FA00FC">
        <w:t>SN-ESA</w:t>
      </w:r>
      <w:r>
        <w:t xml:space="preserve"> </w:t>
      </w:r>
      <w:r w:rsidRPr="00FA00FC">
        <w:t>74</w:t>
      </w:r>
      <w:r>
        <w:t>.</w:t>
      </w:r>
    </w:p>
  </w:footnote>
  <w:footnote w:id="664">
    <w:p w14:paraId="008175ED" w14:textId="069C440A"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rsidRPr="00FA00FC">
        <w:t>SN-ESA</w:t>
      </w:r>
      <w:r>
        <w:t xml:space="preserve"> </w:t>
      </w:r>
      <w:r w:rsidRPr="009751F7">
        <w:t>80</w:t>
      </w:r>
      <w:r>
        <w:t>-81.</w:t>
      </w:r>
    </w:p>
  </w:footnote>
  <w:footnote w:id="665">
    <w:p w14:paraId="0195BDAC" w14:textId="33EAE71C"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rsidRPr="00FA00FC">
        <w:t>SN-ESA</w:t>
      </w:r>
      <w:r>
        <w:t xml:space="preserve"> </w:t>
      </w:r>
      <w:r w:rsidRPr="009751F7">
        <w:t>8</w:t>
      </w:r>
      <w:r>
        <w:t>2.</w:t>
      </w:r>
    </w:p>
  </w:footnote>
  <w:footnote w:id="666">
    <w:p w14:paraId="689A2847" w14:textId="2AA5D440" w:rsidR="00655890" w:rsidRDefault="00655890" w:rsidP="000C1980">
      <w:pPr>
        <w:pStyle w:val="FootnoteText"/>
      </w:pPr>
      <w:r>
        <w:rPr>
          <w:rStyle w:val="FootnoteReference"/>
        </w:rPr>
        <w:footnoteRef/>
      </w:r>
      <w:r>
        <w:t xml:space="preserve">  CforAT Comments to June 25, </w:t>
      </w:r>
      <w:proofErr w:type="gramStart"/>
      <w:r>
        <w:t>2020</w:t>
      </w:r>
      <w:proofErr w:type="gramEnd"/>
      <w:r>
        <w:t xml:space="preserve"> ALJ Ruling, 7-8.</w:t>
      </w:r>
    </w:p>
  </w:footnote>
  <w:footnote w:id="667">
    <w:p w14:paraId="7D082B5A" w14:textId="36CC6967" w:rsidR="00655890" w:rsidRDefault="00655890" w:rsidP="000C1980">
      <w:pPr>
        <w:pStyle w:val="FootnoteText"/>
      </w:pPr>
      <w:r>
        <w:rPr>
          <w:rStyle w:val="FootnoteReference"/>
        </w:rPr>
        <w:footnoteRef/>
      </w:r>
      <w:r>
        <w:t xml:space="preserve">  Public Utilities Code 327.</w:t>
      </w:r>
    </w:p>
  </w:footnote>
  <w:footnote w:id="668">
    <w:p w14:paraId="3D742171" w14:textId="6DD04107" w:rsidR="00655890" w:rsidRDefault="00655890" w:rsidP="000C1980">
      <w:pPr>
        <w:pStyle w:val="FootnoteText"/>
      </w:pPr>
      <w:r>
        <w:rPr>
          <w:rStyle w:val="FootnoteReference"/>
        </w:rPr>
        <w:footnoteRef/>
      </w:r>
      <w:r>
        <w:t xml:space="preserve">  Decision 19-06-022, 12.</w:t>
      </w:r>
    </w:p>
  </w:footnote>
  <w:footnote w:id="669">
    <w:p w14:paraId="2B33CEBC" w14:textId="77777777" w:rsidR="00655890" w:rsidRDefault="00655890" w:rsidP="000C1980">
      <w:pPr>
        <w:pStyle w:val="FootnoteText"/>
      </w:pPr>
      <w:r>
        <w:rPr>
          <w:rStyle w:val="FootnoteReference"/>
        </w:rPr>
        <w:footnoteRef/>
      </w:r>
      <w:r>
        <w:t xml:space="preserve">  PG&amp;E Testimony, I-21.</w:t>
      </w:r>
    </w:p>
  </w:footnote>
  <w:footnote w:id="670">
    <w:p w14:paraId="7D8EBE3C" w14:textId="55B0EED8"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I-70.</w:t>
      </w:r>
    </w:p>
  </w:footnote>
  <w:footnote w:id="671">
    <w:p w14:paraId="68250FFC" w14:textId="7FC7ADDB"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I-70-71.</w:t>
      </w:r>
    </w:p>
  </w:footnote>
  <w:footnote w:id="672">
    <w:p w14:paraId="70E3310D" w14:textId="2A659F26"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I-72.</w:t>
      </w:r>
    </w:p>
  </w:footnote>
  <w:footnote w:id="673">
    <w:p w14:paraId="56DDBF40" w14:textId="1797408F"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I-167.</w:t>
      </w:r>
    </w:p>
  </w:footnote>
  <w:footnote w:id="674">
    <w:p w14:paraId="13FEDA16" w14:textId="209479EE" w:rsidR="00655890" w:rsidRDefault="00655890" w:rsidP="000C1980">
      <w:pPr>
        <w:pStyle w:val="FootnoteText"/>
      </w:pPr>
      <w:r>
        <w:rPr>
          <w:rStyle w:val="FootnoteReference"/>
        </w:rPr>
        <w:footnoteRef/>
      </w:r>
      <w:r>
        <w:t xml:space="preserve">  </w:t>
      </w:r>
      <w:r w:rsidR="00CE5013" w:rsidRPr="00D5044E">
        <w:rPr>
          <w:i/>
          <w:iCs/>
        </w:rPr>
        <w:t>Ibid.</w:t>
      </w:r>
    </w:p>
  </w:footnote>
  <w:footnote w:id="675">
    <w:p w14:paraId="33013DAF" w14:textId="77777777" w:rsidR="00655890" w:rsidRDefault="00655890" w:rsidP="000C1980">
      <w:pPr>
        <w:pStyle w:val="FootnoteText"/>
      </w:pPr>
      <w:r>
        <w:rPr>
          <w:rStyle w:val="FootnoteReference"/>
        </w:rPr>
        <w:footnoteRef/>
      </w:r>
      <w:r>
        <w:t xml:space="preserve">  PG&amp;E Testimony, I-185</w:t>
      </w:r>
    </w:p>
  </w:footnote>
  <w:footnote w:id="676">
    <w:p w14:paraId="51A8252F" w14:textId="4491C493" w:rsidR="00655890" w:rsidRDefault="00655890" w:rsidP="000C1980">
      <w:pPr>
        <w:pStyle w:val="FootnoteText"/>
      </w:pPr>
      <w:r>
        <w:rPr>
          <w:rStyle w:val="FootnoteReference"/>
        </w:rPr>
        <w:footnoteRef/>
      </w:r>
      <w:r>
        <w:t xml:space="preserve">  </w:t>
      </w:r>
      <w:r w:rsidRPr="005D2459">
        <w:t xml:space="preserve">SCE </w:t>
      </w:r>
      <w:r>
        <w:t xml:space="preserve">Prepared </w:t>
      </w:r>
      <w:r w:rsidRPr="005D2459">
        <w:t xml:space="preserve">Testimony, </w:t>
      </w:r>
      <w:r>
        <w:t>IV-</w:t>
      </w:r>
      <w:r w:rsidRPr="005D2459">
        <w:t xml:space="preserve"> 2</w:t>
      </w:r>
      <w:r>
        <w:t>.</w:t>
      </w:r>
    </w:p>
  </w:footnote>
  <w:footnote w:id="677">
    <w:p w14:paraId="3AA76845" w14:textId="2386C6B4"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IV-8.</w:t>
      </w:r>
    </w:p>
  </w:footnote>
  <w:footnote w:id="678">
    <w:p w14:paraId="435803FF" w14:textId="003DCD5A" w:rsidR="00655890" w:rsidRDefault="00655890" w:rsidP="000C1980">
      <w:pPr>
        <w:pStyle w:val="FootnoteText"/>
      </w:pPr>
      <w:r>
        <w:rPr>
          <w:rStyle w:val="FootnoteReference"/>
        </w:rPr>
        <w:footnoteRef/>
      </w:r>
      <w:r>
        <w:t xml:space="preserve">  </w:t>
      </w:r>
      <w:r w:rsidR="00F2699D" w:rsidRPr="00CB4AE6">
        <w:rPr>
          <w:i/>
          <w:iCs/>
        </w:rPr>
        <w:t>Id</w:t>
      </w:r>
      <w:r w:rsidR="00F2699D">
        <w:t xml:space="preserve"> at </w:t>
      </w:r>
      <w:r>
        <w:t>IV-2.</w:t>
      </w:r>
    </w:p>
  </w:footnote>
  <w:footnote w:id="679">
    <w:p w14:paraId="229E1AD1" w14:textId="77777777" w:rsidR="00655890" w:rsidRDefault="00655890" w:rsidP="000C1980">
      <w:pPr>
        <w:pStyle w:val="FootnoteText"/>
      </w:pPr>
      <w:r>
        <w:rPr>
          <w:rStyle w:val="FootnoteReference"/>
        </w:rPr>
        <w:footnoteRef/>
      </w:r>
      <w:r>
        <w:t xml:space="preserve">  SCE Application, 6.</w:t>
      </w:r>
    </w:p>
  </w:footnote>
  <w:footnote w:id="680">
    <w:p w14:paraId="26777ADA" w14:textId="5DFBA952" w:rsidR="00655890" w:rsidRDefault="00655890" w:rsidP="000C1980">
      <w:pPr>
        <w:pStyle w:val="FootnoteText"/>
      </w:pPr>
      <w:r>
        <w:rPr>
          <w:rStyle w:val="FootnoteReference"/>
        </w:rPr>
        <w:footnoteRef/>
      </w:r>
      <w:r>
        <w:t xml:space="preserve">  </w:t>
      </w:r>
      <w:r w:rsidR="00F85A83" w:rsidRPr="00D5044E">
        <w:rPr>
          <w:i/>
          <w:iCs/>
        </w:rPr>
        <w:t>Ibid.</w:t>
      </w:r>
    </w:p>
  </w:footnote>
  <w:footnote w:id="681">
    <w:p w14:paraId="50B0B624" w14:textId="1A9B8E67" w:rsidR="00655890" w:rsidRDefault="00655890" w:rsidP="000C1980">
      <w:pPr>
        <w:pStyle w:val="FootnoteText"/>
      </w:pPr>
      <w:r>
        <w:rPr>
          <w:rStyle w:val="FootnoteReference"/>
        </w:rPr>
        <w:footnoteRef/>
      </w:r>
      <w:r>
        <w:t xml:space="preserve">  </w:t>
      </w:r>
      <w:r w:rsidR="00F85A83" w:rsidRPr="00D5044E">
        <w:rPr>
          <w:i/>
          <w:iCs/>
        </w:rPr>
        <w:t>Ibid.</w:t>
      </w:r>
    </w:p>
  </w:footnote>
  <w:footnote w:id="682">
    <w:p w14:paraId="26485EB8" w14:textId="70B78010" w:rsidR="00655890" w:rsidRDefault="00655890" w:rsidP="000C1980">
      <w:pPr>
        <w:pStyle w:val="FootnoteText"/>
      </w:pPr>
      <w:r>
        <w:rPr>
          <w:rStyle w:val="FootnoteReference"/>
        </w:rPr>
        <w:footnoteRef/>
      </w:r>
      <w:r>
        <w:t xml:space="preserve">  SCE</w:t>
      </w:r>
      <w:r w:rsidRPr="00E6247F">
        <w:t xml:space="preserve"> </w:t>
      </w:r>
      <w:r>
        <w:t xml:space="preserve">Prepared </w:t>
      </w:r>
      <w:r w:rsidRPr="005D2459">
        <w:t xml:space="preserve">Testimony, </w:t>
      </w:r>
      <w:r>
        <w:t>IV-8.</w:t>
      </w:r>
    </w:p>
  </w:footnote>
  <w:footnote w:id="683">
    <w:p w14:paraId="416671F0" w14:textId="77777777" w:rsidR="00655890" w:rsidRDefault="00655890" w:rsidP="000C1980">
      <w:pPr>
        <w:pStyle w:val="FootnoteText"/>
      </w:pPr>
      <w:r>
        <w:rPr>
          <w:rStyle w:val="FootnoteReference"/>
        </w:rPr>
        <w:footnoteRef/>
      </w:r>
      <w:r>
        <w:t xml:space="preserve">  SCE Application, 10.</w:t>
      </w:r>
    </w:p>
  </w:footnote>
  <w:footnote w:id="684">
    <w:p w14:paraId="122DEDC4" w14:textId="52D00857" w:rsidR="00655890" w:rsidRDefault="00655890" w:rsidP="000C1980">
      <w:pPr>
        <w:pStyle w:val="FootnoteText"/>
      </w:pPr>
      <w:r>
        <w:rPr>
          <w:rStyle w:val="FootnoteReference"/>
        </w:rPr>
        <w:footnoteRef/>
      </w:r>
      <w:r>
        <w:t xml:space="preserve">  SCE</w:t>
      </w:r>
      <w:r w:rsidRPr="00E6247F">
        <w:t xml:space="preserve"> </w:t>
      </w:r>
      <w:r>
        <w:t xml:space="preserve">Prepared </w:t>
      </w:r>
      <w:r w:rsidRPr="005D2459">
        <w:t xml:space="preserve">Testimony, </w:t>
      </w:r>
      <w:r>
        <w:t xml:space="preserve">I-13. </w:t>
      </w:r>
    </w:p>
  </w:footnote>
  <w:footnote w:id="685">
    <w:p w14:paraId="0707290F" w14:textId="53DE8739" w:rsidR="00655890" w:rsidRDefault="00655890" w:rsidP="000C1980">
      <w:pPr>
        <w:pStyle w:val="FootnoteText"/>
      </w:pPr>
      <w:r>
        <w:rPr>
          <w:rStyle w:val="FootnoteReference"/>
        </w:rPr>
        <w:footnoteRef/>
      </w:r>
      <w:r>
        <w:t xml:space="preserve">  SCE</w:t>
      </w:r>
      <w:r w:rsidRPr="00E6247F">
        <w:t xml:space="preserve"> </w:t>
      </w:r>
      <w:r>
        <w:t xml:space="preserve">Prepared </w:t>
      </w:r>
      <w:r w:rsidRPr="005D2459">
        <w:t xml:space="preserve">Testimony, </w:t>
      </w:r>
      <w:r>
        <w:t>IV-10-11.</w:t>
      </w:r>
    </w:p>
  </w:footnote>
  <w:footnote w:id="686">
    <w:p w14:paraId="38BEE869" w14:textId="3FD48259" w:rsidR="00655890" w:rsidRDefault="00655890" w:rsidP="000C1980">
      <w:pPr>
        <w:pStyle w:val="FootnoteText"/>
      </w:pPr>
      <w:r>
        <w:rPr>
          <w:rStyle w:val="FootnoteReference"/>
        </w:rPr>
        <w:footnoteRef/>
      </w:r>
      <w:r>
        <w:t xml:space="preserve">  SoCalGas Testimony of Mark Aguirre and Erin Brooks, 74-78.</w:t>
      </w:r>
    </w:p>
  </w:footnote>
  <w:footnote w:id="687">
    <w:p w14:paraId="0EE6D452" w14:textId="585B8CF0" w:rsidR="00655890" w:rsidRDefault="00655890" w:rsidP="000C1980">
      <w:pPr>
        <w:pStyle w:val="FootnoteText"/>
      </w:pPr>
      <w:r>
        <w:rPr>
          <w:rStyle w:val="FootnoteReference"/>
        </w:rPr>
        <w:footnoteRef/>
      </w:r>
      <w:r>
        <w:t xml:space="preserve">  </w:t>
      </w:r>
      <w:r w:rsidRPr="00377971">
        <w:t>S</w:t>
      </w:r>
      <w:r>
        <w:t>o</w:t>
      </w:r>
      <w:r w:rsidRPr="00377971">
        <w:t>C</w:t>
      </w:r>
      <w:r>
        <w:t>al</w:t>
      </w:r>
      <w:r w:rsidRPr="00377971">
        <w:t>G</w:t>
      </w:r>
      <w:r>
        <w:t>as</w:t>
      </w:r>
      <w:r w:rsidRPr="00377971">
        <w:t xml:space="preserve"> ESA Testimony, 74-75</w:t>
      </w:r>
      <w:r>
        <w:t>.</w:t>
      </w:r>
    </w:p>
  </w:footnote>
  <w:footnote w:id="688">
    <w:p w14:paraId="486C0EE7" w14:textId="7618F1D4" w:rsidR="00655890" w:rsidRDefault="00655890" w:rsidP="000C1980">
      <w:pPr>
        <w:pStyle w:val="FootnoteText"/>
      </w:pPr>
      <w:r>
        <w:rPr>
          <w:rStyle w:val="FootnoteReference"/>
        </w:rPr>
        <w:footnoteRef/>
      </w:r>
      <w:r>
        <w:t xml:space="preserve">  SDG&amp;E Testimony, </w:t>
      </w:r>
      <w:r w:rsidRPr="00253226">
        <w:t>SN-ESA</w:t>
      </w:r>
      <w:r>
        <w:t xml:space="preserve"> </w:t>
      </w:r>
      <w:r w:rsidRPr="00253226">
        <w:t>64</w:t>
      </w:r>
      <w:r>
        <w:t>-65.</w:t>
      </w:r>
    </w:p>
  </w:footnote>
  <w:footnote w:id="689">
    <w:p w14:paraId="748487D6" w14:textId="5CB2BE96"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rsidRPr="00056528">
        <w:t>SN-ESA</w:t>
      </w:r>
      <w:r>
        <w:t xml:space="preserve"> </w:t>
      </w:r>
      <w:r w:rsidRPr="00056528">
        <w:t>131</w:t>
      </w:r>
      <w:r>
        <w:t xml:space="preserve">. </w:t>
      </w:r>
    </w:p>
  </w:footnote>
  <w:footnote w:id="690">
    <w:p w14:paraId="1B5C075E" w14:textId="50876EC4" w:rsidR="00655890" w:rsidRDefault="00655890" w:rsidP="000C1980">
      <w:pPr>
        <w:pStyle w:val="FootnoteText"/>
      </w:pPr>
      <w:r>
        <w:rPr>
          <w:rStyle w:val="FootnoteReference"/>
        </w:rPr>
        <w:footnoteRef/>
      </w:r>
      <w:r>
        <w:t xml:space="preserve">  Joint Parties Testimony of </w:t>
      </w:r>
      <w:r w:rsidRPr="00A33910">
        <w:t>B</w:t>
      </w:r>
      <w:r>
        <w:t>etony</w:t>
      </w:r>
      <w:r w:rsidRPr="00A33910">
        <w:t xml:space="preserve"> J</w:t>
      </w:r>
      <w:r>
        <w:t xml:space="preserve">ones, </w:t>
      </w:r>
      <w:r w:rsidRPr="00A33910">
        <w:t>20-34.</w:t>
      </w:r>
    </w:p>
  </w:footnote>
  <w:footnote w:id="691">
    <w:p w14:paraId="349366E8" w14:textId="68D46E68" w:rsidR="00655890" w:rsidRDefault="00655890" w:rsidP="000C1980">
      <w:pPr>
        <w:pStyle w:val="FootnoteText"/>
      </w:pPr>
      <w:r>
        <w:rPr>
          <w:rStyle w:val="FootnoteReference"/>
        </w:rPr>
        <w:footnoteRef/>
      </w:r>
      <w:r>
        <w:t xml:space="preserve">  Cal Advocates Amended Testimony, 1-20.</w:t>
      </w:r>
    </w:p>
  </w:footnote>
  <w:footnote w:id="692">
    <w:p w14:paraId="15DFB03F" w14:textId="3C0F6ED5" w:rsidR="00655890" w:rsidRDefault="00655890" w:rsidP="000C1980">
      <w:pPr>
        <w:pStyle w:val="FootnoteText"/>
      </w:pPr>
      <w:r>
        <w:rPr>
          <w:rStyle w:val="FootnoteReference"/>
        </w:rPr>
        <w:footnoteRef/>
      </w:r>
      <w:r>
        <w:t xml:space="preserve">  EEC Protest to SCE application, 6.</w:t>
      </w:r>
    </w:p>
  </w:footnote>
  <w:footnote w:id="693">
    <w:p w14:paraId="41790BD2" w14:textId="2208D6A5" w:rsidR="00655890" w:rsidRDefault="00655890" w:rsidP="000C1980">
      <w:pPr>
        <w:pStyle w:val="FootnoteText"/>
      </w:pPr>
      <w:r>
        <w:rPr>
          <w:rStyle w:val="FootnoteReference"/>
        </w:rPr>
        <w:footnoteRef/>
      </w:r>
      <w:r>
        <w:t xml:space="preserve">  Free Energy Savings Company Testimony, 2-4.</w:t>
      </w:r>
    </w:p>
  </w:footnote>
  <w:footnote w:id="694">
    <w:p w14:paraId="5BC75433" w14:textId="396B395E" w:rsidR="00655890" w:rsidRDefault="00655890" w:rsidP="000C1980">
      <w:pPr>
        <w:pStyle w:val="FootnoteText"/>
      </w:pPr>
      <w:r>
        <w:rPr>
          <w:rStyle w:val="FootnoteReference"/>
        </w:rPr>
        <w:footnoteRef/>
      </w:r>
      <w:r>
        <w:t xml:space="preserve">  </w:t>
      </w:r>
      <w:r w:rsidR="009A47E5" w:rsidRPr="00D5044E">
        <w:rPr>
          <w:i/>
          <w:iCs/>
        </w:rPr>
        <w:t>Ibid.</w:t>
      </w:r>
    </w:p>
  </w:footnote>
  <w:footnote w:id="695">
    <w:p w14:paraId="08F60B5D" w14:textId="380EA09A" w:rsidR="00655890" w:rsidRDefault="00655890" w:rsidP="000C1980">
      <w:pPr>
        <w:pStyle w:val="FootnoteText"/>
      </w:pPr>
      <w:r>
        <w:rPr>
          <w:rStyle w:val="FootnoteReference"/>
        </w:rPr>
        <w:footnoteRef/>
      </w:r>
      <w:r>
        <w:t xml:space="preserve">  </w:t>
      </w:r>
      <w:r w:rsidRPr="00D850E5">
        <w:t>Free Energy Savings Company Testimony</w:t>
      </w:r>
      <w:r>
        <w:t>, 4-5.</w:t>
      </w:r>
    </w:p>
  </w:footnote>
  <w:footnote w:id="696">
    <w:p w14:paraId="621E924D" w14:textId="358154B3"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6.</w:t>
      </w:r>
    </w:p>
  </w:footnote>
  <w:footnote w:id="697">
    <w:p w14:paraId="49DF718F" w14:textId="1115FC35" w:rsidR="00655890" w:rsidRDefault="00655890" w:rsidP="000C1980">
      <w:pPr>
        <w:pStyle w:val="FootnoteText"/>
      </w:pPr>
      <w:r>
        <w:rPr>
          <w:rStyle w:val="FootnoteReference"/>
        </w:rPr>
        <w:footnoteRef/>
      </w:r>
      <w:r>
        <w:t xml:space="preserve">  TURN Rebuttal </w:t>
      </w:r>
      <w:r w:rsidRPr="00E32DE4">
        <w:t>Testimony of H</w:t>
      </w:r>
      <w:r>
        <w:t xml:space="preserve">ayley </w:t>
      </w:r>
      <w:r w:rsidRPr="00E32DE4">
        <w:t>G</w:t>
      </w:r>
      <w:r>
        <w:t>oodson,</w:t>
      </w:r>
      <w:r w:rsidRPr="00E32DE4">
        <w:t xml:space="preserve"> 2-</w:t>
      </w:r>
      <w:r>
        <w:t>4.</w:t>
      </w:r>
    </w:p>
  </w:footnote>
  <w:footnote w:id="698">
    <w:p w14:paraId="524503B8" w14:textId="3D9B29E6" w:rsidR="00655890" w:rsidRDefault="00655890" w:rsidP="000C1980">
      <w:pPr>
        <w:pStyle w:val="FootnoteText"/>
      </w:pPr>
      <w:r>
        <w:rPr>
          <w:rStyle w:val="FootnoteReference"/>
        </w:rPr>
        <w:footnoteRef/>
      </w:r>
      <w:r>
        <w:t xml:space="preserve">  </w:t>
      </w:r>
      <w:r w:rsidRPr="00CB1B23">
        <w:t xml:space="preserve">D.18-10-008, </w:t>
      </w:r>
      <w:r w:rsidRPr="00CB1B23">
        <w:rPr>
          <w:i/>
          <w:iCs/>
        </w:rPr>
        <w:t xml:space="preserve">Decision Addressing Workforce Requirements and </w:t>
      </w:r>
      <w:proofErr w:type="gramStart"/>
      <w:r w:rsidRPr="00CB1B23">
        <w:rPr>
          <w:i/>
          <w:iCs/>
        </w:rPr>
        <w:t>Third Party</w:t>
      </w:r>
      <w:proofErr w:type="gramEnd"/>
      <w:r w:rsidRPr="00CB1B23">
        <w:rPr>
          <w:i/>
          <w:iCs/>
        </w:rPr>
        <w:t xml:space="preserve"> Contract Terms and</w:t>
      </w:r>
      <w:r w:rsidR="007C0706">
        <w:rPr>
          <w:i/>
          <w:iCs/>
        </w:rPr>
        <w:t xml:space="preserve"> </w:t>
      </w:r>
      <w:r w:rsidRPr="00CB1B23">
        <w:rPr>
          <w:i/>
          <w:iCs/>
        </w:rPr>
        <w:t>Conditions</w:t>
      </w:r>
      <w:r w:rsidRPr="00CB1B23">
        <w:t>, 33-34.</w:t>
      </w:r>
    </w:p>
  </w:footnote>
  <w:footnote w:id="699">
    <w:p w14:paraId="3CAC8ACD" w14:textId="204E01E2" w:rsidR="00655890" w:rsidRDefault="00655890" w:rsidP="000C1980">
      <w:pPr>
        <w:pStyle w:val="FootnoteText"/>
      </w:pPr>
      <w:r>
        <w:rPr>
          <w:rStyle w:val="FootnoteReference"/>
        </w:rPr>
        <w:footnoteRef/>
      </w:r>
      <w:r>
        <w:t xml:space="preserve">  PG&amp;E Rebuttal Testimony, I-48-50.</w:t>
      </w:r>
    </w:p>
  </w:footnote>
  <w:footnote w:id="700">
    <w:p w14:paraId="4255B5F6" w14:textId="42F53B34" w:rsidR="00655890" w:rsidRDefault="00655890" w:rsidP="000C1980">
      <w:pPr>
        <w:pStyle w:val="FootnoteText"/>
      </w:pPr>
      <w:r>
        <w:rPr>
          <w:rStyle w:val="FootnoteReference"/>
        </w:rPr>
        <w:footnoteRef/>
      </w:r>
      <w:r>
        <w:t xml:space="preserve">  SDG&amp;E Rebuttal Testimony, </w:t>
      </w:r>
      <w:r w:rsidRPr="00A87331">
        <w:t>SN-ESA</w:t>
      </w:r>
      <w:r>
        <w:t xml:space="preserve"> 28-32.</w:t>
      </w:r>
    </w:p>
  </w:footnote>
  <w:footnote w:id="701">
    <w:p w14:paraId="13ADDB42" w14:textId="0150B27D" w:rsidR="00694FAA" w:rsidRDefault="00694FAA">
      <w:pPr>
        <w:pStyle w:val="FootnoteText"/>
      </w:pPr>
      <w:r>
        <w:rPr>
          <w:rStyle w:val="FootnoteReference"/>
        </w:rPr>
        <w:footnoteRef/>
      </w:r>
      <w:r>
        <w:t xml:space="preserve"> SCE Reply Brief, 11-12.</w:t>
      </w:r>
    </w:p>
  </w:footnote>
  <w:footnote w:id="702">
    <w:p w14:paraId="6D326FE3" w14:textId="77777777" w:rsidR="00655890" w:rsidRPr="00595F5F" w:rsidRDefault="00655890" w:rsidP="000C1980">
      <w:pPr>
        <w:spacing w:after="120"/>
        <w:rPr>
          <w:sz w:val="22"/>
          <w:szCs w:val="22"/>
        </w:rPr>
      </w:pPr>
      <w:r w:rsidRPr="00595F5F">
        <w:rPr>
          <w:sz w:val="22"/>
          <w:szCs w:val="22"/>
          <w:vertAlign w:val="superscript"/>
        </w:rPr>
        <w:footnoteRef/>
      </w:r>
      <w:r w:rsidRPr="00595F5F">
        <w:rPr>
          <w:sz w:val="22"/>
          <w:szCs w:val="22"/>
        </w:rPr>
        <w:t xml:space="preserve">  The IOUs business plans are available at </w:t>
      </w:r>
      <w:hyperlink r:id="rId12" w:history="1">
        <w:r w:rsidRPr="00140282">
          <w:rPr>
            <w:rStyle w:val="Hyperlink"/>
            <w:sz w:val="22"/>
            <w:szCs w:val="22"/>
          </w:rPr>
          <w:t>https://www.caeecc.org/business-plans-1</w:t>
        </w:r>
      </w:hyperlink>
      <w:r w:rsidRPr="00595F5F">
        <w:rPr>
          <w:sz w:val="22"/>
          <w:szCs w:val="22"/>
        </w:rPr>
        <w:t>.</w:t>
      </w:r>
      <w:r>
        <w:rPr>
          <w:sz w:val="22"/>
          <w:szCs w:val="22"/>
        </w:rPr>
        <w:t xml:space="preserve"> </w:t>
      </w:r>
    </w:p>
  </w:footnote>
  <w:footnote w:id="703">
    <w:p w14:paraId="42FB4948" w14:textId="5F954818" w:rsidR="00655890" w:rsidRDefault="00655890" w:rsidP="000C1980">
      <w:pPr>
        <w:pStyle w:val="FootnoteText"/>
      </w:pPr>
      <w:r>
        <w:rPr>
          <w:rStyle w:val="FootnoteReference"/>
        </w:rPr>
        <w:footnoteRef/>
      </w:r>
      <w:r>
        <w:t xml:space="preserve">  PG&amp;E Testimony, I-189.</w:t>
      </w:r>
    </w:p>
  </w:footnote>
  <w:footnote w:id="704">
    <w:p w14:paraId="3D3725B3" w14:textId="04A3325A"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I-192.</w:t>
      </w:r>
    </w:p>
  </w:footnote>
  <w:footnote w:id="705">
    <w:p w14:paraId="07AE1601" w14:textId="03CF595A"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I-198.</w:t>
      </w:r>
    </w:p>
  </w:footnote>
  <w:footnote w:id="706">
    <w:p w14:paraId="3C8ECCE6" w14:textId="0FAF4495" w:rsidR="00655890" w:rsidRDefault="00655890" w:rsidP="000C1980">
      <w:pPr>
        <w:pStyle w:val="FootnoteText"/>
      </w:pPr>
      <w:r>
        <w:rPr>
          <w:rStyle w:val="FootnoteReference"/>
        </w:rPr>
        <w:footnoteRef/>
      </w:r>
      <w:r>
        <w:t xml:space="preserve">  SCE Prepared Testimony, II- 90.</w:t>
      </w:r>
    </w:p>
  </w:footnote>
  <w:footnote w:id="707">
    <w:p w14:paraId="4D5777A9" w14:textId="5DA85CC9" w:rsidR="00655890" w:rsidRDefault="00655890" w:rsidP="000C1980">
      <w:pPr>
        <w:pStyle w:val="FootnoteText"/>
      </w:pPr>
      <w:r>
        <w:rPr>
          <w:rStyle w:val="FootnoteReference"/>
        </w:rPr>
        <w:footnoteRef/>
      </w:r>
      <w:r>
        <w:t xml:space="preserve">  SCE Prepared Testimony, II- 94 and 96.</w:t>
      </w:r>
    </w:p>
  </w:footnote>
  <w:footnote w:id="708">
    <w:p w14:paraId="2F965BA6" w14:textId="44A37D14"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II- 92.</w:t>
      </w:r>
    </w:p>
  </w:footnote>
  <w:footnote w:id="709">
    <w:p w14:paraId="3646AD32" w14:textId="0C07E93B" w:rsidR="00655890" w:rsidRDefault="00655890" w:rsidP="000C1980">
      <w:pPr>
        <w:pStyle w:val="FootnoteText"/>
      </w:pPr>
      <w:r>
        <w:rPr>
          <w:rStyle w:val="FootnoteReference"/>
        </w:rPr>
        <w:footnoteRef/>
      </w:r>
      <w:r>
        <w:t xml:space="preserve">  SoCalGas Testimony of Mark Aguirre and Erin Brooks, 156.</w:t>
      </w:r>
    </w:p>
  </w:footnote>
  <w:footnote w:id="710">
    <w:p w14:paraId="506F325A" w14:textId="3464541A" w:rsidR="00655890" w:rsidRDefault="00655890" w:rsidP="000C1980">
      <w:pPr>
        <w:pStyle w:val="FootnoteText"/>
      </w:pPr>
      <w:r>
        <w:rPr>
          <w:rStyle w:val="FootnoteReference"/>
        </w:rPr>
        <w:footnoteRef/>
      </w:r>
      <w:r>
        <w:t xml:space="preserve">  SDG&amp;E Testimony, SN-ESA 142</w:t>
      </w:r>
      <w:r w:rsidR="00BA30FA">
        <w:t>.</w:t>
      </w:r>
      <w:r>
        <w:t xml:space="preserve"> </w:t>
      </w:r>
      <w:r>
        <w:tab/>
      </w:r>
    </w:p>
  </w:footnote>
  <w:footnote w:id="711">
    <w:p w14:paraId="54EB82B5" w14:textId="4F02489F" w:rsidR="00655890" w:rsidRDefault="00655890" w:rsidP="000C1980">
      <w:pPr>
        <w:pStyle w:val="FootnoteText"/>
      </w:pPr>
      <w:r>
        <w:rPr>
          <w:rStyle w:val="FootnoteReference"/>
        </w:rPr>
        <w:footnoteRef/>
      </w:r>
      <w:r>
        <w:t xml:space="preserve">  Cal Advocates Testimony Exhibit 4, 5-8.</w:t>
      </w:r>
    </w:p>
  </w:footnote>
  <w:footnote w:id="712">
    <w:p w14:paraId="6A0235B0" w14:textId="25A8EC3B"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Exhibit 4, 5-8.</w:t>
      </w:r>
    </w:p>
  </w:footnote>
  <w:footnote w:id="713">
    <w:p w14:paraId="71D29C44" w14:textId="23CFC605" w:rsidR="00655890" w:rsidRDefault="00655890" w:rsidP="000C1980">
      <w:pPr>
        <w:pStyle w:val="FootnoteText"/>
      </w:pPr>
      <w:r>
        <w:rPr>
          <w:rStyle w:val="FootnoteReference"/>
        </w:rPr>
        <w:footnoteRef/>
      </w:r>
      <w:r>
        <w:t xml:space="preserve">  EEC testimony of Allan Rago, 18.</w:t>
      </w:r>
    </w:p>
  </w:footnote>
  <w:footnote w:id="714">
    <w:p w14:paraId="7FFBE16F" w14:textId="218CA4BD" w:rsidR="00BB764E" w:rsidRDefault="00BB764E">
      <w:pPr>
        <w:pStyle w:val="FootnoteText"/>
      </w:pPr>
      <w:r>
        <w:rPr>
          <w:rStyle w:val="FootnoteReference"/>
        </w:rPr>
        <w:footnoteRef/>
      </w:r>
      <w:r>
        <w:t xml:space="preserve"> TURN Opening Brief, 55-56.</w:t>
      </w:r>
    </w:p>
  </w:footnote>
  <w:footnote w:id="715">
    <w:p w14:paraId="37C1DC28" w14:textId="77777777" w:rsidR="00655890" w:rsidRDefault="00655890" w:rsidP="000C1980">
      <w:pPr>
        <w:pStyle w:val="FootnoteText"/>
      </w:pPr>
      <w:r>
        <w:rPr>
          <w:rStyle w:val="FootnoteReference"/>
        </w:rPr>
        <w:footnoteRef/>
      </w:r>
      <w:r>
        <w:t xml:space="preserve">  PG&amp;E Rebuttal Testimony, Jungbluth, I-20.</w:t>
      </w:r>
    </w:p>
  </w:footnote>
  <w:footnote w:id="716">
    <w:p w14:paraId="2327C353" w14:textId="5C7B5F8F" w:rsidR="00655890" w:rsidRDefault="00655890" w:rsidP="000C1980">
      <w:pPr>
        <w:pStyle w:val="FootnoteText"/>
      </w:pPr>
      <w:r>
        <w:rPr>
          <w:rStyle w:val="FootnoteReference"/>
        </w:rPr>
        <w:footnoteRef/>
      </w:r>
      <w:r>
        <w:t xml:space="preserve">  </w:t>
      </w:r>
      <w:r w:rsidR="00F43B00" w:rsidRPr="00CB4AE6">
        <w:rPr>
          <w:i/>
          <w:iCs/>
        </w:rPr>
        <w:t>Id</w:t>
      </w:r>
      <w:r w:rsidR="00F43B00">
        <w:t xml:space="preserve"> at</w:t>
      </w:r>
      <w:r>
        <w:t xml:space="preserve"> I-19.</w:t>
      </w:r>
    </w:p>
  </w:footnote>
  <w:footnote w:id="717">
    <w:p w14:paraId="477D03FE" w14:textId="11D779E2" w:rsidR="00655890" w:rsidRDefault="00655890" w:rsidP="000C1980">
      <w:pPr>
        <w:pStyle w:val="FootnoteText"/>
      </w:pPr>
      <w:r>
        <w:rPr>
          <w:rStyle w:val="FootnoteReference"/>
        </w:rPr>
        <w:footnoteRef/>
      </w:r>
      <w:r>
        <w:t xml:space="preserve">  SDG&amp;E Rebuttal Testimony, SN-ESA-20.</w:t>
      </w:r>
    </w:p>
  </w:footnote>
  <w:footnote w:id="718">
    <w:p w14:paraId="220F13FF" w14:textId="77777777" w:rsidR="00655890" w:rsidRDefault="00655890" w:rsidP="000C1980">
      <w:pPr>
        <w:pStyle w:val="FootnoteText"/>
      </w:pPr>
      <w:r>
        <w:rPr>
          <w:rStyle w:val="FootnoteReference"/>
        </w:rPr>
        <w:footnoteRef/>
      </w:r>
      <w:r>
        <w:t xml:space="preserve">  The third-party solicitation process is defined by D.16-08-019 and, at this time, the processes set forth in D.18-01-004 and D.18-10-008. </w:t>
      </w:r>
    </w:p>
  </w:footnote>
  <w:footnote w:id="719">
    <w:p w14:paraId="377EE69E" w14:textId="77777777" w:rsidR="00655890" w:rsidRPr="00595F5F" w:rsidRDefault="00655890" w:rsidP="000C1980">
      <w:pPr>
        <w:pStyle w:val="FootnoteText"/>
        <w:rPr>
          <w:szCs w:val="22"/>
        </w:rPr>
      </w:pPr>
      <w:r w:rsidRPr="00595F5F">
        <w:rPr>
          <w:rStyle w:val="FootnoteReference"/>
          <w:szCs w:val="22"/>
        </w:rPr>
        <w:footnoteRef/>
      </w:r>
      <w:r w:rsidRPr="00595F5F">
        <w:rPr>
          <w:szCs w:val="22"/>
        </w:rPr>
        <w:t xml:space="preserve">  These questions may be adjusted to match scoring criteria or other request for proposal objectives.</w:t>
      </w:r>
    </w:p>
  </w:footnote>
  <w:footnote w:id="720">
    <w:p w14:paraId="1A621218" w14:textId="040DDFC6" w:rsidR="00655890" w:rsidRDefault="00655890" w:rsidP="000C1980">
      <w:pPr>
        <w:pStyle w:val="FootnoteText"/>
      </w:pPr>
      <w:r>
        <w:rPr>
          <w:rStyle w:val="FootnoteReference"/>
        </w:rPr>
        <w:footnoteRef/>
      </w:r>
      <w:r>
        <w:t xml:space="preserve">  Decision 19-06-022</w:t>
      </w:r>
      <w:r w:rsidR="00BA30FA">
        <w:t>,</w:t>
      </w:r>
      <w:r>
        <w:t xml:space="preserve"> 9.</w:t>
      </w:r>
    </w:p>
  </w:footnote>
  <w:footnote w:id="721">
    <w:p w14:paraId="3F5CDC44" w14:textId="126B9651" w:rsidR="00655890" w:rsidRDefault="00655890" w:rsidP="000C1980">
      <w:pPr>
        <w:pStyle w:val="FootnoteText"/>
      </w:pPr>
      <w:r>
        <w:rPr>
          <w:rStyle w:val="FootnoteReference"/>
        </w:rPr>
        <w:footnoteRef/>
      </w:r>
      <w:r>
        <w:t xml:space="preserve">  PG&amp;E Testimony, Chapter IV, Table A-1.</w:t>
      </w:r>
    </w:p>
  </w:footnote>
  <w:footnote w:id="722">
    <w:p w14:paraId="687AE35C" w14:textId="234E54D8"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I-58.</w:t>
      </w:r>
    </w:p>
  </w:footnote>
  <w:footnote w:id="723">
    <w:p w14:paraId="4D712546" w14:textId="342B2001" w:rsidR="00655890" w:rsidRDefault="00655890" w:rsidP="000C1980">
      <w:pPr>
        <w:pStyle w:val="FootnoteText"/>
      </w:pPr>
      <w:r>
        <w:rPr>
          <w:rStyle w:val="FootnoteReference"/>
        </w:rPr>
        <w:footnoteRef/>
      </w:r>
      <w:r>
        <w:t xml:space="preserve">  SCE</w:t>
      </w:r>
      <w:r w:rsidRPr="00293B8F">
        <w:t xml:space="preserve"> </w:t>
      </w:r>
      <w:r>
        <w:t>Prepared Testimony, II- 13-14.</w:t>
      </w:r>
    </w:p>
  </w:footnote>
  <w:footnote w:id="724">
    <w:p w14:paraId="08AFDB01" w14:textId="6A59B2EE"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V-A, Table A</w:t>
      </w:r>
      <w:r w:rsidR="00BA30FA">
        <w:t>.</w:t>
      </w:r>
    </w:p>
  </w:footnote>
  <w:footnote w:id="725">
    <w:p w14:paraId="5D717068" w14:textId="48CB4872" w:rsidR="00655890" w:rsidRDefault="00655890" w:rsidP="000C1980">
      <w:pPr>
        <w:pStyle w:val="FootnoteText"/>
      </w:pPr>
      <w:r>
        <w:rPr>
          <w:rStyle w:val="FootnoteReference"/>
        </w:rPr>
        <w:footnoteRef/>
      </w:r>
      <w:r>
        <w:t xml:space="preserve">  </w:t>
      </w:r>
      <w:r w:rsidR="00F43B00" w:rsidRPr="00CB4AE6">
        <w:rPr>
          <w:i/>
          <w:iCs/>
        </w:rPr>
        <w:t>Id</w:t>
      </w:r>
      <w:r w:rsidR="00F43B00">
        <w:t xml:space="preserve"> at </w:t>
      </w:r>
      <w:r>
        <w:t>II- 17-18.</w:t>
      </w:r>
    </w:p>
  </w:footnote>
  <w:footnote w:id="726">
    <w:p w14:paraId="1E641001" w14:textId="06D2C8C5" w:rsidR="0070324A" w:rsidRDefault="0070324A" w:rsidP="0070324A">
      <w:pPr>
        <w:rPr>
          <w:sz w:val="22"/>
          <w:szCs w:val="22"/>
        </w:rPr>
      </w:pPr>
      <w:r w:rsidRPr="57684ABA">
        <w:rPr>
          <w:sz w:val="22"/>
          <w:szCs w:val="22"/>
          <w:vertAlign w:val="superscript"/>
        </w:rPr>
        <w:footnoteRef/>
      </w:r>
      <w:r w:rsidRPr="00481B2D">
        <w:rPr>
          <w:sz w:val="22"/>
          <w:szCs w:val="22"/>
        </w:rPr>
        <w:t xml:space="preserve"> </w:t>
      </w:r>
      <w:r w:rsidR="00F43B00" w:rsidRPr="00F43B00">
        <w:rPr>
          <w:i/>
          <w:iCs/>
          <w:sz w:val="22"/>
          <w:szCs w:val="22"/>
        </w:rPr>
        <w:t>Id</w:t>
      </w:r>
      <w:r w:rsidR="00F43B00" w:rsidRPr="00F43B00">
        <w:rPr>
          <w:sz w:val="22"/>
          <w:szCs w:val="22"/>
        </w:rPr>
        <w:t xml:space="preserve"> at </w:t>
      </w:r>
      <w:r w:rsidRPr="00F43B00">
        <w:rPr>
          <w:sz w:val="22"/>
          <w:szCs w:val="22"/>
        </w:rPr>
        <w:t>II- 71-72</w:t>
      </w:r>
      <w:r w:rsidRPr="00481B2D">
        <w:rPr>
          <w:sz w:val="22"/>
          <w:szCs w:val="22"/>
        </w:rPr>
        <w:t xml:space="preserve"> </w:t>
      </w:r>
    </w:p>
  </w:footnote>
  <w:footnote w:id="727">
    <w:p w14:paraId="63F224B7" w14:textId="70CB581D" w:rsidR="00655890" w:rsidRDefault="00655890" w:rsidP="000C1980">
      <w:pPr>
        <w:pStyle w:val="FootnoteText"/>
      </w:pPr>
      <w:r>
        <w:rPr>
          <w:rStyle w:val="FootnoteReference"/>
        </w:rPr>
        <w:footnoteRef/>
      </w:r>
      <w:r>
        <w:t xml:space="preserve">  SoCalGas Application, Attachment B, Table A-1.</w:t>
      </w:r>
    </w:p>
  </w:footnote>
  <w:footnote w:id="728">
    <w:p w14:paraId="5B775FA3" w14:textId="44004712" w:rsidR="00655890" w:rsidRDefault="00655890" w:rsidP="000C1980">
      <w:pPr>
        <w:pStyle w:val="FootnoteText"/>
      </w:pPr>
      <w:r>
        <w:rPr>
          <w:rStyle w:val="FootnoteReference"/>
        </w:rPr>
        <w:footnoteRef/>
      </w:r>
      <w:r>
        <w:t xml:space="preserve">  SoCalGas </w:t>
      </w:r>
      <w:r w:rsidRPr="005B0C45">
        <w:t xml:space="preserve">Testimony of </w:t>
      </w:r>
      <w:r>
        <w:t>Mark A. Aguirre and Erin P. Brooks,</w:t>
      </w:r>
      <w:r w:rsidRPr="005B0C45">
        <w:t xml:space="preserve"> </w:t>
      </w:r>
      <w:r>
        <w:t>59.</w:t>
      </w:r>
    </w:p>
  </w:footnote>
  <w:footnote w:id="729">
    <w:p w14:paraId="0D9CE448" w14:textId="59B3652A" w:rsidR="00655890" w:rsidRDefault="00655890" w:rsidP="000C1980">
      <w:pPr>
        <w:pStyle w:val="FootnoteText"/>
      </w:pPr>
      <w:r>
        <w:rPr>
          <w:rStyle w:val="FootnoteReference"/>
        </w:rPr>
        <w:footnoteRef/>
      </w:r>
      <w:r>
        <w:t xml:space="preserve">  SDG&amp;E Correction to Appendix A, Table A-1.</w:t>
      </w:r>
    </w:p>
  </w:footnote>
  <w:footnote w:id="730">
    <w:p w14:paraId="56EE5F7E" w14:textId="523CDE1D" w:rsidR="00655890" w:rsidRDefault="00655890" w:rsidP="000C1980">
      <w:pPr>
        <w:pStyle w:val="FootnoteText"/>
      </w:pPr>
      <w:r>
        <w:rPr>
          <w:rStyle w:val="FootnoteReference"/>
        </w:rPr>
        <w:footnoteRef/>
      </w:r>
      <w:r>
        <w:t xml:space="preserve">  SDG&amp;E Testimony, SN-ESA-155.</w:t>
      </w:r>
    </w:p>
  </w:footnote>
  <w:footnote w:id="731">
    <w:p w14:paraId="11D24D9A" w14:textId="2AFD2C98" w:rsidR="00655890" w:rsidRDefault="00655890" w:rsidP="000C1980">
      <w:pPr>
        <w:pStyle w:val="FootnoteText"/>
      </w:pPr>
      <w:r>
        <w:rPr>
          <w:rStyle w:val="FootnoteReference"/>
        </w:rPr>
        <w:footnoteRef/>
      </w:r>
      <w:r>
        <w:t xml:space="preserve">  Cal Advocates Prepared Testimony of Stanley Kuan, 1-25.</w:t>
      </w:r>
    </w:p>
  </w:footnote>
  <w:footnote w:id="732">
    <w:p w14:paraId="4BF7C4D7" w14:textId="26102EEC" w:rsidR="00655890" w:rsidRDefault="00655890" w:rsidP="000C1980">
      <w:pPr>
        <w:pStyle w:val="FootnoteText"/>
      </w:pPr>
      <w:r>
        <w:rPr>
          <w:rStyle w:val="FootnoteReference"/>
        </w:rPr>
        <w:footnoteRef/>
      </w:r>
      <w:r>
        <w:t xml:space="preserve">  Cal Advocates Amended Testimony, 1-26.</w:t>
      </w:r>
    </w:p>
  </w:footnote>
  <w:footnote w:id="733">
    <w:p w14:paraId="7B475946" w14:textId="39A714DB" w:rsidR="00655890" w:rsidRDefault="00655890" w:rsidP="000C1980">
      <w:pPr>
        <w:pStyle w:val="FootnoteText"/>
      </w:pPr>
      <w:r>
        <w:rPr>
          <w:rStyle w:val="FootnoteReference"/>
        </w:rPr>
        <w:footnoteRef/>
      </w:r>
      <w:r>
        <w:t xml:space="preserve">  </w:t>
      </w:r>
      <w:r w:rsidRPr="00CD06CE">
        <w:t>D.16-11-022</w:t>
      </w:r>
      <w:r>
        <w:t xml:space="preserve"> c</w:t>
      </w:r>
      <w:r w:rsidRPr="002A6810">
        <w:t xml:space="preserve">apped administrative costs at 10% for the ESA </w:t>
      </w:r>
      <w:r>
        <w:t xml:space="preserve">CAM; </w:t>
      </w:r>
      <w:r w:rsidRPr="00CD06CE">
        <w:t>D.19-06-022 direct</w:t>
      </w:r>
      <w:r>
        <w:t>ed</w:t>
      </w:r>
      <w:r w:rsidRPr="00CD06CE">
        <w:t xml:space="preserve"> </w:t>
      </w:r>
      <w:r>
        <w:t xml:space="preserve">the IOUs to set aside </w:t>
      </w:r>
      <w:r w:rsidRPr="002A6810">
        <w:t>10% of total ESA bridge budget for administrative program costs</w:t>
      </w:r>
      <w:r>
        <w:t xml:space="preserve">; </w:t>
      </w:r>
      <w:r w:rsidR="00EE3013">
        <w:t>m</w:t>
      </w:r>
      <w:r>
        <w:t xml:space="preserve">ainstream </w:t>
      </w:r>
      <w:r w:rsidRPr="00CD06CE">
        <w:t>energy efficiency programs</w:t>
      </w:r>
      <w:r w:rsidRPr="002A6810">
        <w:t xml:space="preserve"> also impose</w:t>
      </w:r>
      <w:r>
        <w:t xml:space="preserve"> an</w:t>
      </w:r>
      <w:r w:rsidRPr="002A6810">
        <w:t xml:space="preserve"> administrative cost caps of 10</w:t>
      </w:r>
      <w:r>
        <w:t xml:space="preserve"> percent. </w:t>
      </w:r>
    </w:p>
  </w:footnote>
  <w:footnote w:id="734">
    <w:p w14:paraId="7B38C537" w14:textId="2172493E" w:rsidR="00655890" w:rsidRDefault="00655890" w:rsidP="000C1980">
      <w:pPr>
        <w:pStyle w:val="FootnoteText"/>
      </w:pPr>
      <w:r>
        <w:rPr>
          <w:rStyle w:val="FootnoteReference"/>
        </w:rPr>
        <w:footnoteRef/>
      </w:r>
      <w:r>
        <w:t xml:space="preserve">  Cal Advocates Amended Testimony, 1-3 - 1-5. </w:t>
      </w:r>
    </w:p>
  </w:footnote>
  <w:footnote w:id="735">
    <w:p w14:paraId="4BF2D9AC" w14:textId="59D7EE6C"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1-6</w:t>
      </w:r>
      <w:r w:rsidR="00EE14FE">
        <w:t>.</w:t>
      </w:r>
    </w:p>
  </w:footnote>
  <w:footnote w:id="736">
    <w:p w14:paraId="3E957DB7" w14:textId="4BE28F68"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1-6 - 1-8</w:t>
      </w:r>
      <w:r w:rsidR="00EE14FE">
        <w:t>.</w:t>
      </w:r>
    </w:p>
  </w:footnote>
  <w:footnote w:id="737">
    <w:p w14:paraId="0804B458" w14:textId="4DA47161"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Exhibit II, 4-5.</w:t>
      </w:r>
    </w:p>
  </w:footnote>
  <w:footnote w:id="738">
    <w:p w14:paraId="378745CC" w14:textId="389E85F5"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Exhibit II, 5-6.</w:t>
      </w:r>
    </w:p>
  </w:footnote>
  <w:footnote w:id="739">
    <w:p w14:paraId="5B8D74EE" w14:textId="3485DB2D"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Exhibit II, 10-11.</w:t>
      </w:r>
    </w:p>
  </w:footnote>
  <w:footnote w:id="740">
    <w:p w14:paraId="5CCBB5C9" w14:textId="14BB82C7"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rsidRPr="001551CA">
        <w:t>1-</w:t>
      </w:r>
      <w:r>
        <w:t>8.</w:t>
      </w:r>
    </w:p>
  </w:footnote>
  <w:footnote w:id="741">
    <w:p w14:paraId="0E09CC5F" w14:textId="3F66C8AB" w:rsidR="00655890" w:rsidRPr="00595FD4" w:rsidRDefault="00655890" w:rsidP="000C1980">
      <w:pPr>
        <w:pStyle w:val="FootnoteText"/>
        <w:rPr>
          <w:szCs w:val="22"/>
        </w:rPr>
      </w:pPr>
      <w:r w:rsidRPr="00595FD4">
        <w:rPr>
          <w:rStyle w:val="FootnoteReference"/>
          <w:szCs w:val="22"/>
        </w:rPr>
        <w:footnoteRef/>
      </w:r>
      <w:r w:rsidRPr="00595FD4">
        <w:rPr>
          <w:szCs w:val="22"/>
        </w:rPr>
        <w:t xml:space="preserve"> </w:t>
      </w:r>
      <w:r>
        <w:rPr>
          <w:szCs w:val="22"/>
        </w:rPr>
        <w:t xml:space="preserve"> </w:t>
      </w:r>
      <w:r w:rsidR="00956032" w:rsidRPr="00CB4AE6">
        <w:rPr>
          <w:i/>
          <w:iCs/>
        </w:rPr>
        <w:t>Id</w:t>
      </w:r>
      <w:r w:rsidR="00956032">
        <w:t xml:space="preserve"> at </w:t>
      </w:r>
      <w:r w:rsidRPr="00595FD4">
        <w:rPr>
          <w:szCs w:val="22"/>
        </w:rPr>
        <w:t>1-9.</w:t>
      </w:r>
    </w:p>
  </w:footnote>
  <w:footnote w:id="742">
    <w:p w14:paraId="28F1FEA7" w14:textId="3013D76F" w:rsidR="00655890" w:rsidRPr="008F3C57" w:rsidRDefault="00655890" w:rsidP="000C1980">
      <w:pPr>
        <w:pStyle w:val="FootnoteText"/>
      </w:pPr>
      <w:r w:rsidRPr="00595FD4">
        <w:rPr>
          <w:rStyle w:val="FootnoteReference"/>
          <w:szCs w:val="22"/>
        </w:rPr>
        <w:footnoteRef/>
      </w:r>
      <w:r w:rsidRPr="00595FD4">
        <w:rPr>
          <w:szCs w:val="22"/>
        </w:rPr>
        <w:t xml:space="preserve"> </w:t>
      </w:r>
      <w:r>
        <w:rPr>
          <w:szCs w:val="22"/>
        </w:rPr>
        <w:t xml:space="preserve"> </w:t>
      </w:r>
      <w:r w:rsidRPr="00595FD4">
        <w:rPr>
          <w:szCs w:val="22"/>
        </w:rPr>
        <w:t>TURN Rebuttal Testimony</w:t>
      </w:r>
      <w:r w:rsidRPr="00595FD4">
        <w:rPr>
          <w:rFonts w:cs="TimesNewRomanPS-BoldMT"/>
          <w:szCs w:val="22"/>
        </w:rPr>
        <w:t xml:space="preserve"> of </w:t>
      </w:r>
      <w:r w:rsidRPr="00595FD4">
        <w:rPr>
          <w:szCs w:val="22"/>
        </w:rPr>
        <w:t>Alice Napoleon</w:t>
      </w:r>
      <w:r>
        <w:rPr>
          <w:szCs w:val="22"/>
        </w:rPr>
        <w:t xml:space="preserve">, </w:t>
      </w:r>
      <w:r w:rsidRPr="00595FD4">
        <w:rPr>
          <w:szCs w:val="22"/>
        </w:rPr>
        <w:t>4-6.</w:t>
      </w:r>
    </w:p>
  </w:footnote>
  <w:footnote w:id="743">
    <w:p w14:paraId="66C3119A" w14:textId="77777777" w:rsidR="00655890" w:rsidRPr="00595FD4" w:rsidRDefault="00655890" w:rsidP="000C1980">
      <w:pPr>
        <w:pStyle w:val="FootnoteText"/>
        <w:rPr>
          <w:szCs w:val="22"/>
        </w:rPr>
      </w:pPr>
      <w:r w:rsidRPr="00595FD4">
        <w:rPr>
          <w:rStyle w:val="FootnoteReference"/>
          <w:szCs w:val="22"/>
        </w:rPr>
        <w:footnoteRef/>
      </w:r>
      <w:r>
        <w:rPr>
          <w:szCs w:val="22"/>
        </w:rPr>
        <w:t xml:space="preserve"> </w:t>
      </w:r>
      <w:r w:rsidRPr="00595FD4">
        <w:rPr>
          <w:szCs w:val="22"/>
        </w:rPr>
        <w:t xml:space="preserve"> CETF Protest to PG&amp;E Application, 4.</w:t>
      </w:r>
    </w:p>
  </w:footnote>
  <w:footnote w:id="744">
    <w:p w14:paraId="64871EFA" w14:textId="652D1DE9" w:rsidR="00655890" w:rsidRPr="00595FD4" w:rsidRDefault="00655890" w:rsidP="000C1980">
      <w:pPr>
        <w:pStyle w:val="FootnoteText"/>
        <w:rPr>
          <w:szCs w:val="22"/>
        </w:rPr>
      </w:pPr>
      <w:r w:rsidRPr="00595FD4">
        <w:rPr>
          <w:rStyle w:val="FootnoteReference"/>
          <w:szCs w:val="22"/>
        </w:rPr>
        <w:footnoteRef/>
      </w:r>
      <w:r w:rsidRPr="00595FD4">
        <w:rPr>
          <w:szCs w:val="22"/>
        </w:rPr>
        <w:t xml:space="preserve"> </w:t>
      </w:r>
      <w:r>
        <w:rPr>
          <w:szCs w:val="22"/>
        </w:rPr>
        <w:t xml:space="preserve"> </w:t>
      </w:r>
      <w:r w:rsidR="007518FA" w:rsidRPr="00D5044E">
        <w:rPr>
          <w:i/>
          <w:iCs/>
        </w:rPr>
        <w:t>Ibid.</w:t>
      </w:r>
    </w:p>
  </w:footnote>
  <w:footnote w:id="745">
    <w:p w14:paraId="2EBC5B73" w14:textId="77777777" w:rsidR="00655890" w:rsidRPr="00595FD4" w:rsidRDefault="00655890" w:rsidP="000C1980">
      <w:pPr>
        <w:pStyle w:val="FootnoteText"/>
        <w:rPr>
          <w:szCs w:val="22"/>
        </w:rPr>
      </w:pPr>
      <w:r w:rsidRPr="00595FD4">
        <w:rPr>
          <w:rStyle w:val="FootnoteReference"/>
          <w:szCs w:val="22"/>
        </w:rPr>
        <w:footnoteRef/>
      </w:r>
      <w:r w:rsidRPr="00595FD4">
        <w:rPr>
          <w:szCs w:val="22"/>
        </w:rPr>
        <w:t xml:space="preserve"> </w:t>
      </w:r>
      <w:r>
        <w:rPr>
          <w:szCs w:val="22"/>
        </w:rPr>
        <w:t xml:space="preserve"> </w:t>
      </w:r>
      <w:r w:rsidRPr="00595FD4">
        <w:rPr>
          <w:szCs w:val="22"/>
        </w:rPr>
        <w:t>CETF Protest to PG&amp;E Application, 11 (citing Joint IOU Report submitted to the LIOB in September 2019, showing that PG&amp;E had spent only 31% of its ESA budget for 2019 through June 30</w:t>
      </w:r>
      <w:r w:rsidRPr="00595FD4">
        <w:rPr>
          <w:szCs w:val="22"/>
          <w:vertAlign w:val="superscript"/>
        </w:rPr>
        <w:t>th</w:t>
      </w:r>
      <w:r w:rsidRPr="00595FD4">
        <w:rPr>
          <w:szCs w:val="22"/>
        </w:rPr>
        <w:t xml:space="preserve">. </w:t>
      </w:r>
    </w:p>
  </w:footnote>
  <w:footnote w:id="746">
    <w:p w14:paraId="0B0D2392" w14:textId="6D0C622F" w:rsidR="00655890" w:rsidRPr="00595FD4" w:rsidRDefault="00655890" w:rsidP="000C1980">
      <w:pPr>
        <w:pStyle w:val="FootnoteText"/>
        <w:rPr>
          <w:szCs w:val="22"/>
        </w:rPr>
      </w:pPr>
      <w:r w:rsidRPr="00595FD4">
        <w:rPr>
          <w:rStyle w:val="FootnoteReference"/>
          <w:szCs w:val="22"/>
        </w:rPr>
        <w:footnoteRef/>
      </w:r>
      <w:r w:rsidRPr="00595FD4">
        <w:rPr>
          <w:szCs w:val="22"/>
        </w:rPr>
        <w:t xml:space="preserve"> </w:t>
      </w:r>
      <w:r>
        <w:rPr>
          <w:szCs w:val="22"/>
        </w:rPr>
        <w:t xml:space="preserve"> </w:t>
      </w:r>
      <w:r w:rsidRPr="00595FD4">
        <w:rPr>
          <w:szCs w:val="22"/>
        </w:rPr>
        <w:t>EEC Protest to SCE Application</w:t>
      </w:r>
      <w:r>
        <w:rPr>
          <w:szCs w:val="22"/>
        </w:rPr>
        <w:t xml:space="preserve">, </w:t>
      </w:r>
      <w:r w:rsidRPr="00595FD4">
        <w:rPr>
          <w:szCs w:val="22"/>
        </w:rPr>
        <w:t>6.</w:t>
      </w:r>
    </w:p>
  </w:footnote>
  <w:footnote w:id="747">
    <w:p w14:paraId="31917044" w14:textId="0B406EFC" w:rsidR="00590EB5" w:rsidRDefault="00590EB5">
      <w:pPr>
        <w:pStyle w:val="FootnoteText"/>
      </w:pPr>
      <w:r>
        <w:rPr>
          <w:rStyle w:val="FootnoteReference"/>
        </w:rPr>
        <w:footnoteRef/>
      </w:r>
      <w:r>
        <w:t xml:space="preserve"> </w:t>
      </w:r>
      <w:r w:rsidR="00F47DF3">
        <w:t>EEC Opening Brief, 3.</w:t>
      </w:r>
    </w:p>
  </w:footnote>
  <w:footnote w:id="748">
    <w:p w14:paraId="121A54E2" w14:textId="77777777" w:rsidR="00655890" w:rsidRPr="00595FD4" w:rsidRDefault="00655890" w:rsidP="000C1980">
      <w:pPr>
        <w:pStyle w:val="FootnoteText"/>
        <w:rPr>
          <w:szCs w:val="22"/>
        </w:rPr>
      </w:pPr>
      <w:r w:rsidRPr="00595FD4">
        <w:rPr>
          <w:rStyle w:val="FootnoteReference"/>
          <w:szCs w:val="22"/>
        </w:rPr>
        <w:footnoteRef/>
      </w:r>
      <w:r w:rsidRPr="00595FD4">
        <w:rPr>
          <w:szCs w:val="22"/>
        </w:rPr>
        <w:t xml:space="preserve"> </w:t>
      </w:r>
      <w:r>
        <w:rPr>
          <w:szCs w:val="22"/>
        </w:rPr>
        <w:t xml:space="preserve"> </w:t>
      </w:r>
      <w:r w:rsidRPr="00595FD4">
        <w:rPr>
          <w:szCs w:val="22"/>
        </w:rPr>
        <w:t>CforAT Protest to SCE Application, 2.</w:t>
      </w:r>
    </w:p>
  </w:footnote>
  <w:footnote w:id="749">
    <w:p w14:paraId="17372876" w14:textId="0EE17307" w:rsidR="00655890" w:rsidRPr="00595FD4" w:rsidRDefault="00655890" w:rsidP="000C1980">
      <w:pPr>
        <w:pStyle w:val="FootnoteText"/>
        <w:rPr>
          <w:szCs w:val="22"/>
        </w:rPr>
      </w:pPr>
      <w:r w:rsidRPr="00595FD4">
        <w:rPr>
          <w:rStyle w:val="FootnoteReference"/>
          <w:szCs w:val="22"/>
        </w:rPr>
        <w:footnoteRef/>
      </w:r>
      <w:r w:rsidRPr="00595FD4">
        <w:rPr>
          <w:szCs w:val="22"/>
        </w:rPr>
        <w:t xml:space="preserve"> </w:t>
      </w:r>
      <w:r>
        <w:rPr>
          <w:szCs w:val="22"/>
        </w:rPr>
        <w:t xml:space="preserve"> </w:t>
      </w:r>
      <w:r w:rsidR="00956032" w:rsidRPr="00CB4AE6">
        <w:rPr>
          <w:i/>
          <w:iCs/>
        </w:rPr>
        <w:t>Id</w:t>
      </w:r>
      <w:r w:rsidR="00956032">
        <w:t xml:space="preserve"> at</w:t>
      </w:r>
      <w:r w:rsidRPr="00595FD4">
        <w:rPr>
          <w:szCs w:val="22"/>
        </w:rPr>
        <w:t>6.</w:t>
      </w:r>
    </w:p>
  </w:footnote>
  <w:footnote w:id="750">
    <w:p w14:paraId="3A17FFD9" w14:textId="7A067EEC" w:rsidR="00655890" w:rsidRDefault="00655890" w:rsidP="000C1980">
      <w:pPr>
        <w:pStyle w:val="FootnoteText"/>
      </w:pPr>
      <w:r w:rsidRPr="00595FD4">
        <w:rPr>
          <w:rStyle w:val="FootnoteReference"/>
          <w:szCs w:val="22"/>
        </w:rPr>
        <w:footnoteRef/>
      </w:r>
      <w:r w:rsidRPr="00595FD4">
        <w:rPr>
          <w:szCs w:val="22"/>
        </w:rPr>
        <w:t xml:space="preserve"> </w:t>
      </w:r>
      <w:r>
        <w:rPr>
          <w:szCs w:val="22"/>
        </w:rPr>
        <w:t xml:space="preserve"> </w:t>
      </w:r>
      <w:r w:rsidR="00956032" w:rsidRPr="00CB4AE6">
        <w:rPr>
          <w:i/>
          <w:iCs/>
        </w:rPr>
        <w:t>Id</w:t>
      </w:r>
      <w:r w:rsidR="00956032">
        <w:t xml:space="preserve"> at </w:t>
      </w:r>
      <w:r w:rsidRPr="00595FD4">
        <w:rPr>
          <w:szCs w:val="22"/>
        </w:rPr>
        <w:t>7.</w:t>
      </w:r>
    </w:p>
  </w:footnote>
  <w:footnote w:id="751">
    <w:p w14:paraId="45BEFE86" w14:textId="66402A74" w:rsidR="00655890" w:rsidRDefault="00655890" w:rsidP="000C1980">
      <w:pPr>
        <w:pStyle w:val="FootnoteText"/>
      </w:pPr>
      <w:r>
        <w:rPr>
          <w:rStyle w:val="FootnoteReference"/>
        </w:rPr>
        <w:footnoteRef/>
      </w:r>
      <w:r>
        <w:t xml:space="preserve">  </w:t>
      </w:r>
      <w:r w:rsidR="00F242CE" w:rsidRPr="00D5044E">
        <w:rPr>
          <w:i/>
          <w:iCs/>
        </w:rPr>
        <w:t>Ibid.</w:t>
      </w:r>
    </w:p>
  </w:footnote>
  <w:footnote w:id="752">
    <w:p w14:paraId="2126F702" w14:textId="77777777" w:rsidR="00851858" w:rsidRDefault="00851858" w:rsidP="00851858">
      <w:pPr>
        <w:pStyle w:val="FootnoteText"/>
      </w:pPr>
      <w:r>
        <w:rPr>
          <w:rStyle w:val="FootnoteReference"/>
        </w:rPr>
        <w:footnoteRef/>
      </w:r>
      <w:r>
        <w:t xml:space="preserve"> </w:t>
      </w:r>
      <w:r w:rsidRPr="00D5044E">
        <w:rPr>
          <w:i/>
          <w:iCs/>
        </w:rPr>
        <w:t>Ibid.</w:t>
      </w:r>
    </w:p>
  </w:footnote>
  <w:footnote w:id="753">
    <w:p w14:paraId="226E95AA" w14:textId="48881E88" w:rsidR="00F35A80" w:rsidRDefault="00F35A80">
      <w:pPr>
        <w:pStyle w:val="FootnoteText"/>
      </w:pPr>
      <w:r>
        <w:rPr>
          <w:rStyle w:val="FootnoteReference"/>
        </w:rPr>
        <w:footnoteRef/>
      </w:r>
      <w:r>
        <w:t xml:space="preserve"> PCF Reply Brief, 11.</w:t>
      </w:r>
    </w:p>
  </w:footnote>
  <w:footnote w:id="754">
    <w:p w14:paraId="4B373A96" w14:textId="1656F4F8" w:rsidR="00655890" w:rsidRDefault="00655890" w:rsidP="000C1980">
      <w:pPr>
        <w:pStyle w:val="FootnoteText"/>
      </w:pPr>
      <w:r>
        <w:rPr>
          <w:rStyle w:val="FootnoteReference"/>
        </w:rPr>
        <w:footnoteRef/>
      </w:r>
      <w:r>
        <w:t xml:space="preserve">  PG&amp;E Rebuttal Testimony, I-40.</w:t>
      </w:r>
    </w:p>
  </w:footnote>
  <w:footnote w:id="755">
    <w:p w14:paraId="20CF7984" w14:textId="46A994C2"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I-22-23.</w:t>
      </w:r>
    </w:p>
  </w:footnote>
  <w:footnote w:id="756">
    <w:p w14:paraId="7D6F59AA" w14:textId="325DD081" w:rsidR="00BB0EA1" w:rsidRDefault="00BB0EA1">
      <w:pPr>
        <w:pStyle w:val="FootnoteText"/>
      </w:pPr>
      <w:r>
        <w:rPr>
          <w:rStyle w:val="FootnoteReference"/>
        </w:rPr>
        <w:footnoteRef/>
      </w:r>
      <w:r>
        <w:t xml:space="preserve"> PG&amp;E Reply Briefs,16-17.</w:t>
      </w:r>
    </w:p>
  </w:footnote>
  <w:footnote w:id="757">
    <w:p w14:paraId="52757B71" w14:textId="16E97CC3" w:rsidR="00655890" w:rsidRDefault="00655890" w:rsidP="000C1980">
      <w:pPr>
        <w:pStyle w:val="FootnoteText"/>
      </w:pPr>
      <w:r>
        <w:rPr>
          <w:rStyle w:val="FootnoteReference"/>
        </w:rPr>
        <w:footnoteRef/>
      </w:r>
      <w:r>
        <w:t xml:space="preserve">  SCE Amended Rebuttal Testimony, 2-3.</w:t>
      </w:r>
    </w:p>
  </w:footnote>
  <w:footnote w:id="758">
    <w:p w14:paraId="000D8AA0" w14:textId="4BCD84B6"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4-6.</w:t>
      </w:r>
    </w:p>
  </w:footnote>
  <w:footnote w:id="759">
    <w:p w14:paraId="228BD72C" w14:textId="5C1634E8" w:rsidR="00655890" w:rsidRDefault="00655890" w:rsidP="000C1980">
      <w:pPr>
        <w:pStyle w:val="FootnoteText"/>
      </w:pPr>
      <w:r>
        <w:rPr>
          <w:rStyle w:val="FootnoteReference"/>
        </w:rPr>
        <w:footnoteRef/>
      </w:r>
      <w:r>
        <w:t xml:space="preserve">  SoCal Gas Rebuttal Testimony of Erin Brooks, 9-10.</w:t>
      </w:r>
    </w:p>
  </w:footnote>
  <w:footnote w:id="760">
    <w:p w14:paraId="69CA6B8E" w14:textId="20F1D82E" w:rsidR="00655890" w:rsidRDefault="00655890" w:rsidP="000C1980">
      <w:pPr>
        <w:pStyle w:val="FootnoteText"/>
      </w:pPr>
      <w:r>
        <w:rPr>
          <w:rStyle w:val="FootnoteReference"/>
        </w:rPr>
        <w:footnoteRef/>
      </w:r>
      <w:r>
        <w:t xml:space="preserve">  SDG&amp;E Rebuttal Testimony, AK-2-3.</w:t>
      </w:r>
    </w:p>
  </w:footnote>
  <w:footnote w:id="761">
    <w:p w14:paraId="158D1362" w14:textId="26690738"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AK-4.</w:t>
      </w:r>
    </w:p>
  </w:footnote>
  <w:footnote w:id="762">
    <w:p w14:paraId="602D668C" w14:textId="421976F4" w:rsidR="00655890" w:rsidRDefault="00655890" w:rsidP="000C1980">
      <w:pPr>
        <w:pStyle w:val="FootnoteText"/>
      </w:pPr>
      <w:r w:rsidRPr="4BB901B5">
        <w:rPr>
          <w:vertAlign w:val="superscript"/>
        </w:rPr>
        <w:footnoteRef/>
      </w:r>
      <w:r>
        <w:t xml:space="preserve">  Cal Advocates Amended Testimony, 1-26.</w:t>
      </w:r>
    </w:p>
  </w:footnote>
  <w:footnote w:id="763">
    <w:p w14:paraId="52E366F2" w14:textId="0AF3EB63" w:rsidR="00DA4862" w:rsidRDefault="00DA4862" w:rsidP="00DA4862">
      <w:pPr>
        <w:pStyle w:val="FootnoteText"/>
      </w:pPr>
      <w:r>
        <w:rPr>
          <w:rStyle w:val="FootnoteReference"/>
        </w:rPr>
        <w:footnoteRef/>
      </w:r>
      <w:r>
        <w:t xml:space="preserve"> </w:t>
      </w:r>
      <w:r w:rsidR="00BD1C05">
        <w:t xml:space="preserve"> </w:t>
      </w:r>
      <w:r w:rsidRPr="009C53FE">
        <w:t xml:space="preserve">This matches the </w:t>
      </w:r>
      <w:r>
        <w:t>household treatment goals approved for the January 1- June 30,</w:t>
      </w:r>
      <w:r w:rsidRPr="009C53FE">
        <w:t xml:space="preserve"> 2021 </w:t>
      </w:r>
      <w:r>
        <w:t xml:space="preserve">bridge period </w:t>
      </w:r>
      <w:proofErr w:type="gramStart"/>
      <w:r>
        <w:t xml:space="preserve">per </w:t>
      </w:r>
      <w:r w:rsidRPr="009C53FE">
        <w:t xml:space="preserve"> PG</w:t>
      </w:r>
      <w:proofErr w:type="gramEnd"/>
      <w:r w:rsidRPr="009C53FE">
        <w:t>&amp;E Advice Letter 6035-E-B/4351-G-B, SCE Advice Letter 4053-A, SoCalGas Advice Letter 5501-G-A, and SDG&amp;E Advice Letter 3612-E/2905-G, per D.19-06-022 and D.20-08-033.</w:t>
      </w:r>
    </w:p>
  </w:footnote>
  <w:footnote w:id="764">
    <w:p w14:paraId="1F4E6278" w14:textId="3B150078" w:rsidR="00655890" w:rsidRDefault="00655890" w:rsidP="005E3B9A">
      <w:r>
        <w:rPr>
          <w:rStyle w:val="FootnoteReference"/>
        </w:rPr>
        <w:footnoteRef/>
      </w:r>
      <w:r>
        <w:t xml:space="preserve"> </w:t>
      </w:r>
      <w:r w:rsidRPr="00FA7826">
        <w:rPr>
          <w:rFonts w:eastAsia="Times New Roman" w:cs="Calibri"/>
          <w:sz w:val="22"/>
          <w:szCs w:val="22"/>
        </w:rPr>
        <w:t xml:space="preserve">The Approved Budgets are for the entire ESA Portfolio, including Main ESA, MF in-unit, MF CAM, MFWB, and the Staff Proposal pilot. The 2021 budget is </w:t>
      </w:r>
      <w:r w:rsidR="002B056D">
        <w:rPr>
          <w:rFonts w:eastAsia="Times New Roman" w:cs="Calibri"/>
          <w:sz w:val="22"/>
          <w:szCs w:val="22"/>
        </w:rPr>
        <w:t xml:space="preserve">based on the </w:t>
      </w:r>
      <w:r w:rsidR="0063672E">
        <w:rPr>
          <w:rFonts w:eastAsia="Times New Roman" w:cs="Calibri"/>
          <w:sz w:val="22"/>
          <w:szCs w:val="22"/>
        </w:rPr>
        <w:t>budgets</w:t>
      </w:r>
      <w:r w:rsidR="00314B5F">
        <w:rPr>
          <w:rFonts w:eastAsia="Times New Roman" w:cs="Calibri"/>
          <w:sz w:val="22"/>
          <w:szCs w:val="22"/>
        </w:rPr>
        <w:t xml:space="preserve"> approved for the </w:t>
      </w:r>
      <w:r w:rsidR="0063672E">
        <w:rPr>
          <w:rFonts w:eastAsia="Times New Roman" w:cs="Calibri"/>
          <w:sz w:val="22"/>
          <w:szCs w:val="22"/>
        </w:rPr>
        <w:t xml:space="preserve">bridge period per </w:t>
      </w:r>
      <w:r w:rsidRPr="00FA7826">
        <w:rPr>
          <w:rFonts w:eastAsia="Times New Roman" w:cs="Calibri"/>
          <w:sz w:val="22"/>
          <w:szCs w:val="22"/>
        </w:rPr>
        <w:t>PG&amp;E Advice Letter 6035-E-B/4351-G-B, SCE Advice Letter 4053-A, SoCalGas Advice Letter 5501-G-A, and SDG&amp;E Advice Letter 3612-E/2905-G, per D.19-06-022 and D.20-08-033</w:t>
      </w:r>
      <w:r>
        <w:rPr>
          <w:rFonts w:eastAsia="Times New Roman" w:cs="Calibri"/>
          <w:sz w:val="22"/>
          <w:szCs w:val="22"/>
        </w:rPr>
        <w:t xml:space="preserve">. </w:t>
      </w:r>
    </w:p>
  </w:footnote>
  <w:footnote w:id="765">
    <w:p w14:paraId="48C401CB" w14:textId="67620800" w:rsidR="00655890" w:rsidRDefault="00655890" w:rsidP="000C1980">
      <w:pPr>
        <w:pStyle w:val="FootnoteText"/>
      </w:pPr>
      <w:r>
        <w:rPr>
          <w:rStyle w:val="FootnoteReference"/>
        </w:rPr>
        <w:footnoteRef/>
      </w:r>
      <w:r>
        <w:t xml:space="preserve">  Public Utilities Code 739.1(i</w:t>
      </w:r>
      <w:proofErr w:type="gramStart"/>
      <w:r>
        <w:t>)(</w:t>
      </w:r>
      <w:proofErr w:type="gramEnd"/>
      <w:r>
        <w:t>1 and 2).</w:t>
      </w:r>
    </w:p>
  </w:footnote>
  <w:footnote w:id="766">
    <w:p w14:paraId="2285A908" w14:textId="77777777" w:rsidR="00655890" w:rsidRDefault="00655890" w:rsidP="000C1980">
      <w:r w:rsidRPr="00D74078">
        <w:rPr>
          <w:rStyle w:val="FootnoteReference"/>
          <w:sz w:val="22"/>
        </w:rPr>
        <w:footnoteRef/>
      </w:r>
      <w:r>
        <w:t xml:space="preserve">  </w:t>
      </w:r>
      <w:r w:rsidRPr="00D74078">
        <w:rPr>
          <w:sz w:val="22"/>
        </w:rPr>
        <w:t>D.17-12-009 Section 3.9, page 191</w:t>
      </w:r>
      <w:r>
        <w:rPr>
          <w:sz w:val="22"/>
        </w:rPr>
        <w:t>.</w:t>
      </w:r>
    </w:p>
  </w:footnote>
  <w:footnote w:id="767">
    <w:p w14:paraId="7CB25B0A" w14:textId="77777777" w:rsidR="00655890" w:rsidRDefault="00655890" w:rsidP="000C1980">
      <w:r w:rsidRPr="00D74078">
        <w:rPr>
          <w:rStyle w:val="FootnoteReference"/>
          <w:sz w:val="22"/>
        </w:rPr>
        <w:footnoteRef/>
      </w:r>
      <w:r>
        <w:t xml:space="preserve">  </w:t>
      </w:r>
      <w:r w:rsidRPr="00D74078">
        <w:rPr>
          <w:sz w:val="22"/>
        </w:rPr>
        <w:t>ESA CAM Advice Letters: PG&amp;E AL 3943-G/5241-E, SCE AL 3754-E, SoCalGas AL 5264-G, and SDG&amp;E AL 3196-E-A/2654-G-A</w:t>
      </w:r>
      <w:r>
        <w:rPr>
          <w:sz w:val="22"/>
        </w:rPr>
        <w:t>.</w:t>
      </w:r>
    </w:p>
  </w:footnote>
  <w:footnote w:id="768">
    <w:p w14:paraId="615B853E" w14:textId="77777777" w:rsidR="00655890" w:rsidRDefault="00655890" w:rsidP="000C1980">
      <w:r w:rsidRPr="00D74078">
        <w:rPr>
          <w:rStyle w:val="FootnoteReference"/>
          <w:sz w:val="22"/>
        </w:rPr>
        <w:footnoteRef/>
      </w:r>
      <w:r>
        <w:t xml:space="preserve">  </w:t>
      </w:r>
      <w:r w:rsidRPr="00D74078">
        <w:rPr>
          <w:sz w:val="22"/>
        </w:rPr>
        <w:t>IOU Annual and Monthly Reports. SDG&amp;E treated five properties in program year 2019 but did not indicate the number of units within those properties.</w:t>
      </w:r>
      <w:r>
        <w:t xml:space="preserve"> </w:t>
      </w:r>
    </w:p>
  </w:footnote>
  <w:footnote w:id="769">
    <w:p w14:paraId="0F138A0C" w14:textId="77777777" w:rsidR="00655890" w:rsidRPr="00D74078" w:rsidRDefault="00655890" w:rsidP="000C1980">
      <w:pPr>
        <w:pStyle w:val="FootnoteText"/>
        <w:rPr>
          <w:rFonts w:ascii="Garamond" w:eastAsia="Garamond" w:hAnsi="Garamond" w:cs="Garamond"/>
          <w:color w:val="000000" w:themeColor="text1"/>
          <w:sz w:val="20"/>
        </w:rPr>
      </w:pPr>
      <w:r w:rsidRPr="00D74078">
        <w:rPr>
          <w:rStyle w:val="FootnoteReference"/>
        </w:rPr>
        <w:footnoteRef/>
      </w:r>
      <w:r>
        <w:t xml:space="preserve">  </w:t>
      </w:r>
      <w:r w:rsidRPr="00D74078">
        <w:t>D.17-12-009, Findings of Fact 71 and 72 and Ordering Paragraph 41. Affidavit is allowed when “a PRIZM Code, census tract, or federally recognized tribal reservation or zone where 80</w:t>
      </w:r>
      <w:r>
        <w:t> percent</w:t>
      </w:r>
      <w:r w:rsidRPr="00D74078">
        <w:t xml:space="preserve"> of households are at or below 200</w:t>
      </w:r>
      <w:r>
        <w:t xml:space="preserve"> percent</w:t>
      </w:r>
      <w:r w:rsidRPr="00D74078">
        <w:t xml:space="preserve"> of federal poverty guidelines; a Promise Zone as designated by the federal government, </w:t>
      </w:r>
      <w:proofErr w:type="gramStart"/>
      <w:r w:rsidRPr="00D74078">
        <w:t xml:space="preserve">or; </w:t>
      </w:r>
      <w:r>
        <w:t xml:space="preserve"> </w:t>
      </w:r>
      <w:r w:rsidRPr="00D74078">
        <w:t>the</w:t>
      </w:r>
      <w:proofErr w:type="gramEnd"/>
      <w:r w:rsidRPr="00D74078">
        <w:t xml:space="preserve"> building is registered as low-income affordable housing with ESA Program under the 80</w:t>
      </w:r>
      <w:r>
        <w:t xml:space="preserve"> percent</w:t>
      </w:r>
      <w:r w:rsidRPr="00D74078">
        <w:t xml:space="preserve"> ESA- eligible tenant multi-family household eligibility rule, with qualified income documentation less than 12 months old on file. These buildings will be eligible for whole building enrollment without the need for door-to-door tenant income documentation.” (</w:t>
      </w:r>
      <w:proofErr w:type="gramStart"/>
      <w:r w:rsidRPr="00D74078">
        <w:t>page</w:t>
      </w:r>
      <w:proofErr w:type="gramEnd"/>
      <w:r w:rsidRPr="00D74078">
        <w:t xml:space="preserve"> 193).</w:t>
      </w:r>
    </w:p>
  </w:footnote>
  <w:footnote w:id="770">
    <w:p w14:paraId="7BA39EC2" w14:textId="77777777" w:rsidR="00655890" w:rsidRDefault="00655890" w:rsidP="000C1980">
      <w:pPr>
        <w:pStyle w:val="FootnoteText"/>
      </w:pPr>
      <w:r>
        <w:rPr>
          <w:rStyle w:val="FootnoteReference"/>
        </w:rPr>
        <w:footnoteRef/>
      </w:r>
      <w:r>
        <w:t xml:space="preserve">  Third party (3P) program definition defined by D.16-08-019 OP 10 “For energy efficiency program purposes, the definition of a third-party program shall be as follows:  To be designated as “third party,” the program must be proposed, designed, implemented, and delivered by non</w:t>
      </w:r>
      <w:r>
        <w:noBreakHyphen/>
        <w:t xml:space="preserve">utility personnel under contract to a utility program administrator.  Statewide programs may also </w:t>
      </w:r>
      <w:proofErr w:type="gramStart"/>
      <w:r>
        <w:t>be considered to be</w:t>
      </w:r>
      <w:proofErr w:type="gramEnd"/>
      <w:r>
        <w:t xml:space="preserve"> “third party” to the extent they meet this definition.  Under this definition, program administrators are not prohibited from advising third parties on program design elements once </w:t>
      </w:r>
      <w:proofErr w:type="gramStart"/>
      <w:r>
        <w:t>third party</w:t>
      </w:r>
      <w:proofErr w:type="gramEnd"/>
      <w:r>
        <w:t xml:space="preserve"> bids have been solicited.”</w:t>
      </w:r>
    </w:p>
  </w:footnote>
  <w:footnote w:id="771">
    <w:p w14:paraId="4F0E85B7" w14:textId="1C9A8675" w:rsidR="00655890" w:rsidRDefault="00655890" w:rsidP="000C1980">
      <w:r w:rsidRPr="00B17B71">
        <w:rPr>
          <w:sz w:val="14"/>
          <w:szCs w:val="14"/>
        </w:rPr>
        <w:footnoteRef/>
      </w:r>
      <w:r w:rsidRPr="00B17B71">
        <w:rPr>
          <w:sz w:val="14"/>
          <w:szCs w:val="14"/>
        </w:rPr>
        <w:t xml:space="preserve"> </w:t>
      </w:r>
      <w:r>
        <w:t xml:space="preserve"> </w:t>
      </w:r>
      <w:r w:rsidRPr="00F056B3">
        <w:rPr>
          <w:sz w:val="22"/>
        </w:rPr>
        <w:t>MCE Advice Letter 23-E-A</w:t>
      </w:r>
      <w:r>
        <w:rPr>
          <w:sz w:val="22"/>
        </w:rPr>
        <w:t>.</w:t>
      </w:r>
    </w:p>
  </w:footnote>
  <w:footnote w:id="772">
    <w:p w14:paraId="7B2CA674" w14:textId="07791C12" w:rsidR="00655890" w:rsidRDefault="00655890" w:rsidP="000C1980">
      <w:pPr>
        <w:pStyle w:val="FootnoteText"/>
      </w:pPr>
      <w:r>
        <w:rPr>
          <w:rStyle w:val="FootnoteReference"/>
        </w:rPr>
        <w:footnoteRef/>
      </w:r>
      <w:r>
        <w:t xml:space="preserve">  D.16-11-022, modified by D.17-12-009, </w:t>
      </w:r>
      <w:r w:rsidRPr="00AD5DE5">
        <w:t>Section 5.5.2.5</w:t>
      </w:r>
      <w:r>
        <w:t xml:space="preserve">, </w:t>
      </w:r>
      <w:r w:rsidRPr="00AD5DE5">
        <w:t>398</w:t>
      </w:r>
      <w:r>
        <w:t>.</w:t>
      </w:r>
    </w:p>
  </w:footnote>
  <w:footnote w:id="773">
    <w:p w14:paraId="7AFA9C55" w14:textId="77777777" w:rsidR="00655890" w:rsidRPr="00B17B71" w:rsidRDefault="00655890" w:rsidP="000C1980">
      <w:pPr>
        <w:spacing w:after="120"/>
        <w:rPr>
          <w:sz w:val="22"/>
          <w:szCs w:val="22"/>
        </w:rPr>
      </w:pPr>
      <w:r w:rsidRPr="00B17B71">
        <w:rPr>
          <w:sz w:val="22"/>
          <w:szCs w:val="22"/>
          <w:vertAlign w:val="superscript"/>
        </w:rPr>
        <w:footnoteRef/>
      </w:r>
      <w:r w:rsidRPr="00B17B71">
        <w:rPr>
          <w:sz w:val="22"/>
          <w:szCs w:val="22"/>
        </w:rPr>
        <w:t xml:space="preserve"> </w:t>
      </w:r>
      <w:r>
        <w:rPr>
          <w:sz w:val="22"/>
          <w:szCs w:val="22"/>
        </w:rPr>
        <w:t xml:space="preserve"> </w:t>
      </w:r>
      <w:r w:rsidRPr="00B17B71">
        <w:rPr>
          <w:rStyle w:val="FootnoteTextChar"/>
          <w:sz w:val="22"/>
          <w:szCs w:val="22"/>
        </w:rPr>
        <w:t>D.19-06-022 Ordering Paragraph 7</w:t>
      </w:r>
      <w:r w:rsidRPr="00B17B71">
        <w:rPr>
          <w:sz w:val="22"/>
          <w:szCs w:val="22"/>
        </w:rPr>
        <w:t>.</w:t>
      </w:r>
    </w:p>
  </w:footnote>
  <w:footnote w:id="774">
    <w:p w14:paraId="7B4C742B" w14:textId="4C369862" w:rsidR="00655890" w:rsidRDefault="00655890" w:rsidP="000C1980">
      <w:pPr>
        <w:pStyle w:val="FootnoteText"/>
      </w:pPr>
      <w:r>
        <w:rPr>
          <w:rStyle w:val="FootnoteReference"/>
        </w:rPr>
        <w:footnoteRef/>
      </w:r>
      <w:r>
        <w:t xml:space="preserve">  MCE Monthly Report December 2020 (Amended March 1, 2021).</w:t>
      </w:r>
    </w:p>
  </w:footnote>
  <w:footnote w:id="775">
    <w:p w14:paraId="3F11893C" w14:textId="77777777" w:rsidR="00655890" w:rsidRDefault="00655890" w:rsidP="000C1980">
      <w:pPr>
        <w:pStyle w:val="FootnoteText"/>
      </w:pPr>
      <w:r>
        <w:rPr>
          <w:rStyle w:val="FootnoteReference"/>
        </w:rPr>
        <w:footnoteRef/>
      </w:r>
      <w:r>
        <w:t xml:space="preserve">  PG&amp;E Application, 3.</w:t>
      </w:r>
    </w:p>
  </w:footnote>
  <w:footnote w:id="776">
    <w:p w14:paraId="1ECAA721" w14:textId="5DC257C3" w:rsidR="00655890" w:rsidRDefault="00655890" w:rsidP="000C1980">
      <w:pPr>
        <w:pStyle w:val="FootnoteText"/>
      </w:pPr>
      <w:r>
        <w:rPr>
          <w:rStyle w:val="FootnoteReference"/>
        </w:rPr>
        <w:footnoteRef/>
      </w:r>
      <w:r>
        <w:t xml:space="preserve">  PG&amp;E Application Testimony, I-154.</w:t>
      </w:r>
    </w:p>
  </w:footnote>
  <w:footnote w:id="777">
    <w:p w14:paraId="5F7A58C8" w14:textId="77777777" w:rsidR="00655890" w:rsidRDefault="00655890" w:rsidP="000C1980">
      <w:pPr>
        <w:pStyle w:val="FootnoteText"/>
      </w:pPr>
      <w:r>
        <w:rPr>
          <w:rStyle w:val="FootnoteReference"/>
        </w:rPr>
        <w:footnoteRef/>
      </w:r>
      <w:r>
        <w:t xml:space="preserve">  PG&amp;E Testimony, I-155.</w:t>
      </w:r>
    </w:p>
  </w:footnote>
  <w:footnote w:id="778">
    <w:p w14:paraId="73ACC88B" w14:textId="2FBFC014"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I-155-156.</w:t>
      </w:r>
    </w:p>
  </w:footnote>
  <w:footnote w:id="779">
    <w:p w14:paraId="46967F2C" w14:textId="1632D4FC" w:rsidR="00655890" w:rsidRDefault="00655890" w:rsidP="000C1980">
      <w:pPr>
        <w:pStyle w:val="FootnoteText"/>
      </w:pPr>
      <w:r>
        <w:rPr>
          <w:rStyle w:val="FootnoteReference"/>
        </w:rPr>
        <w:footnoteRef/>
      </w:r>
      <w:r>
        <w:t xml:space="preserve">  </w:t>
      </w:r>
      <w:r w:rsidR="00956032" w:rsidRPr="004C2E01">
        <w:rPr>
          <w:i/>
          <w:iCs/>
        </w:rPr>
        <w:t>Ibid.</w:t>
      </w:r>
    </w:p>
  </w:footnote>
  <w:footnote w:id="780">
    <w:p w14:paraId="16998C6F" w14:textId="77777777" w:rsidR="00655890" w:rsidRDefault="00655890" w:rsidP="000C1980">
      <w:pPr>
        <w:pStyle w:val="FootnoteText"/>
      </w:pPr>
      <w:r>
        <w:rPr>
          <w:rStyle w:val="FootnoteReference"/>
        </w:rPr>
        <w:footnoteRef/>
      </w:r>
      <w:r>
        <w:t xml:space="preserve"> PG&amp;E Testimony, I-160.</w:t>
      </w:r>
    </w:p>
  </w:footnote>
  <w:footnote w:id="781">
    <w:p w14:paraId="1BAD42D0" w14:textId="37217328" w:rsidR="00655890" w:rsidRDefault="00655890" w:rsidP="000C1980">
      <w:pPr>
        <w:pStyle w:val="FootnoteText"/>
      </w:pPr>
      <w:r>
        <w:rPr>
          <w:rStyle w:val="FootnoteReference"/>
        </w:rPr>
        <w:footnoteRef/>
      </w:r>
      <w:r>
        <w:t xml:space="preserve"> </w:t>
      </w:r>
      <w:r w:rsidR="00956032" w:rsidRPr="00CB4AE6">
        <w:rPr>
          <w:i/>
          <w:iCs/>
        </w:rPr>
        <w:t>Id</w:t>
      </w:r>
      <w:r w:rsidR="00956032">
        <w:t xml:space="preserve"> at </w:t>
      </w:r>
      <w:r>
        <w:t>I-159.</w:t>
      </w:r>
    </w:p>
  </w:footnote>
  <w:footnote w:id="782">
    <w:p w14:paraId="60E8D9C9" w14:textId="194B946F" w:rsidR="00655890" w:rsidRPr="00022F55" w:rsidRDefault="00655890" w:rsidP="00022F55">
      <w:pPr>
        <w:pStyle w:val="FootnoteText"/>
        <w:rPr>
          <w:szCs w:val="22"/>
        </w:rPr>
      </w:pPr>
      <w:r w:rsidRPr="00022F55">
        <w:rPr>
          <w:rStyle w:val="FootnoteReference"/>
          <w:szCs w:val="22"/>
        </w:rPr>
        <w:footnoteRef/>
      </w:r>
      <w:r w:rsidRPr="00022F55">
        <w:rPr>
          <w:szCs w:val="22"/>
        </w:rPr>
        <w:t xml:space="preserve"> </w:t>
      </w:r>
      <w:r w:rsidR="00022F55" w:rsidRPr="00022F55">
        <w:rPr>
          <w:szCs w:val="22"/>
        </w:rPr>
        <w:t xml:space="preserve"> </w:t>
      </w:r>
      <w:r w:rsidR="00956032" w:rsidRPr="00022F55">
        <w:rPr>
          <w:i/>
          <w:iCs/>
          <w:szCs w:val="22"/>
        </w:rPr>
        <w:t>Id</w:t>
      </w:r>
      <w:r w:rsidR="00956032" w:rsidRPr="00022F55">
        <w:rPr>
          <w:szCs w:val="22"/>
        </w:rPr>
        <w:t xml:space="preserve"> at </w:t>
      </w:r>
      <w:r w:rsidRPr="00022F55">
        <w:rPr>
          <w:szCs w:val="22"/>
        </w:rPr>
        <w:t>I-155.</w:t>
      </w:r>
    </w:p>
  </w:footnote>
  <w:footnote w:id="783">
    <w:p w14:paraId="5FF7E503" w14:textId="038A2412" w:rsidR="00655890" w:rsidRPr="00022F55" w:rsidRDefault="00655890" w:rsidP="00022F55">
      <w:pPr>
        <w:pStyle w:val="FootnoteText"/>
        <w:rPr>
          <w:szCs w:val="22"/>
        </w:rPr>
      </w:pPr>
      <w:r w:rsidRPr="00022F55">
        <w:rPr>
          <w:rStyle w:val="FootnoteReference"/>
          <w:szCs w:val="22"/>
        </w:rPr>
        <w:footnoteRef/>
      </w:r>
      <w:r w:rsidRPr="00022F55">
        <w:rPr>
          <w:szCs w:val="22"/>
        </w:rPr>
        <w:t xml:space="preserve"> </w:t>
      </w:r>
      <w:r w:rsidR="00022F55" w:rsidRPr="00022F55">
        <w:rPr>
          <w:szCs w:val="22"/>
        </w:rPr>
        <w:t xml:space="preserve"> </w:t>
      </w:r>
      <w:r w:rsidR="002466C5" w:rsidRPr="00022F55">
        <w:rPr>
          <w:i/>
          <w:iCs/>
          <w:szCs w:val="22"/>
        </w:rPr>
        <w:t>Id</w:t>
      </w:r>
      <w:r w:rsidR="002466C5" w:rsidRPr="00022F55">
        <w:rPr>
          <w:szCs w:val="22"/>
        </w:rPr>
        <w:t xml:space="preserve"> at </w:t>
      </w:r>
      <w:r w:rsidRPr="00022F55">
        <w:rPr>
          <w:szCs w:val="22"/>
        </w:rPr>
        <w:t>I-35.</w:t>
      </w:r>
    </w:p>
  </w:footnote>
  <w:footnote w:id="784">
    <w:p w14:paraId="44197AA2" w14:textId="65966D6D" w:rsidR="00655890" w:rsidRPr="00022F55" w:rsidRDefault="00655890" w:rsidP="00022F55">
      <w:pPr>
        <w:spacing w:after="120"/>
        <w:rPr>
          <w:rFonts w:eastAsia="Book Antiqua" w:cs="Book Antiqua"/>
          <w:sz w:val="22"/>
          <w:szCs w:val="22"/>
        </w:rPr>
      </w:pPr>
      <w:r w:rsidRPr="00022F55">
        <w:rPr>
          <w:sz w:val="22"/>
          <w:szCs w:val="22"/>
          <w:vertAlign w:val="superscript"/>
        </w:rPr>
        <w:footnoteRef/>
      </w:r>
      <w:r w:rsidRPr="00022F55">
        <w:rPr>
          <w:sz w:val="22"/>
          <w:szCs w:val="22"/>
        </w:rPr>
        <w:t xml:space="preserve"> </w:t>
      </w:r>
      <w:r w:rsidR="00022F55" w:rsidRPr="00022F55">
        <w:rPr>
          <w:sz w:val="22"/>
          <w:szCs w:val="22"/>
        </w:rPr>
        <w:t xml:space="preserve"> </w:t>
      </w:r>
      <w:r w:rsidR="002466C5" w:rsidRPr="00022F55">
        <w:rPr>
          <w:i/>
          <w:iCs/>
          <w:sz w:val="22"/>
          <w:szCs w:val="22"/>
        </w:rPr>
        <w:t>Id</w:t>
      </w:r>
      <w:r w:rsidR="002466C5" w:rsidRPr="00022F55">
        <w:rPr>
          <w:sz w:val="22"/>
          <w:szCs w:val="22"/>
        </w:rPr>
        <w:t xml:space="preserve"> at </w:t>
      </w:r>
      <w:r w:rsidRPr="00022F55">
        <w:rPr>
          <w:rFonts w:eastAsia="Book Antiqua" w:cs="Book Antiqua"/>
          <w:sz w:val="22"/>
          <w:szCs w:val="22"/>
        </w:rPr>
        <w:t>I-155</w:t>
      </w:r>
      <w:r w:rsidR="00291EE7" w:rsidRPr="00022F55">
        <w:rPr>
          <w:rFonts w:eastAsia="Book Antiqua" w:cs="Book Antiqua"/>
          <w:sz w:val="22"/>
          <w:szCs w:val="22"/>
        </w:rPr>
        <w:t>.</w:t>
      </w:r>
    </w:p>
  </w:footnote>
  <w:footnote w:id="785">
    <w:p w14:paraId="20826AD3" w14:textId="56F0D2DA" w:rsidR="00655890" w:rsidRPr="00022F55" w:rsidRDefault="00655890" w:rsidP="00022F55">
      <w:pPr>
        <w:spacing w:after="120"/>
        <w:rPr>
          <w:rFonts w:eastAsia="Book Antiqua" w:cs="Book Antiqua"/>
          <w:sz w:val="22"/>
          <w:szCs w:val="22"/>
        </w:rPr>
      </w:pPr>
      <w:r w:rsidRPr="00022F55">
        <w:rPr>
          <w:sz w:val="22"/>
          <w:szCs w:val="22"/>
          <w:vertAlign w:val="superscript"/>
        </w:rPr>
        <w:footnoteRef/>
      </w:r>
      <w:r w:rsidRPr="00022F55">
        <w:rPr>
          <w:sz w:val="22"/>
          <w:szCs w:val="22"/>
          <w:vertAlign w:val="superscript"/>
        </w:rPr>
        <w:t xml:space="preserve"> </w:t>
      </w:r>
      <w:r w:rsidR="00022F55" w:rsidRPr="00022F55">
        <w:rPr>
          <w:sz w:val="22"/>
          <w:szCs w:val="22"/>
          <w:vertAlign w:val="superscript"/>
        </w:rPr>
        <w:t xml:space="preserve"> </w:t>
      </w:r>
      <w:r w:rsidR="002466C5" w:rsidRPr="00022F55">
        <w:rPr>
          <w:i/>
          <w:iCs/>
          <w:sz w:val="22"/>
          <w:szCs w:val="22"/>
        </w:rPr>
        <w:t>Id</w:t>
      </w:r>
      <w:r w:rsidR="002466C5" w:rsidRPr="00022F55">
        <w:rPr>
          <w:sz w:val="22"/>
          <w:szCs w:val="22"/>
        </w:rPr>
        <w:t xml:space="preserve"> at </w:t>
      </w:r>
      <w:r w:rsidRPr="00022F55">
        <w:rPr>
          <w:rFonts w:eastAsia="Book Antiqua" w:cs="Book Antiqua"/>
          <w:sz w:val="22"/>
          <w:szCs w:val="22"/>
        </w:rPr>
        <w:t>I-147.</w:t>
      </w:r>
    </w:p>
  </w:footnote>
  <w:footnote w:id="786">
    <w:p w14:paraId="4648EF8D" w14:textId="6FD5D061" w:rsidR="00655890" w:rsidRPr="00022F55" w:rsidRDefault="00655890" w:rsidP="00022F55">
      <w:pPr>
        <w:pStyle w:val="FootnoteText"/>
        <w:rPr>
          <w:szCs w:val="22"/>
        </w:rPr>
      </w:pPr>
      <w:r w:rsidRPr="00022F55">
        <w:rPr>
          <w:rStyle w:val="FootnoteReference"/>
          <w:szCs w:val="22"/>
        </w:rPr>
        <w:footnoteRef/>
      </w:r>
      <w:r w:rsidRPr="00022F55">
        <w:rPr>
          <w:szCs w:val="22"/>
        </w:rPr>
        <w:t xml:space="preserve"> </w:t>
      </w:r>
      <w:r w:rsidR="00022F55" w:rsidRPr="00022F55">
        <w:rPr>
          <w:szCs w:val="22"/>
        </w:rPr>
        <w:t xml:space="preserve"> </w:t>
      </w:r>
      <w:r w:rsidR="002466C5" w:rsidRPr="00022F55">
        <w:rPr>
          <w:i/>
          <w:iCs/>
          <w:szCs w:val="22"/>
        </w:rPr>
        <w:t>Id</w:t>
      </w:r>
      <w:r w:rsidR="002466C5" w:rsidRPr="00022F55">
        <w:rPr>
          <w:szCs w:val="22"/>
        </w:rPr>
        <w:t xml:space="preserve"> at </w:t>
      </w:r>
      <w:r w:rsidRPr="00022F55">
        <w:rPr>
          <w:szCs w:val="22"/>
        </w:rPr>
        <w:t>I-154.</w:t>
      </w:r>
    </w:p>
  </w:footnote>
  <w:footnote w:id="787">
    <w:p w14:paraId="771AD853" w14:textId="78A81B9C" w:rsidR="00655890" w:rsidRPr="00022F55" w:rsidRDefault="00655890" w:rsidP="00022F55">
      <w:pPr>
        <w:pStyle w:val="FootnoteText"/>
        <w:rPr>
          <w:szCs w:val="22"/>
        </w:rPr>
      </w:pPr>
      <w:r w:rsidRPr="00022F55">
        <w:rPr>
          <w:rStyle w:val="FootnoteReference"/>
          <w:szCs w:val="22"/>
        </w:rPr>
        <w:footnoteRef/>
      </w:r>
      <w:r w:rsidRPr="00022F55">
        <w:rPr>
          <w:szCs w:val="22"/>
        </w:rPr>
        <w:t xml:space="preserve"> </w:t>
      </w:r>
      <w:r w:rsidR="00022F55" w:rsidRPr="00022F55">
        <w:rPr>
          <w:szCs w:val="22"/>
        </w:rPr>
        <w:t xml:space="preserve"> </w:t>
      </w:r>
      <w:r w:rsidR="00291EE7" w:rsidRPr="00022F55">
        <w:rPr>
          <w:i/>
          <w:iCs/>
          <w:szCs w:val="22"/>
        </w:rPr>
        <w:t>Ibid.</w:t>
      </w:r>
    </w:p>
  </w:footnote>
  <w:footnote w:id="788">
    <w:p w14:paraId="5BE9DBC4" w14:textId="20BA420C" w:rsidR="00655890" w:rsidRDefault="00655890" w:rsidP="00022F55">
      <w:pPr>
        <w:pStyle w:val="FootnoteText"/>
      </w:pPr>
      <w:r w:rsidRPr="00022F55">
        <w:rPr>
          <w:rStyle w:val="FootnoteReference"/>
          <w:szCs w:val="22"/>
        </w:rPr>
        <w:footnoteRef/>
      </w:r>
      <w:r w:rsidRPr="00022F55">
        <w:rPr>
          <w:szCs w:val="22"/>
        </w:rPr>
        <w:t xml:space="preserve"> </w:t>
      </w:r>
      <w:r w:rsidR="00022F55" w:rsidRPr="00022F55">
        <w:rPr>
          <w:szCs w:val="22"/>
        </w:rPr>
        <w:t xml:space="preserve"> </w:t>
      </w:r>
      <w:r w:rsidRPr="00022F55">
        <w:rPr>
          <w:szCs w:val="22"/>
        </w:rPr>
        <w:t>PG&amp;E, Testimony, I-152</w:t>
      </w:r>
      <w:r w:rsidR="00291EE7" w:rsidRPr="00022F55">
        <w:rPr>
          <w:szCs w:val="22"/>
        </w:rPr>
        <w:t>.</w:t>
      </w:r>
    </w:p>
  </w:footnote>
  <w:footnote w:id="789">
    <w:p w14:paraId="35A0D288" w14:textId="643831F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I-154</w:t>
      </w:r>
    </w:p>
  </w:footnote>
  <w:footnote w:id="790">
    <w:p w14:paraId="75B98D8F" w14:textId="5AE1F28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I-164-65.</w:t>
      </w:r>
    </w:p>
  </w:footnote>
  <w:footnote w:id="791">
    <w:p w14:paraId="6A78A533" w14:textId="2920F88F"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I-165.</w:t>
      </w:r>
    </w:p>
  </w:footnote>
  <w:footnote w:id="792">
    <w:p w14:paraId="31669847" w14:textId="70EC5A8A"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A71BEA" w:rsidRPr="00022F55">
        <w:rPr>
          <w:i/>
          <w:iCs/>
          <w:szCs w:val="22"/>
        </w:rPr>
        <w:t>Ibid.</w:t>
      </w:r>
    </w:p>
  </w:footnote>
  <w:footnote w:id="793">
    <w:p w14:paraId="47ECB435" w14:textId="365A631C"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A71BEA" w:rsidRPr="00022F55">
        <w:rPr>
          <w:i/>
          <w:iCs/>
          <w:szCs w:val="22"/>
        </w:rPr>
        <w:t>Ibid.</w:t>
      </w:r>
    </w:p>
  </w:footnote>
  <w:footnote w:id="794">
    <w:p w14:paraId="5ECA3BFB"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PG&amp;E Testimony, I-161.</w:t>
      </w:r>
    </w:p>
  </w:footnote>
  <w:footnote w:id="795">
    <w:p w14:paraId="0F6BE726" w14:textId="4498F021" w:rsidR="00655890" w:rsidRDefault="00655890" w:rsidP="000C1980">
      <w:pPr>
        <w:pStyle w:val="FootnoteText"/>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I-159.</w:t>
      </w:r>
    </w:p>
  </w:footnote>
  <w:footnote w:id="796">
    <w:p w14:paraId="398F63EA" w14:textId="3A40FC5A"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I-161.</w:t>
      </w:r>
    </w:p>
  </w:footnote>
  <w:footnote w:id="797">
    <w:p w14:paraId="4CF8C9F2" w14:textId="6A1DE4C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I-159.</w:t>
      </w:r>
    </w:p>
  </w:footnote>
  <w:footnote w:id="798">
    <w:p w14:paraId="7F681CC1" w14:textId="17DEAF9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7B07C9" w:rsidRPr="00022F55">
        <w:rPr>
          <w:i/>
          <w:iCs/>
          <w:szCs w:val="22"/>
        </w:rPr>
        <w:t>Ibid.</w:t>
      </w:r>
    </w:p>
  </w:footnote>
  <w:footnote w:id="799">
    <w:p w14:paraId="58242221"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PG&amp;E Testimony, I-164.</w:t>
      </w:r>
    </w:p>
  </w:footnote>
  <w:footnote w:id="800">
    <w:p w14:paraId="7D3E3C4D" w14:textId="5501F829"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2466C5" w:rsidRPr="00022F55">
        <w:rPr>
          <w:i/>
          <w:iCs/>
          <w:szCs w:val="22"/>
        </w:rPr>
        <w:t>Id</w:t>
      </w:r>
      <w:r w:rsidR="002466C5" w:rsidRPr="00022F55">
        <w:rPr>
          <w:szCs w:val="22"/>
        </w:rPr>
        <w:t xml:space="preserve"> at </w:t>
      </w:r>
      <w:r w:rsidRPr="00022F55">
        <w:rPr>
          <w:szCs w:val="22"/>
        </w:rPr>
        <w:t>I-159.</w:t>
      </w:r>
    </w:p>
  </w:footnote>
  <w:footnote w:id="801">
    <w:p w14:paraId="579C60E3" w14:textId="3DCC45C1"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PG&amp;E Application Attachment 1, Table A-5.</w:t>
      </w:r>
    </w:p>
  </w:footnote>
  <w:footnote w:id="802">
    <w:p w14:paraId="253DDBAD"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PG&amp;E Testimony, I-158.</w:t>
      </w:r>
    </w:p>
  </w:footnote>
  <w:footnote w:id="803">
    <w:p w14:paraId="51215550" w14:textId="479A165C" w:rsidR="00655890" w:rsidRDefault="00655890" w:rsidP="000C1980">
      <w:pPr>
        <w:pStyle w:val="FootnoteText"/>
      </w:pPr>
      <w:r w:rsidRPr="00022F55">
        <w:rPr>
          <w:rStyle w:val="FootnoteReference"/>
          <w:szCs w:val="22"/>
        </w:rPr>
        <w:footnoteRef/>
      </w:r>
      <w:r w:rsidRPr="00022F55">
        <w:rPr>
          <w:szCs w:val="22"/>
        </w:rPr>
        <w:t xml:space="preserve">  </w:t>
      </w:r>
      <w:r w:rsidR="007B07C9" w:rsidRPr="00022F55">
        <w:rPr>
          <w:i/>
          <w:iCs/>
          <w:szCs w:val="22"/>
        </w:rPr>
        <w:t>Ibid.</w:t>
      </w:r>
    </w:p>
  </w:footnote>
  <w:footnote w:id="804">
    <w:p w14:paraId="06D2B343" w14:textId="7D589C9D" w:rsidR="00655890" w:rsidRDefault="00655890" w:rsidP="000C1980">
      <w:pPr>
        <w:pStyle w:val="FootnoteText"/>
      </w:pPr>
      <w:r>
        <w:rPr>
          <w:rStyle w:val="FootnoteReference"/>
        </w:rPr>
        <w:footnoteRef/>
      </w:r>
      <w:r>
        <w:t xml:space="preserve">  </w:t>
      </w:r>
      <w:r w:rsidR="002466C5" w:rsidRPr="00CB4AE6">
        <w:rPr>
          <w:i/>
          <w:iCs/>
        </w:rPr>
        <w:t>Id</w:t>
      </w:r>
      <w:r w:rsidR="002466C5">
        <w:t xml:space="preserve"> at </w:t>
      </w:r>
      <w:r>
        <w:t>I-125-26.</w:t>
      </w:r>
    </w:p>
  </w:footnote>
  <w:footnote w:id="805">
    <w:p w14:paraId="5C33B29B" w14:textId="4B7D2108" w:rsidR="00655890" w:rsidRDefault="00655890" w:rsidP="000C1980">
      <w:pPr>
        <w:pStyle w:val="FootnoteText"/>
      </w:pPr>
      <w:r>
        <w:rPr>
          <w:rStyle w:val="FootnoteReference"/>
        </w:rPr>
        <w:footnoteRef/>
      </w:r>
      <w:r>
        <w:t xml:space="preserve">  </w:t>
      </w:r>
      <w:r w:rsidR="002466C5" w:rsidRPr="00CB4AE6">
        <w:rPr>
          <w:i/>
          <w:iCs/>
        </w:rPr>
        <w:t>Id</w:t>
      </w:r>
      <w:r w:rsidR="002466C5">
        <w:t xml:space="preserve"> at </w:t>
      </w:r>
      <w:r>
        <w:t>I-126.</w:t>
      </w:r>
    </w:p>
  </w:footnote>
  <w:footnote w:id="806">
    <w:p w14:paraId="4657D706" w14:textId="77777777" w:rsidR="00655890" w:rsidRDefault="00655890" w:rsidP="000C1980">
      <w:pPr>
        <w:pStyle w:val="FootnoteText"/>
      </w:pPr>
      <w:r>
        <w:rPr>
          <w:rStyle w:val="FootnoteReference"/>
        </w:rPr>
        <w:footnoteRef/>
      </w:r>
      <w:r>
        <w:t xml:space="preserve">  SCE Application, 8.</w:t>
      </w:r>
    </w:p>
  </w:footnote>
  <w:footnote w:id="807">
    <w:p w14:paraId="32E0DE8B" w14:textId="04AB6E7C" w:rsidR="00655890" w:rsidRDefault="00655890" w:rsidP="000C1980">
      <w:pPr>
        <w:pStyle w:val="FootnoteText"/>
      </w:pPr>
      <w:r>
        <w:rPr>
          <w:rStyle w:val="FootnoteReference"/>
        </w:rPr>
        <w:footnoteRef/>
      </w:r>
      <w:r>
        <w:t xml:space="preserve">  SCE Prepared Testimony, II 37.</w:t>
      </w:r>
    </w:p>
  </w:footnote>
  <w:footnote w:id="808">
    <w:p w14:paraId="77C63A68" w14:textId="157DC286" w:rsidR="00655890" w:rsidRDefault="00655890" w:rsidP="000C1980">
      <w:pPr>
        <w:pStyle w:val="FootnoteText"/>
      </w:pPr>
      <w:r>
        <w:rPr>
          <w:rStyle w:val="FootnoteReference"/>
        </w:rPr>
        <w:footnoteRef/>
      </w:r>
      <w:r>
        <w:t xml:space="preserve">  </w:t>
      </w:r>
      <w:r w:rsidR="002466C5" w:rsidRPr="00CB4AE6">
        <w:rPr>
          <w:i/>
          <w:iCs/>
        </w:rPr>
        <w:t>Id</w:t>
      </w:r>
      <w:r w:rsidR="002466C5">
        <w:t xml:space="preserve"> at </w:t>
      </w:r>
      <w:r>
        <w:t>II 37-38.</w:t>
      </w:r>
    </w:p>
  </w:footnote>
  <w:footnote w:id="809">
    <w:p w14:paraId="0ABBA5AA" w14:textId="51A41018" w:rsidR="00655890" w:rsidRDefault="00655890" w:rsidP="000C1980">
      <w:pPr>
        <w:pStyle w:val="FootnoteText"/>
      </w:pPr>
      <w:r>
        <w:rPr>
          <w:rStyle w:val="FootnoteReference"/>
        </w:rPr>
        <w:footnoteRef/>
      </w:r>
      <w:r>
        <w:t xml:space="preserve">  </w:t>
      </w:r>
      <w:r w:rsidR="009633DB" w:rsidRPr="009633DB">
        <w:rPr>
          <w:i/>
          <w:iCs/>
        </w:rPr>
        <w:t>Ibid.</w:t>
      </w:r>
    </w:p>
  </w:footnote>
  <w:footnote w:id="810">
    <w:p w14:paraId="5BCF243A" w14:textId="3741555E" w:rsidR="00655890" w:rsidRDefault="00655890" w:rsidP="000C1980">
      <w:pPr>
        <w:pStyle w:val="FootnoteText"/>
      </w:pPr>
      <w:r>
        <w:rPr>
          <w:rStyle w:val="FootnoteReference"/>
        </w:rPr>
        <w:footnoteRef/>
      </w:r>
      <w:r>
        <w:t xml:space="preserve">  SCE</w:t>
      </w:r>
      <w:r w:rsidRPr="004910A2">
        <w:t xml:space="preserve"> </w:t>
      </w:r>
      <w:r>
        <w:t>Prepared Testimony, II 45.</w:t>
      </w:r>
    </w:p>
  </w:footnote>
  <w:footnote w:id="811">
    <w:p w14:paraId="34ADAB20" w14:textId="28460213" w:rsidR="00655890" w:rsidRDefault="00655890" w:rsidP="000C1980">
      <w:r w:rsidRPr="00F1082B">
        <w:rPr>
          <w:sz w:val="22"/>
          <w:szCs w:val="16"/>
          <w:vertAlign w:val="superscript"/>
        </w:rPr>
        <w:footnoteRef/>
      </w:r>
      <w:r>
        <w:t xml:space="preserve">  </w:t>
      </w:r>
      <w:r w:rsidR="002466C5" w:rsidRPr="002466C5">
        <w:rPr>
          <w:i/>
          <w:iCs/>
          <w:sz w:val="22"/>
          <w:szCs w:val="22"/>
        </w:rPr>
        <w:t>Id</w:t>
      </w:r>
      <w:r w:rsidR="002466C5" w:rsidRPr="002466C5">
        <w:rPr>
          <w:sz w:val="22"/>
          <w:szCs w:val="22"/>
        </w:rPr>
        <w:t xml:space="preserve"> at </w:t>
      </w:r>
      <w:r w:rsidRPr="004910A2">
        <w:rPr>
          <w:sz w:val="22"/>
          <w:szCs w:val="16"/>
        </w:rPr>
        <w:t>II</w:t>
      </w:r>
      <w:r w:rsidRPr="0036662C">
        <w:rPr>
          <w:sz w:val="22"/>
          <w:szCs w:val="16"/>
        </w:rPr>
        <w:t xml:space="preserve"> 46.</w:t>
      </w:r>
    </w:p>
  </w:footnote>
  <w:footnote w:id="812">
    <w:p w14:paraId="058AAD3D" w14:textId="20CA4BED" w:rsidR="00655890" w:rsidRDefault="00655890" w:rsidP="000C1980">
      <w:pPr>
        <w:pStyle w:val="FootnoteText"/>
      </w:pPr>
      <w:r>
        <w:rPr>
          <w:rStyle w:val="FootnoteReference"/>
        </w:rPr>
        <w:footnoteRef/>
      </w:r>
      <w:r>
        <w:t xml:space="preserve">  </w:t>
      </w:r>
      <w:r w:rsidR="002466C5" w:rsidRPr="00CB4AE6">
        <w:rPr>
          <w:i/>
          <w:iCs/>
        </w:rPr>
        <w:t>Id</w:t>
      </w:r>
      <w:r w:rsidR="002466C5">
        <w:t xml:space="preserve"> at </w:t>
      </w:r>
      <w:r>
        <w:t>II 48.</w:t>
      </w:r>
    </w:p>
  </w:footnote>
  <w:footnote w:id="813">
    <w:p w14:paraId="3424C2FF" w14:textId="031E9281" w:rsidR="00655890" w:rsidRDefault="00655890" w:rsidP="000C1980">
      <w:pPr>
        <w:pStyle w:val="FootnoteText"/>
      </w:pPr>
      <w:r>
        <w:rPr>
          <w:rStyle w:val="FootnoteReference"/>
        </w:rPr>
        <w:footnoteRef/>
      </w:r>
      <w:r>
        <w:t xml:space="preserve">  </w:t>
      </w:r>
      <w:r w:rsidR="002466C5" w:rsidRPr="00CB4AE6">
        <w:rPr>
          <w:i/>
          <w:iCs/>
        </w:rPr>
        <w:t>Id</w:t>
      </w:r>
      <w:r w:rsidR="002466C5">
        <w:t xml:space="preserve"> at </w:t>
      </w:r>
      <w:r>
        <w:t>II 45.</w:t>
      </w:r>
    </w:p>
  </w:footnote>
  <w:footnote w:id="814">
    <w:p w14:paraId="01596F35" w14:textId="7128F263" w:rsidR="00655890" w:rsidRDefault="00655890" w:rsidP="000C1980">
      <w:pPr>
        <w:pStyle w:val="FootnoteText"/>
      </w:pPr>
      <w:r>
        <w:rPr>
          <w:rStyle w:val="FootnoteReference"/>
        </w:rPr>
        <w:footnoteRef/>
      </w:r>
      <w:r>
        <w:t xml:space="preserve">  SCE ESA Multifamily Workshop Presentation April 22, 2020 (Power Point).</w:t>
      </w:r>
    </w:p>
  </w:footnote>
  <w:footnote w:id="815">
    <w:p w14:paraId="5F0BEB11" w14:textId="3F0BBE6F" w:rsidR="00655890" w:rsidRDefault="00655890" w:rsidP="000C1980">
      <w:pPr>
        <w:pStyle w:val="FootnoteText"/>
      </w:pPr>
      <w:r>
        <w:rPr>
          <w:rStyle w:val="FootnoteReference"/>
        </w:rPr>
        <w:footnoteRef/>
      </w:r>
      <w:r>
        <w:t xml:space="preserve">  SCE</w:t>
      </w:r>
      <w:r w:rsidRPr="004910A2">
        <w:t xml:space="preserve"> </w:t>
      </w:r>
      <w:r>
        <w:t>Prepared Testimony, II 45.</w:t>
      </w:r>
    </w:p>
  </w:footnote>
  <w:footnote w:id="816">
    <w:p w14:paraId="6745C876" w14:textId="46E70C32"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II 45.</w:t>
      </w:r>
    </w:p>
  </w:footnote>
  <w:footnote w:id="817">
    <w:p w14:paraId="7B2841A3" w14:textId="50AB3E15" w:rsidR="00655890" w:rsidRPr="00022F55" w:rsidRDefault="00655890" w:rsidP="000C1980">
      <w:pPr>
        <w:rPr>
          <w:sz w:val="22"/>
          <w:szCs w:val="22"/>
        </w:rPr>
      </w:pPr>
      <w:r w:rsidRPr="00022F55">
        <w:rPr>
          <w:sz w:val="22"/>
          <w:szCs w:val="22"/>
          <w:vertAlign w:val="superscript"/>
        </w:rPr>
        <w:footnoteRef/>
      </w:r>
      <w:r w:rsidR="00022F55" w:rsidRPr="00022F55">
        <w:rPr>
          <w:sz w:val="22"/>
          <w:szCs w:val="22"/>
        </w:rPr>
        <w:t xml:space="preserve">  “</w:t>
      </w:r>
      <w:r w:rsidRPr="00022F55">
        <w:rPr>
          <w:sz w:val="22"/>
          <w:szCs w:val="22"/>
        </w:rPr>
        <w:t xml:space="preserve">Contractor choice” refers to the ability of a customer to select their own contractor, instead of having one pre-assigned or selecting from a pre-approved list. </w:t>
      </w:r>
    </w:p>
  </w:footnote>
  <w:footnote w:id="818">
    <w:p w14:paraId="526B0433" w14:textId="303AAA3A"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SCE Prepared Testimony, II 45.</w:t>
      </w:r>
    </w:p>
  </w:footnote>
  <w:footnote w:id="819">
    <w:p w14:paraId="6E8CE746" w14:textId="28CBAFE3"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II 41-42.</w:t>
      </w:r>
    </w:p>
  </w:footnote>
  <w:footnote w:id="820">
    <w:p w14:paraId="2E9164F6" w14:textId="29275A2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II A, 54. Table I-13.</w:t>
      </w:r>
    </w:p>
  </w:footnote>
  <w:footnote w:id="821">
    <w:p w14:paraId="1ADB0703" w14:textId="65BA56F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II 46.</w:t>
      </w:r>
    </w:p>
  </w:footnote>
  <w:footnote w:id="822">
    <w:p w14:paraId="5FA8C92B" w14:textId="38A748E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II 44.</w:t>
      </w:r>
    </w:p>
  </w:footnote>
  <w:footnote w:id="823">
    <w:p w14:paraId="693A509C" w14:textId="6B72E5A5" w:rsidR="00655890" w:rsidRDefault="00655890" w:rsidP="000C1980">
      <w:pPr>
        <w:pStyle w:val="FootnoteText"/>
      </w:pPr>
      <w:r w:rsidRPr="00022F55">
        <w:rPr>
          <w:rStyle w:val="FootnoteReference"/>
          <w:szCs w:val="22"/>
        </w:rPr>
        <w:footnoteRef/>
      </w:r>
      <w:r w:rsidRPr="00022F55">
        <w:rPr>
          <w:szCs w:val="22"/>
        </w:rPr>
        <w:t xml:space="preserve">  SCE Application Attachment B, Table A-5</w:t>
      </w:r>
      <w:r w:rsidR="00CA03D0" w:rsidRPr="00022F55">
        <w:rPr>
          <w:szCs w:val="22"/>
        </w:rPr>
        <w:t>.</w:t>
      </w:r>
    </w:p>
  </w:footnote>
  <w:footnote w:id="824">
    <w:p w14:paraId="7D335047" w14:textId="53179F6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SCE Prepared Testimony, II 46.</w:t>
      </w:r>
    </w:p>
  </w:footnote>
  <w:footnote w:id="825">
    <w:p w14:paraId="349BAB4E" w14:textId="7C044DE1"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SCE Response to Energy Division Data Request; March 5, 2021.</w:t>
      </w:r>
    </w:p>
  </w:footnote>
  <w:footnote w:id="826">
    <w:p w14:paraId="53079E62" w14:textId="4C4B3385"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SoCalGas Application, 10.</w:t>
      </w:r>
    </w:p>
  </w:footnote>
  <w:footnote w:id="827">
    <w:p w14:paraId="665407A4" w14:textId="4C2CA56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SoCalGas Testimony (Rendler), 13.</w:t>
      </w:r>
    </w:p>
  </w:footnote>
  <w:footnote w:id="828">
    <w:p w14:paraId="40B609F3" w14:textId="67D23336" w:rsidR="00655890" w:rsidRDefault="00655890" w:rsidP="000C1980">
      <w:pPr>
        <w:pStyle w:val="FootnoteText"/>
      </w:pPr>
      <w:r w:rsidRPr="00022F55">
        <w:rPr>
          <w:rStyle w:val="FootnoteReference"/>
          <w:szCs w:val="22"/>
        </w:rPr>
        <w:footnoteRef/>
      </w:r>
      <w:r w:rsidRPr="00022F55">
        <w:rPr>
          <w:szCs w:val="22"/>
        </w:rPr>
        <w:t xml:space="preserve">  SoCalGas Application Testimony Mark Aguirre and Erin Brooks, page 141, Line 26-27.</w:t>
      </w:r>
    </w:p>
  </w:footnote>
  <w:footnote w:id="829">
    <w:p w14:paraId="22A89448" w14:textId="060393CF"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SoCalGas Testimony (Aguirre and Brooks), 142.</w:t>
      </w:r>
    </w:p>
  </w:footnote>
  <w:footnote w:id="830">
    <w:p w14:paraId="384D624D" w14:textId="04A49379"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143.</w:t>
      </w:r>
    </w:p>
  </w:footnote>
  <w:footnote w:id="831">
    <w:p w14:paraId="0BC0FD24" w14:textId="5BAA602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104.</w:t>
      </w:r>
    </w:p>
  </w:footnote>
  <w:footnote w:id="832">
    <w:p w14:paraId="05BC0767" w14:textId="32368923"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108-109.</w:t>
      </w:r>
    </w:p>
  </w:footnote>
  <w:footnote w:id="833">
    <w:p w14:paraId="1974AC2C" w14:textId="7137D19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140.</w:t>
      </w:r>
    </w:p>
  </w:footnote>
  <w:footnote w:id="834">
    <w:p w14:paraId="2BFDDED7" w14:textId="20332903" w:rsidR="00655890" w:rsidRPr="004C35A2" w:rsidRDefault="00655890" w:rsidP="000C1980">
      <w:pPr>
        <w:pStyle w:val="FootnoteText"/>
        <w:rPr>
          <w:szCs w:val="22"/>
        </w:rPr>
      </w:pPr>
      <w:r w:rsidRPr="00022F55">
        <w:rPr>
          <w:rStyle w:val="FootnoteReference"/>
          <w:szCs w:val="22"/>
        </w:rPr>
        <w:footnoteRef/>
      </w:r>
      <w:r w:rsidRPr="00022F55">
        <w:rPr>
          <w:szCs w:val="22"/>
        </w:rPr>
        <w:t xml:space="preserve">  </w:t>
      </w:r>
      <w:r w:rsidR="004535A9" w:rsidRPr="00022F55">
        <w:rPr>
          <w:i/>
          <w:iCs/>
          <w:szCs w:val="22"/>
        </w:rPr>
        <w:t>Ibid.</w:t>
      </w:r>
    </w:p>
  </w:footnote>
  <w:footnote w:id="835">
    <w:p w14:paraId="41335469" w14:textId="65B91EAC" w:rsidR="00655890" w:rsidRPr="00022F55" w:rsidRDefault="00655890" w:rsidP="00022F55">
      <w:pPr>
        <w:spacing w:after="120"/>
        <w:rPr>
          <w:sz w:val="22"/>
          <w:szCs w:val="22"/>
        </w:rPr>
      </w:pPr>
      <w:r w:rsidRPr="00022F55">
        <w:rPr>
          <w:rStyle w:val="FootnoteReference"/>
          <w:sz w:val="22"/>
          <w:szCs w:val="22"/>
        </w:rPr>
        <w:footnoteRef/>
      </w:r>
      <w:r w:rsidRPr="00022F55">
        <w:rPr>
          <w:sz w:val="22"/>
          <w:szCs w:val="22"/>
          <w:vertAlign w:val="superscript"/>
        </w:rPr>
        <w:t xml:space="preserve"> </w:t>
      </w:r>
      <w:r w:rsidRPr="00022F55">
        <w:rPr>
          <w:sz w:val="22"/>
          <w:szCs w:val="22"/>
        </w:rPr>
        <w:t xml:space="preserve"> SoCalGas Testimony (Aguirre and Brooks), 139.</w:t>
      </w:r>
    </w:p>
  </w:footnote>
  <w:footnote w:id="836">
    <w:p w14:paraId="693A102A" w14:textId="77777777"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vertAlign w:val="superscript"/>
        </w:rPr>
        <w:t xml:space="preserve">  </w:t>
      </w:r>
      <w:r w:rsidRPr="00022F55">
        <w:rPr>
          <w:sz w:val="22"/>
          <w:szCs w:val="22"/>
        </w:rPr>
        <w:t>SoCalGas Application Attachment A Table A-6a.</w:t>
      </w:r>
    </w:p>
  </w:footnote>
  <w:footnote w:id="837">
    <w:p w14:paraId="738B1B28" w14:textId="7C68FEAA" w:rsidR="00655890" w:rsidRPr="00022F55" w:rsidRDefault="00655890" w:rsidP="000C1980">
      <w:pPr>
        <w:spacing w:after="120"/>
        <w:rPr>
          <w:sz w:val="22"/>
          <w:szCs w:val="22"/>
        </w:rPr>
      </w:pPr>
      <w:r w:rsidRPr="00022F55">
        <w:rPr>
          <w:rStyle w:val="FootnoteReference"/>
          <w:sz w:val="22"/>
          <w:szCs w:val="22"/>
        </w:rPr>
        <w:footnoteRef/>
      </w:r>
      <w:r w:rsidRPr="00022F55">
        <w:rPr>
          <w:sz w:val="22"/>
          <w:szCs w:val="22"/>
        </w:rPr>
        <w:t xml:space="preserve">  SoCalGas Testimony (Aguirre and Brooks), 139.</w:t>
      </w:r>
    </w:p>
    <w:p w14:paraId="3A9DD00F" w14:textId="09DA8A60" w:rsidR="00655890" w:rsidRPr="00022F55" w:rsidRDefault="00655890" w:rsidP="000C1980">
      <w:pPr>
        <w:spacing w:after="120"/>
        <w:rPr>
          <w:sz w:val="22"/>
          <w:szCs w:val="22"/>
        </w:rPr>
      </w:pPr>
    </w:p>
  </w:footnote>
  <w:footnote w:id="838">
    <w:p w14:paraId="68BBAA56" w14:textId="1272858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SoCalGas Application, Table A-1a.</w:t>
      </w:r>
    </w:p>
  </w:footnote>
  <w:footnote w:id="839">
    <w:p w14:paraId="02829E08" w14:textId="5FD63351" w:rsidR="00655890" w:rsidRPr="004C35A2" w:rsidRDefault="00655890" w:rsidP="000C1980">
      <w:pPr>
        <w:pStyle w:val="FootnoteText"/>
        <w:rPr>
          <w:szCs w:val="22"/>
        </w:rPr>
      </w:pPr>
      <w:r w:rsidRPr="00022F55">
        <w:rPr>
          <w:rStyle w:val="FootnoteReference"/>
          <w:szCs w:val="22"/>
        </w:rPr>
        <w:footnoteRef/>
      </w:r>
      <w:r w:rsidRPr="00022F55">
        <w:rPr>
          <w:szCs w:val="22"/>
        </w:rPr>
        <w:t xml:space="preserve">  SoCalGas Testimony, 129-130.</w:t>
      </w:r>
    </w:p>
  </w:footnote>
  <w:footnote w:id="840">
    <w:p w14:paraId="67F544E3" w14:textId="65EFF43F"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vertAlign w:val="superscript"/>
        </w:rPr>
        <w:t xml:space="preserve">  </w:t>
      </w:r>
      <w:r w:rsidRPr="00022F55">
        <w:rPr>
          <w:sz w:val="22"/>
          <w:szCs w:val="22"/>
        </w:rPr>
        <w:t xml:space="preserve"> SDG&amp;E Testimony (Nordin), SN-ESA 122.</w:t>
      </w:r>
    </w:p>
  </w:footnote>
  <w:footnote w:id="841">
    <w:p w14:paraId="4760AA35" w14:textId="1FFB28D8"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vertAlign w:val="superscript"/>
        </w:rPr>
        <w:t xml:space="preserve"> </w:t>
      </w:r>
      <w:r w:rsidRPr="00022F55">
        <w:rPr>
          <w:sz w:val="22"/>
          <w:szCs w:val="22"/>
        </w:rPr>
        <w:t xml:space="preserve">  </w:t>
      </w:r>
      <w:r w:rsidR="00014803" w:rsidRPr="00022F55">
        <w:rPr>
          <w:i/>
          <w:iCs/>
          <w:sz w:val="22"/>
          <w:szCs w:val="22"/>
        </w:rPr>
        <w:t>Id</w:t>
      </w:r>
      <w:r w:rsidR="00014803" w:rsidRPr="00022F55">
        <w:rPr>
          <w:sz w:val="22"/>
          <w:szCs w:val="22"/>
        </w:rPr>
        <w:t xml:space="preserve"> at </w:t>
      </w:r>
      <w:r w:rsidRPr="00022F55">
        <w:rPr>
          <w:rFonts w:eastAsia="Book Antiqua" w:cs="Book Antiqua"/>
          <w:sz w:val="22"/>
          <w:szCs w:val="22"/>
        </w:rPr>
        <w:t>SN-ESA 125.</w:t>
      </w:r>
    </w:p>
  </w:footnote>
  <w:footnote w:id="842">
    <w:p w14:paraId="39AC686C" w14:textId="77777777" w:rsidR="00CF57D5" w:rsidRPr="00022F55" w:rsidRDefault="00CF57D5" w:rsidP="00CF57D5">
      <w:pPr>
        <w:pStyle w:val="FootnoteText"/>
        <w:rPr>
          <w:szCs w:val="22"/>
        </w:rPr>
      </w:pPr>
      <w:r w:rsidRPr="00022F55">
        <w:rPr>
          <w:rStyle w:val="FootnoteReference"/>
          <w:szCs w:val="22"/>
        </w:rPr>
        <w:footnoteRef/>
      </w:r>
      <w:r w:rsidRPr="00022F55">
        <w:rPr>
          <w:szCs w:val="22"/>
        </w:rPr>
        <w:t xml:space="preserve">  SDG&amp;E Opening Brief, 18.</w:t>
      </w:r>
    </w:p>
  </w:footnote>
  <w:footnote w:id="843">
    <w:p w14:paraId="480D6D89"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SDG&amp;E Application, 8.</w:t>
      </w:r>
    </w:p>
  </w:footnote>
  <w:footnote w:id="844">
    <w:p w14:paraId="462FF43D" w14:textId="6DDFC180"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rPr>
        <w:t xml:space="preserve">  </w:t>
      </w:r>
      <w:r w:rsidRPr="00022F55">
        <w:rPr>
          <w:rFonts w:eastAsia="Book Antiqua" w:cs="Book Antiqua"/>
          <w:sz w:val="22"/>
          <w:szCs w:val="22"/>
        </w:rPr>
        <w:t>SDG&amp;E Testimony (Nordin), SN-ESA 130.</w:t>
      </w:r>
    </w:p>
  </w:footnote>
  <w:footnote w:id="845">
    <w:p w14:paraId="38B9AF56" w14:textId="015AA124"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rPr>
        <w:t xml:space="preserve">  </w:t>
      </w:r>
      <w:r w:rsidR="00014803" w:rsidRPr="00022F55">
        <w:rPr>
          <w:i/>
          <w:iCs/>
          <w:sz w:val="22"/>
          <w:szCs w:val="22"/>
        </w:rPr>
        <w:t>Id</w:t>
      </w:r>
      <w:r w:rsidR="00014803" w:rsidRPr="00022F55">
        <w:rPr>
          <w:sz w:val="22"/>
          <w:szCs w:val="22"/>
        </w:rPr>
        <w:t xml:space="preserve"> at </w:t>
      </w:r>
      <w:r w:rsidRPr="00022F55">
        <w:rPr>
          <w:sz w:val="22"/>
          <w:szCs w:val="22"/>
        </w:rPr>
        <w:t>SN-ESA 129.</w:t>
      </w:r>
    </w:p>
  </w:footnote>
  <w:footnote w:id="846">
    <w:p w14:paraId="468854A7" w14:textId="77777777" w:rsidR="00655890" w:rsidRPr="005E19E2" w:rsidRDefault="00655890" w:rsidP="000C1980">
      <w:pPr>
        <w:pStyle w:val="FootnoteText"/>
        <w:rPr>
          <w:szCs w:val="22"/>
        </w:rPr>
      </w:pPr>
      <w:r w:rsidRPr="00022F55">
        <w:rPr>
          <w:rStyle w:val="FootnoteReference"/>
          <w:szCs w:val="22"/>
        </w:rPr>
        <w:footnoteRef/>
      </w:r>
      <w:r w:rsidRPr="00022F55">
        <w:rPr>
          <w:szCs w:val="22"/>
        </w:rPr>
        <w:t xml:space="preserve">  SDG&amp;E Application, 9.</w:t>
      </w:r>
    </w:p>
  </w:footnote>
  <w:footnote w:id="847">
    <w:p w14:paraId="77245F69" w14:textId="3C0F3EAA"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rPr>
        <w:t xml:space="preserve">  SDG&amp;E Testimony (Nordin), SN-ESA-115 Table 29.</w:t>
      </w:r>
    </w:p>
  </w:footnote>
  <w:footnote w:id="848">
    <w:p w14:paraId="496D29B1" w14:textId="0CE49E2D"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rPr>
        <w:t xml:space="preserve">  </w:t>
      </w:r>
      <w:r w:rsidR="00014803" w:rsidRPr="00022F55">
        <w:rPr>
          <w:i/>
          <w:iCs/>
          <w:sz w:val="22"/>
          <w:szCs w:val="22"/>
        </w:rPr>
        <w:t>Id</w:t>
      </w:r>
      <w:r w:rsidR="00014803" w:rsidRPr="00022F55">
        <w:rPr>
          <w:sz w:val="22"/>
          <w:szCs w:val="22"/>
        </w:rPr>
        <w:t xml:space="preserve"> at </w:t>
      </w:r>
      <w:r w:rsidRPr="00022F55">
        <w:rPr>
          <w:sz w:val="22"/>
          <w:szCs w:val="22"/>
        </w:rPr>
        <w:t>SN-ESA-116.</w:t>
      </w:r>
    </w:p>
  </w:footnote>
  <w:footnote w:id="849">
    <w:p w14:paraId="7BE55087"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SDG&amp;E Application, 5.</w:t>
      </w:r>
    </w:p>
  </w:footnote>
  <w:footnote w:id="850">
    <w:p w14:paraId="274F3418" w14:textId="2C949872"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rPr>
        <w:t xml:space="preserve">  SDG&amp;E Testimony (Nordin), SN-ESA 124.</w:t>
      </w:r>
    </w:p>
  </w:footnote>
  <w:footnote w:id="851">
    <w:p w14:paraId="248E49AC" w14:textId="3994CB63"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rPr>
        <w:t xml:space="preserve">  </w:t>
      </w:r>
      <w:r w:rsidR="00CA03D0" w:rsidRPr="00022F55">
        <w:rPr>
          <w:i/>
          <w:iCs/>
          <w:sz w:val="22"/>
          <w:szCs w:val="22"/>
        </w:rPr>
        <w:t>Ibid</w:t>
      </w:r>
      <w:r w:rsidR="00CA03D0" w:rsidRPr="00022F55">
        <w:rPr>
          <w:sz w:val="22"/>
          <w:szCs w:val="22"/>
        </w:rPr>
        <w:t>.</w:t>
      </w:r>
    </w:p>
  </w:footnote>
  <w:footnote w:id="852">
    <w:p w14:paraId="01AD13DF" w14:textId="2E5BF58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SDG&amp;E Testimony of Aguirre and Brooks, 136</w:t>
      </w:r>
    </w:p>
  </w:footnote>
  <w:footnote w:id="853">
    <w:p w14:paraId="67DFF0F4"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SDG&amp;E Application, Table A-5.</w:t>
      </w:r>
    </w:p>
  </w:footnote>
  <w:footnote w:id="854">
    <w:p w14:paraId="152BC186" w14:textId="54273524" w:rsidR="00655890" w:rsidRPr="005E19E2" w:rsidRDefault="00655890" w:rsidP="000C1980">
      <w:pPr>
        <w:spacing w:after="120"/>
        <w:rPr>
          <w:sz w:val="22"/>
          <w:szCs w:val="22"/>
        </w:rPr>
      </w:pPr>
      <w:r w:rsidRPr="00022F55">
        <w:rPr>
          <w:sz w:val="22"/>
          <w:szCs w:val="22"/>
          <w:vertAlign w:val="superscript"/>
        </w:rPr>
        <w:footnoteRef/>
      </w:r>
      <w:r w:rsidRPr="00022F55">
        <w:rPr>
          <w:sz w:val="22"/>
          <w:szCs w:val="22"/>
        </w:rPr>
        <w:t xml:space="preserve">  SDG&amp;E Testimony (Nordin), SN-ESA 124.</w:t>
      </w:r>
      <w:r>
        <w:rPr>
          <w:sz w:val="22"/>
          <w:szCs w:val="22"/>
        </w:rPr>
        <w:t xml:space="preserve"> </w:t>
      </w:r>
    </w:p>
  </w:footnote>
  <w:footnote w:id="855">
    <w:p w14:paraId="4AABE5FB"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Pr>
          <w:szCs w:val="22"/>
        </w:rPr>
        <w:t xml:space="preserve"> </w:t>
      </w:r>
      <w:r w:rsidRPr="005E19E2">
        <w:rPr>
          <w:szCs w:val="22"/>
        </w:rPr>
        <w:t>SDG&amp;E Application, Amended Table A-5.</w:t>
      </w:r>
    </w:p>
  </w:footnote>
  <w:footnote w:id="856">
    <w:p w14:paraId="3FA29FC8"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Pr>
          <w:szCs w:val="22"/>
        </w:rPr>
        <w:t xml:space="preserve"> </w:t>
      </w:r>
      <w:r w:rsidRPr="005E19E2">
        <w:rPr>
          <w:szCs w:val="22"/>
        </w:rPr>
        <w:t>SDG&amp;E Application, Corrected Appendix A, Table A-2a.</w:t>
      </w:r>
    </w:p>
  </w:footnote>
  <w:footnote w:id="857">
    <w:p w14:paraId="5CD88E13" w14:textId="77777777" w:rsidR="00655890" w:rsidRDefault="00655890" w:rsidP="000C1980">
      <w:pPr>
        <w:pStyle w:val="FootnoteText"/>
      </w:pPr>
      <w:r w:rsidRPr="005E19E2">
        <w:rPr>
          <w:rStyle w:val="FootnoteReference"/>
          <w:szCs w:val="22"/>
        </w:rPr>
        <w:footnoteRef/>
      </w:r>
      <w:r w:rsidRPr="005E19E2">
        <w:rPr>
          <w:szCs w:val="22"/>
        </w:rPr>
        <w:t xml:space="preserve"> </w:t>
      </w:r>
      <w:r>
        <w:rPr>
          <w:szCs w:val="22"/>
        </w:rPr>
        <w:t xml:space="preserve"> </w:t>
      </w:r>
      <w:r w:rsidRPr="005E19E2">
        <w:rPr>
          <w:szCs w:val="22"/>
        </w:rPr>
        <w:t>SDG&amp;E Application, 6.</w:t>
      </w:r>
    </w:p>
  </w:footnote>
  <w:footnote w:id="858">
    <w:p w14:paraId="7ACF679C" w14:textId="4017F7E0"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Pr>
          <w:szCs w:val="22"/>
        </w:rPr>
        <w:t xml:space="preserve"> </w:t>
      </w:r>
      <w:r w:rsidRPr="005E19E2">
        <w:rPr>
          <w:szCs w:val="22"/>
        </w:rPr>
        <w:t xml:space="preserve">SDG&amp;E Testimony </w:t>
      </w:r>
      <w:r>
        <w:rPr>
          <w:szCs w:val="22"/>
        </w:rPr>
        <w:t xml:space="preserve">of </w:t>
      </w:r>
      <w:r w:rsidRPr="005E19E2">
        <w:rPr>
          <w:szCs w:val="22"/>
        </w:rPr>
        <w:t>Aguirre and Brooks, 136</w:t>
      </w:r>
      <w:r>
        <w:rPr>
          <w:szCs w:val="22"/>
        </w:rPr>
        <w:t>.</w:t>
      </w:r>
    </w:p>
  </w:footnote>
  <w:footnote w:id="859">
    <w:p w14:paraId="01C6BD6B"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Pr>
          <w:szCs w:val="22"/>
        </w:rPr>
        <w:t xml:space="preserve"> </w:t>
      </w:r>
      <w:r w:rsidRPr="005E19E2">
        <w:rPr>
          <w:szCs w:val="22"/>
        </w:rPr>
        <w:t>MCE Application, 2.</w:t>
      </w:r>
    </w:p>
  </w:footnote>
  <w:footnote w:id="860">
    <w:p w14:paraId="405D5B28" w14:textId="14865ACE"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Pr>
          <w:szCs w:val="22"/>
        </w:rPr>
        <w:t xml:space="preserve"> </w:t>
      </w:r>
      <w:r w:rsidR="00014803" w:rsidRPr="00CB4AE6">
        <w:rPr>
          <w:i/>
          <w:iCs/>
        </w:rPr>
        <w:t>Id</w:t>
      </w:r>
      <w:r w:rsidR="00014803">
        <w:t xml:space="preserve"> at </w:t>
      </w:r>
      <w:r w:rsidRPr="005E19E2">
        <w:rPr>
          <w:szCs w:val="22"/>
        </w:rPr>
        <w:t>4.</w:t>
      </w:r>
    </w:p>
  </w:footnote>
  <w:footnote w:id="861">
    <w:p w14:paraId="587EEA98" w14:textId="01565759"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Pr>
          <w:szCs w:val="22"/>
        </w:rPr>
        <w:t xml:space="preserve"> </w:t>
      </w:r>
      <w:r w:rsidR="00014803" w:rsidRPr="00CB4AE6">
        <w:rPr>
          <w:i/>
          <w:iCs/>
        </w:rPr>
        <w:t>Id</w:t>
      </w:r>
      <w:r w:rsidR="00014803">
        <w:t xml:space="preserve"> at </w:t>
      </w:r>
      <w:r w:rsidRPr="005E19E2">
        <w:rPr>
          <w:szCs w:val="22"/>
        </w:rPr>
        <w:t>18-19.</w:t>
      </w:r>
    </w:p>
  </w:footnote>
  <w:footnote w:id="862">
    <w:p w14:paraId="17FAAAA1" w14:textId="2F9D3CD4" w:rsidR="00655890" w:rsidRPr="005E19E2" w:rsidRDefault="00655890" w:rsidP="000C1980">
      <w:pPr>
        <w:spacing w:after="120"/>
        <w:rPr>
          <w:sz w:val="22"/>
          <w:szCs w:val="22"/>
        </w:rPr>
      </w:pPr>
      <w:r w:rsidRPr="005E19E2">
        <w:rPr>
          <w:sz w:val="22"/>
          <w:szCs w:val="22"/>
          <w:vertAlign w:val="superscript"/>
        </w:rPr>
        <w:footnoteRef/>
      </w:r>
      <w:r w:rsidRPr="005E19E2">
        <w:rPr>
          <w:sz w:val="22"/>
          <w:szCs w:val="22"/>
        </w:rPr>
        <w:t xml:space="preserve"> </w:t>
      </w:r>
      <w:r>
        <w:rPr>
          <w:sz w:val="22"/>
          <w:szCs w:val="22"/>
        </w:rPr>
        <w:t xml:space="preserve"> </w:t>
      </w:r>
      <w:r w:rsidRPr="005E19E2">
        <w:rPr>
          <w:sz w:val="22"/>
          <w:szCs w:val="22"/>
        </w:rPr>
        <w:t>MCE Application Testimony, 35</w:t>
      </w:r>
      <w:r>
        <w:rPr>
          <w:sz w:val="22"/>
          <w:szCs w:val="22"/>
        </w:rPr>
        <w:t>.</w:t>
      </w:r>
    </w:p>
  </w:footnote>
  <w:footnote w:id="863">
    <w:p w14:paraId="06709B10" w14:textId="77777777" w:rsidR="00655890" w:rsidRDefault="00655890" w:rsidP="000C1980">
      <w:pPr>
        <w:pStyle w:val="FootnoteText"/>
      </w:pPr>
      <w:r w:rsidRPr="005E19E2">
        <w:rPr>
          <w:rStyle w:val="FootnoteReference"/>
          <w:szCs w:val="22"/>
        </w:rPr>
        <w:footnoteRef/>
      </w:r>
      <w:r w:rsidRPr="005E19E2">
        <w:rPr>
          <w:szCs w:val="22"/>
        </w:rPr>
        <w:t xml:space="preserve"> </w:t>
      </w:r>
      <w:r>
        <w:rPr>
          <w:szCs w:val="22"/>
        </w:rPr>
        <w:t xml:space="preserve"> </w:t>
      </w:r>
      <w:r w:rsidRPr="005E19E2">
        <w:rPr>
          <w:szCs w:val="22"/>
        </w:rPr>
        <w:t>MCE Application, 13.</w:t>
      </w:r>
    </w:p>
  </w:footnote>
  <w:footnote w:id="864">
    <w:p w14:paraId="28F96D9C"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MCE Reply to Protests and Responses, 16.</w:t>
      </w:r>
    </w:p>
  </w:footnote>
  <w:footnote w:id="865">
    <w:p w14:paraId="03EEC760" w14:textId="6861A1E2"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sidR="004A05F6" w:rsidRPr="00620A2B">
        <w:rPr>
          <w:i/>
          <w:iCs/>
        </w:rPr>
        <w:t>Ibid.</w:t>
      </w:r>
    </w:p>
  </w:footnote>
  <w:footnote w:id="866">
    <w:p w14:paraId="7A636F36"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MCE Application, 12.</w:t>
      </w:r>
    </w:p>
  </w:footnote>
  <w:footnote w:id="867">
    <w:p w14:paraId="53AE5371" w14:textId="048C4FEB"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sidR="00014803" w:rsidRPr="00CB4AE6">
        <w:rPr>
          <w:i/>
          <w:iCs/>
        </w:rPr>
        <w:t>Id</w:t>
      </w:r>
      <w:r w:rsidR="00014803">
        <w:t xml:space="preserve"> at </w:t>
      </w:r>
      <w:r w:rsidRPr="005E19E2">
        <w:rPr>
          <w:szCs w:val="22"/>
        </w:rPr>
        <w:t>13.</w:t>
      </w:r>
    </w:p>
  </w:footnote>
  <w:footnote w:id="868">
    <w:p w14:paraId="61C3F462" w14:textId="15E2B022"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w:t>
      </w:r>
      <w:r w:rsidR="00022F55">
        <w:rPr>
          <w:szCs w:val="22"/>
        </w:rPr>
        <w:t xml:space="preserve"> </w:t>
      </w:r>
      <w:r w:rsidR="00014803" w:rsidRPr="00CB4AE6">
        <w:rPr>
          <w:i/>
          <w:iCs/>
        </w:rPr>
        <w:t>Id</w:t>
      </w:r>
      <w:r w:rsidR="00014803">
        <w:t xml:space="preserve"> at </w:t>
      </w:r>
      <w:r w:rsidRPr="005E19E2">
        <w:rPr>
          <w:szCs w:val="22"/>
        </w:rPr>
        <w:t>12.</w:t>
      </w:r>
    </w:p>
  </w:footnote>
  <w:footnote w:id="869">
    <w:p w14:paraId="358347BE" w14:textId="75B24FB4" w:rsidR="00655890" w:rsidRDefault="00655890" w:rsidP="000C1980">
      <w:pPr>
        <w:spacing w:after="120"/>
      </w:pPr>
      <w:r w:rsidRPr="005E19E2">
        <w:rPr>
          <w:sz w:val="22"/>
          <w:szCs w:val="22"/>
          <w:vertAlign w:val="superscript"/>
        </w:rPr>
        <w:footnoteRef/>
      </w:r>
      <w:r w:rsidRPr="005E19E2">
        <w:rPr>
          <w:sz w:val="22"/>
          <w:szCs w:val="22"/>
        </w:rPr>
        <w:t xml:space="preserve"> </w:t>
      </w:r>
      <w:r w:rsidR="00022F55">
        <w:rPr>
          <w:sz w:val="22"/>
          <w:szCs w:val="22"/>
        </w:rPr>
        <w:t xml:space="preserve"> </w:t>
      </w:r>
      <w:r w:rsidRPr="005E19E2">
        <w:rPr>
          <w:sz w:val="22"/>
          <w:szCs w:val="22"/>
        </w:rPr>
        <w:t>MCE Application Testimony, 45</w:t>
      </w:r>
      <w:r>
        <w:rPr>
          <w:sz w:val="22"/>
          <w:szCs w:val="22"/>
        </w:rPr>
        <w:t>.</w:t>
      </w:r>
    </w:p>
  </w:footnote>
  <w:footnote w:id="870">
    <w:p w14:paraId="08640C55"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MCE Application, 3.</w:t>
      </w:r>
    </w:p>
  </w:footnote>
  <w:footnote w:id="871">
    <w:p w14:paraId="0139D739" w14:textId="1056EC1A" w:rsidR="00655890" w:rsidRPr="005E19E2" w:rsidRDefault="00655890" w:rsidP="000C1980">
      <w:pPr>
        <w:rPr>
          <w:sz w:val="22"/>
          <w:szCs w:val="22"/>
        </w:rPr>
      </w:pPr>
      <w:r w:rsidRPr="005E19E2">
        <w:rPr>
          <w:sz w:val="22"/>
          <w:szCs w:val="22"/>
          <w:vertAlign w:val="superscript"/>
        </w:rPr>
        <w:footnoteRef/>
      </w:r>
      <w:r w:rsidRPr="005E19E2">
        <w:rPr>
          <w:sz w:val="22"/>
          <w:szCs w:val="22"/>
        </w:rPr>
        <w:t xml:space="preserve">  MCE Rebuttal Testimony, 9</w:t>
      </w:r>
      <w:r>
        <w:rPr>
          <w:sz w:val="22"/>
          <w:szCs w:val="22"/>
        </w:rPr>
        <w:t>.</w:t>
      </w:r>
    </w:p>
  </w:footnote>
  <w:footnote w:id="872">
    <w:p w14:paraId="23025DFB"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MCE Application, 17-18.</w:t>
      </w:r>
    </w:p>
  </w:footnote>
  <w:footnote w:id="873">
    <w:p w14:paraId="2CDC2979" w14:textId="348BBFF3" w:rsidR="00655890" w:rsidRDefault="00655890" w:rsidP="000C1980">
      <w:pPr>
        <w:pStyle w:val="FootnoteText"/>
      </w:pPr>
      <w:r w:rsidRPr="005E19E2">
        <w:rPr>
          <w:rStyle w:val="FootnoteReference"/>
          <w:szCs w:val="22"/>
        </w:rPr>
        <w:footnoteRef/>
      </w:r>
      <w:r w:rsidRPr="005E19E2">
        <w:rPr>
          <w:szCs w:val="22"/>
        </w:rPr>
        <w:t xml:space="preserve">  </w:t>
      </w:r>
      <w:r w:rsidR="00014803" w:rsidRPr="00CB4AE6">
        <w:rPr>
          <w:i/>
          <w:iCs/>
        </w:rPr>
        <w:t>Id</w:t>
      </w:r>
      <w:r w:rsidR="00014803">
        <w:t xml:space="preserve"> at </w:t>
      </w:r>
      <w:r w:rsidRPr="005E19E2">
        <w:rPr>
          <w:szCs w:val="22"/>
        </w:rPr>
        <w:t>18.</w:t>
      </w:r>
    </w:p>
  </w:footnote>
  <w:footnote w:id="874">
    <w:p w14:paraId="152FCA48"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NRDC, NCLC, and CHA Prehearing Conference Statement, 1-2.</w:t>
      </w:r>
    </w:p>
  </w:footnote>
  <w:footnote w:id="875">
    <w:p w14:paraId="656FFAA4" w14:textId="71AC5691"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NRDC, NCLC, and CHA Opening Testimony (Clinton),</w:t>
      </w:r>
      <w:r>
        <w:rPr>
          <w:szCs w:val="22"/>
        </w:rPr>
        <w:t xml:space="preserve"> </w:t>
      </w:r>
      <w:r w:rsidRPr="005E19E2">
        <w:rPr>
          <w:szCs w:val="22"/>
        </w:rPr>
        <w:t xml:space="preserve">8. </w:t>
      </w:r>
    </w:p>
  </w:footnote>
  <w:footnote w:id="876">
    <w:p w14:paraId="13EF5CE8" w14:textId="77777777" w:rsidR="00655890" w:rsidRPr="005E19E2" w:rsidRDefault="00655890" w:rsidP="000C1980">
      <w:pPr>
        <w:pStyle w:val="FootnoteText"/>
        <w:rPr>
          <w:szCs w:val="22"/>
        </w:rPr>
      </w:pPr>
      <w:r w:rsidRPr="005E19E2">
        <w:rPr>
          <w:rStyle w:val="FootnoteReference"/>
          <w:szCs w:val="22"/>
        </w:rPr>
        <w:footnoteRef/>
      </w:r>
      <w:r w:rsidRPr="005E19E2">
        <w:rPr>
          <w:szCs w:val="22"/>
        </w:rPr>
        <w:t xml:space="preserve">  NRDC, NCLC, and CHA Joint Protest to IOU Applications, 17.</w:t>
      </w:r>
    </w:p>
  </w:footnote>
  <w:footnote w:id="877">
    <w:p w14:paraId="7216247C" w14:textId="77777777" w:rsidR="001105FF" w:rsidRDefault="001105FF" w:rsidP="001105FF">
      <w:pPr>
        <w:pStyle w:val="FootnoteText"/>
      </w:pPr>
      <w:r>
        <w:rPr>
          <w:rStyle w:val="FootnoteReference"/>
        </w:rPr>
        <w:footnoteRef/>
      </w:r>
      <w:r>
        <w:t xml:space="preserve"> Joint Parties Reply Brief, 9.</w:t>
      </w:r>
    </w:p>
  </w:footnote>
  <w:footnote w:id="878">
    <w:p w14:paraId="60CBDAB0"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NRDC, NCLC, and CHA Joint Protest to IOU Applications, 16.</w:t>
      </w:r>
    </w:p>
  </w:footnote>
  <w:footnote w:id="879">
    <w:p w14:paraId="07918ACD" w14:textId="7B81F08F" w:rsidR="00655890" w:rsidRPr="00022F55" w:rsidRDefault="00655890" w:rsidP="000C1980">
      <w:pPr>
        <w:rPr>
          <w:sz w:val="22"/>
          <w:szCs w:val="22"/>
        </w:rPr>
      </w:pPr>
      <w:r w:rsidRPr="00022F55">
        <w:rPr>
          <w:sz w:val="22"/>
          <w:szCs w:val="22"/>
          <w:vertAlign w:val="superscript"/>
        </w:rPr>
        <w:footnoteRef/>
      </w:r>
      <w:r w:rsidRPr="00022F55">
        <w:rPr>
          <w:sz w:val="22"/>
          <w:szCs w:val="22"/>
          <w:vertAlign w:val="superscript"/>
        </w:rPr>
        <w:t xml:space="preserve"> </w:t>
      </w:r>
      <w:r w:rsidRPr="00022F55">
        <w:rPr>
          <w:sz w:val="22"/>
          <w:szCs w:val="22"/>
        </w:rPr>
        <w:t xml:space="preserve"> Joint Parties ’Opening Brief of the Natural Resources Defense Council and National Consumer Law Center’ November 20, 2020.</w:t>
      </w:r>
    </w:p>
  </w:footnote>
  <w:footnote w:id="880">
    <w:p w14:paraId="75868D6C"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NRDC, NCLC, and CHA Opening Testimony (Clinton), 8.</w:t>
      </w:r>
    </w:p>
  </w:footnote>
  <w:footnote w:id="881">
    <w:p w14:paraId="45EC55DB"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NRDC, NCLC, and CHA Joint Protest to IOU Applications, 16.</w:t>
      </w:r>
    </w:p>
  </w:footnote>
  <w:footnote w:id="882">
    <w:p w14:paraId="16A68283" w14:textId="39834A5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7C6EB3" w:rsidRPr="00022F55">
        <w:rPr>
          <w:i/>
          <w:iCs/>
          <w:szCs w:val="22"/>
        </w:rPr>
        <w:t>Ibid.</w:t>
      </w:r>
    </w:p>
  </w:footnote>
  <w:footnote w:id="883">
    <w:p w14:paraId="0CE987CD" w14:textId="7CC6C1E4" w:rsidR="00655890" w:rsidRDefault="00655890" w:rsidP="000C1980">
      <w:pPr>
        <w:pStyle w:val="FootnoteText"/>
      </w:pPr>
      <w:r w:rsidRPr="00022F55">
        <w:rPr>
          <w:rStyle w:val="FootnoteReference"/>
          <w:szCs w:val="22"/>
        </w:rPr>
        <w:footnoteRef/>
      </w:r>
      <w:r w:rsidRPr="00022F55">
        <w:rPr>
          <w:szCs w:val="22"/>
        </w:rPr>
        <w:t xml:space="preserve">  </w:t>
      </w:r>
      <w:r w:rsidR="007C6EB3" w:rsidRPr="00022F55">
        <w:rPr>
          <w:i/>
          <w:iCs/>
          <w:szCs w:val="22"/>
        </w:rPr>
        <w:t>Ibid.</w:t>
      </w:r>
    </w:p>
  </w:footnote>
  <w:footnote w:id="884">
    <w:p w14:paraId="760B7D64" w14:textId="77777777" w:rsidR="00655890" w:rsidRDefault="00655890" w:rsidP="000C1980">
      <w:pPr>
        <w:pStyle w:val="FootnoteText"/>
      </w:pPr>
      <w:r>
        <w:rPr>
          <w:rStyle w:val="FootnoteReference"/>
        </w:rPr>
        <w:footnoteRef/>
      </w:r>
      <w:r>
        <w:t xml:space="preserve">  NRDC, NCLC, and CHA Prehearing Conference Statement, 1-2.</w:t>
      </w:r>
    </w:p>
  </w:footnote>
  <w:footnote w:id="885">
    <w:p w14:paraId="31D64ED4" w14:textId="77777777" w:rsidR="00655890" w:rsidRDefault="00655890" w:rsidP="000C1980">
      <w:pPr>
        <w:pStyle w:val="FootnoteText"/>
      </w:pPr>
      <w:r>
        <w:rPr>
          <w:rStyle w:val="FootnoteReference"/>
        </w:rPr>
        <w:footnoteRef/>
      </w:r>
      <w:r>
        <w:t xml:space="preserve">  NRDC, NCLC, and CHA Joint Protest to IOU Applications, 25.</w:t>
      </w:r>
    </w:p>
  </w:footnote>
  <w:footnote w:id="886">
    <w:p w14:paraId="059AEB45" w14:textId="2CB8E847" w:rsidR="00655890" w:rsidRDefault="00655890" w:rsidP="000C1980">
      <w:pPr>
        <w:pStyle w:val="FootnoteText"/>
      </w:pPr>
      <w:r>
        <w:rPr>
          <w:rStyle w:val="FootnoteReference"/>
        </w:rPr>
        <w:footnoteRef/>
      </w:r>
      <w:r>
        <w:t xml:space="preserve">  </w:t>
      </w:r>
      <w:r w:rsidR="00014803" w:rsidRPr="00CB4AE6">
        <w:rPr>
          <w:i/>
          <w:iCs/>
        </w:rPr>
        <w:t>Id</w:t>
      </w:r>
      <w:r w:rsidR="00014803">
        <w:t xml:space="preserve"> at </w:t>
      </w:r>
      <w:r>
        <w:t>22-23.</w:t>
      </w:r>
    </w:p>
  </w:footnote>
  <w:footnote w:id="887">
    <w:p w14:paraId="234057C9" w14:textId="4CB3A842" w:rsidR="00655890" w:rsidRDefault="00655890" w:rsidP="000C1980">
      <w:pPr>
        <w:pStyle w:val="FootnoteText"/>
      </w:pPr>
      <w:r>
        <w:rPr>
          <w:rStyle w:val="FootnoteReference"/>
        </w:rPr>
        <w:footnoteRef/>
      </w:r>
      <w:r>
        <w:t xml:space="preserve">  </w:t>
      </w:r>
      <w:r w:rsidR="00014803" w:rsidRPr="00CB4AE6">
        <w:rPr>
          <w:i/>
          <w:iCs/>
        </w:rPr>
        <w:t>Id</w:t>
      </w:r>
      <w:r w:rsidR="00014803">
        <w:t xml:space="preserve"> at </w:t>
      </w:r>
      <w:r>
        <w:t>17.</w:t>
      </w:r>
    </w:p>
  </w:footnote>
  <w:footnote w:id="888">
    <w:p w14:paraId="767489D1" w14:textId="234ADC39" w:rsidR="00655890" w:rsidRDefault="00655890" w:rsidP="000C1980">
      <w:pPr>
        <w:pStyle w:val="FootnoteText"/>
      </w:pPr>
      <w:r>
        <w:rPr>
          <w:rStyle w:val="FootnoteReference"/>
        </w:rPr>
        <w:footnoteRef/>
      </w:r>
      <w:r>
        <w:t xml:space="preserve">  </w:t>
      </w:r>
      <w:r w:rsidR="00014803" w:rsidRPr="00CB4AE6">
        <w:rPr>
          <w:i/>
          <w:iCs/>
        </w:rPr>
        <w:t>Id</w:t>
      </w:r>
      <w:r w:rsidR="00014803">
        <w:t xml:space="preserve"> at </w:t>
      </w:r>
      <w:r>
        <w:t>25.</w:t>
      </w:r>
    </w:p>
  </w:footnote>
  <w:footnote w:id="889">
    <w:p w14:paraId="6FD801EC" w14:textId="37C1D848" w:rsidR="00655890" w:rsidRDefault="00655890" w:rsidP="000C1980">
      <w:pPr>
        <w:pStyle w:val="FootnoteText"/>
      </w:pPr>
      <w:r>
        <w:rPr>
          <w:rStyle w:val="FootnoteReference"/>
        </w:rPr>
        <w:footnoteRef/>
      </w:r>
      <w:r>
        <w:t xml:space="preserve">  </w:t>
      </w:r>
      <w:r w:rsidR="00C25BE4" w:rsidRPr="00620A2B">
        <w:rPr>
          <w:i/>
          <w:iCs/>
        </w:rPr>
        <w:t>Ibid.</w:t>
      </w:r>
    </w:p>
  </w:footnote>
  <w:footnote w:id="890">
    <w:p w14:paraId="4CCEA342" w14:textId="22930D5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C25BE4" w:rsidRPr="00022F55">
        <w:rPr>
          <w:i/>
          <w:iCs/>
          <w:szCs w:val="22"/>
        </w:rPr>
        <w:t>Ibid.</w:t>
      </w:r>
    </w:p>
  </w:footnote>
  <w:footnote w:id="891">
    <w:p w14:paraId="2E5A03CD"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NRDC, NCLC, and CHA Joint Protest to IOU Applications, 24.</w:t>
      </w:r>
    </w:p>
  </w:footnote>
  <w:footnote w:id="892">
    <w:p w14:paraId="4E50ADBB" w14:textId="7E7270A7" w:rsidR="00655890" w:rsidRDefault="00655890" w:rsidP="000C1980">
      <w:pPr>
        <w:pStyle w:val="FootnoteText"/>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21.</w:t>
      </w:r>
    </w:p>
  </w:footnote>
  <w:footnote w:id="893">
    <w:p w14:paraId="0825CC1C" w14:textId="73BC0D52" w:rsidR="00655890" w:rsidRPr="00022F55" w:rsidRDefault="00655890" w:rsidP="000C1980">
      <w:pPr>
        <w:rPr>
          <w:sz w:val="22"/>
          <w:szCs w:val="22"/>
        </w:rPr>
      </w:pPr>
      <w:r w:rsidRPr="00022F55">
        <w:rPr>
          <w:sz w:val="22"/>
          <w:szCs w:val="22"/>
          <w:vertAlign w:val="superscript"/>
        </w:rPr>
        <w:footnoteRef/>
      </w:r>
      <w:r w:rsidRPr="00022F55">
        <w:rPr>
          <w:sz w:val="22"/>
          <w:szCs w:val="22"/>
        </w:rPr>
        <w:t xml:space="preserve">  EEC Opening Brief, November 20, 2020, 11.</w:t>
      </w:r>
    </w:p>
  </w:footnote>
  <w:footnote w:id="894">
    <w:p w14:paraId="2D13F43D"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Energy Efficiency Council Protest to PG&amp;E, 3.</w:t>
      </w:r>
    </w:p>
  </w:footnote>
  <w:footnote w:id="895">
    <w:p w14:paraId="718D8620" w14:textId="0758B886"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4.</w:t>
      </w:r>
    </w:p>
  </w:footnote>
  <w:footnote w:id="896">
    <w:p w14:paraId="5D5F5BC8" w14:textId="71AB97E9"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826FA2" w:rsidRPr="00022F55">
        <w:rPr>
          <w:i/>
          <w:iCs/>
          <w:szCs w:val="22"/>
        </w:rPr>
        <w:t>Ibid.</w:t>
      </w:r>
    </w:p>
  </w:footnote>
  <w:footnote w:id="897">
    <w:p w14:paraId="2E50DFB3" w14:textId="5EEFBE6D" w:rsidR="00655890" w:rsidRDefault="00655890" w:rsidP="000C1980">
      <w:pPr>
        <w:pStyle w:val="FootnoteText"/>
      </w:pPr>
      <w:r w:rsidRPr="00022F55">
        <w:rPr>
          <w:rStyle w:val="FootnoteReference"/>
          <w:szCs w:val="22"/>
        </w:rPr>
        <w:footnoteRef/>
      </w:r>
      <w:r w:rsidRPr="00022F55">
        <w:rPr>
          <w:szCs w:val="22"/>
        </w:rPr>
        <w:t xml:space="preserve">  </w:t>
      </w:r>
      <w:r w:rsidR="00826FA2" w:rsidRPr="00022F55">
        <w:rPr>
          <w:i/>
          <w:iCs/>
          <w:szCs w:val="22"/>
        </w:rPr>
        <w:t>Ibid.</w:t>
      </w:r>
    </w:p>
  </w:footnote>
  <w:footnote w:id="898">
    <w:p w14:paraId="6FA299E9" w14:textId="19D42614"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826FA2" w:rsidRPr="00022F55">
        <w:rPr>
          <w:i/>
          <w:iCs/>
          <w:szCs w:val="22"/>
        </w:rPr>
        <w:t>Ibid.</w:t>
      </w:r>
    </w:p>
  </w:footnote>
  <w:footnote w:id="899">
    <w:p w14:paraId="4BF76F36"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Energy Efficiency Council Protest to PG&amp;E, 6.</w:t>
      </w:r>
    </w:p>
  </w:footnote>
  <w:footnote w:id="900">
    <w:p w14:paraId="6E725649" w14:textId="7AC59CC3"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6.</w:t>
      </w:r>
    </w:p>
  </w:footnote>
  <w:footnote w:id="901">
    <w:p w14:paraId="33652F66" w14:textId="0A1BDA55"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14803" w:rsidRPr="00022F55">
        <w:rPr>
          <w:i/>
          <w:iCs/>
          <w:szCs w:val="22"/>
        </w:rPr>
        <w:t>Id</w:t>
      </w:r>
      <w:r w:rsidR="00014803" w:rsidRPr="00022F55">
        <w:rPr>
          <w:szCs w:val="22"/>
        </w:rPr>
        <w:t xml:space="preserve"> at </w:t>
      </w:r>
      <w:r w:rsidRPr="00022F55">
        <w:rPr>
          <w:szCs w:val="22"/>
        </w:rPr>
        <w:t>4.</w:t>
      </w:r>
    </w:p>
  </w:footnote>
  <w:footnote w:id="902">
    <w:p w14:paraId="4BD81FB7" w14:textId="77777777" w:rsidR="00655890" w:rsidRDefault="00655890" w:rsidP="000C1980">
      <w:pPr>
        <w:pStyle w:val="FootnoteText"/>
      </w:pPr>
      <w:r w:rsidRPr="00022F55">
        <w:rPr>
          <w:rStyle w:val="FootnoteReference"/>
          <w:szCs w:val="22"/>
        </w:rPr>
        <w:footnoteRef/>
      </w:r>
      <w:r w:rsidRPr="00022F55">
        <w:rPr>
          <w:szCs w:val="22"/>
        </w:rPr>
        <w:t xml:space="preserve">  EEC Protest to MCE Application, 3.</w:t>
      </w:r>
    </w:p>
  </w:footnote>
  <w:footnote w:id="903">
    <w:p w14:paraId="3D458A25" w14:textId="5EB45B25"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4B6F0D" w:rsidRPr="00022F55">
        <w:rPr>
          <w:i/>
          <w:iCs/>
          <w:szCs w:val="22"/>
        </w:rPr>
        <w:t>Ibid.</w:t>
      </w:r>
    </w:p>
  </w:footnote>
  <w:footnote w:id="904">
    <w:p w14:paraId="2FD17F0A"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EEC Protest of MCE Application, 1.</w:t>
      </w:r>
    </w:p>
  </w:footnote>
  <w:footnote w:id="905">
    <w:p w14:paraId="1303750F" w14:textId="48197FD2"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1247A7" w:rsidRPr="00022F55">
        <w:rPr>
          <w:i/>
          <w:iCs/>
          <w:szCs w:val="22"/>
        </w:rPr>
        <w:t>Id</w:t>
      </w:r>
      <w:r w:rsidR="001247A7" w:rsidRPr="00022F55">
        <w:rPr>
          <w:szCs w:val="22"/>
        </w:rPr>
        <w:t xml:space="preserve"> at </w:t>
      </w:r>
      <w:r w:rsidRPr="00022F55">
        <w:rPr>
          <w:szCs w:val="22"/>
        </w:rPr>
        <w:t>3.</w:t>
      </w:r>
    </w:p>
  </w:footnote>
  <w:footnote w:id="906">
    <w:p w14:paraId="06AE6C70" w14:textId="15496BEA" w:rsidR="00655890" w:rsidRDefault="00655890" w:rsidP="000C1980">
      <w:pPr>
        <w:pStyle w:val="FootnoteText"/>
      </w:pPr>
      <w:r w:rsidRPr="00022F55">
        <w:rPr>
          <w:rStyle w:val="FootnoteReference"/>
          <w:szCs w:val="22"/>
        </w:rPr>
        <w:footnoteRef/>
      </w:r>
      <w:r w:rsidRPr="00022F55">
        <w:rPr>
          <w:szCs w:val="22"/>
        </w:rPr>
        <w:t xml:space="preserve">  </w:t>
      </w:r>
      <w:r w:rsidR="001247A7" w:rsidRPr="00022F55">
        <w:rPr>
          <w:i/>
          <w:iCs/>
          <w:szCs w:val="22"/>
        </w:rPr>
        <w:t>Id</w:t>
      </w:r>
      <w:r w:rsidR="001247A7" w:rsidRPr="00022F55">
        <w:rPr>
          <w:szCs w:val="22"/>
        </w:rPr>
        <w:t xml:space="preserve"> at </w:t>
      </w:r>
      <w:r w:rsidRPr="00022F55">
        <w:rPr>
          <w:szCs w:val="22"/>
        </w:rPr>
        <w:t>4.</w:t>
      </w:r>
    </w:p>
  </w:footnote>
  <w:footnote w:id="907">
    <w:p w14:paraId="6C82A9B3" w14:textId="4F54FB7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Cal Advocates ‘Opening Brief’ November 20, 2020, 9.</w:t>
      </w:r>
    </w:p>
  </w:footnote>
  <w:footnote w:id="908">
    <w:p w14:paraId="6BB52DE3" w14:textId="3CBDB491"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1247A7" w:rsidRPr="00022F55">
        <w:rPr>
          <w:i/>
          <w:iCs/>
          <w:szCs w:val="22"/>
        </w:rPr>
        <w:t>Id</w:t>
      </w:r>
      <w:r w:rsidR="001247A7" w:rsidRPr="00022F55">
        <w:rPr>
          <w:szCs w:val="22"/>
        </w:rPr>
        <w:t xml:space="preserve"> at </w:t>
      </w:r>
      <w:r w:rsidRPr="00022F55">
        <w:rPr>
          <w:szCs w:val="22"/>
        </w:rPr>
        <w:t>15; Cal Advocates (Hsu), 18</w:t>
      </w:r>
      <w:r w:rsidRPr="00022F55">
        <w:rPr>
          <w:szCs w:val="22"/>
        </w:rPr>
        <w:noBreakHyphen/>
        <w:t>20.</w:t>
      </w:r>
    </w:p>
  </w:footnote>
  <w:footnote w:id="909">
    <w:p w14:paraId="20AE5308" w14:textId="153C7352"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Cal Advocates ‘Opening Brief,’ 16.</w:t>
      </w:r>
    </w:p>
  </w:footnote>
  <w:footnote w:id="910">
    <w:p w14:paraId="5AB40D3B" w14:textId="627DF56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Cal Advocates [Jenielle Hsu], Intervenor Testimony, 2.</w:t>
      </w:r>
    </w:p>
  </w:footnote>
  <w:footnote w:id="911">
    <w:p w14:paraId="486C7A88" w14:textId="361FEE02"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Cal Advocates ‘Opening Brief,’ 23.</w:t>
      </w:r>
    </w:p>
  </w:footnote>
  <w:footnote w:id="912">
    <w:p w14:paraId="04A5950B" w14:textId="77777777" w:rsidR="00655890" w:rsidRDefault="00655890" w:rsidP="000C1980">
      <w:pPr>
        <w:pStyle w:val="FootnoteText"/>
      </w:pPr>
      <w:r w:rsidRPr="00022F55">
        <w:rPr>
          <w:rStyle w:val="FootnoteReference"/>
          <w:szCs w:val="22"/>
        </w:rPr>
        <w:footnoteRef/>
      </w:r>
      <w:r w:rsidRPr="00022F55">
        <w:rPr>
          <w:szCs w:val="22"/>
        </w:rPr>
        <w:t xml:space="preserve">  Cal Advocates Joint Protest to IOU Applications, 3.</w:t>
      </w:r>
    </w:p>
  </w:footnote>
  <w:footnote w:id="913">
    <w:p w14:paraId="5F536E1B" w14:textId="5FC13D56" w:rsidR="00655890" w:rsidRDefault="00655890" w:rsidP="000C1980">
      <w:pPr>
        <w:pStyle w:val="FootnoteText"/>
      </w:pPr>
      <w:r>
        <w:rPr>
          <w:rStyle w:val="FootnoteReference"/>
        </w:rPr>
        <w:footnoteRef/>
      </w:r>
      <w:r>
        <w:t xml:space="preserve">  Cal Advocates (Hsu Direct testimony), 15-16 and Cal Advocates Opening Brief, 20.</w:t>
      </w:r>
    </w:p>
  </w:footnote>
  <w:footnote w:id="914">
    <w:p w14:paraId="1EB3FAF8" w14:textId="0819508A" w:rsidR="00655890" w:rsidRDefault="00655890" w:rsidP="000C1980">
      <w:pPr>
        <w:pStyle w:val="FootnoteText"/>
      </w:pPr>
      <w:r>
        <w:rPr>
          <w:rStyle w:val="FootnoteReference"/>
        </w:rPr>
        <w:footnoteRef/>
      </w:r>
      <w:r>
        <w:t xml:space="preserve">  Cal Advocates (Hsu Direct testimony), 17.</w:t>
      </w:r>
    </w:p>
  </w:footnote>
  <w:footnote w:id="915">
    <w:p w14:paraId="79AFCAEA" w14:textId="77777777" w:rsidR="00655890" w:rsidRDefault="00655890" w:rsidP="000C1980">
      <w:pPr>
        <w:pStyle w:val="FootnoteText"/>
      </w:pPr>
      <w:r>
        <w:rPr>
          <w:rStyle w:val="FootnoteReference"/>
        </w:rPr>
        <w:footnoteRef/>
      </w:r>
      <w:r>
        <w:t xml:space="preserve">  PG&amp;E Response to MCE Application, 5.</w:t>
      </w:r>
    </w:p>
  </w:footnote>
  <w:footnote w:id="916">
    <w:p w14:paraId="68087681" w14:textId="54C5003B" w:rsidR="00655890" w:rsidRDefault="00655890" w:rsidP="000C1980">
      <w:pPr>
        <w:pStyle w:val="FootnoteText"/>
      </w:pPr>
      <w:r>
        <w:rPr>
          <w:rStyle w:val="FootnoteReference"/>
        </w:rPr>
        <w:footnoteRef/>
      </w:r>
      <w:r>
        <w:t xml:space="preserve">  </w:t>
      </w:r>
      <w:r w:rsidR="004B6F0D" w:rsidRPr="00620A2B">
        <w:rPr>
          <w:i/>
          <w:iCs/>
        </w:rPr>
        <w:t>Ibid.</w:t>
      </w:r>
    </w:p>
  </w:footnote>
  <w:footnote w:id="917">
    <w:p w14:paraId="27B72AAD" w14:textId="77777777" w:rsidR="00655890" w:rsidRDefault="00655890" w:rsidP="000C1980">
      <w:pPr>
        <w:pStyle w:val="FootnoteText"/>
      </w:pPr>
      <w:r>
        <w:rPr>
          <w:rStyle w:val="FootnoteReference"/>
        </w:rPr>
        <w:footnoteRef/>
      </w:r>
      <w:r>
        <w:t xml:space="preserve">  PG&amp;E Reply to MCE Application, 2-3.</w:t>
      </w:r>
    </w:p>
  </w:footnote>
  <w:footnote w:id="918">
    <w:p w14:paraId="38ECF355" w14:textId="24A6C44E" w:rsidR="00655890" w:rsidRDefault="00655890" w:rsidP="000C1980">
      <w:pPr>
        <w:pStyle w:val="FootnoteText"/>
      </w:pPr>
      <w:r>
        <w:rPr>
          <w:rStyle w:val="FootnoteReference"/>
        </w:rPr>
        <w:footnoteRef/>
      </w:r>
      <w:r>
        <w:t xml:space="preserve">  </w:t>
      </w:r>
      <w:r w:rsidR="001247A7" w:rsidRPr="00CB4AE6">
        <w:rPr>
          <w:i/>
          <w:iCs/>
        </w:rPr>
        <w:t>Id</w:t>
      </w:r>
      <w:r w:rsidR="001247A7">
        <w:t xml:space="preserve"> at </w:t>
      </w:r>
      <w:r>
        <w:t>3.</w:t>
      </w:r>
    </w:p>
  </w:footnote>
  <w:footnote w:id="919">
    <w:p w14:paraId="753FDE77" w14:textId="2CC5BB41" w:rsidR="00655890" w:rsidRDefault="00655890" w:rsidP="000C1980">
      <w:pPr>
        <w:pStyle w:val="FootnoteText"/>
      </w:pPr>
      <w:r>
        <w:rPr>
          <w:rStyle w:val="FootnoteReference"/>
        </w:rPr>
        <w:footnoteRef/>
      </w:r>
      <w:r>
        <w:t xml:space="preserve">  </w:t>
      </w:r>
      <w:r w:rsidR="001247A7" w:rsidRPr="00CB4AE6">
        <w:rPr>
          <w:i/>
          <w:iCs/>
        </w:rPr>
        <w:t>Id</w:t>
      </w:r>
      <w:r w:rsidR="001247A7">
        <w:t xml:space="preserve"> at </w:t>
      </w:r>
      <w:r>
        <w:t>3-4.</w:t>
      </w:r>
    </w:p>
  </w:footnote>
  <w:footnote w:id="920">
    <w:p w14:paraId="2E466C39" w14:textId="77777777" w:rsidR="00655890" w:rsidRDefault="00655890" w:rsidP="000C1980">
      <w:pPr>
        <w:pStyle w:val="FootnoteText"/>
      </w:pPr>
      <w:r>
        <w:rPr>
          <w:rStyle w:val="FootnoteReference"/>
        </w:rPr>
        <w:footnoteRef/>
      </w:r>
      <w:r>
        <w:t xml:space="preserve">  PG&amp;E Reply to Protests and Responses, 2.</w:t>
      </w:r>
    </w:p>
  </w:footnote>
  <w:footnote w:id="921">
    <w:p w14:paraId="5EB29D3F" w14:textId="38AD7B10" w:rsidR="00655890" w:rsidRPr="00A611B5" w:rsidRDefault="00655890" w:rsidP="000C1980">
      <w:pPr>
        <w:pStyle w:val="FootnoteText"/>
        <w:rPr>
          <w:szCs w:val="22"/>
        </w:rPr>
      </w:pPr>
      <w:r w:rsidRPr="00A611B5">
        <w:rPr>
          <w:rStyle w:val="FootnoteReference"/>
          <w:szCs w:val="22"/>
        </w:rPr>
        <w:footnoteRef/>
      </w:r>
      <w:r w:rsidRPr="00A611B5">
        <w:rPr>
          <w:szCs w:val="22"/>
        </w:rPr>
        <w:t xml:space="preserve"> </w:t>
      </w:r>
      <w:r w:rsidR="001247A7" w:rsidRPr="00CB4AE6">
        <w:rPr>
          <w:i/>
          <w:iCs/>
        </w:rPr>
        <w:t>Id</w:t>
      </w:r>
      <w:r w:rsidR="001247A7">
        <w:t xml:space="preserve"> at </w:t>
      </w:r>
      <w:r w:rsidRPr="00A611B5">
        <w:rPr>
          <w:szCs w:val="22"/>
        </w:rPr>
        <w:t>3.</w:t>
      </w:r>
    </w:p>
  </w:footnote>
  <w:footnote w:id="922">
    <w:p w14:paraId="0547723A" w14:textId="7256F578" w:rsidR="00655890" w:rsidRPr="00A611B5" w:rsidRDefault="00655890" w:rsidP="000C1980">
      <w:pPr>
        <w:pStyle w:val="FootnoteText"/>
        <w:rPr>
          <w:szCs w:val="22"/>
        </w:rPr>
      </w:pPr>
      <w:r w:rsidRPr="00A611B5">
        <w:rPr>
          <w:rStyle w:val="FootnoteReference"/>
          <w:szCs w:val="22"/>
        </w:rPr>
        <w:footnoteRef/>
      </w:r>
      <w:r w:rsidRPr="00A611B5">
        <w:rPr>
          <w:szCs w:val="22"/>
        </w:rPr>
        <w:t xml:space="preserve"> </w:t>
      </w:r>
      <w:r w:rsidR="00BA1BC6" w:rsidRPr="00620A2B">
        <w:rPr>
          <w:i/>
          <w:iCs/>
        </w:rPr>
        <w:t>Ibid.</w:t>
      </w:r>
    </w:p>
  </w:footnote>
  <w:footnote w:id="923">
    <w:p w14:paraId="20F5C39C" w14:textId="1A88B411" w:rsidR="00655890" w:rsidRPr="00A611B5" w:rsidRDefault="00655890" w:rsidP="000C1980">
      <w:pPr>
        <w:spacing w:after="120"/>
        <w:rPr>
          <w:sz w:val="22"/>
          <w:szCs w:val="22"/>
        </w:rPr>
      </w:pPr>
      <w:r w:rsidRPr="00A611B5">
        <w:rPr>
          <w:sz w:val="22"/>
          <w:szCs w:val="22"/>
          <w:vertAlign w:val="superscript"/>
        </w:rPr>
        <w:footnoteRef/>
      </w:r>
      <w:r w:rsidRPr="00A611B5">
        <w:rPr>
          <w:sz w:val="22"/>
          <w:szCs w:val="22"/>
        </w:rPr>
        <w:t xml:space="preserve"> PG&amp;E Opening Brief November 20, 2020</w:t>
      </w:r>
      <w:r>
        <w:rPr>
          <w:sz w:val="22"/>
          <w:szCs w:val="22"/>
        </w:rPr>
        <w:t xml:space="preserve">, </w:t>
      </w:r>
      <w:r w:rsidRPr="00A611B5">
        <w:rPr>
          <w:sz w:val="22"/>
          <w:szCs w:val="22"/>
        </w:rPr>
        <w:t>31</w:t>
      </w:r>
      <w:r>
        <w:rPr>
          <w:sz w:val="22"/>
          <w:szCs w:val="22"/>
        </w:rPr>
        <w:t>.</w:t>
      </w:r>
    </w:p>
  </w:footnote>
  <w:footnote w:id="924">
    <w:p w14:paraId="0F5DF56B" w14:textId="0D13E293" w:rsidR="00655890" w:rsidRPr="00022F55" w:rsidRDefault="00655890" w:rsidP="000C1980">
      <w:pPr>
        <w:spacing w:after="120"/>
        <w:rPr>
          <w:sz w:val="22"/>
          <w:szCs w:val="22"/>
        </w:rPr>
      </w:pPr>
      <w:r w:rsidRPr="00022F55">
        <w:rPr>
          <w:sz w:val="22"/>
          <w:szCs w:val="22"/>
          <w:vertAlign w:val="superscript"/>
        </w:rPr>
        <w:footnoteRef/>
      </w:r>
      <w:r w:rsidRPr="00022F55">
        <w:rPr>
          <w:sz w:val="22"/>
          <w:szCs w:val="22"/>
          <w:vertAlign w:val="superscript"/>
        </w:rPr>
        <w:t xml:space="preserve"> </w:t>
      </w:r>
      <w:r w:rsidR="00022F55" w:rsidRPr="00022F55">
        <w:rPr>
          <w:sz w:val="22"/>
          <w:szCs w:val="22"/>
          <w:vertAlign w:val="superscript"/>
        </w:rPr>
        <w:t xml:space="preserve"> </w:t>
      </w:r>
      <w:r w:rsidR="001247A7" w:rsidRPr="00022F55">
        <w:rPr>
          <w:i/>
          <w:iCs/>
          <w:sz w:val="22"/>
          <w:szCs w:val="22"/>
        </w:rPr>
        <w:t>Id</w:t>
      </w:r>
      <w:r w:rsidR="001247A7" w:rsidRPr="00022F55">
        <w:rPr>
          <w:sz w:val="22"/>
          <w:szCs w:val="22"/>
        </w:rPr>
        <w:t xml:space="preserve"> at </w:t>
      </w:r>
      <w:r w:rsidRPr="00022F55">
        <w:rPr>
          <w:sz w:val="22"/>
          <w:szCs w:val="22"/>
        </w:rPr>
        <w:t>27.</w:t>
      </w:r>
    </w:p>
  </w:footnote>
  <w:footnote w:id="925">
    <w:p w14:paraId="229CB0C3" w14:textId="656AFAF8"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22F55" w:rsidRPr="00022F55">
        <w:rPr>
          <w:szCs w:val="22"/>
        </w:rPr>
        <w:t xml:space="preserve"> </w:t>
      </w:r>
      <w:r w:rsidRPr="00022F55">
        <w:rPr>
          <w:szCs w:val="22"/>
        </w:rPr>
        <w:t>PG&amp;E Reply to Protests and Responses, 5.</w:t>
      </w:r>
    </w:p>
  </w:footnote>
  <w:footnote w:id="926">
    <w:p w14:paraId="7035E6BA" w14:textId="4EE7DD1F"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022F55" w:rsidRPr="00022F55">
        <w:rPr>
          <w:szCs w:val="22"/>
        </w:rPr>
        <w:t xml:space="preserve"> </w:t>
      </w:r>
      <w:r w:rsidR="001247A7" w:rsidRPr="00022F55">
        <w:rPr>
          <w:i/>
          <w:iCs/>
          <w:szCs w:val="22"/>
        </w:rPr>
        <w:t>Id</w:t>
      </w:r>
      <w:r w:rsidR="001247A7" w:rsidRPr="00022F55">
        <w:rPr>
          <w:szCs w:val="22"/>
        </w:rPr>
        <w:t xml:space="preserve"> at </w:t>
      </w:r>
      <w:r w:rsidRPr="00022F55">
        <w:rPr>
          <w:szCs w:val="22"/>
        </w:rPr>
        <w:t>6.</w:t>
      </w:r>
    </w:p>
  </w:footnote>
  <w:footnote w:id="927">
    <w:p w14:paraId="5EE16F1F" w14:textId="301ABF30"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E0345D" w:rsidRPr="00022F55">
        <w:rPr>
          <w:i/>
          <w:iCs/>
          <w:szCs w:val="22"/>
        </w:rPr>
        <w:t>Ibid.</w:t>
      </w:r>
    </w:p>
  </w:footnote>
  <w:footnote w:id="928">
    <w:p w14:paraId="0970D45A" w14:textId="6B41A24C" w:rsidR="00655890" w:rsidRDefault="00655890" w:rsidP="000C1980">
      <w:pPr>
        <w:pStyle w:val="FootnoteText"/>
      </w:pPr>
      <w:r w:rsidRPr="00022F55">
        <w:rPr>
          <w:rStyle w:val="FootnoteReference"/>
          <w:szCs w:val="22"/>
        </w:rPr>
        <w:footnoteRef/>
      </w:r>
      <w:r w:rsidRPr="00022F55">
        <w:rPr>
          <w:szCs w:val="22"/>
        </w:rPr>
        <w:t xml:space="preserve">  </w:t>
      </w:r>
      <w:r w:rsidR="00E0345D" w:rsidRPr="00022F55">
        <w:rPr>
          <w:i/>
          <w:iCs/>
          <w:szCs w:val="22"/>
        </w:rPr>
        <w:t>Ibid.</w:t>
      </w:r>
    </w:p>
  </w:footnote>
  <w:footnote w:id="929">
    <w:p w14:paraId="488F3D3D"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SCE Response to Protests and Replies, 3.</w:t>
      </w:r>
    </w:p>
  </w:footnote>
  <w:footnote w:id="930">
    <w:p w14:paraId="3A2D1E02" w14:textId="4FFC2BFA"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w:t>
      </w:r>
      <w:r w:rsidR="00E0345D" w:rsidRPr="00022F55">
        <w:rPr>
          <w:i/>
          <w:iCs/>
          <w:szCs w:val="22"/>
        </w:rPr>
        <w:t>Ibid.</w:t>
      </w:r>
    </w:p>
  </w:footnote>
  <w:footnote w:id="931">
    <w:p w14:paraId="6FE50C30" w14:textId="77777777" w:rsidR="00655890" w:rsidRPr="00022F55" w:rsidRDefault="00655890" w:rsidP="000C1980">
      <w:pPr>
        <w:pStyle w:val="FootnoteText"/>
        <w:rPr>
          <w:szCs w:val="22"/>
        </w:rPr>
      </w:pPr>
      <w:r w:rsidRPr="00022F55">
        <w:rPr>
          <w:rStyle w:val="FootnoteReference"/>
          <w:szCs w:val="22"/>
        </w:rPr>
        <w:footnoteRef/>
      </w:r>
      <w:r w:rsidRPr="00022F55">
        <w:rPr>
          <w:szCs w:val="22"/>
        </w:rPr>
        <w:t xml:space="preserve">  SCE Response to Protests and Replies, 4.</w:t>
      </w:r>
    </w:p>
  </w:footnote>
  <w:footnote w:id="932">
    <w:p w14:paraId="411188FF" w14:textId="77CA21BC" w:rsidR="00655890" w:rsidRPr="00022F55" w:rsidRDefault="00655890" w:rsidP="000C1980">
      <w:pPr>
        <w:pStyle w:val="FootnoteText"/>
        <w:rPr>
          <w:szCs w:val="22"/>
        </w:rPr>
      </w:pPr>
      <w:r w:rsidRPr="00022F55">
        <w:rPr>
          <w:szCs w:val="22"/>
          <w:vertAlign w:val="superscript"/>
        </w:rPr>
        <w:footnoteRef/>
      </w:r>
      <w:r w:rsidRPr="00022F55">
        <w:rPr>
          <w:szCs w:val="22"/>
        </w:rPr>
        <w:t xml:space="preserve">  SCE-02., at pp. 37-38; and SCE Opening Brief, 15.</w:t>
      </w:r>
    </w:p>
  </w:footnote>
  <w:footnote w:id="933">
    <w:p w14:paraId="58C16658" w14:textId="7A85FE13" w:rsidR="00655890" w:rsidRPr="00022F55" w:rsidRDefault="00655890" w:rsidP="000C1980">
      <w:pPr>
        <w:pStyle w:val="FootnoteText"/>
        <w:rPr>
          <w:szCs w:val="22"/>
        </w:rPr>
      </w:pPr>
      <w:r w:rsidRPr="00022F55">
        <w:rPr>
          <w:szCs w:val="22"/>
          <w:vertAlign w:val="superscript"/>
        </w:rPr>
        <w:footnoteRef/>
      </w:r>
      <w:r w:rsidRPr="00022F55">
        <w:rPr>
          <w:szCs w:val="22"/>
        </w:rPr>
        <w:t xml:space="preserve">  SCE Opening Brief, 16.</w:t>
      </w:r>
    </w:p>
  </w:footnote>
  <w:footnote w:id="934">
    <w:p w14:paraId="0E80114B" w14:textId="77777777" w:rsidR="00655890" w:rsidRPr="00BB0AA6" w:rsidRDefault="00655890" w:rsidP="000C1980">
      <w:pPr>
        <w:pStyle w:val="FootnoteText"/>
        <w:rPr>
          <w:szCs w:val="22"/>
        </w:rPr>
      </w:pPr>
      <w:r w:rsidRPr="00022F55">
        <w:rPr>
          <w:rStyle w:val="FootnoteReference"/>
          <w:szCs w:val="22"/>
        </w:rPr>
        <w:footnoteRef/>
      </w:r>
      <w:r w:rsidRPr="00022F55">
        <w:rPr>
          <w:szCs w:val="22"/>
        </w:rPr>
        <w:t xml:space="preserve">  SCE Response to Protests and Replies, 6.</w:t>
      </w:r>
    </w:p>
  </w:footnote>
  <w:footnote w:id="935">
    <w:p w14:paraId="62241D1F" w14:textId="77777777" w:rsidR="00655890" w:rsidRPr="00BB0AA6" w:rsidRDefault="00655890" w:rsidP="000C1980">
      <w:pPr>
        <w:pStyle w:val="FootnoteText"/>
        <w:rPr>
          <w:szCs w:val="22"/>
        </w:rPr>
      </w:pPr>
      <w:r w:rsidRPr="00BB0AA6">
        <w:rPr>
          <w:rStyle w:val="FootnoteReference"/>
          <w:szCs w:val="22"/>
        </w:rPr>
        <w:footnoteRef/>
      </w:r>
      <w:r w:rsidRPr="00BB0AA6">
        <w:rPr>
          <w:szCs w:val="22"/>
        </w:rPr>
        <w:t xml:space="preserve">  SoCalGas Reply to Protests and Responses, 4.</w:t>
      </w:r>
    </w:p>
  </w:footnote>
  <w:footnote w:id="936">
    <w:p w14:paraId="1E7E14EA" w14:textId="18300517" w:rsidR="00655890" w:rsidRPr="00BB0AA6" w:rsidRDefault="00655890" w:rsidP="000C1980">
      <w:pPr>
        <w:pStyle w:val="FootnoteText"/>
        <w:rPr>
          <w:szCs w:val="22"/>
        </w:rPr>
      </w:pPr>
      <w:r w:rsidRPr="00BB0AA6">
        <w:rPr>
          <w:rStyle w:val="FootnoteReference"/>
          <w:szCs w:val="22"/>
        </w:rPr>
        <w:footnoteRef/>
      </w:r>
      <w:r w:rsidRPr="00BB0AA6">
        <w:rPr>
          <w:szCs w:val="22"/>
        </w:rPr>
        <w:t xml:space="preserve">  </w:t>
      </w:r>
      <w:r w:rsidR="001247A7" w:rsidRPr="00CB4AE6">
        <w:rPr>
          <w:i/>
          <w:iCs/>
        </w:rPr>
        <w:t>Id</w:t>
      </w:r>
      <w:r w:rsidR="001247A7">
        <w:t xml:space="preserve"> at </w:t>
      </w:r>
      <w:r w:rsidRPr="00BB0AA6">
        <w:rPr>
          <w:szCs w:val="22"/>
        </w:rPr>
        <w:t>4-5.</w:t>
      </w:r>
    </w:p>
  </w:footnote>
  <w:footnote w:id="937">
    <w:p w14:paraId="65F52900" w14:textId="05401315" w:rsidR="00655890" w:rsidRDefault="00655890" w:rsidP="000C1980">
      <w:pPr>
        <w:pStyle w:val="FootnoteText"/>
      </w:pPr>
      <w:r w:rsidRPr="00BB0AA6">
        <w:rPr>
          <w:rStyle w:val="FootnoteReference"/>
          <w:szCs w:val="22"/>
        </w:rPr>
        <w:footnoteRef/>
      </w:r>
      <w:r w:rsidRPr="00BB0AA6">
        <w:rPr>
          <w:szCs w:val="22"/>
        </w:rPr>
        <w:t xml:space="preserve">  </w:t>
      </w:r>
      <w:r w:rsidR="001247A7" w:rsidRPr="00CB4AE6">
        <w:rPr>
          <w:i/>
          <w:iCs/>
        </w:rPr>
        <w:t>Id</w:t>
      </w:r>
      <w:r w:rsidR="001247A7">
        <w:t xml:space="preserve"> at </w:t>
      </w:r>
      <w:r w:rsidRPr="00BB0AA6">
        <w:rPr>
          <w:szCs w:val="22"/>
        </w:rPr>
        <w:t>5.</w:t>
      </w:r>
    </w:p>
  </w:footnote>
  <w:footnote w:id="938">
    <w:p w14:paraId="0932D698" w14:textId="4DBBBA82" w:rsidR="00655890" w:rsidRPr="00BB0AA6" w:rsidRDefault="00655890" w:rsidP="000C1980">
      <w:pPr>
        <w:spacing w:after="120"/>
        <w:rPr>
          <w:sz w:val="22"/>
          <w:szCs w:val="22"/>
        </w:rPr>
      </w:pPr>
      <w:r w:rsidRPr="00BB0AA6">
        <w:rPr>
          <w:rStyle w:val="FootnoteReference"/>
          <w:sz w:val="22"/>
          <w:szCs w:val="22"/>
        </w:rPr>
        <w:footnoteRef/>
      </w:r>
      <w:r w:rsidRPr="00BB0AA6">
        <w:rPr>
          <w:sz w:val="22"/>
          <w:szCs w:val="22"/>
        </w:rPr>
        <w:t xml:space="preserve">  SDG&amp;E</w:t>
      </w:r>
      <w:r>
        <w:rPr>
          <w:sz w:val="22"/>
          <w:szCs w:val="22"/>
        </w:rPr>
        <w:t xml:space="preserve"> </w:t>
      </w:r>
      <w:r w:rsidRPr="00BB0AA6">
        <w:rPr>
          <w:sz w:val="22"/>
          <w:szCs w:val="22"/>
        </w:rPr>
        <w:t>Prepared Rebuttal Testimony of Sara Nordin</w:t>
      </w:r>
      <w:r>
        <w:rPr>
          <w:sz w:val="22"/>
          <w:szCs w:val="22"/>
        </w:rPr>
        <w:t>,</w:t>
      </w:r>
      <w:r w:rsidRPr="00BB0AA6">
        <w:rPr>
          <w:sz w:val="22"/>
          <w:szCs w:val="22"/>
        </w:rPr>
        <w:t xml:space="preserve"> </w:t>
      </w:r>
      <w:r>
        <w:rPr>
          <w:sz w:val="22"/>
          <w:szCs w:val="22"/>
        </w:rPr>
        <w:t>VII</w:t>
      </w:r>
      <w:r w:rsidRPr="00BB0AA6">
        <w:rPr>
          <w:sz w:val="22"/>
          <w:szCs w:val="22"/>
        </w:rPr>
        <w:t xml:space="preserve"> SN-ESA</w:t>
      </w:r>
      <w:r>
        <w:rPr>
          <w:sz w:val="22"/>
          <w:szCs w:val="22"/>
        </w:rPr>
        <w:t xml:space="preserve"> </w:t>
      </w:r>
      <w:r w:rsidRPr="00BB0AA6">
        <w:rPr>
          <w:sz w:val="22"/>
          <w:szCs w:val="22"/>
        </w:rPr>
        <w:t>26</w:t>
      </w:r>
      <w:r>
        <w:rPr>
          <w:sz w:val="22"/>
          <w:szCs w:val="22"/>
        </w:rPr>
        <w:t>.</w:t>
      </w:r>
    </w:p>
  </w:footnote>
  <w:footnote w:id="939">
    <w:p w14:paraId="7E5F46C7" w14:textId="77777777" w:rsidR="00655890" w:rsidRPr="00BB0AA6" w:rsidRDefault="00655890" w:rsidP="000C1980">
      <w:pPr>
        <w:pStyle w:val="FootnoteText"/>
        <w:rPr>
          <w:szCs w:val="22"/>
        </w:rPr>
      </w:pPr>
      <w:r w:rsidRPr="00BB0AA6">
        <w:rPr>
          <w:rStyle w:val="FootnoteReference"/>
          <w:szCs w:val="22"/>
        </w:rPr>
        <w:footnoteRef/>
      </w:r>
      <w:r w:rsidRPr="00BB0AA6">
        <w:rPr>
          <w:szCs w:val="22"/>
        </w:rPr>
        <w:t xml:space="preserve">  SDG&amp;E Reply to Protests and Responses, 4.</w:t>
      </w:r>
    </w:p>
  </w:footnote>
  <w:footnote w:id="940">
    <w:p w14:paraId="282B3E06" w14:textId="0628CA4C" w:rsidR="00655890" w:rsidRPr="00BB0AA6" w:rsidRDefault="00655890" w:rsidP="000C1980">
      <w:pPr>
        <w:pStyle w:val="FootnoteText"/>
        <w:rPr>
          <w:szCs w:val="22"/>
        </w:rPr>
      </w:pPr>
      <w:r w:rsidRPr="00BB0AA6">
        <w:rPr>
          <w:rStyle w:val="FootnoteReference"/>
          <w:szCs w:val="22"/>
        </w:rPr>
        <w:footnoteRef/>
      </w:r>
      <w:r w:rsidRPr="00BB0AA6">
        <w:rPr>
          <w:szCs w:val="22"/>
        </w:rPr>
        <w:t xml:space="preserve">  </w:t>
      </w:r>
      <w:r w:rsidR="001247A7" w:rsidRPr="00CB4AE6">
        <w:rPr>
          <w:i/>
          <w:iCs/>
        </w:rPr>
        <w:t>Id</w:t>
      </w:r>
      <w:r w:rsidR="001247A7">
        <w:t xml:space="preserve"> at </w:t>
      </w:r>
      <w:r w:rsidRPr="00BB0AA6">
        <w:rPr>
          <w:szCs w:val="22"/>
        </w:rPr>
        <w:t>4-5.</w:t>
      </w:r>
    </w:p>
  </w:footnote>
  <w:footnote w:id="941">
    <w:p w14:paraId="1DF73E3B" w14:textId="65E58BE4" w:rsidR="00655890" w:rsidRPr="00BB0AA6" w:rsidRDefault="00655890" w:rsidP="000C1980">
      <w:pPr>
        <w:pStyle w:val="FootnoteText"/>
        <w:rPr>
          <w:szCs w:val="22"/>
        </w:rPr>
      </w:pPr>
      <w:r w:rsidRPr="00BB0AA6">
        <w:rPr>
          <w:rStyle w:val="FootnoteReference"/>
          <w:szCs w:val="22"/>
        </w:rPr>
        <w:footnoteRef/>
      </w:r>
      <w:r w:rsidRPr="00BB0AA6">
        <w:rPr>
          <w:szCs w:val="22"/>
        </w:rPr>
        <w:t xml:space="preserve">  </w:t>
      </w:r>
      <w:r w:rsidR="001247A7" w:rsidRPr="00CB4AE6">
        <w:rPr>
          <w:i/>
          <w:iCs/>
        </w:rPr>
        <w:t>Id</w:t>
      </w:r>
      <w:r w:rsidR="001247A7">
        <w:t xml:space="preserve"> at </w:t>
      </w:r>
      <w:r w:rsidRPr="00BB0AA6">
        <w:rPr>
          <w:szCs w:val="22"/>
        </w:rPr>
        <w:t>5.</w:t>
      </w:r>
    </w:p>
  </w:footnote>
  <w:footnote w:id="942">
    <w:p w14:paraId="311B0CF0" w14:textId="32349234" w:rsidR="00655890" w:rsidRDefault="00655890" w:rsidP="000C1980">
      <w:pPr>
        <w:pStyle w:val="FootnoteText"/>
      </w:pPr>
      <w:r w:rsidRPr="00BB0AA6">
        <w:rPr>
          <w:rStyle w:val="FootnoteReference"/>
          <w:szCs w:val="22"/>
        </w:rPr>
        <w:footnoteRef/>
      </w:r>
      <w:r w:rsidRPr="00BB0AA6">
        <w:rPr>
          <w:szCs w:val="22"/>
        </w:rPr>
        <w:t xml:space="preserve">  </w:t>
      </w:r>
      <w:r w:rsidR="001247A7" w:rsidRPr="00CB4AE6">
        <w:rPr>
          <w:i/>
          <w:iCs/>
        </w:rPr>
        <w:t>Id</w:t>
      </w:r>
      <w:r w:rsidR="001247A7">
        <w:t xml:space="preserve"> at </w:t>
      </w:r>
      <w:r w:rsidRPr="00BB0AA6">
        <w:rPr>
          <w:szCs w:val="22"/>
        </w:rPr>
        <w:t>6.</w:t>
      </w:r>
    </w:p>
  </w:footnote>
  <w:footnote w:id="943">
    <w:p w14:paraId="75CC332B" w14:textId="77777777" w:rsidR="00655890" w:rsidRDefault="00655890" w:rsidP="000C1980">
      <w:pPr>
        <w:pStyle w:val="FootnoteText"/>
      </w:pPr>
      <w:r>
        <w:rPr>
          <w:rStyle w:val="FootnoteReference"/>
        </w:rPr>
        <w:footnoteRef/>
      </w:r>
      <w:r>
        <w:t xml:space="preserve">  MCE Reply to Protests and Responses, 2.</w:t>
      </w:r>
    </w:p>
  </w:footnote>
  <w:footnote w:id="944">
    <w:p w14:paraId="35D3EC9C" w14:textId="25D9AFB5" w:rsidR="00655890" w:rsidRDefault="00655890" w:rsidP="000C1980">
      <w:pPr>
        <w:pStyle w:val="FootnoteText"/>
      </w:pPr>
      <w:r>
        <w:rPr>
          <w:rStyle w:val="FootnoteReference"/>
        </w:rPr>
        <w:footnoteRef/>
      </w:r>
      <w:r>
        <w:t xml:space="preserve">  </w:t>
      </w:r>
      <w:r w:rsidR="00365047" w:rsidRPr="00620A2B">
        <w:rPr>
          <w:i/>
          <w:iCs/>
        </w:rPr>
        <w:t>Ibid.</w:t>
      </w:r>
    </w:p>
  </w:footnote>
  <w:footnote w:id="945">
    <w:p w14:paraId="1E28FD68" w14:textId="77777777" w:rsidR="00655890" w:rsidRDefault="00655890" w:rsidP="000C1980">
      <w:pPr>
        <w:pStyle w:val="FootnoteText"/>
      </w:pPr>
      <w:r>
        <w:rPr>
          <w:rStyle w:val="FootnoteReference"/>
        </w:rPr>
        <w:footnoteRef/>
      </w:r>
      <w:r>
        <w:t xml:space="preserve">  MCE Reply to Protests and Responses, 2.</w:t>
      </w:r>
    </w:p>
  </w:footnote>
  <w:footnote w:id="946">
    <w:p w14:paraId="258E455E" w14:textId="2B366BED" w:rsidR="00655890" w:rsidRDefault="00655890" w:rsidP="000C1980">
      <w:pPr>
        <w:pStyle w:val="FootnoteText"/>
      </w:pPr>
      <w:r>
        <w:rPr>
          <w:rStyle w:val="FootnoteReference"/>
        </w:rPr>
        <w:footnoteRef/>
      </w:r>
      <w:r>
        <w:t xml:space="preserve">  </w:t>
      </w:r>
      <w:r w:rsidR="001247A7" w:rsidRPr="00CB4AE6">
        <w:rPr>
          <w:i/>
          <w:iCs/>
        </w:rPr>
        <w:t>Id</w:t>
      </w:r>
      <w:r w:rsidR="001247A7">
        <w:t xml:space="preserve"> at </w:t>
      </w:r>
      <w:r>
        <w:t>3.</w:t>
      </w:r>
    </w:p>
  </w:footnote>
  <w:footnote w:id="947">
    <w:p w14:paraId="5E07DEAB" w14:textId="61D72D46" w:rsidR="00655890" w:rsidRDefault="00655890" w:rsidP="000C1980">
      <w:pPr>
        <w:pStyle w:val="FootnoteText"/>
      </w:pPr>
      <w:r>
        <w:rPr>
          <w:rStyle w:val="FootnoteReference"/>
        </w:rPr>
        <w:footnoteRef/>
      </w:r>
      <w:r>
        <w:t xml:space="preserve">  </w:t>
      </w:r>
      <w:r w:rsidR="001247A7" w:rsidRPr="00CB4AE6">
        <w:rPr>
          <w:i/>
          <w:iCs/>
        </w:rPr>
        <w:t>Id</w:t>
      </w:r>
      <w:r w:rsidR="001247A7">
        <w:t xml:space="preserve"> at </w:t>
      </w:r>
      <w:r>
        <w:t>6.</w:t>
      </w:r>
    </w:p>
  </w:footnote>
  <w:footnote w:id="948">
    <w:p w14:paraId="6EF636D0" w14:textId="16F0CFE4" w:rsidR="00655890" w:rsidRDefault="00655890" w:rsidP="000C1980">
      <w:pPr>
        <w:pStyle w:val="FootnoteText"/>
      </w:pPr>
      <w:r>
        <w:rPr>
          <w:rStyle w:val="FootnoteReference"/>
        </w:rPr>
        <w:footnoteRef/>
      </w:r>
      <w:r>
        <w:t xml:space="preserve">  </w:t>
      </w:r>
      <w:r w:rsidR="001247A7" w:rsidRPr="00CB4AE6">
        <w:rPr>
          <w:i/>
          <w:iCs/>
        </w:rPr>
        <w:t>Id</w:t>
      </w:r>
      <w:r w:rsidR="001247A7">
        <w:t xml:space="preserve"> at </w:t>
      </w:r>
      <w:r>
        <w:t>6-7.</w:t>
      </w:r>
    </w:p>
  </w:footnote>
  <w:footnote w:id="949">
    <w:p w14:paraId="76A1AA97" w14:textId="2F64222A" w:rsidR="00655890" w:rsidRDefault="00655890" w:rsidP="000C1980">
      <w:pPr>
        <w:pStyle w:val="FootnoteText"/>
      </w:pPr>
      <w:r>
        <w:rPr>
          <w:rStyle w:val="FootnoteReference"/>
        </w:rPr>
        <w:footnoteRef/>
      </w:r>
      <w:r>
        <w:t xml:space="preserve">  </w:t>
      </w:r>
      <w:r w:rsidR="001247A7" w:rsidRPr="00CB4AE6">
        <w:rPr>
          <w:i/>
          <w:iCs/>
        </w:rPr>
        <w:t>Id</w:t>
      </w:r>
      <w:r w:rsidR="001247A7">
        <w:t xml:space="preserve"> at </w:t>
      </w:r>
      <w:r>
        <w:t>1-2.</w:t>
      </w:r>
    </w:p>
  </w:footnote>
  <w:footnote w:id="950">
    <w:p w14:paraId="331A6BC0" w14:textId="77777777" w:rsidR="00655890" w:rsidRDefault="00655890" w:rsidP="000C1980">
      <w:pPr>
        <w:pStyle w:val="FootnoteText"/>
      </w:pPr>
      <w:r>
        <w:rPr>
          <w:rStyle w:val="FootnoteReference"/>
        </w:rPr>
        <w:footnoteRef/>
      </w:r>
      <w:r>
        <w:t xml:space="preserve">  PG&amp;E Response to MCE Application, 4.</w:t>
      </w:r>
    </w:p>
  </w:footnote>
  <w:footnote w:id="951">
    <w:p w14:paraId="17A47932" w14:textId="77777777" w:rsidR="00655890" w:rsidRDefault="00655890" w:rsidP="000C1980">
      <w:pPr>
        <w:pStyle w:val="FootnoteText"/>
      </w:pPr>
      <w:r>
        <w:rPr>
          <w:rStyle w:val="FootnoteReference"/>
        </w:rPr>
        <w:footnoteRef/>
      </w:r>
      <w:r>
        <w:t xml:space="preserve">  MCE Reply to Protests and Responses, 5.</w:t>
      </w:r>
    </w:p>
  </w:footnote>
  <w:footnote w:id="952">
    <w:p w14:paraId="1BCA41D7" w14:textId="2F7F71E9" w:rsidR="00655890" w:rsidRDefault="00655890" w:rsidP="000C1980">
      <w:pPr>
        <w:pStyle w:val="FootnoteText"/>
      </w:pPr>
      <w:r>
        <w:rPr>
          <w:rStyle w:val="FootnoteReference"/>
        </w:rPr>
        <w:footnoteRef/>
      </w:r>
      <w:r>
        <w:t xml:space="preserve">  </w:t>
      </w:r>
      <w:r w:rsidR="00584CC7" w:rsidRPr="00620A2B">
        <w:rPr>
          <w:i/>
          <w:iCs/>
          <w:szCs w:val="22"/>
        </w:rPr>
        <w:t>Ibid</w:t>
      </w:r>
      <w:r w:rsidR="00584CC7" w:rsidRPr="00620A2B">
        <w:rPr>
          <w:szCs w:val="22"/>
        </w:rPr>
        <w:t>.</w:t>
      </w:r>
    </w:p>
  </w:footnote>
  <w:footnote w:id="953">
    <w:p w14:paraId="394CA44E" w14:textId="77777777" w:rsidR="00655890" w:rsidRDefault="00655890" w:rsidP="000C1980">
      <w:pPr>
        <w:pStyle w:val="FootnoteText"/>
      </w:pPr>
      <w:r>
        <w:rPr>
          <w:rStyle w:val="FootnoteReference"/>
        </w:rPr>
        <w:footnoteRef/>
      </w:r>
      <w:r>
        <w:t xml:space="preserve">  MCE Reply to Protests and Responses, 5-6.</w:t>
      </w:r>
    </w:p>
  </w:footnote>
  <w:footnote w:id="954">
    <w:p w14:paraId="0C181541" w14:textId="77777777" w:rsidR="00655890" w:rsidRDefault="00655890" w:rsidP="00156653">
      <w:pPr>
        <w:pStyle w:val="FootnoteText"/>
      </w:pPr>
      <w:r w:rsidRPr="7004FDA8">
        <w:rPr>
          <w:rStyle w:val="FootnoteReference"/>
        </w:rPr>
        <w:footnoteRef/>
      </w:r>
      <w:r>
        <w:t xml:space="preserve"> IOUs were directed in D.18-01-004 to create a pool of qualified IEs for the third-party solicitations within the main Energy Efficiency Portfolios. </w:t>
      </w:r>
    </w:p>
  </w:footnote>
  <w:footnote w:id="955">
    <w:p w14:paraId="12F4196F" w14:textId="35EEF72D" w:rsidR="00655890" w:rsidRPr="001134B0" w:rsidRDefault="00655890" w:rsidP="00156653">
      <w:pPr>
        <w:pStyle w:val="FootnoteText"/>
        <w:rPr>
          <w:rFonts w:eastAsia="Book Antiqua" w:cs="Book Antiqua"/>
          <w:color w:val="D13438"/>
          <w:szCs w:val="22"/>
        </w:rPr>
      </w:pPr>
      <w:r w:rsidRPr="7004FDA8">
        <w:rPr>
          <w:rStyle w:val="FootnoteReference"/>
        </w:rPr>
        <w:footnoteRef/>
      </w:r>
      <w:r>
        <w:t xml:space="preserve"> </w:t>
      </w:r>
      <w:r w:rsidRPr="001134B0">
        <w:rPr>
          <w:rFonts w:eastAsia="Book Antiqua" w:cs="Book Antiqua"/>
          <w:szCs w:val="22"/>
        </w:rPr>
        <w:t>SoCalGas Testimony (Rendler), 11.</w:t>
      </w:r>
    </w:p>
  </w:footnote>
  <w:footnote w:id="956">
    <w:p w14:paraId="5AD59353" w14:textId="3F171184" w:rsidR="00655890" w:rsidRDefault="00655890" w:rsidP="00BF7DC7">
      <w:pPr>
        <w:pStyle w:val="FootnoteText"/>
      </w:pPr>
      <w:r>
        <w:rPr>
          <w:rStyle w:val="FootnoteReference"/>
        </w:rPr>
        <w:footnoteRef/>
      </w:r>
      <w:r>
        <w:t xml:space="preserve"> </w:t>
      </w:r>
      <w:r w:rsidR="00F35407">
        <w:t xml:space="preserve"> </w:t>
      </w:r>
      <w:r>
        <w:t xml:space="preserve">Programs could include those offered by utilities, Regional Energy Networks, Community Choice Aggregators, </w:t>
      </w:r>
      <w:r w:rsidR="00FD67E4">
        <w:t xml:space="preserve">Municipal Utilities, </w:t>
      </w:r>
      <w:r>
        <w:t>and other California agencies.</w:t>
      </w:r>
      <w:r w:rsidR="00F94C50">
        <w:t xml:space="preserve"> </w:t>
      </w:r>
      <w:r w:rsidR="00F94C50" w:rsidRPr="00F94C50">
        <w:t xml:space="preserve">They may include services like customer generation, efficiency, etc. </w:t>
      </w:r>
    </w:p>
  </w:footnote>
  <w:footnote w:id="957">
    <w:p w14:paraId="4C481DF3" w14:textId="2B8D4D0B" w:rsidR="00655890" w:rsidRDefault="00655890" w:rsidP="000C1980">
      <w:pPr>
        <w:pStyle w:val="FootnoteText"/>
      </w:pPr>
      <w:r>
        <w:rPr>
          <w:rStyle w:val="FootnoteReference"/>
        </w:rPr>
        <w:footnoteRef/>
      </w:r>
      <w:r>
        <w:t xml:space="preserve">  D.16-11-002, Section 3.9.3, page 213; modified by D.17-12-009.</w:t>
      </w:r>
    </w:p>
  </w:footnote>
  <w:footnote w:id="958">
    <w:p w14:paraId="05B1D669" w14:textId="7307D3F6" w:rsidR="00655890" w:rsidRPr="00AA715F" w:rsidRDefault="00655890" w:rsidP="000C1980">
      <w:pPr>
        <w:rPr>
          <w:rFonts w:eastAsia="Book Antiqua" w:cs="Book Antiqua"/>
          <w:sz w:val="22"/>
          <w:szCs w:val="22"/>
        </w:rPr>
      </w:pPr>
      <w:r w:rsidRPr="001134B0">
        <w:rPr>
          <w:rStyle w:val="FootnoteReference"/>
          <w:sz w:val="22"/>
        </w:rPr>
        <w:footnoteRef/>
      </w:r>
      <w:r>
        <w:t xml:space="preserve"> </w:t>
      </w:r>
      <w:r w:rsidR="00F35407">
        <w:t xml:space="preserve"> </w:t>
      </w:r>
      <w:r w:rsidRPr="00AA715F">
        <w:rPr>
          <w:rFonts w:eastAsia="Book Antiqua" w:cs="Book Antiqua"/>
          <w:sz w:val="22"/>
          <w:szCs w:val="22"/>
        </w:rPr>
        <w:t>D.16-11-022, modified by D.17-12-009, OP 44</w:t>
      </w:r>
      <w:r>
        <w:rPr>
          <w:rFonts w:eastAsia="Book Antiqua" w:cs="Book Antiqua"/>
          <w:sz w:val="22"/>
          <w:szCs w:val="22"/>
        </w:rPr>
        <w:t>.</w:t>
      </w:r>
    </w:p>
  </w:footnote>
  <w:footnote w:id="959">
    <w:p w14:paraId="127B3989" w14:textId="33CCE597" w:rsidR="00655890" w:rsidRDefault="00655890" w:rsidP="000C1980">
      <w:pPr>
        <w:pStyle w:val="FootnoteText"/>
      </w:pPr>
      <w:r>
        <w:rPr>
          <w:rStyle w:val="FootnoteReference"/>
        </w:rPr>
        <w:footnoteRef/>
      </w:r>
      <w:r>
        <w:t xml:space="preserve">  D.17-12-009, 185.</w:t>
      </w:r>
    </w:p>
  </w:footnote>
  <w:footnote w:id="960">
    <w:p w14:paraId="1C5B09E0" w14:textId="590314DB" w:rsidR="00655890" w:rsidRPr="00F35407" w:rsidRDefault="00655890" w:rsidP="000C1980">
      <w:pPr>
        <w:rPr>
          <w:sz w:val="22"/>
          <w:szCs w:val="22"/>
        </w:rPr>
      </w:pPr>
      <w:r w:rsidRPr="00F35407">
        <w:rPr>
          <w:sz w:val="22"/>
          <w:szCs w:val="22"/>
          <w:vertAlign w:val="superscript"/>
        </w:rPr>
        <w:footnoteRef/>
      </w:r>
      <w:r w:rsidRPr="00F35407">
        <w:rPr>
          <w:sz w:val="22"/>
          <w:szCs w:val="22"/>
          <w:vertAlign w:val="superscript"/>
        </w:rPr>
        <w:t xml:space="preserve">  </w:t>
      </w:r>
      <w:r w:rsidRPr="00F35407">
        <w:rPr>
          <w:sz w:val="22"/>
          <w:szCs w:val="22"/>
        </w:rPr>
        <w:t>Joint Parties Rebuttal Testimony, Exhibit A.</w:t>
      </w:r>
    </w:p>
  </w:footnote>
  <w:footnote w:id="961">
    <w:p w14:paraId="6B968654" w14:textId="77777777" w:rsidR="00655890" w:rsidRPr="00F35407" w:rsidRDefault="00655890" w:rsidP="000C1980">
      <w:pPr>
        <w:pStyle w:val="FootnoteText"/>
        <w:rPr>
          <w:szCs w:val="22"/>
        </w:rPr>
      </w:pPr>
      <w:r w:rsidRPr="00F35407">
        <w:rPr>
          <w:rStyle w:val="FootnoteReference"/>
          <w:szCs w:val="22"/>
        </w:rPr>
        <w:footnoteRef/>
      </w:r>
      <w:r w:rsidRPr="00F35407">
        <w:rPr>
          <w:szCs w:val="22"/>
        </w:rPr>
        <w:t xml:space="preserve">  D.18-12-015 set requirements for the San Joaquin Valley Pilots and requires IOUs to enact agreements with participating property owners to not increase rents or evict tenants because of participation. Ordering Paragraph 12(e).</w:t>
      </w:r>
    </w:p>
  </w:footnote>
  <w:footnote w:id="962">
    <w:p w14:paraId="08AC27F3" w14:textId="77777777" w:rsidR="00655890" w:rsidRPr="005B1F4C" w:rsidRDefault="00655890" w:rsidP="000C1980">
      <w:pPr>
        <w:spacing w:after="120"/>
        <w:rPr>
          <w:sz w:val="22"/>
          <w:szCs w:val="22"/>
        </w:rPr>
      </w:pPr>
      <w:r w:rsidRPr="00F35407">
        <w:rPr>
          <w:sz w:val="22"/>
          <w:szCs w:val="22"/>
          <w:vertAlign w:val="superscript"/>
        </w:rPr>
        <w:footnoteRef/>
      </w:r>
      <w:r w:rsidRPr="00F35407">
        <w:rPr>
          <w:sz w:val="22"/>
          <w:szCs w:val="22"/>
          <w:vertAlign w:val="superscript"/>
        </w:rPr>
        <w:t xml:space="preserve">  </w:t>
      </w:r>
      <w:r w:rsidRPr="00F35407">
        <w:rPr>
          <w:rFonts w:eastAsia="Garamond" w:cs="Garamond"/>
          <w:color w:val="000000" w:themeColor="text1"/>
          <w:sz w:val="22"/>
          <w:szCs w:val="22"/>
        </w:rPr>
        <w:t>EEC recommended that incentives over $10,000 for a non-deed restricted (NDR) have a lien placed on its property for at least 5 years with enforceable rent restrictions (Opening Brief, at page 11). A similar recommendation was brought forward for Resolution E-5043, but the Commission declined to move forward with liens as it was determined to be overly burdensome.</w:t>
      </w:r>
    </w:p>
  </w:footnote>
  <w:footnote w:id="963">
    <w:p w14:paraId="0819EB61" w14:textId="12C07B35" w:rsidR="00FA5C03" w:rsidRDefault="00FA5C03">
      <w:pPr>
        <w:pStyle w:val="FootnoteText"/>
      </w:pPr>
      <w:r>
        <w:rPr>
          <w:rStyle w:val="FootnoteReference"/>
        </w:rPr>
        <w:footnoteRef/>
      </w:r>
      <w:r>
        <w:t xml:space="preserve"> </w:t>
      </w:r>
      <w:r w:rsidRPr="00FA5C03">
        <w:t xml:space="preserve">For the remainder of </w:t>
      </w:r>
      <w:r w:rsidR="00756114">
        <w:t xml:space="preserve">PY </w:t>
      </w:r>
      <w:r w:rsidRPr="00FA5C03">
        <w:t>2021, the IOU multifamily household treatment levels are included in the</w:t>
      </w:r>
      <w:r>
        <w:t xml:space="preserve"> overall </w:t>
      </w:r>
      <w:r w:rsidR="004655CC">
        <w:t>household treatment levels approved for the 2021 bridge period per Section 6.</w:t>
      </w:r>
      <w:r w:rsidR="00EC669C">
        <w:t>9.8.1</w:t>
      </w:r>
      <w:r w:rsidR="004655CC">
        <w:t xml:space="preserve">.  </w:t>
      </w:r>
      <w:r w:rsidRPr="00FA5C03">
        <w:t xml:space="preserve">  </w:t>
      </w:r>
    </w:p>
  </w:footnote>
  <w:footnote w:id="964">
    <w:p w14:paraId="4F854A40" w14:textId="77777777" w:rsidR="00655890" w:rsidRPr="000E6914" w:rsidRDefault="00655890" w:rsidP="000C1980">
      <w:pPr>
        <w:pStyle w:val="FootnoteText"/>
        <w:rPr>
          <w:szCs w:val="22"/>
        </w:rPr>
      </w:pPr>
      <w:r w:rsidRPr="000E6914">
        <w:rPr>
          <w:rStyle w:val="FootnoteReference"/>
          <w:szCs w:val="22"/>
        </w:rPr>
        <w:footnoteRef/>
      </w:r>
      <w:r w:rsidRPr="000E6914">
        <w:rPr>
          <w:szCs w:val="22"/>
        </w:rPr>
        <w:t xml:space="preserve"> </w:t>
      </w:r>
      <w:r>
        <w:rPr>
          <w:szCs w:val="22"/>
        </w:rPr>
        <w:t xml:space="preserve"> </w:t>
      </w:r>
      <w:r w:rsidRPr="000E6914">
        <w:rPr>
          <w:szCs w:val="22"/>
        </w:rPr>
        <w:t>This assumes that 50 percent of the units estimated to be treated by SCE will also be treated by SoCalGas.</w:t>
      </w:r>
    </w:p>
  </w:footnote>
  <w:footnote w:id="965">
    <w:p w14:paraId="4C88C183" w14:textId="57D7FBB2" w:rsidR="00464EAF" w:rsidRPr="00F35407" w:rsidRDefault="00464EAF">
      <w:pPr>
        <w:pStyle w:val="FootnoteText"/>
        <w:rPr>
          <w:szCs w:val="22"/>
        </w:rPr>
      </w:pPr>
      <w:r w:rsidRPr="00F35407">
        <w:rPr>
          <w:rStyle w:val="FootnoteReference"/>
          <w:szCs w:val="22"/>
        </w:rPr>
        <w:footnoteRef/>
      </w:r>
      <w:r w:rsidRPr="00F35407">
        <w:rPr>
          <w:szCs w:val="22"/>
        </w:rPr>
        <w:t xml:space="preserve"> </w:t>
      </w:r>
      <w:r w:rsidR="00F35407" w:rsidRPr="00F35407">
        <w:rPr>
          <w:szCs w:val="22"/>
        </w:rPr>
        <w:t xml:space="preserve"> </w:t>
      </w:r>
      <w:r w:rsidRPr="00F35407">
        <w:rPr>
          <w:szCs w:val="22"/>
        </w:rPr>
        <w:t xml:space="preserve">For the remainder of </w:t>
      </w:r>
      <w:r w:rsidR="007E0EDA" w:rsidRPr="00F35407">
        <w:rPr>
          <w:szCs w:val="22"/>
        </w:rPr>
        <w:t>PY</w:t>
      </w:r>
      <w:r w:rsidRPr="00F35407">
        <w:rPr>
          <w:szCs w:val="22"/>
        </w:rPr>
        <w:t xml:space="preserve"> 2021, the IOU multifamily budgets are included in the overall </w:t>
      </w:r>
      <w:r w:rsidR="007E0EDA" w:rsidRPr="00F35407">
        <w:rPr>
          <w:szCs w:val="22"/>
        </w:rPr>
        <w:t xml:space="preserve">budgets </w:t>
      </w:r>
      <w:r w:rsidRPr="00F35407">
        <w:rPr>
          <w:szCs w:val="22"/>
        </w:rPr>
        <w:t>approved for the 2021 bridge period per Section 6.</w:t>
      </w:r>
      <w:r w:rsidR="003219F7" w:rsidRPr="00F35407">
        <w:rPr>
          <w:szCs w:val="22"/>
        </w:rPr>
        <w:t>15</w:t>
      </w:r>
      <w:r w:rsidRPr="00F35407">
        <w:rPr>
          <w:szCs w:val="22"/>
        </w:rPr>
        <w:t xml:space="preserve">.8.1.    </w:t>
      </w:r>
    </w:p>
  </w:footnote>
  <w:footnote w:id="966">
    <w:p w14:paraId="3C82FFDD" w14:textId="77777777" w:rsidR="00AD4504" w:rsidRDefault="00AD4504" w:rsidP="00AD4504">
      <w:pPr>
        <w:pStyle w:val="FootnoteText"/>
      </w:pPr>
      <w:r>
        <w:rPr>
          <w:rStyle w:val="FootnoteReference"/>
        </w:rPr>
        <w:footnoteRef/>
      </w:r>
      <w:r>
        <w:t xml:space="preserve">  PG&amp;E multifamily Sector PY 2021 and PY 2022 funding includes their estimated portion of ESA in-unit expenses and includes SPOC.</w:t>
      </w:r>
    </w:p>
  </w:footnote>
  <w:footnote w:id="967">
    <w:p w14:paraId="56B06F39" w14:textId="77777777" w:rsidR="00655890" w:rsidRDefault="00655890" w:rsidP="000C1980">
      <w:pPr>
        <w:pStyle w:val="FootnoteText"/>
      </w:pPr>
      <w:r>
        <w:rPr>
          <w:rStyle w:val="FootnoteReference"/>
        </w:rPr>
        <w:footnoteRef/>
      </w:r>
      <w:r>
        <w:t xml:space="preserve">  D.18-05-041, page 72, states "</w:t>
      </w:r>
      <w:r w:rsidRPr="008E2CEB">
        <w:t xml:space="preserve"> D.16 08 019 addressed the issue of allocation of savings credit for statewide programs based on budget contributed by each IOU PA.  We clarify that this means that credit for energy savings generated will be based on funding contributed only, and not in relation to the geographic region in which the energy efficiency measure was sold or installed.</w:t>
      </w:r>
      <w:r>
        <w:t>”</w:t>
      </w:r>
    </w:p>
  </w:footnote>
  <w:footnote w:id="968">
    <w:p w14:paraId="49A7B36D" w14:textId="15CBD5BF" w:rsidR="00655890" w:rsidRDefault="00655890" w:rsidP="000C1980">
      <w:pPr>
        <w:spacing w:after="120"/>
      </w:pPr>
      <w:r w:rsidRPr="00277860">
        <w:rPr>
          <w:rStyle w:val="FootnoteReference"/>
          <w:sz w:val="22"/>
        </w:rPr>
        <w:footnoteRef/>
      </w:r>
      <w:r>
        <w:t xml:space="preserve">  </w:t>
      </w:r>
      <w:r w:rsidRPr="00277860">
        <w:rPr>
          <w:sz w:val="22"/>
        </w:rPr>
        <w:t>D</w:t>
      </w:r>
      <w:r>
        <w:rPr>
          <w:sz w:val="22"/>
        </w:rPr>
        <w:t>.</w:t>
      </w:r>
      <w:r w:rsidRPr="00277860">
        <w:rPr>
          <w:sz w:val="22"/>
        </w:rPr>
        <w:t>17-12-009</w:t>
      </w:r>
      <w:r>
        <w:rPr>
          <w:sz w:val="22"/>
        </w:rPr>
        <w:t xml:space="preserve">, </w:t>
      </w:r>
      <w:r w:rsidRPr="00277860">
        <w:rPr>
          <w:sz w:val="22"/>
        </w:rPr>
        <w:t>213</w:t>
      </w:r>
      <w:r>
        <w:rPr>
          <w:sz w:val="22"/>
        </w:rPr>
        <w:t>.</w:t>
      </w:r>
    </w:p>
  </w:footnote>
  <w:footnote w:id="969">
    <w:p w14:paraId="419B2EA5" w14:textId="5389038A" w:rsidR="00655890" w:rsidRPr="000E6914" w:rsidRDefault="00655890" w:rsidP="000C1980">
      <w:pPr>
        <w:pStyle w:val="FootnoteText"/>
        <w:rPr>
          <w:szCs w:val="22"/>
        </w:rPr>
      </w:pPr>
      <w:r w:rsidRPr="000E6914">
        <w:rPr>
          <w:rStyle w:val="FootnoteReference"/>
          <w:szCs w:val="22"/>
        </w:rPr>
        <w:footnoteRef/>
      </w:r>
      <w:r w:rsidRPr="000E6914">
        <w:rPr>
          <w:szCs w:val="22"/>
        </w:rPr>
        <w:t xml:space="preserve">  D.17-12-009</w:t>
      </w:r>
      <w:r>
        <w:rPr>
          <w:szCs w:val="22"/>
        </w:rPr>
        <w:t>,</w:t>
      </w:r>
      <w:r w:rsidRPr="000E6914">
        <w:rPr>
          <w:szCs w:val="22"/>
        </w:rPr>
        <w:t xml:space="preserve"> 196. </w:t>
      </w:r>
    </w:p>
  </w:footnote>
  <w:footnote w:id="970">
    <w:p w14:paraId="795945CE" w14:textId="6D622F0A" w:rsidR="00655890" w:rsidRDefault="00655890" w:rsidP="000C1980">
      <w:pPr>
        <w:spacing w:after="120"/>
      </w:pPr>
      <w:r w:rsidRPr="000E6914">
        <w:rPr>
          <w:sz w:val="22"/>
          <w:szCs w:val="22"/>
          <w:vertAlign w:val="superscript"/>
        </w:rPr>
        <w:footnoteRef/>
      </w:r>
      <w:r w:rsidRPr="000E6914">
        <w:rPr>
          <w:sz w:val="22"/>
          <w:szCs w:val="22"/>
        </w:rPr>
        <w:t xml:space="preserve">  D.16-11-022, modified by D.17-12-009, 212</w:t>
      </w:r>
      <w:r>
        <w:rPr>
          <w:sz w:val="22"/>
          <w:szCs w:val="22"/>
        </w:rPr>
        <w:t>.</w:t>
      </w:r>
    </w:p>
  </w:footnote>
  <w:footnote w:id="971">
    <w:p w14:paraId="70D7F62E" w14:textId="012FA5E1" w:rsidR="00655890" w:rsidRPr="000E6914" w:rsidRDefault="00655890" w:rsidP="000C1980">
      <w:pPr>
        <w:spacing w:after="120"/>
        <w:rPr>
          <w:sz w:val="22"/>
          <w:szCs w:val="22"/>
        </w:rPr>
      </w:pPr>
      <w:r w:rsidRPr="000E6914">
        <w:rPr>
          <w:sz w:val="22"/>
          <w:szCs w:val="22"/>
          <w:vertAlign w:val="superscript"/>
        </w:rPr>
        <w:footnoteRef/>
      </w:r>
      <w:r w:rsidRPr="000E6914">
        <w:rPr>
          <w:sz w:val="22"/>
          <w:szCs w:val="22"/>
        </w:rPr>
        <w:t xml:space="preserve">  Hsu, Jeneille, CalPA, Testimony, 11-12</w:t>
      </w:r>
      <w:r>
        <w:rPr>
          <w:sz w:val="22"/>
          <w:szCs w:val="22"/>
        </w:rPr>
        <w:t>.</w:t>
      </w:r>
    </w:p>
  </w:footnote>
  <w:footnote w:id="972">
    <w:p w14:paraId="280C36C7" w14:textId="6A013C89" w:rsidR="00655890" w:rsidRPr="000E6914" w:rsidRDefault="00655890" w:rsidP="000C1980">
      <w:pPr>
        <w:spacing w:after="120"/>
        <w:rPr>
          <w:sz w:val="22"/>
          <w:szCs w:val="22"/>
        </w:rPr>
      </w:pPr>
      <w:r w:rsidRPr="000E6914">
        <w:rPr>
          <w:sz w:val="22"/>
          <w:szCs w:val="22"/>
          <w:vertAlign w:val="superscript"/>
        </w:rPr>
        <w:footnoteRef/>
      </w:r>
      <w:r w:rsidRPr="000E6914">
        <w:rPr>
          <w:sz w:val="22"/>
          <w:szCs w:val="22"/>
        </w:rPr>
        <w:t xml:space="preserve">  MCE Rebuttal Testimony, </w:t>
      </w:r>
      <w:r>
        <w:rPr>
          <w:sz w:val="22"/>
          <w:szCs w:val="22"/>
        </w:rPr>
        <w:t>1</w:t>
      </w:r>
      <w:r w:rsidRPr="000E6914">
        <w:rPr>
          <w:sz w:val="22"/>
          <w:szCs w:val="22"/>
        </w:rPr>
        <w:t>0 Figure 1</w:t>
      </w:r>
      <w:r>
        <w:rPr>
          <w:sz w:val="22"/>
          <w:szCs w:val="22"/>
        </w:rPr>
        <w:t>.</w:t>
      </w:r>
    </w:p>
  </w:footnote>
  <w:footnote w:id="973">
    <w:p w14:paraId="779E31B4" w14:textId="77777777" w:rsidR="00655890" w:rsidRDefault="00655890" w:rsidP="000C1980">
      <w:pPr>
        <w:pStyle w:val="FootnoteText"/>
      </w:pPr>
      <w:r w:rsidRPr="000E6914">
        <w:rPr>
          <w:rStyle w:val="FootnoteReference"/>
          <w:szCs w:val="22"/>
        </w:rPr>
        <w:footnoteRef/>
      </w:r>
      <w:r w:rsidRPr="000E6914">
        <w:rPr>
          <w:szCs w:val="22"/>
        </w:rPr>
        <w:t xml:space="preserve">  PG&amp;E monthly reports from PYs 2016-2020.</w:t>
      </w:r>
      <w:r>
        <w:t xml:space="preserve"> </w:t>
      </w:r>
      <w:r w:rsidRPr="00B4654B">
        <w:t xml:space="preserve"> </w:t>
      </w:r>
    </w:p>
  </w:footnote>
  <w:footnote w:id="974">
    <w:p w14:paraId="0AE5B630" w14:textId="03A6EB6E" w:rsidR="00655890" w:rsidRPr="000E6914" w:rsidRDefault="00655890" w:rsidP="000C1980">
      <w:pPr>
        <w:spacing w:after="120"/>
        <w:rPr>
          <w:sz w:val="22"/>
          <w:szCs w:val="22"/>
        </w:rPr>
      </w:pPr>
      <w:r w:rsidRPr="000E6914">
        <w:rPr>
          <w:sz w:val="22"/>
          <w:szCs w:val="22"/>
          <w:vertAlign w:val="superscript"/>
        </w:rPr>
        <w:footnoteRef/>
      </w:r>
      <w:r w:rsidRPr="000E6914">
        <w:rPr>
          <w:sz w:val="22"/>
          <w:szCs w:val="22"/>
          <w:vertAlign w:val="superscript"/>
        </w:rPr>
        <w:t xml:space="preserve">  </w:t>
      </w:r>
      <w:r w:rsidRPr="000E6914">
        <w:rPr>
          <w:sz w:val="22"/>
          <w:szCs w:val="22"/>
        </w:rPr>
        <w:t>Hsu, Jeneille, CalPA, Testimony</w:t>
      </w:r>
      <w:r>
        <w:rPr>
          <w:sz w:val="22"/>
          <w:szCs w:val="22"/>
        </w:rPr>
        <w:t xml:space="preserve">, </w:t>
      </w:r>
      <w:r w:rsidRPr="000E6914">
        <w:rPr>
          <w:sz w:val="22"/>
          <w:szCs w:val="22"/>
        </w:rPr>
        <w:t>13-14.</w:t>
      </w:r>
    </w:p>
  </w:footnote>
  <w:footnote w:id="975">
    <w:p w14:paraId="298B0337" w14:textId="77777777" w:rsidR="00655890" w:rsidRPr="000E6914" w:rsidRDefault="00655890" w:rsidP="000C1980">
      <w:pPr>
        <w:pStyle w:val="FootnoteText"/>
        <w:rPr>
          <w:szCs w:val="22"/>
        </w:rPr>
      </w:pPr>
      <w:r w:rsidRPr="000E6914">
        <w:rPr>
          <w:rStyle w:val="FootnoteReference"/>
          <w:szCs w:val="22"/>
        </w:rPr>
        <w:footnoteRef/>
      </w:r>
      <w:r w:rsidRPr="000E6914">
        <w:rPr>
          <w:szCs w:val="22"/>
        </w:rPr>
        <w:t xml:space="preserve">  The FST Guidance on CET calculations may have limited application for the purposes of calculating ESACET scores. Consult with Energy Division for clarification if needed. </w:t>
      </w:r>
    </w:p>
  </w:footnote>
  <w:footnote w:id="976">
    <w:p w14:paraId="55071C29" w14:textId="35A2909C" w:rsidR="00655890" w:rsidRDefault="00655890" w:rsidP="000C1980">
      <w:pPr>
        <w:pStyle w:val="FootnoteText"/>
      </w:pPr>
      <w:r w:rsidRPr="000E6914">
        <w:rPr>
          <w:rStyle w:val="FootnoteReference"/>
          <w:szCs w:val="22"/>
        </w:rPr>
        <w:footnoteRef/>
      </w:r>
      <w:r w:rsidRPr="000E6914">
        <w:rPr>
          <w:szCs w:val="22"/>
        </w:rPr>
        <w:t xml:space="preserve">  MCE Application, 16-17.</w:t>
      </w:r>
    </w:p>
  </w:footnote>
  <w:footnote w:id="977">
    <w:p w14:paraId="0CD0402B" w14:textId="4741CA84" w:rsidR="00655890" w:rsidRDefault="00655890" w:rsidP="000C1980">
      <w:pPr>
        <w:pStyle w:val="FootnoteText"/>
      </w:pPr>
      <w:r>
        <w:rPr>
          <w:rStyle w:val="FootnoteReference"/>
        </w:rPr>
        <w:footnoteRef/>
      </w:r>
      <w:r>
        <w:t xml:space="preserve">  TURN </w:t>
      </w:r>
      <w:r w:rsidRPr="00116F2D">
        <w:t>Testimony of Alice Napoleon</w:t>
      </w:r>
      <w:r>
        <w:t>, 4</w:t>
      </w:r>
      <w:r w:rsidR="00770F6E">
        <w:t>0</w:t>
      </w:r>
      <w:r>
        <w:t>-42.</w:t>
      </w:r>
    </w:p>
  </w:footnote>
  <w:footnote w:id="978">
    <w:p w14:paraId="2C3A5AFC" w14:textId="7282B7A9" w:rsidR="00655890" w:rsidRPr="00F35407" w:rsidRDefault="00655890" w:rsidP="000C1980">
      <w:pPr>
        <w:pStyle w:val="FootnoteText"/>
        <w:rPr>
          <w:szCs w:val="22"/>
        </w:rPr>
      </w:pPr>
      <w:r w:rsidRPr="00F35407">
        <w:rPr>
          <w:rStyle w:val="FootnoteReference"/>
          <w:szCs w:val="22"/>
        </w:rPr>
        <w:footnoteRef/>
      </w:r>
      <w:r w:rsidRPr="00F35407">
        <w:rPr>
          <w:szCs w:val="22"/>
        </w:rPr>
        <w:t xml:space="preserve">  PG&amp;E Testimony I-172, SoCalGas Testimony of Mark Aguirre and Erin Brooks, 144.</w:t>
      </w:r>
    </w:p>
  </w:footnote>
  <w:footnote w:id="979">
    <w:p w14:paraId="55C13336" w14:textId="4202FFBF" w:rsidR="00655890" w:rsidRDefault="00655890" w:rsidP="000C1980">
      <w:pPr>
        <w:pStyle w:val="FootnoteText"/>
      </w:pPr>
      <w:r w:rsidRPr="00F35407">
        <w:rPr>
          <w:rStyle w:val="FootnoteReference"/>
          <w:szCs w:val="22"/>
        </w:rPr>
        <w:footnoteRef/>
      </w:r>
      <w:r w:rsidRPr="00F35407">
        <w:rPr>
          <w:szCs w:val="22"/>
        </w:rPr>
        <w:t xml:space="preserve">  </w:t>
      </w:r>
      <w:r w:rsidR="00653B43" w:rsidRPr="00F35407">
        <w:rPr>
          <w:i/>
          <w:iCs/>
          <w:szCs w:val="22"/>
        </w:rPr>
        <w:t>Id</w:t>
      </w:r>
      <w:r w:rsidR="00653B43" w:rsidRPr="00F35407">
        <w:rPr>
          <w:szCs w:val="22"/>
        </w:rPr>
        <w:t xml:space="preserve"> at </w:t>
      </w:r>
      <w:r w:rsidRPr="00F35407">
        <w:rPr>
          <w:szCs w:val="22"/>
        </w:rPr>
        <w:t>II-23.</w:t>
      </w:r>
    </w:p>
  </w:footnote>
  <w:footnote w:id="980">
    <w:p w14:paraId="6FD68B43" w14:textId="081A1B68"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I-179-80.</w:t>
      </w:r>
    </w:p>
  </w:footnote>
  <w:footnote w:id="981">
    <w:p w14:paraId="14A971B8" w14:textId="77777777" w:rsidR="00655890" w:rsidRDefault="00655890" w:rsidP="000C1980">
      <w:pPr>
        <w:pStyle w:val="FootnoteText"/>
      </w:pPr>
      <w:r>
        <w:rPr>
          <w:rStyle w:val="FootnoteReference"/>
        </w:rPr>
        <w:footnoteRef/>
      </w:r>
      <w:r>
        <w:t xml:space="preserve">  </w:t>
      </w:r>
      <w:r w:rsidRPr="00CE0AE3">
        <w:t>Low Income Programs Wrap-Up Workshop held on June 3, 2020</w:t>
      </w:r>
      <w:r>
        <w:t>.</w:t>
      </w:r>
    </w:p>
  </w:footnote>
  <w:footnote w:id="982">
    <w:p w14:paraId="437C545E" w14:textId="17D45B4D" w:rsidR="00655890" w:rsidRDefault="00655890" w:rsidP="000C1980">
      <w:pPr>
        <w:pStyle w:val="FootnoteText"/>
      </w:pPr>
      <w:r>
        <w:rPr>
          <w:rStyle w:val="FootnoteReference"/>
        </w:rPr>
        <w:footnoteRef/>
      </w:r>
      <w:r>
        <w:t xml:space="preserve">  PG&amp;E Ruling Comments, 48.</w:t>
      </w:r>
    </w:p>
  </w:footnote>
  <w:footnote w:id="983">
    <w:p w14:paraId="13BD80A7" w14:textId="77777777" w:rsidR="00655890" w:rsidRDefault="00655890" w:rsidP="000C1980">
      <w:pPr>
        <w:pStyle w:val="FootnoteText"/>
      </w:pPr>
      <w:r>
        <w:rPr>
          <w:rStyle w:val="FootnoteReference"/>
        </w:rPr>
        <w:footnoteRef/>
      </w:r>
      <w:r>
        <w:t xml:space="preserve">  PG&amp;E Testimony Attachment A.</w:t>
      </w:r>
    </w:p>
  </w:footnote>
  <w:footnote w:id="984">
    <w:p w14:paraId="67FD4CB9" w14:textId="77777777" w:rsidR="00655890" w:rsidRDefault="00655890" w:rsidP="000C1980">
      <w:pPr>
        <w:pStyle w:val="FootnoteText"/>
      </w:pPr>
      <w:r>
        <w:rPr>
          <w:rStyle w:val="FootnoteReference"/>
        </w:rPr>
        <w:footnoteRef/>
      </w:r>
      <w:r>
        <w:t xml:space="preserve">  PG&amp;E Testimony, I-42.</w:t>
      </w:r>
    </w:p>
  </w:footnote>
  <w:footnote w:id="985">
    <w:p w14:paraId="7B754F0A" w14:textId="6C9A102A"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I-179.</w:t>
      </w:r>
    </w:p>
  </w:footnote>
  <w:footnote w:id="986">
    <w:p w14:paraId="5E6619CF" w14:textId="6D6AFB9D" w:rsidR="00655890" w:rsidRDefault="00655890" w:rsidP="000C1980">
      <w:pPr>
        <w:pStyle w:val="FootnoteText"/>
      </w:pPr>
      <w:r>
        <w:rPr>
          <w:rStyle w:val="FootnoteReference"/>
        </w:rPr>
        <w:footnoteRef/>
      </w:r>
      <w:r>
        <w:t xml:space="preserve">  </w:t>
      </w:r>
      <w:r w:rsidR="001B6682" w:rsidRPr="00620A2B">
        <w:rPr>
          <w:i/>
          <w:iCs/>
        </w:rPr>
        <w:t>Ibid.</w:t>
      </w:r>
    </w:p>
  </w:footnote>
  <w:footnote w:id="987">
    <w:p w14:paraId="0DF8F8B0" w14:textId="77777777" w:rsidR="00655890" w:rsidRDefault="00655890" w:rsidP="000C1980">
      <w:pPr>
        <w:pStyle w:val="FootnoteText"/>
      </w:pPr>
      <w:r>
        <w:rPr>
          <w:rStyle w:val="FootnoteReference"/>
        </w:rPr>
        <w:footnoteRef/>
      </w:r>
      <w:r>
        <w:t xml:space="preserve">  SCE Application, 8.</w:t>
      </w:r>
    </w:p>
  </w:footnote>
  <w:footnote w:id="988">
    <w:p w14:paraId="23692D4A" w14:textId="4BE3AE50" w:rsidR="00655890" w:rsidRDefault="00655890" w:rsidP="000C1980">
      <w:pPr>
        <w:pStyle w:val="FootnoteText"/>
      </w:pPr>
      <w:r>
        <w:rPr>
          <w:rStyle w:val="FootnoteReference"/>
        </w:rPr>
        <w:footnoteRef/>
      </w:r>
      <w:r>
        <w:t xml:space="preserve">  SCE Prepared Testimony, II 105.</w:t>
      </w:r>
    </w:p>
  </w:footnote>
  <w:footnote w:id="989">
    <w:p w14:paraId="14FB2FF3" w14:textId="33D98262"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II 106.</w:t>
      </w:r>
    </w:p>
  </w:footnote>
  <w:footnote w:id="990">
    <w:p w14:paraId="036B3C5F" w14:textId="6FE0F24E"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II 106-108.</w:t>
      </w:r>
    </w:p>
  </w:footnote>
  <w:footnote w:id="991">
    <w:p w14:paraId="43F7B9BD" w14:textId="34338F81"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II 108.</w:t>
      </w:r>
    </w:p>
  </w:footnote>
  <w:footnote w:id="992">
    <w:p w14:paraId="119D6E77" w14:textId="453FD6EB"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II 108-109.</w:t>
      </w:r>
    </w:p>
  </w:footnote>
  <w:footnote w:id="993">
    <w:p w14:paraId="5FA386CC" w14:textId="4A4A83FA" w:rsidR="00655890" w:rsidRDefault="00655890" w:rsidP="000C1980">
      <w:pPr>
        <w:pStyle w:val="FootnoteText"/>
      </w:pPr>
      <w:r>
        <w:rPr>
          <w:rStyle w:val="FootnoteReference"/>
        </w:rPr>
        <w:footnoteRef/>
      </w:r>
      <w:r>
        <w:t xml:space="preserve">  SCE</w:t>
      </w:r>
      <w:r w:rsidRPr="000E1ACB">
        <w:t xml:space="preserve"> </w:t>
      </w:r>
      <w:r w:rsidR="008310BB">
        <w:t xml:space="preserve">Second Amended </w:t>
      </w:r>
      <w:r>
        <w:t>Testimony, II 110.</w:t>
      </w:r>
    </w:p>
  </w:footnote>
  <w:footnote w:id="994">
    <w:p w14:paraId="1F772976" w14:textId="52747900" w:rsidR="00655890" w:rsidRDefault="00655890" w:rsidP="000C1980">
      <w:pPr>
        <w:pStyle w:val="FootnoteText"/>
      </w:pPr>
      <w:r>
        <w:rPr>
          <w:rStyle w:val="FootnoteReference"/>
        </w:rPr>
        <w:footnoteRef/>
      </w:r>
      <w:r>
        <w:t xml:space="preserve">  SCE</w:t>
      </w:r>
      <w:r w:rsidRPr="000E1ACB">
        <w:t xml:space="preserve"> </w:t>
      </w:r>
      <w:r>
        <w:t>Prepared Testimony, II 110.</w:t>
      </w:r>
    </w:p>
  </w:footnote>
  <w:footnote w:id="995">
    <w:p w14:paraId="397E562E" w14:textId="6D236E76" w:rsidR="00655890" w:rsidRDefault="00655890" w:rsidP="000C1980">
      <w:pPr>
        <w:pStyle w:val="FootnoteText"/>
      </w:pPr>
      <w:r>
        <w:rPr>
          <w:rStyle w:val="FootnoteReference"/>
        </w:rPr>
        <w:footnoteRef/>
      </w:r>
      <w:r>
        <w:t xml:space="preserve">  Cal Advocated Amended Testimony, 1-33 – 1-36.</w:t>
      </w:r>
    </w:p>
  </w:footnote>
  <w:footnote w:id="996">
    <w:p w14:paraId="3EBCF309" w14:textId="77777777" w:rsidR="00655890" w:rsidRDefault="00655890" w:rsidP="000C1980">
      <w:pPr>
        <w:pStyle w:val="FootnoteText"/>
      </w:pPr>
      <w:r>
        <w:rPr>
          <w:rStyle w:val="FootnoteReference"/>
        </w:rPr>
        <w:footnoteRef/>
      </w:r>
      <w:r>
        <w:t xml:space="preserve">  La Cooperative Response to SCE Application, 9.</w:t>
      </w:r>
    </w:p>
  </w:footnote>
  <w:footnote w:id="997">
    <w:p w14:paraId="71C46F51" w14:textId="27B5DFB8" w:rsidR="00655890" w:rsidRPr="00F35407" w:rsidRDefault="00655890" w:rsidP="000C1980">
      <w:pPr>
        <w:pStyle w:val="FootnoteText"/>
        <w:rPr>
          <w:szCs w:val="22"/>
        </w:rPr>
      </w:pPr>
      <w:r w:rsidRPr="00F35407">
        <w:rPr>
          <w:rStyle w:val="FootnoteReference"/>
          <w:szCs w:val="22"/>
        </w:rPr>
        <w:footnoteRef/>
      </w:r>
      <w:r w:rsidRPr="00F35407">
        <w:rPr>
          <w:szCs w:val="22"/>
        </w:rPr>
        <w:t xml:space="preserve">  </w:t>
      </w:r>
      <w:r w:rsidR="00653B43" w:rsidRPr="00F35407">
        <w:rPr>
          <w:i/>
          <w:iCs/>
          <w:szCs w:val="22"/>
        </w:rPr>
        <w:t>Id</w:t>
      </w:r>
      <w:r w:rsidR="00653B43" w:rsidRPr="00F35407">
        <w:rPr>
          <w:szCs w:val="22"/>
        </w:rPr>
        <w:t xml:space="preserve"> at </w:t>
      </w:r>
      <w:r w:rsidRPr="00F35407">
        <w:rPr>
          <w:szCs w:val="22"/>
        </w:rPr>
        <w:t>9-10.</w:t>
      </w:r>
    </w:p>
  </w:footnote>
  <w:footnote w:id="998">
    <w:p w14:paraId="69D8AE2D" w14:textId="2184B0FF" w:rsidR="00AE2827" w:rsidRPr="00F35407" w:rsidRDefault="00AE2827">
      <w:pPr>
        <w:pStyle w:val="FootnoteText"/>
        <w:rPr>
          <w:szCs w:val="22"/>
        </w:rPr>
      </w:pPr>
      <w:r w:rsidRPr="00F35407">
        <w:rPr>
          <w:rStyle w:val="FootnoteReference"/>
          <w:szCs w:val="22"/>
        </w:rPr>
        <w:footnoteRef/>
      </w:r>
      <w:r w:rsidRPr="00F35407">
        <w:rPr>
          <w:szCs w:val="22"/>
        </w:rPr>
        <w:t xml:space="preserve"> </w:t>
      </w:r>
      <w:r w:rsidR="00F35407" w:rsidRPr="00F35407">
        <w:rPr>
          <w:szCs w:val="22"/>
        </w:rPr>
        <w:t xml:space="preserve"> </w:t>
      </w:r>
      <w:r w:rsidR="002F150C" w:rsidRPr="00F35407">
        <w:rPr>
          <w:szCs w:val="22"/>
        </w:rPr>
        <w:t>TURN Rebuttal Testimony, Alice Napoleon</w:t>
      </w:r>
      <w:r w:rsidRPr="00F35407">
        <w:rPr>
          <w:szCs w:val="22"/>
        </w:rPr>
        <w:t>, 2.</w:t>
      </w:r>
    </w:p>
  </w:footnote>
  <w:footnote w:id="999">
    <w:p w14:paraId="58C9AF9D" w14:textId="7A86F3E2" w:rsidR="00F85CC7" w:rsidRPr="00F35407" w:rsidRDefault="00F85CC7">
      <w:pPr>
        <w:pStyle w:val="FootnoteText"/>
        <w:rPr>
          <w:szCs w:val="22"/>
        </w:rPr>
      </w:pPr>
      <w:r w:rsidRPr="00F35407">
        <w:rPr>
          <w:rStyle w:val="FootnoteReference"/>
          <w:szCs w:val="22"/>
        </w:rPr>
        <w:footnoteRef/>
      </w:r>
      <w:r w:rsidRPr="00F35407">
        <w:rPr>
          <w:szCs w:val="22"/>
        </w:rPr>
        <w:t xml:space="preserve"> </w:t>
      </w:r>
      <w:r w:rsidR="00F35407" w:rsidRPr="00F35407">
        <w:rPr>
          <w:szCs w:val="22"/>
        </w:rPr>
        <w:t xml:space="preserve"> </w:t>
      </w:r>
      <w:r w:rsidRPr="00F35407">
        <w:rPr>
          <w:szCs w:val="22"/>
        </w:rPr>
        <w:t>TURN Opening Brief, 66.</w:t>
      </w:r>
    </w:p>
  </w:footnote>
  <w:footnote w:id="1000">
    <w:p w14:paraId="2650DDE1" w14:textId="26472FB9" w:rsidR="006164A7" w:rsidRDefault="006164A7">
      <w:pPr>
        <w:pStyle w:val="FootnoteText"/>
      </w:pPr>
      <w:r w:rsidRPr="00F35407">
        <w:rPr>
          <w:rStyle w:val="FootnoteReference"/>
          <w:szCs w:val="22"/>
        </w:rPr>
        <w:footnoteRef/>
      </w:r>
      <w:r w:rsidR="00F35407" w:rsidRPr="00F35407">
        <w:rPr>
          <w:szCs w:val="22"/>
        </w:rPr>
        <w:t xml:space="preserve"> </w:t>
      </w:r>
      <w:r w:rsidRPr="00F35407">
        <w:rPr>
          <w:szCs w:val="22"/>
        </w:rPr>
        <w:t xml:space="preserve"> EEC and TELACU et al. Reply Brief, 6.</w:t>
      </w:r>
    </w:p>
  </w:footnote>
  <w:footnote w:id="1001">
    <w:p w14:paraId="17EF6878" w14:textId="3332AF1A" w:rsidR="00655890" w:rsidRPr="00072D7E" w:rsidRDefault="00655890" w:rsidP="000C1980">
      <w:pPr>
        <w:pStyle w:val="FootnoteText"/>
        <w:rPr>
          <w:szCs w:val="22"/>
        </w:rPr>
      </w:pPr>
      <w:r w:rsidRPr="00072D7E">
        <w:rPr>
          <w:rStyle w:val="FootnoteReference"/>
          <w:szCs w:val="22"/>
        </w:rPr>
        <w:footnoteRef/>
      </w:r>
      <w:r w:rsidRPr="00072D7E">
        <w:rPr>
          <w:szCs w:val="22"/>
        </w:rPr>
        <w:t xml:space="preserve">  SCE Amended Rebuttal Testimony</w:t>
      </w:r>
      <w:r>
        <w:rPr>
          <w:szCs w:val="22"/>
        </w:rPr>
        <w:t xml:space="preserve">, </w:t>
      </w:r>
      <w:r w:rsidRPr="00072D7E">
        <w:rPr>
          <w:szCs w:val="22"/>
        </w:rPr>
        <w:t>32-35.</w:t>
      </w:r>
    </w:p>
  </w:footnote>
  <w:footnote w:id="1002">
    <w:p w14:paraId="568788C0" w14:textId="77777777" w:rsidR="00655890" w:rsidRPr="00072D7E" w:rsidRDefault="00655890" w:rsidP="000C1980">
      <w:pPr>
        <w:spacing w:after="120"/>
        <w:rPr>
          <w:sz w:val="22"/>
          <w:szCs w:val="22"/>
        </w:rPr>
      </w:pPr>
      <w:r w:rsidRPr="00072D7E">
        <w:rPr>
          <w:sz w:val="22"/>
          <w:szCs w:val="22"/>
          <w:vertAlign w:val="superscript"/>
        </w:rPr>
        <w:footnoteRef/>
      </w:r>
      <w:r w:rsidRPr="00072D7E">
        <w:rPr>
          <w:sz w:val="22"/>
          <w:szCs w:val="22"/>
        </w:rPr>
        <w:t xml:space="preserve">  The originally proposed $47.5M is reduced by 10 percent per the overall ESA budget reduction, and the 4 percent set aside for the Staff Proposal pilot.</w:t>
      </w:r>
    </w:p>
  </w:footnote>
  <w:footnote w:id="1003">
    <w:p w14:paraId="289620B1" w14:textId="126AC8F4" w:rsidR="00655890" w:rsidRPr="00F35407" w:rsidRDefault="00655890" w:rsidP="000C1980">
      <w:pPr>
        <w:spacing w:after="120"/>
        <w:rPr>
          <w:rFonts w:eastAsia="Book Antiqua" w:cs="Book Antiqua"/>
          <w:color w:val="D13438"/>
          <w:sz w:val="22"/>
          <w:szCs w:val="22"/>
          <w:u w:val="single"/>
        </w:rPr>
      </w:pPr>
      <w:r w:rsidRPr="00F35407">
        <w:rPr>
          <w:sz w:val="22"/>
          <w:szCs w:val="22"/>
          <w:vertAlign w:val="superscript"/>
        </w:rPr>
        <w:footnoteRef/>
      </w:r>
      <w:r w:rsidR="00F35407">
        <w:rPr>
          <w:sz w:val="22"/>
          <w:szCs w:val="22"/>
        </w:rPr>
        <w:t xml:space="preserve">  </w:t>
      </w:r>
      <w:r w:rsidRPr="00F35407">
        <w:rPr>
          <w:sz w:val="22"/>
          <w:szCs w:val="22"/>
        </w:rPr>
        <w:t>The Fuel Substitution Test Guidance on CET calculations may have limited application for the purposes of calculating ESACET scores.  Consult with Energy Division for clarification if needed.</w:t>
      </w:r>
    </w:p>
  </w:footnote>
  <w:footnote w:id="1004">
    <w:p w14:paraId="2270F235" w14:textId="77777777" w:rsidR="00655890" w:rsidRDefault="00655890" w:rsidP="000C1980">
      <w:pPr>
        <w:pStyle w:val="FootnoteText"/>
      </w:pPr>
      <w:r w:rsidRPr="00F35407">
        <w:rPr>
          <w:rStyle w:val="FootnoteReference"/>
          <w:szCs w:val="22"/>
        </w:rPr>
        <w:footnoteRef/>
      </w:r>
      <w:r w:rsidRPr="00F35407">
        <w:rPr>
          <w:szCs w:val="22"/>
        </w:rPr>
        <w:t xml:space="preserve">  SCE Application, 8.</w:t>
      </w:r>
    </w:p>
  </w:footnote>
  <w:footnote w:id="1005">
    <w:p w14:paraId="62088ECE" w14:textId="2C0D29FA" w:rsidR="00655890" w:rsidRPr="00F35407" w:rsidRDefault="00655890" w:rsidP="00F35407">
      <w:pPr>
        <w:pStyle w:val="FootnoteText"/>
        <w:rPr>
          <w:szCs w:val="22"/>
        </w:rPr>
      </w:pPr>
      <w:r w:rsidRPr="00F35407">
        <w:rPr>
          <w:rStyle w:val="FootnoteReference"/>
          <w:szCs w:val="22"/>
        </w:rPr>
        <w:footnoteRef/>
      </w:r>
      <w:r w:rsidRPr="00F35407">
        <w:rPr>
          <w:szCs w:val="22"/>
        </w:rPr>
        <w:t xml:space="preserve">  SCE Prepared Testimony, II 118.</w:t>
      </w:r>
    </w:p>
  </w:footnote>
  <w:footnote w:id="1006">
    <w:p w14:paraId="7D5B4D79" w14:textId="07545DC7" w:rsidR="00655890" w:rsidRPr="00F35407" w:rsidRDefault="00655890" w:rsidP="00F35407">
      <w:pPr>
        <w:pStyle w:val="FootnoteText"/>
        <w:rPr>
          <w:szCs w:val="22"/>
        </w:rPr>
      </w:pPr>
      <w:r w:rsidRPr="00F35407">
        <w:rPr>
          <w:rStyle w:val="FootnoteReference"/>
          <w:szCs w:val="22"/>
        </w:rPr>
        <w:footnoteRef/>
      </w:r>
      <w:r w:rsidRPr="00F35407">
        <w:rPr>
          <w:szCs w:val="22"/>
        </w:rPr>
        <w:t xml:space="preserve">  </w:t>
      </w:r>
      <w:r w:rsidR="00653B43" w:rsidRPr="00F35407">
        <w:rPr>
          <w:i/>
          <w:iCs/>
          <w:szCs w:val="22"/>
        </w:rPr>
        <w:t>Id</w:t>
      </w:r>
      <w:r w:rsidR="00653B43" w:rsidRPr="00F35407">
        <w:rPr>
          <w:szCs w:val="22"/>
        </w:rPr>
        <w:t xml:space="preserve"> at </w:t>
      </w:r>
      <w:r w:rsidRPr="00F35407">
        <w:rPr>
          <w:szCs w:val="22"/>
        </w:rPr>
        <w:t>II 118-119.</w:t>
      </w:r>
    </w:p>
  </w:footnote>
  <w:footnote w:id="1007">
    <w:p w14:paraId="32B81697" w14:textId="4A9E5D28" w:rsidR="00655890" w:rsidRPr="00F35407" w:rsidRDefault="00655890" w:rsidP="00F35407">
      <w:pPr>
        <w:pStyle w:val="FootnoteText"/>
        <w:rPr>
          <w:szCs w:val="22"/>
        </w:rPr>
      </w:pPr>
      <w:r w:rsidRPr="00F35407">
        <w:rPr>
          <w:rStyle w:val="FootnoteReference"/>
          <w:szCs w:val="22"/>
        </w:rPr>
        <w:footnoteRef/>
      </w:r>
      <w:r w:rsidRPr="00F35407">
        <w:rPr>
          <w:szCs w:val="22"/>
        </w:rPr>
        <w:t xml:space="preserve">  </w:t>
      </w:r>
      <w:r w:rsidR="00653B43" w:rsidRPr="00F35407">
        <w:rPr>
          <w:i/>
          <w:iCs/>
          <w:szCs w:val="22"/>
        </w:rPr>
        <w:t>Id</w:t>
      </w:r>
      <w:r w:rsidR="00653B43" w:rsidRPr="00F35407">
        <w:rPr>
          <w:szCs w:val="22"/>
        </w:rPr>
        <w:t xml:space="preserve"> at </w:t>
      </w:r>
      <w:r w:rsidRPr="00F35407">
        <w:rPr>
          <w:szCs w:val="22"/>
        </w:rPr>
        <w:t>II 122-123.</w:t>
      </w:r>
    </w:p>
  </w:footnote>
  <w:footnote w:id="1008">
    <w:p w14:paraId="5B476D9B" w14:textId="1F12418F" w:rsidR="00655890" w:rsidRPr="00F35407" w:rsidRDefault="00655890" w:rsidP="00F35407">
      <w:pPr>
        <w:pStyle w:val="FootnoteText"/>
        <w:rPr>
          <w:szCs w:val="22"/>
        </w:rPr>
      </w:pPr>
      <w:r w:rsidRPr="00F35407">
        <w:rPr>
          <w:rStyle w:val="FootnoteReference"/>
          <w:szCs w:val="22"/>
        </w:rPr>
        <w:footnoteRef/>
      </w:r>
      <w:r w:rsidRPr="00F35407">
        <w:rPr>
          <w:szCs w:val="22"/>
        </w:rPr>
        <w:t xml:space="preserve">  </w:t>
      </w:r>
      <w:r w:rsidR="006A6DE5" w:rsidRPr="00F35407">
        <w:rPr>
          <w:i/>
          <w:iCs/>
          <w:szCs w:val="22"/>
        </w:rPr>
        <w:t>Ibid.</w:t>
      </w:r>
    </w:p>
  </w:footnote>
  <w:footnote w:id="1009">
    <w:p w14:paraId="5E44A979" w14:textId="28181B10" w:rsidR="00655890" w:rsidRPr="00F35407" w:rsidRDefault="00655890" w:rsidP="00F35407">
      <w:pPr>
        <w:pStyle w:val="FootnoteText"/>
        <w:rPr>
          <w:szCs w:val="22"/>
        </w:rPr>
      </w:pPr>
      <w:r w:rsidRPr="00F35407">
        <w:rPr>
          <w:rStyle w:val="FootnoteReference"/>
          <w:szCs w:val="22"/>
        </w:rPr>
        <w:footnoteRef/>
      </w:r>
      <w:r w:rsidRPr="00F35407">
        <w:rPr>
          <w:szCs w:val="22"/>
        </w:rPr>
        <w:t xml:space="preserve">  SCE Prepared Testimony, II 119.</w:t>
      </w:r>
    </w:p>
  </w:footnote>
  <w:footnote w:id="1010">
    <w:p w14:paraId="0B2682D1" w14:textId="1A69D462" w:rsidR="00655890" w:rsidRDefault="00655890" w:rsidP="00F35407">
      <w:pPr>
        <w:pStyle w:val="FootnoteText"/>
      </w:pPr>
      <w:r w:rsidRPr="00F35407">
        <w:rPr>
          <w:rStyle w:val="FootnoteReference"/>
          <w:szCs w:val="22"/>
        </w:rPr>
        <w:footnoteRef/>
      </w:r>
      <w:r w:rsidRPr="00F35407">
        <w:rPr>
          <w:szCs w:val="22"/>
        </w:rPr>
        <w:t xml:space="preserve">  </w:t>
      </w:r>
      <w:r w:rsidR="00653B43" w:rsidRPr="00F35407">
        <w:rPr>
          <w:i/>
          <w:iCs/>
          <w:szCs w:val="22"/>
        </w:rPr>
        <w:t>Id</w:t>
      </w:r>
      <w:r w:rsidR="00653B43" w:rsidRPr="00F35407">
        <w:rPr>
          <w:szCs w:val="22"/>
        </w:rPr>
        <w:t xml:space="preserve"> at </w:t>
      </w:r>
      <w:r w:rsidRPr="00F35407">
        <w:rPr>
          <w:szCs w:val="22"/>
        </w:rPr>
        <w:t>II 120.</w:t>
      </w:r>
    </w:p>
  </w:footnote>
  <w:footnote w:id="1011">
    <w:p w14:paraId="5F754911" w14:textId="77777777" w:rsidR="00655890" w:rsidRDefault="00655890" w:rsidP="000C1980">
      <w:pPr>
        <w:pStyle w:val="FootnoteText"/>
      </w:pPr>
      <w:r>
        <w:rPr>
          <w:rStyle w:val="FootnoteReference"/>
        </w:rPr>
        <w:footnoteRef/>
      </w:r>
      <w:r>
        <w:t xml:space="preserve">  NRDC, NCLC, and CHA Prehearing Conference Statement, 32.</w:t>
      </w:r>
    </w:p>
  </w:footnote>
  <w:footnote w:id="1012">
    <w:p w14:paraId="3180F368" w14:textId="69056760" w:rsidR="00655890" w:rsidRDefault="00655890" w:rsidP="000C1980">
      <w:pPr>
        <w:pStyle w:val="FootnoteText"/>
      </w:pPr>
      <w:r>
        <w:rPr>
          <w:rStyle w:val="FootnoteReference"/>
        </w:rPr>
        <w:footnoteRef/>
      </w:r>
      <w:r>
        <w:t xml:space="preserve">  </w:t>
      </w:r>
      <w:r w:rsidR="00E1282A" w:rsidRPr="00620A2B">
        <w:rPr>
          <w:i/>
          <w:iCs/>
        </w:rPr>
        <w:t>Ibid.</w:t>
      </w:r>
    </w:p>
  </w:footnote>
  <w:footnote w:id="1013">
    <w:p w14:paraId="3B06BBA4" w14:textId="7AA5C732" w:rsidR="00655890" w:rsidRDefault="00655890" w:rsidP="000C1980">
      <w:pPr>
        <w:pStyle w:val="FootnoteText"/>
      </w:pPr>
      <w:r>
        <w:rPr>
          <w:rStyle w:val="FootnoteReference"/>
        </w:rPr>
        <w:footnoteRef/>
      </w:r>
      <w:r>
        <w:t xml:space="preserve">  TELACU et al. Testimony, 6.</w:t>
      </w:r>
    </w:p>
  </w:footnote>
  <w:footnote w:id="1014">
    <w:p w14:paraId="0C595AC6" w14:textId="77777777" w:rsidR="00655890" w:rsidRDefault="00655890" w:rsidP="000C1980">
      <w:pPr>
        <w:pStyle w:val="FootnoteText"/>
      </w:pPr>
      <w:r>
        <w:rPr>
          <w:rStyle w:val="FootnoteReference"/>
        </w:rPr>
        <w:footnoteRef/>
      </w:r>
      <w:r>
        <w:t xml:space="preserve">  T</w:t>
      </w:r>
      <w:r w:rsidRPr="00052EF5">
        <w:t>he originally proposed $12.2</w:t>
      </w:r>
      <w:r>
        <w:t xml:space="preserve">M is reduced by </w:t>
      </w:r>
      <w:r w:rsidRPr="00052EF5">
        <w:t xml:space="preserve">10 </w:t>
      </w:r>
      <w:r w:rsidRPr="005B4C63">
        <w:rPr>
          <w:bCs/>
        </w:rPr>
        <w:t>percent per the overall ESA budget reduction, and the 4 percent set aside for the Staff Proposal pilot</w:t>
      </w:r>
      <w:r>
        <w:t>.</w:t>
      </w:r>
    </w:p>
  </w:footnote>
  <w:footnote w:id="1015">
    <w:p w14:paraId="5AFC0963" w14:textId="2588AA92" w:rsidR="00655890" w:rsidRDefault="00655890" w:rsidP="000C1980">
      <w:pPr>
        <w:pStyle w:val="FootnoteText"/>
      </w:pPr>
      <w:r>
        <w:rPr>
          <w:rStyle w:val="FootnoteReference"/>
        </w:rPr>
        <w:footnoteRef/>
      </w:r>
      <w:r>
        <w:t xml:space="preserve">  SCE Prepared Testimony, II 121.</w:t>
      </w:r>
    </w:p>
  </w:footnote>
  <w:footnote w:id="1016">
    <w:p w14:paraId="1201024B" w14:textId="0F5BBB6C"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III 45.</w:t>
      </w:r>
    </w:p>
  </w:footnote>
  <w:footnote w:id="1017">
    <w:p w14:paraId="4BC1BD3B" w14:textId="4D31E724"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III 43.</w:t>
      </w:r>
    </w:p>
  </w:footnote>
  <w:footnote w:id="1018">
    <w:p w14:paraId="62854CEF" w14:textId="77777777" w:rsidR="00655890" w:rsidRDefault="00655890" w:rsidP="000C1980">
      <w:pPr>
        <w:pStyle w:val="FootnoteText"/>
      </w:pPr>
      <w:r>
        <w:rPr>
          <w:rStyle w:val="FootnoteReference"/>
        </w:rPr>
        <w:footnoteRef/>
      </w:r>
      <w:r>
        <w:t xml:space="preserve">  PG&amp;E Testimony, I-172.</w:t>
      </w:r>
    </w:p>
  </w:footnote>
  <w:footnote w:id="1019">
    <w:p w14:paraId="2EE5581F" w14:textId="0E7D1FCE"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I-172.</w:t>
      </w:r>
    </w:p>
  </w:footnote>
  <w:footnote w:id="1020">
    <w:p w14:paraId="2F727B4C" w14:textId="7139DF80"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I-173.</w:t>
      </w:r>
    </w:p>
  </w:footnote>
  <w:footnote w:id="1021">
    <w:p w14:paraId="55F0EAE0" w14:textId="54401E25" w:rsidR="00655890" w:rsidRDefault="00655890" w:rsidP="000C1980">
      <w:pPr>
        <w:pStyle w:val="FootnoteText"/>
      </w:pPr>
      <w:r>
        <w:rPr>
          <w:rStyle w:val="FootnoteReference"/>
        </w:rPr>
        <w:footnoteRef/>
      </w:r>
      <w:r>
        <w:t xml:space="preserve">  </w:t>
      </w:r>
      <w:r w:rsidR="00160CA2" w:rsidRPr="00620A2B">
        <w:rPr>
          <w:i/>
          <w:iCs/>
        </w:rPr>
        <w:t>Ibid.</w:t>
      </w:r>
    </w:p>
  </w:footnote>
  <w:footnote w:id="1022">
    <w:p w14:paraId="166F6C2B" w14:textId="77777777" w:rsidR="00655890" w:rsidRDefault="00655890" w:rsidP="000C1980">
      <w:pPr>
        <w:pStyle w:val="FootnoteText"/>
      </w:pPr>
      <w:r>
        <w:rPr>
          <w:rStyle w:val="FootnoteReference"/>
        </w:rPr>
        <w:footnoteRef/>
      </w:r>
      <w:r>
        <w:t xml:space="preserve">  PG&amp;E Testimony, I-174.</w:t>
      </w:r>
    </w:p>
  </w:footnote>
  <w:footnote w:id="1023">
    <w:p w14:paraId="4B956A76" w14:textId="77777777" w:rsidR="00655890" w:rsidRDefault="00655890" w:rsidP="000C1980">
      <w:pPr>
        <w:pStyle w:val="FootnoteText"/>
      </w:pPr>
      <w:r>
        <w:rPr>
          <w:rStyle w:val="FootnoteReference"/>
        </w:rPr>
        <w:footnoteRef/>
      </w:r>
      <w:r>
        <w:t xml:space="preserve">  Joint Advice Letter </w:t>
      </w:r>
      <w:r w:rsidRPr="00E176BB">
        <w:t>4132-E</w:t>
      </w:r>
      <w:r>
        <w:t>, approved by Energy Division via standard disposition on January 22, 2020.</w:t>
      </w:r>
    </w:p>
  </w:footnote>
  <w:footnote w:id="1024">
    <w:p w14:paraId="3E221D97" w14:textId="77777777" w:rsidR="00655890" w:rsidRDefault="00655890" w:rsidP="000C1980">
      <w:pPr>
        <w:pStyle w:val="FootnoteText"/>
      </w:pPr>
      <w:r>
        <w:rPr>
          <w:rStyle w:val="FootnoteReference"/>
        </w:rPr>
        <w:footnoteRef/>
      </w:r>
      <w:r>
        <w:t xml:space="preserve">  PG&amp;E Testimony, I-174.</w:t>
      </w:r>
    </w:p>
  </w:footnote>
  <w:footnote w:id="1025">
    <w:p w14:paraId="3DD5F2D6" w14:textId="77777777" w:rsidR="00655890" w:rsidRDefault="00655890" w:rsidP="000C1980">
      <w:pPr>
        <w:pStyle w:val="FootnoteText"/>
      </w:pPr>
      <w:r>
        <w:rPr>
          <w:rStyle w:val="FootnoteReference"/>
        </w:rPr>
        <w:footnoteRef/>
      </w:r>
      <w:r>
        <w:t xml:space="preserve">  </w:t>
      </w:r>
      <w:r w:rsidRPr="00EF2F16">
        <w:rPr>
          <w:i/>
          <w:iCs/>
        </w:rPr>
        <w:t>See e.g</w:t>
      </w:r>
      <w:r>
        <w:t>., CforAT Protest to SCE Application, 2.</w:t>
      </w:r>
    </w:p>
  </w:footnote>
  <w:footnote w:id="1026">
    <w:p w14:paraId="53D1D26F" w14:textId="77777777" w:rsidR="00655890" w:rsidRDefault="00655890" w:rsidP="000C1980">
      <w:pPr>
        <w:pStyle w:val="FootnoteText"/>
      </w:pPr>
      <w:r>
        <w:rPr>
          <w:rStyle w:val="FootnoteReference"/>
        </w:rPr>
        <w:footnoteRef/>
      </w:r>
      <w:r>
        <w:t xml:space="preserve">  CforAT Protest to SCE Application, 4.</w:t>
      </w:r>
    </w:p>
  </w:footnote>
  <w:footnote w:id="1027">
    <w:p w14:paraId="3382CC3C" w14:textId="66BCCD62" w:rsidR="00655890" w:rsidRPr="00473C7C" w:rsidRDefault="00655890" w:rsidP="000C1980">
      <w:pPr>
        <w:pStyle w:val="FootnoteText"/>
        <w:rPr>
          <w:rFonts w:cs="Arial"/>
          <w:szCs w:val="22"/>
        </w:rPr>
      </w:pPr>
      <w:r w:rsidRPr="00473C7C">
        <w:rPr>
          <w:rStyle w:val="FootnoteReference"/>
          <w:rFonts w:cs="Arial"/>
          <w:szCs w:val="22"/>
        </w:rPr>
        <w:footnoteRef/>
      </w:r>
      <w:r w:rsidRPr="00473C7C">
        <w:rPr>
          <w:rFonts w:cs="Arial"/>
          <w:szCs w:val="22"/>
        </w:rPr>
        <w:t xml:space="preserve">  2013 LINA, 3-6.</w:t>
      </w:r>
    </w:p>
  </w:footnote>
  <w:footnote w:id="1028">
    <w:p w14:paraId="3BE1E074" w14:textId="5FF08DD6" w:rsidR="00655890" w:rsidRPr="00EF2F16" w:rsidRDefault="00655890" w:rsidP="000C1980">
      <w:pPr>
        <w:pStyle w:val="FootnoteText"/>
        <w:rPr>
          <w:rFonts w:cs="Arial"/>
          <w:szCs w:val="22"/>
        </w:rPr>
      </w:pPr>
      <w:r w:rsidRPr="00473C7C">
        <w:rPr>
          <w:rStyle w:val="FootnoteReference"/>
          <w:rFonts w:cs="Arial"/>
          <w:szCs w:val="22"/>
        </w:rPr>
        <w:footnoteRef/>
      </w:r>
      <w:r w:rsidRPr="00473C7C">
        <w:rPr>
          <w:rFonts w:cs="Arial"/>
          <w:szCs w:val="22"/>
        </w:rPr>
        <w:t xml:space="preserve"> </w:t>
      </w:r>
      <w:r w:rsidR="00473C7C" w:rsidRPr="00473C7C">
        <w:rPr>
          <w:rFonts w:cs="Arial"/>
          <w:szCs w:val="22"/>
        </w:rPr>
        <w:t xml:space="preserve"> </w:t>
      </w:r>
      <w:r w:rsidRPr="00473C7C">
        <w:rPr>
          <w:rFonts w:cs="Arial"/>
          <w:szCs w:val="22"/>
        </w:rPr>
        <w:t>2016 LINA, 123.</w:t>
      </w:r>
    </w:p>
  </w:footnote>
  <w:footnote w:id="1029">
    <w:p w14:paraId="636CA6FE" w14:textId="2A7E3C2F" w:rsidR="00655890" w:rsidRDefault="00655890" w:rsidP="000C1980">
      <w:pPr>
        <w:pStyle w:val="FootnoteText"/>
      </w:pPr>
      <w:r w:rsidRPr="00EF2F16">
        <w:rPr>
          <w:rStyle w:val="FootnoteReference"/>
          <w:szCs w:val="22"/>
        </w:rPr>
        <w:footnoteRef/>
      </w:r>
      <w:r w:rsidR="00473C7C">
        <w:rPr>
          <w:szCs w:val="22"/>
        </w:rPr>
        <w:t xml:space="preserve"> </w:t>
      </w:r>
      <w:r w:rsidRPr="00EF2F16">
        <w:rPr>
          <w:szCs w:val="22"/>
        </w:rPr>
        <w:t xml:space="preserve"> PG&amp;E Testimony, I-176.</w:t>
      </w:r>
    </w:p>
  </w:footnote>
  <w:footnote w:id="1030">
    <w:p w14:paraId="5A4F4AD8" w14:textId="0C75417C" w:rsidR="00655890" w:rsidRDefault="00655890" w:rsidP="000C1980">
      <w:pPr>
        <w:pStyle w:val="FootnoteText"/>
      </w:pPr>
      <w:r>
        <w:rPr>
          <w:rStyle w:val="FootnoteReference"/>
        </w:rPr>
        <w:footnoteRef/>
      </w:r>
      <w:r>
        <w:t xml:space="preserve"> </w:t>
      </w:r>
      <w:r w:rsidR="00473C7C">
        <w:t xml:space="preserve"> </w:t>
      </w:r>
      <w:r w:rsidR="000B1B18" w:rsidRPr="00620A2B">
        <w:rPr>
          <w:i/>
          <w:iCs/>
        </w:rPr>
        <w:t>Ibid.</w:t>
      </w:r>
    </w:p>
  </w:footnote>
  <w:footnote w:id="1031">
    <w:p w14:paraId="2EF721E0" w14:textId="77777777" w:rsidR="00655890" w:rsidRDefault="00655890" w:rsidP="000C1980">
      <w:pPr>
        <w:pStyle w:val="FootnoteText"/>
      </w:pPr>
      <w:r>
        <w:rPr>
          <w:rStyle w:val="FootnoteReference"/>
        </w:rPr>
        <w:footnoteRef/>
      </w:r>
      <w:r>
        <w:t xml:space="preserve">  PG&amp;E Testimony, I-177.</w:t>
      </w:r>
    </w:p>
  </w:footnote>
  <w:footnote w:id="1032">
    <w:p w14:paraId="59DB6D4F" w14:textId="095DE2FB" w:rsidR="00655890" w:rsidRPr="00EF2F16" w:rsidRDefault="00655890" w:rsidP="000C1980">
      <w:pPr>
        <w:pStyle w:val="FootnoteText"/>
        <w:rPr>
          <w:szCs w:val="22"/>
        </w:rPr>
      </w:pPr>
      <w:r w:rsidRPr="00EF2F16">
        <w:rPr>
          <w:rStyle w:val="FootnoteReference"/>
          <w:szCs w:val="22"/>
        </w:rPr>
        <w:footnoteRef/>
      </w:r>
      <w:r w:rsidRPr="00EF2F16">
        <w:rPr>
          <w:szCs w:val="22"/>
        </w:rPr>
        <w:t xml:space="preserve"> </w:t>
      </w:r>
      <w:r>
        <w:rPr>
          <w:szCs w:val="22"/>
        </w:rPr>
        <w:t xml:space="preserve"> </w:t>
      </w:r>
      <w:r w:rsidR="00100F6A" w:rsidRPr="00620A2B">
        <w:rPr>
          <w:i/>
          <w:iCs/>
        </w:rPr>
        <w:t>Ibid.</w:t>
      </w:r>
    </w:p>
  </w:footnote>
  <w:footnote w:id="1033">
    <w:p w14:paraId="51FD4EDB" w14:textId="71D95BBF" w:rsidR="00655890" w:rsidRPr="00EF2F16" w:rsidRDefault="00655890" w:rsidP="000C1980">
      <w:pPr>
        <w:pStyle w:val="FootnoteText"/>
        <w:rPr>
          <w:szCs w:val="22"/>
        </w:rPr>
      </w:pPr>
      <w:r w:rsidRPr="00EF2F16">
        <w:rPr>
          <w:rStyle w:val="FootnoteReference"/>
          <w:szCs w:val="22"/>
        </w:rPr>
        <w:footnoteRef/>
      </w:r>
      <w:r w:rsidRPr="00EF2F16">
        <w:rPr>
          <w:szCs w:val="22"/>
        </w:rPr>
        <w:t xml:space="preserve"> </w:t>
      </w:r>
      <w:r>
        <w:rPr>
          <w:szCs w:val="22"/>
        </w:rPr>
        <w:t xml:space="preserve"> </w:t>
      </w:r>
      <w:r w:rsidR="00100F6A" w:rsidRPr="00620A2B">
        <w:rPr>
          <w:i/>
          <w:iCs/>
        </w:rPr>
        <w:t>Ibid.</w:t>
      </w:r>
    </w:p>
  </w:footnote>
  <w:footnote w:id="1034">
    <w:p w14:paraId="7DC71B9E" w14:textId="3AA1A0CE" w:rsidR="00655890" w:rsidRPr="00EF2F16" w:rsidRDefault="00655890" w:rsidP="000C1980">
      <w:pPr>
        <w:pStyle w:val="FootnoteText"/>
        <w:rPr>
          <w:szCs w:val="22"/>
        </w:rPr>
      </w:pPr>
      <w:r w:rsidRPr="00EF2F16">
        <w:rPr>
          <w:rStyle w:val="FootnoteReference"/>
          <w:szCs w:val="22"/>
        </w:rPr>
        <w:footnoteRef/>
      </w:r>
      <w:r w:rsidRPr="00EF2F16">
        <w:rPr>
          <w:szCs w:val="22"/>
        </w:rPr>
        <w:t xml:space="preserve"> </w:t>
      </w:r>
      <w:r>
        <w:rPr>
          <w:szCs w:val="22"/>
        </w:rPr>
        <w:t xml:space="preserve"> </w:t>
      </w:r>
      <w:r w:rsidR="00100F6A" w:rsidRPr="00620A2B">
        <w:rPr>
          <w:i/>
          <w:iCs/>
        </w:rPr>
        <w:t>Ibid.</w:t>
      </w:r>
    </w:p>
  </w:footnote>
  <w:footnote w:id="1035">
    <w:p w14:paraId="5A7B8A76" w14:textId="0FBFB036" w:rsidR="00655890" w:rsidRPr="00EF2F16" w:rsidRDefault="00655890" w:rsidP="000C1980">
      <w:pPr>
        <w:pStyle w:val="FootnoteText"/>
        <w:rPr>
          <w:szCs w:val="22"/>
        </w:rPr>
      </w:pPr>
      <w:r w:rsidRPr="00EF2F16">
        <w:rPr>
          <w:rStyle w:val="FootnoteReference"/>
          <w:szCs w:val="22"/>
        </w:rPr>
        <w:footnoteRef/>
      </w:r>
      <w:r w:rsidRPr="00EF2F16">
        <w:rPr>
          <w:szCs w:val="22"/>
        </w:rPr>
        <w:t xml:space="preserve"> </w:t>
      </w:r>
      <w:r>
        <w:rPr>
          <w:szCs w:val="22"/>
        </w:rPr>
        <w:t xml:space="preserve"> </w:t>
      </w:r>
      <w:r w:rsidRPr="00EF2F16">
        <w:rPr>
          <w:szCs w:val="22"/>
        </w:rPr>
        <w:t>TURN Prepared Testimony of Hayley Goodson,</w:t>
      </w:r>
      <w:r>
        <w:rPr>
          <w:szCs w:val="22"/>
        </w:rPr>
        <w:t xml:space="preserve"> </w:t>
      </w:r>
      <w:r w:rsidRPr="00EF2F16">
        <w:rPr>
          <w:szCs w:val="22"/>
        </w:rPr>
        <w:t>11</w:t>
      </w:r>
      <w:r>
        <w:rPr>
          <w:szCs w:val="22"/>
        </w:rPr>
        <w:t>.</w:t>
      </w:r>
    </w:p>
  </w:footnote>
  <w:footnote w:id="1036">
    <w:p w14:paraId="507BB9B1" w14:textId="65A2C065" w:rsidR="00655890" w:rsidRDefault="00655890" w:rsidP="000C1980">
      <w:pPr>
        <w:pStyle w:val="FootnoteText"/>
      </w:pPr>
      <w:r w:rsidRPr="00EF2F16">
        <w:rPr>
          <w:rStyle w:val="FootnoteReference"/>
          <w:szCs w:val="22"/>
        </w:rPr>
        <w:footnoteRef/>
      </w:r>
      <w:r w:rsidRPr="00EF2F16">
        <w:rPr>
          <w:szCs w:val="22"/>
        </w:rPr>
        <w:t xml:space="preserve"> </w:t>
      </w:r>
      <w:r>
        <w:rPr>
          <w:szCs w:val="22"/>
        </w:rPr>
        <w:t xml:space="preserve"> </w:t>
      </w:r>
      <w:r w:rsidRPr="00EF2F16">
        <w:rPr>
          <w:i/>
          <w:iCs/>
          <w:szCs w:val="22"/>
        </w:rPr>
        <w:t>Ibid</w:t>
      </w:r>
      <w:r w:rsidRPr="00EF2F16">
        <w:rPr>
          <w:szCs w:val="22"/>
        </w:rPr>
        <w:t>, 12</w:t>
      </w:r>
    </w:p>
  </w:footnote>
  <w:footnote w:id="1037">
    <w:p w14:paraId="358F9990" w14:textId="1271B277" w:rsidR="00655890" w:rsidRDefault="00655890" w:rsidP="000C1980">
      <w:pPr>
        <w:pStyle w:val="FootnoteText"/>
      </w:pPr>
      <w:r>
        <w:rPr>
          <w:rStyle w:val="FootnoteReference"/>
        </w:rPr>
        <w:footnoteRef/>
      </w:r>
      <w:r>
        <w:t xml:space="preserve">  PG&amp;E Rebuttal Testimony, I-36</w:t>
      </w:r>
    </w:p>
  </w:footnote>
  <w:footnote w:id="1038">
    <w:p w14:paraId="6102F01E" w14:textId="4CD4FD20" w:rsidR="00655890" w:rsidRDefault="00655890" w:rsidP="000C1980">
      <w:pPr>
        <w:pStyle w:val="FootnoteText"/>
      </w:pPr>
      <w:r>
        <w:rPr>
          <w:rStyle w:val="FootnoteReference"/>
        </w:rPr>
        <w:footnoteRef/>
      </w:r>
      <w:r>
        <w:t xml:space="preserve">  SCE Rebuttal Testimony, 36.</w:t>
      </w:r>
    </w:p>
  </w:footnote>
  <w:footnote w:id="1039">
    <w:p w14:paraId="48C2A1B0" w14:textId="58F704B6" w:rsidR="00655890" w:rsidRDefault="00655890" w:rsidP="000C1980">
      <w:pPr>
        <w:pStyle w:val="FootnoteText"/>
      </w:pPr>
      <w:r>
        <w:rPr>
          <w:rStyle w:val="FootnoteReference"/>
        </w:rPr>
        <w:footnoteRef/>
      </w:r>
      <w:r>
        <w:t xml:space="preserve">  SDG&amp;E Rebuttal Testimony of Sara Nordin, SN-CARE-4.</w:t>
      </w:r>
    </w:p>
  </w:footnote>
  <w:footnote w:id="1040">
    <w:p w14:paraId="6DC1C144" w14:textId="77777777" w:rsidR="00655890" w:rsidRDefault="00655890" w:rsidP="000C1980">
      <w:pPr>
        <w:pStyle w:val="FootnoteText"/>
      </w:pPr>
      <w:r>
        <w:rPr>
          <w:rStyle w:val="FootnoteReference"/>
        </w:rPr>
        <w:footnoteRef/>
      </w:r>
      <w:r>
        <w:t xml:space="preserve">  Party responses to </w:t>
      </w:r>
      <w:r w:rsidRPr="006B4FE6">
        <w:t>Assigned Commissioner’s Ruling Concerning Categorical Eligibility and Enrollment and Definition of Income, 2/25/14, issued in A.11-05-017 et al.</w:t>
      </w:r>
    </w:p>
  </w:footnote>
  <w:footnote w:id="1041">
    <w:p w14:paraId="729D511D" w14:textId="38B0926C" w:rsidR="00655890" w:rsidRDefault="00655890" w:rsidP="002678D5">
      <w:pPr>
        <w:pStyle w:val="FootnoteText"/>
      </w:pPr>
      <w:r>
        <w:rPr>
          <w:rStyle w:val="FootnoteReference"/>
        </w:rPr>
        <w:footnoteRef/>
      </w:r>
      <w:r>
        <w:t xml:space="preserve"> </w:t>
      </w:r>
      <w:r w:rsidRPr="00EC6051">
        <w:t xml:space="preserve">The </w:t>
      </w:r>
      <w:r>
        <w:t>definition of</w:t>
      </w:r>
      <w:r w:rsidRPr="001209E3">
        <w:t xml:space="preserve"> </w:t>
      </w:r>
      <w:r w:rsidRPr="00EC6051">
        <w:t xml:space="preserve">“automatic enrollment” will </w:t>
      </w:r>
      <w:r w:rsidRPr="001209E3">
        <w:t>be</w:t>
      </w:r>
      <w:r w:rsidRPr="00EC6051">
        <w:t xml:space="preserve"> further </w:t>
      </w:r>
      <w:r w:rsidRPr="001209E3">
        <w:t>explored through</w:t>
      </w:r>
      <w:r w:rsidRPr="00EC6051">
        <w:t xml:space="preserve"> the Categorical Eligibility study</w:t>
      </w:r>
      <w:r w:rsidRPr="001209E3">
        <w:t>.</w:t>
      </w:r>
      <w:r w:rsidRPr="00EC6051">
        <w:t xml:space="preserve"> </w:t>
      </w:r>
      <w:r w:rsidRPr="001209E3">
        <w:t>While</w:t>
      </w:r>
      <w:r w:rsidRPr="00EC6051">
        <w:t xml:space="preserve"> the goal of </w:t>
      </w:r>
      <w:r w:rsidRPr="001209E3">
        <w:t>automatic enrollment</w:t>
      </w:r>
      <w:r>
        <w:t xml:space="preserve"> via categorically eligible programs</w:t>
      </w:r>
      <w:r w:rsidRPr="00EC6051">
        <w:t xml:space="preserve"> is to reduce the paperwork and burden customers’ face when signing up for income qualified programs, the process of auto-enrollment into the CARE and FERA program </w:t>
      </w:r>
      <w:r w:rsidRPr="001209E3">
        <w:t xml:space="preserve">will </w:t>
      </w:r>
      <w:r>
        <w:t>need</w:t>
      </w:r>
      <w:r w:rsidRPr="00EC6051">
        <w:t xml:space="preserve"> to </w:t>
      </w:r>
      <w:r>
        <w:t>take into consideration customer consent, statute requirements and other</w:t>
      </w:r>
      <w:r w:rsidRPr="00EC6051">
        <w:t xml:space="preserve"> regulations laid out by this and other Commission decisions regarding enrolling customers in utility programs.</w:t>
      </w:r>
      <w:r w:rsidRPr="001209E3">
        <w:t> </w:t>
      </w:r>
    </w:p>
  </w:footnote>
  <w:footnote w:id="1042">
    <w:p w14:paraId="3D202FDC" w14:textId="77777777" w:rsidR="00655890" w:rsidRDefault="00655890" w:rsidP="000C1980">
      <w:pPr>
        <w:pStyle w:val="FootnoteText"/>
      </w:pPr>
      <w:r>
        <w:rPr>
          <w:rStyle w:val="FootnoteReference"/>
        </w:rPr>
        <w:footnoteRef/>
      </w:r>
      <w:r>
        <w:t xml:space="preserve">  PG&amp;E Testimony, I-176.</w:t>
      </w:r>
    </w:p>
  </w:footnote>
  <w:footnote w:id="1043">
    <w:p w14:paraId="16D8E2F7" w14:textId="2FBBE06C" w:rsidR="00655890" w:rsidRDefault="00655890" w:rsidP="000C1980">
      <w:pPr>
        <w:pStyle w:val="FootnoteText"/>
      </w:pPr>
      <w:r>
        <w:rPr>
          <w:rStyle w:val="FootnoteReference"/>
        </w:rPr>
        <w:footnoteRef/>
      </w:r>
      <w:r>
        <w:t xml:space="preserve">  </w:t>
      </w:r>
      <w:r w:rsidR="009748C7" w:rsidRPr="00620A2B">
        <w:rPr>
          <w:i/>
          <w:iCs/>
          <w:szCs w:val="22"/>
        </w:rPr>
        <w:t>Ibid</w:t>
      </w:r>
      <w:r w:rsidR="009748C7" w:rsidRPr="00620A2B">
        <w:rPr>
          <w:szCs w:val="22"/>
        </w:rPr>
        <w:t>.</w:t>
      </w:r>
    </w:p>
  </w:footnote>
  <w:footnote w:id="1044">
    <w:p w14:paraId="1987E19E" w14:textId="77777777" w:rsidR="00655890" w:rsidRDefault="00655890" w:rsidP="000C1980">
      <w:pPr>
        <w:pStyle w:val="FootnoteText"/>
      </w:pPr>
      <w:r>
        <w:rPr>
          <w:rStyle w:val="FootnoteReference"/>
        </w:rPr>
        <w:footnoteRef/>
      </w:r>
      <w:r>
        <w:t xml:space="preserve">  APPRISE, “California Energy Savings Assistance Program Non-Energy Benefits Final Report”, January 2021, at </w:t>
      </w:r>
      <w:hyperlink r:id="rId13" w:history="1">
        <w:r>
          <w:rPr>
            <w:rStyle w:val="Hyperlink"/>
          </w:rPr>
          <w:t>Final CA ESA NEB Report 1-25-21_.pdf (energydataweb.com)</w:t>
        </w:r>
      </w:hyperlink>
    </w:p>
  </w:footnote>
  <w:footnote w:id="1045">
    <w:p w14:paraId="0CE7339B" w14:textId="77777777" w:rsidR="00655890" w:rsidRDefault="00655890" w:rsidP="000C1980">
      <w:pPr>
        <w:pStyle w:val="FootnoteText"/>
      </w:pPr>
      <w:r>
        <w:rPr>
          <w:rStyle w:val="FootnoteReference"/>
        </w:rPr>
        <w:footnoteRef/>
      </w:r>
      <w:r>
        <w:t xml:space="preserve">  PG&amp;E Testimony, I-176.</w:t>
      </w:r>
    </w:p>
  </w:footnote>
  <w:footnote w:id="1046">
    <w:p w14:paraId="1CB3868B" w14:textId="559D6121" w:rsidR="00655890" w:rsidRDefault="00655890" w:rsidP="000C1980">
      <w:pPr>
        <w:pStyle w:val="FootnoteText"/>
      </w:pPr>
      <w:r>
        <w:rPr>
          <w:rStyle w:val="FootnoteReference"/>
        </w:rPr>
        <w:footnoteRef/>
      </w:r>
      <w:r>
        <w:t xml:space="preserve">  </w:t>
      </w:r>
      <w:r w:rsidR="00C23BA4" w:rsidRPr="00EF2F16">
        <w:rPr>
          <w:i/>
          <w:iCs/>
          <w:szCs w:val="22"/>
        </w:rPr>
        <w:t>Ibid</w:t>
      </w:r>
      <w:r w:rsidR="00C23BA4">
        <w:rPr>
          <w:i/>
          <w:iCs/>
          <w:szCs w:val="22"/>
        </w:rPr>
        <w:t>.</w:t>
      </w:r>
    </w:p>
  </w:footnote>
  <w:footnote w:id="1047">
    <w:p w14:paraId="2E3D560B" w14:textId="2A90E965" w:rsidR="00655890" w:rsidRDefault="00655890" w:rsidP="000C1980">
      <w:pPr>
        <w:pStyle w:val="FootnoteText"/>
      </w:pPr>
      <w:r>
        <w:rPr>
          <w:rStyle w:val="FootnoteReference"/>
        </w:rPr>
        <w:footnoteRef/>
      </w:r>
      <w:r>
        <w:t xml:space="preserve">  SCE</w:t>
      </w:r>
      <w:r w:rsidRPr="00F12FD2">
        <w:t xml:space="preserve"> </w:t>
      </w:r>
      <w:r>
        <w:t>Prepared Testimony, II 87.</w:t>
      </w:r>
    </w:p>
  </w:footnote>
  <w:footnote w:id="1048">
    <w:p w14:paraId="021AABC8" w14:textId="2ACE8BE7" w:rsidR="00655890" w:rsidRDefault="00655890" w:rsidP="000C1980">
      <w:pPr>
        <w:pStyle w:val="FootnoteText"/>
      </w:pPr>
      <w:r>
        <w:rPr>
          <w:rStyle w:val="FootnoteReference"/>
        </w:rPr>
        <w:footnoteRef/>
      </w:r>
      <w:r>
        <w:t xml:space="preserve">  SoCalGas Testimony of Mark Aguirre and Erin Brooks, 149-150.</w:t>
      </w:r>
    </w:p>
  </w:footnote>
  <w:footnote w:id="1049">
    <w:p w14:paraId="543CCB95" w14:textId="77777777" w:rsidR="00655890" w:rsidRDefault="00655890" w:rsidP="000C1980">
      <w:pPr>
        <w:pStyle w:val="FootnoteText"/>
      </w:pPr>
      <w:r>
        <w:rPr>
          <w:rStyle w:val="FootnoteReference"/>
        </w:rPr>
        <w:footnoteRef/>
      </w:r>
      <w:r>
        <w:t xml:space="preserve">  SoCalGas Application, 26.</w:t>
      </w:r>
    </w:p>
  </w:footnote>
  <w:footnote w:id="1050">
    <w:p w14:paraId="3B5AE840" w14:textId="75D6BA83" w:rsidR="00655890" w:rsidRDefault="00655890" w:rsidP="000C1980">
      <w:pPr>
        <w:pStyle w:val="FootnoteText"/>
      </w:pPr>
      <w:r>
        <w:rPr>
          <w:rStyle w:val="FootnoteReference"/>
        </w:rPr>
        <w:footnoteRef/>
      </w:r>
      <w:r>
        <w:t xml:space="preserve">  PCF Testimony of Bill Powers, 12-13.</w:t>
      </w:r>
    </w:p>
  </w:footnote>
  <w:footnote w:id="1051">
    <w:p w14:paraId="298CB6EB" w14:textId="60043B61" w:rsidR="00655890" w:rsidRDefault="00655890" w:rsidP="000C1980">
      <w:pPr>
        <w:pStyle w:val="FootnoteText"/>
      </w:pPr>
      <w:r>
        <w:rPr>
          <w:rStyle w:val="FootnoteReference"/>
        </w:rPr>
        <w:footnoteRef/>
      </w:r>
      <w:r>
        <w:t xml:space="preserve">  </w:t>
      </w:r>
      <w:r w:rsidR="009748C7" w:rsidRPr="00620A2B">
        <w:rPr>
          <w:i/>
          <w:iCs/>
          <w:szCs w:val="22"/>
        </w:rPr>
        <w:t>Ibid</w:t>
      </w:r>
      <w:r w:rsidR="009748C7" w:rsidRPr="00620A2B">
        <w:rPr>
          <w:szCs w:val="22"/>
        </w:rPr>
        <w:t>.</w:t>
      </w:r>
    </w:p>
  </w:footnote>
  <w:footnote w:id="1052">
    <w:p w14:paraId="16521CC8" w14:textId="0EBD0F49" w:rsidR="00655890" w:rsidRDefault="00655890" w:rsidP="000C1980">
      <w:pPr>
        <w:pStyle w:val="FootnoteText"/>
      </w:pPr>
      <w:r>
        <w:rPr>
          <w:rStyle w:val="FootnoteReference"/>
        </w:rPr>
        <w:footnoteRef/>
      </w:r>
      <w:r>
        <w:t xml:space="preserve">  SDG&amp;E Rebuttal Testimony, </w:t>
      </w:r>
      <w:r w:rsidRPr="002A4628">
        <w:t>SN-ESA</w:t>
      </w:r>
      <w:r>
        <w:t xml:space="preserve"> </w:t>
      </w:r>
      <w:r w:rsidRPr="002A4628">
        <w:t>1</w:t>
      </w:r>
      <w:r>
        <w:t>5-1</w:t>
      </w:r>
      <w:r w:rsidRPr="002A4628">
        <w:t>6</w:t>
      </w:r>
      <w:r>
        <w:t>.</w:t>
      </w:r>
    </w:p>
  </w:footnote>
  <w:footnote w:id="1053">
    <w:p w14:paraId="6726DC1A" w14:textId="06001EB7" w:rsidR="00655890" w:rsidRDefault="00655890" w:rsidP="000C1980">
      <w:pPr>
        <w:pStyle w:val="FootnoteText"/>
      </w:pPr>
      <w:r>
        <w:rPr>
          <w:rStyle w:val="FootnoteReference"/>
        </w:rPr>
        <w:footnoteRef/>
      </w:r>
      <w:r>
        <w:t xml:space="preserve">  CPUC Environmental and Social Justice Action Plan (February 21, 2019) Retrievable at </w:t>
      </w:r>
      <w:hyperlink r:id="rId14" w:history="1">
        <w:r w:rsidRPr="002C39FD">
          <w:rPr>
            <w:rStyle w:val="Hyperlink"/>
          </w:rPr>
          <w:t>https://docs.cpuc.ca.gov/PublishedDocs/Published/G000/M263/K673/263673090.PDF</w:t>
        </w:r>
      </w:hyperlink>
      <w:r>
        <w:rPr>
          <w:rStyle w:val="Hyperlink"/>
        </w:rPr>
        <w:t>.</w:t>
      </w:r>
      <w:r>
        <w:t xml:space="preserve"> </w:t>
      </w:r>
    </w:p>
  </w:footnote>
  <w:footnote w:id="1054">
    <w:p w14:paraId="58D6BB2B" w14:textId="77777777" w:rsidR="00655890" w:rsidRDefault="00655890" w:rsidP="000C1980">
      <w:pPr>
        <w:pStyle w:val="FootnoteText"/>
      </w:pPr>
      <w:r>
        <w:rPr>
          <w:rStyle w:val="FootnoteReference"/>
        </w:rPr>
        <w:footnoteRef/>
      </w:r>
      <w:r>
        <w:t xml:space="preserve">  D</w:t>
      </w:r>
      <w:r w:rsidRPr="00ED1248">
        <w:t>efined as the top 25</w:t>
      </w:r>
      <w:r>
        <w:t xml:space="preserve"> percent</w:t>
      </w:r>
      <w:r w:rsidRPr="00ED1248">
        <w:t xml:space="preserve"> scoring areas from CalEnviroScreen</w:t>
      </w:r>
      <w:r>
        <w:t>.</w:t>
      </w:r>
    </w:p>
  </w:footnote>
  <w:footnote w:id="1055">
    <w:p w14:paraId="40D745C6" w14:textId="77777777" w:rsidR="00655890" w:rsidRDefault="00655890" w:rsidP="000C1980">
      <w:pPr>
        <w:pStyle w:val="FootnoteText"/>
      </w:pPr>
      <w:r>
        <w:rPr>
          <w:rStyle w:val="FootnoteReference"/>
        </w:rPr>
        <w:footnoteRef/>
      </w:r>
      <w:r>
        <w:t xml:space="preserve">  D</w:t>
      </w:r>
      <w:r w:rsidRPr="000E2C5D">
        <w:t xml:space="preserve">efined in the </w:t>
      </w:r>
      <w:r>
        <w:t>ESJ Action P</w:t>
      </w:r>
      <w:r w:rsidRPr="000E2C5D">
        <w:t>lan as 80% or less of area or state median income</w:t>
      </w:r>
      <w:r>
        <w:t>.</w:t>
      </w:r>
    </w:p>
  </w:footnote>
  <w:footnote w:id="1056">
    <w:p w14:paraId="1D9C9F03" w14:textId="77777777" w:rsidR="00655890" w:rsidRDefault="00655890" w:rsidP="000C1980">
      <w:pPr>
        <w:pStyle w:val="FootnoteText"/>
      </w:pPr>
      <w:r>
        <w:rPr>
          <w:rStyle w:val="FootnoteReference"/>
        </w:rPr>
        <w:footnoteRef/>
      </w:r>
      <w:r>
        <w:t xml:space="preserve">  PG&amp;E Testimony, I-171.</w:t>
      </w:r>
    </w:p>
  </w:footnote>
  <w:footnote w:id="1057">
    <w:p w14:paraId="1C8D0704" w14:textId="1D66EB7B"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I-176.</w:t>
      </w:r>
    </w:p>
  </w:footnote>
  <w:footnote w:id="1058">
    <w:p w14:paraId="6952DE85" w14:textId="10648F19" w:rsidR="00655890" w:rsidRDefault="00655890" w:rsidP="000C1980">
      <w:pPr>
        <w:pStyle w:val="FootnoteText"/>
      </w:pPr>
      <w:r>
        <w:rPr>
          <w:rStyle w:val="FootnoteReference"/>
        </w:rPr>
        <w:footnoteRef/>
      </w:r>
      <w:r>
        <w:t xml:space="preserve">  </w:t>
      </w:r>
      <w:r w:rsidR="009748C7" w:rsidRPr="00620A2B">
        <w:rPr>
          <w:i/>
          <w:iCs/>
          <w:szCs w:val="22"/>
        </w:rPr>
        <w:t>Ibid</w:t>
      </w:r>
      <w:r w:rsidR="009748C7" w:rsidRPr="00620A2B">
        <w:rPr>
          <w:szCs w:val="22"/>
        </w:rPr>
        <w:t>.</w:t>
      </w:r>
    </w:p>
  </w:footnote>
  <w:footnote w:id="1059">
    <w:p w14:paraId="2B2F8BC1" w14:textId="77777777" w:rsidR="00655890" w:rsidRDefault="00655890" w:rsidP="000C1980">
      <w:pPr>
        <w:pStyle w:val="FootnoteText"/>
      </w:pPr>
      <w:r>
        <w:rPr>
          <w:rStyle w:val="FootnoteReference"/>
        </w:rPr>
        <w:footnoteRef/>
      </w:r>
      <w:r>
        <w:t xml:space="preserve">  PG&amp;E Testimony, AppC-2.</w:t>
      </w:r>
    </w:p>
  </w:footnote>
  <w:footnote w:id="1060">
    <w:p w14:paraId="5A11331E" w14:textId="7CD27B82" w:rsidR="00655890" w:rsidRDefault="00655890" w:rsidP="000C1980">
      <w:pPr>
        <w:pStyle w:val="FootnoteText"/>
      </w:pPr>
      <w:r>
        <w:rPr>
          <w:rStyle w:val="FootnoteReference"/>
        </w:rPr>
        <w:footnoteRef/>
      </w:r>
      <w:r>
        <w:t xml:space="preserve">  </w:t>
      </w:r>
      <w:r w:rsidR="00653B43" w:rsidRPr="00CB4AE6">
        <w:rPr>
          <w:i/>
          <w:iCs/>
        </w:rPr>
        <w:t>Id</w:t>
      </w:r>
      <w:r w:rsidR="00653B43">
        <w:t xml:space="preserve"> at </w:t>
      </w:r>
      <w:r>
        <w:t>AppC-3.</w:t>
      </w:r>
    </w:p>
  </w:footnote>
  <w:footnote w:id="1061">
    <w:p w14:paraId="60E2F517" w14:textId="77777777" w:rsidR="00655890" w:rsidRDefault="00655890" w:rsidP="000C1980">
      <w:pPr>
        <w:pStyle w:val="FootnoteText"/>
      </w:pPr>
      <w:r>
        <w:rPr>
          <w:rStyle w:val="FootnoteReference"/>
        </w:rPr>
        <w:footnoteRef/>
      </w:r>
      <w:r>
        <w:t xml:space="preserve">  The expectations of a “lead IOU” for an ESA/CARE study is to, among other duties, lead the development of scope, </w:t>
      </w:r>
      <w:proofErr w:type="gramStart"/>
      <w:r>
        <w:t>budgets</w:t>
      </w:r>
      <w:proofErr w:type="gramEnd"/>
      <w:r>
        <w:t xml:space="preserve"> and project timelines, facilitate contracting with any consultants needed to conduct the study, and act as the main point of contact for the study. </w:t>
      </w:r>
    </w:p>
  </w:footnote>
  <w:footnote w:id="1062">
    <w:p w14:paraId="7DE16278" w14:textId="77777777" w:rsidR="00655890" w:rsidRDefault="00655890" w:rsidP="000C1980">
      <w:pPr>
        <w:pStyle w:val="FootnoteText"/>
      </w:pPr>
      <w:r>
        <w:rPr>
          <w:rStyle w:val="FootnoteReference"/>
        </w:rPr>
        <w:footnoteRef/>
      </w:r>
      <w:r>
        <w:t xml:space="preserve">  PG&amp;E Application, 15.</w:t>
      </w:r>
    </w:p>
  </w:footnote>
  <w:footnote w:id="1063">
    <w:p w14:paraId="4A8BA41B" w14:textId="77777777" w:rsidR="00655890" w:rsidRDefault="00655890" w:rsidP="000C1980">
      <w:pPr>
        <w:pStyle w:val="FootnoteText"/>
      </w:pPr>
      <w:r>
        <w:rPr>
          <w:rStyle w:val="FootnoteReference"/>
        </w:rPr>
        <w:footnoteRef/>
      </w:r>
      <w:r>
        <w:t xml:space="preserve">  PG&amp;E Testimony, I-123.</w:t>
      </w:r>
    </w:p>
  </w:footnote>
  <w:footnote w:id="1064">
    <w:p w14:paraId="6A238C3A" w14:textId="77777777"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PG&amp;E Application, 11.</w:t>
      </w:r>
    </w:p>
  </w:footnote>
  <w:footnote w:id="1065">
    <w:p w14:paraId="70C786E7" w14:textId="31D92ABB"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w:t>
      </w:r>
      <w:r w:rsidR="009748C7" w:rsidRPr="00473C7C">
        <w:rPr>
          <w:i/>
          <w:iCs/>
          <w:szCs w:val="22"/>
        </w:rPr>
        <w:t>Ibid</w:t>
      </w:r>
      <w:r w:rsidR="009748C7" w:rsidRPr="00473C7C">
        <w:rPr>
          <w:szCs w:val="22"/>
        </w:rPr>
        <w:t>.</w:t>
      </w:r>
    </w:p>
  </w:footnote>
  <w:footnote w:id="1066">
    <w:p w14:paraId="318F3318" w14:textId="77777777"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PG&amp;E Testimony, I-124.</w:t>
      </w:r>
    </w:p>
  </w:footnote>
  <w:footnote w:id="1067">
    <w:p w14:paraId="5DA7FE34" w14:textId="73490F30"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w:t>
      </w:r>
      <w:r w:rsidR="009748C7" w:rsidRPr="00473C7C">
        <w:rPr>
          <w:i/>
          <w:iCs/>
          <w:szCs w:val="22"/>
        </w:rPr>
        <w:t>Ibid</w:t>
      </w:r>
      <w:r w:rsidR="009748C7" w:rsidRPr="00473C7C">
        <w:rPr>
          <w:szCs w:val="22"/>
        </w:rPr>
        <w:t>.</w:t>
      </w:r>
    </w:p>
  </w:footnote>
  <w:footnote w:id="1068">
    <w:p w14:paraId="10CFEC9B" w14:textId="0058C710"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SCE Prepared Testimony, II 88.</w:t>
      </w:r>
    </w:p>
  </w:footnote>
  <w:footnote w:id="1069">
    <w:p w14:paraId="13B4B660" w14:textId="54D89AAC"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w:t>
      </w:r>
      <w:r w:rsidR="00D0189C" w:rsidRPr="00473C7C">
        <w:rPr>
          <w:i/>
          <w:iCs/>
          <w:szCs w:val="22"/>
        </w:rPr>
        <w:t>Ibid.</w:t>
      </w:r>
    </w:p>
  </w:footnote>
  <w:footnote w:id="1070">
    <w:p w14:paraId="16C53FF8" w14:textId="01EC2701" w:rsidR="00655890" w:rsidRPr="00473C7C" w:rsidRDefault="00655890" w:rsidP="000C1980">
      <w:pPr>
        <w:pStyle w:val="FootnoteText"/>
        <w:rPr>
          <w:szCs w:val="22"/>
        </w:rPr>
      </w:pPr>
      <w:r w:rsidRPr="00473C7C">
        <w:rPr>
          <w:rStyle w:val="FootnoteReference"/>
          <w:szCs w:val="22"/>
        </w:rPr>
        <w:footnoteRef/>
      </w:r>
      <w:r w:rsidRPr="00473C7C">
        <w:rPr>
          <w:szCs w:val="22"/>
        </w:rPr>
        <w:t xml:space="preserve">  SCE Prepared Testimony, II 105.</w:t>
      </w:r>
    </w:p>
  </w:footnote>
  <w:footnote w:id="1071">
    <w:p w14:paraId="2833BE53" w14:textId="14B2AA9A" w:rsidR="00655890" w:rsidRDefault="00655890" w:rsidP="000C1980">
      <w:pPr>
        <w:pStyle w:val="FootnoteText"/>
      </w:pPr>
      <w:r w:rsidRPr="00473C7C">
        <w:rPr>
          <w:rStyle w:val="FootnoteReference"/>
          <w:szCs w:val="22"/>
        </w:rPr>
        <w:footnoteRef/>
      </w:r>
      <w:r w:rsidRPr="00473C7C">
        <w:rPr>
          <w:szCs w:val="22"/>
        </w:rPr>
        <w:t xml:space="preserve">  </w:t>
      </w:r>
      <w:r w:rsidR="009C766F" w:rsidRPr="00473C7C">
        <w:rPr>
          <w:i/>
          <w:iCs/>
          <w:szCs w:val="22"/>
        </w:rPr>
        <w:t>I</w:t>
      </w:r>
      <w:r w:rsidR="00E47B21" w:rsidRPr="00473C7C">
        <w:rPr>
          <w:i/>
          <w:iCs/>
          <w:szCs w:val="22"/>
        </w:rPr>
        <w:t>bid.</w:t>
      </w:r>
    </w:p>
  </w:footnote>
  <w:footnote w:id="1072">
    <w:p w14:paraId="64193697" w14:textId="6AF970EA" w:rsidR="00655890" w:rsidRDefault="00655890" w:rsidP="000C1980">
      <w:pPr>
        <w:pStyle w:val="FootnoteText"/>
      </w:pPr>
      <w:r>
        <w:rPr>
          <w:rStyle w:val="FootnoteReference"/>
        </w:rPr>
        <w:footnoteRef/>
      </w:r>
      <w:r>
        <w:t xml:space="preserve">  </w:t>
      </w:r>
      <w:r w:rsidR="00E47B21" w:rsidRPr="00620A2B">
        <w:rPr>
          <w:i/>
          <w:iCs/>
        </w:rPr>
        <w:t>Ibid.</w:t>
      </w:r>
    </w:p>
  </w:footnote>
  <w:footnote w:id="1073">
    <w:p w14:paraId="365020CA" w14:textId="4C7A2F07" w:rsidR="00655890" w:rsidRDefault="00655890" w:rsidP="000C1980">
      <w:pPr>
        <w:pStyle w:val="FootnoteText"/>
      </w:pPr>
      <w:r>
        <w:rPr>
          <w:rStyle w:val="FootnoteReference"/>
        </w:rPr>
        <w:footnoteRef/>
      </w:r>
      <w:r>
        <w:t xml:space="preserve">  SoCalGas Testimony of Daniel Rendler, 8.</w:t>
      </w:r>
    </w:p>
  </w:footnote>
  <w:footnote w:id="1074">
    <w:p w14:paraId="3B06A85F" w14:textId="7E6DBD03" w:rsidR="00655890" w:rsidRDefault="00655890" w:rsidP="000C1980">
      <w:pPr>
        <w:pStyle w:val="FootnoteText"/>
      </w:pPr>
      <w:r>
        <w:rPr>
          <w:rStyle w:val="FootnoteReference"/>
        </w:rPr>
        <w:footnoteRef/>
      </w:r>
      <w:r>
        <w:t xml:space="preserve">  </w:t>
      </w:r>
      <w:r w:rsidR="003020E2" w:rsidRPr="00CB4AE6">
        <w:rPr>
          <w:i/>
          <w:iCs/>
        </w:rPr>
        <w:t>Id</w:t>
      </w:r>
      <w:r w:rsidR="003020E2">
        <w:t xml:space="preserve"> at </w:t>
      </w:r>
      <w:r>
        <w:t>8-9.</w:t>
      </w:r>
    </w:p>
  </w:footnote>
  <w:footnote w:id="1075">
    <w:p w14:paraId="097606D4" w14:textId="77777777" w:rsidR="00655890" w:rsidRDefault="00655890" w:rsidP="000C1980">
      <w:pPr>
        <w:pStyle w:val="FootnoteText"/>
      </w:pPr>
      <w:r>
        <w:rPr>
          <w:rStyle w:val="FootnoteReference"/>
        </w:rPr>
        <w:footnoteRef/>
      </w:r>
      <w:r>
        <w:t xml:space="preserve">  SDG&amp;E Application, 12.</w:t>
      </w:r>
    </w:p>
  </w:footnote>
  <w:footnote w:id="1076">
    <w:p w14:paraId="0FF09CFB" w14:textId="52F90D9B" w:rsidR="00655890" w:rsidRDefault="00655890" w:rsidP="000C1980">
      <w:pPr>
        <w:pStyle w:val="FootnoteText"/>
      </w:pPr>
      <w:r>
        <w:rPr>
          <w:rStyle w:val="FootnoteReference"/>
        </w:rPr>
        <w:footnoteRef/>
      </w:r>
      <w:r>
        <w:t xml:space="preserve">  </w:t>
      </w:r>
      <w:r w:rsidR="003020E2" w:rsidRPr="00CB4AE6">
        <w:rPr>
          <w:i/>
          <w:iCs/>
        </w:rPr>
        <w:t>Id</w:t>
      </w:r>
      <w:r w:rsidR="003020E2">
        <w:t xml:space="preserve"> at </w:t>
      </w:r>
      <w:r>
        <w:t>13.</w:t>
      </w:r>
    </w:p>
  </w:footnote>
  <w:footnote w:id="1077">
    <w:p w14:paraId="1CC2F1DF" w14:textId="597578D7" w:rsidR="00655890" w:rsidRDefault="00655890" w:rsidP="000C1980">
      <w:pPr>
        <w:pStyle w:val="FootnoteText"/>
      </w:pPr>
      <w:r>
        <w:rPr>
          <w:rStyle w:val="FootnoteReference"/>
        </w:rPr>
        <w:footnoteRef/>
      </w:r>
      <w:r>
        <w:t xml:space="preserve">  SDG&amp;E Application, 13.</w:t>
      </w:r>
    </w:p>
  </w:footnote>
  <w:footnote w:id="1078">
    <w:p w14:paraId="2916F5ED" w14:textId="5F101C75" w:rsidR="000A2F3F" w:rsidRDefault="000A2F3F">
      <w:pPr>
        <w:pStyle w:val="FootnoteText"/>
      </w:pPr>
      <w:r>
        <w:rPr>
          <w:rStyle w:val="FootnoteReference"/>
        </w:rPr>
        <w:footnoteRef/>
      </w:r>
      <w:r>
        <w:t xml:space="preserve"> SDG&amp;E Opening Brief, 44-45.</w:t>
      </w:r>
    </w:p>
  </w:footnote>
  <w:footnote w:id="1079">
    <w:p w14:paraId="7DC5C3B0" w14:textId="4318003D" w:rsidR="00655890" w:rsidRDefault="00655890" w:rsidP="000C1980">
      <w:pPr>
        <w:pStyle w:val="FootnoteText"/>
      </w:pPr>
      <w:r>
        <w:rPr>
          <w:rStyle w:val="FootnoteReference"/>
        </w:rPr>
        <w:footnoteRef/>
      </w:r>
      <w:r>
        <w:t xml:space="preserve">  EEC Protest to SCE Application, 6.</w:t>
      </w:r>
    </w:p>
  </w:footnote>
  <w:footnote w:id="1080">
    <w:p w14:paraId="26F12250" w14:textId="378BD457" w:rsidR="00655890" w:rsidRDefault="00655890" w:rsidP="000C1980">
      <w:pPr>
        <w:pStyle w:val="FootnoteText"/>
      </w:pPr>
      <w:r>
        <w:rPr>
          <w:rStyle w:val="FootnoteReference"/>
        </w:rPr>
        <w:footnoteRef/>
      </w:r>
      <w:r>
        <w:t xml:space="preserve">  </w:t>
      </w:r>
      <w:r w:rsidR="00CB40AE" w:rsidRPr="00620A2B">
        <w:rPr>
          <w:i/>
          <w:iCs/>
        </w:rPr>
        <w:t>Ibid.</w:t>
      </w:r>
    </w:p>
  </w:footnote>
  <w:footnote w:id="1081">
    <w:p w14:paraId="10991290" w14:textId="4E7BAF47" w:rsidR="00FB554B" w:rsidRDefault="00FB554B">
      <w:pPr>
        <w:pStyle w:val="FootnoteText"/>
      </w:pPr>
      <w:r>
        <w:rPr>
          <w:rStyle w:val="FootnoteReference"/>
        </w:rPr>
        <w:footnoteRef/>
      </w:r>
      <w:r>
        <w:t xml:space="preserve"> </w:t>
      </w:r>
      <w:r w:rsidR="00473C7C">
        <w:t xml:space="preserve"> </w:t>
      </w:r>
      <w:r>
        <w:t>TURN Opening Brief, 60.</w:t>
      </w:r>
    </w:p>
  </w:footnote>
  <w:footnote w:id="1082">
    <w:p w14:paraId="26AA0A9D" w14:textId="7A000A56" w:rsidR="0040349B" w:rsidRDefault="0040349B">
      <w:pPr>
        <w:pStyle w:val="FootnoteText"/>
      </w:pPr>
      <w:r>
        <w:rPr>
          <w:rStyle w:val="FootnoteReference"/>
        </w:rPr>
        <w:footnoteRef/>
      </w:r>
      <w:r>
        <w:t xml:space="preserve"> </w:t>
      </w:r>
      <w:r w:rsidR="00473C7C">
        <w:t xml:space="preserve"> </w:t>
      </w:r>
      <w:r w:rsidR="006D7526">
        <w:t>Cal Advocates Opening Brief, 15.</w:t>
      </w:r>
    </w:p>
  </w:footnote>
  <w:footnote w:id="1083">
    <w:p w14:paraId="0BBE15C8" w14:textId="7794437A" w:rsidR="00655890" w:rsidRDefault="00655890" w:rsidP="000C1980">
      <w:r w:rsidRPr="00F12FD2">
        <w:rPr>
          <w:sz w:val="22"/>
          <w:szCs w:val="22"/>
          <w:vertAlign w:val="superscript"/>
        </w:rPr>
        <w:footnoteRef/>
      </w:r>
      <w:r>
        <w:t xml:space="preserve">  </w:t>
      </w:r>
      <w:r w:rsidRPr="00F12FD2">
        <w:rPr>
          <w:sz w:val="22"/>
          <w:szCs w:val="22"/>
        </w:rPr>
        <w:t>PG&amp;E Testimony, I-210</w:t>
      </w:r>
      <w:r>
        <w:rPr>
          <w:sz w:val="22"/>
          <w:szCs w:val="22"/>
        </w:rPr>
        <w:t>.</w:t>
      </w:r>
    </w:p>
  </w:footnote>
  <w:footnote w:id="1084">
    <w:p w14:paraId="16564E69" w14:textId="650E931D" w:rsidR="00655890" w:rsidRPr="00385959" w:rsidRDefault="00655890" w:rsidP="000C1980">
      <w:pPr>
        <w:pStyle w:val="FootnoteText"/>
        <w:rPr>
          <w:szCs w:val="22"/>
        </w:rPr>
      </w:pPr>
      <w:r w:rsidRPr="00385959">
        <w:rPr>
          <w:rStyle w:val="FootnoteReference"/>
          <w:szCs w:val="22"/>
        </w:rPr>
        <w:footnoteRef/>
      </w:r>
      <w:r w:rsidRPr="00385959">
        <w:rPr>
          <w:szCs w:val="22"/>
        </w:rPr>
        <w:t xml:space="preserve">  SCE</w:t>
      </w:r>
      <w:r w:rsidRPr="00F12FD2">
        <w:t xml:space="preserve"> </w:t>
      </w:r>
      <w:r>
        <w:t xml:space="preserve">Prepared Testimony, II </w:t>
      </w:r>
      <w:r w:rsidRPr="00385959">
        <w:rPr>
          <w:szCs w:val="22"/>
        </w:rPr>
        <w:t>91.</w:t>
      </w:r>
    </w:p>
  </w:footnote>
  <w:footnote w:id="1085">
    <w:p w14:paraId="1F943EB6" w14:textId="5E82611B" w:rsidR="00655890" w:rsidRDefault="00655890" w:rsidP="000C1980">
      <w:pPr>
        <w:spacing w:after="120"/>
      </w:pPr>
      <w:r w:rsidRPr="00385959">
        <w:rPr>
          <w:sz w:val="22"/>
          <w:szCs w:val="22"/>
          <w:vertAlign w:val="superscript"/>
        </w:rPr>
        <w:footnoteRef/>
      </w:r>
      <w:r w:rsidRPr="00385959">
        <w:rPr>
          <w:sz w:val="22"/>
          <w:szCs w:val="22"/>
        </w:rPr>
        <w:t xml:space="preserve">  SDG&amp;E Testimony, SN-ESA</w:t>
      </w:r>
      <w:r>
        <w:rPr>
          <w:sz w:val="22"/>
          <w:szCs w:val="22"/>
        </w:rPr>
        <w:t xml:space="preserve"> </w:t>
      </w:r>
      <w:r w:rsidRPr="00385959">
        <w:rPr>
          <w:sz w:val="22"/>
          <w:szCs w:val="22"/>
        </w:rPr>
        <w:t>151</w:t>
      </w:r>
      <w:r>
        <w:rPr>
          <w:sz w:val="22"/>
          <w:szCs w:val="22"/>
        </w:rPr>
        <w:t>.</w:t>
      </w:r>
    </w:p>
  </w:footnote>
  <w:footnote w:id="1086">
    <w:p w14:paraId="1536A0B7" w14:textId="77777777" w:rsidR="00655890" w:rsidRDefault="00655890" w:rsidP="000C1980">
      <w:pPr>
        <w:pStyle w:val="FootnoteText"/>
      </w:pPr>
      <w:r>
        <w:rPr>
          <w:rStyle w:val="FootnoteReference"/>
        </w:rPr>
        <w:footnoteRef/>
      </w:r>
      <w:r>
        <w:t xml:space="preserve">  PG&amp;E Application, 12.</w:t>
      </w:r>
    </w:p>
  </w:footnote>
  <w:footnote w:id="1087">
    <w:p w14:paraId="6BC042BA" w14:textId="77777777" w:rsidR="00655890" w:rsidRDefault="00655890" w:rsidP="000C1980">
      <w:pPr>
        <w:pStyle w:val="FootnoteText"/>
      </w:pPr>
      <w:r>
        <w:rPr>
          <w:rStyle w:val="FootnoteReference"/>
        </w:rPr>
        <w:footnoteRef/>
      </w:r>
      <w:r>
        <w:t xml:space="preserve">  PG&amp;E Testimony, I-124.</w:t>
      </w:r>
    </w:p>
  </w:footnote>
  <w:footnote w:id="1088">
    <w:p w14:paraId="49CCC6E4" w14:textId="0A5DF011" w:rsidR="00655890" w:rsidRDefault="00655890" w:rsidP="000C1980">
      <w:pPr>
        <w:pStyle w:val="FootnoteText"/>
      </w:pPr>
      <w:r>
        <w:rPr>
          <w:rStyle w:val="FootnoteReference"/>
        </w:rPr>
        <w:footnoteRef/>
      </w:r>
      <w:r>
        <w:t xml:space="preserve">  </w:t>
      </w:r>
      <w:r w:rsidR="003020E2" w:rsidRPr="00CB4AE6">
        <w:rPr>
          <w:i/>
          <w:iCs/>
        </w:rPr>
        <w:t>Id</w:t>
      </w:r>
      <w:r w:rsidR="003020E2">
        <w:t xml:space="preserve"> at </w:t>
      </w:r>
      <w:r>
        <w:t>I-130.</w:t>
      </w:r>
    </w:p>
  </w:footnote>
  <w:footnote w:id="1089">
    <w:p w14:paraId="4FF6F344" w14:textId="50CF6336" w:rsidR="00655890" w:rsidRDefault="00655890" w:rsidP="000C1980">
      <w:pPr>
        <w:pStyle w:val="FootnoteText"/>
      </w:pPr>
      <w:r>
        <w:rPr>
          <w:rStyle w:val="FootnoteReference"/>
        </w:rPr>
        <w:footnoteRef/>
      </w:r>
      <w:r>
        <w:t xml:space="preserve">  </w:t>
      </w:r>
      <w:r w:rsidR="00AB5C40" w:rsidRPr="00620A2B">
        <w:rPr>
          <w:i/>
          <w:iCs/>
        </w:rPr>
        <w:t>Ibid.</w:t>
      </w:r>
    </w:p>
  </w:footnote>
  <w:footnote w:id="1090">
    <w:p w14:paraId="4FDF5AC2" w14:textId="77777777" w:rsidR="00655890" w:rsidRDefault="00655890" w:rsidP="000C1980">
      <w:pPr>
        <w:pStyle w:val="FootnoteText"/>
      </w:pPr>
      <w:r>
        <w:rPr>
          <w:rStyle w:val="FootnoteReference"/>
        </w:rPr>
        <w:footnoteRef/>
      </w:r>
      <w:r>
        <w:t xml:space="preserve">  PG&amp;E Testimony, I-59-60.</w:t>
      </w:r>
    </w:p>
  </w:footnote>
  <w:footnote w:id="1091">
    <w:p w14:paraId="46A9A343" w14:textId="24730198" w:rsidR="00655890" w:rsidRDefault="00655890" w:rsidP="000C1980">
      <w:pPr>
        <w:pStyle w:val="FootnoteText"/>
      </w:pPr>
      <w:r>
        <w:rPr>
          <w:rStyle w:val="FootnoteReference"/>
        </w:rPr>
        <w:footnoteRef/>
      </w:r>
      <w:r>
        <w:t xml:space="preserve">  SCE</w:t>
      </w:r>
      <w:r w:rsidRPr="00A31D73">
        <w:t xml:space="preserve"> </w:t>
      </w:r>
      <w:r>
        <w:t>Prepared Testimony, II 87.</w:t>
      </w:r>
    </w:p>
  </w:footnote>
  <w:footnote w:id="1092">
    <w:p w14:paraId="74E9128F" w14:textId="309DE034" w:rsidR="00655890" w:rsidRDefault="00655890" w:rsidP="000C1980">
      <w:pPr>
        <w:pStyle w:val="FootnoteText"/>
      </w:pPr>
      <w:r>
        <w:rPr>
          <w:rStyle w:val="FootnoteReference"/>
        </w:rPr>
        <w:footnoteRef/>
      </w:r>
      <w:r>
        <w:t xml:space="preserve">  </w:t>
      </w:r>
      <w:r w:rsidR="003020E2" w:rsidRPr="00CB4AE6">
        <w:rPr>
          <w:i/>
          <w:iCs/>
        </w:rPr>
        <w:t>Id</w:t>
      </w:r>
      <w:r w:rsidR="003020E2">
        <w:t xml:space="preserve"> at </w:t>
      </w:r>
      <w:r>
        <w:t>II 88.</w:t>
      </w:r>
    </w:p>
  </w:footnote>
  <w:footnote w:id="1093">
    <w:p w14:paraId="2C79F442" w14:textId="3DA7D9B2" w:rsidR="00655890" w:rsidRDefault="00655890" w:rsidP="000C1980">
      <w:pPr>
        <w:pStyle w:val="FootnoteText"/>
      </w:pPr>
      <w:r>
        <w:rPr>
          <w:rStyle w:val="FootnoteReference"/>
        </w:rPr>
        <w:footnoteRef/>
      </w:r>
      <w:r>
        <w:t xml:space="preserve">  </w:t>
      </w:r>
      <w:r w:rsidR="00AB5C40" w:rsidRPr="00620A2B">
        <w:rPr>
          <w:i/>
          <w:iCs/>
        </w:rPr>
        <w:t>Ibid.</w:t>
      </w:r>
    </w:p>
  </w:footnote>
  <w:footnote w:id="1094">
    <w:p w14:paraId="5D9C48A3" w14:textId="738EFDA7" w:rsidR="00655890" w:rsidRDefault="00655890" w:rsidP="000C1980">
      <w:pPr>
        <w:pStyle w:val="FootnoteText"/>
      </w:pPr>
      <w:r>
        <w:rPr>
          <w:rStyle w:val="FootnoteReference"/>
        </w:rPr>
        <w:footnoteRef/>
      </w:r>
      <w:r>
        <w:t xml:space="preserve">  SCE</w:t>
      </w:r>
      <w:r w:rsidRPr="00A31D73">
        <w:t xml:space="preserve"> </w:t>
      </w:r>
      <w:r>
        <w:t>Prepared Testimony, II 18.</w:t>
      </w:r>
    </w:p>
  </w:footnote>
  <w:footnote w:id="1095">
    <w:p w14:paraId="4F9B8C0D" w14:textId="11DE84B4" w:rsidR="00655890" w:rsidRDefault="00655890" w:rsidP="000C1980">
      <w:pPr>
        <w:pStyle w:val="FootnoteText"/>
      </w:pPr>
      <w:r>
        <w:rPr>
          <w:rStyle w:val="FootnoteReference"/>
        </w:rPr>
        <w:footnoteRef/>
      </w:r>
      <w:r>
        <w:t xml:space="preserve">  SoCalGas Testimony of Daniel Rendler, 9-10.</w:t>
      </w:r>
    </w:p>
  </w:footnote>
  <w:footnote w:id="1096">
    <w:p w14:paraId="1D58ABB6" w14:textId="263DE259" w:rsidR="00655890" w:rsidRDefault="00655890" w:rsidP="000C1980">
      <w:pPr>
        <w:pStyle w:val="FootnoteText"/>
      </w:pPr>
      <w:r>
        <w:rPr>
          <w:rStyle w:val="FootnoteReference"/>
        </w:rPr>
        <w:footnoteRef/>
      </w:r>
      <w:r>
        <w:t xml:space="preserve">  SoCalGas Application, 12.</w:t>
      </w:r>
    </w:p>
  </w:footnote>
  <w:footnote w:id="1097">
    <w:p w14:paraId="6DC0288D" w14:textId="77777777" w:rsidR="00655890" w:rsidRDefault="00655890" w:rsidP="000C1980">
      <w:pPr>
        <w:pStyle w:val="FootnoteText"/>
      </w:pPr>
      <w:r>
        <w:rPr>
          <w:rStyle w:val="FootnoteReference"/>
        </w:rPr>
        <w:footnoteRef/>
      </w:r>
      <w:r>
        <w:t xml:space="preserve">  SDG&amp;E Application, 11.</w:t>
      </w:r>
    </w:p>
  </w:footnote>
  <w:footnote w:id="1098">
    <w:p w14:paraId="7FE09557" w14:textId="6B575E46" w:rsidR="00655890" w:rsidRDefault="00655890" w:rsidP="000C1980">
      <w:pPr>
        <w:pStyle w:val="FootnoteText"/>
      </w:pPr>
      <w:r>
        <w:rPr>
          <w:rStyle w:val="FootnoteReference"/>
        </w:rPr>
        <w:footnoteRef/>
      </w:r>
      <w:r>
        <w:t xml:space="preserve">  </w:t>
      </w:r>
      <w:r w:rsidR="00294770" w:rsidRPr="00620A2B">
        <w:rPr>
          <w:i/>
          <w:iCs/>
        </w:rPr>
        <w:t>Ibid.</w:t>
      </w:r>
    </w:p>
  </w:footnote>
  <w:footnote w:id="1099">
    <w:p w14:paraId="65CE2F00" w14:textId="2B07AD15" w:rsidR="00655890" w:rsidRDefault="00655890" w:rsidP="000C1980">
      <w:pPr>
        <w:pStyle w:val="FootnoteText"/>
      </w:pPr>
      <w:r>
        <w:rPr>
          <w:rStyle w:val="FootnoteReference"/>
        </w:rPr>
        <w:footnoteRef/>
      </w:r>
      <w:r>
        <w:t xml:space="preserve">  SDG&amp;E Testimony, AK 12-14.</w:t>
      </w:r>
    </w:p>
  </w:footnote>
  <w:footnote w:id="1100">
    <w:p w14:paraId="31EE11B4" w14:textId="77777777" w:rsidR="00655890" w:rsidRDefault="00655890" w:rsidP="000C1980">
      <w:pPr>
        <w:pStyle w:val="FootnoteText"/>
      </w:pPr>
      <w:r>
        <w:rPr>
          <w:rStyle w:val="FootnoteReference"/>
        </w:rPr>
        <w:footnoteRef/>
      </w:r>
      <w:r>
        <w:t xml:space="preserve">  SDG&amp;E Application, 11.</w:t>
      </w:r>
    </w:p>
  </w:footnote>
  <w:footnote w:id="1101">
    <w:p w14:paraId="152A0627" w14:textId="214EC4D8" w:rsidR="00655890" w:rsidRDefault="00655890" w:rsidP="000C1980">
      <w:pPr>
        <w:pStyle w:val="FootnoteText"/>
      </w:pPr>
      <w:r>
        <w:rPr>
          <w:rStyle w:val="FootnoteReference"/>
        </w:rPr>
        <w:footnoteRef/>
      </w:r>
      <w:r>
        <w:t xml:space="preserve">  SDG&amp;E Application Testimony of Sara Nordin, SN-FERA 17.</w:t>
      </w:r>
    </w:p>
  </w:footnote>
  <w:footnote w:id="1102">
    <w:p w14:paraId="083ABEE4" w14:textId="20364839" w:rsidR="00655890" w:rsidRDefault="00655890" w:rsidP="000C1980">
      <w:pPr>
        <w:pStyle w:val="FootnoteText"/>
      </w:pPr>
      <w:r>
        <w:rPr>
          <w:rStyle w:val="FootnoteReference"/>
        </w:rPr>
        <w:footnoteRef/>
      </w:r>
      <w:r>
        <w:t xml:space="preserve">  SDG&amp;E Application, 12.</w:t>
      </w:r>
    </w:p>
  </w:footnote>
  <w:footnote w:id="1103">
    <w:p w14:paraId="50B9F78F" w14:textId="06026D0E" w:rsidR="00655890" w:rsidRDefault="00655890" w:rsidP="000C1980">
      <w:pPr>
        <w:pStyle w:val="FootnoteText"/>
      </w:pPr>
      <w:r>
        <w:rPr>
          <w:rStyle w:val="FootnoteReference"/>
        </w:rPr>
        <w:footnoteRef/>
      </w:r>
      <w:r>
        <w:t xml:space="preserve">  SDG&amp;E Testimony, </w:t>
      </w:r>
      <w:r w:rsidRPr="00622042">
        <w:t>SN-ESA</w:t>
      </w:r>
      <w:r>
        <w:t xml:space="preserve"> </w:t>
      </w:r>
      <w:r w:rsidRPr="00622042">
        <w:t>48</w:t>
      </w:r>
      <w:r w:rsidR="00DB57FB">
        <w:t>.</w:t>
      </w:r>
    </w:p>
  </w:footnote>
  <w:footnote w:id="1104">
    <w:p w14:paraId="095B14C6" w14:textId="12E84B09" w:rsidR="00655890" w:rsidRDefault="00655890" w:rsidP="000C1980">
      <w:pPr>
        <w:pStyle w:val="FootnoteText"/>
      </w:pPr>
      <w:r>
        <w:rPr>
          <w:rStyle w:val="FootnoteReference"/>
        </w:rPr>
        <w:footnoteRef/>
      </w:r>
      <w:r>
        <w:t xml:space="preserve">  PCF Testimony of Bill Powers, 13-14.</w:t>
      </w:r>
    </w:p>
  </w:footnote>
  <w:footnote w:id="1105">
    <w:p w14:paraId="0638B205" w14:textId="2ED1D697" w:rsidR="00655890" w:rsidRDefault="00655890" w:rsidP="000C1980">
      <w:pPr>
        <w:pStyle w:val="FootnoteText"/>
      </w:pPr>
      <w:r>
        <w:rPr>
          <w:rStyle w:val="FootnoteReference"/>
        </w:rPr>
        <w:footnoteRef/>
      </w:r>
      <w:r>
        <w:t xml:space="preserve">  EEC Testimony of Allan Rago, 18-19.</w:t>
      </w:r>
    </w:p>
  </w:footnote>
  <w:footnote w:id="1106">
    <w:p w14:paraId="4812253C" w14:textId="3ABC333E" w:rsidR="00655890" w:rsidRDefault="00655890" w:rsidP="000C1980">
      <w:pPr>
        <w:pStyle w:val="FootnoteText"/>
      </w:pPr>
      <w:r>
        <w:rPr>
          <w:rStyle w:val="FootnoteReference"/>
        </w:rPr>
        <w:footnoteRef/>
      </w:r>
      <w:r>
        <w:t xml:space="preserve">  SDG&amp;E Rebuttal Testimony, AK-13-14.</w:t>
      </w:r>
    </w:p>
  </w:footnote>
  <w:footnote w:id="1107">
    <w:p w14:paraId="7B2B4A35" w14:textId="77777777" w:rsidR="00655890" w:rsidRDefault="00655890" w:rsidP="000C1980">
      <w:pPr>
        <w:pStyle w:val="FootnoteText"/>
      </w:pPr>
      <w:r>
        <w:rPr>
          <w:rStyle w:val="FootnoteReference"/>
        </w:rPr>
        <w:footnoteRef/>
      </w:r>
      <w:r>
        <w:t xml:space="preserve">  PG&amp;E Application, 10.</w:t>
      </w:r>
    </w:p>
  </w:footnote>
  <w:footnote w:id="1108">
    <w:p w14:paraId="46CAC42C" w14:textId="77777777" w:rsidR="00655890" w:rsidRDefault="00655890" w:rsidP="000C1980">
      <w:pPr>
        <w:pStyle w:val="FootnoteText"/>
      </w:pPr>
      <w:r>
        <w:rPr>
          <w:rStyle w:val="FootnoteReference"/>
        </w:rPr>
        <w:footnoteRef/>
      </w:r>
      <w:r>
        <w:t xml:space="preserve">  PG&amp;E Testimony, I-216.</w:t>
      </w:r>
    </w:p>
  </w:footnote>
  <w:footnote w:id="1109">
    <w:p w14:paraId="6BD49BA1" w14:textId="11C890C1" w:rsidR="00655890" w:rsidRDefault="00655890" w:rsidP="000C1980">
      <w:pPr>
        <w:pStyle w:val="FootnoteText"/>
      </w:pPr>
      <w:r>
        <w:rPr>
          <w:rStyle w:val="FootnoteReference"/>
        </w:rPr>
        <w:footnoteRef/>
      </w:r>
      <w:r>
        <w:t xml:space="preserve">  </w:t>
      </w:r>
      <w:r w:rsidR="00DB57FB" w:rsidRPr="00620A2B">
        <w:rPr>
          <w:i/>
          <w:iCs/>
        </w:rPr>
        <w:t>Ibid.</w:t>
      </w:r>
    </w:p>
  </w:footnote>
  <w:footnote w:id="1110">
    <w:p w14:paraId="566372E9" w14:textId="77777777" w:rsidR="00655890" w:rsidRDefault="00655890" w:rsidP="000C1980">
      <w:pPr>
        <w:pStyle w:val="FootnoteText"/>
      </w:pPr>
      <w:r>
        <w:rPr>
          <w:rStyle w:val="FootnoteReference"/>
        </w:rPr>
        <w:footnoteRef/>
      </w:r>
      <w:r>
        <w:t xml:space="preserve">  PG&amp;E Testimony, I-216.</w:t>
      </w:r>
    </w:p>
  </w:footnote>
  <w:footnote w:id="1111">
    <w:p w14:paraId="403C4590" w14:textId="5665F030"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I-137.</w:t>
      </w:r>
    </w:p>
  </w:footnote>
  <w:footnote w:id="1112">
    <w:p w14:paraId="634574E2" w14:textId="1FBC447F"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I-138.</w:t>
      </w:r>
    </w:p>
  </w:footnote>
  <w:footnote w:id="1113">
    <w:p w14:paraId="7AA1FE8E" w14:textId="33E1CEC1" w:rsidR="00655890" w:rsidRDefault="00655890" w:rsidP="000C1980">
      <w:pPr>
        <w:pStyle w:val="FootnoteText"/>
      </w:pPr>
      <w:r>
        <w:rPr>
          <w:rStyle w:val="FootnoteReference"/>
        </w:rPr>
        <w:footnoteRef/>
      </w:r>
      <w:r>
        <w:t xml:space="preserve"> </w:t>
      </w:r>
      <w:r w:rsidRPr="004540B1">
        <w:t> </w:t>
      </w:r>
      <w:hyperlink r:id="rId15" w:tgtFrame="_blank" w:history="1">
        <w:r w:rsidRPr="00E4082A">
          <w:t>D.12-08-044</w:t>
        </w:r>
      </w:hyperlink>
      <w:r w:rsidRPr="004540B1">
        <w:t xml:space="preserve">, </w:t>
      </w:r>
      <w:r>
        <w:t>OP</w:t>
      </w:r>
      <w:r w:rsidRPr="004540B1">
        <w:t xml:space="preserve"> 5</w:t>
      </w:r>
      <w:r>
        <w:t>.</w:t>
      </w:r>
    </w:p>
  </w:footnote>
  <w:footnote w:id="1114">
    <w:p w14:paraId="33AF827A" w14:textId="77777777" w:rsidR="00655890" w:rsidRDefault="00655890" w:rsidP="000C1980">
      <w:pPr>
        <w:pStyle w:val="FootnoteText"/>
      </w:pPr>
      <w:r>
        <w:rPr>
          <w:rStyle w:val="FootnoteReference"/>
        </w:rPr>
        <w:footnoteRef/>
      </w:r>
      <w:r>
        <w:t xml:space="preserve">  PG&amp;E Testimony, I-125.</w:t>
      </w:r>
    </w:p>
  </w:footnote>
  <w:footnote w:id="1115">
    <w:p w14:paraId="6F2D4395" w14:textId="5130632C" w:rsidR="00655890" w:rsidRDefault="00655890" w:rsidP="000C1980">
      <w:pPr>
        <w:pStyle w:val="FootnoteText"/>
      </w:pPr>
      <w:r>
        <w:rPr>
          <w:rStyle w:val="FootnoteReference"/>
        </w:rPr>
        <w:footnoteRef/>
      </w:r>
      <w:r>
        <w:t xml:space="preserve">  </w:t>
      </w:r>
      <w:r w:rsidR="005815AD" w:rsidRPr="005815AD">
        <w:rPr>
          <w:i/>
          <w:iCs/>
        </w:rPr>
        <w:t>Ibid.</w:t>
      </w:r>
    </w:p>
  </w:footnote>
  <w:footnote w:id="1116">
    <w:p w14:paraId="36868CFC" w14:textId="77777777" w:rsidR="00655890" w:rsidRDefault="00655890" w:rsidP="000C1980">
      <w:pPr>
        <w:pStyle w:val="FootnoteText"/>
      </w:pPr>
      <w:r>
        <w:rPr>
          <w:rStyle w:val="FootnoteReference"/>
        </w:rPr>
        <w:footnoteRef/>
      </w:r>
      <w:r>
        <w:t xml:space="preserve">  PG&amp;E Testimony, II-65.</w:t>
      </w:r>
    </w:p>
  </w:footnote>
  <w:footnote w:id="1117">
    <w:p w14:paraId="62DB8213" w14:textId="485964ED" w:rsidR="00655890" w:rsidRDefault="00655890" w:rsidP="000C1980">
      <w:pPr>
        <w:pStyle w:val="FootnoteText"/>
      </w:pPr>
      <w:r>
        <w:rPr>
          <w:rStyle w:val="FootnoteReference"/>
        </w:rPr>
        <w:footnoteRef/>
      </w:r>
      <w:r>
        <w:t xml:space="preserve">  </w:t>
      </w:r>
      <w:r w:rsidR="005815AD" w:rsidRPr="00620A2B">
        <w:rPr>
          <w:i/>
          <w:iCs/>
        </w:rPr>
        <w:t>Ibid.</w:t>
      </w:r>
    </w:p>
  </w:footnote>
  <w:footnote w:id="1118">
    <w:p w14:paraId="7B999BFA" w14:textId="30B0A3EB" w:rsidR="00635A27" w:rsidRDefault="00635A27">
      <w:pPr>
        <w:pStyle w:val="FootnoteText"/>
      </w:pPr>
      <w:r>
        <w:rPr>
          <w:rStyle w:val="FootnoteReference"/>
        </w:rPr>
        <w:footnoteRef/>
      </w:r>
      <w:r>
        <w:t xml:space="preserve"> </w:t>
      </w:r>
      <w:r w:rsidR="00473C7C">
        <w:t xml:space="preserve"> </w:t>
      </w:r>
      <w:r>
        <w:t>SDG&amp;E Opening Brief, 41.</w:t>
      </w:r>
    </w:p>
  </w:footnote>
  <w:footnote w:id="1119">
    <w:p w14:paraId="1A1A0DA3" w14:textId="221DBC5D" w:rsidR="00655890" w:rsidRDefault="00655890" w:rsidP="000C1980">
      <w:pPr>
        <w:pStyle w:val="FootnoteText"/>
      </w:pPr>
      <w:r>
        <w:rPr>
          <w:rStyle w:val="FootnoteReference"/>
        </w:rPr>
        <w:footnoteRef/>
      </w:r>
      <w:r>
        <w:t xml:space="preserve">  TURN </w:t>
      </w:r>
      <w:r w:rsidRPr="00E9489C">
        <w:t>Testimony of Alice Napoleon</w:t>
      </w:r>
      <w:r>
        <w:t xml:space="preserve">, </w:t>
      </w:r>
      <w:r w:rsidRPr="00E9489C">
        <w:t>22-23</w:t>
      </w:r>
      <w:r>
        <w:t>.</w:t>
      </w:r>
    </w:p>
  </w:footnote>
  <w:footnote w:id="1120">
    <w:p w14:paraId="7489EDEB" w14:textId="78C59FB2" w:rsidR="00655890" w:rsidRDefault="00655890" w:rsidP="000C1980">
      <w:pPr>
        <w:pStyle w:val="FootnoteText"/>
      </w:pPr>
      <w:r>
        <w:rPr>
          <w:rStyle w:val="FootnoteReference"/>
        </w:rPr>
        <w:footnoteRef/>
      </w:r>
      <w:r>
        <w:t xml:space="preserve">  CPUC </w:t>
      </w:r>
      <w:r w:rsidRPr="000B6759">
        <w:t>California Energy Data and Reporting System (CEDARS)</w:t>
      </w:r>
      <w:r>
        <w:t xml:space="preserve"> at </w:t>
      </w:r>
      <w:hyperlink r:id="rId16" w:history="1">
        <w:r w:rsidRPr="00FA5E85">
          <w:rPr>
            <w:rStyle w:val="Hyperlink"/>
          </w:rPr>
          <w:t>https://cedars.sound-data.com/</w:t>
        </w:r>
      </w:hyperlink>
      <w:r w:rsidR="009748C7">
        <w:rPr>
          <w:rStyle w:val="Hyperlink"/>
        </w:rPr>
        <w:t>.</w:t>
      </w:r>
      <w:r>
        <w:t xml:space="preserve"> </w:t>
      </w:r>
    </w:p>
  </w:footnote>
  <w:footnote w:id="1121">
    <w:p w14:paraId="6A794A0D" w14:textId="77777777" w:rsidR="00655890" w:rsidRDefault="00655890" w:rsidP="000C1980">
      <w:pPr>
        <w:pStyle w:val="FootnoteText"/>
      </w:pPr>
      <w:r>
        <w:rPr>
          <w:rStyle w:val="FootnoteReference"/>
        </w:rPr>
        <w:footnoteRef/>
      </w:r>
      <w:r>
        <w:t xml:space="preserve">  </w:t>
      </w:r>
      <w:r w:rsidRPr="004B6664">
        <w:t xml:space="preserve">In D.12-08-044, the Commission granted the Joint Utilities’ request to file the annual CARE eligibility estimates on December 31 of each year. </w:t>
      </w:r>
    </w:p>
  </w:footnote>
  <w:footnote w:id="1122">
    <w:p w14:paraId="4A1AD453" w14:textId="77777777" w:rsidR="00655890" w:rsidRDefault="00655890" w:rsidP="000C1980">
      <w:pPr>
        <w:pStyle w:val="FootnoteText"/>
      </w:pPr>
      <w:r>
        <w:rPr>
          <w:rStyle w:val="FootnoteReference"/>
        </w:rPr>
        <w:footnoteRef/>
      </w:r>
      <w:r>
        <w:t xml:space="preserve">  PG&amp;E Testimony, II-16, SDG&amp;E Application, 19.</w:t>
      </w:r>
    </w:p>
  </w:footnote>
  <w:footnote w:id="1123">
    <w:p w14:paraId="02505ACF" w14:textId="13EF745E" w:rsidR="00655890" w:rsidRDefault="00655890" w:rsidP="000C1980">
      <w:pPr>
        <w:pStyle w:val="FootnoteText"/>
      </w:pPr>
      <w:r>
        <w:rPr>
          <w:rStyle w:val="FootnoteReference"/>
        </w:rPr>
        <w:footnoteRef/>
      </w:r>
      <w:r>
        <w:t xml:space="preserve">  SDG&amp;E Application Testimony of Alex Kim, AK-15.</w:t>
      </w:r>
    </w:p>
  </w:footnote>
  <w:footnote w:id="1124">
    <w:p w14:paraId="5FB864D4" w14:textId="77777777" w:rsidR="00655890" w:rsidRDefault="00655890" w:rsidP="000C1980">
      <w:pPr>
        <w:pStyle w:val="FootnoteText"/>
      </w:pPr>
      <w:r>
        <w:rPr>
          <w:rStyle w:val="FootnoteReference"/>
        </w:rPr>
        <w:footnoteRef/>
      </w:r>
      <w:r>
        <w:t xml:space="preserve">  PG&amp;E Testimony, II-17.</w:t>
      </w:r>
    </w:p>
  </w:footnote>
  <w:footnote w:id="1125">
    <w:p w14:paraId="40010A9C" w14:textId="508C6AD8" w:rsidR="00655890" w:rsidRDefault="00655890" w:rsidP="000C1980">
      <w:pPr>
        <w:pStyle w:val="FootnoteText"/>
      </w:pPr>
      <w:r>
        <w:rPr>
          <w:rStyle w:val="FootnoteReference"/>
        </w:rPr>
        <w:footnoteRef/>
      </w:r>
      <w:r>
        <w:t xml:space="preserve">  PG&amp;E Testimony</w:t>
      </w:r>
      <w:r w:rsidR="009748C7">
        <w:t>,</w:t>
      </w:r>
      <w:r>
        <w:t xml:space="preserve"> I-102-103.</w:t>
      </w:r>
    </w:p>
  </w:footnote>
  <w:footnote w:id="1126">
    <w:p w14:paraId="0300DB3E" w14:textId="5C9EECC3" w:rsidR="00655890" w:rsidRDefault="00655890" w:rsidP="000C1980">
      <w:pPr>
        <w:pStyle w:val="FootnoteText"/>
      </w:pPr>
      <w:r>
        <w:rPr>
          <w:rStyle w:val="FootnoteReference"/>
        </w:rPr>
        <w:footnoteRef/>
      </w:r>
      <w:r>
        <w:t xml:space="preserve">  SoCalGas Testimony of Mark Aguirre and Erin Brooks, 115-116.</w:t>
      </w:r>
    </w:p>
  </w:footnote>
  <w:footnote w:id="1127">
    <w:p w14:paraId="52E78176" w14:textId="34C89FD1" w:rsidR="00655890" w:rsidRDefault="00655890" w:rsidP="000C1980">
      <w:pPr>
        <w:pStyle w:val="FootnoteText"/>
      </w:pPr>
      <w:r>
        <w:rPr>
          <w:rStyle w:val="FootnoteReference"/>
        </w:rPr>
        <w:footnoteRef/>
      </w:r>
      <w:r>
        <w:t xml:space="preserve">  SDG&amp;E Testimony, </w:t>
      </w:r>
      <w:r w:rsidRPr="0023725D">
        <w:t>SN-ESA-81</w:t>
      </w:r>
      <w:r>
        <w:t>.</w:t>
      </w:r>
    </w:p>
  </w:footnote>
  <w:footnote w:id="1128">
    <w:p w14:paraId="165E5E98" w14:textId="0FA7D392" w:rsidR="00655890" w:rsidRDefault="00655890" w:rsidP="000C1980">
      <w:pPr>
        <w:pStyle w:val="FootnoteText"/>
      </w:pPr>
      <w:r>
        <w:rPr>
          <w:rStyle w:val="FootnoteReference"/>
        </w:rPr>
        <w:footnoteRef/>
      </w:r>
      <w:r>
        <w:t xml:space="preserve">  TURN Comments to June 25, </w:t>
      </w:r>
      <w:proofErr w:type="gramStart"/>
      <w:r>
        <w:t>2020</w:t>
      </w:r>
      <w:proofErr w:type="gramEnd"/>
      <w:r>
        <w:t xml:space="preserve"> ALJ Ruling, 39.</w:t>
      </w:r>
    </w:p>
  </w:footnote>
  <w:footnote w:id="1129">
    <w:p w14:paraId="3D5FA5B7" w14:textId="346C35D2" w:rsidR="00655890" w:rsidRDefault="00655890" w:rsidP="000C1980">
      <w:pPr>
        <w:pStyle w:val="FootnoteText"/>
      </w:pPr>
      <w:r>
        <w:rPr>
          <w:rStyle w:val="FootnoteReference"/>
        </w:rPr>
        <w:footnoteRef/>
      </w:r>
      <w:r>
        <w:t xml:space="preserve">  PG&amp;E Comments to June 25, </w:t>
      </w:r>
      <w:proofErr w:type="gramStart"/>
      <w:r>
        <w:t>2020</w:t>
      </w:r>
      <w:proofErr w:type="gramEnd"/>
      <w:r>
        <w:t xml:space="preserve"> ALJ Ruling, 51.</w:t>
      </w:r>
    </w:p>
  </w:footnote>
  <w:footnote w:id="1130">
    <w:p w14:paraId="196535AC" w14:textId="36599274" w:rsidR="00655890" w:rsidRDefault="00655890" w:rsidP="000C1980">
      <w:pPr>
        <w:pStyle w:val="FootnoteText"/>
      </w:pPr>
      <w:r>
        <w:rPr>
          <w:rStyle w:val="FootnoteReference"/>
        </w:rPr>
        <w:footnoteRef/>
      </w:r>
      <w:r>
        <w:t xml:space="preserve">  SCE Comments to June 25, </w:t>
      </w:r>
      <w:proofErr w:type="gramStart"/>
      <w:r>
        <w:t>2020</w:t>
      </w:r>
      <w:proofErr w:type="gramEnd"/>
      <w:r>
        <w:t xml:space="preserve"> ALJ Ruling, 32.</w:t>
      </w:r>
    </w:p>
  </w:footnote>
  <w:footnote w:id="1131">
    <w:p w14:paraId="5AC8D94E" w14:textId="25544BD3" w:rsidR="00655890" w:rsidRDefault="00655890" w:rsidP="000C1980">
      <w:pPr>
        <w:pStyle w:val="FootnoteText"/>
      </w:pPr>
      <w:r>
        <w:rPr>
          <w:rStyle w:val="FootnoteReference"/>
        </w:rPr>
        <w:footnoteRef/>
      </w:r>
      <w:r>
        <w:t xml:space="preserve">  SoCalGas</w:t>
      </w:r>
      <w:r w:rsidRPr="004314C1">
        <w:t xml:space="preserve"> Comments to June 25, </w:t>
      </w:r>
      <w:proofErr w:type="gramStart"/>
      <w:r w:rsidRPr="004314C1">
        <w:t>2020</w:t>
      </w:r>
      <w:proofErr w:type="gramEnd"/>
      <w:r w:rsidRPr="004314C1">
        <w:t xml:space="preserve"> ALJ Ruling, </w:t>
      </w:r>
      <w:r>
        <w:t>41.</w:t>
      </w:r>
    </w:p>
  </w:footnote>
  <w:footnote w:id="1132">
    <w:p w14:paraId="66456CA9" w14:textId="2DEDB5C5" w:rsidR="00655890" w:rsidRDefault="00655890" w:rsidP="000C1980">
      <w:pPr>
        <w:pStyle w:val="FootnoteText"/>
      </w:pPr>
      <w:r>
        <w:rPr>
          <w:rStyle w:val="FootnoteReference"/>
        </w:rPr>
        <w:footnoteRef/>
      </w:r>
      <w:r>
        <w:t xml:space="preserve">  SDG&amp;E </w:t>
      </w:r>
      <w:r w:rsidRPr="004314C1">
        <w:t xml:space="preserve">Comments to June 25, </w:t>
      </w:r>
      <w:proofErr w:type="gramStart"/>
      <w:r w:rsidRPr="004314C1">
        <w:t>2020</w:t>
      </w:r>
      <w:proofErr w:type="gramEnd"/>
      <w:r w:rsidRPr="004314C1">
        <w:t xml:space="preserve"> ALJ Ruling</w:t>
      </w:r>
      <w:r>
        <w:t>, 49.</w:t>
      </w:r>
    </w:p>
  </w:footnote>
  <w:footnote w:id="1133">
    <w:p w14:paraId="10667BBE" w14:textId="77777777" w:rsidR="00655890" w:rsidRDefault="00655890" w:rsidP="000C1980">
      <w:pPr>
        <w:pStyle w:val="FootnoteText"/>
      </w:pPr>
      <w:r>
        <w:rPr>
          <w:rStyle w:val="FootnoteReference"/>
        </w:rPr>
        <w:footnoteRef/>
      </w:r>
      <w:r>
        <w:t xml:space="preserve">  </w:t>
      </w:r>
      <w:r w:rsidRPr="00AC1494">
        <w:t>CETF’s Annual Survey shows that 73% California residents are not aware of the affordable Internet offers</w:t>
      </w:r>
      <w:r>
        <w:t xml:space="preserve"> because</w:t>
      </w:r>
      <w:r w:rsidRPr="00AC1494">
        <w:t xml:space="preserve"> Internet providers do not aggressively market such offers in </w:t>
      </w:r>
      <w:proofErr w:type="gramStart"/>
      <w:r w:rsidRPr="00AC1494">
        <w:t>ways</w:t>
      </w:r>
      <w:proofErr w:type="gramEnd"/>
      <w:r w:rsidRPr="00AC1494">
        <w:t xml:space="preserve"> they can easily find them.  </w:t>
      </w:r>
    </w:p>
  </w:footnote>
  <w:footnote w:id="1134">
    <w:p w14:paraId="46A5F486" w14:textId="2A877514" w:rsidR="00655890" w:rsidRDefault="00655890" w:rsidP="000C1980">
      <w:pPr>
        <w:pStyle w:val="FootnoteText"/>
      </w:pPr>
      <w:r>
        <w:rPr>
          <w:rStyle w:val="FootnoteReference"/>
        </w:rPr>
        <w:footnoteRef/>
      </w:r>
      <w:r>
        <w:t xml:space="preserve">  CETF Testimony, 4-5.</w:t>
      </w:r>
    </w:p>
  </w:footnote>
  <w:footnote w:id="1135">
    <w:p w14:paraId="67A2A3FA" w14:textId="3FD2D564" w:rsidR="00655890" w:rsidRDefault="00655890" w:rsidP="000C1980">
      <w:pPr>
        <w:pStyle w:val="FootnoteText"/>
      </w:pPr>
      <w:r>
        <w:rPr>
          <w:rStyle w:val="FootnoteReference"/>
        </w:rPr>
        <w:footnoteRef/>
      </w:r>
      <w:r>
        <w:t xml:space="preserve">  CETF Testimony, 16.</w:t>
      </w:r>
    </w:p>
  </w:footnote>
  <w:footnote w:id="1136">
    <w:p w14:paraId="65798BDA" w14:textId="2881BF0D"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6-10.</w:t>
      </w:r>
    </w:p>
  </w:footnote>
  <w:footnote w:id="1137">
    <w:p w14:paraId="6B999770" w14:textId="7A7529E2" w:rsidR="00655890" w:rsidRDefault="00655890" w:rsidP="006C0112">
      <w:pPr>
        <w:pStyle w:val="FootnoteText"/>
      </w:pPr>
      <w:r>
        <w:rPr>
          <w:rStyle w:val="FootnoteReference"/>
        </w:rPr>
        <w:footnoteRef/>
      </w:r>
      <w:r>
        <w:t xml:space="preserve">  CforAT Comments to June 25, </w:t>
      </w:r>
      <w:proofErr w:type="gramStart"/>
      <w:r>
        <w:t>2020</w:t>
      </w:r>
      <w:proofErr w:type="gramEnd"/>
      <w:r>
        <w:t xml:space="preserve"> ALJ Ruling Seeking, 14-15.</w:t>
      </w:r>
    </w:p>
  </w:footnote>
  <w:footnote w:id="1138">
    <w:p w14:paraId="7E53A0AA" w14:textId="148B1F3B" w:rsidR="00655890" w:rsidRDefault="00655890" w:rsidP="006C0112">
      <w:pPr>
        <w:pStyle w:val="FootnoteText"/>
      </w:pPr>
      <w:r>
        <w:rPr>
          <w:rStyle w:val="FootnoteReference"/>
        </w:rPr>
        <w:footnoteRef/>
      </w:r>
      <w:r>
        <w:t xml:space="preserve">  </w:t>
      </w:r>
      <w:r w:rsidR="00227C88" w:rsidRPr="00CB4AE6">
        <w:rPr>
          <w:i/>
          <w:iCs/>
        </w:rPr>
        <w:t>Id</w:t>
      </w:r>
      <w:r w:rsidR="00227C88">
        <w:t xml:space="preserve"> at </w:t>
      </w:r>
      <w:r>
        <w:t>15-16.</w:t>
      </w:r>
    </w:p>
  </w:footnote>
  <w:footnote w:id="1139">
    <w:p w14:paraId="6947990F" w14:textId="3839D52E" w:rsidR="00655890" w:rsidRDefault="00655890" w:rsidP="006C0112">
      <w:pPr>
        <w:pStyle w:val="FootnoteText"/>
      </w:pPr>
      <w:r>
        <w:rPr>
          <w:rStyle w:val="FootnoteReference"/>
        </w:rPr>
        <w:footnoteRef/>
      </w:r>
      <w:r>
        <w:t xml:space="preserve">  </w:t>
      </w:r>
      <w:r w:rsidR="00227C88" w:rsidRPr="00CB4AE6">
        <w:rPr>
          <w:i/>
          <w:iCs/>
        </w:rPr>
        <w:t>Id</w:t>
      </w:r>
      <w:r w:rsidR="00227C88">
        <w:t xml:space="preserve"> at </w:t>
      </w:r>
      <w:r>
        <w:t>19.</w:t>
      </w:r>
    </w:p>
  </w:footnote>
  <w:footnote w:id="1140">
    <w:p w14:paraId="7AC7C5AA" w14:textId="77777777" w:rsidR="00655890" w:rsidRDefault="00655890" w:rsidP="006C0112">
      <w:pPr>
        <w:pStyle w:val="FootnoteText"/>
      </w:pPr>
      <w:r>
        <w:rPr>
          <w:rStyle w:val="FootnoteReference"/>
        </w:rPr>
        <w:footnoteRef/>
      </w:r>
      <w:r>
        <w:t xml:space="preserve">  TURN Comments to June 25, </w:t>
      </w:r>
      <w:proofErr w:type="gramStart"/>
      <w:r>
        <w:t>2020</w:t>
      </w:r>
      <w:proofErr w:type="gramEnd"/>
      <w:r>
        <w:t xml:space="preserve"> ALJ Ruling Seeking, 38-29.</w:t>
      </w:r>
    </w:p>
  </w:footnote>
  <w:footnote w:id="1141">
    <w:p w14:paraId="5CF6F634" w14:textId="53D6BD06" w:rsidR="00655890" w:rsidRDefault="00655890" w:rsidP="006C0112">
      <w:pPr>
        <w:pStyle w:val="FootnoteText"/>
      </w:pPr>
      <w:r>
        <w:rPr>
          <w:rStyle w:val="FootnoteReference"/>
        </w:rPr>
        <w:footnoteRef/>
      </w:r>
      <w:r>
        <w:t xml:space="preserve">  </w:t>
      </w:r>
      <w:r w:rsidRPr="00310AA1">
        <w:t>Rebuttal Testimony of H</w:t>
      </w:r>
      <w:r>
        <w:t>ayley</w:t>
      </w:r>
      <w:r w:rsidRPr="00310AA1">
        <w:t xml:space="preserve"> G</w:t>
      </w:r>
      <w:r>
        <w:t xml:space="preserve">oodson, </w:t>
      </w:r>
      <w:r w:rsidRPr="00310AA1">
        <w:t>5-8.</w:t>
      </w:r>
    </w:p>
  </w:footnote>
  <w:footnote w:id="1142">
    <w:p w14:paraId="09501504" w14:textId="6180D46C" w:rsidR="00655890" w:rsidRDefault="00655890" w:rsidP="006C0112">
      <w:pPr>
        <w:pStyle w:val="FootnoteText"/>
      </w:pPr>
      <w:r>
        <w:rPr>
          <w:rStyle w:val="FootnoteReference"/>
        </w:rPr>
        <w:footnoteRef/>
      </w:r>
      <w:r>
        <w:t xml:space="preserve">  Joint Parties Comments to June 25, </w:t>
      </w:r>
      <w:proofErr w:type="gramStart"/>
      <w:r>
        <w:t>2020</w:t>
      </w:r>
      <w:proofErr w:type="gramEnd"/>
      <w:r>
        <w:t xml:space="preserve"> ALJ Ruling, 19-20.</w:t>
      </w:r>
    </w:p>
  </w:footnote>
  <w:footnote w:id="1143">
    <w:p w14:paraId="6042F20C" w14:textId="77777777" w:rsidR="00655890" w:rsidRDefault="00655890" w:rsidP="006C0112">
      <w:pPr>
        <w:pStyle w:val="FootnoteText"/>
      </w:pPr>
      <w:r>
        <w:rPr>
          <w:rStyle w:val="FootnoteReference"/>
        </w:rPr>
        <w:footnoteRef/>
      </w:r>
      <w:r>
        <w:t xml:space="preserve">  EEC et. al. Rebuttal Testimony, 23-25.</w:t>
      </w:r>
    </w:p>
  </w:footnote>
  <w:footnote w:id="1144">
    <w:p w14:paraId="02F728D4" w14:textId="77777777" w:rsidR="00655890" w:rsidRDefault="00655890" w:rsidP="000C1980">
      <w:pPr>
        <w:pStyle w:val="FootnoteText"/>
      </w:pPr>
      <w:r>
        <w:rPr>
          <w:rStyle w:val="FootnoteReference"/>
        </w:rPr>
        <w:footnoteRef/>
      </w:r>
      <w:r>
        <w:t xml:space="preserve">  PG&amp;E Reply to Protests, 4.</w:t>
      </w:r>
    </w:p>
  </w:footnote>
  <w:footnote w:id="1145">
    <w:p w14:paraId="5EE5FF71" w14:textId="77777777" w:rsidR="00655890" w:rsidRDefault="00655890" w:rsidP="000C1980">
      <w:pPr>
        <w:pStyle w:val="FootnoteText"/>
      </w:pPr>
      <w:r>
        <w:rPr>
          <w:rStyle w:val="FootnoteReference"/>
        </w:rPr>
        <w:footnoteRef/>
      </w:r>
      <w:r>
        <w:t xml:space="preserve">  SCE Reply to Protests, 2.</w:t>
      </w:r>
    </w:p>
  </w:footnote>
  <w:footnote w:id="1146">
    <w:p w14:paraId="38857542" w14:textId="2CCAF222" w:rsidR="00655890" w:rsidRDefault="00655890" w:rsidP="000C1980">
      <w:pPr>
        <w:pStyle w:val="FootnoteText"/>
      </w:pPr>
      <w:r>
        <w:rPr>
          <w:rStyle w:val="FootnoteReference"/>
        </w:rPr>
        <w:footnoteRef/>
      </w:r>
      <w:r>
        <w:t xml:space="preserve">  SoCalGas </w:t>
      </w:r>
      <w:r w:rsidRPr="00F51FAD">
        <w:t>Reply</w:t>
      </w:r>
      <w:r>
        <w:t>, 3-4.</w:t>
      </w:r>
    </w:p>
  </w:footnote>
  <w:footnote w:id="1147">
    <w:p w14:paraId="72F04256" w14:textId="2EB33B1A" w:rsidR="00655890" w:rsidRPr="004F16A1" w:rsidRDefault="00655890" w:rsidP="000C1980">
      <w:pPr>
        <w:pStyle w:val="FootnoteText"/>
      </w:pPr>
      <w:r>
        <w:rPr>
          <w:rStyle w:val="FootnoteReference"/>
        </w:rPr>
        <w:footnoteRef/>
      </w:r>
      <w:r>
        <w:t xml:space="preserve">  SoCalGas Rebuttal </w:t>
      </w:r>
      <w:r w:rsidRPr="004F16A1">
        <w:t>Testimony of O</w:t>
      </w:r>
      <w:r>
        <w:t>ctavio</w:t>
      </w:r>
      <w:r w:rsidRPr="004F16A1">
        <w:t xml:space="preserve"> V</w:t>
      </w:r>
      <w:r>
        <w:t xml:space="preserve">erduzco, </w:t>
      </w:r>
      <w:r w:rsidRPr="004F16A1">
        <w:t>5-6.</w:t>
      </w:r>
    </w:p>
  </w:footnote>
  <w:footnote w:id="1148">
    <w:p w14:paraId="062DC386" w14:textId="77777777" w:rsidR="00655890" w:rsidRDefault="00655890" w:rsidP="000C1980">
      <w:pPr>
        <w:pStyle w:val="FootnoteText"/>
      </w:pPr>
      <w:r>
        <w:rPr>
          <w:rStyle w:val="FootnoteReference"/>
        </w:rPr>
        <w:footnoteRef/>
      </w:r>
      <w:r>
        <w:t xml:space="preserve">  </w:t>
      </w:r>
      <w:r w:rsidRPr="00CE6FA3">
        <w:t>AB 1002 implemented a Public Purpose Program</w:t>
      </w:r>
      <w:r w:rsidRPr="001F4AED">
        <w:t xml:space="preserve"> </w:t>
      </w:r>
      <w:r w:rsidRPr="00CE6FA3">
        <w:t>Surcharge (PPPS) annually to fund certain natural gas related public purpose programs: energy</w:t>
      </w:r>
      <w:r>
        <w:t xml:space="preserve"> </w:t>
      </w:r>
      <w:r w:rsidRPr="001F4AED">
        <w:t>efficiency, low-income assistance programs such as CARE and ESA and research and</w:t>
      </w:r>
      <w:r>
        <w:t xml:space="preserve"> </w:t>
      </w:r>
      <w:r w:rsidRPr="00CE6FA3">
        <w:t>development (R&amp;D)</w:t>
      </w:r>
      <w:r>
        <w:t>.</w:t>
      </w:r>
    </w:p>
  </w:footnote>
  <w:footnote w:id="1149">
    <w:p w14:paraId="24B29CE9" w14:textId="42DC6C08" w:rsidR="00655890" w:rsidRDefault="00655890" w:rsidP="000C1980">
      <w:pPr>
        <w:pStyle w:val="FootnoteText"/>
      </w:pPr>
      <w:r>
        <w:rPr>
          <w:rStyle w:val="FootnoteReference"/>
        </w:rPr>
        <w:footnoteRef/>
      </w:r>
      <w:r>
        <w:t xml:space="preserve">  SDG&amp;G Rebuttal Testimony, </w:t>
      </w:r>
      <w:r w:rsidRPr="00215EFA">
        <w:t>HT-ME&amp;O 3</w:t>
      </w:r>
      <w:r>
        <w:t>-4.</w:t>
      </w:r>
    </w:p>
  </w:footnote>
  <w:footnote w:id="1150">
    <w:p w14:paraId="5315F18D" w14:textId="1901B867" w:rsidR="00655890" w:rsidRDefault="00655890" w:rsidP="000C1980">
      <w:pPr>
        <w:pStyle w:val="FootnoteText"/>
      </w:pPr>
      <w:r>
        <w:rPr>
          <w:rStyle w:val="FootnoteReference"/>
        </w:rPr>
        <w:footnoteRef/>
      </w:r>
      <w:r>
        <w:t xml:space="preserve">  Decision 16-11-022, 430.</w:t>
      </w:r>
    </w:p>
  </w:footnote>
  <w:footnote w:id="1151">
    <w:p w14:paraId="0BE0951A" w14:textId="1DB408C6"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 xml:space="preserve">421. </w:t>
      </w:r>
    </w:p>
  </w:footnote>
  <w:footnote w:id="1152">
    <w:p w14:paraId="41C4C8FB" w14:textId="6B537E1A" w:rsidR="00655890" w:rsidRDefault="00655890" w:rsidP="000C1980">
      <w:pPr>
        <w:pStyle w:val="FootnoteText"/>
      </w:pPr>
      <w:r>
        <w:rPr>
          <w:rStyle w:val="FootnoteReference"/>
        </w:rPr>
        <w:footnoteRef/>
      </w:r>
      <w:r>
        <w:t xml:space="preserve">  Decision </w:t>
      </w:r>
      <w:r w:rsidRPr="00EC0EBE">
        <w:t>17-12-009</w:t>
      </w:r>
      <w:r>
        <w:t>, 149.</w:t>
      </w:r>
    </w:p>
  </w:footnote>
  <w:footnote w:id="1153">
    <w:p w14:paraId="355F2A6A" w14:textId="6A340BA2"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 xml:space="preserve">202. </w:t>
      </w:r>
    </w:p>
  </w:footnote>
  <w:footnote w:id="1154">
    <w:p w14:paraId="1EEAE732" w14:textId="1855EE5A"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280.</w:t>
      </w:r>
    </w:p>
  </w:footnote>
  <w:footnote w:id="1155">
    <w:p w14:paraId="34B435F7" w14:textId="1C88EA6B" w:rsidR="00655890" w:rsidRDefault="00655890" w:rsidP="000C1980">
      <w:pPr>
        <w:pStyle w:val="FootnoteText"/>
      </w:pPr>
      <w:r>
        <w:rPr>
          <w:rStyle w:val="FootnoteReference"/>
        </w:rPr>
        <w:footnoteRef/>
      </w:r>
      <w:r>
        <w:t xml:space="preserve">  PG&amp;E Comments to ALJ Ruling Soliciting Comments to LIOB Recommendations, 1-2.</w:t>
      </w:r>
    </w:p>
  </w:footnote>
  <w:footnote w:id="1156">
    <w:p w14:paraId="0087258B" w14:textId="4B95D905" w:rsidR="00655890" w:rsidRDefault="00655890" w:rsidP="000C1980">
      <w:pPr>
        <w:pStyle w:val="FootnoteText"/>
      </w:pPr>
      <w:r>
        <w:rPr>
          <w:rStyle w:val="FootnoteReference"/>
        </w:rPr>
        <w:footnoteRef/>
      </w:r>
      <w:r>
        <w:t xml:space="preserve">  SCE Comments to ALJ Ruling Soliciting Comments to LIOB Recommendations, 2-5.</w:t>
      </w:r>
    </w:p>
  </w:footnote>
  <w:footnote w:id="1157">
    <w:p w14:paraId="5BB7ECAF" w14:textId="1C7603B9" w:rsidR="00655890" w:rsidRDefault="00655890" w:rsidP="000C1980">
      <w:pPr>
        <w:pStyle w:val="FootnoteText"/>
      </w:pPr>
      <w:r>
        <w:rPr>
          <w:rStyle w:val="FootnoteReference"/>
        </w:rPr>
        <w:footnoteRef/>
      </w:r>
      <w:r>
        <w:t xml:space="preserve">  SoCalGas Comments to ALJ Ruling Soliciting Comments to LIOB Recommendations, 2- 5.</w:t>
      </w:r>
    </w:p>
  </w:footnote>
  <w:footnote w:id="1158">
    <w:p w14:paraId="39FFCF57" w14:textId="00892460" w:rsidR="00655890" w:rsidRDefault="00655890" w:rsidP="000C1980">
      <w:pPr>
        <w:pStyle w:val="FootnoteText"/>
      </w:pPr>
      <w:r>
        <w:rPr>
          <w:rStyle w:val="FootnoteReference"/>
        </w:rPr>
        <w:footnoteRef/>
      </w:r>
      <w:r>
        <w:t xml:space="preserve">  SDG&amp;E Comments to ALJ Ruling Soliciting Comments to LIOB Recommendations, 2-3.</w:t>
      </w:r>
    </w:p>
  </w:footnote>
  <w:footnote w:id="1159">
    <w:p w14:paraId="25C212C6" w14:textId="33A5B190" w:rsidR="00655890" w:rsidRDefault="00655890" w:rsidP="000C1980">
      <w:pPr>
        <w:pStyle w:val="FootnoteText"/>
      </w:pPr>
      <w:r>
        <w:rPr>
          <w:rStyle w:val="FootnoteReference"/>
        </w:rPr>
        <w:footnoteRef/>
      </w:r>
      <w:r>
        <w:t xml:space="preserve">  </w:t>
      </w:r>
      <w:r w:rsidR="00227C88" w:rsidRPr="00CB4AE6">
        <w:rPr>
          <w:i/>
          <w:iCs/>
        </w:rPr>
        <w:t>Id</w:t>
      </w:r>
      <w:r w:rsidR="00227C88">
        <w:t xml:space="preserve"> at </w:t>
      </w:r>
      <w:r>
        <w:t>4.</w:t>
      </w:r>
    </w:p>
  </w:footnote>
  <w:footnote w:id="1160">
    <w:p w14:paraId="21570B6D" w14:textId="10153CEC" w:rsidR="00655890" w:rsidRDefault="00655890" w:rsidP="000C1980">
      <w:pPr>
        <w:pStyle w:val="FootnoteText"/>
      </w:pPr>
      <w:r>
        <w:rPr>
          <w:rStyle w:val="FootnoteReference"/>
        </w:rPr>
        <w:footnoteRef/>
      </w:r>
      <w:r>
        <w:t xml:space="preserve">  Cal Advocates Comments to ALJ Ruling Soliciting Comments to LIOB Recommendations, 1-2-5.</w:t>
      </w:r>
    </w:p>
  </w:footnote>
  <w:footnote w:id="1161">
    <w:p w14:paraId="235E11BE" w14:textId="77777777" w:rsidR="00655890" w:rsidRDefault="00655890" w:rsidP="000C1980">
      <w:pPr>
        <w:pStyle w:val="FootnoteText"/>
      </w:pPr>
      <w:r>
        <w:rPr>
          <w:rStyle w:val="FootnoteReference"/>
        </w:rPr>
        <w:footnoteRef/>
      </w:r>
      <w:r>
        <w:t xml:space="preserve">  This assumes that 50 percent of the units estimated to be treated by SCE will also be treated by SoCalGas.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41BC" w14:textId="77777777" w:rsidR="00655890" w:rsidRPr="00536DFB" w:rsidRDefault="00655890" w:rsidP="000C1980">
    <w:pPr>
      <w:suppressAutoHyphen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00E1" w14:textId="7441D2CE" w:rsidR="00655890" w:rsidRDefault="00655890">
    <w:pPr>
      <w:pStyle w:val="Header"/>
    </w:pPr>
    <w:r>
      <w:rPr>
        <w:noProof/>
      </w:rPr>
      <mc:AlternateContent>
        <mc:Choice Requires="wps">
          <w:drawing>
            <wp:anchor distT="0" distB="0" distL="114300" distR="114300" simplePos="0" relativeHeight="251658269" behindDoc="1" locked="0" layoutInCell="0" allowOverlap="1" wp14:anchorId="7D4746AF" wp14:editId="50875E84">
              <wp:simplePos x="0" y="0"/>
              <wp:positionH relativeFrom="margin">
                <wp:align>center</wp:align>
              </wp:positionH>
              <wp:positionV relativeFrom="margin">
                <wp:align>center</wp:align>
              </wp:positionV>
              <wp:extent cx="7698740" cy="678815"/>
              <wp:effectExtent l="0" t="2381250" r="0" b="24453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24EA7"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4746AF" id="_x0000_t202" coordsize="21600,21600" o:spt="202" path="m,l,21600r21600,l21600,xe">
              <v:stroke joinstyle="miter"/>
              <v:path gradientshapeok="t" o:connecttype="rect"/>
            </v:shapetype>
            <v:shape id="Text Box 20" o:spid="_x0000_s1026" type="#_x0000_t202" style="position:absolute;margin-left:0;margin-top:0;width:606.2pt;height:53.45pt;rotation:-45;z-index:-2516582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" o:allowincell="f" filled="f" stroked="f">
              <v:stroke joinstyle="round"/>
              <o:lock v:ext="edit" shapetype="t"/>
              <v:textbox style="mso-fit-shape-to-text:t">
                <w:txbxContent>
                  <w:p w14:paraId="18E24EA7"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66" behindDoc="1" locked="0" layoutInCell="0" allowOverlap="1" wp14:anchorId="326FA647" wp14:editId="3C8DD4AB">
              <wp:simplePos x="0" y="0"/>
              <wp:positionH relativeFrom="margin">
                <wp:align>center</wp:align>
              </wp:positionH>
              <wp:positionV relativeFrom="margin">
                <wp:align>center</wp:align>
              </wp:positionV>
              <wp:extent cx="7698740" cy="678815"/>
              <wp:effectExtent l="0" t="2381250" r="0" b="24453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E4CB4"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6FA647" id="Text Box 19" o:spid="_x0000_s1027" type="#_x0000_t202" style="position:absolute;margin-left:0;margin-top:0;width:606.2pt;height:53.45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" o:allowincell="f" filled="f" stroked="f">
              <v:stroke joinstyle="round"/>
              <o:lock v:ext="edit" shapetype="t"/>
              <v:textbox style="mso-fit-shape-to-text:t">
                <w:txbxContent>
                  <w:p w14:paraId="7B2E4CB4"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63" behindDoc="1" locked="0" layoutInCell="0" allowOverlap="1" wp14:anchorId="004AD1A1" wp14:editId="3C8D459A">
              <wp:simplePos x="0" y="0"/>
              <wp:positionH relativeFrom="margin">
                <wp:align>center</wp:align>
              </wp:positionH>
              <wp:positionV relativeFrom="margin">
                <wp:align>center</wp:align>
              </wp:positionV>
              <wp:extent cx="7698740" cy="678815"/>
              <wp:effectExtent l="0" t="2381250" r="0" b="24453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55516D"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4AD1A1" id="Text Box 18" o:spid="_x0000_s1028" type="#_x0000_t202" style="position:absolute;margin-left:0;margin-top:0;width:606.2pt;height:53.45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" o:allowincell="f" filled="f" stroked="f">
              <v:stroke joinstyle="round"/>
              <o:lock v:ext="edit" shapetype="t"/>
              <v:textbox style="mso-fit-shape-to-text:t">
                <w:txbxContent>
                  <w:p w14:paraId="1155516D"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60" behindDoc="1" locked="0" layoutInCell="0" allowOverlap="1" wp14:anchorId="5158CD2D" wp14:editId="295D8071">
              <wp:simplePos x="0" y="0"/>
              <wp:positionH relativeFrom="margin">
                <wp:align>center</wp:align>
              </wp:positionH>
              <wp:positionV relativeFrom="margin">
                <wp:align>center</wp:align>
              </wp:positionV>
              <wp:extent cx="7698740" cy="678815"/>
              <wp:effectExtent l="0" t="2381250" r="0" b="244538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4EA218"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58CD2D" id="Text Box 17" o:spid="_x0000_s1029" type="#_x0000_t202" style="position:absolute;margin-left:0;margin-top:0;width:606.2pt;height:53.45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" o:allowincell="f" filled="f" stroked="f">
              <v:stroke joinstyle="round"/>
              <o:lock v:ext="edit" shapetype="t"/>
              <v:textbox style="mso-fit-shape-to-text:t">
                <w:txbxContent>
                  <w:p w14:paraId="2F4EA218"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57" behindDoc="1" locked="0" layoutInCell="0" allowOverlap="1" wp14:anchorId="56C42053" wp14:editId="68944557">
              <wp:simplePos x="0" y="0"/>
              <wp:positionH relativeFrom="margin">
                <wp:align>center</wp:align>
              </wp:positionH>
              <wp:positionV relativeFrom="margin">
                <wp:align>center</wp:align>
              </wp:positionV>
              <wp:extent cx="7698740" cy="678815"/>
              <wp:effectExtent l="0" t="2381250" r="0" b="24453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751150"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C42053" id="Text Box 16" o:spid="_x0000_s1030" type="#_x0000_t202" style="position:absolute;margin-left:0;margin-top:0;width:606.2pt;height:53.45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" o:allowincell="f" filled="f" stroked="f">
              <v:stroke joinstyle="round"/>
              <o:lock v:ext="edit" shapetype="t"/>
              <v:textbox style="mso-fit-shape-to-text:t">
                <w:txbxContent>
                  <w:p w14:paraId="14751150"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54" behindDoc="1" locked="0" layoutInCell="0" allowOverlap="1" wp14:anchorId="3D18E45F" wp14:editId="4E772161">
              <wp:simplePos x="0" y="0"/>
              <wp:positionH relativeFrom="margin">
                <wp:align>center</wp:align>
              </wp:positionH>
              <wp:positionV relativeFrom="margin">
                <wp:align>center</wp:align>
              </wp:positionV>
              <wp:extent cx="7698740" cy="678815"/>
              <wp:effectExtent l="0" t="2381250" r="0" b="24453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569154"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18E45F" id="Text Box 15" o:spid="_x0000_s1031" type="#_x0000_t202" style="position:absolute;margin-left:0;margin-top:0;width:606.2pt;height:53.4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" o:allowincell="f" filled="f" stroked="f">
              <v:stroke joinstyle="round"/>
              <o:lock v:ext="edit" shapetype="t"/>
              <v:textbox style="mso-fit-shape-to-text:t">
                <w:txbxContent>
                  <w:p w14:paraId="06569154" w14:textId="77777777" w:rsidR="00655890" w:rsidRDefault="00655890" w:rsidP="000C198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51" behindDoc="1" locked="0" layoutInCell="0" allowOverlap="1" wp14:anchorId="417CC313" wp14:editId="6A548864">
              <wp:simplePos x="0" y="0"/>
              <wp:positionH relativeFrom="margin">
                <wp:align>center</wp:align>
              </wp:positionH>
              <wp:positionV relativeFrom="margin">
                <wp:align>center</wp:align>
              </wp:positionV>
              <wp:extent cx="7698740" cy="678815"/>
              <wp:effectExtent l="0" t="0" r="0" b="0"/>
              <wp:wrapNone/>
              <wp:docPr id="78" name="WordArt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B1125" w14:textId="77777777" w:rsidR="00655890" w:rsidRDefault="00655890" w:rsidP="000C198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17CC313" id="WordArt 136" o:spid="_x0000_s1032" type="#_x0000_t202" style="position:absolute;margin-left:0;margin-top:0;width:606.2pt;height:53.4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" o:allowincell="f" filled="f" stroked="f">
              <v:stroke joinstyle="round"/>
              <o:lock v:ext="edit" aspectratio="t" verticies="t" shapetype="t"/>
              <v:textbox>
                <w:txbxContent>
                  <w:p w14:paraId="102B1125" w14:textId="77777777" w:rsidR="00655890" w:rsidRDefault="00655890" w:rsidP="000C198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48" behindDoc="1" locked="0" layoutInCell="0" allowOverlap="1" wp14:anchorId="48015206" wp14:editId="75B48705">
              <wp:simplePos x="0" y="0"/>
              <wp:positionH relativeFrom="margin">
                <wp:align>center</wp:align>
              </wp:positionH>
              <wp:positionV relativeFrom="margin">
                <wp:align>center</wp:align>
              </wp:positionV>
              <wp:extent cx="7698740" cy="678815"/>
              <wp:effectExtent l="0" t="0" r="0" b="0"/>
              <wp:wrapNone/>
              <wp:docPr id="77" name="WordArt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A73BF5" w14:textId="77777777" w:rsidR="00655890" w:rsidRDefault="00655890" w:rsidP="000C198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8015206" id="WordArt 135" o:spid="_x0000_s1033" type="#_x0000_t202" style="position:absolute;margin-left:0;margin-top:0;width:606.2pt;height:53.4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" o:allowincell="f" filled="f" stroked="f">
              <v:stroke joinstyle="round"/>
              <o:lock v:ext="edit" aspectratio="t" verticies="t" shapetype="t"/>
              <v:textbox>
                <w:txbxContent>
                  <w:p w14:paraId="50A73BF5" w14:textId="77777777" w:rsidR="00655890" w:rsidRDefault="00655890" w:rsidP="000C1980">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45" behindDoc="1" locked="0" layoutInCell="0" allowOverlap="1" wp14:anchorId="29ACB8AA" wp14:editId="62351052">
              <wp:simplePos x="0" y="0"/>
              <wp:positionH relativeFrom="margin">
                <wp:align>center</wp:align>
              </wp:positionH>
              <wp:positionV relativeFrom="margin">
                <wp:align>center</wp:align>
              </wp:positionV>
              <wp:extent cx="7698740" cy="678815"/>
              <wp:effectExtent l="0" t="0" r="0" b="0"/>
              <wp:wrapNone/>
              <wp:docPr id="179" name="WordArt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78AFF7" w14:textId="77777777" w:rsidR="00655890" w:rsidRDefault="00655890" w:rsidP="000C1980">
                          <w:pPr>
                            <w:jc w:val="center"/>
                            <w:rPr>
                              <w:sz w:val="24"/>
                              <w:szCs w:val="24"/>
                            </w:rPr>
                          </w:pPr>
                          <w:r>
                            <w:rPr>
                              <w:color w:val="C0C0C0"/>
                              <w:sz w:val="16"/>
                              <w:szCs w:val="16"/>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ACB8AA" id="WordArt 231" o:spid="_x0000_s1034" type="#_x0000_t202" style="position:absolute;margin-left:0;margin-top:0;width:606.2pt;height:53.4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" o:allowincell="f" filled="f" stroked="f">
              <v:stroke joinstyle="round"/>
              <o:lock v:ext="edit" aspectratio="t" verticies="t" shapetype="t"/>
              <v:textbox>
                <w:txbxContent>
                  <w:p w14:paraId="2978AFF7" w14:textId="77777777" w:rsidR="00655890" w:rsidRDefault="00655890" w:rsidP="000C1980">
                    <w:pPr>
                      <w:jc w:val="center"/>
                      <w:rPr>
                        <w:sz w:val="24"/>
                        <w:szCs w:val="24"/>
                      </w:rPr>
                    </w:pPr>
                    <w:r>
                      <w:rPr>
                        <w:color w:val="C0C0C0"/>
                        <w:sz w:val="16"/>
                        <w:szCs w:val="16"/>
                        <w14:textFill>
                          <w14:solidFill>
                            <w14:srgbClr w14:val="C0C0C0">
                              <w14:alpha w14:val="50000"/>
                            </w14:srgbClr>
                          </w14:solidFill>
                        </w14:textFill>
                      </w:rPr>
                      <w:t xml:space="preserve">confidential/deliberative process </w:t>
                    </w:r>
                  </w:p>
                </w:txbxContent>
              </v:textbox>
              <w10:wrap anchorx="margin" anchory="margin"/>
            </v:shape>
          </w:pict>
        </mc:Fallback>
      </mc:AlternateContent>
    </w:r>
    <w:r>
      <w:rPr>
        <w:noProof/>
      </w:rPr>
      <mc:AlternateContent>
        <mc:Choice Requires="wps">
          <w:drawing>
            <wp:anchor distT="0" distB="0" distL="114300" distR="114300" simplePos="0" relativeHeight="251658242" behindDoc="1" locked="0" layoutInCell="0" allowOverlap="1" wp14:anchorId="28C00D55" wp14:editId="6ACC2CCD">
              <wp:simplePos x="0" y="0"/>
              <wp:positionH relativeFrom="margin">
                <wp:align>center</wp:align>
              </wp:positionH>
              <wp:positionV relativeFrom="margin">
                <wp:align>center</wp:align>
              </wp:positionV>
              <wp:extent cx="7698740" cy="678815"/>
              <wp:effectExtent l="0" t="0" r="0" b="0"/>
              <wp:wrapNone/>
              <wp:docPr id="178" name="WordArt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7698740" cy="678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AF31F9" w14:textId="77777777" w:rsidR="00655890" w:rsidRDefault="00655890" w:rsidP="000C1980">
                          <w:pPr>
                            <w:jc w:val="center"/>
                            <w:rPr>
                              <w:sz w:val="24"/>
                              <w:szCs w:val="24"/>
                            </w:rPr>
                          </w:pPr>
                          <w:r>
                            <w:rPr>
                              <w:color w:val="C0C0C0"/>
                              <w:sz w:val="16"/>
                              <w:szCs w:val="16"/>
                              <w14:textFill>
                                <w14:solidFill>
                                  <w14:srgbClr w14:val="C0C0C0">
                                    <w14:alpha w14:val="50000"/>
                                  </w14:srgbClr>
                                </w14:solidFill>
                              </w14:textFill>
                            </w:rPr>
                            <w:t xml:space="preserve">confidential/deliberative process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C00D55" id="WordArt 230" o:spid="_x0000_s1035" type="#_x0000_t202" style="position:absolute;margin-left:0;margin-top:0;width:606.2pt;height:53.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" o:allowincell="f" filled="f" stroked="f">
              <v:stroke joinstyle="round"/>
              <o:lock v:ext="edit" aspectratio="t" verticies="t" shapetype="t"/>
              <v:textbox>
                <w:txbxContent>
                  <w:p w14:paraId="1BAF31F9" w14:textId="77777777" w:rsidR="00655890" w:rsidRDefault="00655890" w:rsidP="000C1980">
                    <w:pPr>
                      <w:jc w:val="center"/>
                      <w:rPr>
                        <w:sz w:val="24"/>
                        <w:szCs w:val="24"/>
                      </w:rPr>
                    </w:pPr>
                    <w:r>
                      <w:rPr>
                        <w:color w:val="C0C0C0"/>
                        <w:sz w:val="16"/>
                        <w:szCs w:val="16"/>
                        <w14:textFill>
                          <w14:solidFill>
                            <w14:srgbClr w14:val="C0C0C0">
                              <w14:alpha w14:val="50000"/>
                            </w14:srgbClr>
                          </w14:solidFill>
                        </w14:textFill>
                      </w:rPr>
                      <w:t xml:space="preserve">confidential/deliberative process </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A85A" w14:textId="58A90433" w:rsidR="00655890" w:rsidRDefault="00655890" w:rsidP="000C1980">
    <w:pPr>
      <w:pStyle w:val="Header"/>
      <w:tabs>
        <w:tab w:val="clear" w:pos="4680"/>
      </w:tabs>
      <w:rPr>
        <w:b/>
      </w:rPr>
    </w:pPr>
    <w:r>
      <w:t xml:space="preserve">A.19-11-003 </w:t>
    </w:r>
    <w:r>
      <w:rPr>
        <w:i/>
        <w:iCs/>
      </w:rPr>
      <w:t>et al.</w:t>
    </w:r>
    <w:r>
      <w:t xml:space="preserve">  ALJ/ATR/gp2</w:t>
    </w:r>
    <w:r>
      <w:tab/>
    </w:r>
    <w:r w:rsidR="009E1206">
      <w:rPr>
        <w:b/>
      </w:rPr>
      <w:t xml:space="preserve"> </w:t>
    </w:r>
  </w:p>
  <w:p w14:paraId="23A8B63D" w14:textId="77777777" w:rsidR="00655890" w:rsidRPr="003E306A" w:rsidRDefault="00655890" w:rsidP="000C1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A729" w14:textId="4485B622" w:rsidR="00655890" w:rsidRDefault="00655890" w:rsidP="000C1980">
    <w:pPr>
      <w:pStyle w:val="Header"/>
      <w:tabs>
        <w:tab w:val="clear" w:pos="4680"/>
      </w:tabs>
      <w:rPr>
        <w:b/>
      </w:rPr>
    </w:pPr>
    <w:r>
      <w:t xml:space="preserve">A.19-11-003 </w:t>
    </w:r>
    <w:r>
      <w:rPr>
        <w:i/>
        <w:iCs/>
      </w:rPr>
      <w:t>et al.</w:t>
    </w:r>
    <w:r>
      <w:t xml:space="preserve">  ALJ/ATR/gp2</w:t>
    </w:r>
    <w:r>
      <w:tab/>
    </w:r>
  </w:p>
  <w:p w14:paraId="18B00FFA" w14:textId="648CDF82" w:rsidR="00655890" w:rsidRPr="00B3087D" w:rsidRDefault="00655890" w:rsidP="000C1980">
    <w:pPr>
      <w:pStyle w:val="Header"/>
      <w:tabs>
        <w:tab w:val="clear" w:pos="4680"/>
      </w:tabs>
      <w:rPr>
        <w:i/>
        <w:color w:val="FF0000"/>
      </w:rPr>
    </w:pPr>
  </w:p>
  <w:p w14:paraId="3561AB89" w14:textId="516C1951" w:rsidR="00655890" w:rsidRPr="003209E9" w:rsidRDefault="00655890" w:rsidP="000C1980">
    <w:pPr>
      <w:pStyle w:val="Header"/>
      <w:rPr>
        <w:b/>
        <w:bCs/>
        <w:lang w:val="es-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B7CBF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D6243E"/>
    <w:multiLevelType w:val="hybridMultilevel"/>
    <w:tmpl w:val="3AA06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C906F5"/>
    <w:multiLevelType w:val="hybridMultilevel"/>
    <w:tmpl w:val="0D969830"/>
    <w:lvl w:ilvl="0" w:tplc="D6FAE9DA">
      <w:start w:val="1"/>
      <w:numFmt w:val="bullet"/>
      <w:lvlText w:val=""/>
      <w:lvlJc w:val="left"/>
      <w:pPr>
        <w:ind w:left="720" w:hanging="360"/>
      </w:pPr>
      <w:rPr>
        <w:rFonts w:ascii="Symbol" w:hAnsi="Symbol" w:hint="default"/>
      </w:rPr>
    </w:lvl>
    <w:lvl w:ilvl="1" w:tplc="ED72F7EC">
      <w:start w:val="1"/>
      <w:numFmt w:val="bullet"/>
      <w:lvlText w:val="o"/>
      <w:lvlJc w:val="left"/>
      <w:pPr>
        <w:ind w:left="1440" w:hanging="360"/>
      </w:pPr>
      <w:rPr>
        <w:rFonts w:ascii="Courier New" w:hAnsi="Courier New" w:hint="default"/>
      </w:rPr>
    </w:lvl>
    <w:lvl w:ilvl="2" w:tplc="9A16DAF0">
      <w:start w:val="1"/>
      <w:numFmt w:val="bullet"/>
      <w:lvlText w:val=""/>
      <w:lvlJc w:val="left"/>
      <w:pPr>
        <w:ind w:left="2160" w:hanging="360"/>
      </w:pPr>
      <w:rPr>
        <w:rFonts w:ascii="Wingdings" w:hAnsi="Wingdings" w:hint="default"/>
      </w:rPr>
    </w:lvl>
    <w:lvl w:ilvl="3" w:tplc="D354E6B2">
      <w:start w:val="1"/>
      <w:numFmt w:val="bullet"/>
      <w:lvlText w:val=""/>
      <w:lvlJc w:val="left"/>
      <w:pPr>
        <w:ind w:left="2880" w:hanging="360"/>
      </w:pPr>
      <w:rPr>
        <w:rFonts w:ascii="Symbol" w:hAnsi="Symbol" w:hint="default"/>
      </w:rPr>
    </w:lvl>
    <w:lvl w:ilvl="4" w:tplc="B8F88ADC">
      <w:start w:val="1"/>
      <w:numFmt w:val="bullet"/>
      <w:lvlText w:val="o"/>
      <w:lvlJc w:val="left"/>
      <w:pPr>
        <w:ind w:left="3600" w:hanging="360"/>
      </w:pPr>
      <w:rPr>
        <w:rFonts w:ascii="Courier New" w:hAnsi="Courier New" w:hint="default"/>
      </w:rPr>
    </w:lvl>
    <w:lvl w:ilvl="5" w:tplc="88082520">
      <w:start w:val="1"/>
      <w:numFmt w:val="bullet"/>
      <w:lvlText w:val=""/>
      <w:lvlJc w:val="left"/>
      <w:pPr>
        <w:ind w:left="4320" w:hanging="360"/>
      </w:pPr>
      <w:rPr>
        <w:rFonts w:ascii="Wingdings" w:hAnsi="Wingdings" w:hint="default"/>
      </w:rPr>
    </w:lvl>
    <w:lvl w:ilvl="6" w:tplc="80EE9A3A">
      <w:start w:val="1"/>
      <w:numFmt w:val="bullet"/>
      <w:lvlText w:val=""/>
      <w:lvlJc w:val="left"/>
      <w:pPr>
        <w:ind w:left="5040" w:hanging="360"/>
      </w:pPr>
      <w:rPr>
        <w:rFonts w:ascii="Symbol" w:hAnsi="Symbol" w:hint="default"/>
      </w:rPr>
    </w:lvl>
    <w:lvl w:ilvl="7" w:tplc="3F4A6914">
      <w:start w:val="1"/>
      <w:numFmt w:val="bullet"/>
      <w:lvlText w:val="o"/>
      <w:lvlJc w:val="left"/>
      <w:pPr>
        <w:ind w:left="5760" w:hanging="360"/>
      </w:pPr>
      <w:rPr>
        <w:rFonts w:ascii="Courier New" w:hAnsi="Courier New" w:hint="default"/>
      </w:rPr>
    </w:lvl>
    <w:lvl w:ilvl="8" w:tplc="7E529116">
      <w:start w:val="1"/>
      <w:numFmt w:val="bullet"/>
      <w:lvlText w:val=""/>
      <w:lvlJc w:val="left"/>
      <w:pPr>
        <w:ind w:left="6480" w:hanging="360"/>
      </w:pPr>
      <w:rPr>
        <w:rFonts w:ascii="Wingdings" w:hAnsi="Wingdings" w:hint="default"/>
      </w:rPr>
    </w:lvl>
  </w:abstractNum>
  <w:abstractNum w:abstractNumId="3" w15:restartNumberingAfterBreak="0">
    <w:nsid w:val="0FDA48FF"/>
    <w:multiLevelType w:val="hybridMultilevel"/>
    <w:tmpl w:val="50367C7E"/>
    <w:lvl w:ilvl="0" w:tplc="04090001">
      <w:start w:val="1"/>
      <w:numFmt w:val="bullet"/>
      <w:lvlText w:val=""/>
      <w:lvlJc w:val="left"/>
      <w:pPr>
        <w:ind w:left="907" w:hanging="360"/>
      </w:pPr>
      <w:rPr>
        <w:rFonts w:ascii="Symbol" w:hAnsi="Symbol" w:hint="default"/>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4" w15:restartNumberingAfterBreak="0">
    <w:nsid w:val="146C1C14"/>
    <w:multiLevelType w:val="multilevel"/>
    <w:tmpl w:val="18F4A5AC"/>
    <w:styleLink w:val="FoFCoLOP"/>
    <w:lvl w:ilvl="0">
      <w:start w:val="1"/>
      <w:numFmt w:val="decimal"/>
      <w:pStyle w:val="OP"/>
      <w:lvlText w:val="%1."/>
      <w:lvlJc w:val="right"/>
      <w:pPr>
        <w:ind w:left="0" w:firstLine="540"/>
      </w:pPr>
      <w:rPr>
        <w:rFonts w:hint="default"/>
      </w:rPr>
    </w:lvl>
    <w:lvl w:ilvl="1">
      <w:start w:val="1"/>
      <w:numFmt w:val="lowerLetter"/>
      <w:lvlText w:val="(%2)"/>
      <w:lvlJc w:val="right"/>
      <w:pPr>
        <w:ind w:left="1152" w:hanging="72"/>
      </w:pPr>
      <w:rPr>
        <w:rFonts w:hint="default"/>
      </w:rPr>
    </w:lvl>
    <w:lvl w:ilvl="2">
      <w:start w:val="1"/>
      <w:numFmt w:val="none"/>
      <w:lvlText w:val=""/>
      <w:lvlJc w:val="left"/>
      <w:pPr>
        <w:ind w:left="720" w:firstLine="0"/>
      </w:pPr>
      <w:rPr>
        <w:rFonts w:hint="default"/>
      </w:rPr>
    </w:lvl>
    <w:lvl w:ilvl="3">
      <w:start w:val="1"/>
      <w:numFmt w:val="none"/>
      <w:lvlText w:val=""/>
      <w:lvlJc w:val="left"/>
      <w:pPr>
        <w:ind w:left="720" w:firstLine="0"/>
      </w:pPr>
      <w:rPr>
        <w:rFonts w:hint="default"/>
      </w:rPr>
    </w:lvl>
    <w:lvl w:ilvl="4">
      <w:start w:val="1"/>
      <w:numFmt w:val="none"/>
      <w:lvlText w:val=""/>
      <w:lvlJc w:val="left"/>
      <w:pPr>
        <w:ind w:left="720" w:firstLine="0"/>
      </w:pPr>
      <w:rPr>
        <w:rFonts w:hint="default"/>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5" w15:restartNumberingAfterBreak="0">
    <w:nsid w:val="15F056CB"/>
    <w:multiLevelType w:val="multilevel"/>
    <w:tmpl w:val="18F4A5AC"/>
    <w:numStyleLink w:val="FoFCoLOP"/>
  </w:abstractNum>
  <w:abstractNum w:abstractNumId="6" w15:restartNumberingAfterBreak="0">
    <w:nsid w:val="1AF25B70"/>
    <w:multiLevelType w:val="hybridMultilevel"/>
    <w:tmpl w:val="E168FB6A"/>
    <w:lvl w:ilvl="0" w:tplc="04090015">
      <w:start w:val="1"/>
      <w:numFmt w:val="upperLetter"/>
      <w:lvlText w:val="%1."/>
      <w:lvlJc w:val="left"/>
      <w:pPr>
        <w:ind w:left="360" w:hanging="360"/>
      </w:pPr>
      <w:rPr>
        <w:rFonts w:hint="default"/>
      </w:rPr>
    </w:lvl>
    <w:lvl w:ilvl="1" w:tplc="1BE8F75C">
      <w:start w:val="1"/>
      <w:numFmt w:val="lowerLetter"/>
      <w:lvlText w:val="%2."/>
      <w:lvlJc w:val="left"/>
      <w:pPr>
        <w:ind w:left="1080" w:hanging="360"/>
      </w:pPr>
    </w:lvl>
    <w:lvl w:ilvl="2" w:tplc="491C3412">
      <w:start w:val="1"/>
      <w:numFmt w:val="lowerRoman"/>
      <w:lvlText w:val="%3."/>
      <w:lvlJc w:val="right"/>
      <w:pPr>
        <w:ind w:left="1800" w:hanging="180"/>
      </w:pPr>
    </w:lvl>
    <w:lvl w:ilvl="3" w:tplc="F36627B0">
      <w:start w:val="1"/>
      <w:numFmt w:val="decimal"/>
      <w:lvlText w:val="%4."/>
      <w:lvlJc w:val="left"/>
      <w:pPr>
        <w:ind w:left="2520" w:hanging="360"/>
      </w:pPr>
    </w:lvl>
    <w:lvl w:ilvl="4" w:tplc="04A0F242">
      <w:start w:val="1"/>
      <w:numFmt w:val="lowerLetter"/>
      <w:lvlText w:val="%5."/>
      <w:lvlJc w:val="left"/>
      <w:pPr>
        <w:ind w:left="3240" w:hanging="360"/>
      </w:pPr>
    </w:lvl>
    <w:lvl w:ilvl="5" w:tplc="527A93D4">
      <w:start w:val="1"/>
      <w:numFmt w:val="lowerRoman"/>
      <w:lvlText w:val="%6."/>
      <w:lvlJc w:val="right"/>
      <w:pPr>
        <w:ind w:left="3960" w:hanging="180"/>
      </w:pPr>
    </w:lvl>
    <w:lvl w:ilvl="6" w:tplc="B9D48330">
      <w:start w:val="1"/>
      <w:numFmt w:val="decimal"/>
      <w:lvlText w:val="%7."/>
      <w:lvlJc w:val="left"/>
      <w:pPr>
        <w:ind w:left="4680" w:hanging="360"/>
      </w:pPr>
    </w:lvl>
    <w:lvl w:ilvl="7" w:tplc="679C60FA">
      <w:start w:val="1"/>
      <w:numFmt w:val="lowerLetter"/>
      <w:lvlText w:val="%8."/>
      <w:lvlJc w:val="left"/>
      <w:pPr>
        <w:ind w:left="5400" w:hanging="360"/>
      </w:pPr>
    </w:lvl>
    <w:lvl w:ilvl="8" w:tplc="C17A1DF6">
      <w:start w:val="1"/>
      <w:numFmt w:val="lowerRoman"/>
      <w:lvlText w:val="%9."/>
      <w:lvlJc w:val="right"/>
      <w:pPr>
        <w:ind w:left="6120" w:hanging="180"/>
      </w:pPr>
    </w:lvl>
  </w:abstractNum>
  <w:abstractNum w:abstractNumId="7" w15:restartNumberingAfterBreak="0">
    <w:nsid w:val="1CBA339C"/>
    <w:multiLevelType w:val="hybridMultilevel"/>
    <w:tmpl w:val="2696A9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443C6F"/>
    <w:multiLevelType w:val="hybridMultilevel"/>
    <w:tmpl w:val="5EB83A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4A2BC5"/>
    <w:multiLevelType w:val="hybridMultilevel"/>
    <w:tmpl w:val="E168FB6A"/>
    <w:lvl w:ilvl="0" w:tplc="04090015">
      <w:start w:val="1"/>
      <w:numFmt w:val="upperLetter"/>
      <w:lvlText w:val="%1."/>
      <w:lvlJc w:val="left"/>
      <w:pPr>
        <w:ind w:left="360" w:hanging="360"/>
      </w:pPr>
      <w:rPr>
        <w:rFonts w:hint="default"/>
      </w:rPr>
    </w:lvl>
    <w:lvl w:ilvl="1" w:tplc="1BE8F75C">
      <w:start w:val="1"/>
      <w:numFmt w:val="lowerLetter"/>
      <w:lvlText w:val="%2."/>
      <w:lvlJc w:val="left"/>
      <w:pPr>
        <w:ind w:left="1080" w:hanging="360"/>
      </w:pPr>
    </w:lvl>
    <w:lvl w:ilvl="2" w:tplc="491C3412">
      <w:start w:val="1"/>
      <w:numFmt w:val="lowerRoman"/>
      <w:lvlText w:val="%3."/>
      <w:lvlJc w:val="right"/>
      <w:pPr>
        <w:ind w:left="1800" w:hanging="180"/>
      </w:pPr>
    </w:lvl>
    <w:lvl w:ilvl="3" w:tplc="F36627B0">
      <w:start w:val="1"/>
      <w:numFmt w:val="decimal"/>
      <w:lvlText w:val="%4."/>
      <w:lvlJc w:val="left"/>
      <w:pPr>
        <w:ind w:left="2520" w:hanging="360"/>
      </w:pPr>
    </w:lvl>
    <w:lvl w:ilvl="4" w:tplc="04A0F242">
      <w:start w:val="1"/>
      <w:numFmt w:val="lowerLetter"/>
      <w:lvlText w:val="%5."/>
      <w:lvlJc w:val="left"/>
      <w:pPr>
        <w:ind w:left="3240" w:hanging="360"/>
      </w:pPr>
    </w:lvl>
    <w:lvl w:ilvl="5" w:tplc="527A93D4">
      <w:start w:val="1"/>
      <w:numFmt w:val="lowerRoman"/>
      <w:lvlText w:val="%6."/>
      <w:lvlJc w:val="right"/>
      <w:pPr>
        <w:ind w:left="3960" w:hanging="180"/>
      </w:pPr>
    </w:lvl>
    <w:lvl w:ilvl="6" w:tplc="B9D48330">
      <w:start w:val="1"/>
      <w:numFmt w:val="decimal"/>
      <w:lvlText w:val="%7."/>
      <w:lvlJc w:val="left"/>
      <w:pPr>
        <w:ind w:left="4680" w:hanging="360"/>
      </w:pPr>
    </w:lvl>
    <w:lvl w:ilvl="7" w:tplc="679C60FA">
      <w:start w:val="1"/>
      <w:numFmt w:val="lowerLetter"/>
      <w:lvlText w:val="%8."/>
      <w:lvlJc w:val="left"/>
      <w:pPr>
        <w:ind w:left="5400" w:hanging="360"/>
      </w:pPr>
    </w:lvl>
    <w:lvl w:ilvl="8" w:tplc="C17A1DF6">
      <w:start w:val="1"/>
      <w:numFmt w:val="lowerRoman"/>
      <w:lvlText w:val="%9."/>
      <w:lvlJc w:val="right"/>
      <w:pPr>
        <w:ind w:left="6120" w:hanging="180"/>
      </w:pPr>
    </w:lvl>
  </w:abstractNum>
  <w:abstractNum w:abstractNumId="10" w15:restartNumberingAfterBreak="0">
    <w:nsid w:val="23010D01"/>
    <w:multiLevelType w:val="hybridMultilevel"/>
    <w:tmpl w:val="2BDAB852"/>
    <w:lvl w:ilvl="0" w:tplc="93F80C28">
      <w:start w:val="1"/>
      <w:numFmt w:val="decimal"/>
      <w:pStyle w:val="conclusionoflaw"/>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4762FA"/>
    <w:multiLevelType w:val="hybridMultilevel"/>
    <w:tmpl w:val="AC8280C4"/>
    <w:lvl w:ilvl="0" w:tplc="04090001">
      <w:start w:val="1"/>
      <w:numFmt w:val="bullet"/>
      <w:lvlText w:val=""/>
      <w:lvlJc w:val="left"/>
      <w:pPr>
        <w:ind w:left="907" w:hanging="360"/>
      </w:pPr>
      <w:rPr>
        <w:rFonts w:ascii="Symbol" w:hAnsi="Symbol" w:hint="default"/>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12" w15:restartNumberingAfterBreak="0">
    <w:nsid w:val="2EBE59A8"/>
    <w:multiLevelType w:val="hybridMultilevel"/>
    <w:tmpl w:val="744615B2"/>
    <w:lvl w:ilvl="0" w:tplc="A1641ECA">
      <w:start w:val="1"/>
      <w:numFmt w:val="decimal"/>
      <w:lvlText w:val="%1."/>
      <w:lvlJc w:val="left"/>
      <w:pPr>
        <w:ind w:left="720" w:hanging="360"/>
      </w:pPr>
    </w:lvl>
    <w:lvl w:ilvl="1" w:tplc="AED8405A">
      <w:start w:val="1"/>
      <w:numFmt w:val="lowerLetter"/>
      <w:lvlText w:val="%2."/>
      <w:lvlJc w:val="left"/>
      <w:pPr>
        <w:ind w:left="1440" w:hanging="360"/>
      </w:pPr>
    </w:lvl>
    <w:lvl w:ilvl="2" w:tplc="2ED64368">
      <w:start w:val="1"/>
      <w:numFmt w:val="lowerLetter"/>
      <w:lvlText w:val="%3."/>
      <w:lvlJc w:val="left"/>
      <w:pPr>
        <w:ind w:left="2160" w:hanging="180"/>
      </w:pPr>
    </w:lvl>
    <w:lvl w:ilvl="3" w:tplc="7B060DDA">
      <w:start w:val="1"/>
      <w:numFmt w:val="decimal"/>
      <w:lvlText w:val="%4."/>
      <w:lvlJc w:val="left"/>
      <w:pPr>
        <w:ind w:left="2880" w:hanging="360"/>
      </w:pPr>
    </w:lvl>
    <w:lvl w:ilvl="4" w:tplc="C5562BE0">
      <w:start w:val="1"/>
      <w:numFmt w:val="lowerLetter"/>
      <w:lvlText w:val="%5."/>
      <w:lvlJc w:val="left"/>
      <w:pPr>
        <w:ind w:left="3600" w:hanging="360"/>
      </w:pPr>
    </w:lvl>
    <w:lvl w:ilvl="5" w:tplc="B83C4712">
      <w:start w:val="1"/>
      <w:numFmt w:val="lowerRoman"/>
      <w:lvlText w:val="%6."/>
      <w:lvlJc w:val="right"/>
      <w:pPr>
        <w:ind w:left="4320" w:hanging="180"/>
      </w:pPr>
    </w:lvl>
    <w:lvl w:ilvl="6" w:tplc="CFB265CA">
      <w:start w:val="1"/>
      <w:numFmt w:val="decimal"/>
      <w:lvlText w:val="%7."/>
      <w:lvlJc w:val="left"/>
      <w:pPr>
        <w:ind w:left="5040" w:hanging="360"/>
      </w:pPr>
    </w:lvl>
    <w:lvl w:ilvl="7" w:tplc="83D28114">
      <w:start w:val="1"/>
      <w:numFmt w:val="lowerLetter"/>
      <w:lvlText w:val="%8."/>
      <w:lvlJc w:val="left"/>
      <w:pPr>
        <w:ind w:left="5760" w:hanging="360"/>
      </w:pPr>
    </w:lvl>
    <w:lvl w:ilvl="8" w:tplc="84F0558E">
      <w:start w:val="1"/>
      <w:numFmt w:val="lowerRoman"/>
      <w:lvlText w:val="%9."/>
      <w:lvlJc w:val="right"/>
      <w:pPr>
        <w:ind w:left="6480" w:hanging="180"/>
      </w:pPr>
    </w:lvl>
  </w:abstractNum>
  <w:abstractNum w:abstractNumId="13" w15:restartNumberingAfterBreak="0">
    <w:nsid w:val="32604A56"/>
    <w:multiLevelType w:val="hybridMultilevel"/>
    <w:tmpl w:val="5FE082EE"/>
    <w:lvl w:ilvl="0" w:tplc="4628B9D4">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6E5962"/>
    <w:multiLevelType w:val="multilevel"/>
    <w:tmpl w:val="9CA637A4"/>
    <w:lvl w:ilvl="0">
      <w:start w:val="1"/>
      <w:numFmt w:val="decimal"/>
      <w:lvlText w:val="%1."/>
      <w:lvlJc w:val="left"/>
      <w:pPr>
        <w:ind w:left="360" w:hanging="36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lvlText w:val="%1.%2."/>
      <w:lvlJc w:val="left"/>
      <w:pPr>
        <w:tabs>
          <w:tab w:val="num" w:pos="720"/>
        </w:tabs>
        <w:ind w:left="1368" w:hanging="648"/>
      </w:pPr>
      <w:rPr>
        <w:rFonts w:ascii="Arial" w:hAnsi="Arial" w:hint="default"/>
        <w:b/>
        <w:i w:val="0"/>
        <w:caps w:val="0"/>
        <w:strike w:val="0"/>
        <w:dstrike w:val="0"/>
        <w:vanish w:val="0"/>
        <w:color w:val="auto"/>
        <w:kern w:val="0"/>
        <w:sz w:val="26"/>
        <w:u w:val="none"/>
        <w:vertAlign w:val="baseline"/>
        <w14:cntxtAlts w14:val="0"/>
      </w:rPr>
    </w:lvl>
    <w:lvl w:ilvl="2">
      <w:start w:val="1"/>
      <w:numFmt w:val="decimal"/>
      <w:lvlText w:val="%1.%2.%3."/>
      <w:lvlJc w:val="left"/>
      <w:pPr>
        <w:tabs>
          <w:tab w:val="num" w:pos="1440"/>
        </w:tabs>
        <w:ind w:left="2304" w:hanging="864"/>
      </w:pPr>
      <w:rPr>
        <w:rFonts w:ascii="Arial" w:hAnsi="Arial" w:hint="default"/>
        <w:b/>
        <w:i w:val="0"/>
        <w:caps w:val="0"/>
        <w:strike w:val="0"/>
        <w:dstrike w:val="0"/>
        <w:vanish w:val="0"/>
        <w:color w:val="auto"/>
        <w:kern w:val="0"/>
        <w:sz w:val="26"/>
        <w:u w:val="none"/>
        <w:vertAlign w:val="baseline"/>
        <w14:cntxtAlts w14:val="0"/>
      </w:rPr>
    </w:lvl>
    <w:lvl w:ilvl="3">
      <w:start w:val="1"/>
      <w:numFmt w:val="decimal"/>
      <w:lvlText w:val="%1.%2.%3.%4."/>
      <w:lvlJc w:val="left"/>
      <w:pPr>
        <w:tabs>
          <w:tab w:val="num" w:pos="2160"/>
        </w:tabs>
        <w:ind w:left="3240" w:hanging="1080"/>
      </w:pPr>
      <w:rPr>
        <w:rFonts w:ascii="Arial" w:hAnsi="Arial" w:hint="default"/>
        <w:b/>
        <w:i w:val="0"/>
        <w:caps w:val="0"/>
        <w:strike w:val="0"/>
        <w:dstrike w:val="0"/>
        <w:vanish w:val="0"/>
        <w:kern w:val="0"/>
        <w:sz w:val="26"/>
        <w:vertAlign w:val="baseline"/>
        <w14:cntxtAlts w14:val="0"/>
      </w:rPr>
    </w:lvl>
    <w:lvl w:ilvl="4">
      <w:start w:val="1"/>
      <w:numFmt w:val="decimal"/>
      <w:lvlText w:val="%1.%2.%3.%4.%5."/>
      <w:lvlJc w:val="left"/>
      <w:pPr>
        <w:tabs>
          <w:tab w:val="num" w:pos="2880"/>
        </w:tabs>
        <w:ind w:left="4176" w:hanging="1296"/>
      </w:pPr>
      <w:rPr>
        <w:rFonts w:ascii="Arial" w:hAnsi="Arial" w:hint="default"/>
        <w:b/>
        <w:i w:val="0"/>
        <w:sz w:val="26"/>
      </w:rPr>
    </w:lvl>
    <w:lvl w:ilvl="5">
      <w:start w:val="1"/>
      <w:numFmt w:val="decimal"/>
      <w:lvlText w:val="%1.%2.%3.%4.%5.%6."/>
      <w:lvlJc w:val="left"/>
      <w:pPr>
        <w:tabs>
          <w:tab w:val="num" w:pos="3600"/>
        </w:tabs>
        <w:ind w:left="5112" w:hanging="1512"/>
      </w:pPr>
      <w:rPr>
        <w:rFonts w:ascii="Arial" w:hAnsi="Arial" w:hint="default"/>
        <w:b/>
        <w:i w:val="0"/>
        <w:sz w:val="26"/>
      </w:rPr>
    </w:lvl>
    <w:lvl w:ilvl="6">
      <w:start w:val="1"/>
      <w:numFmt w:val="decimal"/>
      <w:lvlText w:val="%1.%2.%3.%4.%5.%6.%7."/>
      <w:lvlJc w:val="left"/>
      <w:pPr>
        <w:tabs>
          <w:tab w:val="num" w:pos="4320"/>
        </w:tabs>
        <w:ind w:left="5760" w:hanging="1440"/>
      </w:pPr>
      <w:rPr>
        <w:rFonts w:ascii="Arial" w:hAnsi="Arial" w:hint="default"/>
        <w:b/>
        <w:i w:val="0"/>
        <w:sz w:val="26"/>
      </w:rPr>
    </w:lvl>
    <w:lvl w:ilvl="7">
      <w:start w:val="1"/>
      <w:numFmt w:val="upperLetter"/>
      <w:lvlText w:val="%8."/>
      <w:lvlJc w:val="left"/>
      <w:pPr>
        <w:ind w:left="1080" w:hanging="360"/>
      </w:pPr>
      <w:rPr>
        <w:rFonts w:hint="default"/>
        <w:sz w:val="26"/>
      </w:rPr>
    </w:lvl>
    <w:lvl w:ilvl="8">
      <w:start w:val="1"/>
      <w:numFmt w:val="none"/>
      <w:lvlText w:val=""/>
      <w:lvlJc w:val="left"/>
      <w:pPr>
        <w:ind w:left="3240" w:hanging="360"/>
      </w:pPr>
      <w:rPr>
        <w:rFonts w:hint="default"/>
      </w:rPr>
    </w:lvl>
  </w:abstractNum>
  <w:abstractNum w:abstractNumId="15" w15:restartNumberingAfterBreak="0">
    <w:nsid w:val="331F6D42"/>
    <w:multiLevelType w:val="multilevel"/>
    <w:tmpl w:val="E60C07E0"/>
    <w:styleLink w:val="Headings"/>
    <w:lvl w:ilvl="0">
      <w:start w:val="1"/>
      <w:numFmt w:val="decimal"/>
      <w:pStyle w:val="Heading1"/>
      <w:lvlText w:val="%1."/>
      <w:lvlJc w:val="left"/>
      <w:pPr>
        <w:ind w:left="360" w:hanging="36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pStyle w:val="Heading2"/>
      <w:lvlText w:val="%1.%2."/>
      <w:lvlJc w:val="left"/>
      <w:pPr>
        <w:tabs>
          <w:tab w:val="num" w:pos="720"/>
        </w:tabs>
        <w:ind w:left="1368" w:hanging="648"/>
      </w:pPr>
      <w:rPr>
        <w:rFonts w:ascii="Arial" w:hAnsi="Arial" w:hint="default"/>
        <w:b/>
        <w:i w:val="0"/>
        <w:caps w:val="0"/>
        <w:strike w:val="0"/>
        <w:dstrike w:val="0"/>
        <w:vanish w:val="0"/>
        <w:color w:val="auto"/>
        <w:kern w:val="0"/>
        <w:sz w:val="26"/>
        <w:u w:val="none"/>
        <w:vertAlign w:val="baseline"/>
        <w14:cntxtAlts w14:val="0"/>
      </w:rPr>
    </w:lvl>
    <w:lvl w:ilvl="2">
      <w:start w:val="1"/>
      <w:numFmt w:val="decimal"/>
      <w:pStyle w:val="Heading3"/>
      <w:lvlText w:val="%1.%2.%3."/>
      <w:lvlJc w:val="left"/>
      <w:pPr>
        <w:tabs>
          <w:tab w:val="num" w:pos="1440"/>
        </w:tabs>
        <w:ind w:left="2304" w:hanging="864"/>
      </w:pPr>
      <w:rPr>
        <w:rFonts w:ascii="Arial" w:hAnsi="Arial" w:hint="default"/>
        <w:b/>
        <w:i w:val="0"/>
        <w:caps w:val="0"/>
        <w:strike w:val="0"/>
        <w:dstrike w:val="0"/>
        <w:vanish w:val="0"/>
        <w:color w:val="auto"/>
        <w:kern w:val="0"/>
        <w:sz w:val="26"/>
        <w:u w:val="none"/>
        <w:vertAlign w:val="baseline"/>
        <w14:cntxtAlts w14:val="0"/>
      </w:rPr>
    </w:lvl>
    <w:lvl w:ilvl="3">
      <w:start w:val="1"/>
      <w:numFmt w:val="decimal"/>
      <w:pStyle w:val="Heading4"/>
      <w:lvlText w:val="%1.%2.%3.%4."/>
      <w:lvlJc w:val="left"/>
      <w:pPr>
        <w:tabs>
          <w:tab w:val="num" w:pos="2160"/>
        </w:tabs>
        <w:ind w:left="3240" w:hanging="1080"/>
      </w:pPr>
      <w:rPr>
        <w:rFonts w:ascii="Arial" w:hAnsi="Arial" w:hint="default"/>
        <w:b/>
        <w:i w:val="0"/>
        <w:caps w:val="0"/>
        <w:strike w:val="0"/>
        <w:dstrike w:val="0"/>
        <w:vanish w:val="0"/>
        <w:kern w:val="0"/>
        <w:sz w:val="26"/>
        <w:vertAlign w:val="baseline"/>
        <w14:cntxtAlts w14:val="0"/>
      </w:rPr>
    </w:lvl>
    <w:lvl w:ilvl="4">
      <w:start w:val="1"/>
      <w:numFmt w:val="decimal"/>
      <w:pStyle w:val="Heading5"/>
      <w:lvlText w:val="%1.%2.%3.%4.%5."/>
      <w:lvlJc w:val="left"/>
      <w:pPr>
        <w:tabs>
          <w:tab w:val="num" w:pos="2880"/>
        </w:tabs>
        <w:ind w:left="4176" w:hanging="1296"/>
      </w:pPr>
      <w:rPr>
        <w:rFonts w:ascii="Arial" w:hAnsi="Arial" w:hint="default"/>
        <w:b/>
        <w:i w:val="0"/>
        <w:sz w:val="26"/>
      </w:rPr>
    </w:lvl>
    <w:lvl w:ilvl="5">
      <w:start w:val="1"/>
      <w:numFmt w:val="decimal"/>
      <w:pStyle w:val="Heading6"/>
      <w:lvlText w:val="%1.%2.%3.%4.%5.%6."/>
      <w:lvlJc w:val="left"/>
      <w:pPr>
        <w:tabs>
          <w:tab w:val="num" w:pos="3600"/>
        </w:tabs>
        <w:ind w:left="5112" w:hanging="1512"/>
      </w:pPr>
      <w:rPr>
        <w:rFonts w:ascii="Arial" w:hAnsi="Arial" w:hint="default"/>
        <w:b/>
        <w:i w:val="0"/>
        <w:sz w:val="26"/>
      </w:rPr>
    </w:lvl>
    <w:lvl w:ilvl="6">
      <w:start w:val="1"/>
      <w:numFmt w:val="decimal"/>
      <w:lvlText w:val="%1.%2.%3.%4.%5.%6.%7."/>
      <w:lvlJc w:val="left"/>
      <w:pPr>
        <w:tabs>
          <w:tab w:val="num" w:pos="4320"/>
        </w:tabs>
        <w:ind w:left="5760" w:hanging="1440"/>
      </w:pPr>
      <w:rPr>
        <w:rFonts w:ascii="Arial" w:hAnsi="Arial" w:hint="default"/>
        <w:b/>
        <w:i w:val="0"/>
        <w:sz w:val="26"/>
      </w:rPr>
    </w:lvl>
    <w:lvl w:ilvl="7">
      <w:start w:val="1"/>
      <w:numFmt w:val="lowerLetter"/>
      <w:pStyle w:val="ListAlpha"/>
      <w:lvlText w:val="%8."/>
      <w:lvlJc w:val="left"/>
      <w:pPr>
        <w:ind w:left="1080" w:hanging="360"/>
      </w:pPr>
      <w:rPr>
        <w:rFonts w:ascii="Book Antiqua" w:hAnsi="Book Antiqua" w:hint="default"/>
        <w:sz w:val="26"/>
      </w:rPr>
    </w:lvl>
    <w:lvl w:ilvl="8">
      <w:start w:val="1"/>
      <w:numFmt w:val="none"/>
      <w:lvlText w:val=""/>
      <w:lvlJc w:val="left"/>
      <w:pPr>
        <w:ind w:left="3240" w:hanging="360"/>
      </w:pPr>
      <w:rPr>
        <w:rFonts w:hint="default"/>
      </w:rPr>
    </w:lvl>
  </w:abstractNum>
  <w:abstractNum w:abstractNumId="16" w15:restartNumberingAfterBreak="0">
    <w:nsid w:val="33EF1D2A"/>
    <w:multiLevelType w:val="hybridMultilevel"/>
    <w:tmpl w:val="A1EC4F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40612A"/>
    <w:multiLevelType w:val="hybridMultilevel"/>
    <w:tmpl w:val="1F9E418C"/>
    <w:lvl w:ilvl="0" w:tplc="5DE0CA64">
      <w:start w:val="1"/>
      <w:numFmt w:val="decimal"/>
      <w:pStyle w:val="ALJO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1874ED"/>
    <w:multiLevelType w:val="hybridMultilevel"/>
    <w:tmpl w:val="E168FB6A"/>
    <w:lvl w:ilvl="0" w:tplc="04090015">
      <w:start w:val="1"/>
      <w:numFmt w:val="upperLetter"/>
      <w:lvlText w:val="%1."/>
      <w:lvlJc w:val="left"/>
      <w:pPr>
        <w:ind w:left="360" w:hanging="360"/>
      </w:pPr>
      <w:rPr>
        <w:rFonts w:hint="default"/>
      </w:rPr>
    </w:lvl>
    <w:lvl w:ilvl="1" w:tplc="1BE8F75C">
      <w:start w:val="1"/>
      <w:numFmt w:val="lowerLetter"/>
      <w:lvlText w:val="%2."/>
      <w:lvlJc w:val="left"/>
      <w:pPr>
        <w:ind w:left="1080" w:hanging="360"/>
      </w:pPr>
    </w:lvl>
    <w:lvl w:ilvl="2" w:tplc="491C3412">
      <w:start w:val="1"/>
      <w:numFmt w:val="lowerRoman"/>
      <w:lvlText w:val="%3."/>
      <w:lvlJc w:val="right"/>
      <w:pPr>
        <w:ind w:left="1800" w:hanging="180"/>
      </w:pPr>
    </w:lvl>
    <w:lvl w:ilvl="3" w:tplc="F36627B0">
      <w:start w:val="1"/>
      <w:numFmt w:val="decimal"/>
      <w:lvlText w:val="%4."/>
      <w:lvlJc w:val="left"/>
      <w:pPr>
        <w:ind w:left="2520" w:hanging="360"/>
      </w:pPr>
    </w:lvl>
    <w:lvl w:ilvl="4" w:tplc="04A0F242">
      <w:start w:val="1"/>
      <w:numFmt w:val="lowerLetter"/>
      <w:lvlText w:val="%5."/>
      <w:lvlJc w:val="left"/>
      <w:pPr>
        <w:ind w:left="3240" w:hanging="360"/>
      </w:pPr>
    </w:lvl>
    <w:lvl w:ilvl="5" w:tplc="527A93D4">
      <w:start w:val="1"/>
      <w:numFmt w:val="lowerRoman"/>
      <w:lvlText w:val="%6."/>
      <w:lvlJc w:val="right"/>
      <w:pPr>
        <w:ind w:left="3960" w:hanging="180"/>
      </w:pPr>
    </w:lvl>
    <w:lvl w:ilvl="6" w:tplc="B9D48330">
      <w:start w:val="1"/>
      <w:numFmt w:val="decimal"/>
      <w:lvlText w:val="%7."/>
      <w:lvlJc w:val="left"/>
      <w:pPr>
        <w:ind w:left="4680" w:hanging="360"/>
      </w:pPr>
    </w:lvl>
    <w:lvl w:ilvl="7" w:tplc="679C60FA">
      <w:start w:val="1"/>
      <w:numFmt w:val="lowerLetter"/>
      <w:lvlText w:val="%8."/>
      <w:lvlJc w:val="left"/>
      <w:pPr>
        <w:ind w:left="5400" w:hanging="360"/>
      </w:pPr>
    </w:lvl>
    <w:lvl w:ilvl="8" w:tplc="C17A1DF6">
      <w:start w:val="1"/>
      <w:numFmt w:val="lowerRoman"/>
      <w:lvlText w:val="%9."/>
      <w:lvlJc w:val="right"/>
      <w:pPr>
        <w:ind w:left="6120" w:hanging="180"/>
      </w:pPr>
    </w:lvl>
  </w:abstractNum>
  <w:abstractNum w:abstractNumId="19" w15:restartNumberingAfterBreak="0">
    <w:nsid w:val="460149AC"/>
    <w:multiLevelType w:val="hybridMultilevel"/>
    <w:tmpl w:val="BA980BBA"/>
    <w:lvl w:ilvl="0" w:tplc="7460FFDA">
      <w:start w:val="1"/>
      <w:numFmt w:val="decimal"/>
      <w:lvlText w:val="%1."/>
      <w:lvlJc w:val="left"/>
      <w:pPr>
        <w:ind w:left="720" w:hanging="360"/>
      </w:pPr>
    </w:lvl>
    <w:lvl w:ilvl="1" w:tplc="E654B1E4">
      <w:start w:val="1"/>
      <w:numFmt w:val="lowerLetter"/>
      <w:lvlText w:val="%2."/>
      <w:lvlJc w:val="left"/>
      <w:pPr>
        <w:ind w:left="1440" w:hanging="360"/>
      </w:pPr>
    </w:lvl>
    <w:lvl w:ilvl="2" w:tplc="E6560748">
      <w:start w:val="1"/>
      <w:numFmt w:val="lowerRoman"/>
      <w:lvlText w:val="%3."/>
      <w:lvlJc w:val="right"/>
      <w:pPr>
        <w:ind w:left="2160" w:hanging="180"/>
      </w:pPr>
    </w:lvl>
    <w:lvl w:ilvl="3" w:tplc="9FDAF50C">
      <w:start w:val="1"/>
      <w:numFmt w:val="decimal"/>
      <w:lvlText w:val="%4."/>
      <w:lvlJc w:val="left"/>
      <w:pPr>
        <w:ind w:left="2880" w:hanging="360"/>
      </w:pPr>
    </w:lvl>
    <w:lvl w:ilvl="4" w:tplc="55C00324">
      <w:start w:val="1"/>
      <w:numFmt w:val="lowerLetter"/>
      <w:lvlText w:val="%5."/>
      <w:lvlJc w:val="left"/>
      <w:pPr>
        <w:ind w:left="3600" w:hanging="360"/>
      </w:pPr>
    </w:lvl>
    <w:lvl w:ilvl="5" w:tplc="DFAC84CA">
      <w:start w:val="1"/>
      <w:numFmt w:val="lowerRoman"/>
      <w:lvlText w:val="%6."/>
      <w:lvlJc w:val="right"/>
      <w:pPr>
        <w:ind w:left="4320" w:hanging="180"/>
      </w:pPr>
    </w:lvl>
    <w:lvl w:ilvl="6" w:tplc="BDC60BAC">
      <w:start w:val="1"/>
      <w:numFmt w:val="decimal"/>
      <w:lvlText w:val="%7."/>
      <w:lvlJc w:val="left"/>
      <w:pPr>
        <w:ind w:left="5040" w:hanging="360"/>
      </w:pPr>
    </w:lvl>
    <w:lvl w:ilvl="7" w:tplc="36A6FB00">
      <w:start w:val="1"/>
      <w:numFmt w:val="lowerLetter"/>
      <w:lvlText w:val="%8."/>
      <w:lvlJc w:val="left"/>
      <w:pPr>
        <w:ind w:left="5760" w:hanging="360"/>
      </w:pPr>
    </w:lvl>
    <w:lvl w:ilvl="8" w:tplc="D82E0A22">
      <w:start w:val="1"/>
      <w:numFmt w:val="lowerRoman"/>
      <w:lvlText w:val="%9."/>
      <w:lvlJc w:val="right"/>
      <w:pPr>
        <w:ind w:left="6480" w:hanging="180"/>
      </w:pPr>
    </w:lvl>
  </w:abstractNum>
  <w:abstractNum w:abstractNumId="20" w15:restartNumberingAfterBreak="0">
    <w:nsid w:val="46060891"/>
    <w:multiLevelType w:val="multilevel"/>
    <w:tmpl w:val="BAB09712"/>
    <w:lvl w:ilvl="0">
      <w:start w:val="1"/>
      <w:numFmt w:val="decimal"/>
      <w:lvlText w:val="%1."/>
      <w:lvlJc w:val="left"/>
      <w:pPr>
        <w:ind w:left="360" w:hanging="36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lvlText w:val="%1.%2."/>
      <w:lvlJc w:val="left"/>
      <w:pPr>
        <w:tabs>
          <w:tab w:val="num" w:pos="720"/>
        </w:tabs>
        <w:ind w:left="1368" w:hanging="648"/>
      </w:pPr>
      <w:rPr>
        <w:rFonts w:ascii="Arial" w:hAnsi="Arial" w:hint="default"/>
        <w:b/>
        <w:i w:val="0"/>
        <w:caps w:val="0"/>
        <w:strike w:val="0"/>
        <w:dstrike w:val="0"/>
        <w:vanish w:val="0"/>
        <w:color w:val="auto"/>
        <w:kern w:val="0"/>
        <w:sz w:val="26"/>
        <w:u w:val="none"/>
        <w:vertAlign w:val="baseline"/>
        <w14:cntxtAlts w14:val="0"/>
      </w:rPr>
    </w:lvl>
    <w:lvl w:ilvl="2">
      <w:start w:val="1"/>
      <w:numFmt w:val="decimal"/>
      <w:lvlText w:val="%1.%2.%3."/>
      <w:lvlJc w:val="left"/>
      <w:pPr>
        <w:tabs>
          <w:tab w:val="num" w:pos="1440"/>
        </w:tabs>
        <w:ind w:left="2304" w:hanging="864"/>
      </w:pPr>
      <w:rPr>
        <w:rFonts w:ascii="Arial" w:hAnsi="Arial" w:hint="default"/>
        <w:b/>
        <w:i w:val="0"/>
        <w:caps w:val="0"/>
        <w:strike w:val="0"/>
        <w:dstrike w:val="0"/>
        <w:vanish w:val="0"/>
        <w:color w:val="auto"/>
        <w:kern w:val="0"/>
        <w:sz w:val="26"/>
        <w:u w:val="none"/>
        <w:vertAlign w:val="baseline"/>
        <w14:cntxtAlts w14:val="0"/>
      </w:rPr>
    </w:lvl>
    <w:lvl w:ilvl="3">
      <w:start w:val="1"/>
      <w:numFmt w:val="decimal"/>
      <w:lvlText w:val="%1.%2.%3.%4."/>
      <w:lvlJc w:val="left"/>
      <w:pPr>
        <w:tabs>
          <w:tab w:val="num" w:pos="2160"/>
        </w:tabs>
        <w:ind w:left="3240" w:hanging="1080"/>
      </w:pPr>
      <w:rPr>
        <w:rFonts w:ascii="Arial" w:hAnsi="Arial" w:hint="default"/>
        <w:b/>
        <w:i w:val="0"/>
        <w:caps w:val="0"/>
        <w:strike w:val="0"/>
        <w:dstrike w:val="0"/>
        <w:vanish w:val="0"/>
        <w:kern w:val="0"/>
        <w:sz w:val="26"/>
        <w:vertAlign w:val="baseline"/>
        <w14:cntxtAlts w14:val="0"/>
      </w:rPr>
    </w:lvl>
    <w:lvl w:ilvl="4">
      <w:start w:val="1"/>
      <w:numFmt w:val="decimal"/>
      <w:lvlText w:val="%1.%2.%3.%4.%5."/>
      <w:lvlJc w:val="left"/>
      <w:pPr>
        <w:tabs>
          <w:tab w:val="num" w:pos="2880"/>
        </w:tabs>
        <w:ind w:left="4176" w:hanging="1296"/>
      </w:pPr>
      <w:rPr>
        <w:rFonts w:ascii="Arial" w:hAnsi="Arial" w:hint="default"/>
        <w:b/>
        <w:i w:val="0"/>
        <w:sz w:val="26"/>
      </w:rPr>
    </w:lvl>
    <w:lvl w:ilvl="5">
      <w:start w:val="1"/>
      <w:numFmt w:val="decimal"/>
      <w:lvlText w:val="%1.%2.%3.%4.%5.%6."/>
      <w:lvlJc w:val="left"/>
      <w:pPr>
        <w:tabs>
          <w:tab w:val="num" w:pos="3600"/>
        </w:tabs>
        <w:ind w:left="5112" w:hanging="1512"/>
      </w:pPr>
      <w:rPr>
        <w:rFonts w:ascii="Arial" w:hAnsi="Arial" w:hint="default"/>
        <w:b/>
        <w:i w:val="0"/>
        <w:sz w:val="26"/>
      </w:rPr>
    </w:lvl>
    <w:lvl w:ilvl="6">
      <w:start w:val="1"/>
      <w:numFmt w:val="decimal"/>
      <w:lvlText w:val="%1.%2.%3.%4.%5.%6.%7."/>
      <w:lvlJc w:val="left"/>
      <w:pPr>
        <w:tabs>
          <w:tab w:val="num" w:pos="4320"/>
        </w:tabs>
        <w:ind w:left="5760" w:hanging="1440"/>
      </w:pPr>
      <w:rPr>
        <w:rFonts w:ascii="Arial" w:hAnsi="Arial" w:hint="default"/>
        <w:b/>
        <w:i w:val="0"/>
        <w:sz w:val="26"/>
      </w:rPr>
    </w:lvl>
    <w:lvl w:ilvl="7">
      <w:start w:val="1"/>
      <w:numFmt w:val="upperLetter"/>
      <w:lvlText w:val="%8."/>
      <w:lvlJc w:val="left"/>
      <w:pPr>
        <w:ind w:left="1080" w:hanging="360"/>
      </w:pPr>
      <w:rPr>
        <w:rFonts w:hint="default"/>
        <w:sz w:val="26"/>
      </w:rPr>
    </w:lvl>
    <w:lvl w:ilvl="8">
      <w:start w:val="1"/>
      <w:numFmt w:val="none"/>
      <w:lvlText w:val=""/>
      <w:lvlJc w:val="left"/>
      <w:pPr>
        <w:ind w:left="3240" w:hanging="360"/>
      </w:pPr>
      <w:rPr>
        <w:rFonts w:hint="default"/>
      </w:rPr>
    </w:lvl>
  </w:abstractNum>
  <w:abstractNum w:abstractNumId="21" w15:restartNumberingAfterBreak="0">
    <w:nsid w:val="46807105"/>
    <w:multiLevelType w:val="hybridMultilevel"/>
    <w:tmpl w:val="140EA50C"/>
    <w:lvl w:ilvl="0" w:tplc="40C2C202">
      <w:start w:val="1"/>
      <w:numFmt w:val="bullet"/>
      <w:lvlText w:val=""/>
      <w:lvlJc w:val="left"/>
      <w:pPr>
        <w:ind w:left="720" w:hanging="360"/>
      </w:pPr>
      <w:rPr>
        <w:rFonts w:ascii="Symbol" w:hAnsi="Symbol" w:hint="default"/>
      </w:rPr>
    </w:lvl>
    <w:lvl w:ilvl="1" w:tplc="6BEEEB70">
      <w:start w:val="1"/>
      <w:numFmt w:val="bullet"/>
      <w:lvlText w:val="o"/>
      <w:lvlJc w:val="left"/>
      <w:pPr>
        <w:ind w:left="1440" w:hanging="360"/>
      </w:pPr>
      <w:rPr>
        <w:rFonts w:ascii="Courier New" w:hAnsi="Courier New" w:hint="default"/>
      </w:rPr>
    </w:lvl>
    <w:lvl w:ilvl="2" w:tplc="B3D0DACE">
      <w:start w:val="1"/>
      <w:numFmt w:val="bullet"/>
      <w:lvlText w:val=""/>
      <w:lvlJc w:val="left"/>
      <w:pPr>
        <w:ind w:left="2160" w:hanging="360"/>
      </w:pPr>
      <w:rPr>
        <w:rFonts w:ascii="Wingdings" w:hAnsi="Wingdings" w:hint="default"/>
      </w:rPr>
    </w:lvl>
    <w:lvl w:ilvl="3" w:tplc="CC22D018">
      <w:start w:val="1"/>
      <w:numFmt w:val="bullet"/>
      <w:lvlText w:val=""/>
      <w:lvlJc w:val="left"/>
      <w:pPr>
        <w:ind w:left="2880" w:hanging="360"/>
      </w:pPr>
      <w:rPr>
        <w:rFonts w:ascii="Symbol" w:hAnsi="Symbol" w:hint="default"/>
      </w:rPr>
    </w:lvl>
    <w:lvl w:ilvl="4" w:tplc="A84CDC14">
      <w:start w:val="1"/>
      <w:numFmt w:val="bullet"/>
      <w:lvlText w:val="o"/>
      <w:lvlJc w:val="left"/>
      <w:pPr>
        <w:ind w:left="3600" w:hanging="360"/>
      </w:pPr>
      <w:rPr>
        <w:rFonts w:ascii="Courier New" w:hAnsi="Courier New" w:hint="default"/>
      </w:rPr>
    </w:lvl>
    <w:lvl w:ilvl="5" w:tplc="6964973A">
      <w:start w:val="1"/>
      <w:numFmt w:val="bullet"/>
      <w:lvlText w:val=""/>
      <w:lvlJc w:val="left"/>
      <w:pPr>
        <w:ind w:left="4320" w:hanging="360"/>
      </w:pPr>
      <w:rPr>
        <w:rFonts w:ascii="Wingdings" w:hAnsi="Wingdings" w:hint="default"/>
      </w:rPr>
    </w:lvl>
    <w:lvl w:ilvl="6" w:tplc="F056C3D2">
      <w:start w:val="1"/>
      <w:numFmt w:val="bullet"/>
      <w:lvlText w:val=""/>
      <w:lvlJc w:val="left"/>
      <w:pPr>
        <w:ind w:left="5040" w:hanging="360"/>
      </w:pPr>
      <w:rPr>
        <w:rFonts w:ascii="Symbol" w:hAnsi="Symbol" w:hint="default"/>
      </w:rPr>
    </w:lvl>
    <w:lvl w:ilvl="7" w:tplc="D7F45ABC">
      <w:start w:val="1"/>
      <w:numFmt w:val="bullet"/>
      <w:lvlText w:val="o"/>
      <w:lvlJc w:val="left"/>
      <w:pPr>
        <w:ind w:left="5760" w:hanging="360"/>
      </w:pPr>
      <w:rPr>
        <w:rFonts w:ascii="Courier New" w:hAnsi="Courier New" w:hint="default"/>
      </w:rPr>
    </w:lvl>
    <w:lvl w:ilvl="8" w:tplc="79DA3398">
      <w:start w:val="1"/>
      <w:numFmt w:val="bullet"/>
      <w:lvlText w:val=""/>
      <w:lvlJc w:val="left"/>
      <w:pPr>
        <w:ind w:left="6480" w:hanging="360"/>
      </w:pPr>
      <w:rPr>
        <w:rFonts w:ascii="Wingdings" w:hAnsi="Wingdings" w:hint="default"/>
      </w:rPr>
    </w:lvl>
  </w:abstractNum>
  <w:abstractNum w:abstractNumId="22" w15:restartNumberingAfterBreak="0">
    <w:nsid w:val="49C669DC"/>
    <w:multiLevelType w:val="multilevel"/>
    <w:tmpl w:val="EEEC5F9E"/>
    <w:lvl w:ilvl="0">
      <w:start w:val="1"/>
      <w:numFmt w:val="decimal"/>
      <w:lvlText w:val="%1."/>
      <w:lvlJc w:val="left"/>
      <w:pPr>
        <w:ind w:left="360" w:hanging="360"/>
      </w:pPr>
      <w:rPr>
        <w:rFonts w:ascii="Arial" w:hAnsi="Arial" w:hint="default"/>
        <w:b/>
        <w:i w:val="0"/>
        <w:caps w:val="0"/>
        <w:strike w:val="0"/>
        <w:dstrike w:val="0"/>
        <w:vanish w:val="0"/>
        <w:color w:val="auto"/>
        <w:kern w:val="0"/>
        <w:position w:val="0"/>
        <w:sz w:val="26"/>
        <w:u w:val="none"/>
        <w:vertAlign w:val="baseline"/>
        <w14:ligatures w14:val="none"/>
        <w14:numSpacing w14:val="default"/>
        <w14:cntxtAlts w14:val="0"/>
      </w:rPr>
    </w:lvl>
    <w:lvl w:ilvl="1">
      <w:start w:val="1"/>
      <w:numFmt w:val="decimal"/>
      <w:lvlText w:val="%1.%2."/>
      <w:lvlJc w:val="left"/>
      <w:pPr>
        <w:tabs>
          <w:tab w:val="num" w:pos="720"/>
        </w:tabs>
        <w:ind w:left="1368" w:hanging="648"/>
      </w:pPr>
      <w:rPr>
        <w:rFonts w:ascii="Arial" w:hAnsi="Arial" w:hint="default"/>
        <w:b/>
        <w:i w:val="0"/>
        <w:caps w:val="0"/>
        <w:strike w:val="0"/>
        <w:dstrike w:val="0"/>
        <w:vanish w:val="0"/>
        <w:color w:val="auto"/>
        <w:kern w:val="0"/>
        <w:sz w:val="26"/>
        <w:u w:val="none"/>
        <w:vertAlign w:val="baseline"/>
        <w14:cntxtAlts w14:val="0"/>
      </w:rPr>
    </w:lvl>
    <w:lvl w:ilvl="2">
      <w:start w:val="1"/>
      <w:numFmt w:val="decimal"/>
      <w:lvlText w:val="%1.%2.%3."/>
      <w:lvlJc w:val="left"/>
      <w:pPr>
        <w:tabs>
          <w:tab w:val="num" w:pos="1440"/>
        </w:tabs>
        <w:ind w:left="2304" w:hanging="864"/>
      </w:pPr>
      <w:rPr>
        <w:rFonts w:ascii="Arial" w:hAnsi="Arial" w:hint="default"/>
        <w:b/>
        <w:i w:val="0"/>
        <w:caps w:val="0"/>
        <w:strike w:val="0"/>
        <w:dstrike w:val="0"/>
        <w:vanish w:val="0"/>
        <w:color w:val="auto"/>
        <w:kern w:val="0"/>
        <w:sz w:val="26"/>
        <w:u w:val="none"/>
        <w:vertAlign w:val="baseline"/>
        <w14:cntxtAlts w14:val="0"/>
      </w:rPr>
    </w:lvl>
    <w:lvl w:ilvl="3">
      <w:start w:val="1"/>
      <w:numFmt w:val="decimal"/>
      <w:lvlText w:val="%1.%2.%3.%4."/>
      <w:lvlJc w:val="left"/>
      <w:pPr>
        <w:tabs>
          <w:tab w:val="num" w:pos="2160"/>
        </w:tabs>
        <w:ind w:left="3240" w:hanging="1080"/>
      </w:pPr>
      <w:rPr>
        <w:rFonts w:ascii="Arial" w:hAnsi="Arial" w:hint="default"/>
        <w:b/>
        <w:i w:val="0"/>
        <w:caps w:val="0"/>
        <w:strike w:val="0"/>
        <w:dstrike w:val="0"/>
        <w:vanish w:val="0"/>
        <w:kern w:val="0"/>
        <w:sz w:val="26"/>
        <w:vertAlign w:val="baseline"/>
        <w14:cntxtAlts w14:val="0"/>
      </w:rPr>
    </w:lvl>
    <w:lvl w:ilvl="4">
      <w:start w:val="1"/>
      <w:numFmt w:val="decimal"/>
      <w:lvlText w:val="%1.%2.%3.%4.%5."/>
      <w:lvlJc w:val="left"/>
      <w:pPr>
        <w:tabs>
          <w:tab w:val="num" w:pos="2880"/>
        </w:tabs>
        <w:ind w:left="4176" w:hanging="1296"/>
      </w:pPr>
      <w:rPr>
        <w:rFonts w:ascii="Arial" w:hAnsi="Arial" w:hint="default"/>
        <w:b/>
        <w:i w:val="0"/>
        <w:sz w:val="26"/>
      </w:rPr>
    </w:lvl>
    <w:lvl w:ilvl="5">
      <w:start w:val="1"/>
      <w:numFmt w:val="decimal"/>
      <w:lvlText w:val="%1.%2.%3.%4.%5.%6."/>
      <w:lvlJc w:val="left"/>
      <w:pPr>
        <w:tabs>
          <w:tab w:val="num" w:pos="3600"/>
        </w:tabs>
        <w:ind w:left="5112" w:hanging="1512"/>
      </w:pPr>
      <w:rPr>
        <w:rFonts w:ascii="Arial" w:hAnsi="Arial" w:hint="default"/>
        <w:b/>
        <w:i w:val="0"/>
        <w:sz w:val="26"/>
      </w:rPr>
    </w:lvl>
    <w:lvl w:ilvl="6">
      <w:start w:val="1"/>
      <w:numFmt w:val="decimal"/>
      <w:lvlText w:val="%1.%2.%3.%4.%5.%6.%7."/>
      <w:lvlJc w:val="left"/>
      <w:pPr>
        <w:tabs>
          <w:tab w:val="num" w:pos="4320"/>
        </w:tabs>
        <w:ind w:left="5760" w:hanging="1440"/>
      </w:pPr>
      <w:rPr>
        <w:rFonts w:ascii="Arial" w:hAnsi="Arial" w:hint="default"/>
        <w:b/>
        <w:i w:val="0"/>
        <w:sz w:val="26"/>
      </w:rPr>
    </w:lvl>
    <w:lvl w:ilvl="7">
      <w:start w:val="1"/>
      <w:numFmt w:val="upperLetter"/>
      <w:lvlText w:val="%8."/>
      <w:lvlJc w:val="left"/>
      <w:pPr>
        <w:ind w:left="1080" w:hanging="360"/>
      </w:pPr>
      <w:rPr>
        <w:rFonts w:hint="default"/>
        <w:sz w:val="26"/>
      </w:rPr>
    </w:lvl>
    <w:lvl w:ilvl="8">
      <w:start w:val="1"/>
      <w:numFmt w:val="none"/>
      <w:lvlText w:val=""/>
      <w:lvlJc w:val="left"/>
      <w:pPr>
        <w:ind w:left="3240" w:hanging="360"/>
      </w:pPr>
      <w:rPr>
        <w:rFonts w:hint="default"/>
      </w:rPr>
    </w:lvl>
  </w:abstractNum>
  <w:abstractNum w:abstractNumId="23" w15:restartNumberingAfterBreak="0">
    <w:nsid w:val="4A1713CD"/>
    <w:multiLevelType w:val="hybridMultilevel"/>
    <w:tmpl w:val="2B34E19A"/>
    <w:lvl w:ilvl="0" w:tplc="8BA0F02E">
      <w:start w:val="1"/>
      <w:numFmt w:val="decimal"/>
      <w:pStyle w:val="ALJHeading4"/>
      <w:lvlText w:val="%1.1.1.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525CFA"/>
    <w:multiLevelType w:val="hybridMultilevel"/>
    <w:tmpl w:val="3BA81872"/>
    <w:lvl w:ilvl="0" w:tplc="3668C0F6">
      <w:start w:val="1"/>
      <w:numFmt w:val="bullet"/>
      <w:lvlText w:val=""/>
      <w:lvlJc w:val="left"/>
      <w:pPr>
        <w:ind w:left="720" w:hanging="360"/>
      </w:pPr>
      <w:rPr>
        <w:rFonts w:ascii="Symbol" w:hAnsi="Symbol" w:hint="default"/>
      </w:rPr>
    </w:lvl>
    <w:lvl w:ilvl="1" w:tplc="34EE05E4">
      <w:start w:val="1"/>
      <w:numFmt w:val="bullet"/>
      <w:lvlText w:val="o"/>
      <w:lvlJc w:val="left"/>
      <w:pPr>
        <w:ind w:left="1440" w:hanging="360"/>
      </w:pPr>
      <w:rPr>
        <w:rFonts w:ascii="Courier New" w:hAnsi="Courier New" w:hint="default"/>
      </w:rPr>
    </w:lvl>
    <w:lvl w:ilvl="2" w:tplc="734453CC">
      <w:start w:val="1"/>
      <w:numFmt w:val="bullet"/>
      <w:lvlText w:val=""/>
      <w:lvlJc w:val="left"/>
      <w:pPr>
        <w:ind w:left="2160" w:hanging="360"/>
      </w:pPr>
      <w:rPr>
        <w:rFonts w:ascii="Wingdings" w:hAnsi="Wingdings" w:hint="default"/>
      </w:rPr>
    </w:lvl>
    <w:lvl w:ilvl="3" w:tplc="164A590E">
      <w:start w:val="1"/>
      <w:numFmt w:val="bullet"/>
      <w:lvlText w:val=""/>
      <w:lvlJc w:val="left"/>
      <w:pPr>
        <w:ind w:left="2880" w:hanging="360"/>
      </w:pPr>
      <w:rPr>
        <w:rFonts w:ascii="Symbol" w:hAnsi="Symbol" w:hint="default"/>
      </w:rPr>
    </w:lvl>
    <w:lvl w:ilvl="4" w:tplc="C9FC4AFA">
      <w:start w:val="1"/>
      <w:numFmt w:val="bullet"/>
      <w:lvlText w:val="o"/>
      <w:lvlJc w:val="left"/>
      <w:pPr>
        <w:ind w:left="3600" w:hanging="360"/>
      </w:pPr>
      <w:rPr>
        <w:rFonts w:ascii="Courier New" w:hAnsi="Courier New" w:hint="default"/>
      </w:rPr>
    </w:lvl>
    <w:lvl w:ilvl="5" w:tplc="D46015E4">
      <w:start w:val="1"/>
      <w:numFmt w:val="bullet"/>
      <w:lvlText w:val=""/>
      <w:lvlJc w:val="left"/>
      <w:pPr>
        <w:ind w:left="4320" w:hanging="360"/>
      </w:pPr>
      <w:rPr>
        <w:rFonts w:ascii="Wingdings" w:hAnsi="Wingdings" w:hint="default"/>
      </w:rPr>
    </w:lvl>
    <w:lvl w:ilvl="6" w:tplc="48765D44">
      <w:start w:val="1"/>
      <w:numFmt w:val="bullet"/>
      <w:lvlText w:val=""/>
      <w:lvlJc w:val="left"/>
      <w:pPr>
        <w:ind w:left="5040" w:hanging="360"/>
      </w:pPr>
      <w:rPr>
        <w:rFonts w:ascii="Symbol" w:hAnsi="Symbol" w:hint="default"/>
      </w:rPr>
    </w:lvl>
    <w:lvl w:ilvl="7" w:tplc="4E2A2F94">
      <w:start w:val="1"/>
      <w:numFmt w:val="bullet"/>
      <w:lvlText w:val="o"/>
      <w:lvlJc w:val="left"/>
      <w:pPr>
        <w:ind w:left="5760" w:hanging="360"/>
      </w:pPr>
      <w:rPr>
        <w:rFonts w:ascii="Courier New" w:hAnsi="Courier New" w:hint="default"/>
      </w:rPr>
    </w:lvl>
    <w:lvl w:ilvl="8" w:tplc="C64C0548">
      <w:start w:val="1"/>
      <w:numFmt w:val="bullet"/>
      <w:lvlText w:val=""/>
      <w:lvlJc w:val="left"/>
      <w:pPr>
        <w:ind w:left="6480" w:hanging="360"/>
      </w:pPr>
      <w:rPr>
        <w:rFonts w:ascii="Wingdings" w:hAnsi="Wingdings" w:hint="default"/>
      </w:rPr>
    </w:lvl>
  </w:abstractNum>
  <w:abstractNum w:abstractNumId="25" w15:restartNumberingAfterBreak="0">
    <w:nsid w:val="59B658AA"/>
    <w:multiLevelType w:val="hybridMultilevel"/>
    <w:tmpl w:val="729C2E84"/>
    <w:lvl w:ilvl="0" w:tplc="9FDAF50C">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D042D7"/>
    <w:multiLevelType w:val="multilevel"/>
    <w:tmpl w:val="18F4A5AC"/>
    <w:numStyleLink w:val="FoFCoLOP"/>
  </w:abstractNum>
  <w:abstractNum w:abstractNumId="27" w15:restartNumberingAfterBreak="0">
    <w:nsid w:val="5D9C6871"/>
    <w:multiLevelType w:val="hybridMultilevel"/>
    <w:tmpl w:val="FB881E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CC6B67"/>
    <w:multiLevelType w:val="hybridMultilevel"/>
    <w:tmpl w:val="7B281582"/>
    <w:lvl w:ilvl="0" w:tplc="65D403A2">
      <w:start w:val="1"/>
      <w:numFmt w:val="decimal"/>
      <w:lvlText w:val="%1."/>
      <w:lvlJc w:val="left"/>
      <w:pPr>
        <w:ind w:left="4950" w:hanging="360"/>
      </w:pPr>
      <w:rPr>
        <w:rFonts w:ascii="Palatino" w:eastAsiaTheme="minorHAnsi" w:hAnsi="Palatino" w:cstheme="minorBidi"/>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789A0AFE"/>
    <w:multiLevelType w:val="multilevel"/>
    <w:tmpl w:val="18F4A5AC"/>
    <w:numStyleLink w:val="FoFCoLOP"/>
  </w:abstractNum>
  <w:abstractNum w:abstractNumId="30" w15:restartNumberingAfterBreak="0">
    <w:nsid w:val="798237EB"/>
    <w:multiLevelType w:val="hybridMultilevel"/>
    <w:tmpl w:val="002AA0C4"/>
    <w:lvl w:ilvl="0" w:tplc="04090001">
      <w:start w:val="1"/>
      <w:numFmt w:val="bullet"/>
      <w:lvlText w:val=""/>
      <w:lvlJc w:val="left"/>
      <w:pPr>
        <w:ind w:left="907" w:hanging="360"/>
      </w:pPr>
      <w:rPr>
        <w:rFonts w:ascii="Symbol" w:hAnsi="Symbol" w:hint="default"/>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31" w15:restartNumberingAfterBreak="0">
    <w:nsid w:val="7D0A355B"/>
    <w:multiLevelType w:val="hybridMultilevel"/>
    <w:tmpl w:val="02166100"/>
    <w:lvl w:ilvl="0" w:tplc="CC48861C">
      <w:start w:val="1"/>
      <w:numFmt w:val="decimal"/>
      <w:pStyle w:val="FindingofFAct"/>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F9A1024"/>
    <w:multiLevelType w:val="hybridMultilevel"/>
    <w:tmpl w:val="CE4243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6"/>
  </w:num>
  <w:num w:numId="3">
    <w:abstractNumId w:val="5"/>
  </w:num>
  <w:num w:numId="4">
    <w:abstractNumId w:val="29"/>
  </w:num>
  <w:num w:numId="5">
    <w:abstractNumId w:val="15"/>
  </w:num>
  <w:num w:numId="6">
    <w:abstractNumId w:val="0"/>
  </w:num>
  <w:num w:numId="7">
    <w:abstractNumId w:val="31"/>
  </w:num>
  <w:num w:numId="8">
    <w:abstractNumId w:val="10"/>
  </w:num>
  <w:num w:numId="9">
    <w:abstractNumId w:val="17"/>
  </w:num>
  <w:num w:numId="10">
    <w:abstractNumId w:val="23"/>
  </w:num>
  <w:num w:numId="11">
    <w:abstractNumId w:val="13"/>
  </w:num>
  <w:num w:numId="12">
    <w:abstractNumId w:val="12"/>
  </w:num>
  <w:num w:numId="13">
    <w:abstractNumId w:val="19"/>
  </w:num>
  <w:num w:numId="14">
    <w:abstractNumId w:val="26"/>
    <w:lvlOverride w:ilvl="0">
      <w:lvl w:ilvl="0">
        <w:start w:val="1"/>
        <w:numFmt w:val="decimal"/>
        <w:pStyle w:val="FoF"/>
        <w:lvlText w:val="%1."/>
        <w:lvlJc w:val="right"/>
        <w:pPr>
          <w:ind w:left="0" w:firstLine="5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5">
    <w:abstractNumId w:val="18"/>
  </w:num>
  <w:num w:numId="16">
    <w:abstractNumId w:val="6"/>
  </w:num>
  <w:num w:numId="17">
    <w:abstractNumId w:val="9"/>
  </w:num>
  <w:num w:numId="18">
    <w:abstractNumId w:val="28"/>
  </w:num>
  <w:num w:numId="19">
    <w:abstractNumId w:val="7"/>
  </w:num>
  <w:num w:numId="20">
    <w:abstractNumId w:val="27"/>
  </w:num>
  <w:num w:numId="21">
    <w:abstractNumId w:val="32"/>
  </w:num>
  <w:num w:numId="22">
    <w:abstractNumId w:val="16"/>
  </w:num>
  <w:num w:numId="23">
    <w:abstractNumId w:val="8"/>
  </w:num>
  <w:num w:numId="24">
    <w:abstractNumId w:val="25"/>
  </w:num>
  <w:num w:numId="25">
    <w:abstractNumId w:val="30"/>
  </w:num>
  <w:num w:numId="26">
    <w:abstractNumId w:val="3"/>
  </w:num>
  <w:num w:numId="27">
    <w:abstractNumId w:val="11"/>
  </w:num>
  <w:num w:numId="28">
    <w:abstractNumId w:val="2"/>
  </w:num>
  <w:num w:numId="29">
    <w:abstractNumId w:val="24"/>
  </w:num>
  <w:num w:numId="30">
    <w:abstractNumId w:val="2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
  </w:num>
  <w:num w:numId="48">
    <w:abstractNumId w:val="0"/>
  </w:num>
  <w:num w:numId="49">
    <w:abstractNumId w:val="29"/>
  </w:num>
  <w:num w:numId="50">
    <w:abstractNumId w:val="22"/>
  </w:num>
  <w:num w:numId="51">
    <w:abstractNumId w:val="14"/>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80"/>
    <w:rsid w:val="00000F6A"/>
    <w:rsid w:val="00001DE1"/>
    <w:rsid w:val="000027AE"/>
    <w:rsid w:val="00003E2C"/>
    <w:rsid w:val="00004456"/>
    <w:rsid w:val="000047CD"/>
    <w:rsid w:val="00006EE8"/>
    <w:rsid w:val="00007038"/>
    <w:rsid w:val="00007F9F"/>
    <w:rsid w:val="0001016C"/>
    <w:rsid w:val="00012515"/>
    <w:rsid w:val="000146E5"/>
    <w:rsid w:val="00014803"/>
    <w:rsid w:val="00014AA7"/>
    <w:rsid w:val="00015061"/>
    <w:rsid w:val="00015F8A"/>
    <w:rsid w:val="000162B6"/>
    <w:rsid w:val="000170D5"/>
    <w:rsid w:val="0002065E"/>
    <w:rsid w:val="000220AA"/>
    <w:rsid w:val="00022F55"/>
    <w:rsid w:val="00023335"/>
    <w:rsid w:val="0002458F"/>
    <w:rsid w:val="000253BC"/>
    <w:rsid w:val="0002593B"/>
    <w:rsid w:val="000277F9"/>
    <w:rsid w:val="00030211"/>
    <w:rsid w:val="000305DE"/>
    <w:rsid w:val="00031AEC"/>
    <w:rsid w:val="0003262F"/>
    <w:rsid w:val="00032916"/>
    <w:rsid w:val="000330CC"/>
    <w:rsid w:val="00034D23"/>
    <w:rsid w:val="000356C8"/>
    <w:rsid w:val="0004010F"/>
    <w:rsid w:val="000412EE"/>
    <w:rsid w:val="0004193F"/>
    <w:rsid w:val="00045FF4"/>
    <w:rsid w:val="0004622D"/>
    <w:rsid w:val="00046314"/>
    <w:rsid w:val="00046385"/>
    <w:rsid w:val="000476CE"/>
    <w:rsid w:val="000479DE"/>
    <w:rsid w:val="000503CA"/>
    <w:rsid w:val="0005266C"/>
    <w:rsid w:val="00054B32"/>
    <w:rsid w:val="0005538B"/>
    <w:rsid w:val="000569A4"/>
    <w:rsid w:val="00060F14"/>
    <w:rsid w:val="00060F34"/>
    <w:rsid w:val="00061DB8"/>
    <w:rsid w:val="0006225C"/>
    <w:rsid w:val="00062C0D"/>
    <w:rsid w:val="00063112"/>
    <w:rsid w:val="0006347A"/>
    <w:rsid w:val="00063730"/>
    <w:rsid w:val="00066680"/>
    <w:rsid w:val="00067B44"/>
    <w:rsid w:val="00067D3C"/>
    <w:rsid w:val="00067DB9"/>
    <w:rsid w:val="0007077D"/>
    <w:rsid w:val="000709CA"/>
    <w:rsid w:val="0007115A"/>
    <w:rsid w:val="00071D7F"/>
    <w:rsid w:val="00071DD8"/>
    <w:rsid w:val="000726E8"/>
    <w:rsid w:val="00072DBF"/>
    <w:rsid w:val="000731A6"/>
    <w:rsid w:val="0007349D"/>
    <w:rsid w:val="00075B67"/>
    <w:rsid w:val="00075EF2"/>
    <w:rsid w:val="0008073B"/>
    <w:rsid w:val="000813A0"/>
    <w:rsid w:val="000827DF"/>
    <w:rsid w:val="00082EAF"/>
    <w:rsid w:val="00084551"/>
    <w:rsid w:val="00085158"/>
    <w:rsid w:val="00086F02"/>
    <w:rsid w:val="00086F72"/>
    <w:rsid w:val="00087F3B"/>
    <w:rsid w:val="00090388"/>
    <w:rsid w:val="000904A2"/>
    <w:rsid w:val="00090605"/>
    <w:rsid w:val="000908D5"/>
    <w:rsid w:val="000909DD"/>
    <w:rsid w:val="00091F39"/>
    <w:rsid w:val="000941A3"/>
    <w:rsid w:val="000951D6"/>
    <w:rsid w:val="00096DA3"/>
    <w:rsid w:val="000973C8"/>
    <w:rsid w:val="00097BDA"/>
    <w:rsid w:val="000A05E6"/>
    <w:rsid w:val="000A2A29"/>
    <w:rsid w:val="000A2AA9"/>
    <w:rsid w:val="000A2F3F"/>
    <w:rsid w:val="000A380B"/>
    <w:rsid w:val="000A44EC"/>
    <w:rsid w:val="000A54B8"/>
    <w:rsid w:val="000A56F2"/>
    <w:rsid w:val="000A58B7"/>
    <w:rsid w:val="000A5F28"/>
    <w:rsid w:val="000A6E05"/>
    <w:rsid w:val="000A6E99"/>
    <w:rsid w:val="000A783F"/>
    <w:rsid w:val="000B02D9"/>
    <w:rsid w:val="000B11F5"/>
    <w:rsid w:val="000B12FA"/>
    <w:rsid w:val="000B1A5E"/>
    <w:rsid w:val="000B1B18"/>
    <w:rsid w:val="000B1FFA"/>
    <w:rsid w:val="000B365B"/>
    <w:rsid w:val="000B484D"/>
    <w:rsid w:val="000B4A6C"/>
    <w:rsid w:val="000B51C6"/>
    <w:rsid w:val="000C08BF"/>
    <w:rsid w:val="000C11B5"/>
    <w:rsid w:val="000C1980"/>
    <w:rsid w:val="000C3B9A"/>
    <w:rsid w:val="000C3E83"/>
    <w:rsid w:val="000C453A"/>
    <w:rsid w:val="000C5968"/>
    <w:rsid w:val="000C7299"/>
    <w:rsid w:val="000C72C0"/>
    <w:rsid w:val="000C769E"/>
    <w:rsid w:val="000D06B3"/>
    <w:rsid w:val="000D138F"/>
    <w:rsid w:val="000D17F4"/>
    <w:rsid w:val="000D1847"/>
    <w:rsid w:val="000D1A6B"/>
    <w:rsid w:val="000D25A8"/>
    <w:rsid w:val="000D3EBD"/>
    <w:rsid w:val="000D4733"/>
    <w:rsid w:val="000D4796"/>
    <w:rsid w:val="000D5756"/>
    <w:rsid w:val="000D5832"/>
    <w:rsid w:val="000D5884"/>
    <w:rsid w:val="000D6A50"/>
    <w:rsid w:val="000D6D65"/>
    <w:rsid w:val="000E0773"/>
    <w:rsid w:val="000E12E9"/>
    <w:rsid w:val="000E1A64"/>
    <w:rsid w:val="000E1ACB"/>
    <w:rsid w:val="000E2065"/>
    <w:rsid w:val="000E2738"/>
    <w:rsid w:val="000E4C53"/>
    <w:rsid w:val="000E4F40"/>
    <w:rsid w:val="000E5251"/>
    <w:rsid w:val="000E54FE"/>
    <w:rsid w:val="000E6518"/>
    <w:rsid w:val="000E704E"/>
    <w:rsid w:val="000E7643"/>
    <w:rsid w:val="000E7B44"/>
    <w:rsid w:val="000E7DB5"/>
    <w:rsid w:val="000F16FD"/>
    <w:rsid w:val="000F2523"/>
    <w:rsid w:val="000F27FB"/>
    <w:rsid w:val="000F3313"/>
    <w:rsid w:val="000F44F7"/>
    <w:rsid w:val="000F4ECE"/>
    <w:rsid w:val="000F597D"/>
    <w:rsid w:val="000F69FD"/>
    <w:rsid w:val="000F79B9"/>
    <w:rsid w:val="000F7A9A"/>
    <w:rsid w:val="000F7B09"/>
    <w:rsid w:val="000F7F40"/>
    <w:rsid w:val="00100F6A"/>
    <w:rsid w:val="00102407"/>
    <w:rsid w:val="00105833"/>
    <w:rsid w:val="00107192"/>
    <w:rsid w:val="001105FF"/>
    <w:rsid w:val="001111CB"/>
    <w:rsid w:val="00112959"/>
    <w:rsid w:val="00112F16"/>
    <w:rsid w:val="00113319"/>
    <w:rsid w:val="001133AA"/>
    <w:rsid w:val="001134B0"/>
    <w:rsid w:val="001136BB"/>
    <w:rsid w:val="00113A19"/>
    <w:rsid w:val="00114176"/>
    <w:rsid w:val="00114D94"/>
    <w:rsid w:val="001155BB"/>
    <w:rsid w:val="00115E14"/>
    <w:rsid w:val="001163C3"/>
    <w:rsid w:val="00116BC5"/>
    <w:rsid w:val="00116ED7"/>
    <w:rsid w:val="00116FFF"/>
    <w:rsid w:val="00117810"/>
    <w:rsid w:val="00120079"/>
    <w:rsid w:val="001200F0"/>
    <w:rsid w:val="00120E28"/>
    <w:rsid w:val="00121089"/>
    <w:rsid w:val="00122B44"/>
    <w:rsid w:val="001237D4"/>
    <w:rsid w:val="00123D1E"/>
    <w:rsid w:val="001247A7"/>
    <w:rsid w:val="00124D3E"/>
    <w:rsid w:val="00124FD7"/>
    <w:rsid w:val="00125F3A"/>
    <w:rsid w:val="001262FC"/>
    <w:rsid w:val="001275CD"/>
    <w:rsid w:val="001306A7"/>
    <w:rsid w:val="001306D3"/>
    <w:rsid w:val="0013080B"/>
    <w:rsid w:val="0013238C"/>
    <w:rsid w:val="0013276C"/>
    <w:rsid w:val="0013484C"/>
    <w:rsid w:val="00135514"/>
    <w:rsid w:val="00135B3F"/>
    <w:rsid w:val="00135BAB"/>
    <w:rsid w:val="001367E9"/>
    <w:rsid w:val="00136FDE"/>
    <w:rsid w:val="00137409"/>
    <w:rsid w:val="00137D1F"/>
    <w:rsid w:val="00140831"/>
    <w:rsid w:val="00141274"/>
    <w:rsid w:val="001415C5"/>
    <w:rsid w:val="001415CB"/>
    <w:rsid w:val="00141913"/>
    <w:rsid w:val="00143622"/>
    <w:rsid w:val="00146FF0"/>
    <w:rsid w:val="0015090D"/>
    <w:rsid w:val="001516C4"/>
    <w:rsid w:val="001517FF"/>
    <w:rsid w:val="00152968"/>
    <w:rsid w:val="0015299A"/>
    <w:rsid w:val="00152C76"/>
    <w:rsid w:val="00153B2D"/>
    <w:rsid w:val="00153C2F"/>
    <w:rsid w:val="00154F39"/>
    <w:rsid w:val="00155237"/>
    <w:rsid w:val="001555D1"/>
    <w:rsid w:val="00156653"/>
    <w:rsid w:val="00156F86"/>
    <w:rsid w:val="001572BC"/>
    <w:rsid w:val="00160CA2"/>
    <w:rsid w:val="001633DD"/>
    <w:rsid w:val="001637FC"/>
    <w:rsid w:val="0016521E"/>
    <w:rsid w:val="00165C8B"/>
    <w:rsid w:val="00165FAC"/>
    <w:rsid w:val="001663A7"/>
    <w:rsid w:val="00167889"/>
    <w:rsid w:val="00167983"/>
    <w:rsid w:val="0017059B"/>
    <w:rsid w:val="00171118"/>
    <w:rsid w:val="00171419"/>
    <w:rsid w:val="0017166B"/>
    <w:rsid w:val="0017243F"/>
    <w:rsid w:val="00172AEF"/>
    <w:rsid w:val="00173B97"/>
    <w:rsid w:val="00174CE3"/>
    <w:rsid w:val="00176043"/>
    <w:rsid w:val="00176FB3"/>
    <w:rsid w:val="00177A3D"/>
    <w:rsid w:val="00180504"/>
    <w:rsid w:val="00181DF9"/>
    <w:rsid w:val="00182990"/>
    <w:rsid w:val="0018300E"/>
    <w:rsid w:val="00187FA4"/>
    <w:rsid w:val="00191B09"/>
    <w:rsid w:val="00192D4D"/>
    <w:rsid w:val="00192DCE"/>
    <w:rsid w:val="00193332"/>
    <w:rsid w:val="0019497E"/>
    <w:rsid w:val="00195762"/>
    <w:rsid w:val="00195E59"/>
    <w:rsid w:val="001961D2"/>
    <w:rsid w:val="001968DC"/>
    <w:rsid w:val="001A0EA3"/>
    <w:rsid w:val="001A3468"/>
    <w:rsid w:val="001A3907"/>
    <w:rsid w:val="001A600C"/>
    <w:rsid w:val="001A70C0"/>
    <w:rsid w:val="001A748D"/>
    <w:rsid w:val="001B307D"/>
    <w:rsid w:val="001B3367"/>
    <w:rsid w:val="001B3690"/>
    <w:rsid w:val="001B3715"/>
    <w:rsid w:val="001B40CF"/>
    <w:rsid w:val="001B4BA0"/>
    <w:rsid w:val="001B6595"/>
    <w:rsid w:val="001B6682"/>
    <w:rsid w:val="001B6BC5"/>
    <w:rsid w:val="001B7DAF"/>
    <w:rsid w:val="001C1A30"/>
    <w:rsid w:val="001C2509"/>
    <w:rsid w:val="001C28A7"/>
    <w:rsid w:val="001C295D"/>
    <w:rsid w:val="001C363F"/>
    <w:rsid w:val="001C457B"/>
    <w:rsid w:val="001C46EA"/>
    <w:rsid w:val="001C5837"/>
    <w:rsid w:val="001C6153"/>
    <w:rsid w:val="001C6D65"/>
    <w:rsid w:val="001C6F38"/>
    <w:rsid w:val="001C78CF"/>
    <w:rsid w:val="001C7AB9"/>
    <w:rsid w:val="001C7B39"/>
    <w:rsid w:val="001D0ACA"/>
    <w:rsid w:val="001D0E52"/>
    <w:rsid w:val="001D0F00"/>
    <w:rsid w:val="001D276D"/>
    <w:rsid w:val="001D2823"/>
    <w:rsid w:val="001D42D8"/>
    <w:rsid w:val="001D42FF"/>
    <w:rsid w:val="001D4DAA"/>
    <w:rsid w:val="001D5C6C"/>
    <w:rsid w:val="001D67CB"/>
    <w:rsid w:val="001E0492"/>
    <w:rsid w:val="001E07AD"/>
    <w:rsid w:val="001E1890"/>
    <w:rsid w:val="001E2A62"/>
    <w:rsid w:val="001E3524"/>
    <w:rsid w:val="001E37D1"/>
    <w:rsid w:val="001E53AE"/>
    <w:rsid w:val="001E5CCA"/>
    <w:rsid w:val="001E7396"/>
    <w:rsid w:val="001E7838"/>
    <w:rsid w:val="001E7CAB"/>
    <w:rsid w:val="001F0159"/>
    <w:rsid w:val="001F06E9"/>
    <w:rsid w:val="001F2819"/>
    <w:rsid w:val="001F43E5"/>
    <w:rsid w:val="001F6BDD"/>
    <w:rsid w:val="001F7AF1"/>
    <w:rsid w:val="001F7F7A"/>
    <w:rsid w:val="0020043F"/>
    <w:rsid w:val="0020065C"/>
    <w:rsid w:val="00200C83"/>
    <w:rsid w:val="00200DA9"/>
    <w:rsid w:val="00201EDB"/>
    <w:rsid w:val="00202F46"/>
    <w:rsid w:val="002030CF"/>
    <w:rsid w:val="0020438B"/>
    <w:rsid w:val="002043EC"/>
    <w:rsid w:val="00205032"/>
    <w:rsid w:val="0020559D"/>
    <w:rsid w:val="00206F87"/>
    <w:rsid w:val="00210002"/>
    <w:rsid w:val="00211794"/>
    <w:rsid w:val="00211BAE"/>
    <w:rsid w:val="00215C60"/>
    <w:rsid w:val="002201A8"/>
    <w:rsid w:val="002203B0"/>
    <w:rsid w:val="00221937"/>
    <w:rsid w:val="002226C7"/>
    <w:rsid w:val="002248C7"/>
    <w:rsid w:val="00224B2E"/>
    <w:rsid w:val="00224D72"/>
    <w:rsid w:val="00226186"/>
    <w:rsid w:val="002262F2"/>
    <w:rsid w:val="00226390"/>
    <w:rsid w:val="00226CA9"/>
    <w:rsid w:val="00226DB2"/>
    <w:rsid w:val="00227221"/>
    <w:rsid w:val="00227C88"/>
    <w:rsid w:val="0023091F"/>
    <w:rsid w:val="00230CD5"/>
    <w:rsid w:val="00230E3E"/>
    <w:rsid w:val="002313E0"/>
    <w:rsid w:val="00231479"/>
    <w:rsid w:val="00231825"/>
    <w:rsid w:val="00231DA7"/>
    <w:rsid w:val="0023378C"/>
    <w:rsid w:val="002342A5"/>
    <w:rsid w:val="002356AC"/>
    <w:rsid w:val="00240585"/>
    <w:rsid w:val="00240A3F"/>
    <w:rsid w:val="00240D4D"/>
    <w:rsid w:val="00242865"/>
    <w:rsid w:val="0024344B"/>
    <w:rsid w:val="00243DC0"/>
    <w:rsid w:val="00244151"/>
    <w:rsid w:val="00244432"/>
    <w:rsid w:val="002450FA"/>
    <w:rsid w:val="0024608A"/>
    <w:rsid w:val="002466C5"/>
    <w:rsid w:val="00246D17"/>
    <w:rsid w:val="00247102"/>
    <w:rsid w:val="00247477"/>
    <w:rsid w:val="0024760F"/>
    <w:rsid w:val="002516BD"/>
    <w:rsid w:val="00251B63"/>
    <w:rsid w:val="0025225D"/>
    <w:rsid w:val="00255786"/>
    <w:rsid w:val="002559E2"/>
    <w:rsid w:val="00257E90"/>
    <w:rsid w:val="00260009"/>
    <w:rsid w:val="00261419"/>
    <w:rsid w:val="00261D9A"/>
    <w:rsid w:val="00261EDD"/>
    <w:rsid w:val="00262945"/>
    <w:rsid w:val="00263CB7"/>
    <w:rsid w:val="00264420"/>
    <w:rsid w:val="002647B3"/>
    <w:rsid w:val="0026488D"/>
    <w:rsid w:val="00266AFC"/>
    <w:rsid w:val="002678D5"/>
    <w:rsid w:val="00270440"/>
    <w:rsid w:val="00270EF4"/>
    <w:rsid w:val="00271086"/>
    <w:rsid w:val="00271B30"/>
    <w:rsid w:val="002759C1"/>
    <w:rsid w:val="00275C55"/>
    <w:rsid w:val="00276E2B"/>
    <w:rsid w:val="002770A1"/>
    <w:rsid w:val="00281352"/>
    <w:rsid w:val="002824D3"/>
    <w:rsid w:val="002854D4"/>
    <w:rsid w:val="00286970"/>
    <w:rsid w:val="0028761B"/>
    <w:rsid w:val="00287B5E"/>
    <w:rsid w:val="00291EE7"/>
    <w:rsid w:val="00293B8F"/>
    <w:rsid w:val="00293DEE"/>
    <w:rsid w:val="00294164"/>
    <w:rsid w:val="00294770"/>
    <w:rsid w:val="00294917"/>
    <w:rsid w:val="0029658A"/>
    <w:rsid w:val="002965A3"/>
    <w:rsid w:val="002A0B5D"/>
    <w:rsid w:val="002A0F90"/>
    <w:rsid w:val="002A0FB4"/>
    <w:rsid w:val="002A24D0"/>
    <w:rsid w:val="002A2A1D"/>
    <w:rsid w:val="002A6779"/>
    <w:rsid w:val="002B056D"/>
    <w:rsid w:val="002B0D3C"/>
    <w:rsid w:val="002B2B4A"/>
    <w:rsid w:val="002B481A"/>
    <w:rsid w:val="002B4AE5"/>
    <w:rsid w:val="002B617D"/>
    <w:rsid w:val="002B6E55"/>
    <w:rsid w:val="002B702D"/>
    <w:rsid w:val="002B76AB"/>
    <w:rsid w:val="002B7FB2"/>
    <w:rsid w:val="002C002A"/>
    <w:rsid w:val="002C025E"/>
    <w:rsid w:val="002C18C8"/>
    <w:rsid w:val="002C1934"/>
    <w:rsid w:val="002C1E00"/>
    <w:rsid w:val="002C4202"/>
    <w:rsid w:val="002C47B3"/>
    <w:rsid w:val="002C4A50"/>
    <w:rsid w:val="002C5692"/>
    <w:rsid w:val="002C7FE9"/>
    <w:rsid w:val="002D0E35"/>
    <w:rsid w:val="002D2078"/>
    <w:rsid w:val="002D22CA"/>
    <w:rsid w:val="002D32B2"/>
    <w:rsid w:val="002D37D0"/>
    <w:rsid w:val="002D3AE4"/>
    <w:rsid w:val="002D4EFD"/>
    <w:rsid w:val="002D50AC"/>
    <w:rsid w:val="002D6148"/>
    <w:rsid w:val="002D774D"/>
    <w:rsid w:val="002E2121"/>
    <w:rsid w:val="002E2472"/>
    <w:rsid w:val="002E3612"/>
    <w:rsid w:val="002E3D50"/>
    <w:rsid w:val="002E5015"/>
    <w:rsid w:val="002E523A"/>
    <w:rsid w:val="002F07C4"/>
    <w:rsid w:val="002F150C"/>
    <w:rsid w:val="002F1C10"/>
    <w:rsid w:val="002F2133"/>
    <w:rsid w:val="002F4495"/>
    <w:rsid w:val="002F4847"/>
    <w:rsid w:val="002F4A51"/>
    <w:rsid w:val="002F6364"/>
    <w:rsid w:val="002F745E"/>
    <w:rsid w:val="00301C2A"/>
    <w:rsid w:val="00301F84"/>
    <w:rsid w:val="003020E2"/>
    <w:rsid w:val="00302760"/>
    <w:rsid w:val="00303638"/>
    <w:rsid w:val="00303A03"/>
    <w:rsid w:val="003051CA"/>
    <w:rsid w:val="003102B1"/>
    <w:rsid w:val="003109A9"/>
    <w:rsid w:val="00310ACE"/>
    <w:rsid w:val="00310AD1"/>
    <w:rsid w:val="00310F75"/>
    <w:rsid w:val="00312B78"/>
    <w:rsid w:val="00312D64"/>
    <w:rsid w:val="003138DA"/>
    <w:rsid w:val="00313CAA"/>
    <w:rsid w:val="00314B5F"/>
    <w:rsid w:val="00315426"/>
    <w:rsid w:val="00316071"/>
    <w:rsid w:val="00316464"/>
    <w:rsid w:val="00316969"/>
    <w:rsid w:val="00316F72"/>
    <w:rsid w:val="003177C1"/>
    <w:rsid w:val="00317AC7"/>
    <w:rsid w:val="003200F7"/>
    <w:rsid w:val="003219F7"/>
    <w:rsid w:val="003235C5"/>
    <w:rsid w:val="003236BC"/>
    <w:rsid w:val="00323F4C"/>
    <w:rsid w:val="00324E62"/>
    <w:rsid w:val="00326094"/>
    <w:rsid w:val="003264DB"/>
    <w:rsid w:val="0032753B"/>
    <w:rsid w:val="003277A0"/>
    <w:rsid w:val="0033431A"/>
    <w:rsid w:val="003356E4"/>
    <w:rsid w:val="003362E0"/>
    <w:rsid w:val="003368D9"/>
    <w:rsid w:val="00336B6A"/>
    <w:rsid w:val="00336E34"/>
    <w:rsid w:val="003379DF"/>
    <w:rsid w:val="00340D63"/>
    <w:rsid w:val="00341AAE"/>
    <w:rsid w:val="00342114"/>
    <w:rsid w:val="00343E5C"/>
    <w:rsid w:val="00344C11"/>
    <w:rsid w:val="00345B87"/>
    <w:rsid w:val="00346978"/>
    <w:rsid w:val="003476B7"/>
    <w:rsid w:val="00347A2C"/>
    <w:rsid w:val="00347B8C"/>
    <w:rsid w:val="00351ADB"/>
    <w:rsid w:val="003521C7"/>
    <w:rsid w:val="003524D4"/>
    <w:rsid w:val="00354202"/>
    <w:rsid w:val="00354574"/>
    <w:rsid w:val="0036017B"/>
    <w:rsid w:val="003601FF"/>
    <w:rsid w:val="0036085F"/>
    <w:rsid w:val="00360ED3"/>
    <w:rsid w:val="00362755"/>
    <w:rsid w:val="0036392A"/>
    <w:rsid w:val="003649B6"/>
    <w:rsid w:val="00364EEB"/>
    <w:rsid w:val="00365047"/>
    <w:rsid w:val="00365097"/>
    <w:rsid w:val="00365FDA"/>
    <w:rsid w:val="00367378"/>
    <w:rsid w:val="00367AA4"/>
    <w:rsid w:val="0037193B"/>
    <w:rsid w:val="00373B93"/>
    <w:rsid w:val="00373C4D"/>
    <w:rsid w:val="00373DB7"/>
    <w:rsid w:val="003742BF"/>
    <w:rsid w:val="00374FE2"/>
    <w:rsid w:val="00375E9F"/>
    <w:rsid w:val="00375EDF"/>
    <w:rsid w:val="0038298E"/>
    <w:rsid w:val="00383E9C"/>
    <w:rsid w:val="003843CD"/>
    <w:rsid w:val="00384B37"/>
    <w:rsid w:val="00387379"/>
    <w:rsid w:val="003911AC"/>
    <w:rsid w:val="00392527"/>
    <w:rsid w:val="00393B82"/>
    <w:rsid w:val="00394B86"/>
    <w:rsid w:val="00395A33"/>
    <w:rsid w:val="00395A72"/>
    <w:rsid w:val="00395CED"/>
    <w:rsid w:val="003A287C"/>
    <w:rsid w:val="003A38F0"/>
    <w:rsid w:val="003A397A"/>
    <w:rsid w:val="003A49AB"/>
    <w:rsid w:val="003A57A4"/>
    <w:rsid w:val="003A5962"/>
    <w:rsid w:val="003A65CA"/>
    <w:rsid w:val="003A6B2B"/>
    <w:rsid w:val="003A6D6B"/>
    <w:rsid w:val="003A79E6"/>
    <w:rsid w:val="003B1132"/>
    <w:rsid w:val="003B17DC"/>
    <w:rsid w:val="003B1DBB"/>
    <w:rsid w:val="003B3975"/>
    <w:rsid w:val="003B3E45"/>
    <w:rsid w:val="003B750A"/>
    <w:rsid w:val="003B7B5D"/>
    <w:rsid w:val="003B7C9A"/>
    <w:rsid w:val="003C0120"/>
    <w:rsid w:val="003C0153"/>
    <w:rsid w:val="003C1479"/>
    <w:rsid w:val="003C19FE"/>
    <w:rsid w:val="003C4238"/>
    <w:rsid w:val="003C4B8F"/>
    <w:rsid w:val="003C4CFA"/>
    <w:rsid w:val="003C59CA"/>
    <w:rsid w:val="003C5BF7"/>
    <w:rsid w:val="003C7B2B"/>
    <w:rsid w:val="003C7DD8"/>
    <w:rsid w:val="003D15AD"/>
    <w:rsid w:val="003D2838"/>
    <w:rsid w:val="003D40A0"/>
    <w:rsid w:val="003D4ED3"/>
    <w:rsid w:val="003D5518"/>
    <w:rsid w:val="003D57D6"/>
    <w:rsid w:val="003D59BD"/>
    <w:rsid w:val="003D783B"/>
    <w:rsid w:val="003D7F85"/>
    <w:rsid w:val="003E017B"/>
    <w:rsid w:val="003E1457"/>
    <w:rsid w:val="003E1C7E"/>
    <w:rsid w:val="003E1DD9"/>
    <w:rsid w:val="003E2B4A"/>
    <w:rsid w:val="003E4E68"/>
    <w:rsid w:val="003E4E7C"/>
    <w:rsid w:val="003E6A0A"/>
    <w:rsid w:val="003E6F0B"/>
    <w:rsid w:val="003E7622"/>
    <w:rsid w:val="003E79BA"/>
    <w:rsid w:val="003F076F"/>
    <w:rsid w:val="003F231E"/>
    <w:rsid w:val="003F4329"/>
    <w:rsid w:val="003F6AFB"/>
    <w:rsid w:val="003F709D"/>
    <w:rsid w:val="003F72E6"/>
    <w:rsid w:val="004008E2"/>
    <w:rsid w:val="004016CA"/>
    <w:rsid w:val="00401B8A"/>
    <w:rsid w:val="00402362"/>
    <w:rsid w:val="0040284F"/>
    <w:rsid w:val="0040349B"/>
    <w:rsid w:val="00403A79"/>
    <w:rsid w:val="00403EFE"/>
    <w:rsid w:val="00406507"/>
    <w:rsid w:val="004066F9"/>
    <w:rsid w:val="00407B58"/>
    <w:rsid w:val="00407BCA"/>
    <w:rsid w:val="0041011C"/>
    <w:rsid w:val="00410A54"/>
    <w:rsid w:val="00411C0A"/>
    <w:rsid w:val="00412534"/>
    <w:rsid w:val="00412C83"/>
    <w:rsid w:val="00413428"/>
    <w:rsid w:val="004143EA"/>
    <w:rsid w:val="00414435"/>
    <w:rsid w:val="004172E1"/>
    <w:rsid w:val="00417885"/>
    <w:rsid w:val="00417A86"/>
    <w:rsid w:val="0042007B"/>
    <w:rsid w:val="00420441"/>
    <w:rsid w:val="00420F85"/>
    <w:rsid w:val="00421105"/>
    <w:rsid w:val="004234CA"/>
    <w:rsid w:val="00425B58"/>
    <w:rsid w:val="00425F52"/>
    <w:rsid w:val="00426014"/>
    <w:rsid w:val="004261D5"/>
    <w:rsid w:val="00426E8D"/>
    <w:rsid w:val="00427082"/>
    <w:rsid w:val="004274E3"/>
    <w:rsid w:val="004307A8"/>
    <w:rsid w:val="00431408"/>
    <w:rsid w:val="004315F0"/>
    <w:rsid w:val="00433520"/>
    <w:rsid w:val="0043639F"/>
    <w:rsid w:val="00437BBD"/>
    <w:rsid w:val="00442485"/>
    <w:rsid w:val="004425FC"/>
    <w:rsid w:val="0044275F"/>
    <w:rsid w:val="00443C00"/>
    <w:rsid w:val="00443D33"/>
    <w:rsid w:val="0044501E"/>
    <w:rsid w:val="00445923"/>
    <w:rsid w:val="004462A7"/>
    <w:rsid w:val="0044781D"/>
    <w:rsid w:val="0045033F"/>
    <w:rsid w:val="00450492"/>
    <w:rsid w:val="004508CB"/>
    <w:rsid w:val="00450A69"/>
    <w:rsid w:val="00451E5E"/>
    <w:rsid w:val="00452EA2"/>
    <w:rsid w:val="004535A9"/>
    <w:rsid w:val="004536EE"/>
    <w:rsid w:val="00453FD2"/>
    <w:rsid w:val="004547DD"/>
    <w:rsid w:val="0045641E"/>
    <w:rsid w:val="00460054"/>
    <w:rsid w:val="00460842"/>
    <w:rsid w:val="00460B7D"/>
    <w:rsid w:val="00461705"/>
    <w:rsid w:val="00463E55"/>
    <w:rsid w:val="00464EAF"/>
    <w:rsid w:val="004655CC"/>
    <w:rsid w:val="00466E5A"/>
    <w:rsid w:val="00467144"/>
    <w:rsid w:val="00467CC0"/>
    <w:rsid w:val="004703AB"/>
    <w:rsid w:val="004705CC"/>
    <w:rsid w:val="0047384B"/>
    <w:rsid w:val="00473C7C"/>
    <w:rsid w:val="00473ED0"/>
    <w:rsid w:val="004742B4"/>
    <w:rsid w:val="004764F0"/>
    <w:rsid w:val="00477396"/>
    <w:rsid w:val="00480C4A"/>
    <w:rsid w:val="00480CB0"/>
    <w:rsid w:val="004813AB"/>
    <w:rsid w:val="004815B3"/>
    <w:rsid w:val="004827AA"/>
    <w:rsid w:val="00482B64"/>
    <w:rsid w:val="00482FA2"/>
    <w:rsid w:val="00483D46"/>
    <w:rsid w:val="0048438C"/>
    <w:rsid w:val="00485C03"/>
    <w:rsid w:val="00490B79"/>
    <w:rsid w:val="00490EFE"/>
    <w:rsid w:val="004910A2"/>
    <w:rsid w:val="004912CE"/>
    <w:rsid w:val="00493A00"/>
    <w:rsid w:val="00494044"/>
    <w:rsid w:val="00494671"/>
    <w:rsid w:val="0049574B"/>
    <w:rsid w:val="00495976"/>
    <w:rsid w:val="00496ED6"/>
    <w:rsid w:val="0049788E"/>
    <w:rsid w:val="004A05F6"/>
    <w:rsid w:val="004A13C2"/>
    <w:rsid w:val="004A13D0"/>
    <w:rsid w:val="004A3351"/>
    <w:rsid w:val="004A3A46"/>
    <w:rsid w:val="004A3AAA"/>
    <w:rsid w:val="004A5179"/>
    <w:rsid w:val="004A5B5A"/>
    <w:rsid w:val="004A652C"/>
    <w:rsid w:val="004A656C"/>
    <w:rsid w:val="004A68CA"/>
    <w:rsid w:val="004A789A"/>
    <w:rsid w:val="004A7AEA"/>
    <w:rsid w:val="004B01A7"/>
    <w:rsid w:val="004B0F2A"/>
    <w:rsid w:val="004B0F36"/>
    <w:rsid w:val="004B117D"/>
    <w:rsid w:val="004B34EA"/>
    <w:rsid w:val="004B5494"/>
    <w:rsid w:val="004B6F0D"/>
    <w:rsid w:val="004B7A34"/>
    <w:rsid w:val="004C07A1"/>
    <w:rsid w:val="004C2D3F"/>
    <w:rsid w:val="004C2E01"/>
    <w:rsid w:val="004C434F"/>
    <w:rsid w:val="004C4E27"/>
    <w:rsid w:val="004C4FE2"/>
    <w:rsid w:val="004C6215"/>
    <w:rsid w:val="004C6E28"/>
    <w:rsid w:val="004C746F"/>
    <w:rsid w:val="004C7D3A"/>
    <w:rsid w:val="004D107B"/>
    <w:rsid w:val="004D2411"/>
    <w:rsid w:val="004D3E62"/>
    <w:rsid w:val="004D4B8B"/>
    <w:rsid w:val="004D5BC1"/>
    <w:rsid w:val="004D6EBD"/>
    <w:rsid w:val="004E0A06"/>
    <w:rsid w:val="004E0D65"/>
    <w:rsid w:val="004E206B"/>
    <w:rsid w:val="004E2DAA"/>
    <w:rsid w:val="004E3979"/>
    <w:rsid w:val="004E39E4"/>
    <w:rsid w:val="004E413B"/>
    <w:rsid w:val="004E53CB"/>
    <w:rsid w:val="004E5D1F"/>
    <w:rsid w:val="004E7D8A"/>
    <w:rsid w:val="004F0398"/>
    <w:rsid w:val="004F14A3"/>
    <w:rsid w:val="004F20AA"/>
    <w:rsid w:val="004F2755"/>
    <w:rsid w:val="004F2F49"/>
    <w:rsid w:val="004F3A73"/>
    <w:rsid w:val="004F4BCE"/>
    <w:rsid w:val="004F4C13"/>
    <w:rsid w:val="004F4EDC"/>
    <w:rsid w:val="004F5EA1"/>
    <w:rsid w:val="004F61D6"/>
    <w:rsid w:val="004F6AC2"/>
    <w:rsid w:val="004F6B25"/>
    <w:rsid w:val="004F7609"/>
    <w:rsid w:val="00500DA4"/>
    <w:rsid w:val="00500FA5"/>
    <w:rsid w:val="0050136C"/>
    <w:rsid w:val="005018A8"/>
    <w:rsid w:val="00502DE6"/>
    <w:rsid w:val="00503459"/>
    <w:rsid w:val="0050491E"/>
    <w:rsid w:val="00505A39"/>
    <w:rsid w:val="00505F5C"/>
    <w:rsid w:val="00506785"/>
    <w:rsid w:val="005078BD"/>
    <w:rsid w:val="00510BC6"/>
    <w:rsid w:val="005126B8"/>
    <w:rsid w:val="0051355C"/>
    <w:rsid w:val="005136B3"/>
    <w:rsid w:val="00513843"/>
    <w:rsid w:val="00513B94"/>
    <w:rsid w:val="005146D8"/>
    <w:rsid w:val="0051502D"/>
    <w:rsid w:val="005160E3"/>
    <w:rsid w:val="005161CE"/>
    <w:rsid w:val="0051744C"/>
    <w:rsid w:val="00520BA8"/>
    <w:rsid w:val="00520F9F"/>
    <w:rsid w:val="005240BF"/>
    <w:rsid w:val="00526AC1"/>
    <w:rsid w:val="00526DCF"/>
    <w:rsid w:val="005270AA"/>
    <w:rsid w:val="00527C39"/>
    <w:rsid w:val="00530435"/>
    <w:rsid w:val="0053180E"/>
    <w:rsid w:val="00531864"/>
    <w:rsid w:val="0053281F"/>
    <w:rsid w:val="00536DEE"/>
    <w:rsid w:val="00537207"/>
    <w:rsid w:val="00537CD7"/>
    <w:rsid w:val="00537FF5"/>
    <w:rsid w:val="0054126B"/>
    <w:rsid w:val="00541A32"/>
    <w:rsid w:val="005425E4"/>
    <w:rsid w:val="005437AE"/>
    <w:rsid w:val="00544DBE"/>
    <w:rsid w:val="005477EF"/>
    <w:rsid w:val="0055031B"/>
    <w:rsid w:val="00552A78"/>
    <w:rsid w:val="00552B9E"/>
    <w:rsid w:val="005530CB"/>
    <w:rsid w:val="00553562"/>
    <w:rsid w:val="005551EE"/>
    <w:rsid w:val="00555B77"/>
    <w:rsid w:val="00555FDA"/>
    <w:rsid w:val="00560506"/>
    <w:rsid w:val="005621F7"/>
    <w:rsid w:val="00562A4A"/>
    <w:rsid w:val="00565068"/>
    <w:rsid w:val="0056626A"/>
    <w:rsid w:val="0056668F"/>
    <w:rsid w:val="005666DD"/>
    <w:rsid w:val="00567287"/>
    <w:rsid w:val="00567798"/>
    <w:rsid w:val="00570049"/>
    <w:rsid w:val="00572342"/>
    <w:rsid w:val="0057237F"/>
    <w:rsid w:val="00572903"/>
    <w:rsid w:val="00572CE3"/>
    <w:rsid w:val="00573A17"/>
    <w:rsid w:val="0057514E"/>
    <w:rsid w:val="00576FE1"/>
    <w:rsid w:val="005815AD"/>
    <w:rsid w:val="00581F69"/>
    <w:rsid w:val="0058313C"/>
    <w:rsid w:val="00584CC7"/>
    <w:rsid w:val="00585390"/>
    <w:rsid w:val="00586669"/>
    <w:rsid w:val="00587471"/>
    <w:rsid w:val="00587D1F"/>
    <w:rsid w:val="00590B68"/>
    <w:rsid w:val="00590E61"/>
    <w:rsid w:val="00590EB5"/>
    <w:rsid w:val="005939A5"/>
    <w:rsid w:val="00595070"/>
    <w:rsid w:val="00595EF9"/>
    <w:rsid w:val="005967A8"/>
    <w:rsid w:val="005A148C"/>
    <w:rsid w:val="005A1CAF"/>
    <w:rsid w:val="005A3749"/>
    <w:rsid w:val="005A7707"/>
    <w:rsid w:val="005A7AA5"/>
    <w:rsid w:val="005B1547"/>
    <w:rsid w:val="005B28C9"/>
    <w:rsid w:val="005B32F9"/>
    <w:rsid w:val="005B3D12"/>
    <w:rsid w:val="005B4253"/>
    <w:rsid w:val="005B462B"/>
    <w:rsid w:val="005B4C63"/>
    <w:rsid w:val="005B5196"/>
    <w:rsid w:val="005B624F"/>
    <w:rsid w:val="005B7850"/>
    <w:rsid w:val="005B79F1"/>
    <w:rsid w:val="005C0883"/>
    <w:rsid w:val="005C096A"/>
    <w:rsid w:val="005C18B6"/>
    <w:rsid w:val="005C1944"/>
    <w:rsid w:val="005C1EFE"/>
    <w:rsid w:val="005C339C"/>
    <w:rsid w:val="005C35AD"/>
    <w:rsid w:val="005C545F"/>
    <w:rsid w:val="005C5938"/>
    <w:rsid w:val="005C6177"/>
    <w:rsid w:val="005C751B"/>
    <w:rsid w:val="005D1C0D"/>
    <w:rsid w:val="005D2A1E"/>
    <w:rsid w:val="005D30DF"/>
    <w:rsid w:val="005D3724"/>
    <w:rsid w:val="005D4F47"/>
    <w:rsid w:val="005D518D"/>
    <w:rsid w:val="005D5201"/>
    <w:rsid w:val="005D52E9"/>
    <w:rsid w:val="005D5804"/>
    <w:rsid w:val="005D6BA5"/>
    <w:rsid w:val="005D6C8D"/>
    <w:rsid w:val="005E08C9"/>
    <w:rsid w:val="005E095F"/>
    <w:rsid w:val="005E0DD4"/>
    <w:rsid w:val="005E1D8C"/>
    <w:rsid w:val="005E225A"/>
    <w:rsid w:val="005E22CB"/>
    <w:rsid w:val="005E3804"/>
    <w:rsid w:val="005E3B9A"/>
    <w:rsid w:val="005E50CD"/>
    <w:rsid w:val="005E557D"/>
    <w:rsid w:val="005E673B"/>
    <w:rsid w:val="005E6E2F"/>
    <w:rsid w:val="005E6F55"/>
    <w:rsid w:val="005E7C71"/>
    <w:rsid w:val="005E7ED5"/>
    <w:rsid w:val="005F0506"/>
    <w:rsid w:val="005F1387"/>
    <w:rsid w:val="005F1DC8"/>
    <w:rsid w:val="005F2028"/>
    <w:rsid w:val="005F29A6"/>
    <w:rsid w:val="005F3670"/>
    <w:rsid w:val="005F3F66"/>
    <w:rsid w:val="005F6A0B"/>
    <w:rsid w:val="005F6FE9"/>
    <w:rsid w:val="006003D9"/>
    <w:rsid w:val="00601DBD"/>
    <w:rsid w:val="00603EC4"/>
    <w:rsid w:val="00604885"/>
    <w:rsid w:val="00605FBE"/>
    <w:rsid w:val="006070D4"/>
    <w:rsid w:val="00611EBE"/>
    <w:rsid w:val="0061271F"/>
    <w:rsid w:val="0061401A"/>
    <w:rsid w:val="00614523"/>
    <w:rsid w:val="0061452B"/>
    <w:rsid w:val="006148DB"/>
    <w:rsid w:val="0061490E"/>
    <w:rsid w:val="00614C68"/>
    <w:rsid w:val="006154CC"/>
    <w:rsid w:val="006160EA"/>
    <w:rsid w:val="006164A7"/>
    <w:rsid w:val="0061693C"/>
    <w:rsid w:val="006179A8"/>
    <w:rsid w:val="00621B2F"/>
    <w:rsid w:val="00621F15"/>
    <w:rsid w:val="00622004"/>
    <w:rsid w:val="006244B7"/>
    <w:rsid w:val="0062463A"/>
    <w:rsid w:val="00625B75"/>
    <w:rsid w:val="00627E4A"/>
    <w:rsid w:val="00630DB9"/>
    <w:rsid w:val="006318AA"/>
    <w:rsid w:val="006318B3"/>
    <w:rsid w:val="00632207"/>
    <w:rsid w:val="006325DC"/>
    <w:rsid w:val="00632B71"/>
    <w:rsid w:val="00632C45"/>
    <w:rsid w:val="0063390F"/>
    <w:rsid w:val="00633C45"/>
    <w:rsid w:val="00633FB2"/>
    <w:rsid w:val="0063491C"/>
    <w:rsid w:val="00635A27"/>
    <w:rsid w:val="0063672E"/>
    <w:rsid w:val="00636D07"/>
    <w:rsid w:val="006377F9"/>
    <w:rsid w:val="00641006"/>
    <w:rsid w:val="00641C48"/>
    <w:rsid w:val="006420D2"/>
    <w:rsid w:val="0064210C"/>
    <w:rsid w:val="006428BB"/>
    <w:rsid w:val="0064395A"/>
    <w:rsid w:val="0064402B"/>
    <w:rsid w:val="00644A49"/>
    <w:rsid w:val="006452BF"/>
    <w:rsid w:val="006456FD"/>
    <w:rsid w:val="00646315"/>
    <w:rsid w:val="00646FFB"/>
    <w:rsid w:val="00647194"/>
    <w:rsid w:val="00647791"/>
    <w:rsid w:val="006500C5"/>
    <w:rsid w:val="006508D3"/>
    <w:rsid w:val="00651E2C"/>
    <w:rsid w:val="00652A32"/>
    <w:rsid w:val="00653749"/>
    <w:rsid w:val="00653B43"/>
    <w:rsid w:val="00653D2C"/>
    <w:rsid w:val="00655890"/>
    <w:rsid w:val="0065702B"/>
    <w:rsid w:val="00660753"/>
    <w:rsid w:val="00660C5A"/>
    <w:rsid w:val="00660D25"/>
    <w:rsid w:val="00662567"/>
    <w:rsid w:val="00663AEF"/>
    <w:rsid w:val="0066417E"/>
    <w:rsid w:val="0066462F"/>
    <w:rsid w:val="00664B11"/>
    <w:rsid w:val="00675476"/>
    <w:rsid w:val="00675780"/>
    <w:rsid w:val="00676920"/>
    <w:rsid w:val="00677BB1"/>
    <w:rsid w:val="00677C76"/>
    <w:rsid w:val="006807F3"/>
    <w:rsid w:val="0068272E"/>
    <w:rsid w:val="00682805"/>
    <w:rsid w:val="00682DB3"/>
    <w:rsid w:val="0068391B"/>
    <w:rsid w:val="00684955"/>
    <w:rsid w:val="006856FF"/>
    <w:rsid w:val="00687443"/>
    <w:rsid w:val="006902D2"/>
    <w:rsid w:val="006922CF"/>
    <w:rsid w:val="00693668"/>
    <w:rsid w:val="0069390A"/>
    <w:rsid w:val="00694C4A"/>
    <w:rsid w:val="00694D0D"/>
    <w:rsid w:val="00694FAA"/>
    <w:rsid w:val="00695740"/>
    <w:rsid w:val="006979F4"/>
    <w:rsid w:val="006A028E"/>
    <w:rsid w:val="006A1172"/>
    <w:rsid w:val="006A12ED"/>
    <w:rsid w:val="006A156A"/>
    <w:rsid w:val="006A16B6"/>
    <w:rsid w:val="006A1DC6"/>
    <w:rsid w:val="006A2645"/>
    <w:rsid w:val="006A2B7E"/>
    <w:rsid w:val="006A458F"/>
    <w:rsid w:val="006A552B"/>
    <w:rsid w:val="006A59EA"/>
    <w:rsid w:val="006A6C37"/>
    <w:rsid w:val="006A6DE5"/>
    <w:rsid w:val="006A7A2A"/>
    <w:rsid w:val="006A7A4E"/>
    <w:rsid w:val="006A7F7D"/>
    <w:rsid w:val="006B112C"/>
    <w:rsid w:val="006B236C"/>
    <w:rsid w:val="006B3A11"/>
    <w:rsid w:val="006B55B7"/>
    <w:rsid w:val="006B64E5"/>
    <w:rsid w:val="006B7751"/>
    <w:rsid w:val="006C0112"/>
    <w:rsid w:val="006C1194"/>
    <w:rsid w:val="006C1526"/>
    <w:rsid w:val="006C200C"/>
    <w:rsid w:val="006C2A34"/>
    <w:rsid w:val="006C2B1A"/>
    <w:rsid w:val="006C2F41"/>
    <w:rsid w:val="006C3C14"/>
    <w:rsid w:val="006C3DF9"/>
    <w:rsid w:val="006C42C7"/>
    <w:rsid w:val="006C44F7"/>
    <w:rsid w:val="006C4CDC"/>
    <w:rsid w:val="006C527B"/>
    <w:rsid w:val="006C6D46"/>
    <w:rsid w:val="006C6F23"/>
    <w:rsid w:val="006C759C"/>
    <w:rsid w:val="006C7FB8"/>
    <w:rsid w:val="006D1BDC"/>
    <w:rsid w:val="006D4E16"/>
    <w:rsid w:val="006D4FD8"/>
    <w:rsid w:val="006D5885"/>
    <w:rsid w:val="006D669E"/>
    <w:rsid w:val="006D7526"/>
    <w:rsid w:val="006D7D0F"/>
    <w:rsid w:val="006E04CE"/>
    <w:rsid w:val="006E0ACF"/>
    <w:rsid w:val="006E1182"/>
    <w:rsid w:val="006E13A4"/>
    <w:rsid w:val="006E2440"/>
    <w:rsid w:val="006E31B1"/>
    <w:rsid w:val="006E358E"/>
    <w:rsid w:val="006E3E87"/>
    <w:rsid w:val="006E4370"/>
    <w:rsid w:val="006E4C1A"/>
    <w:rsid w:val="006E54B7"/>
    <w:rsid w:val="006E58AE"/>
    <w:rsid w:val="006E5E28"/>
    <w:rsid w:val="006E6574"/>
    <w:rsid w:val="006E6B0B"/>
    <w:rsid w:val="006E6C47"/>
    <w:rsid w:val="006F14F0"/>
    <w:rsid w:val="006F1A86"/>
    <w:rsid w:val="006F1FE7"/>
    <w:rsid w:val="006F3F02"/>
    <w:rsid w:val="006F465C"/>
    <w:rsid w:val="006F47F2"/>
    <w:rsid w:val="006F4ED0"/>
    <w:rsid w:val="006F5258"/>
    <w:rsid w:val="006F58ED"/>
    <w:rsid w:val="006F61D0"/>
    <w:rsid w:val="006F6DF6"/>
    <w:rsid w:val="006F6E8F"/>
    <w:rsid w:val="006F7307"/>
    <w:rsid w:val="006F7733"/>
    <w:rsid w:val="006F7D70"/>
    <w:rsid w:val="00701836"/>
    <w:rsid w:val="0070324A"/>
    <w:rsid w:val="00703C07"/>
    <w:rsid w:val="0070593D"/>
    <w:rsid w:val="00707090"/>
    <w:rsid w:val="007100D9"/>
    <w:rsid w:val="00710231"/>
    <w:rsid w:val="007116DF"/>
    <w:rsid w:val="00711C13"/>
    <w:rsid w:val="00711FAC"/>
    <w:rsid w:val="007131A3"/>
    <w:rsid w:val="00713A3E"/>
    <w:rsid w:val="00714CF2"/>
    <w:rsid w:val="00714DA9"/>
    <w:rsid w:val="00714E20"/>
    <w:rsid w:val="007155F5"/>
    <w:rsid w:val="007156B9"/>
    <w:rsid w:val="00717FEE"/>
    <w:rsid w:val="00720817"/>
    <w:rsid w:val="0072226A"/>
    <w:rsid w:val="00722673"/>
    <w:rsid w:val="00722850"/>
    <w:rsid w:val="00724629"/>
    <w:rsid w:val="0072488C"/>
    <w:rsid w:val="00725578"/>
    <w:rsid w:val="007255F8"/>
    <w:rsid w:val="0072638B"/>
    <w:rsid w:val="00726451"/>
    <w:rsid w:val="00726696"/>
    <w:rsid w:val="00727099"/>
    <w:rsid w:val="0072776A"/>
    <w:rsid w:val="00727EC2"/>
    <w:rsid w:val="0073238D"/>
    <w:rsid w:val="0073353F"/>
    <w:rsid w:val="00733A81"/>
    <w:rsid w:val="00736459"/>
    <w:rsid w:val="00737B05"/>
    <w:rsid w:val="00740142"/>
    <w:rsid w:val="00742E45"/>
    <w:rsid w:val="007444A6"/>
    <w:rsid w:val="007447AF"/>
    <w:rsid w:val="0074514E"/>
    <w:rsid w:val="007458C6"/>
    <w:rsid w:val="0074724D"/>
    <w:rsid w:val="00750816"/>
    <w:rsid w:val="00751252"/>
    <w:rsid w:val="00751426"/>
    <w:rsid w:val="00751672"/>
    <w:rsid w:val="007518FA"/>
    <w:rsid w:val="0075279F"/>
    <w:rsid w:val="00756114"/>
    <w:rsid w:val="00756236"/>
    <w:rsid w:val="007567C2"/>
    <w:rsid w:val="0075686D"/>
    <w:rsid w:val="007601BB"/>
    <w:rsid w:val="007614D0"/>
    <w:rsid w:val="00763130"/>
    <w:rsid w:val="00763ED6"/>
    <w:rsid w:val="00764EA9"/>
    <w:rsid w:val="007657C1"/>
    <w:rsid w:val="00765C4E"/>
    <w:rsid w:val="00765E8E"/>
    <w:rsid w:val="00766C4B"/>
    <w:rsid w:val="007705C1"/>
    <w:rsid w:val="00770F6E"/>
    <w:rsid w:val="0077106B"/>
    <w:rsid w:val="00771390"/>
    <w:rsid w:val="00773241"/>
    <w:rsid w:val="00773BA8"/>
    <w:rsid w:val="0077529B"/>
    <w:rsid w:val="00775B92"/>
    <w:rsid w:val="007801C5"/>
    <w:rsid w:val="00780548"/>
    <w:rsid w:val="00781514"/>
    <w:rsid w:val="007818DD"/>
    <w:rsid w:val="00781D4B"/>
    <w:rsid w:val="0078394E"/>
    <w:rsid w:val="00784A5D"/>
    <w:rsid w:val="00785A65"/>
    <w:rsid w:val="00786051"/>
    <w:rsid w:val="0078774C"/>
    <w:rsid w:val="00787971"/>
    <w:rsid w:val="00787D06"/>
    <w:rsid w:val="007900D2"/>
    <w:rsid w:val="00790B2A"/>
    <w:rsid w:val="00792381"/>
    <w:rsid w:val="007940EF"/>
    <w:rsid w:val="00795AD0"/>
    <w:rsid w:val="00795C5E"/>
    <w:rsid w:val="007971BC"/>
    <w:rsid w:val="007A0923"/>
    <w:rsid w:val="007A099D"/>
    <w:rsid w:val="007A168D"/>
    <w:rsid w:val="007A1DA1"/>
    <w:rsid w:val="007A219D"/>
    <w:rsid w:val="007A406D"/>
    <w:rsid w:val="007A4AF4"/>
    <w:rsid w:val="007A62B0"/>
    <w:rsid w:val="007A676F"/>
    <w:rsid w:val="007A6C0A"/>
    <w:rsid w:val="007B0686"/>
    <w:rsid w:val="007B06A5"/>
    <w:rsid w:val="007B07C9"/>
    <w:rsid w:val="007B07DE"/>
    <w:rsid w:val="007B0DB8"/>
    <w:rsid w:val="007B10FF"/>
    <w:rsid w:val="007B3052"/>
    <w:rsid w:val="007B351F"/>
    <w:rsid w:val="007B5BBD"/>
    <w:rsid w:val="007C0706"/>
    <w:rsid w:val="007C093B"/>
    <w:rsid w:val="007C1B66"/>
    <w:rsid w:val="007C1DF3"/>
    <w:rsid w:val="007C2323"/>
    <w:rsid w:val="007C2D8D"/>
    <w:rsid w:val="007C3011"/>
    <w:rsid w:val="007C5A0C"/>
    <w:rsid w:val="007C6257"/>
    <w:rsid w:val="007C629A"/>
    <w:rsid w:val="007C687F"/>
    <w:rsid w:val="007C6EB3"/>
    <w:rsid w:val="007C7BF6"/>
    <w:rsid w:val="007D02AA"/>
    <w:rsid w:val="007D1C7E"/>
    <w:rsid w:val="007D3049"/>
    <w:rsid w:val="007D4D18"/>
    <w:rsid w:val="007D6B45"/>
    <w:rsid w:val="007D6CFA"/>
    <w:rsid w:val="007D7E8F"/>
    <w:rsid w:val="007E0EDA"/>
    <w:rsid w:val="007E0FEE"/>
    <w:rsid w:val="007E1EB2"/>
    <w:rsid w:val="007E25B9"/>
    <w:rsid w:val="007E2A3C"/>
    <w:rsid w:val="007E357A"/>
    <w:rsid w:val="007E3855"/>
    <w:rsid w:val="007E4148"/>
    <w:rsid w:val="007E4DB4"/>
    <w:rsid w:val="007E5E9C"/>
    <w:rsid w:val="007E60DC"/>
    <w:rsid w:val="007E695B"/>
    <w:rsid w:val="007E6F37"/>
    <w:rsid w:val="007F0C8E"/>
    <w:rsid w:val="007F10BD"/>
    <w:rsid w:val="007F2017"/>
    <w:rsid w:val="007F21F4"/>
    <w:rsid w:val="007F37B2"/>
    <w:rsid w:val="007F3C60"/>
    <w:rsid w:val="007F3EB5"/>
    <w:rsid w:val="007F6FF9"/>
    <w:rsid w:val="007F7239"/>
    <w:rsid w:val="007F74A5"/>
    <w:rsid w:val="008006E7"/>
    <w:rsid w:val="0080209C"/>
    <w:rsid w:val="00802A89"/>
    <w:rsid w:val="00802CC9"/>
    <w:rsid w:val="0080340D"/>
    <w:rsid w:val="008045FB"/>
    <w:rsid w:val="00806CCF"/>
    <w:rsid w:val="00807950"/>
    <w:rsid w:val="008100CD"/>
    <w:rsid w:val="00812B31"/>
    <w:rsid w:val="008130DB"/>
    <w:rsid w:val="008145B7"/>
    <w:rsid w:val="00815B6D"/>
    <w:rsid w:val="00817385"/>
    <w:rsid w:val="0082073C"/>
    <w:rsid w:val="00820F35"/>
    <w:rsid w:val="00821BF4"/>
    <w:rsid w:val="0082262C"/>
    <w:rsid w:val="0082264F"/>
    <w:rsid w:val="00823282"/>
    <w:rsid w:val="008235E6"/>
    <w:rsid w:val="00823FF3"/>
    <w:rsid w:val="008249B9"/>
    <w:rsid w:val="00826FA2"/>
    <w:rsid w:val="00827ACC"/>
    <w:rsid w:val="00827C73"/>
    <w:rsid w:val="00827D49"/>
    <w:rsid w:val="008302A5"/>
    <w:rsid w:val="008308CD"/>
    <w:rsid w:val="00830F39"/>
    <w:rsid w:val="008310BB"/>
    <w:rsid w:val="0083258C"/>
    <w:rsid w:val="00832BC6"/>
    <w:rsid w:val="008336E0"/>
    <w:rsid w:val="008339BB"/>
    <w:rsid w:val="00833CC6"/>
    <w:rsid w:val="008349C7"/>
    <w:rsid w:val="008358D6"/>
    <w:rsid w:val="00837707"/>
    <w:rsid w:val="00842AE6"/>
    <w:rsid w:val="0084306B"/>
    <w:rsid w:val="0084543F"/>
    <w:rsid w:val="00851858"/>
    <w:rsid w:val="00852B14"/>
    <w:rsid w:val="00852E3E"/>
    <w:rsid w:val="00853656"/>
    <w:rsid w:val="00853A42"/>
    <w:rsid w:val="0085435E"/>
    <w:rsid w:val="008544AA"/>
    <w:rsid w:val="00854889"/>
    <w:rsid w:val="008548D6"/>
    <w:rsid w:val="008564E4"/>
    <w:rsid w:val="008573DF"/>
    <w:rsid w:val="00857518"/>
    <w:rsid w:val="0085785C"/>
    <w:rsid w:val="00860290"/>
    <w:rsid w:val="00861DE6"/>
    <w:rsid w:val="00861F88"/>
    <w:rsid w:val="00863542"/>
    <w:rsid w:val="00863902"/>
    <w:rsid w:val="00863C26"/>
    <w:rsid w:val="0086419A"/>
    <w:rsid w:val="008648C2"/>
    <w:rsid w:val="008655D2"/>
    <w:rsid w:val="0087023B"/>
    <w:rsid w:val="008703E2"/>
    <w:rsid w:val="00870C1E"/>
    <w:rsid w:val="008718F0"/>
    <w:rsid w:val="00871B62"/>
    <w:rsid w:val="00871E6D"/>
    <w:rsid w:val="00872C4D"/>
    <w:rsid w:val="0087378A"/>
    <w:rsid w:val="00874204"/>
    <w:rsid w:val="00874717"/>
    <w:rsid w:val="0087481E"/>
    <w:rsid w:val="00875A38"/>
    <w:rsid w:val="00876C47"/>
    <w:rsid w:val="00880292"/>
    <w:rsid w:val="008802EE"/>
    <w:rsid w:val="0088118A"/>
    <w:rsid w:val="008815A5"/>
    <w:rsid w:val="00881905"/>
    <w:rsid w:val="00885498"/>
    <w:rsid w:val="00886D1A"/>
    <w:rsid w:val="00887873"/>
    <w:rsid w:val="00887FCB"/>
    <w:rsid w:val="00891ADF"/>
    <w:rsid w:val="00892288"/>
    <w:rsid w:val="0089305A"/>
    <w:rsid w:val="00893CD2"/>
    <w:rsid w:val="00895068"/>
    <w:rsid w:val="00897223"/>
    <w:rsid w:val="00897DAF"/>
    <w:rsid w:val="00897DFB"/>
    <w:rsid w:val="008A179F"/>
    <w:rsid w:val="008A1BA6"/>
    <w:rsid w:val="008A2100"/>
    <w:rsid w:val="008A2406"/>
    <w:rsid w:val="008A3E11"/>
    <w:rsid w:val="008A52C2"/>
    <w:rsid w:val="008A5BD2"/>
    <w:rsid w:val="008A7147"/>
    <w:rsid w:val="008A71A5"/>
    <w:rsid w:val="008A7970"/>
    <w:rsid w:val="008B0864"/>
    <w:rsid w:val="008B0FE0"/>
    <w:rsid w:val="008B1208"/>
    <w:rsid w:val="008B1514"/>
    <w:rsid w:val="008B1C54"/>
    <w:rsid w:val="008B1CD6"/>
    <w:rsid w:val="008B4B9A"/>
    <w:rsid w:val="008B4E70"/>
    <w:rsid w:val="008B5235"/>
    <w:rsid w:val="008B5275"/>
    <w:rsid w:val="008B5B92"/>
    <w:rsid w:val="008B6C44"/>
    <w:rsid w:val="008B7916"/>
    <w:rsid w:val="008C073A"/>
    <w:rsid w:val="008C1A0D"/>
    <w:rsid w:val="008C1F8B"/>
    <w:rsid w:val="008C3146"/>
    <w:rsid w:val="008C36A8"/>
    <w:rsid w:val="008C44B0"/>
    <w:rsid w:val="008C4FB6"/>
    <w:rsid w:val="008C5534"/>
    <w:rsid w:val="008C7413"/>
    <w:rsid w:val="008C786C"/>
    <w:rsid w:val="008C79FA"/>
    <w:rsid w:val="008D02E7"/>
    <w:rsid w:val="008D16B7"/>
    <w:rsid w:val="008D29E1"/>
    <w:rsid w:val="008D3BA3"/>
    <w:rsid w:val="008D3ED9"/>
    <w:rsid w:val="008D3EFD"/>
    <w:rsid w:val="008D4E29"/>
    <w:rsid w:val="008D4FC2"/>
    <w:rsid w:val="008D63F5"/>
    <w:rsid w:val="008E0184"/>
    <w:rsid w:val="008E1956"/>
    <w:rsid w:val="008E2B17"/>
    <w:rsid w:val="008E3EB3"/>
    <w:rsid w:val="008E55A3"/>
    <w:rsid w:val="008E66AD"/>
    <w:rsid w:val="008E6AE6"/>
    <w:rsid w:val="008E6BA7"/>
    <w:rsid w:val="008F0116"/>
    <w:rsid w:val="008F0574"/>
    <w:rsid w:val="008F0F01"/>
    <w:rsid w:val="008F1219"/>
    <w:rsid w:val="008F143D"/>
    <w:rsid w:val="008F18FE"/>
    <w:rsid w:val="008F1F69"/>
    <w:rsid w:val="008F26A1"/>
    <w:rsid w:val="008F381F"/>
    <w:rsid w:val="008F3FAA"/>
    <w:rsid w:val="008F467C"/>
    <w:rsid w:val="008F4DD8"/>
    <w:rsid w:val="008F528A"/>
    <w:rsid w:val="008F6535"/>
    <w:rsid w:val="008F665E"/>
    <w:rsid w:val="008F7857"/>
    <w:rsid w:val="008F7910"/>
    <w:rsid w:val="008F7E81"/>
    <w:rsid w:val="00900A53"/>
    <w:rsid w:val="00900DF7"/>
    <w:rsid w:val="0090298E"/>
    <w:rsid w:val="0090372A"/>
    <w:rsid w:val="009051C2"/>
    <w:rsid w:val="009062E0"/>
    <w:rsid w:val="00906513"/>
    <w:rsid w:val="0090747A"/>
    <w:rsid w:val="00907B20"/>
    <w:rsid w:val="009100B4"/>
    <w:rsid w:val="009105BA"/>
    <w:rsid w:val="009112CB"/>
    <w:rsid w:val="0091263A"/>
    <w:rsid w:val="009127E7"/>
    <w:rsid w:val="0091284C"/>
    <w:rsid w:val="009132D8"/>
    <w:rsid w:val="00913F78"/>
    <w:rsid w:val="0091451C"/>
    <w:rsid w:val="00914E4A"/>
    <w:rsid w:val="0091544A"/>
    <w:rsid w:val="00915AB4"/>
    <w:rsid w:val="00916806"/>
    <w:rsid w:val="00917A3A"/>
    <w:rsid w:val="00917E94"/>
    <w:rsid w:val="009211C2"/>
    <w:rsid w:val="0092202E"/>
    <w:rsid w:val="00923A5B"/>
    <w:rsid w:val="009255E6"/>
    <w:rsid w:val="0092691E"/>
    <w:rsid w:val="00926C23"/>
    <w:rsid w:val="009311EE"/>
    <w:rsid w:val="00931AAE"/>
    <w:rsid w:val="00932476"/>
    <w:rsid w:val="00932865"/>
    <w:rsid w:val="0093289A"/>
    <w:rsid w:val="00933C49"/>
    <w:rsid w:val="009345E6"/>
    <w:rsid w:val="00935831"/>
    <w:rsid w:val="00936C3D"/>
    <w:rsid w:val="0094315B"/>
    <w:rsid w:val="009432EF"/>
    <w:rsid w:val="00943C84"/>
    <w:rsid w:val="00944588"/>
    <w:rsid w:val="0094468C"/>
    <w:rsid w:val="00945868"/>
    <w:rsid w:val="00945D4F"/>
    <w:rsid w:val="009460D1"/>
    <w:rsid w:val="00947965"/>
    <w:rsid w:val="00947C97"/>
    <w:rsid w:val="009504F8"/>
    <w:rsid w:val="009516A2"/>
    <w:rsid w:val="00953A0D"/>
    <w:rsid w:val="00954625"/>
    <w:rsid w:val="00956032"/>
    <w:rsid w:val="009569A7"/>
    <w:rsid w:val="00957777"/>
    <w:rsid w:val="009602FC"/>
    <w:rsid w:val="00960C42"/>
    <w:rsid w:val="00960DE0"/>
    <w:rsid w:val="009621B2"/>
    <w:rsid w:val="009633DB"/>
    <w:rsid w:val="009635E4"/>
    <w:rsid w:val="0096389F"/>
    <w:rsid w:val="00963F3F"/>
    <w:rsid w:val="00964900"/>
    <w:rsid w:val="00965471"/>
    <w:rsid w:val="00966CA0"/>
    <w:rsid w:val="00967C18"/>
    <w:rsid w:val="00970911"/>
    <w:rsid w:val="00970E5A"/>
    <w:rsid w:val="00971388"/>
    <w:rsid w:val="00972C1A"/>
    <w:rsid w:val="00972D46"/>
    <w:rsid w:val="009740B2"/>
    <w:rsid w:val="009748C7"/>
    <w:rsid w:val="00974EB7"/>
    <w:rsid w:val="00975009"/>
    <w:rsid w:val="00975058"/>
    <w:rsid w:val="0097665E"/>
    <w:rsid w:val="009776DB"/>
    <w:rsid w:val="00980302"/>
    <w:rsid w:val="009810DA"/>
    <w:rsid w:val="0098138E"/>
    <w:rsid w:val="00982090"/>
    <w:rsid w:val="00983FE1"/>
    <w:rsid w:val="00983FF7"/>
    <w:rsid w:val="00984692"/>
    <w:rsid w:val="0098655A"/>
    <w:rsid w:val="00986884"/>
    <w:rsid w:val="009870C6"/>
    <w:rsid w:val="0099018E"/>
    <w:rsid w:val="00991E2B"/>
    <w:rsid w:val="00993F54"/>
    <w:rsid w:val="009948AF"/>
    <w:rsid w:val="00994B3D"/>
    <w:rsid w:val="00995194"/>
    <w:rsid w:val="00995A91"/>
    <w:rsid w:val="00996397"/>
    <w:rsid w:val="0099749F"/>
    <w:rsid w:val="00997A0F"/>
    <w:rsid w:val="009A0A7A"/>
    <w:rsid w:val="009A1784"/>
    <w:rsid w:val="009A1F31"/>
    <w:rsid w:val="009A271F"/>
    <w:rsid w:val="009A2735"/>
    <w:rsid w:val="009A2EA4"/>
    <w:rsid w:val="009A47E5"/>
    <w:rsid w:val="009A4A42"/>
    <w:rsid w:val="009A4EE2"/>
    <w:rsid w:val="009A5201"/>
    <w:rsid w:val="009A5EBA"/>
    <w:rsid w:val="009A614C"/>
    <w:rsid w:val="009A628E"/>
    <w:rsid w:val="009A6FCF"/>
    <w:rsid w:val="009B0913"/>
    <w:rsid w:val="009B118D"/>
    <w:rsid w:val="009B1406"/>
    <w:rsid w:val="009B2A64"/>
    <w:rsid w:val="009B5D65"/>
    <w:rsid w:val="009B7295"/>
    <w:rsid w:val="009B7B01"/>
    <w:rsid w:val="009C53FE"/>
    <w:rsid w:val="009C5774"/>
    <w:rsid w:val="009C5F77"/>
    <w:rsid w:val="009C68DB"/>
    <w:rsid w:val="009C7557"/>
    <w:rsid w:val="009C766F"/>
    <w:rsid w:val="009C76BF"/>
    <w:rsid w:val="009D11E6"/>
    <w:rsid w:val="009D26B3"/>
    <w:rsid w:val="009D2AA8"/>
    <w:rsid w:val="009D3DE7"/>
    <w:rsid w:val="009D5354"/>
    <w:rsid w:val="009D5647"/>
    <w:rsid w:val="009D6130"/>
    <w:rsid w:val="009D6270"/>
    <w:rsid w:val="009D7355"/>
    <w:rsid w:val="009D76EE"/>
    <w:rsid w:val="009D78A0"/>
    <w:rsid w:val="009D7DC7"/>
    <w:rsid w:val="009D7EAF"/>
    <w:rsid w:val="009E1206"/>
    <w:rsid w:val="009E29D6"/>
    <w:rsid w:val="009E466B"/>
    <w:rsid w:val="009E5C04"/>
    <w:rsid w:val="009E64A0"/>
    <w:rsid w:val="009E669E"/>
    <w:rsid w:val="009E7947"/>
    <w:rsid w:val="009E7C7F"/>
    <w:rsid w:val="009F04B3"/>
    <w:rsid w:val="009F07A5"/>
    <w:rsid w:val="009F0A2F"/>
    <w:rsid w:val="009F10A0"/>
    <w:rsid w:val="009F17C0"/>
    <w:rsid w:val="009F1CCB"/>
    <w:rsid w:val="009F3DF4"/>
    <w:rsid w:val="009F4133"/>
    <w:rsid w:val="009F5A3B"/>
    <w:rsid w:val="00A00343"/>
    <w:rsid w:val="00A02FCF"/>
    <w:rsid w:val="00A039E9"/>
    <w:rsid w:val="00A03D5F"/>
    <w:rsid w:val="00A05351"/>
    <w:rsid w:val="00A055FB"/>
    <w:rsid w:val="00A05C0B"/>
    <w:rsid w:val="00A06183"/>
    <w:rsid w:val="00A067F3"/>
    <w:rsid w:val="00A07258"/>
    <w:rsid w:val="00A100BB"/>
    <w:rsid w:val="00A10689"/>
    <w:rsid w:val="00A123D0"/>
    <w:rsid w:val="00A1247F"/>
    <w:rsid w:val="00A12AB4"/>
    <w:rsid w:val="00A13442"/>
    <w:rsid w:val="00A147DD"/>
    <w:rsid w:val="00A14D02"/>
    <w:rsid w:val="00A1630E"/>
    <w:rsid w:val="00A16DB2"/>
    <w:rsid w:val="00A17CE0"/>
    <w:rsid w:val="00A217A3"/>
    <w:rsid w:val="00A218CD"/>
    <w:rsid w:val="00A2298D"/>
    <w:rsid w:val="00A229A7"/>
    <w:rsid w:val="00A23FEA"/>
    <w:rsid w:val="00A24EE9"/>
    <w:rsid w:val="00A253A7"/>
    <w:rsid w:val="00A27D3E"/>
    <w:rsid w:val="00A314A2"/>
    <w:rsid w:val="00A31D73"/>
    <w:rsid w:val="00A32377"/>
    <w:rsid w:val="00A32BD0"/>
    <w:rsid w:val="00A33A4D"/>
    <w:rsid w:val="00A33E57"/>
    <w:rsid w:val="00A3422F"/>
    <w:rsid w:val="00A34BD6"/>
    <w:rsid w:val="00A35753"/>
    <w:rsid w:val="00A4000B"/>
    <w:rsid w:val="00A40ADE"/>
    <w:rsid w:val="00A41178"/>
    <w:rsid w:val="00A4173F"/>
    <w:rsid w:val="00A42306"/>
    <w:rsid w:val="00A427F0"/>
    <w:rsid w:val="00A45D07"/>
    <w:rsid w:val="00A472C0"/>
    <w:rsid w:val="00A515F7"/>
    <w:rsid w:val="00A516F9"/>
    <w:rsid w:val="00A522D0"/>
    <w:rsid w:val="00A52BA5"/>
    <w:rsid w:val="00A53193"/>
    <w:rsid w:val="00A54B34"/>
    <w:rsid w:val="00A552DC"/>
    <w:rsid w:val="00A55ACD"/>
    <w:rsid w:val="00A61080"/>
    <w:rsid w:val="00A616C5"/>
    <w:rsid w:val="00A62D22"/>
    <w:rsid w:val="00A64417"/>
    <w:rsid w:val="00A65F60"/>
    <w:rsid w:val="00A660FC"/>
    <w:rsid w:val="00A70012"/>
    <w:rsid w:val="00A70DC1"/>
    <w:rsid w:val="00A71BEA"/>
    <w:rsid w:val="00A71CBD"/>
    <w:rsid w:val="00A71E01"/>
    <w:rsid w:val="00A727FD"/>
    <w:rsid w:val="00A73094"/>
    <w:rsid w:val="00A737ED"/>
    <w:rsid w:val="00A74426"/>
    <w:rsid w:val="00A74668"/>
    <w:rsid w:val="00A74A0C"/>
    <w:rsid w:val="00A76B5D"/>
    <w:rsid w:val="00A76CBF"/>
    <w:rsid w:val="00A76DD7"/>
    <w:rsid w:val="00A77B64"/>
    <w:rsid w:val="00A80571"/>
    <w:rsid w:val="00A8257D"/>
    <w:rsid w:val="00A841E7"/>
    <w:rsid w:val="00A8472C"/>
    <w:rsid w:val="00A865D7"/>
    <w:rsid w:val="00A906CF"/>
    <w:rsid w:val="00A92262"/>
    <w:rsid w:val="00A935D7"/>
    <w:rsid w:val="00A9474F"/>
    <w:rsid w:val="00A94C75"/>
    <w:rsid w:val="00A94D95"/>
    <w:rsid w:val="00A95072"/>
    <w:rsid w:val="00A95EDE"/>
    <w:rsid w:val="00A976C7"/>
    <w:rsid w:val="00A97936"/>
    <w:rsid w:val="00A97B1C"/>
    <w:rsid w:val="00AA04A2"/>
    <w:rsid w:val="00AA1D9B"/>
    <w:rsid w:val="00AA1EAC"/>
    <w:rsid w:val="00AA1F84"/>
    <w:rsid w:val="00AA28A4"/>
    <w:rsid w:val="00AA4027"/>
    <w:rsid w:val="00AA455C"/>
    <w:rsid w:val="00AA4CF7"/>
    <w:rsid w:val="00AA65B5"/>
    <w:rsid w:val="00AA6767"/>
    <w:rsid w:val="00AA6978"/>
    <w:rsid w:val="00AA76C0"/>
    <w:rsid w:val="00AA7EDB"/>
    <w:rsid w:val="00AB0A96"/>
    <w:rsid w:val="00AB10B7"/>
    <w:rsid w:val="00AB24C1"/>
    <w:rsid w:val="00AB3E3E"/>
    <w:rsid w:val="00AB43F2"/>
    <w:rsid w:val="00AB5C40"/>
    <w:rsid w:val="00AC04D4"/>
    <w:rsid w:val="00AC08AD"/>
    <w:rsid w:val="00AC0FC0"/>
    <w:rsid w:val="00AC1917"/>
    <w:rsid w:val="00AC1D87"/>
    <w:rsid w:val="00AC1F65"/>
    <w:rsid w:val="00AC28C4"/>
    <w:rsid w:val="00AC37B7"/>
    <w:rsid w:val="00AC3ADC"/>
    <w:rsid w:val="00AC4A27"/>
    <w:rsid w:val="00AC4D24"/>
    <w:rsid w:val="00AC5588"/>
    <w:rsid w:val="00AC6703"/>
    <w:rsid w:val="00AC6D75"/>
    <w:rsid w:val="00AD04FD"/>
    <w:rsid w:val="00AD1249"/>
    <w:rsid w:val="00AD1617"/>
    <w:rsid w:val="00AD4504"/>
    <w:rsid w:val="00AD472A"/>
    <w:rsid w:val="00AD5AFC"/>
    <w:rsid w:val="00AD5D71"/>
    <w:rsid w:val="00AD61B3"/>
    <w:rsid w:val="00AD708B"/>
    <w:rsid w:val="00AD784A"/>
    <w:rsid w:val="00AD7D2C"/>
    <w:rsid w:val="00AE0456"/>
    <w:rsid w:val="00AE0A4E"/>
    <w:rsid w:val="00AE111F"/>
    <w:rsid w:val="00AE117B"/>
    <w:rsid w:val="00AE1A0C"/>
    <w:rsid w:val="00AE2592"/>
    <w:rsid w:val="00AE25A2"/>
    <w:rsid w:val="00AE2827"/>
    <w:rsid w:val="00AE3C19"/>
    <w:rsid w:val="00AE49CB"/>
    <w:rsid w:val="00AE7F75"/>
    <w:rsid w:val="00AE7FC0"/>
    <w:rsid w:val="00AF075B"/>
    <w:rsid w:val="00AF0A39"/>
    <w:rsid w:val="00AF30A3"/>
    <w:rsid w:val="00AF4C15"/>
    <w:rsid w:val="00AF4E3B"/>
    <w:rsid w:val="00AF4FAE"/>
    <w:rsid w:val="00AF5831"/>
    <w:rsid w:val="00AF5FDA"/>
    <w:rsid w:val="00AF6601"/>
    <w:rsid w:val="00AF6847"/>
    <w:rsid w:val="00AF76AE"/>
    <w:rsid w:val="00B0005F"/>
    <w:rsid w:val="00B01F7E"/>
    <w:rsid w:val="00B02129"/>
    <w:rsid w:val="00B02EB2"/>
    <w:rsid w:val="00B03067"/>
    <w:rsid w:val="00B0432D"/>
    <w:rsid w:val="00B05115"/>
    <w:rsid w:val="00B056D4"/>
    <w:rsid w:val="00B05A80"/>
    <w:rsid w:val="00B11AAF"/>
    <w:rsid w:val="00B160DC"/>
    <w:rsid w:val="00B17006"/>
    <w:rsid w:val="00B171D3"/>
    <w:rsid w:val="00B172B4"/>
    <w:rsid w:val="00B20B50"/>
    <w:rsid w:val="00B21B99"/>
    <w:rsid w:val="00B2268C"/>
    <w:rsid w:val="00B22FF2"/>
    <w:rsid w:val="00B23048"/>
    <w:rsid w:val="00B24A0E"/>
    <w:rsid w:val="00B24BC5"/>
    <w:rsid w:val="00B25AF3"/>
    <w:rsid w:val="00B26502"/>
    <w:rsid w:val="00B27751"/>
    <w:rsid w:val="00B3087D"/>
    <w:rsid w:val="00B310B5"/>
    <w:rsid w:val="00B31404"/>
    <w:rsid w:val="00B3149D"/>
    <w:rsid w:val="00B32F60"/>
    <w:rsid w:val="00B335CB"/>
    <w:rsid w:val="00B33F88"/>
    <w:rsid w:val="00B34070"/>
    <w:rsid w:val="00B340B8"/>
    <w:rsid w:val="00B34794"/>
    <w:rsid w:val="00B35B6D"/>
    <w:rsid w:val="00B35FA6"/>
    <w:rsid w:val="00B36249"/>
    <w:rsid w:val="00B36269"/>
    <w:rsid w:val="00B36BE0"/>
    <w:rsid w:val="00B37969"/>
    <w:rsid w:val="00B37B5D"/>
    <w:rsid w:val="00B37B9A"/>
    <w:rsid w:val="00B37C81"/>
    <w:rsid w:val="00B417A7"/>
    <w:rsid w:val="00B425B3"/>
    <w:rsid w:val="00B42A8F"/>
    <w:rsid w:val="00B436A0"/>
    <w:rsid w:val="00B43F42"/>
    <w:rsid w:val="00B445AD"/>
    <w:rsid w:val="00B44DBA"/>
    <w:rsid w:val="00B511AA"/>
    <w:rsid w:val="00B51273"/>
    <w:rsid w:val="00B51AD5"/>
    <w:rsid w:val="00B51C11"/>
    <w:rsid w:val="00B52B93"/>
    <w:rsid w:val="00B52C0C"/>
    <w:rsid w:val="00B52D82"/>
    <w:rsid w:val="00B531F3"/>
    <w:rsid w:val="00B53259"/>
    <w:rsid w:val="00B554A1"/>
    <w:rsid w:val="00B55622"/>
    <w:rsid w:val="00B557D7"/>
    <w:rsid w:val="00B57AE1"/>
    <w:rsid w:val="00B60421"/>
    <w:rsid w:val="00B624A7"/>
    <w:rsid w:val="00B62EDF"/>
    <w:rsid w:val="00B64029"/>
    <w:rsid w:val="00B655D5"/>
    <w:rsid w:val="00B660D7"/>
    <w:rsid w:val="00B66E7B"/>
    <w:rsid w:val="00B677D9"/>
    <w:rsid w:val="00B67AA8"/>
    <w:rsid w:val="00B67ECD"/>
    <w:rsid w:val="00B720FB"/>
    <w:rsid w:val="00B725F2"/>
    <w:rsid w:val="00B72BA6"/>
    <w:rsid w:val="00B744E6"/>
    <w:rsid w:val="00B74753"/>
    <w:rsid w:val="00B764D4"/>
    <w:rsid w:val="00B76A66"/>
    <w:rsid w:val="00B76FFD"/>
    <w:rsid w:val="00B77446"/>
    <w:rsid w:val="00B77496"/>
    <w:rsid w:val="00B8107D"/>
    <w:rsid w:val="00B81885"/>
    <w:rsid w:val="00B827DE"/>
    <w:rsid w:val="00B835B4"/>
    <w:rsid w:val="00B841C9"/>
    <w:rsid w:val="00B84822"/>
    <w:rsid w:val="00B86AE4"/>
    <w:rsid w:val="00B8716F"/>
    <w:rsid w:val="00B873AF"/>
    <w:rsid w:val="00B87B27"/>
    <w:rsid w:val="00B87C18"/>
    <w:rsid w:val="00B87DE9"/>
    <w:rsid w:val="00B904F6"/>
    <w:rsid w:val="00B905C3"/>
    <w:rsid w:val="00B9072B"/>
    <w:rsid w:val="00B9166B"/>
    <w:rsid w:val="00B91B69"/>
    <w:rsid w:val="00B92A14"/>
    <w:rsid w:val="00B92E50"/>
    <w:rsid w:val="00B93691"/>
    <w:rsid w:val="00B93FF4"/>
    <w:rsid w:val="00B96079"/>
    <w:rsid w:val="00B9639C"/>
    <w:rsid w:val="00B964D0"/>
    <w:rsid w:val="00B97190"/>
    <w:rsid w:val="00B97917"/>
    <w:rsid w:val="00BA0CA8"/>
    <w:rsid w:val="00BA10ED"/>
    <w:rsid w:val="00BA1BC6"/>
    <w:rsid w:val="00BA212F"/>
    <w:rsid w:val="00BA30FA"/>
    <w:rsid w:val="00BA4502"/>
    <w:rsid w:val="00BA4D31"/>
    <w:rsid w:val="00BA6E0E"/>
    <w:rsid w:val="00BA7BFC"/>
    <w:rsid w:val="00BB0113"/>
    <w:rsid w:val="00BB0243"/>
    <w:rsid w:val="00BB0EA1"/>
    <w:rsid w:val="00BB10E7"/>
    <w:rsid w:val="00BB1D31"/>
    <w:rsid w:val="00BB2026"/>
    <w:rsid w:val="00BB22B9"/>
    <w:rsid w:val="00BB382A"/>
    <w:rsid w:val="00BB432D"/>
    <w:rsid w:val="00BB5163"/>
    <w:rsid w:val="00BB668A"/>
    <w:rsid w:val="00BB75B9"/>
    <w:rsid w:val="00BB764E"/>
    <w:rsid w:val="00BB7F42"/>
    <w:rsid w:val="00BC0997"/>
    <w:rsid w:val="00BC1C87"/>
    <w:rsid w:val="00BC1EF3"/>
    <w:rsid w:val="00BC2CC6"/>
    <w:rsid w:val="00BC2F89"/>
    <w:rsid w:val="00BC4462"/>
    <w:rsid w:val="00BC4A61"/>
    <w:rsid w:val="00BC5CF6"/>
    <w:rsid w:val="00BC6259"/>
    <w:rsid w:val="00BC6361"/>
    <w:rsid w:val="00BC77A1"/>
    <w:rsid w:val="00BC7B42"/>
    <w:rsid w:val="00BD07AA"/>
    <w:rsid w:val="00BD0B5B"/>
    <w:rsid w:val="00BD0F85"/>
    <w:rsid w:val="00BD1C05"/>
    <w:rsid w:val="00BD254D"/>
    <w:rsid w:val="00BD283D"/>
    <w:rsid w:val="00BD297F"/>
    <w:rsid w:val="00BD3EC5"/>
    <w:rsid w:val="00BD50CD"/>
    <w:rsid w:val="00BD5181"/>
    <w:rsid w:val="00BD6261"/>
    <w:rsid w:val="00BD687A"/>
    <w:rsid w:val="00BE0683"/>
    <w:rsid w:val="00BE0A33"/>
    <w:rsid w:val="00BE1F1D"/>
    <w:rsid w:val="00BE1F1E"/>
    <w:rsid w:val="00BE28FD"/>
    <w:rsid w:val="00BE41A7"/>
    <w:rsid w:val="00BE5238"/>
    <w:rsid w:val="00BE5AF7"/>
    <w:rsid w:val="00BE6535"/>
    <w:rsid w:val="00BE7BC3"/>
    <w:rsid w:val="00BF01EB"/>
    <w:rsid w:val="00BF10C4"/>
    <w:rsid w:val="00BF1763"/>
    <w:rsid w:val="00BF189C"/>
    <w:rsid w:val="00BF1AAF"/>
    <w:rsid w:val="00BF2E6E"/>
    <w:rsid w:val="00BF4CF6"/>
    <w:rsid w:val="00BF53ED"/>
    <w:rsid w:val="00BF53F5"/>
    <w:rsid w:val="00BF570C"/>
    <w:rsid w:val="00BF5D71"/>
    <w:rsid w:val="00BF5E61"/>
    <w:rsid w:val="00BF6594"/>
    <w:rsid w:val="00BF79DE"/>
    <w:rsid w:val="00BF7DC7"/>
    <w:rsid w:val="00C00223"/>
    <w:rsid w:val="00C00603"/>
    <w:rsid w:val="00C00CCF"/>
    <w:rsid w:val="00C017B3"/>
    <w:rsid w:val="00C01DFC"/>
    <w:rsid w:val="00C01F1B"/>
    <w:rsid w:val="00C02D3B"/>
    <w:rsid w:val="00C03262"/>
    <w:rsid w:val="00C0422F"/>
    <w:rsid w:val="00C042A1"/>
    <w:rsid w:val="00C043AF"/>
    <w:rsid w:val="00C054EE"/>
    <w:rsid w:val="00C06D55"/>
    <w:rsid w:val="00C10B5F"/>
    <w:rsid w:val="00C114BC"/>
    <w:rsid w:val="00C11F9B"/>
    <w:rsid w:val="00C130C5"/>
    <w:rsid w:val="00C14AE4"/>
    <w:rsid w:val="00C16EB8"/>
    <w:rsid w:val="00C20D12"/>
    <w:rsid w:val="00C211AE"/>
    <w:rsid w:val="00C21925"/>
    <w:rsid w:val="00C221FD"/>
    <w:rsid w:val="00C22358"/>
    <w:rsid w:val="00C224FE"/>
    <w:rsid w:val="00C2344A"/>
    <w:rsid w:val="00C23BA4"/>
    <w:rsid w:val="00C242FB"/>
    <w:rsid w:val="00C24A05"/>
    <w:rsid w:val="00C25BE4"/>
    <w:rsid w:val="00C3044C"/>
    <w:rsid w:val="00C309F3"/>
    <w:rsid w:val="00C3120F"/>
    <w:rsid w:val="00C31A5D"/>
    <w:rsid w:val="00C31FDA"/>
    <w:rsid w:val="00C32405"/>
    <w:rsid w:val="00C32CB2"/>
    <w:rsid w:val="00C351FF"/>
    <w:rsid w:val="00C354F4"/>
    <w:rsid w:val="00C35B2B"/>
    <w:rsid w:val="00C36E77"/>
    <w:rsid w:val="00C37A74"/>
    <w:rsid w:val="00C40494"/>
    <w:rsid w:val="00C4098A"/>
    <w:rsid w:val="00C415B8"/>
    <w:rsid w:val="00C4183E"/>
    <w:rsid w:val="00C41C49"/>
    <w:rsid w:val="00C42A28"/>
    <w:rsid w:val="00C42D4C"/>
    <w:rsid w:val="00C4487C"/>
    <w:rsid w:val="00C45F2E"/>
    <w:rsid w:val="00C46345"/>
    <w:rsid w:val="00C46E30"/>
    <w:rsid w:val="00C47214"/>
    <w:rsid w:val="00C5138A"/>
    <w:rsid w:val="00C52DFC"/>
    <w:rsid w:val="00C54B61"/>
    <w:rsid w:val="00C56353"/>
    <w:rsid w:val="00C56983"/>
    <w:rsid w:val="00C56F22"/>
    <w:rsid w:val="00C570C0"/>
    <w:rsid w:val="00C578FD"/>
    <w:rsid w:val="00C60578"/>
    <w:rsid w:val="00C620E1"/>
    <w:rsid w:val="00C64099"/>
    <w:rsid w:val="00C644E4"/>
    <w:rsid w:val="00C644F7"/>
    <w:rsid w:val="00C64821"/>
    <w:rsid w:val="00C65236"/>
    <w:rsid w:val="00C66288"/>
    <w:rsid w:val="00C662E5"/>
    <w:rsid w:val="00C669E1"/>
    <w:rsid w:val="00C6759D"/>
    <w:rsid w:val="00C67752"/>
    <w:rsid w:val="00C703F6"/>
    <w:rsid w:val="00C70EF7"/>
    <w:rsid w:val="00C711CF"/>
    <w:rsid w:val="00C713EB"/>
    <w:rsid w:val="00C7267C"/>
    <w:rsid w:val="00C72719"/>
    <w:rsid w:val="00C727B3"/>
    <w:rsid w:val="00C73655"/>
    <w:rsid w:val="00C737A3"/>
    <w:rsid w:val="00C73AD4"/>
    <w:rsid w:val="00C73E56"/>
    <w:rsid w:val="00C75453"/>
    <w:rsid w:val="00C75544"/>
    <w:rsid w:val="00C7562C"/>
    <w:rsid w:val="00C75E7B"/>
    <w:rsid w:val="00C76037"/>
    <w:rsid w:val="00C77AFA"/>
    <w:rsid w:val="00C82AE2"/>
    <w:rsid w:val="00C82C0F"/>
    <w:rsid w:val="00C82E8F"/>
    <w:rsid w:val="00C8398E"/>
    <w:rsid w:val="00C84B99"/>
    <w:rsid w:val="00C854F1"/>
    <w:rsid w:val="00C901D4"/>
    <w:rsid w:val="00C91005"/>
    <w:rsid w:val="00C913A1"/>
    <w:rsid w:val="00C9258C"/>
    <w:rsid w:val="00C934ED"/>
    <w:rsid w:val="00C9484E"/>
    <w:rsid w:val="00CA03D0"/>
    <w:rsid w:val="00CA045D"/>
    <w:rsid w:val="00CA28BB"/>
    <w:rsid w:val="00CA3BB1"/>
    <w:rsid w:val="00CA5252"/>
    <w:rsid w:val="00CA5AEC"/>
    <w:rsid w:val="00CA5C65"/>
    <w:rsid w:val="00CA6D4D"/>
    <w:rsid w:val="00CB0113"/>
    <w:rsid w:val="00CB0DE4"/>
    <w:rsid w:val="00CB0FC9"/>
    <w:rsid w:val="00CB2123"/>
    <w:rsid w:val="00CB2BE3"/>
    <w:rsid w:val="00CB3D31"/>
    <w:rsid w:val="00CB40AE"/>
    <w:rsid w:val="00CB4B45"/>
    <w:rsid w:val="00CB4EB4"/>
    <w:rsid w:val="00CB53B0"/>
    <w:rsid w:val="00CB6218"/>
    <w:rsid w:val="00CB6846"/>
    <w:rsid w:val="00CB7539"/>
    <w:rsid w:val="00CB7DC0"/>
    <w:rsid w:val="00CC1AFE"/>
    <w:rsid w:val="00CC1BD0"/>
    <w:rsid w:val="00CC1E38"/>
    <w:rsid w:val="00CC298D"/>
    <w:rsid w:val="00CC3DCE"/>
    <w:rsid w:val="00CC4024"/>
    <w:rsid w:val="00CC4295"/>
    <w:rsid w:val="00CC6368"/>
    <w:rsid w:val="00CC6A22"/>
    <w:rsid w:val="00CC6A99"/>
    <w:rsid w:val="00CC7438"/>
    <w:rsid w:val="00CD1BFF"/>
    <w:rsid w:val="00CD5B3B"/>
    <w:rsid w:val="00CD6451"/>
    <w:rsid w:val="00CD6702"/>
    <w:rsid w:val="00CD6753"/>
    <w:rsid w:val="00CD690D"/>
    <w:rsid w:val="00CD6C84"/>
    <w:rsid w:val="00CD6FC7"/>
    <w:rsid w:val="00CD749F"/>
    <w:rsid w:val="00CE0887"/>
    <w:rsid w:val="00CE1EA8"/>
    <w:rsid w:val="00CE3A7A"/>
    <w:rsid w:val="00CE3FE4"/>
    <w:rsid w:val="00CE4209"/>
    <w:rsid w:val="00CE4D0C"/>
    <w:rsid w:val="00CE4E10"/>
    <w:rsid w:val="00CE5013"/>
    <w:rsid w:val="00CE50FA"/>
    <w:rsid w:val="00CF1300"/>
    <w:rsid w:val="00CF223A"/>
    <w:rsid w:val="00CF22D2"/>
    <w:rsid w:val="00CF390D"/>
    <w:rsid w:val="00CF40A1"/>
    <w:rsid w:val="00CF4370"/>
    <w:rsid w:val="00CF57D5"/>
    <w:rsid w:val="00D00AA3"/>
    <w:rsid w:val="00D0189C"/>
    <w:rsid w:val="00D0227B"/>
    <w:rsid w:val="00D0546D"/>
    <w:rsid w:val="00D05D50"/>
    <w:rsid w:val="00D05E42"/>
    <w:rsid w:val="00D078F7"/>
    <w:rsid w:val="00D07F73"/>
    <w:rsid w:val="00D10B91"/>
    <w:rsid w:val="00D12CD1"/>
    <w:rsid w:val="00D12CF5"/>
    <w:rsid w:val="00D13038"/>
    <w:rsid w:val="00D13DE6"/>
    <w:rsid w:val="00D1457E"/>
    <w:rsid w:val="00D150A9"/>
    <w:rsid w:val="00D2041C"/>
    <w:rsid w:val="00D20CD0"/>
    <w:rsid w:val="00D23493"/>
    <w:rsid w:val="00D23CA5"/>
    <w:rsid w:val="00D244C0"/>
    <w:rsid w:val="00D25236"/>
    <w:rsid w:val="00D25ADE"/>
    <w:rsid w:val="00D25E6F"/>
    <w:rsid w:val="00D2640B"/>
    <w:rsid w:val="00D27739"/>
    <w:rsid w:val="00D30909"/>
    <w:rsid w:val="00D31F69"/>
    <w:rsid w:val="00D31F7C"/>
    <w:rsid w:val="00D3257D"/>
    <w:rsid w:val="00D34A5A"/>
    <w:rsid w:val="00D34E51"/>
    <w:rsid w:val="00D356B8"/>
    <w:rsid w:val="00D36160"/>
    <w:rsid w:val="00D40478"/>
    <w:rsid w:val="00D40545"/>
    <w:rsid w:val="00D42051"/>
    <w:rsid w:val="00D43297"/>
    <w:rsid w:val="00D44DB6"/>
    <w:rsid w:val="00D44E31"/>
    <w:rsid w:val="00D44FF0"/>
    <w:rsid w:val="00D4564B"/>
    <w:rsid w:val="00D45D09"/>
    <w:rsid w:val="00D46E6A"/>
    <w:rsid w:val="00D4778D"/>
    <w:rsid w:val="00D50119"/>
    <w:rsid w:val="00D5044E"/>
    <w:rsid w:val="00D509F1"/>
    <w:rsid w:val="00D517A9"/>
    <w:rsid w:val="00D523FB"/>
    <w:rsid w:val="00D52560"/>
    <w:rsid w:val="00D52C5F"/>
    <w:rsid w:val="00D52D26"/>
    <w:rsid w:val="00D54FBE"/>
    <w:rsid w:val="00D55861"/>
    <w:rsid w:val="00D56CDB"/>
    <w:rsid w:val="00D601F6"/>
    <w:rsid w:val="00D60573"/>
    <w:rsid w:val="00D62E2A"/>
    <w:rsid w:val="00D63359"/>
    <w:rsid w:val="00D6337D"/>
    <w:rsid w:val="00D63AFC"/>
    <w:rsid w:val="00D63C9A"/>
    <w:rsid w:val="00D63F05"/>
    <w:rsid w:val="00D70160"/>
    <w:rsid w:val="00D711C3"/>
    <w:rsid w:val="00D72778"/>
    <w:rsid w:val="00D73AC5"/>
    <w:rsid w:val="00D74D3E"/>
    <w:rsid w:val="00D755FC"/>
    <w:rsid w:val="00D75AC7"/>
    <w:rsid w:val="00D76631"/>
    <w:rsid w:val="00D772C5"/>
    <w:rsid w:val="00D777F9"/>
    <w:rsid w:val="00D80E2C"/>
    <w:rsid w:val="00D80EFE"/>
    <w:rsid w:val="00D81398"/>
    <w:rsid w:val="00D82589"/>
    <w:rsid w:val="00D82A43"/>
    <w:rsid w:val="00D82C4A"/>
    <w:rsid w:val="00D8326A"/>
    <w:rsid w:val="00D852EA"/>
    <w:rsid w:val="00D85FA9"/>
    <w:rsid w:val="00D8689A"/>
    <w:rsid w:val="00D86D67"/>
    <w:rsid w:val="00D87114"/>
    <w:rsid w:val="00D8738C"/>
    <w:rsid w:val="00D8753C"/>
    <w:rsid w:val="00D876C2"/>
    <w:rsid w:val="00D8797E"/>
    <w:rsid w:val="00D9078C"/>
    <w:rsid w:val="00D90C7B"/>
    <w:rsid w:val="00D9232D"/>
    <w:rsid w:val="00D92532"/>
    <w:rsid w:val="00D92F2E"/>
    <w:rsid w:val="00D948BC"/>
    <w:rsid w:val="00D96057"/>
    <w:rsid w:val="00D96221"/>
    <w:rsid w:val="00D969FF"/>
    <w:rsid w:val="00D97485"/>
    <w:rsid w:val="00DA0058"/>
    <w:rsid w:val="00DA04A7"/>
    <w:rsid w:val="00DA1C0D"/>
    <w:rsid w:val="00DA23CC"/>
    <w:rsid w:val="00DA24A6"/>
    <w:rsid w:val="00DA2897"/>
    <w:rsid w:val="00DA4862"/>
    <w:rsid w:val="00DA545E"/>
    <w:rsid w:val="00DA5E77"/>
    <w:rsid w:val="00DA6B1D"/>
    <w:rsid w:val="00DA7855"/>
    <w:rsid w:val="00DA7B5D"/>
    <w:rsid w:val="00DB0186"/>
    <w:rsid w:val="00DB1913"/>
    <w:rsid w:val="00DB2387"/>
    <w:rsid w:val="00DB2D81"/>
    <w:rsid w:val="00DB3566"/>
    <w:rsid w:val="00DB39F6"/>
    <w:rsid w:val="00DB3C0A"/>
    <w:rsid w:val="00DB3F69"/>
    <w:rsid w:val="00DB567C"/>
    <w:rsid w:val="00DB57FB"/>
    <w:rsid w:val="00DB7F10"/>
    <w:rsid w:val="00DC0566"/>
    <w:rsid w:val="00DC10A3"/>
    <w:rsid w:val="00DC1C47"/>
    <w:rsid w:val="00DC474C"/>
    <w:rsid w:val="00DC52AA"/>
    <w:rsid w:val="00DC5884"/>
    <w:rsid w:val="00DC5F6A"/>
    <w:rsid w:val="00DC732F"/>
    <w:rsid w:val="00DD3588"/>
    <w:rsid w:val="00DD4527"/>
    <w:rsid w:val="00DD5364"/>
    <w:rsid w:val="00DD5844"/>
    <w:rsid w:val="00DD6039"/>
    <w:rsid w:val="00DD61C5"/>
    <w:rsid w:val="00DD6536"/>
    <w:rsid w:val="00DD727B"/>
    <w:rsid w:val="00DE3B30"/>
    <w:rsid w:val="00DE3D43"/>
    <w:rsid w:val="00DE45F7"/>
    <w:rsid w:val="00DE7B9A"/>
    <w:rsid w:val="00DE7EAB"/>
    <w:rsid w:val="00DE7EC2"/>
    <w:rsid w:val="00DF01A6"/>
    <w:rsid w:val="00DF0AE3"/>
    <w:rsid w:val="00DF13EE"/>
    <w:rsid w:val="00DF46A7"/>
    <w:rsid w:val="00DF4CC7"/>
    <w:rsid w:val="00DF550E"/>
    <w:rsid w:val="00DF58E7"/>
    <w:rsid w:val="00DF6636"/>
    <w:rsid w:val="00DF6D85"/>
    <w:rsid w:val="00DF7068"/>
    <w:rsid w:val="00DF7161"/>
    <w:rsid w:val="00E00910"/>
    <w:rsid w:val="00E01B51"/>
    <w:rsid w:val="00E02A69"/>
    <w:rsid w:val="00E02B29"/>
    <w:rsid w:val="00E0345D"/>
    <w:rsid w:val="00E03A58"/>
    <w:rsid w:val="00E04764"/>
    <w:rsid w:val="00E04AD6"/>
    <w:rsid w:val="00E04DAE"/>
    <w:rsid w:val="00E05727"/>
    <w:rsid w:val="00E05F09"/>
    <w:rsid w:val="00E1024F"/>
    <w:rsid w:val="00E103B9"/>
    <w:rsid w:val="00E11876"/>
    <w:rsid w:val="00E118FA"/>
    <w:rsid w:val="00E1282A"/>
    <w:rsid w:val="00E1421C"/>
    <w:rsid w:val="00E15C28"/>
    <w:rsid w:val="00E15C57"/>
    <w:rsid w:val="00E170F0"/>
    <w:rsid w:val="00E17563"/>
    <w:rsid w:val="00E178EF"/>
    <w:rsid w:val="00E23522"/>
    <w:rsid w:val="00E23B2F"/>
    <w:rsid w:val="00E23CBB"/>
    <w:rsid w:val="00E244A2"/>
    <w:rsid w:val="00E25817"/>
    <w:rsid w:val="00E2625D"/>
    <w:rsid w:val="00E27439"/>
    <w:rsid w:val="00E2745A"/>
    <w:rsid w:val="00E278BF"/>
    <w:rsid w:val="00E307D7"/>
    <w:rsid w:val="00E309CD"/>
    <w:rsid w:val="00E32310"/>
    <w:rsid w:val="00E32F87"/>
    <w:rsid w:val="00E33084"/>
    <w:rsid w:val="00E339F4"/>
    <w:rsid w:val="00E340CC"/>
    <w:rsid w:val="00E3430C"/>
    <w:rsid w:val="00E35E87"/>
    <w:rsid w:val="00E36942"/>
    <w:rsid w:val="00E373C7"/>
    <w:rsid w:val="00E3775A"/>
    <w:rsid w:val="00E3797F"/>
    <w:rsid w:val="00E37B59"/>
    <w:rsid w:val="00E37EAC"/>
    <w:rsid w:val="00E37F5F"/>
    <w:rsid w:val="00E40EA3"/>
    <w:rsid w:val="00E40FAD"/>
    <w:rsid w:val="00E41EA3"/>
    <w:rsid w:val="00E42636"/>
    <w:rsid w:val="00E42CF6"/>
    <w:rsid w:val="00E43DDC"/>
    <w:rsid w:val="00E44000"/>
    <w:rsid w:val="00E44323"/>
    <w:rsid w:val="00E44354"/>
    <w:rsid w:val="00E47B21"/>
    <w:rsid w:val="00E5008B"/>
    <w:rsid w:val="00E50D48"/>
    <w:rsid w:val="00E512EA"/>
    <w:rsid w:val="00E519A2"/>
    <w:rsid w:val="00E51B4F"/>
    <w:rsid w:val="00E51BDB"/>
    <w:rsid w:val="00E52374"/>
    <w:rsid w:val="00E52C2C"/>
    <w:rsid w:val="00E52FB1"/>
    <w:rsid w:val="00E5560E"/>
    <w:rsid w:val="00E55BBB"/>
    <w:rsid w:val="00E5693D"/>
    <w:rsid w:val="00E57CE2"/>
    <w:rsid w:val="00E57E2E"/>
    <w:rsid w:val="00E60F1A"/>
    <w:rsid w:val="00E612BA"/>
    <w:rsid w:val="00E6247F"/>
    <w:rsid w:val="00E645B5"/>
    <w:rsid w:val="00E64BCC"/>
    <w:rsid w:val="00E653F2"/>
    <w:rsid w:val="00E66E41"/>
    <w:rsid w:val="00E67C1A"/>
    <w:rsid w:val="00E71B9B"/>
    <w:rsid w:val="00E71F1C"/>
    <w:rsid w:val="00E73840"/>
    <w:rsid w:val="00E73886"/>
    <w:rsid w:val="00E739DA"/>
    <w:rsid w:val="00E74F44"/>
    <w:rsid w:val="00E75D26"/>
    <w:rsid w:val="00E76FA1"/>
    <w:rsid w:val="00E76FE6"/>
    <w:rsid w:val="00E84039"/>
    <w:rsid w:val="00E84200"/>
    <w:rsid w:val="00E84EC0"/>
    <w:rsid w:val="00E87133"/>
    <w:rsid w:val="00E91906"/>
    <w:rsid w:val="00E91E6E"/>
    <w:rsid w:val="00E91FC0"/>
    <w:rsid w:val="00E9220D"/>
    <w:rsid w:val="00E926AA"/>
    <w:rsid w:val="00E92815"/>
    <w:rsid w:val="00E92E7D"/>
    <w:rsid w:val="00E92F4B"/>
    <w:rsid w:val="00E93028"/>
    <w:rsid w:val="00E94507"/>
    <w:rsid w:val="00E9459C"/>
    <w:rsid w:val="00EA0C7E"/>
    <w:rsid w:val="00EA247C"/>
    <w:rsid w:val="00EA36C6"/>
    <w:rsid w:val="00EA40EF"/>
    <w:rsid w:val="00EA51D9"/>
    <w:rsid w:val="00EA6E00"/>
    <w:rsid w:val="00EA762E"/>
    <w:rsid w:val="00EA79EF"/>
    <w:rsid w:val="00EB0ACA"/>
    <w:rsid w:val="00EB0CA9"/>
    <w:rsid w:val="00EB1DFF"/>
    <w:rsid w:val="00EB3BED"/>
    <w:rsid w:val="00EB5181"/>
    <w:rsid w:val="00EB56DE"/>
    <w:rsid w:val="00EB64CD"/>
    <w:rsid w:val="00EB6A0D"/>
    <w:rsid w:val="00EB6CA7"/>
    <w:rsid w:val="00EB7DB5"/>
    <w:rsid w:val="00EC0122"/>
    <w:rsid w:val="00EC12E7"/>
    <w:rsid w:val="00EC138F"/>
    <w:rsid w:val="00EC2316"/>
    <w:rsid w:val="00EC4100"/>
    <w:rsid w:val="00EC4C8C"/>
    <w:rsid w:val="00EC5AD1"/>
    <w:rsid w:val="00EC63F8"/>
    <w:rsid w:val="00EC669C"/>
    <w:rsid w:val="00ED0FA0"/>
    <w:rsid w:val="00ED1385"/>
    <w:rsid w:val="00ED4A38"/>
    <w:rsid w:val="00ED4BF2"/>
    <w:rsid w:val="00ED4FDB"/>
    <w:rsid w:val="00ED5725"/>
    <w:rsid w:val="00ED6117"/>
    <w:rsid w:val="00ED62D6"/>
    <w:rsid w:val="00ED64AD"/>
    <w:rsid w:val="00ED7031"/>
    <w:rsid w:val="00EE14FE"/>
    <w:rsid w:val="00EE2461"/>
    <w:rsid w:val="00EE2622"/>
    <w:rsid w:val="00EE2B7F"/>
    <w:rsid w:val="00EE3013"/>
    <w:rsid w:val="00EE3060"/>
    <w:rsid w:val="00EE36D8"/>
    <w:rsid w:val="00EE4315"/>
    <w:rsid w:val="00EE4682"/>
    <w:rsid w:val="00EE6E5C"/>
    <w:rsid w:val="00EE7AE5"/>
    <w:rsid w:val="00EF1036"/>
    <w:rsid w:val="00EF1BCE"/>
    <w:rsid w:val="00EF2902"/>
    <w:rsid w:val="00EF362A"/>
    <w:rsid w:val="00EF3CEB"/>
    <w:rsid w:val="00EF3D29"/>
    <w:rsid w:val="00EF44FB"/>
    <w:rsid w:val="00EF45D0"/>
    <w:rsid w:val="00EF4792"/>
    <w:rsid w:val="00EF4DAB"/>
    <w:rsid w:val="00EF5C68"/>
    <w:rsid w:val="00EF691C"/>
    <w:rsid w:val="00EF76A8"/>
    <w:rsid w:val="00F006ED"/>
    <w:rsid w:val="00F00C7F"/>
    <w:rsid w:val="00F019F6"/>
    <w:rsid w:val="00F02A9B"/>
    <w:rsid w:val="00F02E3B"/>
    <w:rsid w:val="00F03AAA"/>
    <w:rsid w:val="00F03DD7"/>
    <w:rsid w:val="00F0442E"/>
    <w:rsid w:val="00F0478D"/>
    <w:rsid w:val="00F056B3"/>
    <w:rsid w:val="00F05D22"/>
    <w:rsid w:val="00F0757A"/>
    <w:rsid w:val="00F07AB3"/>
    <w:rsid w:val="00F12FD2"/>
    <w:rsid w:val="00F1372D"/>
    <w:rsid w:val="00F13B66"/>
    <w:rsid w:val="00F13D71"/>
    <w:rsid w:val="00F14AB5"/>
    <w:rsid w:val="00F15C30"/>
    <w:rsid w:val="00F16ADD"/>
    <w:rsid w:val="00F17DA3"/>
    <w:rsid w:val="00F17F99"/>
    <w:rsid w:val="00F2256D"/>
    <w:rsid w:val="00F242CE"/>
    <w:rsid w:val="00F2454B"/>
    <w:rsid w:val="00F2506A"/>
    <w:rsid w:val="00F25565"/>
    <w:rsid w:val="00F2579C"/>
    <w:rsid w:val="00F25FAA"/>
    <w:rsid w:val="00F2699D"/>
    <w:rsid w:val="00F26ED3"/>
    <w:rsid w:val="00F272B9"/>
    <w:rsid w:val="00F307ED"/>
    <w:rsid w:val="00F30BF2"/>
    <w:rsid w:val="00F31697"/>
    <w:rsid w:val="00F35407"/>
    <w:rsid w:val="00F35A80"/>
    <w:rsid w:val="00F36294"/>
    <w:rsid w:val="00F371A1"/>
    <w:rsid w:val="00F37487"/>
    <w:rsid w:val="00F37D4F"/>
    <w:rsid w:val="00F40125"/>
    <w:rsid w:val="00F40A1C"/>
    <w:rsid w:val="00F425F6"/>
    <w:rsid w:val="00F434C4"/>
    <w:rsid w:val="00F43B00"/>
    <w:rsid w:val="00F44120"/>
    <w:rsid w:val="00F445AA"/>
    <w:rsid w:val="00F44F3C"/>
    <w:rsid w:val="00F45172"/>
    <w:rsid w:val="00F454C1"/>
    <w:rsid w:val="00F45977"/>
    <w:rsid w:val="00F46E4F"/>
    <w:rsid w:val="00F47D94"/>
    <w:rsid w:val="00F47DF3"/>
    <w:rsid w:val="00F508C9"/>
    <w:rsid w:val="00F51121"/>
    <w:rsid w:val="00F57BF7"/>
    <w:rsid w:val="00F57C00"/>
    <w:rsid w:val="00F62B7A"/>
    <w:rsid w:val="00F6397D"/>
    <w:rsid w:val="00F644A9"/>
    <w:rsid w:val="00F64B83"/>
    <w:rsid w:val="00F64EF6"/>
    <w:rsid w:val="00F66DC0"/>
    <w:rsid w:val="00F7031B"/>
    <w:rsid w:val="00F705AA"/>
    <w:rsid w:val="00F70D83"/>
    <w:rsid w:val="00F71BDD"/>
    <w:rsid w:val="00F721C1"/>
    <w:rsid w:val="00F7293E"/>
    <w:rsid w:val="00F74E27"/>
    <w:rsid w:val="00F75668"/>
    <w:rsid w:val="00F759BC"/>
    <w:rsid w:val="00F75B1B"/>
    <w:rsid w:val="00F76650"/>
    <w:rsid w:val="00F80C6E"/>
    <w:rsid w:val="00F8125E"/>
    <w:rsid w:val="00F814C9"/>
    <w:rsid w:val="00F816FC"/>
    <w:rsid w:val="00F81C70"/>
    <w:rsid w:val="00F81ECD"/>
    <w:rsid w:val="00F824BF"/>
    <w:rsid w:val="00F8313C"/>
    <w:rsid w:val="00F85A83"/>
    <w:rsid w:val="00F85CC7"/>
    <w:rsid w:val="00F8780D"/>
    <w:rsid w:val="00F91415"/>
    <w:rsid w:val="00F91614"/>
    <w:rsid w:val="00F9187B"/>
    <w:rsid w:val="00F92385"/>
    <w:rsid w:val="00F9296B"/>
    <w:rsid w:val="00F93D4A"/>
    <w:rsid w:val="00F93EF0"/>
    <w:rsid w:val="00F93FE5"/>
    <w:rsid w:val="00F9499B"/>
    <w:rsid w:val="00F94C50"/>
    <w:rsid w:val="00F952E5"/>
    <w:rsid w:val="00F963BF"/>
    <w:rsid w:val="00F96955"/>
    <w:rsid w:val="00F97479"/>
    <w:rsid w:val="00FA05C6"/>
    <w:rsid w:val="00FA0768"/>
    <w:rsid w:val="00FA0DA1"/>
    <w:rsid w:val="00FA1B4F"/>
    <w:rsid w:val="00FA2BC6"/>
    <w:rsid w:val="00FA3419"/>
    <w:rsid w:val="00FA5C03"/>
    <w:rsid w:val="00FA6759"/>
    <w:rsid w:val="00FA6D7D"/>
    <w:rsid w:val="00FB02A2"/>
    <w:rsid w:val="00FB046D"/>
    <w:rsid w:val="00FB0ADD"/>
    <w:rsid w:val="00FB41C9"/>
    <w:rsid w:val="00FB4AE6"/>
    <w:rsid w:val="00FB554B"/>
    <w:rsid w:val="00FB5F92"/>
    <w:rsid w:val="00FC02B8"/>
    <w:rsid w:val="00FC02DF"/>
    <w:rsid w:val="00FC1DD0"/>
    <w:rsid w:val="00FC47F9"/>
    <w:rsid w:val="00FC4AAB"/>
    <w:rsid w:val="00FC6688"/>
    <w:rsid w:val="00FC73C8"/>
    <w:rsid w:val="00FC78DD"/>
    <w:rsid w:val="00FC79B8"/>
    <w:rsid w:val="00FD12D8"/>
    <w:rsid w:val="00FD130E"/>
    <w:rsid w:val="00FD23A6"/>
    <w:rsid w:val="00FD2865"/>
    <w:rsid w:val="00FD3209"/>
    <w:rsid w:val="00FD4EC2"/>
    <w:rsid w:val="00FD51B7"/>
    <w:rsid w:val="00FD614C"/>
    <w:rsid w:val="00FD67E4"/>
    <w:rsid w:val="00FD6BEC"/>
    <w:rsid w:val="00FE123C"/>
    <w:rsid w:val="00FE176F"/>
    <w:rsid w:val="00FE1ACB"/>
    <w:rsid w:val="00FE3529"/>
    <w:rsid w:val="00FE4756"/>
    <w:rsid w:val="00FE5580"/>
    <w:rsid w:val="00FE588F"/>
    <w:rsid w:val="00FE6B89"/>
    <w:rsid w:val="00FF0022"/>
    <w:rsid w:val="00FF110C"/>
    <w:rsid w:val="00FF1110"/>
    <w:rsid w:val="00FF16CF"/>
    <w:rsid w:val="00FF2503"/>
    <w:rsid w:val="00FF34BE"/>
    <w:rsid w:val="00FF46D2"/>
    <w:rsid w:val="00FF4D2D"/>
    <w:rsid w:val="00FF64BF"/>
    <w:rsid w:val="00FF6616"/>
    <w:rsid w:val="00FF7509"/>
    <w:rsid w:val="00FF760F"/>
    <w:rsid w:val="00FF786E"/>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FA33F2"/>
  <w15:chartTrackingRefBased/>
  <w15:docId w15:val="{4C8B35D3-3386-4A29-9AAF-61D685EE310E}"/>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lsdException w:name="heading 7" w:semiHidden="1" w:uiPriority="0" w:qFormat="1"/>
    <w:lsdException w:name="heading 8" w:semiHidden="1" w:uiPriority="9"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16FD"/>
    <w:pPr>
      <w:spacing w:after="0" w:line="240" w:lineRule="auto"/>
    </w:pPr>
    <w:rPr>
      <w:rFonts w:ascii="Book Antiqua" w:hAnsi="Book Antiqua" w:cs="Times New Roman"/>
      <w:sz w:val="26"/>
      <w:szCs w:val="20"/>
    </w:rPr>
  </w:style>
  <w:style w:type="paragraph" w:styleId="Heading1">
    <w:name w:val="heading 1"/>
    <w:basedOn w:val="Dummy"/>
    <w:next w:val="Standard"/>
    <w:link w:val="Heading1Char"/>
    <w:uiPriority w:val="9"/>
    <w:qFormat/>
    <w:rsid w:val="000A56F2"/>
    <w:pPr>
      <w:numPr>
        <w:numId w:val="5"/>
      </w:numPr>
    </w:pPr>
    <w:rPr>
      <w:rFonts w:eastAsiaTheme="majorEastAsia" w:cstheme="majorBidi"/>
      <w:szCs w:val="32"/>
    </w:rPr>
  </w:style>
  <w:style w:type="paragraph" w:styleId="Heading2">
    <w:name w:val="heading 2"/>
    <w:basedOn w:val="Dummy"/>
    <w:next w:val="Standard"/>
    <w:link w:val="Heading2Char"/>
    <w:uiPriority w:val="9"/>
    <w:qFormat/>
    <w:rsid w:val="000A56F2"/>
    <w:pPr>
      <w:numPr>
        <w:ilvl w:val="1"/>
        <w:numId w:val="5"/>
      </w:numPr>
      <w:outlineLvl w:val="1"/>
    </w:pPr>
  </w:style>
  <w:style w:type="paragraph" w:styleId="Heading3">
    <w:name w:val="heading 3"/>
    <w:basedOn w:val="Dummy"/>
    <w:next w:val="Standard"/>
    <w:link w:val="Heading3Char"/>
    <w:qFormat/>
    <w:rsid w:val="000A56F2"/>
    <w:pPr>
      <w:numPr>
        <w:ilvl w:val="2"/>
        <w:numId w:val="5"/>
      </w:numPr>
      <w:outlineLvl w:val="2"/>
    </w:pPr>
    <w:rPr>
      <w:rFonts w:eastAsiaTheme="majorEastAsia" w:cstheme="majorBidi"/>
      <w:szCs w:val="24"/>
    </w:rPr>
  </w:style>
  <w:style w:type="paragraph" w:styleId="Heading4">
    <w:name w:val="heading 4"/>
    <w:basedOn w:val="Dummy"/>
    <w:next w:val="Standard"/>
    <w:link w:val="Heading4Char"/>
    <w:qFormat/>
    <w:rsid w:val="000A56F2"/>
    <w:pPr>
      <w:numPr>
        <w:ilvl w:val="3"/>
        <w:numId w:val="5"/>
      </w:numPr>
      <w:outlineLvl w:val="3"/>
    </w:pPr>
    <w:rPr>
      <w:rFonts w:eastAsiaTheme="majorEastAsia" w:cstheme="majorBidi"/>
      <w:iCs/>
    </w:rPr>
  </w:style>
  <w:style w:type="paragraph" w:styleId="Heading5">
    <w:name w:val="heading 5"/>
    <w:basedOn w:val="Dummy"/>
    <w:next w:val="Standard"/>
    <w:link w:val="Heading5Char"/>
    <w:qFormat/>
    <w:rsid w:val="000A56F2"/>
    <w:pPr>
      <w:numPr>
        <w:ilvl w:val="4"/>
        <w:numId w:val="5"/>
      </w:numPr>
      <w:outlineLvl w:val="4"/>
    </w:pPr>
    <w:rPr>
      <w:rFonts w:eastAsiaTheme="majorEastAsia" w:cstheme="majorBidi"/>
    </w:rPr>
  </w:style>
  <w:style w:type="paragraph" w:styleId="Heading6">
    <w:name w:val="heading 6"/>
    <w:basedOn w:val="Dummy"/>
    <w:next w:val="Standard"/>
    <w:link w:val="Heading6Char"/>
    <w:rsid w:val="000A56F2"/>
    <w:pPr>
      <w:numPr>
        <w:ilvl w:val="5"/>
        <w:numId w:val="5"/>
      </w:numPr>
      <w:spacing w:before="40"/>
      <w:outlineLvl w:val="5"/>
    </w:pPr>
    <w:rPr>
      <w:rFonts w:eastAsiaTheme="majorEastAsia" w:cstheme="majorBidi"/>
    </w:rPr>
  </w:style>
  <w:style w:type="paragraph" w:styleId="Heading7">
    <w:name w:val="heading 7"/>
    <w:basedOn w:val="Normal"/>
    <w:next w:val="Normal"/>
    <w:link w:val="Heading7Char"/>
    <w:rsid w:val="000C1980"/>
    <w:pPr>
      <w:tabs>
        <w:tab w:val="left" w:pos="2520"/>
      </w:tabs>
      <w:spacing w:before="120" w:after="120"/>
      <w:ind w:left="2520" w:hanging="1800"/>
      <w:outlineLvl w:val="6"/>
    </w:pPr>
    <w:rPr>
      <w:rFonts w:ascii="Helvetica" w:eastAsia="Times New Roman" w:hAnsi="Helvetica"/>
      <w:b/>
    </w:rPr>
  </w:style>
  <w:style w:type="paragraph" w:styleId="Heading9">
    <w:name w:val="heading 9"/>
    <w:basedOn w:val="Normal"/>
    <w:next w:val="Normal"/>
    <w:link w:val="Heading9Char"/>
    <w:autoRedefine/>
    <w:rsid w:val="000C1980"/>
    <w:pPr>
      <w:tabs>
        <w:tab w:val="left" w:pos="2880"/>
      </w:tabs>
      <w:spacing w:before="120" w:after="120"/>
      <w:ind w:left="2880" w:hanging="2160"/>
      <w:outlineLvl w:val="8"/>
    </w:pPr>
    <w:rPr>
      <w:rFonts w:ascii="Helvetica" w:eastAsia="Times New Roman" w:hAnsi="Helvetica"/>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017B"/>
    <w:rPr>
      <w:rFonts w:ascii="Arial" w:eastAsiaTheme="majorEastAsia" w:hAnsi="Arial" w:cstheme="majorBidi"/>
      <w:b/>
      <w:sz w:val="26"/>
      <w:szCs w:val="32"/>
    </w:rPr>
  </w:style>
  <w:style w:type="paragraph" w:styleId="TOCHeading">
    <w:name w:val="TOC Heading"/>
    <w:next w:val="Normal"/>
    <w:uiPriority w:val="39"/>
    <w:unhideWhenUsed/>
    <w:rsid w:val="001E2A62"/>
    <w:pPr>
      <w:spacing w:line="240" w:lineRule="auto"/>
      <w:jc w:val="center"/>
    </w:pPr>
    <w:rPr>
      <w:rFonts w:ascii="Arial" w:eastAsiaTheme="majorEastAsia" w:hAnsi="Arial" w:cstheme="majorBidi"/>
      <w:b/>
      <w:sz w:val="26"/>
      <w:szCs w:val="32"/>
    </w:rPr>
  </w:style>
  <w:style w:type="paragraph" w:styleId="Title">
    <w:name w:val="Title"/>
    <w:basedOn w:val="Dummy"/>
    <w:next w:val="Normal"/>
    <w:link w:val="TitleChar"/>
    <w:uiPriority w:val="10"/>
    <w:semiHidden/>
    <w:rsid w:val="00121089"/>
    <w:pPr>
      <w:spacing w:after="0"/>
      <w:contextualSpacing/>
      <w:jc w:val="center"/>
    </w:pPr>
    <w:rPr>
      <w:rFonts w:eastAsiaTheme="majorEastAsia" w:cstheme="majorBidi"/>
      <w:caps/>
      <w:szCs w:val="56"/>
    </w:rPr>
  </w:style>
  <w:style w:type="character" w:customStyle="1" w:styleId="TitleChar">
    <w:name w:val="Title Char"/>
    <w:basedOn w:val="DefaultParagraphFont"/>
    <w:link w:val="Title"/>
    <w:uiPriority w:val="10"/>
    <w:semiHidden/>
    <w:rsid w:val="0036017B"/>
    <w:rPr>
      <w:rFonts w:ascii="Arial" w:eastAsiaTheme="majorEastAsia" w:hAnsi="Arial" w:cstheme="majorBidi"/>
      <w:b/>
      <w:caps/>
      <w:sz w:val="26"/>
      <w:szCs w:val="56"/>
    </w:rPr>
  </w:style>
  <w:style w:type="paragraph" w:customStyle="1" w:styleId="Dummy">
    <w:name w:val="Dummy"/>
    <w:next w:val="Normal"/>
    <w:uiPriority w:val="19"/>
    <w:qFormat/>
    <w:rsid w:val="00F62B7A"/>
    <w:pPr>
      <w:keepNext/>
      <w:keepLines/>
      <w:spacing w:after="120" w:line="240" w:lineRule="auto"/>
      <w:outlineLvl w:val="0"/>
    </w:pPr>
    <w:rPr>
      <w:rFonts w:ascii="Arial" w:hAnsi="Arial" w:cs="Arial"/>
      <w:b/>
      <w:sz w:val="26"/>
      <w:szCs w:val="26"/>
    </w:rPr>
  </w:style>
  <w:style w:type="character" w:customStyle="1" w:styleId="Heading2Char">
    <w:name w:val="Heading 2 Char"/>
    <w:basedOn w:val="DefaultParagraphFont"/>
    <w:link w:val="Heading2"/>
    <w:uiPriority w:val="9"/>
    <w:rsid w:val="00ED5725"/>
    <w:rPr>
      <w:rFonts w:ascii="Arial" w:hAnsi="Arial" w:cs="Arial"/>
      <w:b/>
      <w:sz w:val="26"/>
      <w:szCs w:val="26"/>
    </w:rPr>
  </w:style>
  <w:style w:type="character" w:customStyle="1" w:styleId="Heading3Char">
    <w:name w:val="Heading 3 Char"/>
    <w:basedOn w:val="DefaultParagraphFont"/>
    <w:link w:val="Heading3"/>
    <w:rsid w:val="00722850"/>
    <w:rPr>
      <w:rFonts w:ascii="Arial" w:eastAsiaTheme="majorEastAsia" w:hAnsi="Arial" w:cstheme="majorBidi"/>
      <w:b/>
      <w:sz w:val="26"/>
      <w:szCs w:val="24"/>
    </w:rPr>
  </w:style>
  <w:style w:type="character" w:customStyle="1" w:styleId="Heading4Char">
    <w:name w:val="Heading 4 Char"/>
    <w:basedOn w:val="DefaultParagraphFont"/>
    <w:link w:val="Heading4"/>
    <w:rsid w:val="007A406D"/>
    <w:rPr>
      <w:rFonts w:ascii="Arial" w:eastAsiaTheme="majorEastAsia" w:hAnsi="Arial" w:cstheme="majorBidi"/>
      <w:b/>
      <w:iCs/>
      <w:sz w:val="26"/>
      <w:szCs w:val="26"/>
    </w:rPr>
  </w:style>
  <w:style w:type="character" w:customStyle="1" w:styleId="Heading5Char">
    <w:name w:val="Heading 5 Char"/>
    <w:basedOn w:val="DefaultParagraphFont"/>
    <w:link w:val="Heading5"/>
    <w:rsid w:val="008A179F"/>
    <w:rPr>
      <w:rFonts w:ascii="Arial" w:eastAsiaTheme="majorEastAsia" w:hAnsi="Arial" w:cstheme="majorBidi"/>
      <w:b/>
      <w:sz w:val="26"/>
      <w:szCs w:val="26"/>
    </w:rPr>
  </w:style>
  <w:style w:type="paragraph" w:customStyle="1" w:styleId="Main">
    <w:name w:val="Main"/>
    <w:next w:val="Normal"/>
    <w:uiPriority w:val="19"/>
    <w:rsid w:val="00F62B7A"/>
    <w:pPr>
      <w:spacing w:after="0" w:line="240" w:lineRule="auto"/>
      <w:jc w:val="center"/>
    </w:pPr>
    <w:rPr>
      <w:rFonts w:ascii="Arial" w:eastAsiaTheme="majorEastAsia" w:hAnsi="Arial" w:cstheme="majorBidi"/>
      <w:b/>
      <w:caps/>
      <w:sz w:val="26"/>
      <w:szCs w:val="56"/>
    </w:rPr>
  </w:style>
  <w:style w:type="paragraph" w:customStyle="1" w:styleId="Mainex">
    <w:name w:val="Mainex"/>
    <w:basedOn w:val="Main"/>
    <w:next w:val="Normal"/>
    <w:uiPriority w:val="19"/>
    <w:rsid w:val="000A6E05"/>
    <w:pPr>
      <w:keepNext/>
      <w:spacing w:line="360" w:lineRule="auto"/>
      <w:outlineLvl w:val="0"/>
    </w:pPr>
    <w:rPr>
      <w:spacing w:val="120"/>
    </w:rPr>
  </w:style>
  <w:style w:type="paragraph" w:styleId="TOC2">
    <w:name w:val="toc 2"/>
    <w:basedOn w:val="Normal"/>
    <w:next w:val="Normal"/>
    <w:uiPriority w:val="39"/>
    <w:unhideWhenUsed/>
    <w:rsid w:val="00ED5725"/>
    <w:pPr>
      <w:ind w:left="864" w:hanging="648"/>
    </w:pPr>
    <w:rPr>
      <w:rFonts w:eastAsiaTheme="minorEastAsia"/>
    </w:rPr>
  </w:style>
  <w:style w:type="paragraph" w:styleId="TOC1">
    <w:name w:val="toc 1"/>
    <w:basedOn w:val="Normal"/>
    <w:next w:val="Normal"/>
    <w:uiPriority w:val="39"/>
    <w:unhideWhenUsed/>
    <w:rsid w:val="00ED5725"/>
    <w:pPr>
      <w:ind w:left="432" w:hanging="432"/>
    </w:pPr>
    <w:rPr>
      <w:rFonts w:eastAsiaTheme="minorEastAsia"/>
    </w:rPr>
  </w:style>
  <w:style w:type="paragraph" w:styleId="TOC3">
    <w:name w:val="toc 3"/>
    <w:basedOn w:val="Normal"/>
    <w:next w:val="Normal"/>
    <w:uiPriority w:val="39"/>
    <w:unhideWhenUsed/>
    <w:rsid w:val="008C7413"/>
    <w:pPr>
      <w:ind w:left="1296" w:hanging="864"/>
    </w:pPr>
    <w:rPr>
      <w:rFonts w:eastAsiaTheme="minorEastAsia"/>
    </w:rPr>
  </w:style>
  <w:style w:type="character" w:styleId="Hyperlink">
    <w:name w:val="Hyperlink"/>
    <w:basedOn w:val="DefaultParagraphFont"/>
    <w:uiPriority w:val="99"/>
    <w:rsid w:val="00D82A43"/>
    <w:rPr>
      <w:color w:val="0563C1" w:themeColor="hyperlink"/>
      <w:u w:val="single"/>
    </w:rPr>
  </w:style>
  <w:style w:type="numbering" w:customStyle="1" w:styleId="FoFCoLOP">
    <w:name w:val="FoF/CoL/OP"/>
    <w:uiPriority w:val="99"/>
    <w:rsid w:val="008E6AE6"/>
    <w:pPr>
      <w:numPr>
        <w:numId w:val="1"/>
      </w:numPr>
    </w:pPr>
  </w:style>
  <w:style w:type="paragraph" w:styleId="TOC9">
    <w:name w:val="toc 9"/>
    <w:basedOn w:val="Normal"/>
    <w:next w:val="Normal"/>
    <w:autoRedefine/>
    <w:uiPriority w:val="39"/>
    <w:unhideWhenUsed/>
    <w:rsid w:val="00D82A43"/>
    <w:pPr>
      <w:spacing w:after="100"/>
      <w:ind w:left="2080"/>
    </w:pPr>
  </w:style>
  <w:style w:type="paragraph" w:styleId="Header">
    <w:name w:val="header"/>
    <w:basedOn w:val="Normal"/>
    <w:link w:val="HeaderChar"/>
    <w:uiPriority w:val="99"/>
    <w:rsid w:val="0098138E"/>
    <w:pPr>
      <w:tabs>
        <w:tab w:val="center" w:pos="4680"/>
        <w:tab w:val="right" w:pos="9360"/>
      </w:tabs>
    </w:pPr>
  </w:style>
  <w:style w:type="character" w:customStyle="1" w:styleId="HeaderChar">
    <w:name w:val="Header Char"/>
    <w:basedOn w:val="DefaultParagraphFont"/>
    <w:link w:val="Header"/>
    <w:uiPriority w:val="99"/>
    <w:rsid w:val="000A56F2"/>
    <w:rPr>
      <w:rFonts w:ascii="Book Antiqua" w:hAnsi="Book Antiqua"/>
      <w:sz w:val="26"/>
    </w:rPr>
  </w:style>
  <w:style w:type="paragraph" w:styleId="Footer">
    <w:name w:val="footer"/>
    <w:basedOn w:val="Normal"/>
    <w:link w:val="FooterChar"/>
    <w:uiPriority w:val="99"/>
    <w:rsid w:val="00EE3060"/>
    <w:pPr>
      <w:tabs>
        <w:tab w:val="center" w:pos="4680"/>
        <w:tab w:val="right" w:pos="9360"/>
      </w:tabs>
    </w:pPr>
  </w:style>
  <w:style w:type="character" w:customStyle="1" w:styleId="FooterChar">
    <w:name w:val="Footer Char"/>
    <w:basedOn w:val="DefaultParagraphFont"/>
    <w:link w:val="Footer"/>
    <w:uiPriority w:val="99"/>
    <w:rsid w:val="007657C1"/>
    <w:rPr>
      <w:rFonts w:ascii="Book Antiqua" w:hAnsi="Book Antiqua"/>
      <w:sz w:val="26"/>
    </w:rPr>
  </w:style>
  <w:style w:type="paragraph" w:customStyle="1" w:styleId="BlockQuote">
    <w:name w:val="Block Quote"/>
    <w:basedOn w:val="Standard"/>
    <w:uiPriority w:val="5"/>
    <w:qFormat/>
    <w:rsid w:val="00EA36C6"/>
    <w:pPr>
      <w:spacing w:after="120" w:line="240" w:lineRule="auto"/>
      <w:ind w:left="720" w:right="720" w:firstLine="0"/>
    </w:pPr>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fn"/>
    <w:basedOn w:val="Normal"/>
    <w:link w:val="FootnoteTextChar"/>
    <w:uiPriority w:val="99"/>
    <w:qFormat/>
    <w:rsid w:val="00B01F7E"/>
    <w:pPr>
      <w:spacing w:after="120"/>
    </w:pPr>
    <w:rPr>
      <w:sz w:val="22"/>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fn Char"/>
    <w:basedOn w:val="DefaultParagraphFont"/>
    <w:link w:val="FootnoteText"/>
    <w:uiPriority w:val="99"/>
    <w:rsid w:val="007657C1"/>
    <w:rPr>
      <w:rFonts w:ascii="Book Antiqua" w:hAnsi="Book Antiqua"/>
      <w:szCs w:val="20"/>
    </w:rPr>
  </w:style>
  <w:style w:type="character" w:styleId="FootnoteReference">
    <w:name w:val="footnote reference"/>
    <w:aliases w:val="o,o + Times New Roman,fr,Style 3,o1,o2,o3,o4,o5,o6,o11,o21,o7,Style 12,(NECG) Footnote Reference,Appel note de bas de p,Style 124,Style 17,char,o7 + Palati...,Char Char Char Char,Footnote Reference1,Style 58"/>
    <w:basedOn w:val="DefaultParagraphFont"/>
    <w:uiPriority w:val="99"/>
    <w:unhideWhenUsed/>
    <w:rsid w:val="00DF58E7"/>
    <w:rPr>
      <w:vertAlign w:val="superscript"/>
    </w:rPr>
  </w:style>
  <w:style w:type="paragraph" w:customStyle="1" w:styleId="FoF">
    <w:name w:val="FoF"/>
    <w:basedOn w:val="Standard"/>
    <w:uiPriority w:val="6"/>
    <w:qFormat/>
    <w:rsid w:val="001E2A62"/>
    <w:pPr>
      <w:numPr>
        <w:numId w:val="2"/>
      </w:numPr>
      <w:ind w:firstLine="547"/>
    </w:pPr>
  </w:style>
  <w:style w:type="paragraph" w:customStyle="1" w:styleId="CoL">
    <w:name w:val="CoL"/>
    <w:basedOn w:val="Standard"/>
    <w:uiPriority w:val="7"/>
    <w:qFormat/>
    <w:rsid w:val="001E2A62"/>
    <w:pPr>
      <w:numPr>
        <w:numId w:val="3"/>
      </w:numPr>
      <w:ind w:firstLine="547"/>
    </w:pPr>
  </w:style>
  <w:style w:type="paragraph" w:styleId="NoSpacing">
    <w:name w:val="No Spacing"/>
    <w:basedOn w:val="Standard"/>
    <w:uiPriority w:val="1"/>
    <w:rsid w:val="001E2A62"/>
    <w:pPr>
      <w:spacing w:line="240" w:lineRule="auto"/>
      <w:ind w:firstLine="0"/>
    </w:pPr>
  </w:style>
  <w:style w:type="paragraph" w:customStyle="1" w:styleId="OP">
    <w:name w:val="OP"/>
    <w:basedOn w:val="Standard"/>
    <w:uiPriority w:val="8"/>
    <w:qFormat/>
    <w:rsid w:val="001E2A62"/>
    <w:pPr>
      <w:numPr>
        <w:numId w:val="4"/>
      </w:numPr>
    </w:pPr>
  </w:style>
  <w:style w:type="paragraph" w:styleId="BalloonText">
    <w:name w:val="Balloon Text"/>
    <w:basedOn w:val="Normal"/>
    <w:link w:val="BalloonTextChar"/>
    <w:uiPriority w:val="99"/>
    <w:semiHidden/>
    <w:unhideWhenUsed/>
    <w:rsid w:val="004C7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D3A"/>
    <w:rPr>
      <w:rFonts w:ascii="Segoe UI" w:hAnsi="Segoe UI" w:cs="Segoe UI"/>
      <w:sz w:val="18"/>
      <w:szCs w:val="18"/>
    </w:rPr>
  </w:style>
  <w:style w:type="numbering" w:customStyle="1" w:styleId="Headings">
    <w:name w:val="Headings"/>
    <w:uiPriority w:val="99"/>
    <w:rsid w:val="000A56F2"/>
    <w:pPr>
      <w:numPr>
        <w:numId w:val="5"/>
      </w:numPr>
    </w:pPr>
  </w:style>
  <w:style w:type="paragraph" w:customStyle="1" w:styleId="Standard">
    <w:name w:val="Standard"/>
    <w:basedOn w:val="Normal"/>
    <w:qFormat/>
    <w:rsid w:val="000C1980"/>
    <w:pPr>
      <w:spacing w:line="360" w:lineRule="auto"/>
      <w:ind w:firstLine="720"/>
    </w:pPr>
  </w:style>
  <w:style w:type="paragraph" w:customStyle="1" w:styleId="ListAlpha">
    <w:name w:val="List Alpha"/>
    <w:basedOn w:val="Standard"/>
    <w:uiPriority w:val="4"/>
    <w:qFormat/>
    <w:rsid w:val="000A56F2"/>
    <w:pPr>
      <w:numPr>
        <w:ilvl w:val="7"/>
        <w:numId w:val="5"/>
      </w:numPr>
      <w:spacing w:after="120" w:line="240" w:lineRule="auto"/>
    </w:pPr>
  </w:style>
  <w:style w:type="paragraph" w:styleId="ListBullet">
    <w:name w:val="List Bullet"/>
    <w:basedOn w:val="Standard"/>
    <w:autoRedefine/>
    <w:uiPriority w:val="4"/>
    <w:qFormat/>
    <w:rsid w:val="00402362"/>
    <w:pPr>
      <w:numPr>
        <w:numId w:val="6"/>
      </w:numPr>
      <w:spacing w:after="120" w:line="240" w:lineRule="auto"/>
      <w:ind w:left="1080" w:right="720"/>
    </w:pPr>
  </w:style>
  <w:style w:type="character" w:customStyle="1" w:styleId="Heading6Char">
    <w:name w:val="Heading 6 Char"/>
    <w:basedOn w:val="DefaultParagraphFont"/>
    <w:link w:val="Heading6"/>
    <w:rsid w:val="000A56F2"/>
    <w:rPr>
      <w:rFonts w:ascii="Arial" w:eastAsiaTheme="majorEastAsia" w:hAnsi="Arial" w:cstheme="majorBidi"/>
      <w:b/>
      <w:sz w:val="26"/>
      <w:szCs w:val="26"/>
    </w:rPr>
  </w:style>
  <w:style w:type="paragraph" w:styleId="TOC4">
    <w:name w:val="toc 4"/>
    <w:basedOn w:val="Normal"/>
    <w:next w:val="Normal"/>
    <w:autoRedefine/>
    <w:uiPriority w:val="39"/>
    <w:unhideWhenUsed/>
    <w:rsid w:val="008C7413"/>
    <w:pPr>
      <w:ind w:left="1728" w:hanging="1080"/>
    </w:pPr>
  </w:style>
  <w:style w:type="paragraph" w:styleId="TOC5">
    <w:name w:val="toc 5"/>
    <w:basedOn w:val="Normal"/>
    <w:next w:val="Normal"/>
    <w:autoRedefine/>
    <w:uiPriority w:val="39"/>
    <w:unhideWhenUsed/>
    <w:rsid w:val="008C7413"/>
    <w:pPr>
      <w:ind w:left="2160" w:hanging="1296"/>
    </w:pPr>
  </w:style>
  <w:style w:type="paragraph" w:styleId="TOC6">
    <w:name w:val="toc 6"/>
    <w:basedOn w:val="Normal"/>
    <w:next w:val="Normal"/>
    <w:autoRedefine/>
    <w:uiPriority w:val="39"/>
    <w:unhideWhenUsed/>
    <w:rsid w:val="008C7413"/>
    <w:pPr>
      <w:ind w:left="2592" w:hanging="1512"/>
    </w:pPr>
  </w:style>
  <w:style w:type="character" w:customStyle="1" w:styleId="Heading7Char">
    <w:name w:val="Heading 7 Char"/>
    <w:basedOn w:val="DefaultParagraphFont"/>
    <w:link w:val="Heading7"/>
    <w:rsid w:val="000C1980"/>
    <w:rPr>
      <w:rFonts w:ascii="Helvetica" w:eastAsia="Times New Roman" w:hAnsi="Helvetica" w:cs="Times New Roman"/>
      <w:b/>
      <w:sz w:val="26"/>
      <w:szCs w:val="20"/>
    </w:rPr>
  </w:style>
  <w:style w:type="character" w:customStyle="1" w:styleId="Heading9Char">
    <w:name w:val="Heading 9 Char"/>
    <w:basedOn w:val="DefaultParagraphFont"/>
    <w:link w:val="Heading9"/>
    <w:rsid w:val="000C1980"/>
    <w:rPr>
      <w:rFonts w:ascii="Helvetica" w:eastAsia="Times New Roman" w:hAnsi="Helvetica" w:cs="Times New Roman"/>
      <w:b/>
      <w:sz w:val="26"/>
      <w:szCs w:val="24"/>
    </w:rPr>
  </w:style>
  <w:style w:type="paragraph" w:customStyle="1" w:styleId="ALJBodyText">
    <w:name w:val="ALJ Body Text"/>
    <w:basedOn w:val="Standard"/>
    <w:link w:val="ALJBodyTextChar"/>
    <w:autoRedefine/>
    <w:rsid w:val="00467CC0"/>
  </w:style>
  <w:style w:type="paragraph" w:customStyle="1" w:styleId="ALJHeading1">
    <w:name w:val="ALJ Heading 1"/>
    <w:basedOn w:val="ALJBodyText"/>
    <w:next w:val="ALJBodyText"/>
    <w:link w:val="ALJHeading1Char"/>
    <w:rsid w:val="000C1980"/>
    <w:pPr>
      <w:keepNext/>
      <w:spacing w:after="120"/>
      <w:ind w:right="720"/>
    </w:pPr>
    <w:rPr>
      <w:rFonts w:ascii="Arial" w:hAnsi="Arial" w:cs="Arial"/>
      <w:b/>
    </w:rPr>
  </w:style>
  <w:style w:type="character" w:customStyle="1" w:styleId="ALJBodyTextChar">
    <w:name w:val="ALJ Body Text Char"/>
    <w:basedOn w:val="DefaultParagraphFont"/>
    <w:link w:val="ALJBodyText"/>
    <w:rsid w:val="00467CC0"/>
    <w:rPr>
      <w:rFonts w:ascii="Book Antiqua" w:hAnsi="Book Antiqua" w:cs="Times New Roman"/>
      <w:sz w:val="26"/>
      <w:szCs w:val="20"/>
    </w:rPr>
  </w:style>
  <w:style w:type="paragraph" w:customStyle="1" w:styleId="ALJHeading2">
    <w:name w:val="ALJ Heading 2"/>
    <w:basedOn w:val="ALJHeading1"/>
    <w:next w:val="ALJBodyText"/>
    <w:link w:val="ALJHeading2Char"/>
    <w:rsid w:val="000C1980"/>
    <w:pPr>
      <w:tabs>
        <w:tab w:val="left" w:pos="1080"/>
      </w:tabs>
      <w:ind w:left="792" w:hanging="432"/>
    </w:pPr>
  </w:style>
  <w:style w:type="character" w:customStyle="1" w:styleId="ALJHeading1Char">
    <w:name w:val="ALJ Heading 1 Char"/>
    <w:basedOn w:val="ALJBodyTextChar"/>
    <w:link w:val="ALJHeading1"/>
    <w:rsid w:val="000C1980"/>
    <w:rPr>
      <w:rFonts w:ascii="Arial" w:hAnsi="Arial" w:cs="Arial"/>
      <w:b/>
      <w:sz w:val="26"/>
      <w:szCs w:val="20"/>
    </w:rPr>
  </w:style>
  <w:style w:type="paragraph" w:customStyle="1" w:styleId="ALJHeading3">
    <w:name w:val="ALJ Heading 3"/>
    <w:basedOn w:val="ALJBodyText"/>
    <w:next w:val="ALJBodyText"/>
    <w:link w:val="ALJHeading3Char"/>
    <w:rsid w:val="000C1980"/>
    <w:pPr>
      <w:keepNext/>
      <w:spacing w:after="120"/>
      <w:ind w:left="1512" w:right="1872" w:hanging="432"/>
    </w:pPr>
    <w:rPr>
      <w:rFonts w:ascii="Arial" w:hAnsi="Arial" w:cs="Arial"/>
      <w:b/>
    </w:rPr>
  </w:style>
  <w:style w:type="character" w:customStyle="1" w:styleId="ALJHeading2Char">
    <w:name w:val="ALJ Heading 2 Char"/>
    <w:basedOn w:val="ALJBodyTextChar"/>
    <w:link w:val="ALJHeading2"/>
    <w:rsid w:val="000C1980"/>
    <w:rPr>
      <w:rFonts w:ascii="Arial" w:hAnsi="Arial" w:cs="Arial"/>
      <w:b/>
      <w:sz w:val="26"/>
      <w:szCs w:val="20"/>
    </w:rPr>
  </w:style>
  <w:style w:type="character" w:customStyle="1" w:styleId="ALJHeading3Char">
    <w:name w:val="ALJ Heading 3 Char"/>
    <w:basedOn w:val="ALJBodyTextChar"/>
    <w:link w:val="ALJHeading3"/>
    <w:rsid w:val="000C1980"/>
    <w:rPr>
      <w:rFonts w:ascii="Arial" w:hAnsi="Arial" w:cs="Arial"/>
      <w:b/>
      <w:sz w:val="26"/>
      <w:szCs w:val="20"/>
    </w:rPr>
  </w:style>
  <w:style w:type="paragraph" w:customStyle="1" w:styleId="ALJHeadingNo">
    <w:name w:val="ALJ Heading No #"/>
    <w:basedOn w:val="ALJBodyText"/>
    <w:next w:val="ALJBodyText"/>
    <w:link w:val="ALJHeadingNoChar"/>
    <w:rsid w:val="000C1980"/>
    <w:pPr>
      <w:keepNext/>
      <w:spacing w:before="120" w:after="120"/>
    </w:pPr>
    <w:rPr>
      <w:rFonts w:ascii="Arial" w:hAnsi="Arial" w:cs="Arial"/>
      <w:b/>
    </w:rPr>
  </w:style>
  <w:style w:type="character" w:customStyle="1" w:styleId="ALJHeadingNoChar">
    <w:name w:val="ALJ Heading No # Char"/>
    <w:basedOn w:val="ALJBodyTextChar"/>
    <w:link w:val="ALJHeadingNo"/>
    <w:rsid w:val="000C1980"/>
    <w:rPr>
      <w:rFonts w:ascii="Arial" w:hAnsi="Arial" w:cs="Arial"/>
      <w:b/>
      <w:sz w:val="26"/>
      <w:szCs w:val="20"/>
    </w:rPr>
  </w:style>
  <w:style w:type="paragraph" w:customStyle="1" w:styleId="contentservernumber">
    <w:name w:val="content server number"/>
    <w:basedOn w:val="Footer"/>
    <w:link w:val="contentservernumberChar"/>
    <w:rsid w:val="000C1980"/>
    <w:rPr>
      <w:rFonts w:ascii="Arial" w:hAnsi="Arial" w:cs="Arial"/>
      <w:sz w:val="16"/>
      <w:szCs w:val="16"/>
    </w:rPr>
  </w:style>
  <w:style w:type="character" w:customStyle="1" w:styleId="contentservernumberChar">
    <w:name w:val="content server number Char"/>
    <w:basedOn w:val="FooterChar"/>
    <w:link w:val="contentservernumber"/>
    <w:rsid w:val="000C1980"/>
    <w:rPr>
      <w:rFonts w:ascii="Arial" w:hAnsi="Arial" w:cs="Arial"/>
      <w:sz w:val="16"/>
      <w:szCs w:val="16"/>
    </w:rPr>
  </w:style>
  <w:style w:type="paragraph" w:customStyle="1" w:styleId="ALJFootnote">
    <w:name w:val="ALJ Footnote"/>
    <w:basedOn w:val="FootnoteText"/>
    <w:link w:val="ALJFootnoteChar"/>
    <w:rsid w:val="000C1980"/>
    <w:rPr>
      <w:sz w:val="24"/>
      <w:szCs w:val="24"/>
    </w:rPr>
  </w:style>
  <w:style w:type="paragraph" w:customStyle="1" w:styleId="ALJTitle">
    <w:name w:val="ALJ Title"/>
    <w:basedOn w:val="ALJBodyText"/>
    <w:next w:val="ALJBodyText"/>
    <w:link w:val="ALJTitleChar"/>
    <w:rsid w:val="000C1980"/>
    <w:pPr>
      <w:spacing w:after="240"/>
      <w:jc w:val="center"/>
    </w:pPr>
    <w:rPr>
      <w:rFonts w:ascii="Arial" w:hAnsi="Arial" w:cs="Arial"/>
      <w:b/>
    </w:rPr>
  </w:style>
  <w:style w:type="character" w:customStyle="1" w:styleId="ALJFootnoteChar">
    <w:name w:val="ALJ Footnote Char"/>
    <w:basedOn w:val="FootnoteTextChar"/>
    <w:link w:val="ALJFootnote"/>
    <w:rsid w:val="000C1980"/>
    <w:rPr>
      <w:rFonts w:ascii="Book Antiqua" w:hAnsi="Book Antiqua" w:cs="Times New Roman"/>
      <w:sz w:val="24"/>
      <w:szCs w:val="24"/>
    </w:rPr>
  </w:style>
  <w:style w:type="paragraph" w:customStyle="1" w:styleId="FindingofFAct">
    <w:name w:val="Finding of FAct"/>
    <w:basedOn w:val="ALJBodyText"/>
    <w:link w:val="FindingofFActChar"/>
    <w:rsid w:val="000C1980"/>
    <w:pPr>
      <w:numPr>
        <w:numId w:val="7"/>
      </w:numPr>
      <w:ind w:left="0" w:firstLine="720"/>
    </w:pPr>
  </w:style>
  <w:style w:type="character" w:customStyle="1" w:styleId="ALJTitleChar">
    <w:name w:val="ALJ Title Char"/>
    <w:basedOn w:val="ALJBodyTextChar"/>
    <w:link w:val="ALJTitle"/>
    <w:rsid w:val="000C1980"/>
    <w:rPr>
      <w:rFonts w:ascii="Arial" w:hAnsi="Arial" w:cs="Arial"/>
      <w:b/>
      <w:sz w:val="26"/>
      <w:szCs w:val="20"/>
    </w:rPr>
  </w:style>
  <w:style w:type="paragraph" w:customStyle="1" w:styleId="conclusionoflaw">
    <w:name w:val="conclusion of law"/>
    <w:basedOn w:val="ALJBodyText"/>
    <w:link w:val="conclusionoflawChar"/>
    <w:rsid w:val="000C1980"/>
    <w:pPr>
      <w:numPr>
        <w:numId w:val="8"/>
      </w:numPr>
      <w:ind w:left="0" w:firstLine="720"/>
    </w:pPr>
  </w:style>
  <w:style w:type="character" w:customStyle="1" w:styleId="FindingofFActChar">
    <w:name w:val="Finding of FAct Char"/>
    <w:basedOn w:val="ALJBodyTextChar"/>
    <w:link w:val="FindingofFAct"/>
    <w:rsid w:val="000C1980"/>
    <w:rPr>
      <w:rFonts w:ascii="Book Antiqua" w:hAnsi="Book Antiqua" w:cs="Times New Roman"/>
      <w:sz w:val="26"/>
      <w:szCs w:val="20"/>
    </w:rPr>
  </w:style>
  <w:style w:type="paragraph" w:customStyle="1" w:styleId="ALJHeading4">
    <w:name w:val="ALJ Heading 4"/>
    <w:basedOn w:val="ALJHeading3"/>
    <w:next w:val="ALJBodyText"/>
    <w:link w:val="ALJHeading4Char"/>
    <w:rsid w:val="000C1980"/>
    <w:pPr>
      <w:numPr>
        <w:numId w:val="10"/>
      </w:numPr>
    </w:pPr>
  </w:style>
  <w:style w:type="character" w:customStyle="1" w:styleId="conclusionoflawChar">
    <w:name w:val="conclusion of law Char"/>
    <w:basedOn w:val="ALJBodyTextChar"/>
    <w:link w:val="conclusionoflaw"/>
    <w:rsid w:val="000C1980"/>
    <w:rPr>
      <w:rFonts w:ascii="Book Antiqua" w:hAnsi="Book Antiqua" w:cs="Times New Roman"/>
      <w:sz w:val="26"/>
      <w:szCs w:val="20"/>
    </w:rPr>
  </w:style>
  <w:style w:type="paragraph" w:styleId="ListParagraph">
    <w:name w:val="List Paragraph"/>
    <w:basedOn w:val="Normal"/>
    <w:uiPriority w:val="34"/>
    <w:qFormat/>
    <w:rsid w:val="000C1980"/>
    <w:pPr>
      <w:numPr>
        <w:numId w:val="11"/>
      </w:numPr>
      <w:spacing w:after="240"/>
    </w:pPr>
  </w:style>
  <w:style w:type="character" w:customStyle="1" w:styleId="ALJHeading4Char">
    <w:name w:val="ALJ Heading 4 Char"/>
    <w:basedOn w:val="ALJBodyTextChar"/>
    <w:link w:val="ALJHeading4"/>
    <w:rsid w:val="000C1980"/>
    <w:rPr>
      <w:rFonts w:ascii="Arial" w:hAnsi="Arial" w:cs="Arial"/>
      <w:b/>
      <w:sz w:val="26"/>
      <w:szCs w:val="20"/>
    </w:rPr>
  </w:style>
  <w:style w:type="paragraph" w:customStyle="1" w:styleId="tabletext">
    <w:name w:val="table text"/>
    <w:basedOn w:val="ALJBodyText"/>
    <w:link w:val="tabletextChar"/>
    <w:rsid w:val="000C1980"/>
    <w:pPr>
      <w:spacing w:after="120"/>
    </w:pPr>
  </w:style>
  <w:style w:type="paragraph" w:customStyle="1" w:styleId="TableColumnHeading">
    <w:name w:val="Table Column Heading"/>
    <w:basedOn w:val="ALJBodyText"/>
    <w:link w:val="TableColumnHeadingChar"/>
    <w:rsid w:val="000C1980"/>
    <w:pPr>
      <w:jc w:val="center"/>
    </w:pPr>
    <w:rPr>
      <w:rFonts w:ascii="Arial" w:hAnsi="Arial" w:cs="Arial"/>
      <w:b/>
    </w:rPr>
  </w:style>
  <w:style w:type="character" w:customStyle="1" w:styleId="tabletextChar">
    <w:name w:val="table text Char"/>
    <w:basedOn w:val="ALJBodyTextChar"/>
    <w:link w:val="tabletext"/>
    <w:rsid w:val="000C1980"/>
    <w:rPr>
      <w:rFonts w:ascii="Book Antiqua" w:hAnsi="Book Antiqua" w:cs="Times New Roman"/>
      <w:sz w:val="26"/>
      <w:szCs w:val="20"/>
    </w:rPr>
  </w:style>
  <w:style w:type="paragraph" w:customStyle="1" w:styleId="ALJOP">
    <w:name w:val="ALJ OP"/>
    <w:basedOn w:val="ALJBodyText"/>
    <w:link w:val="ALJOPChar"/>
    <w:rsid w:val="000C1980"/>
    <w:pPr>
      <w:numPr>
        <w:numId w:val="9"/>
      </w:numPr>
    </w:pPr>
  </w:style>
  <w:style w:type="character" w:customStyle="1" w:styleId="TableColumnHeadingChar">
    <w:name w:val="Table Column Heading Char"/>
    <w:basedOn w:val="ALJBodyTextChar"/>
    <w:link w:val="TableColumnHeading"/>
    <w:rsid w:val="000C1980"/>
    <w:rPr>
      <w:rFonts w:ascii="Arial" w:hAnsi="Arial" w:cs="Arial"/>
      <w:b/>
      <w:sz w:val="26"/>
      <w:szCs w:val="20"/>
    </w:rPr>
  </w:style>
  <w:style w:type="paragraph" w:customStyle="1" w:styleId="ALJBlockQuote">
    <w:name w:val="ALJ Block Quote"/>
    <w:basedOn w:val="ALJBodyText"/>
    <w:next w:val="ALJBodyText"/>
    <w:link w:val="ALJBlockQuoteChar"/>
    <w:rsid w:val="000C1980"/>
    <w:pPr>
      <w:spacing w:before="120" w:after="120"/>
      <w:ind w:left="1440" w:right="1440"/>
    </w:pPr>
  </w:style>
  <w:style w:type="character" w:customStyle="1" w:styleId="ALJOPChar">
    <w:name w:val="ALJ OP Char"/>
    <w:basedOn w:val="ALJBodyTextChar"/>
    <w:link w:val="ALJOP"/>
    <w:rsid w:val="000C1980"/>
    <w:rPr>
      <w:rFonts w:ascii="Book Antiqua" w:hAnsi="Book Antiqua" w:cs="Times New Roman"/>
      <w:sz w:val="26"/>
      <w:szCs w:val="20"/>
    </w:rPr>
  </w:style>
  <w:style w:type="paragraph" w:customStyle="1" w:styleId="standard0">
    <w:name w:val="standard"/>
    <w:basedOn w:val="Normal"/>
    <w:link w:val="standardChar"/>
    <w:rsid w:val="000C1980"/>
    <w:pPr>
      <w:spacing w:line="360" w:lineRule="auto"/>
      <w:ind w:firstLine="720"/>
    </w:pPr>
    <w:rPr>
      <w:rFonts w:ascii="Palatino" w:eastAsia="Times New Roman" w:hAnsi="Palatino"/>
    </w:rPr>
  </w:style>
  <w:style w:type="character" w:customStyle="1" w:styleId="ALJBlockQuoteChar">
    <w:name w:val="ALJ Block Quote Char"/>
    <w:basedOn w:val="ALJBodyTextChar"/>
    <w:link w:val="ALJBlockQuote"/>
    <w:rsid w:val="000C1980"/>
    <w:rPr>
      <w:rFonts w:ascii="Book Antiqua" w:hAnsi="Book Antiqua" w:cs="Times New Roman"/>
      <w:sz w:val="26"/>
      <w:szCs w:val="20"/>
    </w:rPr>
  </w:style>
  <w:style w:type="character" w:customStyle="1" w:styleId="standardChar">
    <w:name w:val="standard Char"/>
    <w:link w:val="standard0"/>
    <w:rsid w:val="000C1980"/>
    <w:rPr>
      <w:rFonts w:ascii="Palatino" w:eastAsia="Times New Roman" w:hAnsi="Palatino" w:cs="Times New Roman"/>
      <w:sz w:val="26"/>
      <w:szCs w:val="20"/>
    </w:rPr>
  </w:style>
  <w:style w:type="character" w:styleId="CommentReference">
    <w:name w:val="annotation reference"/>
    <w:basedOn w:val="DefaultParagraphFont"/>
    <w:uiPriority w:val="99"/>
    <w:semiHidden/>
    <w:unhideWhenUsed/>
    <w:rsid w:val="000C1980"/>
    <w:rPr>
      <w:sz w:val="16"/>
      <w:szCs w:val="16"/>
    </w:rPr>
  </w:style>
  <w:style w:type="paragraph" w:styleId="CommentText">
    <w:name w:val="annotation text"/>
    <w:basedOn w:val="Normal"/>
    <w:link w:val="CommentTextChar"/>
    <w:uiPriority w:val="99"/>
    <w:unhideWhenUsed/>
    <w:rsid w:val="000C1980"/>
    <w:rPr>
      <w:sz w:val="20"/>
    </w:rPr>
  </w:style>
  <w:style w:type="character" w:customStyle="1" w:styleId="CommentTextChar">
    <w:name w:val="Comment Text Char"/>
    <w:basedOn w:val="DefaultParagraphFont"/>
    <w:link w:val="CommentText"/>
    <w:uiPriority w:val="99"/>
    <w:rsid w:val="000C1980"/>
    <w:rPr>
      <w:rFonts w:ascii="Book Antiqua" w:hAnsi="Book Antiqua" w:cs="Times New Roman"/>
      <w:sz w:val="20"/>
      <w:szCs w:val="20"/>
    </w:rPr>
  </w:style>
  <w:style w:type="paragraph" w:styleId="CommentSubject">
    <w:name w:val="annotation subject"/>
    <w:basedOn w:val="CommentText"/>
    <w:next w:val="CommentText"/>
    <w:link w:val="CommentSubjectChar"/>
    <w:uiPriority w:val="99"/>
    <w:semiHidden/>
    <w:unhideWhenUsed/>
    <w:rsid w:val="000C1980"/>
    <w:rPr>
      <w:b/>
      <w:bCs/>
    </w:rPr>
  </w:style>
  <w:style w:type="character" w:customStyle="1" w:styleId="CommentSubjectChar">
    <w:name w:val="Comment Subject Char"/>
    <w:basedOn w:val="CommentTextChar"/>
    <w:link w:val="CommentSubject"/>
    <w:uiPriority w:val="99"/>
    <w:semiHidden/>
    <w:rsid w:val="000C1980"/>
    <w:rPr>
      <w:rFonts w:ascii="Book Antiqua" w:hAnsi="Book Antiqua" w:cs="Times New Roman"/>
      <w:b/>
      <w:bCs/>
      <w:sz w:val="20"/>
      <w:szCs w:val="20"/>
    </w:rPr>
  </w:style>
  <w:style w:type="paragraph" w:styleId="Quote">
    <w:name w:val="Quote"/>
    <w:basedOn w:val="Normal"/>
    <w:next w:val="Normal"/>
    <w:link w:val="QuoteChar"/>
    <w:uiPriority w:val="29"/>
    <w:qFormat/>
    <w:rsid w:val="000C1980"/>
    <w:pPr>
      <w:spacing w:after="240"/>
      <w:ind w:left="720" w:right="1080"/>
    </w:pPr>
    <w:rPr>
      <w:rFonts w:ascii="Palatino" w:eastAsia="Times New Roman" w:hAnsi="Palatino"/>
      <w:iCs/>
      <w:color w:val="000000" w:themeColor="text1"/>
    </w:rPr>
  </w:style>
  <w:style w:type="character" w:customStyle="1" w:styleId="QuoteChar">
    <w:name w:val="Quote Char"/>
    <w:basedOn w:val="DefaultParagraphFont"/>
    <w:link w:val="Quote"/>
    <w:uiPriority w:val="29"/>
    <w:rsid w:val="000C1980"/>
    <w:rPr>
      <w:rFonts w:ascii="Palatino" w:eastAsia="Times New Roman" w:hAnsi="Palatino" w:cs="Times New Roman"/>
      <w:iCs/>
      <w:color w:val="000000" w:themeColor="text1"/>
      <w:sz w:val="26"/>
      <w:szCs w:val="20"/>
    </w:rPr>
  </w:style>
  <w:style w:type="paragraph" w:styleId="NormalWeb">
    <w:name w:val="Normal (Web)"/>
    <w:basedOn w:val="Normal"/>
    <w:uiPriority w:val="99"/>
    <w:unhideWhenUsed/>
    <w:rsid w:val="000C1980"/>
    <w:pPr>
      <w:spacing w:before="100" w:beforeAutospacing="1" w:after="100" w:afterAutospacing="1"/>
    </w:pPr>
    <w:rPr>
      <w:rFonts w:ascii="Times New Roman" w:eastAsia="Times New Roman" w:hAnsi="Times New Roman"/>
      <w:sz w:val="24"/>
      <w:szCs w:val="24"/>
    </w:rPr>
  </w:style>
  <w:style w:type="character" w:customStyle="1" w:styleId="ALJFNChar">
    <w:name w:val="ALJ FN Char"/>
    <w:basedOn w:val="FootnoteTextChar"/>
    <w:link w:val="ALJFN"/>
    <w:rsid w:val="000C1980"/>
    <w:rPr>
      <w:rFonts w:ascii="Book Antiqua" w:hAnsi="Book Antiqua"/>
      <w:szCs w:val="20"/>
    </w:rPr>
  </w:style>
  <w:style w:type="paragraph" w:customStyle="1" w:styleId="ALJFN">
    <w:name w:val="ALJ FN"/>
    <w:basedOn w:val="FootnoteText"/>
    <w:link w:val="ALJFNChar"/>
    <w:rsid w:val="000C1980"/>
  </w:style>
  <w:style w:type="paragraph" w:customStyle="1" w:styleId="mainex0">
    <w:name w:val="mainex"/>
    <w:basedOn w:val="Normal"/>
    <w:rsid w:val="000C1980"/>
    <w:pPr>
      <w:jc w:val="center"/>
    </w:pPr>
    <w:rPr>
      <w:rFonts w:ascii="Helvetica" w:eastAsia="Times New Roman" w:hAnsi="Helvetica"/>
      <w:b/>
      <w:spacing w:val="120"/>
    </w:rPr>
  </w:style>
  <w:style w:type="paragraph" w:customStyle="1" w:styleId="num1">
    <w:name w:val="num1"/>
    <w:basedOn w:val="Normal"/>
    <w:link w:val="num1Char"/>
    <w:rsid w:val="000C1980"/>
    <w:pPr>
      <w:tabs>
        <w:tab w:val="left" w:pos="-720"/>
      </w:tabs>
      <w:suppressAutoHyphens/>
      <w:spacing w:line="360" w:lineRule="auto"/>
      <w:ind w:firstLine="360"/>
    </w:pPr>
    <w:rPr>
      <w:rFonts w:eastAsia="Times New Roman"/>
    </w:rPr>
  </w:style>
  <w:style w:type="character" w:customStyle="1" w:styleId="num1Char">
    <w:name w:val="num1 Char"/>
    <w:link w:val="num1"/>
    <w:rsid w:val="000C1980"/>
    <w:rPr>
      <w:rFonts w:ascii="Book Antiqua" w:eastAsia="Times New Roman" w:hAnsi="Book Antiqua" w:cs="Times New Roman"/>
      <w:sz w:val="26"/>
      <w:szCs w:val="20"/>
    </w:rPr>
  </w:style>
  <w:style w:type="paragraph" w:styleId="Revision">
    <w:name w:val="Revision"/>
    <w:hidden/>
    <w:uiPriority w:val="99"/>
    <w:semiHidden/>
    <w:rsid w:val="000C1980"/>
    <w:pPr>
      <w:spacing w:after="0" w:line="240" w:lineRule="auto"/>
    </w:pPr>
    <w:rPr>
      <w:rFonts w:ascii="Book Antiqua" w:hAnsi="Book Antiqua" w:cs="Times New Roman"/>
      <w:sz w:val="26"/>
      <w:szCs w:val="20"/>
    </w:rPr>
  </w:style>
  <w:style w:type="character" w:customStyle="1" w:styleId="normaltextrun1">
    <w:name w:val="normaltextrun1"/>
    <w:basedOn w:val="DefaultParagraphFont"/>
    <w:rsid w:val="000C1980"/>
  </w:style>
  <w:style w:type="character" w:customStyle="1" w:styleId="Mention1">
    <w:name w:val="Mention1"/>
    <w:basedOn w:val="DefaultParagraphFont"/>
    <w:uiPriority w:val="99"/>
    <w:unhideWhenUsed/>
    <w:rsid w:val="000C1980"/>
    <w:rPr>
      <w:color w:val="2B579A"/>
      <w:shd w:val="clear" w:color="auto" w:fill="E6E6E6"/>
    </w:rPr>
  </w:style>
  <w:style w:type="paragraph" w:customStyle="1" w:styleId="paragraph">
    <w:name w:val="paragraph"/>
    <w:basedOn w:val="Normal"/>
    <w:rsid w:val="000C1980"/>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0C1980"/>
  </w:style>
  <w:style w:type="character" w:customStyle="1" w:styleId="eop">
    <w:name w:val="eop"/>
    <w:basedOn w:val="DefaultParagraphFont"/>
    <w:rsid w:val="000C1980"/>
  </w:style>
  <w:style w:type="paragraph" w:customStyle="1" w:styleId="Default">
    <w:name w:val="Default"/>
    <w:rsid w:val="000C1980"/>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UnresolvedMention1">
    <w:name w:val="Unresolved Mention1"/>
    <w:basedOn w:val="DefaultParagraphFont"/>
    <w:uiPriority w:val="99"/>
    <w:unhideWhenUsed/>
    <w:rsid w:val="000C1980"/>
    <w:rPr>
      <w:color w:val="605E5C"/>
      <w:shd w:val="clear" w:color="auto" w:fill="E1DFDD"/>
    </w:rPr>
  </w:style>
  <w:style w:type="character" w:styleId="FollowedHyperlink">
    <w:name w:val="FollowedHyperlink"/>
    <w:basedOn w:val="DefaultParagraphFont"/>
    <w:uiPriority w:val="99"/>
    <w:semiHidden/>
    <w:unhideWhenUsed/>
    <w:rsid w:val="000C1980"/>
    <w:rPr>
      <w:color w:val="954F72" w:themeColor="followedHyperlink"/>
      <w:u w:val="single"/>
    </w:rPr>
  </w:style>
  <w:style w:type="character" w:customStyle="1" w:styleId="Mention2">
    <w:name w:val="Mention2"/>
    <w:basedOn w:val="DefaultParagraphFont"/>
    <w:uiPriority w:val="99"/>
    <w:unhideWhenUsed/>
    <w:rsid w:val="000C1980"/>
    <w:rPr>
      <w:color w:val="2B579A"/>
      <w:shd w:val="clear" w:color="auto" w:fill="E1DFDD"/>
    </w:rPr>
  </w:style>
  <w:style w:type="character" w:styleId="UnresolvedMention">
    <w:name w:val="Unresolved Mention"/>
    <w:basedOn w:val="DefaultParagraphFont"/>
    <w:uiPriority w:val="99"/>
    <w:unhideWhenUsed/>
    <w:rsid w:val="000C1980"/>
    <w:rPr>
      <w:color w:val="605E5C"/>
      <w:shd w:val="clear" w:color="auto" w:fill="E1DFDD"/>
    </w:rPr>
  </w:style>
  <w:style w:type="table" w:styleId="GridTable6Colorful-Accent1">
    <w:name w:val="Grid Table 6 Colorful Accent 1"/>
    <w:basedOn w:val="TableNormal"/>
    <w:uiPriority w:val="51"/>
    <w:rsid w:val="000C198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0C198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0C1980"/>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0C198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11">
    <w:name w:val="List Table 2 - Accent 11"/>
    <w:basedOn w:val="TableNormal"/>
    <w:next w:val="ListTable2-Accent1"/>
    <w:uiPriority w:val="47"/>
    <w:rsid w:val="000C1980"/>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1">
    <w:name w:val="Grid Table 6 Colorful - Accent 11"/>
    <w:basedOn w:val="TableNormal"/>
    <w:next w:val="GridTable6Colorful-Accent1"/>
    <w:uiPriority w:val="51"/>
    <w:rsid w:val="000C198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0C198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rsid w:val="000C1980"/>
    <w:pPr>
      <w:spacing w:after="200"/>
    </w:pPr>
    <w:rPr>
      <w:rFonts w:asciiTheme="minorHAnsi" w:hAnsiTheme="minorHAnsi" w:cstheme="minorBidi"/>
      <w:i/>
      <w:iCs/>
      <w:color w:val="44546A" w:themeColor="text2"/>
      <w:sz w:val="18"/>
      <w:szCs w:val="18"/>
    </w:rPr>
  </w:style>
  <w:style w:type="table" w:customStyle="1" w:styleId="GridTable6Colorful-Accent51">
    <w:name w:val="Grid Table 6 Colorful - Accent 51"/>
    <w:basedOn w:val="TableNormal"/>
    <w:next w:val="GridTable6Colorful-Accent5"/>
    <w:uiPriority w:val="51"/>
    <w:rsid w:val="000C198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2">
    <w:name w:val="Grid Table 6 Colorful - Accent 52"/>
    <w:basedOn w:val="TableNormal"/>
    <w:next w:val="GridTable6Colorful-Accent5"/>
    <w:uiPriority w:val="51"/>
    <w:rsid w:val="000C198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3">
    <w:name w:val="Grid Table 6 Colorful - Accent 53"/>
    <w:basedOn w:val="TableNormal"/>
    <w:next w:val="GridTable6Colorful-Accent5"/>
    <w:uiPriority w:val="51"/>
    <w:rsid w:val="000C198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copre1">
    <w:name w:val="acopre1"/>
    <w:basedOn w:val="DefaultParagraphFont"/>
    <w:rsid w:val="000C1980"/>
  </w:style>
  <w:style w:type="character" w:styleId="Mention">
    <w:name w:val="Mention"/>
    <w:basedOn w:val="DefaultParagraphFont"/>
    <w:uiPriority w:val="99"/>
    <w:unhideWhenUsed/>
    <w:rsid w:val="000C1980"/>
    <w:rPr>
      <w:color w:val="2B579A"/>
      <w:shd w:val="clear" w:color="auto" w:fill="E1DFDD"/>
    </w:rPr>
  </w:style>
  <w:style w:type="table" w:styleId="TableTheme">
    <w:name w:val="Table Theme"/>
    <w:basedOn w:val="TableNormal"/>
    <w:uiPriority w:val="99"/>
    <w:rsid w:val="000C198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1980"/>
    <w:rPr>
      <w:color w:val="808080"/>
    </w:rPr>
  </w:style>
  <w:style w:type="paragraph" w:customStyle="1" w:styleId="commentcontentpara">
    <w:name w:val="commentcontentpara"/>
    <w:basedOn w:val="Normal"/>
    <w:rsid w:val="000C1980"/>
    <w:pPr>
      <w:spacing w:before="100" w:beforeAutospacing="1" w:after="100" w:afterAutospacing="1"/>
    </w:pPr>
    <w:rPr>
      <w:rFonts w:ascii="Times New Roman" w:eastAsia="Times New Roman" w:hAnsi="Times New Roman"/>
      <w:sz w:val="24"/>
      <w:szCs w:val="24"/>
    </w:rPr>
  </w:style>
  <w:style w:type="character" w:customStyle="1" w:styleId="acopre">
    <w:name w:val="acopre"/>
    <w:basedOn w:val="DefaultParagraphFont"/>
    <w:rsid w:val="000C1980"/>
  </w:style>
  <w:style w:type="paragraph" w:styleId="TOC7">
    <w:name w:val="toc 7"/>
    <w:basedOn w:val="Normal"/>
    <w:next w:val="Normal"/>
    <w:autoRedefine/>
    <w:uiPriority w:val="39"/>
    <w:unhideWhenUsed/>
    <w:rsid w:val="00257E9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57E90"/>
    <w:pPr>
      <w:spacing w:after="100" w:line="259" w:lineRule="auto"/>
      <w:ind w:left="15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1.emf" Id="rId18" /><Relationship Type="http://schemas.openxmlformats.org/officeDocument/2006/relationships/hyperlink" Target="https://www.cpuc.ca.gov/iqap/" TargetMode="External" Id="rId26" /><Relationship Type="http://schemas.openxmlformats.org/officeDocument/2006/relationships/customXml" Target="../customXml/item3.xml" Id="rId3" /><Relationship Type="http://schemas.openxmlformats.org/officeDocument/2006/relationships/image" Target="media/image4.emf"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oter" Target="footer3.xml" Id="rId17" /><Relationship Type="http://schemas.openxmlformats.org/officeDocument/2006/relationships/hyperlink" Target="https://www.cpuc.ca.gov/iqap/" TargetMode="External" Id="rId25"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image" Target="media/image3.emf"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7.tiff"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6.tiff"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2.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 Type="http://schemas.openxmlformats.org/officeDocument/2006/relationships/image" Target="media/image5.tiff" Id="rId22" /><Relationship Type="http://schemas.openxmlformats.org/officeDocument/2006/relationships/footer" Target="footer4.xml" Id="rId27" /><Relationship Type="http://schemas.openxmlformats.org/officeDocument/2006/relationships/hyperlink" Target="http://docs.cpuc.ca.gov/PublishedDocs/Published/G000/M387/K458/387458900.pdf" TargetMode="External" Id="Rbf281b33c7a64e2c" /></Relationships>
</file>

<file path=word/_rels/footnotes.xml.rels><?xml version="1.0" encoding="UTF-8" standalone="yes"?>
<Relationships xmlns="http://schemas.openxmlformats.org/package/2006/relationships"><Relationship Id="rId8" Type="http://schemas.openxmlformats.org/officeDocument/2006/relationships/hyperlink" Target="https://www.energy.gov/energysaver/types-homes/energy-efficient-manufactured-homes" TargetMode="External"/><Relationship Id="rId13" Type="http://schemas.openxmlformats.org/officeDocument/2006/relationships/hyperlink" Target="https://pda.energydataweb.com/api/view/2471/Final%20CA%20ESA%20NEB%20Report%201-25-21_.pdf" TargetMode="External"/><Relationship Id="rId3" Type="http://schemas.openxmlformats.org/officeDocument/2006/relationships/hyperlink" Target="https://docs.cpuc.ca.gov/SearchRes.aspx?DocFormat=ALL&amp;DocID=349245342" TargetMode="External"/><Relationship Id="rId7" Type="http://schemas.openxmlformats.org/officeDocument/2006/relationships/hyperlink" Target="https://calepa.ca.gov/wp-content/uploads/sites/6/2017/04/SB-535-Designation-Final.pdf" TargetMode="External"/><Relationship Id="rId12" Type="http://schemas.openxmlformats.org/officeDocument/2006/relationships/hyperlink" Target="https://www.caeecc.org/business-plans-1" TargetMode="External"/><Relationship Id="rId2" Type="http://schemas.openxmlformats.org/officeDocument/2006/relationships/hyperlink" Target="https://docs.cpuc.ca.gov/PublishedDocs/Efile/G000/M348/K580/348580187.PDF" TargetMode="External"/><Relationship Id="rId16" Type="http://schemas.openxmlformats.org/officeDocument/2006/relationships/hyperlink" Target="https://cedars.sound-data.com/" TargetMode="External"/><Relationship Id="rId1" Type="http://schemas.openxmlformats.org/officeDocument/2006/relationships/hyperlink" Target="https://www.cpuc.ca.gov/lowincomerates/" TargetMode="External"/><Relationship Id="rId6" Type="http://schemas.openxmlformats.org/officeDocument/2006/relationships/hyperlink" Target="https://sonomacleanpower.org/programs/advanced-energy-rebuild" TargetMode="External"/><Relationship Id="rId11" Type="http://schemas.openxmlformats.org/officeDocument/2006/relationships/hyperlink" Target="https://pda.energydataweb.com/api/view/2471/Final%20CA%20ESA%20NEB%20Report%201-25-21_.pdf" TargetMode="External"/><Relationship Id="rId5" Type="http://schemas.openxmlformats.org/officeDocument/2006/relationships/hyperlink" Target="https://www.sce.com/sites/default/files/inline-files/5193_SCE_ApprovedDocListVerification_20161013_AA.pdf" TargetMode="External"/><Relationship Id="rId15" Type="http://schemas.openxmlformats.org/officeDocument/2006/relationships/hyperlink" Target="http://docs.cpuc.ca.gov/PublishedDocs/Published/G000/M026/K217/26217743.PDF" TargetMode="External"/><Relationship Id="rId10" Type="http://schemas.openxmlformats.org/officeDocument/2006/relationships/hyperlink" Target="https://pda.energydataweb.com/" TargetMode="External"/><Relationship Id="rId4" Type="http://schemas.openxmlformats.org/officeDocument/2006/relationships/hyperlink" Target="http://www.calmac.org/publications/Needs_Assessment-Final_Report-Sept-2007.pdf" TargetMode="External"/><Relationship Id="rId9" Type="http://schemas.openxmlformats.org/officeDocument/2006/relationships/hyperlink" Target="https://www.cpuc.ca.gov/FireThreatMaps/" TargetMode="External"/><Relationship Id="rId14" Type="http://schemas.openxmlformats.org/officeDocument/2006/relationships/hyperlink" Target="https://docs.cpuc.ca.gov/PublishedDocs/Published/G000/M263/K673/26367309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7f5b6951-54ef-4081-aa35-6a1d703b40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C1B46132C3DB4EB8A2895A869445CE" ma:contentTypeVersion="13" ma:contentTypeDescription="Create a new document." ma:contentTypeScope="" ma:versionID="204a7d8da883a6ccabf932b760ff943e">
  <xsd:schema xmlns:xsd="http://www.w3.org/2001/XMLSchema" xmlns:xs="http://www.w3.org/2001/XMLSchema" xmlns:p="http://schemas.microsoft.com/office/2006/metadata/properties" xmlns:ns2="7f5b6951-54ef-4081-aa35-6a1d703b40f5" xmlns:ns3="b3d48114-37c6-46ba-9f8b-b8b5733efe3f" targetNamespace="http://schemas.microsoft.com/office/2006/metadata/properties" ma:root="true" ma:fieldsID="45f0acf86e330ebaebc7acb61799acf6" ns2:_="" ns3:_="">
    <xsd:import namespace="7f5b6951-54ef-4081-aa35-6a1d703b40f5"/>
    <xsd:import namespace="b3d48114-37c6-46ba-9f8b-b8b5733efe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b6951-54ef-4081-aa35-6a1d703b4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8114-37c6-46ba-9f8b-b8b5733efe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83CED-45A3-4E41-B8F8-CC1C7276EB69}">
  <ds:schemaRefs>
    <ds:schemaRef ds:uri="http://purl.org/dc/terms/"/>
    <ds:schemaRef ds:uri="http://schemas.microsoft.com/office/infopath/2007/PartnerControl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b3d48114-37c6-46ba-9f8b-b8b5733efe3f"/>
    <ds:schemaRef ds:uri="7f5b6951-54ef-4081-aa35-6a1d703b40f5"/>
  </ds:schemaRefs>
</ds:datastoreItem>
</file>

<file path=customXml/itemProps2.xml><?xml version="1.0" encoding="utf-8"?>
<ds:datastoreItem xmlns:ds="http://schemas.openxmlformats.org/officeDocument/2006/customXml" ds:itemID="{4ED974B0-8DED-4EF5-9079-3647A012F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b6951-54ef-4081-aa35-6a1d703b40f5"/>
    <ds:schemaRef ds:uri="b3d48114-37c6-46ba-9f8b-b8b5733efe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69F3B-AB33-41EC-A4E5-3A5CF9C1D2C8}">
  <ds:schemaRefs>
    <ds:schemaRef ds:uri="http://schemas.microsoft.com/sharepoint/v3/contenttype/forms"/>
  </ds:schemaRefs>
</ds:datastoreItem>
</file>

<file path=customXml/itemProps4.xml><?xml version="1.0" encoding="utf-8"?>
<ds:datastoreItem xmlns:ds="http://schemas.openxmlformats.org/officeDocument/2006/customXml" ds:itemID="{F8417B6C-9D74-45EB-B69E-1D214E689A9E}">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545</ap:Pages>
  <ap:Words>128781</ap:Words>
  <ap:Characters>734058</ap:Characters>
  <ap:Application>Microsoft Office Word</ap:Application>
  <ap:DocSecurity>0</ap:DocSecurity>
  <ap:Lines>6117</ap:Lines>
  <ap:Paragraphs>1722</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861117</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2021-06-02T19:29:00Z</cp:lastPrinted>
  <dcterms:created xsi:type="dcterms:W3CDTF">2021-06-08T09:30:30Z</dcterms:created>
  <dcterms:modified xsi:type="dcterms:W3CDTF">2021-06-08T09:30:30Z</dcterms:modified>
</cp:coreProperties>
</file>