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421" w:rsidP="009F26B1" w:rsidRDefault="002504E6" w14:paraId="7CABE2EA" w14:textId="0DE82C7E">
      <w:pPr>
        <w:tabs>
          <w:tab w:val="right" w:pos="9360"/>
        </w:tabs>
        <w:spacing w:line="240" w:lineRule="auto"/>
        <w:ind w:firstLine="0"/>
      </w:pPr>
      <w:r>
        <w:t>ALJ/KWZ/avs</w:t>
      </w:r>
      <w:r w:rsidR="009F26B1">
        <w:t xml:space="preserve">     </w:t>
      </w:r>
      <w:r w:rsidR="00DA7B5D">
        <w:rPr>
          <w:rFonts w:ascii="Arial" w:hAnsi="Arial" w:cs="Arial"/>
          <w:b/>
          <w:sz w:val="32"/>
          <w:szCs w:val="32"/>
        </w:rPr>
        <w:t>PROPOSED DECISION</w:t>
      </w:r>
      <w:r w:rsidR="00DA7B5D">
        <w:tab/>
      </w:r>
      <w:r w:rsidRPr="00EE4315" w:rsidR="00DA7B5D">
        <w:rPr>
          <w:b/>
        </w:rPr>
        <w:t>Agenda ID #</w:t>
      </w:r>
      <w:r w:rsidR="000A11EB">
        <w:rPr>
          <w:b/>
        </w:rPr>
        <w:t>19550</w:t>
      </w:r>
      <w:r w:rsidR="009F26B1">
        <w:rPr>
          <w:b/>
        </w:rPr>
        <w:t xml:space="preserve"> (REV. 1)</w:t>
      </w:r>
    </w:p>
    <w:p w:rsidR="00DA7B5D" w:rsidP="00632207" w:rsidRDefault="002504E6" w14:paraId="692D1F72" w14:textId="1BF6621C">
      <w:pPr>
        <w:spacing w:line="240" w:lineRule="auto"/>
        <w:jc w:val="right"/>
        <w:rPr>
          <w:b/>
        </w:rPr>
      </w:pPr>
      <w:r>
        <w:rPr>
          <w:b/>
        </w:rPr>
        <w:t>Ratesetting</w:t>
      </w:r>
    </w:p>
    <w:p w:rsidRPr="00EE4315" w:rsidR="009F26B1" w:rsidP="00632207" w:rsidRDefault="009F26B1" w14:paraId="561E838B" w14:textId="25A9BE05">
      <w:pPr>
        <w:spacing w:line="240" w:lineRule="auto"/>
        <w:jc w:val="right"/>
        <w:rPr>
          <w:b/>
        </w:rPr>
      </w:pPr>
      <w:r>
        <w:rPr>
          <w:b/>
        </w:rPr>
        <w:t>6/21/2021  Item 27</w:t>
      </w:r>
    </w:p>
    <w:p w:rsidR="00DA7B5D" w:rsidP="008F0116" w:rsidRDefault="00DA7B5D" w14:paraId="031C3CBF" w14:textId="77777777">
      <w:pPr>
        <w:ind w:firstLine="0"/>
      </w:pPr>
    </w:p>
    <w:p w:rsidRPr="00EE3060" w:rsidR="00DA7B5D" w:rsidP="002504E6" w:rsidRDefault="00DA7B5D" w14:paraId="6D53272D" w14:textId="7215588C">
      <w:pPr>
        <w:spacing w:line="240" w:lineRule="auto"/>
        <w:ind w:left="1080" w:hanging="1080"/>
      </w:pPr>
      <w:r>
        <w:t xml:space="preserve">Decision </w:t>
      </w:r>
      <w:r w:rsidRPr="002504E6" w:rsidR="002504E6">
        <w:rPr>
          <w:b/>
          <w:bCs/>
          <w:u w:val="single"/>
        </w:rPr>
        <w:t>PROPOSED DECISION OF ALJ WATTS-ZAGHA</w:t>
      </w:r>
      <w:r w:rsidRPr="002504E6" w:rsidR="002504E6">
        <w:rPr>
          <w:b/>
          <w:bCs/>
        </w:rPr>
        <w:t xml:space="preserve">  </w:t>
      </w:r>
      <w:r w:rsidR="002504E6">
        <w:rPr>
          <w:b/>
          <w:bCs/>
        </w:rPr>
        <w:br/>
      </w:r>
      <w:r w:rsidRPr="002504E6" w:rsidR="002504E6">
        <w:rPr>
          <w:b/>
          <w:bCs/>
        </w:rPr>
        <w:t xml:space="preserve">(Mailed </w:t>
      </w:r>
      <w:r w:rsidR="000A11EB">
        <w:rPr>
          <w:b/>
          <w:bCs/>
        </w:rPr>
        <w:t>5/24</w:t>
      </w:r>
      <w:r w:rsidRPr="002504E6" w:rsidR="002504E6">
        <w:rPr>
          <w:b/>
          <w:bCs/>
        </w:rPr>
        <w:t>/2021)</w:t>
      </w:r>
    </w:p>
    <w:p w:rsidR="00DA7B5D" w:rsidP="00BB0243" w:rsidRDefault="00DA7B5D" w14:paraId="2A12E79B" w14:textId="77777777">
      <w:pPr>
        <w:spacing w:line="240" w:lineRule="auto"/>
        <w:jc w:val="center"/>
        <w:rPr>
          <w:u w:val="single"/>
        </w:rPr>
      </w:pPr>
    </w:p>
    <w:p w:rsidR="00DA7B5D" w:rsidP="00BB0243" w:rsidRDefault="00DA7B5D" w14:paraId="324BF243"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699BCB9"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DA7B5D" w:rsidTr="00DA7B5D" w14:paraId="57B73341" w14:textId="77777777">
        <w:tc>
          <w:tcPr>
            <w:tcW w:w="4675" w:type="dxa"/>
            <w:tcBorders>
              <w:top w:val="nil"/>
              <w:left w:val="nil"/>
              <w:bottom w:val="single" w:color="auto" w:sz="4" w:space="0"/>
              <w:right w:val="single" w:color="auto" w:sz="4" w:space="0"/>
            </w:tcBorders>
          </w:tcPr>
          <w:p w:rsidRPr="009E6795" w:rsidR="00DA7B5D" w:rsidP="009E6795" w:rsidRDefault="009E6795" w14:paraId="72E9CA83" w14:textId="7F34850E">
            <w:pPr>
              <w:pStyle w:val="PlainText"/>
            </w:pPr>
            <w:r>
              <w:t>Order Instituting Rulemaking to Address Energy Utility Customer Bill Debt Accumulated During the COVID-19 Pandemic</w:t>
            </w:r>
            <w:r w:rsidRPr="00547EFD" w:rsidR="00296FBB">
              <w:rPr>
                <w:rFonts w:cs="Arial"/>
                <w:szCs w:val="26"/>
              </w:rPr>
              <w:t>.</w:t>
            </w:r>
            <w:r w:rsidRPr="00DA7B5D" w:rsidR="00DA7B5D">
              <w:rPr>
                <w:rFonts w:cs="Arial"/>
                <w:szCs w:val="26"/>
              </w:rPr>
              <w:br/>
            </w:r>
          </w:p>
        </w:tc>
        <w:tc>
          <w:tcPr>
            <w:tcW w:w="4675" w:type="dxa"/>
            <w:tcBorders>
              <w:top w:val="nil"/>
              <w:left w:val="single" w:color="auto" w:sz="4" w:space="0"/>
              <w:bottom w:val="nil"/>
              <w:right w:val="nil"/>
            </w:tcBorders>
            <w:vAlign w:val="center"/>
          </w:tcPr>
          <w:p w:rsidR="00082056" w:rsidP="00082056" w:rsidRDefault="00D37964" w14:paraId="6028A00C" w14:textId="4F9B05B1">
            <w:pPr>
              <w:spacing w:line="240" w:lineRule="auto"/>
              <w:ind w:firstLine="0"/>
              <w:jc w:val="center"/>
              <w:rPr>
                <w:rFonts w:cs="Arial"/>
                <w:szCs w:val="26"/>
              </w:rPr>
            </w:pPr>
            <w:r>
              <w:rPr>
                <w:rFonts w:cs="Arial"/>
                <w:szCs w:val="26"/>
              </w:rPr>
              <w:t>Rulemaking</w:t>
            </w:r>
            <w:r w:rsidR="00082056">
              <w:rPr>
                <w:rFonts w:cs="Arial"/>
                <w:szCs w:val="26"/>
              </w:rPr>
              <w:t xml:space="preserve"> 2</w:t>
            </w:r>
            <w:r w:rsidR="007B5CD5">
              <w:rPr>
                <w:rFonts w:cs="Arial"/>
                <w:szCs w:val="26"/>
              </w:rPr>
              <w:t>1-02-014</w:t>
            </w:r>
          </w:p>
          <w:p w:rsidRPr="00DA7B5D" w:rsidR="00DA7B5D" w:rsidP="00412C83" w:rsidRDefault="00DA7B5D" w14:paraId="0E0B0478" w14:textId="0C637FC0">
            <w:pPr>
              <w:spacing w:line="240" w:lineRule="auto"/>
              <w:ind w:firstLine="0"/>
              <w:jc w:val="center"/>
              <w:rPr>
                <w:rFonts w:cs="Arial"/>
                <w:szCs w:val="26"/>
              </w:rPr>
            </w:pPr>
          </w:p>
        </w:tc>
      </w:tr>
    </w:tbl>
    <w:p w:rsidR="00DA7B5D" w:rsidP="008F0116" w:rsidRDefault="00DA7B5D" w14:paraId="2A361F47" w14:textId="5D45FCC6">
      <w:pPr>
        <w:spacing w:line="240" w:lineRule="auto"/>
        <w:ind w:firstLine="0"/>
        <w:rPr>
          <w:rFonts w:ascii="Arial" w:hAnsi="Arial" w:cs="Arial"/>
          <w:sz w:val="24"/>
          <w:szCs w:val="24"/>
        </w:rPr>
      </w:pPr>
    </w:p>
    <w:p w:rsidR="005B4610" w:rsidP="008F0116" w:rsidRDefault="005B4610" w14:paraId="60FF2194" w14:textId="36B808F4">
      <w:pPr>
        <w:spacing w:line="240" w:lineRule="auto"/>
        <w:ind w:firstLine="0"/>
        <w:rPr>
          <w:rFonts w:ascii="Arial" w:hAnsi="Arial" w:cs="Arial"/>
          <w:sz w:val="24"/>
          <w:szCs w:val="24"/>
        </w:rPr>
      </w:pPr>
    </w:p>
    <w:p w:rsidR="005B4610" w:rsidP="008F0116" w:rsidRDefault="005B4610" w14:paraId="4D3C387B" w14:textId="77777777">
      <w:pPr>
        <w:spacing w:line="240" w:lineRule="auto"/>
        <w:ind w:firstLine="0"/>
        <w:rPr>
          <w:rFonts w:ascii="Arial" w:hAnsi="Arial" w:cs="Arial"/>
          <w:sz w:val="24"/>
          <w:szCs w:val="24"/>
        </w:rPr>
      </w:pPr>
    </w:p>
    <w:p w:rsidR="005B4610" w:rsidP="008F0116" w:rsidRDefault="005B4610" w14:paraId="59F810CE" w14:textId="1CA98648">
      <w:pPr>
        <w:spacing w:line="240" w:lineRule="auto"/>
        <w:ind w:firstLine="0"/>
        <w:rPr>
          <w:rFonts w:ascii="Arial" w:hAnsi="Arial" w:cs="Arial"/>
          <w:sz w:val="24"/>
          <w:szCs w:val="24"/>
        </w:rPr>
      </w:pPr>
    </w:p>
    <w:p w:rsidR="005B4610" w:rsidP="005B4610" w:rsidRDefault="005B4610" w14:paraId="2CA613A4" w14:textId="77777777">
      <w:pPr>
        <w:spacing w:line="240" w:lineRule="auto"/>
        <w:ind w:firstLine="0"/>
        <w:jc w:val="center"/>
        <w:rPr>
          <w:rFonts w:ascii="Arial" w:hAnsi="Arial" w:cs="Arial"/>
          <w:b/>
          <w:bCs/>
          <w:szCs w:val="26"/>
        </w:rPr>
        <w:sectPr w:rsidR="005B4610" w:rsidSect="00200CA4">
          <w:headerReference w:type="default" r:id="rId8"/>
          <w:footerReference w:type="default" r:id="rId9"/>
          <w:headerReference w:type="first" r:id="rId10"/>
          <w:footerReference w:type="first" r:id="rId11"/>
          <w:pgSz w:w="12240" w:h="15840"/>
          <w:pgMar w:top="1728" w:right="1440" w:bottom="1440" w:left="1440" w:header="720" w:footer="720" w:gutter="0"/>
          <w:pgNumType w:start="1"/>
          <w:cols w:space="720"/>
          <w:titlePg/>
          <w:docGrid w:linePitch="360"/>
        </w:sectPr>
      </w:pPr>
      <w:r w:rsidRPr="005B4610">
        <w:rPr>
          <w:rFonts w:ascii="Arial" w:hAnsi="Arial" w:cs="Arial"/>
          <w:b/>
          <w:bCs/>
          <w:szCs w:val="26"/>
        </w:rPr>
        <w:t>DECISION ADD</w:t>
      </w:r>
      <w:r>
        <w:rPr>
          <w:rFonts w:ascii="Arial" w:hAnsi="Arial" w:cs="Arial"/>
          <w:b/>
          <w:bCs/>
          <w:szCs w:val="26"/>
        </w:rPr>
        <w:t>RESSING ENERGY UTILITY CUSTOMER BILL DEBT VIA AUTOMATIC ENROLLMENT IN LONG TERM PAYMENT PLANS</w:t>
      </w:r>
    </w:p>
    <w:p w:rsidR="005B4610" w:rsidP="005B4610" w:rsidRDefault="00FD0EC2" w14:paraId="2F9E4641" w14:textId="6A888188">
      <w:pPr>
        <w:spacing w:line="240" w:lineRule="auto"/>
        <w:ind w:firstLine="0"/>
        <w:jc w:val="center"/>
        <w:rPr>
          <w:rFonts w:cs="Arial"/>
          <w:b/>
          <w:bCs/>
          <w:szCs w:val="26"/>
        </w:rPr>
      </w:pPr>
      <w:r w:rsidRPr="00FD0EC2">
        <w:rPr>
          <w:rFonts w:cs="Arial"/>
          <w:b/>
          <w:bCs/>
          <w:szCs w:val="26"/>
        </w:rPr>
        <w:lastRenderedPageBreak/>
        <w:t>TABLE OF CONTENTS</w:t>
      </w:r>
    </w:p>
    <w:p w:rsidR="00FD0EC2" w:rsidP="005B4610" w:rsidRDefault="00FD0EC2" w14:paraId="11DE24D6" w14:textId="1237E4D6">
      <w:pPr>
        <w:spacing w:line="240" w:lineRule="auto"/>
        <w:ind w:firstLine="0"/>
        <w:jc w:val="center"/>
        <w:rPr>
          <w:rFonts w:cs="Arial"/>
          <w:b/>
          <w:bCs/>
          <w:szCs w:val="26"/>
        </w:rPr>
      </w:pPr>
    </w:p>
    <w:p w:rsidR="00FD0EC2" w:rsidP="00FD0EC2" w:rsidRDefault="00FD0EC2" w14:paraId="055296F9" w14:textId="1D05876E">
      <w:pPr>
        <w:spacing w:line="240" w:lineRule="auto"/>
        <w:ind w:firstLine="0"/>
        <w:rPr>
          <w:rFonts w:cs="Arial"/>
          <w:b/>
          <w:bCs/>
          <w:szCs w:val="26"/>
        </w:rPr>
      </w:pPr>
      <w:r>
        <w:rPr>
          <w:rFonts w:cs="Arial"/>
          <w:b/>
          <w:bCs/>
          <w:szCs w:val="26"/>
        </w:rPr>
        <w:t>Title</w:t>
      </w:r>
      <w:r>
        <w:rPr>
          <w:rFonts w:cs="Arial"/>
          <w:b/>
          <w:bCs/>
          <w:szCs w:val="26"/>
        </w:rPr>
        <w:tab/>
      </w:r>
      <w:r>
        <w:rPr>
          <w:rFonts w:cs="Arial"/>
          <w:b/>
          <w:bCs/>
          <w:szCs w:val="26"/>
        </w:rPr>
        <w:tab/>
      </w:r>
      <w:r>
        <w:rPr>
          <w:rFonts w:cs="Arial"/>
          <w:b/>
          <w:bCs/>
          <w:szCs w:val="26"/>
        </w:rPr>
        <w:tab/>
      </w:r>
      <w:r>
        <w:rPr>
          <w:rFonts w:cs="Arial"/>
          <w:b/>
          <w:bCs/>
          <w:szCs w:val="26"/>
        </w:rPr>
        <w:tab/>
      </w:r>
      <w:r>
        <w:rPr>
          <w:rFonts w:cs="Arial"/>
          <w:b/>
          <w:bCs/>
          <w:szCs w:val="26"/>
        </w:rPr>
        <w:tab/>
      </w:r>
      <w:r>
        <w:rPr>
          <w:rFonts w:cs="Arial"/>
          <w:b/>
          <w:bCs/>
          <w:szCs w:val="26"/>
        </w:rPr>
        <w:tab/>
      </w:r>
      <w:r>
        <w:rPr>
          <w:rFonts w:cs="Arial"/>
          <w:b/>
          <w:bCs/>
          <w:szCs w:val="26"/>
        </w:rPr>
        <w:tab/>
      </w:r>
      <w:r>
        <w:rPr>
          <w:rFonts w:cs="Arial"/>
          <w:b/>
          <w:bCs/>
          <w:szCs w:val="26"/>
        </w:rPr>
        <w:tab/>
      </w:r>
      <w:r>
        <w:rPr>
          <w:rFonts w:cs="Arial"/>
          <w:b/>
          <w:bCs/>
          <w:szCs w:val="26"/>
        </w:rPr>
        <w:tab/>
      </w:r>
      <w:r>
        <w:rPr>
          <w:rFonts w:cs="Arial"/>
          <w:b/>
          <w:bCs/>
          <w:szCs w:val="26"/>
        </w:rPr>
        <w:tab/>
      </w:r>
      <w:r>
        <w:rPr>
          <w:rFonts w:cs="Arial"/>
          <w:b/>
          <w:bCs/>
          <w:szCs w:val="26"/>
        </w:rPr>
        <w:tab/>
      </w:r>
      <w:r>
        <w:rPr>
          <w:rFonts w:cs="Arial"/>
          <w:b/>
          <w:bCs/>
          <w:szCs w:val="26"/>
        </w:rPr>
        <w:tab/>
        <w:t>Page</w:t>
      </w:r>
    </w:p>
    <w:p w:rsidR="00FD0EC2" w:rsidP="00FD0EC2" w:rsidRDefault="00FD0EC2" w14:paraId="78293DE1" w14:textId="6137E669">
      <w:pPr>
        <w:spacing w:line="240" w:lineRule="auto"/>
        <w:ind w:firstLine="0"/>
        <w:rPr>
          <w:rFonts w:cs="Arial"/>
          <w:b/>
          <w:bCs/>
          <w:szCs w:val="26"/>
        </w:rPr>
      </w:pPr>
    </w:p>
    <w:p w:rsidR="008E4BE6" w:rsidP="003361BD" w:rsidRDefault="00482434" w14:paraId="0D756393" w14:textId="6227A760">
      <w:pPr>
        <w:pStyle w:val="TOC1"/>
        <w:tabs>
          <w:tab w:val="right" w:leader="dot" w:pos="9350"/>
        </w:tabs>
        <w:rPr>
          <w:rFonts w:asciiTheme="minorHAnsi" w:hAnsiTheme="minorHAnsi" w:cstheme="minorBidi"/>
          <w:noProof/>
          <w:sz w:val="22"/>
        </w:rPr>
      </w:pPr>
      <w:r>
        <w:rPr>
          <w:rFonts w:cs="Arial"/>
          <w:b/>
          <w:bCs/>
          <w:szCs w:val="26"/>
        </w:rPr>
        <w:fldChar w:fldCharType="begin"/>
      </w:r>
      <w:r>
        <w:rPr>
          <w:rFonts w:cs="Arial"/>
          <w:b/>
          <w:bCs/>
          <w:szCs w:val="26"/>
        </w:rPr>
        <w:instrText xml:space="preserve"> TOC \o "1-4" \h \z \t "Main,1" </w:instrText>
      </w:r>
      <w:r>
        <w:rPr>
          <w:rFonts w:cs="Arial"/>
          <w:b/>
          <w:bCs/>
          <w:szCs w:val="26"/>
        </w:rPr>
        <w:fldChar w:fldCharType="separate"/>
      </w:r>
    </w:p>
    <w:p w:rsidR="008E4BE6" w:rsidP="003361BD" w:rsidRDefault="008E4BE6" w14:paraId="6B79B386" w14:textId="0C7C4986">
      <w:pPr>
        <w:pStyle w:val="TOC1"/>
        <w:tabs>
          <w:tab w:val="right" w:leader="dot" w:pos="9350"/>
        </w:tabs>
        <w:ind w:left="0" w:firstLine="0"/>
        <w:rPr>
          <w:rFonts w:asciiTheme="minorHAnsi" w:hAnsiTheme="minorHAnsi" w:cstheme="minorBidi"/>
          <w:noProof/>
          <w:sz w:val="22"/>
        </w:rPr>
      </w:pPr>
      <w:hyperlink w:history="1" w:anchor="_Toc75258934">
        <w:r w:rsidRPr="001D17DE">
          <w:rPr>
            <w:rStyle w:val="Hyperlink"/>
            <w:noProof/>
          </w:rPr>
          <w:t>DECISION ADDRESSING ENERGY UTILITY CUSTOMER BILL DEBT  VIA AUTOMATIC ENROLLMENT IN LONG-TERM PAYMENT PLANS</w:t>
        </w:r>
        <w:r>
          <w:rPr>
            <w:noProof/>
            <w:webHidden/>
          </w:rPr>
          <w:tab/>
        </w:r>
        <w:r>
          <w:rPr>
            <w:noProof/>
            <w:webHidden/>
          </w:rPr>
          <w:fldChar w:fldCharType="begin"/>
        </w:r>
        <w:r>
          <w:rPr>
            <w:noProof/>
            <w:webHidden/>
          </w:rPr>
          <w:instrText xml:space="preserve"> PAGEREF _Toc75258934 \h </w:instrText>
        </w:r>
        <w:r>
          <w:rPr>
            <w:noProof/>
            <w:webHidden/>
          </w:rPr>
        </w:r>
        <w:r>
          <w:rPr>
            <w:noProof/>
            <w:webHidden/>
          </w:rPr>
          <w:fldChar w:fldCharType="separate"/>
        </w:r>
        <w:r w:rsidR="003361BD">
          <w:rPr>
            <w:noProof/>
            <w:webHidden/>
          </w:rPr>
          <w:t>2</w:t>
        </w:r>
        <w:r>
          <w:rPr>
            <w:noProof/>
            <w:webHidden/>
          </w:rPr>
          <w:fldChar w:fldCharType="end"/>
        </w:r>
      </w:hyperlink>
    </w:p>
    <w:p w:rsidR="008E4BE6" w:rsidRDefault="008E4BE6" w14:paraId="36E91391" w14:textId="5884FBF4">
      <w:pPr>
        <w:pStyle w:val="TOC1"/>
        <w:tabs>
          <w:tab w:val="right" w:leader="dot" w:pos="9350"/>
        </w:tabs>
        <w:rPr>
          <w:rFonts w:asciiTheme="minorHAnsi" w:hAnsiTheme="minorHAnsi" w:cstheme="minorBidi"/>
          <w:noProof/>
          <w:sz w:val="22"/>
        </w:rPr>
      </w:pPr>
      <w:hyperlink w:history="1" w:anchor="_Toc75258935">
        <w:r w:rsidRPr="001D17DE">
          <w:rPr>
            <w:rStyle w:val="Hyperlink"/>
            <w:noProof/>
          </w:rPr>
          <w:t>Summary</w:t>
        </w:r>
        <w:r>
          <w:rPr>
            <w:noProof/>
            <w:webHidden/>
          </w:rPr>
          <w:tab/>
        </w:r>
        <w:r>
          <w:rPr>
            <w:noProof/>
            <w:webHidden/>
          </w:rPr>
          <w:fldChar w:fldCharType="begin"/>
        </w:r>
        <w:r>
          <w:rPr>
            <w:noProof/>
            <w:webHidden/>
          </w:rPr>
          <w:instrText xml:space="preserve"> PAGEREF _Toc75258935 \h </w:instrText>
        </w:r>
        <w:r>
          <w:rPr>
            <w:noProof/>
            <w:webHidden/>
          </w:rPr>
        </w:r>
        <w:r>
          <w:rPr>
            <w:noProof/>
            <w:webHidden/>
          </w:rPr>
          <w:fldChar w:fldCharType="separate"/>
        </w:r>
        <w:r w:rsidR="003361BD">
          <w:rPr>
            <w:noProof/>
            <w:webHidden/>
          </w:rPr>
          <w:t>2</w:t>
        </w:r>
        <w:r>
          <w:rPr>
            <w:noProof/>
            <w:webHidden/>
          </w:rPr>
          <w:fldChar w:fldCharType="end"/>
        </w:r>
      </w:hyperlink>
    </w:p>
    <w:p w:rsidR="008E4BE6" w:rsidRDefault="008E4BE6" w14:paraId="26A06D21" w14:textId="47C58FFB">
      <w:pPr>
        <w:pStyle w:val="TOC1"/>
        <w:tabs>
          <w:tab w:val="right" w:leader="dot" w:pos="9350"/>
        </w:tabs>
        <w:rPr>
          <w:rFonts w:asciiTheme="minorHAnsi" w:hAnsiTheme="minorHAnsi" w:cstheme="minorBidi"/>
          <w:noProof/>
          <w:sz w:val="22"/>
        </w:rPr>
      </w:pPr>
      <w:hyperlink w:history="1" w:anchor="_Toc75258936">
        <w:r w:rsidRPr="001D17DE">
          <w:rPr>
            <w:rStyle w:val="Hyperlink"/>
            <w:noProof/>
          </w:rPr>
          <w:t>1.</w:t>
        </w:r>
        <w:r>
          <w:rPr>
            <w:rFonts w:asciiTheme="minorHAnsi" w:hAnsiTheme="minorHAnsi" w:cstheme="minorBidi"/>
            <w:noProof/>
            <w:sz w:val="22"/>
          </w:rPr>
          <w:tab/>
        </w:r>
        <w:r w:rsidRPr="001D17DE">
          <w:rPr>
            <w:rStyle w:val="Hyperlink"/>
            <w:noProof/>
          </w:rPr>
          <w:t>Background</w:t>
        </w:r>
        <w:r>
          <w:rPr>
            <w:noProof/>
            <w:webHidden/>
          </w:rPr>
          <w:tab/>
        </w:r>
        <w:r>
          <w:rPr>
            <w:noProof/>
            <w:webHidden/>
          </w:rPr>
          <w:fldChar w:fldCharType="begin"/>
        </w:r>
        <w:r>
          <w:rPr>
            <w:noProof/>
            <w:webHidden/>
          </w:rPr>
          <w:instrText xml:space="preserve"> PAGEREF _Toc75258936 \h </w:instrText>
        </w:r>
        <w:r>
          <w:rPr>
            <w:noProof/>
            <w:webHidden/>
          </w:rPr>
        </w:r>
        <w:r>
          <w:rPr>
            <w:noProof/>
            <w:webHidden/>
          </w:rPr>
          <w:fldChar w:fldCharType="separate"/>
        </w:r>
        <w:r w:rsidR="003361BD">
          <w:rPr>
            <w:noProof/>
            <w:webHidden/>
          </w:rPr>
          <w:t>3</w:t>
        </w:r>
        <w:r>
          <w:rPr>
            <w:noProof/>
            <w:webHidden/>
          </w:rPr>
          <w:fldChar w:fldCharType="end"/>
        </w:r>
      </w:hyperlink>
    </w:p>
    <w:p w:rsidR="008E4BE6" w:rsidRDefault="008E4BE6" w14:paraId="73876174" w14:textId="5F69E910">
      <w:pPr>
        <w:pStyle w:val="TOC2"/>
        <w:tabs>
          <w:tab w:val="right" w:leader="dot" w:pos="9350"/>
        </w:tabs>
        <w:rPr>
          <w:rFonts w:asciiTheme="minorHAnsi" w:hAnsiTheme="minorHAnsi" w:cstheme="minorBidi"/>
          <w:noProof/>
          <w:sz w:val="22"/>
        </w:rPr>
      </w:pPr>
      <w:hyperlink w:history="1" w:anchor="_Toc75258937">
        <w:r w:rsidRPr="001D17DE">
          <w:rPr>
            <w:rStyle w:val="Hyperlink"/>
            <w:noProof/>
          </w:rPr>
          <w:t>1.1.</w:t>
        </w:r>
        <w:r>
          <w:rPr>
            <w:rFonts w:asciiTheme="minorHAnsi" w:hAnsiTheme="minorHAnsi" w:cstheme="minorBidi"/>
            <w:noProof/>
            <w:sz w:val="22"/>
          </w:rPr>
          <w:tab/>
        </w:r>
        <w:r w:rsidRPr="001D17DE">
          <w:rPr>
            <w:rStyle w:val="Hyperlink"/>
            <w:noProof/>
          </w:rPr>
          <w:t>Federal and State Funding for  COVID-19 Arrearage Relief</w:t>
        </w:r>
        <w:r>
          <w:rPr>
            <w:noProof/>
            <w:webHidden/>
          </w:rPr>
          <w:tab/>
        </w:r>
        <w:r>
          <w:rPr>
            <w:noProof/>
            <w:webHidden/>
          </w:rPr>
          <w:fldChar w:fldCharType="begin"/>
        </w:r>
        <w:r>
          <w:rPr>
            <w:noProof/>
            <w:webHidden/>
          </w:rPr>
          <w:instrText xml:space="preserve"> PAGEREF _Toc75258937 \h </w:instrText>
        </w:r>
        <w:r>
          <w:rPr>
            <w:noProof/>
            <w:webHidden/>
          </w:rPr>
        </w:r>
        <w:r>
          <w:rPr>
            <w:noProof/>
            <w:webHidden/>
          </w:rPr>
          <w:fldChar w:fldCharType="separate"/>
        </w:r>
        <w:r w:rsidR="003361BD">
          <w:rPr>
            <w:noProof/>
            <w:webHidden/>
          </w:rPr>
          <w:t>7</w:t>
        </w:r>
        <w:r>
          <w:rPr>
            <w:noProof/>
            <w:webHidden/>
          </w:rPr>
          <w:fldChar w:fldCharType="end"/>
        </w:r>
      </w:hyperlink>
    </w:p>
    <w:p w:rsidR="008E4BE6" w:rsidRDefault="008E4BE6" w14:paraId="2BB29082" w14:textId="2A5B3C93">
      <w:pPr>
        <w:pStyle w:val="TOC3"/>
        <w:tabs>
          <w:tab w:val="left" w:pos="1296"/>
          <w:tab w:val="right" w:leader="dot" w:pos="9350"/>
        </w:tabs>
        <w:rPr>
          <w:rFonts w:asciiTheme="minorHAnsi" w:hAnsiTheme="minorHAnsi" w:cstheme="minorBidi"/>
          <w:noProof/>
          <w:sz w:val="22"/>
        </w:rPr>
      </w:pPr>
      <w:hyperlink w:history="1" w:anchor="_Toc75258938">
        <w:r w:rsidRPr="001D17DE">
          <w:rPr>
            <w:rStyle w:val="Hyperlink"/>
            <w:noProof/>
          </w:rPr>
          <w:t>1.1.1.</w:t>
        </w:r>
        <w:r>
          <w:rPr>
            <w:rFonts w:asciiTheme="minorHAnsi" w:hAnsiTheme="minorHAnsi" w:cstheme="minorBidi"/>
            <w:noProof/>
            <w:sz w:val="22"/>
          </w:rPr>
          <w:tab/>
        </w:r>
        <w:r w:rsidRPr="001D17DE">
          <w:rPr>
            <w:rStyle w:val="Hyperlink"/>
            <w:noProof/>
          </w:rPr>
          <w:t>California’s 2022 Pending Budget</w:t>
        </w:r>
        <w:r>
          <w:rPr>
            <w:noProof/>
            <w:webHidden/>
          </w:rPr>
          <w:tab/>
        </w:r>
        <w:r>
          <w:rPr>
            <w:noProof/>
            <w:webHidden/>
          </w:rPr>
          <w:fldChar w:fldCharType="begin"/>
        </w:r>
        <w:r>
          <w:rPr>
            <w:noProof/>
            <w:webHidden/>
          </w:rPr>
          <w:instrText xml:space="preserve"> PAGEREF _Toc75258938 \h </w:instrText>
        </w:r>
        <w:r>
          <w:rPr>
            <w:noProof/>
            <w:webHidden/>
          </w:rPr>
        </w:r>
        <w:r>
          <w:rPr>
            <w:noProof/>
            <w:webHidden/>
          </w:rPr>
          <w:fldChar w:fldCharType="separate"/>
        </w:r>
        <w:r w:rsidR="003361BD">
          <w:rPr>
            <w:noProof/>
            <w:webHidden/>
          </w:rPr>
          <w:t>7</w:t>
        </w:r>
        <w:r>
          <w:rPr>
            <w:noProof/>
            <w:webHidden/>
          </w:rPr>
          <w:fldChar w:fldCharType="end"/>
        </w:r>
      </w:hyperlink>
    </w:p>
    <w:p w:rsidR="008E4BE6" w:rsidRDefault="008E4BE6" w14:paraId="7C5E9E52" w14:textId="02AED0E0">
      <w:pPr>
        <w:pStyle w:val="TOC3"/>
        <w:tabs>
          <w:tab w:val="left" w:pos="1296"/>
          <w:tab w:val="right" w:leader="dot" w:pos="9350"/>
        </w:tabs>
        <w:rPr>
          <w:rFonts w:asciiTheme="minorHAnsi" w:hAnsiTheme="minorHAnsi" w:cstheme="minorBidi"/>
          <w:noProof/>
          <w:sz w:val="22"/>
        </w:rPr>
      </w:pPr>
      <w:hyperlink w:history="1" w:anchor="_Toc75258939">
        <w:r w:rsidRPr="001D17DE">
          <w:rPr>
            <w:rStyle w:val="Hyperlink"/>
            <w:noProof/>
          </w:rPr>
          <w:t>1.1.2.</w:t>
        </w:r>
        <w:r>
          <w:rPr>
            <w:rFonts w:asciiTheme="minorHAnsi" w:hAnsiTheme="minorHAnsi" w:cstheme="minorBidi"/>
            <w:noProof/>
            <w:sz w:val="22"/>
          </w:rPr>
          <w:tab/>
        </w:r>
        <w:r w:rsidRPr="001D17DE">
          <w:rPr>
            <w:rStyle w:val="Hyperlink"/>
            <w:noProof/>
          </w:rPr>
          <w:t>Emergency Rental Assistance Program</w:t>
        </w:r>
        <w:r>
          <w:rPr>
            <w:noProof/>
            <w:webHidden/>
          </w:rPr>
          <w:tab/>
        </w:r>
        <w:r>
          <w:rPr>
            <w:noProof/>
            <w:webHidden/>
          </w:rPr>
          <w:fldChar w:fldCharType="begin"/>
        </w:r>
        <w:r>
          <w:rPr>
            <w:noProof/>
            <w:webHidden/>
          </w:rPr>
          <w:instrText xml:space="preserve"> PAGEREF _Toc75258939 \h </w:instrText>
        </w:r>
        <w:r>
          <w:rPr>
            <w:noProof/>
            <w:webHidden/>
          </w:rPr>
        </w:r>
        <w:r>
          <w:rPr>
            <w:noProof/>
            <w:webHidden/>
          </w:rPr>
          <w:fldChar w:fldCharType="separate"/>
        </w:r>
        <w:r w:rsidR="003361BD">
          <w:rPr>
            <w:noProof/>
            <w:webHidden/>
          </w:rPr>
          <w:t>7</w:t>
        </w:r>
        <w:r>
          <w:rPr>
            <w:noProof/>
            <w:webHidden/>
          </w:rPr>
          <w:fldChar w:fldCharType="end"/>
        </w:r>
      </w:hyperlink>
    </w:p>
    <w:p w:rsidR="008E4BE6" w:rsidRDefault="008E4BE6" w14:paraId="54EC9A7C" w14:textId="33C3026C">
      <w:pPr>
        <w:pStyle w:val="TOC3"/>
        <w:tabs>
          <w:tab w:val="left" w:pos="1296"/>
          <w:tab w:val="right" w:leader="dot" w:pos="9350"/>
        </w:tabs>
        <w:rPr>
          <w:rFonts w:asciiTheme="minorHAnsi" w:hAnsiTheme="minorHAnsi" w:cstheme="minorBidi"/>
          <w:noProof/>
          <w:sz w:val="22"/>
        </w:rPr>
      </w:pPr>
      <w:hyperlink w:history="1" w:anchor="_Toc75258940">
        <w:r w:rsidRPr="001D17DE">
          <w:rPr>
            <w:rStyle w:val="Hyperlink"/>
            <w:noProof/>
          </w:rPr>
          <w:t>1.1.3.</w:t>
        </w:r>
        <w:r>
          <w:rPr>
            <w:rFonts w:asciiTheme="minorHAnsi" w:hAnsiTheme="minorHAnsi" w:cstheme="minorBidi"/>
            <w:noProof/>
            <w:sz w:val="22"/>
          </w:rPr>
          <w:tab/>
        </w:r>
        <w:r w:rsidRPr="001D17DE">
          <w:rPr>
            <w:rStyle w:val="Hyperlink"/>
            <w:noProof/>
          </w:rPr>
          <w:t>Housing Assistance Fund</w:t>
        </w:r>
        <w:r>
          <w:rPr>
            <w:noProof/>
            <w:webHidden/>
          </w:rPr>
          <w:tab/>
        </w:r>
        <w:r>
          <w:rPr>
            <w:noProof/>
            <w:webHidden/>
          </w:rPr>
          <w:fldChar w:fldCharType="begin"/>
        </w:r>
        <w:r>
          <w:rPr>
            <w:noProof/>
            <w:webHidden/>
          </w:rPr>
          <w:instrText xml:space="preserve"> PAGEREF _Toc75258940 \h </w:instrText>
        </w:r>
        <w:r>
          <w:rPr>
            <w:noProof/>
            <w:webHidden/>
          </w:rPr>
        </w:r>
        <w:r>
          <w:rPr>
            <w:noProof/>
            <w:webHidden/>
          </w:rPr>
          <w:fldChar w:fldCharType="separate"/>
        </w:r>
        <w:r w:rsidR="003361BD">
          <w:rPr>
            <w:noProof/>
            <w:webHidden/>
          </w:rPr>
          <w:t>8</w:t>
        </w:r>
        <w:r>
          <w:rPr>
            <w:noProof/>
            <w:webHidden/>
          </w:rPr>
          <w:fldChar w:fldCharType="end"/>
        </w:r>
      </w:hyperlink>
    </w:p>
    <w:p w:rsidR="008E4BE6" w:rsidRDefault="008E4BE6" w14:paraId="13EF7A11" w14:textId="5DD30DBF">
      <w:pPr>
        <w:pStyle w:val="TOC3"/>
        <w:tabs>
          <w:tab w:val="left" w:pos="1296"/>
          <w:tab w:val="right" w:leader="dot" w:pos="9350"/>
        </w:tabs>
        <w:rPr>
          <w:rFonts w:asciiTheme="minorHAnsi" w:hAnsiTheme="minorHAnsi" w:cstheme="minorBidi"/>
          <w:noProof/>
          <w:sz w:val="22"/>
        </w:rPr>
      </w:pPr>
      <w:hyperlink w:history="1" w:anchor="_Toc75258941">
        <w:r w:rsidRPr="001D17DE">
          <w:rPr>
            <w:rStyle w:val="Hyperlink"/>
            <w:noProof/>
          </w:rPr>
          <w:t>1.1.4.</w:t>
        </w:r>
        <w:r>
          <w:rPr>
            <w:rFonts w:asciiTheme="minorHAnsi" w:hAnsiTheme="minorHAnsi" w:cstheme="minorBidi"/>
            <w:noProof/>
            <w:sz w:val="22"/>
          </w:rPr>
          <w:tab/>
        </w:r>
        <w:r w:rsidRPr="001D17DE">
          <w:rPr>
            <w:rStyle w:val="Hyperlink"/>
            <w:noProof/>
          </w:rPr>
          <w:t>Low-Income Home Energy  Assistance Program (LIHEAP)</w:t>
        </w:r>
        <w:r>
          <w:rPr>
            <w:noProof/>
            <w:webHidden/>
          </w:rPr>
          <w:tab/>
        </w:r>
        <w:r>
          <w:rPr>
            <w:noProof/>
            <w:webHidden/>
          </w:rPr>
          <w:fldChar w:fldCharType="begin"/>
        </w:r>
        <w:r>
          <w:rPr>
            <w:noProof/>
            <w:webHidden/>
          </w:rPr>
          <w:instrText xml:space="preserve"> PAGEREF _Toc75258941 \h </w:instrText>
        </w:r>
        <w:r>
          <w:rPr>
            <w:noProof/>
            <w:webHidden/>
          </w:rPr>
        </w:r>
        <w:r>
          <w:rPr>
            <w:noProof/>
            <w:webHidden/>
          </w:rPr>
          <w:fldChar w:fldCharType="separate"/>
        </w:r>
        <w:r w:rsidR="003361BD">
          <w:rPr>
            <w:noProof/>
            <w:webHidden/>
          </w:rPr>
          <w:t>8</w:t>
        </w:r>
        <w:r>
          <w:rPr>
            <w:noProof/>
            <w:webHidden/>
          </w:rPr>
          <w:fldChar w:fldCharType="end"/>
        </w:r>
      </w:hyperlink>
    </w:p>
    <w:p w:rsidR="008E4BE6" w:rsidRDefault="008E4BE6" w14:paraId="652A8AAE" w14:textId="5116F979">
      <w:pPr>
        <w:pStyle w:val="TOC2"/>
        <w:tabs>
          <w:tab w:val="right" w:leader="dot" w:pos="9350"/>
        </w:tabs>
        <w:rPr>
          <w:rFonts w:asciiTheme="minorHAnsi" w:hAnsiTheme="minorHAnsi" w:cstheme="minorBidi"/>
          <w:noProof/>
          <w:sz w:val="22"/>
        </w:rPr>
      </w:pPr>
      <w:hyperlink w:history="1" w:anchor="_Toc75258942">
        <w:r w:rsidRPr="001D17DE">
          <w:rPr>
            <w:rStyle w:val="Hyperlink"/>
            <w:noProof/>
          </w:rPr>
          <w:t>1.2.</w:t>
        </w:r>
        <w:r>
          <w:rPr>
            <w:rFonts w:asciiTheme="minorHAnsi" w:hAnsiTheme="minorHAnsi" w:cstheme="minorBidi"/>
            <w:noProof/>
            <w:sz w:val="22"/>
          </w:rPr>
          <w:tab/>
        </w:r>
        <w:r w:rsidRPr="001D17DE">
          <w:rPr>
            <w:rStyle w:val="Hyperlink"/>
            <w:noProof/>
          </w:rPr>
          <w:t>Status Update on Unpaid Utility Bills</w:t>
        </w:r>
        <w:r>
          <w:rPr>
            <w:noProof/>
            <w:webHidden/>
          </w:rPr>
          <w:tab/>
        </w:r>
        <w:r>
          <w:rPr>
            <w:noProof/>
            <w:webHidden/>
          </w:rPr>
          <w:fldChar w:fldCharType="begin"/>
        </w:r>
        <w:r>
          <w:rPr>
            <w:noProof/>
            <w:webHidden/>
          </w:rPr>
          <w:instrText xml:space="preserve"> PAGEREF _Toc75258942 \h </w:instrText>
        </w:r>
        <w:r>
          <w:rPr>
            <w:noProof/>
            <w:webHidden/>
          </w:rPr>
        </w:r>
        <w:r>
          <w:rPr>
            <w:noProof/>
            <w:webHidden/>
          </w:rPr>
          <w:fldChar w:fldCharType="separate"/>
        </w:r>
        <w:r w:rsidR="003361BD">
          <w:rPr>
            <w:noProof/>
            <w:webHidden/>
          </w:rPr>
          <w:t>9</w:t>
        </w:r>
        <w:r>
          <w:rPr>
            <w:noProof/>
            <w:webHidden/>
          </w:rPr>
          <w:fldChar w:fldCharType="end"/>
        </w:r>
      </w:hyperlink>
    </w:p>
    <w:p w:rsidR="008E4BE6" w:rsidRDefault="008E4BE6" w14:paraId="2C17315E" w14:textId="767334F1">
      <w:pPr>
        <w:pStyle w:val="TOC1"/>
        <w:tabs>
          <w:tab w:val="right" w:leader="dot" w:pos="9350"/>
        </w:tabs>
        <w:rPr>
          <w:rFonts w:asciiTheme="minorHAnsi" w:hAnsiTheme="minorHAnsi" w:cstheme="minorBidi"/>
          <w:noProof/>
          <w:sz w:val="22"/>
        </w:rPr>
      </w:pPr>
      <w:hyperlink w:history="1" w:anchor="_Toc75258943">
        <w:r w:rsidRPr="001D17DE">
          <w:rPr>
            <w:rStyle w:val="Hyperlink"/>
            <w:noProof/>
          </w:rPr>
          <w:t>2.</w:t>
        </w:r>
        <w:r>
          <w:rPr>
            <w:rFonts w:asciiTheme="minorHAnsi" w:hAnsiTheme="minorHAnsi" w:cstheme="minorBidi"/>
            <w:noProof/>
            <w:sz w:val="22"/>
          </w:rPr>
          <w:tab/>
        </w:r>
        <w:r w:rsidRPr="001D17DE">
          <w:rPr>
            <w:rStyle w:val="Hyperlink"/>
            <w:noProof/>
          </w:rPr>
          <w:t>Issues Before the Commission</w:t>
        </w:r>
        <w:r>
          <w:rPr>
            <w:noProof/>
            <w:webHidden/>
          </w:rPr>
          <w:tab/>
        </w:r>
        <w:r>
          <w:rPr>
            <w:noProof/>
            <w:webHidden/>
          </w:rPr>
          <w:fldChar w:fldCharType="begin"/>
        </w:r>
        <w:r>
          <w:rPr>
            <w:noProof/>
            <w:webHidden/>
          </w:rPr>
          <w:instrText xml:space="preserve"> PAGEREF _Toc75258943 \h </w:instrText>
        </w:r>
        <w:r>
          <w:rPr>
            <w:noProof/>
            <w:webHidden/>
          </w:rPr>
        </w:r>
        <w:r>
          <w:rPr>
            <w:noProof/>
            <w:webHidden/>
          </w:rPr>
          <w:fldChar w:fldCharType="separate"/>
        </w:r>
        <w:r w:rsidR="003361BD">
          <w:rPr>
            <w:noProof/>
            <w:webHidden/>
          </w:rPr>
          <w:t>12</w:t>
        </w:r>
        <w:r>
          <w:rPr>
            <w:noProof/>
            <w:webHidden/>
          </w:rPr>
          <w:fldChar w:fldCharType="end"/>
        </w:r>
      </w:hyperlink>
    </w:p>
    <w:p w:rsidR="008E4BE6" w:rsidRDefault="008E4BE6" w14:paraId="10CDBC2B" w14:textId="1FE7DDB5">
      <w:pPr>
        <w:pStyle w:val="TOC1"/>
        <w:tabs>
          <w:tab w:val="right" w:leader="dot" w:pos="9350"/>
        </w:tabs>
        <w:rPr>
          <w:rFonts w:asciiTheme="minorHAnsi" w:hAnsiTheme="minorHAnsi" w:cstheme="minorBidi"/>
          <w:noProof/>
          <w:sz w:val="22"/>
        </w:rPr>
      </w:pPr>
      <w:hyperlink w:history="1" w:anchor="_Toc75258944">
        <w:r w:rsidRPr="001D17DE">
          <w:rPr>
            <w:rStyle w:val="Hyperlink"/>
            <w:noProof/>
          </w:rPr>
          <w:t>3.</w:t>
        </w:r>
        <w:r>
          <w:rPr>
            <w:rFonts w:asciiTheme="minorHAnsi" w:hAnsiTheme="minorHAnsi" w:cstheme="minorBidi"/>
            <w:noProof/>
            <w:sz w:val="22"/>
          </w:rPr>
          <w:tab/>
        </w:r>
        <w:r w:rsidRPr="001D17DE">
          <w:rPr>
            <w:rStyle w:val="Hyperlink"/>
            <w:noProof/>
          </w:rPr>
          <w:t>“COVID-19 Relief Payment Plans”  for Residential Customers</w:t>
        </w:r>
        <w:r>
          <w:rPr>
            <w:noProof/>
            <w:webHidden/>
          </w:rPr>
          <w:tab/>
        </w:r>
        <w:r>
          <w:rPr>
            <w:noProof/>
            <w:webHidden/>
          </w:rPr>
          <w:fldChar w:fldCharType="begin"/>
        </w:r>
        <w:r>
          <w:rPr>
            <w:noProof/>
            <w:webHidden/>
          </w:rPr>
          <w:instrText xml:space="preserve"> PAGEREF _Toc75258944 \h </w:instrText>
        </w:r>
        <w:r>
          <w:rPr>
            <w:noProof/>
            <w:webHidden/>
          </w:rPr>
        </w:r>
        <w:r>
          <w:rPr>
            <w:noProof/>
            <w:webHidden/>
          </w:rPr>
          <w:fldChar w:fldCharType="separate"/>
        </w:r>
        <w:r w:rsidR="003361BD">
          <w:rPr>
            <w:noProof/>
            <w:webHidden/>
          </w:rPr>
          <w:t>15</w:t>
        </w:r>
        <w:r>
          <w:rPr>
            <w:noProof/>
            <w:webHidden/>
          </w:rPr>
          <w:fldChar w:fldCharType="end"/>
        </w:r>
      </w:hyperlink>
    </w:p>
    <w:p w:rsidR="008E4BE6" w:rsidRDefault="008E4BE6" w14:paraId="3FB86901" w14:textId="032591CE">
      <w:pPr>
        <w:pStyle w:val="TOC2"/>
        <w:tabs>
          <w:tab w:val="right" w:leader="dot" w:pos="9350"/>
        </w:tabs>
        <w:rPr>
          <w:rFonts w:asciiTheme="minorHAnsi" w:hAnsiTheme="minorHAnsi" w:cstheme="minorBidi"/>
          <w:noProof/>
          <w:sz w:val="22"/>
        </w:rPr>
      </w:pPr>
      <w:hyperlink w:history="1" w:anchor="_Toc75258945">
        <w:r w:rsidRPr="001D17DE">
          <w:rPr>
            <w:rStyle w:val="Hyperlink"/>
            <w:noProof/>
          </w:rPr>
          <w:t>3.1.</w:t>
        </w:r>
        <w:r>
          <w:rPr>
            <w:rFonts w:asciiTheme="minorHAnsi" w:hAnsiTheme="minorHAnsi" w:cstheme="minorBidi"/>
            <w:noProof/>
            <w:sz w:val="22"/>
          </w:rPr>
          <w:tab/>
        </w:r>
        <w:r w:rsidRPr="001D17DE">
          <w:rPr>
            <w:rStyle w:val="Hyperlink"/>
            <w:noProof/>
          </w:rPr>
          <w:t>Party Positions</w:t>
        </w:r>
        <w:r>
          <w:rPr>
            <w:noProof/>
            <w:webHidden/>
          </w:rPr>
          <w:tab/>
        </w:r>
        <w:r>
          <w:rPr>
            <w:noProof/>
            <w:webHidden/>
          </w:rPr>
          <w:fldChar w:fldCharType="begin"/>
        </w:r>
        <w:r>
          <w:rPr>
            <w:noProof/>
            <w:webHidden/>
          </w:rPr>
          <w:instrText xml:space="preserve"> PAGEREF _Toc75258945 \h </w:instrText>
        </w:r>
        <w:r>
          <w:rPr>
            <w:noProof/>
            <w:webHidden/>
          </w:rPr>
        </w:r>
        <w:r>
          <w:rPr>
            <w:noProof/>
            <w:webHidden/>
          </w:rPr>
          <w:fldChar w:fldCharType="separate"/>
        </w:r>
        <w:r w:rsidR="003361BD">
          <w:rPr>
            <w:noProof/>
            <w:webHidden/>
          </w:rPr>
          <w:t>17</w:t>
        </w:r>
        <w:r>
          <w:rPr>
            <w:noProof/>
            <w:webHidden/>
          </w:rPr>
          <w:fldChar w:fldCharType="end"/>
        </w:r>
      </w:hyperlink>
    </w:p>
    <w:p w:rsidR="008E4BE6" w:rsidRDefault="008E4BE6" w14:paraId="20A12BB9" w14:textId="5333681C">
      <w:pPr>
        <w:pStyle w:val="TOC2"/>
        <w:tabs>
          <w:tab w:val="right" w:leader="dot" w:pos="9350"/>
        </w:tabs>
        <w:rPr>
          <w:rFonts w:asciiTheme="minorHAnsi" w:hAnsiTheme="minorHAnsi" w:cstheme="minorBidi"/>
          <w:noProof/>
          <w:sz w:val="22"/>
        </w:rPr>
      </w:pPr>
      <w:hyperlink w:history="1" w:anchor="_Toc75258946">
        <w:r w:rsidRPr="001D17DE">
          <w:rPr>
            <w:rStyle w:val="Hyperlink"/>
            <w:noProof/>
          </w:rPr>
          <w:t>3.2.</w:t>
        </w:r>
        <w:r>
          <w:rPr>
            <w:rFonts w:asciiTheme="minorHAnsi" w:hAnsiTheme="minorHAnsi" w:cstheme="minorBidi"/>
            <w:noProof/>
            <w:sz w:val="22"/>
          </w:rPr>
          <w:tab/>
        </w:r>
        <w:r w:rsidRPr="001D17DE">
          <w:rPr>
            <w:rStyle w:val="Hyperlink"/>
            <w:noProof/>
          </w:rPr>
          <w:t>IOU Residential Customers</w:t>
        </w:r>
        <w:r>
          <w:rPr>
            <w:noProof/>
            <w:webHidden/>
          </w:rPr>
          <w:tab/>
        </w:r>
        <w:r>
          <w:rPr>
            <w:noProof/>
            <w:webHidden/>
          </w:rPr>
          <w:fldChar w:fldCharType="begin"/>
        </w:r>
        <w:r>
          <w:rPr>
            <w:noProof/>
            <w:webHidden/>
          </w:rPr>
          <w:instrText xml:space="preserve"> PAGEREF _Toc75258946 \h </w:instrText>
        </w:r>
        <w:r>
          <w:rPr>
            <w:noProof/>
            <w:webHidden/>
          </w:rPr>
        </w:r>
        <w:r>
          <w:rPr>
            <w:noProof/>
            <w:webHidden/>
          </w:rPr>
          <w:fldChar w:fldCharType="separate"/>
        </w:r>
        <w:r w:rsidR="003361BD">
          <w:rPr>
            <w:noProof/>
            <w:webHidden/>
          </w:rPr>
          <w:t>18</w:t>
        </w:r>
        <w:r>
          <w:rPr>
            <w:noProof/>
            <w:webHidden/>
          </w:rPr>
          <w:fldChar w:fldCharType="end"/>
        </w:r>
      </w:hyperlink>
    </w:p>
    <w:p w:rsidR="008E4BE6" w:rsidRDefault="008E4BE6" w14:paraId="6217224F" w14:textId="58283D61">
      <w:pPr>
        <w:pStyle w:val="TOC2"/>
        <w:tabs>
          <w:tab w:val="right" w:leader="dot" w:pos="9350"/>
        </w:tabs>
        <w:rPr>
          <w:rFonts w:asciiTheme="minorHAnsi" w:hAnsiTheme="minorHAnsi" w:cstheme="minorBidi"/>
          <w:noProof/>
          <w:sz w:val="22"/>
        </w:rPr>
      </w:pPr>
      <w:hyperlink w:history="1" w:anchor="_Toc75258947">
        <w:r w:rsidRPr="001D17DE">
          <w:rPr>
            <w:rStyle w:val="Hyperlink"/>
            <w:noProof/>
          </w:rPr>
          <w:t>3.3.</w:t>
        </w:r>
        <w:r>
          <w:rPr>
            <w:rFonts w:asciiTheme="minorHAnsi" w:hAnsiTheme="minorHAnsi" w:cstheme="minorBidi"/>
            <w:noProof/>
            <w:sz w:val="22"/>
          </w:rPr>
          <w:tab/>
        </w:r>
        <w:r w:rsidRPr="001D17DE">
          <w:rPr>
            <w:rStyle w:val="Hyperlink"/>
            <w:noProof/>
          </w:rPr>
          <w:t>Small Electric Residential Customers</w:t>
        </w:r>
        <w:r>
          <w:rPr>
            <w:noProof/>
            <w:webHidden/>
          </w:rPr>
          <w:tab/>
        </w:r>
        <w:r>
          <w:rPr>
            <w:noProof/>
            <w:webHidden/>
          </w:rPr>
          <w:fldChar w:fldCharType="begin"/>
        </w:r>
        <w:r>
          <w:rPr>
            <w:noProof/>
            <w:webHidden/>
          </w:rPr>
          <w:instrText xml:space="preserve"> PAGEREF _Toc75258947 \h </w:instrText>
        </w:r>
        <w:r>
          <w:rPr>
            <w:noProof/>
            <w:webHidden/>
          </w:rPr>
        </w:r>
        <w:r>
          <w:rPr>
            <w:noProof/>
            <w:webHidden/>
          </w:rPr>
          <w:fldChar w:fldCharType="separate"/>
        </w:r>
        <w:r w:rsidR="003361BD">
          <w:rPr>
            <w:noProof/>
            <w:webHidden/>
          </w:rPr>
          <w:t>26</w:t>
        </w:r>
        <w:r>
          <w:rPr>
            <w:noProof/>
            <w:webHidden/>
          </w:rPr>
          <w:fldChar w:fldCharType="end"/>
        </w:r>
      </w:hyperlink>
    </w:p>
    <w:p w:rsidR="008E4BE6" w:rsidRDefault="008E4BE6" w14:paraId="2C8C2331" w14:textId="776F093E">
      <w:pPr>
        <w:pStyle w:val="TOC2"/>
        <w:tabs>
          <w:tab w:val="right" w:leader="dot" w:pos="9350"/>
        </w:tabs>
        <w:rPr>
          <w:rFonts w:asciiTheme="minorHAnsi" w:hAnsiTheme="minorHAnsi" w:cstheme="minorBidi"/>
          <w:noProof/>
          <w:sz w:val="22"/>
        </w:rPr>
      </w:pPr>
      <w:hyperlink w:history="1" w:anchor="_Toc75258948">
        <w:r w:rsidRPr="001D17DE">
          <w:rPr>
            <w:rStyle w:val="Hyperlink"/>
            <w:noProof/>
          </w:rPr>
          <w:t>3.4.</w:t>
        </w:r>
        <w:r>
          <w:rPr>
            <w:rFonts w:asciiTheme="minorHAnsi" w:hAnsiTheme="minorHAnsi" w:cstheme="minorBidi"/>
            <w:noProof/>
            <w:sz w:val="22"/>
          </w:rPr>
          <w:tab/>
        </w:r>
        <w:r w:rsidRPr="001D17DE">
          <w:rPr>
            <w:rStyle w:val="Hyperlink"/>
            <w:noProof/>
          </w:rPr>
          <w:t>Southwest Gas Residential Customers</w:t>
        </w:r>
        <w:r>
          <w:rPr>
            <w:noProof/>
            <w:webHidden/>
          </w:rPr>
          <w:tab/>
        </w:r>
        <w:r>
          <w:rPr>
            <w:noProof/>
            <w:webHidden/>
          </w:rPr>
          <w:fldChar w:fldCharType="begin"/>
        </w:r>
        <w:r>
          <w:rPr>
            <w:noProof/>
            <w:webHidden/>
          </w:rPr>
          <w:instrText xml:space="preserve"> PAGEREF _Toc75258948 \h </w:instrText>
        </w:r>
        <w:r>
          <w:rPr>
            <w:noProof/>
            <w:webHidden/>
          </w:rPr>
        </w:r>
        <w:r>
          <w:rPr>
            <w:noProof/>
            <w:webHidden/>
          </w:rPr>
          <w:fldChar w:fldCharType="separate"/>
        </w:r>
        <w:r w:rsidR="003361BD">
          <w:rPr>
            <w:noProof/>
            <w:webHidden/>
          </w:rPr>
          <w:t>30</w:t>
        </w:r>
        <w:r>
          <w:rPr>
            <w:noProof/>
            <w:webHidden/>
          </w:rPr>
          <w:fldChar w:fldCharType="end"/>
        </w:r>
      </w:hyperlink>
    </w:p>
    <w:p w:rsidR="008E4BE6" w:rsidRDefault="008E4BE6" w14:paraId="172ED742" w14:textId="34451008">
      <w:pPr>
        <w:pStyle w:val="TOC2"/>
        <w:tabs>
          <w:tab w:val="right" w:leader="dot" w:pos="9350"/>
        </w:tabs>
        <w:rPr>
          <w:rFonts w:asciiTheme="minorHAnsi" w:hAnsiTheme="minorHAnsi" w:cstheme="minorBidi"/>
          <w:noProof/>
          <w:sz w:val="22"/>
        </w:rPr>
      </w:pPr>
      <w:hyperlink w:history="1" w:anchor="_Toc75258949">
        <w:r w:rsidRPr="001D17DE">
          <w:rPr>
            <w:rStyle w:val="Hyperlink"/>
            <w:noProof/>
          </w:rPr>
          <w:t>3.5.</w:t>
        </w:r>
        <w:r>
          <w:rPr>
            <w:rFonts w:asciiTheme="minorHAnsi" w:hAnsiTheme="minorHAnsi" w:cstheme="minorBidi"/>
            <w:noProof/>
            <w:sz w:val="22"/>
          </w:rPr>
          <w:tab/>
        </w:r>
        <w:r w:rsidRPr="001D17DE">
          <w:rPr>
            <w:rStyle w:val="Hyperlink"/>
            <w:noProof/>
          </w:rPr>
          <w:t>Partial Payment Allocations Between Arrearages and Current Bills and Between Community Choice Aggregators and Utilities</w:t>
        </w:r>
        <w:r>
          <w:rPr>
            <w:noProof/>
            <w:webHidden/>
          </w:rPr>
          <w:tab/>
        </w:r>
        <w:r>
          <w:rPr>
            <w:noProof/>
            <w:webHidden/>
          </w:rPr>
          <w:fldChar w:fldCharType="begin"/>
        </w:r>
        <w:r>
          <w:rPr>
            <w:noProof/>
            <w:webHidden/>
          </w:rPr>
          <w:instrText xml:space="preserve"> PAGEREF _Toc75258949 \h </w:instrText>
        </w:r>
        <w:r>
          <w:rPr>
            <w:noProof/>
            <w:webHidden/>
          </w:rPr>
        </w:r>
        <w:r>
          <w:rPr>
            <w:noProof/>
            <w:webHidden/>
          </w:rPr>
          <w:fldChar w:fldCharType="separate"/>
        </w:r>
        <w:r w:rsidR="003361BD">
          <w:rPr>
            <w:noProof/>
            <w:webHidden/>
          </w:rPr>
          <w:t>32</w:t>
        </w:r>
        <w:r>
          <w:rPr>
            <w:noProof/>
            <w:webHidden/>
          </w:rPr>
          <w:fldChar w:fldCharType="end"/>
        </w:r>
      </w:hyperlink>
    </w:p>
    <w:p w:rsidR="008E4BE6" w:rsidRDefault="008E4BE6" w14:paraId="7B04CB40" w14:textId="7918BF75">
      <w:pPr>
        <w:pStyle w:val="TOC1"/>
        <w:tabs>
          <w:tab w:val="right" w:leader="dot" w:pos="9350"/>
        </w:tabs>
        <w:rPr>
          <w:rFonts w:asciiTheme="minorHAnsi" w:hAnsiTheme="minorHAnsi" w:cstheme="minorBidi"/>
          <w:noProof/>
          <w:sz w:val="22"/>
        </w:rPr>
      </w:pPr>
      <w:hyperlink w:history="1" w:anchor="_Toc75258950">
        <w:r w:rsidRPr="001D17DE">
          <w:rPr>
            <w:rStyle w:val="Hyperlink"/>
            <w:noProof/>
          </w:rPr>
          <w:t>4.</w:t>
        </w:r>
        <w:r>
          <w:rPr>
            <w:rFonts w:asciiTheme="minorHAnsi" w:hAnsiTheme="minorHAnsi" w:cstheme="minorBidi"/>
            <w:noProof/>
            <w:sz w:val="22"/>
          </w:rPr>
          <w:tab/>
        </w:r>
        <w:r w:rsidRPr="001D17DE">
          <w:rPr>
            <w:rStyle w:val="Hyperlink"/>
            <w:noProof/>
          </w:rPr>
          <w:t>“COVID-19 Relief Payment Plans”  for Small Business Customers</w:t>
        </w:r>
        <w:r>
          <w:rPr>
            <w:noProof/>
            <w:webHidden/>
          </w:rPr>
          <w:tab/>
        </w:r>
        <w:r>
          <w:rPr>
            <w:noProof/>
            <w:webHidden/>
          </w:rPr>
          <w:fldChar w:fldCharType="begin"/>
        </w:r>
        <w:r>
          <w:rPr>
            <w:noProof/>
            <w:webHidden/>
          </w:rPr>
          <w:instrText xml:space="preserve"> PAGEREF _Toc75258950 \h </w:instrText>
        </w:r>
        <w:r>
          <w:rPr>
            <w:noProof/>
            <w:webHidden/>
          </w:rPr>
        </w:r>
        <w:r>
          <w:rPr>
            <w:noProof/>
            <w:webHidden/>
          </w:rPr>
          <w:fldChar w:fldCharType="separate"/>
        </w:r>
        <w:r w:rsidR="003361BD">
          <w:rPr>
            <w:noProof/>
            <w:webHidden/>
          </w:rPr>
          <w:t>33</w:t>
        </w:r>
        <w:r>
          <w:rPr>
            <w:noProof/>
            <w:webHidden/>
          </w:rPr>
          <w:fldChar w:fldCharType="end"/>
        </w:r>
      </w:hyperlink>
    </w:p>
    <w:p w:rsidR="008E4BE6" w:rsidRDefault="008E4BE6" w14:paraId="01F65302" w14:textId="555C6D78">
      <w:pPr>
        <w:pStyle w:val="TOC2"/>
        <w:tabs>
          <w:tab w:val="right" w:leader="dot" w:pos="9350"/>
        </w:tabs>
        <w:rPr>
          <w:rFonts w:asciiTheme="minorHAnsi" w:hAnsiTheme="minorHAnsi" w:cstheme="minorBidi"/>
          <w:noProof/>
          <w:sz w:val="22"/>
        </w:rPr>
      </w:pPr>
      <w:hyperlink w:history="1" w:anchor="_Toc75258951">
        <w:r w:rsidRPr="001D17DE">
          <w:rPr>
            <w:rStyle w:val="Hyperlink"/>
            <w:noProof/>
          </w:rPr>
          <w:t>4.1.</w:t>
        </w:r>
        <w:r>
          <w:rPr>
            <w:rFonts w:asciiTheme="minorHAnsi" w:hAnsiTheme="minorHAnsi" w:cstheme="minorBidi"/>
            <w:noProof/>
            <w:sz w:val="22"/>
          </w:rPr>
          <w:tab/>
        </w:r>
        <w:r w:rsidRPr="001D17DE">
          <w:rPr>
            <w:rStyle w:val="Hyperlink"/>
            <w:noProof/>
          </w:rPr>
          <w:t>Party Positions</w:t>
        </w:r>
        <w:r>
          <w:rPr>
            <w:noProof/>
            <w:webHidden/>
          </w:rPr>
          <w:tab/>
        </w:r>
        <w:r>
          <w:rPr>
            <w:noProof/>
            <w:webHidden/>
          </w:rPr>
          <w:fldChar w:fldCharType="begin"/>
        </w:r>
        <w:r>
          <w:rPr>
            <w:noProof/>
            <w:webHidden/>
          </w:rPr>
          <w:instrText xml:space="preserve"> PAGEREF _Toc75258951 \h </w:instrText>
        </w:r>
        <w:r>
          <w:rPr>
            <w:noProof/>
            <w:webHidden/>
          </w:rPr>
        </w:r>
        <w:r>
          <w:rPr>
            <w:noProof/>
            <w:webHidden/>
          </w:rPr>
          <w:fldChar w:fldCharType="separate"/>
        </w:r>
        <w:r w:rsidR="003361BD">
          <w:rPr>
            <w:noProof/>
            <w:webHidden/>
          </w:rPr>
          <w:t>34</w:t>
        </w:r>
        <w:r>
          <w:rPr>
            <w:noProof/>
            <w:webHidden/>
          </w:rPr>
          <w:fldChar w:fldCharType="end"/>
        </w:r>
      </w:hyperlink>
    </w:p>
    <w:p w:rsidR="008E4BE6" w:rsidRDefault="008E4BE6" w14:paraId="61DB37D6" w14:textId="1F4F7A9C">
      <w:pPr>
        <w:pStyle w:val="TOC2"/>
        <w:tabs>
          <w:tab w:val="right" w:leader="dot" w:pos="9350"/>
        </w:tabs>
        <w:rPr>
          <w:rFonts w:asciiTheme="minorHAnsi" w:hAnsiTheme="minorHAnsi" w:cstheme="minorBidi"/>
          <w:noProof/>
          <w:sz w:val="22"/>
        </w:rPr>
      </w:pPr>
      <w:hyperlink w:history="1" w:anchor="_Toc75258952">
        <w:r w:rsidRPr="001D17DE">
          <w:rPr>
            <w:rStyle w:val="Hyperlink"/>
            <w:noProof/>
          </w:rPr>
          <w:t>4.2.</w:t>
        </w:r>
        <w:r>
          <w:rPr>
            <w:rFonts w:asciiTheme="minorHAnsi" w:hAnsiTheme="minorHAnsi" w:cstheme="minorBidi"/>
            <w:noProof/>
            <w:sz w:val="22"/>
          </w:rPr>
          <w:tab/>
        </w:r>
        <w:r w:rsidRPr="001D17DE">
          <w:rPr>
            <w:rStyle w:val="Hyperlink"/>
            <w:noProof/>
          </w:rPr>
          <w:t>Discussion</w:t>
        </w:r>
        <w:r>
          <w:rPr>
            <w:noProof/>
            <w:webHidden/>
          </w:rPr>
          <w:tab/>
        </w:r>
        <w:r>
          <w:rPr>
            <w:noProof/>
            <w:webHidden/>
          </w:rPr>
          <w:fldChar w:fldCharType="begin"/>
        </w:r>
        <w:r>
          <w:rPr>
            <w:noProof/>
            <w:webHidden/>
          </w:rPr>
          <w:instrText xml:space="preserve"> PAGEREF _Toc75258952 \h </w:instrText>
        </w:r>
        <w:r>
          <w:rPr>
            <w:noProof/>
            <w:webHidden/>
          </w:rPr>
        </w:r>
        <w:r>
          <w:rPr>
            <w:noProof/>
            <w:webHidden/>
          </w:rPr>
          <w:fldChar w:fldCharType="separate"/>
        </w:r>
        <w:r w:rsidR="003361BD">
          <w:rPr>
            <w:noProof/>
            <w:webHidden/>
          </w:rPr>
          <w:t>36</w:t>
        </w:r>
        <w:r>
          <w:rPr>
            <w:noProof/>
            <w:webHidden/>
          </w:rPr>
          <w:fldChar w:fldCharType="end"/>
        </w:r>
      </w:hyperlink>
    </w:p>
    <w:p w:rsidR="008E4BE6" w:rsidRDefault="008E4BE6" w14:paraId="31F9EADB" w14:textId="1BCC63E6">
      <w:pPr>
        <w:pStyle w:val="TOC1"/>
        <w:tabs>
          <w:tab w:val="right" w:leader="dot" w:pos="9350"/>
        </w:tabs>
        <w:rPr>
          <w:rFonts w:asciiTheme="minorHAnsi" w:hAnsiTheme="minorHAnsi" w:cstheme="minorBidi"/>
          <w:noProof/>
          <w:sz w:val="22"/>
        </w:rPr>
      </w:pPr>
      <w:hyperlink w:history="1" w:anchor="_Toc75258953">
        <w:r w:rsidRPr="001D17DE">
          <w:rPr>
            <w:rStyle w:val="Hyperlink"/>
            <w:noProof/>
          </w:rPr>
          <w:t>5.</w:t>
        </w:r>
        <w:r>
          <w:rPr>
            <w:rFonts w:asciiTheme="minorHAnsi" w:hAnsiTheme="minorHAnsi" w:cstheme="minorBidi"/>
            <w:noProof/>
            <w:sz w:val="22"/>
          </w:rPr>
          <w:tab/>
        </w:r>
        <w:r w:rsidRPr="001D17DE">
          <w:rPr>
            <w:rStyle w:val="Hyperlink"/>
            <w:noProof/>
          </w:rPr>
          <w:t>Payment Plan Support Via More Robust  Community Based Organization Outreach</w:t>
        </w:r>
        <w:r>
          <w:rPr>
            <w:noProof/>
            <w:webHidden/>
          </w:rPr>
          <w:tab/>
        </w:r>
        <w:r>
          <w:rPr>
            <w:noProof/>
            <w:webHidden/>
          </w:rPr>
          <w:fldChar w:fldCharType="begin"/>
        </w:r>
        <w:r>
          <w:rPr>
            <w:noProof/>
            <w:webHidden/>
          </w:rPr>
          <w:instrText xml:space="preserve"> PAGEREF _Toc75258953 \h </w:instrText>
        </w:r>
        <w:r>
          <w:rPr>
            <w:noProof/>
            <w:webHidden/>
          </w:rPr>
        </w:r>
        <w:r>
          <w:rPr>
            <w:noProof/>
            <w:webHidden/>
          </w:rPr>
          <w:fldChar w:fldCharType="separate"/>
        </w:r>
        <w:r w:rsidR="003361BD">
          <w:rPr>
            <w:noProof/>
            <w:webHidden/>
          </w:rPr>
          <w:t>38</w:t>
        </w:r>
        <w:r>
          <w:rPr>
            <w:noProof/>
            <w:webHidden/>
          </w:rPr>
          <w:fldChar w:fldCharType="end"/>
        </w:r>
      </w:hyperlink>
    </w:p>
    <w:p w:rsidR="008E4BE6" w:rsidRDefault="008E4BE6" w14:paraId="5BB3A36E" w14:textId="1536CFA3">
      <w:pPr>
        <w:pStyle w:val="TOC2"/>
        <w:tabs>
          <w:tab w:val="right" w:leader="dot" w:pos="9350"/>
        </w:tabs>
        <w:rPr>
          <w:rFonts w:asciiTheme="minorHAnsi" w:hAnsiTheme="minorHAnsi" w:cstheme="minorBidi"/>
          <w:noProof/>
          <w:sz w:val="22"/>
        </w:rPr>
      </w:pPr>
      <w:hyperlink w:history="1" w:anchor="_Toc75258954">
        <w:r w:rsidRPr="001D17DE">
          <w:rPr>
            <w:rStyle w:val="Hyperlink"/>
            <w:noProof/>
          </w:rPr>
          <w:t>5.1.</w:t>
        </w:r>
        <w:r>
          <w:rPr>
            <w:rFonts w:asciiTheme="minorHAnsi" w:hAnsiTheme="minorHAnsi" w:cstheme="minorBidi"/>
            <w:noProof/>
            <w:sz w:val="22"/>
          </w:rPr>
          <w:tab/>
        </w:r>
        <w:r w:rsidRPr="001D17DE">
          <w:rPr>
            <w:rStyle w:val="Hyperlink"/>
            <w:noProof/>
          </w:rPr>
          <w:t>Party Positions</w:t>
        </w:r>
        <w:r>
          <w:rPr>
            <w:noProof/>
            <w:webHidden/>
          </w:rPr>
          <w:tab/>
        </w:r>
        <w:r>
          <w:rPr>
            <w:noProof/>
            <w:webHidden/>
          </w:rPr>
          <w:fldChar w:fldCharType="begin"/>
        </w:r>
        <w:r>
          <w:rPr>
            <w:noProof/>
            <w:webHidden/>
          </w:rPr>
          <w:instrText xml:space="preserve"> PAGEREF _Toc75258954 \h </w:instrText>
        </w:r>
        <w:r>
          <w:rPr>
            <w:noProof/>
            <w:webHidden/>
          </w:rPr>
        </w:r>
        <w:r>
          <w:rPr>
            <w:noProof/>
            <w:webHidden/>
          </w:rPr>
          <w:fldChar w:fldCharType="separate"/>
        </w:r>
        <w:r w:rsidR="003361BD">
          <w:rPr>
            <w:noProof/>
            <w:webHidden/>
          </w:rPr>
          <w:t>40</w:t>
        </w:r>
        <w:r>
          <w:rPr>
            <w:noProof/>
            <w:webHidden/>
          </w:rPr>
          <w:fldChar w:fldCharType="end"/>
        </w:r>
      </w:hyperlink>
    </w:p>
    <w:p w:rsidR="008E4BE6" w:rsidRDefault="008E4BE6" w14:paraId="1591A4EE" w14:textId="0A36DF5D">
      <w:pPr>
        <w:pStyle w:val="TOC2"/>
        <w:tabs>
          <w:tab w:val="right" w:leader="dot" w:pos="9350"/>
        </w:tabs>
        <w:rPr>
          <w:rFonts w:asciiTheme="minorHAnsi" w:hAnsiTheme="minorHAnsi" w:cstheme="minorBidi"/>
          <w:noProof/>
          <w:sz w:val="22"/>
        </w:rPr>
      </w:pPr>
      <w:hyperlink w:history="1" w:anchor="_Toc75258955">
        <w:r w:rsidRPr="001D17DE">
          <w:rPr>
            <w:rStyle w:val="Hyperlink"/>
            <w:noProof/>
          </w:rPr>
          <w:t>5.2.</w:t>
        </w:r>
        <w:r>
          <w:rPr>
            <w:rFonts w:asciiTheme="minorHAnsi" w:hAnsiTheme="minorHAnsi" w:cstheme="minorBidi"/>
            <w:noProof/>
            <w:sz w:val="22"/>
          </w:rPr>
          <w:tab/>
        </w:r>
        <w:r w:rsidRPr="001D17DE">
          <w:rPr>
            <w:rStyle w:val="Hyperlink"/>
            <w:noProof/>
          </w:rPr>
          <w:t>Residential Outreach Improvements</w:t>
        </w:r>
        <w:r>
          <w:rPr>
            <w:noProof/>
            <w:webHidden/>
          </w:rPr>
          <w:tab/>
        </w:r>
        <w:r>
          <w:rPr>
            <w:noProof/>
            <w:webHidden/>
          </w:rPr>
          <w:fldChar w:fldCharType="begin"/>
        </w:r>
        <w:r>
          <w:rPr>
            <w:noProof/>
            <w:webHidden/>
          </w:rPr>
          <w:instrText xml:space="preserve"> PAGEREF _Toc75258955 \h </w:instrText>
        </w:r>
        <w:r>
          <w:rPr>
            <w:noProof/>
            <w:webHidden/>
          </w:rPr>
        </w:r>
        <w:r>
          <w:rPr>
            <w:noProof/>
            <w:webHidden/>
          </w:rPr>
          <w:fldChar w:fldCharType="separate"/>
        </w:r>
        <w:r w:rsidR="003361BD">
          <w:rPr>
            <w:noProof/>
            <w:webHidden/>
          </w:rPr>
          <w:t>41</w:t>
        </w:r>
        <w:r>
          <w:rPr>
            <w:noProof/>
            <w:webHidden/>
          </w:rPr>
          <w:fldChar w:fldCharType="end"/>
        </w:r>
      </w:hyperlink>
    </w:p>
    <w:p w:rsidR="008E4BE6" w:rsidRDefault="008E4BE6" w14:paraId="0F70FC81" w14:textId="527A1552">
      <w:pPr>
        <w:pStyle w:val="TOC2"/>
        <w:tabs>
          <w:tab w:val="right" w:leader="dot" w:pos="9350"/>
        </w:tabs>
        <w:rPr>
          <w:rFonts w:asciiTheme="minorHAnsi" w:hAnsiTheme="minorHAnsi" w:cstheme="minorBidi"/>
          <w:noProof/>
          <w:sz w:val="22"/>
        </w:rPr>
      </w:pPr>
      <w:hyperlink w:history="1" w:anchor="_Toc75258956">
        <w:r w:rsidRPr="001D17DE">
          <w:rPr>
            <w:rStyle w:val="Hyperlink"/>
            <w:noProof/>
          </w:rPr>
          <w:t>5.3.</w:t>
        </w:r>
        <w:r>
          <w:rPr>
            <w:rFonts w:asciiTheme="minorHAnsi" w:hAnsiTheme="minorHAnsi" w:cstheme="minorBidi"/>
            <w:noProof/>
            <w:sz w:val="22"/>
          </w:rPr>
          <w:tab/>
        </w:r>
        <w:r w:rsidRPr="001D17DE">
          <w:rPr>
            <w:rStyle w:val="Hyperlink"/>
            <w:noProof/>
          </w:rPr>
          <w:t>Small Business Outreach Improvements</w:t>
        </w:r>
        <w:r>
          <w:rPr>
            <w:noProof/>
            <w:webHidden/>
          </w:rPr>
          <w:tab/>
        </w:r>
        <w:r>
          <w:rPr>
            <w:noProof/>
            <w:webHidden/>
          </w:rPr>
          <w:fldChar w:fldCharType="begin"/>
        </w:r>
        <w:r>
          <w:rPr>
            <w:noProof/>
            <w:webHidden/>
          </w:rPr>
          <w:instrText xml:space="preserve"> PAGEREF _Toc75258956 \h </w:instrText>
        </w:r>
        <w:r>
          <w:rPr>
            <w:noProof/>
            <w:webHidden/>
          </w:rPr>
        </w:r>
        <w:r>
          <w:rPr>
            <w:noProof/>
            <w:webHidden/>
          </w:rPr>
          <w:fldChar w:fldCharType="separate"/>
        </w:r>
        <w:r w:rsidR="003361BD">
          <w:rPr>
            <w:noProof/>
            <w:webHidden/>
          </w:rPr>
          <w:t>43</w:t>
        </w:r>
        <w:r>
          <w:rPr>
            <w:noProof/>
            <w:webHidden/>
          </w:rPr>
          <w:fldChar w:fldCharType="end"/>
        </w:r>
      </w:hyperlink>
    </w:p>
    <w:p w:rsidR="008E4BE6" w:rsidRDefault="008E4BE6" w14:paraId="7C93A39F" w14:textId="3BB4B318">
      <w:pPr>
        <w:pStyle w:val="TOC1"/>
        <w:tabs>
          <w:tab w:val="right" w:leader="dot" w:pos="9350"/>
        </w:tabs>
        <w:rPr>
          <w:rFonts w:asciiTheme="minorHAnsi" w:hAnsiTheme="minorHAnsi" w:cstheme="minorBidi"/>
          <w:noProof/>
          <w:sz w:val="22"/>
        </w:rPr>
      </w:pPr>
      <w:hyperlink w:history="1" w:anchor="_Toc75258957">
        <w:r w:rsidRPr="001D17DE">
          <w:rPr>
            <w:rStyle w:val="Hyperlink"/>
            <w:noProof/>
          </w:rPr>
          <w:t>6.</w:t>
        </w:r>
        <w:r>
          <w:rPr>
            <w:rFonts w:asciiTheme="minorHAnsi" w:hAnsiTheme="minorHAnsi" w:cstheme="minorBidi"/>
            <w:noProof/>
            <w:sz w:val="22"/>
          </w:rPr>
          <w:tab/>
        </w:r>
        <w:r w:rsidRPr="001D17DE">
          <w:rPr>
            <w:rStyle w:val="Hyperlink"/>
            <w:noProof/>
          </w:rPr>
          <w:t>Comments on Proposed Decision</w:t>
        </w:r>
        <w:r>
          <w:rPr>
            <w:noProof/>
            <w:webHidden/>
          </w:rPr>
          <w:tab/>
        </w:r>
        <w:r>
          <w:rPr>
            <w:noProof/>
            <w:webHidden/>
          </w:rPr>
          <w:fldChar w:fldCharType="begin"/>
        </w:r>
        <w:r>
          <w:rPr>
            <w:noProof/>
            <w:webHidden/>
          </w:rPr>
          <w:instrText xml:space="preserve"> PAGEREF _Toc75258957 \h </w:instrText>
        </w:r>
        <w:r>
          <w:rPr>
            <w:noProof/>
            <w:webHidden/>
          </w:rPr>
        </w:r>
        <w:r>
          <w:rPr>
            <w:noProof/>
            <w:webHidden/>
          </w:rPr>
          <w:fldChar w:fldCharType="separate"/>
        </w:r>
        <w:r w:rsidR="003361BD">
          <w:rPr>
            <w:noProof/>
            <w:webHidden/>
          </w:rPr>
          <w:t>43</w:t>
        </w:r>
        <w:r>
          <w:rPr>
            <w:noProof/>
            <w:webHidden/>
          </w:rPr>
          <w:fldChar w:fldCharType="end"/>
        </w:r>
      </w:hyperlink>
    </w:p>
    <w:p w:rsidR="008E4BE6" w:rsidRDefault="008E4BE6" w14:paraId="46F904E5" w14:textId="35828678">
      <w:pPr>
        <w:pStyle w:val="TOC1"/>
        <w:tabs>
          <w:tab w:val="right" w:leader="dot" w:pos="9350"/>
        </w:tabs>
        <w:rPr>
          <w:rFonts w:asciiTheme="minorHAnsi" w:hAnsiTheme="minorHAnsi" w:cstheme="minorBidi"/>
          <w:noProof/>
          <w:sz w:val="22"/>
        </w:rPr>
      </w:pPr>
      <w:hyperlink w:history="1" w:anchor="_Toc75258958">
        <w:r w:rsidRPr="001D17DE">
          <w:rPr>
            <w:rStyle w:val="Hyperlink"/>
            <w:noProof/>
          </w:rPr>
          <w:t>7.</w:t>
        </w:r>
        <w:r>
          <w:rPr>
            <w:rFonts w:asciiTheme="minorHAnsi" w:hAnsiTheme="minorHAnsi" w:cstheme="minorBidi"/>
            <w:noProof/>
            <w:sz w:val="22"/>
          </w:rPr>
          <w:tab/>
        </w:r>
        <w:r w:rsidRPr="001D17DE">
          <w:rPr>
            <w:rStyle w:val="Hyperlink"/>
            <w:noProof/>
          </w:rPr>
          <w:t>Assignment of Proceeding</w:t>
        </w:r>
        <w:r>
          <w:rPr>
            <w:noProof/>
            <w:webHidden/>
          </w:rPr>
          <w:tab/>
        </w:r>
        <w:r>
          <w:rPr>
            <w:noProof/>
            <w:webHidden/>
          </w:rPr>
          <w:fldChar w:fldCharType="begin"/>
        </w:r>
        <w:r>
          <w:rPr>
            <w:noProof/>
            <w:webHidden/>
          </w:rPr>
          <w:instrText xml:space="preserve"> PAGEREF _Toc75258958 \h </w:instrText>
        </w:r>
        <w:r>
          <w:rPr>
            <w:noProof/>
            <w:webHidden/>
          </w:rPr>
        </w:r>
        <w:r>
          <w:rPr>
            <w:noProof/>
            <w:webHidden/>
          </w:rPr>
          <w:fldChar w:fldCharType="separate"/>
        </w:r>
        <w:r w:rsidR="003361BD">
          <w:rPr>
            <w:noProof/>
            <w:webHidden/>
          </w:rPr>
          <w:t>44</w:t>
        </w:r>
        <w:r>
          <w:rPr>
            <w:noProof/>
            <w:webHidden/>
          </w:rPr>
          <w:fldChar w:fldCharType="end"/>
        </w:r>
      </w:hyperlink>
    </w:p>
    <w:p w:rsidR="008E4BE6" w:rsidRDefault="008E4BE6" w14:paraId="5A3DA207" w14:textId="62441769">
      <w:pPr>
        <w:pStyle w:val="TOC1"/>
        <w:tabs>
          <w:tab w:val="right" w:leader="dot" w:pos="9350"/>
        </w:tabs>
        <w:rPr>
          <w:rFonts w:asciiTheme="minorHAnsi" w:hAnsiTheme="minorHAnsi" w:cstheme="minorBidi"/>
          <w:noProof/>
          <w:sz w:val="22"/>
        </w:rPr>
      </w:pPr>
      <w:hyperlink w:history="1" w:anchor="_Toc75258959">
        <w:r w:rsidRPr="001D17DE">
          <w:rPr>
            <w:rStyle w:val="Hyperlink"/>
            <w:noProof/>
          </w:rPr>
          <w:t>Findings of Fact</w:t>
        </w:r>
        <w:r>
          <w:rPr>
            <w:noProof/>
            <w:webHidden/>
          </w:rPr>
          <w:tab/>
        </w:r>
        <w:r>
          <w:rPr>
            <w:noProof/>
            <w:webHidden/>
          </w:rPr>
          <w:fldChar w:fldCharType="begin"/>
        </w:r>
        <w:r>
          <w:rPr>
            <w:noProof/>
            <w:webHidden/>
          </w:rPr>
          <w:instrText xml:space="preserve"> PAGEREF _Toc75258959 \h </w:instrText>
        </w:r>
        <w:r>
          <w:rPr>
            <w:noProof/>
            <w:webHidden/>
          </w:rPr>
        </w:r>
        <w:r>
          <w:rPr>
            <w:noProof/>
            <w:webHidden/>
          </w:rPr>
          <w:fldChar w:fldCharType="separate"/>
        </w:r>
        <w:r w:rsidR="003361BD">
          <w:rPr>
            <w:noProof/>
            <w:webHidden/>
          </w:rPr>
          <w:t>44</w:t>
        </w:r>
        <w:r>
          <w:rPr>
            <w:noProof/>
            <w:webHidden/>
          </w:rPr>
          <w:fldChar w:fldCharType="end"/>
        </w:r>
      </w:hyperlink>
    </w:p>
    <w:p w:rsidR="008E4BE6" w:rsidRDefault="008E4BE6" w14:paraId="097DC269" w14:textId="49E4310B">
      <w:pPr>
        <w:pStyle w:val="TOC1"/>
        <w:tabs>
          <w:tab w:val="right" w:leader="dot" w:pos="9350"/>
        </w:tabs>
        <w:rPr>
          <w:rFonts w:asciiTheme="minorHAnsi" w:hAnsiTheme="minorHAnsi" w:cstheme="minorBidi"/>
          <w:noProof/>
          <w:sz w:val="22"/>
        </w:rPr>
      </w:pPr>
      <w:hyperlink w:history="1" w:anchor="_Toc75258960">
        <w:r w:rsidRPr="001D17DE">
          <w:rPr>
            <w:rStyle w:val="Hyperlink"/>
            <w:noProof/>
          </w:rPr>
          <w:t>Conclusions of Law</w:t>
        </w:r>
        <w:r>
          <w:rPr>
            <w:noProof/>
            <w:webHidden/>
          </w:rPr>
          <w:tab/>
        </w:r>
        <w:r>
          <w:rPr>
            <w:noProof/>
            <w:webHidden/>
          </w:rPr>
          <w:fldChar w:fldCharType="begin"/>
        </w:r>
        <w:r>
          <w:rPr>
            <w:noProof/>
            <w:webHidden/>
          </w:rPr>
          <w:instrText xml:space="preserve"> PAGEREF _Toc75258960 \h </w:instrText>
        </w:r>
        <w:r>
          <w:rPr>
            <w:noProof/>
            <w:webHidden/>
          </w:rPr>
        </w:r>
        <w:r>
          <w:rPr>
            <w:noProof/>
            <w:webHidden/>
          </w:rPr>
          <w:fldChar w:fldCharType="separate"/>
        </w:r>
        <w:r w:rsidR="003361BD">
          <w:rPr>
            <w:noProof/>
            <w:webHidden/>
          </w:rPr>
          <w:t>48</w:t>
        </w:r>
        <w:r>
          <w:rPr>
            <w:noProof/>
            <w:webHidden/>
          </w:rPr>
          <w:fldChar w:fldCharType="end"/>
        </w:r>
      </w:hyperlink>
    </w:p>
    <w:p w:rsidR="008E4BE6" w:rsidRDefault="008E4BE6" w14:paraId="3897DDC8" w14:textId="22F5B028">
      <w:pPr>
        <w:pStyle w:val="TOC1"/>
        <w:tabs>
          <w:tab w:val="right" w:leader="dot" w:pos="9350"/>
        </w:tabs>
        <w:rPr>
          <w:rFonts w:asciiTheme="minorHAnsi" w:hAnsiTheme="minorHAnsi" w:cstheme="minorBidi"/>
          <w:noProof/>
          <w:sz w:val="22"/>
        </w:rPr>
      </w:pPr>
      <w:hyperlink w:history="1" w:anchor="_Toc75258961">
        <w:r w:rsidRPr="001D17DE">
          <w:rPr>
            <w:rStyle w:val="Hyperlink"/>
            <w:noProof/>
          </w:rPr>
          <w:t>ORDER</w:t>
        </w:r>
        <w:r>
          <w:rPr>
            <w:noProof/>
            <w:webHidden/>
          </w:rPr>
          <w:tab/>
        </w:r>
        <w:r>
          <w:rPr>
            <w:noProof/>
            <w:webHidden/>
          </w:rPr>
          <w:fldChar w:fldCharType="begin"/>
        </w:r>
        <w:r>
          <w:rPr>
            <w:noProof/>
            <w:webHidden/>
          </w:rPr>
          <w:instrText xml:space="preserve"> PAGEREF _Toc75258961 \h </w:instrText>
        </w:r>
        <w:r>
          <w:rPr>
            <w:noProof/>
            <w:webHidden/>
          </w:rPr>
        </w:r>
        <w:r>
          <w:rPr>
            <w:noProof/>
            <w:webHidden/>
          </w:rPr>
          <w:fldChar w:fldCharType="separate"/>
        </w:r>
        <w:r w:rsidR="003361BD">
          <w:rPr>
            <w:noProof/>
            <w:webHidden/>
          </w:rPr>
          <w:t>50</w:t>
        </w:r>
        <w:r>
          <w:rPr>
            <w:noProof/>
            <w:webHidden/>
          </w:rPr>
          <w:fldChar w:fldCharType="end"/>
        </w:r>
      </w:hyperlink>
    </w:p>
    <w:p w:rsidR="00FD0EC2" w:rsidP="00FD0EC2" w:rsidRDefault="00482434" w14:paraId="388F25C8" w14:textId="11DFA98E">
      <w:pPr>
        <w:spacing w:line="240" w:lineRule="auto"/>
        <w:ind w:firstLine="0"/>
        <w:rPr>
          <w:rFonts w:cs="Arial"/>
          <w:b/>
          <w:bCs/>
          <w:szCs w:val="26"/>
        </w:rPr>
      </w:pPr>
      <w:r>
        <w:rPr>
          <w:rFonts w:cs="Arial"/>
          <w:b/>
          <w:bCs/>
          <w:szCs w:val="26"/>
        </w:rPr>
        <w:fldChar w:fldCharType="end"/>
      </w:r>
    </w:p>
    <w:p w:rsidR="00FA2B2D" w:rsidP="0092429A" w:rsidRDefault="00FA2B2D" w14:paraId="2A31B3C3" w14:textId="1D15C2D0">
      <w:pPr>
        <w:spacing w:line="240" w:lineRule="auto"/>
        <w:ind w:firstLine="0"/>
        <w:rPr>
          <w:b/>
          <w:bCs/>
        </w:rPr>
      </w:pPr>
      <w:r>
        <w:rPr>
          <w:rFonts w:cs="Arial"/>
          <w:b/>
          <w:bCs/>
          <w:szCs w:val="26"/>
        </w:rPr>
        <w:lastRenderedPageBreak/>
        <w:t>APPENDIX A -</w:t>
      </w:r>
      <w:r w:rsidRPr="00FA2B2D">
        <w:rPr>
          <w:b/>
          <w:bCs/>
        </w:rPr>
        <w:t xml:space="preserve"> </w:t>
      </w:r>
      <w:r w:rsidRPr="005925CE">
        <w:rPr>
          <w:b/>
          <w:bCs/>
        </w:rPr>
        <w:t xml:space="preserve">TERMS OF “COVID-19 </w:t>
      </w:r>
      <w:r>
        <w:rPr>
          <w:b/>
          <w:bCs/>
        </w:rPr>
        <w:t>R</w:t>
      </w:r>
      <w:r w:rsidRPr="005925CE">
        <w:rPr>
          <w:b/>
          <w:bCs/>
        </w:rPr>
        <w:t xml:space="preserve">esidential </w:t>
      </w:r>
      <w:r>
        <w:rPr>
          <w:b/>
          <w:bCs/>
        </w:rPr>
        <w:t>R</w:t>
      </w:r>
      <w:r w:rsidRPr="005925CE">
        <w:rPr>
          <w:b/>
          <w:bCs/>
        </w:rPr>
        <w:t xml:space="preserve">elief </w:t>
      </w:r>
      <w:r>
        <w:rPr>
          <w:b/>
          <w:bCs/>
        </w:rPr>
        <w:t>P</w:t>
      </w:r>
      <w:r w:rsidRPr="005925CE">
        <w:rPr>
          <w:b/>
          <w:bCs/>
        </w:rPr>
        <w:t xml:space="preserve">ayment </w:t>
      </w:r>
      <w:r>
        <w:rPr>
          <w:b/>
          <w:bCs/>
        </w:rPr>
        <w:t>P</w:t>
      </w:r>
      <w:r w:rsidRPr="005925CE">
        <w:rPr>
          <w:b/>
          <w:bCs/>
        </w:rPr>
        <w:t>lans”</w:t>
      </w:r>
      <w:r>
        <w:rPr>
          <w:rFonts w:cs="Arial"/>
          <w:b/>
          <w:bCs/>
          <w:szCs w:val="26"/>
        </w:rPr>
        <w:br/>
        <w:t xml:space="preserve">APPENDIX B - </w:t>
      </w:r>
      <w:r>
        <w:rPr>
          <w:b/>
          <w:bCs/>
        </w:rPr>
        <w:t>TERMS OF “Southwest Gas COVID-19 Residential Relief Payment Plans”</w:t>
      </w:r>
    </w:p>
    <w:p w:rsidR="00723C18" w:rsidP="005748C2" w:rsidRDefault="008B6843" w14:paraId="6A68000D" w14:textId="77777777">
      <w:pPr>
        <w:pStyle w:val="Dummy"/>
        <w:keepNext w:val="0"/>
        <w:keepLines w:val="0"/>
        <w:spacing w:after="240"/>
        <w:rPr>
          <w:rFonts w:ascii="Book Antiqua" w:hAnsi="Book Antiqua"/>
          <w:bCs/>
        </w:rPr>
      </w:pPr>
      <w:bookmarkStart w:name="_Toc75130168" w:id="0"/>
      <w:bookmarkStart w:name="_Toc75130517" w:id="1"/>
      <w:bookmarkStart w:name="_Toc75258727" w:id="2"/>
      <w:bookmarkStart w:name="_Toc75258932" w:id="3"/>
      <w:r w:rsidRPr="005748C2">
        <w:rPr>
          <w:rFonts w:ascii="Book Antiqua" w:hAnsi="Book Antiqua"/>
          <w:bCs/>
        </w:rPr>
        <w:t>APPENDIX C - TERMS OF “COVID-19 Small Business Relief Payment Plans</w:t>
      </w:r>
      <w:bookmarkEnd w:id="0"/>
      <w:bookmarkEnd w:id="1"/>
      <w:bookmarkEnd w:id="2"/>
      <w:bookmarkEnd w:id="3"/>
    </w:p>
    <w:p w:rsidRPr="005748C2" w:rsidR="00015275" w:rsidP="00015275" w:rsidRDefault="00015275" w14:paraId="32D6DBA0" w14:textId="7E8D2C63">
      <w:pPr>
        <w:pStyle w:val="Dummy"/>
        <w:keepNext w:val="0"/>
        <w:keepLines w:val="0"/>
        <w:spacing w:after="240"/>
        <w:rPr>
          <w:rFonts w:ascii="Book Antiqua" w:hAnsi="Book Antiqua"/>
          <w:bCs/>
        </w:rPr>
        <w:sectPr w:rsidRPr="005748C2" w:rsidR="00015275" w:rsidSect="000E6608">
          <w:headerReference w:type="default" r:id="rId12"/>
          <w:footerReference w:type="default" r:id="rId13"/>
          <w:headerReference w:type="first" r:id="rId14"/>
          <w:footerReference w:type="first" r:id="rId15"/>
          <w:pgSz w:w="12240" w:h="15840"/>
          <w:pgMar w:top="1728" w:right="1440" w:bottom="1440" w:left="1440" w:header="720" w:footer="720" w:gutter="0"/>
          <w:pgNumType w:fmt="lowerRoman" w:start="1"/>
          <w:cols w:space="720"/>
          <w:titlePg/>
          <w:docGrid w:linePitch="360"/>
        </w:sectPr>
      </w:pPr>
      <w:bookmarkStart w:name="_Toc75130169" w:id="4"/>
      <w:bookmarkStart w:name="_Toc75130518" w:id="5"/>
      <w:bookmarkStart w:name="_Toc75258728" w:id="6"/>
      <w:bookmarkStart w:name="_Toc75258933" w:id="7"/>
      <w:r w:rsidRPr="005748C2">
        <w:rPr>
          <w:rFonts w:ascii="Book Antiqua" w:hAnsi="Book Antiqua"/>
          <w:bCs/>
        </w:rPr>
        <w:t xml:space="preserve">APPENDIX </w:t>
      </w:r>
      <w:r>
        <w:rPr>
          <w:rFonts w:ascii="Book Antiqua" w:hAnsi="Book Antiqua"/>
          <w:bCs/>
        </w:rPr>
        <w:t>D</w:t>
      </w:r>
      <w:r w:rsidRPr="005748C2">
        <w:rPr>
          <w:rFonts w:ascii="Book Antiqua" w:hAnsi="Book Antiqua"/>
          <w:bCs/>
        </w:rPr>
        <w:t xml:space="preserve"> - TERMS OF “</w:t>
      </w:r>
      <w:r>
        <w:rPr>
          <w:rFonts w:ascii="Book Antiqua" w:hAnsi="Book Antiqua"/>
          <w:bCs/>
        </w:rPr>
        <w:t xml:space="preserve">Small Electric Utility </w:t>
      </w:r>
      <w:r w:rsidRPr="005748C2">
        <w:rPr>
          <w:rFonts w:ascii="Book Antiqua" w:hAnsi="Book Antiqua"/>
          <w:bCs/>
        </w:rPr>
        <w:t xml:space="preserve">COVID-19 </w:t>
      </w:r>
      <w:r>
        <w:rPr>
          <w:rFonts w:ascii="Book Antiqua" w:hAnsi="Book Antiqua"/>
          <w:bCs/>
        </w:rPr>
        <w:t xml:space="preserve">Residential </w:t>
      </w:r>
      <w:r w:rsidRPr="005748C2">
        <w:rPr>
          <w:rFonts w:ascii="Book Antiqua" w:hAnsi="Book Antiqua"/>
          <w:bCs/>
        </w:rPr>
        <w:t>Relief Payment Plans</w:t>
      </w:r>
      <w:bookmarkEnd w:id="4"/>
      <w:bookmarkEnd w:id="5"/>
      <w:bookmarkEnd w:id="6"/>
      <w:bookmarkEnd w:id="7"/>
    </w:p>
    <w:p w:rsidR="0098655A" w:rsidP="00723C18" w:rsidRDefault="006932E9" w14:paraId="1EE9E619" w14:textId="3151AE6D">
      <w:pPr>
        <w:pStyle w:val="Dummy"/>
        <w:keepNext w:val="0"/>
        <w:keepLines w:val="0"/>
        <w:spacing w:after="240"/>
        <w:jc w:val="center"/>
      </w:pPr>
      <w:bookmarkStart w:name="_Toc75130170" w:id="8"/>
      <w:bookmarkStart w:name="_Toc75130519" w:id="9"/>
      <w:bookmarkStart w:name="_Toc75258934" w:id="10"/>
      <w:r>
        <w:lastRenderedPageBreak/>
        <w:t>DECISION</w:t>
      </w:r>
      <w:r w:rsidR="0097121F">
        <w:t xml:space="preserve"> </w:t>
      </w:r>
      <w:r w:rsidR="002F6418">
        <w:t xml:space="preserve">ADDRESSING ENERGY UTILITY CUSTOMER BILL DEBT </w:t>
      </w:r>
      <w:r w:rsidR="006B3123">
        <w:br/>
      </w:r>
      <w:r w:rsidR="002F6418">
        <w:t xml:space="preserve">VIA </w:t>
      </w:r>
      <w:r w:rsidR="0097121F">
        <w:t xml:space="preserve">AUTOMATIC </w:t>
      </w:r>
      <w:r w:rsidR="00172BE1">
        <w:t>ENROLLMENT IN LONG-TERM PAYMENT PLANS</w:t>
      </w:r>
      <w:bookmarkEnd w:id="8"/>
      <w:bookmarkEnd w:id="9"/>
      <w:bookmarkEnd w:id="10"/>
    </w:p>
    <w:p w:rsidR="005A148C" w:rsidP="005A148C" w:rsidRDefault="005A148C" w14:paraId="0E2D1877" w14:textId="77777777">
      <w:pPr>
        <w:pStyle w:val="Dummy"/>
      </w:pPr>
      <w:bookmarkStart w:name="_Toc8123714" w:id="11"/>
      <w:bookmarkStart w:name="_Toc12866683" w:id="12"/>
      <w:bookmarkStart w:name="_Toc75258935" w:id="13"/>
      <w:r>
        <w:t>Summary</w:t>
      </w:r>
      <w:bookmarkEnd w:id="11"/>
      <w:bookmarkEnd w:id="12"/>
      <w:bookmarkEnd w:id="13"/>
    </w:p>
    <w:p w:rsidR="00E8394A" w:rsidP="006E6574" w:rsidRDefault="005A148C" w14:paraId="1BE08857" w14:textId="1548947C">
      <w:pPr>
        <w:pStyle w:val="Standard"/>
      </w:pPr>
      <w:r>
        <w:t>T</w:t>
      </w:r>
      <w:r w:rsidR="00FC7CD4">
        <w:t xml:space="preserve">oday’s decision </w:t>
      </w:r>
      <w:r w:rsidR="0082379C">
        <w:t>suspends disconnection</w:t>
      </w:r>
      <w:r w:rsidR="00636CCE">
        <w:t xml:space="preserve">s </w:t>
      </w:r>
      <w:r w:rsidR="0082379C">
        <w:t xml:space="preserve">for three </w:t>
      </w:r>
      <w:r w:rsidR="009035A6">
        <w:t xml:space="preserve">more </w:t>
      </w:r>
      <w:r w:rsidR="0082379C">
        <w:t>months</w:t>
      </w:r>
      <w:r w:rsidR="00636CCE">
        <w:t xml:space="preserve">, </w:t>
      </w:r>
      <w:r w:rsidR="009035A6">
        <w:t>giving</w:t>
      </w:r>
      <w:r w:rsidR="00FC7CD4">
        <w:t xml:space="preserve"> energy utilities </w:t>
      </w:r>
      <w:r w:rsidR="00636CCE">
        <w:t>enough</w:t>
      </w:r>
      <w:r w:rsidR="0082379C">
        <w:t xml:space="preserve"> time to </w:t>
      </w:r>
      <w:r w:rsidR="005702F5">
        <w:t>enroll and notify</w:t>
      </w:r>
      <w:r w:rsidR="00EB2363">
        <w:t xml:space="preserve"> </w:t>
      </w:r>
      <w:r w:rsidR="00FC7CD4">
        <w:t xml:space="preserve">residential customers </w:t>
      </w:r>
      <w:r w:rsidR="005702F5">
        <w:t xml:space="preserve">that, should they need it, they have </w:t>
      </w:r>
      <w:r w:rsidR="00FC7CD4">
        <w:t xml:space="preserve">two years over which to pay off </w:t>
      </w:r>
      <w:r w:rsidR="00594CB9">
        <w:t>energy bill debt</w:t>
      </w:r>
      <w:r w:rsidR="00E251F2">
        <w:t>.</w:t>
      </w:r>
      <w:r w:rsidR="00B75281">
        <w:t xml:space="preserve"> </w:t>
      </w:r>
      <w:r w:rsidR="00FC7CD4">
        <w:t xml:space="preserve"> We allow the Small and Multi-Jurisdictional e</w:t>
      </w:r>
      <w:r w:rsidR="00786FA6">
        <w:t>lectric</w:t>
      </w:r>
      <w:r w:rsidR="00FC7CD4">
        <w:t xml:space="preserve"> utilities to choose </w:t>
      </w:r>
      <w:r w:rsidR="00E77B7E">
        <w:t>a shorter amortization term of twelve months, and</w:t>
      </w:r>
      <w:r w:rsidR="00FC7CD4">
        <w:t xml:space="preserve"> Southwest Gas </w:t>
      </w:r>
      <w:r w:rsidR="00E77B7E">
        <w:t xml:space="preserve">to continue the automatic payment plans they already implemented, </w:t>
      </w:r>
      <w:r w:rsidR="00206146">
        <w:t>with</w:t>
      </w:r>
      <w:r w:rsidR="00E77B7E">
        <w:t xml:space="preserve"> eight</w:t>
      </w:r>
      <w:r w:rsidR="00EB2363">
        <w:t>-</w:t>
      </w:r>
      <w:r w:rsidR="00E77B7E">
        <w:t>month terms.</w:t>
      </w:r>
    </w:p>
    <w:p w:rsidR="000F0BA9" w:rsidP="006E6574" w:rsidRDefault="00E8394A" w14:paraId="41BF030F" w14:textId="3E7AEEA1">
      <w:pPr>
        <w:pStyle w:val="Standard"/>
      </w:pPr>
      <w:r>
        <w:t xml:space="preserve">This decision requires similar </w:t>
      </w:r>
      <w:r w:rsidR="00B873A1">
        <w:t xml:space="preserve">provisional </w:t>
      </w:r>
      <w:r>
        <w:t xml:space="preserve">relief for </w:t>
      </w:r>
      <w:r w:rsidR="001879F0">
        <w:t>Small Business</w:t>
      </w:r>
      <w:r w:rsidR="00FC7CD4">
        <w:t xml:space="preserve"> customers, </w:t>
      </w:r>
      <w:r w:rsidR="00624F48">
        <w:t xml:space="preserve">suspending disconnections until Small Business customers with energy bill debt are default enrolled into payment plans </w:t>
      </w:r>
      <w:r>
        <w:t xml:space="preserve">tailored to the </w:t>
      </w:r>
      <w:r w:rsidR="001879F0">
        <w:t>Small Business</w:t>
      </w:r>
      <w:r>
        <w:t xml:space="preserve"> customer’s </w:t>
      </w:r>
      <w:r w:rsidR="00624F48">
        <w:t xml:space="preserve">amount of </w:t>
      </w:r>
      <w:r>
        <w:t>debt and ability to recover from the COVID-19 crisis.</w:t>
      </w:r>
      <w:r w:rsidR="00B75281">
        <w:t xml:space="preserve"> </w:t>
      </w:r>
      <w:r>
        <w:t xml:space="preserve"> W</w:t>
      </w:r>
      <w:r w:rsidR="00FC7CD4">
        <w:t>e direct all energy utilities</w:t>
      </w:r>
      <w:r w:rsidR="00750EF6">
        <w:t>,</w:t>
      </w:r>
      <w:r w:rsidR="00FC7CD4">
        <w:t xml:space="preserve"> large or small</w:t>
      </w:r>
      <w:r w:rsidR="00750EF6">
        <w:t>,</w:t>
      </w:r>
      <w:r w:rsidR="00FC7CD4">
        <w:t xml:space="preserve"> to </w:t>
      </w:r>
      <w:r w:rsidR="00E54760">
        <w:t xml:space="preserve">automatically </w:t>
      </w:r>
      <w:r w:rsidR="007A38B0">
        <w:t xml:space="preserve">enroll </w:t>
      </w:r>
      <w:r w:rsidR="003C0848">
        <w:t xml:space="preserve">their </w:t>
      </w:r>
      <w:r w:rsidR="00CA109A">
        <w:t>S</w:t>
      </w:r>
      <w:r w:rsidR="003C0848">
        <w:t xml:space="preserve">mall </w:t>
      </w:r>
      <w:r w:rsidR="00CA109A">
        <w:t>B</w:t>
      </w:r>
      <w:r w:rsidR="003C0848">
        <w:t>usiness customers</w:t>
      </w:r>
      <w:r w:rsidR="007A38B0">
        <w:t xml:space="preserve"> in plans with </w:t>
      </w:r>
      <w:r w:rsidR="00E54760">
        <w:t xml:space="preserve">payoff terms long enough </w:t>
      </w:r>
      <w:r w:rsidR="00C430AD">
        <w:t>so that</w:t>
      </w:r>
      <w:r w:rsidR="00E54760">
        <w:t xml:space="preserve"> </w:t>
      </w:r>
      <w:r w:rsidR="00C430AD">
        <w:t>the debt payments a</w:t>
      </w:r>
      <w:r w:rsidR="005702F5">
        <w:t>dd</w:t>
      </w:r>
      <w:r w:rsidR="00C430AD">
        <w:t xml:space="preserve"> no </w:t>
      </w:r>
      <w:r w:rsidR="00E54760">
        <w:t>more than 10</w:t>
      </w:r>
      <w:r w:rsidR="00EB1D87">
        <w:t xml:space="preserve"> percent</w:t>
      </w:r>
      <w:r w:rsidR="00E54760">
        <w:t xml:space="preserve"> </w:t>
      </w:r>
      <w:r w:rsidR="005702F5">
        <w:t>to</w:t>
      </w:r>
      <w:r w:rsidR="00C430AD">
        <w:t xml:space="preserve"> th</w:t>
      </w:r>
      <w:r w:rsidR="00C96F67">
        <w:t>eir</w:t>
      </w:r>
      <w:r w:rsidR="00E54760">
        <w:t xml:space="preserve"> </w:t>
      </w:r>
      <w:r w:rsidR="005702F5">
        <w:t>typical</w:t>
      </w:r>
      <w:r w:rsidR="00731DC0">
        <w:t xml:space="preserve"> </w:t>
      </w:r>
      <w:r w:rsidR="00E54760">
        <w:t xml:space="preserve">bill, or </w:t>
      </w:r>
      <w:r w:rsidR="00C430AD">
        <w:t xml:space="preserve">for </w:t>
      </w:r>
      <w:r w:rsidR="00CA109A">
        <w:t>S</w:t>
      </w:r>
      <w:r w:rsidR="00E54760">
        <w:t xml:space="preserve">mall </w:t>
      </w:r>
      <w:r w:rsidR="00CA109A">
        <w:t>B</w:t>
      </w:r>
      <w:r w:rsidR="00E54760">
        <w:t xml:space="preserve">usiness customers </w:t>
      </w:r>
      <w:r w:rsidR="000C2DDD">
        <w:t>located in</w:t>
      </w:r>
      <w:r w:rsidR="00E54760">
        <w:t xml:space="preserve"> disadvantaged communities</w:t>
      </w:r>
      <w:r w:rsidR="00C430AD">
        <w:t>, no more than 5</w:t>
      </w:r>
      <w:r w:rsidR="00EB1D87">
        <w:t xml:space="preserve"> percent</w:t>
      </w:r>
      <w:r w:rsidR="00C430AD">
        <w:t xml:space="preserve"> </w:t>
      </w:r>
      <w:r w:rsidR="005702F5">
        <w:t>to</w:t>
      </w:r>
      <w:r w:rsidR="00C430AD">
        <w:t xml:space="preserve"> th</w:t>
      </w:r>
      <w:r w:rsidR="00C96F67">
        <w:t>eir</w:t>
      </w:r>
      <w:r w:rsidR="00C430AD">
        <w:t xml:space="preserve"> </w:t>
      </w:r>
      <w:r w:rsidR="00602FC0">
        <w:t>typical</w:t>
      </w:r>
      <w:r w:rsidR="00C430AD">
        <w:t xml:space="preserve"> bill.</w:t>
      </w:r>
    </w:p>
    <w:p w:rsidR="006073E6" w:rsidP="006E6574" w:rsidRDefault="00EB23CB" w14:paraId="3A98D1BC" w14:textId="45EB8D47">
      <w:pPr>
        <w:pStyle w:val="Standard"/>
      </w:pPr>
      <w:r>
        <w:t>T</w:t>
      </w:r>
      <w:r w:rsidR="00227A26">
        <w:t xml:space="preserve">oday’s disconnection suspension coupled with </w:t>
      </w:r>
      <w:r w:rsidR="000F0BA9">
        <w:t xml:space="preserve">mandatory, automatic amortizations of debt will </w:t>
      </w:r>
      <w:r w:rsidR="00ED5397">
        <w:t>relieve customers of the threat of disconnection</w:t>
      </w:r>
      <w:r w:rsidR="000F0BA9">
        <w:t xml:space="preserve"> </w:t>
      </w:r>
      <w:r w:rsidR="00A25A26">
        <w:t>and put</w:t>
      </w:r>
      <w:r w:rsidR="00227A26">
        <w:t xml:space="preserve"> </w:t>
      </w:r>
      <w:r w:rsidR="00A25A26">
        <w:t xml:space="preserve">them on a path toward solvency. </w:t>
      </w:r>
      <w:r w:rsidR="00B75281">
        <w:t xml:space="preserve"> </w:t>
      </w:r>
      <w:r w:rsidR="005702F5">
        <w:t>The</w:t>
      </w:r>
      <w:r w:rsidR="00126E50">
        <w:t xml:space="preserve"> next phase of this proceeding </w:t>
      </w:r>
      <w:r w:rsidR="005702F5">
        <w:t xml:space="preserve">will track by how </w:t>
      </w:r>
      <w:r w:rsidR="001419C6">
        <w:t xml:space="preserve">much </w:t>
      </w:r>
      <w:r w:rsidR="005702F5">
        <w:t xml:space="preserve">state funding for utility bill relief shrinks the debt </w:t>
      </w:r>
      <w:r w:rsidR="001419C6">
        <w:t xml:space="preserve">covered </w:t>
      </w:r>
      <w:r w:rsidR="005702F5">
        <w:t>in the payment plans</w:t>
      </w:r>
      <w:r w:rsidR="001419C6">
        <w:t>, and for wh</w:t>
      </w:r>
      <w:r w:rsidR="00227A26">
        <w:t>om</w:t>
      </w:r>
      <w:r w:rsidR="00126E50">
        <w:t xml:space="preserve">. </w:t>
      </w:r>
      <w:r w:rsidR="00BC5965">
        <w:t>To address the mixed record of payment plan success, we pair payment plans with intensive follow-up efforts by Community Based Organizations (CBOs</w:t>
      </w:r>
      <w:r w:rsidR="00C96F67">
        <w:t>)</w:t>
      </w:r>
      <w:r w:rsidR="002967F2">
        <w:t xml:space="preserve"> to residential customers, and intensive follow-up efforts </w:t>
      </w:r>
      <w:r w:rsidR="001419C6">
        <w:t>by utilities to Small Business customers deepest in debt</w:t>
      </w:r>
      <w:r w:rsidR="008F2CD0">
        <w:t>.</w:t>
      </w:r>
      <w:r w:rsidR="00B75281">
        <w:t xml:space="preserve"> </w:t>
      </w:r>
      <w:r w:rsidR="00BC5965">
        <w:t xml:space="preserve">As a first step </w:t>
      </w:r>
      <w:r w:rsidR="00BC5965">
        <w:lastRenderedPageBreak/>
        <w:t>toward this enhancement,</w:t>
      </w:r>
      <w:r w:rsidR="006073E6">
        <w:t xml:space="preserve"> we order the energy utilities to begin documenting their partnerships with </w:t>
      </w:r>
      <w:r w:rsidR="00947E2E">
        <w:t xml:space="preserve">CBOs </w:t>
      </w:r>
      <w:r w:rsidR="006073E6">
        <w:t>as a means of helping the hardest-to-reach customers navigate these important relief programs.</w:t>
      </w:r>
    </w:p>
    <w:p w:rsidR="0073353F" w:rsidP="006073E6" w:rsidRDefault="0073353F" w14:paraId="0B72E714" w14:textId="49FE8B72">
      <w:pPr>
        <w:pStyle w:val="Standard"/>
      </w:pPr>
      <w:r>
        <w:t>Th</w:t>
      </w:r>
      <w:r w:rsidR="00EE6316">
        <w:t>is proceeding remains open</w:t>
      </w:r>
      <w:r>
        <w:t>.</w:t>
      </w:r>
    </w:p>
    <w:p w:rsidRPr="00121089" w:rsidR="005A148C" w:rsidP="00A55ACD" w:rsidRDefault="002C7FE9" w14:paraId="5217AB27" w14:textId="77777777">
      <w:pPr>
        <w:pStyle w:val="Heading1"/>
        <w:numPr>
          <w:ilvl w:val="0"/>
          <w:numId w:val="1"/>
        </w:numPr>
      </w:pPr>
      <w:bookmarkStart w:name="_Toc8123715" w:id="14"/>
      <w:bookmarkStart w:name="_Toc12866684" w:id="15"/>
      <w:bookmarkStart w:name="_Toc75258936" w:id="16"/>
      <w:r w:rsidRPr="00121089">
        <w:t>Background</w:t>
      </w:r>
      <w:bookmarkEnd w:id="14"/>
      <w:bookmarkEnd w:id="15"/>
      <w:bookmarkEnd w:id="16"/>
    </w:p>
    <w:p w:rsidR="00137055" w:rsidP="008A4CF5" w:rsidRDefault="00642780" w14:paraId="4BBAF4DC" w14:textId="3391F1E4">
      <w:pPr>
        <w:pStyle w:val="Standard"/>
        <w:ind w:firstLine="360"/>
      </w:pPr>
      <w:r>
        <w:t>On</w:t>
      </w:r>
      <w:r w:rsidR="00566A42">
        <w:t xml:space="preserve"> February 11, 2021, the </w:t>
      </w:r>
      <w:r w:rsidR="006B1427">
        <w:t xml:space="preserve">California Public Utilities </w:t>
      </w:r>
      <w:r w:rsidRPr="00D10A85" w:rsidR="00566A42">
        <w:t>Commission</w:t>
      </w:r>
      <w:r w:rsidR="00566A42">
        <w:t xml:space="preserve"> </w:t>
      </w:r>
      <w:r w:rsidR="006B1427">
        <w:t>(</w:t>
      </w:r>
      <w:r w:rsidR="00827DDE">
        <w:t>Commission</w:t>
      </w:r>
      <w:r w:rsidR="006B1427">
        <w:t xml:space="preserve"> or CPUC) </w:t>
      </w:r>
      <w:r w:rsidR="00566A42">
        <w:t>adopted th</w:t>
      </w:r>
      <w:r>
        <w:t>is</w:t>
      </w:r>
      <w:r w:rsidR="00566A42">
        <w:t xml:space="preserve"> </w:t>
      </w:r>
      <w:r w:rsidR="00566A42">
        <w:rPr>
          <w:i/>
          <w:iCs/>
        </w:rPr>
        <w:t>Order</w:t>
      </w:r>
      <w:r w:rsidRPr="00064DD9" w:rsidR="00566A42">
        <w:rPr>
          <w:i/>
          <w:iCs/>
        </w:rPr>
        <w:t xml:space="preserve"> Instituting Rulemaking</w:t>
      </w:r>
      <w:r w:rsidR="00B75281">
        <w:rPr>
          <w:i/>
          <w:iCs/>
        </w:rPr>
        <w:t xml:space="preserve"> </w:t>
      </w:r>
      <w:r w:rsidR="00B75281">
        <w:t>(OIR)</w:t>
      </w:r>
      <w:r w:rsidRPr="00064DD9" w:rsidR="00566A42">
        <w:rPr>
          <w:i/>
          <w:iCs/>
        </w:rPr>
        <w:t xml:space="preserve"> to Address Energy Utility Customer Bill Debt Accumulated During the COVID-19 Pandemic</w:t>
      </w:r>
      <w:r w:rsidR="00B75281">
        <w:rPr>
          <w:i/>
          <w:iCs/>
        </w:rPr>
        <w:t xml:space="preserve">. </w:t>
      </w:r>
      <w:r w:rsidR="00566A42">
        <w:t xml:space="preserve"> </w:t>
      </w:r>
      <w:r w:rsidR="00137055">
        <w:t>The OIR included two examples of relief mechanisms to spark discussion.</w:t>
      </w:r>
      <w:r w:rsidR="00B75281">
        <w:t xml:space="preserve"> </w:t>
      </w:r>
      <w:r w:rsidR="00137055">
        <w:t xml:space="preserve"> Straw Proposal A was a combination of one-time financial relief ($200) for all customers in arrears, with additional ongoing assistance to address any remaining debt not covered by the one-time financial relief. </w:t>
      </w:r>
      <w:r w:rsidR="00B75281">
        <w:t xml:space="preserve"> </w:t>
      </w:r>
      <w:r w:rsidR="00137055">
        <w:t>Straw Proposal B was similar to the relief we order today, allowing customers two</w:t>
      </w:r>
      <w:r w:rsidR="00B75281">
        <w:t> </w:t>
      </w:r>
      <w:r w:rsidR="00137055">
        <w:t xml:space="preserve">years over which to pay their accumulated bill debt.  </w:t>
      </w:r>
    </w:p>
    <w:p w:rsidR="00D10505" w:rsidP="008A0E2C" w:rsidRDefault="00642780" w14:paraId="368394EC" w14:textId="69906417">
      <w:pPr>
        <w:pStyle w:val="Standard"/>
      </w:pPr>
      <w:r>
        <w:t xml:space="preserve">As documented in the OIR, California, the Commission, and Commission-regulated energy utilities </w:t>
      </w:r>
      <w:r w:rsidR="00D33E8C">
        <w:t>continue to</w:t>
      </w:r>
      <w:r>
        <w:t xml:space="preserve"> respond and support utility customers </w:t>
      </w:r>
      <w:r w:rsidR="008D7BC8">
        <w:t xml:space="preserve">in dealing with the consequences of </w:t>
      </w:r>
      <w:r>
        <w:t xml:space="preserve">the COVID-19 pandemic </w:t>
      </w:r>
      <w:r w:rsidR="008D7BC8">
        <w:t>on their utility services and bills</w:t>
      </w:r>
      <w:r>
        <w:t xml:space="preserve">. </w:t>
      </w:r>
      <w:r w:rsidR="008A0E2C">
        <w:t xml:space="preserve"> </w:t>
      </w:r>
      <w:r w:rsidRPr="00D10A85">
        <w:t>I</w:t>
      </w:r>
      <w:r>
        <w:t>n particular</w:t>
      </w:r>
      <w:r w:rsidR="00C07177">
        <w:t>,</w:t>
      </w:r>
      <w:r>
        <w:t xml:space="preserve"> we highlight the Commission’s Resolution M</w:t>
      </w:r>
      <w:r w:rsidR="008A0E2C">
        <w:noBreakHyphen/>
      </w:r>
      <w:r>
        <w:t xml:space="preserve">4842, initiating the </w:t>
      </w:r>
      <w:r w:rsidRPr="00D10A85">
        <w:t>disconnection moratorium</w:t>
      </w:r>
      <w:r>
        <w:t xml:space="preserve"> and</w:t>
      </w:r>
      <w:r w:rsidRPr="00D10A85">
        <w:t xml:space="preserve"> </w:t>
      </w:r>
      <w:r w:rsidRPr="000D7EB0">
        <w:t>Resolution M-4849</w:t>
      </w:r>
      <w:r>
        <w:t>, extending the disconnection moratorium until June 30, 2021.</w:t>
      </w:r>
      <w:r w:rsidR="00430162">
        <w:rPr>
          <w:rStyle w:val="FootnoteReference"/>
        </w:rPr>
        <w:footnoteReference w:id="2"/>
      </w:r>
      <w:r>
        <w:t xml:space="preserve"> </w:t>
      </w:r>
      <w:r w:rsidR="001F49CD">
        <w:t xml:space="preserve"> </w:t>
      </w:r>
      <w:r w:rsidR="00D10505">
        <w:t>Pursuant to Resolution M-4849, a</w:t>
      </w:r>
      <w:r w:rsidR="007F2967">
        <w:t>ll</w:t>
      </w:r>
      <w:r w:rsidR="00566A42">
        <w:t xml:space="preserve"> CPUC-jurisdictional electric and gas investor-owned utilities</w:t>
      </w:r>
      <w:r w:rsidR="007F2967">
        <w:t xml:space="preserve"> </w:t>
      </w:r>
      <w:r w:rsidR="00D10505">
        <w:t>filed Transition Plans on April 1, 2021 in which they propose timelines for the resumption of credit and collections activity after June 30, 2021.</w:t>
      </w:r>
      <w:r w:rsidR="007F2967">
        <w:t xml:space="preserve"> </w:t>
      </w:r>
    </w:p>
    <w:p w:rsidR="00566A42" w:rsidP="00D10505" w:rsidRDefault="00D10505" w14:paraId="2C04B677" w14:textId="00F979B2">
      <w:pPr>
        <w:pStyle w:val="Standard"/>
      </w:pPr>
      <w:r>
        <w:lastRenderedPageBreak/>
        <w:t>The same CPUC-jurisdictional electric and gas investor-owned utilities are respondents</w:t>
      </w:r>
      <w:r w:rsidR="007F2967">
        <w:t xml:space="preserve"> </w:t>
      </w:r>
      <w:r w:rsidR="00B056F2">
        <w:t>in</w:t>
      </w:r>
      <w:r w:rsidR="007F2967">
        <w:t xml:space="preserve"> this proceeding</w:t>
      </w:r>
      <w:r w:rsidR="00B056F2">
        <w:t>:</w:t>
      </w:r>
      <w:r w:rsidR="00566A42">
        <w:t xml:space="preserve"> Pacific Gas and Electric Company (PG&amp;E), San</w:t>
      </w:r>
      <w:r w:rsidR="001F49CD">
        <w:t> </w:t>
      </w:r>
      <w:r w:rsidR="00566A42">
        <w:t xml:space="preserve">Diego Gas &amp; Electric Company (SDG&amp;E), Southern California Edison Company (SCE), and Southern California Gas Company (SoCalGas) (Large Investor Owned Utilities or IOUs), </w:t>
      </w:r>
      <w:r w:rsidRPr="575E767E" w:rsidR="00566A42">
        <w:rPr>
          <w:rFonts w:eastAsia="Book Antiqua" w:cs="Book Antiqua"/>
        </w:rPr>
        <w:t>PacifiCorp, Liberty Utilities (Cal</w:t>
      </w:r>
      <w:r w:rsidR="00566A42">
        <w:rPr>
          <w:rFonts w:eastAsia="Book Antiqua" w:cs="Book Antiqua"/>
        </w:rPr>
        <w:t>Peco</w:t>
      </w:r>
      <w:r w:rsidRPr="575E767E" w:rsidR="00566A42">
        <w:rPr>
          <w:rFonts w:eastAsia="Book Antiqua" w:cs="Book Antiqua"/>
        </w:rPr>
        <w:t xml:space="preserve"> Electric) LLC, Bear Valley Electric </w:t>
      </w:r>
      <w:r w:rsidR="00566A42">
        <w:rPr>
          <w:rFonts w:eastAsia="Book Antiqua" w:cs="Book Antiqua"/>
        </w:rPr>
        <w:t>Company, Inc. (Bear Valley)</w:t>
      </w:r>
      <w:r w:rsidRPr="575E767E" w:rsidR="00566A42">
        <w:rPr>
          <w:rFonts w:eastAsia="Book Antiqua" w:cs="Book Antiqua"/>
        </w:rPr>
        <w:t>, Southwest Gas Corporation</w:t>
      </w:r>
      <w:r w:rsidR="00566A42">
        <w:rPr>
          <w:rFonts w:eastAsia="Book Antiqua" w:cs="Book Antiqua"/>
        </w:rPr>
        <w:t xml:space="preserve"> (Southwest Gas)</w:t>
      </w:r>
      <w:r w:rsidRPr="575E767E" w:rsidR="00566A42">
        <w:rPr>
          <w:rFonts w:eastAsia="Book Antiqua" w:cs="Book Antiqua"/>
        </w:rPr>
        <w:t>, Alpine Natural Gas, Inc</w:t>
      </w:r>
      <w:r w:rsidR="00566A42">
        <w:rPr>
          <w:rFonts w:eastAsia="Book Antiqua" w:cs="Book Antiqua"/>
        </w:rPr>
        <w:t xml:space="preserve"> (Alpine)</w:t>
      </w:r>
      <w:r w:rsidRPr="575E767E" w:rsidR="00566A42">
        <w:rPr>
          <w:rFonts w:eastAsia="Book Antiqua" w:cs="Book Antiqua"/>
        </w:rPr>
        <w:t>,</w:t>
      </w:r>
      <w:r w:rsidR="00F34FAA">
        <w:rPr>
          <w:rStyle w:val="FootnoteReference"/>
          <w:rFonts w:eastAsia="Book Antiqua" w:cs="Book Antiqua"/>
        </w:rPr>
        <w:footnoteReference w:id="3"/>
      </w:r>
      <w:r w:rsidRPr="575E767E" w:rsidR="00566A42">
        <w:rPr>
          <w:rFonts w:eastAsia="Book Antiqua" w:cs="Book Antiqua"/>
        </w:rPr>
        <w:t xml:space="preserve"> West Coast Gas Company, Inc.</w:t>
      </w:r>
      <w:r w:rsidR="00566A42">
        <w:rPr>
          <w:rFonts w:eastAsia="Book Antiqua" w:cs="Book Antiqua"/>
        </w:rPr>
        <w:t xml:space="preserve"> (West Coast Gas)</w:t>
      </w:r>
      <w:r w:rsidR="008F72D9">
        <w:rPr>
          <w:rStyle w:val="FootnoteReference"/>
          <w:rFonts w:eastAsia="Book Antiqua" w:cs="Book Antiqua"/>
        </w:rPr>
        <w:footnoteReference w:id="4"/>
      </w:r>
      <w:r w:rsidR="00566A42">
        <w:rPr>
          <w:rFonts w:eastAsia="Book Antiqua" w:cs="Book Antiqua"/>
        </w:rPr>
        <w:t xml:space="preserve"> </w:t>
      </w:r>
      <w:r w:rsidRPr="00D73F33" w:rsidR="00566A42">
        <w:rPr>
          <w:rFonts w:eastAsia="Book Antiqua" w:cs="Book Antiqua"/>
        </w:rPr>
        <w:t>(Small and Multi-Jurisdictional Utilities</w:t>
      </w:r>
      <w:r w:rsidR="00566A42">
        <w:rPr>
          <w:rFonts w:eastAsia="Book Antiqua" w:cs="Book Antiqua"/>
        </w:rPr>
        <w:t xml:space="preserve"> or </w:t>
      </w:r>
      <w:r w:rsidRPr="00696B3C" w:rsidR="00566A42">
        <w:rPr>
          <w:rFonts w:eastAsia="Book Antiqua" w:cs="Book Antiqua"/>
        </w:rPr>
        <w:t>SMJUs</w:t>
      </w:r>
      <w:r w:rsidRPr="00D73F33" w:rsidR="00566A42">
        <w:rPr>
          <w:rFonts w:eastAsia="Book Antiqua" w:cs="Book Antiqua"/>
        </w:rPr>
        <w:t>)</w:t>
      </w:r>
      <w:r w:rsidR="007F2967">
        <w:rPr>
          <w:rFonts w:eastAsia="Book Antiqua" w:cs="Book Antiqua"/>
        </w:rPr>
        <w:t>.</w:t>
      </w:r>
    </w:p>
    <w:p w:rsidRPr="002F5AFE" w:rsidR="00566A42" w:rsidP="00566A42" w:rsidRDefault="00566A42" w14:paraId="4BD8BED5" w14:textId="13878425">
      <w:pPr>
        <w:rPr>
          <w:rFonts w:ascii="Calibri" w:hAnsi="Calibri" w:eastAsia="Times New Roman" w:cs="Calibri"/>
          <w:color w:val="000000"/>
          <w:sz w:val="22"/>
        </w:rPr>
      </w:pPr>
      <w:r>
        <w:t xml:space="preserve">On March 3, 2021, </w:t>
      </w:r>
      <w:r w:rsidR="005435B9">
        <w:t xml:space="preserve">respondents and </w:t>
      </w:r>
      <w:r w:rsidR="00AC0060">
        <w:t>the following parties filed comments on the OIR:</w:t>
      </w:r>
      <w:r>
        <w:t xml:space="preserve"> </w:t>
      </w:r>
      <w:r w:rsidR="00FE0C3C">
        <w:t xml:space="preserve"> </w:t>
      </w:r>
      <w:r>
        <w:t xml:space="preserve">PG&amp;E, SDG&amp;E, SCE, SoCalGas, </w:t>
      </w:r>
      <w:r>
        <w:rPr>
          <w:rFonts w:eastAsia="Book Antiqua" w:cs="Book Antiqua"/>
        </w:rPr>
        <w:t>Southwest Gas</w:t>
      </w:r>
      <w:r w:rsidR="00AC0060">
        <w:rPr>
          <w:rFonts w:eastAsia="Book Antiqua" w:cs="Book Antiqua"/>
        </w:rPr>
        <w:t>, joint comments by</w:t>
      </w:r>
      <w:r>
        <w:rPr>
          <w:rFonts w:eastAsia="Book Antiqua" w:cs="Book Antiqua"/>
        </w:rPr>
        <w:t xml:space="preserve"> </w:t>
      </w:r>
      <w:r w:rsidRPr="575E767E">
        <w:rPr>
          <w:rFonts w:eastAsia="Book Antiqua" w:cs="Book Antiqua"/>
        </w:rPr>
        <w:t>PacifiCorp, Cal</w:t>
      </w:r>
      <w:r>
        <w:rPr>
          <w:rFonts w:eastAsia="Book Antiqua" w:cs="Book Antiqua"/>
        </w:rPr>
        <w:t>Peco</w:t>
      </w:r>
      <w:r w:rsidRPr="575E767E">
        <w:rPr>
          <w:rFonts w:eastAsia="Book Antiqua" w:cs="Book Antiqua"/>
        </w:rPr>
        <w:t xml:space="preserve"> Electric, </w:t>
      </w:r>
      <w:r>
        <w:rPr>
          <w:rFonts w:eastAsia="Book Antiqua" w:cs="Book Antiqua"/>
        </w:rPr>
        <w:t>a</w:t>
      </w:r>
      <w:r w:rsidR="00AC0060">
        <w:rPr>
          <w:rFonts w:eastAsia="Book Antiqua" w:cs="Book Antiqua"/>
        </w:rPr>
        <w:t>nd</w:t>
      </w:r>
      <w:r>
        <w:rPr>
          <w:rFonts w:eastAsia="Book Antiqua" w:cs="Book Antiqua"/>
        </w:rPr>
        <w:t xml:space="preserve"> Bear Valley as the California Association of Small and Multi-jurisdictional Utilities (CASMU)</w:t>
      </w:r>
      <w:r w:rsidR="00AC0060">
        <w:rPr>
          <w:rFonts w:eastAsia="Book Antiqua" w:cs="Book Antiqua"/>
        </w:rPr>
        <w:t xml:space="preserve">, </w:t>
      </w:r>
      <w:r w:rsidRPr="002F5AFE">
        <w:rPr>
          <w:rFonts w:eastAsia="Book Antiqua" w:cs="Book Antiqua"/>
        </w:rPr>
        <w:t>The Utility Reform Network (TURN), Utility Consumers Action Network (UCAN), California Community Choice Association (CalCCA), joint comments by Leadership Counsel for Justice and Accountability and The Greenlining Institute</w:t>
      </w:r>
      <w:r>
        <w:rPr>
          <w:rFonts w:eastAsia="Book Antiqua" w:cs="Book Antiqua"/>
        </w:rPr>
        <w:t xml:space="preserve">, </w:t>
      </w:r>
      <w:r w:rsidRPr="002F5AFE">
        <w:rPr>
          <w:rFonts w:eastAsia="Book Antiqua" w:cs="Book Antiqua"/>
        </w:rPr>
        <w:t>Small Business Utility Advocates (SBUA), joint comments by the National Consumer Law Center (NCLC) and the Center for Accessible Technology (CforAT), and the Public Advocates Office at the CPUC (</w:t>
      </w:r>
      <w:r>
        <w:rPr>
          <w:rFonts w:eastAsia="Book Antiqua" w:cs="Book Antiqua"/>
        </w:rPr>
        <w:t xml:space="preserve">Cal Advocates). </w:t>
      </w:r>
    </w:p>
    <w:p w:rsidRPr="002F5AFE" w:rsidR="00566A42" w:rsidP="00566A42" w:rsidRDefault="00566A42" w14:paraId="551DD5C8" w14:textId="0854BD8E">
      <w:pPr>
        <w:rPr>
          <w:rFonts w:ascii="Calibri" w:hAnsi="Calibri" w:eastAsia="Times New Roman" w:cs="Calibri"/>
          <w:color w:val="000000"/>
          <w:sz w:val="22"/>
        </w:rPr>
      </w:pPr>
      <w:r>
        <w:rPr>
          <w:rFonts w:eastAsia="Book Antiqua" w:cs="Book Antiqua"/>
        </w:rPr>
        <w:t xml:space="preserve">On March 8, 2021 a prehearing conference </w:t>
      </w:r>
      <w:r w:rsidR="00851A7A">
        <w:rPr>
          <w:rFonts w:eastAsia="Book Antiqua" w:cs="Book Antiqua"/>
        </w:rPr>
        <w:t xml:space="preserve">(PHC) </w:t>
      </w:r>
      <w:r>
        <w:rPr>
          <w:rFonts w:eastAsia="Book Antiqua" w:cs="Book Antiqua"/>
        </w:rPr>
        <w:t xml:space="preserve">was held to discuss the issues of law and fact, determine the need for hearing, set the schedule for resolving the matter, and address other matters as necessary. </w:t>
      </w:r>
      <w:r w:rsidR="00FE0C3C">
        <w:rPr>
          <w:rFonts w:eastAsia="Book Antiqua" w:cs="Book Antiqua"/>
        </w:rPr>
        <w:t xml:space="preserve"> </w:t>
      </w:r>
      <w:r w:rsidR="00851A7A">
        <w:rPr>
          <w:rFonts w:eastAsia="Book Antiqua" w:cs="Book Antiqua"/>
        </w:rPr>
        <w:t xml:space="preserve">At the PHC, the </w:t>
      </w:r>
      <w:r w:rsidR="008D7BC8">
        <w:rPr>
          <w:rFonts w:eastAsia="Book Antiqua" w:cs="Book Antiqua"/>
        </w:rPr>
        <w:lastRenderedPageBreak/>
        <w:t>assigned Administrative Law Judge (</w:t>
      </w:r>
      <w:r w:rsidR="00851A7A">
        <w:rPr>
          <w:rFonts w:eastAsia="Book Antiqua" w:cs="Book Antiqua"/>
        </w:rPr>
        <w:t>ALJ</w:t>
      </w:r>
      <w:r w:rsidR="008D7BC8">
        <w:rPr>
          <w:rFonts w:eastAsia="Book Antiqua" w:cs="Book Antiqua"/>
        </w:rPr>
        <w:t>)</w:t>
      </w:r>
      <w:r w:rsidR="00851A7A">
        <w:rPr>
          <w:rFonts w:eastAsia="Book Antiqua" w:cs="Book Antiqua"/>
        </w:rPr>
        <w:t xml:space="preserve"> granted the motions of </w:t>
      </w:r>
      <w:r w:rsidR="00B415D8">
        <w:rPr>
          <w:rFonts w:eastAsia="Book Antiqua" w:cs="Book Antiqua"/>
        </w:rPr>
        <w:t xml:space="preserve">the California Water Association (CWA) and the </w:t>
      </w:r>
      <w:r w:rsidRPr="002F5AFE" w:rsidR="00B415D8">
        <w:rPr>
          <w:rFonts w:eastAsia="Book Antiqua" w:cs="Book Antiqua"/>
        </w:rPr>
        <w:t>California Environmental Justice Alliance (CEJA)</w:t>
      </w:r>
      <w:r w:rsidR="00B415D8">
        <w:rPr>
          <w:rFonts w:eastAsia="Book Antiqua" w:cs="Book Antiqua"/>
        </w:rPr>
        <w:t xml:space="preserve"> for party status. East Bay Community Energy was granted party status on March 15, 2021.</w:t>
      </w:r>
    </w:p>
    <w:p w:rsidR="004178A3" w:rsidP="00A11591" w:rsidRDefault="008D7BC8" w14:paraId="6508D154" w14:textId="370109E6">
      <w:r>
        <w:t xml:space="preserve">Assigned </w:t>
      </w:r>
      <w:r w:rsidR="00AC0060">
        <w:t>Commissioner Guzman</w:t>
      </w:r>
      <w:r w:rsidR="00926542">
        <w:t xml:space="preserve"> </w:t>
      </w:r>
      <w:r w:rsidR="00AC0060">
        <w:t xml:space="preserve">Aceves’ Scoping Memo and Ruling </w:t>
      </w:r>
      <w:r w:rsidR="00AA0B74">
        <w:t xml:space="preserve">(Scoping Memo) </w:t>
      </w:r>
      <w:r w:rsidR="00AC0060">
        <w:t>was issued March 15, 2021</w:t>
      </w:r>
      <w:r w:rsidR="00BC4468">
        <w:t xml:space="preserve">, setting forth a schedule that included </w:t>
      </w:r>
      <w:r w:rsidR="00C7779B">
        <w:t xml:space="preserve">comments on the Scoping Memo, a </w:t>
      </w:r>
      <w:r w:rsidR="00BC4468">
        <w:t xml:space="preserve">workshop, post-workshop comments, </w:t>
      </w:r>
      <w:r w:rsidR="00C7779B">
        <w:t xml:space="preserve">and </w:t>
      </w:r>
      <w:r w:rsidR="00BC4468">
        <w:t>opening and reply briefs.</w:t>
      </w:r>
      <w:r w:rsidR="00AC0060">
        <w:t xml:space="preserve"> </w:t>
      </w:r>
      <w:r w:rsidR="00864ABC">
        <w:t xml:space="preserve"> </w:t>
      </w:r>
      <w:r w:rsidR="00137055">
        <w:t xml:space="preserve">The Scoping Memo expanded the array of </w:t>
      </w:r>
      <w:r w:rsidR="00B02FA1">
        <w:t xml:space="preserve">potential </w:t>
      </w:r>
      <w:r w:rsidR="00137055">
        <w:t xml:space="preserve">relief options </w:t>
      </w:r>
      <w:r w:rsidR="00052A79">
        <w:t xml:space="preserve">beyond the OIR’s Straw Proposals, </w:t>
      </w:r>
      <w:r w:rsidR="00137055">
        <w:t>categoriz</w:t>
      </w:r>
      <w:r w:rsidR="00052A79">
        <w:t>ing</w:t>
      </w:r>
      <w:r w:rsidR="00137055">
        <w:t xml:space="preserve"> parties’ proposals into five groups: </w:t>
      </w:r>
      <w:r w:rsidR="00864ABC">
        <w:t xml:space="preserve"> </w:t>
      </w:r>
      <w:r w:rsidR="00137055">
        <w:t xml:space="preserve">1) one-time financial assistance, 2) ongoing financial assistance, 3) ongoing, </w:t>
      </w:r>
      <w:r w:rsidR="00777BA5">
        <w:t>non-</w:t>
      </w:r>
      <w:r w:rsidR="00137055">
        <w:t>financial assistance (payment plans) 4)</w:t>
      </w:r>
      <w:r w:rsidR="00864ABC">
        <w:t> </w:t>
      </w:r>
      <w:r w:rsidR="00137055">
        <w:t xml:space="preserve">leveraging and/or matching existing activities, and 5) </w:t>
      </w:r>
      <w:r w:rsidR="001879F0">
        <w:t>Small Business</w:t>
      </w:r>
      <w:r w:rsidR="00137055">
        <w:t xml:space="preserve"> relief.</w:t>
      </w:r>
      <w:r w:rsidR="00CB2279">
        <w:t xml:space="preserve"> The Scoping Memo also established a webpage for this proceeding</w:t>
      </w:r>
      <w:r w:rsidR="00CB2279">
        <w:rPr>
          <w:rStyle w:val="FootnoteReference"/>
        </w:rPr>
        <w:footnoteReference w:id="5"/>
      </w:r>
      <w:r w:rsidR="00CB2279">
        <w:t xml:space="preserve"> to collect and present </w:t>
      </w:r>
      <w:r w:rsidR="00EC23A4">
        <w:t xml:space="preserve">relevant </w:t>
      </w:r>
      <w:r w:rsidR="00CB2279">
        <w:t xml:space="preserve">information publicly. </w:t>
      </w:r>
      <w:r w:rsidR="00BB28A7">
        <w:t xml:space="preserve"> </w:t>
      </w:r>
      <w:r w:rsidR="00C22075">
        <w:t xml:space="preserve">CalCCA, jointly NCLC and CforAT, SoCalGas, jointly LCJA and CEJA, TURN and SBUA commented on the Scoping Memo. </w:t>
      </w:r>
    </w:p>
    <w:p w:rsidR="00A11591" w:rsidP="00A11591" w:rsidRDefault="00AC0060" w14:paraId="03A6F738" w14:textId="63409457">
      <w:pPr>
        <w:rPr>
          <w:rFonts w:ascii="Calibri" w:hAnsi="Calibri"/>
          <w:sz w:val="22"/>
        </w:rPr>
      </w:pPr>
      <w:r>
        <w:t>An ALJ Ruling o</w:t>
      </w:r>
      <w:r w:rsidR="008F596E">
        <w:t>n</w:t>
      </w:r>
      <w:r>
        <w:t xml:space="preserve"> March 18, 2021 directed utilities to file and serve </w:t>
      </w:r>
      <w:r w:rsidR="006266DD">
        <w:t>additional and updated</w:t>
      </w:r>
      <w:r>
        <w:t xml:space="preserve"> data on arrearages, uncollectibles, and </w:t>
      </w:r>
      <w:r w:rsidR="006266DD">
        <w:t xml:space="preserve">describe how unpaid utility bills relate to </w:t>
      </w:r>
      <w:r>
        <w:t>uncollectible</w:t>
      </w:r>
      <w:r w:rsidR="006266DD">
        <w:t xml:space="preserve"> expenses</w:t>
      </w:r>
      <w:r>
        <w:t xml:space="preserve">. </w:t>
      </w:r>
      <w:r w:rsidR="00BB28A7">
        <w:t xml:space="preserve"> </w:t>
      </w:r>
      <w:r w:rsidR="00D32414">
        <w:t>On March 25</w:t>
      </w:r>
      <w:r w:rsidR="00FF245F">
        <w:t xml:space="preserve"> </w:t>
      </w:r>
      <w:r w:rsidR="00D32414">
        <w:t>-</w:t>
      </w:r>
      <w:r w:rsidR="00FF245F">
        <w:t xml:space="preserve"> </w:t>
      </w:r>
      <w:r w:rsidR="00D32414">
        <w:t>26, 2021, twenty parties and many stakeholders participated in a workshop developing</w:t>
      </w:r>
      <w:r w:rsidR="00A11591">
        <w:t xml:space="preserve"> </w:t>
      </w:r>
      <w:r w:rsidRPr="00395A01" w:rsidR="00A11591">
        <w:rPr>
          <w:i/>
          <w:iCs/>
        </w:rPr>
        <w:t>Proposals to Address COVID-19 Related Arrearages of Residential and Small Business Customers</w:t>
      </w:r>
      <w:r w:rsidR="002F5E61">
        <w:rPr>
          <w:i/>
          <w:iCs/>
        </w:rPr>
        <w:t>.</w:t>
      </w:r>
      <w:r w:rsidR="00A11591">
        <w:t xml:space="preserve"> </w:t>
      </w:r>
      <w:r w:rsidR="00131694">
        <w:t xml:space="preserve"> </w:t>
      </w:r>
      <w:r w:rsidR="00BB458F">
        <w:t>At the workshop,</w:t>
      </w:r>
      <w:r w:rsidR="00A11591">
        <w:t xml:space="preserve"> </w:t>
      </w:r>
      <w:r w:rsidR="00BB458F">
        <w:t>r</w:t>
      </w:r>
      <w:r w:rsidR="00A11591">
        <w:t xml:space="preserve">epresentatives from the Los Angeles Department of Water and Power, Sacramento Municipal Utility District, East Bay Community Energy and the National Regulatory Research Institute shared experience with </w:t>
      </w:r>
      <w:r w:rsidR="00A11591">
        <w:lastRenderedPageBreak/>
        <w:t xml:space="preserve">COVID-19 relief efforts in their jurisdictions and nationwide.  </w:t>
      </w:r>
      <w:r w:rsidR="00A56F44">
        <w:t xml:space="preserve">Parties </w:t>
      </w:r>
      <w:r w:rsidR="00A11591">
        <w:t xml:space="preserve">actively deliberated and discussed five </w:t>
      </w:r>
      <w:r w:rsidR="00946F69">
        <w:t>proposal areas.</w:t>
      </w:r>
      <w:r w:rsidR="00A11591">
        <w:t xml:space="preserve"> </w:t>
      </w:r>
      <w:r w:rsidR="00BB28A7">
        <w:t xml:space="preserve"> </w:t>
      </w:r>
      <w:r w:rsidR="00A11591">
        <w:t>Panelist presentations, party proposals and supporting documentation, recordings of workshop</w:t>
      </w:r>
      <w:r w:rsidR="00BB28A7">
        <w:t xml:space="preserve"> </w:t>
      </w:r>
      <w:r w:rsidR="00A11591">
        <w:t>sessions 1, 2 and 4</w:t>
      </w:r>
      <w:r w:rsidR="00A56F44">
        <w:t>, and the transcript of workshop session 5 a</w:t>
      </w:r>
      <w:r w:rsidR="00A11591">
        <w:t>re available on this proceeding’s webp</w:t>
      </w:r>
      <w:r w:rsidR="00A56F44">
        <w:t>age</w:t>
      </w:r>
      <w:r w:rsidR="00A11591">
        <w:t xml:space="preserve">. </w:t>
      </w:r>
    </w:p>
    <w:p w:rsidR="007F1105" w:rsidP="004178A3" w:rsidRDefault="00AC0060" w14:paraId="6BB0DE0F" w14:textId="21A88FF3">
      <w:pPr>
        <w:pStyle w:val="Standard"/>
        <w:ind w:firstLine="360"/>
      </w:pPr>
      <w:r>
        <w:t xml:space="preserve">An </w:t>
      </w:r>
      <w:r w:rsidR="00253F03">
        <w:t xml:space="preserve">ALJ Ruling Inviting Responses </w:t>
      </w:r>
      <w:r w:rsidR="00946F69">
        <w:t>to</w:t>
      </w:r>
      <w:r w:rsidR="00253F03">
        <w:t xml:space="preserve"> Post- Workshop Questions And Extending</w:t>
      </w:r>
      <w:r w:rsidR="00A11591">
        <w:t xml:space="preserve"> </w:t>
      </w:r>
      <w:r w:rsidR="00253F03">
        <w:t>Filing Dates Of Briefs</w:t>
      </w:r>
      <w:r w:rsidR="00296E49">
        <w:t xml:space="preserve"> was issued April 2, 2021</w:t>
      </w:r>
      <w:r w:rsidR="004178A3">
        <w:t xml:space="preserve">, </w:t>
      </w:r>
      <w:r w:rsidR="00074565">
        <w:t xml:space="preserve">to which </w:t>
      </w:r>
      <w:r w:rsidR="004178A3">
        <w:t>responses were filed on April 12, 2021 by Cal Advocates, jointly NCLC and CforAT, jointly Greenlining, LCJA, and CEJA, SBUA, PG&amp;E, CASMU, TURN, SCE, SoCalGas, Southwest Gas, SD&amp;GE, CalCCA, and UCAN.</w:t>
      </w:r>
      <w:r w:rsidR="00296E49">
        <w:t xml:space="preserve"> An ALJ Ruling </w:t>
      </w:r>
      <w:r>
        <w:t xml:space="preserve">Directing Utility Action to Leverage Federal Funding Available for Utility Arrearages was issued </w:t>
      </w:r>
      <w:r w:rsidR="006A3123">
        <w:t>April 5, 2021</w:t>
      </w:r>
      <w:r w:rsidR="00905F37">
        <w:t>, requiring energy utilities to report weekly to Energy Division on the status of customer applications to the federally-funded and state and locally-administered Emergency Rental Assistance Program</w:t>
      </w:r>
      <w:r w:rsidR="00AF2F62">
        <w:t xml:space="preserve"> (ERAP)</w:t>
      </w:r>
      <w:r w:rsidR="00905F37">
        <w:t xml:space="preserve">. </w:t>
      </w:r>
    </w:p>
    <w:p w:rsidR="006E59EE" w:rsidP="004178A3" w:rsidRDefault="007F1105" w14:paraId="0348244A" w14:textId="3464098E">
      <w:pPr>
        <w:pStyle w:val="Standard"/>
        <w:ind w:firstLine="360"/>
      </w:pPr>
      <w:r>
        <w:t xml:space="preserve">The following parties filed opening </w:t>
      </w:r>
      <w:r w:rsidR="002364F5">
        <w:t xml:space="preserve">and reply </w:t>
      </w:r>
      <w:r>
        <w:t>briefs on schedule:</w:t>
      </w:r>
      <w:r>
        <w:rPr>
          <w:rStyle w:val="FootnoteReference"/>
        </w:rPr>
        <w:footnoteReference w:id="6"/>
      </w:r>
      <w:r>
        <w:t xml:space="preserve"> </w:t>
      </w:r>
      <w:r w:rsidR="00BB28A7">
        <w:t xml:space="preserve"> </w:t>
      </w:r>
      <w:r w:rsidR="002364F5">
        <w:t xml:space="preserve">CASMU, </w:t>
      </w:r>
      <w:r w:rsidR="00287673">
        <w:t xml:space="preserve">CalCCA, </w:t>
      </w:r>
      <w:r w:rsidR="002364F5">
        <w:t xml:space="preserve">PG&amp;E, SCE, SDG&amp;E, SoCalGas, </w:t>
      </w:r>
      <w:r w:rsidR="00BF55DC">
        <w:t xml:space="preserve">TURN, Cal Advocates, UCAN, </w:t>
      </w:r>
      <w:r w:rsidR="00570478">
        <w:t>jointly LCJA, CEJA and Greenlining, jointly NCLC and CforA</w:t>
      </w:r>
      <w:r w:rsidR="00131694">
        <w:t>T</w:t>
      </w:r>
      <w:r w:rsidR="00570478">
        <w:t xml:space="preserve">. </w:t>
      </w:r>
      <w:r w:rsidR="00BB28A7">
        <w:t xml:space="preserve"> </w:t>
      </w:r>
      <w:r w:rsidR="00735AE8">
        <w:t xml:space="preserve">Southwest Gas filed an Opening Brief only. </w:t>
      </w:r>
      <w:r w:rsidR="00570478">
        <w:t>SBUA was granted permission to late-file their opening brief by the ALJ on April 26, 2021.</w:t>
      </w:r>
      <w:r w:rsidR="00BB28A7">
        <w:t xml:space="preserve"> </w:t>
      </w:r>
      <w:r w:rsidR="00570478">
        <w:t xml:space="preserve"> </w:t>
      </w:r>
      <w:r w:rsidR="000F6043">
        <w:t xml:space="preserve">The SBUA opening brief included a study on </w:t>
      </w:r>
      <w:r w:rsidR="001879F0">
        <w:t>Small Business</w:t>
      </w:r>
      <w:r w:rsidR="000F6043">
        <w:t xml:space="preserve"> customers</w:t>
      </w:r>
      <w:r w:rsidR="00390EC4">
        <w:t>’</w:t>
      </w:r>
      <w:r w:rsidR="000F6043">
        <w:t xml:space="preserve"> arrearages</w:t>
      </w:r>
      <w:r w:rsidR="001C4DF4">
        <w:t xml:space="preserve"> </w:t>
      </w:r>
      <w:r w:rsidR="005E7D65">
        <w:t>analyzing</w:t>
      </w:r>
      <w:r w:rsidR="001B2491">
        <w:t xml:space="preserve"> arrearage data submitted by the utilities</w:t>
      </w:r>
      <w:r w:rsidR="000F6043">
        <w:t>.</w:t>
      </w:r>
    </w:p>
    <w:p w:rsidRPr="0063491C" w:rsidR="00ED0B3A" w:rsidP="001C577E" w:rsidRDefault="006A3123" w14:paraId="09F3D68D" w14:textId="15796606">
      <w:pPr>
        <w:pStyle w:val="Standard"/>
        <w:ind w:firstLine="360"/>
      </w:pPr>
      <w:r>
        <w:t>An ALJ Ruling Setting Hearing to Discuss Utility Progress Leveraging Federal Funding Available for Utility</w:t>
      </w:r>
      <w:r w:rsidR="0007587C">
        <w:t xml:space="preserve"> Arrearages</w:t>
      </w:r>
      <w:r>
        <w:t xml:space="preserve"> </w:t>
      </w:r>
      <w:r w:rsidR="00C7779B">
        <w:t>was issued May 11, 2021</w:t>
      </w:r>
      <w:r w:rsidR="00AF2F62">
        <w:t>.</w:t>
      </w:r>
      <w:r w:rsidR="00BB28A7">
        <w:t xml:space="preserve"> </w:t>
      </w:r>
      <w:r w:rsidR="00AF2F62">
        <w:t xml:space="preserve"> The hearing </w:t>
      </w:r>
      <w:r w:rsidR="00124EAD">
        <w:lastRenderedPageBreak/>
        <w:t>occurred on</w:t>
      </w:r>
      <w:r w:rsidR="00AF2F62">
        <w:t xml:space="preserve"> May 27, 2021 at 10</w:t>
      </w:r>
      <w:r w:rsidR="008F442D">
        <w:t>:00</w:t>
      </w:r>
      <w:r w:rsidR="00AF2F62">
        <w:t xml:space="preserve"> a.m. and </w:t>
      </w:r>
      <w:r w:rsidR="00124EAD">
        <w:t xml:space="preserve">identified that </w:t>
      </w:r>
      <w:r w:rsidR="00873BA2">
        <w:t>5,414</w:t>
      </w:r>
      <w:r w:rsidR="00124EAD">
        <w:t xml:space="preserve"> </w:t>
      </w:r>
      <w:r w:rsidR="008B2A42">
        <w:t xml:space="preserve">customers of </w:t>
      </w:r>
      <w:r w:rsidR="00873BA2">
        <w:t xml:space="preserve">SCE, </w:t>
      </w:r>
      <w:r w:rsidR="00124EAD">
        <w:t xml:space="preserve">SoCalGas and SDG&amp;E had received </w:t>
      </w:r>
      <w:r w:rsidR="00FA41CA">
        <w:t>$2</w:t>
      </w:r>
      <w:r w:rsidR="000F2716">
        <w:t>.8 million</w:t>
      </w:r>
      <w:r w:rsidR="00124EAD">
        <w:t xml:space="preserve"> relief from ERAP</w:t>
      </w:r>
      <w:r w:rsidR="00E75A23">
        <w:t xml:space="preserve"> . </w:t>
      </w:r>
      <w:r w:rsidR="00AF2F62">
        <w:t xml:space="preserve"> </w:t>
      </w:r>
      <w:r w:rsidR="001419C6">
        <w:t>The small electric utilities</w:t>
      </w:r>
      <w:r w:rsidR="008B2A42">
        <w:t>, PG&amp;E</w:t>
      </w:r>
      <w:r w:rsidR="001419C6">
        <w:t xml:space="preserve"> and Southwest Gas had not received any relief from ERAP</w:t>
      </w:r>
      <w:r w:rsidR="008B2A42">
        <w:t xml:space="preserve"> at the time</w:t>
      </w:r>
      <w:r w:rsidR="001419C6">
        <w:t>.</w:t>
      </w:r>
    </w:p>
    <w:p w:rsidR="006A39E4" w:rsidP="006A39E4" w:rsidRDefault="009C5574" w14:paraId="1E68B93A" w14:textId="03542DB9">
      <w:pPr>
        <w:pStyle w:val="Heading2"/>
      </w:pPr>
      <w:bookmarkStart w:name="_Toc75258937" w:id="17"/>
      <w:bookmarkStart w:name="_Toc8123719" w:id="18"/>
      <w:bookmarkStart w:name="_Toc12866688" w:id="19"/>
      <w:r>
        <w:t xml:space="preserve">Federal and State Funding for </w:t>
      </w:r>
      <w:r w:rsidR="00D02E97">
        <w:br/>
      </w:r>
      <w:r>
        <w:t>COVID-19 Arrearage Relief</w:t>
      </w:r>
      <w:bookmarkEnd w:id="17"/>
    </w:p>
    <w:p w:rsidRPr="00AA56F4" w:rsidR="00AA56F4" w:rsidP="00AA56F4" w:rsidRDefault="00AA56F4" w14:paraId="700DF045" w14:textId="16970AAC">
      <w:pPr>
        <w:pStyle w:val="Standard"/>
      </w:pPr>
      <w:r>
        <w:t xml:space="preserve">In the three months in which this proceeding has been open, external resources have begun to </w:t>
      </w:r>
      <w:r w:rsidR="008F596E">
        <w:t>become available</w:t>
      </w:r>
      <w:r>
        <w:t xml:space="preserve"> from the federal and state government to help address utility bill arrearages associated with the COVID-19 pandemic. </w:t>
      </w:r>
      <w:r w:rsidR="0011677B">
        <w:t>We take notice of the potential funding sources below.</w:t>
      </w:r>
    </w:p>
    <w:p w:rsidR="0056617E" w:rsidP="00D02E97" w:rsidRDefault="0056617E" w14:paraId="5C4A1F05" w14:textId="1B91F815">
      <w:pPr>
        <w:pStyle w:val="Heading3"/>
        <w:tabs>
          <w:tab w:val="clear" w:pos="1440"/>
        </w:tabs>
      </w:pPr>
      <w:bookmarkStart w:name="_Toc75258938" w:id="20"/>
      <w:r>
        <w:t>California’s 202</w:t>
      </w:r>
      <w:r w:rsidR="002C58E2">
        <w:t>2</w:t>
      </w:r>
      <w:r>
        <w:t xml:space="preserve"> Pending Budget</w:t>
      </w:r>
      <w:bookmarkEnd w:id="20"/>
    </w:p>
    <w:p w:rsidRPr="0056617E" w:rsidR="0056617E" w:rsidP="0056617E" w:rsidRDefault="002C58E2" w14:paraId="7AC43811" w14:textId="51BE6FCB">
      <w:pPr>
        <w:pStyle w:val="Standard"/>
      </w:pPr>
      <w:r>
        <w:t xml:space="preserve">On </w:t>
      </w:r>
      <w:r w:rsidR="00126E50">
        <w:t>June 14</w:t>
      </w:r>
      <w:r>
        <w:t xml:space="preserve">, 2021, </w:t>
      </w:r>
      <w:r w:rsidR="009378CC">
        <w:t>California enacted legislation earmarking</w:t>
      </w:r>
      <w:r>
        <w:t xml:space="preserve"> $</w:t>
      </w:r>
      <w:r w:rsidR="009378CC">
        <w:t>1</w:t>
      </w:r>
      <w:r>
        <w:t xml:space="preserve"> billion</w:t>
      </w:r>
      <w:r w:rsidR="00BC482C">
        <w:t>,</w:t>
      </w:r>
      <w:r>
        <w:t xml:space="preserve"> </w:t>
      </w:r>
      <w:r w:rsidR="00373116">
        <w:t xml:space="preserve">in </w:t>
      </w:r>
      <w:r>
        <w:t xml:space="preserve">the </w:t>
      </w:r>
      <w:r w:rsidR="00373116">
        <w:t xml:space="preserve">upcoming </w:t>
      </w:r>
      <w:r w:rsidRPr="00373116" w:rsidR="00373116">
        <w:t>2022</w:t>
      </w:r>
      <w:r w:rsidR="00D77D98">
        <w:t xml:space="preserve"> state</w:t>
      </w:r>
      <w:r>
        <w:t xml:space="preserve"> budget</w:t>
      </w:r>
      <w:r w:rsidR="00BC482C">
        <w:t>,</w:t>
      </w:r>
      <w:r>
        <w:t xml:space="preserve"> to help Californians pay their overdue </w:t>
      </w:r>
      <w:r w:rsidR="009378CC">
        <w:t>energy</w:t>
      </w:r>
      <w:r>
        <w:t xml:space="preserve"> utility bills.</w:t>
      </w:r>
      <w:r>
        <w:rPr>
          <w:rStyle w:val="FootnoteReference"/>
        </w:rPr>
        <w:footnoteReference w:id="7"/>
      </w:r>
      <w:r w:rsidR="00682E67">
        <w:t xml:space="preserve"> Details will not be finalized until the </w:t>
      </w:r>
      <w:r w:rsidR="009378CC">
        <w:t xml:space="preserve">Governor approves the </w:t>
      </w:r>
      <w:r w:rsidR="00682E67">
        <w:t>budget.</w:t>
      </w:r>
    </w:p>
    <w:p w:rsidR="00786688" w:rsidP="00A77B70" w:rsidRDefault="00786688" w14:paraId="22A3855B" w14:textId="753062C5">
      <w:pPr>
        <w:pStyle w:val="Heading3"/>
        <w:tabs>
          <w:tab w:val="clear" w:pos="1440"/>
        </w:tabs>
      </w:pPr>
      <w:bookmarkStart w:name="_Toc75258939" w:id="21"/>
      <w:r>
        <w:t>Emergency Rental Assistance Program</w:t>
      </w:r>
      <w:bookmarkEnd w:id="21"/>
      <w:r>
        <w:tab/>
      </w:r>
    </w:p>
    <w:p w:rsidR="006A39E4" w:rsidP="006A39E4" w:rsidRDefault="00494107" w14:paraId="13512896" w14:textId="551BCC17">
      <w:pPr>
        <w:pStyle w:val="Standard"/>
      </w:pPr>
      <w:r w:rsidRPr="00C63FFB">
        <w:t xml:space="preserve">On December 27, 2020, the federal Consolidated Appropriations Act, 2021 was signed into law, establishing the federal Emergency Rental Assistance Program (ERAP) and authorizing allocations of funds to states, local governments, tribal communities, and territories to assist renters with unpaid rent and utility bills accrued between April 1, 2020, and March 31, 2021. California Senate Bill </w:t>
      </w:r>
      <w:r w:rsidR="007D57CA">
        <w:t xml:space="preserve">(SB) </w:t>
      </w:r>
      <w:r w:rsidRPr="00C63FFB">
        <w:t xml:space="preserve">91 (2021) established California’s program for administering and distributing rental assistance funds, authorizing the California Department of Housing and Community Development (HCD) to administer the funds in accordance with state and federal law, and providing a framework for </w:t>
      </w:r>
      <w:r w:rsidRPr="00C63FFB">
        <w:lastRenderedPageBreak/>
        <w:t>cities, counties, and tribes that received a direct allocation of funds from the U.S.</w:t>
      </w:r>
      <w:r w:rsidR="002D04E1">
        <w:t> </w:t>
      </w:r>
      <w:r w:rsidRPr="00C63FFB">
        <w:t>Treasury to implement ERAP funding in partnership with HCD.</w:t>
      </w:r>
      <w:r w:rsidR="002D04E1">
        <w:t xml:space="preserve"> </w:t>
      </w:r>
      <w:r w:rsidRPr="00C63FFB">
        <w:t xml:space="preserve"> </w:t>
      </w:r>
      <w:r w:rsidRPr="00C63FFB" w:rsidR="006A39E4">
        <w:t>On April</w:t>
      </w:r>
      <w:r w:rsidR="002D04E1">
        <w:t> </w:t>
      </w:r>
      <w:r w:rsidRPr="00C63FFB" w:rsidR="006A39E4">
        <w:t>15, 2021</w:t>
      </w:r>
      <w:r w:rsidR="00BB6066">
        <w:t>,</w:t>
      </w:r>
      <w:r w:rsidRPr="00C63FFB" w:rsidR="006A39E4">
        <w:t xml:space="preserve"> the Commission ‘s Executive Director issued a letter authorizing the energy utilities to “validate utility customer information of applicants for ERAP</w:t>
      </w:r>
      <w:r w:rsidRPr="00BC1E8B" w:rsidR="006A39E4">
        <w:t>, upon HCD’s request or upon request of a partner city, county, or tribe, for the purpose of administering relief.”</w:t>
      </w:r>
    </w:p>
    <w:p w:rsidR="00591374" w:rsidP="006A39E4" w:rsidRDefault="00591374" w14:paraId="6C5D62D6" w14:textId="7F9005EF">
      <w:pPr>
        <w:pStyle w:val="Standard"/>
      </w:pPr>
      <w:r>
        <w:t xml:space="preserve">California </w:t>
      </w:r>
      <w:r w:rsidR="001E2725">
        <w:t xml:space="preserve">has </w:t>
      </w:r>
      <w:r>
        <w:t xml:space="preserve">already received and is distributing $2.6 billion, and </w:t>
      </w:r>
      <w:r w:rsidR="005816B9">
        <w:t>will receive at least $152 million more</w:t>
      </w:r>
      <w:r w:rsidR="005816B9">
        <w:rPr>
          <w:rStyle w:val="FootnoteReference"/>
        </w:rPr>
        <w:footnoteReference w:id="8"/>
      </w:r>
      <w:r>
        <w:t xml:space="preserve"> through the </w:t>
      </w:r>
      <w:r w:rsidR="00A93F11">
        <w:t xml:space="preserve">federal </w:t>
      </w:r>
      <w:r>
        <w:t>American Rescue Plan Act.</w:t>
      </w:r>
      <w:r w:rsidR="004C09A9">
        <w:t xml:space="preserve"> While the bulk of ERAP is likely to be applied toward rent, any qualifying renter may also apply to this fund for utility bill relief.</w:t>
      </w:r>
      <w:r>
        <w:rPr>
          <w:rStyle w:val="FootnoteReference"/>
        </w:rPr>
        <w:footnoteReference w:id="9"/>
      </w:r>
    </w:p>
    <w:p w:rsidR="004C09A9" w:rsidP="002D04E1" w:rsidRDefault="004C09A9" w14:paraId="2E2A5FAB" w14:textId="67FD9F68">
      <w:pPr>
        <w:pStyle w:val="Heading3"/>
        <w:tabs>
          <w:tab w:val="clear" w:pos="1440"/>
        </w:tabs>
      </w:pPr>
      <w:bookmarkStart w:name="_Toc75258940" w:id="22"/>
      <w:r>
        <w:t>Housing Assistance Fund</w:t>
      </w:r>
      <w:bookmarkEnd w:id="22"/>
    </w:p>
    <w:p w:rsidRPr="004C09A9" w:rsidR="004C09A9" w:rsidP="004C09A9" w:rsidRDefault="004C09A9" w14:paraId="07D9359F" w14:textId="7B408520">
      <w:pPr>
        <w:pStyle w:val="Standard"/>
      </w:pPr>
      <w:r>
        <w:t>California was allocated $1.055 billion through the American Rescue Plan Act to assist homeowners with housing as well as utility debt.</w:t>
      </w:r>
    </w:p>
    <w:p w:rsidR="00786688" w:rsidP="002D04E1" w:rsidRDefault="00786688" w14:paraId="007479D2" w14:textId="4ED7135D">
      <w:pPr>
        <w:pStyle w:val="Heading3"/>
        <w:tabs>
          <w:tab w:val="clear" w:pos="1440"/>
        </w:tabs>
      </w:pPr>
      <w:bookmarkStart w:name="_Toc75258941" w:id="23"/>
      <w:r>
        <w:t xml:space="preserve">Low-Income Home Energy </w:t>
      </w:r>
      <w:r w:rsidR="00EE70DC">
        <w:br/>
      </w:r>
      <w:r>
        <w:t>Assistance Program</w:t>
      </w:r>
      <w:r w:rsidR="000E0791">
        <w:t xml:space="preserve"> (LIHEAP)</w:t>
      </w:r>
      <w:bookmarkEnd w:id="23"/>
    </w:p>
    <w:p w:rsidRPr="00786688" w:rsidR="00786688" w:rsidP="00786688" w:rsidRDefault="00786688" w14:paraId="71E1A3D2" w14:textId="26715F34">
      <w:pPr>
        <w:pStyle w:val="Standard"/>
      </w:pPr>
      <w:r>
        <w:t xml:space="preserve">At the April 25, 2021 workshop, California’s Department of Community Services and Development </w:t>
      </w:r>
      <w:r w:rsidR="00A3496C">
        <w:t xml:space="preserve">(CSD) </w:t>
      </w:r>
      <w:r>
        <w:t xml:space="preserve">presented federal funding allocations </w:t>
      </w:r>
      <w:r w:rsidR="00862FA4">
        <w:t>administered by their agency</w:t>
      </w:r>
      <w:r>
        <w:t>.</w:t>
      </w:r>
      <w:r w:rsidR="00EE70DC">
        <w:t xml:space="preserve"> </w:t>
      </w:r>
      <w:r>
        <w:t xml:space="preserve"> In 2020, the </w:t>
      </w:r>
      <w:r w:rsidR="00C303CB">
        <w:t>Low-Income Home Energy Assistance Program (LIHEAP)</w:t>
      </w:r>
      <w:r>
        <w:t xml:space="preserve"> allocation </w:t>
      </w:r>
      <w:r w:rsidR="00862FA4">
        <w:t xml:space="preserve">available for utility arrearages </w:t>
      </w:r>
      <w:r>
        <w:t xml:space="preserve">was </w:t>
      </w:r>
      <w:r w:rsidR="00862FA4">
        <w:t xml:space="preserve">approximately </w:t>
      </w:r>
      <w:r>
        <w:t>$</w:t>
      </w:r>
      <w:r w:rsidR="00862FA4">
        <w:t>85.8 million</w:t>
      </w:r>
      <w:r w:rsidR="00DA235D">
        <w:t>.</w:t>
      </w:r>
      <w:r w:rsidR="00E643B5">
        <w:rPr>
          <w:rStyle w:val="FootnoteReference"/>
        </w:rPr>
        <w:footnoteReference w:id="10"/>
      </w:r>
      <w:r>
        <w:t xml:space="preserve"> </w:t>
      </w:r>
      <w:r w:rsidR="00EE70DC">
        <w:t xml:space="preserve"> </w:t>
      </w:r>
      <w:r w:rsidR="00DA235D">
        <w:t>The</w:t>
      </w:r>
      <w:r>
        <w:t xml:space="preserve"> CARE</w:t>
      </w:r>
      <w:r w:rsidR="00E32DAF">
        <w:t>S</w:t>
      </w:r>
      <w:r>
        <w:t xml:space="preserve"> Act</w:t>
      </w:r>
      <w:r w:rsidR="00E32DAF">
        <w:t>, 2020</w:t>
      </w:r>
      <w:r>
        <w:t xml:space="preserve"> allocation was </w:t>
      </w:r>
      <w:r w:rsidR="00DA235D">
        <w:t xml:space="preserve">approximately </w:t>
      </w:r>
      <w:r>
        <w:t>$</w:t>
      </w:r>
      <w:r w:rsidR="00DA235D">
        <w:t>24.9</w:t>
      </w:r>
      <w:r>
        <w:t xml:space="preserve"> </w:t>
      </w:r>
      <w:r>
        <w:lastRenderedPageBreak/>
        <w:t>million.</w:t>
      </w:r>
      <w:r w:rsidR="003A2E57">
        <w:rPr>
          <w:rStyle w:val="FootnoteReference"/>
        </w:rPr>
        <w:footnoteReference w:id="11"/>
      </w:r>
      <w:r>
        <w:t xml:space="preserve"> </w:t>
      </w:r>
      <w:r w:rsidR="00EE70DC">
        <w:t xml:space="preserve"> </w:t>
      </w:r>
      <w:r>
        <w:t>In 202</w:t>
      </w:r>
      <w:r w:rsidR="00DA235D">
        <w:t>1</w:t>
      </w:r>
      <w:r>
        <w:t xml:space="preserve">, </w:t>
      </w:r>
      <w:r w:rsidR="008D2AF4">
        <w:t>t</w:t>
      </w:r>
      <w:r w:rsidR="00DA235D">
        <w:t>he LIHEAP allocation available for utility arrearages was approximately $8</w:t>
      </w:r>
      <w:r w:rsidR="003A2E57">
        <w:t>3.2 million</w:t>
      </w:r>
      <w:r w:rsidR="00DA235D">
        <w:t>.</w:t>
      </w:r>
      <w:r w:rsidR="00534C47">
        <w:rPr>
          <w:rStyle w:val="FootnoteReference"/>
        </w:rPr>
        <w:footnoteReference w:id="12"/>
      </w:r>
      <w:r w:rsidR="008D2AF4">
        <w:t xml:space="preserve"> </w:t>
      </w:r>
      <w:r w:rsidR="00EE70DC">
        <w:t xml:space="preserve"> </w:t>
      </w:r>
      <w:r w:rsidR="008D2AF4">
        <w:t xml:space="preserve">California’s allocation </w:t>
      </w:r>
      <w:r w:rsidR="00E32DAF">
        <w:t>f</w:t>
      </w:r>
      <w:r w:rsidR="008D2AF4">
        <w:t>rom the American Rescue Plan Act</w:t>
      </w:r>
      <w:r w:rsidR="00E32DAF">
        <w:t xml:space="preserve">, </w:t>
      </w:r>
      <w:r w:rsidR="008D2AF4">
        <w:t>2021 is still unknown, with estimates presented from $100 million</w:t>
      </w:r>
      <w:r w:rsidR="008D2AF4">
        <w:rPr>
          <w:rStyle w:val="FootnoteReference"/>
        </w:rPr>
        <w:footnoteReference w:id="13"/>
      </w:r>
      <w:r w:rsidR="008D2AF4">
        <w:t xml:space="preserve"> </w:t>
      </w:r>
      <w:r w:rsidR="008D0C70">
        <w:t xml:space="preserve">to  </w:t>
      </w:r>
      <w:r w:rsidR="008D2AF4">
        <w:t>$250 million.</w:t>
      </w:r>
      <w:r w:rsidR="006E0349">
        <w:rPr>
          <w:rStyle w:val="FootnoteReference"/>
        </w:rPr>
        <w:footnoteReference w:id="14"/>
      </w:r>
    </w:p>
    <w:p w:rsidR="00AA492E" w:rsidP="00AA492E" w:rsidRDefault="00AA492E" w14:paraId="4CA2432A" w14:textId="4410230C">
      <w:pPr>
        <w:pStyle w:val="Heading2"/>
      </w:pPr>
      <w:bookmarkStart w:name="_Toc75258942" w:id="24"/>
      <w:r>
        <w:t>Status Update on Unpaid Utility Bills</w:t>
      </w:r>
      <w:bookmarkEnd w:id="24"/>
    </w:p>
    <w:p w:rsidRPr="00896670" w:rsidR="00896670" w:rsidP="00896670" w:rsidRDefault="00896670" w14:paraId="4E78586C" w14:textId="35DD9A18">
      <w:pPr>
        <w:pStyle w:val="Standard"/>
      </w:pPr>
      <w:r>
        <w:t xml:space="preserve">Arrearages </w:t>
      </w:r>
      <w:r w:rsidR="00A70198">
        <w:t>remain a problem</w:t>
      </w:r>
      <w:r>
        <w:t>.</w:t>
      </w:r>
      <w:r w:rsidR="00A70198">
        <w:t xml:space="preserve"> </w:t>
      </w:r>
      <w:r w:rsidR="00EE70DC">
        <w:t xml:space="preserve"> </w:t>
      </w:r>
      <w:r w:rsidR="00E21369">
        <w:t>In the OIR, we identified over $1 billion in arrearages from IOU</w:t>
      </w:r>
      <w:r w:rsidR="009E16D6">
        <w:t>s</w:t>
      </w:r>
      <w:r w:rsidR="00B6778C">
        <w:t>’</w:t>
      </w:r>
      <w:r w:rsidR="00E21369">
        <w:t xml:space="preserve"> residential customers at the end of 2020. In the first quarter of 2021, IOU residential arrearages have grown to over $1.3 billion, </w:t>
      </w:r>
      <w:r w:rsidR="00D44222">
        <w:t>as displayed</w:t>
      </w:r>
      <w:r w:rsidR="00E21369">
        <w:t xml:space="preserve"> below.  </w:t>
      </w:r>
    </w:p>
    <w:p w:rsidRPr="009E16D6" w:rsidR="00007305" w:rsidP="00E97EE4" w:rsidRDefault="00007305" w14:paraId="1FA82B5A" w14:textId="77777777">
      <w:pPr>
        <w:keepNext/>
        <w:keepLines/>
        <w:spacing w:after="120" w:line="240" w:lineRule="auto"/>
        <w:jc w:val="center"/>
        <w:rPr>
          <w:b/>
          <w:bCs/>
        </w:rPr>
      </w:pPr>
      <w:r w:rsidRPr="009E16D6">
        <w:rPr>
          <w:b/>
          <w:bCs/>
        </w:rPr>
        <w:t>IOU Residential Arrearages, By Low-Income and Non-Low Income</w:t>
      </w:r>
    </w:p>
    <w:tbl>
      <w:tblPr>
        <w:tblStyle w:val="TableGrid"/>
        <w:tblW w:w="0" w:type="auto"/>
        <w:tblLook w:val="04A0" w:firstRow="1" w:lastRow="0" w:firstColumn="1" w:lastColumn="0" w:noHBand="0" w:noVBand="1"/>
      </w:tblPr>
      <w:tblGrid>
        <w:gridCol w:w="1465"/>
        <w:gridCol w:w="1589"/>
        <w:gridCol w:w="1544"/>
        <w:gridCol w:w="1620"/>
        <w:gridCol w:w="1666"/>
        <w:gridCol w:w="1466"/>
      </w:tblGrid>
      <w:tr w:rsidRPr="00CC7A1E" w:rsidR="00007305" w:rsidTr="005925CE" w14:paraId="767DB173" w14:textId="77777777">
        <w:tc>
          <w:tcPr>
            <w:tcW w:w="1465" w:type="dxa"/>
          </w:tcPr>
          <w:p w:rsidRPr="00CC7A1E" w:rsidR="00007305" w:rsidP="00CC7A1E" w:rsidRDefault="00007305" w14:paraId="1193DDB6" w14:textId="77777777">
            <w:pPr>
              <w:keepNext/>
              <w:keepLines/>
              <w:spacing w:line="240" w:lineRule="auto"/>
              <w:ind w:firstLine="0"/>
              <w:jc w:val="center"/>
              <w:rPr>
                <w:rFonts w:asciiTheme="minorHAnsi" w:hAnsiTheme="minorHAnsi"/>
                <w:b/>
                <w:bCs/>
                <w:sz w:val="22"/>
              </w:rPr>
            </w:pPr>
          </w:p>
        </w:tc>
        <w:tc>
          <w:tcPr>
            <w:tcW w:w="1589" w:type="dxa"/>
          </w:tcPr>
          <w:p w:rsidRPr="00CC7A1E" w:rsidR="00007305" w:rsidP="00CC7A1E" w:rsidRDefault="00007305" w14:paraId="70AD4390" w14:textId="77777777">
            <w:pPr>
              <w:keepNext/>
              <w:keepLines/>
              <w:spacing w:line="240" w:lineRule="auto"/>
              <w:ind w:firstLine="0"/>
              <w:jc w:val="center"/>
              <w:rPr>
                <w:rFonts w:asciiTheme="minorHAnsi" w:hAnsiTheme="minorHAnsi"/>
                <w:b/>
                <w:bCs/>
                <w:sz w:val="22"/>
              </w:rPr>
            </w:pPr>
            <w:r w:rsidRPr="00CC7A1E">
              <w:rPr>
                <w:rFonts w:asciiTheme="minorHAnsi" w:hAnsiTheme="minorHAnsi"/>
                <w:b/>
                <w:bCs/>
                <w:sz w:val="22"/>
              </w:rPr>
              <w:t>PG&amp;E</w:t>
            </w:r>
          </w:p>
        </w:tc>
        <w:tc>
          <w:tcPr>
            <w:tcW w:w="1544" w:type="dxa"/>
          </w:tcPr>
          <w:p w:rsidRPr="00CC7A1E" w:rsidR="00007305" w:rsidP="00CC7A1E" w:rsidRDefault="00007305" w14:paraId="4205F136" w14:textId="77777777">
            <w:pPr>
              <w:keepNext/>
              <w:keepLines/>
              <w:spacing w:line="240" w:lineRule="auto"/>
              <w:ind w:firstLine="0"/>
              <w:jc w:val="center"/>
              <w:rPr>
                <w:rFonts w:asciiTheme="minorHAnsi" w:hAnsiTheme="minorHAnsi"/>
                <w:b/>
                <w:bCs/>
                <w:sz w:val="22"/>
              </w:rPr>
            </w:pPr>
            <w:r w:rsidRPr="00CC7A1E">
              <w:rPr>
                <w:rFonts w:asciiTheme="minorHAnsi" w:hAnsiTheme="minorHAnsi"/>
                <w:b/>
                <w:bCs/>
                <w:sz w:val="22"/>
              </w:rPr>
              <w:t>SCE</w:t>
            </w:r>
          </w:p>
        </w:tc>
        <w:tc>
          <w:tcPr>
            <w:tcW w:w="1620" w:type="dxa"/>
          </w:tcPr>
          <w:p w:rsidRPr="00CC7A1E" w:rsidR="00007305" w:rsidP="00CC7A1E" w:rsidRDefault="00007305" w14:paraId="79036EDE" w14:textId="77777777">
            <w:pPr>
              <w:keepNext/>
              <w:keepLines/>
              <w:spacing w:line="240" w:lineRule="auto"/>
              <w:ind w:firstLine="0"/>
              <w:jc w:val="center"/>
              <w:rPr>
                <w:rFonts w:asciiTheme="minorHAnsi" w:hAnsiTheme="minorHAnsi"/>
                <w:b/>
                <w:bCs/>
                <w:sz w:val="22"/>
              </w:rPr>
            </w:pPr>
            <w:r w:rsidRPr="00CC7A1E">
              <w:rPr>
                <w:rFonts w:asciiTheme="minorHAnsi" w:hAnsiTheme="minorHAnsi"/>
                <w:b/>
                <w:bCs/>
                <w:sz w:val="22"/>
              </w:rPr>
              <w:t>SDG&amp;E</w:t>
            </w:r>
          </w:p>
        </w:tc>
        <w:tc>
          <w:tcPr>
            <w:tcW w:w="1666" w:type="dxa"/>
          </w:tcPr>
          <w:p w:rsidRPr="00CC7A1E" w:rsidR="00007305" w:rsidP="00CC7A1E" w:rsidRDefault="00007305" w14:paraId="13C13B14" w14:textId="77777777">
            <w:pPr>
              <w:keepNext/>
              <w:keepLines/>
              <w:spacing w:line="240" w:lineRule="auto"/>
              <w:ind w:firstLine="0"/>
              <w:jc w:val="center"/>
              <w:rPr>
                <w:rFonts w:asciiTheme="minorHAnsi" w:hAnsiTheme="minorHAnsi"/>
                <w:b/>
                <w:bCs/>
                <w:sz w:val="22"/>
              </w:rPr>
            </w:pPr>
            <w:r w:rsidRPr="00CC7A1E">
              <w:rPr>
                <w:rFonts w:asciiTheme="minorHAnsi" w:hAnsiTheme="minorHAnsi"/>
                <w:b/>
                <w:bCs/>
                <w:sz w:val="22"/>
              </w:rPr>
              <w:t>SoCalGas</w:t>
            </w:r>
          </w:p>
        </w:tc>
        <w:tc>
          <w:tcPr>
            <w:tcW w:w="1466" w:type="dxa"/>
          </w:tcPr>
          <w:p w:rsidRPr="00CC7A1E" w:rsidR="00007305" w:rsidP="00CC7A1E" w:rsidRDefault="00007305" w14:paraId="77042EA0" w14:textId="77777777">
            <w:pPr>
              <w:keepNext/>
              <w:keepLines/>
              <w:spacing w:line="240" w:lineRule="auto"/>
              <w:ind w:firstLine="0"/>
              <w:jc w:val="center"/>
              <w:rPr>
                <w:rFonts w:asciiTheme="minorHAnsi" w:hAnsiTheme="minorHAnsi"/>
                <w:b/>
                <w:bCs/>
                <w:sz w:val="22"/>
              </w:rPr>
            </w:pPr>
            <w:r w:rsidRPr="00CC7A1E">
              <w:rPr>
                <w:rFonts w:asciiTheme="minorHAnsi" w:hAnsiTheme="minorHAnsi"/>
                <w:b/>
                <w:bCs/>
                <w:sz w:val="22"/>
              </w:rPr>
              <w:t>Total</w:t>
            </w:r>
          </w:p>
        </w:tc>
      </w:tr>
      <w:tr w:rsidRPr="00CE1C3E" w:rsidR="00007305" w:rsidTr="005925CE" w14:paraId="1E24755C" w14:textId="77777777">
        <w:tc>
          <w:tcPr>
            <w:tcW w:w="1465" w:type="dxa"/>
          </w:tcPr>
          <w:p w:rsidRPr="00CE1C3E" w:rsidR="00007305" w:rsidP="009E16D6" w:rsidRDefault="00007305" w14:paraId="4F0D7666" w14:textId="77777777">
            <w:pPr>
              <w:keepNext/>
              <w:keepLines/>
              <w:spacing w:line="240" w:lineRule="auto"/>
              <w:ind w:firstLine="0"/>
              <w:rPr>
                <w:rFonts w:asciiTheme="minorHAnsi" w:hAnsiTheme="minorHAnsi"/>
                <w:sz w:val="22"/>
              </w:rPr>
            </w:pPr>
            <w:r>
              <w:rPr>
                <w:rFonts w:asciiTheme="minorHAnsi" w:hAnsiTheme="minorHAnsi"/>
                <w:sz w:val="22"/>
              </w:rPr>
              <w:t>$</w:t>
            </w:r>
            <w:r w:rsidRPr="00CE1C3E">
              <w:rPr>
                <w:rFonts w:asciiTheme="minorHAnsi" w:hAnsiTheme="minorHAnsi"/>
                <w:sz w:val="22"/>
              </w:rPr>
              <w:t xml:space="preserve"> </w:t>
            </w:r>
            <w:r>
              <w:rPr>
                <w:rFonts w:asciiTheme="minorHAnsi" w:hAnsiTheme="minorHAnsi"/>
                <w:sz w:val="22"/>
              </w:rPr>
              <w:t xml:space="preserve">in Arrears, </w:t>
            </w:r>
            <w:r w:rsidRPr="00CE1C3E">
              <w:rPr>
                <w:rFonts w:asciiTheme="minorHAnsi" w:hAnsiTheme="minorHAnsi"/>
                <w:sz w:val="22"/>
              </w:rPr>
              <w:t xml:space="preserve">CARE/FERA Customers </w:t>
            </w:r>
          </w:p>
        </w:tc>
        <w:tc>
          <w:tcPr>
            <w:tcW w:w="1589" w:type="dxa"/>
          </w:tcPr>
          <w:p w:rsidRPr="00CE1C3E" w:rsidR="00007305" w:rsidP="00CF4705" w:rsidRDefault="00007305" w14:paraId="5283F701" w14:textId="77777777">
            <w:pPr>
              <w:keepNext/>
              <w:keepLines/>
              <w:spacing w:line="240" w:lineRule="auto"/>
              <w:ind w:firstLine="0"/>
              <w:jc w:val="center"/>
              <w:rPr>
                <w:rFonts w:ascii="Calibri" w:hAnsi="Calibri"/>
                <w:color w:val="000000"/>
                <w:sz w:val="22"/>
              </w:rPr>
            </w:pPr>
            <w:r w:rsidRPr="00440504">
              <w:rPr>
                <w:rFonts w:ascii="Calibri" w:hAnsi="Calibri"/>
                <w:color w:val="000000"/>
                <w:sz w:val="22"/>
              </w:rPr>
              <w:t>$295,071,341</w:t>
            </w:r>
          </w:p>
        </w:tc>
        <w:tc>
          <w:tcPr>
            <w:tcW w:w="1544" w:type="dxa"/>
          </w:tcPr>
          <w:p w:rsidRPr="00CE1C3E" w:rsidR="00007305" w:rsidP="00CF4705" w:rsidRDefault="00007305" w14:paraId="2BA7B3F0" w14:textId="77777777">
            <w:pPr>
              <w:keepNext/>
              <w:keepLines/>
              <w:spacing w:line="240" w:lineRule="auto"/>
              <w:ind w:firstLine="0"/>
              <w:jc w:val="center"/>
              <w:rPr>
                <w:rFonts w:ascii="Calibri" w:hAnsi="Calibri"/>
                <w:color w:val="000000"/>
                <w:sz w:val="22"/>
              </w:rPr>
            </w:pPr>
            <w:r w:rsidRPr="00440504">
              <w:rPr>
                <w:rFonts w:ascii="Calibri" w:hAnsi="Calibri"/>
                <w:color w:val="000000"/>
                <w:sz w:val="22"/>
              </w:rPr>
              <w:t>$153,717,802</w:t>
            </w:r>
          </w:p>
        </w:tc>
        <w:tc>
          <w:tcPr>
            <w:tcW w:w="1620" w:type="dxa"/>
          </w:tcPr>
          <w:p w:rsidRPr="00CE1C3E" w:rsidR="00007305" w:rsidP="00CF4705" w:rsidRDefault="00007305" w14:paraId="5BAEB81B" w14:textId="77777777">
            <w:pPr>
              <w:keepNext/>
              <w:keepLines/>
              <w:spacing w:line="240" w:lineRule="auto"/>
              <w:ind w:firstLine="0"/>
              <w:jc w:val="center"/>
              <w:rPr>
                <w:rFonts w:ascii="Calibri" w:hAnsi="Calibri"/>
                <w:color w:val="000000"/>
                <w:sz w:val="22"/>
              </w:rPr>
            </w:pPr>
            <w:r w:rsidRPr="00440504">
              <w:rPr>
                <w:rFonts w:ascii="Calibri" w:hAnsi="Calibri"/>
                <w:color w:val="000000"/>
                <w:sz w:val="22"/>
              </w:rPr>
              <w:t>$73,260,047</w:t>
            </w:r>
          </w:p>
        </w:tc>
        <w:tc>
          <w:tcPr>
            <w:tcW w:w="1666" w:type="dxa"/>
          </w:tcPr>
          <w:p w:rsidRPr="00CE1C3E" w:rsidR="00007305" w:rsidP="00CF4705" w:rsidRDefault="00007305" w14:paraId="58D9CD4E" w14:textId="77777777">
            <w:pPr>
              <w:keepNext/>
              <w:keepLines/>
              <w:spacing w:line="240" w:lineRule="auto"/>
              <w:ind w:firstLine="0"/>
              <w:jc w:val="center"/>
              <w:rPr>
                <w:rFonts w:ascii="Calibri" w:hAnsi="Calibri"/>
                <w:color w:val="000000"/>
                <w:sz w:val="22"/>
              </w:rPr>
            </w:pPr>
            <w:r w:rsidRPr="00440504">
              <w:rPr>
                <w:rFonts w:ascii="Calibri" w:hAnsi="Calibri"/>
                <w:color w:val="000000"/>
                <w:sz w:val="22"/>
              </w:rPr>
              <w:t>$84,538,012</w:t>
            </w:r>
          </w:p>
        </w:tc>
        <w:tc>
          <w:tcPr>
            <w:tcW w:w="1466" w:type="dxa"/>
          </w:tcPr>
          <w:p w:rsidRPr="00CE1C3E" w:rsidR="00007305" w:rsidP="00CF4705" w:rsidRDefault="00007305" w14:paraId="36A61FF3" w14:textId="77777777">
            <w:pPr>
              <w:keepNext/>
              <w:keepLines/>
              <w:spacing w:line="240" w:lineRule="auto"/>
              <w:ind w:firstLine="0"/>
              <w:jc w:val="center"/>
              <w:rPr>
                <w:rFonts w:ascii="Calibri" w:hAnsi="Calibri"/>
                <w:color w:val="000000"/>
                <w:sz w:val="22"/>
              </w:rPr>
            </w:pPr>
            <w:r w:rsidRPr="00440504">
              <w:rPr>
                <w:rFonts w:ascii="Calibri" w:hAnsi="Calibri"/>
                <w:color w:val="000000"/>
                <w:sz w:val="22"/>
              </w:rPr>
              <w:t>$606,587,202</w:t>
            </w:r>
          </w:p>
        </w:tc>
      </w:tr>
      <w:tr w:rsidRPr="00CE1C3E" w:rsidR="00007305" w:rsidTr="005925CE" w14:paraId="781E6E17" w14:textId="77777777">
        <w:tc>
          <w:tcPr>
            <w:tcW w:w="1465" w:type="dxa"/>
          </w:tcPr>
          <w:p w:rsidRPr="00CE1C3E" w:rsidR="00007305" w:rsidP="009E16D6" w:rsidRDefault="00007305" w14:paraId="77B71A38" w14:textId="77777777">
            <w:pPr>
              <w:keepNext/>
              <w:keepLines/>
              <w:spacing w:line="240" w:lineRule="auto"/>
              <w:ind w:firstLine="0"/>
              <w:rPr>
                <w:rFonts w:asciiTheme="minorHAnsi" w:hAnsiTheme="minorHAnsi"/>
                <w:sz w:val="22"/>
              </w:rPr>
            </w:pPr>
            <w:r w:rsidRPr="00CE1C3E">
              <w:rPr>
                <w:rFonts w:asciiTheme="minorHAnsi" w:hAnsiTheme="minorHAnsi"/>
                <w:sz w:val="22"/>
              </w:rPr>
              <w:t>Number of CARE/FERA Customers in Arrears</w:t>
            </w:r>
          </w:p>
        </w:tc>
        <w:tc>
          <w:tcPr>
            <w:tcW w:w="1589" w:type="dxa"/>
          </w:tcPr>
          <w:p w:rsidRPr="00CE1C3E" w:rsidR="00007305" w:rsidP="00CF4705" w:rsidRDefault="00007305" w14:paraId="4675C157" w14:textId="77777777">
            <w:pPr>
              <w:keepNext/>
              <w:keepLines/>
              <w:spacing w:line="240" w:lineRule="auto"/>
              <w:ind w:firstLine="0"/>
              <w:jc w:val="center"/>
              <w:rPr>
                <w:rFonts w:ascii="Calibri" w:hAnsi="Calibri"/>
                <w:color w:val="000000"/>
                <w:sz w:val="22"/>
              </w:rPr>
            </w:pPr>
            <w:r w:rsidRPr="00CE1C3E">
              <w:rPr>
                <w:rFonts w:ascii="Calibri" w:hAnsi="Calibri"/>
                <w:color w:val="000000"/>
                <w:sz w:val="22"/>
              </w:rPr>
              <w:t>487,041</w:t>
            </w:r>
          </w:p>
        </w:tc>
        <w:tc>
          <w:tcPr>
            <w:tcW w:w="1544" w:type="dxa"/>
          </w:tcPr>
          <w:p w:rsidRPr="00CE1C3E" w:rsidR="00007305" w:rsidP="00CF4705" w:rsidRDefault="00007305" w14:paraId="2E870F22" w14:textId="77777777">
            <w:pPr>
              <w:keepNext/>
              <w:keepLines/>
              <w:spacing w:line="240" w:lineRule="auto"/>
              <w:ind w:firstLine="0"/>
              <w:jc w:val="center"/>
              <w:rPr>
                <w:rFonts w:ascii="Calibri" w:hAnsi="Calibri"/>
                <w:color w:val="000000"/>
                <w:sz w:val="22"/>
              </w:rPr>
            </w:pPr>
            <w:r w:rsidRPr="00CE1C3E">
              <w:rPr>
                <w:rFonts w:ascii="Calibri" w:hAnsi="Calibri"/>
                <w:color w:val="000000"/>
                <w:sz w:val="22"/>
              </w:rPr>
              <w:t>311,813</w:t>
            </w:r>
          </w:p>
        </w:tc>
        <w:tc>
          <w:tcPr>
            <w:tcW w:w="1620" w:type="dxa"/>
          </w:tcPr>
          <w:p w:rsidRPr="00CE1C3E" w:rsidR="00007305" w:rsidP="00CF4705" w:rsidRDefault="00007305" w14:paraId="0E5C4DBE" w14:textId="77777777">
            <w:pPr>
              <w:keepNext/>
              <w:keepLines/>
              <w:spacing w:line="240" w:lineRule="auto"/>
              <w:ind w:firstLine="0"/>
              <w:jc w:val="center"/>
              <w:rPr>
                <w:rFonts w:ascii="Calibri" w:hAnsi="Calibri"/>
                <w:color w:val="000000"/>
                <w:sz w:val="22"/>
              </w:rPr>
            </w:pPr>
            <w:r w:rsidRPr="00CE1C3E">
              <w:rPr>
                <w:rFonts w:ascii="Calibri" w:hAnsi="Calibri"/>
                <w:color w:val="000000"/>
                <w:sz w:val="22"/>
              </w:rPr>
              <w:t>141,097</w:t>
            </w:r>
          </w:p>
        </w:tc>
        <w:tc>
          <w:tcPr>
            <w:tcW w:w="1666" w:type="dxa"/>
          </w:tcPr>
          <w:p w:rsidRPr="00CE1C3E" w:rsidR="00007305" w:rsidP="00CF4705" w:rsidRDefault="00007305" w14:paraId="061F22F5" w14:textId="77777777">
            <w:pPr>
              <w:keepNext/>
              <w:keepLines/>
              <w:spacing w:line="240" w:lineRule="auto"/>
              <w:ind w:firstLine="0"/>
              <w:jc w:val="center"/>
              <w:rPr>
                <w:rFonts w:ascii="Calibri" w:hAnsi="Calibri"/>
                <w:color w:val="000000"/>
                <w:sz w:val="22"/>
              </w:rPr>
            </w:pPr>
            <w:r w:rsidRPr="00CE1C3E">
              <w:rPr>
                <w:rFonts w:ascii="Calibri" w:hAnsi="Calibri"/>
                <w:color w:val="000000"/>
                <w:sz w:val="22"/>
              </w:rPr>
              <w:t>536,803</w:t>
            </w:r>
          </w:p>
        </w:tc>
        <w:tc>
          <w:tcPr>
            <w:tcW w:w="1466" w:type="dxa"/>
          </w:tcPr>
          <w:p w:rsidRPr="00CE1C3E" w:rsidR="00007305" w:rsidP="00CF4705" w:rsidRDefault="00007305" w14:paraId="738CB591" w14:textId="77777777">
            <w:pPr>
              <w:keepNext/>
              <w:keepLines/>
              <w:spacing w:line="240" w:lineRule="auto"/>
              <w:ind w:firstLine="0"/>
              <w:jc w:val="center"/>
              <w:rPr>
                <w:rFonts w:ascii="Calibri" w:hAnsi="Calibri"/>
                <w:color w:val="000000"/>
                <w:sz w:val="22"/>
              </w:rPr>
            </w:pPr>
            <w:r w:rsidRPr="00CE1C3E">
              <w:rPr>
                <w:rFonts w:ascii="Calibri" w:hAnsi="Calibri"/>
                <w:color w:val="000000"/>
                <w:sz w:val="22"/>
              </w:rPr>
              <w:t>1,476,754</w:t>
            </w:r>
          </w:p>
        </w:tc>
      </w:tr>
      <w:tr w:rsidRPr="00CE1C3E" w:rsidR="00007305" w:rsidTr="005925CE" w14:paraId="66617F12" w14:textId="77777777">
        <w:tc>
          <w:tcPr>
            <w:tcW w:w="1465" w:type="dxa"/>
          </w:tcPr>
          <w:p w:rsidRPr="00CE1C3E" w:rsidR="00007305" w:rsidP="005925CE" w:rsidRDefault="00007305" w14:paraId="42725048" w14:textId="77777777">
            <w:pPr>
              <w:spacing w:line="240" w:lineRule="auto"/>
              <w:ind w:firstLine="0"/>
              <w:rPr>
                <w:rFonts w:asciiTheme="minorHAnsi" w:hAnsiTheme="minorHAnsi"/>
                <w:sz w:val="22"/>
              </w:rPr>
            </w:pPr>
            <w:r w:rsidRPr="00CE1C3E">
              <w:rPr>
                <w:rFonts w:asciiTheme="minorHAnsi" w:hAnsiTheme="minorHAnsi"/>
                <w:sz w:val="22"/>
              </w:rPr>
              <w:t>Percent of CARE/FERA Customers in Arrears</w:t>
            </w:r>
          </w:p>
        </w:tc>
        <w:tc>
          <w:tcPr>
            <w:tcW w:w="1589" w:type="dxa"/>
          </w:tcPr>
          <w:p w:rsidRPr="00CE1C3E" w:rsidR="00007305" w:rsidP="00CF4705" w:rsidRDefault="00007305" w14:paraId="367EB199" w14:textId="77777777">
            <w:pPr>
              <w:spacing w:line="240" w:lineRule="auto"/>
              <w:ind w:firstLine="0"/>
              <w:jc w:val="center"/>
              <w:rPr>
                <w:rFonts w:ascii="Calibri" w:hAnsi="Calibri"/>
                <w:color w:val="000000"/>
                <w:sz w:val="22"/>
              </w:rPr>
            </w:pPr>
            <w:r w:rsidRPr="00CE1C3E">
              <w:rPr>
                <w:rFonts w:ascii="Calibri" w:hAnsi="Calibri"/>
                <w:color w:val="000000"/>
                <w:sz w:val="22"/>
              </w:rPr>
              <w:t>30.95%</w:t>
            </w:r>
          </w:p>
        </w:tc>
        <w:tc>
          <w:tcPr>
            <w:tcW w:w="1544" w:type="dxa"/>
          </w:tcPr>
          <w:p w:rsidRPr="00CE1C3E" w:rsidR="00007305" w:rsidP="00CF4705" w:rsidRDefault="00007305" w14:paraId="35701373" w14:textId="77777777">
            <w:pPr>
              <w:spacing w:line="240" w:lineRule="auto"/>
              <w:ind w:firstLine="0"/>
              <w:jc w:val="center"/>
              <w:rPr>
                <w:rFonts w:ascii="Calibri" w:hAnsi="Calibri"/>
                <w:color w:val="000000"/>
                <w:sz w:val="22"/>
              </w:rPr>
            </w:pPr>
            <w:r w:rsidRPr="00CE1C3E">
              <w:rPr>
                <w:rFonts w:ascii="Calibri" w:hAnsi="Calibri"/>
                <w:color w:val="000000"/>
                <w:sz w:val="22"/>
              </w:rPr>
              <w:t>21.28%</w:t>
            </w:r>
          </w:p>
        </w:tc>
        <w:tc>
          <w:tcPr>
            <w:tcW w:w="1620" w:type="dxa"/>
          </w:tcPr>
          <w:p w:rsidRPr="00CE1C3E" w:rsidR="00007305" w:rsidP="00CF4705" w:rsidRDefault="00007305" w14:paraId="27A6E697" w14:textId="77777777">
            <w:pPr>
              <w:spacing w:line="240" w:lineRule="auto"/>
              <w:ind w:firstLine="0"/>
              <w:jc w:val="center"/>
              <w:rPr>
                <w:rFonts w:ascii="Calibri" w:hAnsi="Calibri"/>
                <w:color w:val="000000"/>
                <w:sz w:val="22"/>
              </w:rPr>
            </w:pPr>
            <w:r w:rsidRPr="00CE1C3E">
              <w:rPr>
                <w:rFonts w:ascii="Calibri" w:hAnsi="Calibri"/>
                <w:color w:val="000000"/>
                <w:sz w:val="22"/>
              </w:rPr>
              <w:t>41.08%</w:t>
            </w:r>
          </w:p>
        </w:tc>
        <w:tc>
          <w:tcPr>
            <w:tcW w:w="1666" w:type="dxa"/>
          </w:tcPr>
          <w:p w:rsidRPr="00CE1C3E" w:rsidR="00007305" w:rsidP="00CF4705" w:rsidRDefault="00007305" w14:paraId="48E8F118" w14:textId="77777777">
            <w:pPr>
              <w:spacing w:line="240" w:lineRule="auto"/>
              <w:ind w:firstLine="0"/>
              <w:jc w:val="center"/>
              <w:rPr>
                <w:rFonts w:ascii="Calibri" w:hAnsi="Calibri"/>
                <w:color w:val="000000"/>
                <w:sz w:val="22"/>
              </w:rPr>
            </w:pPr>
            <w:r w:rsidRPr="00CE1C3E">
              <w:rPr>
                <w:rFonts w:ascii="Calibri" w:hAnsi="Calibri"/>
                <w:color w:val="000000"/>
                <w:sz w:val="22"/>
              </w:rPr>
              <w:t>29.88%</w:t>
            </w:r>
          </w:p>
        </w:tc>
        <w:tc>
          <w:tcPr>
            <w:tcW w:w="1466" w:type="dxa"/>
          </w:tcPr>
          <w:p w:rsidRPr="00CE1C3E" w:rsidR="00007305" w:rsidP="00CF4705" w:rsidRDefault="00007305" w14:paraId="2B75EF13" w14:textId="77777777">
            <w:pPr>
              <w:spacing w:line="240" w:lineRule="auto"/>
              <w:ind w:firstLine="0"/>
              <w:jc w:val="center"/>
              <w:rPr>
                <w:rFonts w:ascii="Calibri" w:hAnsi="Calibri"/>
                <w:color w:val="000000"/>
                <w:sz w:val="22"/>
              </w:rPr>
            </w:pPr>
            <w:r w:rsidRPr="00CE1C3E">
              <w:rPr>
                <w:rFonts w:ascii="Calibri" w:hAnsi="Calibri"/>
                <w:color w:val="000000"/>
                <w:sz w:val="22"/>
              </w:rPr>
              <w:t>28.51%</w:t>
            </w:r>
          </w:p>
        </w:tc>
      </w:tr>
      <w:tr w:rsidRPr="00CE1C3E" w:rsidR="00007305" w:rsidTr="005925CE" w14:paraId="0CC2A9D7" w14:textId="77777777">
        <w:tc>
          <w:tcPr>
            <w:tcW w:w="1465" w:type="dxa"/>
          </w:tcPr>
          <w:p w:rsidRPr="00CE1C3E" w:rsidR="00007305" w:rsidP="005925CE" w:rsidRDefault="00007305" w14:paraId="4554C735" w14:textId="77777777">
            <w:pPr>
              <w:spacing w:line="240" w:lineRule="auto"/>
              <w:ind w:firstLine="0"/>
              <w:rPr>
                <w:rFonts w:asciiTheme="minorHAnsi" w:hAnsiTheme="minorHAnsi"/>
                <w:sz w:val="22"/>
              </w:rPr>
            </w:pPr>
            <w:r>
              <w:rPr>
                <w:rFonts w:asciiTheme="minorHAnsi" w:hAnsiTheme="minorHAnsi"/>
                <w:sz w:val="22"/>
              </w:rPr>
              <w:t>$</w:t>
            </w:r>
            <w:r w:rsidRPr="00CE1C3E">
              <w:rPr>
                <w:rFonts w:asciiTheme="minorHAnsi" w:hAnsiTheme="minorHAnsi"/>
                <w:sz w:val="22"/>
              </w:rPr>
              <w:t xml:space="preserve"> </w:t>
            </w:r>
            <w:r>
              <w:rPr>
                <w:rFonts w:asciiTheme="minorHAnsi" w:hAnsiTheme="minorHAnsi"/>
                <w:sz w:val="22"/>
              </w:rPr>
              <w:t>in Arrears, non-</w:t>
            </w:r>
            <w:r w:rsidRPr="00CE1C3E">
              <w:rPr>
                <w:rFonts w:asciiTheme="minorHAnsi" w:hAnsiTheme="minorHAnsi"/>
                <w:sz w:val="22"/>
              </w:rPr>
              <w:t>CARE/FERA Customers</w:t>
            </w:r>
          </w:p>
        </w:tc>
        <w:tc>
          <w:tcPr>
            <w:tcW w:w="1589" w:type="dxa"/>
          </w:tcPr>
          <w:p w:rsidRPr="00CE1C3E" w:rsidR="00007305" w:rsidP="00CF4705" w:rsidRDefault="00007305" w14:paraId="606B04C8" w14:textId="77777777">
            <w:pPr>
              <w:spacing w:line="240" w:lineRule="auto"/>
              <w:ind w:firstLine="0"/>
              <w:jc w:val="center"/>
              <w:rPr>
                <w:rFonts w:ascii="Calibri" w:hAnsi="Calibri"/>
                <w:color w:val="000000"/>
                <w:sz w:val="22"/>
              </w:rPr>
            </w:pPr>
            <w:r w:rsidRPr="00440504">
              <w:rPr>
                <w:rFonts w:ascii="Calibri" w:hAnsi="Calibri"/>
                <w:color w:val="000000"/>
                <w:sz w:val="22"/>
              </w:rPr>
              <w:t>$338,963,776</w:t>
            </w:r>
          </w:p>
        </w:tc>
        <w:tc>
          <w:tcPr>
            <w:tcW w:w="1544" w:type="dxa"/>
          </w:tcPr>
          <w:p w:rsidRPr="00CE1C3E" w:rsidR="00007305" w:rsidP="00CF4705" w:rsidRDefault="00007305" w14:paraId="04A36645" w14:textId="77777777">
            <w:pPr>
              <w:spacing w:line="240" w:lineRule="auto"/>
              <w:ind w:firstLine="0"/>
              <w:jc w:val="center"/>
              <w:rPr>
                <w:rFonts w:ascii="Calibri" w:hAnsi="Calibri"/>
                <w:color w:val="000000"/>
                <w:sz w:val="22"/>
              </w:rPr>
            </w:pPr>
            <w:r w:rsidRPr="00440504">
              <w:rPr>
                <w:rFonts w:ascii="Calibri" w:hAnsi="Calibri"/>
                <w:color w:val="000000"/>
                <w:sz w:val="22"/>
              </w:rPr>
              <w:t>$193,798,751</w:t>
            </w:r>
          </w:p>
        </w:tc>
        <w:tc>
          <w:tcPr>
            <w:tcW w:w="1620" w:type="dxa"/>
          </w:tcPr>
          <w:p w:rsidRPr="00CE1C3E" w:rsidR="00007305" w:rsidP="00CF4705" w:rsidRDefault="00007305" w14:paraId="0B9710FA" w14:textId="77777777">
            <w:pPr>
              <w:spacing w:line="240" w:lineRule="auto"/>
              <w:ind w:firstLine="0"/>
              <w:jc w:val="center"/>
              <w:rPr>
                <w:rFonts w:ascii="Calibri" w:hAnsi="Calibri"/>
                <w:color w:val="000000"/>
                <w:sz w:val="22"/>
              </w:rPr>
            </w:pPr>
            <w:r w:rsidRPr="00440504">
              <w:rPr>
                <w:rFonts w:ascii="Calibri" w:hAnsi="Calibri"/>
                <w:color w:val="000000"/>
                <w:sz w:val="22"/>
              </w:rPr>
              <w:t>$94,267,428</w:t>
            </w:r>
          </w:p>
        </w:tc>
        <w:tc>
          <w:tcPr>
            <w:tcW w:w="1666" w:type="dxa"/>
          </w:tcPr>
          <w:p w:rsidRPr="00CE1C3E" w:rsidR="00007305" w:rsidP="00CF4705" w:rsidRDefault="00007305" w14:paraId="3D730B3B" w14:textId="77777777">
            <w:pPr>
              <w:spacing w:line="240" w:lineRule="auto"/>
              <w:ind w:firstLine="0"/>
              <w:jc w:val="center"/>
              <w:rPr>
                <w:rFonts w:ascii="Calibri" w:hAnsi="Calibri"/>
                <w:color w:val="000000"/>
                <w:sz w:val="22"/>
              </w:rPr>
            </w:pPr>
            <w:r w:rsidRPr="00440504">
              <w:rPr>
                <w:rFonts w:ascii="Calibri" w:hAnsi="Calibri"/>
                <w:color w:val="000000"/>
                <w:sz w:val="22"/>
              </w:rPr>
              <w:t>$101,194,928</w:t>
            </w:r>
          </w:p>
        </w:tc>
        <w:tc>
          <w:tcPr>
            <w:tcW w:w="1466" w:type="dxa"/>
          </w:tcPr>
          <w:p w:rsidRPr="00CE1C3E" w:rsidR="00007305" w:rsidP="00CF4705" w:rsidRDefault="00007305" w14:paraId="0182AA0F" w14:textId="77777777">
            <w:pPr>
              <w:spacing w:line="240" w:lineRule="auto"/>
              <w:ind w:firstLine="0"/>
              <w:jc w:val="center"/>
              <w:rPr>
                <w:rFonts w:ascii="Calibri" w:hAnsi="Calibri"/>
                <w:color w:val="000000"/>
                <w:sz w:val="22"/>
              </w:rPr>
            </w:pPr>
            <w:r w:rsidRPr="00440504">
              <w:rPr>
                <w:rFonts w:ascii="Calibri" w:hAnsi="Calibri"/>
                <w:color w:val="000000"/>
                <w:sz w:val="22"/>
              </w:rPr>
              <w:t>$728,224,884</w:t>
            </w:r>
          </w:p>
        </w:tc>
      </w:tr>
      <w:tr w:rsidRPr="00CE1C3E" w:rsidR="00007305" w:rsidTr="005925CE" w14:paraId="638A1FAF" w14:textId="77777777">
        <w:tc>
          <w:tcPr>
            <w:tcW w:w="1465" w:type="dxa"/>
          </w:tcPr>
          <w:p w:rsidRPr="00CE1C3E" w:rsidR="00007305" w:rsidP="005925CE" w:rsidRDefault="00007305" w14:paraId="22FA4CEA" w14:textId="77777777">
            <w:pPr>
              <w:spacing w:line="240" w:lineRule="auto"/>
              <w:ind w:firstLine="0"/>
              <w:rPr>
                <w:rFonts w:asciiTheme="minorHAnsi" w:hAnsiTheme="minorHAnsi"/>
                <w:sz w:val="22"/>
              </w:rPr>
            </w:pPr>
            <w:r w:rsidRPr="00CE1C3E">
              <w:rPr>
                <w:rFonts w:asciiTheme="minorHAnsi" w:hAnsiTheme="minorHAnsi"/>
                <w:sz w:val="22"/>
              </w:rPr>
              <w:t>Number of non-</w:t>
            </w:r>
            <w:r w:rsidRPr="00CE1C3E">
              <w:rPr>
                <w:rFonts w:asciiTheme="minorHAnsi" w:hAnsiTheme="minorHAnsi"/>
                <w:sz w:val="22"/>
              </w:rPr>
              <w:lastRenderedPageBreak/>
              <w:t>CARE/FERA Customers in Arrears</w:t>
            </w:r>
          </w:p>
        </w:tc>
        <w:tc>
          <w:tcPr>
            <w:tcW w:w="1589" w:type="dxa"/>
          </w:tcPr>
          <w:p w:rsidRPr="00CE1C3E" w:rsidR="00007305" w:rsidP="00CF4705" w:rsidRDefault="00007305" w14:paraId="776567A3" w14:textId="77777777">
            <w:pPr>
              <w:spacing w:line="240" w:lineRule="auto"/>
              <w:ind w:firstLine="0"/>
              <w:jc w:val="center"/>
              <w:rPr>
                <w:rFonts w:ascii="Calibri" w:hAnsi="Calibri"/>
                <w:color w:val="000000"/>
                <w:sz w:val="22"/>
              </w:rPr>
            </w:pPr>
            <w:r w:rsidRPr="00CE1C3E">
              <w:rPr>
                <w:rFonts w:ascii="Calibri" w:hAnsi="Calibri"/>
                <w:color w:val="000000"/>
                <w:sz w:val="22"/>
              </w:rPr>
              <w:lastRenderedPageBreak/>
              <w:t>563,168</w:t>
            </w:r>
          </w:p>
          <w:p w:rsidRPr="00CE1C3E" w:rsidR="00007305" w:rsidP="00CF4705" w:rsidRDefault="00007305" w14:paraId="0845CA5F" w14:textId="77777777">
            <w:pPr>
              <w:spacing w:line="240" w:lineRule="auto"/>
              <w:ind w:firstLine="0"/>
              <w:jc w:val="center"/>
              <w:rPr>
                <w:rFonts w:ascii="Calibri" w:hAnsi="Calibri"/>
                <w:color w:val="000000"/>
                <w:sz w:val="22"/>
              </w:rPr>
            </w:pPr>
          </w:p>
        </w:tc>
        <w:tc>
          <w:tcPr>
            <w:tcW w:w="1544" w:type="dxa"/>
          </w:tcPr>
          <w:p w:rsidRPr="00CE1C3E" w:rsidR="00007305" w:rsidP="00CF4705" w:rsidRDefault="00007305" w14:paraId="78715AD3" w14:textId="77777777">
            <w:pPr>
              <w:spacing w:line="240" w:lineRule="auto"/>
              <w:ind w:firstLine="0"/>
              <w:jc w:val="center"/>
              <w:rPr>
                <w:rFonts w:ascii="Calibri" w:hAnsi="Calibri"/>
                <w:color w:val="000000"/>
                <w:sz w:val="22"/>
              </w:rPr>
            </w:pPr>
            <w:r w:rsidRPr="00CE1C3E">
              <w:rPr>
                <w:rFonts w:ascii="Calibri" w:hAnsi="Calibri"/>
                <w:color w:val="000000"/>
                <w:sz w:val="22"/>
              </w:rPr>
              <w:t>307,142</w:t>
            </w:r>
          </w:p>
          <w:p w:rsidRPr="00CE1C3E" w:rsidR="00007305" w:rsidP="00CF4705" w:rsidRDefault="00007305" w14:paraId="2FB65953" w14:textId="77777777">
            <w:pPr>
              <w:spacing w:line="240" w:lineRule="auto"/>
              <w:ind w:firstLine="0"/>
              <w:jc w:val="center"/>
              <w:rPr>
                <w:rFonts w:ascii="Calibri" w:hAnsi="Calibri"/>
                <w:color w:val="000000"/>
                <w:sz w:val="22"/>
              </w:rPr>
            </w:pPr>
          </w:p>
        </w:tc>
        <w:tc>
          <w:tcPr>
            <w:tcW w:w="1620" w:type="dxa"/>
          </w:tcPr>
          <w:p w:rsidRPr="00CE1C3E" w:rsidR="00007305" w:rsidP="00CF4705" w:rsidRDefault="00007305" w14:paraId="018D849F" w14:textId="77777777">
            <w:pPr>
              <w:spacing w:line="240" w:lineRule="auto"/>
              <w:ind w:firstLine="0"/>
              <w:jc w:val="center"/>
              <w:rPr>
                <w:rFonts w:ascii="Calibri" w:hAnsi="Calibri"/>
                <w:color w:val="000000"/>
                <w:sz w:val="22"/>
              </w:rPr>
            </w:pPr>
            <w:r w:rsidRPr="00CE1C3E">
              <w:rPr>
                <w:rFonts w:ascii="Calibri" w:hAnsi="Calibri"/>
                <w:color w:val="000000"/>
                <w:sz w:val="22"/>
              </w:rPr>
              <w:t>343,979</w:t>
            </w:r>
          </w:p>
          <w:p w:rsidRPr="00CE1C3E" w:rsidR="00007305" w:rsidP="00CF4705" w:rsidRDefault="00007305" w14:paraId="2D257578" w14:textId="77777777">
            <w:pPr>
              <w:spacing w:line="240" w:lineRule="auto"/>
              <w:ind w:firstLine="0"/>
              <w:jc w:val="center"/>
              <w:rPr>
                <w:rFonts w:ascii="Calibri" w:hAnsi="Calibri"/>
                <w:color w:val="000000"/>
                <w:sz w:val="22"/>
              </w:rPr>
            </w:pPr>
          </w:p>
        </w:tc>
        <w:tc>
          <w:tcPr>
            <w:tcW w:w="1666" w:type="dxa"/>
          </w:tcPr>
          <w:p w:rsidRPr="00CE1C3E" w:rsidR="00007305" w:rsidP="00CF4705" w:rsidRDefault="00007305" w14:paraId="11184ECB" w14:textId="77777777">
            <w:pPr>
              <w:spacing w:line="240" w:lineRule="auto"/>
              <w:ind w:firstLine="0"/>
              <w:jc w:val="center"/>
              <w:rPr>
                <w:rFonts w:ascii="Calibri" w:hAnsi="Calibri"/>
                <w:color w:val="000000"/>
                <w:sz w:val="22"/>
              </w:rPr>
            </w:pPr>
            <w:r w:rsidRPr="00CE1C3E">
              <w:rPr>
                <w:rFonts w:ascii="Calibri" w:hAnsi="Calibri"/>
                <w:color w:val="000000"/>
                <w:sz w:val="22"/>
              </w:rPr>
              <w:t>613,058</w:t>
            </w:r>
          </w:p>
          <w:p w:rsidRPr="00CE1C3E" w:rsidR="00007305" w:rsidP="00CF4705" w:rsidRDefault="00007305" w14:paraId="6C938AB0" w14:textId="77777777">
            <w:pPr>
              <w:spacing w:line="240" w:lineRule="auto"/>
              <w:ind w:firstLine="0"/>
              <w:jc w:val="center"/>
              <w:rPr>
                <w:rFonts w:ascii="Calibri" w:hAnsi="Calibri"/>
                <w:color w:val="000000"/>
                <w:sz w:val="22"/>
              </w:rPr>
            </w:pPr>
          </w:p>
        </w:tc>
        <w:tc>
          <w:tcPr>
            <w:tcW w:w="1466" w:type="dxa"/>
          </w:tcPr>
          <w:p w:rsidRPr="00CE1C3E" w:rsidR="00007305" w:rsidP="00CF4705" w:rsidRDefault="00007305" w14:paraId="733C6853" w14:textId="77777777">
            <w:pPr>
              <w:spacing w:line="240" w:lineRule="auto"/>
              <w:ind w:firstLine="0"/>
              <w:jc w:val="center"/>
              <w:rPr>
                <w:rFonts w:ascii="Calibri" w:hAnsi="Calibri"/>
                <w:color w:val="000000"/>
                <w:sz w:val="22"/>
              </w:rPr>
            </w:pPr>
            <w:r w:rsidRPr="00CE1C3E">
              <w:rPr>
                <w:rFonts w:ascii="Calibri" w:hAnsi="Calibri"/>
                <w:color w:val="000000"/>
                <w:sz w:val="22"/>
              </w:rPr>
              <w:t>1,827,347</w:t>
            </w:r>
          </w:p>
          <w:p w:rsidRPr="00CE1C3E" w:rsidR="00007305" w:rsidP="00CF4705" w:rsidRDefault="00007305" w14:paraId="6F7B2D6A" w14:textId="77777777">
            <w:pPr>
              <w:spacing w:line="240" w:lineRule="auto"/>
              <w:ind w:firstLine="0"/>
              <w:jc w:val="center"/>
              <w:rPr>
                <w:rFonts w:ascii="Calibri" w:hAnsi="Calibri"/>
                <w:color w:val="000000"/>
                <w:sz w:val="22"/>
              </w:rPr>
            </w:pPr>
          </w:p>
        </w:tc>
      </w:tr>
      <w:tr w:rsidRPr="00CE1C3E" w:rsidR="00007305" w:rsidTr="005925CE" w14:paraId="12EDC726" w14:textId="77777777">
        <w:tc>
          <w:tcPr>
            <w:tcW w:w="1465" w:type="dxa"/>
          </w:tcPr>
          <w:p w:rsidRPr="00CE1C3E" w:rsidR="00007305" w:rsidP="005925CE" w:rsidRDefault="00007305" w14:paraId="44EE773B" w14:textId="77777777">
            <w:pPr>
              <w:spacing w:line="240" w:lineRule="auto"/>
              <w:ind w:firstLine="0"/>
              <w:rPr>
                <w:rFonts w:asciiTheme="minorHAnsi" w:hAnsiTheme="minorHAnsi"/>
                <w:sz w:val="22"/>
              </w:rPr>
            </w:pPr>
            <w:r w:rsidRPr="00CE1C3E">
              <w:rPr>
                <w:rFonts w:asciiTheme="minorHAnsi" w:hAnsiTheme="minorHAnsi"/>
                <w:sz w:val="22"/>
              </w:rPr>
              <w:t>Percent of non-CARE/FERA Customers in Arrears</w:t>
            </w:r>
          </w:p>
        </w:tc>
        <w:tc>
          <w:tcPr>
            <w:tcW w:w="1589" w:type="dxa"/>
          </w:tcPr>
          <w:p w:rsidRPr="00CE1C3E" w:rsidR="00007305" w:rsidP="00CF4705" w:rsidRDefault="00007305" w14:paraId="0B60F98A" w14:textId="77777777">
            <w:pPr>
              <w:spacing w:line="240" w:lineRule="auto"/>
              <w:ind w:firstLine="0"/>
              <w:jc w:val="center"/>
              <w:rPr>
                <w:rFonts w:ascii="Calibri" w:hAnsi="Calibri"/>
                <w:color w:val="000000"/>
                <w:sz w:val="22"/>
              </w:rPr>
            </w:pPr>
            <w:r w:rsidRPr="00CE1C3E">
              <w:rPr>
                <w:rFonts w:ascii="Calibri" w:hAnsi="Calibri"/>
                <w:color w:val="000000"/>
                <w:sz w:val="22"/>
              </w:rPr>
              <w:t>14.28%</w:t>
            </w:r>
          </w:p>
          <w:p w:rsidRPr="00CE1C3E" w:rsidR="00007305" w:rsidP="00CF4705" w:rsidRDefault="00007305" w14:paraId="2251D437" w14:textId="77777777">
            <w:pPr>
              <w:spacing w:line="240" w:lineRule="auto"/>
              <w:ind w:firstLine="0"/>
              <w:jc w:val="center"/>
              <w:rPr>
                <w:rFonts w:ascii="Calibri" w:hAnsi="Calibri"/>
                <w:color w:val="000000"/>
                <w:sz w:val="22"/>
              </w:rPr>
            </w:pPr>
          </w:p>
        </w:tc>
        <w:tc>
          <w:tcPr>
            <w:tcW w:w="1544" w:type="dxa"/>
          </w:tcPr>
          <w:p w:rsidRPr="00CE1C3E" w:rsidR="00007305" w:rsidP="00CF4705" w:rsidRDefault="00007305" w14:paraId="3846F47C" w14:textId="77777777">
            <w:pPr>
              <w:spacing w:line="240" w:lineRule="auto"/>
              <w:ind w:firstLine="0"/>
              <w:jc w:val="center"/>
              <w:rPr>
                <w:rFonts w:ascii="Calibri" w:hAnsi="Calibri"/>
                <w:color w:val="000000"/>
                <w:sz w:val="22"/>
              </w:rPr>
            </w:pPr>
            <w:r w:rsidRPr="00CE1C3E">
              <w:rPr>
                <w:rFonts w:ascii="Calibri" w:hAnsi="Calibri"/>
                <w:color w:val="000000"/>
                <w:sz w:val="22"/>
              </w:rPr>
              <w:t>9.86%</w:t>
            </w:r>
          </w:p>
          <w:p w:rsidRPr="00CE1C3E" w:rsidR="00007305" w:rsidP="00CF4705" w:rsidRDefault="00007305" w14:paraId="151DFCDC" w14:textId="77777777">
            <w:pPr>
              <w:spacing w:line="240" w:lineRule="auto"/>
              <w:ind w:firstLine="0"/>
              <w:jc w:val="center"/>
              <w:rPr>
                <w:rFonts w:ascii="Calibri" w:hAnsi="Calibri"/>
                <w:color w:val="000000"/>
                <w:sz w:val="22"/>
              </w:rPr>
            </w:pPr>
          </w:p>
          <w:p w:rsidRPr="00CE1C3E" w:rsidR="00007305" w:rsidP="00CF4705" w:rsidRDefault="00007305" w14:paraId="3A7A4629" w14:textId="77777777">
            <w:pPr>
              <w:spacing w:line="240" w:lineRule="auto"/>
              <w:ind w:firstLine="0"/>
              <w:jc w:val="center"/>
              <w:rPr>
                <w:rFonts w:ascii="Calibri" w:hAnsi="Calibri"/>
                <w:sz w:val="22"/>
              </w:rPr>
            </w:pPr>
          </w:p>
        </w:tc>
        <w:tc>
          <w:tcPr>
            <w:tcW w:w="1620" w:type="dxa"/>
          </w:tcPr>
          <w:p w:rsidRPr="00CE1C3E" w:rsidR="00007305" w:rsidP="00CF4705" w:rsidRDefault="00007305" w14:paraId="7FE25C3F" w14:textId="77777777">
            <w:pPr>
              <w:spacing w:line="240" w:lineRule="auto"/>
              <w:ind w:firstLine="0"/>
              <w:jc w:val="center"/>
              <w:rPr>
                <w:rFonts w:ascii="Calibri" w:hAnsi="Calibri"/>
                <w:color w:val="000000"/>
                <w:sz w:val="22"/>
              </w:rPr>
            </w:pPr>
            <w:r w:rsidRPr="00CE1C3E">
              <w:rPr>
                <w:rFonts w:ascii="Calibri" w:hAnsi="Calibri"/>
                <w:color w:val="000000"/>
                <w:sz w:val="22"/>
              </w:rPr>
              <w:t>34.92%</w:t>
            </w:r>
          </w:p>
          <w:p w:rsidRPr="00CE1C3E" w:rsidR="00007305" w:rsidP="00CF4705" w:rsidRDefault="00007305" w14:paraId="29F9D66C" w14:textId="77777777">
            <w:pPr>
              <w:spacing w:line="240" w:lineRule="auto"/>
              <w:ind w:firstLine="0"/>
              <w:jc w:val="center"/>
              <w:rPr>
                <w:rFonts w:ascii="Calibri" w:hAnsi="Calibri"/>
                <w:color w:val="000000"/>
                <w:sz w:val="22"/>
              </w:rPr>
            </w:pPr>
          </w:p>
        </w:tc>
        <w:tc>
          <w:tcPr>
            <w:tcW w:w="1666" w:type="dxa"/>
          </w:tcPr>
          <w:p w:rsidRPr="00CE1C3E" w:rsidR="00007305" w:rsidP="00CF4705" w:rsidRDefault="00007305" w14:paraId="70A3B8AF" w14:textId="77777777">
            <w:pPr>
              <w:spacing w:line="240" w:lineRule="auto"/>
              <w:ind w:firstLine="0"/>
              <w:jc w:val="center"/>
              <w:rPr>
                <w:rFonts w:ascii="Calibri" w:hAnsi="Calibri"/>
                <w:color w:val="000000"/>
                <w:sz w:val="22"/>
              </w:rPr>
            </w:pPr>
            <w:r w:rsidRPr="00CE1C3E">
              <w:rPr>
                <w:rFonts w:ascii="Calibri" w:hAnsi="Calibri"/>
                <w:color w:val="000000"/>
                <w:sz w:val="22"/>
              </w:rPr>
              <w:t>15.87%</w:t>
            </w:r>
          </w:p>
          <w:p w:rsidRPr="00CE1C3E" w:rsidR="00007305" w:rsidP="00CF4705" w:rsidRDefault="00007305" w14:paraId="53F10E67" w14:textId="77777777">
            <w:pPr>
              <w:spacing w:line="240" w:lineRule="auto"/>
              <w:ind w:firstLine="0"/>
              <w:jc w:val="center"/>
              <w:rPr>
                <w:rFonts w:ascii="Calibri" w:hAnsi="Calibri"/>
                <w:color w:val="000000"/>
                <w:sz w:val="22"/>
              </w:rPr>
            </w:pPr>
          </w:p>
        </w:tc>
        <w:tc>
          <w:tcPr>
            <w:tcW w:w="1466" w:type="dxa"/>
          </w:tcPr>
          <w:p w:rsidRPr="00CE1C3E" w:rsidR="00007305" w:rsidP="00CF4705" w:rsidRDefault="00007305" w14:paraId="61C276EF" w14:textId="77777777">
            <w:pPr>
              <w:spacing w:line="240" w:lineRule="auto"/>
              <w:ind w:firstLine="0"/>
              <w:jc w:val="center"/>
              <w:rPr>
                <w:rFonts w:ascii="Calibri" w:hAnsi="Calibri"/>
                <w:color w:val="000000"/>
                <w:sz w:val="22"/>
              </w:rPr>
            </w:pPr>
            <w:r w:rsidRPr="00CE1C3E">
              <w:rPr>
                <w:rFonts w:ascii="Calibri" w:hAnsi="Calibri"/>
                <w:color w:val="000000"/>
                <w:sz w:val="22"/>
              </w:rPr>
              <w:t>15.34%</w:t>
            </w:r>
          </w:p>
          <w:p w:rsidRPr="00CE1C3E" w:rsidR="00007305" w:rsidP="00CF4705" w:rsidRDefault="00007305" w14:paraId="7C598FC7" w14:textId="77777777">
            <w:pPr>
              <w:spacing w:line="240" w:lineRule="auto"/>
              <w:ind w:firstLine="0"/>
              <w:jc w:val="center"/>
              <w:rPr>
                <w:rFonts w:ascii="Calibri" w:hAnsi="Calibri"/>
                <w:color w:val="000000"/>
                <w:sz w:val="22"/>
              </w:rPr>
            </w:pPr>
          </w:p>
        </w:tc>
      </w:tr>
    </w:tbl>
    <w:p w:rsidRPr="003A3448" w:rsidR="00007305" w:rsidP="00007305" w:rsidRDefault="00007305" w14:paraId="46FDA80A" w14:textId="5A4C5DAB">
      <w:pPr>
        <w:spacing w:line="240" w:lineRule="auto"/>
        <w:ind w:firstLine="0"/>
        <w:rPr>
          <w:i/>
          <w:iCs/>
          <w:sz w:val="20"/>
          <w:szCs w:val="20"/>
        </w:rPr>
      </w:pPr>
      <w:r w:rsidRPr="003A3448">
        <w:rPr>
          <w:i/>
          <w:iCs/>
          <w:sz w:val="20"/>
          <w:szCs w:val="20"/>
        </w:rPr>
        <w:t xml:space="preserve">Source: </w:t>
      </w:r>
      <w:r w:rsidRPr="003A3448" w:rsidR="003A3448">
        <w:rPr>
          <w:i/>
          <w:iCs/>
          <w:sz w:val="20"/>
          <w:szCs w:val="20"/>
        </w:rPr>
        <w:t xml:space="preserve"> </w:t>
      </w:r>
      <w:r w:rsidRPr="003A3448">
        <w:rPr>
          <w:i/>
          <w:iCs/>
          <w:sz w:val="20"/>
          <w:szCs w:val="20"/>
        </w:rPr>
        <w:t>Monthly Disconnection Reports filed in R.18-07-005 on April 20</w:t>
      </w:r>
      <w:r w:rsidRPr="003A3448">
        <w:rPr>
          <w:i/>
          <w:iCs/>
          <w:sz w:val="20"/>
          <w:szCs w:val="20"/>
          <w:vertAlign w:val="superscript"/>
        </w:rPr>
        <w:t>th</w:t>
      </w:r>
      <w:r w:rsidRPr="003A3448">
        <w:rPr>
          <w:i/>
          <w:iCs/>
          <w:sz w:val="20"/>
          <w:szCs w:val="20"/>
        </w:rPr>
        <w:t>, 2021 for data through March</w:t>
      </w:r>
      <w:r w:rsidRPr="003A3448" w:rsidR="003A3448">
        <w:rPr>
          <w:i/>
          <w:iCs/>
          <w:sz w:val="20"/>
          <w:szCs w:val="20"/>
        </w:rPr>
        <w:t> </w:t>
      </w:r>
      <w:r w:rsidR="003A3448">
        <w:rPr>
          <w:i/>
          <w:iCs/>
          <w:sz w:val="20"/>
          <w:szCs w:val="20"/>
        </w:rPr>
        <w:t>31,</w:t>
      </w:r>
      <w:r w:rsidRPr="003A3448">
        <w:rPr>
          <w:i/>
          <w:iCs/>
          <w:sz w:val="20"/>
          <w:szCs w:val="20"/>
        </w:rPr>
        <w:t xml:space="preserve"> 2021. </w:t>
      </w:r>
    </w:p>
    <w:p w:rsidR="00E21369" w:rsidP="003A3448" w:rsidRDefault="00DC4EF2" w14:paraId="1B556B44" w14:textId="3F06BB95">
      <w:pPr>
        <w:pStyle w:val="Standard"/>
        <w:spacing w:before="120"/>
      </w:pPr>
      <w:r>
        <w:t>A</w:t>
      </w:r>
      <w:r w:rsidR="003A3448">
        <w:t>s</w:t>
      </w:r>
      <w:r w:rsidR="00E21369">
        <w:t xml:space="preserve"> shown in the table below, the proportion of SMJU residential customers in arrears is </w:t>
      </w:r>
      <w:r w:rsidR="00D44222">
        <w:t xml:space="preserve">roughly </w:t>
      </w:r>
      <w:r w:rsidR="00E21369">
        <w:t>half of th</w:t>
      </w:r>
      <w:r w:rsidR="00D44222">
        <w:t xml:space="preserve">e proportion of IOU residential customers in arrears. </w:t>
      </w:r>
      <w:r w:rsidR="003A3448">
        <w:t xml:space="preserve"> </w:t>
      </w:r>
      <w:r w:rsidR="00D44222">
        <w:t>While 29 percent of IOU customers in the CARE/FERA program are in arrears, 1</w:t>
      </w:r>
      <w:r w:rsidR="00CE2B88">
        <w:t>6</w:t>
      </w:r>
      <w:r w:rsidR="00D44222">
        <w:t xml:space="preserve"> percent of SMJU customers in the CARE program are in arrears. </w:t>
      </w:r>
      <w:r w:rsidR="003A3448">
        <w:t xml:space="preserve"> </w:t>
      </w:r>
      <w:r w:rsidR="00D44222">
        <w:t xml:space="preserve">For other residential customers, IOUs show 15 percent in arrears compared to the SMJU’s </w:t>
      </w:r>
      <w:r w:rsidR="00395B73">
        <w:t>less than 1</w:t>
      </w:r>
      <w:r w:rsidR="00D44222">
        <w:t xml:space="preserve"> percent in arrears.</w:t>
      </w:r>
    </w:p>
    <w:p w:rsidR="00007305" w:rsidP="003A3448" w:rsidRDefault="00007305" w14:paraId="0C245A0F" w14:textId="30B7EEEB">
      <w:pPr>
        <w:keepNext/>
        <w:keepLines/>
        <w:spacing w:after="120" w:line="240" w:lineRule="auto"/>
        <w:ind w:firstLine="0"/>
        <w:jc w:val="center"/>
      </w:pPr>
      <w:r w:rsidRPr="003A3448">
        <w:rPr>
          <w:b/>
          <w:bCs/>
        </w:rPr>
        <w:t>SMJU Residential Arrearages</w:t>
      </w:r>
      <w:r>
        <w:rPr>
          <w:rStyle w:val="FootnoteReference"/>
        </w:rPr>
        <w:footnoteReference w:id="15"/>
      </w:r>
    </w:p>
    <w:tbl>
      <w:tblPr>
        <w:tblStyle w:val="TableGrid"/>
        <w:tblW w:w="0" w:type="auto"/>
        <w:tblLook w:val="04A0" w:firstRow="1" w:lastRow="0" w:firstColumn="1" w:lastColumn="0" w:noHBand="0" w:noVBand="1"/>
      </w:tblPr>
      <w:tblGrid>
        <w:gridCol w:w="1618"/>
        <w:gridCol w:w="1063"/>
        <w:gridCol w:w="1054"/>
        <w:gridCol w:w="1285"/>
        <w:gridCol w:w="1274"/>
        <w:gridCol w:w="1003"/>
        <w:gridCol w:w="935"/>
        <w:gridCol w:w="1118"/>
      </w:tblGrid>
      <w:tr w:rsidRPr="00875600" w:rsidR="00FA41CA" w:rsidTr="005925CE" w14:paraId="1611B4DC" w14:textId="77777777">
        <w:tc>
          <w:tcPr>
            <w:tcW w:w="1795" w:type="dxa"/>
          </w:tcPr>
          <w:p w:rsidRPr="00875600" w:rsidR="00007305" w:rsidP="00875600" w:rsidRDefault="00007305" w14:paraId="699F9D6E" w14:textId="77777777">
            <w:pPr>
              <w:keepNext/>
              <w:keepLines/>
              <w:spacing w:line="240" w:lineRule="auto"/>
              <w:ind w:firstLine="0"/>
              <w:jc w:val="center"/>
              <w:rPr>
                <w:rFonts w:asciiTheme="minorHAnsi" w:hAnsiTheme="minorHAnsi"/>
                <w:b/>
                <w:bCs/>
                <w:sz w:val="22"/>
              </w:rPr>
            </w:pPr>
          </w:p>
        </w:tc>
        <w:tc>
          <w:tcPr>
            <w:tcW w:w="1068" w:type="dxa"/>
          </w:tcPr>
          <w:p w:rsidRPr="00875600" w:rsidR="00007305" w:rsidP="00875600" w:rsidRDefault="00007305" w14:paraId="2B6776B4" w14:textId="77777777">
            <w:pPr>
              <w:keepNext/>
              <w:keepLines/>
              <w:spacing w:line="240" w:lineRule="auto"/>
              <w:ind w:firstLine="0"/>
              <w:jc w:val="center"/>
              <w:rPr>
                <w:rFonts w:asciiTheme="minorHAnsi" w:hAnsiTheme="minorHAnsi"/>
                <w:b/>
                <w:bCs/>
                <w:sz w:val="22"/>
              </w:rPr>
            </w:pPr>
            <w:r w:rsidRPr="00875600">
              <w:rPr>
                <w:rFonts w:asciiTheme="minorHAnsi" w:hAnsiTheme="minorHAnsi"/>
                <w:b/>
                <w:bCs/>
                <w:sz w:val="22"/>
              </w:rPr>
              <w:t>Liberty/</w:t>
            </w:r>
          </w:p>
          <w:p w:rsidRPr="00875600" w:rsidR="00007305" w:rsidP="00875600" w:rsidRDefault="00007305" w14:paraId="3B41A6E4" w14:textId="77777777">
            <w:pPr>
              <w:keepNext/>
              <w:keepLines/>
              <w:spacing w:line="240" w:lineRule="auto"/>
              <w:ind w:firstLine="0"/>
              <w:jc w:val="center"/>
              <w:rPr>
                <w:rFonts w:asciiTheme="minorHAnsi" w:hAnsiTheme="minorHAnsi"/>
                <w:b/>
                <w:bCs/>
                <w:sz w:val="22"/>
              </w:rPr>
            </w:pPr>
            <w:r w:rsidRPr="00875600">
              <w:rPr>
                <w:rFonts w:asciiTheme="minorHAnsi" w:hAnsiTheme="minorHAnsi"/>
                <w:b/>
                <w:bCs/>
                <w:sz w:val="22"/>
              </w:rPr>
              <w:t>CalPeco</w:t>
            </w:r>
          </w:p>
        </w:tc>
        <w:tc>
          <w:tcPr>
            <w:tcW w:w="1072" w:type="dxa"/>
          </w:tcPr>
          <w:p w:rsidRPr="0086529C" w:rsidR="00007305" w:rsidP="00875600" w:rsidRDefault="00007305" w14:paraId="60AC47F3" w14:textId="1E87A947">
            <w:pPr>
              <w:keepNext/>
              <w:keepLines/>
              <w:spacing w:line="240" w:lineRule="auto"/>
              <w:ind w:firstLine="0"/>
              <w:jc w:val="center"/>
              <w:rPr>
                <w:rFonts w:asciiTheme="minorHAnsi" w:hAnsiTheme="minorHAnsi"/>
                <w:b/>
                <w:bCs/>
                <w:sz w:val="22"/>
              </w:rPr>
            </w:pPr>
            <w:r w:rsidRPr="0086529C">
              <w:rPr>
                <w:rFonts w:asciiTheme="minorHAnsi" w:hAnsiTheme="minorHAnsi"/>
                <w:b/>
                <w:bCs/>
                <w:sz w:val="22"/>
              </w:rPr>
              <w:t>Bear Valley Electric Service</w:t>
            </w:r>
            <w:r w:rsidR="00970B3E">
              <w:rPr>
                <w:rStyle w:val="FootnoteReference"/>
                <w:rFonts w:asciiTheme="minorHAnsi" w:hAnsiTheme="minorHAnsi"/>
                <w:b/>
                <w:bCs/>
                <w:sz w:val="22"/>
              </w:rPr>
              <w:footnoteReference w:id="16"/>
            </w:r>
          </w:p>
        </w:tc>
        <w:tc>
          <w:tcPr>
            <w:tcW w:w="1220" w:type="dxa"/>
          </w:tcPr>
          <w:p w:rsidRPr="0086529C" w:rsidR="00007305" w:rsidP="00875600" w:rsidRDefault="00801806" w14:paraId="4C512E49" w14:textId="0BC86972">
            <w:pPr>
              <w:keepNext/>
              <w:keepLines/>
              <w:spacing w:line="240" w:lineRule="auto"/>
              <w:ind w:firstLine="0"/>
              <w:jc w:val="center"/>
              <w:rPr>
                <w:rFonts w:asciiTheme="minorHAnsi" w:hAnsiTheme="minorHAnsi"/>
                <w:b/>
                <w:bCs/>
                <w:sz w:val="22"/>
              </w:rPr>
            </w:pPr>
            <w:r w:rsidRPr="0086529C">
              <w:rPr>
                <w:rFonts w:asciiTheme="minorHAnsi" w:hAnsiTheme="minorHAnsi"/>
                <w:b/>
                <w:bCs/>
                <w:sz w:val="22"/>
              </w:rPr>
              <w:t>PacifiCorp</w:t>
            </w:r>
            <w:r w:rsidR="007C76B3">
              <w:rPr>
                <w:rStyle w:val="FootnoteReference"/>
                <w:rFonts w:asciiTheme="minorHAnsi" w:hAnsiTheme="minorHAnsi"/>
                <w:b/>
                <w:bCs/>
                <w:sz w:val="22"/>
              </w:rPr>
              <w:footnoteReference w:id="17"/>
            </w:r>
          </w:p>
        </w:tc>
        <w:tc>
          <w:tcPr>
            <w:tcW w:w="1297" w:type="dxa"/>
          </w:tcPr>
          <w:p w:rsidRPr="0086529C" w:rsidR="00007305" w:rsidP="00875600" w:rsidRDefault="00007305" w14:paraId="61698DC5" w14:textId="77777777">
            <w:pPr>
              <w:keepNext/>
              <w:keepLines/>
              <w:spacing w:line="240" w:lineRule="auto"/>
              <w:ind w:firstLine="0"/>
              <w:jc w:val="center"/>
              <w:rPr>
                <w:rFonts w:asciiTheme="minorHAnsi" w:hAnsiTheme="minorHAnsi"/>
                <w:b/>
                <w:bCs/>
                <w:sz w:val="22"/>
              </w:rPr>
            </w:pPr>
            <w:r w:rsidRPr="0086529C">
              <w:rPr>
                <w:rFonts w:asciiTheme="minorHAnsi" w:hAnsiTheme="minorHAnsi"/>
                <w:b/>
                <w:bCs/>
                <w:sz w:val="22"/>
              </w:rPr>
              <w:t>Southwest Gas</w:t>
            </w:r>
            <w:r w:rsidRPr="0086529C">
              <w:rPr>
                <w:rStyle w:val="FootnoteReference"/>
                <w:rFonts w:asciiTheme="minorHAnsi" w:hAnsiTheme="minorHAnsi"/>
                <w:b/>
                <w:bCs/>
                <w:sz w:val="22"/>
              </w:rPr>
              <w:footnoteReference w:id="18"/>
            </w:r>
          </w:p>
        </w:tc>
        <w:tc>
          <w:tcPr>
            <w:tcW w:w="1076" w:type="dxa"/>
          </w:tcPr>
          <w:p w:rsidRPr="0086529C" w:rsidR="00007305" w:rsidP="00875600" w:rsidRDefault="00007305" w14:paraId="2970A3F2" w14:textId="77777777">
            <w:pPr>
              <w:keepNext/>
              <w:keepLines/>
              <w:spacing w:line="240" w:lineRule="auto"/>
              <w:ind w:firstLine="0"/>
              <w:jc w:val="center"/>
              <w:rPr>
                <w:rFonts w:asciiTheme="minorHAnsi" w:hAnsiTheme="minorHAnsi"/>
                <w:b/>
                <w:bCs/>
                <w:sz w:val="22"/>
              </w:rPr>
            </w:pPr>
            <w:r w:rsidRPr="0086529C">
              <w:rPr>
                <w:rFonts w:asciiTheme="minorHAnsi" w:hAnsiTheme="minorHAnsi"/>
                <w:b/>
                <w:bCs/>
                <w:sz w:val="22"/>
              </w:rPr>
              <w:t>West Coast Gas</w:t>
            </w:r>
          </w:p>
        </w:tc>
        <w:tc>
          <w:tcPr>
            <w:tcW w:w="947" w:type="dxa"/>
          </w:tcPr>
          <w:p w:rsidRPr="0086529C" w:rsidR="00007305" w:rsidP="00875600" w:rsidRDefault="00007305" w14:paraId="614E4B89" w14:textId="77777777">
            <w:pPr>
              <w:keepNext/>
              <w:keepLines/>
              <w:spacing w:line="240" w:lineRule="auto"/>
              <w:ind w:firstLine="0"/>
              <w:jc w:val="center"/>
              <w:rPr>
                <w:rFonts w:asciiTheme="minorHAnsi" w:hAnsiTheme="minorHAnsi"/>
                <w:b/>
                <w:bCs/>
                <w:sz w:val="22"/>
              </w:rPr>
            </w:pPr>
            <w:r w:rsidRPr="0086529C">
              <w:rPr>
                <w:rFonts w:asciiTheme="minorHAnsi" w:hAnsiTheme="minorHAnsi"/>
                <w:b/>
                <w:bCs/>
                <w:sz w:val="22"/>
              </w:rPr>
              <w:t>Alpine Natural Gas</w:t>
            </w:r>
          </w:p>
        </w:tc>
        <w:tc>
          <w:tcPr>
            <w:tcW w:w="875" w:type="dxa"/>
          </w:tcPr>
          <w:p w:rsidRPr="0086529C" w:rsidR="00007305" w:rsidP="00875600" w:rsidRDefault="00007305" w14:paraId="13B4B1B2" w14:textId="319D3D63">
            <w:pPr>
              <w:keepNext/>
              <w:keepLines/>
              <w:spacing w:line="240" w:lineRule="auto"/>
              <w:ind w:firstLine="0"/>
              <w:jc w:val="center"/>
              <w:rPr>
                <w:rFonts w:asciiTheme="minorHAnsi" w:hAnsiTheme="minorHAnsi"/>
                <w:b/>
                <w:bCs/>
                <w:sz w:val="22"/>
              </w:rPr>
            </w:pPr>
            <w:r w:rsidRPr="0086529C">
              <w:rPr>
                <w:rFonts w:asciiTheme="minorHAnsi" w:hAnsiTheme="minorHAnsi"/>
                <w:b/>
                <w:bCs/>
                <w:sz w:val="22"/>
              </w:rPr>
              <w:t>Total</w:t>
            </w:r>
            <w:r w:rsidR="0093788A">
              <w:rPr>
                <w:rFonts w:asciiTheme="minorHAnsi" w:hAnsiTheme="minorHAnsi"/>
                <w:b/>
                <w:bCs/>
                <w:sz w:val="22"/>
              </w:rPr>
              <w:t xml:space="preserve"> (exclusive of Bear Valley)</w:t>
            </w:r>
          </w:p>
        </w:tc>
      </w:tr>
      <w:tr w:rsidRPr="00E10C2F" w:rsidR="00FA41CA" w:rsidTr="005925CE" w14:paraId="6FDE38A3" w14:textId="77777777">
        <w:tc>
          <w:tcPr>
            <w:tcW w:w="1795" w:type="dxa"/>
          </w:tcPr>
          <w:p w:rsidRPr="00EF5C6B" w:rsidR="00007305" w:rsidP="005925CE" w:rsidRDefault="00007305" w14:paraId="4054226E" w14:textId="77777777">
            <w:pPr>
              <w:spacing w:line="240" w:lineRule="auto"/>
              <w:ind w:firstLine="0"/>
              <w:rPr>
                <w:rFonts w:asciiTheme="minorHAnsi" w:hAnsiTheme="minorHAnsi"/>
                <w:sz w:val="22"/>
              </w:rPr>
            </w:pPr>
            <w:r>
              <w:rPr>
                <w:rFonts w:asciiTheme="minorHAnsi" w:hAnsiTheme="minorHAnsi"/>
                <w:sz w:val="22"/>
              </w:rPr>
              <w:t xml:space="preserve">$ in </w:t>
            </w:r>
            <w:r w:rsidRPr="00EF5C6B">
              <w:rPr>
                <w:rFonts w:asciiTheme="minorHAnsi" w:hAnsiTheme="minorHAnsi"/>
                <w:sz w:val="22"/>
              </w:rPr>
              <w:t>Arrears</w:t>
            </w:r>
            <w:r>
              <w:rPr>
                <w:rFonts w:asciiTheme="minorHAnsi" w:hAnsiTheme="minorHAnsi"/>
                <w:sz w:val="22"/>
              </w:rPr>
              <w:t>, All Residential Customers</w:t>
            </w:r>
          </w:p>
        </w:tc>
        <w:tc>
          <w:tcPr>
            <w:tcW w:w="1068" w:type="dxa"/>
          </w:tcPr>
          <w:p w:rsidRPr="00EF5C6B" w:rsidR="00007305" w:rsidP="00875600" w:rsidRDefault="00007305" w14:paraId="76B9ACE0" w14:textId="77777777">
            <w:pPr>
              <w:spacing w:line="240" w:lineRule="auto"/>
              <w:ind w:firstLine="0"/>
              <w:jc w:val="center"/>
              <w:rPr>
                <w:rFonts w:asciiTheme="minorHAnsi" w:hAnsiTheme="minorHAnsi"/>
                <w:sz w:val="22"/>
              </w:rPr>
            </w:pPr>
            <w:r w:rsidRPr="00DE581A">
              <w:rPr>
                <w:rFonts w:asciiTheme="minorHAnsi" w:hAnsiTheme="minorHAnsi"/>
                <w:sz w:val="22"/>
              </w:rPr>
              <w:t>$978,204</w:t>
            </w:r>
          </w:p>
        </w:tc>
        <w:tc>
          <w:tcPr>
            <w:tcW w:w="1072" w:type="dxa"/>
          </w:tcPr>
          <w:p w:rsidRPr="0086529C" w:rsidR="00007305" w:rsidP="00875600" w:rsidRDefault="00970B3E" w14:paraId="4C2A0230" w14:textId="00571255">
            <w:pPr>
              <w:spacing w:line="240" w:lineRule="auto"/>
              <w:ind w:firstLine="0"/>
              <w:jc w:val="center"/>
              <w:rPr>
                <w:rFonts w:asciiTheme="minorHAnsi" w:hAnsiTheme="minorHAnsi"/>
                <w:sz w:val="22"/>
              </w:rPr>
            </w:pPr>
            <w:r>
              <w:rPr>
                <w:rFonts w:asciiTheme="minorHAnsi" w:hAnsiTheme="minorHAnsi"/>
                <w:sz w:val="22"/>
              </w:rPr>
              <w:t>not available</w:t>
            </w:r>
          </w:p>
        </w:tc>
        <w:tc>
          <w:tcPr>
            <w:tcW w:w="1220" w:type="dxa"/>
          </w:tcPr>
          <w:p w:rsidRPr="0086529C" w:rsidR="00007305" w:rsidP="00875600" w:rsidRDefault="00007305" w14:paraId="02A2CC2D" w14:textId="77777777">
            <w:pPr>
              <w:spacing w:line="240" w:lineRule="auto"/>
              <w:ind w:firstLine="0"/>
              <w:jc w:val="center"/>
              <w:rPr>
                <w:rFonts w:asciiTheme="minorHAnsi" w:hAnsiTheme="minorHAnsi"/>
                <w:sz w:val="22"/>
              </w:rPr>
            </w:pPr>
            <w:r w:rsidRPr="0086529C">
              <w:rPr>
                <w:rFonts w:asciiTheme="minorHAnsi" w:hAnsiTheme="minorHAnsi"/>
                <w:sz w:val="22"/>
              </w:rPr>
              <w:t>$2,677,704</w:t>
            </w:r>
          </w:p>
        </w:tc>
        <w:tc>
          <w:tcPr>
            <w:tcW w:w="1297" w:type="dxa"/>
          </w:tcPr>
          <w:p w:rsidRPr="0086529C" w:rsidR="00007305" w:rsidP="00875600" w:rsidRDefault="00007305" w14:paraId="3A7F7A91" w14:textId="77777777">
            <w:pPr>
              <w:spacing w:line="240" w:lineRule="auto"/>
              <w:ind w:firstLine="0"/>
              <w:jc w:val="center"/>
              <w:rPr>
                <w:rFonts w:asciiTheme="minorHAnsi" w:hAnsiTheme="minorHAnsi"/>
                <w:sz w:val="22"/>
              </w:rPr>
            </w:pPr>
            <w:r w:rsidRPr="0086529C">
              <w:rPr>
                <w:rFonts w:asciiTheme="minorHAnsi" w:hAnsiTheme="minorHAnsi"/>
                <w:sz w:val="22"/>
              </w:rPr>
              <w:t>$2,636,063</w:t>
            </w:r>
          </w:p>
        </w:tc>
        <w:tc>
          <w:tcPr>
            <w:tcW w:w="1076" w:type="dxa"/>
          </w:tcPr>
          <w:p w:rsidRPr="0086529C" w:rsidR="00007305" w:rsidP="00875600" w:rsidRDefault="00007305" w14:paraId="478DEA90" w14:textId="77777777">
            <w:pPr>
              <w:spacing w:line="240" w:lineRule="auto"/>
              <w:ind w:firstLine="0"/>
              <w:jc w:val="center"/>
              <w:rPr>
                <w:rFonts w:asciiTheme="minorHAnsi" w:hAnsiTheme="minorHAnsi"/>
                <w:sz w:val="22"/>
              </w:rPr>
            </w:pPr>
            <w:r w:rsidRPr="0086529C">
              <w:rPr>
                <w:rFonts w:asciiTheme="minorHAnsi" w:hAnsiTheme="minorHAnsi"/>
                <w:sz w:val="22"/>
              </w:rPr>
              <w:t>$4,972</w:t>
            </w:r>
          </w:p>
        </w:tc>
        <w:tc>
          <w:tcPr>
            <w:tcW w:w="947" w:type="dxa"/>
          </w:tcPr>
          <w:p w:rsidRPr="0086529C" w:rsidR="00007305" w:rsidP="00875600" w:rsidRDefault="00007305" w14:paraId="2A6C77A5" w14:textId="77777777">
            <w:pPr>
              <w:spacing w:line="240" w:lineRule="auto"/>
              <w:ind w:firstLine="0"/>
              <w:jc w:val="center"/>
              <w:rPr>
                <w:rFonts w:asciiTheme="minorHAnsi" w:hAnsiTheme="minorHAnsi"/>
                <w:sz w:val="22"/>
              </w:rPr>
            </w:pPr>
            <w:r w:rsidRPr="0086529C">
              <w:rPr>
                <w:rFonts w:asciiTheme="minorHAnsi" w:hAnsiTheme="minorHAnsi"/>
                <w:sz w:val="22"/>
              </w:rPr>
              <w:t>N/A</w:t>
            </w:r>
          </w:p>
        </w:tc>
        <w:tc>
          <w:tcPr>
            <w:tcW w:w="875" w:type="dxa"/>
          </w:tcPr>
          <w:p w:rsidRPr="0086529C" w:rsidR="00A363C6" w:rsidP="00875600" w:rsidRDefault="00007305" w14:paraId="3EE674E6" w14:textId="2766FA22">
            <w:pPr>
              <w:spacing w:line="240" w:lineRule="auto"/>
              <w:ind w:firstLine="0"/>
              <w:jc w:val="center"/>
              <w:rPr>
                <w:rFonts w:ascii="Calibri" w:hAnsi="Calibri" w:cs="Calibri"/>
                <w:color w:val="000000"/>
                <w:sz w:val="22"/>
              </w:rPr>
            </w:pPr>
            <w:r w:rsidRPr="0086529C">
              <w:rPr>
                <w:rFonts w:asciiTheme="minorHAnsi" w:hAnsiTheme="minorHAnsi"/>
                <w:sz w:val="22"/>
              </w:rPr>
              <w:t>$</w:t>
            </w:r>
          </w:p>
          <w:p w:rsidR="00A363C6" w:rsidP="00A363C6" w:rsidRDefault="00A363C6" w14:paraId="48DACA16" w14:textId="77777777">
            <w:pPr>
              <w:spacing w:line="240" w:lineRule="auto"/>
              <w:ind w:firstLine="0"/>
              <w:jc w:val="center"/>
              <w:rPr>
                <w:rFonts w:ascii="Calibri" w:hAnsi="Calibri" w:cs="Calibri"/>
                <w:color w:val="000000"/>
                <w:sz w:val="22"/>
              </w:rPr>
            </w:pPr>
            <w:r>
              <w:rPr>
                <w:rFonts w:ascii="Calibri" w:hAnsi="Calibri" w:cs="Calibri"/>
                <w:color w:val="000000"/>
                <w:sz w:val="22"/>
              </w:rPr>
              <w:t>6,898,046</w:t>
            </w:r>
          </w:p>
          <w:p w:rsidRPr="0086529C" w:rsidR="00007305" w:rsidP="00875600" w:rsidRDefault="00007305" w14:paraId="1E36CCE9" w14:textId="647385F2">
            <w:pPr>
              <w:spacing w:line="240" w:lineRule="auto"/>
              <w:ind w:firstLine="0"/>
              <w:jc w:val="center"/>
              <w:rPr>
                <w:rFonts w:ascii="Calibri" w:hAnsi="Calibri" w:cs="Calibri"/>
                <w:color w:val="000000"/>
                <w:sz w:val="22"/>
              </w:rPr>
            </w:pPr>
          </w:p>
          <w:p w:rsidRPr="0086529C" w:rsidR="00007305" w:rsidP="00875600" w:rsidRDefault="00007305" w14:paraId="375FC390" w14:textId="77777777">
            <w:pPr>
              <w:spacing w:line="240" w:lineRule="auto"/>
              <w:ind w:firstLine="0"/>
              <w:jc w:val="center"/>
              <w:rPr>
                <w:rFonts w:asciiTheme="minorHAnsi" w:hAnsiTheme="minorHAnsi"/>
                <w:sz w:val="22"/>
              </w:rPr>
            </w:pPr>
          </w:p>
        </w:tc>
      </w:tr>
      <w:tr w:rsidRPr="00E10C2F" w:rsidR="00FA41CA" w:rsidTr="005925CE" w14:paraId="0D045664" w14:textId="77777777">
        <w:tc>
          <w:tcPr>
            <w:tcW w:w="1795" w:type="dxa"/>
          </w:tcPr>
          <w:p w:rsidRPr="00EF5C6B" w:rsidR="00007305" w:rsidP="005925CE" w:rsidRDefault="00007305" w14:paraId="3B2FB070" w14:textId="3496A71F">
            <w:pPr>
              <w:spacing w:line="240" w:lineRule="auto"/>
              <w:ind w:firstLine="0"/>
              <w:rPr>
                <w:rFonts w:asciiTheme="minorHAnsi" w:hAnsiTheme="minorHAnsi"/>
                <w:sz w:val="22"/>
              </w:rPr>
            </w:pPr>
            <w:r w:rsidRPr="00EF5C6B">
              <w:rPr>
                <w:rFonts w:asciiTheme="minorHAnsi" w:hAnsiTheme="minorHAnsi"/>
                <w:sz w:val="22"/>
              </w:rPr>
              <w:lastRenderedPageBreak/>
              <w:t>Number of CARE Customers in Arrears</w:t>
            </w:r>
          </w:p>
        </w:tc>
        <w:tc>
          <w:tcPr>
            <w:tcW w:w="1068" w:type="dxa"/>
          </w:tcPr>
          <w:p w:rsidRPr="00EF5C6B" w:rsidR="00007305" w:rsidP="00875600" w:rsidRDefault="00007305" w14:paraId="2F908FD5" w14:textId="77777777">
            <w:pPr>
              <w:spacing w:line="240" w:lineRule="auto"/>
              <w:ind w:firstLine="0"/>
              <w:jc w:val="center"/>
              <w:rPr>
                <w:rFonts w:asciiTheme="minorHAnsi" w:hAnsiTheme="minorHAnsi"/>
                <w:sz w:val="22"/>
              </w:rPr>
            </w:pPr>
            <w:r w:rsidRPr="00EF5C6B">
              <w:rPr>
                <w:rFonts w:asciiTheme="minorHAnsi" w:hAnsiTheme="minorHAnsi"/>
                <w:sz w:val="22"/>
              </w:rPr>
              <w:t>462</w:t>
            </w:r>
          </w:p>
          <w:p w:rsidRPr="00EF5C6B" w:rsidR="00007305" w:rsidP="00875600" w:rsidRDefault="00007305" w14:paraId="57EA9B5F" w14:textId="77777777">
            <w:pPr>
              <w:spacing w:line="240" w:lineRule="auto"/>
              <w:ind w:firstLine="0"/>
              <w:jc w:val="center"/>
              <w:rPr>
                <w:rFonts w:asciiTheme="minorHAnsi" w:hAnsiTheme="minorHAnsi"/>
                <w:sz w:val="22"/>
              </w:rPr>
            </w:pPr>
          </w:p>
        </w:tc>
        <w:tc>
          <w:tcPr>
            <w:tcW w:w="1072" w:type="dxa"/>
          </w:tcPr>
          <w:p w:rsidRPr="0086529C" w:rsidR="00007305" w:rsidP="00875600" w:rsidRDefault="00970B3E" w14:paraId="5E575FCE" w14:textId="12961E0A">
            <w:pPr>
              <w:spacing w:line="240" w:lineRule="auto"/>
              <w:ind w:firstLine="0"/>
              <w:jc w:val="center"/>
              <w:rPr>
                <w:rFonts w:asciiTheme="minorHAnsi" w:hAnsiTheme="minorHAnsi"/>
                <w:sz w:val="22"/>
              </w:rPr>
            </w:pPr>
            <w:r>
              <w:rPr>
                <w:rFonts w:asciiTheme="minorHAnsi" w:hAnsiTheme="minorHAnsi"/>
                <w:sz w:val="22"/>
              </w:rPr>
              <w:t>not available</w:t>
            </w:r>
          </w:p>
        </w:tc>
        <w:tc>
          <w:tcPr>
            <w:tcW w:w="1220" w:type="dxa"/>
          </w:tcPr>
          <w:p w:rsidRPr="0086529C" w:rsidR="00007305" w:rsidP="00875600" w:rsidRDefault="00007305" w14:paraId="590348F0" w14:textId="77777777">
            <w:pPr>
              <w:spacing w:line="240" w:lineRule="auto"/>
              <w:ind w:firstLine="0"/>
              <w:jc w:val="center"/>
              <w:rPr>
                <w:rFonts w:asciiTheme="minorHAnsi" w:hAnsiTheme="minorHAnsi"/>
                <w:sz w:val="22"/>
              </w:rPr>
            </w:pPr>
            <w:r w:rsidRPr="0086529C">
              <w:rPr>
                <w:rFonts w:asciiTheme="minorHAnsi" w:hAnsiTheme="minorHAnsi"/>
                <w:sz w:val="22"/>
              </w:rPr>
              <w:t>2,546</w:t>
            </w:r>
          </w:p>
        </w:tc>
        <w:tc>
          <w:tcPr>
            <w:tcW w:w="1297" w:type="dxa"/>
          </w:tcPr>
          <w:p w:rsidRPr="0086529C" w:rsidR="00007305" w:rsidP="00875600" w:rsidRDefault="00007305" w14:paraId="6E11F6A0" w14:textId="77777777">
            <w:pPr>
              <w:spacing w:line="240" w:lineRule="auto"/>
              <w:ind w:firstLine="0"/>
              <w:jc w:val="center"/>
              <w:rPr>
                <w:rFonts w:asciiTheme="minorHAnsi" w:hAnsiTheme="minorHAnsi"/>
                <w:sz w:val="22"/>
              </w:rPr>
            </w:pPr>
            <w:r w:rsidRPr="0086529C">
              <w:rPr>
                <w:rFonts w:asciiTheme="minorHAnsi" w:hAnsiTheme="minorHAnsi"/>
                <w:sz w:val="22"/>
              </w:rPr>
              <w:t>8,797</w:t>
            </w:r>
          </w:p>
        </w:tc>
        <w:tc>
          <w:tcPr>
            <w:tcW w:w="1076" w:type="dxa"/>
          </w:tcPr>
          <w:p w:rsidRPr="0086529C" w:rsidR="00007305" w:rsidP="00875600" w:rsidRDefault="00007305" w14:paraId="422F575A" w14:textId="77777777">
            <w:pPr>
              <w:spacing w:line="240" w:lineRule="auto"/>
              <w:ind w:firstLine="0"/>
              <w:jc w:val="center"/>
              <w:rPr>
                <w:rFonts w:asciiTheme="minorHAnsi" w:hAnsiTheme="minorHAnsi"/>
                <w:sz w:val="22"/>
              </w:rPr>
            </w:pPr>
            <w:r w:rsidRPr="0086529C">
              <w:rPr>
                <w:rFonts w:asciiTheme="minorHAnsi" w:hAnsiTheme="minorHAnsi"/>
                <w:sz w:val="22"/>
              </w:rPr>
              <w:t>1</w:t>
            </w:r>
          </w:p>
        </w:tc>
        <w:tc>
          <w:tcPr>
            <w:tcW w:w="947" w:type="dxa"/>
          </w:tcPr>
          <w:p w:rsidRPr="0086529C" w:rsidR="00007305" w:rsidP="00875600" w:rsidRDefault="00007305" w14:paraId="2D370205" w14:textId="77777777">
            <w:pPr>
              <w:spacing w:line="240" w:lineRule="auto"/>
              <w:ind w:firstLine="0"/>
              <w:jc w:val="center"/>
              <w:rPr>
                <w:rFonts w:asciiTheme="minorHAnsi" w:hAnsiTheme="minorHAnsi"/>
                <w:sz w:val="22"/>
              </w:rPr>
            </w:pPr>
            <w:r w:rsidRPr="0086529C">
              <w:rPr>
                <w:rFonts w:asciiTheme="minorHAnsi" w:hAnsiTheme="minorHAnsi"/>
                <w:sz w:val="22"/>
              </w:rPr>
              <w:t>5</w:t>
            </w:r>
          </w:p>
        </w:tc>
        <w:tc>
          <w:tcPr>
            <w:tcW w:w="875" w:type="dxa"/>
          </w:tcPr>
          <w:p w:rsidRPr="0086529C" w:rsidR="00007305" w:rsidP="00875600" w:rsidRDefault="006327CD" w14:paraId="325549FE" w14:textId="240B2DF1">
            <w:pPr>
              <w:spacing w:line="240" w:lineRule="auto"/>
              <w:ind w:firstLine="0"/>
              <w:jc w:val="center"/>
              <w:rPr>
                <w:rFonts w:asciiTheme="minorHAnsi" w:hAnsiTheme="minorHAnsi"/>
                <w:sz w:val="22"/>
              </w:rPr>
            </w:pPr>
            <w:r>
              <w:rPr>
                <w:rFonts w:asciiTheme="minorHAnsi" w:hAnsiTheme="minorHAnsi"/>
                <w:sz w:val="22"/>
              </w:rPr>
              <w:t>11,811</w:t>
            </w:r>
          </w:p>
        </w:tc>
      </w:tr>
      <w:tr w:rsidRPr="00E10C2F" w:rsidR="00FA41CA" w:rsidTr="005925CE" w14:paraId="4002BC93" w14:textId="77777777">
        <w:tc>
          <w:tcPr>
            <w:tcW w:w="1795" w:type="dxa"/>
          </w:tcPr>
          <w:p w:rsidRPr="00EF5C6B" w:rsidR="00007305" w:rsidP="005925CE" w:rsidRDefault="00007305" w14:paraId="7A72E7E2" w14:textId="5BEE34E4">
            <w:pPr>
              <w:spacing w:line="240" w:lineRule="auto"/>
              <w:ind w:firstLine="0"/>
              <w:rPr>
                <w:rFonts w:asciiTheme="minorHAnsi" w:hAnsiTheme="minorHAnsi"/>
                <w:sz w:val="22"/>
              </w:rPr>
            </w:pPr>
            <w:r w:rsidRPr="00EF5C6B">
              <w:rPr>
                <w:rFonts w:asciiTheme="minorHAnsi" w:hAnsiTheme="minorHAnsi"/>
                <w:sz w:val="22"/>
              </w:rPr>
              <w:t>Percent of CARE Customers in Arrears</w:t>
            </w:r>
          </w:p>
        </w:tc>
        <w:tc>
          <w:tcPr>
            <w:tcW w:w="1068" w:type="dxa"/>
          </w:tcPr>
          <w:p w:rsidRPr="00EF5C6B" w:rsidR="00007305" w:rsidP="00875600" w:rsidRDefault="00007305" w14:paraId="2536B3BA" w14:textId="77777777">
            <w:pPr>
              <w:spacing w:line="240" w:lineRule="auto"/>
              <w:ind w:firstLine="0"/>
              <w:jc w:val="center"/>
              <w:rPr>
                <w:rFonts w:asciiTheme="minorHAnsi" w:hAnsiTheme="minorHAnsi"/>
                <w:sz w:val="22"/>
              </w:rPr>
            </w:pPr>
            <w:r w:rsidRPr="00EF5C6B">
              <w:rPr>
                <w:rFonts w:asciiTheme="minorHAnsi" w:hAnsiTheme="minorHAnsi"/>
                <w:sz w:val="22"/>
              </w:rPr>
              <w:t>13.87%</w:t>
            </w:r>
          </w:p>
        </w:tc>
        <w:tc>
          <w:tcPr>
            <w:tcW w:w="1072" w:type="dxa"/>
          </w:tcPr>
          <w:p w:rsidRPr="0086529C" w:rsidR="00007305" w:rsidP="00875600" w:rsidRDefault="00970B3E" w14:paraId="2874F07A" w14:textId="4CF5B184">
            <w:pPr>
              <w:spacing w:line="240" w:lineRule="auto"/>
              <w:ind w:firstLine="0"/>
              <w:jc w:val="center"/>
              <w:rPr>
                <w:rFonts w:asciiTheme="minorHAnsi" w:hAnsiTheme="minorHAnsi"/>
                <w:sz w:val="22"/>
              </w:rPr>
            </w:pPr>
            <w:r>
              <w:rPr>
                <w:rFonts w:asciiTheme="minorHAnsi" w:hAnsiTheme="minorHAnsi"/>
                <w:sz w:val="22"/>
              </w:rPr>
              <w:t>not available</w:t>
            </w:r>
            <w:r w:rsidRPr="0086529C" w:rsidDel="00970B3E">
              <w:rPr>
                <w:rFonts w:asciiTheme="minorHAnsi" w:hAnsiTheme="minorHAnsi"/>
                <w:sz w:val="22"/>
              </w:rPr>
              <w:t xml:space="preserve"> </w:t>
            </w:r>
          </w:p>
        </w:tc>
        <w:tc>
          <w:tcPr>
            <w:tcW w:w="1220" w:type="dxa"/>
          </w:tcPr>
          <w:p w:rsidRPr="0086529C" w:rsidR="00007305" w:rsidP="00875600" w:rsidRDefault="00007305" w14:paraId="293A499F" w14:textId="77777777">
            <w:pPr>
              <w:spacing w:line="240" w:lineRule="auto"/>
              <w:ind w:firstLine="0"/>
              <w:jc w:val="center"/>
              <w:rPr>
                <w:rFonts w:asciiTheme="minorHAnsi" w:hAnsiTheme="minorHAnsi"/>
                <w:sz w:val="22"/>
              </w:rPr>
            </w:pPr>
            <w:r w:rsidRPr="0086529C">
              <w:rPr>
                <w:rFonts w:asciiTheme="minorHAnsi" w:hAnsiTheme="minorHAnsi"/>
                <w:sz w:val="22"/>
              </w:rPr>
              <w:t>21.07%</w:t>
            </w:r>
          </w:p>
          <w:p w:rsidRPr="0086529C" w:rsidR="00007305" w:rsidP="00875600" w:rsidRDefault="00007305" w14:paraId="3C270F4F" w14:textId="5BB8E210">
            <w:pPr>
              <w:spacing w:line="240" w:lineRule="auto"/>
              <w:ind w:firstLine="0"/>
              <w:jc w:val="center"/>
              <w:rPr>
                <w:rFonts w:asciiTheme="minorHAnsi" w:hAnsiTheme="minorHAnsi"/>
                <w:sz w:val="22"/>
              </w:rPr>
            </w:pPr>
          </w:p>
        </w:tc>
        <w:tc>
          <w:tcPr>
            <w:tcW w:w="1297" w:type="dxa"/>
          </w:tcPr>
          <w:p w:rsidRPr="0086529C" w:rsidR="00007305" w:rsidP="00875600" w:rsidRDefault="00007305" w14:paraId="41832C88" w14:textId="77777777">
            <w:pPr>
              <w:spacing w:line="240" w:lineRule="auto"/>
              <w:ind w:firstLine="0"/>
              <w:jc w:val="center"/>
              <w:rPr>
                <w:rFonts w:asciiTheme="minorHAnsi" w:hAnsiTheme="minorHAnsi"/>
                <w:sz w:val="22"/>
              </w:rPr>
            </w:pPr>
            <w:r w:rsidRPr="0086529C">
              <w:rPr>
                <w:rFonts w:asciiTheme="minorHAnsi" w:hAnsiTheme="minorHAnsi"/>
                <w:sz w:val="22"/>
              </w:rPr>
              <w:t>15.05%</w:t>
            </w:r>
          </w:p>
          <w:p w:rsidRPr="0086529C" w:rsidR="00007305" w:rsidP="00875600" w:rsidRDefault="00007305" w14:paraId="60502749" w14:textId="77777777">
            <w:pPr>
              <w:spacing w:line="240" w:lineRule="auto"/>
              <w:ind w:firstLine="0"/>
              <w:jc w:val="center"/>
              <w:rPr>
                <w:rFonts w:asciiTheme="minorHAnsi" w:hAnsiTheme="minorHAnsi"/>
                <w:sz w:val="22"/>
              </w:rPr>
            </w:pPr>
          </w:p>
        </w:tc>
        <w:tc>
          <w:tcPr>
            <w:tcW w:w="1076" w:type="dxa"/>
          </w:tcPr>
          <w:p w:rsidRPr="0086529C" w:rsidR="00007305" w:rsidP="00875600" w:rsidRDefault="00007305" w14:paraId="7DFFF91A" w14:textId="77777777">
            <w:pPr>
              <w:spacing w:line="240" w:lineRule="auto"/>
              <w:ind w:firstLine="0"/>
              <w:jc w:val="center"/>
              <w:rPr>
                <w:rFonts w:asciiTheme="minorHAnsi" w:hAnsiTheme="minorHAnsi"/>
                <w:sz w:val="22"/>
              </w:rPr>
            </w:pPr>
            <w:r w:rsidRPr="0086529C">
              <w:rPr>
                <w:rFonts w:asciiTheme="minorHAnsi" w:hAnsiTheme="minorHAnsi"/>
                <w:sz w:val="22"/>
              </w:rPr>
              <w:t>1.85%</w:t>
            </w:r>
          </w:p>
          <w:p w:rsidRPr="0086529C" w:rsidR="00007305" w:rsidP="00875600" w:rsidRDefault="00007305" w14:paraId="600455A0" w14:textId="77777777">
            <w:pPr>
              <w:spacing w:line="240" w:lineRule="auto"/>
              <w:ind w:firstLine="0"/>
              <w:jc w:val="center"/>
              <w:rPr>
                <w:rFonts w:asciiTheme="minorHAnsi" w:hAnsiTheme="minorHAnsi"/>
                <w:sz w:val="22"/>
              </w:rPr>
            </w:pPr>
          </w:p>
        </w:tc>
        <w:tc>
          <w:tcPr>
            <w:tcW w:w="947" w:type="dxa"/>
          </w:tcPr>
          <w:p w:rsidRPr="0086529C" w:rsidR="00007305" w:rsidP="00875600" w:rsidRDefault="00007305" w14:paraId="2155CCA5" w14:textId="77777777">
            <w:pPr>
              <w:spacing w:line="240" w:lineRule="auto"/>
              <w:ind w:firstLine="0"/>
              <w:jc w:val="center"/>
              <w:rPr>
                <w:rFonts w:asciiTheme="minorHAnsi" w:hAnsiTheme="minorHAnsi"/>
                <w:sz w:val="22"/>
              </w:rPr>
            </w:pPr>
            <w:r w:rsidRPr="0086529C">
              <w:rPr>
                <w:rFonts w:asciiTheme="minorHAnsi" w:hAnsiTheme="minorHAnsi"/>
                <w:sz w:val="22"/>
              </w:rPr>
              <w:t>3.25%</w:t>
            </w:r>
          </w:p>
          <w:p w:rsidRPr="0086529C" w:rsidR="00007305" w:rsidP="00875600" w:rsidRDefault="00007305" w14:paraId="73989088" w14:textId="77777777">
            <w:pPr>
              <w:spacing w:line="240" w:lineRule="auto"/>
              <w:ind w:firstLine="0"/>
              <w:jc w:val="center"/>
              <w:rPr>
                <w:rFonts w:asciiTheme="minorHAnsi" w:hAnsiTheme="minorHAnsi"/>
                <w:sz w:val="22"/>
              </w:rPr>
            </w:pPr>
          </w:p>
        </w:tc>
        <w:tc>
          <w:tcPr>
            <w:tcW w:w="875" w:type="dxa"/>
          </w:tcPr>
          <w:p w:rsidRPr="0086529C" w:rsidR="00007305" w:rsidP="00875600" w:rsidRDefault="006327CD" w14:paraId="3EEDB342" w14:textId="08A7F324">
            <w:pPr>
              <w:spacing w:line="240" w:lineRule="auto"/>
              <w:ind w:firstLine="0"/>
              <w:jc w:val="center"/>
              <w:rPr>
                <w:rFonts w:asciiTheme="minorHAnsi" w:hAnsiTheme="minorHAnsi"/>
                <w:sz w:val="22"/>
              </w:rPr>
            </w:pPr>
            <w:r>
              <w:rPr>
                <w:rFonts w:asciiTheme="minorHAnsi" w:hAnsiTheme="minorHAnsi"/>
                <w:sz w:val="22"/>
              </w:rPr>
              <w:t>15.94</w:t>
            </w:r>
            <w:r w:rsidRPr="0086529C" w:rsidR="00007305">
              <w:rPr>
                <w:rFonts w:asciiTheme="minorHAnsi" w:hAnsiTheme="minorHAnsi"/>
                <w:sz w:val="22"/>
              </w:rPr>
              <w:t>%</w:t>
            </w:r>
          </w:p>
        </w:tc>
      </w:tr>
      <w:tr w:rsidRPr="00E10C2F" w:rsidR="00FA41CA" w:rsidTr="005925CE" w14:paraId="5C97797D" w14:textId="77777777">
        <w:tc>
          <w:tcPr>
            <w:tcW w:w="1795" w:type="dxa"/>
          </w:tcPr>
          <w:p w:rsidRPr="00EF5C6B" w:rsidR="00007305" w:rsidP="005925CE" w:rsidRDefault="00007305" w14:paraId="440925D3" w14:textId="2E276BEB">
            <w:pPr>
              <w:spacing w:line="240" w:lineRule="auto"/>
              <w:ind w:firstLine="0"/>
              <w:rPr>
                <w:rFonts w:asciiTheme="minorHAnsi" w:hAnsiTheme="minorHAnsi"/>
                <w:sz w:val="22"/>
              </w:rPr>
            </w:pPr>
            <w:r w:rsidRPr="00EF5C6B">
              <w:rPr>
                <w:rFonts w:asciiTheme="minorHAnsi" w:hAnsiTheme="minorHAnsi"/>
                <w:sz w:val="22"/>
              </w:rPr>
              <w:t>Number of non-CARE Customers in Arrears</w:t>
            </w:r>
          </w:p>
        </w:tc>
        <w:tc>
          <w:tcPr>
            <w:tcW w:w="1068" w:type="dxa"/>
          </w:tcPr>
          <w:p w:rsidRPr="00EF5C6B" w:rsidR="00007305" w:rsidP="00875600" w:rsidRDefault="00007305" w14:paraId="2DFCE200" w14:textId="77777777">
            <w:pPr>
              <w:spacing w:line="240" w:lineRule="auto"/>
              <w:ind w:firstLine="0"/>
              <w:jc w:val="center"/>
              <w:rPr>
                <w:rFonts w:asciiTheme="minorHAnsi" w:hAnsiTheme="minorHAnsi"/>
                <w:sz w:val="22"/>
              </w:rPr>
            </w:pPr>
            <w:r w:rsidRPr="00EF5C6B">
              <w:rPr>
                <w:rFonts w:asciiTheme="minorHAnsi" w:hAnsiTheme="minorHAnsi"/>
                <w:sz w:val="22"/>
              </w:rPr>
              <w:t>2,247</w:t>
            </w:r>
          </w:p>
          <w:p w:rsidRPr="00EF5C6B" w:rsidR="00007305" w:rsidP="00875600" w:rsidRDefault="00007305" w14:paraId="5976E560" w14:textId="77777777">
            <w:pPr>
              <w:spacing w:line="240" w:lineRule="auto"/>
              <w:ind w:firstLine="0"/>
              <w:jc w:val="center"/>
              <w:rPr>
                <w:rFonts w:asciiTheme="minorHAnsi" w:hAnsiTheme="minorHAnsi"/>
                <w:sz w:val="22"/>
              </w:rPr>
            </w:pPr>
          </w:p>
        </w:tc>
        <w:tc>
          <w:tcPr>
            <w:tcW w:w="1072" w:type="dxa"/>
          </w:tcPr>
          <w:p w:rsidRPr="0086529C" w:rsidR="00007305" w:rsidP="00875600" w:rsidRDefault="00970B3E" w14:paraId="6392E6C8" w14:textId="489EA953">
            <w:pPr>
              <w:spacing w:line="240" w:lineRule="auto"/>
              <w:ind w:firstLine="0"/>
              <w:jc w:val="center"/>
              <w:rPr>
                <w:rFonts w:asciiTheme="minorHAnsi" w:hAnsiTheme="minorHAnsi"/>
                <w:sz w:val="22"/>
              </w:rPr>
            </w:pPr>
            <w:r>
              <w:rPr>
                <w:rFonts w:asciiTheme="minorHAnsi" w:hAnsiTheme="minorHAnsi"/>
                <w:sz w:val="22"/>
              </w:rPr>
              <w:t>not available</w:t>
            </w:r>
          </w:p>
          <w:p w:rsidRPr="0086529C" w:rsidR="00007305" w:rsidP="00875600" w:rsidRDefault="00007305" w14:paraId="15AC7FAB" w14:textId="77777777">
            <w:pPr>
              <w:spacing w:line="240" w:lineRule="auto"/>
              <w:ind w:firstLine="0"/>
              <w:jc w:val="center"/>
              <w:rPr>
                <w:rFonts w:asciiTheme="minorHAnsi" w:hAnsiTheme="minorHAnsi"/>
                <w:sz w:val="22"/>
              </w:rPr>
            </w:pPr>
          </w:p>
        </w:tc>
        <w:tc>
          <w:tcPr>
            <w:tcW w:w="1220" w:type="dxa"/>
          </w:tcPr>
          <w:p w:rsidRPr="0086529C" w:rsidR="00007305" w:rsidP="00875600" w:rsidRDefault="00007305" w14:paraId="15AA8403" w14:textId="77777777">
            <w:pPr>
              <w:spacing w:line="240" w:lineRule="auto"/>
              <w:ind w:firstLine="0"/>
              <w:jc w:val="center"/>
              <w:rPr>
                <w:rFonts w:asciiTheme="minorHAnsi" w:hAnsiTheme="minorHAnsi"/>
                <w:sz w:val="22"/>
              </w:rPr>
            </w:pPr>
            <w:r w:rsidRPr="0086529C">
              <w:rPr>
                <w:rFonts w:asciiTheme="minorHAnsi" w:hAnsiTheme="minorHAnsi"/>
                <w:sz w:val="22"/>
              </w:rPr>
              <w:t>3,093</w:t>
            </w:r>
          </w:p>
          <w:p w:rsidRPr="0086529C" w:rsidR="00007305" w:rsidP="00875600" w:rsidRDefault="00007305" w14:paraId="4997261B" w14:textId="77777777">
            <w:pPr>
              <w:spacing w:line="240" w:lineRule="auto"/>
              <w:ind w:firstLine="0"/>
              <w:jc w:val="center"/>
              <w:rPr>
                <w:rFonts w:asciiTheme="minorHAnsi" w:hAnsiTheme="minorHAnsi"/>
                <w:sz w:val="22"/>
              </w:rPr>
            </w:pPr>
          </w:p>
        </w:tc>
        <w:tc>
          <w:tcPr>
            <w:tcW w:w="1297" w:type="dxa"/>
          </w:tcPr>
          <w:p w:rsidRPr="0086529C" w:rsidR="00007305" w:rsidP="00875600" w:rsidRDefault="00007305" w14:paraId="469DAA6E" w14:textId="77777777">
            <w:pPr>
              <w:spacing w:line="240" w:lineRule="auto"/>
              <w:ind w:firstLine="0"/>
              <w:jc w:val="center"/>
              <w:rPr>
                <w:rFonts w:asciiTheme="minorHAnsi" w:hAnsiTheme="minorHAnsi"/>
                <w:sz w:val="22"/>
              </w:rPr>
            </w:pPr>
            <w:r w:rsidRPr="0086529C">
              <w:rPr>
                <w:rFonts w:asciiTheme="minorHAnsi" w:hAnsiTheme="minorHAnsi"/>
                <w:sz w:val="22"/>
              </w:rPr>
              <w:t>10,806</w:t>
            </w:r>
          </w:p>
          <w:p w:rsidRPr="0086529C" w:rsidR="00007305" w:rsidP="00875600" w:rsidRDefault="00007305" w14:paraId="29A028E3" w14:textId="77777777">
            <w:pPr>
              <w:spacing w:line="240" w:lineRule="auto"/>
              <w:ind w:firstLine="0"/>
              <w:jc w:val="center"/>
              <w:rPr>
                <w:rFonts w:asciiTheme="minorHAnsi" w:hAnsiTheme="minorHAnsi"/>
                <w:sz w:val="22"/>
              </w:rPr>
            </w:pPr>
          </w:p>
        </w:tc>
        <w:tc>
          <w:tcPr>
            <w:tcW w:w="1076" w:type="dxa"/>
          </w:tcPr>
          <w:p w:rsidRPr="0086529C" w:rsidR="00007305" w:rsidP="00875600" w:rsidRDefault="00007305" w14:paraId="004D47AA" w14:textId="77777777">
            <w:pPr>
              <w:spacing w:line="240" w:lineRule="auto"/>
              <w:ind w:firstLine="0"/>
              <w:jc w:val="center"/>
              <w:rPr>
                <w:rFonts w:asciiTheme="minorHAnsi" w:hAnsiTheme="minorHAnsi"/>
                <w:sz w:val="22"/>
              </w:rPr>
            </w:pPr>
            <w:r w:rsidRPr="0086529C">
              <w:rPr>
                <w:rFonts w:asciiTheme="minorHAnsi" w:hAnsiTheme="minorHAnsi"/>
                <w:sz w:val="22"/>
              </w:rPr>
              <w:t>8</w:t>
            </w:r>
          </w:p>
          <w:p w:rsidRPr="0086529C" w:rsidR="00007305" w:rsidP="00875600" w:rsidRDefault="00007305" w14:paraId="2FC2E4E7" w14:textId="77777777">
            <w:pPr>
              <w:spacing w:line="240" w:lineRule="auto"/>
              <w:ind w:firstLine="0"/>
              <w:jc w:val="center"/>
              <w:rPr>
                <w:rFonts w:asciiTheme="minorHAnsi" w:hAnsiTheme="minorHAnsi"/>
                <w:sz w:val="22"/>
              </w:rPr>
            </w:pPr>
          </w:p>
        </w:tc>
        <w:tc>
          <w:tcPr>
            <w:tcW w:w="947" w:type="dxa"/>
          </w:tcPr>
          <w:p w:rsidRPr="0086529C" w:rsidR="00007305" w:rsidP="00875600" w:rsidRDefault="00007305" w14:paraId="62D448D6" w14:textId="77777777">
            <w:pPr>
              <w:spacing w:line="240" w:lineRule="auto"/>
              <w:ind w:firstLine="0"/>
              <w:jc w:val="center"/>
              <w:rPr>
                <w:rFonts w:asciiTheme="minorHAnsi" w:hAnsiTheme="minorHAnsi"/>
                <w:sz w:val="22"/>
              </w:rPr>
            </w:pPr>
            <w:r w:rsidRPr="0086529C">
              <w:rPr>
                <w:rFonts w:asciiTheme="minorHAnsi" w:hAnsiTheme="minorHAnsi"/>
                <w:sz w:val="22"/>
              </w:rPr>
              <w:t>32</w:t>
            </w:r>
          </w:p>
        </w:tc>
        <w:tc>
          <w:tcPr>
            <w:tcW w:w="875" w:type="dxa"/>
          </w:tcPr>
          <w:p w:rsidRPr="0086529C" w:rsidR="00007305" w:rsidP="00875600" w:rsidRDefault="00007305" w14:paraId="04FB1695" w14:textId="09D2BAD5">
            <w:pPr>
              <w:spacing w:line="240" w:lineRule="auto"/>
              <w:ind w:firstLine="0"/>
              <w:jc w:val="center"/>
              <w:rPr>
                <w:rFonts w:asciiTheme="minorHAnsi" w:hAnsiTheme="minorHAnsi"/>
                <w:sz w:val="22"/>
              </w:rPr>
            </w:pPr>
            <w:r w:rsidRPr="0086529C">
              <w:rPr>
                <w:rFonts w:asciiTheme="minorHAnsi" w:hAnsiTheme="minorHAnsi"/>
                <w:sz w:val="22"/>
              </w:rPr>
              <w:t>1</w:t>
            </w:r>
            <w:r w:rsidR="00D4672C">
              <w:rPr>
                <w:rFonts w:asciiTheme="minorHAnsi" w:hAnsiTheme="minorHAnsi"/>
                <w:sz w:val="22"/>
              </w:rPr>
              <w:t>6,186</w:t>
            </w:r>
          </w:p>
          <w:p w:rsidRPr="0086529C" w:rsidR="00007305" w:rsidP="00875600" w:rsidRDefault="00007305" w14:paraId="2F9E07A1" w14:textId="77777777">
            <w:pPr>
              <w:spacing w:line="240" w:lineRule="auto"/>
              <w:ind w:firstLine="0"/>
              <w:jc w:val="center"/>
              <w:rPr>
                <w:rFonts w:asciiTheme="minorHAnsi" w:hAnsiTheme="minorHAnsi"/>
                <w:sz w:val="22"/>
              </w:rPr>
            </w:pPr>
          </w:p>
        </w:tc>
      </w:tr>
      <w:tr w:rsidRPr="00E10C2F" w:rsidR="00FA41CA" w:rsidTr="005925CE" w14:paraId="73797FA8" w14:textId="77777777">
        <w:tc>
          <w:tcPr>
            <w:tcW w:w="1795" w:type="dxa"/>
          </w:tcPr>
          <w:p w:rsidRPr="00EF5C6B" w:rsidR="00007305" w:rsidP="005925CE" w:rsidRDefault="00007305" w14:paraId="3A1C8D9F" w14:textId="74564382">
            <w:pPr>
              <w:spacing w:line="240" w:lineRule="auto"/>
              <w:ind w:firstLine="0"/>
              <w:rPr>
                <w:rFonts w:asciiTheme="minorHAnsi" w:hAnsiTheme="minorHAnsi"/>
                <w:sz w:val="22"/>
              </w:rPr>
            </w:pPr>
            <w:r w:rsidRPr="00EF5C6B">
              <w:rPr>
                <w:rFonts w:asciiTheme="minorHAnsi" w:hAnsiTheme="minorHAnsi"/>
                <w:sz w:val="22"/>
              </w:rPr>
              <w:t>Percent of non-CARE Customers in Arrears</w:t>
            </w:r>
          </w:p>
        </w:tc>
        <w:tc>
          <w:tcPr>
            <w:tcW w:w="1068" w:type="dxa"/>
          </w:tcPr>
          <w:p w:rsidRPr="00EF5C6B" w:rsidR="00007305" w:rsidP="00875600" w:rsidRDefault="00007305" w14:paraId="7471E519" w14:textId="77777777">
            <w:pPr>
              <w:spacing w:line="240" w:lineRule="auto"/>
              <w:ind w:firstLine="0"/>
              <w:jc w:val="center"/>
              <w:rPr>
                <w:rFonts w:asciiTheme="minorHAnsi" w:hAnsiTheme="minorHAnsi"/>
                <w:sz w:val="22"/>
              </w:rPr>
            </w:pPr>
            <w:r w:rsidRPr="00EF5C6B">
              <w:rPr>
                <w:rFonts w:asciiTheme="minorHAnsi" w:hAnsiTheme="minorHAnsi"/>
                <w:sz w:val="22"/>
              </w:rPr>
              <w:t>8.46%</w:t>
            </w:r>
          </w:p>
          <w:p w:rsidRPr="00EF5C6B" w:rsidR="00007305" w:rsidP="00875600" w:rsidRDefault="00007305" w14:paraId="506EF634" w14:textId="77777777">
            <w:pPr>
              <w:spacing w:line="240" w:lineRule="auto"/>
              <w:ind w:firstLine="0"/>
              <w:jc w:val="center"/>
              <w:rPr>
                <w:rFonts w:asciiTheme="minorHAnsi" w:hAnsiTheme="minorHAnsi"/>
                <w:sz w:val="22"/>
              </w:rPr>
            </w:pPr>
          </w:p>
        </w:tc>
        <w:tc>
          <w:tcPr>
            <w:tcW w:w="1072" w:type="dxa"/>
          </w:tcPr>
          <w:p w:rsidRPr="0086529C" w:rsidR="00007305" w:rsidP="00875600" w:rsidRDefault="00970B3E" w14:paraId="1F8C884C" w14:textId="4C7496AC">
            <w:pPr>
              <w:spacing w:line="240" w:lineRule="auto"/>
              <w:ind w:firstLine="0"/>
              <w:jc w:val="center"/>
              <w:rPr>
                <w:rFonts w:asciiTheme="minorHAnsi" w:hAnsiTheme="minorHAnsi"/>
                <w:sz w:val="22"/>
              </w:rPr>
            </w:pPr>
            <w:r>
              <w:rPr>
                <w:rFonts w:asciiTheme="minorHAnsi" w:hAnsiTheme="minorHAnsi"/>
                <w:sz w:val="22"/>
              </w:rPr>
              <w:t>not available</w:t>
            </w:r>
            <w:r w:rsidRPr="0086529C" w:rsidDel="00970B3E">
              <w:rPr>
                <w:rFonts w:asciiTheme="minorHAnsi" w:hAnsiTheme="minorHAnsi"/>
                <w:sz w:val="22"/>
              </w:rPr>
              <w:t xml:space="preserve"> </w:t>
            </w:r>
          </w:p>
        </w:tc>
        <w:tc>
          <w:tcPr>
            <w:tcW w:w="1220" w:type="dxa"/>
          </w:tcPr>
          <w:p w:rsidRPr="0086529C" w:rsidR="00007305" w:rsidP="00875600" w:rsidRDefault="00007305" w14:paraId="6D5588D3" w14:textId="77777777">
            <w:pPr>
              <w:spacing w:line="240" w:lineRule="auto"/>
              <w:ind w:firstLine="0"/>
              <w:jc w:val="center"/>
              <w:rPr>
                <w:rFonts w:asciiTheme="minorHAnsi" w:hAnsiTheme="minorHAnsi"/>
                <w:sz w:val="22"/>
              </w:rPr>
            </w:pPr>
            <w:r w:rsidRPr="0086529C">
              <w:rPr>
                <w:rFonts w:asciiTheme="minorHAnsi" w:hAnsiTheme="minorHAnsi"/>
                <w:sz w:val="22"/>
              </w:rPr>
              <w:t>13.38%</w:t>
            </w:r>
          </w:p>
          <w:p w:rsidRPr="0086529C" w:rsidR="00007305" w:rsidP="00875600" w:rsidRDefault="00007305" w14:paraId="056EEFDB" w14:textId="77777777">
            <w:pPr>
              <w:spacing w:line="240" w:lineRule="auto"/>
              <w:ind w:firstLine="0"/>
              <w:jc w:val="center"/>
              <w:rPr>
                <w:rFonts w:asciiTheme="minorHAnsi" w:hAnsiTheme="minorHAnsi"/>
                <w:sz w:val="22"/>
              </w:rPr>
            </w:pPr>
          </w:p>
        </w:tc>
        <w:tc>
          <w:tcPr>
            <w:tcW w:w="1297" w:type="dxa"/>
          </w:tcPr>
          <w:p w:rsidRPr="0086529C" w:rsidR="00007305" w:rsidP="00875600" w:rsidRDefault="00007305" w14:paraId="0BF458F0" w14:textId="77777777">
            <w:pPr>
              <w:spacing w:line="240" w:lineRule="auto"/>
              <w:ind w:firstLine="0"/>
              <w:jc w:val="center"/>
              <w:rPr>
                <w:rFonts w:asciiTheme="minorHAnsi" w:hAnsiTheme="minorHAnsi"/>
                <w:sz w:val="22"/>
              </w:rPr>
            </w:pPr>
            <w:r w:rsidRPr="0086529C">
              <w:rPr>
                <w:rFonts w:asciiTheme="minorHAnsi" w:hAnsiTheme="minorHAnsi"/>
                <w:sz w:val="22"/>
              </w:rPr>
              <w:t>8.13%</w:t>
            </w:r>
          </w:p>
          <w:p w:rsidRPr="0086529C" w:rsidR="00007305" w:rsidP="00875600" w:rsidRDefault="00007305" w14:paraId="3804A164" w14:textId="77777777">
            <w:pPr>
              <w:spacing w:line="240" w:lineRule="auto"/>
              <w:ind w:firstLine="0"/>
              <w:jc w:val="center"/>
              <w:rPr>
                <w:rFonts w:asciiTheme="minorHAnsi" w:hAnsiTheme="minorHAnsi"/>
                <w:sz w:val="22"/>
              </w:rPr>
            </w:pPr>
          </w:p>
        </w:tc>
        <w:tc>
          <w:tcPr>
            <w:tcW w:w="1076" w:type="dxa"/>
          </w:tcPr>
          <w:p w:rsidRPr="0086529C" w:rsidR="00007305" w:rsidP="00875600" w:rsidRDefault="00007305" w14:paraId="24B047A1" w14:textId="77777777">
            <w:pPr>
              <w:spacing w:line="240" w:lineRule="auto"/>
              <w:ind w:firstLine="0"/>
              <w:jc w:val="center"/>
              <w:rPr>
                <w:rFonts w:asciiTheme="minorHAnsi" w:hAnsiTheme="minorHAnsi"/>
                <w:sz w:val="22"/>
              </w:rPr>
            </w:pPr>
            <w:r w:rsidRPr="0086529C">
              <w:rPr>
                <w:rFonts w:asciiTheme="minorHAnsi" w:hAnsiTheme="minorHAnsi"/>
                <w:sz w:val="22"/>
              </w:rPr>
              <w:t>0.66%</w:t>
            </w:r>
          </w:p>
          <w:p w:rsidRPr="0086529C" w:rsidR="00007305" w:rsidP="00875600" w:rsidRDefault="00007305" w14:paraId="19B8BE36" w14:textId="77777777">
            <w:pPr>
              <w:spacing w:line="240" w:lineRule="auto"/>
              <w:ind w:firstLine="0"/>
              <w:jc w:val="center"/>
              <w:rPr>
                <w:rFonts w:asciiTheme="minorHAnsi" w:hAnsiTheme="minorHAnsi"/>
                <w:sz w:val="22"/>
              </w:rPr>
            </w:pPr>
          </w:p>
        </w:tc>
        <w:tc>
          <w:tcPr>
            <w:tcW w:w="947" w:type="dxa"/>
          </w:tcPr>
          <w:p w:rsidRPr="0086529C" w:rsidR="00007305" w:rsidP="00875600" w:rsidRDefault="00007305" w14:paraId="5F65E579" w14:textId="77777777">
            <w:pPr>
              <w:spacing w:line="240" w:lineRule="auto"/>
              <w:ind w:firstLine="0"/>
              <w:jc w:val="center"/>
              <w:rPr>
                <w:rFonts w:asciiTheme="minorHAnsi" w:hAnsiTheme="minorHAnsi"/>
                <w:sz w:val="22"/>
              </w:rPr>
            </w:pPr>
            <w:r w:rsidRPr="0086529C">
              <w:rPr>
                <w:rFonts w:asciiTheme="minorHAnsi" w:hAnsiTheme="minorHAnsi"/>
                <w:sz w:val="22"/>
              </w:rPr>
              <w:t>2.12%</w:t>
            </w:r>
          </w:p>
          <w:p w:rsidRPr="0086529C" w:rsidR="00007305" w:rsidP="00875600" w:rsidRDefault="00007305" w14:paraId="63213436" w14:textId="77777777">
            <w:pPr>
              <w:spacing w:line="240" w:lineRule="auto"/>
              <w:ind w:firstLine="0"/>
              <w:jc w:val="center"/>
              <w:rPr>
                <w:rFonts w:asciiTheme="minorHAnsi" w:hAnsiTheme="minorHAnsi"/>
                <w:sz w:val="22"/>
              </w:rPr>
            </w:pPr>
          </w:p>
        </w:tc>
        <w:tc>
          <w:tcPr>
            <w:tcW w:w="875" w:type="dxa"/>
          </w:tcPr>
          <w:p w:rsidRPr="0086529C" w:rsidR="00007305" w:rsidP="00875600" w:rsidRDefault="0043475D" w14:paraId="0BDCF2FB" w14:textId="2FC52A3D">
            <w:pPr>
              <w:spacing w:line="240" w:lineRule="auto"/>
              <w:ind w:firstLine="0"/>
              <w:jc w:val="center"/>
              <w:rPr>
                <w:rFonts w:asciiTheme="minorHAnsi" w:hAnsiTheme="minorHAnsi"/>
                <w:sz w:val="22"/>
              </w:rPr>
            </w:pPr>
            <w:r>
              <w:rPr>
                <w:rFonts w:asciiTheme="minorHAnsi" w:hAnsiTheme="minorHAnsi"/>
                <w:sz w:val="22"/>
              </w:rPr>
              <w:t>0.95</w:t>
            </w:r>
            <w:r w:rsidRPr="0086529C" w:rsidR="00007305">
              <w:rPr>
                <w:rFonts w:asciiTheme="minorHAnsi" w:hAnsiTheme="minorHAnsi"/>
                <w:sz w:val="22"/>
              </w:rPr>
              <w:t>%</w:t>
            </w:r>
          </w:p>
          <w:p w:rsidRPr="0086529C" w:rsidR="00007305" w:rsidP="00875600" w:rsidRDefault="00007305" w14:paraId="36624839" w14:textId="10A94273">
            <w:pPr>
              <w:spacing w:line="240" w:lineRule="auto"/>
              <w:ind w:firstLine="0"/>
              <w:jc w:val="center"/>
              <w:rPr>
                <w:rFonts w:asciiTheme="minorHAnsi" w:hAnsiTheme="minorHAnsi"/>
                <w:sz w:val="22"/>
              </w:rPr>
            </w:pPr>
          </w:p>
        </w:tc>
      </w:tr>
    </w:tbl>
    <w:p w:rsidRPr="00875600" w:rsidR="00007305" w:rsidP="00007305" w:rsidRDefault="00007305" w14:paraId="17233EC7" w14:textId="2F71FE71">
      <w:pPr>
        <w:spacing w:line="240" w:lineRule="auto"/>
        <w:ind w:firstLine="0"/>
        <w:rPr>
          <w:i/>
          <w:iCs/>
          <w:sz w:val="20"/>
          <w:szCs w:val="20"/>
        </w:rPr>
      </w:pPr>
      <w:r w:rsidRPr="00875600">
        <w:rPr>
          <w:i/>
          <w:iCs/>
          <w:sz w:val="20"/>
          <w:szCs w:val="20"/>
        </w:rPr>
        <w:t>Source: Responses to Administrative Law Judge’s Ruling Directing Utilities to Provide Data, filed in R.21-02-014 on March 30</w:t>
      </w:r>
      <w:r w:rsidRPr="00875600">
        <w:rPr>
          <w:i/>
          <w:iCs/>
          <w:sz w:val="20"/>
          <w:szCs w:val="20"/>
          <w:vertAlign w:val="superscript"/>
        </w:rPr>
        <w:t>th</w:t>
      </w:r>
      <w:r w:rsidRPr="00875600">
        <w:rPr>
          <w:i/>
          <w:iCs/>
          <w:sz w:val="20"/>
          <w:szCs w:val="20"/>
        </w:rPr>
        <w:t>, 2021. Data is as of February 28, 2021.</w:t>
      </w:r>
    </w:p>
    <w:p w:rsidR="00D44222" w:rsidP="00875600" w:rsidRDefault="006D513D" w14:paraId="56499AFC" w14:textId="39F23343">
      <w:pPr>
        <w:pStyle w:val="Standard"/>
        <w:spacing w:before="120"/>
      </w:pPr>
      <w:r>
        <w:t>As shown in the tables below, the</w:t>
      </w:r>
      <w:r w:rsidR="00D44222">
        <w:t xml:space="preserve"> proportion of SMJU </w:t>
      </w:r>
      <w:r w:rsidR="001879F0">
        <w:t>Small Business</w:t>
      </w:r>
      <w:r w:rsidR="00D44222">
        <w:t xml:space="preserve"> customers in arrears (2</w:t>
      </w:r>
      <w:r w:rsidR="00355007">
        <w:t>5</w:t>
      </w:r>
      <w:r w:rsidR="00D44222">
        <w:t xml:space="preserve"> percent) is more than double the IOU </w:t>
      </w:r>
      <w:r w:rsidR="001879F0">
        <w:t>Small Business</w:t>
      </w:r>
      <w:r w:rsidR="00D44222">
        <w:t xml:space="preserve"> customers in arrears (11 percent).</w:t>
      </w:r>
    </w:p>
    <w:p w:rsidRPr="00875600" w:rsidR="00007305" w:rsidP="00875600" w:rsidRDefault="00007305" w14:paraId="3E2C1DC0" w14:textId="0790BA59">
      <w:pPr>
        <w:keepNext/>
        <w:keepLines/>
        <w:spacing w:after="120" w:line="240" w:lineRule="auto"/>
        <w:jc w:val="center"/>
        <w:rPr>
          <w:b/>
          <w:bCs/>
        </w:rPr>
      </w:pPr>
      <w:r w:rsidRPr="00875600">
        <w:rPr>
          <w:b/>
          <w:bCs/>
        </w:rPr>
        <w:t>IOU Small Business Arrearages</w:t>
      </w:r>
    </w:p>
    <w:tbl>
      <w:tblPr>
        <w:tblStyle w:val="TableGrid"/>
        <w:tblW w:w="0" w:type="auto"/>
        <w:tblLook w:val="04A0" w:firstRow="1" w:lastRow="0" w:firstColumn="1" w:lastColumn="0" w:noHBand="0" w:noVBand="1"/>
      </w:tblPr>
      <w:tblGrid>
        <w:gridCol w:w="1465"/>
        <w:gridCol w:w="1589"/>
        <w:gridCol w:w="1544"/>
        <w:gridCol w:w="1620"/>
        <w:gridCol w:w="1666"/>
        <w:gridCol w:w="1466"/>
      </w:tblGrid>
      <w:tr w:rsidRPr="00504F67" w:rsidR="00007305" w:rsidTr="005925CE" w14:paraId="47A77700" w14:textId="77777777">
        <w:tc>
          <w:tcPr>
            <w:tcW w:w="1465" w:type="dxa"/>
          </w:tcPr>
          <w:p w:rsidRPr="00504F67" w:rsidR="00007305" w:rsidP="00504F67" w:rsidRDefault="00007305" w14:paraId="3D7E3733" w14:textId="77777777">
            <w:pPr>
              <w:keepNext/>
              <w:keepLines/>
              <w:spacing w:line="240" w:lineRule="auto"/>
              <w:ind w:firstLine="0"/>
              <w:jc w:val="center"/>
              <w:rPr>
                <w:rFonts w:asciiTheme="minorHAnsi" w:hAnsiTheme="minorHAnsi"/>
                <w:b/>
                <w:bCs/>
                <w:sz w:val="22"/>
              </w:rPr>
            </w:pPr>
          </w:p>
        </w:tc>
        <w:tc>
          <w:tcPr>
            <w:tcW w:w="1589" w:type="dxa"/>
          </w:tcPr>
          <w:p w:rsidRPr="00504F67" w:rsidR="00007305" w:rsidP="00504F67" w:rsidRDefault="00007305" w14:paraId="2E18814F" w14:textId="77777777">
            <w:pPr>
              <w:keepNext/>
              <w:keepLines/>
              <w:spacing w:line="240" w:lineRule="auto"/>
              <w:ind w:firstLine="0"/>
              <w:jc w:val="center"/>
              <w:rPr>
                <w:rFonts w:asciiTheme="minorHAnsi" w:hAnsiTheme="minorHAnsi"/>
                <w:b/>
                <w:bCs/>
                <w:sz w:val="22"/>
              </w:rPr>
            </w:pPr>
            <w:r w:rsidRPr="00504F67">
              <w:rPr>
                <w:rFonts w:asciiTheme="minorHAnsi" w:hAnsiTheme="minorHAnsi"/>
                <w:b/>
                <w:bCs/>
                <w:sz w:val="22"/>
              </w:rPr>
              <w:t>PG&amp;E</w:t>
            </w:r>
          </w:p>
        </w:tc>
        <w:tc>
          <w:tcPr>
            <w:tcW w:w="1544" w:type="dxa"/>
          </w:tcPr>
          <w:p w:rsidRPr="00504F67" w:rsidR="00007305" w:rsidP="00504F67" w:rsidRDefault="00007305" w14:paraId="7D258F1C" w14:textId="77777777">
            <w:pPr>
              <w:keepNext/>
              <w:keepLines/>
              <w:spacing w:line="240" w:lineRule="auto"/>
              <w:ind w:firstLine="0"/>
              <w:jc w:val="center"/>
              <w:rPr>
                <w:rFonts w:asciiTheme="minorHAnsi" w:hAnsiTheme="minorHAnsi"/>
                <w:b/>
                <w:bCs/>
                <w:sz w:val="22"/>
              </w:rPr>
            </w:pPr>
            <w:r w:rsidRPr="00504F67">
              <w:rPr>
                <w:rFonts w:asciiTheme="minorHAnsi" w:hAnsiTheme="minorHAnsi"/>
                <w:b/>
                <w:bCs/>
                <w:sz w:val="22"/>
              </w:rPr>
              <w:t>SCE</w:t>
            </w:r>
          </w:p>
        </w:tc>
        <w:tc>
          <w:tcPr>
            <w:tcW w:w="1620" w:type="dxa"/>
          </w:tcPr>
          <w:p w:rsidRPr="00504F67" w:rsidR="00007305" w:rsidP="00504F67" w:rsidRDefault="00007305" w14:paraId="24F01617" w14:textId="77777777">
            <w:pPr>
              <w:keepNext/>
              <w:keepLines/>
              <w:spacing w:line="240" w:lineRule="auto"/>
              <w:ind w:firstLine="0"/>
              <w:jc w:val="center"/>
              <w:rPr>
                <w:rFonts w:asciiTheme="minorHAnsi" w:hAnsiTheme="minorHAnsi"/>
                <w:b/>
                <w:bCs/>
                <w:sz w:val="22"/>
              </w:rPr>
            </w:pPr>
            <w:r w:rsidRPr="00504F67">
              <w:rPr>
                <w:rFonts w:asciiTheme="minorHAnsi" w:hAnsiTheme="minorHAnsi"/>
                <w:b/>
                <w:bCs/>
                <w:sz w:val="22"/>
              </w:rPr>
              <w:t>SDG&amp;E</w:t>
            </w:r>
          </w:p>
        </w:tc>
        <w:tc>
          <w:tcPr>
            <w:tcW w:w="1666" w:type="dxa"/>
          </w:tcPr>
          <w:p w:rsidRPr="00504F67" w:rsidR="00007305" w:rsidP="00504F67" w:rsidRDefault="00007305" w14:paraId="298C4002" w14:textId="77777777">
            <w:pPr>
              <w:keepNext/>
              <w:keepLines/>
              <w:spacing w:line="240" w:lineRule="auto"/>
              <w:ind w:firstLine="0"/>
              <w:jc w:val="center"/>
              <w:rPr>
                <w:rFonts w:asciiTheme="minorHAnsi" w:hAnsiTheme="minorHAnsi"/>
                <w:b/>
                <w:bCs/>
                <w:sz w:val="22"/>
              </w:rPr>
            </w:pPr>
            <w:r w:rsidRPr="00504F67">
              <w:rPr>
                <w:rFonts w:asciiTheme="minorHAnsi" w:hAnsiTheme="minorHAnsi"/>
                <w:b/>
                <w:bCs/>
                <w:sz w:val="22"/>
              </w:rPr>
              <w:t>SoCalGas</w:t>
            </w:r>
          </w:p>
        </w:tc>
        <w:tc>
          <w:tcPr>
            <w:tcW w:w="1466" w:type="dxa"/>
          </w:tcPr>
          <w:p w:rsidRPr="00504F67" w:rsidR="00007305" w:rsidP="00504F67" w:rsidRDefault="00007305" w14:paraId="0480436E" w14:textId="77777777">
            <w:pPr>
              <w:keepNext/>
              <w:keepLines/>
              <w:spacing w:line="240" w:lineRule="auto"/>
              <w:ind w:firstLine="0"/>
              <w:jc w:val="center"/>
              <w:rPr>
                <w:rFonts w:asciiTheme="minorHAnsi" w:hAnsiTheme="minorHAnsi"/>
                <w:b/>
                <w:bCs/>
                <w:sz w:val="22"/>
              </w:rPr>
            </w:pPr>
            <w:r w:rsidRPr="00504F67">
              <w:rPr>
                <w:rFonts w:asciiTheme="minorHAnsi" w:hAnsiTheme="minorHAnsi"/>
                <w:b/>
                <w:bCs/>
                <w:sz w:val="22"/>
              </w:rPr>
              <w:t>Total</w:t>
            </w:r>
          </w:p>
        </w:tc>
      </w:tr>
      <w:tr w:rsidR="00007305" w:rsidTr="005925CE" w14:paraId="352E75CE" w14:textId="77777777">
        <w:tc>
          <w:tcPr>
            <w:tcW w:w="1465" w:type="dxa"/>
          </w:tcPr>
          <w:p w:rsidRPr="000524E8" w:rsidR="00007305" w:rsidP="00875600" w:rsidRDefault="00007305" w14:paraId="7E8D22FF" w14:textId="77777777">
            <w:pPr>
              <w:keepNext/>
              <w:keepLines/>
              <w:spacing w:line="240" w:lineRule="auto"/>
              <w:ind w:firstLine="0"/>
              <w:rPr>
                <w:rFonts w:asciiTheme="minorHAnsi" w:hAnsiTheme="minorHAnsi"/>
                <w:sz w:val="22"/>
              </w:rPr>
            </w:pPr>
            <w:r>
              <w:rPr>
                <w:rFonts w:asciiTheme="minorHAnsi" w:hAnsiTheme="minorHAnsi"/>
                <w:sz w:val="22"/>
              </w:rPr>
              <w:t xml:space="preserve">$ in </w:t>
            </w:r>
            <w:r w:rsidRPr="00EF5C6B">
              <w:rPr>
                <w:rFonts w:asciiTheme="minorHAnsi" w:hAnsiTheme="minorHAnsi"/>
                <w:sz w:val="22"/>
              </w:rPr>
              <w:t>Arrears</w:t>
            </w:r>
            <w:r>
              <w:rPr>
                <w:rFonts w:asciiTheme="minorHAnsi" w:hAnsiTheme="minorHAnsi"/>
                <w:sz w:val="22"/>
              </w:rPr>
              <w:t>, Small Business Customers</w:t>
            </w:r>
          </w:p>
        </w:tc>
        <w:tc>
          <w:tcPr>
            <w:tcW w:w="1589" w:type="dxa"/>
          </w:tcPr>
          <w:p w:rsidRPr="000524E8" w:rsidR="00007305" w:rsidP="00504F67" w:rsidRDefault="00007305" w14:paraId="07849557" w14:textId="77777777">
            <w:pPr>
              <w:keepNext/>
              <w:keepLines/>
              <w:spacing w:line="240" w:lineRule="auto"/>
              <w:ind w:firstLine="0"/>
              <w:jc w:val="center"/>
              <w:rPr>
                <w:rFonts w:asciiTheme="minorHAnsi" w:hAnsiTheme="minorHAnsi"/>
                <w:sz w:val="22"/>
              </w:rPr>
            </w:pPr>
            <w:r w:rsidRPr="0032185F">
              <w:rPr>
                <w:rFonts w:asciiTheme="minorHAnsi" w:hAnsiTheme="minorHAnsi"/>
                <w:sz w:val="22"/>
              </w:rPr>
              <w:t>$64,872,084</w:t>
            </w:r>
          </w:p>
        </w:tc>
        <w:tc>
          <w:tcPr>
            <w:tcW w:w="1544" w:type="dxa"/>
          </w:tcPr>
          <w:p w:rsidRPr="000524E8" w:rsidR="00007305" w:rsidP="00504F67" w:rsidRDefault="00007305" w14:paraId="0461D219" w14:textId="77777777">
            <w:pPr>
              <w:keepNext/>
              <w:keepLines/>
              <w:spacing w:line="240" w:lineRule="auto"/>
              <w:ind w:firstLine="0"/>
              <w:jc w:val="center"/>
              <w:rPr>
                <w:rFonts w:asciiTheme="minorHAnsi" w:hAnsiTheme="minorHAnsi"/>
                <w:sz w:val="22"/>
              </w:rPr>
            </w:pPr>
            <w:r w:rsidRPr="0032185F">
              <w:rPr>
                <w:rFonts w:asciiTheme="minorHAnsi" w:hAnsiTheme="minorHAnsi"/>
                <w:sz w:val="22"/>
              </w:rPr>
              <w:t>$32,149,526</w:t>
            </w:r>
          </w:p>
        </w:tc>
        <w:tc>
          <w:tcPr>
            <w:tcW w:w="1620" w:type="dxa"/>
          </w:tcPr>
          <w:p w:rsidRPr="000524E8" w:rsidR="00007305" w:rsidP="00504F67" w:rsidRDefault="00007305" w14:paraId="37C5B1FE" w14:textId="77777777">
            <w:pPr>
              <w:keepNext/>
              <w:keepLines/>
              <w:spacing w:line="240" w:lineRule="auto"/>
              <w:ind w:firstLine="0"/>
              <w:jc w:val="center"/>
              <w:rPr>
                <w:rFonts w:asciiTheme="minorHAnsi" w:hAnsiTheme="minorHAnsi"/>
                <w:sz w:val="22"/>
              </w:rPr>
            </w:pPr>
            <w:r w:rsidRPr="0032185F">
              <w:rPr>
                <w:rFonts w:asciiTheme="minorHAnsi" w:hAnsiTheme="minorHAnsi"/>
                <w:sz w:val="22"/>
              </w:rPr>
              <w:t>$17,569,417</w:t>
            </w:r>
          </w:p>
        </w:tc>
        <w:tc>
          <w:tcPr>
            <w:tcW w:w="1666" w:type="dxa"/>
          </w:tcPr>
          <w:p w:rsidRPr="000524E8" w:rsidR="00007305" w:rsidP="00504F67" w:rsidRDefault="00007305" w14:paraId="364A3DDB" w14:textId="77777777">
            <w:pPr>
              <w:keepNext/>
              <w:keepLines/>
              <w:spacing w:line="240" w:lineRule="auto"/>
              <w:ind w:firstLine="0"/>
              <w:jc w:val="center"/>
              <w:rPr>
                <w:rFonts w:asciiTheme="minorHAnsi" w:hAnsiTheme="minorHAnsi"/>
                <w:sz w:val="22"/>
              </w:rPr>
            </w:pPr>
            <w:r w:rsidRPr="0032185F">
              <w:rPr>
                <w:rFonts w:asciiTheme="minorHAnsi" w:hAnsiTheme="minorHAnsi"/>
                <w:sz w:val="22"/>
              </w:rPr>
              <w:t>$11,265,459</w:t>
            </w:r>
          </w:p>
        </w:tc>
        <w:tc>
          <w:tcPr>
            <w:tcW w:w="1466" w:type="dxa"/>
          </w:tcPr>
          <w:p w:rsidRPr="000524E8" w:rsidR="00007305" w:rsidP="00504F67" w:rsidRDefault="00007305" w14:paraId="5933D991" w14:textId="77777777">
            <w:pPr>
              <w:keepNext/>
              <w:keepLines/>
              <w:spacing w:line="240" w:lineRule="auto"/>
              <w:ind w:firstLine="0"/>
              <w:jc w:val="center"/>
              <w:rPr>
                <w:rFonts w:asciiTheme="minorHAnsi" w:hAnsiTheme="minorHAnsi"/>
                <w:sz w:val="22"/>
              </w:rPr>
            </w:pPr>
            <w:r w:rsidRPr="0032185F">
              <w:rPr>
                <w:rFonts w:asciiTheme="minorHAnsi" w:hAnsiTheme="minorHAnsi"/>
                <w:sz w:val="22"/>
              </w:rPr>
              <w:t>$125,856,486</w:t>
            </w:r>
          </w:p>
        </w:tc>
      </w:tr>
      <w:tr w:rsidR="00007305" w:rsidTr="005925CE" w14:paraId="055958A0" w14:textId="77777777">
        <w:tc>
          <w:tcPr>
            <w:tcW w:w="1465" w:type="dxa"/>
          </w:tcPr>
          <w:p w:rsidRPr="000524E8" w:rsidR="00007305" w:rsidP="005925CE" w:rsidRDefault="00007305" w14:paraId="526A296A" w14:textId="77777777">
            <w:pPr>
              <w:spacing w:line="240" w:lineRule="auto"/>
              <w:ind w:firstLine="0"/>
              <w:rPr>
                <w:rFonts w:asciiTheme="minorHAnsi" w:hAnsiTheme="minorHAnsi"/>
                <w:sz w:val="22"/>
              </w:rPr>
            </w:pPr>
            <w:r w:rsidRPr="000524E8">
              <w:rPr>
                <w:rFonts w:asciiTheme="minorHAnsi" w:hAnsiTheme="minorHAnsi"/>
                <w:sz w:val="22"/>
              </w:rPr>
              <w:t>Number of Small Business Customers in Arrears</w:t>
            </w:r>
          </w:p>
        </w:tc>
        <w:tc>
          <w:tcPr>
            <w:tcW w:w="1589" w:type="dxa"/>
          </w:tcPr>
          <w:p w:rsidRPr="000524E8" w:rsidR="00007305" w:rsidP="00504F67" w:rsidRDefault="00007305" w14:paraId="4DC3AF95" w14:textId="77777777">
            <w:pPr>
              <w:spacing w:line="240" w:lineRule="auto"/>
              <w:ind w:firstLine="0"/>
              <w:jc w:val="center"/>
              <w:rPr>
                <w:rFonts w:asciiTheme="minorHAnsi" w:hAnsiTheme="minorHAnsi"/>
                <w:sz w:val="22"/>
              </w:rPr>
            </w:pPr>
            <w:r w:rsidRPr="000524E8">
              <w:rPr>
                <w:rFonts w:asciiTheme="minorHAnsi" w:hAnsiTheme="minorHAnsi"/>
                <w:sz w:val="22"/>
              </w:rPr>
              <w:t>65,963</w:t>
            </w:r>
          </w:p>
        </w:tc>
        <w:tc>
          <w:tcPr>
            <w:tcW w:w="1544" w:type="dxa"/>
          </w:tcPr>
          <w:p w:rsidRPr="000524E8" w:rsidR="00007305" w:rsidP="00504F67" w:rsidRDefault="00007305" w14:paraId="6733CC6E" w14:textId="77777777">
            <w:pPr>
              <w:spacing w:line="240" w:lineRule="auto"/>
              <w:ind w:firstLine="0"/>
              <w:jc w:val="center"/>
              <w:rPr>
                <w:rFonts w:asciiTheme="minorHAnsi" w:hAnsiTheme="minorHAnsi"/>
                <w:sz w:val="22"/>
              </w:rPr>
            </w:pPr>
            <w:r w:rsidRPr="000524E8">
              <w:rPr>
                <w:rFonts w:asciiTheme="minorHAnsi" w:hAnsiTheme="minorHAnsi"/>
                <w:sz w:val="22"/>
              </w:rPr>
              <w:t>37,856</w:t>
            </w:r>
          </w:p>
        </w:tc>
        <w:tc>
          <w:tcPr>
            <w:tcW w:w="1620" w:type="dxa"/>
          </w:tcPr>
          <w:p w:rsidRPr="000524E8" w:rsidR="00007305" w:rsidP="00504F67" w:rsidRDefault="00007305" w14:paraId="493687FA" w14:textId="77777777">
            <w:pPr>
              <w:spacing w:line="240" w:lineRule="auto"/>
              <w:ind w:firstLine="0"/>
              <w:jc w:val="center"/>
              <w:rPr>
                <w:rFonts w:asciiTheme="minorHAnsi" w:hAnsiTheme="minorHAnsi"/>
                <w:sz w:val="22"/>
              </w:rPr>
            </w:pPr>
            <w:r w:rsidRPr="000524E8">
              <w:rPr>
                <w:rFonts w:asciiTheme="minorHAnsi" w:hAnsiTheme="minorHAnsi"/>
                <w:sz w:val="22"/>
              </w:rPr>
              <w:t>N/A</w:t>
            </w:r>
            <w:r w:rsidRPr="00FD0F6F">
              <w:rPr>
                <w:rFonts w:asciiTheme="minorHAnsi" w:hAnsiTheme="minorHAnsi"/>
                <w:sz w:val="22"/>
                <w:vertAlign w:val="superscript"/>
              </w:rPr>
              <w:footnoteReference w:id="19"/>
            </w:r>
          </w:p>
        </w:tc>
        <w:tc>
          <w:tcPr>
            <w:tcW w:w="1666" w:type="dxa"/>
          </w:tcPr>
          <w:p w:rsidRPr="000524E8" w:rsidR="00007305" w:rsidP="00504F67" w:rsidRDefault="00007305" w14:paraId="4C0B70DD" w14:textId="77777777">
            <w:pPr>
              <w:spacing w:line="240" w:lineRule="auto"/>
              <w:ind w:firstLine="0"/>
              <w:jc w:val="center"/>
              <w:rPr>
                <w:rFonts w:asciiTheme="minorHAnsi" w:hAnsiTheme="minorHAnsi"/>
                <w:sz w:val="22"/>
              </w:rPr>
            </w:pPr>
            <w:r w:rsidRPr="000524E8">
              <w:rPr>
                <w:rFonts w:asciiTheme="minorHAnsi" w:hAnsiTheme="minorHAnsi"/>
                <w:sz w:val="22"/>
              </w:rPr>
              <w:t>30,018</w:t>
            </w:r>
          </w:p>
        </w:tc>
        <w:tc>
          <w:tcPr>
            <w:tcW w:w="1466" w:type="dxa"/>
          </w:tcPr>
          <w:p w:rsidRPr="000524E8" w:rsidR="00007305" w:rsidP="00504F67" w:rsidRDefault="00007305" w14:paraId="6DF5AF77" w14:textId="77777777">
            <w:pPr>
              <w:spacing w:line="240" w:lineRule="auto"/>
              <w:ind w:firstLine="0"/>
              <w:jc w:val="center"/>
              <w:rPr>
                <w:rFonts w:asciiTheme="minorHAnsi" w:hAnsiTheme="minorHAnsi"/>
                <w:sz w:val="22"/>
              </w:rPr>
            </w:pPr>
            <w:r w:rsidRPr="000524E8">
              <w:rPr>
                <w:rFonts w:asciiTheme="minorHAnsi" w:hAnsiTheme="minorHAnsi"/>
                <w:sz w:val="22"/>
              </w:rPr>
              <w:t>133,837</w:t>
            </w:r>
          </w:p>
        </w:tc>
      </w:tr>
      <w:tr w:rsidR="00007305" w:rsidTr="005925CE" w14:paraId="021478E4" w14:textId="77777777">
        <w:tc>
          <w:tcPr>
            <w:tcW w:w="1465" w:type="dxa"/>
          </w:tcPr>
          <w:p w:rsidRPr="000524E8" w:rsidR="00007305" w:rsidP="005925CE" w:rsidRDefault="00007305" w14:paraId="4FA9B748" w14:textId="77777777">
            <w:pPr>
              <w:spacing w:line="240" w:lineRule="auto"/>
              <w:ind w:firstLine="0"/>
              <w:rPr>
                <w:rFonts w:asciiTheme="minorHAnsi" w:hAnsiTheme="minorHAnsi"/>
                <w:sz w:val="22"/>
              </w:rPr>
            </w:pPr>
            <w:r w:rsidRPr="000524E8">
              <w:rPr>
                <w:rFonts w:asciiTheme="minorHAnsi" w:hAnsiTheme="minorHAnsi"/>
                <w:sz w:val="22"/>
              </w:rPr>
              <w:t xml:space="preserve">Percent of Small Business </w:t>
            </w:r>
            <w:r w:rsidRPr="000524E8">
              <w:rPr>
                <w:rFonts w:asciiTheme="minorHAnsi" w:hAnsiTheme="minorHAnsi"/>
                <w:sz w:val="22"/>
              </w:rPr>
              <w:lastRenderedPageBreak/>
              <w:t>Customers in Arrears</w:t>
            </w:r>
          </w:p>
        </w:tc>
        <w:tc>
          <w:tcPr>
            <w:tcW w:w="1589" w:type="dxa"/>
          </w:tcPr>
          <w:p w:rsidRPr="000524E8" w:rsidR="00007305" w:rsidP="00504F67" w:rsidRDefault="00007305" w14:paraId="3CE93819" w14:textId="77777777">
            <w:pPr>
              <w:spacing w:line="240" w:lineRule="auto"/>
              <w:ind w:firstLine="0"/>
              <w:jc w:val="center"/>
              <w:rPr>
                <w:rFonts w:asciiTheme="minorHAnsi" w:hAnsiTheme="minorHAnsi"/>
                <w:sz w:val="22"/>
              </w:rPr>
            </w:pPr>
            <w:r w:rsidRPr="000524E8">
              <w:rPr>
                <w:rFonts w:asciiTheme="minorHAnsi" w:hAnsiTheme="minorHAnsi"/>
                <w:sz w:val="22"/>
              </w:rPr>
              <w:lastRenderedPageBreak/>
              <w:t>13.57%</w:t>
            </w:r>
          </w:p>
        </w:tc>
        <w:tc>
          <w:tcPr>
            <w:tcW w:w="1544" w:type="dxa"/>
          </w:tcPr>
          <w:p w:rsidRPr="000524E8" w:rsidR="00007305" w:rsidP="00504F67" w:rsidRDefault="00007305" w14:paraId="5A19E2FC" w14:textId="77777777">
            <w:pPr>
              <w:spacing w:line="240" w:lineRule="auto"/>
              <w:ind w:firstLine="0"/>
              <w:jc w:val="center"/>
              <w:rPr>
                <w:rFonts w:asciiTheme="minorHAnsi" w:hAnsiTheme="minorHAnsi"/>
                <w:sz w:val="22"/>
              </w:rPr>
            </w:pPr>
            <w:r w:rsidRPr="000524E8">
              <w:rPr>
                <w:rFonts w:asciiTheme="minorHAnsi" w:hAnsiTheme="minorHAnsi"/>
                <w:sz w:val="22"/>
              </w:rPr>
              <w:t>10.85%</w:t>
            </w:r>
          </w:p>
        </w:tc>
        <w:tc>
          <w:tcPr>
            <w:tcW w:w="1620" w:type="dxa"/>
          </w:tcPr>
          <w:p w:rsidRPr="000524E8" w:rsidR="00007305" w:rsidP="00504F67" w:rsidRDefault="00007305" w14:paraId="2E25B776" w14:textId="77777777">
            <w:pPr>
              <w:spacing w:line="240" w:lineRule="auto"/>
              <w:ind w:firstLine="0"/>
              <w:jc w:val="center"/>
              <w:rPr>
                <w:rFonts w:asciiTheme="minorHAnsi" w:hAnsiTheme="minorHAnsi"/>
                <w:sz w:val="22"/>
              </w:rPr>
            </w:pPr>
            <w:r w:rsidRPr="000524E8">
              <w:rPr>
                <w:rFonts w:asciiTheme="minorHAnsi" w:hAnsiTheme="minorHAnsi"/>
                <w:sz w:val="22"/>
              </w:rPr>
              <w:t>N/A</w:t>
            </w:r>
          </w:p>
        </w:tc>
        <w:tc>
          <w:tcPr>
            <w:tcW w:w="1666" w:type="dxa"/>
          </w:tcPr>
          <w:p w:rsidRPr="000524E8" w:rsidR="00007305" w:rsidP="00504F67" w:rsidRDefault="00007305" w14:paraId="77FC0281" w14:textId="77777777">
            <w:pPr>
              <w:spacing w:line="240" w:lineRule="auto"/>
              <w:ind w:firstLine="0"/>
              <w:jc w:val="center"/>
              <w:rPr>
                <w:rFonts w:asciiTheme="minorHAnsi" w:hAnsiTheme="minorHAnsi"/>
                <w:sz w:val="22"/>
              </w:rPr>
            </w:pPr>
            <w:r w:rsidRPr="000524E8">
              <w:rPr>
                <w:rFonts w:asciiTheme="minorHAnsi" w:hAnsiTheme="minorHAnsi"/>
                <w:sz w:val="22"/>
              </w:rPr>
              <w:t>16.24%</w:t>
            </w:r>
          </w:p>
        </w:tc>
        <w:tc>
          <w:tcPr>
            <w:tcW w:w="1466" w:type="dxa"/>
          </w:tcPr>
          <w:p w:rsidRPr="000524E8" w:rsidR="00007305" w:rsidP="00504F67" w:rsidRDefault="00007305" w14:paraId="19F90A7F" w14:textId="77777777">
            <w:pPr>
              <w:spacing w:line="240" w:lineRule="auto"/>
              <w:ind w:firstLine="0"/>
              <w:jc w:val="center"/>
              <w:rPr>
                <w:rFonts w:asciiTheme="minorHAnsi" w:hAnsiTheme="minorHAnsi"/>
                <w:sz w:val="22"/>
              </w:rPr>
            </w:pPr>
            <w:r w:rsidRPr="000524E8">
              <w:rPr>
                <w:rFonts w:asciiTheme="minorHAnsi" w:hAnsiTheme="minorHAnsi"/>
                <w:sz w:val="22"/>
              </w:rPr>
              <w:t>11.47%</w:t>
            </w:r>
          </w:p>
        </w:tc>
      </w:tr>
    </w:tbl>
    <w:p w:rsidRPr="00504F67" w:rsidR="00007305" w:rsidP="00007305" w:rsidRDefault="00007305" w14:paraId="666E72A1" w14:textId="0BB3691C">
      <w:pPr>
        <w:spacing w:line="240" w:lineRule="auto"/>
        <w:ind w:firstLine="0"/>
        <w:rPr>
          <w:i/>
          <w:iCs/>
          <w:sz w:val="20"/>
          <w:szCs w:val="20"/>
        </w:rPr>
      </w:pPr>
      <w:r w:rsidRPr="00504F67">
        <w:rPr>
          <w:i/>
          <w:iCs/>
          <w:sz w:val="20"/>
          <w:szCs w:val="20"/>
        </w:rPr>
        <w:t>Source: Responses to Administrative Law Judge’s Ruling Directing Utilities to Provide Data, filed in R.21-02-014 on March 30, 2021. Data is as of February 28, 2021.</w:t>
      </w:r>
    </w:p>
    <w:p w:rsidRPr="00022908" w:rsidR="00007305" w:rsidP="00022908" w:rsidRDefault="00007305" w14:paraId="36308659" w14:textId="2088C479">
      <w:pPr>
        <w:spacing w:before="120" w:after="120" w:line="240" w:lineRule="auto"/>
        <w:jc w:val="center"/>
        <w:rPr>
          <w:b/>
          <w:bCs/>
        </w:rPr>
      </w:pPr>
      <w:r w:rsidRPr="00022908">
        <w:rPr>
          <w:b/>
          <w:bCs/>
        </w:rPr>
        <w:t>SMJU Small Business Arrearages</w:t>
      </w:r>
    </w:p>
    <w:tbl>
      <w:tblPr>
        <w:tblStyle w:val="TableGrid"/>
        <w:tblW w:w="0" w:type="auto"/>
        <w:tblLook w:val="04A0" w:firstRow="1" w:lastRow="0" w:firstColumn="1" w:lastColumn="0" w:noHBand="0" w:noVBand="1"/>
      </w:tblPr>
      <w:tblGrid>
        <w:gridCol w:w="1181"/>
        <w:gridCol w:w="1185"/>
        <w:gridCol w:w="1278"/>
        <w:gridCol w:w="1278"/>
        <w:gridCol w:w="1308"/>
        <w:gridCol w:w="947"/>
        <w:gridCol w:w="1066"/>
        <w:gridCol w:w="1107"/>
      </w:tblGrid>
      <w:tr w:rsidRPr="00022908" w:rsidR="00007305" w:rsidTr="005925CE" w14:paraId="3E736573" w14:textId="77777777">
        <w:tc>
          <w:tcPr>
            <w:tcW w:w="1180" w:type="dxa"/>
          </w:tcPr>
          <w:p w:rsidRPr="00022908" w:rsidR="00007305" w:rsidP="00022908" w:rsidRDefault="00007305" w14:paraId="7E9ED879" w14:textId="77777777">
            <w:pPr>
              <w:spacing w:line="240" w:lineRule="auto"/>
              <w:ind w:firstLine="0"/>
              <w:jc w:val="center"/>
              <w:rPr>
                <w:rFonts w:asciiTheme="minorHAnsi" w:hAnsiTheme="minorHAnsi"/>
                <w:b/>
                <w:bCs/>
                <w:sz w:val="22"/>
              </w:rPr>
            </w:pPr>
          </w:p>
        </w:tc>
        <w:tc>
          <w:tcPr>
            <w:tcW w:w="1190" w:type="dxa"/>
          </w:tcPr>
          <w:p w:rsidRPr="00022908" w:rsidR="00007305" w:rsidP="00022908" w:rsidRDefault="00007305" w14:paraId="2EE3997D" w14:textId="77777777">
            <w:pPr>
              <w:spacing w:line="240" w:lineRule="auto"/>
              <w:ind w:firstLine="0"/>
              <w:jc w:val="center"/>
              <w:rPr>
                <w:rFonts w:asciiTheme="minorHAnsi" w:hAnsiTheme="minorHAnsi"/>
                <w:b/>
                <w:bCs/>
                <w:sz w:val="22"/>
              </w:rPr>
            </w:pPr>
            <w:r w:rsidRPr="00022908">
              <w:rPr>
                <w:rFonts w:asciiTheme="minorHAnsi" w:hAnsiTheme="minorHAnsi"/>
                <w:b/>
                <w:bCs/>
                <w:sz w:val="22"/>
              </w:rPr>
              <w:t>Liberty/</w:t>
            </w:r>
          </w:p>
          <w:p w:rsidRPr="00022908" w:rsidR="00007305" w:rsidP="00022908" w:rsidRDefault="00007305" w14:paraId="6C8409E1" w14:textId="77777777">
            <w:pPr>
              <w:spacing w:line="240" w:lineRule="auto"/>
              <w:ind w:firstLine="0"/>
              <w:jc w:val="center"/>
              <w:rPr>
                <w:rFonts w:asciiTheme="minorHAnsi" w:hAnsiTheme="minorHAnsi"/>
                <w:b/>
                <w:bCs/>
                <w:sz w:val="22"/>
              </w:rPr>
            </w:pPr>
            <w:r w:rsidRPr="00022908">
              <w:rPr>
                <w:rFonts w:asciiTheme="minorHAnsi" w:hAnsiTheme="minorHAnsi"/>
                <w:b/>
                <w:bCs/>
                <w:sz w:val="22"/>
              </w:rPr>
              <w:t>CalPeco</w:t>
            </w:r>
          </w:p>
        </w:tc>
        <w:tc>
          <w:tcPr>
            <w:tcW w:w="1290" w:type="dxa"/>
          </w:tcPr>
          <w:p w:rsidRPr="00022908" w:rsidR="00007305" w:rsidP="00022908" w:rsidRDefault="00007305" w14:paraId="207BE2CB" w14:textId="77777777">
            <w:pPr>
              <w:spacing w:line="240" w:lineRule="auto"/>
              <w:ind w:firstLine="0"/>
              <w:jc w:val="center"/>
              <w:rPr>
                <w:rFonts w:asciiTheme="minorHAnsi" w:hAnsiTheme="minorHAnsi"/>
                <w:b/>
                <w:bCs/>
                <w:sz w:val="22"/>
              </w:rPr>
            </w:pPr>
            <w:r w:rsidRPr="00022908">
              <w:rPr>
                <w:rFonts w:asciiTheme="minorHAnsi" w:hAnsiTheme="minorHAnsi"/>
                <w:b/>
                <w:bCs/>
                <w:sz w:val="22"/>
              </w:rPr>
              <w:t>Bear Valley Electric Service</w:t>
            </w:r>
          </w:p>
        </w:tc>
        <w:tc>
          <w:tcPr>
            <w:tcW w:w="1283" w:type="dxa"/>
          </w:tcPr>
          <w:p w:rsidRPr="00022908" w:rsidR="00007305" w:rsidP="00022908" w:rsidRDefault="00801806" w14:paraId="4BB84882" w14:textId="6E05770C">
            <w:pPr>
              <w:spacing w:line="240" w:lineRule="auto"/>
              <w:ind w:firstLine="0"/>
              <w:jc w:val="center"/>
              <w:rPr>
                <w:rFonts w:asciiTheme="minorHAnsi" w:hAnsiTheme="minorHAnsi"/>
                <w:b/>
                <w:bCs/>
                <w:sz w:val="22"/>
              </w:rPr>
            </w:pPr>
            <w:r w:rsidRPr="00022908">
              <w:rPr>
                <w:rFonts w:asciiTheme="minorHAnsi" w:hAnsiTheme="minorHAnsi"/>
                <w:b/>
                <w:bCs/>
                <w:sz w:val="22"/>
              </w:rPr>
              <w:t>PacifiCorp</w:t>
            </w:r>
          </w:p>
        </w:tc>
        <w:tc>
          <w:tcPr>
            <w:tcW w:w="1312" w:type="dxa"/>
          </w:tcPr>
          <w:p w:rsidRPr="00022908" w:rsidR="00007305" w:rsidP="00022908" w:rsidRDefault="00007305" w14:paraId="77C276FE" w14:textId="77777777">
            <w:pPr>
              <w:spacing w:line="240" w:lineRule="auto"/>
              <w:ind w:firstLine="0"/>
              <w:jc w:val="center"/>
              <w:rPr>
                <w:rFonts w:asciiTheme="minorHAnsi" w:hAnsiTheme="minorHAnsi"/>
                <w:b/>
                <w:bCs/>
                <w:sz w:val="22"/>
              </w:rPr>
            </w:pPr>
            <w:r w:rsidRPr="00022908">
              <w:rPr>
                <w:rFonts w:asciiTheme="minorHAnsi" w:hAnsiTheme="minorHAnsi"/>
                <w:b/>
                <w:bCs/>
                <w:sz w:val="22"/>
              </w:rPr>
              <w:t>Southwest Gas</w:t>
            </w:r>
          </w:p>
        </w:tc>
        <w:tc>
          <w:tcPr>
            <w:tcW w:w="955" w:type="dxa"/>
          </w:tcPr>
          <w:p w:rsidRPr="00022908" w:rsidR="00007305" w:rsidP="00022908" w:rsidRDefault="00007305" w14:paraId="7A5BF152" w14:textId="77777777">
            <w:pPr>
              <w:spacing w:line="240" w:lineRule="auto"/>
              <w:ind w:firstLine="0"/>
              <w:jc w:val="center"/>
              <w:rPr>
                <w:rFonts w:asciiTheme="minorHAnsi" w:hAnsiTheme="minorHAnsi"/>
                <w:b/>
                <w:bCs/>
                <w:sz w:val="22"/>
              </w:rPr>
            </w:pPr>
            <w:r w:rsidRPr="00022908">
              <w:rPr>
                <w:rFonts w:asciiTheme="minorHAnsi" w:hAnsiTheme="minorHAnsi"/>
                <w:b/>
                <w:bCs/>
                <w:sz w:val="22"/>
              </w:rPr>
              <w:t>West Coast Gas</w:t>
            </w:r>
          </w:p>
        </w:tc>
        <w:tc>
          <w:tcPr>
            <w:tcW w:w="1072" w:type="dxa"/>
          </w:tcPr>
          <w:p w:rsidRPr="00022908" w:rsidR="00007305" w:rsidP="00022908" w:rsidRDefault="00007305" w14:paraId="3445CB27" w14:textId="77777777">
            <w:pPr>
              <w:spacing w:line="240" w:lineRule="auto"/>
              <w:ind w:firstLine="0"/>
              <w:jc w:val="center"/>
              <w:rPr>
                <w:rFonts w:asciiTheme="minorHAnsi" w:hAnsiTheme="minorHAnsi"/>
                <w:b/>
                <w:bCs/>
                <w:sz w:val="22"/>
              </w:rPr>
            </w:pPr>
            <w:r w:rsidRPr="00022908">
              <w:rPr>
                <w:rFonts w:asciiTheme="minorHAnsi" w:hAnsiTheme="minorHAnsi"/>
                <w:b/>
                <w:bCs/>
                <w:sz w:val="22"/>
              </w:rPr>
              <w:t>Alpine Natural Gas</w:t>
            </w:r>
          </w:p>
        </w:tc>
        <w:tc>
          <w:tcPr>
            <w:tcW w:w="1068" w:type="dxa"/>
          </w:tcPr>
          <w:p w:rsidRPr="00022908" w:rsidR="00007305" w:rsidP="00022908" w:rsidRDefault="00007305" w14:paraId="748F7473" w14:textId="77777777">
            <w:pPr>
              <w:spacing w:line="240" w:lineRule="auto"/>
              <w:ind w:firstLine="0"/>
              <w:jc w:val="center"/>
              <w:rPr>
                <w:rFonts w:asciiTheme="minorHAnsi" w:hAnsiTheme="minorHAnsi"/>
                <w:b/>
                <w:bCs/>
                <w:sz w:val="22"/>
              </w:rPr>
            </w:pPr>
            <w:r w:rsidRPr="00022908">
              <w:rPr>
                <w:rFonts w:asciiTheme="minorHAnsi" w:hAnsiTheme="minorHAnsi"/>
                <w:b/>
                <w:bCs/>
                <w:sz w:val="22"/>
              </w:rPr>
              <w:t>Total</w:t>
            </w:r>
          </w:p>
        </w:tc>
      </w:tr>
      <w:tr w:rsidRPr="005370D2" w:rsidR="00007305" w:rsidTr="005925CE" w14:paraId="22E4263E" w14:textId="77777777">
        <w:tc>
          <w:tcPr>
            <w:tcW w:w="1180" w:type="dxa"/>
          </w:tcPr>
          <w:p w:rsidRPr="005370D2" w:rsidR="00007305" w:rsidP="005925CE" w:rsidRDefault="00007305" w14:paraId="6C07C86A" w14:textId="77777777">
            <w:pPr>
              <w:spacing w:line="240" w:lineRule="auto"/>
              <w:ind w:firstLine="0"/>
              <w:rPr>
                <w:rFonts w:asciiTheme="minorHAnsi" w:hAnsiTheme="minorHAnsi"/>
                <w:sz w:val="22"/>
              </w:rPr>
            </w:pPr>
            <w:r>
              <w:rPr>
                <w:rFonts w:asciiTheme="minorHAnsi" w:hAnsiTheme="minorHAnsi"/>
                <w:sz w:val="22"/>
              </w:rPr>
              <w:t xml:space="preserve">$ in </w:t>
            </w:r>
            <w:r w:rsidRPr="00EF5C6B">
              <w:rPr>
                <w:rFonts w:asciiTheme="minorHAnsi" w:hAnsiTheme="minorHAnsi"/>
                <w:sz w:val="22"/>
              </w:rPr>
              <w:t>Arrears</w:t>
            </w:r>
            <w:r>
              <w:rPr>
                <w:rFonts w:asciiTheme="minorHAnsi" w:hAnsiTheme="minorHAnsi"/>
                <w:sz w:val="22"/>
              </w:rPr>
              <w:t>, Small Business Customers</w:t>
            </w:r>
          </w:p>
        </w:tc>
        <w:tc>
          <w:tcPr>
            <w:tcW w:w="1190" w:type="dxa"/>
          </w:tcPr>
          <w:p w:rsidRPr="005370D2" w:rsidR="00007305" w:rsidP="00022908" w:rsidRDefault="00007305" w14:paraId="01A069F8" w14:textId="77777777">
            <w:pPr>
              <w:spacing w:line="240" w:lineRule="auto"/>
              <w:ind w:firstLine="0"/>
              <w:jc w:val="center"/>
              <w:rPr>
                <w:rFonts w:asciiTheme="minorHAnsi" w:hAnsiTheme="minorHAnsi"/>
                <w:sz w:val="22"/>
              </w:rPr>
            </w:pPr>
            <w:r w:rsidRPr="005370D2">
              <w:rPr>
                <w:rFonts w:asciiTheme="minorHAnsi" w:hAnsiTheme="minorHAnsi"/>
                <w:sz w:val="22"/>
              </w:rPr>
              <w:t>$242,176</w:t>
            </w:r>
          </w:p>
        </w:tc>
        <w:tc>
          <w:tcPr>
            <w:tcW w:w="1290" w:type="dxa"/>
          </w:tcPr>
          <w:p w:rsidRPr="00CE44CC" w:rsidR="00007305" w:rsidP="00022908" w:rsidRDefault="00007305" w14:paraId="020E1275" w14:textId="1BA567A9">
            <w:pPr>
              <w:spacing w:line="240" w:lineRule="auto"/>
              <w:ind w:firstLine="0"/>
              <w:jc w:val="center"/>
              <w:rPr>
                <w:rFonts w:asciiTheme="minorHAnsi" w:hAnsiTheme="minorHAnsi"/>
                <w:sz w:val="22"/>
              </w:rPr>
            </w:pPr>
            <w:r w:rsidRPr="00CE44CC">
              <w:rPr>
                <w:rFonts w:asciiTheme="minorHAnsi" w:hAnsiTheme="minorHAnsi"/>
                <w:sz w:val="22"/>
              </w:rPr>
              <w:t>$</w:t>
            </w:r>
            <w:r w:rsidRPr="00CE44CC" w:rsidR="005C0D2A">
              <w:rPr>
                <w:rFonts w:asciiTheme="minorHAnsi" w:hAnsiTheme="minorHAnsi"/>
                <w:sz w:val="22"/>
              </w:rPr>
              <w:t>89,355</w:t>
            </w:r>
          </w:p>
        </w:tc>
        <w:tc>
          <w:tcPr>
            <w:tcW w:w="1283" w:type="dxa"/>
          </w:tcPr>
          <w:p w:rsidRPr="005370D2" w:rsidR="00007305" w:rsidP="00022908" w:rsidRDefault="00007305" w14:paraId="70E6D14B" w14:textId="77777777">
            <w:pPr>
              <w:spacing w:line="240" w:lineRule="auto"/>
              <w:ind w:firstLine="0"/>
              <w:jc w:val="center"/>
              <w:rPr>
                <w:rFonts w:asciiTheme="minorHAnsi" w:hAnsiTheme="minorHAnsi"/>
                <w:sz w:val="22"/>
              </w:rPr>
            </w:pPr>
            <w:r w:rsidRPr="005370D2">
              <w:rPr>
                <w:rFonts w:asciiTheme="minorHAnsi" w:hAnsiTheme="minorHAnsi"/>
                <w:sz w:val="22"/>
              </w:rPr>
              <w:t>$202,462</w:t>
            </w:r>
          </w:p>
        </w:tc>
        <w:tc>
          <w:tcPr>
            <w:tcW w:w="1312" w:type="dxa"/>
          </w:tcPr>
          <w:p w:rsidRPr="005370D2" w:rsidR="00007305" w:rsidP="00022908" w:rsidRDefault="00007305" w14:paraId="61F817D3" w14:textId="77777777">
            <w:pPr>
              <w:spacing w:line="240" w:lineRule="auto"/>
              <w:ind w:firstLine="0"/>
              <w:jc w:val="center"/>
              <w:rPr>
                <w:rFonts w:asciiTheme="minorHAnsi" w:hAnsiTheme="minorHAnsi"/>
                <w:sz w:val="22"/>
              </w:rPr>
            </w:pPr>
            <w:r w:rsidRPr="005370D2">
              <w:rPr>
                <w:rFonts w:asciiTheme="minorHAnsi" w:hAnsiTheme="minorHAnsi"/>
                <w:sz w:val="22"/>
              </w:rPr>
              <w:t>$788,868</w:t>
            </w:r>
          </w:p>
        </w:tc>
        <w:tc>
          <w:tcPr>
            <w:tcW w:w="955" w:type="dxa"/>
          </w:tcPr>
          <w:p w:rsidRPr="005370D2" w:rsidR="00007305" w:rsidP="00022908" w:rsidRDefault="00007305" w14:paraId="05B6E8A0" w14:textId="77777777">
            <w:pPr>
              <w:spacing w:line="240" w:lineRule="auto"/>
              <w:ind w:firstLine="0"/>
              <w:jc w:val="center"/>
              <w:rPr>
                <w:rFonts w:asciiTheme="minorHAnsi" w:hAnsiTheme="minorHAnsi"/>
                <w:sz w:val="22"/>
              </w:rPr>
            </w:pPr>
            <w:r w:rsidRPr="005370D2">
              <w:rPr>
                <w:rFonts w:asciiTheme="minorHAnsi" w:hAnsiTheme="minorHAnsi"/>
                <w:sz w:val="22"/>
              </w:rPr>
              <w:t>N/A</w:t>
            </w:r>
          </w:p>
        </w:tc>
        <w:tc>
          <w:tcPr>
            <w:tcW w:w="1072" w:type="dxa"/>
          </w:tcPr>
          <w:p w:rsidRPr="005370D2" w:rsidR="00007305" w:rsidP="00022908" w:rsidRDefault="00007305" w14:paraId="5506F5F9" w14:textId="77777777">
            <w:pPr>
              <w:spacing w:line="240" w:lineRule="auto"/>
              <w:ind w:firstLine="0"/>
              <w:jc w:val="center"/>
              <w:rPr>
                <w:rFonts w:asciiTheme="minorHAnsi" w:hAnsiTheme="minorHAnsi"/>
                <w:sz w:val="22"/>
              </w:rPr>
            </w:pPr>
            <w:r w:rsidRPr="005370D2">
              <w:rPr>
                <w:rFonts w:asciiTheme="minorHAnsi" w:hAnsiTheme="minorHAnsi"/>
                <w:sz w:val="22"/>
              </w:rPr>
              <w:t>N/A</w:t>
            </w:r>
          </w:p>
        </w:tc>
        <w:tc>
          <w:tcPr>
            <w:tcW w:w="1068" w:type="dxa"/>
          </w:tcPr>
          <w:p w:rsidRPr="005370D2" w:rsidR="00007305" w:rsidP="00022908" w:rsidRDefault="005C0D2A" w14:paraId="071745F9" w14:textId="3FA4A795">
            <w:pPr>
              <w:spacing w:line="240" w:lineRule="auto"/>
              <w:ind w:firstLine="0"/>
              <w:jc w:val="center"/>
              <w:rPr>
                <w:rFonts w:asciiTheme="minorHAnsi" w:hAnsiTheme="minorHAnsi"/>
                <w:sz w:val="22"/>
              </w:rPr>
            </w:pPr>
            <w:r>
              <w:rPr>
                <w:rFonts w:asciiTheme="minorHAnsi" w:hAnsiTheme="minorHAnsi"/>
                <w:sz w:val="22"/>
              </w:rPr>
              <w:t>1,322,861</w:t>
            </w:r>
          </w:p>
        </w:tc>
      </w:tr>
      <w:tr w:rsidRPr="005370D2" w:rsidR="00007305" w:rsidTr="005925CE" w14:paraId="4FC4F732" w14:textId="77777777">
        <w:tc>
          <w:tcPr>
            <w:tcW w:w="1180" w:type="dxa"/>
          </w:tcPr>
          <w:p w:rsidRPr="005370D2" w:rsidR="00007305" w:rsidP="005925CE" w:rsidRDefault="00007305" w14:paraId="259BE8A0" w14:textId="77777777">
            <w:pPr>
              <w:spacing w:line="240" w:lineRule="auto"/>
              <w:ind w:firstLine="0"/>
              <w:rPr>
                <w:rFonts w:asciiTheme="minorHAnsi" w:hAnsiTheme="minorHAnsi"/>
                <w:sz w:val="22"/>
              </w:rPr>
            </w:pPr>
            <w:r w:rsidRPr="005370D2">
              <w:rPr>
                <w:rFonts w:asciiTheme="minorHAnsi" w:hAnsiTheme="minorHAnsi"/>
                <w:sz w:val="22"/>
              </w:rPr>
              <w:t>Number of Small Business Customers in Arrears</w:t>
            </w:r>
          </w:p>
        </w:tc>
        <w:tc>
          <w:tcPr>
            <w:tcW w:w="1190" w:type="dxa"/>
          </w:tcPr>
          <w:p w:rsidRPr="005370D2" w:rsidR="00007305" w:rsidP="00022908" w:rsidRDefault="00007305" w14:paraId="6937FC44" w14:textId="77777777">
            <w:pPr>
              <w:spacing w:line="240" w:lineRule="auto"/>
              <w:ind w:firstLine="0"/>
              <w:jc w:val="center"/>
              <w:rPr>
                <w:rFonts w:asciiTheme="minorHAnsi" w:hAnsiTheme="minorHAnsi"/>
                <w:sz w:val="22"/>
              </w:rPr>
            </w:pPr>
            <w:r w:rsidRPr="005370D2">
              <w:rPr>
                <w:rFonts w:asciiTheme="minorHAnsi" w:hAnsiTheme="minorHAnsi"/>
                <w:sz w:val="22"/>
              </w:rPr>
              <w:t>383</w:t>
            </w:r>
          </w:p>
        </w:tc>
        <w:tc>
          <w:tcPr>
            <w:tcW w:w="1290" w:type="dxa"/>
          </w:tcPr>
          <w:p w:rsidRPr="00CE44CC" w:rsidR="00007305" w:rsidP="00022908" w:rsidRDefault="005C0D2A" w14:paraId="23D5BB1C" w14:textId="33867B76">
            <w:pPr>
              <w:spacing w:line="240" w:lineRule="auto"/>
              <w:ind w:firstLine="0"/>
              <w:jc w:val="center"/>
              <w:rPr>
                <w:rFonts w:asciiTheme="minorHAnsi" w:hAnsiTheme="minorHAnsi"/>
                <w:sz w:val="22"/>
              </w:rPr>
            </w:pPr>
            <w:r w:rsidRPr="00CE44CC">
              <w:rPr>
                <w:rFonts w:asciiTheme="minorHAnsi" w:hAnsiTheme="minorHAnsi"/>
                <w:sz w:val="22"/>
              </w:rPr>
              <w:t>170</w:t>
            </w:r>
          </w:p>
        </w:tc>
        <w:tc>
          <w:tcPr>
            <w:tcW w:w="1283" w:type="dxa"/>
          </w:tcPr>
          <w:p w:rsidRPr="005370D2" w:rsidR="00007305" w:rsidP="00022908" w:rsidRDefault="00007305" w14:paraId="5977E50E" w14:textId="77777777">
            <w:pPr>
              <w:spacing w:line="240" w:lineRule="auto"/>
              <w:ind w:firstLine="0"/>
              <w:jc w:val="center"/>
              <w:rPr>
                <w:rFonts w:asciiTheme="minorHAnsi" w:hAnsiTheme="minorHAnsi"/>
                <w:sz w:val="22"/>
              </w:rPr>
            </w:pPr>
            <w:r w:rsidRPr="005370D2">
              <w:rPr>
                <w:rFonts w:asciiTheme="minorHAnsi" w:hAnsiTheme="minorHAnsi"/>
                <w:sz w:val="22"/>
              </w:rPr>
              <w:t>3,294</w:t>
            </w:r>
          </w:p>
        </w:tc>
        <w:tc>
          <w:tcPr>
            <w:tcW w:w="1312" w:type="dxa"/>
          </w:tcPr>
          <w:p w:rsidRPr="005370D2" w:rsidR="00007305" w:rsidP="00022908" w:rsidRDefault="00007305" w14:paraId="679B39A7" w14:textId="77777777">
            <w:pPr>
              <w:spacing w:line="240" w:lineRule="auto"/>
              <w:ind w:firstLine="0"/>
              <w:jc w:val="center"/>
              <w:rPr>
                <w:rFonts w:asciiTheme="minorHAnsi" w:hAnsiTheme="minorHAnsi"/>
                <w:sz w:val="22"/>
              </w:rPr>
            </w:pPr>
            <w:r w:rsidRPr="005370D2">
              <w:rPr>
                <w:rFonts w:asciiTheme="minorHAnsi" w:hAnsiTheme="minorHAnsi"/>
                <w:sz w:val="22"/>
              </w:rPr>
              <w:t>949</w:t>
            </w:r>
          </w:p>
        </w:tc>
        <w:tc>
          <w:tcPr>
            <w:tcW w:w="955" w:type="dxa"/>
          </w:tcPr>
          <w:p w:rsidRPr="005370D2" w:rsidR="00007305" w:rsidP="00022908" w:rsidRDefault="00007305" w14:paraId="48FFA744" w14:textId="77777777">
            <w:pPr>
              <w:spacing w:line="240" w:lineRule="auto"/>
              <w:ind w:firstLine="0"/>
              <w:jc w:val="center"/>
              <w:rPr>
                <w:rFonts w:asciiTheme="minorHAnsi" w:hAnsiTheme="minorHAnsi"/>
                <w:sz w:val="22"/>
              </w:rPr>
            </w:pPr>
            <w:r w:rsidRPr="005370D2">
              <w:rPr>
                <w:rFonts w:asciiTheme="minorHAnsi" w:hAnsiTheme="minorHAnsi"/>
                <w:sz w:val="22"/>
              </w:rPr>
              <w:t>0</w:t>
            </w:r>
          </w:p>
        </w:tc>
        <w:tc>
          <w:tcPr>
            <w:tcW w:w="1072" w:type="dxa"/>
          </w:tcPr>
          <w:p w:rsidRPr="005370D2" w:rsidR="00007305" w:rsidP="00022908" w:rsidRDefault="00007305" w14:paraId="12C0AF40" w14:textId="77777777">
            <w:pPr>
              <w:spacing w:line="240" w:lineRule="auto"/>
              <w:ind w:firstLine="0"/>
              <w:jc w:val="center"/>
              <w:rPr>
                <w:rFonts w:asciiTheme="minorHAnsi" w:hAnsiTheme="minorHAnsi"/>
                <w:sz w:val="22"/>
              </w:rPr>
            </w:pPr>
            <w:r w:rsidRPr="005370D2">
              <w:rPr>
                <w:rFonts w:asciiTheme="minorHAnsi" w:hAnsiTheme="minorHAnsi"/>
                <w:sz w:val="22"/>
              </w:rPr>
              <w:t>0</w:t>
            </w:r>
          </w:p>
        </w:tc>
        <w:tc>
          <w:tcPr>
            <w:tcW w:w="1068" w:type="dxa"/>
          </w:tcPr>
          <w:p w:rsidRPr="005370D2" w:rsidR="00007305" w:rsidP="00022908" w:rsidRDefault="005C0D2A" w14:paraId="050FF209" w14:textId="493B3921">
            <w:pPr>
              <w:spacing w:line="240" w:lineRule="auto"/>
              <w:ind w:firstLine="0"/>
              <w:jc w:val="center"/>
              <w:rPr>
                <w:rFonts w:asciiTheme="minorHAnsi" w:hAnsiTheme="minorHAnsi"/>
                <w:sz w:val="22"/>
              </w:rPr>
            </w:pPr>
            <w:r>
              <w:rPr>
                <w:rFonts w:asciiTheme="minorHAnsi" w:hAnsiTheme="minorHAnsi"/>
                <w:sz w:val="22"/>
              </w:rPr>
              <w:t>1,505</w:t>
            </w:r>
          </w:p>
        </w:tc>
      </w:tr>
      <w:tr w:rsidRPr="005370D2" w:rsidR="00007305" w:rsidTr="005925CE" w14:paraId="1B6802CB" w14:textId="77777777">
        <w:tc>
          <w:tcPr>
            <w:tcW w:w="1180" w:type="dxa"/>
          </w:tcPr>
          <w:p w:rsidRPr="005370D2" w:rsidR="00007305" w:rsidP="005925CE" w:rsidRDefault="00007305" w14:paraId="524C0E48" w14:textId="77777777">
            <w:pPr>
              <w:spacing w:line="240" w:lineRule="auto"/>
              <w:ind w:firstLine="0"/>
              <w:rPr>
                <w:rFonts w:asciiTheme="minorHAnsi" w:hAnsiTheme="minorHAnsi"/>
                <w:sz w:val="22"/>
              </w:rPr>
            </w:pPr>
            <w:r w:rsidRPr="005370D2">
              <w:rPr>
                <w:rFonts w:asciiTheme="minorHAnsi" w:hAnsiTheme="minorHAnsi"/>
                <w:sz w:val="22"/>
              </w:rPr>
              <w:t>Percent of Small Business Customers in Arrears</w:t>
            </w:r>
          </w:p>
        </w:tc>
        <w:tc>
          <w:tcPr>
            <w:tcW w:w="1190" w:type="dxa"/>
          </w:tcPr>
          <w:p w:rsidRPr="005370D2" w:rsidR="00007305" w:rsidP="00022908" w:rsidRDefault="00007305" w14:paraId="4ACCC72F" w14:textId="77777777">
            <w:pPr>
              <w:spacing w:line="240" w:lineRule="auto"/>
              <w:ind w:firstLine="0"/>
              <w:jc w:val="center"/>
              <w:rPr>
                <w:rFonts w:asciiTheme="minorHAnsi" w:hAnsiTheme="minorHAnsi"/>
                <w:sz w:val="22"/>
              </w:rPr>
            </w:pPr>
            <w:r w:rsidRPr="005370D2">
              <w:rPr>
                <w:rFonts w:asciiTheme="minorHAnsi" w:hAnsiTheme="minorHAnsi"/>
                <w:sz w:val="22"/>
              </w:rPr>
              <w:t>10.04%</w:t>
            </w:r>
          </w:p>
        </w:tc>
        <w:tc>
          <w:tcPr>
            <w:tcW w:w="1290" w:type="dxa"/>
          </w:tcPr>
          <w:p w:rsidRPr="00CE44CC" w:rsidR="00007305" w:rsidP="00022908" w:rsidRDefault="005C0D2A" w14:paraId="2D02268C" w14:textId="000B89F9">
            <w:pPr>
              <w:spacing w:line="240" w:lineRule="auto"/>
              <w:ind w:firstLine="0"/>
              <w:jc w:val="center"/>
              <w:rPr>
                <w:rFonts w:asciiTheme="minorHAnsi" w:hAnsiTheme="minorHAnsi"/>
                <w:sz w:val="22"/>
              </w:rPr>
            </w:pPr>
            <w:r w:rsidRPr="00CE44CC">
              <w:rPr>
                <w:rFonts w:asciiTheme="minorHAnsi" w:hAnsiTheme="minorHAnsi"/>
                <w:sz w:val="22"/>
              </w:rPr>
              <w:t>12.3</w:t>
            </w:r>
            <w:r w:rsidRPr="00CE44CC" w:rsidR="00007305">
              <w:rPr>
                <w:rFonts w:asciiTheme="minorHAnsi" w:hAnsiTheme="minorHAnsi"/>
                <w:sz w:val="22"/>
              </w:rPr>
              <w:t>%</w:t>
            </w:r>
          </w:p>
        </w:tc>
        <w:tc>
          <w:tcPr>
            <w:tcW w:w="1283" w:type="dxa"/>
          </w:tcPr>
          <w:p w:rsidRPr="005370D2" w:rsidR="00007305" w:rsidP="00022908" w:rsidRDefault="00007305" w14:paraId="468DA5D8" w14:textId="77777777">
            <w:pPr>
              <w:spacing w:line="240" w:lineRule="auto"/>
              <w:ind w:firstLine="0"/>
              <w:jc w:val="center"/>
              <w:rPr>
                <w:rFonts w:asciiTheme="minorHAnsi" w:hAnsiTheme="minorHAnsi"/>
                <w:sz w:val="22"/>
              </w:rPr>
            </w:pPr>
            <w:r w:rsidRPr="005370D2">
              <w:rPr>
                <w:rFonts w:asciiTheme="minorHAnsi" w:hAnsiTheme="minorHAnsi"/>
                <w:sz w:val="22"/>
              </w:rPr>
              <w:t>65.80%</w:t>
            </w:r>
          </w:p>
        </w:tc>
        <w:tc>
          <w:tcPr>
            <w:tcW w:w="1312" w:type="dxa"/>
          </w:tcPr>
          <w:p w:rsidRPr="005370D2" w:rsidR="00007305" w:rsidP="00022908" w:rsidRDefault="00007305" w14:paraId="43203945" w14:textId="77777777">
            <w:pPr>
              <w:spacing w:line="240" w:lineRule="auto"/>
              <w:ind w:firstLine="0"/>
              <w:jc w:val="center"/>
              <w:rPr>
                <w:rFonts w:asciiTheme="minorHAnsi" w:hAnsiTheme="minorHAnsi"/>
                <w:sz w:val="22"/>
              </w:rPr>
            </w:pPr>
            <w:r w:rsidRPr="005370D2">
              <w:rPr>
                <w:rFonts w:asciiTheme="minorHAnsi" w:hAnsiTheme="minorHAnsi"/>
                <w:sz w:val="22"/>
              </w:rPr>
              <w:t>10.08%</w:t>
            </w:r>
          </w:p>
        </w:tc>
        <w:tc>
          <w:tcPr>
            <w:tcW w:w="955" w:type="dxa"/>
          </w:tcPr>
          <w:p w:rsidRPr="005370D2" w:rsidR="00007305" w:rsidP="00022908" w:rsidRDefault="00007305" w14:paraId="4641D1D3" w14:textId="77777777">
            <w:pPr>
              <w:spacing w:line="240" w:lineRule="auto"/>
              <w:ind w:firstLine="0"/>
              <w:jc w:val="center"/>
              <w:rPr>
                <w:rFonts w:asciiTheme="minorHAnsi" w:hAnsiTheme="minorHAnsi"/>
                <w:sz w:val="22"/>
              </w:rPr>
            </w:pPr>
            <w:r w:rsidRPr="005370D2">
              <w:rPr>
                <w:rFonts w:asciiTheme="minorHAnsi" w:hAnsiTheme="minorHAnsi"/>
                <w:sz w:val="22"/>
              </w:rPr>
              <w:t>0%</w:t>
            </w:r>
          </w:p>
        </w:tc>
        <w:tc>
          <w:tcPr>
            <w:tcW w:w="1072" w:type="dxa"/>
          </w:tcPr>
          <w:p w:rsidRPr="005370D2" w:rsidR="00007305" w:rsidP="00022908" w:rsidRDefault="00007305" w14:paraId="661B699C" w14:textId="77777777">
            <w:pPr>
              <w:spacing w:line="240" w:lineRule="auto"/>
              <w:ind w:firstLine="0"/>
              <w:jc w:val="center"/>
              <w:rPr>
                <w:rFonts w:asciiTheme="minorHAnsi" w:hAnsiTheme="minorHAnsi"/>
                <w:sz w:val="22"/>
              </w:rPr>
            </w:pPr>
            <w:r w:rsidRPr="005370D2">
              <w:rPr>
                <w:rFonts w:asciiTheme="minorHAnsi" w:hAnsiTheme="minorHAnsi"/>
                <w:sz w:val="22"/>
              </w:rPr>
              <w:t>0%</w:t>
            </w:r>
          </w:p>
        </w:tc>
        <w:tc>
          <w:tcPr>
            <w:tcW w:w="1068" w:type="dxa"/>
          </w:tcPr>
          <w:p w:rsidRPr="005370D2" w:rsidR="00007305" w:rsidP="00022908" w:rsidRDefault="00007305" w14:paraId="44AF7D55" w14:textId="2CB3ADFE">
            <w:pPr>
              <w:spacing w:line="240" w:lineRule="auto"/>
              <w:ind w:firstLine="0"/>
              <w:jc w:val="center"/>
              <w:rPr>
                <w:rFonts w:asciiTheme="minorHAnsi" w:hAnsiTheme="minorHAnsi"/>
                <w:sz w:val="22"/>
              </w:rPr>
            </w:pPr>
            <w:r w:rsidRPr="005370D2">
              <w:rPr>
                <w:rFonts w:asciiTheme="minorHAnsi" w:hAnsiTheme="minorHAnsi"/>
                <w:sz w:val="22"/>
              </w:rPr>
              <w:t>2</w:t>
            </w:r>
            <w:r w:rsidR="005C0D2A">
              <w:rPr>
                <w:rFonts w:asciiTheme="minorHAnsi" w:hAnsiTheme="minorHAnsi"/>
                <w:sz w:val="22"/>
              </w:rPr>
              <w:t>4</w:t>
            </w:r>
            <w:r w:rsidRPr="005370D2">
              <w:rPr>
                <w:rFonts w:asciiTheme="minorHAnsi" w:hAnsiTheme="minorHAnsi"/>
                <w:sz w:val="22"/>
              </w:rPr>
              <w:t>.</w:t>
            </w:r>
            <w:r w:rsidR="005C0D2A">
              <w:rPr>
                <w:rFonts w:asciiTheme="minorHAnsi" w:hAnsiTheme="minorHAnsi"/>
                <w:sz w:val="22"/>
              </w:rPr>
              <w:t>72</w:t>
            </w:r>
            <w:r w:rsidRPr="005370D2">
              <w:rPr>
                <w:rFonts w:asciiTheme="minorHAnsi" w:hAnsiTheme="minorHAnsi"/>
                <w:sz w:val="22"/>
              </w:rPr>
              <w:t>%</w:t>
            </w:r>
          </w:p>
        </w:tc>
      </w:tr>
    </w:tbl>
    <w:p w:rsidRPr="00CD1F34" w:rsidR="00007305" w:rsidP="00E26CFA" w:rsidRDefault="00007305" w14:paraId="003FE238" w14:textId="001621ED">
      <w:pPr>
        <w:spacing w:after="120" w:line="240" w:lineRule="auto"/>
        <w:ind w:firstLine="0"/>
        <w:rPr>
          <w:i/>
          <w:iCs/>
          <w:sz w:val="20"/>
          <w:szCs w:val="20"/>
        </w:rPr>
      </w:pPr>
      <w:r w:rsidRPr="00CD1F34">
        <w:rPr>
          <w:i/>
          <w:iCs/>
          <w:sz w:val="20"/>
          <w:szCs w:val="20"/>
        </w:rPr>
        <w:t>Source:</w:t>
      </w:r>
      <w:r w:rsidRPr="00CD1F34" w:rsidR="00CD1F34">
        <w:rPr>
          <w:i/>
          <w:iCs/>
          <w:sz w:val="20"/>
          <w:szCs w:val="20"/>
        </w:rPr>
        <w:t xml:space="preserve"> </w:t>
      </w:r>
      <w:r w:rsidRPr="00CD1F34">
        <w:rPr>
          <w:i/>
          <w:iCs/>
          <w:sz w:val="20"/>
          <w:szCs w:val="20"/>
        </w:rPr>
        <w:t xml:space="preserve"> Responses to Administrative Law Judge’s Ruling Directing Utilities to Provide Data, filed in R.21-02-014 on March 30, 2021.</w:t>
      </w:r>
      <w:r w:rsidR="00CD1F34">
        <w:rPr>
          <w:i/>
          <w:iCs/>
          <w:sz w:val="20"/>
          <w:szCs w:val="20"/>
        </w:rPr>
        <w:t xml:space="preserve"> </w:t>
      </w:r>
      <w:r w:rsidRPr="00CD1F34">
        <w:rPr>
          <w:i/>
          <w:iCs/>
          <w:sz w:val="20"/>
          <w:szCs w:val="20"/>
        </w:rPr>
        <w:t xml:space="preserve"> </w:t>
      </w:r>
      <w:r w:rsidR="006F52FE">
        <w:rPr>
          <w:i/>
          <w:iCs/>
          <w:sz w:val="20"/>
          <w:szCs w:val="20"/>
        </w:rPr>
        <w:t>Bear Valley data corrected in comments dated June 1</w:t>
      </w:r>
      <w:r w:rsidR="004D1D9D">
        <w:rPr>
          <w:i/>
          <w:iCs/>
          <w:sz w:val="20"/>
          <w:szCs w:val="20"/>
        </w:rPr>
        <w:t>4</w:t>
      </w:r>
      <w:r w:rsidR="006F52FE">
        <w:rPr>
          <w:i/>
          <w:iCs/>
          <w:sz w:val="20"/>
          <w:szCs w:val="20"/>
        </w:rPr>
        <w:t xml:space="preserve">, 2021. </w:t>
      </w:r>
      <w:r w:rsidRPr="00CD1F34">
        <w:rPr>
          <w:i/>
          <w:iCs/>
          <w:sz w:val="20"/>
          <w:szCs w:val="20"/>
        </w:rPr>
        <w:t>Data is as of February 28, 2021.</w:t>
      </w:r>
    </w:p>
    <w:p w:rsidR="005A148C" w:rsidP="005939A5" w:rsidRDefault="005939A5" w14:paraId="5DFFF6BA" w14:textId="1270F55E">
      <w:pPr>
        <w:pStyle w:val="Heading1"/>
      </w:pPr>
      <w:bookmarkStart w:name="_Toc75258943" w:id="25"/>
      <w:r>
        <w:t>Issues Before the Commission</w:t>
      </w:r>
      <w:bookmarkEnd w:id="18"/>
      <w:bookmarkEnd w:id="19"/>
      <w:bookmarkEnd w:id="25"/>
    </w:p>
    <w:p w:rsidR="008A4CF5" w:rsidP="008A4CF5" w:rsidRDefault="00565678" w14:paraId="2005DC2C" w14:textId="2973B9C7">
      <w:pPr>
        <w:pStyle w:val="Standard"/>
      </w:pPr>
      <w:r>
        <w:t xml:space="preserve">Today’s decision </w:t>
      </w:r>
      <w:r w:rsidR="009400E2">
        <w:t xml:space="preserve">partially </w:t>
      </w:r>
      <w:r>
        <w:t xml:space="preserve">addresses scoped items 1 – 5, 8 and </w:t>
      </w:r>
      <w:r w:rsidR="009C2824">
        <w:t xml:space="preserve">items </w:t>
      </w:r>
      <w:r w:rsidR="002750F6">
        <w:t xml:space="preserve">10 - </w:t>
      </w:r>
      <w:r>
        <w:t xml:space="preserve">11 </w:t>
      </w:r>
      <w:r w:rsidR="00914D24">
        <w:t xml:space="preserve">listed </w:t>
      </w:r>
      <w:r>
        <w:t>below</w:t>
      </w:r>
      <w:r w:rsidR="00914D24">
        <w:t>.</w:t>
      </w:r>
      <w:r>
        <w:t xml:space="preserve"> </w:t>
      </w:r>
      <w:r w:rsidR="00E93EF9">
        <w:t xml:space="preserve"> </w:t>
      </w:r>
      <w:r w:rsidR="008E71D5">
        <w:t>The</w:t>
      </w:r>
      <w:r w:rsidR="009C2824">
        <w:t xml:space="preserve"> actions ordered in the instant decision</w:t>
      </w:r>
      <w:r w:rsidR="008E71D5">
        <w:t xml:space="preserve"> are intended to </w:t>
      </w:r>
      <w:r w:rsidR="009C2824">
        <w:t>integrate</w:t>
      </w:r>
      <w:r w:rsidR="008E71D5">
        <w:t xml:space="preserve"> with </w:t>
      </w:r>
      <w:r w:rsidR="00A71324">
        <w:t xml:space="preserve">additional </w:t>
      </w:r>
      <w:r w:rsidR="00473AB7">
        <w:t xml:space="preserve">state and federally </w:t>
      </w:r>
      <w:r w:rsidR="00C8239D">
        <w:t>funded</w:t>
      </w:r>
      <w:r w:rsidR="00473AB7">
        <w:t xml:space="preserve"> utility arrearage relief</w:t>
      </w:r>
      <w:r w:rsidR="008E71D5">
        <w:t xml:space="preserve">, anticipated to be forthcoming </w:t>
      </w:r>
      <w:r w:rsidR="002B14C8">
        <w:t xml:space="preserve">for residential customers </w:t>
      </w:r>
      <w:r w:rsidR="008E71D5">
        <w:t>in the next few months</w:t>
      </w:r>
      <w:r w:rsidR="00914D24">
        <w:t>.</w:t>
      </w:r>
    </w:p>
    <w:p w:rsidRPr="003C792E" w:rsidR="00565678" w:rsidP="00565678" w:rsidRDefault="00565678" w14:paraId="2DA2C9FB" w14:textId="7A08520D">
      <w:pPr>
        <w:pStyle w:val="Standard"/>
      </w:pPr>
      <w:r>
        <w:t>Once the parameters of state and federally fund</w:t>
      </w:r>
      <w:r w:rsidR="004B1815">
        <w:t>ed</w:t>
      </w:r>
      <w:r>
        <w:t xml:space="preserve"> utility bill arrearage relief are </w:t>
      </w:r>
      <w:r w:rsidR="00204F00">
        <w:t>established</w:t>
      </w:r>
      <w:r>
        <w:t>, we will revisit  scoped issues</w:t>
      </w:r>
      <w:r w:rsidR="002B14C8">
        <w:t xml:space="preserve"> </w:t>
      </w:r>
      <w:r w:rsidR="000559CE">
        <w:t xml:space="preserve">five and six, </w:t>
      </w:r>
      <w:r w:rsidR="002B14C8">
        <w:t>relating to whether and how debt forgiveness should supplement today’s relief</w:t>
      </w:r>
      <w:r w:rsidR="00E17DF1">
        <w:t>.</w:t>
      </w:r>
    </w:p>
    <w:p w:rsidR="00C22B65" w:rsidP="00C22B65" w:rsidRDefault="00C22B65" w14:paraId="010B8D12" w14:textId="77777777">
      <w:pPr>
        <w:pStyle w:val="standard0"/>
        <w:numPr>
          <w:ilvl w:val="0"/>
          <w:numId w:val="24"/>
        </w:numPr>
        <w:spacing w:after="120" w:line="240" w:lineRule="auto"/>
        <w:ind w:right="1440"/>
        <w:rPr>
          <w:rFonts w:ascii="Book Antiqua" w:hAnsi="Book Antiqua" w:eastAsiaTheme="minorHAnsi" w:cstheme="minorBidi"/>
          <w:szCs w:val="22"/>
        </w:rPr>
      </w:pPr>
      <w:bookmarkStart w:name="_Hlk65156231" w:id="26"/>
      <w:r>
        <w:rPr>
          <w:rFonts w:ascii="Book Antiqua" w:hAnsi="Book Antiqua" w:eastAsiaTheme="minorHAnsi" w:cstheme="minorBidi"/>
          <w:szCs w:val="22"/>
        </w:rPr>
        <w:t>What is the extent and scale of necessary arrearage relief for customers and utilities?</w:t>
      </w:r>
    </w:p>
    <w:p w:rsidR="00C22B65" w:rsidP="00E93EF9" w:rsidRDefault="00C22B65" w14:paraId="332F9CC5" w14:textId="77777777">
      <w:pPr>
        <w:pStyle w:val="standard0"/>
        <w:numPr>
          <w:ilvl w:val="1"/>
          <w:numId w:val="24"/>
        </w:numPr>
        <w:spacing w:after="120" w:line="240" w:lineRule="auto"/>
        <w:ind w:left="1440" w:right="1440"/>
        <w:rPr>
          <w:rFonts w:ascii="Book Antiqua" w:hAnsi="Book Antiqua" w:eastAsiaTheme="minorHAnsi" w:cstheme="minorBidi"/>
          <w:szCs w:val="22"/>
        </w:rPr>
      </w:pPr>
      <w:r>
        <w:rPr>
          <w:rFonts w:ascii="Book Antiqua" w:hAnsi="Book Antiqua" w:eastAsiaTheme="minorHAnsi" w:cstheme="minorBidi"/>
          <w:szCs w:val="22"/>
        </w:rPr>
        <w:t>What amount of uncollected revenue should be considered for relief?</w:t>
      </w:r>
    </w:p>
    <w:p w:rsidR="00C22B65" w:rsidP="00E93EF9" w:rsidRDefault="00C22B65" w14:paraId="449DF202" w14:textId="77777777">
      <w:pPr>
        <w:pStyle w:val="standard0"/>
        <w:numPr>
          <w:ilvl w:val="1"/>
          <w:numId w:val="24"/>
        </w:numPr>
        <w:spacing w:after="120" w:line="240" w:lineRule="auto"/>
        <w:ind w:left="1440" w:right="1440"/>
        <w:rPr>
          <w:rFonts w:ascii="Book Antiqua" w:hAnsi="Book Antiqua" w:eastAsiaTheme="minorHAnsi" w:cstheme="minorBidi"/>
          <w:szCs w:val="22"/>
        </w:rPr>
      </w:pPr>
      <w:r>
        <w:rPr>
          <w:rFonts w:ascii="Book Antiqua" w:hAnsi="Book Antiqua" w:eastAsiaTheme="minorHAnsi" w:cstheme="minorBidi"/>
          <w:szCs w:val="22"/>
        </w:rPr>
        <w:lastRenderedPageBreak/>
        <w:t>Identify revenue sources potentially applicable for arrearage relief.</w:t>
      </w:r>
    </w:p>
    <w:p w:rsidRPr="00424EAE" w:rsidR="00C22B65" w:rsidP="00E93EF9" w:rsidRDefault="00C22B65" w14:paraId="7A59FDCB" w14:textId="77777777">
      <w:pPr>
        <w:pStyle w:val="standard0"/>
        <w:numPr>
          <w:ilvl w:val="1"/>
          <w:numId w:val="24"/>
        </w:numPr>
        <w:spacing w:after="120" w:line="240" w:lineRule="auto"/>
        <w:ind w:left="1440" w:right="1440"/>
        <w:rPr>
          <w:rFonts w:ascii="Book Antiqua" w:hAnsi="Book Antiqua" w:eastAsiaTheme="minorHAnsi" w:cstheme="minorBidi"/>
          <w:szCs w:val="22"/>
        </w:rPr>
      </w:pPr>
      <w:r>
        <w:rPr>
          <w:rFonts w:ascii="Book Antiqua" w:hAnsi="Book Antiqua" w:eastAsiaTheme="minorHAnsi" w:cstheme="minorBidi"/>
          <w:szCs w:val="22"/>
        </w:rPr>
        <w:t>How does the amount of uncollected revenue to be considered for relief relate to the sources of revenue ultimately identified as applicable?</w:t>
      </w:r>
    </w:p>
    <w:p w:rsidR="00C22B65" w:rsidP="00C22B65" w:rsidRDefault="00C22B65" w14:paraId="696A4CC7" w14:textId="77777777">
      <w:pPr>
        <w:pStyle w:val="standard0"/>
        <w:numPr>
          <w:ilvl w:val="0"/>
          <w:numId w:val="24"/>
        </w:numPr>
        <w:spacing w:after="120" w:line="240" w:lineRule="auto"/>
        <w:ind w:right="1440"/>
        <w:rPr>
          <w:rFonts w:ascii="Book Antiqua" w:hAnsi="Book Antiqua" w:eastAsiaTheme="minorHAnsi" w:cstheme="minorBidi"/>
          <w:szCs w:val="22"/>
        </w:rPr>
      </w:pPr>
      <w:r>
        <w:rPr>
          <w:rFonts w:ascii="Book Antiqua" w:hAnsi="Book Antiqua" w:eastAsiaTheme="minorHAnsi" w:cstheme="minorBidi"/>
          <w:szCs w:val="22"/>
        </w:rPr>
        <w:t>What mechanism(s) should be used to provide the necessary relief presented in Question 1?</w:t>
      </w:r>
    </w:p>
    <w:p w:rsidRPr="003C792E" w:rsidR="00C22B65" w:rsidP="00C22B65" w:rsidRDefault="00C22B65" w14:paraId="2E106E32" w14:textId="77777777">
      <w:pPr>
        <w:pStyle w:val="standard0"/>
        <w:numPr>
          <w:ilvl w:val="0"/>
          <w:numId w:val="24"/>
        </w:numPr>
        <w:spacing w:after="120" w:line="240" w:lineRule="auto"/>
        <w:ind w:right="1440"/>
        <w:rPr>
          <w:rFonts w:ascii="Book Antiqua" w:hAnsi="Book Antiqua" w:eastAsiaTheme="minorHAnsi" w:cstheme="minorBidi"/>
          <w:szCs w:val="22"/>
        </w:rPr>
      </w:pPr>
      <w:r w:rsidRPr="003C792E">
        <w:rPr>
          <w:rFonts w:ascii="Book Antiqua" w:hAnsi="Book Antiqua" w:eastAsiaTheme="minorHAnsi" w:cstheme="minorBidi"/>
          <w:szCs w:val="22"/>
        </w:rPr>
        <w:t xml:space="preserve">To what extent will relief mechanism(s) advance Goals 1, </w:t>
      </w:r>
      <w:r>
        <w:rPr>
          <w:rFonts w:ascii="Book Antiqua" w:hAnsi="Book Antiqua" w:eastAsiaTheme="minorHAnsi" w:cstheme="minorBidi"/>
          <w:szCs w:val="22"/>
        </w:rPr>
        <w:t xml:space="preserve">4, </w:t>
      </w:r>
      <w:r w:rsidRPr="003C792E">
        <w:rPr>
          <w:rFonts w:ascii="Book Antiqua" w:hAnsi="Book Antiqua" w:eastAsiaTheme="minorHAnsi" w:cstheme="minorBidi"/>
          <w:szCs w:val="22"/>
        </w:rPr>
        <w:t xml:space="preserve">5, or 7 of the Commission’s Environmental and Social Justice Action Plan? </w:t>
      </w:r>
    </w:p>
    <w:p w:rsidRPr="009C457C" w:rsidR="00C22B65" w:rsidP="00C22B65" w:rsidRDefault="00C22B65" w14:paraId="47605053" w14:textId="62806E34">
      <w:pPr>
        <w:pStyle w:val="standard0"/>
        <w:spacing w:after="120" w:line="240" w:lineRule="auto"/>
        <w:ind w:left="1080" w:right="1440" w:firstLine="0"/>
        <w:rPr>
          <w:rFonts w:ascii="Book Antiqua" w:hAnsi="Book Antiqua"/>
          <w:i/>
          <w:iCs/>
          <w:szCs w:val="26"/>
        </w:rPr>
      </w:pPr>
      <w:r w:rsidRPr="00775E57">
        <w:rPr>
          <w:rFonts w:ascii="Book Antiqua" w:hAnsi="Book Antiqua"/>
          <w:b/>
          <w:bCs/>
          <w:i/>
          <w:iCs/>
          <w:szCs w:val="26"/>
        </w:rPr>
        <w:t>Goal 1</w:t>
      </w:r>
      <w:r w:rsidRPr="009C457C">
        <w:rPr>
          <w:rFonts w:ascii="Book Antiqua" w:hAnsi="Book Antiqua"/>
          <w:i/>
          <w:iCs/>
          <w:szCs w:val="26"/>
        </w:rPr>
        <w:t>:</w:t>
      </w:r>
      <w:r w:rsidR="00E93EF9">
        <w:rPr>
          <w:rFonts w:ascii="Book Antiqua" w:hAnsi="Book Antiqua"/>
          <w:i/>
          <w:iCs/>
          <w:szCs w:val="26"/>
        </w:rPr>
        <w:t xml:space="preserve"> </w:t>
      </w:r>
      <w:r w:rsidRPr="009C457C">
        <w:rPr>
          <w:rFonts w:ascii="Book Antiqua" w:hAnsi="Book Antiqua"/>
          <w:i/>
          <w:iCs/>
          <w:szCs w:val="26"/>
        </w:rPr>
        <w:t xml:space="preserve"> Consistently integrate equity and access considerations throughout CPUC proceedings and other efforts;</w:t>
      </w:r>
    </w:p>
    <w:p w:rsidRPr="009C457C" w:rsidR="00C22B65" w:rsidP="00C22B65" w:rsidRDefault="00C22B65" w14:paraId="54F66A06" w14:textId="74109B67">
      <w:pPr>
        <w:pStyle w:val="standard0"/>
        <w:spacing w:after="120" w:line="240" w:lineRule="auto"/>
        <w:ind w:left="720" w:right="1440" w:firstLine="360"/>
        <w:rPr>
          <w:rFonts w:ascii="Book Antiqua" w:hAnsi="Book Antiqua"/>
          <w:i/>
          <w:iCs/>
          <w:szCs w:val="26"/>
        </w:rPr>
      </w:pPr>
      <w:r w:rsidRPr="00775E57">
        <w:rPr>
          <w:rFonts w:ascii="Book Antiqua" w:hAnsi="Book Antiqua"/>
          <w:b/>
          <w:bCs/>
          <w:i/>
          <w:iCs/>
          <w:szCs w:val="26"/>
        </w:rPr>
        <w:t>Goal 4</w:t>
      </w:r>
      <w:r w:rsidRPr="009C457C">
        <w:rPr>
          <w:rFonts w:ascii="Book Antiqua" w:hAnsi="Book Antiqua"/>
          <w:i/>
          <w:iCs/>
          <w:szCs w:val="26"/>
        </w:rPr>
        <w:t xml:space="preserve">: </w:t>
      </w:r>
      <w:r w:rsidR="00E93EF9">
        <w:rPr>
          <w:rFonts w:ascii="Book Antiqua" w:hAnsi="Book Antiqua"/>
          <w:i/>
          <w:iCs/>
          <w:szCs w:val="26"/>
        </w:rPr>
        <w:t xml:space="preserve"> </w:t>
      </w:r>
      <w:r w:rsidRPr="009C457C">
        <w:rPr>
          <w:rFonts w:ascii="Book Antiqua" w:hAnsi="Book Antiqua"/>
          <w:i/>
          <w:iCs/>
          <w:szCs w:val="26"/>
        </w:rPr>
        <w:t>Increase climate resiliency in ESJ communities;</w:t>
      </w:r>
    </w:p>
    <w:p w:rsidRPr="009C457C" w:rsidR="00C22B65" w:rsidP="00C22B65" w:rsidRDefault="00C22B65" w14:paraId="0C4E5B46" w14:textId="3C26A871">
      <w:pPr>
        <w:pStyle w:val="standard0"/>
        <w:spacing w:after="120" w:line="240" w:lineRule="auto"/>
        <w:ind w:left="1080" w:right="1440" w:firstLine="0"/>
        <w:rPr>
          <w:rFonts w:ascii="Book Antiqua" w:hAnsi="Book Antiqua"/>
          <w:i/>
          <w:iCs/>
          <w:szCs w:val="26"/>
        </w:rPr>
      </w:pPr>
      <w:r w:rsidRPr="00775E57">
        <w:rPr>
          <w:rFonts w:ascii="Book Antiqua" w:hAnsi="Book Antiqua"/>
          <w:b/>
          <w:bCs/>
          <w:i/>
          <w:iCs/>
          <w:szCs w:val="26"/>
        </w:rPr>
        <w:t>Goal 5</w:t>
      </w:r>
      <w:r w:rsidRPr="009C457C">
        <w:rPr>
          <w:rFonts w:ascii="Book Antiqua" w:hAnsi="Book Antiqua"/>
          <w:i/>
          <w:iCs/>
          <w:szCs w:val="26"/>
        </w:rPr>
        <w:t>:</w:t>
      </w:r>
      <w:r w:rsidR="00E93EF9">
        <w:rPr>
          <w:rFonts w:ascii="Book Antiqua" w:hAnsi="Book Antiqua"/>
          <w:i/>
          <w:iCs/>
          <w:szCs w:val="26"/>
        </w:rPr>
        <w:t xml:space="preserve"> </w:t>
      </w:r>
      <w:r w:rsidRPr="009C457C">
        <w:rPr>
          <w:rFonts w:ascii="Book Antiqua" w:hAnsi="Book Antiqua"/>
          <w:i/>
          <w:iCs/>
          <w:szCs w:val="26"/>
        </w:rPr>
        <w:t xml:space="preserve"> Enhance outreach and public participation opportunities for ESJ communities to meaningfully participate in the CPUC's decision-making process and benefit from CPUC programs;</w:t>
      </w:r>
    </w:p>
    <w:p w:rsidRPr="009C457C" w:rsidR="00C22B65" w:rsidP="00C22B65" w:rsidRDefault="00C22B65" w14:paraId="35103FE8" w14:textId="62B50A7B">
      <w:pPr>
        <w:pStyle w:val="standard0"/>
        <w:spacing w:after="120" w:line="240" w:lineRule="auto"/>
        <w:ind w:left="1080" w:right="1440" w:firstLine="0"/>
        <w:rPr>
          <w:rFonts w:ascii="Book Antiqua" w:hAnsi="Book Antiqua"/>
          <w:szCs w:val="26"/>
        </w:rPr>
      </w:pPr>
      <w:r w:rsidRPr="00775E57">
        <w:rPr>
          <w:rFonts w:ascii="Book Antiqua" w:hAnsi="Book Antiqua"/>
          <w:b/>
          <w:bCs/>
          <w:i/>
          <w:iCs/>
          <w:szCs w:val="26"/>
        </w:rPr>
        <w:t>Goal 7</w:t>
      </w:r>
      <w:r w:rsidRPr="009C457C">
        <w:rPr>
          <w:rFonts w:ascii="Book Antiqua" w:hAnsi="Book Antiqua"/>
          <w:i/>
          <w:iCs/>
          <w:szCs w:val="26"/>
        </w:rPr>
        <w:t xml:space="preserve">: </w:t>
      </w:r>
      <w:r w:rsidR="00E93EF9">
        <w:rPr>
          <w:rFonts w:ascii="Book Antiqua" w:hAnsi="Book Antiqua"/>
          <w:i/>
          <w:iCs/>
          <w:szCs w:val="26"/>
        </w:rPr>
        <w:t xml:space="preserve"> </w:t>
      </w:r>
      <w:r w:rsidRPr="009C457C">
        <w:rPr>
          <w:rFonts w:ascii="Book Antiqua" w:hAnsi="Book Antiqua"/>
          <w:i/>
          <w:iCs/>
          <w:szCs w:val="26"/>
        </w:rPr>
        <w:t xml:space="preserve">Promote economic and workforce development opportunities </w:t>
      </w:r>
      <w:r w:rsidR="007816A0">
        <w:rPr>
          <w:rFonts w:ascii="Book Antiqua" w:hAnsi="Book Antiqua"/>
          <w:i/>
          <w:iCs/>
          <w:szCs w:val="26"/>
        </w:rPr>
        <w:t>i</w:t>
      </w:r>
      <w:r w:rsidRPr="009C457C" w:rsidR="007816A0">
        <w:rPr>
          <w:rFonts w:ascii="Book Antiqua" w:hAnsi="Book Antiqua"/>
          <w:i/>
          <w:iCs/>
          <w:szCs w:val="26"/>
        </w:rPr>
        <w:t xml:space="preserve">n </w:t>
      </w:r>
      <w:r w:rsidRPr="009C457C">
        <w:rPr>
          <w:rFonts w:ascii="Book Antiqua" w:hAnsi="Book Antiqua"/>
          <w:i/>
          <w:iCs/>
          <w:szCs w:val="26"/>
        </w:rPr>
        <w:t>ESJ communities.</w:t>
      </w:r>
    </w:p>
    <w:p w:rsidRPr="003153D4" w:rsidR="00C22B65" w:rsidP="009D3B8E" w:rsidRDefault="00C22B65" w14:paraId="4B7078F4" w14:textId="77777777">
      <w:pPr>
        <w:pStyle w:val="Standard"/>
        <w:numPr>
          <w:ilvl w:val="0"/>
          <w:numId w:val="24"/>
        </w:numPr>
        <w:spacing w:after="120" w:line="240" w:lineRule="auto"/>
        <w:ind w:right="1440"/>
      </w:pPr>
      <w:r w:rsidRPr="003153D4">
        <w:t xml:space="preserve">How should we define the COVID-19 </w:t>
      </w:r>
      <w:r>
        <w:t xml:space="preserve">pandemic </w:t>
      </w:r>
      <w:r w:rsidRPr="003153D4">
        <w:t xml:space="preserve">period for purposes of </w:t>
      </w:r>
      <w:r>
        <w:t xml:space="preserve">determining the appropriate </w:t>
      </w:r>
      <w:r w:rsidRPr="003153D4">
        <w:t xml:space="preserve">arrearage relief </w:t>
      </w:r>
      <w:r>
        <w:t xml:space="preserve">period </w:t>
      </w:r>
      <w:r w:rsidRPr="003153D4">
        <w:t>ordered in this proceeding?</w:t>
      </w:r>
    </w:p>
    <w:p w:rsidRPr="003153D4" w:rsidR="00C22B65" w:rsidP="00E93EF9" w:rsidRDefault="00C22B65" w14:paraId="34DD0208" w14:textId="77777777">
      <w:pPr>
        <w:pStyle w:val="Standard"/>
        <w:numPr>
          <w:ilvl w:val="1"/>
          <w:numId w:val="21"/>
        </w:numPr>
        <w:spacing w:line="240" w:lineRule="auto"/>
        <w:ind w:left="1440"/>
      </w:pPr>
      <w:r w:rsidRPr="003153D4">
        <w:t xml:space="preserve">When should arrearage relief begin? </w:t>
      </w:r>
    </w:p>
    <w:p w:rsidRPr="003153D4" w:rsidR="00C22B65" w:rsidP="00E93EF9" w:rsidRDefault="00C22B65" w14:paraId="1DA3BB22" w14:textId="77777777">
      <w:pPr>
        <w:pStyle w:val="Standard"/>
        <w:numPr>
          <w:ilvl w:val="1"/>
          <w:numId w:val="21"/>
        </w:numPr>
        <w:spacing w:line="240" w:lineRule="auto"/>
        <w:ind w:left="1440"/>
      </w:pPr>
      <w:r w:rsidRPr="003153D4">
        <w:t>Should arrearage relief sunset?</w:t>
      </w:r>
    </w:p>
    <w:p w:rsidRPr="003153D4" w:rsidR="00C22B65" w:rsidP="00E93EF9" w:rsidRDefault="00C22B65" w14:paraId="2D4ED31B" w14:textId="77777777">
      <w:pPr>
        <w:pStyle w:val="Standard"/>
        <w:numPr>
          <w:ilvl w:val="1"/>
          <w:numId w:val="21"/>
        </w:numPr>
        <w:spacing w:after="120" w:line="240" w:lineRule="auto"/>
        <w:ind w:left="1440"/>
      </w:pPr>
      <w:r w:rsidRPr="003153D4">
        <w:t>How should the arrearage relief be timed relative to the disconnection moratorium?</w:t>
      </w:r>
    </w:p>
    <w:p w:rsidRPr="003153D4" w:rsidR="00C22B65" w:rsidP="009D3B8E" w:rsidRDefault="00C22B65" w14:paraId="44057EC9" w14:textId="56600C17">
      <w:pPr>
        <w:pStyle w:val="Standard"/>
        <w:numPr>
          <w:ilvl w:val="0"/>
          <w:numId w:val="24"/>
        </w:numPr>
        <w:spacing w:after="120" w:line="240" w:lineRule="auto"/>
        <w:ind w:right="1440"/>
      </w:pPr>
      <w:r>
        <w:t xml:space="preserve">Which customer classes and within customer classes which customer segments, are most in need of relief, in light of the existing programs and policies currently available to energy utility customers, and on what basis? </w:t>
      </w:r>
      <w:r w:rsidR="00E93EF9">
        <w:t xml:space="preserve"> </w:t>
      </w:r>
      <w:r>
        <w:t xml:space="preserve">Should different customer classes receive different amounts or types of relief? </w:t>
      </w:r>
      <w:r w:rsidR="00E93EF9">
        <w:t xml:space="preserve"> </w:t>
      </w:r>
      <w:r>
        <w:t>What data support this?</w:t>
      </w:r>
    </w:p>
    <w:p w:rsidR="00C22B65" w:rsidP="00E93EF9" w:rsidRDefault="00C22B65" w14:paraId="21DDC5E7" w14:textId="77777777">
      <w:pPr>
        <w:pStyle w:val="Standard"/>
        <w:numPr>
          <w:ilvl w:val="1"/>
          <w:numId w:val="24"/>
        </w:numPr>
        <w:spacing w:line="240" w:lineRule="auto"/>
        <w:ind w:left="1440" w:right="1440"/>
      </w:pPr>
      <w:r>
        <w:t>How should customers be identified for arrearage relief?</w:t>
      </w:r>
    </w:p>
    <w:p w:rsidR="00C22B65" w:rsidP="00E93EF9" w:rsidRDefault="00C22B65" w14:paraId="53FE0370" w14:textId="77777777">
      <w:pPr>
        <w:pStyle w:val="Standard"/>
        <w:numPr>
          <w:ilvl w:val="1"/>
          <w:numId w:val="24"/>
        </w:numPr>
        <w:spacing w:line="240" w:lineRule="auto"/>
        <w:ind w:left="1440" w:right="1440"/>
      </w:pPr>
      <w:r>
        <w:lastRenderedPageBreak/>
        <w:t xml:space="preserve">Should arrearage relief be conditional upon customer payment behavior, either past or future? </w:t>
      </w:r>
    </w:p>
    <w:p w:rsidR="00C22B65" w:rsidP="00E93EF9" w:rsidRDefault="00C22B65" w14:paraId="52D6B554" w14:textId="77777777">
      <w:pPr>
        <w:pStyle w:val="Standard"/>
        <w:numPr>
          <w:ilvl w:val="1"/>
          <w:numId w:val="24"/>
        </w:numPr>
        <w:spacing w:line="240" w:lineRule="auto"/>
        <w:ind w:left="1440" w:right="1440"/>
      </w:pPr>
      <w:r>
        <w:t>Is there a reason to target arrearage relief to customers making timely payments? If so, how might such customers be identified?</w:t>
      </w:r>
    </w:p>
    <w:p w:rsidR="00C22B65" w:rsidP="00E93EF9" w:rsidRDefault="00C22B65" w14:paraId="11F748F6" w14:textId="77777777">
      <w:pPr>
        <w:pStyle w:val="Standard"/>
        <w:numPr>
          <w:ilvl w:val="1"/>
          <w:numId w:val="24"/>
        </w:numPr>
        <w:spacing w:after="120" w:line="240" w:lineRule="auto"/>
        <w:ind w:left="1440" w:right="1440"/>
      </w:pPr>
      <w:r>
        <w:t>Consider and recommend how arrearage relief could be tailored to residential customers so vulnerable and burdened that they are unlikely to be able to meet the terms of the Arrearage Management Program (AMP).</w:t>
      </w:r>
    </w:p>
    <w:p w:rsidRPr="003153D4" w:rsidR="00C22B65" w:rsidP="00C22B65" w:rsidRDefault="00C22B65" w14:paraId="56B6B8FE" w14:textId="77777777">
      <w:pPr>
        <w:pStyle w:val="standard0"/>
        <w:numPr>
          <w:ilvl w:val="0"/>
          <w:numId w:val="24"/>
        </w:numPr>
        <w:spacing w:after="120" w:line="240" w:lineRule="auto"/>
        <w:ind w:right="1440"/>
        <w:rPr>
          <w:rFonts w:ascii="Book Antiqua" w:hAnsi="Book Antiqua"/>
        </w:rPr>
      </w:pPr>
      <w:r w:rsidRPr="003153D4">
        <w:rPr>
          <w:rFonts w:ascii="Book Antiqua" w:hAnsi="Book Antiqua"/>
        </w:rPr>
        <w:t>Please identify models of funding structures that would be applicable to funding arrearage relief, and provide a basis for such applicability.</w:t>
      </w:r>
    </w:p>
    <w:p w:rsidRPr="003153D4" w:rsidR="00C22B65" w:rsidP="00384B48" w:rsidRDefault="00C22B65" w14:paraId="3AE3C7E2" w14:textId="77777777">
      <w:pPr>
        <w:pStyle w:val="standard0"/>
        <w:numPr>
          <w:ilvl w:val="0"/>
          <w:numId w:val="22"/>
        </w:numPr>
        <w:spacing w:after="120" w:line="240" w:lineRule="auto"/>
        <w:ind w:left="1440" w:right="1440"/>
        <w:rPr>
          <w:rFonts w:ascii="Book Antiqua" w:hAnsi="Book Antiqua"/>
        </w:rPr>
      </w:pPr>
      <w:r w:rsidRPr="003153D4">
        <w:rPr>
          <w:rFonts w:ascii="Book Antiqua" w:hAnsi="Book Antiqua"/>
        </w:rPr>
        <w:t xml:space="preserve">If at all, how would existing funding mechanisms in place for energy utilities related to the COVID-19 period or other cost recovery mechanisms be applicable to arrearage relief? </w:t>
      </w:r>
    </w:p>
    <w:p w:rsidRPr="003153D4" w:rsidR="00C22B65" w:rsidP="00384B48" w:rsidRDefault="00C22B65" w14:paraId="4F77FA40" w14:textId="77777777">
      <w:pPr>
        <w:pStyle w:val="standard0"/>
        <w:numPr>
          <w:ilvl w:val="0"/>
          <w:numId w:val="22"/>
        </w:numPr>
        <w:spacing w:after="120" w:line="240" w:lineRule="auto"/>
        <w:ind w:left="1440" w:right="1440"/>
        <w:rPr>
          <w:rFonts w:ascii="Book Antiqua" w:hAnsi="Book Antiqua"/>
        </w:rPr>
      </w:pPr>
      <w:r>
        <w:rPr>
          <w:rFonts w:ascii="Book Antiqua" w:hAnsi="Book Antiqua"/>
        </w:rPr>
        <w:t xml:space="preserve">Do the impacts to utilities differ when customer debt is booked as uncollectible after a customer has been disconnected for non-payment, and when a customer’s debt is </w:t>
      </w:r>
      <w:r w:rsidRPr="003153D4">
        <w:rPr>
          <w:rFonts w:ascii="Book Antiqua" w:hAnsi="Book Antiqua"/>
        </w:rPr>
        <w:t xml:space="preserve">forgiven through </w:t>
      </w:r>
      <w:r>
        <w:rPr>
          <w:rFonts w:ascii="Book Antiqua" w:hAnsi="Book Antiqua"/>
        </w:rPr>
        <w:t xml:space="preserve">participation in an </w:t>
      </w:r>
      <w:r w:rsidRPr="003153D4">
        <w:rPr>
          <w:rFonts w:ascii="Book Antiqua" w:hAnsi="Book Antiqua"/>
        </w:rPr>
        <w:t>A</w:t>
      </w:r>
      <w:r>
        <w:rPr>
          <w:rFonts w:ascii="Book Antiqua" w:hAnsi="Book Antiqua"/>
        </w:rPr>
        <w:t xml:space="preserve">MP? </w:t>
      </w:r>
    </w:p>
    <w:p w:rsidR="00C22B65" w:rsidP="00384B48" w:rsidRDefault="00C22B65" w14:paraId="48C83839" w14:textId="77777777">
      <w:pPr>
        <w:pStyle w:val="standard0"/>
        <w:numPr>
          <w:ilvl w:val="0"/>
          <w:numId w:val="22"/>
        </w:numPr>
        <w:spacing w:after="120" w:line="240" w:lineRule="auto"/>
        <w:ind w:left="1440" w:right="1440"/>
        <w:rPr>
          <w:rFonts w:ascii="Book Antiqua" w:hAnsi="Book Antiqua"/>
        </w:rPr>
      </w:pPr>
      <w:r>
        <w:rPr>
          <w:rFonts w:ascii="Book Antiqua" w:hAnsi="Book Antiqua"/>
        </w:rPr>
        <w:t>How do utilities avoid double booking customer debt in light of this combination of uncollectible balances and forgiveness programs?</w:t>
      </w:r>
    </w:p>
    <w:p w:rsidRPr="003153D4" w:rsidR="00C22B65" w:rsidP="00384B48" w:rsidRDefault="00C22B65" w14:paraId="4421CDC8" w14:textId="77777777">
      <w:pPr>
        <w:pStyle w:val="standard0"/>
        <w:numPr>
          <w:ilvl w:val="0"/>
          <w:numId w:val="22"/>
        </w:numPr>
        <w:spacing w:after="120" w:line="240" w:lineRule="auto"/>
        <w:ind w:left="1440" w:right="1440"/>
        <w:rPr>
          <w:rFonts w:ascii="Book Antiqua" w:hAnsi="Book Antiqua"/>
        </w:rPr>
      </w:pPr>
      <w:r w:rsidRPr="003153D4">
        <w:rPr>
          <w:rFonts w:ascii="Book Antiqua" w:hAnsi="Book Antiqua"/>
        </w:rPr>
        <w:t>How should utilities determine and track the costs of arrearage relief?</w:t>
      </w:r>
    </w:p>
    <w:p w:rsidRPr="00E47944" w:rsidR="00C22B65" w:rsidP="00384B48" w:rsidRDefault="00C22B65" w14:paraId="5FE03AC9" w14:textId="77777777">
      <w:pPr>
        <w:pStyle w:val="standard0"/>
        <w:numPr>
          <w:ilvl w:val="0"/>
          <w:numId w:val="22"/>
        </w:numPr>
        <w:spacing w:line="240" w:lineRule="auto"/>
        <w:ind w:left="1440" w:right="1440"/>
        <w:rPr>
          <w:rFonts w:ascii="Book Antiqua" w:hAnsi="Book Antiqua" w:eastAsia="Palatino" w:cs="Palatino"/>
        </w:rPr>
      </w:pPr>
      <w:r w:rsidRPr="003153D4">
        <w:rPr>
          <w:rFonts w:ascii="Book Antiqua" w:hAnsi="Book Antiqua"/>
        </w:rPr>
        <w:t xml:space="preserve">Are funding structures that </w:t>
      </w:r>
      <w:r>
        <w:rPr>
          <w:rFonts w:ascii="Book Antiqua" w:hAnsi="Book Antiqua"/>
        </w:rPr>
        <w:t>anticipate private capital</w:t>
      </w:r>
      <w:r w:rsidRPr="003153D4">
        <w:rPr>
          <w:rFonts w:ascii="Book Antiqua" w:hAnsi="Book Antiqua"/>
        </w:rPr>
        <w:t>, including those structures being utilized in other states and referenced in Section 2.6</w:t>
      </w:r>
      <w:r>
        <w:rPr>
          <w:rFonts w:ascii="Book Antiqua" w:hAnsi="Book Antiqua"/>
        </w:rPr>
        <w:t xml:space="preserve"> of the OIR</w:t>
      </w:r>
      <w:r w:rsidRPr="003153D4">
        <w:rPr>
          <w:rFonts w:ascii="Book Antiqua" w:hAnsi="Book Antiqua"/>
        </w:rPr>
        <w:t>, suitable for arrearage relief? If so, how might such structures be utilized and implemented by the Commission</w:t>
      </w:r>
      <w:r>
        <w:rPr>
          <w:rFonts w:ascii="Book Antiqua" w:hAnsi="Book Antiqua"/>
        </w:rPr>
        <w:t>?</w:t>
      </w:r>
    </w:p>
    <w:p w:rsidRPr="00384B48" w:rsidR="00C22B65" w:rsidP="00C22B65" w:rsidRDefault="00C22B65" w14:paraId="383C15A6" w14:textId="77777777">
      <w:pPr>
        <w:pStyle w:val="standard0"/>
        <w:spacing w:line="240" w:lineRule="auto"/>
        <w:ind w:left="1800" w:right="1440" w:firstLine="0"/>
        <w:rPr>
          <w:rFonts w:ascii="Book Antiqua" w:hAnsi="Book Antiqua" w:eastAsia="Palatino" w:cs="Palatino"/>
          <w:sz w:val="12"/>
          <w:szCs w:val="12"/>
        </w:rPr>
      </w:pPr>
    </w:p>
    <w:p w:rsidRPr="003153D4" w:rsidR="00C22B65" w:rsidP="00384B48" w:rsidRDefault="00C22B65" w14:paraId="741758F8" w14:textId="77777777">
      <w:pPr>
        <w:pStyle w:val="standard0"/>
        <w:spacing w:after="120" w:line="240" w:lineRule="auto"/>
        <w:ind w:left="720" w:right="1440" w:firstLine="0"/>
        <w:rPr>
          <w:rFonts w:ascii="Book Antiqua" w:hAnsi="Book Antiqua" w:eastAsia="Palatino" w:cs="Palatino"/>
          <w:u w:val="single"/>
        </w:rPr>
      </w:pPr>
      <w:r w:rsidRPr="003153D4">
        <w:rPr>
          <w:rFonts w:ascii="Book Antiqua" w:hAnsi="Book Antiqua" w:eastAsia="Palatino" w:cs="Palatino"/>
          <w:u w:val="single"/>
        </w:rPr>
        <w:t>Third-Party Energy Service Providers</w:t>
      </w:r>
    </w:p>
    <w:p w:rsidRPr="003153D4" w:rsidR="00C22B65" w:rsidP="00C22B65" w:rsidRDefault="00C22B65" w14:paraId="3EBD0FDD" w14:textId="79675538">
      <w:pPr>
        <w:pStyle w:val="standard0"/>
        <w:numPr>
          <w:ilvl w:val="0"/>
          <w:numId w:val="24"/>
        </w:numPr>
        <w:spacing w:after="120" w:line="240" w:lineRule="auto"/>
        <w:ind w:right="1440"/>
        <w:rPr>
          <w:rFonts w:ascii="Book Antiqua" w:hAnsi="Book Antiqua" w:eastAsia="Palatino" w:cs="Palatino"/>
        </w:rPr>
      </w:pPr>
      <w:r>
        <w:rPr>
          <w:rFonts w:ascii="Book Antiqua" w:hAnsi="Book Antiqua"/>
        </w:rPr>
        <w:t>Should</w:t>
      </w:r>
      <w:r w:rsidRPr="003153D4">
        <w:rPr>
          <w:rFonts w:ascii="Book Antiqua" w:hAnsi="Book Antiqua"/>
        </w:rPr>
        <w:t xml:space="preserve"> arrearage relief be applied to Core Transport Agent</w:t>
      </w:r>
      <w:r>
        <w:rPr>
          <w:rFonts w:ascii="Book Antiqua" w:hAnsi="Book Antiqua"/>
        </w:rPr>
        <w:t xml:space="preserve"> (CTA)</w:t>
      </w:r>
      <w:r w:rsidRPr="003153D4">
        <w:rPr>
          <w:rFonts w:ascii="Book Antiqua" w:hAnsi="Book Antiqua"/>
        </w:rPr>
        <w:t>, Energy Service Provider</w:t>
      </w:r>
      <w:r>
        <w:rPr>
          <w:rFonts w:ascii="Book Antiqua" w:hAnsi="Book Antiqua"/>
        </w:rPr>
        <w:t xml:space="preserve"> (ESP)</w:t>
      </w:r>
      <w:r w:rsidRPr="003153D4">
        <w:rPr>
          <w:rFonts w:ascii="Book Antiqua" w:hAnsi="Book Antiqua"/>
        </w:rPr>
        <w:t>, and Community Choice Aggregator</w:t>
      </w:r>
      <w:r>
        <w:rPr>
          <w:rFonts w:ascii="Book Antiqua" w:hAnsi="Book Antiqua"/>
        </w:rPr>
        <w:t xml:space="preserve"> (CCA)</w:t>
      </w:r>
      <w:r w:rsidRPr="003153D4">
        <w:rPr>
          <w:rFonts w:ascii="Book Antiqua" w:hAnsi="Book Antiqua"/>
        </w:rPr>
        <w:t xml:space="preserve"> customers? </w:t>
      </w:r>
      <w:r w:rsidR="00384B48">
        <w:rPr>
          <w:rFonts w:ascii="Book Antiqua" w:hAnsi="Book Antiqua"/>
        </w:rPr>
        <w:t xml:space="preserve"> </w:t>
      </w:r>
      <w:r w:rsidRPr="003153D4">
        <w:rPr>
          <w:rFonts w:ascii="Book Antiqua" w:hAnsi="Book Antiqua"/>
        </w:rPr>
        <w:t>If so, how?</w:t>
      </w:r>
    </w:p>
    <w:p w:rsidRPr="003153D4" w:rsidR="00C22B65" w:rsidP="00384B48" w:rsidRDefault="00C22B65" w14:paraId="76166F2B" w14:textId="77777777">
      <w:pPr>
        <w:pStyle w:val="standard0"/>
        <w:numPr>
          <w:ilvl w:val="0"/>
          <w:numId w:val="23"/>
        </w:numPr>
        <w:spacing w:after="120" w:line="240" w:lineRule="auto"/>
        <w:ind w:left="1440" w:right="1440"/>
        <w:rPr>
          <w:rFonts w:ascii="Book Antiqua" w:hAnsi="Book Antiqua" w:eastAsia="Palatino" w:cs="Palatino"/>
        </w:rPr>
      </w:pPr>
      <w:r w:rsidRPr="003153D4">
        <w:rPr>
          <w:rFonts w:ascii="Book Antiqua" w:hAnsi="Book Antiqua" w:eastAsia="Palatino" w:cs="Palatino"/>
        </w:rPr>
        <w:lastRenderedPageBreak/>
        <w:t>Should Resolution E</w:t>
      </w:r>
      <w:r>
        <w:rPr>
          <w:rFonts w:ascii="Book Antiqua" w:hAnsi="Book Antiqua" w:eastAsia="Palatino" w:cs="Palatino"/>
        </w:rPr>
        <w:t>-</w:t>
      </w:r>
      <w:r w:rsidRPr="003153D4">
        <w:rPr>
          <w:rFonts w:ascii="Book Antiqua" w:hAnsi="Book Antiqua" w:eastAsia="Palatino" w:cs="Palatino"/>
        </w:rPr>
        <w:t>5114 determinations to include or exclude CTA, D</w:t>
      </w:r>
      <w:r>
        <w:rPr>
          <w:rFonts w:ascii="Book Antiqua" w:hAnsi="Book Antiqua" w:eastAsia="Palatino" w:cs="Palatino"/>
        </w:rPr>
        <w:t xml:space="preserve">irect </w:t>
      </w:r>
      <w:r w:rsidRPr="003153D4">
        <w:rPr>
          <w:rFonts w:ascii="Book Antiqua" w:hAnsi="Book Antiqua" w:eastAsia="Palatino" w:cs="Palatino"/>
        </w:rPr>
        <w:t>A</w:t>
      </w:r>
      <w:r>
        <w:rPr>
          <w:rFonts w:ascii="Book Antiqua" w:hAnsi="Book Antiqua" w:eastAsia="Palatino" w:cs="Palatino"/>
        </w:rPr>
        <w:t>ccess</w:t>
      </w:r>
      <w:r w:rsidRPr="003153D4">
        <w:rPr>
          <w:rFonts w:ascii="Book Antiqua" w:hAnsi="Book Antiqua" w:eastAsia="Palatino" w:cs="Palatino"/>
        </w:rPr>
        <w:t xml:space="preserve">, </w:t>
      </w:r>
      <w:r>
        <w:rPr>
          <w:rFonts w:ascii="Book Antiqua" w:hAnsi="Book Antiqua" w:eastAsia="Palatino" w:cs="Palatino"/>
        </w:rPr>
        <w:t xml:space="preserve">or </w:t>
      </w:r>
      <w:r w:rsidRPr="003153D4">
        <w:rPr>
          <w:rFonts w:ascii="Book Antiqua" w:hAnsi="Book Antiqua" w:eastAsia="Palatino" w:cs="Palatino"/>
        </w:rPr>
        <w:t>N</w:t>
      </w:r>
      <w:r>
        <w:rPr>
          <w:rFonts w:ascii="Book Antiqua" w:hAnsi="Book Antiqua" w:eastAsia="Palatino" w:cs="Palatino"/>
        </w:rPr>
        <w:t xml:space="preserve">et </w:t>
      </w:r>
      <w:r w:rsidRPr="003153D4">
        <w:rPr>
          <w:rFonts w:ascii="Book Antiqua" w:hAnsi="Book Antiqua" w:eastAsia="Palatino" w:cs="Palatino"/>
        </w:rPr>
        <w:t>E</w:t>
      </w:r>
      <w:r>
        <w:rPr>
          <w:rFonts w:ascii="Book Antiqua" w:hAnsi="Book Antiqua" w:eastAsia="Palatino" w:cs="Palatino"/>
        </w:rPr>
        <w:t xml:space="preserve">nergy </w:t>
      </w:r>
      <w:r w:rsidRPr="003153D4">
        <w:rPr>
          <w:rFonts w:ascii="Book Antiqua" w:hAnsi="Book Antiqua" w:eastAsia="Palatino" w:cs="Palatino"/>
        </w:rPr>
        <w:t>M</w:t>
      </w:r>
      <w:r>
        <w:rPr>
          <w:rFonts w:ascii="Book Antiqua" w:hAnsi="Book Antiqua" w:eastAsia="Palatino" w:cs="Palatino"/>
        </w:rPr>
        <w:t>etering</w:t>
      </w:r>
      <w:r w:rsidRPr="003153D4">
        <w:rPr>
          <w:rFonts w:ascii="Book Antiqua" w:hAnsi="Book Antiqua" w:eastAsia="Palatino" w:cs="Palatino"/>
        </w:rPr>
        <w:t xml:space="preserve"> </w:t>
      </w:r>
      <w:r>
        <w:rPr>
          <w:rFonts w:ascii="Book Antiqua" w:hAnsi="Book Antiqua" w:eastAsia="Palatino" w:cs="Palatino"/>
        </w:rPr>
        <w:t xml:space="preserve">customers </w:t>
      </w:r>
      <w:r w:rsidRPr="003153D4">
        <w:rPr>
          <w:rFonts w:ascii="Book Antiqua" w:hAnsi="Book Antiqua" w:eastAsia="Palatino" w:cs="Palatino"/>
        </w:rPr>
        <w:t>in A</w:t>
      </w:r>
      <w:r>
        <w:rPr>
          <w:rFonts w:ascii="Book Antiqua" w:hAnsi="Book Antiqua" w:eastAsia="Palatino" w:cs="Palatino"/>
        </w:rPr>
        <w:t>MPs</w:t>
      </w:r>
      <w:r w:rsidRPr="003153D4">
        <w:rPr>
          <w:rFonts w:ascii="Book Antiqua" w:hAnsi="Book Antiqua" w:eastAsia="Palatino" w:cs="Palatino"/>
        </w:rPr>
        <w:t xml:space="preserve"> be followed in this proceeding?</w:t>
      </w:r>
    </w:p>
    <w:p w:rsidRPr="003153D4" w:rsidR="00C22B65" w:rsidP="00384B48" w:rsidRDefault="00C22B65" w14:paraId="55B3B550" w14:textId="77777777">
      <w:pPr>
        <w:pStyle w:val="standard0"/>
        <w:numPr>
          <w:ilvl w:val="0"/>
          <w:numId w:val="23"/>
        </w:numPr>
        <w:spacing w:after="120" w:line="240" w:lineRule="auto"/>
        <w:ind w:left="1440" w:right="1440"/>
        <w:rPr>
          <w:rFonts w:ascii="Book Antiqua" w:hAnsi="Book Antiqua" w:eastAsia="Palatino" w:cs="Palatino"/>
        </w:rPr>
      </w:pPr>
      <w:r w:rsidRPr="003153D4">
        <w:rPr>
          <w:rFonts w:ascii="Book Antiqua" w:hAnsi="Book Antiqua" w:eastAsia="Palatino" w:cs="Palatino"/>
        </w:rPr>
        <w:t>To the extent that customers are not at risk of disconnection for failure to pay their CCA charges, does this change the need for arrearage relief of CCA charges?</w:t>
      </w:r>
    </w:p>
    <w:p w:rsidRPr="003153D4" w:rsidR="00C22B65" w:rsidP="00384B48" w:rsidRDefault="00C22B65" w14:paraId="6A3F9F18" w14:textId="21B64975">
      <w:pPr>
        <w:pStyle w:val="standard0"/>
        <w:numPr>
          <w:ilvl w:val="0"/>
          <w:numId w:val="23"/>
        </w:numPr>
        <w:spacing w:after="120" w:line="240" w:lineRule="auto"/>
        <w:ind w:left="1440" w:right="1440"/>
        <w:rPr>
          <w:rFonts w:ascii="Book Antiqua" w:hAnsi="Book Antiqua" w:eastAsia="Palatino" w:cs="Palatino"/>
        </w:rPr>
      </w:pPr>
      <w:r w:rsidRPr="003153D4">
        <w:rPr>
          <w:rFonts w:ascii="Book Antiqua" w:hAnsi="Book Antiqua"/>
        </w:rPr>
        <w:t xml:space="preserve">To what extent does Public Utilities </w:t>
      </w:r>
      <w:r>
        <w:rPr>
          <w:rFonts w:ascii="Book Antiqua" w:hAnsi="Book Antiqua"/>
        </w:rPr>
        <w:t>C</w:t>
      </w:r>
      <w:r w:rsidRPr="003153D4">
        <w:rPr>
          <w:rFonts w:ascii="Book Antiqua" w:hAnsi="Book Antiqua"/>
        </w:rPr>
        <w:t xml:space="preserve">ode </w:t>
      </w:r>
      <w:r w:rsidR="00107EF4">
        <w:rPr>
          <w:rFonts w:ascii="Book Antiqua" w:hAnsi="Book Antiqua"/>
        </w:rPr>
        <w:t>S</w:t>
      </w:r>
      <w:r w:rsidRPr="003153D4">
        <w:rPr>
          <w:rFonts w:ascii="Book Antiqua" w:hAnsi="Book Antiqua"/>
        </w:rPr>
        <w:t>ection 779.2 require utilities to allocate partial payments first to disconnectable charges?</w:t>
      </w:r>
    </w:p>
    <w:p w:rsidRPr="003153D4" w:rsidR="00C22B65" w:rsidP="00C22B65" w:rsidRDefault="00C22B65" w14:paraId="25C73E2D" w14:textId="77777777">
      <w:pPr>
        <w:pStyle w:val="standard0"/>
        <w:spacing w:after="120" w:line="240" w:lineRule="auto"/>
        <w:ind w:left="720" w:right="1440" w:firstLine="0"/>
        <w:rPr>
          <w:rFonts w:ascii="Book Antiqua" w:hAnsi="Book Antiqua"/>
          <w:u w:val="single"/>
        </w:rPr>
      </w:pPr>
      <w:r w:rsidRPr="003153D4">
        <w:rPr>
          <w:rFonts w:ascii="Book Antiqua" w:hAnsi="Book Antiqua"/>
          <w:u w:val="single"/>
        </w:rPr>
        <w:t>SMJUs</w:t>
      </w:r>
    </w:p>
    <w:p w:rsidR="00C22B65" w:rsidP="00C22B65" w:rsidRDefault="00C22B65" w14:paraId="67A911BF" w14:textId="3834EEDB">
      <w:pPr>
        <w:pStyle w:val="standard0"/>
        <w:numPr>
          <w:ilvl w:val="0"/>
          <w:numId w:val="24"/>
        </w:numPr>
        <w:spacing w:after="120" w:line="240" w:lineRule="auto"/>
        <w:ind w:right="1440"/>
        <w:rPr>
          <w:rFonts w:ascii="Book Antiqua" w:hAnsi="Book Antiqua"/>
        </w:rPr>
      </w:pPr>
      <w:r w:rsidRPr="003153D4">
        <w:rPr>
          <w:rFonts w:ascii="Book Antiqua" w:hAnsi="Book Antiqua"/>
        </w:rPr>
        <w:t>What are the concerns and considerations</w:t>
      </w:r>
      <w:r>
        <w:rPr>
          <w:rFonts w:ascii="Book Antiqua" w:hAnsi="Book Antiqua"/>
        </w:rPr>
        <w:t>, if any,</w:t>
      </w:r>
      <w:r w:rsidRPr="003153D4">
        <w:rPr>
          <w:rFonts w:ascii="Book Antiqua" w:hAnsi="Book Antiqua"/>
        </w:rPr>
        <w:t xml:space="preserve"> unique to the small and multi-jurisdictional utilities</w:t>
      </w:r>
      <w:r>
        <w:rPr>
          <w:rFonts w:ascii="Book Antiqua" w:hAnsi="Book Antiqua"/>
        </w:rPr>
        <w:t xml:space="preserve"> (SMJUs)</w:t>
      </w:r>
      <w:r w:rsidRPr="003153D4">
        <w:rPr>
          <w:rFonts w:ascii="Book Antiqua" w:hAnsi="Book Antiqua"/>
        </w:rPr>
        <w:t xml:space="preserve"> and their customers? If necessary, identify variations or alternatives to the straw proposals that would be applicable to the </w:t>
      </w:r>
      <w:r>
        <w:rPr>
          <w:rFonts w:ascii="Book Antiqua" w:hAnsi="Book Antiqua"/>
        </w:rPr>
        <w:t>SMJUs.</w:t>
      </w:r>
      <w:r w:rsidRPr="003153D4">
        <w:rPr>
          <w:rFonts w:ascii="Book Antiqua" w:hAnsi="Book Antiqua"/>
        </w:rPr>
        <w:t xml:space="preserve"> </w:t>
      </w:r>
    </w:p>
    <w:bookmarkEnd w:id="26"/>
    <w:p w:rsidRPr="003153D4" w:rsidR="005E6660" w:rsidP="00107EF4" w:rsidRDefault="005E6660" w14:paraId="72D8AE91" w14:textId="67F6197D">
      <w:pPr>
        <w:pStyle w:val="standard0"/>
        <w:keepNext/>
        <w:keepLines/>
        <w:spacing w:after="120" w:line="240" w:lineRule="auto"/>
        <w:ind w:left="720" w:right="1440" w:firstLine="0"/>
        <w:rPr>
          <w:rFonts w:ascii="Book Antiqua" w:hAnsi="Book Antiqua"/>
          <w:u w:val="single"/>
        </w:rPr>
      </w:pPr>
      <w:r>
        <w:rPr>
          <w:rFonts w:ascii="Book Antiqua" w:hAnsi="Book Antiqua"/>
          <w:u w:val="single"/>
        </w:rPr>
        <w:t>Integration and Coordination</w:t>
      </w:r>
    </w:p>
    <w:p w:rsidR="00C22B65" w:rsidP="00107EF4" w:rsidRDefault="00C22B65" w14:paraId="4968C50C" w14:textId="22EC8F70">
      <w:pPr>
        <w:pStyle w:val="standard0"/>
        <w:keepNext/>
        <w:keepLines/>
        <w:numPr>
          <w:ilvl w:val="0"/>
          <w:numId w:val="24"/>
        </w:numPr>
        <w:spacing w:after="120" w:line="240" w:lineRule="auto"/>
        <w:ind w:right="1440"/>
        <w:rPr>
          <w:rFonts w:ascii="Book Antiqua" w:hAnsi="Book Antiqua"/>
        </w:rPr>
      </w:pPr>
      <w:r>
        <w:rPr>
          <w:rFonts w:ascii="Book Antiqua" w:hAnsi="Book Antiqua"/>
        </w:rPr>
        <w:t xml:space="preserve">How should parties address the end date of the disconnection moratorium? </w:t>
      </w:r>
      <w:r w:rsidR="0044301E">
        <w:rPr>
          <w:rFonts w:ascii="Book Antiqua" w:hAnsi="Book Antiqua"/>
        </w:rPr>
        <w:t xml:space="preserve"> </w:t>
      </w:r>
      <w:r>
        <w:rPr>
          <w:rFonts w:ascii="Book Antiqua" w:hAnsi="Book Antiqua"/>
        </w:rPr>
        <w:t>Through/in R.18-03-011?</w:t>
      </w:r>
    </w:p>
    <w:p w:rsidRPr="003C792E" w:rsidR="00C22B65" w:rsidP="0044301E" w:rsidRDefault="00C22B65" w14:paraId="535C412A" w14:textId="68477442">
      <w:pPr>
        <w:pStyle w:val="standard0"/>
        <w:numPr>
          <w:ilvl w:val="0"/>
          <w:numId w:val="24"/>
        </w:numPr>
        <w:spacing w:after="120" w:line="240" w:lineRule="auto"/>
        <w:ind w:right="1440" w:hanging="540"/>
        <w:rPr>
          <w:rFonts w:ascii="Book Antiqua" w:hAnsi="Book Antiqua"/>
        </w:rPr>
      </w:pPr>
      <w:r w:rsidRPr="003C792E">
        <w:rPr>
          <w:rFonts w:ascii="Book Antiqua" w:hAnsi="Book Antiqua"/>
        </w:rPr>
        <w:t xml:space="preserve">How </w:t>
      </w:r>
      <w:r>
        <w:rPr>
          <w:rFonts w:ascii="Book Antiqua" w:hAnsi="Book Antiqua"/>
        </w:rPr>
        <w:t>can</w:t>
      </w:r>
      <w:r w:rsidRPr="003C792E">
        <w:rPr>
          <w:rFonts w:ascii="Book Antiqua" w:hAnsi="Book Antiqua"/>
        </w:rPr>
        <w:t xml:space="preserve"> arrearage relief integrate with the recently adopted orders in D.20-06-003?</w:t>
      </w:r>
      <w:r>
        <w:rPr>
          <w:rFonts w:ascii="Book Antiqua" w:hAnsi="Book Antiqua"/>
        </w:rPr>
        <w:t xml:space="preserve"> </w:t>
      </w:r>
      <w:r w:rsidR="0044301E">
        <w:rPr>
          <w:rFonts w:ascii="Book Antiqua" w:hAnsi="Book Antiqua"/>
        </w:rPr>
        <w:t xml:space="preserve"> </w:t>
      </w:r>
      <w:r>
        <w:rPr>
          <w:rFonts w:ascii="Book Antiqua" w:hAnsi="Book Antiqua"/>
        </w:rPr>
        <w:t>Are any adjustments needed?</w:t>
      </w:r>
    </w:p>
    <w:p w:rsidRPr="003C792E" w:rsidR="00C22B65" w:rsidP="0044301E" w:rsidRDefault="00C22B65" w14:paraId="153CC000" w14:textId="77777777">
      <w:pPr>
        <w:pStyle w:val="standard0"/>
        <w:numPr>
          <w:ilvl w:val="0"/>
          <w:numId w:val="24"/>
        </w:numPr>
        <w:spacing w:after="120" w:line="240" w:lineRule="auto"/>
        <w:ind w:right="1440" w:hanging="540"/>
        <w:rPr>
          <w:rFonts w:ascii="Book Antiqua" w:hAnsi="Book Antiqua"/>
        </w:rPr>
      </w:pPr>
      <w:r>
        <w:rPr>
          <w:rFonts w:ascii="Book Antiqua" w:hAnsi="Book Antiqua"/>
        </w:rPr>
        <w:t>S</w:t>
      </w:r>
      <w:r w:rsidRPr="003C792E">
        <w:rPr>
          <w:rFonts w:ascii="Book Antiqua" w:hAnsi="Book Antiqua"/>
        </w:rPr>
        <w:t>hould arrearage relief be coordinated with the utility transition plans ordered by the Commission in Resolution M-4849, including customer outreach?</w:t>
      </w:r>
    </w:p>
    <w:p w:rsidR="00C22B65" w:rsidP="0044301E" w:rsidRDefault="00C22B65" w14:paraId="569E8E60" w14:textId="7DC29D5C">
      <w:pPr>
        <w:pStyle w:val="standard0"/>
        <w:numPr>
          <w:ilvl w:val="0"/>
          <w:numId w:val="24"/>
        </w:numPr>
        <w:spacing w:after="120" w:line="240" w:lineRule="auto"/>
        <w:ind w:right="1440" w:hanging="540"/>
        <w:rPr>
          <w:rFonts w:ascii="Book Antiqua" w:hAnsi="Book Antiqua"/>
        </w:rPr>
      </w:pPr>
      <w:r w:rsidRPr="003C792E">
        <w:rPr>
          <w:rFonts w:ascii="Book Antiqua" w:hAnsi="Book Antiqua"/>
        </w:rPr>
        <w:t>What lessons</w:t>
      </w:r>
      <w:r>
        <w:rPr>
          <w:rFonts w:ascii="Book Antiqua" w:hAnsi="Book Antiqua"/>
        </w:rPr>
        <w:t>, if any,</w:t>
      </w:r>
      <w:r w:rsidRPr="003C792E">
        <w:rPr>
          <w:rFonts w:ascii="Book Antiqua" w:hAnsi="Book Antiqua"/>
        </w:rPr>
        <w:t xml:space="preserve"> should the Commission leverage from other relevant Commission proceedings addressing disconnections and bill affordability, and why? </w:t>
      </w:r>
    </w:p>
    <w:p w:rsidR="007B5CD5" w:rsidP="005939A5" w:rsidRDefault="00E971AE" w14:paraId="35C1BAA2" w14:textId="2BE7A618">
      <w:pPr>
        <w:pStyle w:val="Heading1"/>
      </w:pPr>
      <w:bookmarkStart w:name="_Toc75258944" w:id="27"/>
      <w:r>
        <w:t xml:space="preserve">“COVID-19 Relief </w:t>
      </w:r>
      <w:r w:rsidR="008B4E7A">
        <w:t>Payment Plans</w:t>
      </w:r>
      <w:r>
        <w:t>”</w:t>
      </w:r>
      <w:r w:rsidR="008B4E7A">
        <w:t xml:space="preserve"> </w:t>
      </w:r>
      <w:r w:rsidR="00917F48">
        <w:br/>
      </w:r>
      <w:r w:rsidR="008B4E7A">
        <w:t>for Residential Customers</w:t>
      </w:r>
      <w:bookmarkEnd w:id="27"/>
    </w:p>
    <w:p w:rsidR="00D23FCB" w:rsidP="00BC1F69" w:rsidRDefault="00CF2F91" w14:paraId="14B868C6" w14:textId="56E62635">
      <w:pPr>
        <w:pStyle w:val="Standard"/>
      </w:pPr>
      <w:r>
        <w:t>P</w:t>
      </w:r>
      <w:r w:rsidRPr="00BC1F69" w:rsidR="00BC1F69">
        <w:t xml:space="preserve">ayment plans </w:t>
      </w:r>
      <w:r w:rsidR="008C1017">
        <w:t>were considered</w:t>
      </w:r>
      <w:r w:rsidRPr="00BC1F69" w:rsidR="00BC1F69">
        <w:t xml:space="preserve"> extensively</w:t>
      </w:r>
      <w:r w:rsidR="00D23FCB">
        <w:t xml:space="preserve"> throughout the proceeding</w:t>
      </w:r>
      <w:r>
        <w:t>,</w:t>
      </w:r>
      <w:r w:rsidR="00D23FCB">
        <w:t xml:space="preserve"> first in Straw Proposal B in the OIR, and next at the workshop</w:t>
      </w:r>
      <w:r w:rsidR="003628D9">
        <w:t xml:space="preserve">, by Workshop </w:t>
      </w:r>
      <w:r w:rsidR="003628D9">
        <w:lastRenderedPageBreak/>
        <w:t>Team #3</w:t>
      </w:r>
      <w:r w:rsidR="00A774C0">
        <w:rPr>
          <w:rStyle w:val="FootnoteReference"/>
        </w:rPr>
        <w:footnoteReference w:id="20"/>
      </w:r>
      <w:r w:rsidR="003628D9">
        <w:t xml:space="preserve"> </w:t>
      </w:r>
      <w:r w:rsidR="000E1930">
        <w:t xml:space="preserve">discussing proposals categorized as </w:t>
      </w:r>
      <w:r w:rsidR="003628D9">
        <w:rPr>
          <w:i/>
          <w:iCs/>
        </w:rPr>
        <w:t>Ongoing Non-Financial Assistance</w:t>
      </w:r>
      <w:r w:rsidR="00D23FCB">
        <w:t xml:space="preserve">. Finally, the ALJ Ruling of April 2, 2021 asked a series of questions </w:t>
      </w:r>
      <w:r w:rsidR="00E971AE">
        <w:t>about parameters of</w:t>
      </w:r>
      <w:r w:rsidR="00D23FCB">
        <w:t xml:space="preserve"> payment plans to which parties responded on April 12, 2021.</w:t>
      </w:r>
    </w:p>
    <w:p w:rsidR="00047DD9" w:rsidP="00047DD9" w:rsidRDefault="00484720" w14:paraId="494BB824" w14:textId="0AB1DD75">
      <w:pPr>
        <w:pStyle w:val="Standard"/>
      </w:pPr>
      <w:r>
        <w:t xml:space="preserve">While the concept of payments plans </w:t>
      </w:r>
      <w:r w:rsidR="00765EDB">
        <w:t>was</w:t>
      </w:r>
      <w:r>
        <w:t xml:space="preserve"> widely supported, the appropriate terms were vigorously debated, including:</w:t>
      </w:r>
    </w:p>
    <w:p w:rsidR="00047DD9" w:rsidP="004B4972" w:rsidRDefault="00047DD9" w14:paraId="6DBED5E9" w14:textId="0E520AD2">
      <w:pPr>
        <w:pStyle w:val="Standard"/>
        <w:numPr>
          <w:ilvl w:val="0"/>
          <w:numId w:val="27"/>
        </w:numPr>
        <w:ind w:left="1080"/>
      </w:pPr>
      <w:r>
        <w:t xml:space="preserve">Enrollment method: Automatic or upon request? </w:t>
      </w:r>
    </w:p>
    <w:p w:rsidR="00047DD9" w:rsidP="004B4972" w:rsidRDefault="00047DD9" w14:paraId="72D8410B" w14:textId="577503B9">
      <w:pPr>
        <w:pStyle w:val="Standard"/>
        <w:numPr>
          <w:ilvl w:val="0"/>
          <w:numId w:val="27"/>
        </w:numPr>
        <w:ind w:left="1080"/>
      </w:pPr>
      <w:r>
        <w:t>Start and end</w:t>
      </w:r>
      <w:r w:rsidR="0068557A">
        <w:t xml:space="preserve"> period</w:t>
      </w:r>
      <w:r w:rsidR="00FC531A">
        <w:t>.</w:t>
      </w:r>
    </w:p>
    <w:p w:rsidR="00ED6545" w:rsidP="004B4972" w:rsidRDefault="00ED6545" w14:paraId="0486AA30" w14:textId="5703B2E9">
      <w:pPr>
        <w:pStyle w:val="Standard"/>
        <w:numPr>
          <w:ilvl w:val="0"/>
          <w:numId w:val="27"/>
        </w:numPr>
        <w:ind w:left="1080"/>
      </w:pPr>
      <w:r>
        <w:t>Should thresholds be applied to qualify</w:t>
      </w:r>
      <w:r w:rsidR="00047DD9">
        <w:t xml:space="preserve">: </w:t>
      </w:r>
    </w:p>
    <w:p w:rsidR="00ED6545" w:rsidP="00ED6545" w:rsidRDefault="00FC531A" w14:paraId="25BDA537" w14:textId="536F3905">
      <w:pPr>
        <w:pStyle w:val="Standard"/>
        <w:numPr>
          <w:ilvl w:val="1"/>
          <w:numId w:val="27"/>
        </w:numPr>
      </w:pPr>
      <w:r>
        <w:t>Dollars in debt</w:t>
      </w:r>
    </w:p>
    <w:p w:rsidR="00ED6545" w:rsidP="00ED6545" w:rsidRDefault="00FC531A" w14:paraId="4178917E" w14:textId="43BF37CD">
      <w:pPr>
        <w:pStyle w:val="Standard"/>
        <w:numPr>
          <w:ilvl w:val="1"/>
          <w:numId w:val="27"/>
        </w:numPr>
      </w:pPr>
      <w:r>
        <w:t>Age of arrears</w:t>
      </w:r>
    </w:p>
    <w:p w:rsidR="00ED6545" w:rsidP="00ED6545" w:rsidRDefault="00EF6097" w14:paraId="56FE3073" w14:textId="414A72C1">
      <w:pPr>
        <w:pStyle w:val="Standard"/>
        <w:numPr>
          <w:ilvl w:val="1"/>
          <w:numId w:val="27"/>
        </w:numPr>
      </w:pPr>
      <w:r>
        <w:t>I</w:t>
      </w:r>
      <w:r w:rsidR="00ED6545">
        <w:t>n good standing on prior payment plans</w:t>
      </w:r>
    </w:p>
    <w:p w:rsidR="000171D8" w:rsidP="00ED6545" w:rsidRDefault="000171D8" w14:paraId="23088C72" w14:textId="516F4548">
      <w:pPr>
        <w:pStyle w:val="Standard"/>
        <w:numPr>
          <w:ilvl w:val="1"/>
          <w:numId w:val="27"/>
        </w:numPr>
      </w:pPr>
      <w:r>
        <w:t>Not participating in other relief programs.</w:t>
      </w:r>
    </w:p>
    <w:p w:rsidR="00ED6545" w:rsidP="004B4972" w:rsidRDefault="00ED6545" w14:paraId="41962BDD" w14:textId="03363022">
      <w:pPr>
        <w:pStyle w:val="Standard"/>
        <w:numPr>
          <w:ilvl w:val="0"/>
          <w:numId w:val="27"/>
        </w:numPr>
        <w:spacing w:after="120" w:line="240" w:lineRule="auto"/>
        <w:ind w:left="1080" w:right="1440"/>
      </w:pPr>
      <w:r>
        <w:t>Number of times a customer</w:t>
      </w:r>
      <w:r w:rsidR="00901D27">
        <w:t xml:space="preserve"> may fail to make payments before being removed from the payment plan</w:t>
      </w:r>
      <w:r w:rsidR="00074993">
        <w:t>.</w:t>
      </w:r>
    </w:p>
    <w:p w:rsidR="00535D65" w:rsidP="004B4972" w:rsidRDefault="00535D65" w14:paraId="7CE8399D" w14:textId="50E143FE">
      <w:pPr>
        <w:pStyle w:val="Standard"/>
        <w:numPr>
          <w:ilvl w:val="0"/>
          <w:numId w:val="27"/>
        </w:numPr>
        <w:spacing w:after="120" w:line="240" w:lineRule="auto"/>
        <w:ind w:left="1080" w:right="1440"/>
      </w:pPr>
      <w:r>
        <w:t>Variations for SMJUs</w:t>
      </w:r>
      <w:r w:rsidR="00074993">
        <w:t>.</w:t>
      </w:r>
    </w:p>
    <w:p w:rsidR="00436DE4" w:rsidP="00047DD9" w:rsidRDefault="00614666" w14:paraId="130AB004" w14:textId="37D1579F">
      <w:pPr>
        <w:pStyle w:val="Standard"/>
      </w:pPr>
      <w:r>
        <w:t xml:space="preserve">The “COVID-19 </w:t>
      </w:r>
      <w:r w:rsidR="009B51AA">
        <w:t>R</w:t>
      </w:r>
      <w:r>
        <w:t xml:space="preserve">elief </w:t>
      </w:r>
      <w:r w:rsidR="009B51AA">
        <w:t>P</w:t>
      </w:r>
      <w:r>
        <w:t xml:space="preserve">ayment </w:t>
      </w:r>
      <w:r w:rsidR="009B51AA">
        <w:t>P</w:t>
      </w:r>
      <w:r>
        <w:t xml:space="preserve">lans” we adopt add </w:t>
      </w:r>
      <w:r w:rsidR="00166A2D">
        <w:t>only the element of time, rather than money</w:t>
      </w:r>
      <w:r w:rsidR="00B76A2E">
        <w:t>,</w:t>
      </w:r>
      <w:r w:rsidR="00D314C0">
        <w:t xml:space="preserve"> to assist customers</w:t>
      </w:r>
      <w:r w:rsidR="00866A70">
        <w:t xml:space="preserve">. </w:t>
      </w:r>
      <w:r w:rsidR="00052281">
        <w:t xml:space="preserve"> </w:t>
      </w:r>
      <w:r w:rsidR="00CB3EAA">
        <w:t>B</w:t>
      </w:r>
      <w:r w:rsidR="00866A70">
        <w:t>y adding a portion of the debt to each month</w:t>
      </w:r>
      <w:r w:rsidR="003E5CE7">
        <w:t>ly</w:t>
      </w:r>
      <w:r w:rsidR="00866A70">
        <w:t xml:space="preserve"> bill, payment plans </w:t>
      </w:r>
      <w:r w:rsidR="00AC161C">
        <w:t>depend upon customers’ ability to pay</w:t>
      </w:r>
      <w:r w:rsidR="00866A70">
        <w:t xml:space="preserve"> an amount larger than their current bill. </w:t>
      </w:r>
      <w:r w:rsidR="00052281">
        <w:t xml:space="preserve"> </w:t>
      </w:r>
      <w:r w:rsidR="00866A70">
        <w:t>While this proposition is likely untenable for households</w:t>
      </w:r>
      <w:r w:rsidR="00452C6A">
        <w:t xml:space="preserve"> with the lowest incomes and highest arrearages,</w:t>
      </w:r>
      <w:r w:rsidR="0048490B">
        <w:t xml:space="preserve"> </w:t>
      </w:r>
      <w:r w:rsidR="00E17DF1">
        <w:t>we expe</w:t>
      </w:r>
      <w:r w:rsidR="005E5EE8">
        <w:t>ct</w:t>
      </w:r>
      <w:r w:rsidR="00E17DF1">
        <w:t xml:space="preserve"> debt enrolled in the “COVID-19 </w:t>
      </w:r>
      <w:r w:rsidR="009B51AA">
        <w:t>R</w:t>
      </w:r>
      <w:r w:rsidR="00E17DF1">
        <w:t xml:space="preserve">elief </w:t>
      </w:r>
      <w:r w:rsidR="009B51AA">
        <w:t>P</w:t>
      </w:r>
      <w:r w:rsidR="00E17DF1">
        <w:t xml:space="preserve">ayment </w:t>
      </w:r>
      <w:r w:rsidR="009B51AA">
        <w:t>P</w:t>
      </w:r>
      <w:r w:rsidR="00E17DF1">
        <w:t xml:space="preserve">lans” </w:t>
      </w:r>
      <w:r w:rsidR="005E5EE8">
        <w:t xml:space="preserve">to shrink or be eliminated for many </w:t>
      </w:r>
      <w:r w:rsidR="007E62FF">
        <w:t xml:space="preserve">of these customers. </w:t>
      </w:r>
      <w:r w:rsidR="006F52FE">
        <w:t xml:space="preserve">In addition to anticipated state relief, </w:t>
      </w:r>
      <w:r w:rsidR="0048490B">
        <w:t>IOU customers enrolled in CARE/FERA</w:t>
      </w:r>
      <w:r w:rsidR="00452C6A">
        <w:t xml:space="preserve"> have a</w:t>
      </w:r>
      <w:r w:rsidR="0048490B">
        <w:t>ccess to a</w:t>
      </w:r>
      <w:r w:rsidR="00452C6A">
        <w:t xml:space="preserve"> different program, the Arrearage Management Program, to defray their </w:t>
      </w:r>
      <w:r w:rsidR="004707CB">
        <w:t>arrearage</w:t>
      </w:r>
      <w:r w:rsidR="00452C6A">
        <w:t xml:space="preserve"> without adding to their current </w:t>
      </w:r>
      <w:r w:rsidR="00452C6A">
        <w:lastRenderedPageBreak/>
        <w:t>bill</w:t>
      </w:r>
      <w:r w:rsidR="003C1960">
        <w:t xml:space="preserve">. </w:t>
      </w:r>
      <w:r w:rsidR="00052281">
        <w:t xml:space="preserve"> </w:t>
      </w:r>
      <w:r w:rsidR="003C1960">
        <w:t>At the very least, the parameters we mandate of automatic enrollment, coupled with a two-year term and t</w:t>
      </w:r>
      <w:r w:rsidR="009130E3">
        <w:t>wo</w:t>
      </w:r>
      <w:r w:rsidR="003C1960">
        <w:t xml:space="preserve"> </w:t>
      </w:r>
      <w:r w:rsidR="00DF7B52">
        <w:t xml:space="preserve">waivers for customers who miss payments, provide a </w:t>
      </w:r>
      <w:r w:rsidR="009378CC">
        <w:t xml:space="preserve">de facto </w:t>
      </w:r>
      <w:r w:rsidR="00DF7B52">
        <w:t xml:space="preserve">five months of time </w:t>
      </w:r>
      <w:r w:rsidR="009378CC">
        <w:t>before any</w:t>
      </w:r>
      <w:r w:rsidR="00DF7B52">
        <w:t xml:space="preserve"> customer</w:t>
      </w:r>
      <w:r w:rsidR="009378CC">
        <w:t xml:space="preserve"> faces disconnection. </w:t>
      </w:r>
      <w:r w:rsidR="00F77E1C">
        <w:t xml:space="preserve">Between today and September 30, 2021, utilities will have </w:t>
      </w:r>
      <w:r w:rsidR="00436DE4">
        <w:t>three months to plan, notify, educate and enroll customers</w:t>
      </w:r>
      <w:r w:rsidR="00F77E1C">
        <w:t>.</w:t>
      </w:r>
      <w:r w:rsidR="00436DE4">
        <w:t xml:space="preserve">  We agree with SCE and SoCalGas that three months are adequate and necessary.</w:t>
      </w:r>
      <w:r w:rsidR="00F77E1C">
        <w:t xml:space="preserve"> </w:t>
      </w:r>
      <w:r w:rsidR="00906BE0">
        <w:t>Next</w:t>
      </w:r>
      <w:r w:rsidR="00436DE4">
        <w:t xml:space="preserve">, the flexible terms of the plans granting missed payments add an additional two months. </w:t>
      </w:r>
    </w:p>
    <w:p w:rsidRPr="00BC1F69" w:rsidR="00BC1F69" w:rsidP="00047DD9" w:rsidRDefault="009378CC" w14:paraId="407F8B80" w14:textId="4F0C1F5F">
      <w:pPr>
        <w:pStyle w:val="Standard"/>
      </w:pPr>
      <w:r>
        <w:t>In the next phase of this proceeding, we will be tracking customer</w:t>
      </w:r>
      <w:r w:rsidR="00DF7B52">
        <w:t xml:space="preserve"> </w:t>
      </w:r>
      <w:r w:rsidR="004707CB">
        <w:t xml:space="preserve">access </w:t>
      </w:r>
      <w:r>
        <w:t xml:space="preserve">to </w:t>
      </w:r>
      <w:r w:rsidR="004707CB">
        <w:t>one of the many promising programs offering significant forgiveness.</w:t>
      </w:r>
      <w:r w:rsidR="00DF7B52">
        <w:t xml:space="preserve"> </w:t>
      </w:r>
    </w:p>
    <w:p w:rsidR="008E6A90" w:rsidP="008E6A90" w:rsidRDefault="008E6A90" w14:paraId="5CF9FA16" w14:textId="5242C90A">
      <w:pPr>
        <w:pStyle w:val="Heading2"/>
      </w:pPr>
      <w:bookmarkStart w:name="_Toc75258945" w:id="28"/>
      <w:r>
        <w:t>Party Positions</w:t>
      </w:r>
      <w:bookmarkEnd w:id="28"/>
    </w:p>
    <w:p w:rsidR="00AD6100" w:rsidP="000E7FD8" w:rsidRDefault="00E93614" w14:paraId="09B9796A" w14:textId="28ACF962">
      <w:pPr>
        <w:pStyle w:val="Standard"/>
      </w:pPr>
      <w:r>
        <w:t>Part</w:t>
      </w:r>
      <w:r w:rsidR="006E6081">
        <w:t>y</w:t>
      </w:r>
      <w:r>
        <w:t xml:space="preserve"> positions on payment plans </w:t>
      </w:r>
      <w:r w:rsidR="00FC05AB">
        <w:t>were refined</w:t>
      </w:r>
      <w:r w:rsidR="00EC0517">
        <w:t xml:space="preserve"> </w:t>
      </w:r>
      <w:r>
        <w:t>at the workshop, with the Work</w:t>
      </w:r>
      <w:r w:rsidR="00383A60">
        <w:t>shop</w:t>
      </w:r>
      <w:r>
        <w:t xml:space="preserve"> Team #3</w:t>
      </w:r>
      <w:r>
        <w:rPr>
          <w:rStyle w:val="FootnoteReference"/>
        </w:rPr>
        <w:footnoteReference w:id="21"/>
      </w:r>
      <w:r>
        <w:t xml:space="preserve"> </w:t>
      </w:r>
      <w:r w:rsidR="00D72047">
        <w:t>coming to consensus around</w:t>
      </w:r>
      <w:r w:rsidR="00B20390">
        <w:t xml:space="preserve">: </w:t>
      </w:r>
      <w:r w:rsidR="00D72047">
        <w:t>offering payment plans to all customers</w:t>
      </w:r>
      <w:r w:rsidR="00B20390">
        <w:t xml:space="preserve">; </w:t>
      </w:r>
      <w:r w:rsidR="00D72047">
        <w:t xml:space="preserve">having customers </w:t>
      </w:r>
      <w:r w:rsidR="00901D27">
        <w:t xml:space="preserve">take the initiative to participate and </w:t>
      </w:r>
      <w:r w:rsidR="00D72047">
        <w:t>opt-in</w:t>
      </w:r>
      <w:r w:rsidR="00B20390">
        <w:t xml:space="preserve">; </w:t>
      </w:r>
      <w:r w:rsidR="00D72047">
        <w:t xml:space="preserve">and keeping the program in effect for 12 months once disconnections resume. </w:t>
      </w:r>
      <w:r w:rsidR="00FC21A3">
        <w:t>Work</w:t>
      </w:r>
      <w:r w:rsidR="00383A60">
        <w:t>shop</w:t>
      </w:r>
      <w:r w:rsidR="00FC21A3">
        <w:t xml:space="preserve"> Team #3 </w:t>
      </w:r>
      <w:r w:rsidR="00A17994">
        <w:t>diverged in their recommendations on</w:t>
      </w:r>
      <w:r w:rsidR="00FC21A3">
        <w:t xml:space="preserve"> payment plans </w:t>
      </w:r>
      <w:r w:rsidR="00A17994">
        <w:t>terms</w:t>
      </w:r>
      <w:r w:rsidR="00AD5B92">
        <w:t xml:space="preserve">-- </w:t>
      </w:r>
      <w:r w:rsidR="00A17994">
        <w:t>among</w:t>
      </w:r>
      <w:r w:rsidR="00FC21A3">
        <w:t xml:space="preserve"> </w:t>
      </w:r>
      <w:r w:rsidR="00A17994">
        <w:t>flat</w:t>
      </w:r>
      <w:r w:rsidR="00FC21A3">
        <w:t xml:space="preserve"> </w:t>
      </w:r>
      <w:r w:rsidR="00052281">
        <w:t>24-month</w:t>
      </w:r>
      <w:r w:rsidR="00FC21A3">
        <w:t xml:space="preserve"> terms, 12, 18</w:t>
      </w:r>
      <w:r w:rsidR="00E53318">
        <w:t>,</w:t>
      </w:r>
      <w:r w:rsidR="00FC21A3">
        <w:t xml:space="preserve"> or 24 month terms, or terms calculated relative to the amount or age of arrears. </w:t>
      </w:r>
      <w:r w:rsidR="00D72047">
        <w:t>Subsequently, other parties</w:t>
      </w:r>
      <w:r w:rsidR="00AD5B92">
        <w:t xml:space="preserve">, including   </w:t>
      </w:r>
      <w:r w:rsidR="00D72047">
        <w:t>Cal</w:t>
      </w:r>
      <w:r w:rsidR="00E53318">
        <w:t> </w:t>
      </w:r>
      <w:r w:rsidR="00D72047">
        <w:t>Advocates, CEJA, LCJA, Greenlining, NCLC and CforAT argued that automatic enrollment is appropriate because it removes a barrier to participation.</w:t>
      </w:r>
      <w:r w:rsidR="00D72047">
        <w:rPr>
          <w:rStyle w:val="FootnoteReference"/>
        </w:rPr>
        <w:footnoteReference w:id="22"/>
      </w:r>
      <w:r w:rsidR="00D72047">
        <w:t xml:space="preserve"> </w:t>
      </w:r>
      <w:r w:rsidR="00297D8E">
        <w:t xml:space="preserve"> </w:t>
      </w:r>
      <w:r w:rsidR="00AC477B">
        <w:t>Southwest Gas</w:t>
      </w:r>
      <w:r w:rsidR="00A17994">
        <w:t xml:space="preserve"> also </w:t>
      </w:r>
      <w:r w:rsidR="00AC477B">
        <w:t xml:space="preserve">recommends their current automatic payment plan be approved and adopted for all SMJUs. </w:t>
      </w:r>
      <w:r w:rsidR="00297D8E">
        <w:t xml:space="preserve"> </w:t>
      </w:r>
      <w:r w:rsidR="00D72047">
        <w:t>Southwest Gas, speaking from experience with automatic enrollment into its own payment plans, states</w:t>
      </w:r>
      <w:r w:rsidR="00AD5B92">
        <w:t xml:space="preserve"> </w:t>
      </w:r>
      <w:r w:rsidR="00AD5B92">
        <w:lastRenderedPageBreak/>
        <w:t>that d</w:t>
      </w:r>
      <w:r w:rsidR="00D72047">
        <w:t>eferred payment arrangements</w:t>
      </w:r>
      <w:r w:rsidR="00473032">
        <w:t xml:space="preserve"> </w:t>
      </w:r>
      <w:r w:rsidR="00D72047">
        <w:t>would tend to preserve affordability. SoCalGas see</w:t>
      </w:r>
      <w:r w:rsidR="00B704D3">
        <w:t>s</w:t>
      </w:r>
      <w:r w:rsidR="00D72047">
        <w:t xml:space="preserve"> a payment plan duration over 15 months as beneficial because it “would give customers some discretion to prioritize their utility bills with their other obligations, better match their cashflow situation, including allowing customers to not add to the peak season utility bills.”</w:t>
      </w:r>
      <w:r w:rsidR="00D72047">
        <w:rPr>
          <w:rStyle w:val="FootnoteReference"/>
        </w:rPr>
        <w:footnoteReference w:id="23"/>
      </w:r>
    </w:p>
    <w:p w:rsidR="000E7FD8" w:rsidP="000E7FD8" w:rsidRDefault="000E7FD8" w14:paraId="1D306FBE" w14:textId="1F1C6890">
      <w:pPr>
        <w:pStyle w:val="Standard"/>
      </w:pPr>
      <w:r>
        <w:t>CASMU, PG&amp;E, SDG&amp;E and SCE oppose automatic enrollment of customers in relief programs</w:t>
      </w:r>
      <w:r w:rsidR="00391DAA">
        <w:t>,</w:t>
      </w:r>
      <w:r>
        <w:t xml:space="preserve"> whether payment plans, AMP</w:t>
      </w:r>
      <w:r w:rsidR="00391DAA">
        <w:t>,</w:t>
      </w:r>
      <w:r>
        <w:t xml:space="preserve"> or forgiveness</w:t>
      </w:r>
      <w:r w:rsidR="00FD6DB8">
        <w:t xml:space="preserve">, primarily on the basis of removing customer choice and decreasing customer buy-in. </w:t>
      </w:r>
      <w:r w:rsidR="00370C00">
        <w:t>SCE also bases its objection to longer payment plans on the impact to cash flow, pointing out that cost of debt may eventually impact all customer rates.</w:t>
      </w:r>
      <w:r w:rsidR="000E7A04">
        <w:t xml:space="preserve"> CalCCA and UCAN oppose automatic enrollment of customers into AMP specifically because AMP offers an incentive for timely payments and AMP will not function as intended unless customers are affirmatively made aware of the unique opportunity for debt forgiveness that accompanies each payment.</w:t>
      </w:r>
    </w:p>
    <w:p w:rsidRPr="000E7FD8" w:rsidR="00E971AE" w:rsidP="000E7FD8" w:rsidRDefault="00E971AE" w14:paraId="15B97E81" w14:textId="7C027D0E">
      <w:pPr>
        <w:pStyle w:val="Standard"/>
      </w:pPr>
      <w:r>
        <w:t>With the exception of Southwest Gas, SMJUs oppose automatic enrollment in payment plans, also contending that “automatic enrollment negates a customer’s ability to work with the utility to develop an appropriate payment plan.”</w:t>
      </w:r>
      <w:r>
        <w:rPr>
          <w:rStyle w:val="FootnoteReference"/>
        </w:rPr>
        <w:footnoteReference w:id="24"/>
      </w:r>
      <w:r>
        <w:t xml:space="preserve"> </w:t>
      </w:r>
      <w:r w:rsidR="00297D8E">
        <w:t xml:space="preserve"> </w:t>
      </w:r>
      <w:r>
        <w:t>Bear Valley is the only SMJU to assert i</w:t>
      </w:r>
      <w:r w:rsidR="00C9505A">
        <w:t>ts</w:t>
      </w:r>
      <w:r>
        <w:t xml:space="preserve"> arrearages since March 4, 2020 are no higher than in 2019.</w:t>
      </w:r>
    </w:p>
    <w:p w:rsidR="00E971AE" w:rsidP="00E971AE" w:rsidRDefault="00E971AE" w14:paraId="1D2B30A0" w14:textId="66D2C441">
      <w:pPr>
        <w:pStyle w:val="Heading2"/>
      </w:pPr>
      <w:bookmarkStart w:name="_Toc75258946" w:id="29"/>
      <w:r>
        <w:t xml:space="preserve">IOU </w:t>
      </w:r>
      <w:r w:rsidR="00E51DF8">
        <w:t xml:space="preserve">Residential </w:t>
      </w:r>
      <w:r>
        <w:t>Customers</w:t>
      </w:r>
      <w:bookmarkEnd w:id="29"/>
    </w:p>
    <w:p w:rsidR="00EC0517" w:rsidP="00BC3794" w:rsidRDefault="008264CF" w14:paraId="6C4F9724" w14:textId="1FE4291E">
      <w:pPr>
        <w:pStyle w:val="Standard"/>
      </w:pPr>
      <w:r>
        <w:t>A</w:t>
      </w:r>
      <w:r w:rsidR="00BC3794">
        <w:t>utomatic enrollment of residential customers in arrears</w:t>
      </w:r>
      <w:r w:rsidR="006E511C">
        <w:rPr>
          <w:rStyle w:val="FootnoteReference"/>
        </w:rPr>
        <w:footnoteReference w:id="25"/>
      </w:r>
      <w:r w:rsidR="00BC3794">
        <w:t xml:space="preserve"> into standardized payment plans</w:t>
      </w:r>
      <w:r>
        <w:t xml:space="preserve"> is</w:t>
      </w:r>
      <w:r w:rsidR="002D1219">
        <w:t xml:space="preserve"> </w:t>
      </w:r>
      <w:r>
        <w:t xml:space="preserve">the </w:t>
      </w:r>
      <w:r w:rsidR="00B36C07">
        <w:t xml:space="preserve">simplest, most direct, and likely </w:t>
      </w:r>
      <w:r w:rsidR="00FC05AB">
        <w:t xml:space="preserve">the </w:t>
      </w:r>
      <w:r w:rsidR="00B36C07">
        <w:t xml:space="preserve">most </w:t>
      </w:r>
      <w:r w:rsidR="00B36C07">
        <w:lastRenderedPageBreak/>
        <w:t>effective</w:t>
      </w:r>
      <w:r>
        <w:t xml:space="preserve"> </w:t>
      </w:r>
      <w:r w:rsidR="002D1219">
        <w:t>approach</w:t>
      </w:r>
      <w:r>
        <w:t xml:space="preserve"> </w:t>
      </w:r>
      <w:r w:rsidR="00FB06D8">
        <w:t xml:space="preserve">to assisting customers </w:t>
      </w:r>
      <w:r w:rsidR="00735E6F">
        <w:t xml:space="preserve">while </w:t>
      </w:r>
      <w:r>
        <w:t xml:space="preserve">waiting for external arrearage relief programs to </w:t>
      </w:r>
      <w:r w:rsidR="005624F4">
        <w:t>ramp up</w:t>
      </w:r>
      <w:r>
        <w:t xml:space="preserve">. </w:t>
      </w:r>
      <w:r w:rsidR="00297D8E">
        <w:t xml:space="preserve"> </w:t>
      </w:r>
      <w:r>
        <w:t xml:space="preserve">While </w:t>
      </w:r>
      <w:r w:rsidR="00EC0517">
        <w:t>there is a potential impact to cash flow</w:t>
      </w:r>
      <w:r>
        <w:t xml:space="preserve">, as noted by SCE, </w:t>
      </w:r>
      <w:r w:rsidR="00EC0517">
        <w:t xml:space="preserve">payment plans are </w:t>
      </w:r>
      <w:r w:rsidR="002D3382">
        <w:t>among the</w:t>
      </w:r>
      <w:r>
        <w:t xml:space="preserve"> least cost</w:t>
      </w:r>
      <w:r w:rsidR="00FC05AB">
        <w:t xml:space="preserve"> option</w:t>
      </w:r>
      <w:r w:rsidR="002D3382">
        <w:t>s</w:t>
      </w:r>
      <w:r w:rsidR="00EC0517">
        <w:t xml:space="preserve"> </w:t>
      </w:r>
      <w:r w:rsidR="007C67F9">
        <w:t xml:space="preserve">being </w:t>
      </w:r>
      <w:r w:rsidR="00EC0517">
        <w:t>considered</w:t>
      </w:r>
      <w:r>
        <w:t>.</w:t>
      </w:r>
      <w:r w:rsidR="000B558E">
        <w:t xml:space="preserve"> Removing the transaction costs associated with </w:t>
      </w:r>
      <w:r w:rsidR="00A86BC3">
        <w:t>the opt-in process also</w:t>
      </w:r>
      <w:r w:rsidR="000B558E">
        <w:t xml:space="preserve"> keeps costs down</w:t>
      </w:r>
      <w:r w:rsidR="00A86BC3">
        <w:t>, as does a flat and uniform term of 24 months.</w:t>
      </w:r>
      <w:r w:rsidR="00297D8E">
        <w:t xml:space="preserve"> </w:t>
      </w:r>
      <w:r w:rsidR="00A86BC3">
        <w:t xml:space="preserve"> </w:t>
      </w:r>
      <w:r w:rsidR="003F405E">
        <w:t>Additionally</w:t>
      </w:r>
      <w:r w:rsidR="00EC0517">
        <w:t xml:space="preserve">, </w:t>
      </w:r>
      <w:r w:rsidRPr="00EC0517" w:rsidR="00EC0517">
        <w:t xml:space="preserve">Resolutions </w:t>
      </w:r>
      <w:r w:rsidR="00EC0517">
        <w:t>M-4842</w:t>
      </w:r>
      <w:r w:rsidRPr="00EC0517" w:rsidR="00EC0517">
        <w:t xml:space="preserve"> and </w:t>
      </w:r>
      <w:r w:rsidR="00EC0517">
        <w:t>M-4849</w:t>
      </w:r>
      <w:r w:rsidRPr="00EC0517" w:rsidR="00EC0517">
        <w:t xml:space="preserve"> </w:t>
      </w:r>
      <w:r w:rsidR="00EC0517">
        <w:t>direct utilities to track</w:t>
      </w:r>
      <w:r w:rsidRPr="00EC0517" w:rsidR="00EC0517">
        <w:t xml:space="preserve"> </w:t>
      </w:r>
      <w:r w:rsidR="00EC0517">
        <w:t>expenses associated with the COVID-19 pandemic in</w:t>
      </w:r>
      <w:r w:rsidRPr="00EC0517" w:rsidR="00EC0517">
        <w:t xml:space="preserve"> memorandum accounts</w:t>
      </w:r>
      <w:r w:rsidR="00EC0517">
        <w:t>.</w:t>
      </w:r>
    </w:p>
    <w:p w:rsidR="00F274CD" w:rsidP="00BC3794" w:rsidRDefault="0059750B" w14:paraId="278AECEB" w14:textId="7FAAF786">
      <w:pPr>
        <w:pStyle w:val="Standard"/>
      </w:pPr>
      <w:r>
        <w:t xml:space="preserve">We suspend disconnections </w:t>
      </w:r>
      <w:r w:rsidR="00E447BB">
        <w:t xml:space="preserve">during a </w:t>
      </w:r>
      <w:r w:rsidR="008843BA">
        <w:t>three-month</w:t>
      </w:r>
      <w:r>
        <w:t xml:space="preserve"> implementation period to allow utilities to notify, enroll and educate customers on the terms of the plans, including </w:t>
      </w:r>
      <w:r w:rsidR="00D31E58">
        <w:t>that it is within the customer’s control to shorten or end the plan by increasing their payment</w:t>
      </w:r>
      <w:r>
        <w:t>. By September 30, 2021, all eligible residential customers must be automatically enrolled in “COVID-19 Relief Payment Plans</w:t>
      </w:r>
      <w:r w:rsidR="00D31E58">
        <w:t>,</w:t>
      </w:r>
      <w:r>
        <w:t>”</w:t>
      </w:r>
      <w:r w:rsidR="00D31E58">
        <w:t xml:space="preserve"> </w:t>
      </w:r>
      <w:r w:rsidR="001C4F16">
        <w:t>even if they are likely to receive relief</w:t>
      </w:r>
      <w:r w:rsidR="00AB3912">
        <w:t xml:space="preserve"> later</w:t>
      </w:r>
      <w:r w:rsidR="006A61BE">
        <w:t>.</w:t>
      </w:r>
      <w:r w:rsidR="006A61BE">
        <w:rPr>
          <w:rStyle w:val="FootnoteReference"/>
        </w:rPr>
        <w:footnoteReference w:id="26"/>
      </w:r>
      <w:r w:rsidR="006A61BE">
        <w:t xml:space="preserve"> The rules of the payment plans de facto defer disconnection at least two more months, until </w:t>
      </w:r>
      <w:r w:rsidR="003013FB">
        <w:t>December</w:t>
      </w:r>
      <w:r w:rsidR="006A61BE">
        <w:t xml:space="preserve"> 1, 2021, which gives even more time for the external funding to arrive.</w:t>
      </w:r>
    </w:p>
    <w:p w:rsidR="00A80A88" w:rsidP="00A80A88" w:rsidRDefault="004F1161" w14:paraId="06EF51F3" w14:textId="0867C91B">
      <w:pPr>
        <w:pStyle w:val="Standard"/>
      </w:pPr>
      <w:r>
        <w:t xml:space="preserve">The Commission’s </w:t>
      </w:r>
      <w:r w:rsidR="004B777A">
        <w:t>intent of</w:t>
      </w:r>
      <w:r w:rsidR="00876255">
        <w:t xml:space="preserve"> providing</w:t>
      </w:r>
      <w:r>
        <w:t xml:space="preserve"> a </w:t>
      </w:r>
      <w:r w:rsidR="00D31D22">
        <w:t xml:space="preserve">smooth </w:t>
      </w:r>
      <w:r>
        <w:t xml:space="preserve">transition, rather than a snap cut back to credit and collections policies </w:t>
      </w:r>
      <w:r w:rsidR="005C2656">
        <w:t>(</w:t>
      </w:r>
      <w:r>
        <w:t>including disconnection</w:t>
      </w:r>
      <w:r w:rsidR="005C2656">
        <w:t>)</w:t>
      </w:r>
      <w:r>
        <w:t xml:space="preserve">, </w:t>
      </w:r>
      <w:r w:rsidR="005C2656">
        <w:t xml:space="preserve">is </w:t>
      </w:r>
      <w:r w:rsidR="00297D8E">
        <w:t>achieved</w:t>
      </w:r>
      <w:r>
        <w:t xml:space="preserve"> by moving arrearages onto payment plans.</w:t>
      </w:r>
      <w:r w:rsidR="00297D8E">
        <w:t xml:space="preserve"> </w:t>
      </w:r>
      <w:r>
        <w:t xml:space="preserve"> The utilities</w:t>
      </w:r>
      <w:r w:rsidR="00CD593B">
        <w:t>’</w:t>
      </w:r>
      <w:r>
        <w:t xml:space="preserve"> Transition Plans filed in response to Resolution M-4849 did not offer meaningful gradual steps for customers to begin to address </w:t>
      </w:r>
      <w:r w:rsidR="00DF541B">
        <w:t xml:space="preserve">accumulated </w:t>
      </w:r>
      <w:r>
        <w:t xml:space="preserve">debt, with two notable exceptions. </w:t>
      </w:r>
      <w:r w:rsidR="00297D8E">
        <w:t xml:space="preserve"> </w:t>
      </w:r>
      <w:r>
        <w:t xml:space="preserve">Southwest Gas unilaterally moved their customers to payment </w:t>
      </w:r>
      <w:r>
        <w:lastRenderedPageBreak/>
        <w:t>plans</w:t>
      </w:r>
      <w:r w:rsidR="004F48B4">
        <w:rPr>
          <w:rStyle w:val="FootnoteReference"/>
        </w:rPr>
        <w:footnoteReference w:id="27"/>
      </w:r>
      <w:r>
        <w:t xml:space="preserve"> as described in Section 3.3 below. </w:t>
      </w:r>
      <w:r w:rsidR="00297D8E">
        <w:t xml:space="preserve"> </w:t>
      </w:r>
      <w:r>
        <w:t xml:space="preserve">Southwest Gas’ transition also provides customers </w:t>
      </w:r>
      <w:r w:rsidR="00E938DE">
        <w:t xml:space="preserve">impacted by COVID-19 </w:t>
      </w:r>
      <w:r>
        <w:t>an “opt-in” method of extending their disconnection moratorium.</w:t>
      </w:r>
      <w:r w:rsidR="00297D8E">
        <w:t xml:space="preserve"> </w:t>
      </w:r>
      <w:r w:rsidR="00D6557D">
        <w:t xml:space="preserve"> </w:t>
      </w:r>
      <w:r>
        <w:t>This is the meaning of transition.</w:t>
      </w:r>
      <w:r w:rsidR="00297D8E">
        <w:t xml:space="preserve"> </w:t>
      </w:r>
      <w:r>
        <w:t xml:space="preserve"> Additionally, </w:t>
      </w:r>
      <w:r w:rsidR="005204D0">
        <w:t>SCE</w:t>
      </w:r>
      <w:r>
        <w:t xml:space="preserve"> identifies a</w:t>
      </w:r>
      <w:r w:rsidR="005204D0">
        <w:t xml:space="preserve"> </w:t>
      </w:r>
      <w:r w:rsidR="00D6557D">
        <w:t xml:space="preserve">gradual </w:t>
      </w:r>
      <w:r>
        <w:t xml:space="preserve">ramp-up </w:t>
      </w:r>
      <w:r w:rsidR="00D6557D">
        <w:t>of disconnections</w:t>
      </w:r>
      <w:r>
        <w:t xml:space="preserve"> in their Transition Plan.</w:t>
      </w:r>
      <w:r w:rsidR="008025BF">
        <w:t xml:space="preserve"> </w:t>
      </w:r>
      <w:r>
        <w:t xml:space="preserve"> Rather than disconnect</w:t>
      </w:r>
      <w:r w:rsidR="00773296">
        <w:t xml:space="preserve"> levels</w:t>
      </w:r>
      <w:r>
        <w:t xml:space="preserve"> immediately returning to the </w:t>
      </w:r>
      <w:r w:rsidR="000E1B08">
        <w:t xml:space="preserve">maximum allowed under the </w:t>
      </w:r>
      <w:r>
        <w:t>new monthly cap, SCE plans to disconnect fewer customers than permitted by the monthly cap, gradually increasing over a period of months</w:t>
      </w:r>
      <w:r w:rsidR="00D6557D">
        <w:t xml:space="preserve"> until reaching their monthly </w:t>
      </w:r>
      <w:r w:rsidR="00104815">
        <w:t xml:space="preserve">disconnection </w:t>
      </w:r>
      <w:r w:rsidR="00D6557D">
        <w:t>cap</w:t>
      </w:r>
      <w:r>
        <w:t xml:space="preserve">. </w:t>
      </w:r>
      <w:r w:rsidR="008025BF">
        <w:t xml:space="preserve"> </w:t>
      </w:r>
      <w:r>
        <w:t>The other</w:t>
      </w:r>
      <w:r w:rsidR="001879FD">
        <w:t xml:space="preserve"> energy utilities </w:t>
      </w:r>
      <w:r w:rsidR="005204D0">
        <w:t xml:space="preserve">do </w:t>
      </w:r>
      <w:r w:rsidR="00A24071">
        <w:t xml:space="preserve">not </w:t>
      </w:r>
      <w:r w:rsidR="0013419D">
        <w:t>propose much</w:t>
      </w:r>
      <w:r w:rsidR="005204D0">
        <w:t xml:space="preserve"> phas</w:t>
      </w:r>
      <w:r w:rsidR="0013419D">
        <w:t>ing in</w:t>
      </w:r>
      <w:r w:rsidR="005204D0">
        <w:t xml:space="preserve"> their </w:t>
      </w:r>
      <w:r w:rsidR="0013419D">
        <w:t>transition plans</w:t>
      </w:r>
      <w:r w:rsidR="005204D0">
        <w:t xml:space="preserve">, </w:t>
      </w:r>
      <w:r w:rsidR="0013419D">
        <w:t>instead</w:t>
      </w:r>
      <w:r w:rsidR="005204D0">
        <w:t xml:space="preserve"> </w:t>
      </w:r>
      <w:r>
        <w:t>relying on extra and more frequent notification to customers as their primary means of returning to</w:t>
      </w:r>
      <w:r w:rsidR="0013419D">
        <w:t xml:space="preserve"> t</w:t>
      </w:r>
      <w:r w:rsidR="006C6D7D">
        <w:t>ypical</w:t>
      </w:r>
      <w:r w:rsidR="0013419D">
        <w:t xml:space="preserve"> </w:t>
      </w:r>
      <w:r>
        <w:t xml:space="preserve">credit and collection </w:t>
      </w:r>
      <w:r w:rsidR="0013419D">
        <w:t>timelines</w:t>
      </w:r>
      <w:r w:rsidR="001879FD">
        <w:t>.</w:t>
      </w:r>
      <w:r w:rsidR="008025BF">
        <w:t xml:space="preserve"> </w:t>
      </w:r>
      <w:r w:rsidR="001879FD">
        <w:t xml:space="preserve"> </w:t>
      </w:r>
      <w:r w:rsidR="00A80A88">
        <w:t xml:space="preserve">Automatic payment plans provide customers a gradual and potentially more manageable path to address arrearages. </w:t>
      </w:r>
    </w:p>
    <w:p w:rsidR="00F041A7" w:rsidP="00A80A88" w:rsidRDefault="00A80A88" w14:paraId="76D785E7" w14:textId="504387F7">
      <w:pPr>
        <w:pStyle w:val="Standard"/>
      </w:pPr>
      <w:r>
        <w:t xml:space="preserve"> </w:t>
      </w:r>
      <w:r w:rsidR="00B063D4">
        <w:t xml:space="preserve">“COVID-19 Relief Payment Plans” are a temporary program and </w:t>
      </w:r>
      <w:r>
        <w:t xml:space="preserve">do not conflict or interfere </w:t>
      </w:r>
      <w:r w:rsidR="00494608">
        <w:t xml:space="preserve">with </w:t>
      </w:r>
      <w:r w:rsidR="00F041A7">
        <w:t>or super</w:t>
      </w:r>
      <w:r w:rsidR="007A4CC9">
        <w:t>s</w:t>
      </w:r>
      <w:r w:rsidR="00F041A7">
        <w:t>ede</w:t>
      </w:r>
      <w:r>
        <w:t xml:space="preserve"> any other assistance program</w:t>
      </w:r>
      <w:r w:rsidR="00B063D4">
        <w:t xml:space="preserve"> or payment plan customers have already chosen or want to choose</w:t>
      </w:r>
      <w:r>
        <w:t xml:space="preserve">. </w:t>
      </w:r>
      <w:r w:rsidR="004F07CC">
        <w:t xml:space="preserve"> </w:t>
      </w:r>
      <w:r>
        <w:t xml:space="preserve">Specifically, customers may enroll in the AMP program according to the AMP rules, </w:t>
      </w:r>
      <w:r w:rsidR="00B063D4">
        <w:t>a different payment plan or payment schedule, or onto a Net Energy Metering (NEM) tariff</w:t>
      </w:r>
      <w:r w:rsidR="00F041A7">
        <w:t xml:space="preserve">, before, </w:t>
      </w:r>
      <w:r w:rsidR="00B017B7">
        <w:t xml:space="preserve">in lieu of, </w:t>
      </w:r>
      <w:r w:rsidR="00F041A7">
        <w:t xml:space="preserve"> or after their “COVID-19 Relief Payment Plan.”</w:t>
      </w:r>
      <w:r w:rsidR="00B063D4">
        <w:t xml:space="preserve"> Customers already enrolled in existing programs or plans will not be </w:t>
      </w:r>
      <w:r w:rsidR="00F041A7">
        <w:t>automatically transferred from their chosen program into</w:t>
      </w:r>
      <w:r w:rsidR="00B063D4">
        <w:t xml:space="preserve"> “COVID-19 Relief Payment Plans.”</w:t>
      </w:r>
      <w:r w:rsidR="00B063D4">
        <w:rPr>
          <w:rStyle w:val="FootnoteReference"/>
        </w:rPr>
        <w:footnoteReference w:id="28"/>
      </w:r>
      <w:r w:rsidR="00B063D4">
        <w:t xml:space="preserve"> </w:t>
      </w:r>
      <w:r w:rsidR="00F041A7">
        <w:t>As long as</w:t>
      </w:r>
      <w:r w:rsidR="00E447BB">
        <w:t xml:space="preserve"> </w:t>
      </w:r>
      <w:r w:rsidR="00E447BB">
        <w:lastRenderedPageBreak/>
        <w:t xml:space="preserve">customers have already made choices that fit their needs and </w:t>
      </w:r>
      <w:r w:rsidR="00F041A7">
        <w:t xml:space="preserve">address their debt, </w:t>
      </w:r>
      <w:r w:rsidR="00E447BB">
        <w:t xml:space="preserve">there is no reason to interfere with their arrangements. </w:t>
      </w:r>
    </w:p>
    <w:p w:rsidR="00F041A7" w:rsidP="00A80A88" w:rsidRDefault="00F041A7" w14:paraId="06CD25B7" w14:textId="6BE85E27">
      <w:pPr>
        <w:pStyle w:val="Standard"/>
      </w:pPr>
      <w:r>
        <w:t>However</w:t>
      </w:r>
      <w:r w:rsidR="00E447BB">
        <w:t xml:space="preserve">, </w:t>
      </w:r>
      <w:r>
        <w:t>customers enrolled in other programs or plans likely made</w:t>
      </w:r>
      <w:r w:rsidR="00E447BB">
        <w:t xml:space="preserve"> their </w:t>
      </w:r>
      <w:r>
        <w:t>decision when amortization terms of 24 months were not widely on offer</w:t>
      </w:r>
      <w:r w:rsidR="00E447BB">
        <w:t xml:space="preserve">. Several parties requested that </w:t>
      </w:r>
      <w:r>
        <w:t xml:space="preserve">automatic enrollment into </w:t>
      </w:r>
      <w:r w:rsidR="00E447BB">
        <w:t xml:space="preserve">“COVID-19 Relief Payment Plan” be </w:t>
      </w:r>
      <w:r>
        <w:t>a one time-event</w:t>
      </w:r>
      <w:r w:rsidR="00E447BB">
        <w:t xml:space="preserve">. </w:t>
      </w:r>
      <w:r>
        <w:t>In the spirit of fairness, w</w:t>
      </w:r>
      <w:r w:rsidR="00E447BB">
        <w:t>e clarify that “COVID-19 Relief Payment Plans</w:t>
      </w:r>
      <w:r w:rsidR="00616A40">
        <w:t>”</w:t>
      </w:r>
      <w:r w:rsidR="00E447BB">
        <w:t xml:space="preserve"> are available </w:t>
      </w:r>
      <w:r w:rsidR="00E20696">
        <w:t>only on</w:t>
      </w:r>
      <w:r w:rsidR="00CE44CC">
        <w:t>ce</w:t>
      </w:r>
      <w:r w:rsidR="00E20696">
        <w:t xml:space="preserve"> per customer</w:t>
      </w:r>
      <w:r>
        <w:t xml:space="preserve"> b</w:t>
      </w:r>
      <w:r w:rsidR="00E20696">
        <w:t xml:space="preserve">etween July 2021 and September 2022. Should customers enrolled in other programs conclude or be removed from </w:t>
      </w:r>
      <w:r w:rsidR="00CE44CC">
        <w:t>other</w:t>
      </w:r>
      <w:r w:rsidR="00E20696">
        <w:t xml:space="preserve"> program</w:t>
      </w:r>
      <w:r w:rsidR="00CE44CC">
        <w:t>s</w:t>
      </w:r>
      <w:r w:rsidR="00E20696">
        <w:t xml:space="preserve"> and still have arrearages 60 days or older, they will be automatically enrolled in a “COVID-19 Relief Payment Plan” once. </w:t>
      </w:r>
    </w:p>
    <w:p w:rsidR="00A80A88" w:rsidP="00A80A88" w:rsidRDefault="004C463C" w14:paraId="26278942" w14:textId="2360A204">
      <w:pPr>
        <w:pStyle w:val="Standard"/>
      </w:pPr>
      <w:r>
        <w:t>O</w:t>
      </w:r>
      <w:r w:rsidR="00A80A88">
        <w:t>ther customer assistance and relief programs, such as CARE/FERA, LIHEAP</w:t>
      </w:r>
      <w:r>
        <w:t>,</w:t>
      </w:r>
      <w:r w:rsidR="00A80A88">
        <w:t>ERAP</w:t>
      </w:r>
      <w:r>
        <w:t>, and the disconnection protections</w:t>
      </w:r>
      <w:r w:rsidR="00D059B0">
        <w:rPr>
          <w:rStyle w:val="FootnoteReference"/>
        </w:rPr>
        <w:footnoteReference w:id="29"/>
      </w:r>
      <w:r>
        <w:t xml:space="preserve"> that will become effective only when the disconnection moratorium is over, can and should work</w:t>
      </w:r>
      <w:r w:rsidR="00A80A88">
        <w:t xml:space="preserve"> concurrent</w:t>
      </w:r>
      <w:r>
        <w:t>ly with “COVID-19 Relief Payment Plans” for greater customer benefit.</w:t>
      </w:r>
      <w:r w:rsidR="00A80A88">
        <w:t xml:space="preserve"> </w:t>
      </w:r>
      <w:r>
        <w:t>Specifically</w:t>
      </w:r>
      <w:r w:rsidR="00E20696">
        <w:t xml:space="preserve">, the new </w:t>
      </w:r>
      <w:r w:rsidR="00D059B0">
        <w:t>requirement for</w:t>
      </w:r>
      <w:r w:rsidR="00B063D4">
        <w:t xml:space="preserve"> IOUs to offer customer a 12-month payment plan as an alternative to disconnection</w:t>
      </w:r>
      <w:r w:rsidR="00D059B0">
        <w:t xml:space="preserve"> will occur after a customer is removed from a “COVID-19 Relief Payment Plan,” to the benefit of the customer.</w:t>
      </w:r>
    </w:p>
    <w:p w:rsidR="001879FD" w:rsidP="00A80A88" w:rsidRDefault="00A80A88" w14:paraId="63DF8A8C" w14:textId="4D342AD3">
      <w:pPr>
        <w:pStyle w:val="Standard"/>
      </w:pPr>
      <w:r>
        <w:t xml:space="preserve">In considering </w:t>
      </w:r>
      <w:r w:rsidR="00D143AF">
        <w:t>the value of automatic enrollment rather than an opt-in model</w:t>
      </w:r>
      <w:r>
        <w:t xml:space="preserve">, we took into account other opt-in programs designed to help customers address their arrearages.  </w:t>
      </w:r>
      <w:r w:rsidR="00DB4448">
        <w:t>While</w:t>
      </w:r>
      <w:r w:rsidR="001879FD">
        <w:t xml:space="preserve"> AMP</w:t>
      </w:r>
      <w:r w:rsidR="00DB4448">
        <w:t xml:space="preserve"> only began </w:t>
      </w:r>
      <w:r w:rsidR="00E54D1B">
        <w:t xml:space="preserve">on </w:t>
      </w:r>
      <w:r w:rsidR="00DB4448">
        <w:t>February 1</w:t>
      </w:r>
      <w:r w:rsidR="001879FD">
        <w:t>,</w:t>
      </w:r>
      <w:r w:rsidR="00DB4448">
        <w:t xml:space="preserve"> 2020, it appears </w:t>
      </w:r>
      <w:r w:rsidR="00DB4448">
        <w:lastRenderedPageBreak/>
        <w:t xml:space="preserve">to have gotten off to a slow start. </w:t>
      </w:r>
      <w:r w:rsidR="004F07CC">
        <w:t xml:space="preserve"> </w:t>
      </w:r>
      <w:r w:rsidR="00DB4448">
        <w:t>If AMP,</w:t>
      </w:r>
      <w:r w:rsidR="001879FD">
        <w:t xml:space="preserve"> which </w:t>
      </w:r>
      <w:r w:rsidR="00DB4448">
        <w:t>includes a forgiveness element,</w:t>
      </w:r>
      <w:r w:rsidR="00945215">
        <w:rPr>
          <w:rStyle w:val="FootnoteReference"/>
        </w:rPr>
        <w:footnoteReference w:id="30"/>
      </w:r>
      <w:r w:rsidR="00DB4448">
        <w:t xml:space="preserve"> has slow uptake under an opt-in enrollment rule, it is reasonable to expect payment plan enrollment to be even slower. </w:t>
      </w:r>
      <w:r w:rsidR="008025BF">
        <w:t xml:space="preserve"> </w:t>
      </w:r>
      <w:r w:rsidR="00DB4448">
        <w:t>M</w:t>
      </w:r>
      <w:r w:rsidR="002060DD">
        <w:t xml:space="preserve">aking payment plan </w:t>
      </w:r>
      <w:r w:rsidR="00073C2F">
        <w:t xml:space="preserve">participation contingent </w:t>
      </w:r>
      <w:r w:rsidR="002060DD">
        <w:t>upon customer request</w:t>
      </w:r>
      <w:r w:rsidR="0018658C">
        <w:t xml:space="preserve"> is likely to</w:t>
      </w:r>
      <w:r w:rsidR="00E953F6">
        <w:t xml:space="preserve"> </w:t>
      </w:r>
      <w:r w:rsidR="0018658C">
        <w:t xml:space="preserve">leave </w:t>
      </w:r>
      <w:r w:rsidR="00E54D1B">
        <w:t>a significant number of</w:t>
      </w:r>
      <w:r w:rsidR="0018658C">
        <w:t xml:space="preserve"> customers out</w:t>
      </w:r>
      <w:r w:rsidR="001E4A0E">
        <w:t xml:space="preserve"> for </w:t>
      </w:r>
      <w:r w:rsidR="00E54D1B">
        <w:t>a significant period of time</w:t>
      </w:r>
      <w:r w:rsidR="00E953F6">
        <w:t>.</w:t>
      </w:r>
      <w:r w:rsidR="008025BF">
        <w:t xml:space="preserve"> </w:t>
      </w:r>
      <w:r w:rsidR="00E953F6">
        <w:t xml:space="preserve"> </w:t>
      </w:r>
      <w:r w:rsidR="008D615D">
        <w:t>In addition</w:t>
      </w:r>
      <w:r w:rsidR="00C80245">
        <w:t xml:space="preserve">, customers </w:t>
      </w:r>
      <w:r w:rsidR="002F785A">
        <w:t>may</w:t>
      </w:r>
      <w:r w:rsidR="00C80245">
        <w:t xml:space="preserve"> have to make </w:t>
      </w:r>
      <w:r w:rsidR="002F785A">
        <w:t>call to adjust or renegotiate terms</w:t>
      </w:r>
      <w:r w:rsidR="00C80245">
        <w:t xml:space="preserve"> beyond just initiating a payment plan.</w:t>
      </w:r>
      <w:r w:rsidR="00775643">
        <w:rPr>
          <w:rStyle w:val="FootnoteReference"/>
        </w:rPr>
        <w:footnoteReference w:id="31"/>
      </w:r>
      <w:r w:rsidR="00C80245">
        <w:t xml:space="preserve"> </w:t>
      </w:r>
      <w:r w:rsidR="008025BF">
        <w:t xml:space="preserve"> </w:t>
      </w:r>
      <w:r w:rsidR="00826023">
        <w:t xml:space="preserve">Based on the </w:t>
      </w:r>
      <w:r w:rsidR="008F33F8">
        <w:t xml:space="preserve">experience with </w:t>
      </w:r>
      <w:r w:rsidR="00826023">
        <w:t>ERAP,</w:t>
      </w:r>
      <w:r w:rsidR="008F33F8">
        <w:rPr>
          <w:rStyle w:val="FootnoteReference"/>
        </w:rPr>
        <w:footnoteReference w:id="32"/>
      </w:r>
      <w:r w:rsidR="00826023">
        <w:t xml:space="preserve"> c</w:t>
      </w:r>
      <w:r w:rsidR="00E953F6">
        <w:t xml:space="preserve">ustomers </w:t>
      </w:r>
      <w:r w:rsidR="00476E4C">
        <w:t xml:space="preserve">should </w:t>
      </w:r>
      <w:r w:rsidR="00C11BE6">
        <w:t>dedicate their time towards</w:t>
      </w:r>
      <w:r w:rsidR="00476E4C">
        <w:t xml:space="preserve"> the extra</w:t>
      </w:r>
      <w:r w:rsidR="00E953F6">
        <w:t xml:space="preserve"> steps </w:t>
      </w:r>
      <w:r w:rsidR="00476E4C">
        <w:t xml:space="preserve">they are likely to be asked to take </w:t>
      </w:r>
      <w:r w:rsidR="005C405D">
        <w:t>to qualify for</w:t>
      </w:r>
      <w:r w:rsidR="00476E4C">
        <w:t xml:space="preserve"> external relief programs.</w:t>
      </w:r>
      <w:r w:rsidR="00E953F6">
        <w:t xml:space="preserve"> </w:t>
      </w:r>
    </w:p>
    <w:p w:rsidR="001879FD" w:rsidP="00BC3794" w:rsidRDefault="00BC0E82" w14:paraId="3879A8C2" w14:textId="5EDAE28F">
      <w:pPr>
        <w:pStyle w:val="Standard"/>
      </w:pPr>
      <w:r>
        <w:t xml:space="preserve">We do not share </w:t>
      </w:r>
      <w:r w:rsidR="00204F00">
        <w:t>p</w:t>
      </w:r>
      <w:r w:rsidR="008D23A3">
        <w:t>arty concerns</w:t>
      </w:r>
      <w:r w:rsidR="001879FD">
        <w:t xml:space="preserve"> that customers will lose flexibility, choice and buy-in</w:t>
      </w:r>
      <w:r w:rsidR="008D23A3">
        <w:t xml:space="preserve"> </w:t>
      </w:r>
      <w:r w:rsidR="00C80245">
        <w:t>if they are automatically enrolled</w:t>
      </w:r>
      <w:r>
        <w:t>.</w:t>
      </w:r>
      <w:r w:rsidR="001879FD">
        <w:t xml:space="preserve"> </w:t>
      </w:r>
      <w:r w:rsidR="008025BF">
        <w:t xml:space="preserve"> </w:t>
      </w:r>
      <w:r w:rsidR="004D2FC1">
        <w:t xml:space="preserve">Being required to pay 1/24 of debt rather than </w:t>
      </w:r>
      <w:r w:rsidR="00DB5715">
        <w:t>all outstanding</w:t>
      </w:r>
      <w:r w:rsidR="00915BE2">
        <w:t xml:space="preserve"> debt to maintain energy service</w:t>
      </w:r>
      <w:r w:rsidR="004D2FC1">
        <w:t xml:space="preserve"> </w:t>
      </w:r>
      <w:r>
        <w:t xml:space="preserve">does not remove basic </w:t>
      </w:r>
      <w:r w:rsidR="001B4974">
        <w:t xml:space="preserve">customer </w:t>
      </w:r>
      <w:r w:rsidR="00204F00">
        <w:t>choice</w:t>
      </w:r>
      <w:r w:rsidR="00024E26">
        <w:t xml:space="preserve">, </w:t>
      </w:r>
      <w:r>
        <w:t xml:space="preserve">just as </w:t>
      </w:r>
      <w:r w:rsidR="00024E26">
        <w:t xml:space="preserve">a </w:t>
      </w:r>
      <w:r w:rsidR="004D2FC1">
        <w:t xml:space="preserve">disconnection moratorium </w:t>
      </w:r>
      <w:r>
        <w:t>does not remove</w:t>
      </w:r>
      <w:r w:rsidR="004D2FC1">
        <w:t xml:space="preserve"> customer choice.</w:t>
      </w:r>
      <w:r w:rsidR="001B4974">
        <w:t xml:space="preserve"> </w:t>
      </w:r>
      <w:r w:rsidR="008025BF">
        <w:t xml:space="preserve"> </w:t>
      </w:r>
      <w:r w:rsidR="008843BA">
        <w:t>The implementation period allows three months before any automatic enrollment must occur, which provides time for utilities to work to overcome any confusion they believe the “COVID-19 Relief Payment Plans” will cause. Regarding certain utilit</w:t>
      </w:r>
      <w:r w:rsidR="00BC647B">
        <w:t>y</w:t>
      </w:r>
      <w:r w:rsidR="008843BA">
        <w:t xml:space="preserve"> arguments that automatic enrollment removes customer agency, we point to the disconnection moratorium as evidence to the contrary. </w:t>
      </w:r>
      <w:r w:rsidR="00617932">
        <w:t xml:space="preserve">The </w:t>
      </w:r>
      <w:r w:rsidR="00C11BE6">
        <w:t xml:space="preserve">overwhelming </w:t>
      </w:r>
      <w:r w:rsidR="00617932">
        <w:t xml:space="preserve">majority of customers during COVID-19 are not in arrears, despite having been offered a “free pass” to defer utility bill payments. </w:t>
      </w:r>
      <w:r w:rsidR="008025BF">
        <w:t xml:space="preserve"> </w:t>
      </w:r>
      <w:r w:rsidR="00617932">
        <w:t xml:space="preserve">Even during a disconnection moratorium, the majority of customers exercised </w:t>
      </w:r>
      <w:r w:rsidR="00617932">
        <w:lastRenderedPageBreak/>
        <w:t>their flexibility and choice to pay their utility bills on time and in full. We are convinced that</w:t>
      </w:r>
      <w:r w:rsidR="00A76E6B">
        <w:t xml:space="preserve"> customer</w:t>
      </w:r>
      <w:r w:rsidR="00617932">
        <w:t xml:space="preserve">s required to pay 1/24 of their debt, rather than the full amount, will similarly be able to decide whether it is in their interest to accelerate payments. </w:t>
      </w:r>
      <w:r w:rsidR="008025BF">
        <w:t xml:space="preserve"> </w:t>
      </w:r>
      <w:r w:rsidR="00617932">
        <w:t>Automatic enrollment gives a customer more, not less</w:t>
      </w:r>
      <w:r w:rsidR="00D9027C">
        <w:t>,</w:t>
      </w:r>
      <w:r w:rsidR="00A76E6B">
        <w:t xml:space="preserve"> </w:t>
      </w:r>
      <w:r w:rsidR="007E14CF">
        <w:t>agency</w:t>
      </w:r>
      <w:r w:rsidR="00A76E6B">
        <w:t xml:space="preserve"> </w:t>
      </w:r>
      <w:r w:rsidR="00282155">
        <w:t>to decide at what pace they can best manage the debt</w:t>
      </w:r>
      <w:r w:rsidR="00A27F3C">
        <w:t>.</w:t>
      </w:r>
    </w:p>
    <w:p w:rsidR="00D96316" w:rsidP="0098653B" w:rsidRDefault="00F150D3" w14:paraId="7C81A35B" w14:textId="4DFC464E">
      <w:pPr>
        <w:pStyle w:val="Standard"/>
      </w:pPr>
      <w:r>
        <w:t xml:space="preserve">Parties objecting to automatic enrollment </w:t>
      </w:r>
      <w:r w:rsidR="004B27D9">
        <w:t xml:space="preserve">assert that they want </w:t>
      </w:r>
      <w:r>
        <w:t>to maintain their ability to customize payment plan terms based on conversations with their customers.</w:t>
      </w:r>
      <w:r w:rsidR="008025BF">
        <w:t xml:space="preserve"> </w:t>
      </w:r>
      <w:r>
        <w:t xml:space="preserve"> From the utility’s perspective, this may be a reasonable approach, but it is unclear that this approach is reasonable for customers. </w:t>
      </w:r>
      <w:r w:rsidR="008025BF">
        <w:t xml:space="preserve"> </w:t>
      </w:r>
      <w:r>
        <w:t>Customized payment plans have been the default approach prior to COVID</w:t>
      </w:r>
      <w:r w:rsidR="002F785A">
        <w:t>-19</w:t>
      </w:r>
      <w:r>
        <w:t xml:space="preserve">. </w:t>
      </w:r>
      <w:r w:rsidR="008025BF">
        <w:t xml:space="preserve"> </w:t>
      </w:r>
      <w:r>
        <w:t>The low “keep” rates of payment plans in the years prior to COVID-19 are not compelling</w:t>
      </w:r>
      <w:r w:rsidR="005C31EB">
        <w:t xml:space="preserve"> arguments</w:t>
      </w:r>
      <w:r>
        <w:t xml:space="preserve"> that customized pay</w:t>
      </w:r>
      <w:r w:rsidR="00C11BE6">
        <w:t>ment</w:t>
      </w:r>
      <w:r>
        <w:t xml:space="preserve"> plans result in better outcomes.</w:t>
      </w:r>
      <w:r w:rsidR="00DD399A">
        <w:rPr>
          <w:rStyle w:val="FootnoteReference"/>
        </w:rPr>
        <w:footnoteReference w:id="33"/>
      </w:r>
      <w:r w:rsidR="008025BF">
        <w:t xml:space="preserve"> </w:t>
      </w:r>
      <w:r>
        <w:t xml:space="preserve"> Other parties </w:t>
      </w:r>
      <w:r w:rsidR="0096349A">
        <w:t>suggest</w:t>
      </w:r>
      <w:r>
        <w:t xml:space="preserve"> that “working with the utility” to pay off debt may </w:t>
      </w:r>
      <w:r w:rsidR="005C31EB">
        <w:t xml:space="preserve">create </w:t>
      </w:r>
      <w:r>
        <w:t xml:space="preserve">barriers for ESJ communities, and it is better to err on the side of reducing barriers. </w:t>
      </w:r>
      <w:r w:rsidR="008025BF">
        <w:t xml:space="preserve"> </w:t>
      </w:r>
      <w:r>
        <w:t xml:space="preserve">Low-income and vulnerable communities may have experience with debt management other than utility debt, perhaps credit card debt or home loan debt. </w:t>
      </w:r>
    </w:p>
    <w:p w:rsidR="00BC3794" w:rsidP="0098653B" w:rsidRDefault="00F150D3" w14:paraId="0AE121B2" w14:textId="06BC4291">
      <w:pPr>
        <w:pStyle w:val="Standard"/>
      </w:pPr>
      <w:r>
        <w:t xml:space="preserve">From the customer perspective, it is reasonable to expect some aversion to initiating the call to the entity to whom </w:t>
      </w:r>
      <w:r w:rsidR="0098653B">
        <w:t xml:space="preserve">debt </w:t>
      </w:r>
      <w:r>
        <w:t>is owed</w:t>
      </w:r>
      <w:r w:rsidR="007444E0">
        <w:t>.</w:t>
      </w:r>
      <w:r w:rsidR="0098653B">
        <w:t xml:space="preserve"> </w:t>
      </w:r>
      <w:r w:rsidR="008025BF">
        <w:t xml:space="preserve"> </w:t>
      </w:r>
      <w:r w:rsidR="007444E0">
        <w:t xml:space="preserve">Recovery from COVID-19 is not the time to require a customer to take the initiative. </w:t>
      </w:r>
      <w:r w:rsidR="008025BF">
        <w:t xml:space="preserve"> </w:t>
      </w:r>
      <w:r w:rsidR="007444E0">
        <w:t xml:space="preserve">Even if it were, </w:t>
      </w:r>
      <w:r w:rsidR="00F10F76">
        <w:t xml:space="preserve">as emphasized by TURN, </w:t>
      </w:r>
      <w:r w:rsidR="007444E0">
        <w:t xml:space="preserve">the </w:t>
      </w:r>
      <w:r w:rsidR="00F10F76">
        <w:t xml:space="preserve">sheer </w:t>
      </w:r>
      <w:r w:rsidR="007444E0">
        <w:t xml:space="preserve">number of customers in arrears makes </w:t>
      </w:r>
      <w:r w:rsidR="00F10F76">
        <w:t>individual conversations with customers infeasible.</w:t>
      </w:r>
      <w:r w:rsidR="00F10F76">
        <w:rPr>
          <w:rStyle w:val="FootnoteReference"/>
        </w:rPr>
        <w:footnoteReference w:id="34"/>
      </w:r>
      <w:r w:rsidR="00F10F76">
        <w:t xml:space="preserve"> </w:t>
      </w:r>
      <w:r w:rsidR="008025BF">
        <w:t xml:space="preserve"> </w:t>
      </w:r>
      <w:r w:rsidR="00F10F76">
        <w:t>While it is un</w:t>
      </w:r>
      <w:r w:rsidR="007444E0">
        <w:t xml:space="preserve">likely that Customer Service Representatives will be able to devote much time to </w:t>
      </w:r>
      <w:r w:rsidR="007444E0">
        <w:lastRenderedPageBreak/>
        <w:t>customizing arrangements for each caller</w:t>
      </w:r>
      <w:r w:rsidR="00F10F76">
        <w:t xml:space="preserve"> at the outset, automatically enrolling customers</w:t>
      </w:r>
      <w:r w:rsidR="00727440">
        <w:t xml:space="preserve"> should reduce</w:t>
      </w:r>
      <w:r w:rsidR="00F10F76">
        <w:t xml:space="preserve"> the number</w:t>
      </w:r>
      <w:r w:rsidR="00727440">
        <w:t xml:space="preserve"> of customers</w:t>
      </w:r>
      <w:r w:rsidR="00F10F76">
        <w:t xml:space="preserve"> call</w:t>
      </w:r>
      <w:r w:rsidR="00727440">
        <w:t>ing utility representatives.</w:t>
      </w:r>
      <w:r w:rsidR="008025BF">
        <w:t xml:space="preserve"> </w:t>
      </w:r>
      <w:r w:rsidR="00727440">
        <w:t xml:space="preserve"> Rather, </w:t>
      </w:r>
      <w:r w:rsidR="00F10F76">
        <w:t xml:space="preserve">utility representative </w:t>
      </w:r>
      <w:r w:rsidR="00727440">
        <w:t>can spend time with customers when customers call to</w:t>
      </w:r>
      <w:r w:rsidR="00F10F76">
        <w:t xml:space="preserve"> </w:t>
      </w:r>
      <w:r w:rsidR="00A7754F">
        <w:t>ask questions</w:t>
      </w:r>
      <w:r w:rsidR="00F10F76">
        <w:t xml:space="preserve"> or renegotiate</w:t>
      </w:r>
      <w:r w:rsidR="00727440">
        <w:t xml:space="preserve"> plans</w:t>
      </w:r>
      <w:r w:rsidR="00F10F76">
        <w:t>.</w:t>
      </w:r>
    </w:p>
    <w:p w:rsidR="00E24BCD" w:rsidP="00204F00" w:rsidRDefault="000611C0" w14:paraId="2ED1C8C6" w14:textId="15343B58">
      <w:pPr>
        <w:pStyle w:val="Standard"/>
      </w:pPr>
      <w:r>
        <w:t>Automatic enrollment meets the goal of reaching all those eligible</w:t>
      </w:r>
      <w:r w:rsidR="00413AA6">
        <w:t xml:space="preserve"> for relief</w:t>
      </w:r>
      <w:r>
        <w:t>, with a priority on ESJ or DAC or hard-to-reach or non-English speaking or medical baseline</w:t>
      </w:r>
      <w:r w:rsidR="00EC4A8F">
        <w:t xml:space="preserve"> customers</w:t>
      </w:r>
      <w:r>
        <w:t xml:space="preserve">. </w:t>
      </w:r>
      <w:r w:rsidR="008025BF">
        <w:t xml:space="preserve"> </w:t>
      </w:r>
      <w:r>
        <w:t xml:space="preserve">LCJA/CEJA/Greenlining argued that reaching the hardest-to-reach necessitates inclusive criteria. </w:t>
      </w:r>
      <w:r w:rsidR="008025BF">
        <w:t xml:space="preserve"> </w:t>
      </w:r>
      <w:r>
        <w:t xml:space="preserve">We agree that casting a wider net, especially for a relief program that is the lowest cost of many of the options, is the best choice. </w:t>
      </w:r>
      <w:r w:rsidR="00A6597C">
        <w:t xml:space="preserve"> </w:t>
      </w:r>
      <w:r>
        <w:t xml:space="preserve">While automatic enrollment </w:t>
      </w:r>
      <w:r w:rsidR="00E24BCD">
        <w:t>surmounts the barrier of initiation</w:t>
      </w:r>
      <w:r>
        <w:t xml:space="preserve">, it may not </w:t>
      </w:r>
      <w:r w:rsidR="00E24BCD">
        <w:t>surmount the barrier of understanding the new arrangement, and that disconnection is again a consequence of nonpayment within just a few bill cycles.</w:t>
      </w:r>
      <w:r w:rsidR="00C230E4">
        <w:t xml:space="preserve"> </w:t>
      </w:r>
      <w:r w:rsidR="006428DA">
        <w:t xml:space="preserve"> </w:t>
      </w:r>
      <w:r w:rsidR="00C230E4">
        <w:t xml:space="preserve">In Section 5, we mandate </w:t>
      </w:r>
      <w:r w:rsidR="0034382E">
        <w:t>additional outreach with the intention of assisting communities that may need guidance and support with payment plans even once automatically en</w:t>
      </w:r>
      <w:r w:rsidR="00827DDE">
        <w:t>roll</w:t>
      </w:r>
      <w:r w:rsidR="0034382E">
        <w:t>ed.</w:t>
      </w:r>
    </w:p>
    <w:p w:rsidR="0004115F" w:rsidP="00BC3794" w:rsidRDefault="00F274CD" w14:paraId="332C9EB3" w14:textId="7F1C2898">
      <w:pPr>
        <w:pStyle w:val="Standard"/>
      </w:pPr>
      <w:r>
        <w:t xml:space="preserve">Setting the </w:t>
      </w:r>
      <w:r w:rsidR="001B2E6F">
        <w:t xml:space="preserve">eligibility </w:t>
      </w:r>
      <w:r>
        <w:t>threshold by age of arrears</w:t>
      </w:r>
      <w:r w:rsidR="00E24BCD">
        <w:t xml:space="preserve"> is appropriate because it allows</w:t>
      </w:r>
      <w:r>
        <w:t xml:space="preserve"> the program to scale </w:t>
      </w:r>
      <w:r w:rsidR="006D44CE">
        <w:t>to each utility’s rates and each customer’s consumption and bills</w:t>
      </w:r>
      <w:r>
        <w:t>.</w:t>
      </w:r>
      <w:r w:rsidR="00A6597C">
        <w:t xml:space="preserve"> </w:t>
      </w:r>
      <w:r>
        <w:t xml:space="preserve"> </w:t>
      </w:r>
      <w:r w:rsidR="008843BA">
        <w:t>A</w:t>
      </w:r>
      <w:r w:rsidR="00830D1F">
        <w:t xml:space="preserve">ny customer with arrearages </w:t>
      </w:r>
      <w:r w:rsidR="00E8394A">
        <w:t>6</w:t>
      </w:r>
      <w:r w:rsidR="00830D1F">
        <w:t xml:space="preserve">0 days or older </w:t>
      </w:r>
      <w:r w:rsidR="008843BA">
        <w:t>meets the</w:t>
      </w:r>
      <w:r w:rsidR="009D5572">
        <w:t xml:space="preserve"> </w:t>
      </w:r>
      <w:r w:rsidR="008843BA">
        <w:t>threshold for enrollment in a “COVID-19 Relief Payment Plan</w:t>
      </w:r>
      <w:r w:rsidR="009D5572">
        <w:t>.</w:t>
      </w:r>
      <w:r w:rsidR="008843BA">
        <w:t>”</w:t>
      </w:r>
      <w:r w:rsidR="008843BA">
        <w:rPr>
          <w:rStyle w:val="FootnoteReference"/>
        </w:rPr>
        <w:footnoteReference w:id="35"/>
      </w:r>
      <w:r w:rsidR="00830D1F">
        <w:t xml:space="preserve"> </w:t>
      </w:r>
      <w:r w:rsidR="00A6597C">
        <w:t xml:space="preserve"> </w:t>
      </w:r>
      <w:r w:rsidR="00830D1F">
        <w:t xml:space="preserve">An age threshold better reflects differences among utility rates and fuels than </w:t>
      </w:r>
      <w:r w:rsidR="002217C2">
        <w:t>does a dollar threshold.</w:t>
      </w:r>
      <w:r w:rsidR="00A6597C">
        <w:t xml:space="preserve"> </w:t>
      </w:r>
      <w:r w:rsidR="00830D1F">
        <w:t xml:space="preserve"> </w:t>
      </w:r>
      <w:r w:rsidR="00E8394A">
        <w:t xml:space="preserve">Sixty days is the appropriate cutoff </w:t>
      </w:r>
      <w:r w:rsidR="003414A9">
        <w:t>as it captures most arrearages</w:t>
      </w:r>
      <w:r w:rsidR="001B2E6F">
        <w:t>. Including arrearages less than 60 days past</w:t>
      </w:r>
      <w:r w:rsidR="00FB1C1A">
        <w:t xml:space="preserve"> </w:t>
      </w:r>
      <w:r w:rsidR="001B2E6F">
        <w:t>due</w:t>
      </w:r>
      <w:r w:rsidR="003414A9">
        <w:t xml:space="preserve"> </w:t>
      </w:r>
      <w:r w:rsidR="001B2E6F">
        <w:t>may capture unpaid amounts due to customers’ payment lag.</w:t>
      </w:r>
      <w:r w:rsidR="003414A9">
        <w:t xml:space="preserve"> </w:t>
      </w:r>
    </w:p>
    <w:p w:rsidR="002217C2" w:rsidP="00BC3794" w:rsidRDefault="00F7320A" w14:paraId="2BAC6385" w14:textId="6DC8AA66">
      <w:pPr>
        <w:pStyle w:val="Standard"/>
      </w:pPr>
      <w:r>
        <w:lastRenderedPageBreak/>
        <w:t>T</w:t>
      </w:r>
      <w:r w:rsidR="008843BA">
        <w:t xml:space="preserve">he 60 day or older threshold </w:t>
      </w:r>
      <w:r>
        <w:t>is for eligibility purposes, but all arrearages</w:t>
      </w:r>
      <w:r>
        <w:rPr>
          <w:rStyle w:val="FootnoteReference"/>
        </w:rPr>
        <w:footnoteReference w:id="36"/>
      </w:r>
      <w:r>
        <w:t xml:space="preserve"> of the eligible customer </w:t>
      </w:r>
      <w:r w:rsidR="008843BA">
        <w:t xml:space="preserve">shall be amortized. </w:t>
      </w:r>
      <w:r w:rsidR="002F785A">
        <w:t>A</w:t>
      </w:r>
      <w:r w:rsidR="00636690">
        <w:t>rrearages that existed prior to March</w:t>
      </w:r>
      <w:r w:rsidR="00A6597C">
        <w:t> </w:t>
      </w:r>
      <w:r w:rsidR="00636690">
        <w:t>4,</w:t>
      </w:r>
      <w:r w:rsidR="00A6597C">
        <w:t> </w:t>
      </w:r>
      <w:r w:rsidR="00636690">
        <w:t>2020, the beginning of COVID-19</w:t>
      </w:r>
      <w:r w:rsidR="002F785A">
        <w:t xml:space="preserve">, shall </w:t>
      </w:r>
      <w:r>
        <w:t xml:space="preserve">also </w:t>
      </w:r>
      <w:r w:rsidR="002F785A">
        <w:t>be included in “COVID-19 Relief Payment Plans</w:t>
      </w:r>
      <w:r w:rsidR="00636690">
        <w:t>.</w:t>
      </w:r>
      <w:r w:rsidR="002F785A">
        <w:t>”</w:t>
      </w:r>
      <w:r w:rsidR="00A6597C">
        <w:t xml:space="preserve"> </w:t>
      </w:r>
      <w:r w:rsidR="00636690">
        <w:t xml:space="preserve"> </w:t>
      </w:r>
      <w:r w:rsidR="0004115F">
        <w:t>For the same reasons we adopt a standard and inclu</w:t>
      </w:r>
      <w:r w:rsidR="00576108">
        <w:t>sive</w:t>
      </w:r>
      <w:r w:rsidR="0004115F">
        <w:t xml:space="preserve"> approach to payment plans, including arrearages that existed prior to COVID-19 is appropriate. </w:t>
      </w:r>
      <w:r w:rsidR="00A6597C">
        <w:t xml:space="preserve"> </w:t>
      </w:r>
      <w:r w:rsidR="0004115F">
        <w:t>We minimize the number of variations and rules in this relief mechanism.</w:t>
      </w:r>
      <w:r w:rsidR="00A6597C">
        <w:t xml:space="preserve"> </w:t>
      </w:r>
      <w:r w:rsidR="0004115F">
        <w:t xml:space="preserve"> Customers behind on their bills prior to COVID-19 may be able to benefit the most from the extended time frame, if their prior arrearages were compounded by COVID-19 and the disconnection moratorium. </w:t>
      </w:r>
    </w:p>
    <w:p w:rsidR="00830D1F" w:rsidP="00BC3794" w:rsidRDefault="00830D1F" w14:paraId="6B875F2C" w14:textId="30D39228">
      <w:pPr>
        <w:pStyle w:val="Standard"/>
      </w:pPr>
      <w:r>
        <w:t xml:space="preserve">We agree with TURN’s recommendation that payment behavior on prior payment plans should not be a criterion for “COVID-19 Relief Payment Plan.” We also agree with CASMU that participation in </w:t>
      </w:r>
      <w:r w:rsidR="00A26CAA">
        <w:t xml:space="preserve">some </w:t>
      </w:r>
      <w:r>
        <w:t xml:space="preserve">other arrearage relief programs should not </w:t>
      </w:r>
      <w:r w:rsidR="00A26CAA">
        <w:t xml:space="preserve">necessarily disqualify customers from participation </w:t>
      </w:r>
      <w:r>
        <w:t>in</w:t>
      </w:r>
      <w:r w:rsidR="00A26CAA">
        <w:t xml:space="preserve"> a</w:t>
      </w:r>
      <w:r>
        <w:t xml:space="preserve"> </w:t>
      </w:r>
      <w:r w:rsidR="00A26CAA">
        <w:t xml:space="preserve">  </w:t>
      </w:r>
      <w:r w:rsidR="00B77584">
        <w:t>“</w:t>
      </w:r>
      <w:r>
        <w:t>COVID-19 Relief Payment Plan.”</w:t>
      </w:r>
      <w:r w:rsidR="006428DA">
        <w:t xml:space="preserve"> </w:t>
      </w:r>
      <w:r w:rsidR="002F785A">
        <w:t xml:space="preserve"> As </w:t>
      </w:r>
      <w:r w:rsidR="00F7320A">
        <w:t xml:space="preserve">discussed previously in this section, as </w:t>
      </w:r>
      <w:r w:rsidR="002F785A">
        <w:t xml:space="preserve">long as </w:t>
      </w:r>
      <w:r w:rsidR="000F7127">
        <w:t>other</w:t>
      </w:r>
      <w:r w:rsidR="002F785A">
        <w:t xml:space="preserve"> program rules do not conflict with </w:t>
      </w:r>
      <w:r w:rsidR="000F7127">
        <w:t>participation in a payment plan</w:t>
      </w:r>
      <w:r w:rsidR="002F785A">
        <w:t xml:space="preserve">, customers should be </w:t>
      </w:r>
      <w:r w:rsidR="000F7127">
        <w:t>encouraged</w:t>
      </w:r>
      <w:r w:rsidR="002F785A">
        <w:t xml:space="preserve"> to maximize available relief and participate concurrently.</w:t>
      </w:r>
      <w:r w:rsidR="000F7127">
        <w:rPr>
          <w:rStyle w:val="FootnoteReference"/>
        </w:rPr>
        <w:footnoteReference w:id="37"/>
      </w:r>
      <w:r w:rsidR="000F7127">
        <w:t xml:space="preserve"> </w:t>
      </w:r>
    </w:p>
    <w:p w:rsidR="00B77584" w:rsidP="00B77584" w:rsidRDefault="00B77584" w14:paraId="1A9B37F2" w14:textId="0A88D47A">
      <w:pPr>
        <w:pStyle w:val="Standard"/>
      </w:pPr>
      <w:r>
        <w:t xml:space="preserve">Regarding the number of times a customer may fail to make payments before being removed from the payment plan, we permit two waivers for missing payments before the customer is removed from the payment plan. </w:t>
      </w:r>
      <w:r w:rsidR="00A6597C">
        <w:t xml:space="preserve"> </w:t>
      </w:r>
      <w:r w:rsidR="000F7127">
        <w:t xml:space="preserve">Permitting </w:t>
      </w:r>
      <w:r>
        <w:t xml:space="preserve">two waivers </w:t>
      </w:r>
      <w:r w:rsidR="000F7127">
        <w:t>is</w:t>
      </w:r>
      <w:r>
        <w:t xml:space="preserve"> consistent with the AMP program</w:t>
      </w:r>
      <w:r w:rsidR="000F7127">
        <w:t xml:space="preserve"> rules.</w:t>
      </w:r>
      <w:r>
        <w:t xml:space="preserve"> </w:t>
      </w:r>
      <w:r w:rsidR="006428DA">
        <w:t xml:space="preserve"> </w:t>
      </w:r>
      <w:r w:rsidR="000F7127">
        <w:t>F</w:t>
      </w:r>
      <w:r>
        <w:t xml:space="preserve">or simplicity’s sake we do not import </w:t>
      </w:r>
      <w:r w:rsidR="00220081">
        <w:t>additional AMP parameters, such as</w:t>
      </w:r>
      <w:r>
        <w:t xml:space="preserve"> </w:t>
      </w:r>
      <w:r>
        <w:lastRenderedPageBreak/>
        <w:t>customer</w:t>
      </w:r>
      <w:r w:rsidR="00220081">
        <w:t>s’</w:t>
      </w:r>
      <w:r>
        <w:t xml:space="preserve"> misse</w:t>
      </w:r>
      <w:r w:rsidR="00220081">
        <w:t>d payment</w:t>
      </w:r>
      <w:r>
        <w:t xml:space="preserve">s cannot be consecutive and that customers must make up </w:t>
      </w:r>
      <w:r w:rsidR="00A6254F">
        <w:t xml:space="preserve">the missed amount </w:t>
      </w:r>
      <w:r>
        <w:t xml:space="preserve">in the following month. </w:t>
      </w:r>
      <w:r w:rsidR="00A6597C">
        <w:t xml:space="preserve"> </w:t>
      </w:r>
      <w:r w:rsidR="003C2FE7">
        <w:t xml:space="preserve">For simplicity’s sake we also import each utility’s rules for when a payment plan is missed, since the concept of payment plans is not new. </w:t>
      </w:r>
      <w:r>
        <w:t>Since the “COVID-19 Relief Payment Plan” is automatic, it must remain as simple</w:t>
      </w:r>
      <w:r w:rsidR="003C2FE7">
        <w:t xml:space="preserve"> and consistent with existing utility rules</w:t>
      </w:r>
      <w:r>
        <w:t xml:space="preserve"> as possible.</w:t>
      </w:r>
      <w:r w:rsidR="007B7B7F">
        <w:t xml:space="preserve">  </w:t>
      </w:r>
    </w:p>
    <w:p w:rsidR="00E971AE" w:rsidP="00E971AE" w:rsidRDefault="00E971AE" w14:paraId="490F5320" w14:textId="764E5689">
      <w:pPr>
        <w:pStyle w:val="Heading2"/>
      </w:pPr>
      <w:bookmarkStart w:name="_Toc75258947" w:id="30"/>
      <w:r>
        <w:t>S</w:t>
      </w:r>
      <w:r w:rsidR="00FA2A46">
        <w:t>mall</w:t>
      </w:r>
      <w:r>
        <w:t xml:space="preserve"> </w:t>
      </w:r>
      <w:r w:rsidR="003C2FE7">
        <w:t xml:space="preserve">Electric </w:t>
      </w:r>
      <w:r w:rsidR="00E51DF8">
        <w:t xml:space="preserve">Residential </w:t>
      </w:r>
      <w:r>
        <w:t>Customers</w:t>
      </w:r>
      <w:bookmarkEnd w:id="30"/>
    </w:p>
    <w:p w:rsidRPr="006F5FF5" w:rsidR="00194812" w:rsidP="00194812" w:rsidRDefault="00730563" w14:paraId="09FCC6F3" w14:textId="6FEB127F">
      <w:pPr>
        <w:pStyle w:val="Standard"/>
      </w:pPr>
      <w:r>
        <w:t xml:space="preserve">As detailed below, </w:t>
      </w:r>
      <w:r w:rsidR="00194812">
        <w:t xml:space="preserve">SMJU customers have significant arrearages and merit the relief that automatic enrollment in payment plans provide. </w:t>
      </w:r>
      <w:r w:rsidR="00A6597C">
        <w:t xml:space="preserve"> </w:t>
      </w:r>
      <w:r w:rsidR="00194812">
        <w:t xml:space="preserve">To give SMJUs flexibility on the terms that are best suited for their customers, they may choose </w:t>
      </w:r>
      <w:r w:rsidR="005B3911">
        <w:t>to amortize their residential customer arrearages over a 12-month term</w:t>
      </w:r>
      <w:r w:rsidR="00EB2363">
        <w:t xml:space="preserve"> </w:t>
      </w:r>
      <w:r w:rsidR="00194812">
        <w:t xml:space="preserve">or </w:t>
      </w:r>
      <w:r w:rsidR="005B3911">
        <w:t xml:space="preserve">adhere to </w:t>
      </w:r>
      <w:r w:rsidR="00194812">
        <w:t>the IOU model we direct in Section 3.2.</w:t>
      </w:r>
    </w:p>
    <w:p w:rsidR="002A1D8F" w:rsidP="00FC1221" w:rsidRDefault="00340E0E" w14:paraId="20BEC707" w14:textId="3BA79843">
      <w:pPr>
        <w:pStyle w:val="Standard"/>
      </w:pPr>
      <w:r>
        <w:t xml:space="preserve">Without the relief ordered today, </w:t>
      </w:r>
      <w:r w:rsidR="00C538AE">
        <w:t xml:space="preserve">SMJU </w:t>
      </w:r>
      <w:r w:rsidR="00F87D40">
        <w:t xml:space="preserve">electric </w:t>
      </w:r>
      <w:r w:rsidR="00C538AE">
        <w:t>customers</w:t>
      </w:r>
      <w:r>
        <w:t xml:space="preserve"> would be exposed to balloon payments and disconnection on June 30, 2021. Small electric utilities offer fewer assistance programs, have low numbers of customers in payment plans, and would issue</w:t>
      </w:r>
      <w:r w:rsidR="00981375">
        <w:t xml:space="preserve"> disconnection </w:t>
      </w:r>
      <w:r w:rsidR="006C54E8">
        <w:t>notices</w:t>
      </w:r>
      <w:r>
        <w:t xml:space="preserve"> </w:t>
      </w:r>
      <w:r w:rsidR="00981375">
        <w:t>within</w:t>
      </w:r>
      <w:r w:rsidR="006C54E8">
        <w:t xml:space="preserve"> days of June 30, 2021.</w:t>
      </w:r>
      <w:r w:rsidR="00F23ACB">
        <w:rPr>
          <w:rStyle w:val="FootnoteReference"/>
        </w:rPr>
        <w:footnoteReference w:id="38"/>
      </w:r>
      <w:r w:rsidR="00FA0220">
        <w:t xml:space="preserve"> There is no</w:t>
      </w:r>
      <w:r w:rsidR="00C538AE">
        <w:t xml:space="preserve"> AMP</w:t>
      </w:r>
      <w:r w:rsidR="004B19B1">
        <w:t xml:space="preserve"> for customers of SMJUs.</w:t>
      </w:r>
      <w:r w:rsidR="00BD7FC4">
        <w:rPr>
          <w:rStyle w:val="FootnoteReference"/>
        </w:rPr>
        <w:footnoteReference w:id="39"/>
      </w:r>
      <w:r w:rsidR="00C538AE">
        <w:t xml:space="preserve"> </w:t>
      </w:r>
      <w:r w:rsidR="004B19B1">
        <w:t xml:space="preserve">Small electric utilities failed to facilitate external bill relief through ERAP, the first of several anticipated COVID-19 utility bill relief programs. Two months after Commission direction to facilitate the receipt of ERAP funds, the small electric utilities had yet to do so, and ignored Commission direction to report ERAP progress. </w:t>
      </w:r>
      <w:r w:rsidR="003E43D3">
        <w:t xml:space="preserve">By their own </w:t>
      </w:r>
      <w:r w:rsidR="003E43D3">
        <w:lastRenderedPageBreak/>
        <w:t>admission, Bear Valley’s approach to ERAP was sluggish,</w:t>
      </w:r>
      <w:r w:rsidR="003E43D3">
        <w:rPr>
          <w:rStyle w:val="FootnoteReference"/>
        </w:rPr>
        <w:footnoteReference w:id="40"/>
      </w:r>
      <w:r w:rsidR="003E43D3">
        <w:t xml:space="preserve"> and PacifiCorp</w:t>
      </w:r>
      <w:r w:rsidR="005B7A99">
        <w:rPr>
          <w:rStyle w:val="FootnoteReference"/>
        </w:rPr>
        <w:footnoteReference w:id="41"/>
      </w:r>
      <w:r w:rsidR="003E43D3">
        <w:t xml:space="preserve"> and CalPeco</w:t>
      </w:r>
      <w:r w:rsidR="007B6652">
        <w:t xml:space="preserve"> Electric</w:t>
      </w:r>
      <w:r w:rsidR="008F33E9">
        <w:rPr>
          <w:rStyle w:val="FootnoteReference"/>
        </w:rPr>
        <w:footnoteReference w:id="42"/>
      </w:r>
      <w:r w:rsidR="003E43D3">
        <w:t xml:space="preserve"> </w:t>
      </w:r>
      <w:r w:rsidR="008F33E9">
        <w:t>were similarly unprepared even after successive direction from the Commission,</w:t>
      </w:r>
      <w:r w:rsidR="008F33E9">
        <w:rPr>
          <w:rStyle w:val="FootnoteReference"/>
        </w:rPr>
        <w:footnoteReference w:id="43"/>
      </w:r>
      <w:r w:rsidR="008F33E9">
        <w:t xml:space="preserve"> </w:t>
      </w:r>
      <w:r w:rsidR="00C538AE">
        <w:t xml:space="preserve">which heightens </w:t>
      </w:r>
      <w:r w:rsidR="004D085B">
        <w:t xml:space="preserve">the need to </w:t>
      </w:r>
      <w:r w:rsidR="00C538AE">
        <w:t>automatic</w:t>
      </w:r>
      <w:r w:rsidR="004D085B">
        <w:t>ally place SMJU customers in arrear</w:t>
      </w:r>
      <w:r w:rsidR="005A290B">
        <w:t>s</w:t>
      </w:r>
      <w:r w:rsidR="004D085B">
        <w:t xml:space="preserve"> in</w:t>
      </w:r>
      <w:r w:rsidR="006A21EF">
        <w:t xml:space="preserve"> </w:t>
      </w:r>
      <w:r w:rsidR="004D085B">
        <w:t>”COVID</w:t>
      </w:r>
      <w:r w:rsidR="00A6597C">
        <w:noBreakHyphen/>
      </w:r>
      <w:r w:rsidR="004D085B">
        <w:t>19 Relief Payment Plans.”</w:t>
      </w:r>
      <w:r w:rsidR="00C538AE">
        <w:t xml:space="preserve"> </w:t>
      </w:r>
      <w:r w:rsidR="00A6597C">
        <w:t xml:space="preserve"> </w:t>
      </w:r>
    </w:p>
    <w:p w:rsidR="006C31C0" w:rsidP="00FC1221" w:rsidRDefault="00AB2459" w14:paraId="688D996C" w14:textId="77777777">
      <w:pPr>
        <w:pStyle w:val="Standard"/>
      </w:pPr>
      <w:r>
        <w:t xml:space="preserve">Small electric utilities </w:t>
      </w:r>
      <w:r w:rsidR="0053406B">
        <w:t>assert the</w:t>
      </w:r>
      <w:r w:rsidR="0016215D">
        <w:t xml:space="preserve">y lack the resources to perform automatic enrollment of customers into “COVID-19 Relief Payment Plans,” and lack resources to field </w:t>
      </w:r>
      <w:r w:rsidR="00E40FD2">
        <w:t xml:space="preserve">inquiries and requests from customers prompted by the automatic enrollment. Such assertions are irreconcilable with </w:t>
      </w:r>
      <w:r w:rsidR="005D5CA8">
        <w:t>the</w:t>
      </w:r>
      <w:r w:rsidR="00E40FD2">
        <w:t xml:space="preserve"> small electric utilities</w:t>
      </w:r>
      <w:r w:rsidR="005D5CA8">
        <w:t xml:space="preserve">’ </w:t>
      </w:r>
      <w:r w:rsidR="00460FF9">
        <w:t>descriptions of resources already devoted</w:t>
      </w:r>
      <w:r w:rsidR="005D5CA8">
        <w:t xml:space="preserve"> to helping customers impacted during the pandemic</w:t>
      </w:r>
      <w:r w:rsidR="00E40FD2">
        <w:t xml:space="preserve">. </w:t>
      </w:r>
      <w:r w:rsidR="005D5CA8">
        <w:t>“The CASMU member</w:t>
      </w:r>
      <w:r w:rsidR="006F4D25">
        <w:t>s</w:t>
      </w:r>
      <w:r w:rsidR="005D5CA8">
        <w:t xml:space="preserve"> also strive to provide customers assistance and reduce and avoid disconnections by actively engaging in significant outreach to customers facing financial hardship, customers in arrears, and customers who have missed payment plan payments.”</w:t>
      </w:r>
      <w:r w:rsidR="005D5CA8">
        <w:rPr>
          <w:rStyle w:val="FootnoteReference"/>
        </w:rPr>
        <w:footnoteReference w:id="44"/>
      </w:r>
      <w:r w:rsidR="005D5CA8">
        <w:t xml:space="preserve"> </w:t>
      </w:r>
      <w:r w:rsidR="00E40FD2">
        <w:t xml:space="preserve">Bear Valley </w:t>
      </w:r>
      <w:r w:rsidR="005D5CA8">
        <w:t>p</w:t>
      </w:r>
      <w:r w:rsidR="006214EB">
        <w:t>roposes</w:t>
      </w:r>
      <w:r w:rsidR="005D5CA8">
        <w:t xml:space="preserve"> </w:t>
      </w:r>
      <w:r w:rsidR="00E40FD2">
        <w:t>“reaching out to customers with arrearages past 90 days to inquire if they would like to enroll in a payment plan,”</w:t>
      </w:r>
      <w:r w:rsidR="00651589">
        <w:rPr>
          <w:rStyle w:val="FootnoteReference"/>
        </w:rPr>
        <w:footnoteReference w:id="45"/>
      </w:r>
      <w:r w:rsidR="00E40FD2">
        <w:t xml:space="preserve"> </w:t>
      </w:r>
      <w:r w:rsidR="00D376E8">
        <w:t>and</w:t>
      </w:r>
      <w:r w:rsidR="00E40FD2">
        <w:t xml:space="preserve"> </w:t>
      </w:r>
      <w:r w:rsidR="005D5CA8">
        <w:t xml:space="preserve">PacifiCorp </w:t>
      </w:r>
      <w:r w:rsidR="00651589">
        <w:t>“will individually reach out to each customer that has a delinquent bill as of the Disconnection Policy Resumption Date and will offer an opportunity to participate in extended payment plan arrangements</w:t>
      </w:r>
      <w:r w:rsidR="00EF43F6">
        <w:t>.</w:t>
      </w:r>
      <w:r w:rsidR="00651589">
        <w:t>”</w:t>
      </w:r>
      <w:r w:rsidR="00651589">
        <w:rPr>
          <w:rStyle w:val="FootnoteReference"/>
        </w:rPr>
        <w:footnoteReference w:id="46"/>
      </w:r>
      <w:r w:rsidR="0016215D">
        <w:t xml:space="preserve"> </w:t>
      </w:r>
    </w:p>
    <w:p w:rsidR="003E5EA5" w:rsidP="00FC1221" w:rsidRDefault="003E5EA5" w14:paraId="33ECB77B" w14:textId="433F8A7C">
      <w:pPr>
        <w:pStyle w:val="Standard"/>
      </w:pPr>
      <w:r>
        <w:lastRenderedPageBreak/>
        <w:t xml:space="preserve">We have no reason to doubt the CASMU assertion that automatic enrollment of customers with COVID-19 arrearages will be incredibly burdensome for the utilities. </w:t>
      </w:r>
      <w:r w:rsidR="006C31C0">
        <w:t>However, b</w:t>
      </w:r>
      <w:r>
        <w:t xml:space="preserve">etween the data showing a handful of customers in payment plans currently, and their </w:t>
      </w:r>
      <w:r w:rsidR="006C20A4">
        <w:t>poor demonstration of connecting customers with relief through ERAP</w:t>
      </w:r>
      <w:r>
        <w:t>, we doubt CASMU’s argument that automatic enrollment “is unlikely to meaningfully assist customers and could increase burdens for customers, by increasing payments under payment plans and requiring additional unnecessary coordination with utilities.”</w:t>
      </w:r>
      <w:r w:rsidR="006C20A4">
        <w:rPr>
          <w:rStyle w:val="FootnoteReference"/>
        </w:rPr>
        <w:footnoteReference w:id="47"/>
      </w:r>
      <w:r w:rsidR="006C20A4">
        <w:t xml:space="preserve"> We find an automatic offering to customers a superior strategy than the uneven customer outreach demonstrated by the small electric utilities. The need for a broad-based</w:t>
      </w:r>
      <w:r w:rsidR="00460FF9">
        <w:t>,</w:t>
      </w:r>
      <w:r w:rsidR="006C20A4">
        <w:t xml:space="preserve"> long amortization period outweighs the burden to the small electric utilities to implement this offering. </w:t>
      </w:r>
    </w:p>
    <w:p w:rsidR="00187CAD" w:rsidP="00FC1221" w:rsidRDefault="00CA7148" w14:paraId="564515E4" w14:textId="77777777">
      <w:pPr>
        <w:pStyle w:val="Standard"/>
      </w:pPr>
      <w:r>
        <w:t>Based on the</w:t>
      </w:r>
      <w:r w:rsidR="006C20A4">
        <w:t xml:space="preserve"> small electric utilities’ preference </w:t>
      </w:r>
      <w:r w:rsidR="00460FF9">
        <w:t xml:space="preserve">to offer a </w:t>
      </w:r>
      <w:r w:rsidR="006C20A4">
        <w:t>12-month amortization term</w:t>
      </w:r>
      <w:r w:rsidR="00460FF9">
        <w:t>, instead of the</w:t>
      </w:r>
      <w:r w:rsidR="006C20A4">
        <w:t xml:space="preserve"> 8-month term</w:t>
      </w:r>
      <w:r w:rsidR="00460FF9">
        <w:t xml:space="preserve"> utilized by Southwest Gas</w:t>
      </w:r>
      <w:r>
        <w:t xml:space="preserve">, we </w:t>
      </w:r>
      <w:r w:rsidR="003A1289">
        <w:t>authorize</w:t>
      </w:r>
      <w:r>
        <w:t xml:space="preserve"> small electric utilities to choose a 12 or 24-month term plan in which to default enroll eligible customers</w:t>
      </w:r>
      <w:r w:rsidR="00460FF9">
        <w:t xml:space="preserve">. </w:t>
      </w:r>
      <w:r w:rsidR="00187CAD">
        <w:t xml:space="preserve">It is reasonable to allow the small electric utilities to choose a shorter amortization timeframe for arrearages, as their average arrearages per customers are lower than IOU average arrearages per customer.  </w:t>
      </w:r>
    </w:p>
    <w:p w:rsidR="003A1289" w:rsidP="00FC1221" w:rsidRDefault="00187CAD" w14:paraId="6ED23DC2" w14:textId="75CB8093">
      <w:pPr>
        <w:pStyle w:val="Standard"/>
      </w:pPr>
      <w:r>
        <w:t xml:space="preserve">Though we adopt the small electric utilities’ preference for a 12-month amortization term, we do so because it is less effort for the customer to begin with a longer term and shorten the term at their discretion. While </w:t>
      </w:r>
      <w:r w:rsidR="00460FF9">
        <w:t xml:space="preserve">the small electric utilities assert </w:t>
      </w:r>
      <w:r>
        <w:t xml:space="preserve">typical term lengths are </w:t>
      </w:r>
      <w:r w:rsidR="00460FF9">
        <w:t>twelve months</w:t>
      </w:r>
      <w:r>
        <w:t xml:space="preserve">, the small electric utilities’ </w:t>
      </w:r>
      <w:r w:rsidR="00460FF9">
        <w:t>Transition</w:t>
      </w:r>
      <w:r w:rsidR="003A1289">
        <w:t xml:space="preserve"> Plans, in which Bear Valley intends to offer customers “up to </w:t>
      </w:r>
      <w:r w:rsidR="003A1289">
        <w:lastRenderedPageBreak/>
        <w:t>12 months” for payment plans, and CalPeco Electric identifies eighteen customers total on payment plans of 6 months or longer</w:t>
      </w:r>
      <w:r>
        <w:t>, do not support such assertions</w:t>
      </w:r>
      <w:r w:rsidR="006C20A4">
        <w:t>.</w:t>
      </w:r>
      <w:r w:rsidR="006C20A4">
        <w:rPr>
          <w:rStyle w:val="FootnoteReference"/>
        </w:rPr>
        <w:footnoteReference w:id="48"/>
      </w:r>
      <w:r w:rsidR="003A1289">
        <w:t xml:space="preserve"> </w:t>
      </w:r>
    </w:p>
    <w:p w:rsidR="005A2445" w:rsidP="00394D6D" w:rsidRDefault="00050C29" w14:paraId="376B632E" w14:textId="77777777">
      <w:pPr>
        <w:pStyle w:val="Standard"/>
      </w:pPr>
      <w:r>
        <w:t>The same requirements to suspend disconnections</w:t>
      </w:r>
      <w:r w:rsidR="009F6618">
        <w:t xml:space="preserve"> through September 30, 2021, allowing for</w:t>
      </w:r>
      <w:r>
        <w:t xml:space="preserve"> three </w:t>
      </w:r>
      <w:r w:rsidR="009F6618">
        <w:t>months to implement and enroll customers in “COVID-19 Relief Payment Plans” apply to small electric utilities</w:t>
      </w:r>
      <w:r>
        <w:t xml:space="preserve"> as well as IOUs. Three months will afford small electric utilities time to shift resources as necessary to perform the automatic enrollments and notify customers of their associated options. Furthermore, the same requirements for eligibility, that a customer have arrearages 60 days old and not be enrolled in any other alternative payment structure or plan apply to small electric utilities. </w:t>
      </w:r>
    </w:p>
    <w:p w:rsidR="00E603A3" w:rsidP="00394D6D" w:rsidRDefault="00050C29" w14:paraId="72A52F7B" w14:textId="6F189FD9">
      <w:pPr>
        <w:pStyle w:val="Standard"/>
      </w:pPr>
      <w:r>
        <w:t xml:space="preserve">Because “COVID-19 Relief Payment Plans” are essentially a contingency for customers who have not already made their own arrangements, the small </w:t>
      </w:r>
      <w:r w:rsidR="009F6618">
        <w:t xml:space="preserve">electric </w:t>
      </w:r>
      <w:r>
        <w:t>utilities</w:t>
      </w:r>
      <w:r w:rsidR="009F6618">
        <w:t>’</w:t>
      </w:r>
      <w:r>
        <w:t xml:space="preserve"> concerns that </w:t>
      </w:r>
      <w:r w:rsidR="009F6618">
        <w:t>automatic enrollment</w:t>
      </w:r>
      <w:r>
        <w:t xml:space="preserve"> interfere</w:t>
      </w:r>
      <w:r w:rsidR="009F6618">
        <w:t>s</w:t>
      </w:r>
      <w:r>
        <w:t xml:space="preserve"> with</w:t>
      </w:r>
      <w:r w:rsidR="009F6618">
        <w:t>,</w:t>
      </w:r>
      <w:r>
        <w:t xml:space="preserve"> or compromise</w:t>
      </w:r>
      <w:r w:rsidR="009F6618">
        <w:t>s</w:t>
      </w:r>
      <w:r>
        <w:t xml:space="preserve"> their existing </w:t>
      </w:r>
      <w:r w:rsidR="009F6618">
        <w:t>offers</w:t>
      </w:r>
      <w:r>
        <w:t xml:space="preserve"> are not applicable. The small electric utilities</w:t>
      </w:r>
      <w:r w:rsidR="009F6618">
        <w:t xml:space="preserve"> specified </w:t>
      </w:r>
      <w:r>
        <w:t xml:space="preserve">aggressive outreach efforts were to occur before the resumption of disconnection protocols, which would have begun July 1, 2021 absent this decision. To the extent they have already engaged customers in payment arrangements, </w:t>
      </w:r>
      <w:r w:rsidR="003C644F">
        <w:t>these</w:t>
      </w:r>
      <w:r>
        <w:t xml:space="preserve"> customers </w:t>
      </w:r>
      <w:r w:rsidR="003C644F">
        <w:t>will remain in</w:t>
      </w:r>
      <w:r>
        <w:t xml:space="preserve"> their </w:t>
      </w:r>
      <w:r w:rsidR="003C644F">
        <w:t>chosen</w:t>
      </w:r>
      <w:r>
        <w:t xml:space="preserve"> payment arrangement</w:t>
      </w:r>
      <w:r w:rsidR="003C644F">
        <w:t xml:space="preserve"> and will not be defaulted into a “COVID-19 Relief Payment Plan</w:t>
      </w:r>
      <w:r>
        <w:t>.</w:t>
      </w:r>
      <w:r w:rsidR="003C644F">
        <w:t>”</w:t>
      </w:r>
      <w:r>
        <w:t xml:space="preserve"> Automatic enrollment should only occur for customers who did not take advantage of other offers to-date. And also consistent with the IOU rules for eligibility for “COVID-19 Relief Payment Plans,” the small electric utilities’ automatic enrollment shall be performed only once per eligible customer between July 2021 and September </w:t>
      </w:r>
      <w:r>
        <w:lastRenderedPageBreak/>
        <w:t xml:space="preserve">2022. This means, should customers exit their other payment arrangements with unresolved debt, they will still benefit from today’s ordered </w:t>
      </w:r>
      <w:r w:rsidR="00394D6D">
        <w:t>relief.</w:t>
      </w:r>
    </w:p>
    <w:p w:rsidR="00584C4F" w:rsidP="00584C4F" w:rsidRDefault="00584C4F" w14:paraId="5858489C" w14:textId="3A4957CB">
      <w:pPr>
        <w:pStyle w:val="Heading2"/>
      </w:pPr>
      <w:bookmarkStart w:name="_Toc75258948" w:id="31"/>
      <w:r>
        <w:t>Southwest Gas Residential Customers</w:t>
      </w:r>
      <w:bookmarkEnd w:id="31"/>
    </w:p>
    <w:p w:rsidR="004C6E6F" w:rsidP="00FC1221" w:rsidRDefault="004C6E6F" w14:paraId="585D006F" w14:textId="2D6F2342">
      <w:pPr>
        <w:pStyle w:val="Standard"/>
      </w:pPr>
      <w:r>
        <w:t>Southwest Gas has convincingly presented a model for automatic payment plans</w:t>
      </w:r>
      <w:r w:rsidR="00D66F96">
        <w:rPr>
          <w:rStyle w:val="FootnoteReference"/>
        </w:rPr>
        <w:footnoteReference w:id="49"/>
      </w:r>
      <w:r>
        <w:t xml:space="preserve"> that is comprehensive</w:t>
      </w:r>
      <w:r w:rsidR="00F050D3">
        <w:t xml:space="preserve"> and</w:t>
      </w:r>
      <w:r>
        <w:t xml:space="preserve"> includes nearly all customers in arrears</w:t>
      </w:r>
      <w:r w:rsidR="00F050D3">
        <w:t xml:space="preserve">. Southwest Gas </w:t>
      </w:r>
      <w:r w:rsidR="00C91D36">
        <w:t>took</w:t>
      </w:r>
      <w:r>
        <w:t xml:space="preserve"> the initiative to place their customer</w:t>
      </w:r>
      <w:r w:rsidR="00866FBC">
        <w:t>s</w:t>
      </w:r>
      <w:r>
        <w:t xml:space="preserve"> in this plan </w:t>
      </w:r>
      <w:r w:rsidR="00C91D36">
        <w:t>on February 12, 2021</w:t>
      </w:r>
      <w:r>
        <w:t>.</w:t>
      </w:r>
    </w:p>
    <w:p w:rsidRPr="00276438" w:rsidR="00276438" w:rsidP="0095715F" w:rsidRDefault="00276438" w14:paraId="5C630058" w14:textId="4F0A6FB8">
      <w:pPr>
        <w:keepNext/>
        <w:keepLines/>
        <w:spacing w:line="240" w:lineRule="auto"/>
        <w:ind w:firstLine="0"/>
        <w:jc w:val="center"/>
        <w:rPr>
          <w:b/>
          <w:bCs/>
        </w:rPr>
      </w:pPr>
      <w:r w:rsidRPr="00276438">
        <w:rPr>
          <w:b/>
          <w:bCs/>
        </w:rPr>
        <w:t>Southwest Gas</w:t>
      </w:r>
    </w:p>
    <w:p w:rsidRPr="00276438" w:rsidR="00276438" w:rsidP="0095715F" w:rsidRDefault="00276438" w14:paraId="5D11120C" w14:textId="195C5AAC">
      <w:pPr>
        <w:keepNext/>
        <w:keepLines/>
        <w:spacing w:after="120" w:line="240" w:lineRule="auto"/>
        <w:ind w:firstLine="0"/>
        <w:jc w:val="center"/>
        <w:rPr>
          <w:b/>
          <w:bCs/>
        </w:rPr>
      </w:pPr>
      <w:r w:rsidRPr="00276438">
        <w:rPr>
          <w:b/>
          <w:bCs/>
        </w:rPr>
        <w:t>Comparison of Arrearages to Arrears Enrolled in Payment Plan</w:t>
      </w:r>
      <w:r w:rsidR="004C6F6B">
        <w:rPr>
          <w:rStyle w:val="FootnoteReference"/>
          <w:b/>
          <w:bCs/>
        </w:rPr>
        <w:footnoteReference w:id="50"/>
      </w:r>
    </w:p>
    <w:tbl>
      <w:tblPr>
        <w:tblStyle w:val="TableGrid"/>
        <w:tblW w:w="0" w:type="auto"/>
        <w:tblLook w:val="04A0" w:firstRow="1" w:lastRow="0" w:firstColumn="1" w:lastColumn="0" w:noHBand="0" w:noVBand="1"/>
      </w:tblPr>
      <w:tblGrid>
        <w:gridCol w:w="1316"/>
        <w:gridCol w:w="3449"/>
        <w:gridCol w:w="3960"/>
      </w:tblGrid>
      <w:tr w:rsidR="00042C58" w:rsidTr="000C2DDD" w14:paraId="58AF0427" w14:textId="19A7579F">
        <w:tc>
          <w:tcPr>
            <w:tcW w:w="1316" w:type="dxa"/>
          </w:tcPr>
          <w:p w:rsidRPr="00820026" w:rsidR="00042C58" w:rsidP="0095715F" w:rsidRDefault="00042C58" w14:paraId="72EE4DA4" w14:textId="77777777">
            <w:pPr>
              <w:keepNext/>
              <w:keepLines/>
              <w:spacing w:line="240" w:lineRule="auto"/>
              <w:ind w:firstLine="0"/>
              <w:rPr>
                <w:rFonts w:asciiTheme="minorHAnsi" w:hAnsiTheme="minorHAnsi"/>
                <w:sz w:val="22"/>
              </w:rPr>
            </w:pPr>
            <w:bookmarkStart w:name="_Hlk72224671" w:id="32"/>
          </w:p>
        </w:tc>
        <w:tc>
          <w:tcPr>
            <w:tcW w:w="3449" w:type="dxa"/>
          </w:tcPr>
          <w:p w:rsidRPr="00820026" w:rsidR="00042C58" w:rsidP="0095715F" w:rsidRDefault="00042C58" w14:paraId="3B259360" w14:textId="0B259E86">
            <w:pPr>
              <w:keepNext/>
              <w:keepLines/>
              <w:spacing w:line="240" w:lineRule="auto"/>
              <w:ind w:firstLine="0"/>
              <w:jc w:val="center"/>
              <w:rPr>
                <w:rFonts w:asciiTheme="minorHAnsi" w:hAnsiTheme="minorHAnsi"/>
                <w:sz w:val="22"/>
              </w:rPr>
            </w:pPr>
            <w:r w:rsidRPr="0075457F">
              <w:rPr>
                <w:rFonts w:asciiTheme="minorHAnsi" w:hAnsiTheme="minorHAnsi"/>
                <w:b/>
                <w:bCs/>
                <w:sz w:val="22"/>
              </w:rPr>
              <w:t>Arrearages as of February 2021</w:t>
            </w:r>
            <w:r w:rsidRPr="00820026">
              <w:rPr>
                <w:rFonts w:asciiTheme="minorHAnsi" w:hAnsiTheme="minorHAnsi"/>
                <w:sz w:val="22"/>
                <w:vertAlign w:val="superscript"/>
              </w:rPr>
              <w:footnoteReference w:id="51"/>
            </w:r>
          </w:p>
        </w:tc>
        <w:tc>
          <w:tcPr>
            <w:tcW w:w="3960" w:type="dxa"/>
          </w:tcPr>
          <w:p w:rsidRPr="0075457F" w:rsidR="00042C58" w:rsidP="0095715F" w:rsidRDefault="00042C58" w14:paraId="2B939B06" w14:textId="77777777">
            <w:pPr>
              <w:keepNext/>
              <w:keepLines/>
              <w:spacing w:line="240" w:lineRule="auto"/>
              <w:ind w:firstLine="0"/>
              <w:jc w:val="center"/>
              <w:rPr>
                <w:rFonts w:asciiTheme="minorHAnsi" w:hAnsiTheme="minorHAnsi"/>
                <w:b/>
                <w:bCs/>
                <w:sz w:val="22"/>
              </w:rPr>
            </w:pPr>
            <w:r w:rsidRPr="0075457F">
              <w:rPr>
                <w:rFonts w:asciiTheme="minorHAnsi" w:hAnsiTheme="minorHAnsi"/>
                <w:b/>
                <w:bCs/>
                <w:sz w:val="22"/>
              </w:rPr>
              <w:t>Arrearages Automatically Enrolled in Payment Plans as of March 31 2021</w:t>
            </w:r>
          </w:p>
        </w:tc>
      </w:tr>
      <w:tr w:rsidR="00042C58" w:rsidTr="000C2DDD" w14:paraId="10509847" w14:textId="7F33AB1A">
        <w:tc>
          <w:tcPr>
            <w:tcW w:w="1316" w:type="dxa"/>
          </w:tcPr>
          <w:p w:rsidRPr="00820026" w:rsidR="00042C58" w:rsidP="0095715F" w:rsidRDefault="00042C58" w14:paraId="4D3F373D" w14:textId="77777777">
            <w:pPr>
              <w:keepNext/>
              <w:keepLines/>
              <w:spacing w:line="240" w:lineRule="auto"/>
              <w:ind w:firstLine="0"/>
              <w:rPr>
                <w:rFonts w:asciiTheme="minorHAnsi" w:hAnsiTheme="minorHAnsi"/>
                <w:sz w:val="22"/>
              </w:rPr>
            </w:pPr>
            <w:r w:rsidRPr="00820026">
              <w:rPr>
                <w:rFonts w:asciiTheme="minorHAnsi" w:hAnsiTheme="minorHAnsi"/>
                <w:sz w:val="22"/>
              </w:rPr>
              <w:t>Dollars</w:t>
            </w:r>
          </w:p>
        </w:tc>
        <w:tc>
          <w:tcPr>
            <w:tcW w:w="3449" w:type="dxa"/>
          </w:tcPr>
          <w:p w:rsidRPr="00820026" w:rsidR="00042C58" w:rsidP="0095715F" w:rsidRDefault="00042C58" w14:paraId="0D370EA8" w14:textId="77777777">
            <w:pPr>
              <w:keepNext/>
              <w:keepLines/>
              <w:spacing w:line="240" w:lineRule="auto"/>
              <w:ind w:firstLine="0"/>
              <w:jc w:val="center"/>
              <w:rPr>
                <w:rFonts w:asciiTheme="minorHAnsi" w:hAnsiTheme="minorHAnsi"/>
                <w:sz w:val="22"/>
              </w:rPr>
            </w:pPr>
            <w:r w:rsidRPr="00820026">
              <w:rPr>
                <w:rFonts w:asciiTheme="minorHAnsi" w:hAnsiTheme="minorHAnsi"/>
                <w:sz w:val="22"/>
              </w:rPr>
              <w:t>$2,636,063</w:t>
            </w:r>
          </w:p>
        </w:tc>
        <w:tc>
          <w:tcPr>
            <w:tcW w:w="3960" w:type="dxa"/>
          </w:tcPr>
          <w:p w:rsidRPr="00820026" w:rsidR="00042C58" w:rsidP="0095715F" w:rsidRDefault="00042C58" w14:paraId="143A014D" w14:textId="2A362F00">
            <w:pPr>
              <w:keepNext/>
              <w:keepLines/>
              <w:spacing w:line="240" w:lineRule="auto"/>
              <w:ind w:firstLine="0"/>
              <w:jc w:val="center"/>
              <w:rPr>
                <w:rFonts w:asciiTheme="minorHAnsi" w:hAnsiTheme="minorHAnsi"/>
                <w:sz w:val="22"/>
              </w:rPr>
            </w:pPr>
            <w:r>
              <w:rPr>
                <w:rFonts w:asciiTheme="minorHAnsi" w:hAnsiTheme="minorHAnsi"/>
                <w:sz w:val="22"/>
              </w:rPr>
              <w:t>n/a</w:t>
            </w:r>
            <w:r w:rsidRPr="00820026">
              <w:rPr>
                <w:rFonts w:asciiTheme="minorHAnsi" w:hAnsiTheme="minorHAnsi"/>
                <w:sz w:val="22"/>
                <w:vertAlign w:val="superscript"/>
              </w:rPr>
              <w:footnoteReference w:id="52"/>
            </w:r>
          </w:p>
        </w:tc>
      </w:tr>
      <w:tr w:rsidR="00042C58" w:rsidTr="000C2DDD" w14:paraId="6FEE45E2" w14:textId="091A8875">
        <w:tc>
          <w:tcPr>
            <w:tcW w:w="1316" w:type="dxa"/>
          </w:tcPr>
          <w:p w:rsidRPr="00820026" w:rsidR="00042C58" w:rsidP="00820026" w:rsidRDefault="00042C58" w14:paraId="7EEEA332" w14:textId="77777777">
            <w:pPr>
              <w:spacing w:line="240" w:lineRule="auto"/>
              <w:ind w:firstLine="0"/>
              <w:rPr>
                <w:rFonts w:asciiTheme="minorHAnsi" w:hAnsiTheme="minorHAnsi"/>
                <w:sz w:val="22"/>
              </w:rPr>
            </w:pPr>
            <w:r w:rsidRPr="00820026">
              <w:rPr>
                <w:rFonts w:asciiTheme="minorHAnsi" w:hAnsiTheme="minorHAnsi"/>
                <w:sz w:val="22"/>
              </w:rPr>
              <w:t>Customers</w:t>
            </w:r>
          </w:p>
        </w:tc>
        <w:tc>
          <w:tcPr>
            <w:tcW w:w="3449" w:type="dxa"/>
          </w:tcPr>
          <w:p w:rsidRPr="00820026" w:rsidR="00042C58" w:rsidP="0075457F" w:rsidRDefault="00042C58" w14:paraId="23F7B957" w14:textId="77777777">
            <w:pPr>
              <w:spacing w:line="240" w:lineRule="auto"/>
              <w:ind w:firstLine="0"/>
              <w:jc w:val="center"/>
              <w:rPr>
                <w:rFonts w:asciiTheme="minorHAnsi" w:hAnsiTheme="minorHAnsi"/>
                <w:sz w:val="22"/>
              </w:rPr>
            </w:pPr>
            <w:r w:rsidRPr="00820026">
              <w:rPr>
                <w:rFonts w:asciiTheme="minorHAnsi" w:hAnsiTheme="minorHAnsi"/>
                <w:sz w:val="22"/>
              </w:rPr>
              <w:t>19,603 (all residential)</w:t>
            </w:r>
          </w:p>
        </w:tc>
        <w:tc>
          <w:tcPr>
            <w:tcW w:w="3960" w:type="dxa"/>
          </w:tcPr>
          <w:p w:rsidRPr="00820026" w:rsidR="00042C58" w:rsidP="0075457F" w:rsidRDefault="00042C58" w14:paraId="718E01F7" w14:textId="4BA8788B">
            <w:pPr>
              <w:spacing w:line="240" w:lineRule="auto"/>
              <w:ind w:firstLine="0"/>
              <w:jc w:val="center"/>
              <w:rPr>
                <w:rFonts w:asciiTheme="minorHAnsi" w:hAnsiTheme="minorHAnsi"/>
                <w:sz w:val="22"/>
              </w:rPr>
            </w:pPr>
            <w:r w:rsidRPr="00820026">
              <w:rPr>
                <w:rFonts w:asciiTheme="minorHAnsi" w:hAnsiTheme="minorHAnsi"/>
                <w:sz w:val="22"/>
              </w:rPr>
              <w:t>19,660</w:t>
            </w:r>
            <w:r w:rsidRPr="00820026">
              <w:rPr>
                <w:rFonts w:asciiTheme="minorHAnsi" w:hAnsiTheme="minorHAnsi"/>
                <w:sz w:val="22"/>
                <w:vertAlign w:val="superscript"/>
              </w:rPr>
              <w:footnoteReference w:id="53"/>
            </w:r>
          </w:p>
        </w:tc>
      </w:tr>
      <w:bookmarkEnd w:id="32"/>
    </w:tbl>
    <w:p w:rsidRPr="0075457F" w:rsidR="00581D11" w:rsidP="00581D11" w:rsidRDefault="00581D11" w14:paraId="15BBF8FA" w14:textId="3420C701">
      <w:pPr>
        <w:pStyle w:val="Standard"/>
        <w:ind w:left="720" w:firstLine="0"/>
        <w:rPr>
          <w:sz w:val="12"/>
          <w:szCs w:val="12"/>
        </w:rPr>
      </w:pPr>
    </w:p>
    <w:p w:rsidRPr="009F2C67" w:rsidR="003628D9" w:rsidP="009F2C67" w:rsidRDefault="000401A6" w14:paraId="687F4701" w14:textId="00A307D3">
      <w:pPr>
        <w:pStyle w:val="Standard"/>
      </w:pPr>
      <w:r>
        <w:t xml:space="preserve">In the table below, we compare </w:t>
      </w:r>
      <w:r w:rsidR="00C249C4">
        <w:t xml:space="preserve">the parameters of the </w:t>
      </w:r>
      <w:r w:rsidRPr="009F2C67" w:rsidR="003628D9">
        <w:t xml:space="preserve">Southwest Gas </w:t>
      </w:r>
      <w:r w:rsidR="00C249C4">
        <w:t>plan to the</w:t>
      </w:r>
      <w:r w:rsidRPr="009F2C67" w:rsidR="003628D9">
        <w:t xml:space="preserve"> IOU “COVID-19 </w:t>
      </w:r>
      <w:r w:rsidR="000B60CE">
        <w:t xml:space="preserve">Residential </w:t>
      </w:r>
      <w:r w:rsidRPr="009F2C67" w:rsidR="003628D9">
        <w:t>Relief Payment Plan” we adopt</w:t>
      </w:r>
      <w:r w:rsidR="00C249C4">
        <w:t>.</w:t>
      </w:r>
    </w:p>
    <w:p w:rsidR="00D459D0" w:rsidP="005721F2" w:rsidRDefault="00C249C4" w14:paraId="05738510" w14:textId="60D32964">
      <w:pPr>
        <w:pStyle w:val="Standard"/>
        <w:keepNext/>
        <w:keepLines/>
        <w:spacing w:line="240" w:lineRule="auto"/>
        <w:ind w:firstLine="0"/>
        <w:jc w:val="center"/>
        <w:rPr>
          <w:b/>
          <w:bCs/>
        </w:rPr>
      </w:pPr>
      <w:r w:rsidRPr="00276438">
        <w:rPr>
          <w:b/>
          <w:bCs/>
        </w:rPr>
        <w:lastRenderedPageBreak/>
        <w:t>Comparison of</w:t>
      </w:r>
      <w:r w:rsidR="009977E8">
        <w:rPr>
          <w:b/>
          <w:bCs/>
        </w:rPr>
        <w:t xml:space="preserve"> “</w:t>
      </w:r>
      <w:r>
        <w:rPr>
          <w:b/>
          <w:bCs/>
        </w:rPr>
        <w:t xml:space="preserve">COVID-19 </w:t>
      </w:r>
      <w:r w:rsidR="002E0F47">
        <w:rPr>
          <w:b/>
          <w:bCs/>
        </w:rPr>
        <w:t xml:space="preserve">Residential </w:t>
      </w:r>
      <w:r>
        <w:rPr>
          <w:b/>
          <w:bCs/>
        </w:rPr>
        <w:t>Relief Payment Plan</w:t>
      </w:r>
      <w:r w:rsidR="009977E8">
        <w:rPr>
          <w:b/>
          <w:bCs/>
        </w:rPr>
        <w:t>”</w:t>
      </w:r>
      <w:r>
        <w:rPr>
          <w:b/>
          <w:bCs/>
        </w:rPr>
        <w:t xml:space="preserve"> </w:t>
      </w:r>
    </w:p>
    <w:p w:rsidR="00C249C4" w:rsidP="005721F2" w:rsidRDefault="009977E8" w14:paraId="43741FF1" w14:textId="37C115F1">
      <w:pPr>
        <w:pStyle w:val="Standard"/>
        <w:keepNext/>
        <w:keepLines/>
        <w:spacing w:after="120" w:line="240" w:lineRule="auto"/>
        <w:ind w:firstLine="0"/>
        <w:jc w:val="center"/>
      </w:pPr>
      <w:r>
        <w:rPr>
          <w:b/>
          <w:bCs/>
        </w:rPr>
        <w:t>to</w:t>
      </w:r>
      <w:r w:rsidR="00C249C4">
        <w:rPr>
          <w:b/>
          <w:bCs/>
        </w:rPr>
        <w:t xml:space="preserve"> Southwest Gas </w:t>
      </w:r>
      <w:r>
        <w:rPr>
          <w:b/>
          <w:bCs/>
        </w:rPr>
        <w:t>model</w:t>
      </w:r>
    </w:p>
    <w:tbl>
      <w:tblPr>
        <w:tblStyle w:val="TableGrid"/>
        <w:tblW w:w="0" w:type="auto"/>
        <w:tblLook w:val="04A0" w:firstRow="1" w:lastRow="0" w:firstColumn="1" w:lastColumn="0" w:noHBand="0" w:noVBand="1"/>
      </w:tblPr>
      <w:tblGrid>
        <w:gridCol w:w="2337"/>
        <w:gridCol w:w="2337"/>
        <w:gridCol w:w="2338"/>
        <w:gridCol w:w="2338"/>
      </w:tblGrid>
      <w:tr w:rsidR="00C249C4" w:rsidTr="005925CE" w14:paraId="5A7B7EE1" w14:textId="77777777">
        <w:tc>
          <w:tcPr>
            <w:tcW w:w="2337" w:type="dxa"/>
          </w:tcPr>
          <w:p w:rsidRPr="005925CE" w:rsidR="00C249C4" w:rsidP="0079491B" w:rsidRDefault="00C249C4" w14:paraId="58FA2EED" w14:textId="77777777">
            <w:pPr>
              <w:pStyle w:val="Standard"/>
              <w:keepNext/>
              <w:keepLines/>
              <w:spacing w:line="240" w:lineRule="auto"/>
              <w:ind w:firstLine="0"/>
              <w:jc w:val="center"/>
              <w:rPr>
                <w:b/>
                <w:bCs/>
                <w:sz w:val="22"/>
              </w:rPr>
            </w:pPr>
            <w:r w:rsidRPr="005925CE">
              <w:rPr>
                <w:b/>
                <w:bCs/>
                <w:sz w:val="22"/>
              </w:rPr>
              <w:t>Payment Plan Feature</w:t>
            </w:r>
          </w:p>
        </w:tc>
        <w:tc>
          <w:tcPr>
            <w:tcW w:w="2337" w:type="dxa"/>
          </w:tcPr>
          <w:p w:rsidRPr="005925CE" w:rsidR="00C249C4" w:rsidP="0079491B" w:rsidRDefault="00C249C4" w14:paraId="10E713CA" w14:textId="75346AA2">
            <w:pPr>
              <w:pStyle w:val="Standard"/>
              <w:keepNext/>
              <w:keepLines/>
              <w:spacing w:line="240" w:lineRule="auto"/>
              <w:ind w:firstLine="0"/>
              <w:jc w:val="center"/>
              <w:rPr>
                <w:b/>
                <w:bCs/>
                <w:sz w:val="22"/>
              </w:rPr>
            </w:pPr>
            <w:r w:rsidRPr="005925CE">
              <w:rPr>
                <w:b/>
                <w:bCs/>
                <w:sz w:val="22"/>
              </w:rPr>
              <w:t xml:space="preserve">COVID-19 </w:t>
            </w:r>
            <w:r w:rsidR="006D236F">
              <w:rPr>
                <w:b/>
                <w:bCs/>
                <w:sz w:val="22"/>
              </w:rPr>
              <w:t xml:space="preserve">Residential </w:t>
            </w:r>
            <w:r w:rsidRPr="005925CE">
              <w:rPr>
                <w:b/>
                <w:bCs/>
                <w:sz w:val="22"/>
              </w:rPr>
              <w:t>Relief Payment Plans</w:t>
            </w:r>
          </w:p>
        </w:tc>
        <w:tc>
          <w:tcPr>
            <w:tcW w:w="2338" w:type="dxa"/>
          </w:tcPr>
          <w:p w:rsidRPr="005925CE" w:rsidR="00C249C4" w:rsidP="0079491B" w:rsidRDefault="00C249C4" w14:paraId="0BEEF01F" w14:textId="6C11472D">
            <w:pPr>
              <w:pStyle w:val="Standard"/>
              <w:keepNext/>
              <w:keepLines/>
              <w:spacing w:line="240" w:lineRule="auto"/>
              <w:ind w:firstLine="0"/>
              <w:jc w:val="center"/>
              <w:rPr>
                <w:b/>
                <w:bCs/>
                <w:sz w:val="22"/>
              </w:rPr>
            </w:pPr>
            <w:r w:rsidRPr="005925CE">
              <w:rPr>
                <w:b/>
                <w:bCs/>
                <w:sz w:val="22"/>
              </w:rPr>
              <w:t xml:space="preserve">Southwest Gas </w:t>
            </w:r>
            <w:r w:rsidR="006D236F">
              <w:rPr>
                <w:b/>
                <w:bCs/>
                <w:sz w:val="22"/>
              </w:rPr>
              <w:t>model</w:t>
            </w:r>
          </w:p>
        </w:tc>
        <w:tc>
          <w:tcPr>
            <w:tcW w:w="2338" w:type="dxa"/>
          </w:tcPr>
          <w:p w:rsidRPr="005925CE" w:rsidR="00C249C4" w:rsidP="0079491B" w:rsidRDefault="00C249C4" w14:paraId="687E9087" w14:textId="77777777">
            <w:pPr>
              <w:pStyle w:val="Standard"/>
              <w:keepNext/>
              <w:keepLines/>
              <w:spacing w:line="240" w:lineRule="auto"/>
              <w:ind w:firstLine="0"/>
              <w:jc w:val="center"/>
              <w:rPr>
                <w:b/>
                <w:bCs/>
                <w:sz w:val="22"/>
              </w:rPr>
            </w:pPr>
            <w:r w:rsidRPr="005925CE">
              <w:rPr>
                <w:b/>
                <w:bCs/>
                <w:sz w:val="22"/>
              </w:rPr>
              <w:t>Different or same?</w:t>
            </w:r>
          </w:p>
        </w:tc>
      </w:tr>
      <w:tr w:rsidR="00C249C4" w:rsidTr="005925CE" w14:paraId="55E702C4" w14:textId="77777777">
        <w:tc>
          <w:tcPr>
            <w:tcW w:w="2337" w:type="dxa"/>
          </w:tcPr>
          <w:p w:rsidRPr="005925CE" w:rsidR="00C249C4" w:rsidP="0079491B" w:rsidRDefault="00C249C4" w14:paraId="4EBF76E6" w14:textId="77777777">
            <w:pPr>
              <w:pStyle w:val="Standard"/>
              <w:keepNext/>
              <w:keepLines/>
              <w:ind w:firstLine="0"/>
              <w:rPr>
                <w:b/>
                <w:bCs/>
                <w:sz w:val="22"/>
              </w:rPr>
            </w:pPr>
            <w:r w:rsidRPr="005925CE">
              <w:rPr>
                <w:b/>
                <w:bCs/>
                <w:sz w:val="22"/>
              </w:rPr>
              <w:t>Enrollment method</w:t>
            </w:r>
          </w:p>
        </w:tc>
        <w:tc>
          <w:tcPr>
            <w:tcW w:w="2337" w:type="dxa"/>
          </w:tcPr>
          <w:p w:rsidRPr="005925CE" w:rsidR="00C249C4" w:rsidP="0079491B" w:rsidRDefault="00C249C4" w14:paraId="22412462" w14:textId="77777777">
            <w:pPr>
              <w:pStyle w:val="Standard"/>
              <w:keepNext/>
              <w:keepLines/>
              <w:ind w:firstLine="0"/>
              <w:jc w:val="center"/>
              <w:rPr>
                <w:sz w:val="22"/>
              </w:rPr>
            </w:pPr>
            <w:r w:rsidRPr="005925CE">
              <w:rPr>
                <w:sz w:val="22"/>
              </w:rPr>
              <w:t>Automatic</w:t>
            </w:r>
          </w:p>
        </w:tc>
        <w:tc>
          <w:tcPr>
            <w:tcW w:w="2338" w:type="dxa"/>
          </w:tcPr>
          <w:p w:rsidRPr="005925CE" w:rsidR="00C249C4" w:rsidP="0079491B" w:rsidRDefault="00C249C4" w14:paraId="381D7A60" w14:textId="77777777">
            <w:pPr>
              <w:pStyle w:val="Standard"/>
              <w:keepNext/>
              <w:keepLines/>
              <w:ind w:firstLine="0"/>
              <w:jc w:val="center"/>
              <w:rPr>
                <w:sz w:val="22"/>
              </w:rPr>
            </w:pPr>
            <w:r w:rsidRPr="005925CE">
              <w:rPr>
                <w:sz w:val="22"/>
              </w:rPr>
              <w:t>Automatic</w:t>
            </w:r>
          </w:p>
        </w:tc>
        <w:tc>
          <w:tcPr>
            <w:tcW w:w="2338" w:type="dxa"/>
          </w:tcPr>
          <w:p w:rsidRPr="005925CE" w:rsidR="00C249C4" w:rsidP="0079491B" w:rsidRDefault="00C249C4" w14:paraId="5DEC863F" w14:textId="77777777">
            <w:pPr>
              <w:pStyle w:val="Standard"/>
              <w:keepNext/>
              <w:keepLines/>
              <w:ind w:firstLine="0"/>
              <w:jc w:val="center"/>
              <w:rPr>
                <w:sz w:val="22"/>
              </w:rPr>
            </w:pPr>
            <w:r w:rsidRPr="005925CE">
              <w:rPr>
                <w:sz w:val="22"/>
              </w:rPr>
              <w:t>Same</w:t>
            </w:r>
          </w:p>
        </w:tc>
      </w:tr>
      <w:tr w:rsidR="00C249C4" w:rsidTr="005925CE" w14:paraId="30CBD6AA" w14:textId="77777777">
        <w:tc>
          <w:tcPr>
            <w:tcW w:w="2337" w:type="dxa"/>
          </w:tcPr>
          <w:p w:rsidRPr="005925CE" w:rsidR="00C249C4" w:rsidP="0079491B" w:rsidRDefault="00C249C4" w14:paraId="1A61F7EA" w14:textId="77777777">
            <w:pPr>
              <w:pStyle w:val="Standard"/>
              <w:keepNext/>
              <w:keepLines/>
              <w:ind w:firstLine="0"/>
              <w:rPr>
                <w:b/>
                <w:bCs/>
                <w:sz w:val="22"/>
              </w:rPr>
            </w:pPr>
            <w:r w:rsidRPr="005925CE">
              <w:rPr>
                <w:b/>
                <w:bCs/>
                <w:sz w:val="22"/>
              </w:rPr>
              <w:t>Starting point</w:t>
            </w:r>
          </w:p>
        </w:tc>
        <w:tc>
          <w:tcPr>
            <w:tcW w:w="2337" w:type="dxa"/>
          </w:tcPr>
          <w:p w:rsidRPr="005925CE" w:rsidR="00C249C4" w:rsidP="0079491B" w:rsidRDefault="00EC277B" w14:paraId="3B709643" w14:textId="62ADD996">
            <w:pPr>
              <w:pStyle w:val="Standard"/>
              <w:keepNext/>
              <w:keepLines/>
              <w:ind w:firstLine="0"/>
              <w:jc w:val="center"/>
              <w:rPr>
                <w:sz w:val="22"/>
              </w:rPr>
            </w:pPr>
            <w:r>
              <w:rPr>
                <w:sz w:val="22"/>
              </w:rPr>
              <w:t>Immediately</w:t>
            </w:r>
          </w:p>
        </w:tc>
        <w:tc>
          <w:tcPr>
            <w:tcW w:w="2338" w:type="dxa"/>
          </w:tcPr>
          <w:p w:rsidRPr="005925CE" w:rsidR="00C249C4" w:rsidP="0079491B" w:rsidRDefault="00EC277B" w14:paraId="69416267" w14:textId="41ABF88F">
            <w:pPr>
              <w:pStyle w:val="Standard"/>
              <w:keepNext/>
              <w:keepLines/>
              <w:ind w:firstLine="0"/>
              <w:jc w:val="center"/>
              <w:rPr>
                <w:sz w:val="22"/>
              </w:rPr>
            </w:pPr>
            <w:r>
              <w:rPr>
                <w:sz w:val="22"/>
              </w:rPr>
              <w:t>Immediately</w:t>
            </w:r>
          </w:p>
        </w:tc>
        <w:tc>
          <w:tcPr>
            <w:tcW w:w="2338" w:type="dxa"/>
          </w:tcPr>
          <w:p w:rsidRPr="005925CE" w:rsidR="00C249C4" w:rsidP="0079491B" w:rsidRDefault="00EC277B" w14:paraId="0C68F000" w14:textId="0FEAE5E5">
            <w:pPr>
              <w:pStyle w:val="Standard"/>
              <w:keepNext/>
              <w:keepLines/>
              <w:ind w:firstLine="0"/>
              <w:jc w:val="center"/>
              <w:rPr>
                <w:sz w:val="22"/>
              </w:rPr>
            </w:pPr>
            <w:r>
              <w:rPr>
                <w:sz w:val="22"/>
              </w:rPr>
              <w:t>Same</w:t>
            </w:r>
          </w:p>
        </w:tc>
      </w:tr>
      <w:tr w:rsidR="00C249C4" w:rsidTr="005925CE" w14:paraId="7FC873F2" w14:textId="77777777">
        <w:tc>
          <w:tcPr>
            <w:tcW w:w="2337" w:type="dxa"/>
          </w:tcPr>
          <w:p w:rsidRPr="005925CE" w:rsidR="00C249C4" w:rsidP="0079491B" w:rsidRDefault="00C249C4" w14:paraId="16F7071C" w14:textId="77777777">
            <w:pPr>
              <w:pStyle w:val="Standard"/>
              <w:keepNext/>
              <w:keepLines/>
              <w:spacing w:line="240" w:lineRule="auto"/>
              <w:ind w:firstLine="0"/>
              <w:rPr>
                <w:b/>
                <w:bCs/>
                <w:sz w:val="22"/>
              </w:rPr>
            </w:pPr>
            <w:r w:rsidRPr="005925CE">
              <w:rPr>
                <w:b/>
                <w:bCs/>
                <w:sz w:val="22"/>
              </w:rPr>
              <w:t>Ending point</w:t>
            </w:r>
          </w:p>
        </w:tc>
        <w:tc>
          <w:tcPr>
            <w:tcW w:w="2337" w:type="dxa"/>
          </w:tcPr>
          <w:p w:rsidRPr="005925CE" w:rsidR="00C249C4" w:rsidP="0079491B" w:rsidRDefault="00C249C4" w14:paraId="1DD87E5D" w14:textId="77777777">
            <w:pPr>
              <w:pStyle w:val="Standard"/>
              <w:keepNext/>
              <w:keepLines/>
              <w:spacing w:line="240" w:lineRule="auto"/>
              <w:ind w:firstLine="0"/>
              <w:jc w:val="center"/>
              <w:rPr>
                <w:sz w:val="22"/>
              </w:rPr>
            </w:pPr>
            <w:r w:rsidRPr="005925CE">
              <w:rPr>
                <w:sz w:val="22"/>
              </w:rPr>
              <w:t>12 months after disconnection moratorium lifts</w:t>
            </w:r>
          </w:p>
        </w:tc>
        <w:tc>
          <w:tcPr>
            <w:tcW w:w="2338" w:type="dxa"/>
          </w:tcPr>
          <w:p w:rsidRPr="005925CE" w:rsidR="00C249C4" w:rsidP="0079491B" w:rsidRDefault="00C249C4" w14:paraId="15746A50" w14:textId="77777777">
            <w:pPr>
              <w:pStyle w:val="Standard"/>
              <w:keepNext/>
              <w:keepLines/>
              <w:spacing w:line="240" w:lineRule="auto"/>
              <w:ind w:firstLine="0"/>
              <w:jc w:val="center"/>
              <w:rPr>
                <w:sz w:val="22"/>
              </w:rPr>
            </w:pPr>
            <w:r w:rsidRPr="005925CE">
              <w:rPr>
                <w:sz w:val="22"/>
              </w:rPr>
              <w:t>12 months after disconnection moratorium lifts</w:t>
            </w:r>
          </w:p>
        </w:tc>
        <w:tc>
          <w:tcPr>
            <w:tcW w:w="2338" w:type="dxa"/>
          </w:tcPr>
          <w:p w:rsidRPr="005925CE" w:rsidR="00C249C4" w:rsidP="0079491B" w:rsidRDefault="00C249C4" w14:paraId="2E1F3F34" w14:textId="77777777">
            <w:pPr>
              <w:pStyle w:val="Standard"/>
              <w:keepNext/>
              <w:keepLines/>
              <w:spacing w:line="240" w:lineRule="auto"/>
              <w:ind w:firstLine="0"/>
              <w:jc w:val="center"/>
              <w:rPr>
                <w:sz w:val="22"/>
              </w:rPr>
            </w:pPr>
            <w:r w:rsidRPr="005925CE">
              <w:rPr>
                <w:sz w:val="22"/>
              </w:rPr>
              <w:t>Same</w:t>
            </w:r>
          </w:p>
        </w:tc>
      </w:tr>
      <w:tr w:rsidR="00C249C4" w:rsidTr="005925CE" w14:paraId="06EC923C" w14:textId="77777777">
        <w:tc>
          <w:tcPr>
            <w:tcW w:w="2337" w:type="dxa"/>
          </w:tcPr>
          <w:p w:rsidRPr="005925CE" w:rsidR="00C249C4" w:rsidP="0079491B" w:rsidRDefault="00C249C4" w14:paraId="481504BF" w14:textId="77777777">
            <w:pPr>
              <w:pStyle w:val="Standard"/>
              <w:spacing w:line="240" w:lineRule="auto"/>
              <w:ind w:firstLine="0"/>
              <w:rPr>
                <w:b/>
                <w:bCs/>
                <w:sz w:val="22"/>
              </w:rPr>
            </w:pPr>
            <w:r w:rsidRPr="005925CE">
              <w:rPr>
                <w:b/>
                <w:bCs/>
                <w:sz w:val="22"/>
              </w:rPr>
              <w:t>Minimum dollar amount</w:t>
            </w:r>
          </w:p>
        </w:tc>
        <w:tc>
          <w:tcPr>
            <w:tcW w:w="2337" w:type="dxa"/>
          </w:tcPr>
          <w:p w:rsidRPr="005925CE" w:rsidR="00C249C4" w:rsidP="0079491B" w:rsidRDefault="00EC277B" w14:paraId="6963FAB6" w14:textId="79A80265">
            <w:pPr>
              <w:pStyle w:val="Standard"/>
              <w:spacing w:line="240" w:lineRule="auto"/>
              <w:ind w:firstLine="0"/>
              <w:jc w:val="center"/>
              <w:rPr>
                <w:sz w:val="22"/>
              </w:rPr>
            </w:pPr>
            <w:r>
              <w:rPr>
                <w:sz w:val="22"/>
              </w:rPr>
              <w:t>N/A</w:t>
            </w:r>
          </w:p>
        </w:tc>
        <w:tc>
          <w:tcPr>
            <w:tcW w:w="2338" w:type="dxa"/>
          </w:tcPr>
          <w:p w:rsidRPr="005925CE" w:rsidR="00C249C4" w:rsidP="0079491B" w:rsidRDefault="00C249C4" w14:paraId="3B960477" w14:textId="77777777">
            <w:pPr>
              <w:pStyle w:val="Standard"/>
              <w:spacing w:line="240" w:lineRule="auto"/>
              <w:ind w:firstLine="0"/>
              <w:jc w:val="center"/>
              <w:rPr>
                <w:sz w:val="22"/>
              </w:rPr>
            </w:pPr>
            <w:r w:rsidRPr="005925CE">
              <w:rPr>
                <w:sz w:val="22"/>
              </w:rPr>
              <w:t>$20</w:t>
            </w:r>
          </w:p>
        </w:tc>
        <w:tc>
          <w:tcPr>
            <w:tcW w:w="2338" w:type="dxa"/>
          </w:tcPr>
          <w:p w:rsidRPr="005925CE" w:rsidR="00C249C4" w:rsidP="0079491B" w:rsidRDefault="00C249C4" w14:paraId="053615BC" w14:textId="77777777">
            <w:pPr>
              <w:pStyle w:val="Standard"/>
              <w:spacing w:line="240" w:lineRule="auto"/>
              <w:ind w:firstLine="0"/>
              <w:jc w:val="center"/>
              <w:rPr>
                <w:sz w:val="22"/>
              </w:rPr>
            </w:pPr>
            <w:r w:rsidRPr="005925CE">
              <w:rPr>
                <w:sz w:val="22"/>
              </w:rPr>
              <w:t>Different</w:t>
            </w:r>
          </w:p>
        </w:tc>
      </w:tr>
      <w:tr w:rsidR="00C249C4" w:rsidTr="005925CE" w14:paraId="26877983" w14:textId="77777777">
        <w:tc>
          <w:tcPr>
            <w:tcW w:w="2337" w:type="dxa"/>
          </w:tcPr>
          <w:p w:rsidRPr="005925CE" w:rsidR="00C249C4" w:rsidP="0079491B" w:rsidRDefault="00C249C4" w14:paraId="3CB2BF78" w14:textId="77777777">
            <w:pPr>
              <w:pStyle w:val="Standard"/>
              <w:spacing w:line="240" w:lineRule="auto"/>
              <w:ind w:firstLine="0"/>
              <w:rPr>
                <w:b/>
                <w:bCs/>
                <w:sz w:val="22"/>
              </w:rPr>
            </w:pPr>
            <w:r w:rsidRPr="005925CE">
              <w:rPr>
                <w:b/>
                <w:bCs/>
                <w:sz w:val="22"/>
              </w:rPr>
              <w:t>Minimum age of arrearage</w:t>
            </w:r>
          </w:p>
        </w:tc>
        <w:tc>
          <w:tcPr>
            <w:tcW w:w="2337" w:type="dxa"/>
          </w:tcPr>
          <w:p w:rsidRPr="005925CE" w:rsidR="00C249C4" w:rsidP="0079491B" w:rsidRDefault="00C249C4" w14:paraId="306836DC" w14:textId="54F162F4">
            <w:pPr>
              <w:pStyle w:val="Standard"/>
              <w:spacing w:line="240" w:lineRule="auto"/>
              <w:ind w:firstLine="0"/>
              <w:jc w:val="center"/>
              <w:rPr>
                <w:sz w:val="22"/>
              </w:rPr>
            </w:pPr>
            <w:r w:rsidRPr="005925CE">
              <w:rPr>
                <w:sz w:val="22"/>
              </w:rPr>
              <w:t>60 days past</w:t>
            </w:r>
            <w:r w:rsidR="00292BD8">
              <w:rPr>
                <w:sz w:val="22"/>
              </w:rPr>
              <w:t xml:space="preserve"> </w:t>
            </w:r>
            <w:r w:rsidRPr="005925CE">
              <w:rPr>
                <w:sz w:val="22"/>
              </w:rPr>
              <w:t>due</w:t>
            </w:r>
          </w:p>
        </w:tc>
        <w:tc>
          <w:tcPr>
            <w:tcW w:w="2338" w:type="dxa"/>
          </w:tcPr>
          <w:p w:rsidRPr="005925CE" w:rsidR="00C249C4" w:rsidP="0079491B" w:rsidRDefault="00C249C4" w14:paraId="290D6EB7" w14:textId="5652B87E">
            <w:pPr>
              <w:pStyle w:val="Standard"/>
              <w:spacing w:line="240" w:lineRule="auto"/>
              <w:ind w:firstLine="0"/>
              <w:jc w:val="center"/>
              <w:rPr>
                <w:sz w:val="22"/>
              </w:rPr>
            </w:pPr>
            <w:r w:rsidRPr="005925CE">
              <w:rPr>
                <w:sz w:val="22"/>
              </w:rPr>
              <w:t>60 days past</w:t>
            </w:r>
            <w:r w:rsidR="00292BD8">
              <w:rPr>
                <w:sz w:val="22"/>
              </w:rPr>
              <w:t xml:space="preserve"> </w:t>
            </w:r>
            <w:r w:rsidRPr="005925CE">
              <w:rPr>
                <w:sz w:val="22"/>
              </w:rPr>
              <w:t>due</w:t>
            </w:r>
          </w:p>
        </w:tc>
        <w:tc>
          <w:tcPr>
            <w:tcW w:w="2338" w:type="dxa"/>
          </w:tcPr>
          <w:p w:rsidRPr="005925CE" w:rsidR="00C249C4" w:rsidP="0079491B" w:rsidRDefault="00C249C4" w14:paraId="035D1F54" w14:textId="77777777">
            <w:pPr>
              <w:pStyle w:val="Standard"/>
              <w:spacing w:line="240" w:lineRule="auto"/>
              <w:ind w:firstLine="0"/>
              <w:jc w:val="center"/>
              <w:rPr>
                <w:sz w:val="22"/>
              </w:rPr>
            </w:pPr>
            <w:r w:rsidRPr="005925CE">
              <w:rPr>
                <w:sz w:val="22"/>
              </w:rPr>
              <w:t>Same</w:t>
            </w:r>
          </w:p>
        </w:tc>
      </w:tr>
      <w:tr w:rsidR="00C249C4" w:rsidTr="005925CE" w14:paraId="5F2C107A" w14:textId="77777777">
        <w:tc>
          <w:tcPr>
            <w:tcW w:w="2337" w:type="dxa"/>
          </w:tcPr>
          <w:p w:rsidRPr="005925CE" w:rsidR="00C249C4" w:rsidP="0079491B" w:rsidRDefault="00C249C4" w14:paraId="364D5F92" w14:textId="77777777">
            <w:pPr>
              <w:pStyle w:val="Standard"/>
              <w:spacing w:line="240" w:lineRule="auto"/>
              <w:ind w:firstLine="0"/>
              <w:rPr>
                <w:b/>
                <w:bCs/>
                <w:sz w:val="22"/>
              </w:rPr>
            </w:pPr>
            <w:r w:rsidRPr="005925CE">
              <w:rPr>
                <w:b/>
                <w:bCs/>
                <w:sz w:val="22"/>
              </w:rPr>
              <w:t>“Good standing” requirement</w:t>
            </w:r>
          </w:p>
        </w:tc>
        <w:tc>
          <w:tcPr>
            <w:tcW w:w="2337" w:type="dxa"/>
          </w:tcPr>
          <w:p w:rsidRPr="005925CE" w:rsidR="00C249C4" w:rsidP="0079491B" w:rsidRDefault="00C249C4" w14:paraId="51583ABB" w14:textId="77777777">
            <w:pPr>
              <w:pStyle w:val="Standard"/>
              <w:spacing w:line="240" w:lineRule="auto"/>
              <w:ind w:firstLine="0"/>
              <w:jc w:val="center"/>
              <w:rPr>
                <w:sz w:val="22"/>
              </w:rPr>
            </w:pPr>
            <w:r w:rsidRPr="005925CE">
              <w:rPr>
                <w:sz w:val="22"/>
              </w:rPr>
              <w:t>None</w:t>
            </w:r>
          </w:p>
        </w:tc>
        <w:tc>
          <w:tcPr>
            <w:tcW w:w="2338" w:type="dxa"/>
          </w:tcPr>
          <w:p w:rsidRPr="005925CE" w:rsidR="00C249C4" w:rsidP="0079491B" w:rsidRDefault="00C249C4" w14:paraId="40D1F7D8" w14:textId="77777777">
            <w:pPr>
              <w:pStyle w:val="Standard"/>
              <w:spacing w:line="240" w:lineRule="auto"/>
              <w:ind w:firstLine="0"/>
              <w:jc w:val="center"/>
              <w:rPr>
                <w:sz w:val="22"/>
              </w:rPr>
            </w:pPr>
            <w:r w:rsidRPr="005925CE">
              <w:rPr>
                <w:sz w:val="22"/>
              </w:rPr>
              <w:t>None</w:t>
            </w:r>
          </w:p>
        </w:tc>
        <w:tc>
          <w:tcPr>
            <w:tcW w:w="2338" w:type="dxa"/>
          </w:tcPr>
          <w:p w:rsidRPr="005925CE" w:rsidR="00C249C4" w:rsidP="0079491B" w:rsidRDefault="00C249C4" w14:paraId="521DE020" w14:textId="77777777">
            <w:pPr>
              <w:pStyle w:val="Standard"/>
              <w:spacing w:line="240" w:lineRule="auto"/>
              <w:ind w:firstLine="0"/>
              <w:jc w:val="center"/>
              <w:rPr>
                <w:sz w:val="22"/>
              </w:rPr>
            </w:pPr>
            <w:r w:rsidRPr="005925CE">
              <w:rPr>
                <w:sz w:val="22"/>
              </w:rPr>
              <w:t>Same</w:t>
            </w:r>
          </w:p>
        </w:tc>
      </w:tr>
      <w:tr w:rsidR="00C249C4" w:rsidTr="005925CE" w14:paraId="4DBAD36B" w14:textId="77777777">
        <w:tc>
          <w:tcPr>
            <w:tcW w:w="2337" w:type="dxa"/>
          </w:tcPr>
          <w:p w:rsidRPr="005925CE" w:rsidR="00C249C4" w:rsidP="0079491B" w:rsidRDefault="00C249C4" w14:paraId="388104E4" w14:textId="77777777">
            <w:pPr>
              <w:pStyle w:val="Standard"/>
              <w:spacing w:line="240" w:lineRule="auto"/>
              <w:ind w:firstLine="0"/>
              <w:rPr>
                <w:b/>
                <w:bCs/>
                <w:sz w:val="22"/>
              </w:rPr>
            </w:pPr>
            <w:r w:rsidRPr="005925CE">
              <w:rPr>
                <w:b/>
                <w:bCs/>
                <w:sz w:val="22"/>
              </w:rPr>
              <w:t>Non-participation in other relief programs</w:t>
            </w:r>
          </w:p>
        </w:tc>
        <w:tc>
          <w:tcPr>
            <w:tcW w:w="2337" w:type="dxa"/>
          </w:tcPr>
          <w:p w:rsidRPr="005925CE" w:rsidR="00C249C4" w:rsidP="0079491B" w:rsidRDefault="00C249C4" w14:paraId="48A5803C" w14:textId="77777777">
            <w:pPr>
              <w:pStyle w:val="Standard"/>
              <w:spacing w:line="240" w:lineRule="auto"/>
              <w:ind w:firstLine="0"/>
              <w:jc w:val="center"/>
              <w:rPr>
                <w:sz w:val="22"/>
              </w:rPr>
            </w:pPr>
            <w:r w:rsidRPr="005925CE">
              <w:rPr>
                <w:sz w:val="22"/>
              </w:rPr>
              <w:t>Not required</w:t>
            </w:r>
          </w:p>
        </w:tc>
        <w:tc>
          <w:tcPr>
            <w:tcW w:w="2338" w:type="dxa"/>
          </w:tcPr>
          <w:p w:rsidRPr="005925CE" w:rsidR="00C249C4" w:rsidP="0079491B" w:rsidRDefault="00C249C4" w14:paraId="10355CBC" w14:textId="77777777">
            <w:pPr>
              <w:pStyle w:val="Standard"/>
              <w:spacing w:line="240" w:lineRule="auto"/>
              <w:ind w:firstLine="0"/>
              <w:jc w:val="center"/>
              <w:rPr>
                <w:sz w:val="22"/>
              </w:rPr>
            </w:pPr>
            <w:r w:rsidRPr="005925CE">
              <w:rPr>
                <w:sz w:val="22"/>
              </w:rPr>
              <w:t>Not required</w:t>
            </w:r>
          </w:p>
        </w:tc>
        <w:tc>
          <w:tcPr>
            <w:tcW w:w="2338" w:type="dxa"/>
          </w:tcPr>
          <w:p w:rsidRPr="005925CE" w:rsidR="00C249C4" w:rsidP="0079491B" w:rsidRDefault="00C249C4" w14:paraId="6A335117" w14:textId="77777777">
            <w:pPr>
              <w:pStyle w:val="Standard"/>
              <w:spacing w:line="240" w:lineRule="auto"/>
              <w:ind w:firstLine="0"/>
              <w:jc w:val="center"/>
              <w:rPr>
                <w:sz w:val="22"/>
              </w:rPr>
            </w:pPr>
            <w:r w:rsidRPr="005925CE">
              <w:rPr>
                <w:sz w:val="22"/>
              </w:rPr>
              <w:t>Same</w:t>
            </w:r>
          </w:p>
        </w:tc>
      </w:tr>
      <w:tr w:rsidR="00C249C4" w:rsidTr="005925CE" w14:paraId="0105998D" w14:textId="77777777">
        <w:tc>
          <w:tcPr>
            <w:tcW w:w="2337" w:type="dxa"/>
          </w:tcPr>
          <w:p w:rsidRPr="005925CE" w:rsidR="00C249C4" w:rsidP="0079491B" w:rsidRDefault="00C249C4" w14:paraId="134D9793" w14:textId="77777777">
            <w:pPr>
              <w:pStyle w:val="Standard"/>
              <w:spacing w:line="240" w:lineRule="auto"/>
              <w:ind w:firstLine="0"/>
              <w:rPr>
                <w:b/>
                <w:bCs/>
                <w:sz w:val="22"/>
              </w:rPr>
            </w:pPr>
            <w:r w:rsidRPr="005925CE">
              <w:rPr>
                <w:b/>
                <w:bCs/>
                <w:sz w:val="22"/>
              </w:rPr>
              <w:t>Number of missed payments allowed before removal</w:t>
            </w:r>
          </w:p>
        </w:tc>
        <w:tc>
          <w:tcPr>
            <w:tcW w:w="2337" w:type="dxa"/>
          </w:tcPr>
          <w:p w:rsidRPr="005925CE" w:rsidR="00C249C4" w:rsidP="0079491B" w:rsidRDefault="00EC277B" w14:paraId="22BCA4DE" w14:textId="2CF3F915">
            <w:pPr>
              <w:pStyle w:val="Standard"/>
              <w:spacing w:line="240" w:lineRule="auto"/>
              <w:ind w:firstLine="0"/>
              <w:jc w:val="center"/>
              <w:rPr>
                <w:sz w:val="22"/>
              </w:rPr>
            </w:pPr>
            <w:r>
              <w:rPr>
                <w:sz w:val="22"/>
              </w:rPr>
              <w:t>2</w:t>
            </w:r>
          </w:p>
        </w:tc>
        <w:tc>
          <w:tcPr>
            <w:tcW w:w="2338" w:type="dxa"/>
          </w:tcPr>
          <w:p w:rsidRPr="005925CE" w:rsidR="00C249C4" w:rsidP="0079491B" w:rsidRDefault="00C249C4" w14:paraId="3A0D908C" w14:textId="77777777">
            <w:pPr>
              <w:pStyle w:val="Standard"/>
              <w:spacing w:line="240" w:lineRule="auto"/>
              <w:ind w:firstLine="0"/>
              <w:jc w:val="center"/>
              <w:rPr>
                <w:sz w:val="22"/>
              </w:rPr>
            </w:pPr>
            <w:r w:rsidRPr="005925CE">
              <w:rPr>
                <w:sz w:val="22"/>
              </w:rPr>
              <w:t>Not specified</w:t>
            </w:r>
          </w:p>
        </w:tc>
        <w:tc>
          <w:tcPr>
            <w:tcW w:w="2338" w:type="dxa"/>
          </w:tcPr>
          <w:p w:rsidRPr="005925CE" w:rsidR="00C249C4" w:rsidP="0079491B" w:rsidRDefault="00EC277B" w14:paraId="356F11AB" w14:textId="47250EEF">
            <w:pPr>
              <w:pStyle w:val="Standard"/>
              <w:spacing w:line="240" w:lineRule="auto"/>
              <w:ind w:firstLine="0"/>
              <w:jc w:val="center"/>
              <w:rPr>
                <w:sz w:val="22"/>
              </w:rPr>
            </w:pPr>
            <w:r>
              <w:rPr>
                <w:sz w:val="22"/>
              </w:rPr>
              <w:t>Unknown</w:t>
            </w:r>
          </w:p>
        </w:tc>
      </w:tr>
    </w:tbl>
    <w:p w:rsidRPr="004C434D" w:rsidR="00C249C4" w:rsidP="00C249C4" w:rsidRDefault="00C249C4" w14:paraId="13D63799" w14:textId="77777777">
      <w:pPr>
        <w:pStyle w:val="Standard"/>
        <w:ind w:firstLine="0"/>
        <w:rPr>
          <w:sz w:val="12"/>
          <w:szCs w:val="12"/>
        </w:rPr>
      </w:pPr>
    </w:p>
    <w:p w:rsidR="00095959" w:rsidP="006F5FF5" w:rsidRDefault="003628D9" w14:paraId="21EE90E9" w14:textId="6519B121">
      <w:pPr>
        <w:pStyle w:val="Standard"/>
      </w:pPr>
      <w:r w:rsidRPr="006F5FF5">
        <w:t>The main difference between the Southwest Gas</w:t>
      </w:r>
      <w:r w:rsidR="00025FFE">
        <w:t xml:space="preserve"> and IOU</w:t>
      </w:r>
      <w:r w:rsidRPr="006F5FF5">
        <w:t xml:space="preserve"> model</w:t>
      </w:r>
      <w:r w:rsidR="00025FFE">
        <w:t>s</w:t>
      </w:r>
      <w:r w:rsidRPr="006F5FF5">
        <w:t xml:space="preserve"> is the </w:t>
      </w:r>
      <w:r w:rsidRPr="006F5FF5" w:rsidR="007D777C">
        <w:t>length of time over which arrearages are amortized</w:t>
      </w:r>
      <w:r w:rsidR="006F5FF5">
        <w:t>, and the thresholds set for amortization.</w:t>
      </w:r>
      <w:r w:rsidRPr="006F5FF5" w:rsidR="007D777C">
        <w:t xml:space="preserve"> </w:t>
      </w:r>
      <w:r w:rsidR="004C434D">
        <w:t xml:space="preserve"> </w:t>
      </w:r>
      <w:r w:rsidR="008C0EC0">
        <w:t xml:space="preserve">It is reasonable for Southwest Gas to </w:t>
      </w:r>
      <w:r w:rsidR="003523B2">
        <w:t>maintain their</w:t>
      </w:r>
      <w:r w:rsidR="008C0EC0">
        <w:t xml:space="preserve"> shorter amortization timeframe for arrearages</w:t>
      </w:r>
      <w:r w:rsidR="007F6FA2">
        <w:t xml:space="preserve"> and the $20 minimum arrearage amount</w:t>
      </w:r>
      <w:r w:rsidR="008C0EC0">
        <w:t xml:space="preserve">. </w:t>
      </w:r>
      <w:r w:rsidR="004C434D">
        <w:t xml:space="preserve"> </w:t>
      </w:r>
      <w:r w:rsidR="006F5FF5">
        <w:t>S</w:t>
      </w:r>
      <w:r w:rsidR="007F6FA2">
        <w:t>outhwest Gas</w:t>
      </w:r>
      <w:r w:rsidR="006F5FF5">
        <w:t xml:space="preserve"> a</w:t>
      </w:r>
      <w:r w:rsidR="00CE479E">
        <w:t xml:space="preserve">verage arrearage per customer </w:t>
      </w:r>
      <w:r w:rsidR="005A2445">
        <w:t>is</w:t>
      </w:r>
      <w:r w:rsidR="00CE479E">
        <w:t xml:space="preserve"> lower than IOU average arrearage per customer.</w:t>
      </w:r>
      <w:r w:rsidR="006F5FF5">
        <w:t xml:space="preserve"> </w:t>
      </w:r>
      <w:r w:rsidR="005721F2">
        <w:t xml:space="preserve"> </w:t>
      </w:r>
      <w:r w:rsidR="009519CF">
        <w:t>Though</w:t>
      </w:r>
      <w:r w:rsidR="00095959">
        <w:t xml:space="preserve">Southwest Gas </w:t>
      </w:r>
      <w:r w:rsidR="009519CF">
        <w:t>takes</w:t>
      </w:r>
      <w:r w:rsidR="00095959">
        <w:t xml:space="preserve"> </w:t>
      </w:r>
      <w:r w:rsidR="007F6FA2">
        <w:t>a slightly different approach to customers who miss payments on their automatic payment plan</w:t>
      </w:r>
      <w:r w:rsidR="00095959">
        <w:t>,</w:t>
      </w:r>
      <w:r w:rsidR="007F6FA2">
        <w:rPr>
          <w:rStyle w:val="FootnoteReference"/>
        </w:rPr>
        <w:footnoteReference w:id="54"/>
      </w:r>
      <w:r w:rsidR="00095959">
        <w:t xml:space="preserve"> we require Southwest Gas to conform their payment plan to allow customers to miss two payments without being removed from the plan.</w:t>
      </w:r>
    </w:p>
    <w:p w:rsidR="003628D9" w:rsidP="006F5FF5" w:rsidRDefault="00902D41" w14:paraId="5DE60D6E" w14:textId="3FE8ECEB">
      <w:pPr>
        <w:pStyle w:val="Standard"/>
      </w:pPr>
      <w:r>
        <w:lastRenderedPageBreak/>
        <w:t>While the term of the Southwest Gas automatic payment plan will expire shortly after the IOU and small electric utility automatic payment plans begin, we believe Southwest Gas’ additional protections are adequate for their customers. Specifically, Southwest Gas will waive late fees and deposit requirements for CARE c</w:t>
      </w:r>
      <w:r w:rsidR="00A95E74">
        <w:t>us</w:t>
      </w:r>
      <w:r>
        <w:t xml:space="preserve">tomers upon request, and also suspend disconnections for CARE customers upon request through December 31, 2021. </w:t>
      </w:r>
    </w:p>
    <w:p w:rsidR="00D413B6" w:rsidP="00D413B6" w:rsidRDefault="00B34ABD" w14:paraId="6B6F1B40" w14:textId="2FC3E84D">
      <w:pPr>
        <w:pStyle w:val="Heading2"/>
      </w:pPr>
      <w:bookmarkStart w:name="_Toc75258949" w:id="33"/>
      <w:bookmarkStart w:name="_Hlk75130417" w:id="34"/>
      <w:r>
        <w:t>Partial Payment</w:t>
      </w:r>
      <w:r w:rsidR="00FE2BA2">
        <w:t xml:space="preserve"> Allocations Between Arrearages and Current Bills and Between</w:t>
      </w:r>
      <w:r w:rsidR="00163795">
        <w:t xml:space="preserve"> </w:t>
      </w:r>
      <w:r w:rsidR="00D413B6">
        <w:t>Community Choice Aggregators</w:t>
      </w:r>
      <w:r w:rsidR="00FE2BA2">
        <w:t xml:space="preserve"> and Utilities</w:t>
      </w:r>
      <w:bookmarkEnd w:id="33"/>
    </w:p>
    <w:bookmarkEnd w:id="34"/>
    <w:p w:rsidR="00163795" w:rsidP="00D413B6" w:rsidRDefault="00163795" w14:paraId="615E54DC" w14:textId="7B8905DF">
      <w:pPr>
        <w:pStyle w:val="Standard"/>
      </w:pPr>
      <w:r>
        <w:t xml:space="preserve">Several parties identify complications that may occur in the event customers enrolled in </w:t>
      </w:r>
      <w:r w:rsidR="00A31269">
        <w:t>“</w:t>
      </w:r>
      <w:r>
        <w:t>COVID-19 Relief Payment P</w:t>
      </w:r>
      <w:r w:rsidR="00A31269">
        <w:t>l</w:t>
      </w:r>
      <w:r>
        <w:t>ans</w:t>
      </w:r>
      <w:r w:rsidR="00A31269">
        <w:t>”</w:t>
      </w:r>
      <w:r>
        <w:t xml:space="preserve"> pay less than required by the due date. CalCCA argues their members will face disproportiona</w:t>
      </w:r>
      <w:r w:rsidR="00B4120F">
        <w:t>te</w:t>
      </w:r>
      <w:r>
        <w:t xml:space="preserve"> financial risk if payments towards arrearages are credited to CCAs only after the IOUs arrearages have been fully satisfied. SoCalGas expresses concern that customers paying only a portion of the total due each month face risk of disconnection unless the payments are credited to arrearages before current bills.</w:t>
      </w:r>
    </w:p>
    <w:p w:rsidR="00D413B6" w:rsidP="00D413B6" w:rsidRDefault="00B04B32" w14:paraId="29DC6CE3" w14:textId="2FF8D896">
      <w:pPr>
        <w:pStyle w:val="Standard"/>
      </w:pPr>
      <w:r>
        <w:t xml:space="preserve">Because we are suspending disconnections of all customers for three months, we find it is appropriate to require </w:t>
      </w:r>
      <w:r w:rsidR="006B69AE">
        <w:t>PG&amp;E, SCE and SDG&amp;E</w:t>
      </w:r>
      <w:r>
        <w:t xml:space="preserve"> to continue allocating partial payment s on a pro rata basis through September 30, 2021, as they have done throughout the Commission’s disconnection moratorium. </w:t>
      </w:r>
      <w:r w:rsidR="00BE7A18">
        <w:t>A permanent determination requires further consideration</w:t>
      </w:r>
      <w:r>
        <w:t xml:space="preserve">.  </w:t>
      </w:r>
      <w:r w:rsidR="00BE7A18">
        <w:t>We slate a</w:t>
      </w:r>
      <w:r>
        <w:t xml:space="preserve">llocation after September 30, 2021 for consideration in the immediate next phase of this proceeding. Between the three additional months and the anticipated debt relief from the California state budget, we do not believe CCAs will face a different level of financial risk than IOUs in the near term. </w:t>
      </w:r>
    </w:p>
    <w:p w:rsidRPr="00D413B6" w:rsidR="00B17DED" w:rsidP="00D413B6" w:rsidRDefault="00B17DED" w14:paraId="29962A2E" w14:textId="1934F66E">
      <w:pPr>
        <w:pStyle w:val="Standard"/>
      </w:pPr>
      <w:r>
        <w:t xml:space="preserve">SoCalGas is correct to highlight the importance of crediting any customer payment first to the arrearage before crediting payment to the current bill. </w:t>
      </w:r>
      <w:r w:rsidR="00DD3ACE">
        <w:t xml:space="preserve">Partial </w:t>
      </w:r>
      <w:r w:rsidR="00DD3ACE">
        <w:lastRenderedPageBreak/>
        <w:t xml:space="preserve">payments are a demonstration of good faith on the customer’s part and should not be used as an excuse to remove the customer from the payment plan. </w:t>
      </w:r>
      <w:r>
        <w:t xml:space="preserve">This approach also </w:t>
      </w:r>
      <w:r w:rsidR="0062195D">
        <w:t>alleviates</w:t>
      </w:r>
      <w:r>
        <w:t xml:space="preserve"> party concerns about how and when utilities classify payments as missed</w:t>
      </w:r>
      <w:r w:rsidR="00DD3ACE">
        <w:t xml:space="preserve">, by preventing a payment less than complete from jeopardizing good standing in a </w:t>
      </w:r>
      <w:r w:rsidR="0062195D">
        <w:t>“</w:t>
      </w:r>
      <w:r w:rsidR="00DD3ACE">
        <w:t>COVID-19 Relief Payment Plan.</w:t>
      </w:r>
      <w:r w:rsidR="0062195D">
        <w:t>”</w:t>
      </w:r>
      <w:r w:rsidR="00DD3ACE">
        <w:t xml:space="preserve"> </w:t>
      </w:r>
    </w:p>
    <w:p w:rsidR="00C22B65" w:rsidP="00C22B65" w:rsidRDefault="00A261DE" w14:paraId="09D79C56" w14:textId="73FDD206">
      <w:pPr>
        <w:pStyle w:val="Heading1"/>
      </w:pPr>
      <w:bookmarkStart w:name="_Toc75258950" w:id="35"/>
      <w:r>
        <w:t xml:space="preserve">“COVID-19 Relief Payment Plans” </w:t>
      </w:r>
      <w:r w:rsidR="005721F2">
        <w:br/>
      </w:r>
      <w:r>
        <w:t xml:space="preserve">for </w:t>
      </w:r>
      <w:r w:rsidR="008B4E7A">
        <w:t>Small Business Customers</w:t>
      </w:r>
      <w:bookmarkEnd w:id="35"/>
    </w:p>
    <w:p w:rsidRPr="00895670" w:rsidR="00895670" w:rsidP="00895670" w:rsidRDefault="00730563" w14:paraId="2AA568D3" w14:textId="431583D0">
      <w:pPr>
        <w:pStyle w:val="Standard"/>
      </w:pPr>
      <w:r>
        <w:t xml:space="preserve">As noted </w:t>
      </w:r>
      <w:r w:rsidRPr="00220081">
        <w:t>supra</w:t>
      </w:r>
      <w:r>
        <w:t xml:space="preserve">, </w:t>
      </w:r>
      <w:r w:rsidRPr="00730563" w:rsidR="00895670">
        <w:t>Small</w:t>
      </w:r>
      <w:r w:rsidR="00895670">
        <w:t xml:space="preserve"> Business customers have been protected from disconnection by the Commission’s actions </w:t>
      </w:r>
      <w:r>
        <w:t xml:space="preserve">in response to the pandemic.  In </w:t>
      </w:r>
      <w:r w:rsidR="00895670">
        <w:t xml:space="preserve">this proceeding, we </w:t>
      </w:r>
      <w:r>
        <w:t xml:space="preserve">have </w:t>
      </w:r>
      <w:r w:rsidR="00895670">
        <w:t xml:space="preserve">gathered information on the degree of payment difficulty Small Business customers have experienced during the COVID-19 crisis. </w:t>
      </w:r>
      <w:r w:rsidR="004C434D">
        <w:t xml:space="preserve"> </w:t>
      </w:r>
      <w:r w:rsidR="00895670">
        <w:t xml:space="preserve">We </w:t>
      </w:r>
      <w:r>
        <w:t xml:space="preserve">have </w:t>
      </w:r>
      <w:r w:rsidR="00895670">
        <w:t xml:space="preserve">also explored </w:t>
      </w:r>
      <w:r w:rsidR="004C7ED8">
        <w:t>the patterns of Small Business credit and collections prior to and during the pandemic, asking the following questions.</w:t>
      </w:r>
      <w:r w:rsidR="00FE2129">
        <w:rPr>
          <w:rStyle w:val="FootnoteReference"/>
        </w:rPr>
        <w:footnoteReference w:id="55"/>
      </w:r>
    </w:p>
    <w:p w:rsidRPr="0070301E" w:rsidR="00FE2129" w:rsidP="003138FC" w:rsidRDefault="00FE2129" w14:paraId="7F6F12B8" w14:textId="562F8069">
      <w:pPr>
        <w:pStyle w:val="Standard"/>
        <w:numPr>
          <w:ilvl w:val="0"/>
          <w:numId w:val="31"/>
        </w:numPr>
        <w:spacing w:after="120" w:line="240" w:lineRule="auto"/>
        <w:ind w:left="1080" w:right="1440"/>
        <w:rPr>
          <w:rFonts w:asciiTheme="minorHAnsi" w:hAnsiTheme="minorHAnsi" w:eastAsiaTheme="minorEastAsia"/>
          <w:szCs w:val="26"/>
        </w:rPr>
      </w:pPr>
      <w:r>
        <w:t>Are all Small Business customers currently eligible for payment plans, regardless of age of customer account (including current accounts)?  If all residential customers are not currently eligible, should they be?</w:t>
      </w:r>
    </w:p>
    <w:p w:rsidR="00B34135" w:rsidP="003138FC" w:rsidRDefault="00B34135" w14:paraId="67D25C2A" w14:textId="4974C4EB">
      <w:pPr>
        <w:pStyle w:val="Standard"/>
        <w:numPr>
          <w:ilvl w:val="0"/>
          <w:numId w:val="31"/>
        </w:numPr>
        <w:spacing w:after="120" w:line="240" w:lineRule="auto"/>
        <w:ind w:left="1080" w:right="1440"/>
      </w:pPr>
      <w:r>
        <w:t xml:space="preserve">Team 5 at the workshop came to consensus on the following for </w:t>
      </w:r>
      <w:r w:rsidR="001879F0">
        <w:t>Small Business</w:t>
      </w:r>
      <w:r>
        <w:t xml:space="preserve"> payment plans, does your party join this consensus?</w:t>
      </w:r>
    </w:p>
    <w:p w:rsidR="00B34135" w:rsidP="0070301E" w:rsidRDefault="00B34135" w14:paraId="0C26AFD2" w14:textId="7AA72592">
      <w:pPr>
        <w:pStyle w:val="Standard"/>
        <w:numPr>
          <w:ilvl w:val="1"/>
          <w:numId w:val="31"/>
        </w:numPr>
        <w:spacing w:after="120" w:line="240" w:lineRule="auto"/>
        <w:ind w:right="1440"/>
      </w:pPr>
      <w:r>
        <w:t xml:space="preserve">Utilities should offer all </w:t>
      </w:r>
      <w:r w:rsidR="001879F0">
        <w:t>Small Business</w:t>
      </w:r>
      <w:r>
        <w:t xml:space="preserve"> customers with arrears payment plans of no more than 24 months.</w:t>
      </w:r>
    </w:p>
    <w:p w:rsidR="00B34135" w:rsidP="0070301E" w:rsidRDefault="00B34135" w14:paraId="4333C8BB" w14:textId="399E2A91">
      <w:pPr>
        <w:pStyle w:val="Standard"/>
        <w:numPr>
          <w:ilvl w:val="1"/>
          <w:numId w:val="31"/>
        </w:numPr>
        <w:spacing w:after="120" w:line="240" w:lineRule="auto"/>
        <w:ind w:right="1440"/>
      </w:pPr>
      <w:r>
        <w:t xml:space="preserve">Utilities should have no specific minimum length for </w:t>
      </w:r>
      <w:r w:rsidR="001879F0">
        <w:t>Small Business</w:t>
      </w:r>
      <w:r>
        <w:t xml:space="preserve"> payment plans, but should provide </w:t>
      </w:r>
      <w:r w:rsidR="001879F0">
        <w:t>Small Business</w:t>
      </w:r>
      <w:r>
        <w:t xml:space="preserve"> customers with up to 24 months to repay their arrears and should work with each customer to determine the best plan for the customer. </w:t>
      </w:r>
    </w:p>
    <w:p w:rsidR="00B34135" w:rsidP="003138FC" w:rsidRDefault="00B34135" w14:paraId="34A885AD" w14:textId="04067D59">
      <w:pPr>
        <w:pStyle w:val="Standard"/>
        <w:numPr>
          <w:ilvl w:val="0"/>
          <w:numId w:val="31"/>
        </w:numPr>
        <w:spacing w:after="120" w:line="240" w:lineRule="auto"/>
        <w:ind w:left="1080" w:right="1440"/>
      </w:pPr>
      <w:r>
        <w:lastRenderedPageBreak/>
        <w:t xml:space="preserve">Team 5 at the workshop identified a need for utilities to increase outreach to </w:t>
      </w:r>
      <w:r w:rsidR="001879F0">
        <w:t>Small Business</w:t>
      </w:r>
      <w:r>
        <w:t xml:space="preserve"> customers, both to individual customers and community-based organizations that work with </w:t>
      </w:r>
      <w:r w:rsidR="001879F0">
        <w:t>Small Business</w:t>
      </w:r>
      <w:r>
        <w:t xml:space="preserve">es, to personalize assistance for </w:t>
      </w:r>
      <w:r w:rsidR="001879F0">
        <w:t>Small Business</w:t>
      </w:r>
      <w:r>
        <w:t xml:space="preserve"> and help these customers receive assistance for which they are eligible. </w:t>
      </w:r>
    </w:p>
    <w:p w:rsidR="00B34135" w:rsidP="0070301E" w:rsidRDefault="00B34135" w14:paraId="401D0C39" w14:textId="072D22D1">
      <w:pPr>
        <w:pStyle w:val="Standard"/>
        <w:numPr>
          <w:ilvl w:val="1"/>
          <w:numId w:val="31"/>
        </w:numPr>
        <w:spacing w:after="120" w:line="240" w:lineRule="auto"/>
        <w:ind w:right="1440"/>
      </w:pPr>
      <w:r>
        <w:t xml:space="preserve">For utilities:  please comment on your plans to conduct outreach to </w:t>
      </w:r>
      <w:r w:rsidR="001879F0">
        <w:t>Small Business</w:t>
      </w:r>
      <w:r>
        <w:t xml:space="preserve"> customers with arrears, including plans to target community-based organizations that have relationships with these customers, streamline relevant application processes, and/or identify individual customers to assist these customers with their arrears.  </w:t>
      </w:r>
    </w:p>
    <w:p w:rsidR="00B34135" w:rsidP="0070301E" w:rsidRDefault="00B34135" w14:paraId="356AC066" w14:textId="2A91570C">
      <w:pPr>
        <w:pStyle w:val="Standard"/>
        <w:numPr>
          <w:ilvl w:val="1"/>
          <w:numId w:val="31"/>
        </w:numPr>
        <w:spacing w:after="120" w:line="240" w:lineRule="auto"/>
        <w:ind w:right="1440"/>
      </w:pPr>
      <w:r>
        <w:t xml:space="preserve">For all parties:  please provide any comments on how utilities should conduct Marketing, Education, and Outreach activities to target </w:t>
      </w:r>
      <w:r w:rsidR="001879F0">
        <w:t>Small Business</w:t>
      </w:r>
      <w:r>
        <w:t xml:space="preserve"> customers with arrears, including any comments on how to specifically target </w:t>
      </w:r>
      <w:r w:rsidR="001879F0">
        <w:t>Small Business</w:t>
      </w:r>
      <w:r>
        <w:t xml:space="preserve"> customers that serve or are located in ESJ communities. </w:t>
      </w:r>
    </w:p>
    <w:p w:rsidR="0070301E" w:rsidP="003138FC" w:rsidRDefault="00B34135" w14:paraId="70B5F4B0" w14:textId="77777777">
      <w:pPr>
        <w:pStyle w:val="Standard"/>
        <w:numPr>
          <w:ilvl w:val="0"/>
          <w:numId w:val="31"/>
        </w:numPr>
        <w:spacing w:after="120" w:line="240" w:lineRule="auto"/>
        <w:ind w:left="1080" w:right="1440"/>
      </w:pPr>
      <w:r>
        <w:t xml:space="preserve">Is a utility’s recourse to collect on unpaid arrearages from a </w:t>
      </w:r>
      <w:r w:rsidR="001879F0">
        <w:t>Small Business</w:t>
      </w:r>
      <w:r>
        <w:t xml:space="preserve"> customer who “walks away” different </w:t>
      </w:r>
      <w:r w:rsidR="00CB65F0">
        <w:t xml:space="preserve">from </w:t>
      </w:r>
      <w:r>
        <w:t xml:space="preserve">the utility’s recourse for residential customers? </w:t>
      </w:r>
      <w:r w:rsidR="004C434D">
        <w:t xml:space="preserve"> </w:t>
      </w:r>
      <w:r>
        <w:t>How so?</w:t>
      </w:r>
    </w:p>
    <w:p w:rsidR="00B34135" w:rsidP="003138FC" w:rsidRDefault="00B34135" w14:paraId="1EB44304" w14:textId="7601FC1D">
      <w:pPr>
        <w:pStyle w:val="Standard"/>
        <w:numPr>
          <w:ilvl w:val="0"/>
          <w:numId w:val="31"/>
        </w:numPr>
        <w:spacing w:after="120" w:line="240" w:lineRule="auto"/>
        <w:ind w:left="1080" w:right="1440"/>
      </w:pPr>
      <w:r>
        <w:t xml:space="preserve">How much risk is there to a utility that a </w:t>
      </w:r>
      <w:r w:rsidR="001879F0">
        <w:t>Small Business</w:t>
      </w:r>
      <w:r>
        <w:t xml:space="preserve"> customer who is disconnected for nonpayment </w:t>
      </w:r>
      <w:r w:rsidR="00CF7548">
        <w:t xml:space="preserve">will </w:t>
      </w:r>
      <w:r>
        <w:t>not reconnect service?</w:t>
      </w:r>
      <w:r w:rsidR="003C2C80">
        <w:rPr>
          <w:rStyle w:val="FootnoteReference"/>
        </w:rPr>
        <w:footnoteReference w:id="56"/>
      </w:r>
    </w:p>
    <w:p w:rsidR="00B34135" w:rsidP="003138FC" w:rsidRDefault="00B34135" w14:paraId="047BBDEF" w14:textId="468391FC">
      <w:pPr>
        <w:pStyle w:val="Standard"/>
        <w:numPr>
          <w:ilvl w:val="0"/>
          <w:numId w:val="31"/>
        </w:numPr>
        <w:spacing w:after="120" w:line="240" w:lineRule="auto"/>
        <w:ind w:left="1080" w:right="1440"/>
      </w:pPr>
      <w:r>
        <w:t xml:space="preserve">What is your utility’s success rate in collecting utility arrearages from </w:t>
      </w:r>
      <w:r w:rsidR="001879F0">
        <w:t>Small Business</w:t>
      </w:r>
      <w:r>
        <w:t xml:space="preserve"> customers after the </w:t>
      </w:r>
      <w:r w:rsidR="001879F0">
        <w:t>Small Business</w:t>
      </w:r>
      <w:r>
        <w:t xml:space="preserve"> does not reconnect service?</w:t>
      </w:r>
    </w:p>
    <w:p w:rsidR="00F3754C" w:rsidP="00F3754C" w:rsidRDefault="00F3754C" w14:paraId="1BDC0526" w14:textId="709094E7">
      <w:pPr>
        <w:pStyle w:val="Heading2"/>
      </w:pPr>
      <w:bookmarkStart w:name="_Toc75258951" w:id="36"/>
      <w:r>
        <w:t>Party Positions</w:t>
      </w:r>
      <w:bookmarkEnd w:id="36"/>
    </w:p>
    <w:p w:rsidR="008E699F" w:rsidP="008E699F" w:rsidRDefault="00E4648D" w14:paraId="52C8C663" w14:textId="7186548E">
      <w:pPr>
        <w:pStyle w:val="Standard"/>
      </w:pPr>
      <w:r>
        <w:t xml:space="preserve">SDG&amp;E and SoCalGas support the concept of reasonable payment plans as a solution to arrearages amassed by Small Business customers during the </w:t>
      </w:r>
      <w:r>
        <w:lastRenderedPageBreak/>
        <w:t>pandemic.</w:t>
      </w:r>
      <w:r>
        <w:rPr>
          <w:rStyle w:val="FootnoteReference"/>
        </w:rPr>
        <w:footnoteReference w:id="57"/>
      </w:r>
      <w:r>
        <w:t xml:space="preserve"> </w:t>
      </w:r>
      <w:r w:rsidR="004C434D">
        <w:t xml:space="preserve"> </w:t>
      </w:r>
      <w:r w:rsidR="003D6C1D">
        <w:t>Their definition of reasonable differs from the SBUA definition of reasonable, primarily over automatic enrollment and reasonable amortization periods.</w:t>
      </w:r>
      <w:r w:rsidR="004C434D">
        <w:t xml:space="preserve"> </w:t>
      </w:r>
      <w:r w:rsidR="003D6C1D">
        <w:t xml:space="preserve"> </w:t>
      </w:r>
      <w:r w:rsidR="008E699F">
        <w:t>SBUA argues for a</w:t>
      </w:r>
      <w:r w:rsidR="008E1666">
        <w:t>n automatic,</w:t>
      </w:r>
      <w:r w:rsidR="008E699F">
        <w:t xml:space="preserve"> </w:t>
      </w:r>
      <w:r w:rsidR="001865C3">
        <w:t xml:space="preserve">customized </w:t>
      </w:r>
      <w:r w:rsidR="008E699F">
        <w:t xml:space="preserve">payment extension for all </w:t>
      </w:r>
      <w:r w:rsidR="001879F0">
        <w:t>Small Business</w:t>
      </w:r>
      <w:r w:rsidR="008E699F">
        <w:t xml:space="preserve"> customers</w:t>
      </w:r>
      <w:r w:rsidR="001865C3">
        <w:t xml:space="preserve"> </w:t>
      </w:r>
      <w:r w:rsidR="00352EF6">
        <w:t>with an included element of debt forgiveness</w:t>
      </w:r>
      <w:r w:rsidR="008E699F">
        <w:t xml:space="preserve">. </w:t>
      </w:r>
      <w:r w:rsidR="004C434D">
        <w:t xml:space="preserve"> </w:t>
      </w:r>
      <w:r w:rsidR="008E699F">
        <w:t>They also propose capping the payments of arrearages to 10</w:t>
      </w:r>
      <w:r w:rsidR="0068504C">
        <w:t xml:space="preserve"> percent</w:t>
      </w:r>
      <w:r w:rsidR="008E699F">
        <w:t xml:space="preserve"> of the customer’s current bill for </w:t>
      </w:r>
      <w:r w:rsidR="001879F0">
        <w:t>Small Business</w:t>
      </w:r>
      <w:r w:rsidR="008E699F">
        <w:t>es generally, and to 5</w:t>
      </w:r>
      <w:r w:rsidR="0068504C">
        <w:t xml:space="preserve"> percent</w:t>
      </w:r>
      <w:r w:rsidR="008E699F">
        <w:t xml:space="preserve"> of the customer’s current bill for customers in </w:t>
      </w:r>
      <w:r w:rsidR="00902EF5">
        <w:t>d</w:t>
      </w:r>
      <w:r w:rsidR="008E699F">
        <w:t xml:space="preserve">isadvantaged </w:t>
      </w:r>
      <w:r w:rsidR="00902EF5">
        <w:t>c</w:t>
      </w:r>
      <w:r w:rsidR="008E699F">
        <w:t>ommunities.</w:t>
      </w:r>
      <w:r w:rsidR="008E699F">
        <w:rPr>
          <w:rStyle w:val="FootnoteReference"/>
        </w:rPr>
        <w:footnoteReference w:id="58"/>
      </w:r>
    </w:p>
    <w:p w:rsidR="005B315E" w:rsidP="008E699F" w:rsidRDefault="00B704D3" w14:paraId="65AAD0F7" w14:textId="59950BFD">
      <w:pPr>
        <w:pStyle w:val="Standard"/>
      </w:pPr>
      <w:r>
        <w:t>A</w:t>
      </w:r>
      <w:r w:rsidR="005B315E">
        <w:t xml:space="preserve"> part of Workshop Team #5</w:t>
      </w:r>
      <w:r>
        <w:t>, SBUA was initially</w:t>
      </w:r>
      <w:r w:rsidR="005B315E">
        <w:t xml:space="preserve"> proposing non-financial assistance for Small Business customers. </w:t>
      </w:r>
      <w:r w:rsidR="004C434D">
        <w:t xml:space="preserve"> </w:t>
      </w:r>
      <w:r w:rsidR="005B315E">
        <w:t xml:space="preserve">In post-workshop comments and briefs, SBUA has presented more extensive analysis on the conditions faced by </w:t>
      </w:r>
      <w:r w:rsidR="00EC4E58">
        <w:t>Small B</w:t>
      </w:r>
      <w:r w:rsidR="001D53D2">
        <w:t>u</w:t>
      </w:r>
      <w:r w:rsidR="00EC4E58">
        <w:t xml:space="preserve">siness </w:t>
      </w:r>
      <w:r w:rsidR="005B315E">
        <w:t xml:space="preserve">customers, and recommends financial relief as well as automatic enrollment in payment plans. </w:t>
      </w:r>
      <w:r w:rsidR="004C434D">
        <w:t xml:space="preserve"> </w:t>
      </w:r>
      <w:r w:rsidR="005B315E">
        <w:t xml:space="preserve">Furthermore, SBUA points out that Small Business customers are not monolithic, and especially Small Businesses in ESJ communities may merit special consideration. </w:t>
      </w:r>
    </w:p>
    <w:p w:rsidRPr="003C5335" w:rsidR="008E699F" w:rsidP="008E699F" w:rsidRDefault="008E699F" w14:paraId="7B6F95DC" w14:textId="13B37BF5">
      <w:pPr>
        <w:pStyle w:val="Standard"/>
      </w:pPr>
      <w:r>
        <w:t xml:space="preserve">SBUA points out consensus in their working group for affirmative outreach to </w:t>
      </w:r>
      <w:r w:rsidR="001879F0">
        <w:t>Small Business</w:t>
      </w:r>
      <w:r>
        <w:t xml:space="preserve"> customers for the purposes of counseling customers on bill reductions strategies</w:t>
      </w:r>
      <w:r w:rsidR="00666523">
        <w:t>, such as</w:t>
      </w:r>
      <w:r>
        <w:t xml:space="preserve"> Time of Use adjustments, </w:t>
      </w:r>
      <w:r w:rsidR="00666523">
        <w:t xml:space="preserve">and </w:t>
      </w:r>
      <w:r>
        <w:t>generation investments/incentives.</w:t>
      </w:r>
      <w:r w:rsidR="00970361">
        <w:t xml:space="preserve"> </w:t>
      </w:r>
      <w:r>
        <w:t xml:space="preserve"> </w:t>
      </w:r>
      <w:r>
        <w:rPr>
          <w:rStyle w:val="FootnoteReference"/>
        </w:rPr>
        <w:footnoteReference w:id="59"/>
      </w:r>
      <w:r>
        <w:t xml:space="preserve"> SBUA consistently recommended counseling by trained </w:t>
      </w:r>
      <w:r w:rsidR="00352EF6">
        <w:t xml:space="preserve">utility </w:t>
      </w:r>
      <w:r>
        <w:t>representatives throughout this proceeding.</w:t>
      </w:r>
      <w:r>
        <w:rPr>
          <w:rStyle w:val="FootnoteReference"/>
        </w:rPr>
        <w:footnoteReference w:id="60"/>
      </w:r>
    </w:p>
    <w:p w:rsidR="00097601" w:rsidP="00097601" w:rsidRDefault="00097601" w14:paraId="75AD5395" w14:textId="32942405">
      <w:pPr>
        <w:pStyle w:val="Standard"/>
      </w:pPr>
      <w:r>
        <w:t xml:space="preserve">PG&amp;E disagrees with </w:t>
      </w:r>
      <w:r w:rsidR="00403113">
        <w:t xml:space="preserve">the </w:t>
      </w:r>
      <w:r>
        <w:t>SBUA recommendations for auto-enrollment into a payment plan</w:t>
      </w:r>
      <w:r w:rsidR="006253D4">
        <w:t>, citing their adherence to the Work</w:t>
      </w:r>
      <w:r w:rsidR="009D4134">
        <w:t>shop</w:t>
      </w:r>
      <w:r w:rsidR="006253D4">
        <w:t xml:space="preserve"> Team</w:t>
      </w:r>
      <w:r w:rsidR="009D4134">
        <w:t xml:space="preserve"> #5</w:t>
      </w:r>
      <w:r w:rsidR="006253D4">
        <w:t xml:space="preserve">’s consensus </w:t>
      </w:r>
      <w:r w:rsidR="006253D4">
        <w:lastRenderedPageBreak/>
        <w:t>proposal at the workshop, which recommended against automatic enrollment.</w:t>
      </w:r>
      <w:r w:rsidR="00F37F3D">
        <w:t xml:space="preserve"> </w:t>
      </w:r>
      <w:r w:rsidR="00970361">
        <w:t xml:space="preserve"> </w:t>
      </w:r>
      <w:r w:rsidR="00F37F3D">
        <w:t>In contrast, SDG&amp;E believes the Commission’s characterization of the Workshop Team #5’s presentation as consensus is inaccurate.</w:t>
      </w:r>
      <w:r w:rsidR="00F37F3D">
        <w:rPr>
          <w:rStyle w:val="FootnoteReference"/>
        </w:rPr>
        <w:footnoteReference w:id="61"/>
      </w:r>
    </w:p>
    <w:p w:rsidRPr="00097601" w:rsidR="006253D4" w:rsidP="006253D4" w:rsidRDefault="006253D4" w14:paraId="500A959E" w14:textId="7836B449">
      <w:pPr>
        <w:pStyle w:val="Standard"/>
      </w:pPr>
      <w:r>
        <w:t xml:space="preserve">SoCalGas also suggests relief for </w:t>
      </w:r>
      <w:r w:rsidR="00256D90">
        <w:t>S</w:t>
      </w:r>
      <w:r>
        <w:t xml:space="preserve">mall </w:t>
      </w:r>
      <w:r w:rsidR="00256D90">
        <w:t>B</w:t>
      </w:r>
      <w:r>
        <w:t xml:space="preserve">usiness, whether existing or new through this proceeding, indirectly impacts workforce development. </w:t>
      </w:r>
      <w:r w:rsidR="00970361">
        <w:t xml:space="preserve"> </w:t>
      </w:r>
      <w:r>
        <w:t xml:space="preserve">We agree </w:t>
      </w:r>
      <w:r w:rsidR="001879F0">
        <w:t>Small Business</w:t>
      </w:r>
      <w:r>
        <w:t xml:space="preserve"> relief furthers Goal 7 of promoting economic and workforce development opportunities in ESJ communities.</w:t>
      </w:r>
      <w:r>
        <w:rPr>
          <w:rStyle w:val="FootnoteReference"/>
        </w:rPr>
        <w:footnoteReference w:id="62"/>
      </w:r>
    </w:p>
    <w:p w:rsidR="00F3754C" w:rsidP="00F3754C" w:rsidRDefault="00F3754C" w14:paraId="28F4634D" w14:textId="195A369E">
      <w:pPr>
        <w:pStyle w:val="Heading2"/>
      </w:pPr>
      <w:bookmarkStart w:name="_Toc75258952" w:id="37"/>
      <w:r>
        <w:t>Discussion</w:t>
      </w:r>
      <w:bookmarkEnd w:id="37"/>
    </w:p>
    <w:p w:rsidR="00526ED7" w:rsidP="00582DEA" w:rsidRDefault="0061399B" w14:paraId="18B94698" w14:textId="1490588B">
      <w:pPr>
        <w:pStyle w:val="Standard"/>
      </w:pPr>
      <w:r>
        <w:t>We utilize the Workshop Team #5 recommendations as a framework</w:t>
      </w:r>
      <w:r w:rsidR="00EA5032">
        <w:t xml:space="preserve"> for relief, ordering two prongs of relief</w:t>
      </w:r>
      <w:r w:rsidR="00731DC0">
        <w:t>:</w:t>
      </w:r>
      <w:r w:rsidR="00EA5032">
        <w:t xml:space="preserve"> payment plans plus aggressive </w:t>
      </w:r>
      <w:r w:rsidR="00352EF6">
        <w:t xml:space="preserve">utility </w:t>
      </w:r>
      <w:r w:rsidR="00EA5032">
        <w:t xml:space="preserve">outreach to counsel Small Businesses on how to best reduce their existing bills. </w:t>
      </w:r>
      <w:r w:rsidR="00970361">
        <w:t xml:space="preserve"> </w:t>
      </w:r>
      <w:r w:rsidR="00312514">
        <w:t>Six months into the pandemic, the Energy Division showed Small Business arrearages of three months or longer had nearly tripled from the prior year September 2019.</w:t>
      </w:r>
      <w:r w:rsidR="009A7059">
        <w:rPr>
          <w:rStyle w:val="FootnoteReference"/>
        </w:rPr>
        <w:footnoteReference w:id="63"/>
      </w:r>
      <w:r w:rsidR="00312514">
        <w:t xml:space="preserve"> Six months later, arrearages in the three months or longer category had more than tripled from the prior year March 2020. </w:t>
      </w:r>
    </w:p>
    <w:p w:rsidR="00312514" w:rsidP="00582DEA" w:rsidRDefault="00EA5032" w14:paraId="1361AABF" w14:textId="040396B5">
      <w:pPr>
        <w:pStyle w:val="Standard"/>
      </w:pPr>
      <w:r>
        <w:t>However</w:t>
      </w:r>
      <w:r w:rsidR="0061399B">
        <w:t xml:space="preserve">, </w:t>
      </w:r>
      <w:r>
        <w:t>we make adjustments primarily to the payment plan terms for Small Business customers.</w:t>
      </w:r>
      <w:r w:rsidR="0061399B">
        <w:t xml:space="preserve"> </w:t>
      </w:r>
      <w:r w:rsidR="00970361">
        <w:t xml:space="preserve"> </w:t>
      </w:r>
      <w:r w:rsidR="0061399B">
        <w:t xml:space="preserve">The Workshop Team #5 recommended a combination of payment plans, with no outright forgiveness, together with aggressive counseling to help Small Business customers reduce their current bills through existing available programs. </w:t>
      </w:r>
      <w:r w:rsidR="00970361">
        <w:t xml:space="preserve"> </w:t>
      </w:r>
      <w:r>
        <w:t xml:space="preserve">As noted by SDG&amp;E, Workshop Team #5’s recommendations were not binding and according to some team members, not necessarily consensus. </w:t>
      </w:r>
      <w:r w:rsidR="0061399B">
        <w:t xml:space="preserve">Today’s order does not adopt the payment plan terms </w:t>
      </w:r>
      <w:r w:rsidR="0061399B">
        <w:lastRenderedPageBreak/>
        <w:t>recommended by Workshop Team #5 and instead order</w:t>
      </w:r>
      <w:r w:rsidR="00543E37">
        <w:t>s</w:t>
      </w:r>
      <w:r w:rsidR="0061399B">
        <w:t xml:space="preserve"> energy utilities to set the amortization terms relative to the Small Business customer’s </w:t>
      </w:r>
      <w:r w:rsidR="003E4E99">
        <w:t>average</w:t>
      </w:r>
      <w:r w:rsidR="0061399B">
        <w:t xml:space="preserve"> bill, </w:t>
      </w:r>
      <w:r w:rsidR="00F4341C">
        <w:t>with the average based on bills</w:t>
      </w:r>
      <w:r w:rsidR="003E4E99">
        <w:t xml:space="preserve"> over the past 24 months. </w:t>
      </w:r>
      <w:r w:rsidR="004F63CC">
        <w:t xml:space="preserve"> </w:t>
      </w:r>
    </w:p>
    <w:p w:rsidR="0061399B" w:rsidP="00582DEA" w:rsidRDefault="003E4E99" w14:paraId="2E9BF046" w14:textId="0E40064F">
      <w:pPr>
        <w:pStyle w:val="Standard"/>
      </w:pPr>
      <w:r>
        <w:t>While</w:t>
      </w:r>
      <w:r w:rsidR="0061399B">
        <w:t xml:space="preserve"> SBUA</w:t>
      </w:r>
      <w:r>
        <w:t xml:space="preserve"> recommended a similar </w:t>
      </w:r>
      <w:r w:rsidR="00F4341C">
        <w:t>outcome of capping debt payments relative to each customer’s bill, their recommendation contained more steps and resulted in more variation</w:t>
      </w:r>
      <w:r w:rsidR="0061399B">
        <w:t xml:space="preserve">. </w:t>
      </w:r>
      <w:r w:rsidR="00970361">
        <w:t xml:space="preserve"> </w:t>
      </w:r>
      <w:r w:rsidR="0061399B">
        <w:t>Th</w:t>
      </w:r>
      <w:r w:rsidR="00352EF6">
        <w:t>e calculated approach for “</w:t>
      </w:r>
      <w:r w:rsidR="0061399B">
        <w:t xml:space="preserve">Small Business </w:t>
      </w:r>
      <w:r w:rsidR="00352EF6">
        <w:t xml:space="preserve">COVID-19 Relief Payment Plans” </w:t>
      </w:r>
      <w:r w:rsidR="00F32EE8">
        <w:t>i</w:t>
      </w:r>
      <w:r w:rsidR="00352EF6">
        <w:t>s appropriate as an interim step</w:t>
      </w:r>
      <w:r w:rsidR="00F32EE8">
        <w:t xml:space="preserve"> </w:t>
      </w:r>
      <w:r w:rsidR="00352EF6">
        <w:t>because</w:t>
      </w:r>
      <w:r w:rsidR="0061399B">
        <w:t xml:space="preserve"> </w:t>
      </w:r>
      <w:r w:rsidR="00F32EE8">
        <w:t xml:space="preserve">it </w:t>
      </w:r>
      <w:r w:rsidR="0061399B">
        <w:t>1) scales relative to the consumption and rate of the Small Business, 2)</w:t>
      </w:r>
      <w:r w:rsidR="004F63CC">
        <w:t> </w:t>
      </w:r>
      <w:r w:rsidR="0061399B">
        <w:t xml:space="preserve">gives Small Business customers an ability to gradually </w:t>
      </w:r>
      <w:r w:rsidR="00031DA2">
        <w:t>pay their debt, and 3)</w:t>
      </w:r>
      <w:r w:rsidR="004F63CC">
        <w:t> </w:t>
      </w:r>
      <w:r w:rsidR="00031DA2">
        <w:t xml:space="preserve">embodies the same principles of simplicity and customer agency that we found essential in ordering the “COVID-19 Residential Payment Plans.” </w:t>
      </w:r>
      <w:r w:rsidR="00A77F0C">
        <w:t xml:space="preserve">Most parties warn that the 10/5 percent structure of calculating debt payments will saddle those Small Business customers deepest in debt with interminable plan lengths. </w:t>
      </w:r>
      <w:r w:rsidR="006132DE">
        <w:t xml:space="preserve">If today’s decision were to be the last word on Small Business relief, parties would be correct. But it is not. </w:t>
      </w:r>
      <w:r w:rsidR="00A77F0C">
        <w:t xml:space="preserve">We </w:t>
      </w:r>
      <w:r w:rsidR="005353AF">
        <w:t xml:space="preserve">acknowledge the SBUA position that an immediate shift to full payment is not realistic; </w:t>
      </w:r>
      <w:r w:rsidR="00A77F0C">
        <w:t xml:space="preserve">it is better </w:t>
      </w:r>
      <w:r w:rsidR="005353AF">
        <w:t xml:space="preserve">for now </w:t>
      </w:r>
      <w:r w:rsidR="00A77F0C">
        <w:t xml:space="preserve">to keep Small Business </w:t>
      </w:r>
      <w:r w:rsidR="005353AF">
        <w:t xml:space="preserve">debt </w:t>
      </w:r>
      <w:r w:rsidR="00A77F0C">
        <w:t xml:space="preserve">payments as minimal as possible </w:t>
      </w:r>
      <w:r w:rsidR="006132DE">
        <w:t>so that Small Business customers can begin to turn the corner while stabilizing their business operations.</w:t>
      </w:r>
      <w:r w:rsidR="00C12B8F">
        <w:rPr>
          <w:rStyle w:val="FootnoteReference"/>
        </w:rPr>
        <w:footnoteReference w:id="64"/>
      </w:r>
    </w:p>
    <w:p w:rsidR="00582DEA" w:rsidP="00582DEA" w:rsidRDefault="00582DEA" w14:paraId="34EE12F5" w14:textId="059F8E5C">
      <w:pPr>
        <w:pStyle w:val="Standard"/>
      </w:pPr>
      <w:r>
        <w:t xml:space="preserve">Unlike the external funding for residential arrearage relief on the horizon, we are unaware of </w:t>
      </w:r>
      <w:r w:rsidR="009941BA">
        <w:t xml:space="preserve">new </w:t>
      </w:r>
      <w:r>
        <w:t xml:space="preserve">programs to reduce </w:t>
      </w:r>
      <w:r w:rsidR="00543E37">
        <w:t xml:space="preserve">utility </w:t>
      </w:r>
      <w:r>
        <w:t xml:space="preserve">arrearages of </w:t>
      </w:r>
      <w:r w:rsidR="009941BA">
        <w:t>Small B</w:t>
      </w:r>
      <w:r>
        <w:t>usiness customers.</w:t>
      </w:r>
      <w:r w:rsidR="00544970">
        <w:rPr>
          <w:rStyle w:val="FootnoteReference"/>
        </w:rPr>
        <w:footnoteReference w:id="65"/>
      </w:r>
      <w:r>
        <w:t xml:space="preserve"> </w:t>
      </w:r>
      <w:r w:rsidR="00970361">
        <w:t xml:space="preserve"> </w:t>
      </w:r>
      <w:r>
        <w:t xml:space="preserve">We are convinced by the SBUA position that energy utilities must </w:t>
      </w:r>
      <w:r w:rsidR="005353AF">
        <w:t xml:space="preserve">treat debt accumulated during the COVID-19 pandemic differently. Today’s requirement to </w:t>
      </w:r>
      <w:r>
        <w:t>tailor payment plan</w:t>
      </w:r>
      <w:r w:rsidR="0009722E">
        <w:t xml:space="preserve"> amount</w:t>
      </w:r>
      <w:r>
        <w:t xml:space="preserve">s </w:t>
      </w:r>
      <w:r w:rsidR="0009722E">
        <w:t>so that</w:t>
      </w:r>
      <w:r>
        <w:t xml:space="preserve"> </w:t>
      </w:r>
      <w:r w:rsidR="001879F0">
        <w:t>Small Business</w:t>
      </w:r>
      <w:r>
        <w:t xml:space="preserve"> </w:t>
      </w:r>
      <w:r w:rsidR="0009722E">
        <w:t xml:space="preserve">customers </w:t>
      </w:r>
      <w:r w:rsidR="0009722E">
        <w:lastRenderedPageBreak/>
        <w:t>pay just fractionally more than their</w:t>
      </w:r>
      <w:r>
        <w:t xml:space="preserve"> typical bill</w:t>
      </w:r>
      <w:r w:rsidR="005353AF">
        <w:t xml:space="preserve"> nearly accomplishes the SBUA objective of keeping customers connected to service</w:t>
      </w:r>
      <w:r>
        <w:t xml:space="preserve">. </w:t>
      </w:r>
      <w:r w:rsidR="00970361">
        <w:t xml:space="preserve"> </w:t>
      </w:r>
      <w:r>
        <w:t xml:space="preserve">We are further convinced by party responses to the Post-Workshop questions that </w:t>
      </w:r>
      <w:r w:rsidR="0064721E">
        <w:t xml:space="preserve">disconnecting </w:t>
      </w:r>
      <w:r w:rsidR="001879F0">
        <w:t>Small Business</w:t>
      </w:r>
      <w:r>
        <w:t xml:space="preserve"> customers </w:t>
      </w:r>
      <w:r w:rsidR="005353AF">
        <w:t>has severe repercussions on business operations, giving these customers maximum incentive to</w:t>
      </w:r>
      <w:r>
        <w:t xml:space="preserve"> </w:t>
      </w:r>
      <w:r w:rsidR="005353AF">
        <w:t>resolve their debt</w:t>
      </w:r>
      <w:r>
        <w:t xml:space="preserve">. </w:t>
      </w:r>
    </w:p>
    <w:p w:rsidRPr="00582DEA" w:rsidR="00205F77" w:rsidP="00582DEA" w:rsidRDefault="00205F77" w14:paraId="00BBBE31" w14:textId="246B12DE">
      <w:pPr>
        <w:pStyle w:val="Standard"/>
      </w:pPr>
      <w:r>
        <w:t>We believe automatic enrollment for Small Business customers into these payment plans will simultaneously increase the likelihood of Small Business customers reaching out their utility to make the necessary connections to begin the counseling supported by all parties.</w:t>
      </w:r>
      <w:r w:rsidR="00B518C6">
        <w:t xml:space="preserve"> </w:t>
      </w:r>
      <w:r>
        <w:t xml:space="preserve"> </w:t>
      </w:r>
      <w:r w:rsidR="005353AF">
        <w:t xml:space="preserve">At the same time, </w:t>
      </w:r>
      <w:r w:rsidR="002239C4">
        <w:t xml:space="preserve">utilities must be prepared with meaningful and actionable information for Small Business customers. We expect </w:t>
      </w:r>
      <w:r w:rsidR="006132DE">
        <w:t xml:space="preserve">utilities to develop a dedicated team prepared to </w:t>
      </w:r>
      <w:r w:rsidR="002239C4">
        <w:t xml:space="preserve">streamline interactions with Small Business customers and jointly evaluate for each Small Business customer in debt which rates, programs and incentives apply. </w:t>
      </w:r>
      <w:r>
        <w:t xml:space="preserve">Should this not occur, we further increase the likelihood of the customer reaching out to the utility, or the utility reaching out to the Small Business customer, through </w:t>
      </w:r>
      <w:r w:rsidR="002239C4">
        <w:t xml:space="preserve">an </w:t>
      </w:r>
      <w:r w:rsidR="00164BD1">
        <w:t>adjunct</w:t>
      </w:r>
      <w:r>
        <w:t xml:space="preserve"> </w:t>
      </w:r>
      <w:r w:rsidR="002239C4">
        <w:t xml:space="preserve">outreach </w:t>
      </w:r>
      <w:r>
        <w:t>mandate, discussed in Section 5</w:t>
      </w:r>
      <w:r w:rsidR="001F68D9">
        <w:t>.3</w:t>
      </w:r>
      <w:r>
        <w:t xml:space="preserve"> below.</w:t>
      </w:r>
    </w:p>
    <w:p w:rsidR="004F31C9" w:rsidP="005939A5" w:rsidRDefault="005C7B9C" w14:paraId="1511A9BB" w14:textId="325AD774">
      <w:pPr>
        <w:pStyle w:val="Heading1"/>
      </w:pPr>
      <w:bookmarkStart w:name="_Toc75258953" w:id="38"/>
      <w:r>
        <w:t xml:space="preserve">Payment Plan Support Via More Robust </w:t>
      </w:r>
      <w:r w:rsidR="004F63CC">
        <w:br/>
      </w:r>
      <w:r>
        <w:t>Community Based Organizatio</w:t>
      </w:r>
      <w:r w:rsidR="00EB2DC3">
        <w:t>n</w:t>
      </w:r>
      <w:r>
        <w:t xml:space="preserve"> Outreach</w:t>
      </w:r>
      <w:bookmarkEnd w:id="38"/>
    </w:p>
    <w:p w:rsidR="005C7B9C" w:rsidP="007C53B0" w:rsidRDefault="005C7B9C" w14:paraId="291F9867" w14:textId="2E4F7E6D">
      <w:pPr>
        <w:pStyle w:val="Standard"/>
      </w:pPr>
      <w:r>
        <w:t>Payment plans are not a one-time occurrence.</w:t>
      </w:r>
      <w:r w:rsidR="006C6CC2">
        <w:t xml:space="preserve"> </w:t>
      </w:r>
      <w:r>
        <w:t xml:space="preserve"> Rather, </w:t>
      </w:r>
      <w:r w:rsidR="003317B1">
        <w:t xml:space="preserve">payment plans </w:t>
      </w:r>
      <w:r w:rsidR="008C5FDA">
        <w:t>are ongoing, as described in the Workshop Proposals and by workshop participants.</w:t>
      </w:r>
      <w:r w:rsidR="003317B1">
        <w:t xml:space="preserve"> </w:t>
      </w:r>
      <w:r w:rsidR="008C5FDA">
        <w:t xml:space="preserve">Enrollment is the first step, </w:t>
      </w:r>
      <w:r w:rsidR="002648A4">
        <w:t>which we have automated</w:t>
      </w:r>
      <w:r w:rsidR="008C5FDA">
        <w:t xml:space="preserve">. </w:t>
      </w:r>
      <w:r w:rsidR="006C6CC2">
        <w:t xml:space="preserve"> </w:t>
      </w:r>
      <w:r w:rsidR="008C5FDA">
        <w:t>W</w:t>
      </w:r>
      <w:r w:rsidR="002648A4">
        <w:t>e cannot automate the next important steps</w:t>
      </w:r>
      <w:r w:rsidR="00747ECB">
        <w:t xml:space="preserve">-- </w:t>
      </w:r>
      <w:r w:rsidR="002648A4">
        <w:t xml:space="preserve">making payments </w:t>
      </w:r>
      <w:r w:rsidR="008C5FDA">
        <w:t>until the debt is resolved</w:t>
      </w:r>
      <w:r w:rsidR="00456464">
        <w:t>--</w:t>
      </w:r>
      <w:r w:rsidR="002648A4">
        <w:t xml:space="preserve">but </w:t>
      </w:r>
      <w:r w:rsidR="008C5FDA">
        <w:t xml:space="preserve">we can give customers tools to increase their chances of success. </w:t>
      </w:r>
      <w:r w:rsidR="003317B1">
        <w:t xml:space="preserve"> </w:t>
      </w:r>
      <w:r w:rsidR="008C5FDA">
        <w:t>By pairing the “COVID-19 Relief Payment Plans” with support from CBOs</w:t>
      </w:r>
      <w:r w:rsidR="00552849">
        <w:t xml:space="preserve">, </w:t>
      </w:r>
      <w:r w:rsidR="002648A4">
        <w:t>customers should know how and when to make contact with their utility should they need additional help.</w:t>
      </w:r>
    </w:p>
    <w:p w:rsidR="00DC0684" w:rsidP="007C53B0" w:rsidRDefault="00403113" w14:paraId="22522671" w14:textId="13ECC721">
      <w:pPr>
        <w:pStyle w:val="Standard"/>
      </w:pPr>
      <w:r>
        <w:lastRenderedPageBreak/>
        <w:t>H</w:t>
      </w:r>
      <w:r w:rsidR="008F4D00">
        <w:t>ard-to-reach communities may not fully utilize utility resources without intervention.</w:t>
      </w:r>
      <w:r w:rsidR="006C6CC2">
        <w:t xml:space="preserve"> </w:t>
      </w:r>
      <w:r w:rsidR="008F4D00">
        <w:t xml:space="preserve"> </w:t>
      </w:r>
      <w:r w:rsidR="00C12B8F">
        <w:t xml:space="preserve">SBUA identifies a gap in resources to help Small Business utility customers with their bills and describes the detriment to ESJ communities when </w:t>
      </w:r>
      <w:r w:rsidR="0087416D">
        <w:t>Small Business</w:t>
      </w:r>
      <w:r w:rsidR="00C12B8F">
        <w:t xml:space="preserve">es go out of business. </w:t>
      </w:r>
      <w:r w:rsidR="000667A9">
        <w:t>The Commission has engaged, or directed utilities to engage</w:t>
      </w:r>
      <w:r w:rsidR="00725B39">
        <w:t>,</w:t>
      </w:r>
      <w:r w:rsidR="008F4D00">
        <w:t xml:space="preserve"> </w:t>
      </w:r>
      <w:r w:rsidR="00BE3ACE">
        <w:t xml:space="preserve">CBOs </w:t>
      </w:r>
      <w:r w:rsidR="008F4D00">
        <w:t>to bring specialized or niche communities to the utility programs</w:t>
      </w:r>
      <w:r w:rsidR="00496E88">
        <w:t>. CBOs play different roles depending on their mandates and contracts, but the end goal is the same: helping customers</w:t>
      </w:r>
      <w:r w:rsidR="008F4D00">
        <w:t xml:space="preserve"> manage </w:t>
      </w:r>
      <w:r w:rsidR="00496E88">
        <w:t>and pay for utility</w:t>
      </w:r>
      <w:r w:rsidR="008F4D00">
        <w:t xml:space="preserve"> service.</w:t>
      </w:r>
      <w:r w:rsidR="00325ED3">
        <w:t xml:space="preserve"> </w:t>
      </w:r>
      <w:r w:rsidR="008F4D00">
        <w:t xml:space="preserve"> </w:t>
      </w:r>
      <w:r w:rsidR="00496E88">
        <w:t xml:space="preserve">For </w:t>
      </w:r>
      <w:r w:rsidR="0069637D">
        <w:t xml:space="preserve">one </w:t>
      </w:r>
      <w:r w:rsidR="00496E88">
        <w:t>example, t</w:t>
      </w:r>
      <w:r w:rsidR="00DC0684">
        <w:t xml:space="preserve">he utilities utilize CBOs to market and deliver their </w:t>
      </w:r>
      <w:r w:rsidR="008C3314">
        <w:t xml:space="preserve">CARE/FERA and ESA </w:t>
      </w:r>
      <w:r w:rsidR="00DC0684">
        <w:t>programs.</w:t>
      </w:r>
      <w:r w:rsidR="00DC0684">
        <w:rPr>
          <w:rStyle w:val="FootnoteReference"/>
        </w:rPr>
        <w:footnoteReference w:id="66"/>
      </w:r>
      <w:r w:rsidR="008C3314">
        <w:t xml:space="preserve"> </w:t>
      </w:r>
      <w:r w:rsidR="006C6CC2">
        <w:t xml:space="preserve"> </w:t>
      </w:r>
      <w:r w:rsidR="0069637D">
        <w:t>For a second example, a</w:t>
      </w:r>
      <w:r w:rsidR="008C3314">
        <w:t xml:space="preserve"> </w:t>
      </w:r>
      <w:r w:rsidR="00496E88">
        <w:t xml:space="preserve">different set of </w:t>
      </w:r>
      <w:r w:rsidR="008C3314">
        <w:t>CBOs</w:t>
      </w:r>
      <w:r w:rsidR="00496E88">
        <w:t>, contracted through the Commission rather than the utilities,</w:t>
      </w:r>
      <w:r w:rsidR="00496E88">
        <w:rPr>
          <w:rStyle w:val="FootnoteReference"/>
        </w:rPr>
        <w:footnoteReference w:id="67"/>
      </w:r>
      <w:r w:rsidR="008C3314">
        <w:t xml:space="preserve"> </w:t>
      </w:r>
      <w:r w:rsidR="0069637D">
        <w:t xml:space="preserve">includes complaint resolution as well as education and outreach to </w:t>
      </w:r>
      <w:r w:rsidR="00DC0684">
        <w:t xml:space="preserve">non-English and limited English </w:t>
      </w:r>
      <w:r w:rsidR="0069637D">
        <w:t>populations</w:t>
      </w:r>
      <w:r w:rsidR="00DC0684">
        <w:t xml:space="preserve">. Tribal and </w:t>
      </w:r>
      <w:r w:rsidR="001879F0">
        <w:t>Small Business</w:t>
      </w:r>
      <w:r w:rsidR="00DC0684">
        <w:t xml:space="preserve"> networks have been established through </w:t>
      </w:r>
      <w:r w:rsidR="00C47950">
        <w:t>t</w:t>
      </w:r>
      <w:r w:rsidR="00DC0684">
        <w:t>he Commission’s Business and Community Outreach program</w:t>
      </w:r>
      <w:r w:rsidR="00DE3327">
        <w:t>, as well as through energy utility networks.</w:t>
      </w:r>
      <w:r w:rsidR="00DE3327">
        <w:rPr>
          <w:rStyle w:val="FootnoteReference"/>
        </w:rPr>
        <w:footnoteReference w:id="68"/>
      </w:r>
    </w:p>
    <w:p w:rsidRPr="007C53B0" w:rsidR="007C53B0" w:rsidP="007C53B0" w:rsidRDefault="008C3314" w14:paraId="4B1AE364" w14:textId="60966597">
      <w:pPr>
        <w:pStyle w:val="Standard"/>
      </w:pPr>
      <w:r>
        <w:t xml:space="preserve">We must take this same approach with COVID-19 relief, as California’s COVID impacts are </w:t>
      </w:r>
      <w:r w:rsidR="00DC0684">
        <w:t>documented to be</w:t>
      </w:r>
      <w:r>
        <w:t xml:space="preserve"> exacerbating existing equity gaps. </w:t>
      </w:r>
      <w:r w:rsidR="006C6CC2">
        <w:t xml:space="preserve"> </w:t>
      </w:r>
      <w:r w:rsidR="00C261FC">
        <w:t>The problem is tracking the reach and impact</w:t>
      </w:r>
      <w:r w:rsidR="00DC0684">
        <w:t xml:space="preserve"> of CBOs</w:t>
      </w:r>
      <w:r w:rsidR="00403113">
        <w:t>.</w:t>
      </w:r>
      <w:r w:rsidR="006C6CC2">
        <w:t xml:space="preserve"> </w:t>
      </w:r>
      <w:r w:rsidR="00DC0684">
        <w:t xml:space="preserve"> </w:t>
      </w:r>
      <w:r w:rsidR="00C261FC">
        <w:t>The utilities</w:t>
      </w:r>
      <w:r w:rsidR="00F42848">
        <w:t>’</w:t>
      </w:r>
      <w:r w:rsidR="00C261FC">
        <w:t xml:space="preserve"> Transition Plans were </w:t>
      </w:r>
      <w:r w:rsidR="004B087D">
        <w:t>not specific</w:t>
      </w:r>
      <w:r w:rsidR="00C261FC">
        <w:t xml:space="preserve"> in describing how CBOs would connect customers to the new COVID-19 relief we are ordering.</w:t>
      </w:r>
      <w:r w:rsidR="00F3099C">
        <w:t xml:space="preserve"> </w:t>
      </w:r>
      <w:r w:rsidR="006C6CC2">
        <w:t xml:space="preserve"> </w:t>
      </w:r>
      <w:r w:rsidR="00F3099C">
        <w:t xml:space="preserve">While automatic enrollment may overcome </w:t>
      </w:r>
      <w:r w:rsidR="00F3099C">
        <w:lastRenderedPageBreak/>
        <w:t>the barrier of enrollment, ongoing customer contact is a necessary ingredient to making payment plans manageable and successful.</w:t>
      </w:r>
    </w:p>
    <w:p w:rsidR="005B5DF9" w:rsidP="005B5DF9" w:rsidRDefault="005B5DF9" w14:paraId="7C30C431" w14:textId="1E4223A0">
      <w:pPr>
        <w:pStyle w:val="Heading2"/>
      </w:pPr>
      <w:bookmarkStart w:name="_Toc75258954" w:id="39"/>
      <w:r>
        <w:t>Party Positions</w:t>
      </w:r>
      <w:bookmarkEnd w:id="39"/>
    </w:p>
    <w:p w:rsidR="00D5320A" w:rsidP="009F21EE" w:rsidRDefault="00D5320A" w14:paraId="400BAECB" w14:textId="1ED86870">
      <w:pPr>
        <w:pStyle w:val="Standard"/>
      </w:pPr>
      <w:r>
        <w:t>Workshop Team # 4</w:t>
      </w:r>
      <w:r w:rsidR="003C72EA">
        <w:rPr>
          <w:rStyle w:val="FootnoteReference"/>
        </w:rPr>
        <w:footnoteReference w:id="69"/>
      </w:r>
      <w:r>
        <w:t xml:space="preserve"> </w:t>
      </w:r>
      <w:r w:rsidRPr="00D46AE7">
        <w:rPr>
          <w:i/>
          <w:iCs/>
        </w:rPr>
        <w:t>Leveraging/Matching Existing Activities</w:t>
      </w:r>
      <w:r>
        <w:t xml:space="preserve">, compared three options for pursuing relief through leveraging. </w:t>
      </w:r>
      <w:r w:rsidR="006C6CC2">
        <w:t xml:space="preserve"> </w:t>
      </w:r>
      <w:r>
        <w:t xml:space="preserve">The highest scoring proposal was: </w:t>
      </w:r>
      <w:r w:rsidR="006C6CC2">
        <w:t xml:space="preserve"> </w:t>
      </w:r>
      <w:r>
        <w:t>Utilities Partne</w:t>
      </w:r>
      <w:r w:rsidR="00325ED3">
        <w:t>r</w:t>
      </w:r>
      <w:r>
        <w:t xml:space="preserve"> With CBOs To Help Reach Hardest-To-Reach Customers.</w:t>
      </w:r>
      <w:r w:rsidR="006C6CC2">
        <w:t xml:space="preserve"> </w:t>
      </w:r>
      <w:r>
        <w:t xml:space="preserve"> </w:t>
      </w:r>
      <w:r w:rsidR="00D46AE7">
        <w:t xml:space="preserve">Panelist </w:t>
      </w:r>
      <w:r w:rsidR="007854C9">
        <w:t xml:space="preserve">commenters </w:t>
      </w:r>
      <w:r w:rsidR="00D46AE7">
        <w:t>on the Workshop Team #4 presentation echoed this assessment.</w:t>
      </w:r>
      <w:r w:rsidR="006C6CC2">
        <w:t xml:space="preserve"> </w:t>
      </w:r>
      <w:r w:rsidR="00D46AE7">
        <w:t xml:space="preserve"> </w:t>
      </w:r>
      <w:r w:rsidR="009F21EE">
        <w:t>From NCLC, Charlie Harak explained how Massachusetts</w:t>
      </w:r>
      <w:r w:rsidR="00D46AE7">
        <w:t xml:space="preserve"> stakeholder group</w:t>
      </w:r>
      <w:r w:rsidR="009F21EE">
        <w:t>s</w:t>
      </w:r>
      <w:r w:rsidR="00D46AE7">
        <w:t xml:space="preserve"> </w:t>
      </w:r>
      <w:r w:rsidR="009F21EE">
        <w:t>focus on removing</w:t>
      </w:r>
      <w:r w:rsidR="00D46AE7">
        <w:t xml:space="preserve"> barriers for collaboration among agencies and programs. </w:t>
      </w:r>
      <w:r w:rsidR="006C6CC2">
        <w:t xml:space="preserve"> </w:t>
      </w:r>
      <w:r w:rsidR="009F21EE">
        <w:t>He e</w:t>
      </w:r>
      <w:r w:rsidR="00D46AE7">
        <w:t>ncourage</w:t>
      </w:r>
      <w:r w:rsidR="00A8780A">
        <w:t>d</w:t>
      </w:r>
      <w:r w:rsidR="00D46AE7">
        <w:t xml:space="preserve"> the </w:t>
      </w:r>
      <w:r w:rsidR="009F21EE">
        <w:t xml:space="preserve">utilities </w:t>
      </w:r>
      <w:r w:rsidR="00D46AE7">
        <w:t>to think about how to work with and incentivize CBOs.</w:t>
      </w:r>
      <w:r w:rsidR="009F21EE">
        <w:t xml:space="preserve"> From the Sacramento Municipal Utility District, Kim Rikalo</w:t>
      </w:r>
      <w:r w:rsidR="00D46AE7">
        <w:t xml:space="preserve"> </w:t>
      </w:r>
      <w:r w:rsidR="009F21EE">
        <w:t>a</w:t>
      </w:r>
      <w:r w:rsidR="00D46AE7">
        <w:t>gree</w:t>
      </w:r>
      <w:r w:rsidR="009F21EE">
        <w:t>d</w:t>
      </w:r>
      <w:r w:rsidR="00D46AE7">
        <w:t xml:space="preserve"> that working with CBOs is critical to program success. </w:t>
      </w:r>
    </w:p>
    <w:p w:rsidR="00A97600" w:rsidP="00A97600" w:rsidRDefault="00A97600" w14:paraId="6A5D6499" w14:textId="6D2C5151">
      <w:pPr>
        <w:pStyle w:val="Standard"/>
      </w:pPr>
      <w:r>
        <w:t xml:space="preserve">Cal Advocates recommends </w:t>
      </w:r>
      <w:r w:rsidR="00681781">
        <w:t>energy utilities</w:t>
      </w:r>
      <w:r>
        <w:t xml:space="preserve"> continue coordinating with CBOs that target disadvantaged communities to ensure that residential and </w:t>
      </w:r>
      <w:r w:rsidR="001879F0">
        <w:t>Small Business</w:t>
      </w:r>
      <w:r>
        <w:t xml:space="preserve"> customers in those areas receive information detailing the assistance programs that will result from this proceeding.</w:t>
      </w:r>
      <w:r>
        <w:rPr>
          <w:rStyle w:val="FootnoteReference"/>
        </w:rPr>
        <w:footnoteReference w:id="70"/>
      </w:r>
      <w:r w:rsidR="00260FE3">
        <w:t xml:space="preserve"> </w:t>
      </w:r>
      <w:r w:rsidR="006C6CC2">
        <w:t xml:space="preserve"> </w:t>
      </w:r>
      <w:r w:rsidR="00260FE3">
        <w:t>PG&amp;E intends to expand work with CBO networks to target harder-to-reach customers.</w:t>
      </w:r>
      <w:r w:rsidR="00260FE3">
        <w:rPr>
          <w:rStyle w:val="FootnoteReference"/>
        </w:rPr>
        <w:footnoteReference w:id="71"/>
      </w:r>
      <w:r w:rsidR="00C47E03">
        <w:t xml:space="preserve"> </w:t>
      </w:r>
      <w:r w:rsidR="006C6CC2">
        <w:t xml:space="preserve"> </w:t>
      </w:r>
      <w:r w:rsidR="00C47E03">
        <w:t>NCLC and CforAT recommend CBOs provide wrap-around resources for vulnerable customers and neighborhoods by contracting with CBOs</w:t>
      </w:r>
      <w:r w:rsidR="008A427A">
        <w:t>, especially for IOUs who point out case management is not their strong suit.</w:t>
      </w:r>
      <w:r w:rsidR="008A427A">
        <w:rPr>
          <w:rStyle w:val="FootnoteReference"/>
        </w:rPr>
        <w:footnoteReference w:id="72"/>
      </w:r>
      <w:r w:rsidR="00761423">
        <w:t xml:space="preserve"> </w:t>
      </w:r>
      <w:r w:rsidR="006C6CC2">
        <w:t xml:space="preserve"> </w:t>
      </w:r>
      <w:r w:rsidR="00761423">
        <w:t xml:space="preserve">NCLC and CforAT review the IOU strategies regarding CBOs to assist customers at the end of the </w:t>
      </w:r>
      <w:r w:rsidR="00761423">
        <w:lastRenderedPageBreak/>
        <w:t>disconnection moratorium, notably citing the SCE Transition Plan at 11 indicating payments to 30-50 CBOs while relying upon 1,600 CBOs.</w:t>
      </w:r>
      <w:r w:rsidR="00761423">
        <w:rPr>
          <w:rStyle w:val="FootnoteReference"/>
        </w:rPr>
        <w:footnoteReference w:id="73"/>
      </w:r>
      <w:r w:rsidR="00761423">
        <w:t xml:space="preserve"> </w:t>
      </w:r>
    </w:p>
    <w:p w:rsidRPr="00A97600" w:rsidR="006F2D52" w:rsidP="00A97600" w:rsidRDefault="006F2D52" w14:paraId="58388DEE" w14:textId="7C53EA24">
      <w:pPr>
        <w:pStyle w:val="Standard"/>
      </w:pPr>
      <w:r>
        <w:t xml:space="preserve">SBUA </w:t>
      </w:r>
      <w:r w:rsidR="00C9575F">
        <w:t xml:space="preserve">supports it argument that there is unmet potential for </w:t>
      </w:r>
      <w:r w:rsidR="0087416D">
        <w:t>Small Business</w:t>
      </w:r>
      <w:r w:rsidR="00C9575F">
        <w:t xml:space="preserve"> customers to realize bill saving by accessing different rates, programs and incentives</w:t>
      </w:r>
      <w:r>
        <w:t>.</w:t>
      </w:r>
      <w:r w:rsidR="00C9575F">
        <w:t xml:space="preserve"> In 2020,</w:t>
      </w:r>
      <w:r>
        <w:t xml:space="preserve"> SCE </w:t>
      </w:r>
      <w:r w:rsidR="00C9575F">
        <w:t>analyzed</w:t>
      </w:r>
      <w:r>
        <w:t xml:space="preserve"> 400,000 non-residential accounts showing potential for five percent annual bill savings, and documented commercial customers with smaller loads on a rate known as TOU-GS1 saving 10 percent of their annual bill in 2020.</w:t>
      </w:r>
      <w:r>
        <w:rPr>
          <w:rStyle w:val="FootnoteReference"/>
        </w:rPr>
        <w:footnoteReference w:id="74"/>
      </w:r>
      <w:r>
        <w:t xml:space="preserve"> </w:t>
      </w:r>
      <w:r w:rsidR="00C9575F">
        <w:t xml:space="preserve">PG&amp;E responded to SBUA’s request stating “SMBs </w:t>
      </w:r>
      <w:r w:rsidR="00816ACA">
        <w:t xml:space="preserve">[Small-Medium Businesses] </w:t>
      </w:r>
      <w:r w:rsidR="00C9575F">
        <w:t>are generally not aware of PG&amp;E support programs and resources.”</w:t>
      </w:r>
      <w:r w:rsidR="00C9575F">
        <w:rPr>
          <w:rStyle w:val="FootnoteReference"/>
        </w:rPr>
        <w:footnoteReference w:id="75"/>
      </w:r>
    </w:p>
    <w:p w:rsidR="005B5DF9" w:rsidP="005B5DF9" w:rsidRDefault="00594D4B" w14:paraId="6FFD489A" w14:textId="3ABF94A2">
      <w:pPr>
        <w:pStyle w:val="Heading2"/>
      </w:pPr>
      <w:bookmarkStart w:name="_Toc75258955" w:id="40"/>
      <w:r>
        <w:t>Residential Outreach Improvements</w:t>
      </w:r>
      <w:bookmarkEnd w:id="40"/>
    </w:p>
    <w:p w:rsidR="00BF063E" w:rsidP="00344F91" w:rsidRDefault="00BF063E" w14:paraId="29510128" w14:textId="5F23811C">
      <w:pPr>
        <w:pStyle w:val="Standard"/>
      </w:pPr>
      <w:r>
        <w:t xml:space="preserve">Utility partnerships with CBOs are </w:t>
      </w:r>
      <w:r w:rsidR="006F553E">
        <w:t>an important tool in</w:t>
      </w:r>
      <w:r>
        <w:t xml:space="preserve"> providing community-based assistance to customers in need of arrearage relief. </w:t>
      </w:r>
      <w:r w:rsidR="006C6CC2">
        <w:t xml:space="preserve"> </w:t>
      </w:r>
    </w:p>
    <w:p w:rsidR="00297104" w:rsidP="00344F91" w:rsidRDefault="00344F91" w14:paraId="71D4B197" w14:textId="7DA9CC0A">
      <w:pPr>
        <w:pStyle w:val="Standard"/>
      </w:pPr>
      <w:r w:rsidRPr="00344F91">
        <w:t>Similar to NCLC and CforAT’s assessment</w:t>
      </w:r>
      <w:r w:rsidR="00825C70">
        <w:t xml:space="preserve">, </w:t>
      </w:r>
      <w:r w:rsidRPr="00344F91">
        <w:t>the Low</w:t>
      </w:r>
      <w:r w:rsidR="00FC64F5">
        <w:t>-</w:t>
      </w:r>
      <w:r w:rsidRPr="00344F91">
        <w:t xml:space="preserve">Income Oversight Board </w:t>
      </w:r>
      <w:r w:rsidR="00FC64F5">
        <w:t xml:space="preserve">(LIOB) </w:t>
      </w:r>
      <w:r w:rsidRPr="00344F91">
        <w:t xml:space="preserve">also pronounced </w:t>
      </w:r>
      <w:r w:rsidR="00825C70">
        <w:t>the</w:t>
      </w:r>
      <w:r w:rsidRPr="00344F91">
        <w:t xml:space="preserve"> </w:t>
      </w:r>
      <w:r w:rsidR="009D66CC">
        <w:t>energy utilit</w:t>
      </w:r>
      <w:r w:rsidR="00FE63E5">
        <w:t>ies’</w:t>
      </w:r>
      <w:r w:rsidR="009D66CC">
        <w:t xml:space="preserve"> </w:t>
      </w:r>
      <w:r w:rsidR="00A95186">
        <w:t>Transition Plans</w:t>
      </w:r>
      <w:r w:rsidRPr="00344F91">
        <w:t xml:space="preserve"> lacking with regard to C</w:t>
      </w:r>
      <w:r w:rsidR="00825C70">
        <w:t>BO utilization.</w:t>
      </w:r>
      <w:r w:rsidR="00825C70">
        <w:rPr>
          <w:rStyle w:val="FootnoteReference"/>
        </w:rPr>
        <w:footnoteReference w:id="76"/>
      </w:r>
      <w:r w:rsidRPr="00344F91">
        <w:t xml:space="preserve"> </w:t>
      </w:r>
      <w:r w:rsidR="006C6CC2">
        <w:t xml:space="preserve"> </w:t>
      </w:r>
      <w:r w:rsidR="003C1EA8">
        <w:t xml:space="preserve">As California moves toward recovery from the impacts of </w:t>
      </w:r>
      <w:r w:rsidR="004D2FF3">
        <w:t xml:space="preserve">the </w:t>
      </w:r>
      <w:r w:rsidR="003C1EA8">
        <w:t>COVID-19 pandemic, we must understand</w:t>
      </w:r>
      <w:r w:rsidR="00297104">
        <w:t xml:space="preserve"> working relationships between energy utilities and</w:t>
      </w:r>
      <w:r w:rsidR="00AD23F2">
        <w:t xml:space="preserve"> CBOs </w:t>
      </w:r>
      <w:r w:rsidR="003C1EA8">
        <w:t>and ensure these networks are more robust than ever before.</w:t>
      </w:r>
    </w:p>
    <w:p w:rsidR="00891982" w:rsidP="00891982" w:rsidRDefault="00891982" w14:paraId="5F51CC52" w14:textId="6951E4F0">
      <w:pPr>
        <w:rPr>
          <w:rFonts w:ascii="Calibri" w:hAnsi="Calibri"/>
          <w:sz w:val="22"/>
        </w:rPr>
      </w:pPr>
      <w:r>
        <w:lastRenderedPageBreak/>
        <w:t xml:space="preserve">We take immediate action so that the Commission will be able to systematically assess the constellation of CBO relationships.  </w:t>
      </w:r>
      <w:r w:rsidR="00731DC0">
        <w:t xml:space="preserve">Working together with IOUs, Energy Division staff </w:t>
      </w:r>
      <w:r>
        <w:t xml:space="preserve">will create a map of CBOs in each energy utility service area. </w:t>
      </w:r>
      <w:r w:rsidR="006C6CC2">
        <w:t xml:space="preserve"> </w:t>
      </w:r>
      <w:r>
        <w:t xml:space="preserve">The map will display the geographic reach of each CBO, and identify the functions that each CBO currently performs, and the communities to whom they offer service.  This map will provide a structure to identify gaps to fill or barriers to overcome.  </w:t>
      </w:r>
    </w:p>
    <w:p w:rsidR="00891982" w:rsidP="00B51F56" w:rsidRDefault="00891982" w14:paraId="5FA3BB59" w14:textId="6F2B4463">
      <w:r>
        <w:t>Energy utilities should jointly develop a template of the map displaying their current CBO networks.</w:t>
      </w:r>
      <w:r w:rsidR="006C6CC2">
        <w:t xml:space="preserve"> </w:t>
      </w:r>
      <w:r>
        <w:t xml:space="preserve"> Either on the map or in a companion report </w:t>
      </w:r>
      <w:r w:rsidR="00174D64">
        <w:t xml:space="preserve">there </w:t>
      </w:r>
      <w:r>
        <w:t>should be listings of the functions each CBO performs</w:t>
      </w:r>
      <w:r w:rsidR="00E92F7D">
        <w:t>, the communities with which they engage, and the compensation structure, if any.  At a minimum, communities should be labeled as DACs, ESJs, hard-to-reach, Small Business, tribes, or access and functional needs.</w:t>
      </w:r>
      <w:r w:rsidR="00AF764E">
        <w:rPr>
          <w:rStyle w:val="FootnoteReference"/>
        </w:rPr>
        <w:footnoteReference w:id="77"/>
      </w:r>
      <w:r w:rsidR="00E92F7D">
        <w:t xml:space="preserve"> </w:t>
      </w:r>
      <w:r w:rsidR="00325ED3">
        <w:t xml:space="preserve"> </w:t>
      </w:r>
      <w:r>
        <w:t xml:space="preserve">More specific labels </w:t>
      </w:r>
      <w:r w:rsidR="00BA7924">
        <w:t xml:space="preserve">for types of communities </w:t>
      </w:r>
      <w:r>
        <w:t xml:space="preserve">are preferred. </w:t>
      </w:r>
      <w:r w:rsidR="006C6CC2">
        <w:t xml:space="preserve"> </w:t>
      </w:r>
      <w:r>
        <w:t>Energy utilities shall submit their template to the Energy Division via a Tier 2 Advice Letter filing</w:t>
      </w:r>
      <w:r w:rsidR="001C11E0">
        <w:t xml:space="preserve"> within 60 days of the issuance of this decision</w:t>
      </w:r>
      <w:r>
        <w:t xml:space="preserve">. </w:t>
      </w:r>
    </w:p>
    <w:p w:rsidRPr="00440D19" w:rsidR="00A338BB" w:rsidP="008D27B3" w:rsidRDefault="00891982" w14:paraId="246AE7F9" w14:textId="3E8FFA03">
      <w:r>
        <w:t xml:space="preserve">After the IOUs make their filing, the Commission’s Energy Division will work cooperatively with the energy utilities to finalize the template, populate the map and </w:t>
      </w:r>
      <w:r w:rsidR="005C0F63">
        <w:t xml:space="preserve">companion </w:t>
      </w:r>
      <w:r>
        <w:t>report, and present it to the LIOB at a future LIOB meeting for additional refinement.</w:t>
      </w:r>
      <w:r w:rsidR="00F41819">
        <w:t xml:space="preserve">  </w:t>
      </w:r>
    </w:p>
    <w:p w:rsidR="00594D4B" w:rsidP="00594D4B" w:rsidRDefault="00594D4B" w14:paraId="53D758E9" w14:textId="57BD6224">
      <w:pPr>
        <w:pStyle w:val="Heading2"/>
      </w:pPr>
      <w:bookmarkStart w:name="_Toc75258956" w:id="41"/>
      <w:bookmarkStart w:name="_Toc8123723" w:id="42"/>
      <w:bookmarkStart w:name="_Toc12866693" w:id="43"/>
      <w:r>
        <w:lastRenderedPageBreak/>
        <w:t>Small Business Outreach Improvements</w:t>
      </w:r>
      <w:bookmarkEnd w:id="41"/>
    </w:p>
    <w:p w:rsidR="00594D4B" w:rsidP="00594D4B" w:rsidRDefault="00594D4B" w14:paraId="2F6E5D7F" w14:textId="6CB994F3">
      <w:pPr>
        <w:pStyle w:val="Standard"/>
      </w:pPr>
      <w:r>
        <w:t>Utility consultation with Small Business customers can help Small Business customers navigate existing programs available to lower and better manage their bills.</w:t>
      </w:r>
    </w:p>
    <w:p w:rsidRPr="009F6984" w:rsidR="001F68D9" w:rsidP="009F6984" w:rsidRDefault="001F68D9" w14:paraId="26941262" w14:textId="0CB7F7EF">
      <w:pPr>
        <w:rPr>
          <w:rFonts w:ascii="Calibri" w:hAnsi="Calibri"/>
          <w:sz w:val="22"/>
        </w:rPr>
      </w:pPr>
      <w:r>
        <w:t xml:space="preserve">We </w:t>
      </w:r>
      <w:r w:rsidR="009F6984">
        <w:t>order utilities to work with interested stakeholders to propose a</w:t>
      </w:r>
      <w:r>
        <w:t xml:space="preserve"> pilot with Small Business customers in </w:t>
      </w:r>
      <w:r w:rsidR="00346678">
        <w:t>disadvantaged</w:t>
      </w:r>
      <w:r>
        <w:t xml:space="preserve"> communities. While this pilot is necessitated by the deep debt accumulated during the pandemic, this pilot should </w:t>
      </w:r>
      <w:r w:rsidR="009F6984">
        <w:t>serve customers and utility programs during times of economic stabilization as well. Energy utilities</w:t>
      </w:r>
      <w:r>
        <w:t xml:space="preserve"> </w:t>
      </w:r>
      <w:r w:rsidR="009F6984">
        <w:t xml:space="preserve">shall jointly </w:t>
      </w:r>
      <w:r>
        <w:t>develop outreach and evaluation protocols</w:t>
      </w:r>
      <w:r w:rsidR="009F6984">
        <w:t xml:space="preserve">, </w:t>
      </w:r>
      <w:r>
        <w:t>timelines</w:t>
      </w:r>
      <w:r w:rsidR="009F6984">
        <w:t>, a budget, and evaluation plan for a pilot to verbally counsel Small Business customers over a series of months and identify impacts on bills over several years.</w:t>
      </w:r>
      <w:r>
        <w:t xml:space="preserve">  </w:t>
      </w:r>
      <w:r w:rsidR="00363DF2">
        <w:t>IOUs</w:t>
      </w:r>
      <w:r>
        <w:t xml:space="preserve"> shall submit their </w:t>
      </w:r>
      <w:r w:rsidR="009F6984">
        <w:t>pilot proposal</w:t>
      </w:r>
      <w:r>
        <w:t xml:space="preserve"> to the Energy Division via a Tier 2 Advice Letter filing within </w:t>
      </w:r>
      <w:r w:rsidR="009F6984">
        <w:t>120</w:t>
      </w:r>
      <w:r>
        <w:t xml:space="preserve"> days of the issuance of this decision.</w:t>
      </w:r>
    </w:p>
    <w:p w:rsidR="005939A5" w:rsidP="005939A5" w:rsidRDefault="005939A5" w14:paraId="30A32B56" w14:textId="7DD354EF">
      <w:pPr>
        <w:pStyle w:val="Heading1"/>
      </w:pPr>
      <w:bookmarkStart w:name="_Toc75258957" w:id="44"/>
      <w:r>
        <w:t>Comments on Proposed Decision</w:t>
      </w:r>
      <w:bookmarkEnd w:id="42"/>
      <w:bookmarkEnd w:id="43"/>
      <w:bookmarkEnd w:id="44"/>
    </w:p>
    <w:p w:rsidRPr="00637839" w:rsidR="006B0354" w:rsidP="00637839" w:rsidRDefault="006C6CC2" w14:paraId="33ED5467" w14:textId="2D091EA7">
      <w:pPr>
        <w:pStyle w:val="Standard"/>
        <w:rPr>
          <w:highlight w:val="yellow"/>
        </w:rPr>
      </w:pPr>
      <w:bookmarkStart w:name="_Toc42619816" w:id="45"/>
      <w:r>
        <w:t>The proposed decision of ALJ Watts-Zagha in this matter was mailed to</w:t>
      </w:r>
      <w:bookmarkEnd w:id="45"/>
      <w:r>
        <w:t xml:space="preserve"> </w:t>
      </w:r>
      <w:bookmarkStart w:name="_Toc42619817" w:id="46"/>
      <w:r>
        <w:t>the parties in accordance with Pub. Util. Code section 311 and comments were allowed</w:t>
      </w:r>
      <w:bookmarkEnd w:id="46"/>
      <w:r>
        <w:t xml:space="preserve"> </w:t>
      </w:r>
      <w:bookmarkStart w:name="_Toc42619818" w:id="47"/>
      <w:r>
        <w:t>under Rule 14.3 of the Commission’s Rules of Practice and Procedure.</w:t>
      </w:r>
      <w:bookmarkEnd w:id="47"/>
      <w:r>
        <w:t xml:space="preserve">  </w:t>
      </w:r>
      <w:r>
        <w:rPr>
          <w:rFonts w:cs="Times New Roman"/>
          <w:szCs w:val="24"/>
        </w:rPr>
        <w:t xml:space="preserve">Comments were filed on </w:t>
      </w:r>
      <w:r w:rsidR="00BF0608">
        <w:rPr>
          <w:rFonts w:cs="Times New Roman"/>
          <w:szCs w:val="24"/>
        </w:rPr>
        <w:t xml:space="preserve">June 14, 2021 by PG&amp;E, SCE, SDG&amp;E, SoCalGas, </w:t>
      </w:r>
      <w:r w:rsidR="00350FDA">
        <w:rPr>
          <w:rFonts w:cs="Times New Roman"/>
          <w:szCs w:val="24"/>
        </w:rPr>
        <w:t>Southwest Gas, CASMU, CalCCA, Cal Advocates, TURN, NCLC/CforAT, UCAN, LCJA/CEJA/Greenlining, and SBUA</w:t>
      </w:r>
      <w:r>
        <w:rPr>
          <w:rFonts w:cs="Times New Roman"/>
          <w:szCs w:val="24"/>
        </w:rPr>
        <w:t xml:space="preserve">, and reply comments were filed on </w:t>
      </w:r>
      <w:r w:rsidR="00BF0608">
        <w:rPr>
          <w:rFonts w:cs="Times New Roman"/>
          <w:szCs w:val="24"/>
        </w:rPr>
        <w:t>June 21, 2021</w:t>
      </w:r>
      <w:r w:rsidR="00D37A1B">
        <w:rPr>
          <w:rFonts w:cs="Times New Roman"/>
          <w:szCs w:val="24"/>
        </w:rPr>
        <w:t xml:space="preserve"> by PG&amp;E, SCE, SDG&amp;E, SoCalGas, Southwest Gas, CASMU, CalCCA, TURN, NCLC/CforAT, UCAN, LCJA/CEJA/Greenlining, and SBUA </w:t>
      </w:r>
      <w:r>
        <w:rPr>
          <w:rFonts w:cs="Times New Roman"/>
          <w:szCs w:val="24"/>
        </w:rPr>
        <w:t>.</w:t>
      </w:r>
      <w:r w:rsidR="00350FDA">
        <w:rPr>
          <w:rFonts w:cs="Times New Roman"/>
          <w:szCs w:val="24"/>
        </w:rPr>
        <w:t xml:space="preserve"> Party comments are incorporated and addressed throughout the decision. Clarifications to the</w:t>
      </w:r>
      <w:r w:rsidR="00572594">
        <w:rPr>
          <w:rFonts w:cs="Times New Roman"/>
          <w:szCs w:val="24"/>
        </w:rPr>
        <w:t xml:space="preserve"> terms and mechanics of the</w:t>
      </w:r>
      <w:r w:rsidR="00350FDA">
        <w:rPr>
          <w:rFonts w:cs="Times New Roman"/>
          <w:szCs w:val="24"/>
        </w:rPr>
        <w:t xml:space="preserve"> </w:t>
      </w:r>
      <w:r w:rsidR="00363DF2">
        <w:rPr>
          <w:rFonts w:cs="Times New Roman"/>
          <w:szCs w:val="24"/>
        </w:rPr>
        <w:t>“</w:t>
      </w:r>
      <w:r w:rsidR="00350FDA">
        <w:rPr>
          <w:rFonts w:cs="Times New Roman"/>
          <w:szCs w:val="24"/>
        </w:rPr>
        <w:t>COVID-19 Relief Payment Plan rules</w:t>
      </w:r>
      <w:r w:rsidR="00363DF2">
        <w:rPr>
          <w:rFonts w:cs="Times New Roman"/>
          <w:szCs w:val="24"/>
        </w:rPr>
        <w:t>”</w:t>
      </w:r>
      <w:r w:rsidR="00350FDA">
        <w:rPr>
          <w:rFonts w:cs="Times New Roman"/>
          <w:szCs w:val="24"/>
        </w:rPr>
        <w:t xml:space="preserve"> are included in the decision and the Appendices.</w:t>
      </w:r>
    </w:p>
    <w:p w:rsidR="005939A5" w:rsidP="005939A5" w:rsidRDefault="005939A5" w14:paraId="32CBAFF6" w14:textId="77777777">
      <w:pPr>
        <w:pStyle w:val="Heading1"/>
      </w:pPr>
      <w:bookmarkStart w:name="_Toc8123724" w:id="48"/>
      <w:bookmarkStart w:name="_Toc12866694" w:id="49"/>
      <w:bookmarkStart w:name="_Toc75258958" w:id="50"/>
      <w:r>
        <w:lastRenderedPageBreak/>
        <w:t>Assignment of Proceeding</w:t>
      </w:r>
      <w:bookmarkEnd w:id="48"/>
      <w:bookmarkEnd w:id="49"/>
      <w:bookmarkEnd w:id="50"/>
    </w:p>
    <w:p w:rsidR="005939A5" w:rsidP="006E6574" w:rsidRDefault="00174D64" w14:paraId="4B2A4137" w14:textId="093653AB">
      <w:pPr>
        <w:pStyle w:val="Standard"/>
      </w:pPr>
      <w:r w:rsidRPr="00174D64">
        <w:t>Martha Guzman</w:t>
      </w:r>
      <w:r w:rsidR="00307E48">
        <w:t xml:space="preserve"> </w:t>
      </w:r>
      <w:r w:rsidRPr="00174D64">
        <w:t xml:space="preserve">Aceves </w:t>
      </w:r>
      <w:r w:rsidR="005939A5">
        <w:t xml:space="preserve">is the assigned Commissioner and </w:t>
      </w:r>
      <w:r w:rsidRPr="00174D64">
        <w:t>Camille</w:t>
      </w:r>
      <w:r w:rsidR="009F7DA3">
        <w:t> </w:t>
      </w:r>
      <w:r w:rsidRPr="00174D64">
        <w:t>Watts</w:t>
      </w:r>
      <w:r w:rsidR="009F7DA3">
        <w:noBreakHyphen/>
      </w:r>
      <w:r w:rsidRPr="00174D64">
        <w:t xml:space="preserve">Zagha </w:t>
      </w:r>
      <w:r w:rsidR="005939A5">
        <w:t xml:space="preserve">is the assigned </w:t>
      </w:r>
      <w:r w:rsidR="009F7DA3">
        <w:t>ALJ</w:t>
      </w:r>
      <w:r w:rsidR="005939A5">
        <w:t xml:space="preserve"> in this proceeding.</w:t>
      </w:r>
    </w:p>
    <w:p w:rsidR="005939A5" w:rsidP="005939A5" w:rsidRDefault="005939A5" w14:paraId="2F14B472" w14:textId="6BFBF166">
      <w:pPr>
        <w:pStyle w:val="Dummy"/>
      </w:pPr>
      <w:bookmarkStart w:name="_Toc8123725" w:id="51"/>
      <w:bookmarkStart w:name="_Toc12866695" w:id="52"/>
      <w:bookmarkStart w:name="_Toc75258959" w:id="53"/>
      <w:r>
        <w:t>Findings of Fact</w:t>
      </w:r>
      <w:bookmarkEnd w:id="51"/>
      <w:bookmarkEnd w:id="52"/>
      <w:bookmarkEnd w:id="53"/>
    </w:p>
    <w:p w:rsidR="004C06C0" w:rsidP="006600A9" w:rsidRDefault="004C06C0" w14:paraId="00799BB2" w14:textId="04348012">
      <w:pPr>
        <w:pStyle w:val="FoF"/>
      </w:pPr>
      <w:r>
        <w:t xml:space="preserve">The number of customers behind on their energy utility bills has increased </w:t>
      </w:r>
      <w:r w:rsidR="00894CBD">
        <w:t xml:space="preserve">throughout the </w:t>
      </w:r>
      <w:r w:rsidR="00E95E5B">
        <w:t>COVID</w:t>
      </w:r>
      <w:r w:rsidR="00894CBD">
        <w:t>-19 pandemic period.</w:t>
      </w:r>
    </w:p>
    <w:p w:rsidR="006600A9" w:rsidP="006600A9" w:rsidRDefault="004C06C0" w14:paraId="78E6B136" w14:textId="6D21E7D0">
      <w:pPr>
        <w:pStyle w:val="FoF"/>
      </w:pPr>
      <w:r>
        <w:t xml:space="preserve">The dollar amount of utility bill arrearages has increased </w:t>
      </w:r>
      <w:r w:rsidRPr="00894CBD" w:rsidR="00894CBD">
        <w:t xml:space="preserve">throughout the </w:t>
      </w:r>
      <w:r w:rsidRPr="00894CBD" w:rsidR="00E95E5B">
        <w:t>C</w:t>
      </w:r>
      <w:r w:rsidR="00E95E5B">
        <w:t>OVID</w:t>
      </w:r>
      <w:r w:rsidRPr="00894CBD" w:rsidR="00894CBD">
        <w:t>-19 pandemic period</w:t>
      </w:r>
      <w:r>
        <w:t xml:space="preserve">. </w:t>
      </w:r>
    </w:p>
    <w:p w:rsidR="006600A9" w:rsidP="006600A9" w:rsidRDefault="00565521" w14:paraId="45294DD1" w14:textId="74AB6874">
      <w:pPr>
        <w:pStyle w:val="FoF"/>
      </w:pPr>
      <w:r>
        <w:t xml:space="preserve">Retaining access to electricity and gas service </w:t>
      </w:r>
      <w:r w:rsidR="00BF275D">
        <w:t>remains critical to public health.</w:t>
      </w:r>
    </w:p>
    <w:p w:rsidR="0001115A" w:rsidP="0001115A" w:rsidRDefault="00125BE4" w14:paraId="04C4E18D" w14:textId="31C3B2A8">
      <w:pPr>
        <w:pStyle w:val="FoF"/>
      </w:pPr>
      <w:r>
        <w:t xml:space="preserve">Without intervention, residential IOU customers with energy utility bill arrearages persisting longer than </w:t>
      </w:r>
      <w:r w:rsidR="00E24BCD">
        <w:t>60</w:t>
      </w:r>
      <w:r>
        <w:t xml:space="preserve"> days will be at risk of disconnection </w:t>
      </w:r>
      <w:r w:rsidR="00540975">
        <w:t>when the disconnection moratorium ends on June 30, 2021</w:t>
      </w:r>
      <w:r>
        <w:t>.</w:t>
      </w:r>
    </w:p>
    <w:p w:rsidR="00424228" w:rsidP="00424228" w:rsidRDefault="00424228" w14:paraId="762B1163" w14:textId="5E8DFD9D">
      <w:pPr>
        <w:pStyle w:val="FoF"/>
      </w:pPr>
      <w:r>
        <w:t xml:space="preserve">Without intervention, residential SMJU customers with energy utility bill arrearages persisting longer than </w:t>
      </w:r>
      <w:r w:rsidR="00540975">
        <w:t>60 days will be at risk of disconnection when the disconnection moratorium ends on June 30, 2021.</w:t>
      </w:r>
    </w:p>
    <w:p w:rsidRPr="00540975" w:rsidR="00540975" w:rsidP="0001115A" w:rsidRDefault="00424228" w14:paraId="42FAE9B5" w14:textId="5BBBEB04">
      <w:pPr>
        <w:pStyle w:val="FoF"/>
        <w:rPr>
          <w:rFonts w:asciiTheme="minorHAnsi" w:hAnsiTheme="minorHAnsi" w:eastAsiaTheme="minorEastAsia"/>
          <w:szCs w:val="26"/>
        </w:rPr>
      </w:pPr>
      <w:r>
        <w:t xml:space="preserve">Significant state and federally funding sources for utility bill relief </w:t>
      </w:r>
      <w:r w:rsidR="00540975">
        <w:t xml:space="preserve">have become available recently or are in the implementation stage and expected to become available </w:t>
      </w:r>
      <w:r w:rsidR="00E95E5B">
        <w:t>with</w:t>
      </w:r>
      <w:r w:rsidR="00540975">
        <w:t>in approximately six months.</w:t>
      </w:r>
    </w:p>
    <w:p w:rsidRPr="00D4723C" w:rsidR="00D4723C" w:rsidP="0001115A" w:rsidRDefault="00D4723C" w14:paraId="4A666F33" w14:textId="77777777">
      <w:pPr>
        <w:pStyle w:val="FoF"/>
        <w:rPr>
          <w:rFonts w:asciiTheme="minorHAnsi" w:hAnsiTheme="minorHAnsi" w:eastAsiaTheme="minorEastAsia"/>
          <w:szCs w:val="26"/>
        </w:rPr>
      </w:pPr>
      <w:r>
        <w:t>Maximizing external funding sources for utility bill relief is the best approach to assisting customers in need.</w:t>
      </w:r>
    </w:p>
    <w:p w:rsidRPr="00D4723C" w:rsidR="00D4723C" w:rsidP="0001115A" w:rsidRDefault="00D4723C" w14:paraId="4B7F865A" w14:textId="2B9A2C2E">
      <w:pPr>
        <w:pStyle w:val="FoF"/>
        <w:rPr>
          <w:rFonts w:asciiTheme="minorHAnsi" w:hAnsiTheme="minorHAnsi" w:eastAsiaTheme="minorEastAsia"/>
          <w:szCs w:val="26"/>
        </w:rPr>
      </w:pPr>
      <w:r>
        <w:t>For residential customers</w:t>
      </w:r>
      <w:r w:rsidR="007F5393">
        <w:t xml:space="preserve"> of IOUs</w:t>
      </w:r>
      <w:r>
        <w:t xml:space="preserve">, automatic enrollment in </w:t>
      </w:r>
      <w:r w:rsidR="006215EF">
        <w:t>24-m</w:t>
      </w:r>
      <w:r>
        <w:t>onth payment plans is a reasonable approach to bridge the gap between the end of the disconnection moratorium and the availability of significant arrearage relief on the horizon.</w:t>
      </w:r>
    </w:p>
    <w:p w:rsidRPr="00D4723C" w:rsidR="007F5393" w:rsidP="007F5393" w:rsidRDefault="007F5393" w14:paraId="3BA75D70" w14:textId="7255C007">
      <w:pPr>
        <w:pStyle w:val="FoF"/>
        <w:rPr>
          <w:rFonts w:asciiTheme="minorHAnsi" w:hAnsiTheme="minorHAnsi" w:eastAsiaTheme="minorEastAsia"/>
          <w:szCs w:val="26"/>
        </w:rPr>
      </w:pPr>
      <w:r>
        <w:lastRenderedPageBreak/>
        <w:t>For residential customers of S</w:t>
      </w:r>
      <w:r w:rsidR="0040404B">
        <w:t>mall Electric Utilities</w:t>
      </w:r>
      <w:r>
        <w:t xml:space="preserve">, automatic enrollment in payment plans </w:t>
      </w:r>
      <w:r w:rsidR="0040404B">
        <w:t xml:space="preserve">with amortization terms of either </w:t>
      </w:r>
      <w:r>
        <w:t xml:space="preserve"> </w:t>
      </w:r>
      <w:r w:rsidR="0040404B">
        <w:t>12</w:t>
      </w:r>
      <w:r w:rsidR="00894CBD">
        <w:t xml:space="preserve"> </w:t>
      </w:r>
      <w:r w:rsidR="0040404B">
        <w:t>or</w:t>
      </w:r>
      <w:r w:rsidR="00894CBD">
        <w:t xml:space="preserve"> </w:t>
      </w:r>
      <w:r w:rsidR="006215EF">
        <w:t>24</w:t>
      </w:r>
      <w:r>
        <w:t xml:space="preserve"> months is a reasonable approach to bridge the gap between the end of the disconnection moratorium and the availability of significant arrearage relief on the horizon.</w:t>
      </w:r>
    </w:p>
    <w:p w:rsidRPr="00D4723C" w:rsidR="00D4723C" w:rsidP="00D4723C" w:rsidRDefault="00D4723C" w14:paraId="55DCEE4C" w14:textId="258A55E9">
      <w:pPr>
        <w:pStyle w:val="FoF"/>
        <w:rPr>
          <w:rFonts w:asciiTheme="minorHAnsi" w:hAnsiTheme="minorHAnsi" w:eastAsiaTheme="minorEastAsia"/>
          <w:szCs w:val="26"/>
        </w:rPr>
      </w:pPr>
      <w:r>
        <w:t xml:space="preserve">For </w:t>
      </w:r>
      <w:r w:rsidR="001879F0">
        <w:t>Small Business</w:t>
      </w:r>
      <w:r w:rsidR="00ED7D4B">
        <w:t xml:space="preserve"> </w:t>
      </w:r>
      <w:r>
        <w:t>customers</w:t>
      </w:r>
      <w:r w:rsidR="00ED7D4B">
        <w:t xml:space="preserve"> </w:t>
      </w:r>
      <w:r w:rsidR="00A13AE2">
        <w:t>of IOU</w:t>
      </w:r>
      <w:r w:rsidR="00FB0BAB">
        <w:t>s</w:t>
      </w:r>
      <w:r w:rsidR="00A13AE2">
        <w:t xml:space="preserve"> and SMJU</w:t>
      </w:r>
      <w:r w:rsidR="00FB0BAB">
        <w:t>s</w:t>
      </w:r>
      <w:r w:rsidR="00A13AE2">
        <w:t xml:space="preserve"> in</w:t>
      </w:r>
      <w:r w:rsidR="00ED7D4B">
        <w:t xml:space="preserve"> </w:t>
      </w:r>
      <w:r w:rsidR="006619BF">
        <w:t>disadvantaged</w:t>
      </w:r>
      <w:r w:rsidR="00ED7D4B">
        <w:t xml:space="preserve"> communities</w:t>
      </w:r>
      <w:r>
        <w:t xml:space="preserve">, automatic enrollment in payment plans </w:t>
      </w:r>
      <w:r w:rsidR="00ED7D4B">
        <w:t xml:space="preserve">that add no more than </w:t>
      </w:r>
      <w:r w:rsidR="006215EF">
        <w:t>five</w:t>
      </w:r>
      <w:r w:rsidR="00ED7D4B">
        <w:t xml:space="preserve"> percent to the c</w:t>
      </w:r>
      <w:r w:rsidR="006619BF">
        <w:t xml:space="preserve">ustomer’s average </w:t>
      </w:r>
      <w:r w:rsidR="00ED7D4B">
        <w:t xml:space="preserve">bill is an effective strategy to allow </w:t>
      </w:r>
      <w:r w:rsidR="001879F0">
        <w:t>Small Business</w:t>
      </w:r>
      <w:r w:rsidR="00ED7D4B">
        <w:t>es to gradually pay down accumulated utility bill debt</w:t>
      </w:r>
      <w:r>
        <w:t>.</w:t>
      </w:r>
    </w:p>
    <w:p w:rsidRPr="00D4723C" w:rsidR="00ED7D4B" w:rsidP="00ED7D4B" w:rsidRDefault="00ED7D4B" w14:paraId="28197F1C" w14:textId="44C96EB5">
      <w:pPr>
        <w:pStyle w:val="FoF"/>
        <w:rPr>
          <w:rFonts w:asciiTheme="minorHAnsi" w:hAnsiTheme="minorHAnsi" w:eastAsiaTheme="minorEastAsia"/>
          <w:szCs w:val="26"/>
        </w:rPr>
      </w:pPr>
      <w:r>
        <w:t xml:space="preserve">For </w:t>
      </w:r>
      <w:r w:rsidR="001879F0">
        <w:t>Small Business</w:t>
      </w:r>
      <w:r>
        <w:t xml:space="preserve"> customers </w:t>
      </w:r>
      <w:r w:rsidR="00A13AE2">
        <w:t>of IOUs and SMJUs</w:t>
      </w:r>
      <w:r>
        <w:t xml:space="preserve"> in communities elsewhere in California, automatic enrollment in payment plans that add no more than 10 percent to the </w:t>
      </w:r>
      <w:r w:rsidR="006619BF">
        <w:t>customer’s average bill</w:t>
      </w:r>
      <w:r>
        <w:t xml:space="preserve"> is an effective strategy to allow </w:t>
      </w:r>
      <w:r w:rsidR="001879F0">
        <w:t>Small Business</w:t>
      </w:r>
      <w:r>
        <w:t>es to gradually pay down accumulated utility bill debt.</w:t>
      </w:r>
    </w:p>
    <w:p w:rsidRPr="00E01010" w:rsidR="00E01010" w:rsidP="0001115A" w:rsidRDefault="00E01010" w14:paraId="715A9002" w14:textId="23F7D04C">
      <w:pPr>
        <w:pStyle w:val="FoF"/>
        <w:rPr>
          <w:rFonts w:asciiTheme="minorHAnsi" w:hAnsiTheme="minorHAnsi" w:eastAsiaTheme="minorEastAsia"/>
          <w:szCs w:val="26"/>
        </w:rPr>
      </w:pPr>
      <w:r>
        <w:t>Automatic enrollment with an opt-out provision is the simplest and most direct strategy to reach all customer</w:t>
      </w:r>
      <w:r w:rsidR="004B2B02">
        <w:t>s</w:t>
      </w:r>
      <w:r>
        <w:t xml:space="preserve"> in need of assistance addressing utility bill arrearages.</w:t>
      </w:r>
    </w:p>
    <w:p w:rsidRPr="00E01010" w:rsidR="00E01010" w:rsidP="0001115A" w:rsidRDefault="00E01010" w14:paraId="1946F301" w14:textId="2968D058">
      <w:pPr>
        <w:pStyle w:val="FoF"/>
        <w:rPr>
          <w:rFonts w:asciiTheme="minorHAnsi" w:hAnsiTheme="minorHAnsi" w:eastAsiaTheme="minorEastAsia"/>
          <w:szCs w:val="26"/>
        </w:rPr>
      </w:pPr>
      <w:r>
        <w:t xml:space="preserve">Nothing prevents customers enrolled in payment plans from accelerating </w:t>
      </w:r>
      <w:r w:rsidR="00E10CD1">
        <w:t xml:space="preserve">payments </w:t>
      </w:r>
      <w:r>
        <w:t xml:space="preserve">or paying off entirely their utility arrearage </w:t>
      </w:r>
      <w:r w:rsidR="00E10CD1">
        <w:t>to better fit their own circumstances.</w:t>
      </w:r>
    </w:p>
    <w:p w:rsidRPr="00E10CD1" w:rsidR="00E10CD1" w:rsidP="0001115A" w:rsidRDefault="00E10CD1" w14:paraId="0DE7DEF2" w14:textId="5FB94539">
      <w:pPr>
        <w:pStyle w:val="FoF"/>
        <w:rPr>
          <w:rFonts w:asciiTheme="minorHAnsi" w:hAnsiTheme="minorHAnsi" w:eastAsiaTheme="minorEastAsia"/>
          <w:szCs w:val="26"/>
        </w:rPr>
      </w:pPr>
      <w:r>
        <w:t>Customers automatically enrolled in payment plans retain agency to pay</w:t>
      </w:r>
      <w:r w:rsidR="001535F3">
        <w:t xml:space="preserve"> </w:t>
      </w:r>
      <w:r>
        <w:t>off their arrearage</w:t>
      </w:r>
      <w:r w:rsidR="00F43EEC">
        <w:t>s</w:t>
      </w:r>
      <w:r>
        <w:t xml:space="preserve"> more quickly than </w:t>
      </w:r>
      <w:r w:rsidR="00F43EEC">
        <w:t>required by the standard terms</w:t>
      </w:r>
      <w:r>
        <w:t xml:space="preserve">. </w:t>
      </w:r>
    </w:p>
    <w:p w:rsidRPr="00012D92" w:rsidR="00012D92" w:rsidP="0001115A" w:rsidRDefault="00E10CD1" w14:paraId="67C7DB05" w14:textId="77777777">
      <w:pPr>
        <w:pStyle w:val="FoF"/>
        <w:rPr>
          <w:rFonts w:asciiTheme="minorHAnsi" w:hAnsiTheme="minorHAnsi" w:eastAsiaTheme="minorEastAsia"/>
          <w:szCs w:val="26"/>
        </w:rPr>
      </w:pPr>
      <w:r>
        <w:t xml:space="preserve">Nothing prevents customers enrolled in payment plans from accessing additional or alternative programs to address their utility arrearages. </w:t>
      </w:r>
    </w:p>
    <w:p w:rsidR="00C76541" w:rsidP="0001115A" w:rsidRDefault="00C76541" w14:paraId="148EEAAF" w14:textId="77777777">
      <w:pPr>
        <w:pStyle w:val="FoF"/>
      </w:pPr>
      <w:r>
        <w:t>The number of contacts with customers to enroll all customers in need in payment plans would be overwhelming if enrollment occurred on a case-by-case basis.</w:t>
      </w:r>
    </w:p>
    <w:p w:rsidR="00C76541" w:rsidP="0001115A" w:rsidRDefault="00C76541" w14:paraId="152E3268" w14:textId="77777777">
      <w:pPr>
        <w:pStyle w:val="FoF"/>
      </w:pPr>
      <w:r>
        <w:lastRenderedPageBreak/>
        <w:t>Payment plan terms specific to the COVID-19 pandemic and at this point in the disconnection moratorium should be simple and standardized.</w:t>
      </w:r>
    </w:p>
    <w:p w:rsidR="00340983" w:rsidP="00340983" w:rsidRDefault="00340983" w14:paraId="2C437B80" w14:textId="5EB4CE64">
      <w:pPr>
        <w:pStyle w:val="FoF"/>
      </w:pPr>
      <w:r>
        <w:t xml:space="preserve">Customers should be permitted to opt-out of the automatic payment plan, either explicitly upon request, or informally, by accelerating payments toward their arrearage, making payments in excess of the required amount, or </w:t>
      </w:r>
      <w:r w:rsidR="00CF7F91">
        <w:t xml:space="preserve">upon </w:t>
      </w:r>
      <w:r>
        <w:t>receipt of arrearage forgiveness from existing or new programs offering forgiveness.</w:t>
      </w:r>
    </w:p>
    <w:p w:rsidR="00340983" w:rsidP="00340983" w:rsidRDefault="00CF7F91" w14:paraId="33E5B6F7" w14:textId="481EAF54">
      <w:pPr>
        <w:pStyle w:val="FoF"/>
      </w:pPr>
      <w:r>
        <w:t>As long as program rules do not conflict with “COVID-19 Relief Payment Plan” terms, r</w:t>
      </w:r>
      <w:r w:rsidR="00340983">
        <w:t xml:space="preserve">esidential and Small Business customers shall be </w:t>
      </w:r>
      <w:r>
        <w:t xml:space="preserve">encouraged to </w:t>
      </w:r>
      <w:r w:rsidR="00340983">
        <w:t xml:space="preserve">enroll </w:t>
      </w:r>
      <w:r>
        <w:t xml:space="preserve">concurrently </w:t>
      </w:r>
      <w:r w:rsidR="00340983">
        <w:t>in a “COVID-19 Relief Payment Plan” and other customer assistance and arrearage relief programs.</w:t>
      </w:r>
    </w:p>
    <w:p w:rsidR="0040404B" w:rsidP="00340983" w:rsidRDefault="0040404B" w14:paraId="752D6FD3" w14:textId="279F82C8">
      <w:pPr>
        <w:pStyle w:val="FoF"/>
      </w:pPr>
      <w:r>
        <w:t>C</w:t>
      </w:r>
      <w:r w:rsidR="006B69AE">
        <w:t>ustomers who conclude participation in or are removed from payment plans, AMP, levelized billing programs or Net Energy Metering tariffs and have arrearages over 60 days old should have access to one COVID-19 Relief Payment Plan.</w:t>
      </w:r>
    </w:p>
    <w:p w:rsidR="00340983" w:rsidP="00340983" w:rsidRDefault="00340983" w14:paraId="0EA8F6ED" w14:textId="0D1EE46A">
      <w:pPr>
        <w:pStyle w:val="FoF"/>
      </w:pPr>
      <w:r>
        <w:t>Automatic enrollment of all customers with arrearages over 60 days old is consistent with Goal 5 of the Commission’s Environmental and Social Justice Action Plan.</w:t>
      </w:r>
    </w:p>
    <w:p w:rsidRPr="005925CE" w:rsidR="00340983" w:rsidP="00340983" w:rsidRDefault="00340983" w14:paraId="0315A9BC" w14:textId="77777777">
      <w:pPr>
        <w:pStyle w:val="FoF"/>
      </w:pPr>
      <w:r w:rsidRPr="575E767E">
        <w:rPr>
          <w:rFonts w:eastAsia="Book Antiqua" w:cs="Book Antiqua"/>
        </w:rPr>
        <w:t>Southwest Gas</w:t>
      </w:r>
      <w:r>
        <w:rPr>
          <w:rFonts w:eastAsia="Book Antiqua" w:cs="Book Antiqua"/>
        </w:rPr>
        <w:t xml:space="preserve"> automatically enrolled all residential customers with arrears over 60 days and with arrearage amounts over $20 in 8-month payment plans.</w:t>
      </w:r>
    </w:p>
    <w:p w:rsidR="00C31E9F" w:rsidP="00340983" w:rsidRDefault="00340983" w14:paraId="10DA38E5" w14:textId="0849519A">
      <w:pPr>
        <w:pStyle w:val="FoF"/>
      </w:pPr>
      <w:r>
        <w:rPr>
          <w:rFonts w:eastAsia="Book Antiqua" w:cs="Book Antiqua"/>
        </w:rPr>
        <w:t xml:space="preserve">Southwest Gas should permit </w:t>
      </w:r>
      <w:r>
        <w:t>customers automatically enrolled in 8</w:t>
      </w:r>
      <w:r w:rsidR="00325ED3">
        <w:noBreakHyphen/>
      </w:r>
      <w:r>
        <w:t>month payment plans to miss two payments before being removed from the plan.</w:t>
      </w:r>
    </w:p>
    <w:p w:rsidR="00B66FC6" w:rsidP="0001115A" w:rsidRDefault="00B21C60" w14:paraId="71C86E54" w14:textId="47037A7F">
      <w:pPr>
        <w:pStyle w:val="FoF"/>
      </w:pPr>
      <w:r>
        <w:t xml:space="preserve">Disconnection of energy service may threaten the viability of a </w:t>
      </w:r>
      <w:r w:rsidR="0087416D">
        <w:t>Small Business</w:t>
      </w:r>
      <w:r>
        <w:t>.</w:t>
      </w:r>
      <w:r w:rsidR="00B66FC6">
        <w:t xml:space="preserve"> </w:t>
      </w:r>
    </w:p>
    <w:p w:rsidR="00B66FC6" w:rsidP="0001115A" w:rsidRDefault="00B21C60" w14:paraId="10A6B4DE" w14:textId="3DA8A582">
      <w:pPr>
        <w:pStyle w:val="FoF"/>
      </w:pPr>
      <w:r>
        <w:lastRenderedPageBreak/>
        <w:t xml:space="preserve">Nonoperational </w:t>
      </w:r>
      <w:r w:rsidR="0087416D">
        <w:t>Small Business</w:t>
      </w:r>
      <w:r>
        <w:t xml:space="preserve">es are less likely than operational </w:t>
      </w:r>
      <w:r w:rsidR="0087416D">
        <w:t>Small Business</w:t>
      </w:r>
      <w:r>
        <w:t>es to pay energy utility bill debt.</w:t>
      </w:r>
    </w:p>
    <w:p w:rsidR="00B66FC6" w:rsidP="0001115A" w:rsidRDefault="00B66FC6" w14:paraId="36B1AA25" w14:textId="567FD6CC">
      <w:pPr>
        <w:pStyle w:val="FoF"/>
      </w:pPr>
      <w:r>
        <w:t xml:space="preserve">Disconnecting Small Business customers who regularly and consistently make partial payments on </w:t>
      </w:r>
      <w:r w:rsidR="00B21C60">
        <w:t>energy</w:t>
      </w:r>
      <w:r>
        <w:t xml:space="preserve"> utility bills </w:t>
      </w:r>
      <w:r w:rsidR="00B21C60">
        <w:t>may be counter-productive to revenue collection.</w:t>
      </w:r>
    </w:p>
    <w:p w:rsidR="00C76541" w:rsidP="0001115A" w:rsidRDefault="00C76541" w14:paraId="719A63C9" w14:textId="595ECA49">
      <w:pPr>
        <w:pStyle w:val="FoF"/>
      </w:pPr>
      <w:r>
        <w:t xml:space="preserve">Small Business customers in arrears will be relieved by amortizing their debt so that their payments toward debt do not add more than </w:t>
      </w:r>
      <w:r w:rsidR="00325ED3">
        <w:t>10</w:t>
      </w:r>
      <w:r>
        <w:t xml:space="preserve"> percent </w:t>
      </w:r>
      <w:r w:rsidR="0076026E">
        <w:t>of</w:t>
      </w:r>
      <w:r>
        <w:t xml:space="preserve"> their </w:t>
      </w:r>
      <w:r w:rsidR="007A05BC">
        <w:t>average bill based on the prior 24 months</w:t>
      </w:r>
      <w:r w:rsidR="0076026E">
        <w:t xml:space="preserve"> to their current bill payment</w:t>
      </w:r>
      <w:r w:rsidR="007A05BC">
        <w:t>.</w:t>
      </w:r>
    </w:p>
    <w:p w:rsidR="00C76541" w:rsidP="00C76541" w:rsidRDefault="00C76541" w14:paraId="7809E67B" w14:textId="24834B4E">
      <w:pPr>
        <w:pStyle w:val="FoF"/>
      </w:pPr>
      <w:r>
        <w:t xml:space="preserve">Small Business customers in arrears located in </w:t>
      </w:r>
      <w:r w:rsidR="007A05BC">
        <w:t>disadvantaged communities</w:t>
      </w:r>
      <w:r>
        <w:t xml:space="preserve"> will be relieved by amortizing their debt so that their payments toward debt do not add more than five percent </w:t>
      </w:r>
      <w:r w:rsidR="0076026E">
        <w:t>of</w:t>
      </w:r>
      <w:r>
        <w:t xml:space="preserve"> their </w:t>
      </w:r>
      <w:r w:rsidR="007A05BC">
        <w:t xml:space="preserve">average </w:t>
      </w:r>
      <w:r>
        <w:t>bill</w:t>
      </w:r>
      <w:r w:rsidR="007A05BC">
        <w:t xml:space="preserve"> based on the prior 24 months</w:t>
      </w:r>
      <w:r w:rsidR="0076026E">
        <w:t xml:space="preserve"> to their current bill payment</w:t>
      </w:r>
      <w:r>
        <w:t>.</w:t>
      </w:r>
    </w:p>
    <w:p w:rsidR="003F0C44" w:rsidP="0001115A" w:rsidRDefault="00C31E9F" w14:paraId="59766C32" w14:textId="328B70AC">
      <w:pPr>
        <w:pStyle w:val="FoF"/>
      </w:pPr>
      <w:r>
        <w:t xml:space="preserve">Utilities </w:t>
      </w:r>
      <w:r w:rsidR="001E7E5C">
        <w:t xml:space="preserve">shall </w:t>
      </w:r>
      <w:r>
        <w:t xml:space="preserve">offer renegotiation of payment plan terms </w:t>
      </w:r>
      <w:r w:rsidR="003F0C44">
        <w:t>if a customer contacts the utility in advance of missing a payment.</w:t>
      </w:r>
    </w:p>
    <w:p w:rsidRPr="00C31E9F" w:rsidR="007F5393" w:rsidP="0001115A" w:rsidRDefault="003F0C44" w14:paraId="68204C41" w14:textId="4995F43E">
      <w:pPr>
        <w:pStyle w:val="FoF"/>
      </w:pPr>
      <w:r>
        <w:t xml:space="preserve">CBOs can assist customers with meeting the terms of </w:t>
      </w:r>
      <w:r w:rsidR="001D7FDB">
        <w:t>p</w:t>
      </w:r>
      <w:r>
        <w:t>ayments plans or renegotiating plans as necessary.</w:t>
      </w:r>
      <w:r w:rsidRPr="00C31E9F" w:rsidR="00C31E9F">
        <w:t xml:space="preserve"> </w:t>
      </w:r>
    </w:p>
    <w:p w:rsidR="0001115A" w:rsidP="0001115A" w:rsidRDefault="00507FC4" w14:paraId="100D87A9" w14:textId="7A2A4D84">
      <w:pPr>
        <w:pStyle w:val="FoF"/>
        <w:rPr>
          <w:rFonts w:asciiTheme="minorHAnsi" w:hAnsiTheme="minorHAnsi" w:eastAsiaTheme="minorEastAsia"/>
          <w:szCs w:val="26"/>
        </w:rPr>
      </w:pPr>
      <w:r>
        <w:t>CBOs</w:t>
      </w:r>
      <w:r w:rsidR="0094480E">
        <w:t xml:space="preserve"> </w:t>
      </w:r>
      <w:r w:rsidR="00F7372D">
        <w:t>can be an important resource</w:t>
      </w:r>
      <w:r w:rsidR="0094480E">
        <w:t xml:space="preserve"> to reaching and assisting Disadvantaged Communities, Environmental and Social Justice Communities, and other hard-to-reach populations and helping them navigate the array of arrearage relief programs in California.</w:t>
      </w:r>
    </w:p>
    <w:p w:rsidR="0001115A" w:rsidP="006600A9" w:rsidRDefault="005A4EEA" w14:paraId="6EC40BA8" w14:textId="48C6F605">
      <w:pPr>
        <w:pStyle w:val="FoF"/>
      </w:pPr>
      <w:r>
        <w:t xml:space="preserve">The energy </w:t>
      </w:r>
      <w:r w:rsidR="00FD5289">
        <w:t xml:space="preserve">utilities’ </w:t>
      </w:r>
      <w:r>
        <w:t xml:space="preserve">relationships with </w:t>
      </w:r>
      <w:r w:rsidR="00507FC4">
        <w:t>CBOs</w:t>
      </w:r>
      <w:r>
        <w:t xml:space="preserve"> are difficult to understand and assess as presented in energy utility Transition Plans filed pursuant to Resolution M-4849.</w:t>
      </w:r>
    </w:p>
    <w:p w:rsidR="005A4EEA" w:rsidP="006600A9" w:rsidRDefault="00F7372D" w14:paraId="047D9488" w14:textId="0E6D9119">
      <w:pPr>
        <w:pStyle w:val="FoF"/>
      </w:pPr>
      <w:r>
        <w:t>Expanding and growing CB</w:t>
      </w:r>
      <w:r w:rsidR="005A4EEA">
        <w:t>O networks</w:t>
      </w:r>
      <w:r>
        <w:t xml:space="preserve"> can</w:t>
      </w:r>
      <w:r w:rsidR="005A4EEA">
        <w:t xml:space="preserve"> facilitate arrearage relief for utility customers in Disadvantaged Communities, Environmental and Social </w:t>
      </w:r>
      <w:r w:rsidR="005A4EEA">
        <w:lastRenderedPageBreak/>
        <w:t>Justice Communities, other hard-to-reach populations</w:t>
      </w:r>
      <w:r w:rsidR="00674C22">
        <w:t xml:space="preserve">, and in the </w:t>
      </w:r>
      <w:r w:rsidR="001879F0">
        <w:t>Small Business</w:t>
      </w:r>
      <w:r w:rsidR="00674C22">
        <w:t xml:space="preserve"> community</w:t>
      </w:r>
      <w:r w:rsidR="005A4EEA">
        <w:t>.</w:t>
      </w:r>
    </w:p>
    <w:p w:rsidR="00D1361B" w:rsidP="006600A9" w:rsidRDefault="00D1361B" w14:paraId="1C641AFD" w14:textId="321B735B">
      <w:pPr>
        <w:pStyle w:val="FoF"/>
      </w:pPr>
      <w:r>
        <w:t>Resolution M-4849 extended Resolution M-4842’s suspension of the application of partial payment balances to the energy utility in advance of the CCA, and instead allowed a pro-rata allocation of the partial payments between the energy utility and the CCA until July 1, 2021.</w:t>
      </w:r>
    </w:p>
    <w:p w:rsidR="005939A5" w:rsidP="005939A5" w:rsidRDefault="005939A5" w14:paraId="7718375F" w14:textId="77777777">
      <w:pPr>
        <w:pStyle w:val="Dummy"/>
      </w:pPr>
      <w:bookmarkStart w:name="_Toc8123726" w:id="54"/>
      <w:bookmarkStart w:name="_Toc12866696" w:id="55"/>
      <w:bookmarkStart w:name="_Toc75258960" w:id="56"/>
      <w:r>
        <w:t>Conclusions of Law</w:t>
      </w:r>
      <w:bookmarkEnd w:id="54"/>
      <w:bookmarkEnd w:id="55"/>
      <w:bookmarkEnd w:id="56"/>
    </w:p>
    <w:p w:rsidR="002B3159" w:rsidP="0064271E" w:rsidRDefault="00AE0047" w14:paraId="60C3E686" w14:textId="3ECBB766">
      <w:pPr>
        <w:pStyle w:val="OP"/>
        <w:numPr>
          <w:ilvl w:val="0"/>
          <w:numId w:val="16"/>
        </w:numPr>
      </w:pPr>
      <w:bookmarkStart w:name="_Toc12866697" w:id="57"/>
      <w:r>
        <w:t xml:space="preserve">It is reasonable for energy utilities to </w:t>
      </w:r>
      <w:r w:rsidR="002B3159">
        <w:t>defer disconnections until all eligible customers as defined in Appendices A - D are automatically enrolled in “COVID-19 relief payment plans.”</w:t>
      </w:r>
    </w:p>
    <w:p w:rsidR="00C12D4F" w:rsidP="00C12D4F" w:rsidRDefault="00C12D4F" w14:paraId="1BF2EEC2" w14:textId="5BECC1AE">
      <w:pPr>
        <w:pStyle w:val="OP"/>
        <w:numPr>
          <w:ilvl w:val="0"/>
          <w:numId w:val="16"/>
        </w:numPr>
      </w:pPr>
      <w:r>
        <w:t xml:space="preserve">It is reasonable to require PG&amp;E, SDG&amp;E, SCE, and SoCalGas to automatically enroll all residential customers with arrearages more than 60 days past due in “COVID-19 relief payment plans” according to the terms in Appendix A </w:t>
      </w:r>
      <w:r w:rsidR="002B3159">
        <w:t>by September 30, 2021</w:t>
      </w:r>
      <w:r>
        <w:t>.</w:t>
      </w:r>
    </w:p>
    <w:p w:rsidR="00C12D4F" w:rsidP="00C12D4F" w:rsidRDefault="00C12D4F" w14:paraId="51BE57FA" w14:textId="39565D24">
      <w:pPr>
        <w:pStyle w:val="OP"/>
        <w:numPr>
          <w:ilvl w:val="0"/>
          <w:numId w:val="16"/>
        </w:numPr>
      </w:pPr>
      <w:r>
        <w:t xml:space="preserve">It is reasonable to require </w:t>
      </w:r>
      <w:r w:rsidRPr="575E767E">
        <w:rPr>
          <w:rFonts w:eastAsia="Book Antiqua" w:cs="Book Antiqua"/>
        </w:rPr>
        <w:t>PacifiCorp, Liberty Utilities (Cal</w:t>
      </w:r>
      <w:r>
        <w:rPr>
          <w:rFonts w:eastAsia="Book Antiqua" w:cs="Book Antiqua"/>
        </w:rPr>
        <w:t>Peco</w:t>
      </w:r>
      <w:r w:rsidRPr="575E767E">
        <w:rPr>
          <w:rFonts w:eastAsia="Book Antiqua" w:cs="Book Antiqua"/>
        </w:rPr>
        <w:t xml:space="preserve"> Electric) LLC, Bear Valley Electric </w:t>
      </w:r>
      <w:r>
        <w:rPr>
          <w:rFonts w:eastAsia="Book Antiqua" w:cs="Book Antiqua"/>
        </w:rPr>
        <w:t>Company, Inc.</w:t>
      </w:r>
      <w:r w:rsidRPr="575E767E">
        <w:rPr>
          <w:rFonts w:eastAsia="Book Antiqua" w:cs="Book Antiqua"/>
        </w:rPr>
        <w:t>, Alpine Natural Gas, Inc</w:t>
      </w:r>
      <w:r>
        <w:rPr>
          <w:rFonts w:eastAsia="Book Antiqua" w:cs="Book Antiqua"/>
        </w:rPr>
        <w:t>.</w:t>
      </w:r>
      <w:r w:rsidRPr="575E767E">
        <w:rPr>
          <w:rFonts w:eastAsia="Book Antiqua" w:cs="Book Antiqua"/>
        </w:rPr>
        <w:t xml:space="preserve">, </w:t>
      </w:r>
      <w:r>
        <w:rPr>
          <w:rFonts w:eastAsia="Book Antiqua" w:cs="Book Antiqua"/>
        </w:rPr>
        <w:t xml:space="preserve">and </w:t>
      </w:r>
      <w:r w:rsidRPr="575E767E">
        <w:rPr>
          <w:rFonts w:eastAsia="Book Antiqua" w:cs="Book Antiqua"/>
        </w:rPr>
        <w:t>West Coast Gas Company, Inc.</w:t>
      </w:r>
      <w:r>
        <w:rPr>
          <w:rFonts w:eastAsia="Book Antiqua" w:cs="Book Antiqua"/>
        </w:rPr>
        <w:t xml:space="preserve"> </w:t>
      </w:r>
      <w:r w:rsidR="00C578CD">
        <w:t>to automatically</w:t>
      </w:r>
      <w:r>
        <w:t xml:space="preserve"> enroll all residential customers in arrears in “COVID-19 relief payment plans” according to the terms in either Appendix A or Appendix </w:t>
      </w:r>
      <w:r w:rsidR="002B3159">
        <w:t>D</w:t>
      </w:r>
      <w:r>
        <w:t xml:space="preserve"> </w:t>
      </w:r>
      <w:r w:rsidR="002B3159">
        <w:t>by September 30, 2021</w:t>
      </w:r>
      <w:r>
        <w:t>.</w:t>
      </w:r>
    </w:p>
    <w:p w:rsidR="00C12D4F" w:rsidP="00C12D4F" w:rsidRDefault="00C12D4F" w14:paraId="0E41E0F3" w14:textId="77777777">
      <w:pPr>
        <w:pStyle w:val="OP"/>
        <w:numPr>
          <w:ilvl w:val="0"/>
          <w:numId w:val="16"/>
        </w:numPr>
      </w:pPr>
      <w:r>
        <w:rPr>
          <w:rFonts w:eastAsia="Book Antiqua" w:cs="Book Antiqua"/>
        </w:rPr>
        <w:t xml:space="preserve">It is reasonable to direct </w:t>
      </w:r>
      <w:r w:rsidRPr="575E767E">
        <w:rPr>
          <w:rFonts w:eastAsia="Book Antiqua" w:cs="Book Antiqua"/>
        </w:rPr>
        <w:t xml:space="preserve">Southwest Gas </w:t>
      </w:r>
      <w:r>
        <w:rPr>
          <w:rFonts w:eastAsia="Book Antiqua" w:cs="Book Antiqua"/>
        </w:rPr>
        <w:t xml:space="preserve">to permit </w:t>
      </w:r>
      <w:r>
        <w:t>residential customers automatically enrolled in 8-month payment plans to miss two payments before being removed from the plan.</w:t>
      </w:r>
    </w:p>
    <w:p w:rsidR="00C12D4F" w:rsidP="00C12D4F" w:rsidRDefault="00C12D4F" w14:paraId="105F7690" w14:textId="55AD2E32">
      <w:pPr>
        <w:pStyle w:val="OP"/>
        <w:numPr>
          <w:ilvl w:val="0"/>
          <w:numId w:val="16"/>
        </w:numPr>
      </w:pPr>
      <w:r>
        <w:t xml:space="preserve">It is reasonable to require PG&amp;E, SDG&amp;E, SCE, SoCalGas, </w:t>
      </w:r>
      <w:r w:rsidRPr="575E767E">
        <w:rPr>
          <w:rFonts w:eastAsia="Book Antiqua" w:cs="Book Antiqua"/>
        </w:rPr>
        <w:t>PacifiCorp, Liberty Utilities (Cal</w:t>
      </w:r>
      <w:r>
        <w:rPr>
          <w:rFonts w:eastAsia="Book Antiqua" w:cs="Book Antiqua"/>
        </w:rPr>
        <w:t>Peco</w:t>
      </w:r>
      <w:r w:rsidRPr="575E767E">
        <w:rPr>
          <w:rFonts w:eastAsia="Book Antiqua" w:cs="Book Antiqua"/>
        </w:rPr>
        <w:t xml:space="preserve"> Electric) LLC, Bear Valley Electric </w:t>
      </w:r>
      <w:r>
        <w:rPr>
          <w:rFonts w:eastAsia="Book Antiqua" w:cs="Book Antiqua"/>
        </w:rPr>
        <w:t xml:space="preserve">Company, Inc. </w:t>
      </w:r>
      <w:r w:rsidRPr="575E767E">
        <w:rPr>
          <w:rFonts w:eastAsia="Book Antiqua" w:cs="Book Antiqua"/>
        </w:rPr>
        <w:t>, Southwest Gas Corporation, Alpine Natural Gas, Inc</w:t>
      </w:r>
      <w:r>
        <w:rPr>
          <w:rFonts w:eastAsia="Book Antiqua" w:cs="Book Antiqua"/>
        </w:rPr>
        <w:t>.</w:t>
      </w:r>
      <w:r w:rsidRPr="575E767E">
        <w:rPr>
          <w:rFonts w:eastAsia="Book Antiqua" w:cs="Book Antiqua"/>
        </w:rPr>
        <w:t xml:space="preserve">, </w:t>
      </w:r>
      <w:r>
        <w:rPr>
          <w:rFonts w:eastAsia="Book Antiqua" w:cs="Book Antiqua"/>
        </w:rPr>
        <w:t xml:space="preserve">and </w:t>
      </w:r>
      <w:r w:rsidRPr="575E767E">
        <w:rPr>
          <w:rFonts w:eastAsia="Book Antiqua" w:cs="Book Antiqua"/>
        </w:rPr>
        <w:t>West Coast Gas Company, Inc.</w:t>
      </w:r>
      <w:r>
        <w:rPr>
          <w:rFonts w:eastAsia="Book Antiqua" w:cs="Book Antiqua"/>
        </w:rPr>
        <w:t xml:space="preserve"> </w:t>
      </w:r>
      <w:r>
        <w:t xml:space="preserve">to automatically enroll </w:t>
      </w:r>
      <w:r w:rsidR="00B21C60">
        <w:t xml:space="preserve">eligible </w:t>
      </w:r>
      <w:r>
        <w:t xml:space="preserve">Small Business customers with </w:t>
      </w:r>
      <w:r>
        <w:lastRenderedPageBreak/>
        <w:t>arrearages more than 60 days past due in payment plans with payoff terms long enough so that the debt payments are no more than 10</w:t>
      </w:r>
      <w:r w:rsidR="004A2BAD">
        <w:t xml:space="preserve"> </w:t>
      </w:r>
      <w:r>
        <w:t xml:space="preserve">percent over the </w:t>
      </w:r>
      <w:r w:rsidR="00E83C99">
        <w:t>customer’s average</w:t>
      </w:r>
      <w:r>
        <w:t xml:space="preserve"> bill</w:t>
      </w:r>
      <w:r w:rsidR="00E83C99">
        <w:t xml:space="preserve"> based on the past 24 months</w:t>
      </w:r>
      <w:r>
        <w:t xml:space="preserve">, or for Small Business customers </w:t>
      </w:r>
      <w:r w:rsidR="003F523D">
        <w:t xml:space="preserve">located in </w:t>
      </w:r>
      <w:r>
        <w:t>disadvantaged communities, no more than 5</w:t>
      </w:r>
      <w:r w:rsidR="00F632DA">
        <w:t xml:space="preserve"> </w:t>
      </w:r>
      <w:r>
        <w:t xml:space="preserve">percent over the </w:t>
      </w:r>
      <w:r w:rsidR="00E83C99">
        <w:t xml:space="preserve">customer’s average </w:t>
      </w:r>
      <w:r>
        <w:t xml:space="preserve">bill </w:t>
      </w:r>
      <w:r w:rsidR="00E83C99">
        <w:t>based on the past 24 months,</w:t>
      </w:r>
      <w:r w:rsidRPr="00B21C60" w:rsidR="00B21C60">
        <w:t xml:space="preserve"> </w:t>
      </w:r>
      <w:r w:rsidR="00B21C60">
        <w:t>only once between July 2021 and September 2022</w:t>
      </w:r>
      <w:r w:rsidR="00AE0047">
        <w:t>, a</w:t>
      </w:r>
      <w:r w:rsidR="00A44261">
        <w:t>ccording to the terms</w:t>
      </w:r>
      <w:r w:rsidR="00AE0047">
        <w:t xml:space="preserve"> in Appendix C</w:t>
      </w:r>
      <w:r>
        <w:t>.</w:t>
      </w:r>
    </w:p>
    <w:p w:rsidR="00493767" w:rsidP="00493767" w:rsidRDefault="00493767" w14:paraId="7E8AAC85" w14:textId="77777777">
      <w:pPr>
        <w:pStyle w:val="OP"/>
        <w:numPr>
          <w:ilvl w:val="0"/>
          <w:numId w:val="16"/>
        </w:numPr>
      </w:pPr>
      <w:r>
        <w:t>Resolutions M-4842 and M-4849 direct energy utilities to record expenses associated with the COVID-19 pandemic in COVID-19 Pandemic Protection Memorandum Accounts.</w:t>
      </w:r>
    </w:p>
    <w:p w:rsidR="0064271E" w:rsidP="0064271E" w:rsidRDefault="00965491" w14:paraId="31A3DDB2" w14:textId="6FD204C9">
      <w:pPr>
        <w:pStyle w:val="OP"/>
        <w:numPr>
          <w:ilvl w:val="0"/>
          <w:numId w:val="16"/>
        </w:numPr>
      </w:pPr>
      <w:r>
        <w:t xml:space="preserve">Costs associated with activities to </w:t>
      </w:r>
      <w:r w:rsidR="00975556">
        <w:t xml:space="preserve">implement today’s orders, including </w:t>
      </w:r>
      <w:r>
        <w:t>secur</w:t>
      </w:r>
      <w:r w:rsidR="00975556">
        <w:t>ing</w:t>
      </w:r>
      <w:r>
        <w:t xml:space="preserve"> access to state and federally funded COVID-19 arrearage relief programs on behalf of their customers</w:t>
      </w:r>
      <w:r w:rsidR="00975556">
        <w:t>,</w:t>
      </w:r>
      <w:r>
        <w:t xml:space="preserve"> are included among the types of costs that energy utilities may track</w:t>
      </w:r>
      <w:r w:rsidR="009B4F1F">
        <w:t xml:space="preserve"> in</w:t>
      </w:r>
      <w:r>
        <w:t xml:space="preserve"> </w:t>
      </w:r>
      <w:r w:rsidR="0064271E">
        <w:t>COVID-19 Pandemic Protection Memorandum Accounts authorized by Commission Resolution M-4842</w:t>
      </w:r>
      <w:r>
        <w:t>.</w:t>
      </w:r>
    </w:p>
    <w:p w:rsidR="0064271E" w:rsidP="0064271E" w:rsidRDefault="002F4EB3" w14:paraId="767CB341" w14:textId="08031E4A">
      <w:pPr>
        <w:pStyle w:val="OP"/>
        <w:numPr>
          <w:ilvl w:val="0"/>
          <w:numId w:val="16"/>
        </w:numPr>
      </w:pPr>
      <w:r>
        <w:t xml:space="preserve">It is reasonable to require </w:t>
      </w:r>
      <w:r w:rsidR="006215EF">
        <w:t>PG&amp;E</w:t>
      </w:r>
      <w:r w:rsidR="0064271E">
        <w:t xml:space="preserve">, </w:t>
      </w:r>
      <w:r w:rsidR="006215EF">
        <w:t>SDG&amp;E</w:t>
      </w:r>
      <w:r w:rsidR="0064271E">
        <w:t xml:space="preserve">, </w:t>
      </w:r>
      <w:r w:rsidR="006215EF">
        <w:t>SCE</w:t>
      </w:r>
      <w:r w:rsidR="0064271E">
        <w:t xml:space="preserve">, and </w:t>
      </w:r>
      <w:r w:rsidR="00C578CD">
        <w:t>SoCalGas</w:t>
      </w:r>
      <w:r w:rsidR="0064271E">
        <w:t xml:space="preserve"> </w:t>
      </w:r>
      <w:r w:rsidR="000868FA">
        <w:t>to</w:t>
      </w:r>
      <w:r w:rsidR="0064271E">
        <w:t xml:space="preserve"> jointly file via Tier 2 Advice Letter a reporting template that displays their current CBO networks</w:t>
      </w:r>
      <w:r w:rsidRPr="004C0773" w:rsidR="0064271E">
        <w:t>, their structures for compensating CBOs,</w:t>
      </w:r>
      <w:r w:rsidR="0064271E">
        <w:t xml:space="preserve"> and reveals each CBO’s links and benefit delivered to Disadvantaged Communities, Environmental and Social Justice Communities, Small Business customers, tribes, access and functional needs communities, and other hard-to-reach populations</w:t>
      </w:r>
      <w:r w:rsidR="000868FA">
        <w:t xml:space="preserve"> within 60 days of this decision.</w:t>
      </w:r>
    </w:p>
    <w:p w:rsidRPr="006B69AE" w:rsidR="006B69AE" w:rsidP="00AC64F9" w:rsidRDefault="006B69AE" w14:paraId="23CF5EE8" w14:textId="39CC7A71">
      <w:pPr>
        <w:pStyle w:val="num2"/>
        <w:numPr>
          <w:ilvl w:val="0"/>
          <w:numId w:val="16"/>
        </w:numPr>
        <w:rPr>
          <w:rFonts w:ascii="Book Antiqua" w:hAnsi="Book Antiqua"/>
        </w:rPr>
      </w:pPr>
      <w:r>
        <w:t xml:space="preserve">It is reasonable to require PG&amp;E, SDG&amp;E, SCE, and SoCalGas to jointly file via Tier 2 Advice Letter a pilot plan proposal </w:t>
      </w:r>
      <w:r w:rsidR="00D1361B">
        <w:t>for outreach and verbal counseling to Small Business customers in DACs on appropriate programs, incentives and rates available to lower their bills,</w:t>
      </w:r>
      <w:r>
        <w:t xml:space="preserve"> within 120 days of this decision.</w:t>
      </w:r>
    </w:p>
    <w:p w:rsidR="00D1361B" w:rsidP="00AC64F9" w:rsidRDefault="00D1361B" w14:paraId="3D3D5AC9" w14:textId="24C0AB04">
      <w:pPr>
        <w:pStyle w:val="num2"/>
        <w:numPr>
          <w:ilvl w:val="0"/>
          <w:numId w:val="16"/>
        </w:numPr>
        <w:rPr>
          <w:rFonts w:ascii="Book Antiqua" w:hAnsi="Book Antiqua"/>
        </w:rPr>
      </w:pPr>
      <w:r>
        <w:rPr>
          <w:rFonts w:ascii="Book Antiqua" w:hAnsi="Book Antiqua"/>
        </w:rPr>
        <w:lastRenderedPageBreak/>
        <w:t>The pro-rata allocation of payments between energy utilities and CCAs approved in Resolution M-4849 through the end of the disconnection moratorium should continue to apply while disconnections are suspended through September 30, 2021.</w:t>
      </w:r>
    </w:p>
    <w:p w:rsidRPr="00BB046A" w:rsidR="00AC64F9" w:rsidP="00AC64F9" w:rsidRDefault="009B4F1F" w14:paraId="6FA8C0E1" w14:textId="748213C5">
      <w:pPr>
        <w:pStyle w:val="num2"/>
        <w:numPr>
          <w:ilvl w:val="0"/>
          <w:numId w:val="16"/>
        </w:numPr>
        <w:rPr>
          <w:rFonts w:ascii="Book Antiqua" w:hAnsi="Book Antiqua"/>
        </w:rPr>
      </w:pPr>
      <w:r>
        <w:rPr>
          <w:rFonts w:ascii="Book Antiqua" w:hAnsi="Book Antiqua"/>
        </w:rPr>
        <w:t>This decision</w:t>
      </w:r>
      <w:r w:rsidRPr="00BB046A" w:rsidR="00AC64F9">
        <w:rPr>
          <w:rFonts w:ascii="Book Antiqua" w:hAnsi="Book Antiqua"/>
        </w:rPr>
        <w:t xml:space="preserve"> should be effective immediately.</w:t>
      </w:r>
    </w:p>
    <w:p w:rsidRPr="00BB046A" w:rsidR="00AC64F9" w:rsidP="00AC64F9" w:rsidRDefault="00AC64F9" w14:paraId="37FC6655" w14:textId="1B4E9419">
      <w:pPr>
        <w:pStyle w:val="num2"/>
        <w:numPr>
          <w:ilvl w:val="0"/>
          <w:numId w:val="16"/>
        </w:numPr>
        <w:rPr>
          <w:rFonts w:ascii="Book Antiqua" w:hAnsi="Book Antiqua"/>
        </w:rPr>
      </w:pPr>
      <w:r w:rsidRPr="00BB046A">
        <w:rPr>
          <w:rFonts w:ascii="Book Antiqua" w:hAnsi="Book Antiqua"/>
        </w:rPr>
        <w:t xml:space="preserve">Application </w:t>
      </w:r>
      <w:r>
        <w:rPr>
          <w:rFonts w:ascii="Book Antiqua" w:hAnsi="Book Antiqua"/>
        </w:rPr>
        <w:t>2</w:t>
      </w:r>
      <w:r w:rsidR="00C713B9">
        <w:rPr>
          <w:rFonts w:ascii="Book Antiqua" w:hAnsi="Book Antiqua"/>
        </w:rPr>
        <w:t>1-02-014</w:t>
      </w:r>
      <w:r w:rsidRPr="00BB046A">
        <w:rPr>
          <w:rFonts w:ascii="Book Antiqua" w:hAnsi="Book Antiqua"/>
        </w:rPr>
        <w:t xml:space="preserve"> should </w:t>
      </w:r>
      <w:r w:rsidR="00706914">
        <w:rPr>
          <w:rFonts w:ascii="Book Antiqua" w:hAnsi="Book Antiqua"/>
        </w:rPr>
        <w:t>remain open</w:t>
      </w:r>
      <w:r w:rsidRPr="00BB046A">
        <w:rPr>
          <w:rFonts w:ascii="Book Antiqua" w:hAnsi="Book Antiqua"/>
        </w:rPr>
        <w:t>.</w:t>
      </w:r>
    </w:p>
    <w:p w:rsidR="00BB0243" w:rsidP="00A3652D" w:rsidRDefault="005939A5" w14:paraId="3703BA87" w14:textId="77777777">
      <w:pPr>
        <w:pStyle w:val="Mainex"/>
        <w:spacing w:before="120"/>
      </w:pPr>
      <w:bookmarkStart w:name="_Toc75258961" w:id="58"/>
      <w:r>
        <w:t>O</w:t>
      </w:r>
      <w:r w:rsidR="00722850">
        <w:t>RDER</w:t>
      </w:r>
      <w:bookmarkEnd w:id="57"/>
      <w:bookmarkEnd w:id="58"/>
    </w:p>
    <w:p w:rsidR="00356B58" w:rsidP="000A6E05" w:rsidRDefault="00BB0243" w14:paraId="2FFC0EFF" w14:textId="55A9067F">
      <w:pPr>
        <w:keepNext/>
      </w:pPr>
      <w:r w:rsidRPr="00BB0243">
        <w:rPr>
          <w:b/>
        </w:rPr>
        <w:t>IT IS ORDERED</w:t>
      </w:r>
      <w:r>
        <w:t xml:space="preserve"> that:</w:t>
      </w:r>
    </w:p>
    <w:p w:rsidR="00356B58" w:rsidP="00356B58" w:rsidRDefault="00356B58" w14:paraId="54DDE2D3" w14:textId="77777777">
      <w:pPr>
        <w:pStyle w:val="OP"/>
      </w:pPr>
      <w:r>
        <w:t xml:space="preserve">Pacific Gas and Electric Company, San Diego Gas &amp; Electric Company, Southern California Edison Company, Southern California Gas Company </w:t>
      </w:r>
      <w:r w:rsidRPr="575E767E">
        <w:rPr>
          <w:rFonts w:eastAsia="Book Antiqua" w:cs="Book Antiqua"/>
        </w:rPr>
        <w:t>PacifiCorp, Liberty Utilities (Cal</w:t>
      </w:r>
      <w:r>
        <w:rPr>
          <w:rFonts w:eastAsia="Book Antiqua" w:cs="Book Antiqua"/>
        </w:rPr>
        <w:t>Peco</w:t>
      </w:r>
      <w:r w:rsidRPr="575E767E">
        <w:rPr>
          <w:rFonts w:eastAsia="Book Antiqua" w:cs="Book Antiqua"/>
        </w:rPr>
        <w:t xml:space="preserve"> Electric) LLC, Bear Valley Electric </w:t>
      </w:r>
      <w:r>
        <w:rPr>
          <w:rFonts w:eastAsia="Book Antiqua" w:cs="Book Antiqua"/>
        </w:rPr>
        <w:t>Company, Inc.</w:t>
      </w:r>
      <w:r w:rsidRPr="575E767E">
        <w:rPr>
          <w:rFonts w:eastAsia="Book Antiqua" w:cs="Book Antiqua"/>
        </w:rPr>
        <w:t>, Alpine Natural Gas, Inc</w:t>
      </w:r>
      <w:r>
        <w:rPr>
          <w:rFonts w:eastAsia="Book Antiqua" w:cs="Book Antiqua"/>
        </w:rPr>
        <w:t>.</w:t>
      </w:r>
      <w:r w:rsidRPr="575E767E">
        <w:rPr>
          <w:rFonts w:eastAsia="Book Antiqua" w:cs="Book Antiqua"/>
        </w:rPr>
        <w:t xml:space="preserve">, </w:t>
      </w:r>
      <w:r>
        <w:rPr>
          <w:rFonts w:eastAsia="Book Antiqua" w:cs="Book Antiqua"/>
        </w:rPr>
        <w:t xml:space="preserve">and </w:t>
      </w:r>
      <w:r w:rsidRPr="575E767E">
        <w:rPr>
          <w:rFonts w:eastAsia="Book Antiqua" w:cs="Book Antiqua"/>
        </w:rPr>
        <w:t>West Coast Gas Company</w:t>
      </w:r>
      <w:r>
        <w:rPr>
          <w:rFonts w:eastAsia="Book Antiqua" w:cs="Book Antiqua"/>
        </w:rPr>
        <w:t xml:space="preserve"> shall not resume disconnections for nonpayment until September 30, 2021.</w:t>
      </w:r>
    </w:p>
    <w:p w:rsidRPr="00442437" w:rsidR="00442437" w:rsidP="004A2BAD" w:rsidRDefault="00DB0EE7" w14:paraId="45E73186" w14:textId="55DF5996">
      <w:pPr>
        <w:pStyle w:val="OP"/>
      </w:pPr>
      <w:r>
        <w:t>B</w:t>
      </w:r>
      <w:r w:rsidR="00442437">
        <w:t xml:space="preserve">y September 30, 2021, Pacific Gas and Electric Company, San Diego Gas &amp; Electric Company, Southern California Edison Company, Southern California Gas Company </w:t>
      </w:r>
      <w:r w:rsidRPr="575E767E" w:rsidR="00442437">
        <w:rPr>
          <w:rFonts w:eastAsia="Book Antiqua" w:cs="Book Antiqua"/>
        </w:rPr>
        <w:t>PacifiCorp, Liberty Utilities (Cal</w:t>
      </w:r>
      <w:r w:rsidR="00442437">
        <w:rPr>
          <w:rFonts w:eastAsia="Book Antiqua" w:cs="Book Antiqua"/>
        </w:rPr>
        <w:t>Peco</w:t>
      </w:r>
      <w:r w:rsidRPr="575E767E" w:rsidR="00442437">
        <w:rPr>
          <w:rFonts w:eastAsia="Book Antiqua" w:cs="Book Antiqua"/>
        </w:rPr>
        <w:t xml:space="preserve"> Electric) LLC, Bear Valley Electric </w:t>
      </w:r>
      <w:r w:rsidR="00442437">
        <w:rPr>
          <w:rFonts w:eastAsia="Book Antiqua" w:cs="Book Antiqua"/>
        </w:rPr>
        <w:t>Company, Inc.</w:t>
      </w:r>
      <w:r w:rsidRPr="575E767E" w:rsidR="00442437">
        <w:rPr>
          <w:rFonts w:eastAsia="Book Antiqua" w:cs="Book Antiqua"/>
        </w:rPr>
        <w:t>, Alpine Natural Gas, Inc</w:t>
      </w:r>
      <w:r w:rsidR="00442437">
        <w:rPr>
          <w:rFonts w:eastAsia="Book Antiqua" w:cs="Book Antiqua"/>
        </w:rPr>
        <w:t>.</w:t>
      </w:r>
      <w:r w:rsidRPr="575E767E" w:rsidR="00442437">
        <w:rPr>
          <w:rFonts w:eastAsia="Book Antiqua" w:cs="Book Antiqua"/>
        </w:rPr>
        <w:t xml:space="preserve">, </w:t>
      </w:r>
      <w:r w:rsidR="00442437">
        <w:rPr>
          <w:rFonts w:eastAsia="Book Antiqua" w:cs="Book Antiqua"/>
        </w:rPr>
        <w:t xml:space="preserve">and </w:t>
      </w:r>
      <w:r w:rsidRPr="575E767E" w:rsidR="00442437">
        <w:rPr>
          <w:rFonts w:eastAsia="Book Antiqua" w:cs="Book Antiqua"/>
        </w:rPr>
        <w:t>West Coast Gas Company</w:t>
      </w:r>
      <w:r w:rsidR="00442437">
        <w:rPr>
          <w:rFonts w:eastAsia="Book Antiqua" w:cs="Book Antiqua"/>
        </w:rPr>
        <w:t xml:space="preserve"> shall automatically enroll any eligible residential and small business customers in “COVID-19 relief payment plans” according to the terms in Appendices A – D.</w:t>
      </w:r>
    </w:p>
    <w:p w:rsidR="004A2BAD" w:rsidP="004A2BAD" w:rsidRDefault="00442437" w14:paraId="5F9EC813" w14:textId="1CB9CE82">
      <w:pPr>
        <w:pStyle w:val="OP"/>
      </w:pPr>
      <w:r>
        <w:t>B</w:t>
      </w:r>
      <w:r w:rsidR="00DB0EE7">
        <w:t>etween July 2021 and September 2022</w:t>
      </w:r>
      <w:r w:rsidR="004A2BAD">
        <w:t>, Pacific Gas and Electric Company, San Diego Gas &amp; Electric Company, Southern California Edison Company, and Southern California Gas Company shall automatically enroll a</w:t>
      </w:r>
      <w:r w:rsidR="00DB0EE7">
        <w:t>ny eligible</w:t>
      </w:r>
      <w:r w:rsidR="004A2BAD">
        <w:t xml:space="preserve"> residential customer </w:t>
      </w:r>
      <w:r w:rsidR="00DB0EE7">
        <w:t>at least and only once</w:t>
      </w:r>
      <w:r w:rsidR="004A2BAD">
        <w:t xml:space="preserve"> in “COVID-19 relief payment plans” according to the terms in Appendix A.</w:t>
      </w:r>
    </w:p>
    <w:p w:rsidR="004A2BAD" w:rsidP="004A2BAD" w:rsidRDefault="00DB0EE7" w14:paraId="696E7A0F" w14:textId="138B4D98">
      <w:pPr>
        <w:pStyle w:val="OP"/>
      </w:pPr>
      <w:r>
        <w:t>Between July 2021 and September 2022</w:t>
      </w:r>
      <w:r w:rsidR="004A2BAD">
        <w:t xml:space="preserve">, </w:t>
      </w:r>
      <w:r w:rsidRPr="575E767E" w:rsidR="004A2BAD">
        <w:rPr>
          <w:rFonts w:eastAsia="Book Antiqua" w:cs="Book Antiqua"/>
        </w:rPr>
        <w:t>PacifiCorp, Liberty Utilities (Cal</w:t>
      </w:r>
      <w:r w:rsidR="004A2BAD">
        <w:rPr>
          <w:rFonts w:eastAsia="Book Antiqua" w:cs="Book Antiqua"/>
        </w:rPr>
        <w:t>Peco</w:t>
      </w:r>
      <w:r w:rsidRPr="575E767E" w:rsidR="004A2BAD">
        <w:rPr>
          <w:rFonts w:eastAsia="Book Antiqua" w:cs="Book Antiqua"/>
        </w:rPr>
        <w:t xml:space="preserve"> Electric) LLC, Bear Valley Electric </w:t>
      </w:r>
      <w:r w:rsidR="004A2BAD">
        <w:rPr>
          <w:rFonts w:eastAsia="Book Antiqua" w:cs="Book Antiqua"/>
        </w:rPr>
        <w:t>Company, Inc.</w:t>
      </w:r>
      <w:r w:rsidRPr="575E767E" w:rsidR="004A2BAD">
        <w:rPr>
          <w:rFonts w:eastAsia="Book Antiqua" w:cs="Book Antiqua"/>
        </w:rPr>
        <w:t xml:space="preserve">, Alpine Natural Gas, </w:t>
      </w:r>
      <w:r w:rsidRPr="575E767E" w:rsidR="004A2BAD">
        <w:rPr>
          <w:rFonts w:eastAsia="Book Antiqua" w:cs="Book Antiqua"/>
        </w:rPr>
        <w:lastRenderedPageBreak/>
        <w:t>Inc</w:t>
      </w:r>
      <w:r w:rsidR="004A2BAD">
        <w:rPr>
          <w:rFonts w:eastAsia="Book Antiqua" w:cs="Book Antiqua"/>
        </w:rPr>
        <w:t>.</w:t>
      </w:r>
      <w:r w:rsidRPr="575E767E" w:rsidR="004A2BAD">
        <w:rPr>
          <w:rFonts w:eastAsia="Book Antiqua" w:cs="Book Antiqua"/>
        </w:rPr>
        <w:t xml:space="preserve">, </w:t>
      </w:r>
      <w:r w:rsidR="004A2BAD">
        <w:rPr>
          <w:rFonts w:eastAsia="Book Antiqua" w:cs="Book Antiqua"/>
        </w:rPr>
        <w:t xml:space="preserve">and </w:t>
      </w:r>
      <w:r w:rsidRPr="575E767E" w:rsidR="004A2BAD">
        <w:rPr>
          <w:rFonts w:eastAsia="Book Antiqua" w:cs="Book Antiqua"/>
        </w:rPr>
        <w:t>West Coast Gas Company, Inc.</w:t>
      </w:r>
      <w:r w:rsidR="004A2BAD">
        <w:rPr>
          <w:rFonts w:eastAsia="Book Antiqua" w:cs="Book Antiqua"/>
        </w:rPr>
        <w:t xml:space="preserve"> </w:t>
      </w:r>
      <w:r w:rsidR="004A2BAD">
        <w:t>shall automatically enroll a</w:t>
      </w:r>
      <w:r>
        <w:t>ny eligible</w:t>
      </w:r>
      <w:r w:rsidR="004A2BAD">
        <w:t xml:space="preserve"> residential customer</w:t>
      </w:r>
      <w:r>
        <w:t xml:space="preserve"> at least once and only once</w:t>
      </w:r>
      <w:r w:rsidR="004A2BAD">
        <w:t xml:space="preserve"> in “COVID-19 relief payment plans” according to the terms in either Appendix </w:t>
      </w:r>
      <w:r>
        <w:t>D</w:t>
      </w:r>
      <w:r w:rsidR="004A2BAD">
        <w:t>.</w:t>
      </w:r>
    </w:p>
    <w:p w:rsidR="004A2BAD" w:rsidP="004A2BAD" w:rsidRDefault="004A2BAD" w14:paraId="4E4D86A3" w14:textId="77777777">
      <w:pPr>
        <w:pStyle w:val="OP"/>
      </w:pPr>
      <w:r w:rsidRPr="575E767E">
        <w:rPr>
          <w:rFonts w:eastAsia="Book Antiqua" w:cs="Book Antiqua"/>
        </w:rPr>
        <w:t>Southwest Gas Corporation</w:t>
      </w:r>
      <w:r>
        <w:rPr>
          <w:rFonts w:eastAsia="Book Antiqua" w:cs="Book Antiqua"/>
        </w:rPr>
        <w:t xml:space="preserve">’s </w:t>
      </w:r>
      <w:r>
        <w:t xml:space="preserve">automatic 8-month payment plan is adopted with the clarification that enrolled customers are permitted to miss two payments before being removed from the plan. </w:t>
      </w:r>
    </w:p>
    <w:p w:rsidR="004A2BAD" w:rsidP="004A2BAD" w:rsidRDefault="00DB0EE7" w14:paraId="0F32F85B" w14:textId="622C7351">
      <w:pPr>
        <w:pStyle w:val="OP"/>
      </w:pPr>
      <w:r>
        <w:t>Between July 2021 and September 2022</w:t>
      </w:r>
      <w:r w:rsidR="004A2BAD">
        <w:t xml:space="preserve">, Pacific Gas and Electric Company, San Diego Gas &amp; Electric Company, Southern California Edison Company, Southern California Gas Company, </w:t>
      </w:r>
      <w:r w:rsidRPr="575E767E" w:rsidR="004A2BAD">
        <w:rPr>
          <w:rFonts w:eastAsia="Book Antiqua" w:cs="Book Antiqua"/>
        </w:rPr>
        <w:t>PacifiCorp, Liberty Utilities (Cal</w:t>
      </w:r>
      <w:r w:rsidR="004A2BAD">
        <w:rPr>
          <w:rFonts w:eastAsia="Book Antiqua" w:cs="Book Antiqua"/>
        </w:rPr>
        <w:t>Peco</w:t>
      </w:r>
      <w:r w:rsidRPr="575E767E" w:rsidR="004A2BAD">
        <w:rPr>
          <w:rFonts w:eastAsia="Book Antiqua" w:cs="Book Antiqua"/>
        </w:rPr>
        <w:t xml:space="preserve"> Electric) LLC, Bear Valley Electric </w:t>
      </w:r>
      <w:r w:rsidR="004A2BAD">
        <w:rPr>
          <w:rFonts w:eastAsia="Book Antiqua" w:cs="Book Antiqua"/>
        </w:rPr>
        <w:t>Company, Inc.</w:t>
      </w:r>
      <w:r w:rsidRPr="575E767E" w:rsidR="004A2BAD">
        <w:rPr>
          <w:rFonts w:eastAsia="Book Antiqua" w:cs="Book Antiqua"/>
        </w:rPr>
        <w:t>, Southwest Gas Corporation, Alpine Natural Gas, Inc</w:t>
      </w:r>
      <w:r w:rsidR="004A2BAD">
        <w:rPr>
          <w:rFonts w:eastAsia="Book Antiqua" w:cs="Book Antiqua"/>
        </w:rPr>
        <w:t>.</w:t>
      </w:r>
      <w:r w:rsidRPr="575E767E" w:rsidR="004A2BAD">
        <w:rPr>
          <w:rFonts w:eastAsia="Book Antiqua" w:cs="Book Antiqua"/>
        </w:rPr>
        <w:t xml:space="preserve">, </w:t>
      </w:r>
      <w:r w:rsidR="004A2BAD">
        <w:rPr>
          <w:rFonts w:eastAsia="Book Antiqua" w:cs="Book Antiqua"/>
        </w:rPr>
        <w:t xml:space="preserve">and </w:t>
      </w:r>
      <w:r w:rsidRPr="575E767E" w:rsidR="004A2BAD">
        <w:rPr>
          <w:rFonts w:eastAsia="Book Antiqua" w:cs="Book Antiqua"/>
        </w:rPr>
        <w:t>West Coast Gas Company, Inc.</w:t>
      </w:r>
      <w:r w:rsidR="004A2BAD">
        <w:rPr>
          <w:rFonts w:eastAsia="Book Antiqua" w:cs="Book Antiqua"/>
        </w:rPr>
        <w:t xml:space="preserve"> </w:t>
      </w:r>
      <w:r w:rsidR="004A2BAD">
        <w:t xml:space="preserve">shall automatically enroll Small Business customers with arrearages more than 60 days past due in payment plans with payoff terms long enough so that the debt payments are no more than 10 percent over the </w:t>
      </w:r>
      <w:r w:rsidR="00BE110B">
        <w:t xml:space="preserve">customer’s average </w:t>
      </w:r>
      <w:r w:rsidR="004A2BAD">
        <w:t>bill</w:t>
      </w:r>
      <w:r w:rsidR="00BE110B">
        <w:t xml:space="preserve"> based on the past 24 months</w:t>
      </w:r>
      <w:r w:rsidR="004A2BAD">
        <w:t xml:space="preserve">, or for Small Business customers </w:t>
      </w:r>
      <w:r w:rsidR="003F523D">
        <w:t>located in</w:t>
      </w:r>
      <w:r w:rsidR="004A2BAD">
        <w:t xml:space="preserve"> disadvantaged communities, no more than 5 percent over the </w:t>
      </w:r>
      <w:r w:rsidR="00BE110B">
        <w:t xml:space="preserve">customer’s average </w:t>
      </w:r>
      <w:r w:rsidR="004A2BAD">
        <w:t>bill</w:t>
      </w:r>
      <w:r w:rsidR="00752B5C">
        <w:t xml:space="preserve"> </w:t>
      </w:r>
      <w:r w:rsidR="00BE110B">
        <w:t xml:space="preserve">based on the past 24 months, </w:t>
      </w:r>
      <w:r w:rsidR="00752B5C">
        <w:t>as specified in Appendix C</w:t>
      </w:r>
      <w:r w:rsidR="004A2BAD">
        <w:t>.</w:t>
      </w:r>
    </w:p>
    <w:p w:rsidR="00805AB5" w:rsidP="00805AB5" w:rsidRDefault="00805AB5" w14:paraId="202FF9A6" w14:textId="6093BC2D">
      <w:pPr>
        <w:pStyle w:val="OP"/>
      </w:pPr>
      <w:r>
        <w:t xml:space="preserve">To the extent that the </w:t>
      </w:r>
      <w:r w:rsidR="009A6FE9">
        <w:t>energy utilities</w:t>
      </w:r>
      <w:r>
        <w:t xml:space="preserve"> require additional budgets </w:t>
      </w:r>
      <w:r w:rsidR="009A6FE9">
        <w:t xml:space="preserve">to </w:t>
      </w:r>
      <w:r w:rsidR="00F25C69">
        <w:t>implement today’s orders</w:t>
      </w:r>
      <w:r w:rsidR="009A6FE9">
        <w:t>,</w:t>
      </w:r>
      <w:r>
        <w:t xml:space="preserve"> they may track costs in their existing</w:t>
      </w:r>
      <w:r w:rsidR="00B0758F">
        <w:t xml:space="preserve"> </w:t>
      </w:r>
      <w:r w:rsidR="009A6FE9">
        <w:t>COVID-19 Pandemic Protection</w:t>
      </w:r>
      <w:r>
        <w:t xml:space="preserve"> </w:t>
      </w:r>
      <w:r w:rsidR="009A6FE9">
        <w:t>M</w:t>
      </w:r>
      <w:r>
        <w:t xml:space="preserve">emorandum </w:t>
      </w:r>
      <w:r w:rsidR="009A6FE9">
        <w:t>A</w:t>
      </w:r>
      <w:r>
        <w:t>ccounts</w:t>
      </w:r>
      <w:r w:rsidR="009A6FE9">
        <w:t xml:space="preserve"> authorized by Commission Resolution M-4842</w:t>
      </w:r>
      <w:r>
        <w:t xml:space="preserve">, which will be subject to Commission review applicable to such memorandum accounts in accordance with </w:t>
      </w:r>
      <w:r w:rsidR="00A21C2F">
        <w:t xml:space="preserve">Commission </w:t>
      </w:r>
      <w:r w:rsidR="009A6FE9">
        <w:t>Resolution E-3238 and Section 454.9 of the California Public Utilities Code</w:t>
      </w:r>
      <w:r>
        <w:t>.</w:t>
      </w:r>
    </w:p>
    <w:p w:rsidR="00805AB5" w:rsidP="00805AB5" w:rsidRDefault="0072011C" w14:paraId="6B890EB3" w14:textId="07472C2D">
      <w:pPr>
        <w:pStyle w:val="OP"/>
      </w:pPr>
      <w:r>
        <w:t xml:space="preserve">Within 60 days of the issuance of this decision, Pacific Gas and Electric Company, San Diego Gas &amp; Electric Company, Southern California Edison Company, and Southern California Gas Company shall jointly file via Tier 2 </w:t>
      </w:r>
      <w:r>
        <w:lastRenderedPageBreak/>
        <w:t xml:space="preserve">Advice Letter a reporting template that displays their current </w:t>
      </w:r>
      <w:r w:rsidR="00B87CDB">
        <w:t>Community Based Organizations (</w:t>
      </w:r>
      <w:r>
        <w:t>CBO</w:t>
      </w:r>
      <w:r w:rsidR="00B87CDB">
        <w:t>)</w:t>
      </w:r>
      <w:r>
        <w:t xml:space="preserve"> networks</w:t>
      </w:r>
      <w:r w:rsidRPr="004C0773" w:rsidR="004C0773">
        <w:t>, their structures for compensating CBOs,</w:t>
      </w:r>
      <w:r>
        <w:t xml:space="preserve"> and </w:t>
      </w:r>
      <w:r w:rsidR="00631F34">
        <w:t xml:space="preserve">that </w:t>
      </w:r>
      <w:r w:rsidR="00591B50">
        <w:t xml:space="preserve">reveals each </w:t>
      </w:r>
      <w:r w:rsidR="00B87CDB">
        <w:t xml:space="preserve">CBO’s </w:t>
      </w:r>
      <w:r w:rsidR="00591B50">
        <w:t xml:space="preserve">links </w:t>
      </w:r>
      <w:r w:rsidR="004C0773">
        <w:t xml:space="preserve">and benefit delivered </w:t>
      </w:r>
      <w:r w:rsidR="00591B50">
        <w:t xml:space="preserve">to </w:t>
      </w:r>
      <w:r w:rsidR="00C07CF7">
        <w:t>d</w:t>
      </w:r>
      <w:r w:rsidR="00591B50">
        <w:t xml:space="preserve">isadvantaged </w:t>
      </w:r>
      <w:r w:rsidR="00C07CF7">
        <w:t>c</w:t>
      </w:r>
      <w:r w:rsidR="00591B50">
        <w:t xml:space="preserve">ommunities, Environmental and Social Justice Communities, </w:t>
      </w:r>
      <w:r w:rsidR="00CC5FC8">
        <w:t xml:space="preserve">Small Business customers, tribes, access and functional needs communities, and </w:t>
      </w:r>
      <w:r w:rsidR="00591B50">
        <w:t>other hard-to-reach populations.</w:t>
      </w:r>
    </w:p>
    <w:p w:rsidRPr="00F25C69" w:rsidR="00F25C69" w:rsidP="00F25C69" w:rsidRDefault="00F25C69" w14:paraId="61D1C635" w14:textId="407518F7">
      <w:pPr>
        <w:pStyle w:val="OP"/>
      </w:pPr>
      <w:r>
        <w:t xml:space="preserve">Within 120 days of the issuance of this decision, Pacific Gas and Electric Company, San Diego Gas &amp; Electric Company, Southern California Edison Company, and Southern California Gas Company shall jointly file via Tier 2 Advice Letter a pilot plan proposal for outreach and verbal counseling to Small Business customers in </w:t>
      </w:r>
      <w:r w:rsidR="00C07CF7">
        <w:t>disadvantaged communitie</w:t>
      </w:r>
      <w:r>
        <w:t>s on appropriate programs, incentives and rates available to lower their bills,</w:t>
      </w:r>
    </w:p>
    <w:p w:rsidR="00D1361B" w:rsidP="00495E75" w:rsidRDefault="006B69AE" w14:paraId="1C484FA7" w14:textId="3E9029CC">
      <w:pPr>
        <w:pStyle w:val="OP"/>
      </w:pPr>
      <w:r>
        <w:t>Pacific Gas and Electric Company</w:t>
      </w:r>
      <w:r w:rsidR="00D250DE">
        <w:t>, Southern California Edison Company,</w:t>
      </w:r>
      <w:r>
        <w:t xml:space="preserve"> and San Diego Gas &amp; Electric Company </w:t>
      </w:r>
      <w:r w:rsidR="00D1361B">
        <w:t>shall continue the pro-rata allocation of payments between energy utilities and CCAs approved in Resolution M-4849 through time disconnections are suspended until September 30, 2021.</w:t>
      </w:r>
    </w:p>
    <w:p w:rsidR="00F6397D" w:rsidP="00FC1BD6" w:rsidRDefault="00E23CBB" w14:paraId="03C49F3A" w14:textId="1D24899E">
      <w:pPr>
        <w:pStyle w:val="OP"/>
        <w:keepNext/>
        <w:keepLines/>
      </w:pPr>
      <w:r w:rsidRPr="001E2A62">
        <w:t>Rulemaking</w:t>
      </w:r>
      <w:r w:rsidR="00BE5002">
        <w:t xml:space="preserve"> 21-0</w:t>
      </w:r>
      <w:r w:rsidR="00780E81">
        <w:t>2-014</w:t>
      </w:r>
      <w:r w:rsidR="00BE5002">
        <w:t xml:space="preserve"> remains open</w:t>
      </w:r>
      <w:r w:rsidRPr="001E2A62">
        <w:t>.</w:t>
      </w:r>
    </w:p>
    <w:p w:rsidR="008F0116" w:rsidP="002C1548" w:rsidRDefault="008F0116" w14:paraId="291D1617" w14:textId="77777777">
      <w:pPr>
        <w:keepNext/>
        <w:keepLines/>
      </w:pPr>
      <w:r>
        <w:t>This order is effective today.</w:t>
      </w:r>
    </w:p>
    <w:p w:rsidR="00A3652D" w:rsidP="002C1548" w:rsidRDefault="008F0116" w14:paraId="108EE688" w14:textId="77777777">
      <w:pPr>
        <w:keepNext/>
        <w:keepLines/>
      </w:pPr>
      <w:r>
        <w:t xml:space="preserve">Dated </w:t>
      </w:r>
      <w:r>
        <w:rPr>
          <w:u w:val="single"/>
        </w:rPr>
        <w:tab/>
      </w:r>
      <w:r>
        <w:rPr>
          <w:u w:val="single"/>
        </w:rPr>
        <w:tab/>
      </w:r>
      <w:r>
        <w:rPr>
          <w:u w:val="single"/>
        </w:rPr>
        <w:tab/>
      </w:r>
      <w:r>
        <w:rPr>
          <w:u w:val="single"/>
        </w:rPr>
        <w:tab/>
      </w:r>
      <w:r>
        <w:rPr>
          <w:u w:val="single"/>
        </w:rPr>
        <w:tab/>
      </w:r>
      <w:r>
        <w:t>, at San Francisco, California</w:t>
      </w:r>
      <w:r w:rsidR="00FF110C">
        <w:t>.</w:t>
      </w:r>
    </w:p>
    <w:p w:rsidR="002C1548" w:rsidP="002C1548" w:rsidRDefault="002C1548" w14:paraId="78FAABF8" w14:textId="77777777">
      <w:pPr>
        <w:keepNext/>
        <w:keepLines/>
        <w:spacing w:line="240" w:lineRule="auto"/>
        <w:contextualSpacing/>
      </w:pPr>
    </w:p>
    <w:p w:rsidR="002C1548" w:rsidP="002C1548" w:rsidRDefault="002C1548" w14:paraId="0F8BA692" w14:textId="77777777">
      <w:pPr>
        <w:keepNext/>
        <w:keepLines/>
        <w:spacing w:line="240" w:lineRule="auto"/>
        <w:contextualSpacing/>
      </w:pPr>
    </w:p>
    <w:p w:rsidR="002C1548" w:rsidP="002C1548" w:rsidRDefault="002C1548" w14:paraId="41F846D2" w14:textId="77777777">
      <w:pPr>
        <w:keepNext/>
        <w:keepLines/>
        <w:spacing w:line="240" w:lineRule="auto"/>
        <w:contextualSpacing/>
      </w:pPr>
    </w:p>
    <w:p w:rsidR="002C1548" w:rsidP="002C1548" w:rsidRDefault="002C1548" w14:paraId="61FFAC1F" w14:textId="77777777">
      <w:pPr>
        <w:keepNext/>
        <w:keepLines/>
        <w:spacing w:line="240" w:lineRule="auto"/>
        <w:contextualSpacing/>
      </w:pPr>
    </w:p>
    <w:p w:rsidR="002C1548" w:rsidP="002C1548" w:rsidRDefault="002C1548" w14:paraId="1383C927" w14:textId="77777777">
      <w:pPr>
        <w:spacing w:line="240" w:lineRule="auto"/>
        <w:contextualSpacing/>
      </w:pPr>
    </w:p>
    <w:p w:rsidR="002C1548" w:rsidP="002C1548" w:rsidRDefault="002C1548" w14:paraId="45F4A087" w14:textId="77777777">
      <w:pPr>
        <w:spacing w:line="240" w:lineRule="auto"/>
        <w:contextualSpacing/>
      </w:pPr>
    </w:p>
    <w:p w:rsidR="002C1548" w:rsidP="006F6525" w:rsidRDefault="002C1548" w14:paraId="4A88D2CC" w14:textId="41C88DCC">
      <w:pPr>
        <w:sectPr w:rsidR="002C1548" w:rsidSect="00723C18">
          <w:headerReference w:type="default" r:id="rId16"/>
          <w:footerReference w:type="default" r:id="rId17"/>
          <w:headerReference w:type="first" r:id="rId18"/>
          <w:footerReference w:type="first" r:id="rId19"/>
          <w:pgSz w:w="12240" w:h="15840"/>
          <w:pgMar w:top="1728" w:right="1440" w:bottom="1440" w:left="1440" w:header="720" w:footer="720" w:gutter="0"/>
          <w:pgNumType w:start="2"/>
          <w:cols w:space="720"/>
          <w:titlePg/>
          <w:docGrid w:linePitch="360"/>
        </w:sectPr>
      </w:pPr>
    </w:p>
    <w:p w:rsidRPr="005925CE" w:rsidR="00EC277B" w:rsidP="00EC277B" w:rsidRDefault="00EC277B" w14:paraId="50AB7E9F" w14:textId="7A6035FB">
      <w:pPr>
        <w:ind w:firstLine="0"/>
        <w:jc w:val="center"/>
        <w:rPr>
          <w:b/>
          <w:bCs/>
        </w:rPr>
      </w:pPr>
      <w:r w:rsidRPr="007A4177">
        <w:rPr>
          <w:b/>
          <w:bCs/>
        </w:rPr>
        <w:lastRenderedPageBreak/>
        <w:t>APPENDIX A</w:t>
      </w:r>
      <w:r w:rsidR="00A3652D">
        <w:rPr>
          <w:b/>
          <w:bCs/>
        </w:rPr>
        <w:br/>
      </w:r>
      <w:r>
        <w:rPr>
          <w:b/>
          <w:bCs/>
        </w:rPr>
        <w:t xml:space="preserve"> </w:t>
      </w:r>
      <w:r w:rsidRPr="005925CE">
        <w:rPr>
          <w:b/>
          <w:bCs/>
        </w:rPr>
        <w:t xml:space="preserve">TERMS OF “COVID-19 </w:t>
      </w:r>
      <w:r>
        <w:rPr>
          <w:b/>
          <w:bCs/>
        </w:rPr>
        <w:t>R</w:t>
      </w:r>
      <w:r w:rsidRPr="005925CE">
        <w:rPr>
          <w:b/>
          <w:bCs/>
        </w:rPr>
        <w:t xml:space="preserve">esidential </w:t>
      </w:r>
      <w:r>
        <w:rPr>
          <w:b/>
          <w:bCs/>
        </w:rPr>
        <w:t>R</w:t>
      </w:r>
      <w:r w:rsidRPr="005925CE">
        <w:rPr>
          <w:b/>
          <w:bCs/>
        </w:rPr>
        <w:t xml:space="preserve">elief </w:t>
      </w:r>
      <w:r>
        <w:rPr>
          <w:b/>
          <w:bCs/>
        </w:rPr>
        <w:t>P</w:t>
      </w:r>
      <w:r w:rsidRPr="005925CE">
        <w:rPr>
          <w:b/>
          <w:bCs/>
        </w:rPr>
        <w:t xml:space="preserve">ayment </w:t>
      </w:r>
      <w:r>
        <w:rPr>
          <w:b/>
          <w:bCs/>
        </w:rPr>
        <w:t>P</w:t>
      </w:r>
      <w:r w:rsidRPr="005925CE">
        <w:rPr>
          <w:b/>
          <w:bCs/>
        </w:rPr>
        <w:t>lans”</w:t>
      </w:r>
    </w:p>
    <w:p w:rsidR="00D47C55" w:rsidP="004F58DF" w:rsidRDefault="004F58DF" w14:paraId="2CF3C7DE" w14:textId="02FB3865">
      <w:pPr>
        <w:pStyle w:val="OP"/>
        <w:numPr>
          <w:ilvl w:val="0"/>
          <w:numId w:val="0"/>
        </w:numPr>
      </w:pPr>
      <w:r>
        <w:t xml:space="preserve">1. </w:t>
      </w:r>
      <w:r w:rsidR="00D47C55">
        <w:t xml:space="preserve">Default enrollment to the </w:t>
      </w:r>
      <w:r w:rsidR="00F70CF2">
        <w:t>“</w:t>
      </w:r>
      <w:r w:rsidR="00D47C55">
        <w:t>COVID-19 Residential Relief Payment Plan</w:t>
      </w:r>
      <w:r w:rsidR="00F70CF2">
        <w:t>”</w:t>
      </w:r>
      <w:r w:rsidR="00D47C55">
        <w:t xml:space="preserve"> </w:t>
      </w:r>
      <w:r w:rsidR="00AE492C">
        <w:t>will occur only</w:t>
      </w:r>
      <w:r w:rsidR="00F70CF2">
        <w:t xml:space="preserve"> once per eligible customer</w:t>
      </w:r>
      <w:r w:rsidR="00AE492C">
        <w:t xml:space="preserve"> between </w:t>
      </w:r>
      <w:r w:rsidR="00F70CF2">
        <w:t>July</w:t>
      </w:r>
      <w:r w:rsidR="00AE492C">
        <w:t xml:space="preserve"> 2021 and </w:t>
      </w:r>
      <w:r w:rsidR="00F70CF2">
        <w:t xml:space="preserve">September </w:t>
      </w:r>
      <w:r w:rsidR="00AE492C">
        <w:t xml:space="preserve">2022 and </w:t>
      </w:r>
      <w:r w:rsidR="00F70CF2">
        <w:t>at the earliest date the customer becomes eligible, as defined below</w:t>
      </w:r>
      <w:r w:rsidR="00AE492C">
        <w:t xml:space="preserve">.  </w:t>
      </w:r>
    </w:p>
    <w:p w:rsidR="004F58DF" w:rsidP="004F58DF" w:rsidRDefault="00D47C55" w14:paraId="35D4F8C0" w14:textId="707CBDFB">
      <w:pPr>
        <w:pStyle w:val="OP"/>
        <w:numPr>
          <w:ilvl w:val="0"/>
          <w:numId w:val="0"/>
        </w:numPr>
      </w:pPr>
      <w:r>
        <w:t xml:space="preserve">2. </w:t>
      </w:r>
      <w:r w:rsidR="004F58DF">
        <w:t>Customers are eligible for COVID-19 Residential Relief Payment Plans if they meet the following criteria:</w:t>
      </w:r>
    </w:p>
    <w:p w:rsidR="004F58DF" w:rsidP="004F58DF" w:rsidRDefault="004F58DF" w14:paraId="4657AEAC" w14:textId="2F626416">
      <w:pPr>
        <w:pStyle w:val="OP"/>
        <w:numPr>
          <w:ilvl w:val="0"/>
          <w:numId w:val="0"/>
        </w:numPr>
        <w:ind w:left="540"/>
      </w:pPr>
      <w:r>
        <w:t xml:space="preserve">a) The customer is a residential customer of a large IOU or </w:t>
      </w:r>
      <w:r w:rsidR="00C07CF7">
        <w:t>small electric utility</w:t>
      </w:r>
      <w:r>
        <w:t>.</w:t>
      </w:r>
    </w:p>
    <w:p w:rsidR="004F58DF" w:rsidP="004F58DF" w:rsidRDefault="004F58DF" w14:paraId="2CD4DCEB" w14:textId="421461CD">
      <w:pPr>
        <w:pStyle w:val="OP"/>
        <w:numPr>
          <w:ilvl w:val="0"/>
          <w:numId w:val="0"/>
        </w:numPr>
        <w:ind w:left="540"/>
      </w:pPr>
      <w:r>
        <w:t>b) The customer has unpaid bills at least 60 days past</w:t>
      </w:r>
      <w:r w:rsidR="004D4359">
        <w:t xml:space="preserve"> </w:t>
      </w:r>
      <w:r>
        <w:t>due.</w:t>
      </w:r>
    </w:p>
    <w:p w:rsidR="00D47C55" w:rsidP="004F58DF" w:rsidRDefault="00D47C55" w14:paraId="22F8C9C5" w14:textId="7E931B31">
      <w:pPr>
        <w:pStyle w:val="OP"/>
        <w:numPr>
          <w:ilvl w:val="0"/>
          <w:numId w:val="0"/>
        </w:numPr>
        <w:ind w:left="540"/>
      </w:pPr>
      <w:r>
        <w:t>c) The customer has never been enrolled in a COVID-19 Residential Relief Payment Plan before.</w:t>
      </w:r>
    </w:p>
    <w:p w:rsidR="00AE492C" w:rsidP="004F58DF" w:rsidRDefault="00AE492C" w14:paraId="6C8710BF" w14:textId="212CDFFE">
      <w:pPr>
        <w:pStyle w:val="OP"/>
        <w:numPr>
          <w:ilvl w:val="0"/>
          <w:numId w:val="0"/>
        </w:numPr>
        <w:ind w:left="540"/>
      </w:pPr>
      <w:r>
        <w:t>d) The customer is not enrolled in an Arrearage Management Plan.</w:t>
      </w:r>
    </w:p>
    <w:p w:rsidR="00AE492C" w:rsidP="004F58DF" w:rsidRDefault="00AE492C" w14:paraId="5199E013" w14:textId="70CFC75A">
      <w:pPr>
        <w:pStyle w:val="OP"/>
        <w:numPr>
          <w:ilvl w:val="0"/>
          <w:numId w:val="0"/>
        </w:numPr>
        <w:ind w:left="540"/>
      </w:pPr>
      <w:r>
        <w:t>e) The customer is not enrolled in a payment plan.</w:t>
      </w:r>
    </w:p>
    <w:p w:rsidR="00AE492C" w:rsidP="004F58DF" w:rsidRDefault="00AE492C" w14:paraId="6E1FC31A" w14:textId="45E5AE0E">
      <w:pPr>
        <w:pStyle w:val="OP"/>
        <w:numPr>
          <w:ilvl w:val="0"/>
          <w:numId w:val="0"/>
        </w:numPr>
        <w:ind w:left="540"/>
      </w:pPr>
      <w:r>
        <w:t>f) The customer is not enrolled in or participating in a program known as levelized billing or budget billing or automatic billing.</w:t>
      </w:r>
    </w:p>
    <w:p w:rsidR="00AE492C" w:rsidP="004F58DF" w:rsidRDefault="00AE492C" w14:paraId="56F6AFF5" w14:textId="0442C59C">
      <w:pPr>
        <w:pStyle w:val="OP"/>
        <w:numPr>
          <w:ilvl w:val="0"/>
          <w:numId w:val="0"/>
        </w:numPr>
        <w:ind w:left="540"/>
      </w:pPr>
      <w:r>
        <w:t>g) The customer is not on a Net Energy Metering tariff.</w:t>
      </w:r>
    </w:p>
    <w:p w:rsidR="004F58DF" w:rsidP="004F58DF" w:rsidRDefault="004766B2" w14:paraId="7D2BF471" w14:textId="138DABA5">
      <w:pPr>
        <w:pStyle w:val="OP"/>
        <w:numPr>
          <w:ilvl w:val="0"/>
          <w:numId w:val="0"/>
        </w:numPr>
      </w:pPr>
      <w:r>
        <w:t>3</w:t>
      </w:r>
      <w:r w:rsidR="004F58DF">
        <w:t xml:space="preserve">. When a customer </w:t>
      </w:r>
      <w:r w:rsidR="00AE492C">
        <w:t>becomes</w:t>
      </w:r>
      <w:r w:rsidR="004F58DF">
        <w:t xml:space="preserve"> eligible for a COVID-19 Residential Relief Payment Plan</w:t>
      </w:r>
      <w:r w:rsidR="00AE492C">
        <w:t xml:space="preserve"> between August 2021 and July 2022</w:t>
      </w:r>
      <w:r w:rsidR="004F58DF">
        <w:t xml:space="preserve">, the IOU or </w:t>
      </w:r>
      <w:r w:rsidR="00C07CF7">
        <w:t>small electric utility</w:t>
      </w:r>
      <w:r w:rsidR="004F58DF">
        <w:t xml:space="preserve"> shall automatically enroll the customer in a payment plan amortizing the customer’s arrearage over 24 months of payments. </w:t>
      </w:r>
    </w:p>
    <w:p w:rsidR="00AE492C" w:rsidP="004F58DF" w:rsidRDefault="004766B2" w14:paraId="7F6921CE" w14:textId="0F96B16E">
      <w:pPr>
        <w:pStyle w:val="OP"/>
        <w:numPr>
          <w:ilvl w:val="0"/>
          <w:numId w:val="0"/>
        </w:numPr>
      </w:pPr>
      <w:r>
        <w:t>4</w:t>
      </w:r>
      <w:r w:rsidR="004F58DF">
        <w:t>.</w:t>
      </w:r>
      <w:r w:rsidR="00AE492C">
        <w:t xml:space="preserve"> </w:t>
      </w:r>
      <w:r w:rsidR="001D4E7D">
        <w:t xml:space="preserve">The COVID-19 Residential Relief Payment Plan shall amortize </w:t>
      </w:r>
      <w:r w:rsidR="00AE492C">
        <w:t>100% of the amount in arrears</w:t>
      </w:r>
      <w:r w:rsidR="001D4E7D">
        <w:t xml:space="preserve"> at the time of default enrollment.</w:t>
      </w:r>
    </w:p>
    <w:p w:rsidR="004F58DF" w:rsidP="004F58DF" w:rsidRDefault="004766B2" w14:paraId="1A4D816C" w14:textId="57987BE2">
      <w:pPr>
        <w:pStyle w:val="OP"/>
        <w:numPr>
          <w:ilvl w:val="0"/>
          <w:numId w:val="0"/>
        </w:numPr>
      </w:pPr>
      <w:r>
        <w:t>5</w:t>
      </w:r>
      <w:r w:rsidR="00506780">
        <w:t xml:space="preserve">. </w:t>
      </w:r>
      <w:r w:rsidR="004F58DF">
        <w:t xml:space="preserve">A customer who misses more than two payments required by a COVID-19 Residential Relief Payment Plan </w:t>
      </w:r>
      <w:r w:rsidR="009E5B8F">
        <w:t>may</w:t>
      </w:r>
      <w:r w:rsidR="004F58DF">
        <w:t xml:space="preserve"> be removed from the plan. The utility shall provide written notice to the customer of removal and of the outstanding </w:t>
      </w:r>
      <w:r w:rsidR="004F58DF">
        <w:lastRenderedPageBreak/>
        <w:t>amount past due.</w:t>
      </w:r>
      <w:r w:rsidR="00C07CF7">
        <w:t xml:space="preserve"> The utility’s existing practice of defining a payment as missing may be applied to the COVID-19 Residential Relief Payment Plan.</w:t>
      </w:r>
    </w:p>
    <w:p w:rsidR="004766B2" w:rsidP="004F58DF" w:rsidRDefault="004766B2" w14:paraId="0BCD9FCA" w14:textId="0C946DF0">
      <w:pPr>
        <w:pStyle w:val="OP"/>
        <w:numPr>
          <w:ilvl w:val="0"/>
          <w:numId w:val="0"/>
        </w:numPr>
      </w:pPr>
      <w:r>
        <w:t>6. Partial payments shall be credited first to the arrearage and secondly to the current bill.</w:t>
      </w:r>
    </w:p>
    <w:p w:rsidR="004F58DF" w:rsidP="004F58DF" w:rsidRDefault="004766B2" w14:paraId="2A6AD524" w14:textId="0FD571F5">
      <w:pPr>
        <w:pStyle w:val="OP"/>
        <w:numPr>
          <w:ilvl w:val="0"/>
          <w:numId w:val="0"/>
        </w:numPr>
      </w:pPr>
      <w:r>
        <w:t>7</w:t>
      </w:r>
      <w:r w:rsidR="004F58DF">
        <w:t xml:space="preserve">. When a customer misses a required payment under a COVID-19 Residential Relief Payment Plan, all payments are delayed an additional month, and the customer is not required to make up the missed payment in the subsequent month, unless the subsequent month is the final month of the plan.  </w:t>
      </w:r>
    </w:p>
    <w:p w:rsidR="004F58DF" w:rsidP="004F58DF" w:rsidRDefault="004766B2" w14:paraId="5F7F95CD" w14:textId="0A818A37">
      <w:pPr>
        <w:pStyle w:val="OP"/>
        <w:numPr>
          <w:ilvl w:val="0"/>
          <w:numId w:val="0"/>
        </w:numPr>
      </w:pPr>
      <w:r>
        <w:t>8</w:t>
      </w:r>
      <w:r w:rsidR="004F58DF">
        <w:t xml:space="preserve">. A customer enrolled in a COVID-19 Residential Relief Payment Plan is not eligible for disconnection. </w:t>
      </w:r>
    </w:p>
    <w:p w:rsidR="004F58DF" w:rsidP="004F58DF" w:rsidRDefault="004F58DF" w14:paraId="3CA2BD81" w14:textId="77777777">
      <w:pPr>
        <w:pStyle w:val="OP"/>
        <w:numPr>
          <w:ilvl w:val="0"/>
          <w:numId w:val="0"/>
        </w:numPr>
        <w:jc w:val="center"/>
        <w:rPr>
          <w:b/>
          <w:bCs/>
        </w:rPr>
      </w:pPr>
    </w:p>
    <w:p w:rsidRPr="00A3652D" w:rsidR="004F58DF" w:rsidP="004F58DF" w:rsidRDefault="004F58DF" w14:paraId="4A4CC425" w14:textId="77777777">
      <w:pPr>
        <w:pStyle w:val="OP"/>
        <w:numPr>
          <w:ilvl w:val="0"/>
          <w:numId w:val="0"/>
        </w:numPr>
        <w:jc w:val="center"/>
        <w:rPr>
          <w:b/>
          <w:bCs/>
        </w:rPr>
      </w:pPr>
      <w:r w:rsidRPr="00A3652D">
        <w:rPr>
          <w:b/>
          <w:bCs/>
        </w:rPr>
        <w:t>(END OF APPENDIX A)</w:t>
      </w:r>
    </w:p>
    <w:p w:rsidR="004F58DF" w:rsidP="004F58DF" w:rsidRDefault="004F58DF" w14:paraId="7E0DA7D0" w14:textId="77777777">
      <w:pPr>
        <w:pStyle w:val="OP"/>
        <w:numPr>
          <w:ilvl w:val="0"/>
          <w:numId w:val="0"/>
        </w:numPr>
      </w:pPr>
    </w:p>
    <w:p w:rsidR="004F58DF" w:rsidP="004F58DF" w:rsidRDefault="004F58DF" w14:paraId="6CEBD7BD" w14:textId="77777777">
      <w:pPr>
        <w:pStyle w:val="OP"/>
        <w:numPr>
          <w:ilvl w:val="0"/>
          <w:numId w:val="0"/>
        </w:numPr>
        <w:sectPr w:rsidR="004F58DF" w:rsidSect="009F26B1">
          <w:headerReference w:type="default" r:id="rId20"/>
          <w:footerReference w:type="default" r:id="rId21"/>
          <w:headerReference w:type="first" r:id="rId22"/>
          <w:footerReference w:type="first" r:id="rId23"/>
          <w:pgSz w:w="12240" w:h="15840"/>
          <w:pgMar w:top="1728" w:right="1440" w:bottom="1440" w:left="1440" w:header="720" w:footer="720" w:gutter="0"/>
          <w:pgNumType w:start="1"/>
          <w:cols w:space="720"/>
          <w:titlePg/>
          <w:docGrid w:linePitch="360"/>
        </w:sectPr>
      </w:pPr>
    </w:p>
    <w:p w:rsidRPr="007A4177" w:rsidR="004F58DF" w:rsidP="004F58DF" w:rsidRDefault="004F58DF" w14:paraId="2EC04D32" w14:textId="77777777">
      <w:pPr>
        <w:ind w:firstLine="0"/>
        <w:jc w:val="center"/>
        <w:rPr>
          <w:b/>
          <w:bCs/>
        </w:rPr>
      </w:pPr>
      <w:r w:rsidRPr="007A4177">
        <w:rPr>
          <w:b/>
          <w:bCs/>
        </w:rPr>
        <w:lastRenderedPageBreak/>
        <w:t xml:space="preserve">APPENDIX </w:t>
      </w:r>
      <w:r>
        <w:rPr>
          <w:b/>
          <w:bCs/>
        </w:rPr>
        <w:t xml:space="preserve">B: </w:t>
      </w:r>
      <w:r>
        <w:rPr>
          <w:b/>
          <w:bCs/>
        </w:rPr>
        <w:br/>
        <w:t>TERMS OF “Southwest Gas COVID-19 Residential Relief Payment Plans”</w:t>
      </w:r>
    </w:p>
    <w:p w:rsidR="00506780" w:rsidP="00506780" w:rsidRDefault="004F58DF" w14:paraId="51D0FEA8" w14:textId="6739941D">
      <w:pPr>
        <w:pStyle w:val="OP"/>
        <w:numPr>
          <w:ilvl w:val="0"/>
          <w:numId w:val="0"/>
        </w:numPr>
      </w:pPr>
      <w:r>
        <w:t xml:space="preserve">1. </w:t>
      </w:r>
      <w:r w:rsidR="00506780">
        <w:t xml:space="preserve">Default enrollment to the Southwest Gas COVID-19 Residential Relief Payment Plan will occur only between </w:t>
      </w:r>
      <w:r w:rsidR="00C07CF7">
        <w:t>February</w:t>
      </w:r>
      <w:r w:rsidR="00506780">
        <w:t xml:space="preserve"> 2021 and </w:t>
      </w:r>
      <w:r w:rsidR="00585797">
        <w:t>September</w:t>
      </w:r>
      <w:r w:rsidR="00506780">
        <w:t xml:space="preserve"> 2022 and only once per customer. Eligible customers shall be enrolled in a COVID-19 Residential Payment Plan upon becoming eligible according to the terms itemized in 2 below.  </w:t>
      </w:r>
    </w:p>
    <w:p w:rsidR="004F58DF" w:rsidP="004F58DF" w:rsidRDefault="00506780" w14:paraId="225E416C" w14:textId="27113816">
      <w:pPr>
        <w:pStyle w:val="OP"/>
        <w:numPr>
          <w:ilvl w:val="0"/>
          <w:numId w:val="0"/>
        </w:numPr>
      </w:pPr>
      <w:r>
        <w:t xml:space="preserve">2. </w:t>
      </w:r>
      <w:r w:rsidR="004F58DF">
        <w:t>Customers are eligible for Southwest Gas COVID-19 Residential Relief Payment Plans if they meet the following criteria:</w:t>
      </w:r>
    </w:p>
    <w:p w:rsidR="004F58DF" w:rsidP="004F58DF" w:rsidRDefault="004F58DF" w14:paraId="15007FF0" w14:textId="2CB649E0">
      <w:pPr>
        <w:pStyle w:val="OP"/>
        <w:numPr>
          <w:ilvl w:val="0"/>
          <w:numId w:val="0"/>
        </w:numPr>
        <w:ind w:left="540"/>
      </w:pPr>
      <w:r>
        <w:t>a) The customer is a residential customer of Southwest Gas.</w:t>
      </w:r>
    </w:p>
    <w:p w:rsidR="004F58DF" w:rsidP="004F58DF" w:rsidRDefault="004F58DF" w14:paraId="4F38DA67" w14:textId="77777777">
      <w:pPr>
        <w:pStyle w:val="OP"/>
        <w:numPr>
          <w:ilvl w:val="0"/>
          <w:numId w:val="0"/>
        </w:numPr>
        <w:ind w:left="540"/>
      </w:pPr>
      <w:r>
        <w:t>b) The customer has unpaid bills at least 60 days past due.</w:t>
      </w:r>
    </w:p>
    <w:p w:rsidR="004F58DF" w:rsidP="004F58DF" w:rsidRDefault="004F58DF" w14:paraId="531F6E72" w14:textId="120117A1">
      <w:pPr>
        <w:pStyle w:val="OP"/>
        <w:numPr>
          <w:ilvl w:val="0"/>
          <w:numId w:val="0"/>
        </w:numPr>
        <w:ind w:left="540"/>
      </w:pPr>
      <w:r>
        <w:t>c) The customer’s cumulative arrearage is at least $20.</w:t>
      </w:r>
    </w:p>
    <w:p w:rsidR="00506780" w:rsidP="00506780" w:rsidRDefault="00506780" w14:paraId="097842DF" w14:textId="7871B1FE">
      <w:pPr>
        <w:pStyle w:val="OP"/>
        <w:numPr>
          <w:ilvl w:val="0"/>
          <w:numId w:val="0"/>
        </w:numPr>
        <w:ind w:left="540"/>
      </w:pPr>
      <w:r>
        <w:t xml:space="preserve">d) The customer has never been enrolled in a </w:t>
      </w:r>
      <w:r w:rsidR="00F70CF2">
        <w:t>“</w:t>
      </w:r>
      <w:r>
        <w:t>COVID-19 Residential Relief Payment Plan</w:t>
      </w:r>
      <w:r w:rsidR="00F70CF2">
        <w:t>”</w:t>
      </w:r>
      <w:r>
        <w:t xml:space="preserve"> before.</w:t>
      </w:r>
    </w:p>
    <w:p w:rsidR="00506780" w:rsidP="00506780" w:rsidRDefault="00506780" w14:paraId="48E4CBCF" w14:textId="113216D5">
      <w:pPr>
        <w:pStyle w:val="OP"/>
        <w:numPr>
          <w:ilvl w:val="0"/>
          <w:numId w:val="0"/>
        </w:numPr>
        <w:ind w:left="540"/>
      </w:pPr>
      <w:r>
        <w:t>e) The customer is not enrolled in a payment plan.</w:t>
      </w:r>
    </w:p>
    <w:p w:rsidR="00506780" w:rsidP="00506780" w:rsidRDefault="00506780" w14:paraId="0C6B8DB5" w14:textId="015F2D18">
      <w:pPr>
        <w:pStyle w:val="OP"/>
        <w:numPr>
          <w:ilvl w:val="0"/>
          <w:numId w:val="0"/>
        </w:numPr>
        <w:ind w:left="540"/>
      </w:pPr>
      <w:r>
        <w:t>f) The customer is not enrolled in or participating in a program known as levelized billing or budget billing or automatic billing.</w:t>
      </w:r>
    </w:p>
    <w:p w:rsidR="00506780" w:rsidP="00506780" w:rsidRDefault="00506780" w14:paraId="4EF433E9" w14:textId="44191969">
      <w:pPr>
        <w:pStyle w:val="OP"/>
        <w:numPr>
          <w:ilvl w:val="0"/>
          <w:numId w:val="0"/>
        </w:numPr>
        <w:ind w:left="540"/>
      </w:pPr>
      <w:r>
        <w:t>g) The customer is not on a Net Energy Metering tariff.</w:t>
      </w:r>
    </w:p>
    <w:p w:rsidR="004F58DF" w:rsidP="004F58DF" w:rsidRDefault="004766B2" w14:paraId="77DCDAC3" w14:textId="3653F8D2">
      <w:pPr>
        <w:pStyle w:val="OP"/>
        <w:numPr>
          <w:ilvl w:val="0"/>
          <w:numId w:val="0"/>
        </w:numPr>
      </w:pPr>
      <w:r>
        <w:t>3</w:t>
      </w:r>
      <w:r w:rsidR="004F58DF">
        <w:t xml:space="preserve">. When a customer </w:t>
      </w:r>
      <w:r w:rsidR="00506780">
        <w:t>becomes</w:t>
      </w:r>
      <w:r w:rsidR="004F58DF">
        <w:t xml:space="preserve"> eligible for a Southwest Gas COVID-19 Residential Relief Payment Plan</w:t>
      </w:r>
      <w:r w:rsidR="00506780">
        <w:t xml:space="preserve"> between </w:t>
      </w:r>
      <w:r w:rsidR="00C07CF7">
        <w:t>February</w:t>
      </w:r>
      <w:r w:rsidR="00506780">
        <w:t xml:space="preserve"> 2021 and July 2022</w:t>
      </w:r>
      <w:r w:rsidR="004F58DF">
        <w:t xml:space="preserve">, </w:t>
      </w:r>
      <w:r w:rsidR="00C07CF7">
        <w:t>Southwest Gas</w:t>
      </w:r>
      <w:r w:rsidR="004F58DF">
        <w:t xml:space="preserve"> shall automatically enroll the customer in a payment plan amortizing the customer’s arrearage over </w:t>
      </w:r>
      <w:r w:rsidR="00506780">
        <w:t xml:space="preserve">at least </w:t>
      </w:r>
      <w:r w:rsidR="004F58DF">
        <w:t xml:space="preserve">8 months of payments. </w:t>
      </w:r>
    </w:p>
    <w:p w:rsidR="001D4E7D" w:rsidP="004F58DF" w:rsidRDefault="004766B2" w14:paraId="697D0C9D" w14:textId="4E7D7272">
      <w:pPr>
        <w:pStyle w:val="OP"/>
        <w:numPr>
          <w:ilvl w:val="0"/>
          <w:numId w:val="0"/>
        </w:numPr>
      </w:pPr>
      <w:r>
        <w:t>4</w:t>
      </w:r>
      <w:r w:rsidR="004F58DF">
        <w:t xml:space="preserve">. </w:t>
      </w:r>
      <w:r w:rsidR="001D4E7D">
        <w:t>The COVID-19 Residential Relief Payment Plan shall amortize 100% of the amount in arrears at the time of default enrollment.</w:t>
      </w:r>
    </w:p>
    <w:p w:rsidR="004F58DF" w:rsidP="004F58DF" w:rsidRDefault="004766B2" w14:paraId="6EC15263" w14:textId="31CE27A6">
      <w:pPr>
        <w:pStyle w:val="OP"/>
        <w:numPr>
          <w:ilvl w:val="0"/>
          <w:numId w:val="0"/>
        </w:numPr>
      </w:pPr>
      <w:r>
        <w:t>5</w:t>
      </w:r>
      <w:r w:rsidR="001D4E7D">
        <w:t xml:space="preserve">. </w:t>
      </w:r>
      <w:r w:rsidR="004F58DF">
        <w:t xml:space="preserve">A customer who misses more than two payments required by a Southwest Gas COVID-19 Residential Relief Payment Plan </w:t>
      </w:r>
      <w:r w:rsidR="00677A78">
        <w:t>may</w:t>
      </w:r>
      <w:r w:rsidR="004F58DF">
        <w:t xml:space="preserve"> be removed from the plan. The </w:t>
      </w:r>
      <w:r w:rsidR="004F58DF">
        <w:lastRenderedPageBreak/>
        <w:t>utility shall provide written notice to the customer of removal and of the outstanding amount past due.</w:t>
      </w:r>
      <w:r w:rsidR="00C07CF7">
        <w:t xml:space="preserve"> The utility’s existing practice of defining a payment as missing may be applied to the COVID-19 Residential Relief Payment Plan.</w:t>
      </w:r>
    </w:p>
    <w:p w:rsidR="004F58DF" w:rsidP="004F58DF" w:rsidRDefault="004766B2" w14:paraId="0982A15F" w14:textId="4CD3DCC0">
      <w:pPr>
        <w:pStyle w:val="OP"/>
        <w:numPr>
          <w:ilvl w:val="0"/>
          <w:numId w:val="0"/>
        </w:numPr>
      </w:pPr>
      <w:r>
        <w:t>6</w:t>
      </w:r>
      <w:r w:rsidR="004F58DF">
        <w:t>. When a customer misses a required payment under a Southwest Gas COVID-19 Residential Relief Payment Plan, all payments are delayed an additional month, and the customer is not required to make up the missed payment in the subsequent month, unless the subsequent month is the final month of the plan.</w:t>
      </w:r>
    </w:p>
    <w:p w:rsidR="004F58DF" w:rsidP="004F58DF" w:rsidRDefault="004766B2" w14:paraId="7375614C" w14:textId="76C89C98">
      <w:pPr>
        <w:pStyle w:val="OP"/>
        <w:numPr>
          <w:ilvl w:val="0"/>
          <w:numId w:val="0"/>
        </w:numPr>
      </w:pPr>
      <w:r>
        <w:t>7</w:t>
      </w:r>
      <w:r w:rsidR="004F58DF">
        <w:t xml:space="preserve">. A customer enrolled in a COVID-19 Residential Relief Payment Plan is not eligible for disconnection. </w:t>
      </w:r>
    </w:p>
    <w:p w:rsidR="004F58DF" w:rsidP="004F58DF" w:rsidRDefault="004F58DF" w14:paraId="79228BC1" w14:textId="77777777">
      <w:pPr>
        <w:ind w:firstLine="0"/>
      </w:pPr>
    </w:p>
    <w:p w:rsidRPr="00714CF2" w:rsidR="004F58DF" w:rsidP="004F58DF" w:rsidRDefault="004F58DF" w14:paraId="3D5861BA" w14:textId="77777777">
      <w:pPr>
        <w:ind w:firstLine="0"/>
      </w:pPr>
    </w:p>
    <w:p w:rsidR="004F58DF" w:rsidP="004F58DF" w:rsidRDefault="004F58DF" w14:paraId="02A9E4BB" w14:textId="77777777">
      <w:pPr>
        <w:ind w:firstLine="0"/>
        <w:jc w:val="center"/>
        <w:rPr>
          <w:b/>
          <w:bCs/>
        </w:rPr>
      </w:pPr>
      <w:r>
        <w:rPr>
          <w:b/>
          <w:bCs/>
        </w:rPr>
        <w:t>(END OF APPENDIX B)</w:t>
      </w:r>
    </w:p>
    <w:p w:rsidR="004F58DF" w:rsidP="004F58DF" w:rsidRDefault="004F58DF" w14:paraId="4AB88A56" w14:textId="77777777">
      <w:pPr>
        <w:spacing w:after="160" w:line="259" w:lineRule="auto"/>
        <w:ind w:firstLine="0"/>
        <w:rPr>
          <w:b/>
          <w:bCs/>
        </w:rPr>
      </w:pPr>
      <w:r>
        <w:rPr>
          <w:b/>
          <w:bCs/>
        </w:rPr>
        <w:br w:type="page"/>
      </w:r>
    </w:p>
    <w:p w:rsidRPr="007A4177" w:rsidR="004F58DF" w:rsidP="004F58DF" w:rsidRDefault="004F58DF" w14:paraId="249FEC20" w14:textId="77777777">
      <w:pPr>
        <w:ind w:firstLine="0"/>
        <w:jc w:val="center"/>
        <w:rPr>
          <w:b/>
          <w:bCs/>
        </w:rPr>
      </w:pPr>
      <w:r w:rsidRPr="007A4177">
        <w:rPr>
          <w:b/>
          <w:bCs/>
        </w:rPr>
        <w:lastRenderedPageBreak/>
        <w:t xml:space="preserve">APPENDIX </w:t>
      </w:r>
      <w:r>
        <w:rPr>
          <w:b/>
          <w:bCs/>
        </w:rPr>
        <w:t xml:space="preserve">C: </w:t>
      </w:r>
      <w:r>
        <w:rPr>
          <w:b/>
          <w:bCs/>
        </w:rPr>
        <w:br/>
        <w:t>TERMS OF “COVID-19 Small Business Relief Payment Plans”</w:t>
      </w:r>
    </w:p>
    <w:p w:rsidR="004F58DF" w:rsidP="004F58DF" w:rsidRDefault="004F58DF" w14:paraId="26323ACE" w14:textId="77777777">
      <w:pPr>
        <w:pStyle w:val="OP"/>
        <w:numPr>
          <w:ilvl w:val="0"/>
          <w:numId w:val="0"/>
        </w:numPr>
      </w:pPr>
      <w:r>
        <w:t>1. Customers are eligible for COVID-19 Small Business Relief Payment Plans if they meet the following criteria:</w:t>
      </w:r>
    </w:p>
    <w:p w:rsidR="004F58DF" w:rsidP="004F58DF" w:rsidRDefault="004F58DF" w14:paraId="7006A6A2" w14:textId="092C742D">
      <w:pPr>
        <w:pStyle w:val="OP"/>
        <w:numPr>
          <w:ilvl w:val="0"/>
          <w:numId w:val="0"/>
        </w:numPr>
        <w:ind w:left="540"/>
      </w:pPr>
      <w:r>
        <w:t xml:space="preserve">a) The customer is a </w:t>
      </w:r>
      <w:r w:rsidR="0087416D">
        <w:t>Small Business</w:t>
      </w:r>
      <w:r>
        <w:t xml:space="preserve"> customer of a large IOU or SMJU</w:t>
      </w:r>
      <w:r w:rsidR="00693998">
        <w:t>.</w:t>
      </w:r>
      <w:r>
        <w:t xml:space="preserve"> </w:t>
      </w:r>
    </w:p>
    <w:p w:rsidR="004F58DF" w:rsidP="004F58DF" w:rsidRDefault="004F58DF" w14:paraId="4A337EBA" w14:textId="4E57CCC6">
      <w:pPr>
        <w:pStyle w:val="OP"/>
        <w:numPr>
          <w:ilvl w:val="0"/>
          <w:numId w:val="0"/>
        </w:numPr>
        <w:ind w:left="540"/>
      </w:pPr>
      <w:r>
        <w:t>b) The customer has unpaid bills at least 60 days past due.</w:t>
      </w:r>
    </w:p>
    <w:p w:rsidR="00F70CF2" w:rsidP="00F70CF2" w:rsidRDefault="00F70CF2" w14:paraId="2EABCD65" w14:textId="77777777">
      <w:pPr>
        <w:pStyle w:val="OP"/>
        <w:numPr>
          <w:ilvl w:val="0"/>
          <w:numId w:val="0"/>
        </w:numPr>
        <w:ind w:left="540"/>
      </w:pPr>
      <w:r>
        <w:t>c) The customer has never been enrolled in a COVID-19 Residential Relief Payment Plan before.</w:t>
      </w:r>
    </w:p>
    <w:p w:rsidR="00F70CF2" w:rsidP="00F70CF2" w:rsidRDefault="00F70CF2" w14:paraId="0FF37622" w14:textId="77777777">
      <w:pPr>
        <w:pStyle w:val="OP"/>
        <w:numPr>
          <w:ilvl w:val="0"/>
          <w:numId w:val="0"/>
        </w:numPr>
        <w:ind w:left="540"/>
      </w:pPr>
      <w:r>
        <w:t>d) The customer is not enrolled in an Arrearage Management Plan.</w:t>
      </w:r>
    </w:p>
    <w:p w:rsidR="00F70CF2" w:rsidP="00F70CF2" w:rsidRDefault="00F70CF2" w14:paraId="0A07B30C" w14:textId="77777777">
      <w:pPr>
        <w:pStyle w:val="OP"/>
        <w:numPr>
          <w:ilvl w:val="0"/>
          <w:numId w:val="0"/>
        </w:numPr>
        <w:ind w:left="540"/>
      </w:pPr>
      <w:r>
        <w:t>e) The customer is not enrolled in a payment plan.</w:t>
      </w:r>
    </w:p>
    <w:p w:rsidR="00F70CF2" w:rsidP="00F70CF2" w:rsidRDefault="00F70CF2" w14:paraId="646C8BC7" w14:textId="77777777">
      <w:pPr>
        <w:pStyle w:val="OP"/>
        <w:numPr>
          <w:ilvl w:val="0"/>
          <w:numId w:val="0"/>
        </w:numPr>
        <w:ind w:left="540"/>
      </w:pPr>
      <w:r>
        <w:t>f) The customer is not enrolled in or participating in a program known as levelized billing or budget billing or automatic billing.</w:t>
      </w:r>
    </w:p>
    <w:p w:rsidR="004F58DF" w:rsidP="004F58DF" w:rsidRDefault="00F70CF2" w14:paraId="3491725F" w14:textId="7F7D68A0">
      <w:pPr>
        <w:pStyle w:val="OP"/>
        <w:numPr>
          <w:ilvl w:val="0"/>
          <w:numId w:val="0"/>
        </w:numPr>
      </w:pPr>
      <w:r>
        <w:t>g) The customer is not on a Net Energy Metering tariff.</w:t>
      </w:r>
      <w:r w:rsidR="004F58DF">
        <w:t xml:space="preserve">2. When a customer is eligible for a COVID-19 Small Business Relief Payment Plan, the utility shall automatically enroll </w:t>
      </w:r>
      <w:r w:rsidR="00A23AC0">
        <w:t xml:space="preserve">the </w:t>
      </w:r>
      <w:r w:rsidR="009138C1">
        <w:t>eligible</w:t>
      </w:r>
      <w:r w:rsidR="004F58DF">
        <w:t xml:space="preserve"> customer in a </w:t>
      </w:r>
      <w:r w:rsidR="00BF0608">
        <w:t>“COVID-19 Small Business Relief Payment Plan</w:t>
      </w:r>
      <w:r w:rsidR="00A23AC0">
        <w:t>”</w:t>
      </w:r>
      <w:r w:rsidR="00BF0608">
        <w:t xml:space="preserve"> </w:t>
      </w:r>
      <w:r w:rsidR="004F58DF">
        <w:t>.</w:t>
      </w:r>
    </w:p>
    <w:p w:rsidR="004F58DF" w:rsidP="004F58DF" w:rsidRDefault="00A23AC0" w14:paraId="4ADD8752" w14:textId="4A37F27C">
      <w:pPr>
        <w:pStyle w:val="OP"/>
        <w:numPr>
          <w:ilvl w:val="0"/>
          <w:numId w:val="0"/>
        </w:numPr>
      </w:pPr>
      <w:r>
        <w:t>3</w:t>
      </w:r>
      <w:r w:rsidR="004F58DF">
        <w:t xml:space="preserve">. Utilities shall customize the length of the </w:t>
      </w:r>
      <w:r w:rsidR="00BF0608">
        <w:t>“</w:t>
      </w:r>
      <w:r w:rsidR="004F58DF">
        <w:t>COVID-19 Small Business Relief Payment Plan</w:t>
      </w:r>
      <w:r w:rsidR="00BF0608">
        <w:t>”</w:t>
      </w:r>
      <w:r w:rsidR="004F58DF">
        <w:t xml:space="preserve"> term so that</w:t>
      </w:r>
      <w:r w:rsidR="001C2D19">
        <w:t xml:space="preserve"> </w:t>
      </w:r>
      <w:r w:rsidR="004F58DF">
        <w:t xml:space="preserve">the customer’s monthly </w:t>
      </w:r>
      <w:r w:rsidR="001C2D19">
        <w:t xml:space="preserve">payment on a portion of the outstanding debt </w:t>
      </w:r>
      <w:r w:rsidR="004F58DF">
        <w:t>is no more than 10 percent, or 5 percent for customers located within a</w:t>
      </w:r>
      <w:r w:rsidR="00BF0608">
        <w:t xml:space="preserve">  </w:t>
      </w:r>
      <w:r w:rsidR="00C07CF7">
        <w:t>d</w:t>
      </w:r>
      <w:r w:rsidR="00BF0608">
        <w:t xml:space="preserve">isadvantaged </w:t>
      </w:r>
      <w:r w:rsidR="00C07CF7">
        <w:t>c</w:t>
      </w:r>
      <w:r w:rsidR="00BF0608">
        <w:t>ommunity</w:t>
      </w:r>
      <w:r w:rsidR="004F58DF">
        <w:t xml:space="preserve">, </w:t>
      </w:r>
      <w:r w:rsidR="00BF0608">
        <w:t>of</w:t>
      </w:r>
      <w:r w:rsidR="00E30163">
        <w:t xml:space="preserve"> </w:t>
      </w:r>
      <w:r w:rsidR="004F58DF">
        <w:t xml:space="preserve">the customer’s average monthly bill for the previous 24 months. </w:t>
      </w:r>
    </w:p>
    <w:p w:rsidR="004F58DF" w:rsidP="004F58DF" w:rsidRDefault="00A23AC0" w14:paraId="2F9D2257" w14:textId="2C134E60">
      <w:pPr>
        <w:pStyle w:val="OP"/>
        <w:numPr>
          <w:ilvl w:val="0"/>
          <w:numId w:val="0"/>
        </w:numPr>
      </w:pPr>
      <w:r>
        <w:t>4</w:t>
      </w:r>
      <w:r w:rsidR="004F58DF">
        <w:t xml:space="preserve">. A customer who misses more than </w:t>
      </w:r>
      <w:r w:rsidR="00BF0608">
        <w:t>one</w:t>
      </w:r>
      <w:r w:rsidR="004F58DF">
        <w:t xml:space="preserve"> payment</w:t>
      </w:r>
      <w:r w:rsidR="00BF0608">
        <w:t xml:space="preserve"> a year</w:t>
      </w:r>
      <w:r w:rsidR="004F58DF">
        <w:t xml:space="preserve"> required by a </w:t>
      </w:r>
      <w:r w:rsidR="00BF0608">
        <w:t>“</w:t>
      </w:r>
      <w:r w:rsidR="004F58DF">
        <w:t>COVID-19 Small Business Relief Payment Plan</w:t>
      </w:r>
      <w:r w:rsidR="00BF0608">
        <w:t>”</w:t>
      </w:r>
      <w:r w:rsidR="004F58DF">
        <w:t xml:space="preserve"> </w:t>
      </w:r>
      <w:r w:rsidR="00F43B42">
        <w:t xml:space="preserve">may </w:t>
      </w:r>
      <w:r w:rsidR="004F58DF">
        <w:t>be removed from the plan. The utility shall provide written notice to the customer of any missed payments, and the utility shall notify the customer upon removal from the payment plan and of the outstanding amount past due.</w:t>
      </w:r>
      <w:r w:rsidR="00C07CF7">
        <w:t xml:space="preserve"> The utility’s existing practice of defining a </w:t>
      </w:r>
      <w:r w:rsidR="00C07CF7">
        <w:lastRenderedPageBreak/>
        <w:t>payment as missing may be applied to the COVID-19 Residential Relief Payment Plan.</w:t>
      </w:r>
    </w:p>
    <w:p w:rsidR="00A23AC0" w:rsidP="004F58DF" w:rsidRDefault="00A23AC0" w14:paraId="40791841" w14:textId="0A05AC05">
      <w:pPr>
        <w:pStyle w:val="OP"/>
        <w:numPr>
          <w:ilvl w:val="0"/>
          <w:numId w:val="0"/>
        </w:numPr>
      </w:pPr>
      <w:r>
        <w:t>5.</w:t>
      </w:r>
      <w:r w:rsidRPr="00A23AC0">
        <w:t xml:space="preserve"> </w:t>
      </w:r>
      <w:r>
        <w:t>Partial payments shall be credited first to the arrearage and secondly to the current bill.</w:t>
      </w:r>
    </w:p>
    <w:p w:rsidR="004F58DF" w:rsidP="004F58DF" w:rsidRDefault="00A23AC0" w14:paraId="3A3B3D5F" w14:textId="7BB28DC4">
      <w:pPr>
        <w:pStyle w:val="OP"/>
        <w:numPr>
          <w:ilvl w:val="0"/>
          <w:numId w:val="0"/>
        </w:numPr>
      </w:pPr>
      <w:r>
        <w:t>6</w:t>
      </w:r>
      <w:r w:rsidR="004F58DF">
        <w:t xml:space="preserve">. A customer enrolled in a </w:t>
      </w:r>
      <w:r w:rsidR="00BF0608">
        <w:t>“</w:t>
      </w:r>
      <w:r w:rsidR="004F58DF">
        <w:t>COVID-19 Small Business Relief Payment Plan</w:t>
      </w:r>
      <w:r w:rsidR="00BF0608">
        <w:t>”</w:t>
      </w:r>
      <w:r w:rsidR="004F58DF">
        <w:t xml:space="preserve"> is not eligible for disconnection. </w:t>
      </w:r>
    </w:p>
    <w:p w:rsidR="004F58DF" w:rsidP="004F58DF" w:rsidRDefault="004F58DF" w14:paraId="0DAE3038" w14:textId="77777777">
      <w:pPr>
        <w:ind w:firstLine="0"/>
      </w:pPr>
    </w:p>
    <w:p w:rsidRPr="00714CF2" w:rsidR="004F58DF" w:rsidP="004F58DF" w:rsidRDefault="004F58DF" w14:paraId="6E7C8B7D" w14:textId="77777777">
      <w:pPr>
        <w:ind w:firstLine="0"/>
      </w:pPr>
    </w:p>
    <w:p w:rsidR="009F26B1" w:rsidP="004F58DF" w:rsidRDefault="004F58DF" w14:paraId="5838D183" w14:textId="77777777">
      <w:pPr>
        <w:ind w:firstLine="0"/>
        <w:jc w:val="center"/>
        <w:rPr>
          <w:b/>
          <w:bCs/>
        </w:rPr>
        <w:sectPr w:rsidR="009F26B1" w:rsidSect="009F26B1">
          <w:headerReference w:type="default" r:id="rId24"/>
          <w:footerReference w:type="default" r:id="rId25"/>
          <w:headerReference w:type="first" r:id="rId26"/>
          <w:footerReference w:type="first" r:id="rId27"/>
          <w:pgSz w:w="12240" w:h="15840"/>
          <w:pgMar w:top="1728" w:right="1440" w:bottom="1440" w:left="1440" w:header="720" w:footer="720" w:gutter="0"/>
          <w:pgNumType w:start="1"/>
          <w:cols w:space="720"/>
          <w:titlePg/>
          <w:docGrid w:linePitch="360"/>
        </w:sectPr>
      </w:pPr>
      <w:r>
        <w:rPr>
          <w:b/>
          <w:bCs/>
        </w:rPr>
        <w:t>(END OF APPENDIX C)</w:t>
      </w:r>
    </w:p>
    <w:p w:rsidRPr="007A4177" w:rsidR="009E5B8F" w:rsidP="009E5B8F" w:rsidRDefault="009E5B8F" w14:paraId="31E05774" w14:textId="0C38C67B">
      <w:pPr>
        <w:ind w:firstLine="0"/>
        <w:jc w:val="center"/>
        <w:rPr>
          <w:b/>
          <w:bCs/>
        </w:rPr>
      </w:pPr>
      <w:r w:rsidRPr="007A4177">
        <w:rPr>
          <w:b/>
          <w:bCs/>
        </w:rPr>
        <w:lastRenderedPageBreak/>
        <w:t xml:space="preserve">APPENDIX </w:t>
      </w:r>
      <w:r>
        <w:rPr>
          <w:b/>
          <w:bCs/>
        </w:rPr>
        <w:t xml:space="preserve">D: </w:t>
      </w:r>
      <w:r>
        <w:rPr>
          <w:b/>
          <w:bCs/>
        </w:rPr>
        <w:br/>
        <w:t>TERMS OF “Small Electric Utility COVID-19 Residential Relief Payment Plans”</w:t>
      </w:r>
    </w:p>
    <w:p w:rsidR="009E5B8F" w:rsidP="009E5B8F" w:rsidRDefault="009E5B8F" w14:paraId="0687C9DF" w14:textId="37070814">
      <w:pPr>
        <w:pStyle w:val="OP"/>
        <w:numPr>
          <w:ilvl w:val="0"/>
          <w:numId w:val="0"/>
        </w:numPr>
      </w:pPr>
      <w:r>
        <w:t xml:space="preserve">1. Default enrollment to the “Small Electric Utility COVID-19 Residential Relief Payment Plan” will occur only between July 2021 and September 2022 and only once per customer. Eligible customers shall be enrolled in a COVID-19 Residential Payment Plan upon becoming eligible according to the terms itemized in 2 below.  </w:t>
      </w:r>
    </w:p>
    <w:p w:rsidR="009E5B8F" w:rsidP="009E5B8F" w:rsidRDefault="009E5B8F" w14:paraId="2258237D" w14:textId="77777777">
      <w:pPr>
        <w:pStyle w:val="OP"/>
        <w:numPr>
          <w:ilvl w:val="0"/>
          <w:numId w:val="0"/>
        </w:numPr>
      </w:pPr>
      <w:r>
        <w:t>2. Customers are eligible for Southwest Gas COVID-19 Residential Relief Payment Plans if they meet the following criteria:</w:t>
      </w:r>
    </w:p>
    <w:p w:rsidR="009E5B8F" w:rsidP="009E5B8F" w:rsidRDefault="009E5B8F" w14:paraId="2A564415" w14:textId="77777777">
      <w:pPr>
        <w:pStyle w:val="OP"/>
        <w:numPr>
          <w:ilvl w:val="0"/>
          <w:numId w:val="0"/>
        </w:numPr>
        <w:ind w:left="540"/>
      </w:pPr>
      <w:r>
        <w:t>a) The customer is a residential customer of an SMJU that has chosen to implement the Southwest Gas COVID-19 Residential Relief Payment Plans.</w:t>
      </w:r>
    </w:p>
    <w:p w:rsidR="009E5B8F" w:rsidP="00C07CF7" w:rsidRDefault="009E5B8F" w14:paraId="79A6950A" w14:textId="010B3F88">
      <w:pPr>
        <w:pStyle w:val="OP"/>
        <w:numPr>
          <w:ilvl w:val="0"/>
          <w:numId w:val="0"/>
        </w:numPr>
        <w:ind w:left="540"/>
      </w:pPr>
      <w:r>
        <w:t>b) The customer has unpaid bills at least 60 days past due.</w:t>
      </w:r>
    </w:p>
    <w:p w:rsidR="009E5B8F" w:rsidP="009E5B8F" w:rsidRDefault="00C07CF7" w14:paraId="06B092C1" w14:textId="0073DFEA">
      <w:pPr>
        <w:pStyle w:val="OP"/>
        <w:numPr>
          <w:ilvl w:val="0"/>
          <w:numId w:val="0"/>
        </w:numPr>
        <w:ind w:left="540"/>
      </w:pPr>
      <w:r>
        <w:t>c</w:t>
      </w:r>
      <w:r w:rsidR="009E5B8F">
        <w:t>) The customer has never been enrolled in a “COVID-19 Residential Relief Payment Plan” before.</w:t>
      </w:r>
    </w:p>
    <w:p w:rsidR="009E5B8F" w:rsidP="009E5B8F" w:rsidRDefault="00C07CF7" w14:paraId="3EFA9BCD" w14:textId="5BB43032">
      <w:pPr>
        <w:pStyle w:val="OP"/>
        <w:numPr>
          <w:ilvl w:val="0"/>
          <w:numId w:val="0"/>
        </w:numPr>
        <w:ind w:left="540"/>
      </w:pPr>
      <w:r>
        <w:t>d</w:t>
      </w:r>
      <w:r w:rsidR="009E5B8F">
        <w:t>) The customer is not enrolled in a payment plan.</w:t>
      </w:r>
    </w:p>
    <w:p w:rsidR="009E5B8F" w:rsidP="009E5B8F" w:rsidRDefault="00C07CF7" w14:paraId="2F37EF53" w14:textId="4FC39084">
      <w:pPr>
        <w:pStyle w:val="OP"/>
        <w:numPr>
          <w:ilvl w:val="0"/>
          <w:numId w:val="0"/>
        </w:numPr>
        <w:ind w:left="540"/>
      </w:pPr>
      <w:r>
        <w:t>e</w:t>
      </w:r>
      <w:r w:rsidR="009E5B8F">
        <w:t>) The customer is not enrolled in or participating in a program known as levelized billing or budget billing or automatic billing.</w:t>
      </w:r>
    </w:p>
    <w:p w:rsidR="009E5B8F" w:rsidP="009E5B8F" w:rsidRDefault="00C07CF7" w14:paraId="0FE5138E" w14:textId="405783F4">
      <w:pPr>
        <w:pStyle w:val="OP"/>
        <w:numPr>
          <w:ilvl w:val="0"/>
          <w:numId w:val="0"/>
        </w:numPr>
        <w:ind w:left="540"/>
      </w:pPr>
      <w:r>
        <w:t>f</w:t>
      </w:r>
      <w:r w:rsidR="009E5B8F">
        <w:t>) The customer is not on a Net Energy Metering tariff.</w:t>
      </w:r>
    </w:p>
    <w:p w:rsidR="009E5B8F" w:rsidP="009E5B8F" w:rsidRDefault="00A23AC0" w14:paraId="622BDE3D" w14:textId="4000418A">
      <w:pPr>
        <w:pStyle w:val="OP"/>
        <w:numPr>
          <w:ilvl w:val="0"/>
          <w:numId w:val="0"/>
        </w:numPr>
      </w:pPr>
      <w:r>
        <w:t>3</w:t>
      </w:r>
      <w:r w:rsidR="009E5B8F">
        <w:t xml:space="preserve">. When a customer becomes eligible for a </w:t>
      </w:r>
      <w:r w:rsidR="00C07CF7">
        <w:t>Small Electric Utility</w:t>
      </w:r>
      <w:r w:rsidR="009E5B8F">
        <w:t xml:space="preserve"> COVID-19 Residential Relief Payment Plan between August 2021 and July 2022, the S</w:t>
      </w:r>
      <w:r w:rsidR="00C07CF7">
        <w:t>mall Electric</w:t>
      </w:r>
      <w:r w:rsidR="009E5B8F">
        <w:t xml:space="preserve"> shall automatically enroll the customer in a payment plan amortizing the customer’s arrearage over </w:t>
      </w:r>
      <w:r w:rsidR="00C07CF7">
        <w:t>12</w:t>
      </w:r>
      <w:r w:rsidR="009E5B8F">
        <w:t xml:space="preserve"> months of payments. </w:t>
      </w:r>
    </w:p>
    <w:p w:rsidR="009E5B8F" w:rsidP="009E5B8F" w:rsidRDefault="00A23AC0" w14:paraId="47F9B814" w14:textId="5CC5D6B8">
      <w:pPr>
        <w:pStyle w:val="OP"/>
        <w:numPr>
          <w:ilvl w:val="0"/>
          <w:numId w:val="0"/>
        </w:numPr>
      </w:pPr>
      <w:r>
        <w:t>4</w:t>
      </w:r>
      <w:r w:rsidR="009E5B8F">
        <w:t>. The COVID-19 Residential Relief Payment Plan shall amortize 100% of the amount in arrears at the time of default enrollment.</w:t>
      </w:r>
    </w:p>
    <w:p w:rsidR="009E5B8F" w:rsidP="009E5B8F" w:rsidRDefault="00A23AC0" w14:paraId="5217C303" w14:textId="2FADABFF">
      <w:pPr>
        <w:pStyle w:val="OP"/>
        <w:numPr>
          <w:ilvl w:val="0"/>
          <w:numId w:val="0"/>
        </w:numPr>
      </w:pPr>
      <w:r>
        <w:lastRenderedPageBreak/>
        <w:t>5</w:t>
      </w:r>
      <w:r w:rsidR="009E5B8F">
        <w:t>. A customer who misses more than two payments required by a S</w:t>
      </w:r>
      <w:r w:rsidR="00C07CF7">
        <w:t>mall Electric Utility</w:t>
      </w:r>
      <w:r w:rsidR="009E5B8F">
        <w:t xml:space="preserve"> COVID-19 Residential Relief Payment Plan may be removed from the plan. The utility shall provide written notice to the customer of removal and of the outstanding amount past due.</w:t>
      </w:r>
      <w:r w:rsidR="00C07CF7">
        <w:t xml:space="preserve"> The utility’s existing practice of defining a payment as missing may be applied to the COVID-19 Residential Relief Payment Plan.</w:t>
      </w:r>
    </w:p>
    <w:p w:rsidR="00A23AC0" w:rsidP="009E5B8F" w:rsidRDefault="00A23AC0" w14:paraId="34AC2F1A" w14:textId="18AF68F0">
      <w:pPr>
        <w:pStyle w:val="OP"/>
        <w:numPr>
          <w:ilvl w:val="0"/>
          <w:numId w:val="0"/>
        </w:numPr>
      </w:pPr>
      <w:r>
        <w:t>6. Partial payments shall be credited first to the arrearage and secondly to the current bill.</w:t>
      </w:r>
    </w:p>
    <w:p w:rsidR="009E5B8F" w:rsidP="009E5B8F" w:rsidRDefault="00A23AC0" w14:paraId="74A12B92" w14:textId="59AB5937">
      <w:pPr>
        <w:pStyle w:val="OP"/>
        <w:numPr>
          <w:ilvl w:val="0"/>
          <w:numId w:val="0"/>
        </w:numPr>
      </w:pPr>
      <w:r>
        <w:t>7</w:t>
      </w:r>
      <w:r w:rsidR="009E5B8F">
        <w:t xml:space="preserve">. When a customer misses a required payment under a </w:t>
      </w:r>
      <w:r w:rsidR="00C07CF7">
        <w:t>Small Electric Utility</w:t>
      </w:r>
      <w:r w:rsidR="009E5B8F">
        <w:t xml:space="preserve"> COVID-19 Residential Relief Payment Plan, all payments are delayed an additional month, and the customer is not required to make up the missed payment in the subsequent month, unless the subsequent month is the final month of the plan.</w:t>
      </w:r>
    </w:p>
    <w:p w:rsidR="009E5B8F" w:rsidP="009E5B8F" w:rsidRDefault="00A23AC0" w14:paraId="661165F1" w14:textId="641B7356">
      <w:pPr>
        <w:pStyle w:val="OP"/>
        <w:numPr>
          <w:ilvl w:val="0"/>
          <w:numId w:val="0"/>
        </w:numPr>
      </w:pPr>
      <w:r>
        <w:t>8</w:t>
      </w:r>
      <w:r w:rsidR="009E5B8F">
        <w:t xml:space="preserve">. A customer enrolled in a COVID-19 Residential Relief Payment Plan is not eligible for disconnection. </w:t>
      </w:r>
    </w:p>
    <w:p w:rsidR="009E5B8F" w:rsidP="009E5B8F" w:rsidRDefault="009E5B8F" w14:paraId="4480A997" w14:textId="77777777">
      <w:pPr>
        <w:ind w:firstLine="0"/>
      </w:pPr>
    </w:p>
    <w:p w:rsidRPr="00714CF2" w:rsidR="009E5B8F" w:rsidP="009E5B8F" w:rsidRDefault="009E5B8F" w14:paraId="16F6D3EF" w14:textId="77777777">
      <w:pPr>
        <w:ind w:firstLine="0"/>
      </w:pPr>
    </w:p>
    <w:p w:rsidR="009E5B8F" w:rsidP="009E5B8F" w:rsidRDefault="009E5B8F" w14:paraId="162D35A5" w14:textId="227D7817">
      <w:pPr>
        <w:ind w:firstLine="0"/>
        <w:jc w:val="center"/>
        <w:rPr>
          <w:b/>
          <w:bCs/>
        </w:rPr>
      </w:pPr>
      <w:r>
        <w:rPr>
          <w:b/>
          <w:bCs/>
        </w:rPr>
        <w:t>(END OF APPENDIX D)</w:t>
      </w:r>
    </w:p>
    <w:p w:rsidRPr="00A3652D" w:rsidR="00E5663B" w:rsidP="009F26B1" w:rsidRDefault="00E5663B" w14:paraId="2904A2A5" w14:textId="77777777">
      <w:pPr>
        <w:spacing w:after="160" w:line="259" w:lineRule="auto"/>
        <w:ind w:firstLine="0"/>
      </w:pPr>
    </w:p>
    <w:sectPr w:rsidRPr="00A3652D" w:rsidR="00E5663B" w:rsidSect="009F26B1">
      <w:headerReference w:type="first" r:id="rId28"/>
      <w:pgSz w:w="12240" w:h="15840"/>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3F42" w14:textId="77777777" w:rsidR="007E10B8" w:rsidRDefault="007E10B8" w:rsidP="0098138E">
      <w:pPr>
        <w:spacing w:line="240" w:lineRule="auto"/>
      </w:pPr>
      <w:r>
        <w:separator/>
      </w:r>
    </w:p>
  </w:endnote>
  <w:endnote w:type="continuationSeparator" w:id="0">
    <w:p w14:paraId="6B371F45" w14:textId="77777777" w:rsidR="007E10B8" w:rsidRDefault="007E10B8"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16CC" w14:textId="77777777" w:rsidR="00200CA4" w:rsidRDefault="00200CA4" w:rsidP="006F6525">
    <w:pPr>
      <w:tabs>
        <w:tab w:val="center" w:pos="4680"/>
      </w:tabs>
      <w:ind w:firstLine="0"/>
      <w:jc w:val="center"/>
    </w:pPr>
    <w:r>
      <w:rPr>
        <w:noProof/>
      </w:rPr>
      <w:t>- 2 -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0330" w14:textId="12B250F6" w:rsidR="00A3652D" w:rsidRDefault="009F26B1" w:rsidP="009F26B1">
    <w:pPr>
      <w:pStyle w:val="Footer"/>
      <w:ind w:firstLine="0"/>
      <w:jc w:val="center"/>
    </w:pPr>
    <w:r>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B16F" w14:textId="6634BEC7" w:rsidR="00200CA4" w:rsidRDefault="004E1444" w:rsidP="00CA4CF0">
    <w:pPr>
      <w:pStyle w:val="Footer"/>
      <w:ind w:firstLine="0"/>
    </w:pPr>
    <w:r w:rsidRPr="004E1444">
      <w:rPr>
        <w:sz w:val="16"/>
        <w:szCs w:val="16"/>
      </w:rPr>
      <w:t>385391772</w:t>
    </w:r>
    <w:r w:rsidR="00200CA4">
      <w:tab/>
      <w:t xml:space="preserve">- </w:t>
    </w:r>
    <w:r w:rsidR="00200CA4">
      <w:fldChar w:fldCharType="begin"/>
    </w:r>
    <w:r w:rsidR="00200CA4">
      <w:instrText xml:space="preserve"> PAGE   \* MERGEFORMAT </w:instrText>
    </w:r>
    <w:r w:rsidR="00200CA4">
      <w:fldChar w:fldCharType="separate"/>
    </w:r>
    <w:r w:rsidR="00200CA4">
      <w:rPr>
        <w:noProof/>
      </w:rPr>
      <w:t>1</w:t>
    </w:r>
    <w:r w:rsidR="00200CA4">
      <w:rPr>
        <w:noProof/>
      </w:rPr>
      <w:fldChar w:fldCharType="end"/>
    </w:r>
    <w:r w:rsidR="00200CA4">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724A" w14:textId="77777777" w:rsidR="00015275" w:rsidRDefault="00015275" w:rsidP="006F6525">
    <w:pPr>
      <w:tabs>
        <w:tab w:val="center" w:pos="4680"/>
      </w:tabs>
      <w:ind w:firstLine="0"/>
      <w:jc w:val="center"/>
    </w:pPr>
    <w:r>
      <w:rPr>
        <w:noProof/>
      </w:rPr>
      <w:t xml:space="preserv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F888" w14:textId="77777777" w:rsidR="00015275" w:rsidRDefault="00015275" w:rsidP="00CA4CF0">
    <w:pPr>
      <w:pStyle w:val="Footer"/>
      <w:ind w:firstLine="0"/>
    </w:pPr>
    <w:r>
      <w:tab/>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2095" w14:textId="77777777" w:rsidR="00723C18" w:rsidRDefault="00723C18" w:rsidP="006F6525">
    <w:pPr>
      <w:tabs>
        <w:tab w:val="center" w:pos="4680"/>
      </w:tabs>
      <w:ind w:firstLine="0"/>
      <w:jc w:val="center"/>
    </w:pPr>
    <w:r>
      <w:rPr>
        <w:noProof/>
      </w:rPr>
      <w:t xml:space="preserv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7C97" w14:textId="77777777" w:rsidR="00723C18" w:rsidRDefault="00723C18" w:rsidP="00CA4CF0">
    <w:pPr>
      <w:pStyle w:val="Footer"/>
      <w:ind w:firstLine="0"/>
    </w:pPr>
    <w:r>
      <w:tab/>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266F" w14:textId="77777777" w:rsidR="004F58DF" w:rsidRDefault="004F58DF" w:rsidP="006F6525">
    <w:pPr>
      <w:tabs>
        <w:tab w:val="center" w:pos="4680"/>
      </w:tabs>
      <w:ind w:firstLine="0"/>
      <w:jc w:val="center"/>
    </w:pPr>
    <w:r>
      <w:rPr>
        <w:noProof/>
      </w:rPr>
      <w:t xml:space="preserv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71A7" w14:textId="596B7ADD" w:rsidR="004F58DF" w:rsidRPr="00A3652D" w:rsidRDefault="009F26B1" w:rsidP="009F26B1">
    <w:pPr>
      <w:pStyle w:val="Footer"/>
      <w:ind w:firstLine="0"/>
      <w:jc w:val="center"/>
    </w:pPr>
    <w:r>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9248" w14:textId="5D2A4F4A" w:rsidR="00C53A5F" w:rsidRPr="00C53A5F" w:rsidRDefault="009F26B1" w:rsidP="009F26B1">
    <w:pPr>
      <w:pStyle w:val="Footer"/>
      <w:ind w:firstLine="0"/>
      <w:jc w:val="center"/>
    </w:pPr>
    <w:r>
      <w:t xml:space="preserve">- </w:t>
    </w:r>
    <w:r>
      <w:fldChar w:fldCharType="begin"/>
    </w:r>
    <w:r>
      <w:instrText xml:space="preserve"> PAGE   \* MERGEFORMAT </w:instrText>
    </w:r>
    <w:r>
      <w:fldChar w:fldCharType="separate"/>
    </w:r>
    <w:r>
      <w:rPr>
        <w:noProof/>
      </w:rPr>
      <w:t>1</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EA4B" w14:textId="77777777" w:rsidR="007E10B8" w:rsidRDefault="007E10B8" w:rsidP="00DF58E7">
      <w:pPr>
        <w:spacing w:line="240" w:lineRule="auto"/>
        <w:ind w:firstLine="0"/>
      </w:pPr>
      <w:r>
        <w:separator/>
      </w:r>
    </w:p>
  </w:footnote>
  <w:footnote w:type="continuationSeparator" w:id="0">
    <w:p w14:paraId="6AC536BE" w14:textId="77777777" w:rsidR="007E10B8" w:rsidRDefault="007E10B8" w:rsidP="00DF58E7">
      <w:pPr>
        <w:spacing w:line="240" w:lineRule="auto"/>
        <w:ind w:firstLine="0"/>
      </w:pPr>
      <w:r>
        <w:continuationSeparator/>
      </w:r>
    </w:p>
  </w:footnote>
  <w:footnote w:type="continuationNotice" w:id="1">
    <w:p w14:paraId="5895809B" w14:textId="77777777" w:rsidR="007E10B8" w:rsidRPr="00DF58E7" w:rsidRDefault="007E10B8" w:rsidP="00DF58E7">
      <w:pPr>
        <w:spacing w:line="240" w:lineRule="auto"/>
        <w:ind w:firstLine="0"/>
        <w:jc w:val="right"/>
        <w:rPr>
          <w:i/>
          <w:sz w:val="22"/>
        </w:rPr>
      </w:pPr>
      <w:r w:rsidRPr="00DF58E7">
        <w:rPr>
          <w:i/>
          <w:sz w:val="22"/>
        </w:rPr>
        <w:t>Footnote continued on next page.</w:t>
      </w:r>
    </w:p>
  </w:footnote>
  <w:footnote w:id="2">
    <w:p w14:paraId="39AC81E8" w14:textId="58F361DE" w:rsidR="009C2824" w:rsidRDefault="009C2824">
      <w:pPr>
        <w:pStyle w:val="FootnoteText"/>
      </w:pPr>
      <w:r>
        <w:rPr>
          <w:rStyle w:val="FootnoteReference"/>
        </w:rPr>
        <w:footnoteRef/>
      </w:r>
      <w:r>
        <w:t xml:space="preserve"> The protections in Resolutions M-4842 and M-4849</w:t>
      </w:r>
      <w:r w:rsidRPr="00D10A85">
        <w:t xml:space="preserve"> stem from the </w:t>
      </w:r>
      <w:r>
        <w:t xml:space="preserve">current </w:t>
      </w:r>
      <w:r w:rsidRPr="00D10A85">
        <w:t>Emergency Disaster Rulemaking</w:t>
      </w:r>
      <w:r>
        <w:t xml:space="preserve"> (R.)</w:t>
      </w:r>
      <w:r w:rsidRPr="00D10A85">
        <w:t xml:space="preserve"> 18-03-01</w:t>
      </w:r>
      <w:r>
        <w:t>1.</w:t>
      </w:r>
    </w:p>
  </w:footnote>
  <w:footnote w:id="3">
    <w:p w14:paraId="455EEC68" w14:textId="118F4A48" w:rsidR="009C2824" w:rsidRDefault="009C2824">
      <w:pPr>
        <w:pStyle w:val="FootnoteText"/>
      </w:pPr>
      <w:r>
        <w:rPr>
          <w:rStyle w:val="FootnoteReference"/>
        </w:rPr>
        <w:footnoteRef/>
      </w:r>
      <w:r>
        <w:t xml:space="preserve"> Alpine Natural Gas, Inc. has not participated in R.21-02-014 but did file its Transition Plan pursuant to Resolution M-4849.</w:t>
      </w:r>
    </w:p>
  </w:footnote>
  <w:footnote w:id="4">
    <w:p w14:paraId="0D5DB5B1" w14:textId="54BB0E66" w:rsidR="009C2824" w:rsidRDefault="009C2824">
      <w:pPr>
        <w:pStyle w:val="FootnoteText"/>
      </w:pPr>
      <w:r>
        <w:rPr>
          <w:rStyle w:val="FootnoteReference"/>
        </w:rPr>
        <w:footnoteRef/>
      </w:r>
      <w:r>
        <w:t xml:space="preserve"> West Coast Gas Company has not participated in R.21-02-014 but did file its Transition Plan pursuant to Resolution M-4849.</w:t>
      </w:r>
    </w:p>
  </w:footnote>
  <w:footnote w:id="5">
    <w:p w14:paraId="4CA8C522" w14:textId="13350C3B" w:rsidR="009C2824" w:rsidRDefault="009C2824" w:rsidP="00CB2279">
      <w:pPr>
        <w:pStyle w:val="FootnoteText"/>
      </w:pPr>
      <w:r>
        <w:rPr>
          <w:rStyle w:val="FootnoteReference"/>
        </w:rPr>
        <w:footnoteRef/>
      </w:r>
      <w:r>
        <w:t xml:space="preserve"> The CPUC webpage for R.21-02-014 is at </w:t>
      </w:r>
      <w:hyperlink r:id="rId1" w:history="1">
        <w:r w:rsidRPr="00286B8C">
          <w:rPr>
            <w:rStyle w:val="Hyperlink"/>
          </w:rPr>
          <w:t>https://www.cpuc.ca.gov/General.aspx?id=6442468180</w:t>
        </w:r>
      </w:hyperlink>
      <w:r>
        <w:t>.</w:t>
      </w:r>
    </w:p>
  </w:footnote>
  <w:footnote w:id="6">
    <w:p w14:paraId="0BE37DED" w14:textId="00A9CB95" w:rsidR="009C2824" w:rsidRDefault="009C2824">
      <w:pPr>
        <w:pStyle w:val="FootnoteText"/>
      </w:pPr>
      <w:r>
        <w:rPr>
          <w:rStyle w:val="FootnoteReference"/>
        </w:rPr>
        <w:footnoteRef/>
      </w:r>
      <w:r>
        <w:t xml:space="preserve"> The Scoping Memo’s dates for filing Opening and Reply Briefs were extended twice; first in the ALJ Ruling issued April 2, 2021 and again by ALJ Ruling of April 8, 2021 granting the procedural motion of PG&amp;E for an extension of time to file and serve Opening and Reply Briefs.</w:t>
      </w:r>
    </w:p>
  </w:footnote>
  <w:footnote w:id="7">
    <w:p w14:paraId="17479445" w14:textId="1B0E30C0" w:rsidR="009C2824" w:rsidRDefault="009C2824">
      <w:pPr>
        <w:pStyle w:val="FootnoteText"/>
      </w:pPr>
      <w:r>
        <w:rPr>
          <w:rStyle w:val="FootnoteReference"/>
        </w:rPr>
        <w:footnoteRef/>
      </w:r>
      <w:r>
        <w:t xml:space="preserve"> </w:t>
      </w:r>
      <w:r w:rsidR="009378CC">
        <w:rPr>
          <w:sz w:val="23"/>
          <w:szCs w:val="23"/>
        </w:rPr>
        <w:t xml:space="preserve">California Senate Bill 112 (21R) and California Assembly Bill 128 (21R), </w:t>
      </w:r>
      <w:r w:rsidR="009378CC">
        <w:rPr>
          <w:szCs w:val="22"/>
        </w:rPr>
        <w:t>4181-Energy Programs</w:t>
      </w:r>
      <w:r w:rsidR="009378CC">
        <w:rPr>
          <w:sz w:val="23"/>
          <w:szCs w:val="23"/>
        </w:rPr>
        <w:t xml:space="preserve">. </w:t>
      </w:r>
      <w:r w:rsidR="009378CC">
        <w:t xml:space="preserve"> </w:t>
      </w:r>
    </w:p>
  </w:footnote>
  <w:footnote w:id="8">
    <w:p w14:paraId="6A7727A3" w14:textId="4686648C" w:rsidR="009C2824" w:rsidRDefault="009C2824">
      <w:pPr>
        <w:pStyle w:val="FootnoteText"/>
      </w:pPr>
      <w:r>
        <w:rPr>
          <w:rStyle w:val="FootnoteReference"/>
        </w:rPr>
        <w:footnoteRef/>
      </w:r>
      <w:r>
        <w:t xml:space="preserve"> SoCalGas Opening Brief at 14.</w:t>
      </w:r>
    </w:p>
  </w:footnote>
  <w:footnote w:id="9">
    <w:p w14:paraId="5EC7E88B" w14:textId="6A124345" w:rsidR="009C2824" w:rsidRDefault="009C2824">
      <w:pPr>
        <w:pStyle w:val="FootnoteText"/>
      </w:pPr>
      <w:r>
        <w:rPr>
          <w:rStyle w:val="FootnoteReference"/>
        </w:rPr>
        <w:footnoteRef/>
      </w:r>
      <w:r>
        <w:t xml:space="preserve"> NCLC/CforAt Opening Brief at 10.</w:t>
      </w:r>
    </w:p>
  </w:footnote>
  <w:footnote w:id="10">
    <w:p w14:paraId="240A7F74" w14:textId="4E302527" w:rsidR="009C2824" w:rsidRDefault="009C2824">
      <w:pPr>
        <w:pStyle w:val="FootnoteText"/>
      </w:pPr>
      <w:r>
        <w:rPr>
          <w:rStyle w:val="FootnoteReference"/>
        </w:rPr>
        <w:footnoteRef/>
      </w:r>
      <w:r>
        <w:t xml:space="preserve"> $205.3 million, of which 5% is for administrative purposes and 95% for services.</w:t>
      </w:r>
      <w:r w:rsidR="00E97EE4">
        <w:t xml:space="preserve"> </w:t>
      </w:r>
      <w:r>
        <w:t xml:space="preserve"> Of the 95% for services, 44% is for utility bill assistance, with the remainder for weatherization and energy services.</w:t>
      </w:r>
    </w:p>
  </w:footnote>
  <w:footnote w:id="11">
    <w:p w14:paraId="1C16D9A6" w14:textId="280E179F" w:rsidR="009C2824" w:rsidRDefault="009C2824">
      <w:pPr>
        <w:pStyle w:val="FootnoteText"/>
      </w:pPr>
      <w:r>
        <w:rPr>
          <w:rStyle w:val="FootnoteReference"/>
        </w:rPr>
        <w:footnoteRef/>
      </w:r>
      <w:r>
        <w:t xml:space="preserve"> $49.5 million, of which 5% is for administrative purposes and 95% for services.</w:t>
      </w:r>
      <w:r w:rsidR="00E97EE4">
        <w:t xml:space="preserve"> </w:t>
      </w:r>
      <w:r>
        <w:t xml:space="preserve"> Of the 95% for services, 53% is for utility bill assistance, with the remainder for weatherization and energy services.</w:t>
      </w:r>
    </w:p>
  </w:footnote>
  <w:footnote w:id="12">
    <w:p w14:paraId="5813FBC8" w14:textId="25B4D13F" w:rsidR="009C2824" w:rsidRDefault="009C2824">
      <w:pPr>
        <w:pStyle w:val="FootnoteText"/>
      </w:pPr>
      <w:r>
        <w:rPr>
          <w:rStyle w:val="FootnoteReference"/>
        </w:rPr>
        <w:footnoteRef/>
      </w:r>
      <w:r>
        <w:t xml:space="preserve"> California Department of Community Services and Development presentation at the R.21</w:t>
      </w:r>
      <w:r w:rsidR="00E97EE4">
        <w:noBreakHyphen/>
      </w:r>
      <w:r>
        <w:t>02</w:t>
      </w:r>
      <w:r w:rsidR="00E97EE4">
        <w:noBreakHyphen/>
      </w:r>
      <w:r>
        <w:t>014 Workshop on April 25, 2021, slides 4-6.</w:t>
      </w:r>
    </w:p>
  </w:footnote>
  <w:footnote w:id="13">
    <w:p w14:paraId="4A9EAD9A" w14:textId="5125080D" w:rsidR="009C2824" w:rsidRDefault="009C2824">
      <w:pPr>
        <w:pStyle w:val="FootnoteText"/>
      </w:pPr>
      <w:r>
        <w:rPr>
          <w:rStyle w:val="FootnoteReference"/>
        </w:rPr>
        <w:footnoteRef/>
      </w:r>
      <w:r>
        <w:t xml:space="preserve"> NCLC/CforAT Opening Brief at 7. </w:t>
      </w:r>
    </w:p>
  </w:footnote>
  <w:footnote w:id="14">
    <w:p w14:paraId="130ABE9C" w14:textId="7F020769" w:rsidR="009C2824" w:rsidRDefault="009C2824">
      <w:pPr>
        <w:pStyle w:val="FootnoteText"/>
      </w:pPr>
      <w:r>
        <w:rPr>
          <w:rStyle w:val="FootnoteReference"/>
        </w:rPr>
        <w:footnoteRef/>
      </w:r>
      <w:r>
        <w:t xml:space="preserve"> California Department of Community Services and Development presentation at the R.21</w:t>
      </w:r>
      <w:r w:rsidR="00E97EE4">
        <w:noBreakHyphen/>
      </w:r>
      <w:r>
        <w:t>02</w:t>
      </w:r>
      <w:r w:rsidR="00E97EE4">
        <w:noBreakHyphen/>
      </w:r>
      <w:r>
        <w:t>014 Workshop on April 25, 2021, slide 4.</w:t>
      </w:r>
    </w:p>
  </w:footnote>
  <w:footnote w:id="15">
    <w:p w14:paraId="0ADDD283" w14:textId="293181ED" w:rsidR="00007305" w:rsidRDefault="00007305" w:rsidP="00007305">
      <w:pPr>
        <w:pStyle w:val="FootnoteText"/>
      </w:pPr>
      <w:r>
        <w:rPr>
          <w:rStyle w:val="FootnoteReference"/>
        </w:rPr>
        <w:footnoteRef/>
      </w:r>
      <w:r>
        <w:t xml:space="preserve"> Alpine Natural Gas Company did not provide data in response to the  </w:t>
      </w:r>
      <w:r w:rsidR="006E58C8">
        <w:t xml:space="preserve">March 18, 2021 </w:t>
      </w:r>
      <w:r w:rsidR="006034D7">
        <w:t xml:space="preserve">ALJ </w:t>
      </w:r>
      <w:r>
        <w:t>Ruling</w:t>
      </w:r>
      <w:r w:rsidR="006034D7">
        <w:t xml:space="preserve"> Directing Utilities to Provide Data</w:t>
      </w:r>
      <w:r>
        <w:t xml:space="preserve">. </w:t>
      </w:r>
    </w:p>
  </w:footnote>
  <w:footnote w:id="16">
    <w:p w14:paraId="5575CB41" w14:textId="49959D34" w:rsidR="00970B3E" w:rsidRPr="00970B3E" w:rsidRDefault="00970B3E">
      <w:pPr>
        <w:pStyle w:val="FootnoteText"/>
      </w:pPr>
      <w:r>
        <w:rPr>
          <w:rStyle w:val="FootnoteReference"/>
        </w:rPr>
        <w:footnoteRef/>
      </w:r>
      <w:r>
        <w:t xml:space="preserve"> Bear Valley’s </w:t>
      </w:r>
      <w:r w:rsidR="0085316A">
        <w:t>arrearage data</w:t>
      </w:r>
      <w:r>
        <w:t xml:space="preserve"> is excluded until Bear Valley resolves </w:t>
      </w:r>
      <w:r w:rsidR="00963F61">
        <w:t>discrepancies</w:t>
      </w:r>
      <w:r w:rsidR="0085316A">
        <w:t xml:space="preserve"> </w:t>
      </w:r>
      <w:r w:rsidR="00963F61">
        <w:t>i</w:t>
      </w:r>
      <w:r w:rsidR="0085316A">
        <w:t xml:space="preserve">n the number of customers in arrears </w:t>
      </w:r>
      <w:r>
        <w:t xml:space="preserve">in the following reports: Bear Valley Response dated March 30, 2021 to ALJ Ruling </w:t>
      </w:r>
      <w:r w:rsidR="006E58C8">
        <w:t xml:space="preserve">dated </w:t>
      </w:r>
      <w:r w:rsidR="006034D7">
        <w:t>March 18</w:t>
      </w:r>
      <w:r w:rsidR="006E58C8">
        <w:t xml:space="preserve">, 2021 </w:t>
      </w:r>
      <w:r>
        <w:t xml:space="preserve">Directing Utilities to Provide Data, Bear Valley Advice Letter (AL) 417-EA dated April 15, 2021 containing </w:t>
      </w:r>
      <w:r>
        <w:rPr>
          <w:i/>
          <w:iCs/>
        </w:rPr>
        <w:t>BVES Transition Plan for discontinuance of COVID-19 Customer Protections after June 30, 2021 – Resolution M-4849</w:t>
      </w:r>
      <w:r>
        <w:t>, and Bear Valley Opening Comments dated June 14, 2021 on Proposed Decision.</w:t>
      </w:r>
    </w:p>
  </w:footnote>
  <w:footnote w:id="17">
    <w:p w14:paraId="2281FEFA" w14:textId="05756025" w:rsidR="007C76B3" w:rsidRDefault="007C76B3">
      <w:pPr>
        <w:pStyle w:val="FootnoteText"/>
      </w:pPr>
      <w:r>
        <w:rPr>
          <w:rStyle w:val="FootnoteReference"/>
        </w:rPr>
        <w:footnoteRef/>
      </w:r>
      <w:r>
        <w:t xml:space="preserve"> </w:t>
      </w:r>
      <w:r w:rsidR="00F17A2C">
        <w:t>In PacifiCorp AL 646-EA dated April 1, 2021</w:t>
      </w:r>
      <w:r>
        <w:t xml:space="preserve">PacifiCorp provides </w:t>
      </w:r>
      <w:r w:rsidR="00F17A2C">
        <w:t xml:space="preserve">conflicting, and </w:t>
      </w:r>
      <w:r>
        <w:t>higher</w:t>
      </w:r>
      <w:r w:rsidR="00F17A2C">
        <w:t>,</w:t>
      </w:r>
      <w:r>
        <w:t xml:space="preserve"> arrearage data for </w:t>
      </w:r>
      <w:r w:rsidR="00F17A2C">
        <w:t xml:space="preserve">the same month February 2021. </w:t>
      </w:r>
      <w:r>
        <w:t xml:space="preserve"> </w:t>
      </w:r>
    </w:p>
  </w:footnote>
  <w:footnote w:id="18">
    <w:p w14:paraId="7AE1A86E" w14:textId="77777777" w:rsidR="00007305" w:rsidRDefault="00007305" w:rsidP="00007305">
      <w:pPr>
        <w:pStyle w:val="FootnoteText"/>
      </w:pPr>
      <w:r>
        <w:rPr>
          <w:rStyle w:val="FootnoteReference"/>
        </w:rPr>
        <w:footnoteRef/>
      </w:r>
      <w:r>
        <w:t xml:space="preserve"> So</w:t>
      </w:r>
      <w:r w:rsidRPr="00BC6DA3">
        <w:rPr>
          <w:szCs w:val="22"/>
        </w:rPr>
        <w:t xml:space="preserve">uthwest Gas reported it is unable to provide arrearage information related to specific time periods in its response to </w:t>
      </w:r>
      <w:r w:rsidRPr="005925CE">
        <w:rPr>
          <w:szCs w:val="22"/>
        </w:rPr>
        <w:t>Administrative Law Judge’s Ruling Directing Utilities to Provide Data, filed in R.21-02-014. Information reported in this table is current as of February 28, 2021, but it includes arrearages incurred outside of the requested March 2020 to February 2021 timeframe.</w:t>
      </w:r>
    </w:p>
  </w:footnote>
  <w:footnote w:id="19">
    <w:p w14:paraId="3E0770AF" w14:textId="6C931A5C" w:rsidR="00007305" w:rsidRDefault="00007305" w:rsidP="00007305">
      <w:pPr>
        <w:pStyle w:val="FootnoteText"/>
      </w:pPr>
      <w:r>
        <w:rPr>
          <w:rStyle w:val="FootnoteReference"/>
        </w:rPr>
        <w:footnoteRef/>
      </w:r>
      <w:r>
        <w:t xml:space="preserve"> In response to </w:t>
      </w:r>
      <w:r w:rsidR="008B5E5F">
        <w:t xml:space="preserve">the </w:t>
      </w:r>
      <w:r>
        <w:t xml:space="preserve">ALJ  Ruling </w:t>
      </w:r>
      <w:r w:rsidR="00A91590">
        <w:t xml:space="preserve">of </w:t>
      </w:r>
      <w:r w:rsidR="008B5E5F">
        <w:t xml:space="preserve">March 18, 2021 </w:t>
      </w:r>
      <w:r>
        <w:t>Directing Utilities to Provide Data</w:t>
      </w:r>
      <w:r w:rsidR="008B5E5F">
        <w:t>,</w:t>
      </w:r>
      <w:r>
        <w:t xml:space="preserve"> SDG&amp;E reported that it does not track the number of </w:t>
      </w:r>
      <w:r w:rsidR="001879F0">
        <w:t>Small Business</w:t>
      </w:r>
      <w:r>
        <w:t xml:space="preserve"> customers in arrears. </w:t>
      </w:r>
    </w:p>
  </w:footnote>
  <w:footnote w:id="20">
    <w:p w14:paraId="21055577" w14:textId="77DE5D44" w:rsidR="009C2824" w:rsidRDefault="009C2824">
      <w:pPr>
        <w:pStyle w:val="FootnoteText"/>
      </w:pPr>
      <w:r>
        <w:rPr>
          <w:rStyle w:val="FootnoteReference"/>
        </w:rPr>
        <w:footnoteRef/>
      </w:r>
      <w:r>
        <w:t xml:space="preserve"> Workshop Team #3 included representatives of Cal Advocates, CW</w:t>
      </w:r>
      <w:r w:rsidR="00B704D3">
        <w:t>A</w:t>
      </w:r>
      <w:r>
        <w:t>, CleanPowerSF, PG&amp;E, SCE, Southwest Gas, and TURN.</w:t>
      </w:r>
    </w:p>
  </w:footnote>
  <w:footnote w:id="21">
    <w:p w14:paraId="43975FE2" w14:textId="56917421" w:rsidR="009C2824" w:rsidRDefault="009C2824">
      <w:pPr>
        <w:pStyle w:val="FootnoteText"/>
      </w:pPr>
      <w:r>
        <w:rPr>
          <w:rStyle w:val="FootnoteReference"/>
        </w:rPr>
        <w:footnoteRef/>
      </w:r>
      <w:r>
        <w:t xml:space="preserve"> Work Team #3 included representatives of Cal Advocates, CWA, CleanPowerSF, PG&amp;E, SCE, Southwest Gas and TURN.</w:t>
      </w:r>
    </w:p>
  </w:footnote>
  <w:footnote w:id="22">
    <w:p w14:paraId="37E82A62" w14:textId="77777777" w:rsidR="009C2824" w:rsidRDefault="009C2824" w:rsidP="00D72047">
      <w:pPr>
        <w:pStyle w:val="FootnoteText"/>
      </w:pPr>
      <w:r>
        <w:rPr>
          <w:rStyle w:val="FootnoteReference"/>
        </w:rPr>
        <w:footnoteRef/>
      </w:r>
      <w:r>
        <w:t xml:space="preserve"> NCLC/CforAT Opening Brief at 20, LCJA/CEJA/Greenlining Reply Brief at 7, Cal Advocates Opening Brief at 7, TURN Opening Brief at 7.</w:t>
      </w:r>
    </w:p>
  </w:footnote>
  <w:footnote w:id="23">
    <w:p w14:paraId="0D4935C3" w14:textId="77777777" w:rsidR="009C2824" w:rsidRDefault="009C2824" w:rsidP="00D72047">
      <w:pPr>
        <w:pStyle w:val="FootnoteText"/>
      </w:pPr>
      <w:r>
        <w:rPr>
          <w:rStyle w:val="FootnoteReference"/>
        </w:rPr>
        <w:footnoteRef/>
      </w:r>
      <w:r>
        <w:t xml:space="preserve"> SoCalGas Opening Brief at 28-29.</w:t>
      </w:r>
    </w:p>
  </w:footnote>
  <w:footnote w:id="24">
    <w:p w14:paraId="3CE0EB63" w14:textId="77777777" w:rsidR="009C2824" w:rsidRDefault="009C2824" w:rsidP="00E971AE">
      <w:pPr>
        <w:pStyle w:val="FootnoteText"/>
      </w:pPr>
      <w:r>
        <w:rPr>
          <w:rStyle w:val="FootnoteReference"/>
        </w:rPr>
        <w:footnoteRef/>
      </w:r>
      <w:r>
        <w:t xml:space="preserve"> CASMU Opening Brief at 9.</w:t>
      </w:r>
    </w:p>
  </w:footnote>
  <w:footnote w:id="25">
    <w:p w14:paraId="6A225F7B" w14:textId="063EB532" w:rsidR="006E511C" w:rsidRDefault="006E511C">
      <w:pPr>
        <w:pStyle w:val="FootnoteText"/>
      </w:pPr>
      <w:r>
        <w:rPr>
          <w:rStyle w:val="FootnoteReference"/>
        </w:rPr>
        <w:footnoteRef/>
      </w:r>
      <w:r>
        <w:t xml:space="preserve"> Residential customers in arrears enrolled in a different payment plan, Arrearage Management Program, levelized billing or on a Net Energy Metering tariff will not be automatically enrolled unless and until their participation in any of the aforementioned programs concludes prior to September 2022.</w:t>
      </w:r>
    </w:p>
  </w:footnote>
  <w:footnote w:id="26">
    <w:p w14:paraId="49D03953" w14:textId="31DA67D7" w:rsidR="006A61BE" w:rsidRDefault="006A61BE">
      <w:pPr>
        <w:pStyle w:val="FootnoteText"/>
      </w:pPr>
      <w:r>
        <w:rPr>
          <w:rStyle w:val="FootnoteReference"/>
        </w:rPr>
        <w:footnoteRef/>
      </w:r>
      <w:r>
        <w:t xml:space="preserve"> We do not approve IOU proposals to indefinitely suspend disconnections of CARE customers until the anticipated state relief arrives because this will cause a secondary arrearage problem.</w:t>
      </w:r>
    </w:p>
  </w:footnote>
  <w:footnote w:id="27">
    <w:p w14:paraId="30BFAA99" w14:textId="3F43DD22" w:rsidR="004F48B4" w:rsidRDefault="004F48B4">
      <w:pPr>
        <w:pStyle w:val="FootnoteText"/>
      </w:pPr>
      <w:r>
        <w:rPr>
          <w:rStyle w:val="FootnoteReference"/>
        </w:rPr>
        <w:footnoteRef/>
      </w:r>
      <w:r>
        <w:t xml:space="preserve"> Southwest Gas Advice Letter 1170-G, April 1, 2021 at 4.</w:t>
      </w:r>
      <w:r w:rsidR="006825CB">
        <w:t xml:space="preserve"> </w:t>
      </w:r>
      <w:r w:rsidR="004F07CC">
        <w:t xml:space="preserve"> </w:t>
      </w:r>
      <w:r w:rsidR="006825CB">
        <w:t xml:space="preserve">Southwest Gas </w:t>
      </w:r>
      <w:r w:rsidR="00595221">
        <w:t>refers to</w:t>
      </w:r>
      <w:r w:rsidR="006825CB">
        <w:t xml:space="preserve"> its automatic amortization </w:t>
      </w:r>
      <w:r w:rsidR="000C2DDD">
        <w:t xml:space="preserve">initiative </w:t>
      </w:r>
      <w:r w:rsidR="006825CB">
        <w:t>a</w:t>
      </w:r>
      <w:r w:rsidR="00595221">
        <w:t>s a</w:t>
      </w:r>
      <w:r w:rsidR="006825CB">
        <w:t xml:space="preserve"> Deferred Payment </w:t>
      </w:r>
      <w:r w:rsidR="00595221">
        <w:t>Arrangement</w:t>
      </w:r>
      <w:r w:rsidR="006825CB">
        <w:t>.</w:t>
      </w:r>
    </w:p>
  </w:footnote>
  <w:footnote w:id="28">
    <w:p w14:paraId="1AC80C6F" w14:textId="47A20585" w:rsidR="00B063D4" w:rsidRDefault="00B063D4">
      <w:pPr>
        <w:pStyle w:val="FootnoteText"/>
      </w:pPr>
      <w:r>
        <w:rPr>
          <w:rStyle w:val="FootnoteReference"/>
        </w:rPr>
        <w:footnoteRef/>
      </w:r>
      <w:r>
        <w:t xml:space="preserve"> “COVID-19 Relief Payment Plans” are temporary and transitional to allow customers with accumulated debt a gradual repayment path. The period for which “COVID-19 Relief Payment Plans” </w:t>
      </w:r>
      <w:r w:rsidR="00951F07">
        <w:t>will be offered is July 2021 through September 2022 to during which eligible customers will be automatically enrolled only once in a “COVID-19 Relief Payment Plan.” Complete terms and rules are found in the Appendices to this decision.</w:t>
      </w:r>
    </w:p>
  </w:footnote>
  <w:footnote w:id="29">
    <w:p w14:paraId="7216B67E" w14:textId="079C64C3" w:rsidR="00D059B0" w:rsidRDefault="00D059B0">
      <w:pPr>
        <w:pStyle w:val="FootnoteText"/>
      </w:pPr>
      <w:r>
        <w:rPr>
          <w:rStyle w:val="FootnoteReference"/>
        </w:rPr>
        <w:footnoteRef/>
      </w:r>
      <w:r>
        <w:t xml:space="preserve"> </w:t>
      </w:r>
      <w:r w:rsidR="00CE44CC" w:rsidRPr="00CE44CC">
        <w:t xml:space="preserve">During the pandemic, </w:t>
      </w:r>
      <w:r w:rsidR="00CE44CC">
        <w:t xml:space="preserve">in June 2020, </w:t>
      </w:r>
      <w:r w:rsidR="00CE44CC" w:rsidRPr="00CE44CC">
        <w:t>the Phase I Disconnections proceeding decision (Decision 20-06-003</w:t>
      </w:r>
      <w:r w:rsidR="00CE44CC">
        <w:t xml:space="preserve"> in </w:t>
      </w:r>
      <w:r w:rsidR="00CE44CC" w:rsidRPr="00CE44CC">
        <w:t xml:space="preserve">Rulemaking 18-07-005) adopted new rules </w:t>
      </w:r>
      <w:r w:rsidR="00CE44CC">
        <w:t xml:space="preserve">limiting </w:t>
      </w:r>
      <w:r w:rsidR="003E0DE3">
        <w:t xml:space="preserve">disconnections of </w:t>
      </w:r>
      <w:r w:rsidR="00CE44CC">
        <w:t xml:space="preserve">PG&amp;E, SCE, SoCalGas and </w:t>
      </w:r>
      <w:r w:rsidR="003E0DE3">
        <w:t>SDG&amp;E customers to 220,971; 320,629; 113,255; and 39,855 customers annually (as calculated today)</w:t>
      </w:r>
      <w:r w:rsidR="00CE44CC" w:rsidRPr="00CE44CC">
        <w:t xml:space="preserve">, no matter the size or number of bills outstanding. </w:t>
      </w:r>
      <w:r w:rsidR="00EF1244">
        <w:t xml:space="preserve">D.20-06-003 additional limits disconnections in areas with high disconnection rates, requires IOUs to accept 20 percent of debt owed to forestall disconnection or resume service after disconnection of gas service (Ordering Paragraph 49), requires IOUs, prior to disconnection, to notify customers of all applicable benefit programs and give them an opportunity to enroll in a </w:t>
      </w:r>
      <w:r w:rsidR="00141D7A">
        <w:t>12-month</w:t>
      </w:r>
      <w:r w:rsidR="00EF1244">
        <w:t xml:space="preserve"> payment plan (Ordering Paragraph 1).</w:t>
      </w:r>
    </w:p>
  </w:footnote>
  <w:footnote w:id="30">
    <w:p w14:paraId="6CF55518" w14:textId="62C0B031" w:rsidR="00945215" w:rsidRDefault="00945215">
      <w:pPr>
        <w:pStyle w:val="FootnoteText"/>
      </w:pPr>
      <w:r>
        <w:rPr>
          <w:rStyle w:val="FootnoteReference"/>
        </w:rPr>
        <w:footnoteRef/>
      </w:r>
      <w:r>
        <w:t xml:space="preserve"> AMP is a payment plan with a forgiveness element. </w:t>
      </w:r>
      <w:r w:rsidR="006428DA">
        <w:t xml:space="preserve"> </w:t>
      </w:r>
      <w:r>
        <w:t xml:space="preserve">Such a forgiveness element should provide more incentive to participate than </w:t>
      </w:r>
      <w:r w:rsidR="00162826">
        <w:t>payment plans without forgiveness.</w:t>
      </w:r>
    </w:p>
  </w:footnote>
  <w:footnote w:id="31">
    <w:p w14:paraId="0D1A7FA4" w14:textId="7E4F1CB1" w:rsidR="009C2824" w:rsidRDefault="009C2824">
      <w:pPr>
        <w:pStyle w:val="FootnoteText"/>
      </w:pPr>
      <w:r>
        <w:rPr>
          <w:rStyle w:val="FootnoteReference"/>
        </w:rPr>
        <w:footnoteRef/>
      </w:r>
      <w:r>
        <w:t xml:space="preserve"> SDG&amp;E states that it allows customers to call to renegotiate the terms of a payment plan as the preferred alternative for customers instead of missing (or breaking) the terms of a payment plan.</w:t>
      </w:r>
    </w:p>
  </w:footnote>
  <w:footnote w:id="32">
    <w:p w14:paraId="6DD22183" w14:textId="08102CC5" w:rsidR="008F33F8" w:rsidRDefault="008F33F8">
      <w:pPr>
        <w:pStyle w:val="FootnoteText"/>
      </w:pPr>
      <w:r>
        <w:rPr>
          <w:rStyle w:val="FootnoteReference"/>
        </w:rPr>
        <w:footnoteRef/>
      </w:r>
      <w:r>
        <w:t xml:space="preserve"> </w:t>
      </w:r>
      <w:r w:rsidR="001E0FF2">
        <w:t xml:space="preserve">Entirety of </w:t>
      </w:r>
      <w:r>
        <w:t>Reporter’s Transcript</w:t>
      </w:r>
      <w:r w:rsidR="001E0FF2">
        <w:t xml:space="preserve"> </w:t>
      </w:r>
      <w:r w:rsidR="009154C3">
        <w:t xml:space="preserve">(RT) </w:t>
      </w:r>
      <w:r>
        <w:t>of May 2</w:t>
      </w:r>
      <w:r w:rsidR="001E0FF2">
        <w:t>7</w:t>
      </w:r>
      <w:r>
        <w:t>, 2021 evidentiary hearing.</w:t>
      </w:r>
    </w:p>
  </w:footnote>
  <w:footnote w:id="33">
    <w:p w14:paraId="2A9659F1" w14:textId="0973A5DA" w:rsidR="009C2824" w:rsidRDefault="009C2824">
      <w:pPr>
        <w:pStyle w:val="FootnoteText"/>
      </w:pPr>
      <w:r>
        <w:rPr>
          <w:rStyle w:val="FootnoteReference"/>
        </w:rPr>
        <w:footnoteRef/>
      </w:r>
      <w:r>
        <w:t xml:space="preserve"> The IOUs also noted several technological and design challenges that would affect their ability to create flexibility in payment plans (</w:t>
      </w:r>
      <w:r w:rsidR="000B1E3D">
        <w:t xml:space="preserve">March 26, 2021 Reporter’s Transcript of Status Conference </w:t>
      </w:r>
      <w:r>
        <w:t>at 49</w:t>
      </w:r>
      <w:r w:rsidR="000B1E3D">
        <w:t>:17-28</w:t>
      </w:r>
      <w:r>
        <w:t>)</w:t>
      </w:r>
      <w:r w:rsidR="00A6597C">
        <w:t>.</w:t>
      </w:r>
      <w:r>
        <w:t xml:space="preserve"> </w:t>
      </w:r>
    </w:p>
  </w:footnote>
  <w:footnote w:id="34">
    <w:p w14:paraId="32002E3E" w14:textId="747A7F38" w:rsidR="009C2824" w:rsidRDefault="009C2824">
      <w:pPr>
        <w:pStyle w:val="FootnoteText"/>
      </w:pPr>
      <w:r>
        <w:rPr>
          <w:rStyle w:val="FootnoteReference"/>
        </w:rPr>
        <w:footnoteRef/>
      </w:r>
      <w:r>
        <w:t xml:space="preserve"> TURN Response of April 12, 2021 to Post-Workshop Questions at 10.</w:t>
      </w:r>
    </w:p>
  </w:footnote>
  <w:footnote w:id="35">
    <w:p w14:paraId="00A58415" w14:textId="06D2E3F5" w:rsidR="008843BA" w:rsidRDefault="008843BA">
      <w:pPr>
        <w:pStyle w:val="FootnoteText"/>
      </w:pPr>
      <w:r>
        <w:rPr>
          <w:rStyle w:val="FootnoteReference"/>
        </w:rPr>
        <w:footnoteRef/>
      </w:r>
      <w:r>
        <w:t xml:space="preserve"> 60 days of arrearages is the only threshold. See Appendices for eligibility terms.</w:t>
      </w:r>
    </w:p>
  </w:footnote>
  <w:footnote w:id="36">
    <w:p w14:paraId="22DB3831" w14:textId="27A9AC0C" w:rsidR="00F7320A" w:rsidRDefault="00F7320A">
      <w:pPr>
        <w:pStyle w:val="FootnoteText"/>
      </w:pPr>
      <w:r>
        <w:rPr>
          <w:rStyle w:val="FootnoteReference"/>
        </w:rPr>
        <w:footnoteRef/>
      </w:r>
      <w:r>
        <w:t xml:space="preserve"> Billed amounts in arrears are outstanding amounts past the due-date.</w:t>
      </w:r>
    </w:p>
  </w:footnote>
  <w:footnote w:id="37">
    <w:p w14:paraId="23DE1C00" w14:textId="59BF6D5B" w:rsidR="000F7127" w:rsidRDefault="000F7127">
      <w:pPr>
        <w:pStyle w:val="FootnoteText"/>
      </w:pPr>
      <w:r>
        <w:rPr>
          <w:rStyle w:val="FootnoteReference"/>
        </w:rPr>
        <w:footnoteRef/>
      </w:r>
      <w:r>
        <w:t xml:space="preserve"> As noted above, the rules of AMP would require a customer to shift from a “COVID-19 Relief Payment Plan” in order to enroll in AMP. CARE, FERA, LIHEAP and ERAP are examples of programs that accommodate concurrent enrollment in a payment plan.</w:t>
      </w:r>
    </w:p>
  </w:footnote>
  <w:footnote w:id="38">
    <w:p w14:paraId="2715FD14" w14:textId="6BB1EC6E" w:rsidR="00F23ACB" w:rsidRDefault="00F23ACB">
      <w:pPr>
        <w:pStyle w:val="FootnoteText"/>
      </w:pPr>
      <w:r>
        <w:rPr>
          <w:rStyle w:val="FootnoteReference"/>
        </w:rPr>
        <w:footnoteRef/>
      </w:r>
      <w:r>
        <w:t xml:space="preserve"> Notwithstanding Bear Valley’s reporting difficulties, Bear Valley reports 11 customers enrolled in payment plans out of 682 unique customers in arrears. (Bear Valley AL 417-EA dated April 15, 2021, </w:t>
      </w:r>
      <w:r w:rsidR="004F3C2F">
        <w:t xml:space="preserve">at 5 and </w:t>
      </w:r>
      <w:r>
        <w:t>Attachment C at 9-10).</w:t>
      </w:r>
      <w:r w:rsidR="00CD0BF9">
        <w:t xml:space="preserve"> CalPeco Electric reports 20 customers enrolled in payment plans over six months in length</w:t>
      </w:r>
      <w:r w:rsidR="006C54E8">
        <w:t xml:space="preserve"> (CalPeco Electric AL 169-EA at 7-8)</w:t>
      </w:r>
      <w:r w:rsidR="00CD0BF9">
        <w:t xml:space="preserve">. PacifiCorp reports </w:t>
      </w:r>
      <w:r w:rsidR="001102A3">
        <w:t>2.29 percent customers enrolled in payment plans</w:t>
      </w:r>
      <w:r w:rsidR="006C54E8">
        <w:t xml:space="preserve"> (PacifiCorp AL 646-EA Attachment A)</w:t>
      </w:r>
      <w:r w:rsidR="001102A3">
        <w:t>.</w:t>
      </w:r>
    </w:p>
  </w:footnote>
  <w:footnote w:id="39">
    <w:p w14:paraId="0095DF86" w14:textId="6A5A2485" w:rsidR="009C2824" w:rsidRDefault="009C2824">
      <w:pPr>
        <w:pStyle w:val="FootnoteText"/>
      </w:pPr>
      <w:r>
        <w:rPr>
          <w:rStyle w:val="FootnoteReference"/>
        </w:rPr>
        <w:footnoteRef/>
      </w:r>
      <w:r>
        <w:t xml:space="preserve"> CASMU Opening Brief at 3.</w:t>
      </w:r>
    </w:p>
  </w:footnote>
  <w:footnote w:id="40">
    <w:p w14:paraId="6E92F320" w14:textId="63020CEC" w:rsidR="003E43D3" w:rsidRDefault="003E43D3">
      <w:pPr>
        <w:pStyle w:val="FootnoteText"/>
      </w:pPr>
      <w:r>
        <w:rPr>
          <w:rStyle w:val="FootnoteReference"/>
        </w:rPr>
        <w:footnoteRef/>
      </w:r>
      <w:r>
        <w:t xml:space="preserve"> R</w:t>
      </w:r>
      <w:r w:rsidR="009154C3">
        <w:t>T</w:t>
      </w:r>
      <w:r w:rsidR="000703ED">
        <w:t xml:space="preserve"> </w:t>
      </w:r>
      <w:r>
        <w:t>of May 27, 2021 evidentiary hearing at 11:24, 13:15-20.</w:t>
      </w:r>
    </w:p>
  </w:footnote>
  <w:footnote w:id="41">
    <w:p w14:paraId="031C5B41" w14:textId="622030E2" w:rsidR="005B7A99" w:rsidRDefault="005B7A99">
      <w:pPr>
        <w:pStyle w:val="FootnoteText"/>
      </w:pPr>
      <w:r>
        <w:rPr>
          <w:rStyle w:val="FootnoteReference"/>
        </w:rPr>
        <w:footnoteRef/>
      </w:r>
      <w:r>
        <w:t xml:space="preserve"> RT of May 27, 2021 evidentiary hearing at 23:8-13, </w:t>
      </w:r>
      <w:r w:rsidR="009A12B7">
        <w:t>27:11-28, 28:1-4</w:t>
      </w:r>
      <w:r w:rsidR="00AB2459">
        <w:t>, 30:5-8</w:t>
      </w:r>
      <w:r w:rsidR="00482401">
        <w:t xml:space="preserve">. </w:t>
      </w:r>
    </w:p>
  </w:footnote>
  <w:footnote w:id="42">
    <w:p w14:paraId="0F18BF71" w14:textId="274412A7" w:rsidR="008F33E9" w:rsidRDefault="008F33E9">
      <w:pPr>
        <w:pStyle w:val="FootnoteText"/>
      </w:pPr>
      <w:r>
        <w:rPr>
          <w:rStyle w:val="FootnoteReference"/>
        </w:rPr>
        <w:footnoteRef/>
      </w:r>
      <w:r>
        <w:t xml:space="preserve"> RT of May 27, 2021 evidentiary hearing at 36:4-6, 38:1-10.</w:t>
      </w:r>
    </w:p>
  </w:footnote>
  <w:footnote w:id="43">
    <w:p w14:paraId="171B38C3" w14:textId="3B3FF98B" w:rsidR="008F33E9" w:rsidRDefault="008F33E9">
      <w:pPr>
        <w:pStyle w:val="FootnoteText"/>
      </w:pPr>
      <w:r>
        <w:rPr>
          <w:rStyle w:val="FootnoteReference"/>
        </w:rPr>
        <w:footnoteRef/>
      </w:r>
      <w:r>
        <w:t xml:space="preserve"> ALJ Ruling of April 2, 2021 Inviting Post-Workshop comments, and ALJ Ruling of April 5, 2021 Directing Leveraging of Federal Funds for Relief.</w:t>
      </w:r>
    </w:p>
  </w:footnote>
  <w:footnote w:id="44">
    <w:p w14:paraId="01677108" w14:textId="07E103A5" w:rsidR="005D5CA8" w:rsidRDefault="005D5CA8">
      <w:pPr>
        <w:pStyle w:val="FootnoteText"/>
      </w:pPr>
      <w:r>
        <w:rPr>
          <w:rStyle w:val="FootnoteReference"/>
        </w:rPr>
        <w:footnoteRef/>
      </w:r>
      <w:r>
        <w:t xml:space="preserve"> CASMU Opening Comments on Proposed Decision at 3.</w:t>
      </w:r>
    </w:p>
  </w:footnote>
  <w:footnote w:id="45">
    <w:p w14:paraId="2E6734D9" w14:textId="77777777" w:rsidR="00651589" w:rsidRDefault="00651589" w:rsidP="00651589">
      <w:pPr>
        <w:pStyle w:val="FootnoteText"/>
      </w:pPr>
      <w:r>
        <w:rPr>
          <w:rStyle w:val="FootnoteReference"/>
        </w:rPr>
        <w:footnoteRef/>
      </w:r>
      <w:r>
        <w:t xml:space="preserve"> CASMU Response dated April 12, 2021 to ALJ Ruling Inviting Post-Workshop Comments at 5-6.</w:t>
      </w:r>
    </w:p>
  </w:footnote>
  <w:footnote w:id="46">
    <w:p w14:paraId="7F28D627" w14:textId="683F353D" w:rsidR="00651589" w:rsidRDefault="00651589">
      <w:pPr>
        <w:pStyle w:val="FootnoteText"/>
      </w:pPr>
      <w:r>
        <w:rPr>
          <w:rStyle w:val="FootnoteReference"/>
        </w:rPr>
        <w:footnoteRef/>
      </w:r>
      <w:r>
        <w:t xml:space="preserve"> PacifiCorp AL 646-EA at 2.</w:t>
      </w:r>
    </w:p>
  </w:footnote>
  <w:footnote w:id="47">
    <w:p w14:paraId="0D87B4ED" w14:textId="6C6619BA" w:rsidR="006C20A4" w:rsidRDefault="006C20A4">
      <w:pPr>
        <w:pStyle w:val="FootnoteText"/>
      </w:pPr>
      <w:r>
        <w:rPr>
          <w:rStyle w:val="FootnoteReference"/>
        </w:rPr>
        <w:footnoteRef/>
      </w:r>
      <w:r>
        <w:t xml:space="preserve"> CASMU Opening Comments on Proposed Decision at 3.</w:t>
      </w:r>
    </w:p>
  </w:footnote>
  <w:footnote w:id="48">
    <w:p w14:paraId="626A5F57" w14:textId="1F9815E8" w:rsidR="006C20A4" w:rsidRDefault="006C20A4">
      <w:pPr>
        <w:pStyle w:val="FootnoteText"/>
      </w:pPr>
      <w:r>
        <w:rPr>
          <w:rStyle w:val="FootnoteReference"/>
        </w:rPr>
        <w:footnoteRef/>
      </w:r>
      <w:r>
        <w:t xml:space="preserve"> CASMU Opening Comments on Proposed Decision at 5-6.</w:t>
      </w:r>
    </w:p>
  </w:footnote>
  <w:footnote w:id="49">
    <w:p w14:paraId="670B6DD4" w14:textId="758FBCDD" w:rsidR="00D66F96" w:rsidRDefault="00D66F96" w:rsidP="00D66F96">
      <w:pPr>
        <w:pStyle w:val="FootnoteText"/>
      </w:pPr>
      <w:r>
        <w:rPr>
          <w:rStyle w:val="FootnoteReference"/>
        </w:rPr>
        <w:footnoteRef/>
      </w:r>
      <w:r>
        <w:t xml:space="preserve"> </w:t>
      </w:r>
      <w:r w:rsidR="005E3502">
        <w:t>In their Transition Plan filing of April 1, 2021, we</w:t>
      </w:r>
      <w:r>
        <w:t xml:space="preserve"> note Southwest Gas</w:t>
      </w:r>
      <w:r w:rsidR="005E3502">
        <w:t>’</w:t>
      </w:r>
      <w:r>
        <w:t xml:space="preserve"> </w:t>
      </w:r>
      <w:r w:rsidR="005E3502">
        <w:t xml:space="preserve">use of </w:t>
      </w:r>
      <w:r>
        <w:t xml:space="preserve">the term “Deferred Payment Arrangement” </w:t>
      </w:r>
      <w:r w:rsidR="005E3502">
        <w:t>to describe its automatic 8-month residential payment plan.</w:t>
      </w:r>
    </w:p>
  </w:footnote>
  <w:footnote w:id="50">
    <w:p w14:paraId="070F2C1D" w14:textId="0BCD7D6C" w:rsidR="004C6F6B" w:rsidRDefault="004C6F6B">
      <w:pPr>
        <w:pStyle w:val="FootnoteText"/>
      </w:pPr>
      <w:r>
        <w:rPr>
          <w:rStyle w:val="FootnoteReference"/>
        </w:rPr>
        <w:footnoteRef/>
      </w:r>
      <w:r>
        <w:t xml:space="preserve"> In Southwest Gas AL 1170-GA dated April 16, 2021, Southwest Gas reported 0.28% of residential customers in arrears were not enrolled in payment plans as of February 28, 2021.</w:t>
      </w:r>
    </w:p>
  </w:footnote>
  <w:footnote w:id="51">
    <w:p w14:paraId="3D3F25C4" w14:textId="3F1CDC07" w:rsidR="00042C58" w:rsidRDefault="00042C58">
      <w:pPr>
        <w:pStyle w:val="FootnoteText"/>
      </w:pPr>
      <w:r>
        <w:rPr>
          <w:rStyle w:val="FootnoteReference"/>
        </w:rPr>
        <w:footnoteRef/>
      </w:r>
      <w:r>
        <w:t xml:space="preserve"> </w:t>
      </w:r>
      <w:r w:rsidRPr="009A3E37">
        <w:t>Response</w:t>
      </w:r>
      <w:r>
        <w:t>s</w:t>
      </w:r>
      <w:r w:rsidRPr="009A3E37">
        <w:t xml:space="preserve"> </w:t>
      </w:r>
      <w:r>
        <w:t>t</w:t>
      </w:r>
      <w:r w:rsidRPr="009A3E37">
        <w:t xml:space="preserve">o Administrative Law Judge’s Ruling Directing Utilities </w:t>
      </w:r>
      <w:r>
        <w:t xml:space="preserve">to </w:t>
      </w:r>
      <w:r w:rsidRPr="009A3E37">
        <w:t>Provide Data</w:t>
      </w:r>
      <w:r>
        <w:t>, filed in R.21-02-014 on March 30</w:t>
      </w:r>
      <w:r w:rsidRPr="009A3E37">
        <w:rPr>
          <w:vertAlign w:val="superscript"/>
        </w:rPr>
        <w:t>th</w:t>
      </w:r>
      <w:r>
        <w:t>, 2021.</w:t>
      </w:r>
    </w:p>
  </w:footnote>
  <w:footnote w:id="52">
    <w:p w14:paraId="0EE84A87" w14:textId="58C9BD38" w:rsidR="00042C58" w:rsidRDefault="00042C58">
      <w:pPr>
        <w:pStyle w:val="FootnoteText"/>
      </w:pPr>
      <w:r>
        <w:rPr>
          <w:rStyle w:val="FootnoteReference"/>
        </w:rPr>
        <w:footnoteRef/>
      </w:r>
      <w:r>
        <w:t xml:space="preserve"> Southwest Gas Opening Brief at 3 provided an amount of arrears automatically enrolled in payment plans, $20.7 million.  Since this proceeding covers only residential and Small Business customers, we are awaiting amounts specific to these customer classes.  However, other Southwest Gas reporting indicates nearly all residential arrearages are currently in payment plans.</w:t>
      </w:r>
    </w:p>
  </w:footnote>
  <w:footnote w:id="53">
    <w:p w14:paraId="1925370D" w14:textId="0CAC9D5D" w:rsidR="00042C58" w:rsidRDefault="00042C58">
      <w:pPr>
        <w:pStyle w:val="FootnoteText"/>
      </w:pPr>
      <w:r>
        <w:rPr>
          <w:rStyle w:val="FootnoteReference"/>
        </w:rPr>
        <w:footnoteRef/>
      </w:r>
      <w:r>
        <w:t xml:space="preserve"> Southwest Gas Opening Brief at 8.</w:t>
      </w:r>
    </w:p>
  </w:footnote>
  <w:footnote w:id="54">
    <w:p w14:paraId="6F9B3448" w14:textId="14391624" w:rsidR="007F6FA2" w:rsidRDefault="007F6FA2">
      <w:pPr>
        <w:pStyle w:val="FootnoteText"/>
      </w:pPr>
      <w:r>
        <w:rPr>
          <w:rStyle w:val="FootnoteReference"/>
        </w:rPr>
        <w:footnoteRef/>
      </w:r>
      <w:r>
        <w:t xml:space="preserve"> Southwest Gas </w:t>
      </w:r>
      <w:r w:rsidR="00A95E74">
        <w:t>c</w:t>
      </w:r>
      <w:r>
        <w:t>omments dated April 12, 2021 in response to ALJ Ruling Inviting Post-Workshop Comments.</w:t>
      </w:r>
    </w:p>
  </w:footnote>
  <w:footnote w:id="55">
    <w:p w14:paraId="69ACB338" w14:textId="7C066FA2" w:rsidR="00FE2129" w:rsidRDefault="00FE2129">
      <w:pPr>
        <w:pStyle w:val="FootnoteText"/>
      </w:pPr>
      <w:r>
        <w:rPr>
          <w:rStyle w:val="FootnoteReference"/>
        </w:rPr>
        <w:footnoteRef/>
      </w:r>
      <w:r>
        <w:t xml:space="preserve"> </w:t>
      </w:r>
      <w:r w:rsidR="0070301E">
        <w:t>T</w:t>
      </w:r>
      <w:r>
        <w:t>he enumeration of questions was 6.e, 12.a, 12.b, 13.a, 13.b, 14, 15, 16, respectively</w:t>
      </w:r>
      <w:r w:rsidR="0070301E">
        <w:t xml:space="preserve"> in the ALJ Ruling of April 2, 2021.</w:t>
      </w:r>
    </w:p>
  </w:footnote>
  <w:footnote w:id="56">
    <w:p w14:paraId="4531CD96" w14:textId="62671FC0" w:rsidR="003C2C80" w:rsidRDefault="003C2C80">
      <w:pPr>
        <w:pStyle w:val="FootnoteText"/>
      </w:pPr>
      <w:r>
        <w:rPr>
          <w:rStyle w:val="FootnoteReference"/>
        </w:rPr>
        <w:footnoteRef/>
      </w:r>
      <w:r>
        <w:t xml:space="preserve"> Question 15 in the ALJ Ruling of April 2, 2021 mistakenly read as “How much risk is there to a utility that a </w:t>
      </w:r>
      <w:r w:rsidR="0087416D">
        <w:t>Small Business</w:t>
      </w:r>
      <w:r>
        <w:t xml:space="preserve"> customer who is disconnected for nonpayment and does not reconnect service?</w:t>
      </w:r>
    </w:p>
  </w:footnote>
  <w:footnote w:id="57">
    <w:p w14:paraId="0F4242CE" w14:textId="45B5A22F" w:rsidR="009C2824" w:rsidRDefault="009C2824">
      <w:pPr>
        <w:pStyle w:val="FootnoteText"/>
      </w:pPr>
      <w:r>
        <w:rPr>
          <w:rStyle w:val="FootnoteReference"/>
        </w:rPr>
        <w:footnoteRef/>
      </w:r>
      <w:r>
        <w:t xml:space="preserve"> SDG&amp;E Opening Brief at 3, SoCalGas Opening Brief at 29.</w:t>
      </w:r>
    </w:p>
  </w:footnote>
  <w:footnote w:id="58">
    <w:p w14:paraId="02D50738" w14:textId="77777777" w:rsidR="009C2824" w:rsidRDefault="009C2824" w:rsidP="008E699F">
      <w:pPr>
        <w:pStyle w:val="FootnoteText"/>
      </w:pPr>
      <w:r>
        <w:rPr>
          <w:rStyle w:val="FootnoteReference"/>
        </w:rPr>
        <w:footnoteRef/>
      </w:r>
      <w:r>
        <w:t xml:space="preserve"> SBUA Opening Brief at 13-14.</w:t>
      </w:r>
    </w:p>
  </w:footnote>
  <w:footnote w:id="59">
    <w:p w14:paraId="4182B135" w14:textId="77777777" w:rsidR="009C2824" w:rsidRDefault="009C2824" w:rsidP="008E699F">
      <w:pPr>
        <w:pStyle w:val="FootnoteText"/>
      </w:pPr>
      <w:r>
        <w:rPr>
          <w:rStyle w:val="FootnoteReference"/>
        </w:rPr>
        <w:footnoteRef/>
      </w:r>
      <w:r>
        <w:t xml:space="preserve"> SBUA Opening Brief at 16-17.</w:t>
      </w:r>
    </w:p>
  </w:footnote>
  <w:footnote w:id="60">
    <w:p w14:paraId="0118EFC5" w14:textId="77777777" w:rsidR="009C2824" w:rsidRDefault="009C2824" w:rsidP="008E699F">
      <w:pPr>
        <w:pStyle w:val="FootnoteText"/>
      </w:pPr>
      <w:r>
        <w:rPr>
          <w:rStyle w:val="FootnoteReference"/>
        </w:rPr>
        <w:footnoteRef/>
      </w:r>
      <w:r>
        <w:t xml:space="preserve"> SBUA Comments of March 22, 2021 on Scoping Memo at 3 and Response of April 12, 2021 to Post-Workshop Questions at 9-10.</w:t>
      </w:r>
    </w:p>
  </w:footnote>
  <w:footnote w:id="61">
    <w:p w14:paraId="2CEE76FE" w14:textId="4BFEB30F" w:rsidR="009C2824" w:rsidRDefault="009C2824">
      <w:pPr>
        <w:pStyle w:val="FootnoteText"/>
      </w:pPr>
      <w:r>
        <w:rPr>
          <w:rStyle w:val="FootnoteReference"/>
        </w:rPr>
        <w:footnoteRef/>
      </w:r>
      <w:r>
        <w:t xml:space="preserve"> SDG&amp;E Response of April 12, 2021 to Post-Workshop Questions at 9.</w:t>
      </w:r>
    </w:p>
  </w:footnote>
  <w:footnote w:id="62">
    <w:p w14:paraId="35398EE7" w14:textId="77777777" w:rsidR="009C2824" w:rsidRDefault="009C2824" w:rsidP="006253D4">
      <w:pPr>
        <w:pStyle w:val="FootnoteText"/>
      </w:pPr>
      <w:r>
        <w:rPr>
          <w:rStyle w:val="FootnoteReference"/>
        </w:rPr>
        <w:footnoteRef/>
      </w:r>
      <w:r>
        <w:t xml:space="preserve"> SoCalGas Comments on OIR at 15.</w:t>
      </w:r>
    </w:p>
  </w:footnote>
  <w:footnote w:id="63">
    <w:p w14:paraId="00A194A8" w14:textId="39D0C6E4" w:rsidR="009A7059" w:rsidRDefault="009A7059">
      <w:pPr>
        <w:pStyle w:val="FootnoteText"/>
      </w:pPr>
      <w:r>
        <w:rPr>
          <w:rStyle w:val="FootnoteReference"/>
        </w:rPr>
        <w:footnoteRef/>
      </w:r>
      <w:r>
        <w:t xml:space="preserve"> Energy Division presentation at the November 12, 2020 Workshop on COVID-19 Impacts in the Energy Sector, Slide 31.</w:t>
      </w:r>
    </w:p>
  </w:footnote>
  <w:footnote w:id="64">
    <w:p w14:paraId="33FD59CB" w14:textId="48AC829F" w:rsidR="00C12B8F" w:rsidRDefault="00C12B8F">
      <w:pPr>
        <w:pStyle w:val="FootnoteText"/>
      </w:pPr>
      <w:r>
        <w:rPr>
          <w:rStyle w:val="FootnoteReference"/>
        </w:rPr>
        <w:footnoteRef/>
      </w:r>
      <w:r>
        <w:t xml:space="preserve"> See SBUA Opening Brief at 5-6 describing how </w:t>
      </w:r>
      <w:r w:rsidR="00650DE0">
        <w:t>pre-pandemic, customers with debt would slowly chip away at it while prioritizing current bill payments.</w:t>
      </w:r>
    </w:p>
  </w:footnote>
  <w:footnote w:id="65">
    <w:p w14:paraId="62F22749" w14:textId="6520E928" w:rsidR="009C2824" w:rsidRDefault="009C2824">
      <w:pPr>
        <w:pStyle w:val="FootnoteText"/>
      </w:pPr>
      <w:r>
        <w:rPr>
          <w:rStyle w:val="FootnoteReference"/>
        </w:rPr>
        <w:footnoteRef/>
      </w:r>
      <w:r>
        <w:t xml:space="preserve"> SDG&amp;E Opening Brief at 10 references the federal Paycheck Protection Program.</w:t>
      </w:r>
    </w:p>
  </w:footnote>
  <w:footnote w:id="66">
    <w:p w14:paraId="3530A957" w14:textId="38F037FD" w:rsidR="009C2824" w:rsidRDefault="009C2824">
      <w:pPr>
        <w:pStyle w:val="FootnoteText"/>
      </w:pPr>
      <w:r>
        <w:rPr>
          <w:rStyle w:val="FootnoteReference"/>
        </w:rPr>
        <w:footnoteRef/>
      </w:r>
      <w:r>
        <w:t xml:space="preserve"> CARE/FERA and ESA Annual Reports posted to this proceeding’s webpage list CBOs on Table 5 (E</w:t>
      </w:r>
      <w:r w:rsidR="006C4F3A">
        <w:t>S</w:t>
      </w:r>
      <w:r>
        <w:t xml:space="preserve">A) and Tables </w:t>
      </w:r>
      <w:r w:rsidR="0040700A">
        <w:t>7</w:t>
      </w:r>
      <w:r>
        <w:t xml:space="preserve"> and </w:t>
      </w:r>
      <w:r w:rsidR="0040700A">
        <w:t>11</w:t>
      </w:r>
      <w:r>
        <w:t xml:space="preserve"> (CARE/FERA).</w:t>
      </w:r>
    </w:p>
  </w:footnote>
  <w:footnote w:id="67">
    <w:p w14:paraId="649F6D75" w14:textId="0979538D" w:rsidR="009C2824" w:rsidRDefault="009C2824">
      <w:pPr>
        <w:pStyle w:val="FootnoteText"/>
      </w:pPr>
      <w:r>
        <w:rPr>
          <w:rStyle w:val="FootnoteReference"/>
        </w:rPr>
        <w:footnoteRef/>
      </w:r>
      <w:r>
        <w:t xml:space="preserve"> </w:t>
      </w:r>
      <w:r w:rsidR="00220081">
        <w:t>Commission Decision 15-12-047 approved the Community Help and Awareness of Natural Gas and Electricity Services (CHANGES) program which provides outreach, education, and bill issue assistance on natural gas and electricity bills and services to limited English proficient (LEP) consumers through a statewide network of CBOs.</w:t>
      </w:r>
    </w:p>
  </w:footnote>
  <w:footnote w:id="68">
    <w:p w14:paraId="24AE9918" w14:textId="471F84D3" w:rsidR="009C2824" w:rsidRDefault="009C2824">
      <w:pPr>
        <w:pStyle w:val="FootnoteText"/>
      </w:pPr>
      <w:r>
        <w:rPr>
          <w:rStyle w:val="FootnoteReference"/>
        </w:rPr>
        <w:footnoteRef/>
      </w:r>
      <w:r>
        <w:t xml:space="preserve"> In its Response of April 12, 2021 to Post-Workshop Questions at 11, SDG&amp;E identifies CBOs as part of its Energy Solutions Partner Networks, as well as Chambers of Commerce and business trade associations.</w:t>
      </w:r>
    </w:p>
  </w:footnote>
  <w:footnote w:id="69">
    <w:p w14:paraId="3F53CF8C" w14:textId="3415FE7D" w:rsidR="009C2824" w:rsidRDefault="009C2824">
      <w:pPr>
        <w:pStyle w:val="FootnoteText"/>
      </w:pPr>
      <w:r>
        <w:rPr>
          <w:rStyle w:val="FootnoteReference"/>
        </w:rPr>
        <w:footnoteRef/>
      </w:r>
      <w:r>
        <w:t xml:space="preserve"> Work Team #4 included representatives of Cal Advocates, CWA, Greenlining, SCE, SDG&amp;E and SoCalGas.</w:t>
      </w:r>
    </w:p>
  </w:footnote>
  <w:footnote w:id="70">
    <w:p w14:paraId="18850B5A" w14:textId="3098ACE1" w:rsidR="009C2824" w:rsidRDefault="009C2824">
      <w:pPr>
        <w:pStyle w:val="FootnoteText"/>
      </w:pPr>
      <w:r>
        <w:rPr>
          <w:rStyle w:val="FootnoteReference"/>
        </w:rPr>
        <w:footnoteRef/>
      </w:r>
      <w:r>
        <w:t xml:space="preserve"> Cal Advocates Opening Brief at 10.</w:t>
      </w:r>
    </w:p>
  </w:footnote>
  <w:footnote w:id="71">
    <w:p w14:paraId="45FD628D" w14:textId="38BF3DBF" w:rsidR="009C2824" w:rsidRDefault="009C2824">
      <w:pPr>
        <w:pStyle w:val="FootnoteText"/>
      </w:pPr>
      <w:r>
        <w:rPr>
          <w:rStyle w:val="FootnoteReference"/>
        </w:rPr>
        <w:footnoteRef/>
      </w:r>
      <w:r>
        <w:t xml:space="preserve"> PG&amp;E Reply Brief at 18.</w:t>
      </w:r>
    </w:p>
  </w:footnote>
  <w:footnote w:id="72">
    <w:p w14:paraId="66404A8E" w14:textId="14A21604" w:rsidR="009C2824" w:rsidRDefault="009C2824">
      <w:pPr>
        <w:pStyle w:val="FootnoteText"/>
      </w:pPr>
      <w:r>
        <w:rPr>
          <w:rStyle w:val="FootnoteReference"/>
        </w:rPr>
        <w:footnoteRef/>
      </w:r>
      <w:r>
        <w:t xml:space="preserve"> NCLC/CforAT Reply Brief at 8, 13-14.</w:t>
      </w:r>
    </w:p>
  </w:footnote>
  <w:footnote w:id="73">
    <w:p w14:paraId="3BB1DD51" w14:textId="4B4D8B33" w:rsidR="009C2824" w:rsidRDefault="009C2824">
      <w:pPr>
        <w:pStyle w:val="FootnoteText"/>
      </w:pPr>
      <w:r>
        <w:rPr>
          <w:rStyle w:val="FootnoteReference"/>
        </w:rPr>
        <w:footnoteRef/>
      </w:r>
      <w:r>
        <w:t xml:space="preserve"> NCLC/CforAT Opening Brief at 5.</w:t>
      </w:r>
    </w:p>
  </w:footnote>
  <w:footnote w:id="74">
    <w:p w14:paraId="0D84FEB9" w14:textId="10FFD0B9" w:rsidR="006F2D52" w:rsidRDefault="006F2D52">
      <w:pPr>
        <w:pStyle w:val="FootnoteText"/>
      </w:pPr>
      <w:r>
        <w:rPr>
          <w:rStyle w:val="FootnoteReference"/>
        </w:rPr>
        <w:footnoteRef/>
      </w:r>
      <w:r>
        <w:t xml:space="preserve"> SBUA Opening Brief at 15-16.</w:t>
      </w:r>
    </w:p>
  </w:footnote>
  <w:footnote w:id="75">
    <w:p w14:paraId="1A3ED6D3" w14:textId="48695A63" w:rsidR="00C9575F" w:rsidRDefault="00C9575F">
      <w:pPr>
        <w:pStyle w:val="FootnoteText"/>
      </w:pPr>
      <w:r>
        <w:rPr>
          <w:rStyle w:val="FootnoteReference"/>
        </w:rPr>
        <w:footnoteRef/>
      </w:r>
      <w:r>
        <w:t xml:space="preserve"> SBUA Opening Brief at 15.</w:t>
      </w:r>
    </w:p>
  </w:footnote>
  <w:footnote w:id="76">
    <w:p w14:paraId="02C8C16C" w14:textId="672E0446" w:rsidR="009C2824" w:rsidRDefault="009C2824">
      <w:pPr>
        <w:pStyle w:val="FootnoteText"/>
      </w:pPr>
      <w:r>
        <w:rPr>
          <w:rStyle w:val="FootnoteReference"/>
        </w:rPr>
        <w:footnoteRef/>
      </w:r>
      <w:r>
        <w:t xml:space="preserve"> </w:t>
      </w:r>
      <w:r w:rsidRPr="00825C70">
        <w:t xml:space="preserve">Letter to CPUC on March 19, 2021 regarding LIOB Recommendations Pursuant to Resolution M-4849 and Related Matters. See: </w:t>
      </w:r>
      <w:hyperlink r:id="rId2" w:history="1">
        <w:r w:rsidRPr="00825C70">
          <w:t>https://liob.cpuc.ca.gov/wp-content/uploads/sites/14/2021/04/2021-03-19-LIOB-Rec.-Letter-to-Commission-on-Utility-Transition-Plans-FINAL-1.pdf</w:t>
        </w:r>
      </w:hyperlink>
    </w:p>
  </w:footnote>
  <w:footnote w:id="77">
    <w:p w14:paraId="75B351E6" w14:textId="0C72B37B" w:rsidR="00AF764E" w:rsidRDefault="00AF764E">
      <w:pPr>
        <w:pStyle w:val="FootnoteText"/>
      </w:pPr>
      <w:r>
        <w:rPr>
          <w:rStyle w:val="FootnoteReference"/>
        </w:rPr>
        <w:footnoteRef/>
      </w:r>
      <w:r>
        <w:t xml:space="preserve"> Only the CBOs </w:t>
      </w:r>
      <w:r w:rsidR="002B210C">
        <w:t>must be</w:t>
      </w:r>
      <w:r>
        <w:t xml:space="preserve"> geographically </w:t>
      </w:r>
      <w:r w:rsidR="002B210C">
        <w:t>identified, not necessarily types of communities. Types of communities may instead be listed alongside the CBO</w:t>
      </w:r>
      <w:r w:rsidR="00BA7924">
        <w:t>(s)</w:t>
      </w:r>
      <w:r w:rsidR="002B210C">
        <w:t xml:space="preserve"> </w:t>
      </w:r>
      <w:r w:rsidR="00BA7924">
        <w:t>that specialize in</w:t>
      </w:r>
      <w:r w:rsidR="002B210C">
        <w:t xml:space="preserve"> outreach to </w:t>
      </w:r>
      <w:r w:rsidR="00BA7924">
        <w:t>the particular community.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7129" w14:textId="77777777" w:rsidR="00200CA4" w:rsidRDefault="00200CA4" w:rsidP="00C20388">
    <w:pPr>
      <w:pStyle w:val="Header"/>
      <w:tabs>
        <w:tab w:val="clear" w:pos="4680"/>
      </w:tabs>
      <w:ind w:firstLine="0"/>
      <w:rPr>
        <w:b/>
      </w:rPr>
    </w:pPr>
    <w:r>
      <w:t>R.21-02-014  ALJ/KWZ/avs</w:t>
    </w:r>
    <w:r>
      <w:tab/>
    </w:r>
    <w:r w:rsidRPr="00200CA4">
      <w:rPr>
        <w:b/>
        <w:bCs/>
      </w:rPr>
      <w:t>PROPOSED DECISION</w:t>
    </w:r>
  </w:p>
  <w:p w14:paraId="0AADF136" w14:textId="77777777" w:rsidR="00200CA4" w:rsidRPr="00B3087D" w:rsidRDefault="00200CA4" w:rsidP="006F6525">
    <w:pPr>
      <w:pStyle w:val="Header"/>
      <w:tabs>
        <w:tab w:val="clear" w:pos="4680"/>
      </w:tabs>
      <w:ind w:firstLine="0"/>
      <w:rPr>
        <w:i/>
        <w:color w:val="FF0000"/>
      </w:rPr>
    </w:pPr>
    <w:r>
      <w:rPr>
        <w:i/>
        <w:color w:val="FF0000"/>
      </w:rPr>
      <w:t>[5/19/21</w:t>
    </w:r>
    <w:r w:rsidRPr="00B3087D">
      <w:rPr>
        <w:i/>
        <w:color w:val="FF0000"/>
      </w:rPr>
      <w:t xml:space="preserve">] Internal Review Draft; Subject to </w:t>
    </w:r>
    <w:r w:rsidRPr="00B3087D">
      <w:rPr>
        <w:b/>
        <w:i/>
        <w:color w:val="FF0000"/>
      </w:rPr>
      <w:t>ALJ Division Review</w:t>
    </w:r>
  </w:p>
  <w:p w14:paraId="4E0B6AC0" w14:textId="77777777" w:rsidR="00200CA4" w:rsidRDefault="00200CA4" w:rsidP="006F6525">
    <w:pPr>
      <w:pStyle w:val="Header"/>
      <w:tabs>
        <w:tab w:val="clear" w:pos="4680"/>
      </w:tabs>
      <w:ind w:firstLine="0"/>
      <w:rPr>
        <w:i/>
        <w:color w:val="FF0000"/>
      </w:rPr>
    </w:pPr>
    <w:r>
      <w:rPr>
        <w:b/>
        <w:color w:val="FF0000"/>
      </w:rPr>
      <w:t>CONFIDENTIAL</w:t>
    </w:r>
    <w:r w:rsidRPr="00B3087D">
      <w:rPr>
        <w:b/>
        <w:color w:val="FF0000"/>
      </w:rPr>
      <w:t xml:space="preserve">; </w:t>
    </w:r>
    <w:r w:rsidRPr="00B3087D">
      <w:rPr>
        <w:i/>
        <w:color w:val="FF0000"/>
      </w:rPr>
      <w:t>Deliberative Process Privilege</w:t>
    </w:r>
  </w:p>
  <w:p w14:paraId="270B2231" w14:textId="77777777" w:rsidR="00200CA4" w:rsidRPr="00200CA4" w:rsidRDefault="00200CA4" w:rsidP="006F6525">
    <w:pPr>
      <w:pStyle w:val="Header"/>
      <w:tabs>
        <w:tab w:val="clear" w:pos="4680"/>
      </w:tabs>
      <w:ind w:firstLine="0"/>
      <w:rPr>
        <w:i/>
      </w:rPr>
    </w:pPr>
  </w:p>
  <w:p w14:paraId="712B6E7D" w14:textId="77777777" w:rsidR="00200CA4" w:rsidRPr="00200CA4" w:rsidRDefault="00200CA4" w:rsidP="006F6525">
    <w:pPr>
      <w:pStyle w:val="Header"/>
      <w:tabs>
        <w:tab w:val="clear" w:pos="4680"/>
      </w:tabs>
      <w:ind w:firstLine="0"/>
      <w:rPr>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27C5" w14:textId="5C8E639D" w:rsidR="00A3652D" w:rsidRDefault="00A3652D" w:rsidP="00C534E8">
    <w:pPr>
      <w:pStyle w:val="Header"/>
      <w:tabs>
        <w:tab w:val="clear" w:pos="4680"/>
      </w:tabs>
      <w:ind w:firstLine="0"/>
      <w:rPr>
        <w:b/>
      </w:rPr>
    </w:pPr>
    <w:r>
      <w:t>R.21-02-014  ALJ/KWZ/avs</w:t>
    </w:r>
    <w:r>
      <w:tab/>
    </w:r>
    <w:r w:rsidRPr="00200CA4">
      <w:rPr>
        <w:b/>
        <w:bCs/>
      </w:rPr>
      <w:t>PROPOSED DECISION</w:t>
    </w:r>
    <w:r w:rsidR="009F26B1">
      <w:rPr>
        <w:b/>
        <w:bCs/>
      </w:rPr>
      <w:t xml:space="preserve"> (REV. 1)</w:t>
    </w:r>
  </w:p>
  <w:p w14:paraId="400A5F96" w14:textId="77777777" w:rsidR="00A3652D" w:rsidRPr="00200CA4" w:rsidRDefault="00A3652D" w:rsidP="00C534E8">
    <w:pPr>
      <w:pStyle w:val="Header"/>
      <w:tabs>
        <w:tab w:val="clear" w:pos="4680"/>
      </w:tabs>
      <w:ind w:firstLine="0"/>
      <w:rPr>
        <w:i/>
      </w:rPr>
    </w:pPr>
  </w:p>
  <w:p w14:paraId="6901D575" w14:textId="77777777" w:rsidR="00A3652D" w:rsidRPr="00C534E8" w:rsidRDefault="00A3652D" w:rsidP="00C534E8">
    <w:pPr>
      <w:pStyle w:val="Header"/>
      <w:tabs>
        <w:tab w:val="clear" w:pos="4680"/>
      </w:tabs>
      <w:ind w:firstLine="0"/>
      <w:rPr>
        <w:i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3208" w14:textId="70C5D736" w:rsidR="009F26B1" w:rsidRDefault="009F26B1" w:rsidP="00C534E8">
    <w:pPr>
      <w:pStyle w:val="Header"/>
      <w:tabs>
        <w:tab w:val="clear" w:pos="4680"/>
      </w:tabs>
      <w:ind w:firstLine="0"/>
      <w:rPr>
        <w:b/>
      </w:rPr>
    </w:pPr>
    <w:r>
      <w:t>R.21-02-014  ALJ/KWZ/avs</w:t>
    </w:r>
    <w:r>
      <w:tab/>
    </w:r>
    <w:r w:rsidRPr="00200CA4">
      <w:rPr>
        <w:b/>
        <w:bCs/>
      </w:rPr>
      <w:t>PROPOSED DECISION</w:t>
    </w:r>
    <w:r>
      <w:rPr>
        <w:b/>
        <w:bCs/>
      </w:rPr>
      <w:t xml:space="preserve"> (REV. 1)</w:t>
    </w:r>
  </w:p>
  <w:p w14:paraId="68244C19" w14:textId="77777777" w:rsidR="009F26B1" w:rsidRPr="00200CA4" w:rsidRDefault="009F26B1" w:rsidP="00C534E8">
    <w:pPr>
      <w:pStyle w:val="Header"/>
      <w:tabs>
        <w:tab w:val="clear" w:pos="4680"/>
      </w:tabs>
      <w:ind w:firstLine="0"/>
      <w:rPr>
        <w:i/>
      </w:rPr>
    </w:pPr>
  </w:p>
  <w:p w14:paraId="53884A33" w14:textId="77777777" w:rsidR="009F26B1" w:rsidRPr="00C534E8" w:rsidRDefault="009F26B1" w:rsidP="00C534E8">
    <w:pPr>
      <w:pStyle w:val="Header"/>
      <w:tabs>
        <w:tab w:val="clear" w:pos="4680"/>
      </w:tabs>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8100" w14:textId="48C67442" w:rsidR="00200CA4" w:rsidRDefault="00200CA4" w:rsidP="006747A1">
    <w:pPr>
      <w:pStyle w:val="Header"/>
      <w:ind w:firstLine="0"/>
    </w:pPr>
  </w:p>
  <w:p w14:paraId="0066E664" w14:textId="77777777" w:rsidR="006747A1" w:rsidRDefault="006747A1" w:rsidP="006747A1">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47FD" w14:textId="15B6E904" w:rsidR="00015275" w:rsidRDefault="00015275" w:rsidP="00C20388">
    <w:pPr>
      <w:pStyle w:val="Header"/>
      <w:tabs>
        <w:tab w:val="clear" w:pos="4680"/>
      </w:tabs>
      <w:ind w:firstLine="0"/>
      <w:rPr>
        <w:b/>
      </w:rPr>
    </w:pPr>
    <w:r>
      <w:t>R.21-02-014  ALJ/KWZ/avs</w:t>
    </w:r>
    <w:r>
      <w:tab/>
    </w:r>
    <w:r w:rsidRPr="00200CA4">
      <w:rPr>
        <w:b/>
        <w:bCs/>
      </w:rPr>
      <w:t>PROPOSED DECISION</w:t>
    </w:r>
    <w:r w:rsidR="009F26B1">
      <w:rPr>
        <w:b/>
        <w:bCs/>
      </w:rPr>
      <w:t xml:space="preserve"> (REV. 1)</w:t>
    </w:r>
  </w:p>
  <w:p w14:paraId="5A3A9DF5" w14:textId="77777777" w:rsidR="00015275" w:rsidRPr="00200CA4" w:rsidRDefault="00015275" w:rsidP="006F6525">
    <w:pPr>
      <w:pStyle w:val="Header"/>
      <w:tabs>
        <w:tab w:val="clear" w:pos="4680"/>
      </w:tabs>
      <w:ind w:firstLine="0"/>
      <w:rPr>
        <w:i/>
      </w:rPr>
    </w:pPr>
  </w:p>
  <w:p w14:paraId="15CAB352" w14:textId="77777777" w:rsidR="00015275" w:rsidRPr="00C534E8" w:rsidRDefault="00015275" w:rsidP="006F6525">
    <w:pPr>
      <w:pStyle w:val="Header"/>
      <w:tabs>
        <w:tab w:val="clear" w:pos="4680"/>
      </w:tabs>
      <w:ind w:firstLine="0"/>
      <w:rPr>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D981" w14:textId="2633EC82" w:rsidR="00015275" w:rsidRDefault="00015275" w:rsidP="00C534E8">
    <w:pPr>
      <w:pStyle w:val="Header"/>
      <w:tabs>
        <w:tab w:val="clear" w:pos="4680"/>
      </w:tabs>
      <w:ind w:firstLine="0"/>
      <w:rPr>
        <w:b/>
      </w:rPr>
    </w:pPr>
    <w:r>
      <w:t>R.21-02-014  ALJ/KWZ/avs</w:t>
    </w:r>
    <w:r>
      <w:tab/>
    </w:r>
    <w:r w:rsidRPr="00200CA4">
      <w:rPr>
        <w:b/>
        <w:bCs/>
      </w:rPr>
      <w:t>PROPOSED DECISION</w:t>
    </w:r>
    <w:r w:rsidR="009F26B1">
      <w:rPr>
        <w:b/>
        <w:bCs/>
      </w:rPr>
      <w:t xml:space="preserve"> (REV. 1)</w:t>
    </w:r>
  </w:p>
  <w:p w14:paraId="6387DE29" w14:textId="77777777" w:rsidR="00015275" w:rsidRPr="00200CA4" w:rsidRDefault="00015275" w:rsidP="00C534E8">
    <w:pPr>
      <w:pStyle w:val="Header"/>
      <w:tabs>
        <w:tab w:val="clear" w:pos="4680"/>
      </w:tabs>
      <w:ind w:firstLine="0"/>
      <w:rPr>
        <w:i/>
      </w:rPr>
    </w:pPr>
  </w:p>
  <w:p w14:paraId="6E62C2DA" w14:textId="77777777" w:rsidR="00015275" w:rsidRPr="00C534E8" w:rsidRDefault="00015275" w:rsidP="00C534E8">
    <w:pPr>
      <w:pStyle w:val="Header"/>
      <w:tabs>
        <w:tab w:val="clear" w:pos="4680"/>
      </w:tabs>
      <w:ind w:firstLine="0"/>
      <w:rPr>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4A99" w14:textId="09CBCC01" w:rsidR="00723C18" w:rsidRDefault="00723C18" w:rsidP="00C20388">
    <w:pPr>
      <w:pStyle w:val="Header"/>
      <w:tabs>
        <w:tab w:val="clear" w:pos="4680"/>
      </w:tabs>
      <w:ind w:firstLine="0"/>
      <w:rPr>
        <w:b/>
      </w:rPr>
    </w:pPr>
    <w:r>
      <w:t>R.21-02-014  ALJ/KWZ/avs</w:t>
    </w:r>
    <w:r>
      <w:tab/>
    </w:r>
    <w:r w:rsidRPr="00200CA4">
      <w:rPr>
        <w:b/>
        <w:bCs/>
      </w:rPr>
      <w:t>PROPOSED DECISION</w:t>
    </w:r>
    <w:r w:rsidR="009F26B1">
      <w:rPr>
        <w:b/>
        <w:bCs/>
      </w:rPr>
      <w:t xml:space="preserve"> (REV. 1)</w:t>
    </w:r>
  </w:p>
  <w:p w14:paraId="60E5B34F" w14:textId="77777777" w:rsidR="00723C18" w:rsidRPr="00200CA4" w:rsidRDefault="00723C18" w:rsidP="006F6525">
    <w:pPr>
      <w:pStyle w:val="Header"/>
      <w:tabs>
        <w:tab w:val="clear" w:pos="4680"/>
      </w:tabs>
      <w:ind w:firstLine="0"/>
      <w:rPr>
        <w:i/>
      </w:rPr>
    </w:pPr>
  </w:p>
  <w:p w14:paraId="671CD4D5" w14:textId="77777777" w:rsidR="00723C18" w:rsidRPr="00C534E8" w:rsidRDefault="00723C18" w:rsidP="006F6525">
    <w:pPr>
      <w:pStyle w:val="Header"/>
      <w:tabs>
        <w:tab w:val="clear" w:pos="4680"/>
      </w:tabs>
      <w:ind w:firstLine="0"/>
      <w:rPr>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381B" w14:textId="1CBDD9DD" w:rsidR="00723C18" w:rsidRDefault="00723C18" w:rsidP="00C534E8">
    <w:pPr>
      <w:pStyle w:val="Header"/>
      <w:tabs>
        <w:tab w:val="clear" w:pos="4680"/>
      </w:tabs>
      <w:ind w:firstLine="0"/>
      <w:rPr>
        <w:b/>
      </w:rPr>
    </w:pPr>
    <w:r>
      <w:t>R.21-02-014  ALJ/KWZ/avs</w:t>
    </w:r>
    <w:r>
      <w:tab/>
    </w:r>
    <w:r w:rsidRPr="00200CA4">
      <w:rPr>
        <w:b/>
        <w:bCs/>
      </w:rPr>
      <w:t>PROPOSED DECISION</w:t>
    </w:r>
    <w:r w:rsidR="009F26B1">
      <w:rPr>
        <w:b/>
        <w:bCs/>
      </w:rPr>
      <w:t xml:space="preserve"> (REV. 1)</w:t>
    </w:r>
  </w:p>
  <w:p w14:paraId="7F2A2392" w14:textId="77777777" w:rsidR="00723C18" w:rsidRPr="00200CA4" w:rsidRDefault="00723C18" w:rsidP="00C534E8">
    <w:pPr>
      <w:pStyle w:val="Header"/>
      <w:tabs>
        <w:tab w:val="clear" w:pos="4680"/>
      </w:tabs>
      <w:ind w:firstLine="0"/>
      <w:rPr>
        <w:i/>
      </w:rPr>
    </w:pPr>
  </w:p>
  <w:p w14:paraId="0EA387FC" w14:textId="77777777" w:rsidR="00723C18" w:rsidRPr="00C534E8" w:rsidRDefault="00723C18" w:rsidP="00C534E8">
    <w:pPr>
      <w:pStyle w:val="Header"/>
      <w:tabs>
        <w:tab w:val="clear" w:pos="4680"/>
      </w:tabs>
      <w:ind w:firstLine="0"/>
      <w:rPr>
        <w:i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2C82" w14:textId="68B210D0" w:rsidR="004F58DF" w:rsidRDefault="004F58DF" w:rsidP="00C20388">
    <w:pPr>
      <w:pStyle w:val="Header"/>
      <w:tabs>
        <w:tab w:val="clear" w:pos="4680"/>
      </w:tabs>
      <w:ind w:firstLine="0"/>
      <w:rPr>
        <w:b/>
      </w:rPr>
    </w:pPr>
    <w:r>
      <w:t>R.21-02-014  ALJ/KWZ/avs</w:t>
    </w:r>
    <w:r>
      <w:tab/>
    </w:r>
    <w:r w:rsidRPr="00200CA4">
      <w:rPr>
        <w:b/>
        <w:bCs/>
      </w:rPr>
      <w:t>PROPOSED DECISION</w:t>
    </w:r>
    <w:r w:rsidR="009F26B1">
      <w:rPr>
        <w:b/>
        <w:bCs/>
      </w:rPr>
      <w:t xml:space="preserve"> (REV. 1)</w:t>
    </w:r>
  </w:p>
  <w:p w14:paraId="220A8AB1" w14:textId="77777777" w:rsidR="004F58DF" w:rsidRPr="00200CA4" w:rsidRDefault="004F58DF" w:rsidP="006F6525">
    <w:pPr>
      <w:pStyle w:val="Header"/>
      <w:tabs>
        <w:tab w:val="clear" w:pos="4680"/>
      </w:tabs>
      <w:ind w:firstLine="0"/>
      <w:rPr>
        <w:i/>
      </w:rPr>
    </w:pPr>
  </w:p>
  <w:p w14:paraId="09777BC6" w14:textId="77777777" w:rsidR="004F58DF" w:rsidRPr="00C534E8" w:rsidRDefault="004F58DF" w:rsidP="006F6525">
    <w:pPr>
      <w:pStyle w:val="Header"/>
      <w:tabs>
        <w:tab w:val="clear" w:pos="4680"/>
      </w:tabs>
      <w:ind w:firstLine="0"/>
      <w:rPr>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87B9" w14:textId="0C694DDA" w:rsidR="004F58DF" w:rsidRDefault="004F58DF" w:rsidP="00C534E8">
    <w:pPr>
      <w:pStyle w:val="Header"/>
      <w:tabs>
        <w:tab w:val="clear" w:pos="4680"/>
      </w:tabs>
      <w:ind w:firstLine="0"/>
      <w:rPr>
        <w:b/>
      </w:rPr>
    </w:pPr>
    <w:r>
      <w:t>R.21-02-014  ALJ/KWZ/avs</w:t>
    </w:r>
    <w:r>
      <w:tab/>
    </w:r>
    <w:r w:rsidRPr="00200CA4">
      <w:rPr>
        <w:b/>
        <w:bCs/>
      </w:rPr>
      <w:t>PROPOSED DECISION</w:t>
    </w:r>
    <w:r w:rsidR="009F26B1">
      <w:rPr>
        <w:b/>
        <w:bCs/>
      </w:rPr>
      <w:t xml:space="preserve"> (REV. 1)</w:t>
    </w:r>
  </w:p>
  <w:p w14:paraId="6BB56BD7" w14:textId="77777777" w:rsidR="004F58DF" w:rsidRPr="00200CA4" w:rsidRDefault="004F58DF" w:rsidP="00C534E8">
    <w:pPr>
      <w:pStyle w:val="Header"/>
      <w:tabs>
        <w:tab w:val="clear" w:pos="4680"/>
      </w:tabs>
      <w:ind w:firstLine="0"/>
      <w:rPr>
        <w:i/>
      </w:rPr>
    </w:pPr>
  </w:p>
  <w:p w14:paraId="29F6FA03" w14:textId="77777777" w:rsidR="004F58DF" w:rsidRPr="00C534E8" w:rsidRDefault="004F58DF" w:rsidP="00C534E8">
    <w:pPr>
      <w:pStyle w:val="Header"/>
      <w:tabs>
        <w:tab w:val="clear" w:pos="4680"/>
      </w:tabs>
      <w:ind w:firstLine="0"/>
      <w:rPr>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B9F2" w14:textId="7D71FBF8" w:rsidR="00C53A5F" w:rsidRDefault="00C53A5F" w:rsidP="009F26B1">
    <w:pPr>
      <w:pStyle w:val="Header"/>
      <w:tabs>
        <w:tab w:val="clear" w:pos="4680"/>
      </w:tabs>
      <w:spacing w:before="240"/>
      <w:ind w:firstLine="0"/>
      <w:rPr>
        <w:b/>
      </w:rPr>
    </w:pPr>
    <w:r>
      <w:t>R.21-02-014  ALJ/KWZ/avs</w:t>
    </w:r>
    <w:r>
      <w:tab/>
    </w:r>
    <w:r w:rsidRPr="00200CA4">
      <w:rPr>
        <w:b/>
        <w:bCs/>
      </w:rPr>
      <w:t>PROPOSED DECISION</w:t>
    </w:r>
    <w:r w:rsidR="009F26B1">
      <w:rPr>
        <w:b/>
        <w:bCs/>
      </w:rPr>
      <w:t xml:space="preserve"> (REV. 1)</w:t>
    </w:r>
  </w:p>
  <w:p w14:paraId="1D79316A" w14:textId="77777777" w:rsidR="00C53A5F" w:rsidRPr="00200CA4" w:rsidRDefault="00C53A5F" w:rsidP="006F6525">
    <w:pPr>
      <w:pStyle w:val="Header"/>
      <w:tabs>
        <w:tab w:val="clear" w:pos="4680"/>
      </w:tabs>
      <w:ind w:firstLine="0"/>
      <w:rPr>
        <w:i/>
      </w:rPr>
    </w:pPr>
  </w:p>
  <w:p w14:paraId="4D696156" w14:textId="77777777" w:rsidR="00C53A5F" w:rsidRPr="00C534E8" w:rsidRDefault="00C53A5F" w:rsidP="006F6525">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A5C9D"/>
    <w:multiLevelType w:val="hybridMultilevel"/>
    <w:tmpl w:val="590EF6B6"/>
    <w:lvl w:ilvl="0" w:tplc="36445978">
      <w:start w:val="1"/>
      <w:numFmt w:val="decimal"/>
      <w:lvlText w:val="%1."/>
      <w:lvlJc w:val="left"/>
      <w:pPr>
        <w:ind w:left="720" w:hanging="360"/>
      </w:pPr>
    </w:lvl>
    <w:lvl w:ilvl="1" w:tplc="CC3A7170">
      <w:start w:val="1"/>
      <w:numFmt w:val="lowerLetter"/>
      <w:lvlText w:val="%2."/>
      <w:lvlJc w:val="left"/>
      <w:pPr>
        <w:ind w:left="1440" w:hanging="360"/>
      </w:pPr>
    </w:lvl>
    <w:lvl w:ilvl="2" w:tplc="771C0338">
      <w:start w:val="1"/>
      <w:numFmt w:val="lowerRoman"/>
      <w:lvlText w:val="%3."/>
      <w:lvlJc w:val="right"/>
      <w:pPr>
        <w:ind w:left="2160" w:hanging="180"/>
      </w:pPr>
    </w:lvl>
    <w:lvl w:ilvl="3" w:tplc="F140DEFC">
      <w:start w:val="1"/>
      <w:numFmt w:val="decimal"/>
      <w:lvlText w:val="%4."/>
      <w:lvlJc w:val="left"/>
      <w:pPr>
        <w:ind w:left="2880" w:hanging="360"/>
      </w:pPr>
    </w:lvl>
    <w:lvl w:ilvl="4" w:tplc="1696FC14">
      <w:start w:val="1"/>
      <w:numFmt w:val="lowerLetter"/>
      <w:lvlText w:val="%5."/>
      <w:lvlJc w:val="left"/>
      <w:pPr>
        <w:ind w:left="3600" w:hanging="360"/>
      </w:pPr>
    </w:lvl>
    <w:lvl w:ilvl="5" w:tplc="4CC81BB2">
      <w:start w:val="1"/>
      <w:numFmt w:val="lowerRoman"/>
      <w:lvlText w:val="%6."/>
      <w:lvlJc w:val="right"/>
      <w:pPr>
        <w:ind w:left="4320" w:hanging="180"/>
      </w:pPr>
    </w:lvl>
    <w:lvl w:ilvl="6" w:tplc="00E215DC">
      <w:start w:val="1"/>
      <w:numFmt w:val="decimal"/>
      <w:lvlText w:val="%7."/>
      <w:lvlJc w:val="left"/>
      <w:pPr>
        <w:ind w:left="5040" w:hanging="360"/>
      </w:pPr>
    </w:lvl>
    <w:lvl w:ilvl="7" w:tplc="F8E85FD6">
      <w:start w:val="1"/>
      <w:numFmt w:val="lowerLetter"/>
      <w:lvlText w:val="%8."/>
      <w:lvlJc w:val="left"/>
      <w:pPr>
        <w:ind w:left="5760" w:hanging="360"/>
      </w:pPr>
    </w:lvl>
    <w:lvl w:ilvl="8" w:tplc="02D0271C">
      <w:start w:val="1"/>
      <w:numFmt w:val="lowerRoman"/>
      <w:lvlText w:val="%9."/>
      <w:lvlJc w:val="right"/>
      <w:pPr>
        <w:ind w:left="6480" w:hanging="180"/>
      </w:pPr>
    </w:lvl>
  </w:abstractNum>
  <w:abstractNum w:abstractNumId="2" w15:restartNumberingAfterBreak="0">
    <w:nsid w:val="113B381E"/>
    <w:multiLevelType w:val="singleLevel"/>
    <w:tmpl w:val="2FB6A734"/>
    <w:lvl w:ilvl="0">
      <w:start w:val="1"/>
      <w:numFmt w:val="decimal"/>
      <w:lvlText w:val="%1."/>
      <w:legacy w:legacy="1" w:legacySpace="144" w:legacyIndent="0"/>
      <w:lvlJc w:val="left"/>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78C0E8E"/>
    <w:multiLevelType w:val="hybridMultilevel"/>
    <w:tmpl w:val="80607EA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70038F"/>
    <w:multiLevelType w:val="multilevel"/>
    <w:tmpl w:val="ECB8CCE8"/>
    <w:numStyleLink w:val="Headings"/>
  </w:abstractNum>
  <w:abstractNum w:abstractNumId="7" w15:restartNumberingAfterBreak="0">
    <w:nsid w:val="1E2242C9"/>
    <w:multiLevelType w:val="multilevel"/>
    <w:tmpl w:val="ECB8CCE8"/>
    <w:numStyleLink w:val="Headings"/>
  </w:abstractNum>
  <w:abstractNum w:abstractNumId="8" w15:restartNumberingAfterBreak="0">
    <w:nsid w:val="20046718"/>
    <w:multiLevelType w:val="hybridMultilevel"/>
    <w:tmpl w:val="A3301B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BF71AC"/>
    <w:multiLevelType w:val="multilevel"/>
    <w:tmpl w:val="ED940E34"/>
    <w:lvl w:ilvl="0">
      <w:start w:val="1"/>
      <w:numFmt w:val="decimal"/>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ind w:left="720" w:firstLine="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2DD46003"/>
    <w:multiLevelType w:val="singleLevel"/>
    <w:tmpl w:val="2FB6A734"/>
    <w:lvl w:ilvl="0">
      <w:start w:val="1"/>
      <w:numFmt w:val="decimal"/>
      <w:lvlText w:val="%1."/>
      <w:legacy w:legacy="1" w:legacySpace="144" w:legacyIndent="0"/>
      <w:lvlJc w:val="left"/>
    </w:lvl>
  </w:abstractNum>
  <w:abstractNum w:abstractNumId="11"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41330024"/>
    <w:multiLevelType w:val="hybridMultilevel"/>
    <w:tmpl w:val="A3301B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0A64BB"/>
    <w:multiLevelType w:val="hybridMultilevel"/>
    <w:tmpl w:val="CAB890A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FB1E06"/>
    <w:multiLevelType w:val="hybridMultilevel"/>
    <w:tmpl w:val="21284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CB3101"/>
    <w:multiLevelType w:val="multilevel"/>
    <w:tmpl w:val="5DC841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710"/>
        </w:tabs>
        <w:ind w:left="171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2880" w:hanging="720"/>
      </w:pPr>
      <w:rPr>
        <w:rFonts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15:restartNumberingAfterBreak="0">
    <w:nsid w:val="59D042D7"/>
    <w:multiLevelType w:val="multilevel"/>
    <w:tmpl w:val="18F4A5AC"/>
    <w:numStyleLink w:val="FoFCoLOP"/>
  </w:abstractNum>
  <w:abstractNum w:abstractNumId="17"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4E5C0D"/>
    <w:multiLevelType w:val="hybridMultilevel"/>
    <w:tmpl w:val="58FAC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0" w15:restartNumberingAfterBreak="0">
    <w:nsid w:val="68A249C3"/>
    <w:multiLevelType w:val="hybridMultilevel"/>
    <w:tmpl w:val="297A994E"/>
    <w:lvl w:ilvl="0" w:tplc="911C88D2">
      <w:start w:val="1"/>
      <w:numFmt w:val="decimal"/>
      <w:lvlText w:val="%1."/>
      <w:lvlJc w:val="left"/>
      <w:pPr>
        <w:ind w:left="720" w:hanging="360"/>
      </w:pPr>
      <w:rPr>
        <w:rFonts w:ascii="Book Antiqua" w:hAnsi="Book Antiqua"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EC764C"/>
    <w:multiLevelType w:val="hybridMultilevel"/>
    <w:tmpl w:val="862009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9A0AFE"/>
    <w:multiLevelType w:val="multilevel"/>
    <w:tmpl w:val="18F4A5AC"/>
    <w:numStyleLink w:val="FoFCoLOP"/>
  </w:abstractNum>
  <w:abstractNum w:abstractNumId="24" w15:restartNumberingAfterBreak="0">
    <w:nsid w:val="7B1C30FD"/>
    <w:multiLevelType w:val="singleLevel"/>
    <w:tmpl w:val="911C88D2"/>
    <w:lvl w:ilvl="0">
      <w:start w:val="1"/>
      <w:numFmt w:val="decimal"/>
      <w:lvlText w:val="%1."/>
      <w:legacy w:legacy="1" w:legacySpace="144" w:legacyIndent="0"/>
      <w:lvlJc w:val="left"/>
      <w:rPr>
        <w:rFonts w:ascii="Book Antiqua" w:hAnsi="Book Antiqua" w:hint="default"/>
        <w:sz w:val="26"/>
        <w:szCs w:val="26"/>
      </w:rPr>
    </w:lvl>
  </w:abstractNum>
  <w:abstractNum w:abstractNumId="25" w15:restartNumberingAfterBreak="0">
    <w:nsid w:val="7D0A355B"/>
    <w:multiLevelType w:val="hybridMultilevel"/>
    <w:tmpl w:val="91AE493A"/>
    <w:lvl w:ilvl="0" w:tplc="94A88440">
      <w:start w:val="1"/>
      <w:numFmt w:val="decimal"/>
      <w:pStyle w:val="FindingofFAc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F414591"/>
    <w:multiLevelType w:val="hybridMultilevel"/>
    <w:tmpl w:val="1662097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4"/>
  </w:num>
  <w:num w:numId="5">
    <w:abstractNumId w:val="23"/>
  </w:num>
  <w:num w:numId="6">
    <w:abstractNumId w:val="11"/>
  </w:num>
  <w:num w:numId="7">
    <w:abstractNumId w:val="7"/>
  </w:num>
  <w:num w:numId="8">
    <w:abstractNumId w:val="22"/>
  </w:num>
  <w:num w:numId="9">
    <w:abstractNumId w:val="0"/>
  </w:num>
  <w:num w:numId="10">
    <w:abstractNumId w:val="11"/>
  </w:num>
  <w:num w:numId="11">
    <w:abstractNumId w:val="17"/>
  </w:num>
  <w:num w:numId="12">
    <w:abstractNumId w:val="19"/>
  </w:num>
  <w:num w:numId="13">
    <w:abstractNumId w:val="6"/>
  </w:num>
  <w:num w:numId="14">
    <w:abstractNumId w:val="9"/>
  </w:num>
  <w:num w:numId="15">
    <w:abstractNumId w:val="10"/>
  </w:num>
  <w:num w:numId="16">
    <w:abstractNumId w:val="2"/>
  </w:num>
  <w:num w:numId="17">
    <w:abstractNumId w:val="15"/>
  </w:num>
  <w:num w:numId="18">
    <w:abstractNumId w:val="25"/>
  </w:num>
  <w:num w:numId="19">
    <w:abstractNumId w:val="24"/>
  </w:num>
  <w:num w:numId="20">
    <w:abstractNumId w:val="1"/>
  </w:num>
  <w:num w:numId="21">
    <w:abstractNumId w:val="5"/>
  </w:num>
  <w:num w:numId="22">
    <w:abstractNumId w:val="8"/>
  </w:num>
  <w:num w:numId="23">
    <w:abstractNumId w:val="12"/>
  </w:num>
  <w:num w:numId="24">
    <w:abstractNumId w:val="13"/>
  </w:num>
  <w:num w:numId="25">
    <w:abstractNumId w:val="26"/>
  </w:num>
  <w:num w:numId="26">
    <w:abstractNumId w:val="11"/>
  </w:num>
  <w:num w:numId="27">
    <w:abstractNumId w:val="2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4"/>
  </w:num>
  <w:num w:numId="3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CF"/>
    <w:rsid w:val="00000F6A"/>
    <w:rsid w:val="00001C2A"/>
    <w:rsid w:val="00005822"/>
    <w:rsid w:val="00007305"/>
    <w:rsid w:val="00007380"/>
    <w:rsid w:val="0001115A"/>
    <w:rsid w:val="000119BE"/>
    <w:rsid w:val="00012D92"/>
    <w:rsid w:val="000131A3"/>
    <w:rsid w:val="00015275"/>
    <w:rsid w:val="000171D8"/>
    <w:rsid w:val="00022908"/>
    <w:rsid w:val="00024E26"/>
    <w:rsid w:val="00025FFE"/>
    <w:rsid w:val="00031DA2"/>
    <w:rsid w:val="000351F8"/>
    <w:rsid w:val="000358DD"/>
    <w:rsid w:val="0003702C"/>
    <w:rsid w:val="000401A6"/>
    <w:rsid w:val="0004115F"/>
    <w:rsid w:val="000416AA"/>
    <w:rsid w:val="00042C58"/>
    <w:rsid w:val="00047561"/>
    <w:rsid w:val="00047DD9"/>
    <w:rsid w:val="00050C29"/>
    <w:rsid w:val="00052281"/>
    <w:rsid w:val="000524E8"/>
    <w:rsid w:val="00052A79"/>
    <w:rsid w:val="000559C4"/>
    <w:rsid w:val="000559CE"/>
    <w:rsid w:val="00055F63"/>
    <w:rsid w:val="00056C87"/>
    <w:rsid w:val="000611C0"/>
    <w:rsid w:val="00062759"/>
    <w:rsid w:val="000667A9"/>
    <w:rsid w:val="000703ED"/>
    <w:rsid w:val="00070BDE"/>
    <w:rsid w:val="0007115A"/>
    <w:rsid w:val="00073C2F"/>
    <w:rsid w:val="000741B3"/>
    <w:rsid w:val="00074565"/>
    <w:rsid w:val="00074993"/>
    <w:rsid w:val="0007587C"/>
    <w:rsid w:val="00082056"/>
    <w:rsid w:val="00083B8D"/>
    <w:rsid w:val="00085820"/>
    <w:rsid w:val="000868FA"/>
    <w:rsid w:val="00094FCC"/>
    <w:rsid w:val="00095959"/>
    <w:rsid w:val="0009722E"/>
    <w:rsid w:val="000973C8"/>
    <w:rsid w:val="00097601"/>
    <w:rsid w:val="000A11EB"/>
    <w:rsid w:val="000A2AA9"/>
    <w:rsid w:val="000A56F2"/>
    <w:rsid w:val="000A6D5B"/>
    <w:rsid w:val="000A6E05"/>
    <w:rsid w:val="000A74D2"/>
    <w:rsid w:val="000B108D"/>
    <w:rsid w:val="000B12FA"/>
    <w:rsid w:val="000B1E3D"/>
    <w:rsid w:val="000B2157"/>
    <w:rsid w:val="000B4D13"/>
    <w:rsid w:val="000B4EF8"/>
    <w:rsid w:val="000B558E"/>
    <w:rsid w:val="000B60CE"/>
    <w:rsid w:val="000B791F"/>
    <w:rsid w:val="000C08BF"/>
    <w:rsid w:val="000C2DA0"/>
    <w:rsid w:val="000C2DDD"/>
    <w:rsid w:val="000C3B9A"/>
    <w:rsid w:val="000C4395"/>
    <w:rsid w:val="000C76E9"/>
    <w:rsid w:val="000D2406"/>
    <w:rsid w:val="000D25A8"/>
    <w:rsid w:val="000E05B4"/>
    <w:rsid w:val="000E0791"/>
    <w:rsid w:val="000E1930"/>
    <w:rsid w:val="000E1B08"/>
    <w:rsid w:val="000E4823"/>
    <w:rsid w:val="000E4C53"/>
    <w:rsid w:val="000E55B4"/>
    <w:rsid w:val="000E5CB8"/>
    <w:rsid w:val="000E6608"/>
    <w:rsid w:val="000E7A04"/>
    <w:rsid w:val="000E7FD8"/>
    <w:rsid w:val="000F0BA9"/>
    <w:rsid w:val="000F1BB5"/>
    <w:rsid w:val="000F2716"/>
    <w:rsid w:val="000F4CBE"/>
    <w:rsid w:val="000F6043"/>
    <w:rsid w:val="000F7127"/>
    <w:rsid w:val="00104815"/>
    <w:rsid w:val="00107EF4"/>
    <w:rsid w:val="001102A3"/>
    <w:rsid w:val="001141E2"/>
    <w:rsid w:val="0011677B"/>
    <w:rsid w:val="00121089"/>
    <w:rsid w:val="00123F22"/>
    <w:rsid w:val="00124EAD"/>
    <w:rsid w:val="00125BE4"/>
    <w:rsid w:val="00126E50"/>
    <w:rsid w:val="00131694"/>
    <w:rsid w:val="0013419D"/>
    <w:rsid w:val="00135806"/>
    <w:rsid w:val="001363F6"/>
    <w:rsid w:val="00136ABB"/>
    <w:rsid w:val="00136EFE"/>
    <w:rsid w:val="00137055"/>
    <w:rsid w:val="0014045A"/>
    <w:rsid w:val="001419C6"/>
    <w:rsid w:val="00141D7A"/>
    <w:rsid w:val="0014794B"/>
    <w:rsid w:val="001535F3"/>
    <w:rsid w:val="00154D6F"/>
    <w:rsid w:val="0016215D"/>
    <w:rsid w:val="00162826"/>
    <w:rsid w:val="00163795"/>
    <w:rsid w:val="00164218"/>
    <w:rsid w:val="00164BD1"/>
    <w:rsid w:val="00164ED5"/>
    <w:rsid w:val="00166A2D"/>
    <w:rsid w:val="00172BE1"/>
    <w:rsid w:val="00174D64"/>
    <w:rsid w:val="00177FFB"/>
    <w:rsid w:val="00181A1E"/>
    <w:rsid w:val="0018658C"/>
    <w:rsid w:val="001865C3"/>
    <w:rsid w:val="00187384"/>
    <w:rsid w:val="001879F0"/>
    <w:rsid w:val="001879FD"/>
    <w:rsid w:val="00187CAD"/>
    <w:rsid w:val="001927D9"/>
    <w:rsid w:val="00194812"/>
    <w:rsid w:val="00196DC5"/>
    <w:rsid w:val="001A2013"/>
    <w:rsid w:val="001A4B2A"/>
    <w:rsid w:val="001B2491"/>
    <w:rsid w:val="001B2E6F"/>
    <w:rsid w:val="001B3BC0"/>
    <w:rsid w:val="001B4974"/>
    <w:rsid w:val="001C0AAD"/>
    <w:rsid w:val="001C11E0"/>
    <w:rsid w:val="001C2D19"/>
    <w:rsid w:val="001C363F"/>
    <w:rsid w:val="001C4DF4"/>
    <w:rsid w:val="001C4F16"/>
    <w:rsid w:val="001C577E"/>
    <w:rsid w:val="001D1703"/>
    <w:rsid w:val="001D3E3A"/>
    <w:rsid w:val="001D4E7D"/>
    <w:rsid w:val="001D53D2"/>
    <w:rsid w:val="001D5735"/>
    <w:rsid w:val="001D7FDB"/>
    <w:rsid w:val="001E0FF2"/>
    <w:rsid w:val="001E10D6"/>
    <w:rsid w:val="001E2725"/>
    <w:rsid w:val="001E2A62"/>
    <w:rsid w:val="001E4A0E"/>
    <w:rsid w:val="001E4A21"/>
    <w:rsid w:val="001E5664"/>
    <w:rsid w:val="001E7E5C"/>
    <w:rsid w:val="001F0395"/>
    <w:rsid w:val="001F2819"/>
    <w:rsid w:val="001F49CD"/>
    <w:rsid w:val="001F5A4B"/>
    <w:rsid w:val="001F60F1"/>
    <w:rsid w:val="001F68D9"/>
    <w:rsid w:val="001F7309"/>
    <w:rsid w:val="001F74DD"/>
    <w:rsid w:val="001F778B"/>
    <w:rsid w:val="00200CA4"/>
    <w:rsid w:val="002043EC"/>
    <w:rsid w:val="00204F00"/>
    <w:rsid w:val="00205F77"/>
    <w:rsid w:val="002060DD"/>
    <w:rsid w:val="002060F1"/>
    <w:rsid w:val="00206146"/>
    <w:rsid w:val="00211D9B"/>
    <w:rsid w:val="00215B22"/>
    <w:rsid w:val="00216541"/>
    <w:rsid w:val="0022005A"/>
    <w:rsid w:val="00220081"/>
    <w:rsid w:val="002217C2"/>
    <w:rsid w:val="002239C4"/>
    <w:rsid w:val="00225FD5"/>
    <w:rsid w:val="00227A26"/>
    <w:rsid w:val="0023503E"/>
    <w:rsid w:val="002364F5"/>
    <w:rsid w:val="00240B07"/>
    <w:rsid w:val="00243DC0"/>
    <w:rsid w:val="00244D77"/>
    <w:rsid w:val="00247477"/>
    <w:rsid w:val="002477EF"/>
    <w:rsid w:val="00247E78"/>
    <w:rsid w:val="002504E6"/>
    <w:rsid w:val="00252E68"/>
    <w:rsid w:val="00253F03"/>
    <w:rsid w:val="00256D90"/>
    <w:rsid w:val="00260FE3"/>
    <w:rsid w:val="00262807"/>
    <w:rsid w:val="00263994"/>
    <w:rsid w:val="002648A4"/>
    <w:rsid w:val="00266CD9"/>
    <w:rsid w:val="00270440"/>
    <w:rsid w:val="00274AC7"/>
    <w:rsid w:val="002750F6"/>
    <w:rsid w:val="00276438"/>
    <w:rsid w:val="002811D6"/>
    <w:rsid w:val="00282155"/>
    <w:rsid w:val="00285BDD"/>
    <w:rsid w:val="00287673"/>
    <w:rsid w:val="00292BD8"/>
    <w:rsid w:val="002931CF"/>
    <w:rsid w:val="00293DEE"/>
    <w:rsid w:val="0029584B"/>
    <w:rsid w:val="00296206"/>
    <w:rsid w:val="002967F2"/>
    <w:rsid w:val="00296E49"/>
    <w:rsid w:val="00296FBB"/>
    <w:rsid w:val="00297104"/>
    <w:rsid w:val="00297D8E"/>
    <w:rsid w:val="002A06B4"/>
    <w:rsid w:val="002A0B5D"/>
    <w:rsid w:val="002A1D8F"/>
    <w:rsid w:val="002A2031"/>
    <w:rsid w:val="002A23EF"/>
    <w:rsid w:val="002A28A8"/>
    <w:rsid w:val="002A483B"/>
    <w:rsid w:val="002A5144"/>
    <w:rsid w:val="002A5947"/>
    <w:rsid w:val="002A7FA8"/>
    <w:rsid w:val="002B0957"/>
    <w:rsid w:val="002B14C8"/>
    <w:rsid w:val="002B15A3"/>
    <w:rsid w:val="002B210C"/>
    <w:rsid w:val="002B3159"/>
    <w:rsid w:val="002C1548"/>
    <w:rsid w:val="002C58E2"/>
    <w:rsid w:val="002C6F4A"/>
    <w:rsid w:val="002C7FE9"/>
    <w:rsid w:val="002D04E1"/>
    <w:rsid w:val="002D0A55"/>
    <w:rsid w:val="002D1219"/>
    <w:rsid w:val="002D3382"/>
    <w:rsid w:val="002D482E"/>
    <w:rsid w:val="002D4EFD"/>
    <w:rsid w:val="002D603A"/>
    <w:rsid w:val="002E0D8D"/>
    <w:rsid w:val="002E0F47"/>
    <w:rsid w:val="002E1658"/>
    <w:rsid w:val="002E1670"/>
    <w:rsid w:val="002E7E55"/>
    <w:rsid w:val="002F1441"/>
    <w:rsid w:val="002F47BB"/>
    <w:rsid w:val="002F4EB3"/>
    <w:rsid w:val="002F5C03"/>
    <w:rsid w:val="002F5E61"/>
    <w:rsid w:val="002F6418"/>
    <w:rsid w:val="002F7529"/>
    <w:rsid w:val="002F785A"/>
    <w:rsid w:val="003013FB"/>
    <w:rsid w:val="00301588"/>
    <w:rsid w:val="00307B1D"/>
    <w:rsid w:val="00307E48"/>
    <w:rsid w:val="00311F06"/>
    <w:rsid w:val="00312514"/>
    <w:rsid w:val="003138FC"/>
    <w:rsid w:val="00315AEA"/>
    <w:rsid w:val="00316071"/>
    <w:rsid w:val="0032185F"/>
    <w:rsid w:val="0032344D"/>
    <w:rsid w:val="00325B03"/>
    <w:rsid w:val="00325ED3"/>
    <w:rsid w:val="00325F3A"/>
    <w:rsid w:val="00330AE2"/>
    <w:rsid w:val="003317B1"/>
    <w:rsid w:val="003333E4"/>
    <w:rsid w:val="0033356B"/>
    <w:rsid w:val="00333801"/>
    <w:rsid w:val="003361BD"/>
    <w:rsid w:val="0033678B"/>
    <w:rsid w:val="00337EEC"/>
    <w:rsid w:val="00340983"/>
    <w:rsid w:val="00340E0E"/>
    <w:rsid w:val="003414A9"/>
    <w:rsid w:val="00341D64"/>
    <w:rsid w:val="00341DD1"/>
    <w:rsid w:val="0034382E"/>
    <w:rsid w:val="00343E5C"/>
    <w:rsid w:val="00344F91"/>
    <w:rsid w:val="00346678"/>
    <w:rsid w:val="00350E35"/>
    <w:rsid w:val="00350FDA"/>
    <w:rsid w:val="0035132C"/>
    <w:rsid w:val="003523B2"/>
    <w:rsid w:val="00352EF6"/>
    <w:rsid w:val="00353A5F"/>
    <w:rsid w:val="00354CCE"/>
    <w:rsid w:val="00355007"/>
    <w:rsid w:val="00356B58"/>
    <w:rsid w:val="0036017B"/>
    <w:rsid w:val="00360FCF"/>
    <w:rsid w:val="003622BD"/>
    <w:rsid w:val="00362755"/>
    <w:rsid w:val="003628D9"/>
    <w:rsid w:val="00363DF2"/>
    <w:rsid w:val="00367B76"/>
    <w:rsid w:val="003709C1"/>
    <w:rsid w:val="00370C00"/>
    <w:rsid w:val="0037201A"/>
    <w:rsid w:val="003725CF"/>
    <w:rsid w:val="003729D2"/>
    <w:rsid w:val="00373116"/>
    <w:rsid w:val="00373B93"/>
    <w:rsid w:val="00375473"/>
    <w:rsid w:val="00375DE5"/>
    <w:rsid w:val="003834C9"/>
    <w:rsid w:val="00383A60"/>
    <w:rsid w:val="00384B48"/>
    <w:rsid w:val="00390EC4"/>
    <w:rsid w:val="00391DAA"/>
    <w:rsid w:val="00394D6D"/>
    <w:rsid w:val="00395B73"/>
    <w:rsid w:val="00396559"/>
    <w:rsid w:val="003A1289"/>
    <w:rsid w:val="003A2E57"/>
    <w:rsid w:val="003A3448"/>
    <w:rsid w:val="003A38F0"/>
    <w:rsid w:val="003C0848"/>
    <w:rsid w:val="003C0BC8"/>
    <w:rsid w:val="003C1960"/>
    <w:rsid w:val="003C1EA8"/>
    <w:rsid w:val="003C2C80"/>
    <w:rsid w:val="003C2FE7"/>
    <w:rsid w:val="003C5335"/>
    <w:rsid w:val="003C644F"/>
    <w:rsid w:val="003C72EA"/>
    <w:rsid w:val="003D5736"/>
    <w:rsid w:val="003D6C1D"/>
    <w:rsid w:val="003E0DE3"/>
    <w:rsid w:val="003E0EC6"/>
    <w:rsid w:val="003E19A8"/>
    <w:rsid w:val="003E43D3"/>
    <w:rsid w:val="003E4E99"/>
    <w:rsid w:val="003E5865"/>
    <w:rsid w:val="003E5CE7"/>
    <w:rsid w:val="003E5EA5"/>
    <w:rsid w:val="003E7D0A"/>
    <w:rsid w:val="003F0184"/>
    <w:rsid w:val="003F0C44"/>
    <w:rsid w:val="003F405E"/>
    <w:rsid w:val="003F4329"/>
    <w:rsid w:val="003F4FB6"/>
    <w:rsid w:val="003F523D"/>
    <w:rsid w:val="003F7F50"/>
    <w:rsid w:val="004023CB"/>
    <w:rsid w:val="00403113"/>
    <w:rsid w:val="0040404B"/>
    <w:rsid w:val="004062AD"/>
    <w:rsid w:val="0040700A"/>
    <w:rsid w:val="00412534"/>
    <w:rsid w:val="00412C83"/>
    <w:rsid w:val="00413AA6"/>
    <w:rsid w:val="00413DEB"/>
    <w:rsid w:val="0041648A"/>
    <w:rsid w:val="00417894"/>
    <w:rsid w:val="004178A3"/>
    <w:rsid w:val="00424228"/>
    <w:rsid w:val="0042566B"/>
    <w:rsid w:val="00426014"/>
    <w:rsid w:val="00430162"/>
    <w:rsid w:val="00430228"/>
    <w:rsid w:val="0043475D"/>
    <w:rsid w:val="00436DE4"/>
    <w:rsid w:val="00440504"/>
    <w:rsid w:val="00440D19"/>
    <w:rsid w:val="00442437"/>
    <w:rsid w:val="0044301E"/>
    <w:rsid w:val="00446920"/>
    <w:rsid w:val="0044775B"/>
    <w:rsid w:val="00450721"/>
    <w:rsid w:val="00452C6A"/>
    <w:rsid w:val="00454CB3"/>
    <w:rsid w:val="00454E96"/>
    <w:rsid w:val="00456464"/>
    <w:rsid w:val="0045779D"/>
    <w:rsid w:val="004600FB"/>
    <w:rsid w:val="004603A6"/>
    <w:rsid w:val="00460B7D"/>
    <w:rsid w:val="00460FF9"/>
    <w:rsid w:val="0046760A"/>
    <w:rsid w:val="00467986"/>
    <w:rsid w:val="00467C68"/>
    <w:rsid w:val="004707CB"/>
    <w:rsid w:val="00473032"/>
    <w:rsid w:val="00473AB7"/>
    <w:rsid w:val="004754D2"/>
    <w:rsid w:val="004766B2"/>
    <w:rsid w:val="00476E4C"/>
    <w:rsid w:val="00480CB0"/>
    <w:rsid w:val="00482401"/>
    <w:rsid w:val="00482434"/>
    <w:rsid w:val="00484720"/>
    <w:rsid w:val="0048490B"/>
    <w:rsid w:val="00490322"/>
    <w:rsid w:val="00493767"/>
    <w:rsid w:val="00494107"/>
    <w:rsid w:val="00494608"/>
    <w:rsid w:val="004957B6"/>
    <w:rsid w:val="00495E75"/>
    <w:rsid w:val="00496E88"/>
    <w:rsid w:val="004A0EE5"/>
    <w:rsid w:val="004A2BAD"/>
    <w:rsid w:val="004A47C0"/>
    <w:rsid w:val="004B0530"/>
    <w:rsid w:val="004B087D"/>
    <w:rsid w:val="004B1815"/>
    <w:rsid w:val="004B19B1"/>
    <w:rsid w:val="004B27D9"/>
    <w:rsid w:val="004B2B02"/>
    <w:rsid w:val="004B34EA"/>
    <w:rsid w:val="004B4972"/>
    <w:rsid w:val="004B50C0"/>
    <w:rsid w:val="004B5494"/>
    <w:rsid w:val="004B777A"/>
    <w:rsid w:val="004C06C0"/>
    <w:rsid w:val="004C0773"/>
    <w:rsid w:val="004C09A9"/>
    <w:rsid w:val="004C0B21"/>
    <w:rsid w:val="004C23FA"/>
    <w:rsid w:val="004C3CCE"/>
    <w:rsid w:val="004C434D"/>
    <w:rsid w:val="004C463C"/>
    <w:rsid w:val="004C6E6F"/>
    <w:rsid w:val="004C6F6B"/>
    <w:rsid w:val="004C7D3A"/>
    <w:rsid w:val="004C7ED8"/>
    <w:rsid w:val="004D01D0"/>
    <w:rsid w:val="004D085B"/>
    <w:rsid w:val="004D1D9D"/>
    <w:rsid w:val="004D2FC1"/>
    <w:rsid w:val="004D2FF3"/>
    <w:rsid w:val="004D4359"/>
    <w:rsid w:val="004E0A09"/>
    <w:rsid w:val="004E0E18"/>
    <w:rsid w:val="004E1444"/>
    <w:rsid w:val="004E1C62"/>
    <w:rsid w:val="004E70D8"/>
    <w:rsid w:val="004F07CC"/>
    <w:rsid w:val="004F1161"/>
    <w:rsid w:val="004F31C9"/>
    <w:rsid w:val="004F3C2F"/>
    <w:rsid w:val="004F48B4"/>
    <w:rsid w:val="004F58DF"/>
    <w:rsid w:val="004F63CC"/>
    <w:rsid w:val="005018A8"/>
    <w:rsid w:val="0050273E"/>
    <w:rsid w:val="00504F67"/>
    <w:rsid w:val="00505A39"/>
    <w:rsid w:val="00506780"/>
    <w:rsid w:val="00507FC4"/>
    <w:rsid w:val="005204D0"/>
    <w:rsid w:val="005240BF"/>
    <w:rsid w:val="00526C66"/>
    <w:rsid w:val="00526ED7"/>
    <w:rsid w:val="0052719C"/>
    <w:rsid w:val="00531D22"/>
    <w:rsid w:val="005339F4"/>
    <w:rsid w:val="00533A72"/>
    <w:rsid w:val="0053406B"/>
    <w:rsid w:val="00534C47"/>
    <w:rsid w:val="005353AF"/>
    <w:rsid w:val="00535D65"/>
    <w:rsid w:val="005370D2"/>
    <w:rsid w:val="005408C3"/>
    <w:rsid w:val="00540975"/>
    <w:rsid w:val="0054297C"/>
    <w:rsid w:val="005435B9"/>
    <w:rsid w:val="00543E37"/>
    <w:rsid w:val="00544970"/>
    <w:rsid w:val="005462F0"/>
    <w:rsid w:val="00552849"/>
    <w:rsid w:val="00552BD5"/>
    <w:rsid w:val="00557174"/>
    <w:rsid w:val="00557A38"/>
    <w:rsid w:val="005624F4"/>
    <w:rsid w:val="00565521"/>
    <w:rsid w:val="00565678"/>
    <w:rsid w:val="0056617E"/>
    <w:rsid w:val="00566A42"/>
    <w:rsid w:val="00566FB5"/>
    <w:rsid w:val="005702F5"/>
    <w:rsid w:val="00570478"/>
    <w:rsid w:val="0057142D"/>
    <w:rsid w:val="005721F2"/>
    <w:rsid w:val="00572594"/>
    <w:rsid w:val="00573823"/>
    <w:rsid w:val="0057383B"/>
    <w:rsid w:val="005748C2"/>
    <w:rsid w:val="0057529C"/>
    <w:rsid w:val="00576108"/>
    <w:rsid w:val="00577D90"/>
    <w:rsid w:val="005806E7"/>
    <w:rsid w:val="005816B9"/>
    <w:rsid w:val="00581D11"/>
    <w:rsid w:val="00582DEA"/>
    <w:rsid w:val="00584C4F"/>
    <w:rsid w:val="00585390"/>
    <w:rsid w:val="00585797"/>
    <w:rsid w:val="00586801"/>
    <w:rsid w:val="00587261"/>
    <w:rsid w:val="005902E4"/>
    <w:rsid w:val="00590409"/>
    <w:rsid w:val="00591374"/>
    <w:rsid w:val="00591B23"/>
    <w:rsid w:val="00591B50"/>
    <w:rsid w:val="00593860"/>
    <w:rsid w:val="005939A5"/>
    <w:rsid w:val="005945EB"/>
    <w:rsid w:val="00594CB9"/>
    <w:rsid w:val="00594D4B"/>
    <w:rsid w:val="00595221"/>
    <w:rsid w:val="00596724"/>
    <w:rsid w:val="0059750B"/>
    <w:rsid w:val="00597EE5"/>
    <w:rsid w:val="005A148C"/>
    <w:rsid w:val="005A1DA7"/>
    <w:rsid w:val="005A22DC"/>
    <w:rsid w:val="005A2445"/>
    <w:rsid w:val="005A290B"/>
    <w:rsid w:val="005A416A"/>
    <w:rsid w:val="005A433C"/>
    <w:rsid w:val="005A4EEA"/>
    <w:rsid w:val="005B07C8"/>
    <w:rsid w:val="005B315E"/>
    <w:rsid w:val="005B3911"/>
    <w:rsid w:val="005B4610"/>
    <w:rsid w:val="005B5DF9"/>
    <w:rsid w:val="005B7A99"/>
    <w:rsid w:val="005C0D2A"/>
    <w:rsid w:val="005C0F63"/>
    <w:rsid w:val="005C2656"/>
    <w:rsid w:val="005C31EB"/>
    <w:rsid w:val="005C405D"/>
    <w:rsid w:val="005C7B80"/>
    <w:rsid w:val="005C7B9C"/>
    <w:rsid w:val="005D3A73"/>
    <w:rsid w:val="005D5CA8"/>
    <w:rsid w:val="005E3502"/>
    <w:rsid w:val="005E5EE8"/>
    <w:rsid w:val="005E6660"/>
    <w:rsid w:val="005E7A78"/>
    <w:rsid w:val="005E7D65"/>
    <w:rsid w:val="00602FC0"/>
    <w:rsid w:val="006034D7"/>
    <w:rsid w:val="00607211"/>
    <w:rsid w:val="006073E6"/>
    <w:rsid w:val="006132DE"/>
    <w:rsid w:val="0061399B"/>
    <w:rsid w:val="00614666"/>
    <w:rsid w:val="00616A40"/>
    <w:rsid w:val="00617932"/>
    <w:rsid w:val="0062098C"/>
    <w:rsid w:val="006214EB"/>
    <w:rsid w:val="006215EF"/>
    <w:rsid w:val="0062195D"/>
    <w:rsid w:val="00624500"/>
    <w:rsid w:val="00624A2E"/>
    <w:rsid w:val="00624F48"/>
    <w:rsid w:val="006253D4"/>
    <w:rsid w:val="006266DD"/>
    <w:rsid w:val="006312ED"/>
    <w:rsid w:val="00631F34"/>
    <w:rsid w:val="00632207"/>
    <w:rsid w:val="006327CD"/>
    <w:rsid w:val="0063491C"/>
    <w:rsid w:val="00636690"/>
    <w:rsid w:val="00636CCE"/>
    <w:rsid w:val="00637839"/>
    <w:rsid w:val="0064271E"/>
    <w:rsid w:val="00642780"/>
    <w:rsid w:val="006428DA"/>
    <w:rsid w:val="00642BFF"/>
    <w:rsid w:val="00645D1F"/>
    <w:rsid w:val="00646CDD"/>
    <w:rsid w:val="0064721E"/>
    <w:rsid w:val="00650DE0"/>
    <w:rsid w:val="00651589"/>
    <w:rsid w:val="00653F2D"/>
    <w:rsid w:val="006600A9"/>
    <w:rsid w:val="006619BF"/>
    <w:rsid w:val="00666523"/>
    <w:rsid w:val="00666BB0"/>
    <w:rsid w:val="0066706F"/>
    <w:rsid w:val="006747A1"/>
    <w:rsid w:val="00674C22"/>
    <w:rsid w:val="00677A78"/>
    <w:rsid w:val="00681781"/>
    <w:rsid w:val="00681B23"/>
    <w:rsid w:val="006825CB"/>
    <w:rsid w:val="00682E67"/>
    <w:rsid w:val="0068504C"/>
    <w:rsid w:val="0068557A"/>
    <w:rsid w:val="00690FB4"/>
    <w:rsid w:val="006932E9"/>
    <w:rsid w:val="00693998"/>
    <w:rsid w:val="00695C2A"/>
    <w:rsid w:val="0069637D"/>
    <w:rsid w:val="00697DA7"/>
    <w:rsid w:val="006A0BB1"/>
    <w:rsid w:val="006A21EF"/>
    <w:rsid w:val="006A28A5"/>
    <w:rsid w:val="006A3123"/>
    <w:rsid w:val="006A39E4"/>
    <w:rsid w:val="006A5C08"/>
    <w:rsid w:val="006A61BE"/>
    <w:rsid w:val="006B0354"/>
    <w:rsid w:val="006B1427"/>
    <w:rsid w:val="006B3123"/>
    <w:rsid w:val="006B69AE"/>
    <w:rsid w:val="006B78E0"/>
    <w:rsid w:val="006C20A4"/>
    <w:rsid w:val="006C31C0"/>
    <w:rsid w:val="006C35E8"/>
    <w:rsid w:val="006C4182"/>
    <w:rsid w:val="006C4BB1"/>
    <w:rsid w:val="006C4F3A"/>
    <w:rsid w:val="006C54E8"/>
    <w:rsid w:val="006C6CC2"/>
    <w:rsid w:val="006C6D7D"/>
    <w:rsid w:val="006C72CD"/>
    <w:rsid w:val="006D236F"/>
    <w:rsid w:val="006D42B4"/>
    <w:rsid w:val="006D44CE"/>
    <w:rsid w:val="006D513D"/>
    <w:rsid w:val="006E0349"/>
    <w:rsid w:val="006E05DB"/>
    <w:rsid w:val="006E2E75"/>
    <w:rsid w:val="006E511C"/>
    <w:rsid w:val="006E58C8"/>
    <w:rsid w:val="006E59EE"/>
    <w:rsid w:val="006E5E28"/>
    <w:rsid w:val="006E6081"/>
    <w:rsid w:val="006E6574"/>
    <w:rsid w:val="006F2712"/>
    <w:rsid w:val="006F2D52"/>
    <w:rsid w:val="006F42AF"/>
    <w:rsid w:val="006F4D25"/>
    <w:rsid w:val="006F52FE"/>
    <w:rsid w:val="006F553E"/>
    <w:rsid w:val="006F56D7"/>
    <w:rsid w:val="006F5FF5"/>
    <w:rsid w:val="006F6525"/>
    <w:rsid w:val="00701573"/>
    <w:rsid w:val="0070301E"/>
    <w:rsid w:val="00703C1A"/>
    <w:rsid w:val="00706914"/>
    <w:rsid w:val="00712611"/>
    <w:rsid w:val="00714CF2"/>
    <w:rsid w:val="007156B9"/>
    <w:rsid w:val="00717BC0"/>
    <w:rsid w:val="0072011C"/>
    <w:rsid w:val="00720322"/>
    <w:rsid w:val="00720817"/>
    <w:rsid w:val="00722850"/>
    <w:rsid w:val="00723C18"/>
    <w:rsid w:val="00723D8E"/>
    <w:rsid w:val="00724B47"/>
    <w:rsid w:val="00724F4F"/>
    <w:rsid w:val="00725369"/>
    <w:rsid w:val="00725B39"/>
    <w:rsid w:val="00727440"/>
    <w:rsid w:val="00730563"/>
    <w:rsid w:val="00730CDF"/>
    <w:rsid w:val="00731DC0"/>
    <w:rsid w:val="007329D7"/>
    <w:rsid w:val="0073353F"/>
    <w:rsid w:val="007358C5"/>
    <w:rsid w:val="00735AE8"/>
    <w:rsid w:val="00735E6F"/>
    <w:rsid w:val="007406F0"/>
    <w:rsid w:val="00742E45"/>
    <w:rsid w:val="007444E0"/>
    <w:rsid w:val="007447AF"/>
    <w:rsid w:val="007459C8"/>
    <w:rsid w:val="00747ECB"/>
    <w:rsid w:val="00750704"/>
    <w:rsid w:val="00750816"/>
    <w:rsid w:val="00750EF6"/>
    <w:rsid w:val="007513D6"/>
    <w:rsid w:val="00752B5C"/>
    <w:rsid w:val="00753F70"/>
    <w:rsid w:val="0075457F"/>
    <w:rsid w:val="007600F9"/>
    <w:rsid w:val="0076026E"/>
    <w:rsid w:val="00760E92"/>
    <w:rsid w:val="00761423"/>
    <w:rsid w:val="007657C1"/>
    <w:rsid w:val="00765EDB"/>
    <w:rsid w:val="00771156"/>
    <w:rsid w:val="00773296"/>
    <w:rsid w:val="007736AA"/>
    <w:rsid w:val="007751BA"/>
    <w:rsid w:val="00775643"/>
    <w:rsid w:val="00777B46"/>
    <w:rsid w:val="00777BA5"/>
    <w:rsid w:val="00780E81"/>
    <w:rsid w:val="007816A0"/>
    <w:rsid w:val="00782D76"/>
    <w:rsid w:val="007854C9"/>
    <w:rsid w:val="00785AB0"/>
    <w:rsid w:val="00786223"/>
    <w:rsid w:val="00786688"/>
    <w:rsid w:val="00786FA6"/>
    <w:rsid w:val="00787837"/>
    <w:rsid w:val="00791ECA"/>
    <w:rsid w:val="0079491B"/>
    <w:rsid w:val="00795560"/>
    <w:rsid w:val="007972D1"/>
    <w:rsid w:val="007A05BC"/>
    <w:rsid w:val="007A38B0"/>
    <w:rsid w:val="007A406D"/>
    <w:rsid w:val="007A4177"/>
    <w:rsid w:val="007A4CC9"/>
    <w:rsid w:val="007A62B0"/>
    <w:rsid w:val="007B296E"/>
    <w:rsid w:val="007B5081"/>
    <w:rsid w:val="007B5CD5"/>
    <w:rsid w:val="007B63B0"/>
    <w:rsid w:val="007B6510"/>
    <w:rsid w:val="007B6652"/>
    <w:rsid w:val="007B7B7F"/>
    <w:rsid w:val="007C53B0"/>
    <w:rsid w:val="007C5A0C"/>
    <w:rsid w:val="007C67F9"/>
    <w:rsid w:val="007C76B3"/>
    <w:rsid w:val="007D57CA"/>
    <w:rsid w:val="007D777C"/>
    <w:rsid w:val="007E0FEE"/>
    <w:rsid w:val="007E10B8"/>
    <w:rsid w:val="007E14CF"/>
    <w:rsid w:val="007E198E"/>
    <w:rsid w:val="007E62FF"/>
    <w:rsid w:val="007E7154"/>
    <w:rsid w:val="007F1105"/>
    <w:rsid w:val="007F2017"/>
    <w:rsid w:val="007F2967"/>
    <w:rsid w:val="007F5393"/>
    <w:rsid w:val="007F55C7"/>
    <w:rsid w:val="007F595B"/>
    <w:rsid w:val="007F6361"/>
    <w:rsid w:val="007F6FA2"/>
    <w:rsid w:val="0080020E"/>
    <w:rsid w:val="00801806"/>
    <w:rsid w:val="008025BF"/>
    <w:rsid w:val="00803A63"/>
    <w:rsid w:val="00803E9E"/>
    <w:rsid w:val="008042C5"/>
    <w:rsid w:val="00804A68"/>
    <w:rsid w:val="00804AE5"/>
    <w:rsid w:val="00805A9C"/>
    <w:rsid w:val="00805AB5"/>
    <w:rsid w:val="00806BFB"/>
    <w:rsid w:val="008149FC"/>
    <w:rsid w:val="00816ACA"/>
    <w:rsid w:val="00820026"/>
    <w:rsid w:val="008200C9"/>
    <w:rsid w:val="0082083C"/>
    <w:rsid w:val="00823779"/>
    <w:rsid w:val="0082379C"/>
    <w:rsid w:val="00825C70"/>
    <w:rsid w:val="00826023"/>
    <w:rsid w:val="008264CF"/>
    <w:rsid w:val="00827DDE"/>
    <w:rsid w:val="00830D1F"/>
    <w:rsid w:val="00831B89"/>
    <w:rsid w:val="00831CE2"/>
    <w:rsid w:val="0083215E"/>
    <w:rsid w:val="008338FB"/>
    <w:rsid w:val="008339BB"/>
    <w:rsid w:val="00836FEB"/>
    <w:rsid w:val="0084163A"/>
    <w:rsid w:val="00842E8B"/>
    <w:rsid w:val="00846BFF"/>
    <w:rsid w:val="008477A4"/>
    <w:rsid w:val="00847D5E"/>
    <w:rsid w:val="00851A7A"/>
    <w:rsid w:val="0085316A"/>
    <w:rsid w:val="00853A25"/>
    <w:rsid w:val="00862FA4"/>
    <w:rsid w:val="0086419A"/>
    <w:rsid w:val="00864ABC"/>
    <w:rsid w:val="0086529C"/>
    <w:rsid w:val="0086589A"/>
    <w:rsid w:val="00866A70"/>
    <w:rsid w:val="00866B9E"/>
    <w:rsid w:val="00866FBC"/>
    <w:rsid w:val="0087023B"/>
    <w:rsid w:val="00870C8C"/>
    <w:rsid w:val="00873BA2"/>
    <w:rsid w:val="0087416D"/>
    <w:rsid w:val="00875600"/>
    <w:rsid w:val="00876255"/>
    <w:rsid w:val="008829A2"/>
    <w:rsid w:val="008843BA"/>
    <w:rsid w:val="00890B98"/>
    <w:rsid w:val="00891982"/>
    <w:rsid w:val="00892FEA"/>
    <w:rsid w:val="00894CBD"/>
    <w:rsid w:val="00895670"/>
    <w:rsid w:val="00896670"/>
    <w:rsid w:val="008A0E2C"/>
    <w:rsid w:val="008A179F"/>
    <w:rsid w:val="008A427A"/>
    <w:rsid w:val="008A4CF5"/>
    <w:rsid w:val="008B0864"/>
    <w:rsid w:val="008B2A42"/>
    <w:rsid w:val="008B4E7A"/>
    <w:rsid w:val="008B5B4D"/>
    <w:rsid w:val="008B5E5F"/>
    <w:rsid w:val="008B6686"/>
    <w:rsid w:val="008B6843"/>
    <w:rsid w:val="008C0EC0"/>
    <w:rsid w:val="008C1017"/>
    <w:rsid w:val="008C12A9"/>
    <w:rsid w:val="008C3314"/>
    <w:rsid w:val="008C3C0C"/>
    <w:rsid w:val="008C5FDA"/>
    <w:rsid w:val="008C67D8"/>
    <w:rsid w:val="008C6AB0"/>
    <w:rsid w:val="008C7413"/>
    <w:rsid w:val="008D0C70"/>
    <w:rsid w:val="008D16B7"/>
    <w:rsid w:val="008D23A3"/>
    <w:rsid w:val="008D27B3"/>
    <w:rsid w:val="008D2AF4"/>
    <w:rsid w:val="008D5CD4"/>
    <w:rsid w:val="008D615D"/>
    <w:rsid w:val="008D7BC8"/>
    <w:rsid w:val="008E1666"/>
    <w:rsid w:val="008E4BE6"/>
    <w:rsid w:val="008E699F"/>
    <w:rsid w:val="008E6A90"/>
    <w:rsid w:val="008E6AE6"/>
    <w:rsid w:val="008E71D5"/>
    <w:rsid w:val="008F0116"/>
    <w:rsid w:val="008F143D"/>
    <w:rsid w:val="008F1638"/>
    <w:rsid w:val="008F2CD0"/>
    <w:rsid w:val="008F33E9"/>
    <w:rsid w:val="008F33F8"/>
    <w:rsid w:val="008F3E5D"/>
    <w:rsid w:val="008F442D"/>
    <w:rsid w:val="008F4D00"/>
    <w:rsid w:val="008F596E"/>
    <w:rsid w:val="008F72D9"/>
    <w:rsid w:val="00901D27"/>
    <w:rsid w:val="00902D41"/>
    <w:rsid w:val="00902EF5"/>
    <w:rsid w:val="009035A6"/>
    <w:rsid w:val="0090573F"/>
    <w:rsid w:val="00905F37"/>
    <w:rsid w:val="00906BE0"/>
    <w:rsid w:val="0090702D"/>
    <w:rsid w:val="009130E3"/>
    <w:rsid w:val="009138C1"/>
    <w:rsid w:val="00914D24"/>
    <w:rsid w:val="009154C3"/>
    <w:rsid w:val="00915BE2"/>
    <w:rsid w:val="00917F48"/>
    <w:rsid w:val="0092344F"/>
    <w:rsid w:val="0092429A"/>
    <w:rsid w:val="00926542"/>
    <w:rsid w:val="0092767A"/>
    <w:rsid w:val="009301D4"/>
    <w:rsid w:val="00932865"/>
    <w:rsid w:val="0093788A"/>
    <w:rsid w:val="009378CC"/>
    <w:rsid w:val="009400E2"/>
    <w:rsid w:val="0094480E"/>
    <w:rsid w:val="00944F69"/>
    <w:rsid w:val="00945215"/>
    <w:rsid w:val="00946051"/>
    <w:rsid w:val="00946F69"/>
    <w:rsid w:val="00947B54"/>
    <w:rsid w:val="00947BC6"/>
    <w:rsid w:val="00947E2E"/>
    <w:rsid w:val="009519CF"/>
    <w:rsid w:val="00951F07"/>
    <w:rsid w:val="00955EBF"/>
    <w:rsid w:val="009570AF"/>
    <w:rsid w:val="0095715F"/>
    <w:rsid w:val="0096349A"/>
    <w:rsid w:val="00963F61"/>
    <w:rsid w:val="00965282"/>
    <w:rsid w:val="00965491"/>
    <w:rsid w:val="0096579D"/>
    <w:rsid w:val="009665F9"/>
    <w:rsid w:val="009677AF"/>
    <w:rsid w:val="00970361"/>
    <w:rsid w:val="00970B3E"/>
    <w:rsid w:val="0097121F"/>
    <w:rsid w:val="0097262C"/>
    <w:rsid w:val="00973FFF"/>
    <w:rsid w:val="0097432C"/>
    <w:rsid w:val="00974501"/>
    <w:rsid w:val="00975556"/>
    <w:rsid w:val="00975F45"/>
    <w:rsid w:val="00975FA0"/>
    <w:rsid w:val="00976B6A"/>
    <w:rsid w:val="009807B1"/>
    <w:rsid w:val="009810FD"/>
    <w:rsid w:val="00981375"/>
    <w:rsid w:val="0098138E"/>
    <w:rsid w:val="0098400F"/>
    <w:rsid w:val="00985090"/>
    <w:rsid w:val="0098653B"/>
    <w:rsid w:val="0098655A"/>
    <w:rsid w:val="00992FCB"/>
    <w:rsid w:val="009941BA"/>
    <w:rsid w:val="00994582"/>
    <w:rsid w:val="009956E2"/>
    <w:rsid w:val="00996743"/>
    <w:rsid w:val="009977E8"/>
    <w:rsid w:val="009A12B7"/>
    <w:rsid w:val="009A1A6A"/>
    <w:rsid w:val="009A27D6"/>
    <w:rsid w:val="009A2FF4"/>
    <w:rsid w:val="009A6FE9"/>
    <w:rsid w:val="009A7059"/>
    <w:rsid w:val="009B4F1F"/>
    <w:rsid w:val="009B51AA"/>
    <w:rsid w:val="009B6C3E"/>
    <w:rsid w:val="009B7708"/>
    <w:rsid w:val="009B78F0"/>
    <w:rsid w:val="009C2824"/>
    <w:rsid w:val="009C5574"/>
    <w:rsid w:val="009C59FB"/>
    <w:rsid w:val="009C63C3"/>
    <w:rsid w:val="009D3B8E"/>
    <w:rsid w:val="009D4134"/>
    <w:rsid w:val="009D5572"/>
    <w:rsid w:val="009D66CC"/>
    <w:rsid w:val="009E0FF8"/>
    <w:rsid w:val="009E16B5"/>
    <w:rsid w:val="009E16D6"/>
    <w:rsid w:val="009E3F15"/>
    <w:rsid w:val="009E5B8F"/>
    <w:rsid w:val="009E6795"/>
    <w:rsid w:val="009E72B3"/>
    <w:rsid w:val="009E7A34"/>
    <w:rsid w:val="009E7C7F"/>
    <w:rsid w:val="009F1400"/>
    <w:rsid w:val="009F21EE"/>
    <w:rsid w:val="009F226C"/>
    <w:rsid w:val="009F26B1"/>
    <w:rsid w:val="009F2C67"/>
    <w:rsid w:val="009F2CBA"/>
    <w:rsid w:val="009F542F"/>
    <w:rsid w:val="009F6618"/>
    <w:rsid w:val="009F6984"/>
    <w:rsid w:val="009F7DA3"/>
    <w:rsid w:val="00A06A06"/>
    <w:rsid w:val="00A0751E"/>
    <w:rsid w:val="00A11591"/>
    <w:rsid w:val="00A13AE2"/>
    <w:rsid w:val="00A16088"/>
    <w:rsid w:val="00A16578"/>
    <w:rsid w:val="00A17994"/>
    <w:rsid w:val="00A17CE0"/>
    <w:rsid w:val="00A21C2F"/>
    <w:rsid w:val="00A23AC0"/>
    <w:rsid w:val="00A24071"/>
    <w:rsid w:val="00A255CB"/>
    <w:rsid w:val="00A25A26"/>
    <w:rsid w:val="00A261DE"/>
    <w:rsid w:val="00A26CAA"/>
    <w:rsid w:val="00A27F3C"/>
    <w:rsid w:val="00A31269"/>
    <w:rsid w:val="00A31D71"/>
    <w:rsid w:val="00A321A7"/>
    <w:rsid w:val="00A338BB"/>
    <w:rsid w:val="00A3496C"/>
    <w:rsid w:val="00A363C6"/>
    <w:rsid w:val="00A3652D"/>
    <w:rsid w:val="00A41FDD"/>
    <w:rsid w:val="00A42306"/>
    <w:rsid w:val="00A44261"/>
    <w:rsid w:val="00A536A7"/>
    <w:rsid w:val="00A55ACD"/>
    <w:rsid w:val="00A56F44"/>
    <w:rsid w:val="00A6254F"/>
    <w:rsid w:val="00A63536"/>
    <w:rsid w:val="00A641C4"/>
    <w:rsid w:val="00A6597C"/>
    <w:rsid w:val="00A65F34"/>
    <w:rsid w:val="00A66778"/>
    <w:rsid w:val="00A70198"/>
    <w:rsid w:val="00A70279"/>
    <w:rsid w:val="00A71324"/>
    <w:rsid w:val="00A76E6B"/>
    <w:rsid w:val="00A774C0"/>
    <w:rsid w:val="00A7754F"/>
    <w:rsid w:val="00A779B2"/>
    <w:rsid w:val="00A77B70"/>
    <w:rsid w:val="00A77F0C"/>
    <w:rsid w:val="00A80355"/>
    <w:rsid w:val="00A80A88"/>
    <w:rsid w:val="00A82370"/>
    <w:rsid w:val="00A837BC"/>
    <w:rsid w:val="00A839DC"/>
    <w:rsid w:val="00A86BC3"/>
    <w:rsid w:val="00A8780A"/>
    <w:rsid w:val="00A9120C"/>
    <w:rsid w:val="00A91590"/>
    <w:rsid w:val="00A92B15"/>
    <w:rsid w:val="00A93F11"/>
    <w:rsid w:val="00A949A5"/>
    <w:rsid w:val="00A95186"/>
    <w:rsid w:val="00A95E74"/>
    <w:rsid w:val="00A97600"/>
    <w:rsid w:val="00AA0B74"/>
    <w:rsid w:val="00AA0F3E"/>
    <w:rsid w:val="00AA492E"/>
    <w:rsid w:val="00AA56F4"/>
    <w:rsid w:val="00AB2459"/>
    <w:rsid w:val="00AB3912"/>
    <w:rsid w:val="00AB43C0"/>
    <w:rsid w:val="00AB68C5"/>
    <w:rsid w:val="00AB6B1E"/>
    <w:rsid w:val="00AC0060"/>
    <w:rsid w:val="00AC161C"/>
    <w:rsid w:val="00AC477B"/>
    <w:rsid w:val="00AC64F9"/>
    <w:rsid w:val="00AD23F2"/>
    <w:rsid w:val="00AD2699"/>
    <w:rsid w:val="00AD2BE9"/>
    <w:rsid w:val="00AD5B92"/>
    <w:rsid w:val="00AD5C51"/>
    <w:rsid w:val="00AD6100"/>
    <w:rsid w:val="00AD6162"/>
    <w:rsid w:val="00AE0047"/>
    <w:rsid w:val="00AE492C"/>
    <w:rsid w:val="00AF125C"/>
    <w:rsid w:val="00AF2F62"/>
    <w:rsid w:val="00AF3B77"/>
    <w:rsid w:val="00AF55AE"/>
    <w:rsid w:val="00AF586E"/>
    <w:rsid w:val="00AF60A5"/>
    <w:rsid w:val="00AF6551"/>
    <w:rsid w:val="00AF764E"/>
    <w:rsid w:val="00B017B7"/>
    <w:rsid w:val="00B01F7E"/>
    <w:rsid w:val="00B02FA1"/>
    <w:rsid w:val="00B04B32"/>
    <w:rsid w:val="00B056F2"/>
    <w:rsid w:val="00B063D4"/>
    <w:rsid w:val="00B0758F"/>
    <w:rsid w:val="00B10DE2"/>
    <w:rsid w:val="00B13305"/>
    <w:rsid w:val="00B154F9"/>
    <w:rsid w:val="00B16569"/>
    <w:rsid w:val="00B174D9"/>
    <w:rsid w:val="00B17DED"/>
    <w:rsid w:val="00B20390"/>
    <w:rsid w:val="00B21C60"/>
    <w:rsid w:val="00B22144"/>
    <w:rsid w:val="00B22C10"/>
    <w:rsid w:val="00B25A86"/>
    <w:rsid w:val="00B268ED"/>
    <w:rsid w:val="00B3087D"/>
    <w:rsid w:val="00B31643"/>
    <w:rsid w:val="00B3210C"/>
    <w:rsid w:val="00B34135"/>
    <w:rsid w:val="00B34794"/>
    <w:rsid w:val="00B34ABD"/>
    <w:rsid w:val="00B36C07"/>
    <w:rsid w:val="00B37449"/>
    <w:rsid w:val="00B406F3"/>
    <w:rsid w:val="00B4120F"/>
    <w:rsid w:val="00B415D8"/>
    <w:rsid w:val="00B518C6"/>
    <w:rsid w:val="00B51F56"/>
    <w:rsid w:val="00B55F9A"/>
    <w:rsid w:val="00B60203"/>
    <w:rsid w:val="00B60421"/>
    <w:rsid w:val="00B655A7"/>
    <w:rsid w:val="00B66FC6"/>
    <w:rsid w:val="00B6778C"/>
    <w:rsid w:val="00B704D3"/>
    <w:rsid w:val="00B70B6A"/>
    <w:rsid w:val="00B70F0B"/>
    <w:rsid w:val="00B75281"/>
    <w:rsid w:val="00B76A2E"/>
    <w:rsid w:val="00B77584"/>
    <w:rsid w:val="00B80B7F"/>
    <w:rsid w:val="00B873A1"/>
    <w:rsid w:val="00B87CDB"/>
    <w:rsid w:val="00B87DAC"/>
    <w:rsid w:val="00B965AB"/>
    <w:rsid w:val="00BA07BE"/>
    <w:rsid w:val="00BA38E1"/>
    <w:rsid w:val="00BA4BFA"/>
    <w:rsid w:val="00BA7924"/>
    <w:rsid w:val="00BB0243"/>
    <w:rsid w:val="00BB0ACD"/>
    <w:rsid w:val="00BB28A7"/>
    <w:rsid w:val="00BB458F"/>
    <w:rsid w:val="00BB6066"/>
    <w:rsid w:val="00BC0CBB"/>
    <w:rsid w:val="00BC0E82"/>
    <w:rsid w:val="00BC1F69"/>
    <w:rsid w:val="00BC3794"/>
    <w:rsid w:val="00BC4468"/>
    <w:rsid w:val="00BC482C"/>
    <w:rsid w:val="00BC55B0"/>
    <w:rsid w:val="00BC5965"/>
    <w:rsid w:val="00BC6050"/>
    <w:rsid w:val="00BC61DD"/>
    <w:rsid w:val="00BC647B"/>
    <w:rsid w:val="00BD7A10"/>
    <w:rsid w:val="00BD7FC4"/>
    <w:rsid w:val="00BE110B"/>
    <w:rsid w:val="00BE2620"/>
    <w:rsid w:val="00BE3ACE"/>
    <w:rsid w:val="00BE3FDD"/>
    <w:rsid w:val="00BE4DBF"/>
    <w:rsid w:val="00BE5002"/>
    <w:rsid w:val="00BE7497"/>
    <w:rsid w:val="00BE7A18"/>
    <w:rsid w:val="00BF0070"/>
    <w:rsid w:val="00BF0608"/>
    <w:rsid w:val="00BF063E"/>
    <w:rsid w:val="00BF275D"/>
    <w:rsid w:val="00BF3671"/>
    <w:rsid w:val="00BF55DC"/>
    <w:rsid w:val="00C008BB"/>
    <w:rsid w:val="00C04F80"/>
    <w:rsid w:val="00C07177"/>
    <w:rsid w:val="00C07CF7"/>
    <w:rsid w:val="00C10B5F"/>
    <w:rsid w:val="00C11BE6"/>
    <w:rsid w:val="00C12B82"/>
    <w:rsid w:val="00C12B8F"/>
    <w:rsid w:val="00C12D4F"/>
    <w:rsid w:val="00C15186"/>
    <w:rsid w:val="00C20388"/>
    <w:rsid w:val="00C22075"/>
    <w:rsid w:val="00C22803"/>
    <w:rsid w:val="00C22B65"/>
    <w:rsid w:val="00C230E4"/>
    <w:rsid w:val="00C249C4"/>
    <w:rsid w:val="00C24D02"/>
    <w:rsid w:val="00C261FC"/>
    <w:rsid w:val="00C278A1"/>
    <w:rsid w:val="00C303CB"/>
    <w:rsid w:val="00C31E9F"/>
    <w:rsid w:val="00C3271D"/>
    <w:rsid w:val="00C3369C"/>
    <w:rsid w:val="00C34576"/>
    <w:rsid w:val="00C35228"/>
    <w:rsid w:val="00C36183"/>
    <w:rsid w:val="00C430AD"/>
    <w:rsid w:val="00C47950"/>
    <w:rsid w:val="00C47E03"/>
    <w:rsid w:val="00C513BB"/>
    <w:rsid w:val="00C5153A"/>
    <w:rsid w:val="00C534E8"/>
    <w:rsid w:val="00C538AE"/>
    <w:rsid w:val="00C53A5F"/>
    <w:rsid w:val="00C56C00"/>
    <w:rsid w:val="00C5723E"/>
    <w:rsid w:val="00C578CD"/>
    <w:rsid w:val="00C61EDF"/>
    <w:rsid w:val="00C63FFB"/>
    <w:rsid w:val="00C67A86"/>
    <w:rsid w:val="00C713B9"/>
    <w:rsid w:val="00C7366B"/>
    <w:rsid w:val="00C76541"/>
    <w:rsid w:val="00C7779B"/>
    <w:rsid w:val="00C77E4A"/>
    <w:rsid w:val="00C80245"/>
    <w:rsid w:val="00C8239D"/>
    <w:rsid w:val="00C858A4"/>
    <w:rsid w:val="00C913A1"/>
    <w:rsid w:val="00C91D36"/>
    <w:rsid w:val="00C932F2"/>
    <w:rsid w:val="00C9505A"/>
    <w:rsid w:val="00C9575F"/>
    <w:rsid w:val="00C96F67"/>
    <w:rsid w:val="00CA109A"/>
    <w:rsid w:val="00CA3D26"/>
    <w:rsid w:val="00CA4CF0"/>
    <w:rsid w:val="00CA5474"/>
    <w:rsid w:val="00CA7148"/>
    <w:rsid w:val="00CB16D7"/>
    <w:rsid w:val="00CB2279"/>
    <w:rsid w:val="00CB3EAA"/>
    <w:rsid w:val="00CB59AA"/>
    <w:rsid w:val="00CB5B3A"/>
    <w:rsid w:val="00CB65F0"/>
    <w:rsid w:val="00CC5BC8"/>
    <w:rsid w:val="00CC5FC8"/>
    <w:rsid w:val="00CC6A99"/>
    <w:rsid w:val="00CC7A1E"/>
    <w:rsid w:val="00CD0BF9"/>
    <w:rsid w:val="00CD1F34"/>
    <w:rsid w:val="00CD2BA4"/>
    <w:rsid w:val="00CD593B"/>
    <w:rsid w:val="00CD7BD6"/>
    <w:rsid w:val="00CD7EDB"/>
    <w:rsid w:val="00CE1C3E"/>
    <w:rsid w:val="00CE2B88"/>
    <w:rsid w:val="00CE2D88"/>
    <w:rsid w:val="00CE44CC"/>
    <w:rsid w:val="00CE479E"/>
    <w:rsid w:val="00CE50C4"/>
    <w:rsid w:val="00CE50CF"/>
    <w:rsid w:val="00CE5631"/>
    <w:rsid w:val="00CE6A89"/>
    <w:rsid w:val="00CF22B6"/>
    <w:rsid w:val="00CF2F91"/>
    <w:rsid w:val="00CF4705"/>
    <w:rsid w:val="00CF7548"/>
    <w:rsid w:val="00CF7F91"/>
    <w:rsid w:val="00D00AA3"/>
    <w:rsid w:val="00D0233F"/>
    <w:rsid w:val="00D02BEE"/>
    <w:rsid w:val="00D02E97"/>
    <w:rsid w:val="00D059B0"/>
    <w:rsid w:val="00D068C6"/>
    <w:rsid w:val="00D06B56"/>
    <w:rsid w:val="00D07F73"/>
    <w:rsid w:val="00D10505"/>
    <w:rsid w:val="00D1361B"/>
    <w:rsid w:val="00D143AF"/>
    <w:rsid w:val="00D15088"/>
    <w:rsid w:val="00D16F7B"/>
    <w:rsid w:val="00D2041C"/>
    <w:rsid w:val="00D23FCB"/>
    <w:rsid w:val="00D250DE"/>
    <w:rsid w:val="00D25ADE"/>
    <w:rsid w:val="00D26914"/>
    <w:rsid w:val="00D314C0"/>
    <w:rsid w:val="00D31D22"/>
    <w:rsid w:val="00D31E58"/>
    <w:rsid w:val="00D32414"/>
    <w:rsid w:val="00D33E8C"/>
    <w:rsid w:val="00D35D93"/>
    <w:rsid w:val="00D36C1D"/>
    <w:rsid w:val="00D376E8"/>
    <w:rsid w:val="00D37964"/>
    <w:rsid w:val="00D37A1B"/>
    <w:rsid w:val="00D413B6"/>
    <w:rsid w:val="00D43297"/>
    <w:rsid w:val="00D44222"/>
    <w:rsid w:val="00D44DB6"/>
    <w:rsid w:val="00D459D0"/>
    <w:rsid w:val="00D4672C"/>
    <w:rsid w:val="00D46AE7"/>
    <w:rsid w:val="00D4723C"/>
    <w:rsid w:val="00D47C55"/>
    <w:rsid w:val="00D50048"/>
    <w:rsid w:val="00D50119"/>
    <w:rsid w:val="00D5320A"/>
    <w:rsid w:val="00D61D95"/>
    <w:rsid w:val="00D62267"/>
    <w:rsid w:val="00D64CB8"/>
    <w:rsid w:val="00D6557D"/>
    <w:rsid w:val="00D65918"/>
    <w:rsid w:val="00D66F96"/>
    <w:rsid w:val="00D67C49"/>
    <w:rsid w:val="00D72047"/>
    <w:rsid w:val="00D7409D"/>
    <w:rsid w:val="00D77D98"/>
    <w:rsid w:val="00D82A43"/>
    <w:rsid w:val="00D86A57"/>
    <w:rsid w:val="00D9027C"/>
    <w:rsid w:val="00D914F4"/>
    <w:rsid w:val="00D92D76"/>
    <w:rsid w:val="00D94869"/>
    <w:rsid w:val="00D95FB8"/>
    <w:rsid w:val="00D96316"/>
    <w:rsid w:val="00D969B9"/>
    <w:rsid w:val="00D97D26"/>
    <w:rsid w:val="00DA0629"/>
    <w:rsid w:val="00DA0662"/>
    <w:rsid w:val="00DA235D"/>
    <w:rsid w:val="00DA3470"/>
    <w:rsid w:val="00DA51C8"/>
    <w:rsid w:val="00DA7B5D"/>
    <w:rsid w:val="00DB0EE7"/>
    <w:rsid w:val="00DB4448"/>
    <w:rsid w:val="00DB5715"/>
    <w:rsid w:val="00DC0338"/>
    <w:rsid w:val="00DC0684"/>
    <w:rsid w:val="00DC11B4"/>
    <w:rsid w:val="00DC1F8E"/>
    <w:rsid w:val="00DC4EF2"/>
    <w:rsid w:val="00DD399A"/>
    <w:rsid w:val="00DD3ACE"/>
    <w:rsid w:val="00DD51C0"/>
    <w:rsid w:val="00DE3327"/>
    <w:rsid w:val="00DE3EDF"/>
    <w:rsid w:val="00DE581A"/>
    <w:rsid w:val="00DF2214"/>
    <w:rsid w:val="00DF241A"/>
    <w:rsid w:val="00DF4689"/>
    <w:rsid w:val="00DF541B"/>
    <w:rsid w:val="00DF58E7"/>
    <w:rsid w:val="00DF7B52"/>
    <w:rsid w:val="00E01010"/>
    <w:rsid w:val="00E10CD1"/>
    <w:rsid w:val="00E11876"/>
    <w:rsid w:val="00E14386"/>
    <w:rsid w:val="00E17DF1"/>
    <w:rsid w:val="00E20696"/>
    <w:rsid w:val="00E212E4"/>
    <w:rsid w:val="00E21369"/>
    <w:rsid w:val="00E21507"/>
    <w:rsid w:val="00E23CBB"/>
    <w:rsid w:val="00E24BCD"/>
    <w:rsid w:val="00E251F2"/>
    <w:rsid w:val="00E26CFA"/>
    <w:rsid w:val="00E30163"/>
    <w:rsid w:val="00E30307"/>
    <w:rsid w:val="00E3092D"/>
    <w:rsid w:val="00E30D7A"/>
    <w:rsid w:val="00E31E77"/>
    <w:rsid w:val="00E32DAF"/>
    <w:rsid w:val="00E330C4"/>
    <w:rsid w:val="00E37B59"/>
    <w:rsid w:val="00E40FD2"/>
    <w:rsid w:val="00E437B3"/>
    <w:rsid w:val="00E44437"/>
    <w:rsid w:val="00E447BB"/>
    <w:rsid w:val="00E4648D"/>
    <w:rsid w:val="00E46E17"/>
    <w:rsid w:val="00E50535"/>
    <w:rsid w:val="00E51DF8"/>
    <w:rsid w:val="00E53318"/>
    <w:rsid w:val="00E54760"/>
    <w:rsid w:val="00E54D1B"/>
    <w:rsid w:val="00E5663B"/>
    <w:rsid w:val="00E603A3"/>
    <w:rsid w:val="00E63BB7"/>
    <w:rsid w:val="00E643B5"/>
    <w:rsid w:val="00E74EE7"/>
    <w:rsid w:val="00E75A23"/>
    <w:rsid w:val="00E77B7E"/>
    <w:rsid w:val="00E8394A"/>
    <w:rsid w:val="00E83C99"/>
    <w:rsid w:val="00E84E1C"/>
    <w:rsid w:val="00E90715"/>
    <w:rsid w:val="00E92F7D"/>
    <w:rsid w:val="00E93614"/>
    <w:rsid w:val="00E938DE"/>
    <w:rsid w:val="00E93EF9"/>
    <w:rsid w:val="00E94023"/>
    <w:rsid w:val="00E953F6"/>
    <w:rsid w:val="00E95E5B"/>
    <w:rsid w:val="00E96884"/>
    <w:rsid w:val="00E971AE"/>
    <w:rsid w:val="00E97D47"/>
    <w:rsid w:val="00E97EE4"/>
    <w:rsid w:val="00EA2B77"/>
    <w:rsid w:val="00EA366F"/>
    <w:rsid w:val="00EA36C6"/>
    <w:rsid w:val="00EA5032"/>
    <w:rsid w:val="00EB1D87"/>
    <w:rsid w:val="00EB2363"/>
    <w:rsid w:val="00EB23CB"/>
    <w:rsid w:val="00EB2DC3"/>
    <w:rsid w:val="00EB73C6"/>
    <w:rsid w:val="00EB7EDC"/>
    <w:rsid w:val="00EC0517"/>
    <w:rsid w:val="00EC23A0"/>
    <w:rsid w:val="00EC23A4"/>
    <w:rsid w:val="00EC277B"/>
    <w:rsid w:val="00EC4A8F"/>
    <w:rsid w:val="00EC4E58"/>
    <w:rsid w:val="00EC6DC2"/>
    <w:rsid w:val="00EC7322"/>
    <w:rsid w:val="00ED0B3A"/>
    <w:rsid w:val="00ED2608"/>
    <w:rsid w:val="00ED5397"/>
    <w:rsid w:val="00ED5725"/>
    <w:rsid w:val="00ED64AA"/>
    <w:rsid w:val="00ED6545"/>
    <w:rsid w:val="00ED7031"/>
    <w:rsid w:val="00ED7D4B"/>
    <w:rsid w:val="00EE016D"/>
    <w:rsid w:val="00EE2468"/>
    <w:rsid w:val="00EE3060"/>
    <w:rsid w:val="00EE4315"/>
    <w:rsid w:val="00EE6316"/>
    <w:rsid w:val="00EE70DC"/>
    <w:rsid w:val="00EF1244"/>
    <w:rsid w:val="00EF43F6"/>
    <w:rsid w:val="00EF5198"/>
    <w:rsid w:val="00EF5C6B"/>
    <w:rsid w:val="00EF6097"/>
    <w:rsid w:val="00EF6C33"/>
    <w:rsid w:val="00F02750"/>
    <w:rsid w:val="00F039BF"/>
    <w:rsid w:val="00F041A7"/>
    <w:rsid w:val="00F050D3"/>
    <w:rsid w:val="00F05645"/>
    <w:rsid w:val="00F10F76"/>
    <w:rsid w:val="00F150D3"/>
    <w:rsid w:val="00F15BCE"/>
    <w:rsid w:val="00F17A2C"/>
    <w:rsid w:val="00F20522"/>
    <w:rsid w:val="00F23ACB"/>
    <w:rsid w:val="00F24070"/>
    <w:rsid w:val="00F247A0"/>
    <w:rsid w:val="00F25C69"/>
    <w:rsid w:val="00F26ED3"/>
    <w:rsid w:val="00F274CD"/>
    <w:rsid w:val="00F3099C"/>
    <w:rsid w:val="00F32EE8"/>
    <w:rsid w:val="00F34FAA"/>
    <w:rsid w:val="00F3754C"/>
    <w:rsid w:val="00F37F3D"/>
    <w:rsid w:val="00F41819"/>
    <w:rsid w:val="00F42848"/>
    <w:rsid w:val="00F4341C"/>
    <w:rsid w:val="00F43B42"/>
    <w:rsid w:val="00F43EEC"/>
    <w:rsid w:val="00F476BB"/>
    <w:rsid w:val="00F503D5"/>
    <w:rsid w:val="00F548B0"/>
    <w:rsid w:val="00F55546"/>
    <w:rsid w:val="00F62B7A"/>
    <w:rsid w:val="00F632DA"/>
    <w:rsid w:val="00F6397D"/>
    <w:rsid w:val="00F658B4"/>
    <w:rsid w:val="00F66B5D"/>
    <w:rsid w:val="00F67838"/>
    <w:rsid w:val="00F70CF2"/>
    <w:rsid w:val="00F7293E"/>
    <w:rsid w:val="00F7320A"/>
    <w:rsid w:val="00F7372D"/>
    <w:rsid w:val="00F7553D"/>
    <w:rsid w:val="00F76650"/>
    <w:rsid w:val="00F7691F"/>
    <w:rsid w:val="00F77047"/>
    <w:rsid w:val="00F77E1C"/>
    <w:rsid w:val="00F826D0"/>
    <w:rsid w:val="00F83274"/>
    <w:rsid w:val="00F85205"/>
    <w:rsid w:val="00F87553"/>
    <w:rsid w:val="00F87D40"/>
    <w:rsid w:val="00F915A5"/>
    <w:rsid w:val="00F9187B"/>
    <w:rsid w:val="00F92385"/>
    <w:rsid w:val="00F923E1"/>
    <w:rsid w:val="00FA0220"/>
    <w:rsid w:val="00FA1B4F"/>
    <w:rsid w:val="00FA2444"/>
    <w:rsid w:val="00FA2A46"/>
    <w:rsid w:val="00FA2B2D"/>
    <w:rsid w:val="00FA41CA"/>
    <w:rsid w:val="00FB06D8"/>
    <w:rsid w:val="00FB0BAB"/>
    <w:rsid w:val="00FB1C1A"/>
    <w:rsid w:val="00FB396A"/>
    <w:rsid w:val="00FB601B"/>
    <w:rsid w:val="00FC05AB"/>
    <w:rsid w:val="00FC1221"/>
    <w:rsid w:val="00FC21A3"/>
    <w:rsid w:val="00FC47F9"/>
    <w:rsid w:val="00FC531A"/>
    <w:rsid w:val="00FC5FC2"/>
    <w:rsid w:val="00FC64F5"/>
    <w:rsid w:val="00FC7CD4"/>
    <w:rsid w:val="00FD0EC2"/>
    <w:rsid w:val="00FD0F6F"/>
    <w:rsid w:val="00FD1FCC"/>
    <w:rsid w:val="00FD4360"/>
    <w:rsid w:val="00FD5289"/>
    <w:rsid w:val="00FD58CA"/>
    <w:rsid w:val="00FD6DB8"/>
    <w:rsid w:val="00FD78FD"/>
    <w:rsid w:val="00FD7F6B"/>
    <w:rsid w:val="00FE0C3C"/>
    <w:rsid w:val="00FE2129"/>
    <w:rsid w:val="00FE2BA2"/>
    <w:rsid w:val="00FE3DF3"/>
    <w:rsid w:val="00FE5580"/>
    <w:rsid w:val="00FE5864"/>
    <w:rsid w:val="00FE5967"/>
    <w:rsid w:val="00FE63E5"/>
    <w:rsid w:val="00FE766A"/>
    <w:rsid w:val="00FF110C"/>
    <w:rsid w:val="00FF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6120D"/>
  <w15:docId w15:val="{ED6977E4-7407-4906-ACE0-3AA57C64317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9"/>
    <w:qFormat/>
    <w:rsid w:val="00947BC6"/>
    <w:pPr>
      <w:numPr>
        <w:numId w:val="10"/>
      </w:numPr>
    </w:pPr>
    <w:rPr>
      <w:rFonts w:eastAsiaTheme="majorEastAsia" w:cstheme="majorBidi"/>
      <w:szCs w:val="32"/>
    </w:rPr>
  </w:style>
  <w:style w:type="paragraph" w:styleId="Heading2">
    <w:name w:val="heading 2"/>
    <w:basedOn w:val="Dummy"/>
    <w:next w:val="Standard"/>
    <w:link w:val="Heading2Char"/>
    <w:uiPriority w:val="9"/>
    <w:qFormat/>
    <w:rsid w:val="00947BC6"/>
    <w:pPr>
      <w:numPr>
        <w:ilvl w:val="1"/>
        <w:numId w:val="10"/>
      </w:numPr>
      <w:outlineLvl w:val="1"/>
    </w:pPr>
  </w:style>
  <w:style w:type="paragraph" w:styleId="Heading3">
    <w:name w:val="heading 3"/>
    <w:basedOn w:val="Dummy"/>
    <w:next w:val="Standard"/>
    <w:link w:val="Heading3Char"/>
    <w:qFormat/>
    <w:rsid w:val="00947BC6"/>
    <w:pPr>
      <w:numPr>
        <w:ilvl w:val="2"/>
        <w:numId w:val="10"/>
      </w:numPr>
      <w:outlineLvl w:val="2"/>
    </w:pPr>
    <w:rPr>
      <w:rFonts w:eastAsiaTheme="majorEastAsia" w:cstheme="majorBidi"/>
      <w:szCs w:val="24"/>
    </w:rPr>
  </w:style>
  <w:style w:type="paragraph" w:styleId="Heading4">
    <w:name w:val="heading 4"/>
    <w:basedOn w:val="Dummy"/>
    <w:next w:val="Standard"/>
    <w:link w:val="Heading4Char"/>
    <w:uiPriority w:val="9"/>
    <w:qFormat/>
    <w:rsid w:val="00947BC6"/>
    <w:pPr>
      <w:numPr>
        <w:ilvl w:val="3"/>
        <w:numId w:val="10"/>
      </w:numPr>
      <w:outlineLvl w:val="3"/>
    </w:pPr>
    <w:rPr>
      <w:rFonts w:eastAsiaTheme="majorEastAsia" w:cstheme="majorBidi"/>
      <w:iCs/>
    </w:rPr>
  </w:style>
  <w:style w:type="paragraph" w:styleId="Heading5">
    <w:name w:val="heading 5"/>
    <w:basedOn w:val="Dummy"/>
    <w:next w:val="Standard"/>
    <w:link w:val="Heading5Char"/>
    <w:uiPriority w:val="9"/>
    <w:qFormat/>
    <w:rsid w:val="00947BC6"/>
    <w:pPr>
      <w:numPr>
        <w:ilvl w:val="4"/>
        <w:numId w:val="10"/>
      </w:numPr>
      <w:outlineLvl w:val="4"/>
    </w:pPr>
    <w:rPr>
      <w:rFonts w:eastAsiaTheme="majorEastAsia" w:cstheme="majorBidi"/>
    </w:rPr>
  </w:style>
  <w:style w:type="paragraph" w:styleId="Heading6">
    <w:name w:val="heading 6"/>
    <w:basedOn w:val="Dummy"/>
    <w:next w:val="Standard"/>
    <w:link w:val="Heading6Char"/>
    <w:uiPriority w:val="9"/>
    <w:qFormat/>
    <w:rsid w:val="00947BC6"/>
    <w:pPr>
      <w:numPr>
        <w:ilvl w:val="5"/>
        <w:numId w:val="10"/>
      </w:numPr>
      <w:spacing w:before="40"/>
      <w:outlineLvl w:val="5"/>
    </w:pPr>
    <w:rPr>
      <w:rFonts w:eastAsiaTheme="majorEastAsia" w:cstheme="majorBidi"/>
    </w:rPr>
  </w:style>
  <w:style w:type="paragraph" w:styleId="Heading7">
    <w:name w:val="heading 7"/>
    <w:basedOn w:val="Normal"/>
    <w:next w:val="Normal"/>
    <w:link w:val="Heading7Char"/>
    <w:uiPriority w:val="9"/>
    <w:qFormat/>
    <w:rsid w:val="006600A9"/>
    <w:pPr>
      <w:tabs>
        <w:tab w:val="num" w:pos="360"/>
        <w:tab w:val="left" w:pos="2520"/>
      </w:tabs>
      <w:spacing w:before="120" w:after="120" w:line="240" w:lineRule="auto"/>
      <w:ind w:left="2520" w:hanging="1800"/>
      <w:outlineLvl w:val="6"/>
    </w:pPr>
    <w:rPr>
      <w:rFonts w:ascii="Helvetica" w:eastAsia="Times New Roman" w:hAnsi="Helvetica" w:cs="Times New Roman"/>
      <w:b/>
      <w:szCs w:val="24"/>
    </w:rPr>
  </w:style>
  <w:style w:type="paragraph" w:styleId="Heading8">
    <w:name w:val="heading 8"/>
    <w:basedOn w:val="Normal"/>
    <w:next w:val="Normal"/>
    <w:link w:val="Heading8Char"/>
    <w:uiPriority w:val="9"/>
    <w:qFormat/>
    <w:rsid w:val="006600A9"/>
    <w:pPr>
      <w:tabs>
        <w:tab w:val="num" w:pos="360"/>
      </w:tabs>
      <w:spacing w:before="120" w:after="120" w:line="240" w:lineRule="auto"/>
      <w:ind w:left="2700" w:hanging="1890"/>
      <w:outlineLvl w:val="7"/>
    </w:pPr>
    <w:rPr>
      <w:rFonts w:ascii="Helvetica" w:eastAsia="Times New Roman" w:hAnsi="Helvetica" w:cs="Times New Roman"/>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ootnote Text Cha Char"/>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10"/>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paragraph" w:customStyle="1" w:styleId="standard0">
    <w:name w:val="standard"/>
    <w:basedOn w:val="Normal"/>
    <w:link w:val="standardChar"/>
    <w:rsid w:val="00973FFF"/>
    <w:rPr>
      <w:rFonts w:ascii="Palatino" w:eastAsia="Times New Roman" w:hAnsi="Palatino" w:cs="Times New Roman"/>
      <w:szCs w:val="20"/>
    </w:rPr>
  </w:style>
  <w:style w:type="character" w:customStyle="1" w:styleId="standardChar">
    <w:name w:val="standard Char"/>
    <w:link w:val="standard0"/>
    <w:rsid w:val="00973FFF"/>
    <w:rPr>
      <w:rFonts w:ascii="Palatino" w:eastAsia="Times New Roman" w:hAnsi="Palatino" w:cs="Times New Roman"/>
      <w:sz w:val="26"/>
      <w:szCs w:val="20"/>
    </w:rPr>
  </w:style>
  <w:style w:type="paragraph" w:customStyle="1" w:styleId="num1">
    <w:name w:val="num1"/>
    <w:basedOn w:val="Normal"/>
    <w:rsid w:val="00B13305"/>
    <w:pPr>
      <w:tabs>
        <w:tab w:val="left" w:pos="-720"/>
      </w:tabs>
      <w:suppressAutoHyphens/>
      <w:ind w:firstLine="360"/>
    </w:pPr>
    <w:rPr>
      <w:rFonts w:ascii="Palatino" w:eastAsia="Times New Roman" w:hAnsi="Palatino" w:cs="Times New Roman"/>
      <w:szCs w:val="20"/>
    </w:rPr>
  </w:style>
  <w:style w:type="paragraph" w:customStyle="1" w:styleId="num2">
    <w:name w:val="num2"/>
    <w:basedOn w:val="num1"/>
    <w:rsid w:val="00AC64F9"/>
    <w:pPr>
      <w:ind w:firstLine="270"/>
    </w:pPr>
  </w:style>
  <w:style w:type="character" w:customStyle="1" w:styleId="Heading7Char">
    <w:name w:val="Heading 7 Char"/>
    <w:basedOn w:val="DefaultParagraphFont"/>
    <w:link w:val="Heading7"/>
    <w:uiPriority w:val="9"/>
    <w:rsid w:val="006600A9"/>
    <w:rPr>
      <w:rFonts w:ascii="Helvetica" w:eastAsia="Times New Roman" w:hAnsi="Helvetica" w:cs="Times New Roman"/>
      <w:b/>
      <w:sz w:val="26"/>
      <w:szCs w:val="24"/>
    </w:rPr>
  </w:style>
  <w:style w:type="character" w:customStyle="1" w:styleId="Heading8Char">
    <w:name w:val="Heading 8 Char"/>
    <w:basedOn w:val="DefaultParagraphFont"/>
    <w:link w:val="Heading8"/>
    <w:uiPriority w:val="9"/>
    <w:rsid w:val="006600A9"/>
    <w:rPr>
      <w:rFonts w:ascii="Helvetica" w:eastAsia="Times New Roman" w:hAnsi="Helvetica" w:cs="Times New Roman"/>
      <w:b/>
      <w:iCs/>
      <w:sz w:val="24"/>
      <w:szCs w:val="24"/>
    </w:rPr>
  </w:style>
  <w:style w:type="paragraph" w:customStyle="1" w:styleId="Quotation">
    <w:name w:val="Quotation"/>
    <w:basedOn w:val="BodyText"/>
    <w:next w:val="BodyText"/>
    <w:rsid w:val="006600A9"/>
    <w:pPr>
      <w:spacing w:line="240" w:lineRule="auto"/>
      <w:ind w:left="1440" w:right="1440" w:firstLine="0"/>
    </w:pPr>
    <w:rPr>
      <w:rFonts w:ascii="Times New Roman" w:eastAsia="Times New Roman" w:hAnsi="Times New Roman" w:cs="Times New Roman"/>
      <w:szCs w:val="20"/>
    </w:rPr>
  </w:style>
  <w:style w:type="paragraph" w:customStyle="1" w:styleId="FindingofFAct">
    <w:name w:val="Finding of FAct"/>
    <w:basedOn w:val="Normal"/>
    <w:link w:val="FindingofFActChar"/>
    <w:qFormat/>
    <w:rsid w:val="006600A9"/>
    <w:pPr>
      <w:numPr>
        <w:numId w:val="18"/>
      </w:numPr>
      <w:ind w:left="0" w:firstLine="720"/>
    </w:pPr>
    <w:rPr>
      <w:rFonts w:cs="Times New Roman"/>
      <w:szCs w:val="20"/>
    </w:rPr>
  </w:style>
  <w:style w:type="character" w:customStyle="1" w:styleId="FindingofFActChar">
    <w:name w:val="Finding of FAct Char"/>
    <w:basedOn w:val="DefaultParagraphFont"/>
    <w:link w:val="FindingofFAct"/>
    <w:rsid w:val="006600A9"/>
    <w:rPr>
      <w:rFonts w:ascii="Book Antiqua" w:hAnsi="Book Antiqua" w:cs="Times New Roman"/>
      <w:sz w:val="26"/>
      <w:szCs w:val="20"/>
    </w:rPr>
  </w:style>
  <w:style w:type="paragraph" w:styleId="BodyText">
    <w:name w:val="Body Text"/>
    <w:basedOn w:val="Normal"/>
    <w:link w:val="BodyTextChar"/>
    <w:uiPriority w:val="99"/>
    <w:semiHidden/>
    <w:unhideWhenUsed/>
    <w:rsid w:val="006600A9"/>
    <w:pPr>
      <w:spacing w:after="120"/>
    </w:pPr>
  </w:style>
  <w:style w:type="character" w:customStyle="1" w:styleId="BodyTextChar">
    <w:name w:val="Body Text Char"/>
    <w:basedOn w:val="DefaultParagraphFont"/>
    <w:link w:val="BodyText"/>
    <w:uiPriority w:val="99"/>
    <w:semiHidden/>
    <w:rsid w:val="006600A9"/>
    <w:rPr>
      <w:rFonts w:ascii="Book Antiqua" w:hAnsi="Book Antiqua"/>
      <w:sz w:val="26"/>
    </w:rPr>
  </w:style>
  <w:style w:type="character" w:customStyle="1" w:styleId="normaltextrun">
    <w:name w:val="normaltextrun"/>
    <w:basedOn w:val="DefaultParagraphFont"/>
    <w:rsid w:val="00805A9C"/>
  </w:style>
  <w:style w:type="paragraph" w:styleId="ListParagraph">
    <w:name w:val="List Paragraph"/>
    <w:basedOn w:val="Normal"/>
    <w:uiPriority w:val="34"/>
    <w:qFormat/>
    <w:rsid w:val="0001115A"/>
    <w:pPr>
      <w:ind w:left="720"/>
      <w:contextualSpacing/>
    </w:pPr>
  </w:style>
  <w:style w:type="character" w:customStyle="1" w:styleId="UnresolvedMention1">
    <w:name w:val="Unresolved Mention1"/>
    <w:basedOn w:val="DefaultParagraphFont"/>
    <w:uiPriority w:val="99"/>
    <w:semiHidden/>
    <w:unhideWhenUsed/>
    <w:rsid w:val="00E437B3"/>
    <w:rPr>
      <w:color w:val="605E5C"/>
      <w:shd w:val="clear" w:color="auto" w:fill="E1DFDD"/>
    </w:rPr>
  </w:style>
  <w:style w:type="character" w:styleId="CommentReference">
    <w:name w:val="annotation reference"/>
    <w:basedOn w:val="DefaultParagraphFont"/>
    <w:uiPriority w:val="99"/>
    <w:semiHidden/>
    <w:unhideWhenUsed/>
    <w:rsid w:val="00A641C4"/>
    <w:rPr>
      <w:sz w:val="16"/>
      <w:szCs w:val="16"/>
    </w:rPr>
  </w:style>
  <w:style w:type="paragraph" w:styleId="CommentText">
    <w:name w:val="annotation text"/>
    <w:basedOn w:val="Normal"/>
    <w:link w:val="CommentTextChar"/>
    <w:uiPriority w:val="99"/>
    <w:unhideWhenUsed/>
    <w:rsid w:val="00A641C4"/>
    <w:pPr>
      <w:spacing w:line="240" w:lineRule="auto"/>
    </w:pPr>
    <w:rPr>
      <w:sz w:val="20"/>
      <w:szCs w:val="20"/>
    </w:rPr>
  </w:style>
  <w:style w:type="character" w:customStyle="1" w:styleId="CommentTextChar">
    <w:name w:val="Comment Text Char"/>
    <w:basedOn w:val="DefaultParagraphFont"/>
    <w:link w:val="CommentText"/>
    <w:uiPriority w:val="99"/>
    <w:rsid w:val="00A641C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641C4"/>
    <w:rPr>
      <w:b/>
      <w:bCs/>
    </w:rPr>
  </w:style>
  <w:style w:type="character" w:customStyle="1" w:styleId="CommentSubjectChar">
    <w:name w:val="Comment Subject Char"/>
    <w:basedOn w:val="CommentTextChar"/>
    <w:link w:val="CommentSubject"/>
    <w:uiPriority w:val="99"/>
    <w:semiHidden/>
    <w:rsid w:val="00A641C4"/>
    <w:rPr>
      <w:rFonts w:ascii="Book Antiqua" w:hAnsi="Book Antiqua"/>
      <w:b/>
      <w:bCs/>
      <w:sz w:val="20"/>
      <w:szCs w:val="20"/>
    </w:rPr>
  </w:style>
  <w:style w:type="paragraph" w:styleId="PlainText">
    <w:name w:val="Plain Text"/>
    <w:basedOn w:val="Normal"/>
    <w:link w:val="PlainTextChar"/>
    <w:uiPriority w:val="99"/>
    <w:unhideWhenUsed/>
    <w:rsid w:val="009E6795"/>
    <w:pPr>
      <w:spacing w:line="240" w:lineRule="auto"/>
      <w:ind w:firstLine="0"/>
    </w:pPr>
    <w:rPr>
      <w:rFonts w:eastAsia="Times New Roman" w:cs="Calibri"/>
      <w:szCs w:val="21"/>
    </w:rPr>
  </w:style>
  <w:style w:type="character" w:customStyle="1" w:styleId="PlainTextChar">
    <w:name w:val="Plain Text Char"/>
    <w:basedOn w:val="DefaultParagraphFont"/>
    <w:link w:val="PlainText"/>
    <w:uiPriority w:val="99"/>
    <w:rsid w:val="009E6795"/>
    <w:rPr>
      <w:rFonts w:ascii="Book Antiqua" w:eastAsia="Times New Roman" w:hAnsi="Book Antiqua" w:cs="Calibri"/>
      <w:sz w:val="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009">
      <w:bodyDiv w:val="1"/>
      <w:marLeft w:val="0"/>
      <w:marRight w:val="0"/>
      <w:marTop w:val="0"/>
      <w:marBottom w:val="0"/>
      <w:divBdr>
        <w:top w:val="none" w:sz="0" w:space="0" w:color="auto"/>
        <w:left w:val="none" w:sz="0" w:space="0" w:color="auto"/>
        <w:bottom w:val="none" w:sz="0" w:space="0" w:color="auto"/>
        <w:right w:val="none" w:sz="0" w:space="0" w:color="auto"/>
      </w:divBdr>
    </w:div>
    <w:div w:id="213390022">
      <w:bodyDiv w:val="1"/>
      <w:marLeft w:val="0"/>
      <w:marRight w:val="0"/>
      <w:marTop w:val="0"/>
      <w:marBottom w:val="0"/>
      <w:divBdr>
        <w:top w:val="none" w:sz="0" w:space="0" w:color="auto"/>
        <w:left w:val="none" w:sz="0" w:space="0" w:color="auto"/>
        <w:bottom w:val="none" w:sz="0" w:space="0" w:color="auto"/>
        <w:right w:val="none" w:sz="0" w:space="0" w:color="auto"/>
      </w:divBdr>
    </w:div>
    <w:div w:id="223296592">
      <w:bodyDiv w:val="1"/>
      <w:marLeft w:val="0"/>
      <w:marRight w:val="0"/>
      <w:marTop w:val="0"/>
      <w:marBottom w:val="0"/>
      <w:divBdr>
        <w:top w:val="none" w:sz="0" w:space="0" w:color="auto"/>
        <w:left w:val="none" w:sz="0" w:space="0" w:color="auto"/>
        <w:bottom w:val="none" w:sz="0" w:space="0" w:color="auto"/>
        <w:right w:val="none" w:sz="0" w:space="0" w:color="auto"/>
      </w:divBdr>
    </w:div>
    <w:div w:id="233590136">
      <w:bodyDiv w:val="1"/>
      <w:marLeft w:val="0"/>
      <w:marRight w:val="0"/>
      <w:marTop w:val="0"/>
      <w:marBottom w:val="0"/>
      <w:divBdr>
        <w:top w:val="none" w:sz="0" w:space="0" w:color="auto"/>
        <w:left w:val="none" w:sz="0" w:space="0" w:color="auto"/>
        <w:bottom w:val="none" w:sz="0" w:space="0" w:color="auto"/>
        <w:right w:val="none" w:sz="0" w:space="0" w:color="auto"/>
      </w:divBdr>
    </w:div>
    <w:div w:id="1773936383">
      <w:bodyDiv w:val="1"/>
      <w:marLeft w:val="0"/>
      <w:marRight w:val="0"/>
      <w:marTop w:val="0"/>
      <w:marBottom w:val="0"/>
      <w:divBdr>
        <w:top w:val="none" w:sz="0" w:space="0" w:color="auto"/>
        <w:left w:val="none" w:sz="0" w:space="0" w:color="auto"/>
        <w:bottom w:val="none" w:sz="0" w:space="0" w:color="auto"/>
        <w:right w:val="none" w:sz="0" w:space="0" w:color="auto"/>
      </w:divBdr>
    </w:div>
    <w:div w:id="19773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483A1-B06D-4C91-A16A-AF78D42FABF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62</ap:Pages>
  <ap:Words>13448</ap:Words>
  <ap:Characters>76659</ap:Characters>
  <ap:Application>Microsoft Office Word</ap:Application>
  <ap:DocSecurity>0</ap:DocSecurity>
  <ap:Lines>638</ap:Lines>
  <ap:Paragraphs>179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89928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2021-06-22T19:55:00Z</cp:lastPrinted>
  <dcterms:created xsi:type="dcterms:W3CDTF">2021-06-22T13:53:58Z</dcterms:created>
  <dcterms:modified xsi:type="dcterms:W3CDTF">2021-06-22T13:53:58Z</dcterms:modified>
</cp:coreProperties>
</file>