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B6" w:rsidP="00BE1995" w:rsidRDefault="007446B6" w14:paraId="14CE2C4D" w14:textId="62413802">
      <w:pPr>
        <w:jc w:val="center"/>
        <w:rPr>
          <w:rFonts w:ascii="Arial" w:hAnsi="Arial" w:cs="Arial"/>
          <w:b/>
          <w:bCs/>
        </w:rPr>
      </w:pPr>
      <w:r w:rsidRPr="6A1E56FE">
        <w:rPr>
          <w:rFonts w:ascii="Arial" w:hAnsi="Arial" w:cs="Arial"/>
          <w:b/>
          <w:bCs/>
        </w:rPr>
        <w:t>PUBLIC UTILITIES COMMISSION OF THE STATE OF CALIFORNIA</w:t>
      </w:r>
    </w:p>
    <w:p w:rsidR="003416E2" w:rsidP="00BE1995" w:rsidRDefault="003416E2" w14:paraId="7B0E8F92" w14:textId="77777777">
      <w:pPr>
        <w:jc w:val="center"/>
        <w:rPr>
          <w:rFonts w:ascii="Arial" w:hAnsi="Arial" w:cs="Arial"/>
          <w:b/>
          <w:bCs/>
        </w:rPr>
      </w:pPr>
    </w:p>
    <w:p w:rsidRPr="00690B4C" w:rsidR="00AF5C24" w:rsidP="00BE1995" w:rsidRDefault="00AF5C24" w14:paraId="163741F7" w14:textId="77777777">
      <w:pPr>
        <w:jc w:val="center"/>
        <w:rPr>
          <w:rFonts w:ascii="Arial" w:hAnsi="Arial" w:cs="Arial"/>
          <w:b/>
          <w:bCs/>
        </w:rPr>
      </w:pPr>
    </w:p>
    <w:p w:rsidRPr="003C7BC0" w:rsidR="007446B6" w:rsidP="007446B6" w:rsidRDefault="007446B6" w14:paraId="0A25CD69" w14:textId="7D0C95AC">
      <w:pPr>
        <w:tabs>
          <w:tab w:val="right" w:pos="9360"/>
        </w:tabs>
        <w:rPr>
          <w:b/>
          <w:bCs/>
        </w:rPr>
      </w:pPr>
      <w:r w:rsidRPr="00690B4C">
        <w:rPr>
          <w:b/>
          <w:bCs/>
        </w:rPr>
        <w:t>WILDFIRE SAFETY DIVISION</w:t>
      </w:r>
      <w:r w:rsidRPr="6A1E56FE" w:rsidR="38954BA4">
        <w:rPr>
          <w:b/>
          <w:bCs/>
        </w:rPr>
        <w:t xml:space="preserve"> </w:t>
      </w:r>
      <w:r w:rsidRPr="00690B4C">
        <w:rPr>
          <w:b/>
          <w:bCs/>
        </w:rPr>
        <w:tab/>
      </w:r>
      <w:r w:rsidRPr="003C7BC0">
        <w:rPr>
          <w:b/>
          <w:bCs/>
        </w:rPr>
        <w:t>RESOLUTION</w:t>
      </w:r>
      <w:r w:rsidRPr="003C7BC0" w:rsidR="171BA2D2">
        <w:rPr>
          <w:b/>
          <w:bCs/>
        </w:rPr>
        <w:t xml:space="preserve"> WSD-</w:t>
      </w:r>
      <w:r w:rsidRPr="003C7BC0" w:rsidR="00564497">
        <w:rPr>
          <w:b/>
          <w:bCs/>
        </w:rPr>
        <w:t>014</w:t>
      </w:r>
    </w:p>
    <w:p w:rsidRPr="00690B4C" w:rsidR="007446B6" w:rsidP="007446B6" w:rsidRDefault="00C5200A" w14:paraId="7CFC15D7" w14:textId="151CC3C8">
      <w:pPr>
        <w:tabs>
          <w:tab w:val="right" w:pos="9360"/>
        </w:tabs>
        <w:jc w:val="right"/>
        <w:rPr>
          <w:b/>
          <w:bCs/>
        </w:rPr>
      </w:pPr>
      <w:r>
        <w:rPr>
          <w:b/>
          <w:bCs/>
        </w:rPr>
        <w:t>June 24, 2021</w:t>
      </w:r>
    </w:p>
    <w:p w:rsidRPr="00690B4C" w:rsidR="007446B6" w:rsidP="007446B6" w:rsidRDefault="007446B6" w14:paraId="3A4605E6" w14:textId="2B5D1DE6">
      <w:pPr>
        <w:tabs>
          <w:tab w:val="right" w:pos="9360"/>
        </w:tabs>
      </w:pPr>
    </w:p>
    <w:p w:rsidRPr="00690B4C" w:rsidR="007446B6" w:rsidP="007446B6" w:rsidRDefault="007446B6" w14:paraId="2E50D620" w14:textId="0E2BE9FD">
      <w:pPr>
        <w:pStyle w:val="Mainex"/>
        <w:rPr>
          <w:u w:val="single"/>
        </w:rPr>
      </w:pPr>
      <w:r w:rsidRPr="00690B4C">
        <w:rPr>
          <w:u w:val="single"/>
        </w:rPr>
        <w:t>Resolution</w:t>
      </w:r>
    </w:p>
    <w:p w:rsidRPr="00690B4C" w:rsidR="007446B6" w:rsidP="007446B6" w:rsidRDefault="007446B6" w14:paraId="0D428B41" w14:textId="4CE4FDBA"/>
    <w:p w:rsidRPr="001A1EC8" w:rsidR="00810BC4" w:rsidP="00C74C40" w:rsidRDefault="00810BC4" w14:paraId="453182D7" w14:textId="0F8BB3BF">
      <w:pPr>
        <w:pStyle w:val="Res-Caption"/>
        <w:pBdr>
          <w:bottom w:val="single" w:color="auto" w:sz="12" w:space="1"/>
        </w:pBdr>
        <w:rPr>
          <w:rFonts w:ascii="Palatino Linotype" w:hAnsi="Palatino Linotype"/>
        </w:rPr>
      </w:pPr>
      <w:r w:rsidRPr="001A1EC8">
        <w:rPr>
          <w:rFonts w:ascii="Palatino Linotype" w:hAnsi="Palatino Linotype"/>
        </w:rPr>
        <w:t>RESOLUTION WSD</w:t>
      </w:r>
      <w:r w:rsidR="00564497">
        <w:rPr>
          <w:rFonts w:ascii="Palatino Linotype" w:hAnsi="Palatino Linotype"/>
        </w:rPr>
        <w:t>-014</w:t>
      </w:r>
      <w:r w:rsidRPr="001A1EC8">
        <w:rPr>
          <w:rFonts w:ascii="Palatino Linotype" w:hAnsi="Palatino Linotype"/>
        </w:rPr>
        <w:t xml:space="preserve"> </w:t>
      </w:r>
      <w:r w:rsidRPr="001A1EC8" w:rsidR="00DC3711">
        <w:rPr>
          <w:rFonts w:ascii="Palatino Linotype" w:hAnsi="Palatino Linotype"/>
        </w:rPr>
        <w:t xml:space="preserve">Approving Tier 3 Advice Letters from </w:t>
      </w:r>
      <w:r w:rsidRPr="001A1EC8" w:rsidR="00DB0176">
        <w:rPr>
          <w:rFonts w:ascii="Palatino Linotype" w:hAnsi="Palatino Linotype"/>
        </w:rPr>
        <w:t xml:space="preserve">six </w:t>
      </w:r>
      <w:r w:rsidRPr="001A1EC8" w:rsidR="00D36787">
        <w:rPr>
          <w:rFonts w:ascii="Palatino Linotype" w:hAnsi="Palatino Linotype"/>
        </w:rPr>
        <w:t xml:space="preserve">electric </w:t>
      </w:r>
      <w:r w:rsidRPr="001A1EC8" w:rsidR="00DC3711">
        <w:rPr>
          <w:rFonts w:ascii="Palatino Linotype" w:hAnsi="Palatino Linotype"/>
        </w:rPr>
        <w:t>utilities describing “</w:t>
      </w:r>
      <w:r w:rsidRPr="001A1EC8" w:rsidR="00D36787">
        <w:rPr>
          <w:rFonts w:ascii="Palatino Linotype" w:hAnsi="Palatino Linotype"/>
        </w:rPr>
        <w:t>O</w:t>
      </w:r>
      <w:r w:rsidRPr="001A1EC8" w:rsidR="00DC3711">
        <w:rPr>
          <w:rFonts w:ascii="Palatino Linotype" w:hAnsi="Palatino Linotype"/>
        </w:rPr>
        <w:t xml:space="preserve">ff </w:t>
      </w:r>
      <w:r w:rsidRPr="001A1EC8" w:rsidR="00D36787">
        <w:rPr>
          <w:rFonts w:ascii="Palatino Linotype" w:hAnsi="Palatino Linotype"/>
        </w:rPr>
        <w:t>R</w:t>
      </w:r>
      <w:r w:rsidRPr="001A1EC8" w:rsidR="00DC3711">
        <w:rPr>
          <w:rFonts w:ascii="Palatino Linotype" w:hAnsi="Palatino Linotype"/>
        </w:rPr>
        <w:t>amp”</w:t>
      </w:r>
      <w:r w:rsidRPr="001A1EC8" w:rsidR="00D611F2">
        <w:rPr>
          <w:rFonts w:ascii="Palatino Linotype" w:hAnsi="Palatino Linotype"/>
        </w:rPr>
        <w:t xml:space="preserve"> mitigation measure modifications</w:t>
      </w:r>
      <w:r w:rsidRPr="001A1EC8" w:rsidR="00DC3711">
        <w:rPr>
          <w:rFonts w:ascii="Palatino Linotype" w:hAnsi="Palatino Linotype"/>
        </w:rPr>
        <w:t xml:space="preserve"> from </w:t>
      </w:r>
      <w:r w:rsidRPr="001A1EC8" w:rsidR="00D611F2">
        <w:rPr>
          <w:rFonts w:ascii="Palatino Linotype" w:hAnsi="Palatino Linotype"/>
        </w:rPr>
        <w:t xml:space="preserve">2019 </w:t>
      </w:r>
      <w:r w:rsidRPr="001A1EC8" w:rsidR="00DC3711">
        <w:rPr>
          <w:rFonts w:ascii="Palatino Linotype" w:hAnsi="Palatino Linotype"/>
        </w:rPr>
        <w:t xml:space="preserve">Wildfire Mitigation Plan activities. </w:t>
      </w:r>
    </w:p>
    <w:p w:rsidRPr="001A1EC8" w:rsidR="00810BC4" w:rsidP="00C74C40" w:rsidRDefault="00810BC4" w14:paraId="44BB2056" w14:textId="77777777">
      <w:pPr>
        <w:pStyle w:val="Res-Caption"/>
        <w:pBdr>
          <w:bottom w:val="single" w:color="auto" w:sz="12" w:space="1"/>
        </w:pBdr>
        <w:rPr>
          <w:rFonts w:ascii="Palatino Linotype" w:hAnsi="Palatino Linotype"/>
        </w:rPr>
      </w:pPr>
    </w:p>
    <w:p w:rsidRPr="00A213E2" w:rsidR="00810BC4" w:rsidP="00C74C40" w:rsidRDefault="00810BC4" w14:paraId="1F3CD530" w14:textId="77777777">
      <w:pPr>
        <w:pStyle w:val="Res-Caption"/>
        <w:rPr>
          <w:rFonts w:ascii="Book Antiqua" w:hAnsi="Book Antiqua"/>
        </w:rPr>
      </w:pPr>
    </w:p>
    <w:p w:rsidRPr="00A213E2" w:rsidR="00102FCE" w:rsidP="00EF7C31" w:rsidRDefault="00102FCE" w14:paraId="1F4D7845" w14:textId="329DC21D">
      <w:pPr>
        <w:pStyle w:val="Res-Caption"/>
        <w:rPr>
          <w:szCs w:val="26"/>
        </w:rPr>
      </w:pPr>
      <w:r w:rsidRPr="00A213E2">
        <w:rPr>
          <w:szCs w:val="26"/>
        </w:rPr>
        <w:t>SUMMARY:</w:t>
      </w:r>
    </w:p>
    <w:p w:rsidR="00102FCE" w:rsidP="00EF7C31" w:rsidRDefault="00102FCE" w14:paraId="692C8F13" w14:textId="77777777">
      <w:pPr>
        <w:pStyle w:val="Res-Caption"/>
        <w:rPr>
          <w:rFonts w:ascii="Book Antiqua" w:hAnsi="Book Antiqua"/>
        </w:rPr>
      </w:pPr>
    </w:p>
    <w:p w:rsidR="00DA636E" w:rsidP="00755CD4" w:rsidRDefault="00C74C40" w14:paraId="27B398BA" w14:textId="77777777">
      <w:pPr>
        <w:pStyle w:val="Res-Caption"/>
        <w:rPr>
          <w:rFonts w:ascii="Palatino Linotype" w:hAnsi="Palatino Linotype"/>
        </w:rPr>
      </w:pPr>
      <w:r w:rsidRPr="001A1EC8">
        <w:rPr>
          <w:rFonts w:ascii="Palatino Linotype" w:hAnsi="Palatino Linotype"/>
        </w:rPr>
        <w:t xml:space="preserve">This Resolution </w:t>
      </w:r>
      <w:r w:rsidRPr="001A1EC8" w:rsidR="00582988">
        <w:rPr>
          <w:rFonts w:ascii="Palatino Linotype" w:hAnsi="Palatino Linotype"/>
        </w:rPr>
        <w:t xml:space="preserve">approves six </w:t>
      </w:r>
      <w:r w:rsidRPr="001A1EC8" w:rsidR="00EF7C31">
        <w:rPr>
          <w:rFonts w:ascii="Palatino Linotype" w:hAnsi="Palatino Linotype"/>
        </w:rPr>
        <w:t xml:space="preserve">Tier 3 </w:t>
      </w:r>
      <w:r w:rsidRPr="001A1EC8" w:rsidR="00582988">
        <w:rPr>
          <w:rFonts w:ascii="Palatino Linotype" w:hAnsi="Palatino Linotype"/>
        </w:rPr>
        <w:t xml:space="preserve">Advice Letters </w:t>
      </w:r>
      <w:r w:rsidR="00821DDA">
        <w:rPr>
          <w:rFonts w:ascii="Palatino Linotype" w:hAnsi="Palatino Linotype"/>
        </w:rPr>
        <w:t xml:space="preserve">(AL) </w:t>
      </w:r>
      <w:r w:rsidRPr="001A1EC8" w:rsidR="00582988">
        <w:rPr>
          <w:rFonts w:ascii="Palatino Linotype" w:hAnsi="Palatino Linotype"/>
        </w:rPr>
        <w:t xml:space="preserve">filed in response to Decision (D.) 19-05-036, Ordering Paragraph 1.  </w:t>
      </w:r>
    </w:p>
    <w:p w:rsidRPr="001A1EC8" w:rsidR="00755CD4" w:rsidP="00755CD4" w:rsidRDefault="00755CD4" w14:paraId="5857B411" w14:textId="3D0FF194">
      <w:pPr>
        <w:pStyle w:val="Res-Caption"/>
        <w:rPr>
          <w:rFonts w:ascii="Palatino Linotype" w:hAnsi="Palatino Linotype"/>
          <w:szCs w:val="26"/>
        </w:rPr>
      </w:pPr>
      <w:r w:rsidRPr="001A1EC8">
        <w:rPr>
          <w:rFonts w:ascii="Palatino Linotype" w:hAnsi="Palatino Linotype"/>
        </w:rPr>
        <w:t>D.19-05-036 provided guidance for implementation of 2019 Wildfire Mitigation Plans</w:t>
      </w:r>
      <w:r w:rsidR="00650E9E">
        <w:rPr>
          <w:rFonts w:ascii="Palatino Linotype" w:hAnsi="Palatino Linotype"/>
        </w:rPr>
        <w:t xml:space="preserve"> (WMPs)</w:t>
      </w:r>
      <w:r w:rsidRPr="001A1EC8">
        <w:rPr>
          <w:rFonts w:ascii="Palatino Linotype" w:hAnsi="Palatino Linotype"/>
        </w:rPr>
        <w:t xml:space="preserve"> filed by electrical corporations.  Among other matters, this “Phase 1 Guidance Decision” </w:t>
      </w:r>
      <w:r w:rsidRPr="001A1EC8">
        <w:rPr>
          <w:rFonts w:ascii="Palatino Linotype" w:hAnsi="Palatino Linotype"/>
          <w:szCs w:val="26"/>
        </w:rPr>
        <w:t>provided for “Off-Ramps”, so the electrical corporations d</w:t>
      </w:r>
      <w:r w:rsidRPr="001A1EC8" w:rsidR="0020605D">
        <w:rPr>
          <w:rFonts w:ascii="Palatino Linotype" w:hAnsi="Palatino Linotype"/>
          <w:szCs w:val="26"/>
        </w:rPr>
        <w:t>o</w:t>
      </w:r>
      <w:r w:rsidRPr="001A1EC8">
        <w:rPr>
          <w:rFonts w:ascii="Palatino Linotype" w:hAnsi="Palatino Linotype"/>
          <w:szCs w:val="26"/>
        </w:rPr>
        <w:t xml:space="preserve"> not continue mitigation measures that </w:t>
      </w:r>
      <w:r w:rsidRPr="001A1EC8" w:rsidR="0020605D">
        <w:rPr>
          <w:rFonts w:ascii="Palatino Linotype" w:hAnsi="Palatino Linotype"/>
          <w:szCs w:val="26"/>
        </w:rPr>
        <w:t>are</w:t>
      </w:r>
      <w:r w:rsidRPr="001A1EC8">
        <w:rPr>
          <w:rFonts w:ascii="Palatino Linotype" w:hAnsi="Palatino Linotype"/>
          <w:szCs w:val="26"/>
        </w:rPr>
        <w:t xml:space="preserve"> not effective</w:t>
      </w:r>
      <w:r w:rsidRPr="001A1EC8" w:rsidR="00DB0176">
        <w:rPr>
          <w:rFonts w:ascii="Palatino Linotype" w:hAnsi="Palatino Linotype"/>
          <w:szCs w:val="26"/>
        </w:rPr>
        <w:t>,</w:t>
      </w:r>
      <w:r w:rsidRPr="001A1EC8">
        <w:rPr>
          <w:rFonts w:ascii="Palatino Linotype" w:hAnsi="Palatino Linotype"/>
          <w:szCs w:val="26"/>
        </w:rPr>
        <w:t xml:space="preserve"> and </w:t>
      </w:r>
      <w:r w:rsidRPr="001A1EC8" w:rsidR="0020605D">
        <w:rPr>
          <w:rFonts w:ascii="Palatino Linotype" w:hAnsi="Palatino Linotype"/>
          <w:szCs w:val="26"/>
        </w:rPr>
        <w:t xml:space="preserve">they </w:t>
      </w:r>
      <w:r w:rsidRPr="001A1EC8">
        <w:rPr>
          <w:rFonts w:ascii="Palatino Linotype" w:hAnsi="Palatino Linotype"/>
          <w:szCs w:val="26"/>
        </w:rPr>
        <w:t>ha</w:t>
      </w:r>
      <w:r w:rsidRPr="001A1EC8" w:rsidR="0020605D">
        <w:rPr>
          <w:rFonts w:ascii="Palatino Linotype" w:hAnsi="Palatino Linotype"/>
          <w:szCs w:val="26"/>
        </w:rPr>
        <w:t>ve</w:t>
      </w:r>
      <w:r w:rsidRPr="001A1EC8">
        <w:rPr>
          <w:rFonts w:ascii="Palatino Linotype" w:hAnsi="Palatino Linotype"/>
          <w:szCs w:val="26"/>
        </w:rPr>
        <w:t xml:space="preserve"> the flexibility to increase measures showing great promise. </w:t>
      </w:r>
    </w:p>
    <w:p w:rsidRPr="001A1EC8" w:rsidR="00755CD4" w:rsidP="00EF7C31" w:rsidRDefault="00755CD4" w14:paraId="34F3B092" w14:textId="77777777">
      <w:pPr>
        <w:pStyle w:val="Res-Caption"/>
        <w:rPr>
          <w:rFonts w:ascii="Palatino Linotype" w:hAnsi="Palatino Linotype"/>
        </w:rPr>
      </w:pPr>
    </w:p>
    <w:p w:rsidRPr="001A1EC8" w:rsidR="00755CD4" w:rsidP="00755CD4" w:rsidRDefault="00755CD4" w14:paraId="486A32C5" w14:textId="77777777">
      <w:pPr>
        <w:pStyle w:val="Res-Caption"/>
        <w:rPr>
          <w:rFonts w:ascii="Palatino Linotype" w:hAnsi="Palatino Linotype"/>
          <w:szCs w:val="26"/>
        </w:rPr>
      </w:pPr>
      <w:r w:rsidRPr="001A1EC8">
        <w:rPr>
          <w:rFonts w:ascii="Palatino Linotype" w:hAnsi="Palatino Linotype"/>
          <w:szCs w:val="26"/>
        </w:rPr>
        <w:t>The ALs being considered herein are:</w:t>
      </w:r>
    </w:p>
    <w:p w:rsidR="00F3141C" w:rsidP="00F3141C" w:rsidRDefault="00755CD4" w14:paraId="27774A41" w14:textId="77777777">
      <w:pPr>
        <w:pStyle w:val="Res-Caption"/>
        <w:ind w:left="990"/>
        <w:rPr>
          <w:rFonts w:ascii="Palatino Linotype" w:hAnsi="Palatino Linotype"/>
          <w:szCs w:val="26"/>
        </w:rPr>
      </w:pPr>
      <w:r w:rsidRPr="001A1EC8">
        <w:rPr>
          <w:rFonts w:ascii="Palatino Linotype" w:hAnsi="Palatino Linotype"/>
          <w:szCs w:val="26"/>
        </w:rPr>
        <w:t>Liberty Utilities</w:t>
      </w:r>
      <w:r w:rsidRPr="001A1EC8" w:rsidR="0020605D">
        <w:rPr>
          <w:rFonts w:ascii="Palatino Linotype" w:hAnsi="Palatino Linotype"/>
          <w:szCs w:val="26"/>
        </w:rPr>
        <w:t>/</w:t>
      </w:r>
      <w:r w:rsidRPr="001A1EC8">
        <w:rPr>
          <w:rFonts w:ascii="Palatino Linotype" w:hAnsi="Palatino Linotype"/>
          <w:szCs w:val="26"/>
        </w:rPr>
        <w:t>Cal</w:t>
      </w:r>
      <w:r w:rsidR="00821DDA">
        <w:rPr>
          <w:rFonts w:ascii="Palatino Linotype" w:hAnsi="Palatino Linotype"/>
          <w:szCs w:val="26"/>
        </w:rPr>
        <w:t>-</w:t>
      </w:r>
      <w:proofErr w:type="spellStart"/>
      <w:r w:rsidRPr="001A1EC8" w:rsidR="00821DDA">
        <w:rPr>
          <w:rFonts w:ascii="Palatino Linotype" w:hAnsi="Palatino Linotype"/>
          <w:szCs w:val="26"/>
        </w:rPr>
        <w:t>P</w:t>
      </w:r>
      <w:r w:rsidR="00821DDA">
        <w:rPr>
          <w:rFonts w:ascii="Palatino Linotype" w:hAnsi="Palatino Linotype"/>
          <w:szCs w:val="26"/>
        </w:rPr>
        <w:t>eco</w:t>
      </w:r>
      <w:proofErr w:type="spellEnd"/>
      <w:r w:rsidRPr="001A1EC8" w:rsidR="00821DDA">
        <w:rPr>
          <w:rFonts w:ascii="Palatino Linotype" w:hAnsi="Palatino Linotype"/>
          <w:szCs w:val="26"/>
        </w:rPr>
        <w:t xml:space="preserve"> </w:t>
      </w:r>
      <w:r w:rsidR="00821DDA">
        <w:rPr>
          <w:rFonts w:ascii="Palatino Linotype" w:hAnsi="Palatino Linotype"/>
          <w:szCs w:val="26"/>
        </w:rPr>
        <w:t xml:space="preserve">Electric (Liberty) </w:t>
      </w:r>
      <w:r w:rsidRPr="001A1EC8">
        <w:rPr>
          <w:rFonts w:ascii="Palatino Linotype" w:hAnsi="Palatino Linotype"/>
          <w:szCs w:val="26"/>
        </w:rPr>
        <w:t xml:space="preserve">AL 143-E, </w:t>
      </w:r>
    </w:p>
    <w:p w:rsidRPr="001A1EC8" w:rsidR="00755CD4" w:rsidP="00F3141C" w:rsidRDefault="00755CD4" w14:paraId="2D2A94B9" w14:textId="41B3BD70">
      <w:pPr>
        <w:pStyle w:val="Res-Caption"/>
        <w:ind w:left="990"/>
        <w:rPr>
          <w:rFonts w:ascii="Palatino Linotype" w:hAnsi="Palatino Linotype"/>
          <w:szCs w:val="26"/>
        </w:rPr>
      </w:pPr>
      <w:r w:rsidRPr="001A1EC8">
        <w:rPr>
          <w:rFonts w:ascii="Palatino Linotype" w:hAnsi="Palatino Linotype"/>
          <w:szCs w:val="26"/>
        </w:rPr>
        <w:t xml:space="preserve">filed May 27, </w:t>
      </w:r>
      <w:proofErr w:type="gramStart"/>
      <w:r w:rsidRPr="001A1EC8">
        <w:rPr>
          <w:rFonts w:ascii="Palatino Linotype" w:hAnsi="Palatino Linotype"/>
          <w:szCs w:val="26"/>
        </w:rPr>
        <w:t>2020;</w:t>
      </w:r>
      <w:proofErr w:type="gramEnd"/>
    </w:p>
    <w:p w:rsidRPr="001A1EC8" w:rsidR="00755CD4" w:rsidP="00F3141C" w:rsidRDefault="00755CD4" w14:paraId="559838ED" w14:textId="77777777">
      <w:pPr>
        <w:pStyle w:val="Res-Caption"/>
        <w:ind w:left="990"/>
        <w:rPr>
          <w:rFonts w:ascii="Palatino Linotype" w:hAnsi="Palatino Linotype"/>
          <w:szCs w:val="26"/>
        </w:rPr>
      </w:pPr>
      <w:r w:rsidRPr="001A1EC8">
        <w:rPr>
          <w:rFonts w:ascii="Palatino Linotype" w:hAnsi="Palatino Linotype"/>
          <w:szCs w:val="26"/>
        </w:rPr>
        <w:t xml:space="preserve">PacifiCorp AL 616-E, filed May 29, </w:t>
      </w:r>
      <w:proofErr w:type="gramStart"/>
      <w:r w:rsidRPr="001A1EC8">
        <w:rPr>
          <w:rFonts w:ascii="Palatino Linotype" w:hAnsi="Palatino Linotype"/>
          <w:szCs w:val="26"/>
        </w:rPr>
        <w:t>2020;</w:t>
      </w:r>
      <w:proofErr w:type="gramEnd"/>
    </w:p>
    <w:p w:rsidRPr="001A1EC8" w:rsidR="00755CD4" w:rsidP="00F3141C" w:rsidRDefault="00755CD4" w14:paraId="4BCCAD05" w14:textId="43CDFBA4">
      <w:pPr>
        <w:pStyle w:val="Res-Caption"/>
        <w:ind w:left="990"/>
        <w:rPr>
          <w:rFonts w:ascii="Palatino Linotype" w:hAnsi="Palatino Linotype"/>
          <w:szCs w:val="26"/>
        </w:rPr>
      </w:pPr>
      <w:r w:rsidRPr="001A1EC8">
        <w:rPr>
          <w:rFonts w:ascii="Palatino Linotype" w:hAnsi="Palatino Linotype"/>
          <w:szCs w:val="26"/>
        </w:rPr>
        <w:t>Bear Valley Electric Service (B</w:t>
      </w:r>
      <w:r w:rsidR="00821DDA">
        <w:rPr>
          <w:rFonts w:ascii="Palatino Linotype" w:hAnsi="Palatino Linotype"/>
          <w:szCs w:val="26"/>
        </w:rPr>
        <w:t>V</w:t>
      </w:r>
      <w:r w:rsidRPr="001A1EC8">
        <w:rPr>
          <w:rFonts w:ascii="Palatino Linotype" w:hAnsi="Palatino Linotype"/>
          <w:szCs w:val="26"/>
        </w:rPr>
        <w:t xml:space="preserve">ES) </w:t>
      </w:r>
      <w:r w:rsidR="00821DDA">
        <w:rPr>
          <w:rFonts w:ascii="Palatino Linotype" w:hAnsi="Palatino Linotype"/>
          <w:szCs w:val="26"/>
        </w:rPr>
        <w:t>AL 390</w:t>
      </w:r>
      <w:r w:rsidRPr="001A1EC8">
        <w:rPr>
          <w:rFonts w:ascii="Palatino Linotype" w:hAnsi="Palatino Linotype"/>
          <w:szCs w:val="26"/>
        </w:rPr>
        <w:t>-E,</w:t>
      </w:r>
      <w:r w:rsidR="00F3141C">
        <w:rPr>
          <w:rFonts w:ascii="Palatino Linotype" w:hAnsi="Palatino Linotype"/>
          <w:szCs w:val="26"/>
        </w:rPr>
        <w:t xml:space="preserve"> </w:t>
      </w:r>
      <w:r w:rsidRPr="001A1EC8">
        <w:rPr>
          <w:rFonts w:ascii="Palatino Linotype" w:hAnsi="Palatino Linotype"/>
          <w:szCs w:val="26"/>
        </w:rPr>
        <w:t xml:space="preserve">filed May 29, </w:t>
      </w:r>
      <w:proofErr w:type="gramStart"/>
      <w:r w:rsidRPr="001A1EC8">
        <w:rPr>
          <w:rFonts w:ascii="Palatino Linotype" w:hAnsi="Palatino Linotype"/>
          <w:szCs w:val="26"/>
        </w:rPr>
        <w:t>2020;</w:t>
      </w:r>
      <w:proofErr w:type="gramEnd"/>
    </w:p>
    <w:p w:rsidRPr="001A1EC8" w:rsidR="00755CD4" w:rsidP="00F3141C" w:rsidRDefault="00755CD4" w14:paraId="06167941" w14:textId="3983EFC3">
      <w:pPr>
        <w:pStyle w:val="Res-Caption"/>
        <w:ind w:left="990"/>
        <w:rPr>
          <w:rFonts w:ascii="Palatino Linotype" w:hAnsi="Palatino Linotype"/>
          <w:szCs w:val="26"/>
        </w:rPr>
      </w:pPr>
      <w:r w:rsidRPr="001A1EC8">
        <w:rPr>
          <w:rFonts w:ascii="Palatino Linotype" w:hAnsi="Palatino Linotype"/>
          <w:szCs w:val="26"/>
        </w:rPr>
        <w:t xml:space="preserve">Pacific Gas and Electric (PG&amp;E) AL 5837-E, filed June 1, </w:t>
      </w:r>
      <w:proofErr w:type="gramStart"/>
      <w:r w:rsidRPr="001A1EC8">
        <w:rPr>
          <w:rFonts w:ascii="Palatino Linotype" w:hAnsi="Palatino Linotype"/>
          <w:szCs w:val="26"/>
        </w:rPr>
        <w:t>2020;</w:t>
      </w:r>
      <w:proofErr w:type="gramEnd"/>
    </w:p>
    <w:p w:rsidRPr="001A1EC8" w:rsidR="005A1157" w:rsidP="00F3141C" w:rsidRDefault="005A1157" w14:paraId="4A1DFFAA" w14:textId="59AAC983">
      <w:pPr>
        <w:pStyle w:val="Res-Caption"/>
        <w:ind w:left="990"/>
        <w:rPr>
          <w:rFonts w:ascii="Palatino Linotype" w:hAnsi="Palatino Linotype"/>
          <w:szCs w:val="26"/>
        </w:rPr>
      </w:pPr>
      <w:r w:rsidRPr="001A1EC8">
        <w:rPr>
          <w:rFonts w:ascii="Palatino Linotype" w:hAnsi="Palatino Linotype"/>
          <w:szCs w:val="26"/>
        </w:rPr>
        <w:t>San Diego Gas &amp; Electric (SDG&amp;E) AL 3549-E, filed June 1, 2020;</w:t>
      </w:r>
      <w:r w:rsidR="00F3141C">
        <w:rPr>
          <w:rFonts w:ascii="Palatino Linotype" w:hAnsi="Palatino Linotype"/>
          <w:szCs w:val="26"/>
        </w:rPr>
        <w:t xml:space="preserve"> a</w:t>
      </w:r>
      <w:r w:rsidRPr="001A1EC8">
        <w:rPr>
          <w:rFonts w:ascii="Palatino Linotype" w:hAnsi="Palatino Linotype"/>
          <w:szCs w:val="26"/>
        </w:rPr>
        <w:t>nd</w:t>
      </w:r>
    </w:p>
    <w:p w:rsidRPr="001A1EC8" w:rsidR="00755CD4" w:rsidP="00F3141C" w:rsidRDefault="00755CD4" w14:paraId="27365D53" w14:textId="503B9393">
      <w:pPr>
        <w:pStyle w:val="Res-Caption"/>
        <w:ind w:left="990"/>
        <w:rPr>
          <w:rFonts w:ascii="Palatino Linotype" w:hAnsi="Palatino Linotype"/>
          <w:szCs w:val="26"/>
        </w:rPr>
      </w:pPr>
      <w:proofErr w:type="gramStart"/>
      <w:r w:rsidRPr="001A1EC8">
        <w:rPr>
          <w:rFonts w:ascii="Palatino Linotype" w:hAnsi="Palatino Linotype"/>
          <w:szCs w:val="26"/>
        </w:rPr>
        <w:t>Southern California Edison (SCE) AL 4222-E,</w:t>
      </w:r>
      <w:proofErr w:type="gramEnd"/>
      <w:r w:rsidRPr="001A1EC8">
        <w:rPr>
          <w:rFonts w:ascii="Palatino Linotype" w:hAnsi="Palatino Linotype"/>
          <w:szCs w:val="26"/>
        </w:rPr>
        <w:t xml:space="preserve"> filed June 1, 2020</w:t>
      </w:r>
      <w:r w:rsidRPr="001A1EC8" w:rsidR="005A1157">
        <w:rPr>
          <w:rFonts w:ascii="Palatino Linotype" w:hAnsi="Palatino Linotype"/>
          <w:szCs w:val="26"/>
        </w:rPr>
        <w:t>.</w:t>
      </w:r>
    </w:p>
    <w:p w:rsidR="00755CD4" w:rsidP="00755CD4" w:rsidRDefault="00755CD4" w14:paraId="00E44ABB" w14:textId="77777777">
      <w:pPr>
        <w:pStyle w:val="Res-Caption"/>
        <w:rPr>
          <w:szCs w:val="26"/>
        </w:rPr>
      </w:pPr>
    </w:p>
    <w:p w:rsidRPr="001A1EC8" w:rsidR="00755CD4" w:rsidP="00755CD4" w:rsidRDefault="00755CD4" w14:paraId="51138A53" w14:textId="77777777">
      <w:pPr>
        <w:pStyle w:val="Res-Caption"/>
        <w:rPr>
          <w:rFonts w:ascii="Palatino Linotype" w:hAnsi="Palatino Linotype"/>
          <w:szCs w:val="26"/>
        </w:rPr>
      </w:pPr>
      <w:r w:rsidRPr="001A1EC8">
        <w:rPr>
          <w:rFonts w:ascii="Palatino Linotype" w:hAnsi="Palatino Linotype"/>
          <w:szCs w:val="26"/>
        </w:rPr>
        <w:t>Three of the ALs (PG&amp;E, SCE and SDG&amp;E) were timely protested by Protect Our Communities Foundation (PCF).  The others did not receive any protests and were non-controversial.</w:t>
      </w:r>
    </w:p>
    <w:p w:rsidRPr="001A1EC8" w:rsidR="00755CD4" w:rsidP="00EF7C31" w:rsidRDefault="00755CD4" w14:paraId="309BEFD7" w14:textId="77777777">
      <w:pPr>
        <w:pStyle w:val="Res-Caption"/>
        <w:rPr>
          <w:rFonts w:ascii="Palatino Linotype" w:hAnsi="Palatino Linotype"/>
        </w:rPr>
      </w:pPr>
    </w:p>
    <w:p w:rsidRPr="001A1EC8" w:rsidR="00102FCE" w:rsidP="00102FCE" w:rsidRDefault="00102FCE" w14:paraId="10B7B162" w14:textId="7F8E0EE8">
      <w:pPr>
        <w:pStyle w:val="Res-Caption"/>
        <w:rPr>
          <w:rFonts w:ascii="Palatino Linotype" w:hAnsi="Palatino Linotype"/>
          <w:szCs w:val="26"/>
        </w:rPr>
      </w:pPr>
      <w:r w:rsidRPr="001A1EC8">
        <w:rPr>
          <w:rFonts w:ascii="Palatino Linotype" w:hAnsi="Palatino Linotype"/>
          <w:szCs w:val="26"/>
        </w:rPr>
        <w:t>PROPOSED OUTCOME:</w:t>
      </w:r>
    </w:p>
    <w:p w:rsidRPr="001A1EC8" w:rsidR="00102FCE" w:rsidP="00701C92" w:rsidRDefault="00102FCE" w14:paraId="4DDFC4ED" w14:textId="692D1EF2">
      <w:pPr>
        <w:pStyle w:val="Res-Caption"/>
        <w:numPr>
          <w:ilvl w:val="0"/>
          <w:numId w:val="34"/>
        </w:numPr>
        <w:rPr>
          <w:rFonts w:ascii="Palatino Linotype" w:hAnsi="Palatino Linotype"/>
          <w:szCs w:val="26"/>
        </w:rPr>
      </w:pPr>
      <w:r w:rsidRPr="001A1EC8">
        <w:rPr>
          <w:rFonts w:ascii="Palatino Linotype" w:hAnsi="Palatino Linotype"/>
          <w:szCs w:val="26"/>
        </w:rPr>
        <w:t>This Resolution rejects PCF</w:t>
      </w:r>
      <w:r w:rsidRPr="001A1EC8" w:rsidR="00755CD4">
        <w:rPr>
          <w:rFonts w:ascii="Palatino Linotype" w:hAnsi="Palatino Linotype"/>
          <w:szCs w:val="26"/>
        </w:rPr>
        <w:t>'</w:t>
      </w:r>
      <w:r w:rsidRPr="001A1EC8">
        <w:rPr>
          <w:rFonts w:ascii="Palatino Linotype" w:hAnsi="Palatino Linotype"/>
          <w:szCs w:val="26"/>
        </w:rPr>
        <w:t xml:space="preserve">s protests and </w:t>
      </w:r>
      <w:r w:rsidRPr="001A1EC8" w:rsidR="0020605D">
        <w:rPr>
          <w:rFonts w:ascii="Palatino Linotype" w:hAnsi="Palatino Linotype"/>
          <w:szCs w:val="26"/>
        </w:rPr>
        <w:t>grants approval</w:t>
      </w:r>
      <w:r w:rsidRPr="001A1EC8" w:rsidR="00B5193B">
        <w:rPr>
          <w:rFonts w:ascii="Palatino Linotype" w:hAnsi="Palatino Linotype"/>
          <w:szCs w:val="26"/>
        </w:rPr>
        <w:t xml:space="preserve"> for</w:t>
      </w:r>
      <w:r w:rsidRPr="001A1EC8">
        <w:rPr>
          <w:rFonts w:ascii="Palatino Linotype" w:hAnsi="Palatino Linotype"/>
          <w:szCs w:val="26"/>
        </w:rPr>
        <w:t xml:space="preserve"> all six ALs, effective as of the dates of their initial filing.</w:t>
      </w:r>
    </w:p>
    <w:p w:rsidRPr="001A1EC8" w:rsidR="00755CD4" w:rsidP="00102FCE" w:rsidRDefault="00755CD4" w14:paraId="5557794B" w14:textId="059B8184">
      <w:pPr>
        <w:pStyle w:val="Res-Caption"/>
        <w:rPr>
          <w:rFonts w:ascii="Palatino Linotype" w:hAnsi="Palatino Linotype"/>
          <w:szCs w:val="26"/>
        </w:rPr>
      </w:pPr>
    </w:p>
    <w:p w:rsidRPr="001A1EC8" w:rsidR="004F5685" w:rsidP="00017878" w:rsidRDefault="004F5685" w14:paraId="7C9827F4" w14:textId="77777777">
      <w:pPr>
        <w:autoSpaceDE w:val="0"/>
        <w:autoSpaceDN w:val="0"/>
        <w:adjustRightInd w:val="0"/>
        <w:ind w:left="720"/>
        <w:rPr>
          <w:rFonts w:ascii="Palatino Linotype" w:hAnsi="Palatino Linotype" w:cs="Palatino Linotype"/>
          <w:color w:val="000000"/>
          <w:szCs w:val="26"/>
        </w:rPr>
      </w:pPr>
      <w:r w:rsidRPr="001A1EC8">
        <w:rPr>
          <w:rFonts w:ascii="Palatino Linotype" w:hAnsi="Palatino Linotype" w:cs="Palatino Linotype"/>
          <w:color w:val="000000"/>
          <w:szCs w:val="26"/>
        </w:rPr>
        <w:t xml:space="preserve">SAFETY CONSIDERATIONS: </w:t>
      </w:r>
    </w:p>
    <w:p w:rsidRPr="001A1EC8" w:rsidR="004F5685" w:rsidP="004F5685" w:rsidRDefault="004F5685" w14:paraId="7441B818" w14:textId="1891E83F">
      <w:pPr>
        <w:numPr>
          <w:ilvl w:val="0"/>
          <w:numId w:val="43"/>
        </w:numPr>
        <w:autoSpaceDE w:val="0"/>
        <w:autoSpaceDN w:val="0"/>
        <w:adjustRightInd w:val="0"/>
        <w:rPr>
          <w:rFonts w:ascii="Palatino Linotype" w:hAnsi="Palatino Linotype" w:cs="Palatino Linotype"/>
          <w:color w:val="000000"/>
          <w:szCs w:val="26"/>
        </w:rPr>
      </w:pPr>
      <w:r w:rsidRPr="001A1EC8">
        <w:rPr>
          <w:rFonts w:ascii="Palatino Linotype" w:hAnsi="Palatino Linotype" w:cs="Palatino Linotype"/>
          <w:color w:val="000000"/>
          <w:szCs w:val="26"/>
        </w:rPr>
        <w:t xml:space="preserve">Mitigation of catastrophic wildfires in California is among the most important safety challenges the Commission-regulated electrical corporations face. WMPs </w:t>
      </w:r>
      <w:r w:rsidR="00821DDA">
        <w:rPr>
          <w:rFonts w:ascii="Palatino Linotype" w:hAnsi="Palatino Linotype" w:cs="Palatino Linotype"/>
          <w:color w:val="000000"/>
          <w:szCs w:val="26"/>
        </w:rPr>
        <w:t>detail the</w:t>
      </w:r>
      <w:r w:rsidRPr="001A1EC8">
        <w:rPr>
          <w:rFonts w:ascii="Palatino Linotype" w:hAnsi="Palatino Linotype" w:cs="Palatino Linotype"/>
          <w:color w:val="000000"/>
          <w:szCs w:val="26"/>
        </w:rPr>
        <w:t xml:space="preserve"> electrical corporations</w:t>
      </w:r>
      <w:r w:rsidR="00821DDA">
        <w:rPr>
          <w:rFonts w:ascii="Palatino Linotype" w:hAnsi="Palatino Linotype" w:cs="Palatino Linotype"/>
          <w:color w:val="000000"/>
          <w:szCs w:val="26"/>
        </w:rPr>
        <w:t>’</w:t>
      </w:r>
      <w:r w:rsidRPr="001A1EC8">
        <w:rPr>
          <w:rFonts w:ascii="Palatino Linotype" w:hAnsi="Palatino Linotype" w:cs="Palatino Linotype"/>
          <w:color w:val="000000"/>
          <w:szCs w:val="26"/>
        </w:rPr>
        <w:t xml:space="preserve"> proposed actions to help prevent catastrophic wildfire, so comprehensive WMPs are essential to safety. </w:t>
      </w:r>
    </w:p>
    <w:p w:rsidRPr="001A1EC8" w:rsidR="009F2957" w:rsidP="00102FCE" w:rsidRDefault="009F2957" w14:paraId="74117BAC" w14:textId="77777777">
      <w:pPr>
        <w:pStyle w:val="Res-Caption"/>
        <w:rPr>
          <w:rFonts w:ascii="Palatino Linotype" w:hAnsi="Palatino Linotype" w:cs="Palatino Linotype"/>
          <w:color w:val="000000"/>
          <w:szCs w:val="26"/>
        </w:rPr>
      </w:pPr>
    </w:p>
    <w:p w:rsidRPr="001A1EC8" w:rsidR="004F5685" w:rsidP="00017878" w:rsidRDefault="004F5685" w14:paraId="39C455E2" w14:textId="59AF11C6">
      <w:pPr>
        <w:pStyle w:val="Res-Caption"/>
        <w:numPr>
          <w:ilvl w:val="0"/>
          <w:numId w:val="43"/>
        </w:numPr>
        <w:rPr>
          <w:rFonts w:ascii="Palatino Linotype" w:hAnsi="Palatino Linotype"/>
          <w:szCs w:val="26"/>
        </w:rPr>
      </w:pPr>
      <w:r w:rsidRPr="001A1EC8">
        <w:rPr>
          <w:rFonts w:ascii="Palatino Linotype" w:hAnsi="Palatino Linotype" w:cs="Palatino Linotype"/>
          <w:color w:val="000000"/>
          <w:szCs w:val="26"/>
        </w:rPr>
        <w:t xml:space="preserve">The Off-Ramp process approved in D.19-11-036 allows utilities </w:t>
      </w:r>
      <w:r w:rsidRPr="001A1EC8" w:rsidR="009F2957">
        <w:rPr>
          <w:rFonts w:ascii="Palatino Linotype" w:hAnsi="Palatino Linotype" w:cs="Palatino Linotype"/>
          <w:color w:val="000000"/>
          <w:szCs w:val="26"/>
        </w:rPr>
        <w:t>t</w:t>
      </w:r>
      <w:r w:rsidRPr="001A1EC8">
        <w:rPr>
          <w:rFonts w:ascii="Palatino Linotype" w:hAnsi="Palatino Linotype" w:cs="Palatino Linotype"/>
          <w:color w:val="000000"/>
          <w:szCs w:val="26"/>
        </w:rPr>
        <w:t xml:space="preserve">o modify approved mitigations </w:t>
      </w:r>
      <w:r w:rsidRPr="001A1EC8" w:rsidR="009F2957">
        <w:rPr>
          <w:rFonts w:ascii="Palatino Linotype" w:hAnsi="Palatino Linotype" w:cs="Palatino Linotype"/>
          <w:color w:val="000000"/>
          <w:szCs w:val="26"/>
        </w:rPr>
        <w:t xml:space="preserve">so they </w:t>
      </w:r>
      <w:r w:rsidRPr="001A1EC8">
        <w:rPr>
          <w:rFonts w:ascii="Palatino Linotype" w:hAnsi="Palatino Linotype"/>
          <w:szCs w:val="26"/>
        </w:rPr>
        <w:t xml:space="preserve">do not continue mitigation measures that are not effective, and they have the flexibility to increase measures showing great promise. </w:t>
      </w:r>
    </w:p>
    <w:p w:rsidRPr="001A1EC8" w:rsidR="004F5685" w:rsidP="00102FCE" w:rsidRDefault="004F5685" w14:paraId="10BB89A0" w14:textId="77777777">
      <w:pPr>
        <w:pStyle w:val="Res-Caption"/>
        <w:rPr>
          <w:rFonts w:ascii="Palatino Linotype" w:hAnsi="Palatino Linotype"/>
        </w:rPr>
      </w:pPr>
    </w:p>
    <w:p w:rsidRPr="001A1EC8" w:rsidR="00102FCE" w:rsidP="00102FCE" w:rsidRDefault="00102FCE" w14:paraId="0E25D6E4" w14:textId="132BC1EE">
      <w:pPr>
        <w:pStyle w:val="Res-Caption"/>
        <w:rPr>
          <w:rFonts w:ascii="Palatino Linotype" w:hAnsi="Palatino Linotype"/>
        </w:rPr>
      </w:pPr>
      <w:r w:rsidRPr="001A1EC8">
        <w:rPr>
          <w:rFonts w:ascii="Palatino Linotype" w:hAnsi="Palatino Linotype"/>
        </w:rPr>
        <w:t xml:space="preserve">ESTIMATED COST: </w:t>
      </w:r>
    </w:p>
    <w:p w:rsidRPr="001A1EC8" w:rsidR="00102FCE" w:rsidP="00102FCE" w:rsidRDefault="00102FCE" w14:paraId="5CB1B3D4" w14:textId="77777777">
      <w:pPr>
        <w:pStyle w:val="Res-Caption"/>
        <w:numPr>
          <w:ilvl w:val="0"/>
          <w:numId w:val="13"/>
        </w:numPr>
        <w:rPr>
          <w:rFonts w:ascii="Palatino Linotype" w:hAnsi="Palatino Linotype"/>
        </w:rPr>
      </w:pPr>
      <w:r w:rsidRPr="001A1EC8">
        <w:rPr>
          <w:rFonts w:ascii="Palatino Linotype" w:hAnsi="Palatino Linotype"/>
        </w:rPr>
        <w:t xml:space="preserve">Nothing in this Resolution should be construed as approval of the costs associated with the WMP mitigation efforts. </w:t>
      </w:r>
    </w:p>
    <w:p w:rsidRPr="0007611D" w:rsidR="00821DDA" w:rsidP="00102FCE" w:rsidRDefault="00821DDA" w14:paraId="2559DA30" w14:textId="77777777">
      <w:pPr>
        <w:autoSpaceDE w:val="0"/>
        <w:autoSpaceDN w:val="0"/>
        <w:adjustRightInd w:val="0"/>
        <w:rPr>
          <w:rFonts w:ascii="Palatino Linotype" w:hAnsi="Palatino Linotype" w:cs="Palatino Linotype"/>
          <w:color w:val="000000"/>
          <w:sz w:val="24"/>
          <w:szCs w:val="24"/>
        </w:rPr>
      </w:pPr>
    </w:p>
    <w:p w:rsidRPr="00A213E2" w:rsidR="00102FCE" w:rsidP="00EF7C31" w:rsidRDefault="00F807C7" w14:paraId="2226542E" w14:textId="0D53BCDC">
      <w:pPr>
        <w:pStyle w:val="Res-Caption"/>
        <w:rPr>
          <w:b/>
          <w:bCs/>
          <w:szCs w:val="26"/>
          <w:u w:val="single"/>
        </w:rPr>
      </w:pPr>
      <w:r w:rsidRPr="00A213E2">
        <w:rPr>
          <w:b/>
          <w:bCs/>
          <w:szCs w:val="26"/>
          <w:u w:val="single"/>
        </w:rPr>
        <w:t>BACKGROUND</w:t>
      </w:r>
    </w:p>
    <w:p w:rsidRPr="00A213E2" w:rsidR="00102FCE" w:rsidP="00EF7C31" w:rsidRDefault="00102FCE" w14:paraId="43FC0E33" w14:textId="77777777">
      <w:pPr>
        <w:pStyle w:val="Res-Caption"/>
        <w:rPr>
          <w:szCs w:val="26"/>
        </w:rPr>
      </w:pPr>
    </w:p>
    <w:p w:rsidRPr="00A213E2" w:rsidR="00755CD4" w:rsidP="00701C92" w:rsidRDefault="00755CD4" w14:paraId="2797316F" w14:textId="48678136">
      <w:pPr>
        <w:spacing w:after="240"/>
        <w:ind w:left="720"/>
        <w:rPr>
          <w:rFonts w:ascii="Palatino" w:hAnsi="Palatino" w:eastAsia="Times New Roman" w:cs="Times New Roman"/>
          <w:szCs w:val="26"/>
        </w:rPr>
      </w:pPr>
      <w:r w:rsidRPr="00A213E2">
        <w:rPr>
          <w:rFonts w:ascii="Palatino" w:hAnsi="Palatino" w:eastAsia="Times New Roman" w:cs="Times New Roman"/>
          <w:szCs w:val="26"/>
        </w:rPr>
        <w:t xml:space="preserve">Catastrophic wildfires in 2017-19 led the California Legislature to pass Senate Bill (SB) 901 in 2018 and its successor </w:t>
      </w:r>
      <w:r w:rsidRPr="00A213E2" w:rsidR="00821DDA">
        <w:rPr>
          <w:rFonts w:ascii="Palatino" w:hAnsi="Palatino" w:eastAsia="Times New Roman" w:cs="Times New Roman"/>
          <w:szCs w:val="26"/>
        </w:rPr>
        <w:t>Assembly Bill (</w:t>
      </w:r>
      <w:r w:rsidRPr="00A213E2">
        <w:rPr>
          <w:rFonts w:ascii="Palatino" w:hAnsi="Palatino" w:eastAsia="Times New Roman" w:cs="Times New Roman"/>
          <w:szCs w:val="26"/>
        </w:rPr>
        <w:t>AB</w:t>
      </w:r>
      <w:r w:rsidRPr="00A213E2" w:rsidR="00821DDA">
        <w:rPr>
          <w:rFonts w:ascii="Palatino" w:hAnsi="Palatino" w:eastAsia="Times New Roman" w:cs="Times New Roman"/>
          <w:szCs w:val="26"/>
        </w:rPr>
        <w:t>)</w:t>
      </w:r>
      <w:r w:rsidRPr="00A213E2">
        <w:rPr>
          <w:rFonts w:ascii="Palatino" w:hAnsi="Palatino" w:eastAsia="Times New Roman" w:cs="Times New Roman"/>
          <w:szCs w:val="26"/>
        </w:rPr>
        <w:t xml:space="preserve"> 1054 in 2019, as well as AB 111. SB 901 and AB 1054 contain detailed requirements for electrical corporations’ WMPs and provide a 90-day review cycle of WMPs by the </w:t>
      </w:r>
      <w:r w:rsidRPr="00A213E2" w:rsidR="00821DDA">
        <w:rPr>
          <w:rFonts w:ascii="Palatino" w:hAnsi="Palatino" w:eastAsia="Times New Roman" w:cs="Times New Roman"/>
          <w:szCs w:val="26"/>
        </w:rPr>
        <w:t>Wildfire Safety Division (</w:t>
      </w:r>
      <w:r w:rsidRPr="00A213E2">
        <w:rPr>
          <w:rFonts w:ascii="Palatino" w:hAnsi="Palatino" w:eastAsia="Times New Roman" w:cs="Times New Roman"/>
          <w:szCs w:val="26"/>
        </w:rPr>
        <w:t>WSD</w:t>
      </w:r>
      <w:r w:rsidRPr="00A213E2" w:rsidR="00821DDA">
        <w:rPr>
          <w:rFonts w:ascii="Palatino" w:hAnsi="Palatino" w:eastAsia="Times New Roman" w:cs="Times New Roman"/>
          <w:szCs w:val="26"/>
        </w:rPr>
        <w:t>)</w:t>
      </w:r>
      <w:r w:rsidRPr="00A213E2">
        <w:rPr>
          <w:rFonts w:ascii="Palatino" w:hAnsi="Palatino" w:eastAsia="Times New Roman" w:cs="Times New Roman"/>
          <w:szCs w:val="26"/>
        </w:rPr>
        <w:t xml:space="preserve">. AB 111 establishes a new division, the WSD,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dispensing of the 2019 WMPs also added additional requirements for the 2020 WMPs. </w:t>
      </w:r>
    </w:p>
    <w:p w:rsidRPr="00A213E2" w:rsidR="00B36C7F" w:rsidP="00701C92" w:rsidRDefault="00DB0176" w14:paraId="70D4F179" w14:textId="380DC115">
      <w:pPr>
        <w:pStyle w:val="Standard"/>
        <w:ind w:left="720"/>
        <w:rPr>
          <w:szCs w:val="26"/>
        </w:rPr>
      </w:pPr>
      <w:r w:rsidRPr="00A213E2">
        <w:rPr>
          <w:rFonts w:ascii="Palatino" w:hAnsi="Palatino" w:eastAsia="Times New Roman" w:cs="Times New Roman"/>
          <w:szCs w:val="26"/>
        </w:rPr>
        <w:lastRenderedPageBreak/>
        <w:t>T</w:t>
      </w:r>
      <w:r w:rsidRPr="00A213E2" w:rsidR="00755CD4">
        <w:rPr>
          <w:rFonts w:ascii="Palatino" w:hAnsi="Palatino" w:eastAsia="Times New Roman" w:cs="Times New Roman"/>
          <w:szCs w:val="26"/>
        </w:rPr>
        <w:t xml:space="preserve">he Commission issued its </w:t>
      </w:r>
      <w:r w:rsidRPr="00A213E2">
        <w:rPr>
          <w:rFonts w:ascii="Palatino" w:hAnsi="Palatino" w:eastAsia="Times New Roman" w:cs="Times New Roman"/>
          <w:szCs w:val="26"/>
        </w:rPr>
        <w:t xml:space="preserve">2019 </w:t>
      </w:r>
      <w:r w:rsidRPr="00A213E2" w:rsidR="00755CD4">
        <w:rPr>
          <w:rFonts w:ascii="Palatino" w:hAnsi="Palatino" w:eastAsia="Times New Roman" w:cs="Times New Roman"/>
          <w:szCs w:val="26"/>
        </w:rPr>
        <w:t>WMP decisions on May 30, 2019</w:t>
      </w:r>
      <w:r w:rsidRPr="00A213E2">
        <w:rPr>
          <w:rFonts w:ascii="Palatino" w:hAnsi="Palatino" w:eastAsia="Times New Roman" w:cs="Times New Roman"/>
          <w:szCs w:val="26"/>
        </w:rPr>
        <w:t>.</w:t>
      </w:r>
      <w:r w:rsidRPr="00A213E2" w:rsidR="00755CD4">
        <w:rPr>
          <w:rStyle w:val="FootnoteReference"/>
          <w:rFonts w:ascii="Palatino" w:hAnsi="Palatino" w:eastAsia="Times New Roman" w:cs="Times New Roman"/>
          <w:szCs w:val="26"/>
        </w:rPr>
        <w:footnoteReference w:id="2"/>
      </w:r>
      <w:r w:rsidRPr="00A213E2" w:rsidR="00755CD4">
        <w:rPr>
          <w:rFonts w:ascii="Palatino" w:hAnsi="Palatino" w:eastAsia="Times New Roman" w:cs="Times New Roman"/>
          <w:szCs w:val="26"/>
        </w:rPr>
        <w:t xml:space="preserve"> </w:t>
      </w:r>
      <w:r w:rsidRPr="00A213E2" w:rsidR="00821DDA">
        <w:rPr>
          <w:rFonts w:ascii="Palatino" w:hAnsi="Palatino" w:eastAsia="Times New Roman" w:cs="Times New Roman"/>
          <w:szCs w:val="26"/>
        </w:rPr>
        <w:t xml:space="preserve"> </w:t>
      </w:r>
      <w:r w:rsidRPr="00A213E2">
        <w:rPr>
          <w:szCs w:val="26"/>
        </w:rPr>
        <w:t xml:space="preserve">The overarching “Phase 1 Guidance Decision” </w:t>
      </w:r>
      <w:r w:rsidRPr="00A213E2" w:rsidR="00102FCE">
        <w:rPr>
          <w:szCs w:val="26"/>
        </w:rPr>
        <w:t xml:space="preserve">D. 19-05-036 </w:t>
      </w:r>
      <w:r w:rsidRPr="00A213E2" w:rsidR="00821DDA">
        <w:rPr>
          <w:szCs w:val="26"/>
        </w:rPr>
        <w:t>Ordering Paragraph (</w:t>
      </w:r>
      <w:r w:rsidRPr="00A213E2" w:rsidR="00EF7C31">
        <w:rPr>
          <w:szCs w:val="26"/>
        </w:rPr>
        <w:t>OP</w:t>
      </w:r>
      <w:r w:rsidRPr="00A213E2" w:rsidR="00821DDA">
        <w:rPr>
          <w:szCs w:val="26"/>
        </w:rPr>
        <w:t>)</w:t>
      </w:r>
      <w:r w:rsidRPr="00A213E2" w:rsidR="00EF7C31">
        <w:rPr>
          <w:szCs w:val="26"/>
        </w:rPr>
        <w:t xml:space="preserve"> 1 directed each utility to file two sets of Tier 3 ALs, at six-month intervals following approval of their 2019 WMPs</w:t>
      </w:r>
      <w:r w:rsidRPr="00A213E2" w:rsidR="00D36787">
        <w:rPr>
          <w:szCs w:val="26"/>
        </w:rPr>
        <w:t>, with the AL providing a report on any concerns the utility might have about the feasibility of its mitigation plans</w:t>
      </w:r>
      <w:r w:rsidRPr="00A213E2" w:rsidR="00EF7C31">
        <w:rPr>
          <w:szCs w:val="26"/>
        </w:rPr>
        <w:t xml:space="preserve">.  </w:t>
      </w:r>
      <w:r w:rsidRPr="00A213E2" w:rsidR="00B36C7F">
        <w:rPr>
          <w:szCs w:val="26"/>
        </w:rPr>
        <w:t>Each report should clearly describe any concern the utility might have about the effectiveness of any mitigation programs approved as part of its WMP, "contain a specific proposal for action, including if applicable a recommendation to reduce or end the specific mitigation identified, and include any expert or other authoritative information available on the efficacy of the mitigation."</w:t>
      </w:r>
      <w:r w:rsidRPr="00A213E2" w:rsidR="00B807D4">
        <w:rPr>
          <w:rStyle w:val="FootnoteReference"/>
          <w:szCs w:val="26"/>
        </w:rPr>
        <w:footnoteReference w:id="3"/>
      </w:r>
    </w:p>
    <w:p w:rsidRPr="00A213E2" w:rsidR="00B36C7F" w:rsidP="00EF7C31" w:rsidRDefault="00B36C7F" w14:paraId="2FFF9E43" w14:textId="28953EEA">
      <w:pPr>
        <w:pStyle w:val="Res-Caption"/>
        <w:rPr>
          <w:szCs w:val="26"/>
        </w:rPr>
      </w:pPr>
      <w:r w:rsidRPr="00A213E2">
        <w:rPr>
          <w:szCs w:val="26"/>
        </w:rPr>
        <w:t xml:space="preserve">These ALs represent the second set of Off Ramp filings. The </w:t>
      </w:r>
      <w:r w:rsidRPr="00A213E2" w:rsidR="00B807D4">
        <w:rPr>
          <w:szCs w:val="26"/>
        </w:rPr>
        <w:t>i</w:t>
      </w:r>
      <w:r w:rsidRPr="00A213E2">
        <w:rPr>
          <w:szCs w:val="26"/>
        </w:rPr>
        <w:t xml:space="preserve">nitial set of Off Ramp ALs were addressed </w:t>
      </w:r>
      <w:r w:rsidRPr="00A213E2" w:rsidR="00B5193B">
        <w:rPr>
          <w:szCs w:val="26"/>
        </w:rPr>
        <w:t>i</w:t>
      </w:r>
      <w:r w:rsidRPr="00A213E2">
        <w:rPr>
          <w:szCs w:val="26"/>
        </w:rPr>
        <w:t>n D. 20-03-004, rather than via Resolution, because they required legal interpretation of the Guidance Decision.</w:t>
      </w:r>
      <w:r w:rsidRPr="00A213E2">
        <w:rPr>
          <w:rStyle w:val="FootnoteReference"/>
          <w:szCs w:val="26"/>
        </w:rPr>
        <w:footnoteReference w:id="4"/>
      </w:r>
      <w:r w:rsidRPr="00A213E2">
        <w:rPr>
          <w:szCs w:val="26"/>
        </w:rPr>
        <w:t xml:space="preserve"> </w:t>
      </w:r>
    </w:p>
    <w:p w:rsidRPr="00A213E2" w:rsidR="00253408" w:rsidP="00EF7C31" w:rsidRDefault="00253408" w14:paraId="4E5D3603" w14:textId="68EDE7A1">
      <w:pPr>
        <w:pStyle w:val="Res-Caption"/>
        <w:rPr>
          <w:szCs w:val="26"/>
        </w:rPr>
      </w:pPr>
    </w:p>
    <w:p w:rsidRPr="00A213E2" w:rsidR="00253408" w:rsidP="00EF7C31" w:rsidRDefault="00253408" w14:paraId="09DC03D4" w14:textId="290EBA81">
      <w:pPr>
        <w:pStyle w:val="Res-Caption"/>
        <w:rPr>
          <w:szCs w:val="26"/>
        </w:rPr>
      </w:pPr>
      <w:r w:rsidRPr="00A213E2">
        <w:rPr>
          <w:szCs w:val="26"/>
        </w:rPr>
        <w:t xml:space="preserve">These Advice Letters and the projects described were part of the 2019 WMPs approved </w:t>
      </w:r>
      <w:r w:rsidRPr="00A213E2" w:rsidR="00E0586E">
        <w:rPr>
          <w:szCs w:val="26"/>
        </w:rPr>
        <w:t>i</w:t>
      </w:r>
      <w:r w:rsidRPr="00A213E2">
        <w:rPr>
          <w:szCs w:val="26"/>
        </w:rPr>
        <w:t>n May 2019.  Subsequently, the utilities filed and received conditional approval for 202</w:t>
      </w:r>
      <w:r w:rsidRPr="00A213E2" w:rsidR="00345C13">
        <w:rPr>
          <w:szCs w:val="26"/>
        </w:rPr>
        <w:t>0</w:t>
      </w:r>
      <w:r w:rsidRPr="00A213E2">
        <w:rPr>
          <w:szCs w:val="26"/>
        </w:rPr>
        <w:t xml:space="preserve"> WMPs on June 11, 2020.</w:t>
      </w:r>
      <w:r w:rsidRPr="00A213E2" w:rsidR="00E0586E">
        <w:rPr>
          <w:rStyle w:val="FootnoteReference"/>
          <w:szCs w:val="26"/>
        </w:rPr>
        <w:footnoteReference w:id="5"/>
      </w:r>
      <w:r w:rsidRPr="00A213E2">
        <w:rPr>
          <w:szCs w:val="26"/>
        </w:rPr>
        <w:t xml:space="preserve">  </w:t>
      </w:r>
      <w:r w:rsidRPr="00A213E2" w:rsidR="00345C13">
        <w:rPr>
          <w:szCs w:val="26"/>
        </w:rPr>
        <w:t xml:space="preserve">As described below, the modifications </w:t>
      </w:r>
      <w:r w:rsidRPr="00A213E2" w:rsidR="00D611F2">
        <w:rPr>
          <w:szCs w:val="26"/>
        </w:rPr>
        <w:t xml:space="preserve">described </w:t>
      </w:r>
      <w:r w:rsidRPr="00A213E2" w:rsidR="00345C13">
        <w:rPr>
          <w:szCs w:val="26"/>
        </w:rPr>
        <w:t xml:space="preserve">in these Off-Ramp reports have largely been incorporated into the 2020 WMPs.  </w:t>
      </w:r>
      <w:r w:rsidRPr="00A213E2">
        <w:rPr>
          <w:szCs w:val="26"/>
        </w:rPr>
        <w:t xml:space="preserve">As part of those </w:t>
      </w:r>
      <w:r w:rsidRPr="00A213E2" w:rsidR="00D611F2">
        <w:rPr>
          <w:szCs w:val="26"/>
        </w:rPr>
        <w:t xml:space="preserve">WMP </w:t>
      </w:r>
      <w:r w:rsidRPr="00A213E2">
        <w:rPr>
          <w:szCs w:val="26"/>
        </w:rPr>
        <w:t xml:space="preserve">approvals, a new system for </w:t>
      </w:r>
      <w:r w:rsidRPr="00A213E2" w:rsidR="00345C13">
        <w:rPr>
          <w:szCs w:val="26"/>
        </w:rPr>
        <w:t xml:space="preserve">reporting on changes to approved mitigations was instituted in Resolution WSD-002, calling for "Change </w:t>
      </w:r>
      <w:r w:rsidRPr="00A213E2" w:rsidR="00821DDA">
        <w:rPr>
          <w:szCs w:val="26"/>
        </w:rPr>
        <w:t xml:space="preserve">Order </w:t>
      </w:r>
      <w:r w:rsidRPr="00A213E2" w:rsidR="00345C13">
        <w:rPr>
          <w:szCs w:val="26"/>
        </w:rPr>
        <w:t>Report" filings to describe any modifications</w:t>
      </w:r>
      <w:r w:rsidRPr="00A213E2" w:rsidR="00650E9E">
        <w:rPr>
          <w:szCs w:val="26"/>
        </w:rPr>
        <w:t xml:space="preserve"> to</w:t>
      </w:r>
      <w:r w:rsidRPr="00A213E2" w:rsidR="00345C13">
        <w:rPr>
          <w:szCs w:val="26"/>
        </w:rPr>
        <w:t xml:space="preserve"> mitigation measures.  Therefore</w:t>
      </w:r>
      <w:r w:rsidRPr="00A213E2" w:rsidR="001523CA">
        <w:rPr>
          <w:szCs w:val="26"/>
        </w:rPr>
        <w:t>,</w:t>
      </w:r>
      <w:r w:rsidRPr="00A213E2" w:rsidR="00345C13">
        <w:rPr>
          <w:szCs w:val="26"/>
        </w:rPr>
        <w:t xml:space="preserve"> the Tier 3 AL reporting requirement imposed by D. 19-05-036 has been superseded.  </w:t>
      </w:r>
    </w:p>
    <w:p w:rsidRPr="00A213E2" w:rsidR="00EF7C31" w:rsidP="00EF7C31" w:rsidRDefault="00EF7C31" w14:paraId="707050A7" w14:textId="77777777">
      <w:pPr>
        <w:pStyle w:val="Res-Caption"/>
        <w:rPr>
          <w:szCs w:val="26"/>
        </w:rPr>
      </w:pPr>
    </w:p>
    <w:p w:rsidRPr="001A1EC8" w:rsidR="000C4B70" w:rsidP="000C4B70" w:rsidRDefault="000C4B70" w14:paraId="38D9B1DE" w14:textId="3A63422F">
      <w:pPr>
        <w:pStyle w:val="WMPHeading2"/>
        <w:numPr>
          <w:ilvl w:val="0"/>
          <w:numId w:val="0"/>
        </w:numPr>
        <w:ind w:left="1080" w:hanging="720"/>
        <w:rPr>
          <w:rFonts w:ascii="Palatino Linotype" w:hAnsi="Palatino Linotype"/>
        </w:rPr>
      </w:pPr>
      <w:r w:rsidRPr="001A1EC8">
        <w:rPr>
          <w:rFonts w:ascii="Palatino Linotype" w:hAnsi="Palatino Linotype"/>
        </w:rPr>
        <w:lastRenderedPageBreak/>
        <w:t xml:space="preserve">Description of the Advice Letters </w:t>
      </w:r>
    </w:p>
    <w:p w:rsidRPr="001A1EC8" w:rsidR="000C4B70" w:rsidP="00701C92" w:rsidRDefault="000C4B70" w14:paraId="0CEEEA61" w14:textId="68ED9EAB">
      <w:pPr>
        <w:pStyle w:val="Standard"/>
        <w:ind w:left="360"/>
        <w:rPr>
          <w:rFonts w:ascii="Palatino Linotype" w:hAnsi="Palatino Linotype"/>
        </w:rPr>
      </w:pPr>
      <w:r w:rsidRPr="001A1EC8">
        <w:rPr>
          <w:rFonts w:ascii="Palatino Linotype" w:hAnsi="Palatino Linotype"/>
          <w:b/>
          <w:bCs/>
        </w:rPr>
        <w:t>Liberty AL 143-E:</w:t>
      </w:r>
      <w:r w:rsidRPr="001A1EC8">
        <w:rPr>
          <w:rFonts w:ascii="Palatino Linotype" w:hAnsi="Palatino Linotype"/>
        </w:rPr>
        <w:t xml:space="preserve"> Liberty reported “no specific concerns about the effectiveness of any program in its 2019 WMP beyond concerns reported in [initial Off-Ramp AL] </w:t>
      </w:r>
      <w:r w:rsidRPr="001A1EC8" w:rsidR="008C56E0">
        <w:rPr>
          <w:rFonts w:ascii="Palatino Linotype" w:hAnsi="Palatino Linotype"/>
        </w:rPr>
        <w:t>133-E.</w:t>
      </w:r>
      <w:r w:rsidRPr="001A1EC8" w:rsidR="00D611F2">
        <w:rPr>
          <w:rFonts w:ascii="Palatino Linotype" w:hAnsi="Palatino Linotype"/>
        </w:rPr>
        <w:t>”</w:t>
      </w:r>
      <w:r w:rsidRPr="001A1EC8" w:rsidR="008C56E0">
        <w:rPr>
          <w:rFonts w:ascii="Palatino Linotype" w:hAnsi="Palatino Linotype"/>
        </w:rPr>
        <w:t xml:space="preserve"> </w:t>
      </w:r>
    </w:p>
    <w:p w:rsidRPr="001A1EC8" w:rsidR="00B807D4" w:rsidP="00701C92" w:rsidRDefault="008C56E0" w14:paraId="1316D71E" w14:textId="302B0DA9">
      <w:pPr>
        <w:pStyle w:val="Res-Caption"/>
        <w:ind w:left="360"/>
        <w:rPr>
          <w:rFonts w:ascii="Palatino Linotype" w:hAnsi="Palatino Linotype" w:cs="TimesNewRomanPSMT"/>
          <w:szCs w:val="26"/>
        </w:rPr>
      </w:pPr>
      <w:r w:rsidRPr="001A1EC8">
        <w:rPr>
          <w:rFonts w:ascii="Palatino Linotype" w:hAnsi="Palatino Linotype"/>
          <w:b/>
          <w:bCs/>
          <w:szCs w:val="26"/>
        </w:rPr>
        <w:t xml:space="preserve">PacifiCorp AL 616-E: </w:t>
      </w:r>
      <w:r w:rsidRPr="001A1EC8">
        <w:rPr>
          <w:rFonts w:ascii="Palatino Linotype" w:hAnsi="Palatino Linotype"/>
          <w:szCs w:val="26"/>
        </w:rPr>
        <w:t>PacifiCorp reported that it "</w:t>
      </w:r>
      <w:r w:rsidRPr="001A1EC8">
        <w:rPr>
          <w:rFonts w:ascii="Palatino Linotype" w:hAnsi="Palatino Linotype" w:cs="TimesNewRomanPSMT"/>
          <w:szCs w:val="26"/>
        </w:rPr>
        <w:t xml:space="preserve">does not have any </w:t>
      </w:r>
      <w:r w:rsidRPr="001A1EC8" w:rsidR="00BF1E8F">
        <w:rPr>
          <w:rFonts w:ascii="Palatino Linotype" w:hAnsi="Palatino Linotype" w:cs="TimesNewRomanPSMT"/>
          <w:szCs w:val="26"/>
        </w:rPr>
        <w:t>O</w:t>
      </w:r>
      <w:r w:rsidRPr="001A1EC8">
        <w:rPr>
          <w:rFonts w:ascii="Palatino Linotype" w:hAnsi="Palatino Linotype" w:cs="TimesNewRomanPSMT"/>
          <w:szCs w:val="26"/>
        </w:rPr>
        <w:t>ff-</w:t>
      </w:r>
      <w:r w:rsidRPr="001A1EC8" w:rsidR="00BF1E8F">
        <w:rPr>
          <w:rFonts w:ascii="Palatino Linotype" w:hAnsi="Palatino Linotype" w:cs="TimesNewRomanPSMT"/>
          <w:szCs w:val="26"/>
        </w:rPr>
        <w:t>R</w:t>
      </w:r>
      <w:r w:rsidRPr="001A1EC8">
        <w:rPr>
          <w:rFonts w:ascii="Palatino Linotype" w:hAnsi="Palatino Linotype" w:cs="TimesNewRomanPSMT"/>
          <w:szCs w:val="26"/>
        </w:rPr>
        <w:t>amp program candidates to report at this time.”</w:t>
      </w:r>
    </w:p>
    <w:p w:rsidRPr="001A1EC8" w:rsidR="00BF1E8F" w:rsidP="00701C92" w:rsidRDefault="00BF1E8F" w14:paraId="1BE7EF5C" w14:textId="2BD6524C">
      <w:pPr>
        <w:pStyle w:val="Res-Caption"/>
        <w:ind w:left="360"/>
        <w:rPr>
          <w:rFonts w:ascii="Palatino Linotype" w:hAnsi="Palatino Linotype"/>
          <w:szCs w:val="26"/>
        </w:rPr>
      </w:pPr>
    </w:p>
    <w:p w:rsidRPr="001A1EC8" w:rsidR="00BF1E8F" w:rsidP="00BF1E8F" w:rsidRDefault="00BF1E8F" w14:paraId="5D7D52F6" w14:textId="7EECED98">
      <w:pPr>
        <w:autoSpaceDE w:val="0"/>
        <w:autoSpaceDN w:val="0"/>
        <w:adjustRightInd w:val="0"/>
        <w:ind w:left="360"/>
        <w:rPr>
          <w:rFonts w:ascii="Palatino Linotype" w:hAnsi="Palatino Linotype" w:cs="Arial"/>
          <w:szCs w:val="26"/>
        </w:rPr>
      </w:pPr>
      <w:r w:rsidRPr="001A1EC8">
        <w:rPr>
          <w:rFonts w:ascii="Palatino Linotype" w:hAnsi="Palatino Linotype"/>
          <w:b/>
          <w:bCs/>
          <w:szCs w:val="26"/>
        </w:rPr>
        <w:t>PG&amp;E AL 5838-E:</w:t>
      </w:r>
      <w:r w:rsidRPr="001A1EC8">
        <w:rPr>
          <w:rFonts w:ascii="Palatino Linotype" w:hAnsi="Palatino Linotype"/>
          <w:szCs w:val="26"/>
        </w:rPr>
        <w:t xml:space="preserve"> PG&amp;E stated that it </w:t>
      </w:r>
      <w:r w:rsidRPr="001A1EC8">
        <w:rPr>
          <w:rFonts w:ascii="Palatino Linotype" w:hAnsi="Palatino Linotype" w:cs="Arial"/>
          <w:szCs w:val="26"/>
        </w:rPr>
        <w:t>has not identified concerns about the effectiveness of the programs identified in its approved 2019 WMP.</w:t>
      </w:r>
    </w:p>
    <w:p w:rsidRPr="001A1EC8" w:rsidR="00D611F2" w:rsidP="00BF1E8F" w:rsidRDefault="00D611F2" w14:paraId="6263DA80" w14:textId="77777777">
      <w:pPr>
        <w:autoSpaceDE w:val="0"/>
        <w:autoSpaceDN w:val="0"/>
        <w:adjustRightInd w:val="0"/>
        <w:ind w:left="360"/>
        <w:rPr>
          <w:rFonts w:ascii="Palatino Linotype" w:hAnsi="Palatino Linotype" w:cs="Arial"/>
          <w:szCs w:val="26"/>
        </w:rPr>
      </w:pPr>
    </w:p>
    <w:p w:rsidRPr="001A1EC8" w:rsidR="008C56E0" w:rsidP="00701C92" w:rsidRDefault="008C56E0" w14:paraId="7A2E5142" w14:textId="02B505B2">
      <w:pPr>
        <w:autoSpaceDE w:val="0"/>
        <w:autoSpaceDN w:val="0"/>
        <w:adjustRightInd w:val="0"/>
        <w:ind w:left="360"/>
        <w:rPr>
          <w:rFonts w:ascii="Palatino Linotype" w:hAnsi="Palatino Linotype" w:cs="Book Antiqua,Italic"/>
          <w:i/>
          <w:iCs/>
          <w:szCs w:val="26"/>
        </w:rPr>
      </w:pPr>
      <w:r w:rsidRPr="001A1EC8">
        <w:rPr>
          <w:rFonts w:ascii="Palatino Linotype" w:hAnsi="Palatino Linotype"/>
          <w:b/>
          <w:bCs/>
          <w:szCs w:val="26"/>
        </w:rPr>
        <w:t xml:space="preserve">BVES </w:t>
      </w:r>
      <w:r w:rsidR="00821DDA">
        <w:rPr>
          <w:rFonts w:ascii="Palatino Linotype" w:hAnsi="Palatino Linotype"/>
          <w:b/>
          <w:bCs/>
          <w:szCs w:val="26"/>
        </w:rPr>
        <w:t>390</w:t>
      </w:r>
      <w:r w:rsidRPr="001A1EC8">
        <w:rPr>
          <w:rFonts w:ascii="Palatino Linotype" w:hAnsi="Palatino Linotype"/>
          <w:b/>
          <w:bCs/>
          <w:szCs w:val="26"/>
        </w:rPr>
        <w:t>-E:</w:t>
      </w:r>
      <w:r w:rsidRPr="001A1EC8">
        <w:rPr>
          <w:rFonts w:ascii="Palatino Linotype" w:hAnsi="Palatino Linotype"/>
          <w:szCs w:val="26"/>
        </w:rPr>
        <w:t xml:space="preserve"> In </w:t>
      </w:r>
      <w:r w:rsidRPr="001A1EC8" w:rsidR="0020605D">
        <w:rPr>
          <w:rFonts w:ascii="Palatino Linotype" w:hAnsi="Palatino Linotype"/>
          <w:szCs w:val="26"/>
        </w:rPr>
        <w:t>i</w:t>
      </w:r>
      <w:r w:rsidRPr="001A1EC8">
        <w:rPr>
          <w:rFonts w:ascii="Palatino Linotype" w:hAnsi="Palatino Linotype"/>
          <w:szCs w:val="26"/>
        </w:rPr>
        <w:t xml:space="preserve">ts </w:t>
      </w:r>
      <w:r w:rsidRPr="001A1EC8" w:rsidR="00BF1E8F">
        <w:rPr>
          <w:rFonts w:ascii="Palatino Linotype" w:hAnsi="Palatino Linotype"/>
          <w:szCs w:val="26"/>
        </w:rPr>
        <w:t>i</w:t>
      </w:r>
      <w:r w:rsidRPr="001A1EC8">
        <w:rPr>
          <w:rFonts w:ascii="Palatino Linotype" w:hAnsi="Palatino Linotype"/>
          <w:szCs w:val="26"/>
        </w:rPr>
        <w:t xml:space="preserve">nitial Off-Ramp report, BVES had stated that its proposed </w:t>
      </w:r>
      <w:r w:rsidRPr="001A1EC8">
        <w:rPr>
          <w:rFonts w:ascii="Palatino Linotype" w:hAnsi="Palatino Linotype" w:cs="Book Antiqua"/>
          <w:szCs w:val="26"/>
        </w:rPr>
        <w:t>Radford Line Covered Conductor Replacement Project “must be revised and will be delayed due to high bid costs.”  In D.20-03-004, the Commission granted approval of the request under the condition that “</w:t>
      </w:r>
      <w:r w:rsidRPr="001A1EC8">
        <w:rPr>
          <w:rFonts w:ascii="Palatino Linotype" w:hAnsi="Palatino Linotype" w:cs="Book Antiqua,Italic"/>
          <w:i/>
          <w:iCs/>
          <w:szCs w:val="26"/>
        </w:rPr>
        <w:t xml:space="preserve">Bear Valley may only de-energize the line it identifies as the </w:t>
      </w:r>
      <w:r w:rsidR="00813850">
        <w:rPr>
          <w:rFonts w:ascii="Palatino Linotype" w:hAnsi="Palatino Linotype" w:cs="Book Antiqua,Italic"/>
          <w:i/>
          <w:iCs/>
          <w:szCs w:val="26"/>
        </w:rPr>
        <w:t>‘</w:t>
      </w:r>
      <w:r w:rsidRPr="001A1EC8">
        <w:rPr>
          <w:rFonts w:ascii="Palatino Linotype" w:hAnsi="Palatino Linotype" w:cs="Book Antiqua,Italic"/>
          <w:i/>
          <w:iCs/>
          <w:szCs w:val="26"/>
        </w:rPr>
        <w:t>Radford Line</w:t>
      </w:r>
      <w:r w:rsidR="00813850">
        <w:rPr>
          <w:rFonts w:ascii="Palatino Linotype" w:hAnsi="Palatino Linotype" w:cs="Book Antiqua,Italic"/>
          <w:i/>
          <w:iCs/>
          <w:szCs w:val="26"/>
        </w:rPr>
        <w:t>’</w:t>
      </w:r>
      <w:r w:rsidRPr="001A1EC8">
        <w:rPr>
          <w:rFonts w:ascii="Palatino Linotype" w:hAnsi="Palatino Linotype" w:cs="Book Antiqua,Italic"/>
          <w:i/>
          <w:iCs/>
          <w:szCs w:val="26"/>
        </w:rPr>
        <w:t xml:space="preserve"> if such de-energization complies with the Commission’s existing</w:t>
      </w:r>
      <w:r w:rsidRPr="001A1EC8" w:rsidR="005A1157">
        <w:rPr>
          <w:rFonts w:ascii="Palatino Linotype" w:hAnsi="Palatino Linotype" w:cs="Book Antiqua,Italic"/>
          <w:i/>
          <w:iCs/>
          <w:szCs w:val="26"/>
        </w:rPr>
        <w:t xml:space="preserve"> </w:t>
      </w:r>
      <w:r w:rsidRPr="001A1EC8">
        <w:rPr>
          <w:rFonts w:ascii="Palatino Linotype" w:hAnsi="Palatino Linotype" w:cs="Book Antiqua,Italic"/>
          <w:i/>
          <w:iCs/>
          <w:szCs w:val="26"/>
        </w:rPr>
        <w:t>de-energization rules, as set forth in Resolution ESRB-8 and R.18-12-005.”</w:t>
      </w:r>
      <w:r w:rsidRPr="001A1EC8" w:rsidR="005A1157">
        <w:rPr>
          <w:rStyle w:val="FootnoteReference"/>
          <w:rFonts w:ascii="Palatino Linotype" w:hAnsi="Palatino Linotype" w:cs="Book Antiqua,Italic"/>
          <w:i/>
          <w:iCs/>
          <w:szCs w:val="26"/>
        </w:rPr>
        <w:footnoteReference w:id="6"/>
      </w:r>
    </w:p>
    <w:p w:rsidRPr="001A1EC8" w:rsidR="008C56E0" w:rsidP="00701C92" w:rsidRDefault="008C56E0" w14:paraId="68A914F9" w14:textId="3996739E">
      <w:pPr>
        <w:autoSpaceDE w:val="0"/>
        <w:autoSpaceDN w:val="0"/>
        <w:adjustRightInd w:val="0"/>
        <w:ind w:left="360"/>
        <w:rPr>
          <w:rFonts w:ascii="Palatino Linotype" w:hAnsi="Palatino Linotype" w:cs="Book Antiqua,Italic"/>
          <w:i/>
          <w:iCs/>
          <w:szCs w:val="26"/>
        </w:rPr>
      </w:pPr>
    </w:p>
    <w:p w:rsidRPr="001A1EC8" w:rsidR="008C56E0" w:rsidP="00701C92" w:rsidRDefault="008C56E0" w14:paraId="5BDE4219" w14:textId="78FD55AF">
      <w:pPr>
        <w:autoSpaceDE w:val="0"/>
        <w:autoSpaceDN w:val="0"/>
        <w:adjustRightInd w:val="0"/>
        <w:ind w:left="360"/>
        <w:rPr>
          <w:rFonts w:ascii="Palatino Linotype" w:hAnsi="Palatino Linotype"/>
          <w:szCs w:val="26"/>
        </w:rPr>
      </w:pPr>
      <w:r w:rsidRPr="001A1EC8">
        <w:rPr>
          <w:rFonts w:ascii="Palatino Linotype" w:hAnsi="Palatino Linotype" w:cs="Book Antiqua,Italic"/>
          <w:szCs w:val="26"/>
        </w:rPr>
        <w:t>In its second report, BVES affirmed that it would meet this condition.  However, it also reported additional delays to the project, stating: “</w:t>
      </w:r>
      <w:r w:rsidRPr="001A1EC8">
        <w:rPr>
          <w:rFonts w:ascii="Palatino Linotype" w:hAnsi="Palatino Linotype" w:cs="Book Antiqua"/>
          <w:szCs w:val="26"/>
        </w:rPr>
        <w:t>[T]he newly contracted</w:t>
      </w:r>
      <w:r w:rsidRPr="001A1EC8" w:rsidR="00DA0F73">
        <w:rPr>
          <w:rFonts w:ascii="Palatino Linotype" w:hAnsi="Palatino Linotype" w:cs="Book Antiqua"/>
          <w:szCs w:val="26"/>
        </w:rPr>
        <w:t xml:space="preserve"> </w:t>
      </w:r>
      <w:r w:rsidRPr="001A1EC8">
        <w:rPr>
          <w:rFonts w:ascii="Palatino Linotype" w:hAnsi="Palatino Linotype" w:cs="Book Antiqua"/>
          <w:szCs w:val="26"/>
        </w:rPr>
        <w:t>engineering services company began design work on the Radford Line in October 2019</w:t>
      </w:r>
      <w:r w:rsidRPr="001A1EC8" w:rsidR="006446A2">
        <w:rPr>
          <w:rFonts w:ascii="Palatino Linotype" w:hAnsi="Palatino Linotype" w:cs="Book Antiqua"/>
          <w:szCs w:val="26"/>
        </w:rPr>
        <w:t xml:space="preserve"> </w:t>
      </w:r>
      <w:r w:rsidRPr="001A1EC8">
        <w:rPr>
          <w:rFonts w:ascii="Palatino Linotype" w:hAnsi="Palatino Linotype" w:cs="Book Antiqua"/>
          <w:szCs w:val="26"/>
        </w:rPr>
        <w:t>and completed the design in December 2019. BVES issued a request for proposal in</w:t>
      </w:r>
      <w:r w:rsidRPr="001A1EC8" w:rsidR="006446A2">
        <w:rPr>
          <w:rFonts w:ascii="Palatino Linotype" w:hAnsi="Palatino Linotype" w:cs="Book Antiqua"/>
          <w:szCs w:val="26"/>
        </w:rPr>
        <w:t xml:space="preserve"> </w:t>
      </w:r>
      <w:r w:rsidRPr="001A1EC8">
        <w:rPr>
          <w:rFonts w:ascii="Palatino Linotype" w:hAnsi="Palatino Linotype" w:cs="Book Antiqua"/>
          <w:szCs w:val="26"/>
        </w:rPr>
        <w:t>January 2020 and the scope of work is based on the engineering design.</w:t>
      </w:r>
      <w:r w:rsidRPr="001A1EC8" w:rsidR="006446A2">
        <w:rPr>
          <w:rFonts w:ascii="Palatino Linotype" w:hAnsi="Palatino Linotype" w:cs="Book Antiqua"/>
          <w:szCs w:val="26"/>
        </w:rPr>
        <w:t xml:space="preserve"> </w:t>
      </w:r>
      <w:r w:rsidRPr="001A1EC8">
        <w:rPr>
          <w:rFonts w:ascii="Palatino Linotype" w:hAnsi="Palatino Linotype" w:cs="Book Antiqua"/>
          <w:szCs w:val="26"/>
        </w:rPr>
        <w:t>An electrical contractor was tentatively selected as best value bidder for construction in</w:t>
      </w:r>
      <w:r w:rsidRPr="001A1EC8" w:rsidR="006446A2">
        <w:rPr>
          <w:rFonts w:ascii="Palatino Linotype" w:hAnsi="Palatino Linotype" w:cs="Book Antiqua"/>
          <w:szCs w:val="26"/>
        </w:rPr>
        <w:t xml:space="preserve"> </w:t>
      </w:r>
      <w:r w:rsidRPr="001A1EC8">
        <w:rPr>
          <w:rFonts w:ascii="Palatino Linotype" w:hAnsi="Palatino Linotype" w:cs="Book Antiqua"/>
          <w:szCs w:val="26"/>
        </w:rPr>
        <w:t>March 2020. However, contract negotiations and permitting process with the US Forest</w:t>
      </w:r>
      <w:r w:rsidRPr="001A1EC8" w:rsidR="006446A2">
        <w:rPr>
          <w:rFonts w:ascii="Palatino Linotype" w:hAnsi="Palatino Linotype" w:cs="Book Antiqua"/>
          <w:szCs w:val="26"/>
        </w:rPr>
        <w:t xml:space="preserve"> </w:t>
      </w:r>
      <w:r w:rsidRPr="001A1EC8">
        <w:rPr>
          <w:rFonts w:ascii="Palatino Linotype" w:hAnsi="Palatino Linotype" w:cs="Book Antiqua"/>
          <w:szCs w:val="26"/>
        </w:rPr>
        <w:t>Service have been slowed down by the Covid-19 pandemic.</w:t>
      </w:r>
      <w:r w:rsidRPr="001A1EC8" w:rsidR="006446A2">
        <w:rPr>
          <w:rFonts w:ascii="Palatino Linotype" w:hAnsi="Palatino Linotype" w:cs="Book Antiqua"/>
          <w:szCs w:val="26"/>
        </w:rPr>
        <w:t>”</w:t>
      </w:r>
    </w:p>
    <w:p w:rsidR="005A1157" w:rsidP="005A1157" w:rsidRDefault="005A1157" w14:paraId="104F7869" w14:textId="77777777">
      <w:pPr>
        <w:pStyle w:val="Res-Caption"/>
        <w:ind w:left="0"/>
        <w:rPr>
          <w:rFonts w:ascii="Palatino Linotype" w:hAnsi="Palatino Linotype" w:eastAsiaTheme="minorHAnsi" w:cstheme="minorBidi"/>
          <w:szCs w:val="26"/>
        </w:rPr>
      </w:pPr>
    </w:p>
    <w:p w:rsidRPr="00701C92" w:rsidR="008C56E0" w:rsidP="00701C92" w:rsidRDefault="00BF1E8F" w14:paraId="6A7C305C" w14:textId="3C8E78EF">
      <w:pPr>
        <w:pStyle w:val="Res-Caption"/>
        <w:ind w:left="360"/>
        <w:rPr>
          <w:rFonts w:ascii="Palatino Linotype" w:hAnsi="Palatino Linotype" w:eastAsiaTheme="minorHAnsi" w:cstheme="minorBidi"/>
          <w:szCs w:val="26"/>
        </w:rPr>
      </w:pPr>
      <w:r>
        <w:rPr>
          <w:rFonts w:ascii="Palatino Linotype" w:hAnsi="Palatino Linotype" w:eastAsiaTheme="minorHAnsi" w:cstheme="minorBidi"/>
          <w:szCs w:val="26"/>
        </w:rPr>
        <w:t xml:space="preserve">Otherwise, </w:t>
      </w:r>
      <w:r w:rsidRPr="00701C92" w:rsidR="008C56E0">
        <w:rPr>
          <w:rFonts w:ascii="Palatino Linotype" w:hAnsi="Palatino Linotype" w:eastAsiaTheme="minorHAnsi" w:cstheme="minorBidi"/>
          <w:szCs w:val="26"/>
        </w:rPr>
        <w:t>BVES did not propose to reduce or amend its proposed mitigation</w:t>
      </w:r>
      <w:r>
        <w:rPr>
          <w:rFonts w:ascii="Palatino Linotype" w:hAnsi="Palatino Linotype" w:eastAsiaTheme="minorHAnsi" w:cstheme="minorBidi"/>
          <w:szCs w:val="26"/>
        </w:rPr>
        <w:t>s</w:t>
      </w:r>
      <w:r w:rsidRPr="00701C92" w:rsidR="008C56E0">
        <w:rPr>
          <w:rFonts w:ascii="Palatino Linotype" w:hAnsi="Palatino Linotype" w:eastAsiaTheme="minorHAnsi" w:cstheme="minorBidi"/>
          <w:szCs w:val="26"/>
        </w:rPr>
        <w:t>.</w:t>
      </w:r>
    </w:p>
    <w:p w:rsidRPr="00701C92" w:rsidR="008C56E0" w:rsidP="00C74C40" w:rsidRDefault="008C56E0" w14:paraId="0B595739" w14:textId="7D73CE51">
      <w:pPr>
        <w:pStyle w:val="Res-Caption"/>
        <w:rPr>
          <w:rFonts w:ascii="Palatino Linotype" w:hAnsi="Palatino Linotype" w:eastAsiaTheme="minorHAnsi" w:cstheme="minorBidi"/>
          <w:szCs w:val="26"/>
        </w:rPr>
      </w:pPr>
    </w:p>
    <w:p w:rsidRPr="006D7983" w:rsidR="007110FE" w:rsidP="007110FE" w:rsidRDefault="00BF1E8F" w14:paraId="0AA669CB" w14:textId="22968651">
      <w:pPr>
        <w:pStyle w:val="Default"/>
        <w:ind w:left="360"/>
        <w:rPr>
          <w:rFonts w:ascii="Palatino Linotype" w:hAnsi="Palatino Linotype" w:cs="Arial"/>
          <w:sz w:val="26"/>
          <w:szCs w:val="26"/>
        </w:rPr>
      </w:pPr>
      <w:r>
        <w:rPr>
          <w:rFonts w:ascii="Palatino Linotype" w:hAnsi="Palatino Linotype" w:cstheme="minorBidi"/>
          <w:sz w:val="26"/>
          <w:szCs w:val="26"/>
        </w:rPr>
        <w:t xml:space="preserve">Current Status: </w:t>
      </w:r>
      <w:r w:rsidRPr="006D7983" w:rsidR="007110FE">
        <w:rPr>
          <w:rFonts w:ascii="Palatino Linotype" w:hAnsi="Palatino Linotype" w:cstheme="minorBidi"/>
          <w:sz w:val="26"/>
          <w:szCs w:val="26"/>
        </w:rPr>
        <w:t xml:space="preserve">In its revised 2020 WMP, filed in September 2020, BVES continued to include the Radford overhead project, but now specifies an </w:t>
      </w:r>
      <w:r w:rsidRPr="006D7983" w:rsidR="007110FE">
        <w:rPr>
          <w:rFonts w:ascii="Palatino Linotype" w:hAnsi="Palatino Linotype" w:cstheme="minorBidi"/>
          <w:sz w:val="26"/>
          <w:szCs w:val="26"/>
        </w:rPr>
        <w:lastRenderedPageBreak/>
        <w:t>October 2021 completion date.  Under Lessons Learned narrative, BVES stated, “US Forest Service permitting process has proven to be longer and more cumbersome than in previous projects.</w:t>
      </w:r>
      <w:r w:rsidRPr="006D7983" w:rsidR="00A65B6B">
        <w:rPr>
          <w:rFonts w:ascii="Palatino Linotype" w:hAnsi="Palatino Linotype" w:cs="Arial"/>
          <w:sz w:val="26"/>
          <w:szCs w:val="26"/>
        </w:rPr>
        <w:t>”</w:t>
      </w:r>
      <w:r w:rsidRPr="006D7983" w:rsidR="00A65B6B">
        <w:rPr>
          <w:rStyle w:val="FootnoteReference"/>
          <w:rFonts w:ascii="Palatino Linotype" w:hAnsi="Palatino Linotype" w:cs="Arial"/>
          <w:sz w:val="26"/>
          <w:szCs w:val="26"/>
        </w:rPr>
        <w:footnoteReference w:id="7"/>
      </w:r>
    </w:p>
    <w:p w:rsidRPr="00253408" w:rsidR="007110FE" w:rsidP="007110FE" w:rsidRDefault="007110FE" w14:paraId="081A4B63" w14:textId="73CACFA2">
      <w:pPr>
        <w:pStyle w:val="Res-Caption"/>
        <w:ind w:left="360"/>
        <w:rPr>
          <w:rFonts w:ascii="Palatino Linotype" w:hAnsi="Palatino Linotype" w:eastAsiaTheme="minorHAnsi" w:cstheme="minorBidi"/>
          <w:szCs w:val="26"/>
        </w:rPr>
      </w:pPr>
    </w:p>
    <w:p w:rsidRPr="00701C92" w:rsidR="008C56E0" w:rsidP="004F7373" w:rsidRDefault="007110FE" w14:paraId="42FB8BB6" w14:textId="3E23703C">
      <w:pPr>
        <w:pStyle w:val="Res-Caption"/>
        <w:ind w:left="360"/>
        <w:rPr>
          <w:rFonts w:ascii="Palatino Linotype" w:hAnsi="Palatino Linotype" w:eastAsiaTheme="minorHAnsi" w:cstheme="minorBidi"/>
          <w:szCs w:val="26"/>
        </w:rPr>
      </w:pPr>
      <w:r>
        <w:rPr>
          <w:rFonts w:ascii="Palatino Linotype" w:hAnsi="Palatino Linotype" w:eastAsiaTheme="minorHAnsi" w:cstheme="minorBidi"/>
          <w:szCs w:val="26"/>
        </w:rPr>
        <w:t>Because the 2020 WMP supersede</w:t>
      </w:r>
      <w:r w:rsidR="00345C13">
        <w:rPr>
          <w:rFonts w:ascii="Palatino Linotype" w:hAnsi="Palatino Linotype" w:eastAsiaTheme="minorHAnsi" w:cstheme="minorBidi"/>
          <w:szCs w:val="26"/>
        </w:rPr>
        <w:t>s</w:t>
      </w:r>
      <w:r>
        <w:rPr>
          <w:rFonts w:ascii="Palatino Linotype" w:hAnsi="Palatino Linotype" w:eastAsiaTheme="minorHAnsi" w:cstheme="minorBidi"/>
          <w:szCs w:val="26"/>
        </w:rPr>
        <w:t xml:space="preserve"> the 2019 WMP, BVES’</w:t>
      </w:r>
      <w:r w:rsidR="0063224E">
        <w:rPr>
          <w:rFonts w:ascii="Palatino Linotype" w:hAnsi="Palatino Linotype" w:eastAsiaTheme="minorHAnsi" w:cstheme="minorBidi"/>
          <w:szCs w:val="26"/>
        </w:rPr>
        <w:t>s</w:t>
      </w:r>
      <w:r>
        <w:rPr>
          <w:rFonts w:ascii="Palatino Linotype" w:hAnsi="Palatino Linotype" w:eastAsiaTheme="minorHAnsi" w:cstheme="minorBidi"/>
          <w:szCs w:val="26"/>
        </w:rPr>
        <w:t xml:space="preserve"> explanation of the reason for delay and altering its completion date estimate is reasonable. </w:t>
      </w:r>
    </w:p>
    <w:p w:rsidR="005A1157" w:rsidP="004F7373" w:rsidRDefault="005A1157" w14:paraId="5583A438" w14:textId="363FE152">
      <w:pPr>
        <w:pStyle w:val="Res-Caption"/>
        <w:ind w:left="0"/>
        <w:rPr>
          <w:rFonts w:ascii="Palatino Linotype" w:hAnsi="Palatino Linotype" w:cs="Arial"/>
          <w:szCs w:val="26"/>
        </w:rPr>
      </w:pPr>
    </w:p>
    <w:p w:rsidRPr="001A1EC8" w:rsidR="005A1157" w:rsidP="00C34D1B" w:rsidRDefault="005A1157" w14:paraId="606ED99E" w14:textId="009B532E">
      <w:pPr>
        <w:autoSpaceDE w:val="0"/>
        <w:autoSpaceDN w:val="0"/>
        <w:adjustRightInd w:val="0"/>
        <w:ind w:left="360"/>
        <w:rPr>
          <w:rFonts w:ascii="Palatino Linotype" w:hAnsi="Palatino Linotype"/>
        </w:rPr>
      </w:pPr>
      <w:r w:rsidRPr="001A1EC8">
        <w:rPr>
          <w:rFonts w:ascii="Palatino Linotype" w:hAnsi="Palatino Linotype"/>
          <w:b/>
          <w:bCs/>
        </w:rPr>
        <w:t>SDG&amp;E 3549-E:</w:t>
      </w:r>
      <w:r w:rsidRPr="001A1EC8">
        <w:rPr>
          <w:rFonts w:ascii="Palatino Linotype" w:hAnsi="Palatino Linotype"/>
        </w:rPr>
        <w:t xml:space="preserve"> SDG&amp;E stated that its program for community outreach via Community Fairs and Wildfire Safety Open House events requires a modification due to the impacts of the COVID-19 pandemic, which may impact its effectiveness. The utility said that during 2020, it</w:t>
      </w:r>
      <w:r w:rsidRPr="001A1EC8" w:rsidR="00C34D1B">
        <w:rPr>
          <w:rFonts w:ascii="Palatino Linotype" w:hAnsi="Palatino Linotype"/>
        </w:rPr>
        <w:t xml:space="preserve"> </w:t>
      </w:r>
      <w:r w:rsidRPr="001A1EC8">
        <w:rPr>
          <w:rFonts w:ascii="Palatino Linotype" w:hAnsi="Palatino Linotype"/>
        </w:rPr>
        <w:t>will replace the Wildfire Safety Open House events with fire preparedness webinars and the</w:t>
      </w:r>
      <w:r w:rsidRPr="001A1EC8" w:rsidR="00DB0176">
        <w:rPr>
          <w:rFonts w:ascii="Palatino Linotype" w:hAnsi="Palatino Linotype"/>
        </w:rPr>
        <w:t xml:space="preserve"> </w:t>
      </w:r>
      <w:r w:rsidRPr="001A1EC8">
        <w:rPr>
          <w:rFonts w:ascii="Palatino Linotype" w:hAnsi="Palatino Linotype"/>
        </w:rPr>
        <w:t>Wildfire Safety Fairs will move forward as drive-thru events, which will allow for the safe</w:t>
      </w:r>
      <w:r w:rsidRPr="001A1EC8" w:rsidR="00DB0176">
        <w:rPr>
          <w:rFonts w:ascii="Palatino Linotype" w:hAnsi="Palatino Linotype"/>
        </w:rPr>
        <w:t xml:space="preserve"> </w:t>
      </w:r>
      <w:r w:rsidRPr="001A1EC8">
        <w:rPr>
          <w:rFonts w:ascii="Palatino Linotype" w:hAnsi="Palatino Linotype"/>
        </w:rPr>
        <w:t>distribution of preparedness materials.</w:t>
      </w:r>
    </w:p>
    <w:p w:rsidRPr="001A1EC8" w:rsidR="00C34D1B" w:rsidP="00C34D1B" w:rsidRDefault="00C34D1B" w14:paraId="33E50319" w14:textId="73B4A9A0">
      <w:pPr>
        <w:autoSpaceDE w:val="0"/>
        <w:autoSpaceDN w:val="0"/>
        <w:adjustRightInd w:val="0"/>
        <w:ind w:left="360"/>
        <w:rPr>
          <w:rFonts w:ascii="Palatino Linotype" w:hAnsi="Palatino Linotype"/>
        </w:rPr>
      </w:pPr>
    </w:p>
    <w:p w:rsidRPr="001A1EC8" w:rsidR="00C34D1B" w:rsidRDefault="00C34D1B" w14:paraId="74DC4D44" w14:textId="2AF80031">
      <w:pPr>
        <w:autoSpaceDE w:val="0"/>
        <w:autoSpaceDN w:val="0"/>
        <w:adjustRightInd w:val="0"/>
        <w:ind w:left="360"/>
        <w:rPr>
          <w:rFonts w:ascii="Palatino Linotype" w:hAnsi="Palatino Linotype"/>
        </w:rPr>
      </w:pPr>
      <w:r w:rsidRPr="001A1EC8">
        <w:rPr>
          <w:rFonts w:ascii="Palatino Linotype" w:hAnsi="Palatino Linotype"/>
        </w:rPr>
        <w:t>Current Status:  Although SDG&amp;E’s 2020 WMP expresse</w:t>
      </w:r>
      <w:r w:rsidRPr="001A1EC8" w:rsidR="00BF1E8F">
        <w:rPr>
          <w:rFonts w:ascii="Palatino Linotype" w:hAnsi="Palatino Linotype"/>
        </w:rPr>
        <w:t>d</w:t>
      </w:r>
      <w:r w:rsidRPr="001A1EC8">
        <w:rPr>
          <w:rFonts w:ascii="Palatino Linotype" w:hAnsi="Palatino Linotype"/>
        </w:rPr>
        <w:t xml:space="preserve"> a commitment to continuing Open Houses over the next ten years, it also stated</w:t>
      </w:r>
      <w:r w:rsidRPr="001A1EC8" w:rsidR="005317B1">
        <w:rPr>
          <w:rFonts w:ascii="Palatino Linotype" w:hAnsi="Palatino Linotype"/>
        </w:rPr>
        <w:t xml:space="preserve"> in its most recent Quarterly Report</w:t>
      </w:r>
      <w:r w:rsidRPr="001A1EC8">
        <w:rPr>
          <w:rFonts w:ascii="Palatino Linotype" w:hAnsi="Palatino Linotype"/>
        </w:rPr>
        <w:t>, “COVID</w:t>
      </w:r>
      <w:r w:rsidRPr="001A1EC8">
        <w:rPr>
          <w:rFonts w:ascii="Palatino Linotype" w:hAnsi="Palatino Linotype" w:cs="Times New Roman"/>
        </w:rPr>
        <w:t>‐</w:t>
      </w:r>
      <w:r w:rsidRPr="001A1EC8">
        <w:rPr>
          <w:rFonts w:ascii="Palatino Linotype" w:hAnsi="Palatino Linotype"/>
        </w:rPr>
        <w:t>19 has altered how we communicate and perform community</w:t>
      </w:r>
      <w:r w:rsidRPr="001A1EC8" w:rsidR="005317B1">
        <w:rPr>
          <w:rFonts w:ascii="Palatino Linotype" w:hAnsi="Palatino Linotype"/>
        </w:rPr>
        <w:t xml:space="preserve"> </w:t>
      </w:r>
      <w:r w:rsidRPr="001A1EC8">
        <w:rPr>
          <w:rFonts w:ascii="Palatino Linotype" w:hAnsi="Palatino Linotype"/>
        </w:rPr>
        <w:t xml:space="preserve">outreach to share </w:t>
      </w:r>
      <w:r w:rsidRPr="001A1EC8" w:rsidR="005317B1">
        <w:rPr>
          <w:rFonts w:ascii="Palatino Linotype" w:hAnsi="Palatino Linotype"/>
        </w:rPr>
        <w:t>i</w:t>
      </w:r>
      <w:r w:rsidRPr="001A1EC8">
        <w:rPr>
          <w:rFonts w:ascii="Palatino Linotype" w:hAnsi="Palatino Linotype"/>
        </w:rPr>
        <w:t>nformation on the program and projects. Specifically, SDG&amp;E is</w:t>
      </w:r>
      <w:r w:rsidRPr="001A1EC8" w:rsidR="005317B1">
        <w:rPr>
          <w:rFonts w:ascii="Palatino Linotype" w:hAnsi="Palatino Linotype"/>
        </w:rPr>
        <w:t xml:space="preserve"> </w:t>
      </w:r>
      <w:r w:rsidRPr="001A1EC8">
        <w:rPr>
          <w:rFonts w:ascii="Palatino Linotype" w:hAnsi="Palatino Linotype"/>
        </w:rPr>
        <w:t>limiting in</w:t>
      </w:r>
      <w:r w:rsidRPr="001A1EC8">
        <w:rPr>
          <w:rFonts w:ascii="Palatino Linotype" w:hAnsi="Palatino Linotype" w:cs="Times New Roman"/>
        </w:rPr>
        <w:t>‐</w:t>
      </w:r>
      <w:r w:rsidRPr="001A1EC8">
        <w:rPr>
          <w:rFonts w:ascii="Palatino Linotype" w:hAnsi="Palatino Linotype"/>
        </w:rPr>
        <w:t>person contact, and is making every effort to communicate via phone calls,</w:t>
      </w:r>
      <w:r w:rsidRPr="001A1EC8" w:rsidR="005317B1">
        <w:rPr>
          <w:rFonts w:ascii="Palatino Linotype" w:hAnsi="Palatino Linotype"/>
        </w:rPr>
        <w:t xml:space="preserve"> </w:t>
      </w:r>
      <w:r w:rsidRPr="001A1EC8">
        <w:rPr>
          <w:rFonts w:ascii="Palatino Linotype" w:hAnsi="Palatino Linotype"/>
        </w:rPr>
        <w:t>mailing letters, and equipping our field survey crews with fact sheets and door hangers</w:t>
      </w:r>
      <w:r w:rsidRPr="001A1EC8" w:rsidR="005317B1">
        <w:rPr>
          <w:rFonts w:ascii="Palatino Linotype" w:hAnsi="Palatino Linotype"/>
        </w:rPr>
        <w:t xml:space="preserve"> </w:t>
      </w:r>
      <w:r w:rsidRPr="001A1EC8">
        <w:rPr>
          <w:rFonts w:ascii="Palatino Linotype" w:hAnsi="Palatino Linotype"/>
        </w:rPr>
        <w:t>with information related to the projects/program to distribute to community residences</w:t>
      </w:r>
      <w:r w:rsidRPr="001A1EC8" w:rsidR="005317B1">
        <w:rPr>
          <w:rFonts w:ascii="Palatino Linotype" w:hAnsi="Palatino Linotype"/>
        </w:rPr>
        <w:t xml:space="preserve"> </w:t>
      </w:r>
      <w:r w:rsidRPr="001A1EC8">
        <w:rPr>
          <w:rFonts w:ascii="Palatino Linotype" w:hAnsi="Palatino Linotype"/>
        </w:rPr>
        <w:t>and public areas. In addition, SDG&amp;E is developing a website to provide customers with</w:t>
      </w:r>
      <w:r w:rsidRPr="001A1EC8" w:rsidR="005317B1">
        <w:rPr>
          <w:rFonts w:ascii="Palatino Linotype" w:hAnsi="Palatino Linotype"/>
        </w:rPr>
        <w:t xml:space="preserve"> </w:t>
      </w:r>
      <w:r w:rsidRPr="001A1EC8">
        <w:rPr>
          <w:rFonts w:ascii="Palatino Linotype" w:hAnsi="Palatino Linotype"/>
        </w:rPr>
        <w:t>additional information.</w:t>
      </w:r>
      <w:r w:rsidRPr="001A1EC8" w:rsidR="005317B1">
        <w:rPr>
          <w:rFonts w:ascii="Palatino Linotype" w:hAnsi="Palatino Linotype"/>
        </w:rPr>
        <w:t>”</w:t>
      </w:r>
      <w:r w:rsidRPr="001A1EC8" w:rsidR="005317B1">
        <w:rPr>
          <w:rStyle w:val="FootnoteReference"/>
          <w:rFonts w:ascii="Palatino Linotype" w:hAnsi="Palatino Linotype"/>
        </w:rPr>
        <w:footnoteReference w:id="8"/>
      </w:r>
    </w:p>
    <w:p w:rsidRPr="001A1EC8" w:rsidR="006A5793" w:rsidRDefault="006A5793" w14:paraId="62CB5B14" w14:textId="2E720541">
      <w:pPr>
        <w:autoSpaceDE w:val="0"/>
        <w:autoSpaceDN w:val="0"/>
        <w:adjustRightInd w:val="0"/>
        <w:ind w:left="360"/>
        <w:rPr>
          <w:rFonts w:ascii="Palatino Linotype" w:hAnsi="Palatino Linotype"/>
        </w:rPr>
      </w:pPr>
    </w:p>
    <w:p w:rsidRPr="001A1EC8" w:rsidR="006A5793" w:rsidRDefault="006A5793" w14:paraId="6740532C" w14:textId="24435053">
      <w:pPr>
        <w:autoSpaceDE w:val="0"/>
        <w:autoSpaceDN w:val="0"/>
        <w:adjustRightInd w:val="0"/>
        <w:ind w:left="360"/>
        <w:rPr>
          <w:rFonts w:ascii="Palatino Linotype" w:hAnsi="Palatino Linotype"/>
        </w:rPr>
      </w:pPr>
      <w:r w:rsidRPr="001A1EC8">
        <w:rPr>
          <w:rFonts w:ascii="Palatino Linotype" w:hAnsi="Palatino Linotype"/>
        </w:rPr>
        <w:t>SDG&amp;E’s 2020 WMP supersedes the project descriptions in the Off-Ramp report.</w:t>
      </w:r>
      <w:r w:rsidRPr="001A1EC8" w:rsidR="001A1EC8">
        <w:rPr>
          <w:rFonts w:ascii="Palatino Linotype" w:hAnsi="Palatino Linotype"/>
        </w:rPr>
        <w:t xml:space="preserve"> Changes to the Wildfire Safety Open Houses contemplated in AL 3549-E have been effect</w:t>
      </w:r>
      <w:r w:rsidR="0007611D">
        <w:rPr>
          <w:rFonts w:ascii="Palatino Linotype" w:hAnsi="Palatino Linotype"/>
        </w:rPr>
        <w:t>uated</w:t>
      </w:r>
      <w:r w:rsidRPr="001A1EC8" w:rsidR="001A1EC8">
        <w:rPr>
          <w:rFonts w:ascii="Palatino Linotype" w:hAnsi="Palatino Linotype"/>
        </w:rPr>
        <w:t xml:space="preserve"> in the approved 2020 WMP</w:t>
      </w:r>
      <w:r w:rsidR="001A1EC8">
        <w:rPr>
          <w:rFonts w:ascii="Palatino Linotype" w:hAnsi="Palatino Linotype"/>
        </w:rPr>
        <w:t>.</w:t>
      </w:r>
    </w:p>
    <w:p w:rsidR="008C56E0" w:rsidP="00C74C40" w:rsidRDefault="008C56E0" w14:paraId="0700F3D0" w14:textId="5E69E147">
      <w:pPr>
        <w:pStyle w:val="Res-Caption"/>
        <w:rPr>
          <w:rFonts w:ascii="Book Antiqua" w:hAnsi="Book Antiqua" w:eastAsiaTheme="minorHAnsi" w:cstheme="minorBidi"/>
          <w:szCs w:val="22"/>
        </w:rPr>
      </w:pPr>
    </w:p>
    <w:p w:rsidRPr="001A1EC8" w:rsidR="006446A2" w:rsidP="00701C92" w:rsidRDefault="006446A2" w14:paraId="1EF45768" w14:textId="27798177">
      <w:pPr>
        <w:pStyle w:val="Res-Caption"/>
        <w:ind w:left="360"/>
        <w:rPr>
          <w:rFonts w:ascii="Palatino Linotype" w:hAnsi="Palatino Linotype" w:eastAsiaTheme="minorHAnsi" w:cstheme="minorBidi"/>
          <w:szCs w:val="22"/>
        </w:rPr>
      </w:pPr>
      <w:r w:rsidRPr="001A1EC8">
        <w:rPr>
          <w:rFonts w:ascii="Palatino Linotype" w:hAnsi="Palatino Linotype" w:eastAsiaTheme="minorHAnsi" w:cstheme="minorBidi"/>
          <w:b/>
          <w:bCs/>
          <w:szCs w:val="22"/>
        </w:rPr>
        <w:lastRenderedPageBreak/>
        <w:t>SCE AL 4222:</w:t>
      </w:r>
      <w:r w:rsidRPr="001A1EC8">
        <w:rPr>
          <w:rFonts w:ascii="Palatino Linotype" w:hAnsi="Palatino Linotype" w:eastAsiaTheme="minorHAnsi" w:cstheme="minorBidi"/>
          <w:szCs w:val="22"/>
        </w:rPr>
        <w:t xml:space="preserve"> </w:t>
      </w:r>
      <w:r w:rsidRPr="001A1EC8" w:rsidR="00473AE5">
        <w:rPr>
          <w:rFonts w:ascii="Palatino Linotype" w:hAnsi="Palatino Linotype" w:eastAsiaTheme="minorHAnsi" w:cstheme="minorBidi"/>
          <w:szCs w:val="22"/>
        </w:rPr>
        <w:t>SCE reported some concerns and potential changes to three of its WMP mitigation measures in these areas:</w:t>
      </w:r>
    </w:p>
    <w:p w:rsidRPr="001A1EC8" w:rsidR="00473AE5" w:rsidP="00701C92" w:rsidRDefault="00473AE5" w14:paraId="77083E17" w14:textId="77777777">
      <w:pPr>
        <w:autoSpaceDE w:val="0"/>
        <w:autoSpaceDN w:val="0"/>
        <w:adjustRightInd w:val="0"/>
        <w:ind w:left="360"/>
        <w:rPr>
          <w:rFonts w:ascii="Palatino Linotype" w:hAnsi="Palatino Linotype"/>
        </w:rPr>
      </w:pPr>
    </w:p>
    <w:p w:rsidRPr="001A1EC8" w:rsidR="00473AE5" w:rsidP="00701C92" w:rsidRDefault="00473AE5" w14:paraId="41EBFA75" w14:textId="3344759D">
      <w:pPr>
        <w:pStyle w:val="ListParagraph"/>
        <w:numPr>
          <w:ilvl w:val="1"/>
          <w:numId w:val="36"/>
        </w:numPr>
        <w:autoSpaceDE w:val="0"/>
        <w:autoSpaceDN w:val="0"/>
        <w:adjustRightInd w:val="0"/>
        <w:rPr>
          <w:rFonts w:ascii="Palatino Linotype" w:hAnsi="Palatino Linotype"/>
        </w:rPr>
      </w:pPr>
      <w:r w:rsidRPr="001A1EC8">
        <w:rPr>
          <w:rFonts w:ascii="Palatino Linotype" w:hAnsi="Palatino Linotype"/>
        </w:rPr>
        <w:t>Community Outreach, Public Awareness, and</w:t>
      </w:r>
      <w:r w:rsidRPr="001A1EC8" w:rsidR="005A1157">
        <w:rPr>
          <w:rFonts w:ascii="Palatino Linotype" w:hAnsi="Palatino Linotype"/>
        </w:rPr>
        <w:t xml:space="preserve"> </w:t>
      </w:r>
      <w:r w:rsidRPr="001A1EC8">
        <w:rPr>
          <w:rFonts w:ascii="Palatino Linotype" w:hAnsi="Palatino Linotype" w:eastAsiaTheme="minorHAnsi"/>
        </w:rPr>
        <w:t xml:space="preserve">Communications Efforts – Activity DEP-3 – </w:t>
      </w:r>
      <w:r w:rsidR="00821DDA">
        <w:rPr>
          <w:rFonts w:ascii="Palatino Linotype" w:hAnsi="Palatino Linotype" w:eastAsiaTheme="minorHAnsi"/>
        </w:rPr>
        <w:t>Investor Owner Utility (</w:t>
      </w:r>
      <w:r w:rsidRPr="001A1EC8">
        <w:rPr>
          <w:rFonts w:ascii="Palatino Linotype" w:hAnsi="Palatino Linotype" w:eastAsiaTheme="minorHAnsi"/>
        </w:rPr>
        <w:t>IOU</w:t>
      </w:r>
      <w:r w:rsidR="00821DDA">
        <w:rPr>
          <w:rFonts w:ascii="Palatino Linotype" w:hAnsi="Palatino Linotype" w:eastAsiaTheme="minorHAnsi"/>
        </w:rPr>
        <w:t>)</w:t>
      </w:r>
      <w:r w:rsidRPr="001A1EC8">
        <w:rPr>
          <w:rFonts w:ascii="Palatino Linotype" w:hAnsi="Palatino Linotype" w:eastAsiaTheme="minorHAnsi"/>
        </w:rPr>
        <w:t xml:space="preserve"> Customer Engagement</w:t>
      </w:r>
    </w:p>
    <w:p w:rsidRPr="001A1EC8" w:rsidR="00473AE5" w:rsidP="00701C92" w:rsidRDefault="00473AE5" w14:paraId="2DD07D13" w14:textId="23F8867F">
      <w:pPr>
        <w:autoSpaceDE w:val="0"/>
        <w:autoSpaceDN w:val="0"/>
        <w:adjustRightInd w:val="0"/>
        <w:ind w:left="360"/>
        <w:rPr>
          <w:rFonts w:ascii="Palatino Linotype" w:hAnsi="Palatino Linotype"/>
        </w:rPr>
      </w:pPr>
      <w:r w:rsidRPr="001A1EC8">
        <w:rPr>
          <w:rFonts w:ascii="Palatino Linotype" w:hAnsi="Palatino Linotype"/>
        </w:rPr>
        <w:t>SCE indicated a potential to either increase or terminate one aspect of this proj</w:t>
      </w:r>
      <w:r w:rsidRPr="001A1EC8" w:rsidR="005D3760">
        <w:rPr>
          <w:rFonts w:ascii="Palatino Linotype" w:hAnsi="Palatino Linotype"/>
        </w:rPr>
        <w:t xml:space="preserve">ect. </w:t>
      </w:r>
    </w:p>
    <w:p w:rsidRPr="001A1EC8" w:rsidR="00473AE5" w:rsidP="00473AE5" w:rsidRDefault="00473AE5" w14:paraId="3CD3621F" w14:textId="77777777">
      <w:pPr>
        <w:autoSpaceDE w:val="0"/>
        <w:autoSpaceDN w:val="0"/>
        <w:adjustRightInd w:val="0"/>
        <w:rPr>
          <w:rFonts w:ascii="Palatino Linotype" w:hAnsi="Palatino Linotype"/>
        </w:rPr>
      </w:pPr>
    </w:p>
    <w:p w:rsidRPr="001A1EC8" w:rsidR="00473AE5" w:rsidP="00701C92" w:rsidRDefault="005A1157" w14:paraId="7241A4A9" w14:textId="5FEDAA3A">
      <w:pPr>
        <w:autoSpaceDE w:val="0"/>
        <w:autoSpaceDN w:val="0"/>
        <w:adjustRightInd w:val="0"/>
        <w:ind w:left="360"/>
        <w:rPr>
          <w:rFonts w:ascii="Palatino Linotype" w:hAnsi="Palatino Linotype"/>
        </w:rPr>
      </w:pPr>
      <w:r w:rsidRPr="001A1EC8">
        <w:rPr>
          <w:rFonts w:ascii="Palatino Linotype" w:hAnsi="Palatino Linotype"/>
        </w:rPr>
        <w:t xml:space="preserve">SCE described its </w:t>
      </w:r>
      <w:r w:rsidRPr="001A1EC8" w:rsidR="00473AE5">
        <w:rPr>
          <w:rFonts w:ascii="Palatino Linotype" w:hAnsi="Palatino Linotype"/>
        </w:rPr>
        <w:t xml:space="preserve">IOU Customer Engagement effort </w:t>
      </w:r>
      <w:r w:rsidRPr="001A1EC8">
        <w:rPr>
          <w:rFonts w:ascii="Palatino Linotype" w:hAnsi="Palatino Linotype"/>
        </w:rPr>
        <w:t>a</w:t>
      </w:r>
      <w:r w:rsidRPr="001A1EC8" w:rsidR="00473AE5">
        <w:rPr>
          <w:rFonts w:ascii="Palatino Linotype" w:hAnsi="Palatino Linotype"/>
        </w:rPr>
        <w:t>s a multi-channel,</w:t>
      </w:r>
    </w:p>
    <w:p w:rsidRPr="001A1EC8" w:rsidR="00473AE5" w:rsidP="00701C92" w:rsidRDefault="00473AE5" w14:paraId="5B56CE92" w14:textId="77777777">
      <w:pPr>
        <w:autoSpaceDE w:val="0"/>
        <w:autoSpaceDN w:val="0"/>
        <w:adjustRightInd w:val="0"/>
        <w:ind w:left="360"/>
        <w:rPr>
          <w:rFonts w:ascii="Palatino Linotype" w:hAnsi="Palatino Linotype"/>
        </w:rPr>
      </w:pPr>
      <w:r w:rsidRPr="001A1EC8">
        <w:rPr>
          <w:rFonts w:ascii="Palatino Linotype" w:hAnsi="Palatino Linotype"/>
        </w:rPr>
        <w:t>multi-lingual campaign using digital ads, social media ads and radio ads to</w:t>
      </w:r>
    </w:p>
    <w:p w:rsidRPr="001A1EC8" w:rsidR="00473AE5" w:rsidP="00701C92" w:rsidRDefault="00473AE5" w14:paraId="2C3F9586" w14:textId="77777777">
      <w:pPr>
        <w:autoSpaceDE w:val="0"/>
        <w:autoSpaceDN w:val="0"/>
        <w:adjustRightInd w:val="0"/>
        <w:ind w:left="360"/>
        <w:rPr>
          <w:rFonts w:ascii="Palatino Linotype" w:hAnsi="Palatino Linotype"/>
        </w:rPr>
      </w:pPr>
      <w:r w:rsidRPr="001A1EC8">
        <w:rPr>
          <w:rFonts w:ascii="Palatino Linotype" w:hAnsi="Palatino Linotype"/>
        </w:rPr>
        <w:t>provide customers with important and consistent messaging about wildfire</w:t>
      </w:r>
    </w:p>
    <w:p w:rsidRPr="001A1EC8" w:rsidR="00473AE5" w:rsidP="00701C92" w:rsidRDefault="00473AE5" w14:paraId="254C8582" w14:textId="77777777">
      <w:pPr>
        <w:autoSpaceDE w:val="0"/>
        <w:autoSpaceDN w:val="0"/>
        <w:adjustRightInd w:val="0"/>
        <w:ind w:left="360"/>
        <w:rPr>
          <w:rFonts w:ascii="Palatino Linotype" w:hAnsi="Palatino Linotype"/>
        </w:rPr>
      </w:pPr>
      <w:r w:rsidRPr="001A1EC8">
        <w:rPr>
          <w:rFonts w:ascii="Palatino Linotype" w:hAnsi="Palatino Linotype"/>
        </w:rPr>
        <w:t>mitigation activities happening across the state. In 2019, a statewide</w:t>
      </w:r>
    </w:p>
    <w:p w:rsidRPr="001A1EC8" w:rsidR="00473AE5" w:rsidP="00701C92" w:rsidRDefault="00473AE5" w14:paraId="03AA87CC" w14:textId="77777777">
      <w:pPr>
        <w:autoSpaceDE w:val="0"/>
        <w:autoSpaceDN w:val="0"/>
        <w:adjustRightInd w:val="0"/>
        <w:ind w:left="360"/>
        <w:rPr>
          <w:rFonts w:ascii="Palatino Linotype" w:hAnsi="Palatino Linotype"/>
        </w:rPr>
      </w:pPr>
      <w:r w:rsidRPr="001A1EC8">
        <w:rPr>
          <w:rFonts w:ascii="Palatino Linotype" w:hAnsi="Palatino Linotype"/>
        </w:rPr>
        <w:t>education campaign ran from May-July and then pivoted to local campaigns</w:t>
      </w:r>
    </w:p>
    <w:p w:rsidRPr="001A1EC8" w:rsidR="00473AE5" w:rsidP="00701C92" w:rsidRDefault="00473AE5" w14:paraId="3D531454" w14:textId="7795C507">
      <w:pPr>
        <w:autoSpaceDE w:val="0"/>
        <w:autoSpaceDN w:val="0"/>
        <w:adjustRightInd w:val="0"/>
        <w:ind w:left="360"/>
        <w:rPr>
          <w:rFonts w:ascii="Palatino Linotype" w:hAnsi="Palatino Linotype"/>
        </w:rPr>
      </w:pPr>
      <w:r w:rsidRPr="001A1EC8">
        <w:rPr>
          <w:rFonts w:ascii="Palatino Linotype" w:hAnsi="Palatino Linotype"/>
        </w:rPr>
        <w:t>through December (DEP-1.3). Early analysis suggest</w:t>
      </w:r>
      <w:r w:rsidRPr="001A1EC8" w:rsidR="005A1157">
        <w:rPr>
          <w:rFonts w:ascii="Palatino Linotype" w:hAnsi="Palatino Linotype"/>
        </w:rPr>
        <w:t>ed</w:t>
      </w:r>
      <w:r w:rsidRPr="001A1EC8">
        <w:rPr>
          <w:rFonts w:ascii="Palatino Linotype" w:hAnsi="Palatino Linotype"/>
        </w:rPr>
        <w:t xml:space="preserve"> that SCE’s</w:t>
      </w:r>
    </w:p>
    <w:p w:rsidRPr="001A1EC8" w:rsidR="00473AE5" w:rsidP="00701C92" w:rsidRDefault="00473AE5" w14:paraId="373FB2A2" w14:textId="77777777">
      <w:pPr>
        <w:autoSpaceDE w:val="0"/>
        <w:autoSpaceDN w:val="0"/>
        <w:adjustRightInd w:val="0"/>
        <w:ind w:left="360"/>
        <w:rPr>
          <w:rFonts w:ascii="Palatino Linotype" w:hAnsi="Palatino Linotype"/>
        </w:rPr>
      </w:pPr>
      <w:r w:rsidRPr="001A1EC8">
        <w:rPr>
          <w:rFonts w:ascii="Palatino Linotype" w:hAnsi="Palatino Linotype"/>
        </w:rPr>
        <w:t>local campaigns were more effective than statewide campaigns in making</w:t>
      </w:r>
    </w:p>
    <w:p w:rsidRPr="001A1EC8" w:rsidR="005A1157" w:rsidP="005A1157" w:rsidRDefault="00473AE5" w14:paraId="7570CD03" w14:textId="4DF6C055">
      <w:pPr>
        <w:autoSpaceDE w:val="0"/>
        <w:autoSpaceDN w:val="0"/>
        <w:adjustRightInd w:val="0"/>
        <w:ind w:left="360"/>
        <w:rPr>
          <w:rFonts w:ascii="Palatino Linotype" w:hAnsi="Palatino Linotype"/>
        </w:rPr>
      </w:pPr>
      <w:r w:rsidRPr="001A1EC8">
        <w:rPr>
          <w:rFonts w:ascii="Palatino Linotype" w:hAnsi="Palatino Linotype"/>
        </w:rPr>
        <w:t xml:space="preserve">customers aware of wildfire efforts. </w:t>
      </w:r>
    </w:p>
    <w:p w:rsidRPr="001A1EC8" w:rsidR="005A1157" w:rsidP="005A1157" w:rsidRDefault="005A1157" w14:paraId="5D1F349E" w14:textId="77777777">
      <w:pPr>
        <w:autoSpaceDE w:val="0"/>
        <w:autoSpaceDN w:val="0"/>
        <w:adjustRightInd w:val="0"/>
        <w:ind w:left="360"/>
        <w:rPr>
          <w:rFonts w:ascii="Palatino Linotype" w:hAnsi="Palatino Linotype"/>
        </w:rPr>
      </w:pPr>
    </w:p>
    <w:p w:rsidRPr="001A1EC8" w:rsidR="00473AE5" w:rsidP="00701C92" w:rsidRDefault="00473AE5" w14:paraId="6374A73F" w14:textId="0E3D634F">
      <w:pPr>
        <w:autoSpaceDE w:val="0"/>
        <w:autoSpaceDN w:val="0"/>
        <w:adjustRightInd w:val="0"/>
        <w:ind w:left="360"/>
        <w:rPr>
          <w:rFonts w:ascii="Palatino Linotype" w:hAnsi="Palatino Linotype"/>
        </w:rPr>
      </w:pPr>
      <w:r w:rsidRPr="001A1EC8">
        <w:rPr>
          <w:rFonts w:ascii="Palatino Linotype" w:hAnsi="Palatino Linotype"/>
        </w:rPr>
        <w:t>SCE communicated with the other IOUs and Cal</w:t>
      </w:r>
      <w:r w:rsidR="00821DDA">
        <w:rPr>
          <w:rFonts w:ascii="Palatino Linotype" w:hAnsi="Palatino Linotype"/>
        </w:rPr>
        <w:t>ifornia Governor’s</w:t>
      </w:r>
      <w:r w:rsidRPr="001A1EC8">
        <w:rPr>
          <w:rFonts w:ascii="Palatino Linotype" w:hAnsi="Palatino Linotype"/>
        </w:rPr>
        <w:t xml:space="preserve"> O</w:t>
      </w:r>
      <w:r w:rsidR="00821DDA">
        <w:rPr>
          <w:rFonts w:ascii="Palatino Linotype" w:hAnsi="Palatino Linotype"/>
        </w:rPr>
        <w:t xml:space="preserve">ffice of </w:t>
      </w:r>
      <w:r w:rsidRPr="001A1EC8">
        <w:rPr>
          <w:rFonts w:ascii="Palatino Linotype" w:hAnsi="Palatino Linotype"/>
        </w:rPr>
        <w:t>E</w:t>
      </w:r>
      <w:r w:rsidR="00821DDA">
        <w:rPr>
          <w:rFonts w:ascii="Palatino Linotype" w:hAnsi="Palatino Linotype"/>
        </w:rPr>
        <w:t xml:space="preserve">mergency </w:t>
      </w:r>
      <w:r w:rsidRPr="001A1EC8">
        <w:rPr>
          <w:rFonts w:ascii="Palatino Linotype" w:hAnsi="Palatino Linotype"/>
        </w:rPr>
        <w:t>S</w:t>
      </w:r>
      <w:r w:rsidR="00821DDA">
        <w:rPr>
          <w:rFonts w:ascii="Palatino Linotype" w:hAnsi="Palatino Linotype"/>
        </w:rPr>
        <w:t>ervices</w:t>
      </w:r>
      <w:r w:rsidRPr="001A1EC8">
        <w:rPr>
          <w:rFonts w:ascii="Palatino Linotype" w:hAnsi="Palatino Linotype"/>
        </w:rPr>
        <w:t xml:space="preserve"> </w:t>
      </w:r>
      <w:r w:rsidRPr="001A1EC8" w:rsidR="005A1157">
        <w:rPr>
          <w:rFonts w:ascii="Palatino Linotype" w:hAnsi="Palatino Linotype"/>
        </w:rPr>
        <w:t xml:space="preserve">a </w:t>
      </w:r>
      <w:r w:rsidRPr="001A1EC8">
        <w:rPr>
          <w:rFonts w:ascii="Palatino Linotype" w:hAnsi="Palatino Linotype"/>
        </w:rPr>
        <w:t xml:space="preserve">desire to end this </w:t>
      </w:r>
      <w:r w:rsidRPr="001A1EC8" w:rsidR="00D611F2">
        <w:rPr>
          <w:rFonts w:ascii="Palatino Linotype" w:hAnsi="Palatino Linotype"/>
        </w:rPr>
        <w:t xml:space="preserve">statewide </w:t>
      </w:r>
      <w:r w:rsidRPr="001A1EC8">
        <w:rPr>
          <w:rFonts w:ascii="Palatino Linotype" w:hAnsi="Palatino Linotype"/>
        </w:rPr>
        <w:t>initiative</w:t>
      </w:r>
      <w:r w:rsidRPr="001A1EC8" w:rsidR="005A1157">
        <w:rPr>
          <w:rFonts w:ascii="Palatino Linotype" w:hAnsi="Palatino Linotype"/>
        </w:rPr>
        <w:t xml:space="preserve"> </w:t>
      </w:r>
      <w:r w:rsidRPr="001A1EC8">
        <w:rPr>
          <w:rFonts w:ascii="Palatino Linotype" w:hAnsi="Palatino Linotype"/>
        </w:rPr>
        <w:t xml:space="preserve">and place more emphasis on local campaigns. SCE </w:t>
      </w:r>
      <w:r w:rsidRPr="001A1EC8" w:rsidR="005A1157">
        <w:rPr>
          <w:rFonts w:ascii="Palatino Linotype" w:hAnsi="Palatino Linotype"/>
        </w:rPr>
        <w:t xml:space="preserve">said it was </w:t>
      </w:r>
      <w:r w:rsidRPr="001A1EC8">
        <w:rPr>
          <w:rFonts w:ascii="Palatino Linotype" w:hAnsi="Palatino Linotype"/>
        </w:rPr>
        <w:t>further analyzing</w:t>
      </w:r>
      <w:r w:rsidRPr="001A1EC8" w:rsidR="005A1157">
        <w:rPr>
          <w:rFonts w:ascii="Palatino Linotype" w:hAnsi="Palatino Linotype"/>
        </w:rPr>
        <w:t xml:space="preserve"> </w:t>
      </w:r>
      <w:r w:rsidRPr="001A1EC8">
        <w:rPr>
          <w:rFonts w:ascii="Palatino Linotype" w:hAnsi="Palatino Linotype"/>
        </w:rPr>
        <w:t>campaign awareness survey</w:t>
      </w:r>
      <w:r w:rsidR="00821DDA">
        <w:rPr>
          <w:rFonts w:ascii="Palatino Linotype" w:hAnsi="Palatino Linotype"/>
        </w:rPr>
        <w:t xml:space="preserve"> data</w:t>
      </w:r>
      <w:r w:rsidRPr="001A1EC8" w:rsidR="005A1157">
        <w:rPr>
          <w:rFonts w:ascii="Palatino Linotype" w:hAnsi="Palatino Linotype"/>
        </w:rPr>
        <w:t>, but that as of the filing it had suspe</w:t>
      </w:r>
      <w:r w:rsidRPr="001A1EC8">
        <w:rPr>
          <w:rFonts w:ascii="Palatino Linotype" w:hAnsi="Palatino Linotype"/>
        </w:rPr>
        <w:t>nded this</w:t>
      </w:r>
      <w:r w:rsidR="000A5726">
        <w:rPr>
          <w:rFonts w:ascii="Palatino Linotype" w:hAnsi="Palatino Linotype"/>
        </w:rPr>
        <w:t xml:space="preserve"> </w:t>
      </w:r>
      <w:r w:rsidRPr="001A1EC8" w:rsidR="00DB0176">
        <w:rPr>
          <w:rFonts w:ascii="Palatino Linotype" w:hAnsi="Palatino Linotype"/>
        </w:rPr>
        <w:t>i</w:t>
      </w:r>
      <w:r w:rsidRPr="001A1EC8">
        <w:rPr>
          <w:rFonts w:ascii="Palatino Linotype" w:hAnsi="Palatino Linotype"/>
        </w:rPr>
        <w:t>nitiative</w:t>
      </w:r>
      <w:r w:rsidRPr="001A1EC8" w:rsidR="005A1157">
        <w:rPr>
          <w:rFonts w:ascii="Palatino Linotype" w:hAnsi="Palatino Linotype"/>
        </w:rPr>
        <w:t xml:space="preserve"> </w:t>
      </w:r>
      <w:proofErr w:type="gramStart"/>
      <w:r w:rsidR="000A5726">
        <w:rPr>
          <w:rFonts w:ascii="Palatino Linotype" w:hAnsi="Palatino Linotype"/>
        </w:rPr>
        <w:t xml:space="preserve">in order </w:t>
      </w:r>
      <w:r w:rsidRPr="001A1EC8">
        <w:rPr>
          <w:rFonts w:ascii="Palatino Linotype" w:hAnsi="Palatino Linotype"/>
        </w:rPr>
        <w:t>to</w:t>
      </w:r>
      <w:proofErr w:type="gramEnd"/>
      <w:r w:rsidRPr="001A1EC8" w:rsidR="005A1157">
        <w:rPr>
          <w:rFonts w:ascii="Palatino Linotype" w:hAnsi="Palatino Linotype"/>
        </w:rPr>
        <w:t xml:space="preserve"> </w:t>
      </w:r>
      <w:r w:rsidRPr="001A1EC8">
        <w:rPr>
          <w:rFonts w:ascii="Palatino Linotype" w:hAnsi="Palatino Linotype"/>
        </w:rPr>
        <w:t>determine whether or not the stateside campaign should be abandoned.</w:t>
      </w:r>
    </w:p>
    <w:p w:rsidRPr="001A1EC8" w:rsidR="008C56E0" w:rsidP="00701C92" w:rsidRDefault="008C56E0" w14:paraId="7BF94DEA" w14:textId="262F0F15">
      <w:pPr>
        <w:pStyle w:val="Res-Caption"/>
        <w:ind w:left="1080"/>
        <w:rPr>
          <w:rFonts w:ascii="Palatino Linotype" w:hAnsi="Palatino Linotype" w:eastAsiaTheme="minorHAnsi" w:cstheme="minorBidi"/>
          <w:szCs w:val="22"/>
        </w:rPr>
      </w:pPr>
    </w:p>
    <w:p w:rsidRPr="001A1EC8" w:rsidR="008C56E0" w:rsidP="00701C92" w:rsidRDefault="00C34D1B" w14:paraId="766262E1" w14:textId="33264194">
      <w:pPr>
        <w:pStyle w:val="Res-Caption"/>
        <w:ind w:left="360"/>
        <w:rPr>
          <w:rFonts w:ascii="Palatino Linotype" w:hAnsi="Palatino Linotype" w:eastAsiaTheme="minorHAnsi" w:cstheme="minorBidi"/>
          <w:szCs w:val="22"/>
        </w:rPr>
      </w:pPr>
      <w:proofErr w:type="gramStart"/>
      <w:r w:rsidRPr="001A1EC8">
        <w:rPr>
          <w:rFonts w:ascii="Palatino Linotype" w:hAnsi="Palatino Linotype" w:eastAsiaTheme="minorHAnsi" w:cstheme="minorBidi"/>
          <w:szCs w:val="22"/>
        </w:rPr>
        <w:t>Current status</w:t>
      </w:r>
      <w:proofErr w:type="gramEnd"/>
      <w:r w:rsidRPr="001A1EC8">
        <w:rPr>
          <w:rFonts w:ascii="Palatino Linotype" w:hAnsi="Palatino Linotype" w:eastAsiaTheme="minorHAnsi" w:cstheme="minorBidi"/>
          <w:szCs w:val="22"/>
        </w:rPr>
        <w:t xml:space="preserve">: </w:t>
      </w:r>
      <w:r w:rsidRPr="001A1EC8" w:rsidR="00345C13">
        <w:rPr>
          <w:rFonts w:ascii="Palatino Linotype" w:hAnsi="Palatino Linotype" w:eastAsiaTheme="minorHAnsi" w:cstheme="minorBidi"/>
          <w:szCs w:val="22"/>
        </w:rPr>
        <w:t xml:space="preserve">In its </w:t>
      </w:r>
      <w:r w:rsidRPr="001A1EC8" w:rsidR="007736A4">
        <w:rPr>
          <w:rFonts w:ascii="Palatino Linotype" w:hAnsi="Palatino Linotype" w:eastAsiaTheme="minorHAnsi" w:cstheme="minorBidi"/>
          <w:szCs w:val="22"/>
        </w:rPr>
        <w:t xml:space="preserve">First Quarterly Report on Compliance with </w:t>
      </w:r>
      <w:r w:rsidRPr="001A1EC8" w:rsidR="00345C13">
        <w:rPr>
          <w:rFonts w:ascii="Palatino Linotype" w:hAnsi="Palatino Linotype" w:eastAsiaTheme="minorHAnsi" w:cstheme="minorBidi"/>
          <w:szCs w:val="22"/>
        </w:rPr>
        <w:t>2020 WMP</w:t>
      </w:r>
      <w:r w:rsidRPr="001A1EC8" w:rsidR="007736A4">
        <w:rPr>
          <w:rFonts w:ascii="Palatino Linotype" w:hAnsi="Palatino Linotype" w:eastAsiaTheme="minorHAnsi" w:cstheme="minorBidi"/>
          <w:szCs w:val="22"/>
        </w:rPr>
        <w:t xml:space="preserve"> deficiencies findings</w:t>
      </w:r>
      <w:r w:rsidRPr="001A1EC8" w:rsidR="00345C13">
        <w:rPr>
          <w:rFonts w:ascii="Palatino Linotype" w:hAnsi="Palatino Linotype" w:eastAsiaTheme="minorHAnsi" w:cstheme="minorBidi"/>
          <w:szCs w:val="22"/>
        </w:rPr>
        <w:t xml:space="preserve">, SCE reported that the Customer Engagement Program DEP-3 </w:t>
      </w:r>
      <w:r w:rsidRPr="001A1EC8" w:rsidR="007736A4">
        <w:rPr>
          <w:rFonts w:ascii="Palatino Linotype" w:hAnsi="Palatino Linotype" w:eastAsiaTheme="minorHAnsi" w:cstheme="minorBidi"/>
          <w:szCs w:val="22"/>
        </w:rPr>
        <w:t>“is no longer being pursued as a 2020 WMP activity.”</w:t>
      </w:r>
      <w:r w:rsidRPr="001A1EC8" w:rsidR="007736A4">
        <w:rPr>
          <w:rStyle w:val="FootnoteReference"/>
          <w:rFonts w:ascii="Palatino Linotype" w:hAnsi="Palatino Linotype" w:eastAsiaTheme="minorHAnsi" w:cstheme="minorBidi"/>
          <w:szCs w:val="22"/>
        </w:rPr>
        <w:footnoteReference w:id="9"/>
      </w:r>
    </w:p>
    <w:p w:rsidRPr="001A1EC8" w:rsidR="00473AE5" w:rsidP="00473AE5" w:rsidRDefault="00473AE5" w14:paraId="57F877F9" w14:textId="721F71CE">
      <w:pPr>
        <w:pStyle w:val="Res-Caption"/>
        <w:ind w:left="0"/>
        <w:rPr>
          <w:rFonts w:ascii="Palatino Linotype" w:hAnsi="Palatino Linotype" w:eastAsiaTheme="minorHAnsi" w:cstheme="minorBidi"/>
          <w:szCs w:val="22"/>
        </w:rPr>
      </w:pPr>
    </w:p>
    <w:p w:rsidRPr="001A1EC8" w:rsidR="00517D50" w:rsidP="00517D50" w:rsidRDefault="00473AE5" w14:paraId="31F6A476" w14:textId="7F726EB3">
      <w:pPr>
        <w:pStyle w:val="ListParagraph"/>
        <w:numPr>
          <w:ilvl w:val="1"/>
          <w:numId w:val="36"/>
        </w:numPr>
        <w:autoSpaceDE w:val="0"/>
        <w:autoSpaceDN w:val="0"/>
        <w:adjustRightInd w:val="0"/>
        <w:rPr>
          <w:rFonts w:ascii="Palatino Linotype" w:hAnsi="Palatino Linotype" w:eastAsiaTheme="minorHAnsi"/>
        </w:rPr>
      </w:pPr>
      <w:r w:rsidRPr="001A1EC8">
        <w:rPr>
          <w:rFonts w:ascii="Palatino Linotype" w:hAnsi="Palatino Linotype"/>
        </w:rPr>
        <w:t xml:space="preserve">Microgrid Assessment – Activity </w:t>
      </w:r>
      <w:r w:rsidR="00821DDA">
        <w:rPr>
          <w:rFonts w:ascii="Palatino Linotype" w:hAnsi="Palatino Linotype"/>
        </w:rPr>
        <w:t>Public Safety Power Shut-Offs (</w:t>
      </w:r>
      <w:r w:rsidRPr="001A1EC8">
        <w:rPr>
          <w:rFonts w:ascii="Palatino Linotype" w:hAnsi="Palatino Linotype"/>
        </w:rPr>
        <w:t>PSPS</w:t>
      </w:r>
      <w:r w:rsidR="00821DDA">
        <w:rPr>
          <w:rFonts w:ascii="Palatino Linotype" w:hAnsi="Palatino Linotype"/>
        </w:rPr>
        <w:t>)</w:t>
      </w:r>
      <w:r w:rsidRPr="001A1EC8">
        <w:rPr>
          <w:rFonts w:ascii="Palatino Linotype" w:hAnsi="Palatino Linotype"/>
        </w:rPr>
        <w:t>-8 – PSPS Resiliency</w:t>
      </w:r>
      <w:r w:rsidRPr="001A1EC8" w:rsidR="005A1157">
        <w:rPr>
          <w:rFonts w:ascii="Palatino Linotype" w:hAnsi="Palatino Linotype"/>
        </w:rPr>
        <w:t xml:space="preserve"> </w:t>
      </w:r>
      <w:r w:rsidRPr="001A1EC8">
        <w:rPr>
          <w:rFonts w:ascii="Palatino Linotype" w:hAnsi="Palatino Linotype" w:eastAsiaTheme="minorHAnsi"/>
        </w:rPr>
        <w:t>Zone</w:t>
      </w:r>
      <w:r w:rsidRPr="001A1EC8" w:rsidR="005A1157">
        <w:rPr>
          <w:rFonts w:ascii="Palatino Linotype" w:hAnsi="Palatino Linotype" w:eastAsiaTheme="minorHAnsi"/>
        </w:rPr>
        <w:t xml:space="preserve"> </w:t>
      </w:r>
    </w:p>
    <w:p w:rsidRPr="001A1EC8" w:rsidR="00473AE5" w:rsidP="00701C92" w:rsidRDefault="00473AE5" w14:paraId="3EC6B0C1" w14:textId="3AC51E2E">
      <w:pPr>
        <w:autoSpaceDE w:val="0"/>
        <w:autoSpaceDN w:val="0"/>
        <w:adjustRightInd w:val="0"/>
        <w:ind w:left="360"/>
        <w:rPr>
          <w:rFonts w:ascii="Palatino Linotype" w:hAnsi="Palatino Linotype"/>
        </w:rPr>
      </w:pPr>
      <w:r w:rsidRPr="001A1EC8">
        <w:rPr>
          <w:rFonts w:ascii="Palatino Linotype" w:hAnsi="Palatino Linotype"/>
        </w:rPr>
        <w:t>SCE</w:t>
      </w:r>
      <w:r w:rsidRPr="001A1EC8" w:rsidR="00517D50">
        <w:rPr>
          <w:rFonts w:ascii="Palatino Linotype" w:hAnsi="Palatino Linotype"/>
        </w:rPr>
        <w:t xml:space="preserve"> indicated it would modify this program.  The </w:t>
      </w:r>
      <w:r w:rsidRPr="001A1EC8">
        <w:rPr>
          <w:rFonts w:ascii="Palatino Linotype" w:hAnsi="Palatino Linotype"/>
        </w:rPr>
        <w:t>“Resilienc</w:t>
      </w:r>
      <w:r w:rsidRPr="001A1EC8" w:rsidR="00517D50">
        <w:rPr>
          <w:rFonts w:ascii="Palatino Linotype" w:hAnsi="Palatino Linotype"/>
        </w:rPr>
        <w:t xml:space="preserve">y </w:t>
      </w:r>
      <w:r w:rsidRPr="001A1EC8">
        <w:rPr>
          <w:rFonts w:ascii="Palatino Linotype" w:hAnsi="Palatino Linotype"/>
        </w:rPr>
        <w:t>Zone” concept was born out of SCE’s efforts to reduce customer impacts of</w:t>
      </w:r>
      <w:r w:rsidRPr="001A1EC8" w:rsidR="00517D50">
        <w:rPr>
          <w:rFonts w:ascii="Palatino Linotype" w:hAnsi="Palatino Linotype"/>
        </w:rPr>
        <w:t xml:space="preserve"> </w:t>
      </w:r>
      <w:r w:rsidRPr="001A1EC8">
        <w:rPr>
          <w:rFonts w:ascii="Palatino Linotype" w:hAnsi="Palatino Linotype"/>
        </w:rPr>
        <w:t xml:space="preserve">PSPS events. As </w:t>
      </w:r>
      <w:r w:rsidRPr="001A1EC8">
        <w:rPr>
          <w:rFonts w:ascii="Palatino Linotype" w:hAnsi="Palatino Linotype"/>
        </w:rPr>
        <w:lastRenderedPageBreak/>
        <w:t>part of this effort, SCE determined that customer impacts</w:t>
      </w:r>
      <w:r w:rsidRPr="001A1EC8" w:rsidR="00517D50">
        <w:rPr>
          <w:rFonts w:ascii="Palatino Linotype" w:hAnsi="Palatino Linotype"/>
        </w:rPr>
        <w:t xml:space="preserve"> </w:t>
      </w:r>
      <w:r w:rsidRPr="001A1EC8">
        <w:rPr>
          <w:rFonts w:ascii="Palatino Linotype" w:hAnsi="Palatino Linotype"/>
        </w:rPr>
        <w:t>could be further reduced in rural communities previously impacted by PSPS</w:t>
      </w:r>
    </w:p>
    <w:p w:rsidRPr="001A1EC8" w:rsidR="00473AE5" w:rsidP="00701C92" w:rsidRDefault="00473AE5" w14:paraId="67779FFF" w14:textId="01493F2B">
      <w:pPr>
        <w:autoSpaceDE w:val="0"/>
        <w:autoSpaceDN w:val="0"/>
        <w:adjustRightInd w:val="0"/>
        <w:ind w:left="360"/>
        <w:rPr>
          <w:rFonts w:ascii="Palatino Linotype" w:hAnsi="Palatino Linotype"/>
        </w:rPr>
      </w:pPr>
      <w:r w:rsidRPr="001A1EC8">
        <w:rPr>
          <w:rFonts w:ascii="Palatino Linotype" w:hAnsi="Palatino Linotype"/>
        </w:rPr>
        <w:t xml:space="preserve">events by keeping essential services electrified. SCE </w:t>
      </w:r>
      <w:r w:rsidRPr="001A1EC8" w:rsidR="00517D50">
        <w:rPr>
          <w:rFonts w:ascii="Palatino Linotype" w:hAnsi="Palatino Linotype"/>
        </w:rPr>
        <w:t xml:space="preserve">said it </w:t>
      </w:r>
      <w:r w:rsidRPr="001A1EC8">
        <w:rPr>
          <w:rFonts w:ascii="Palatino Linotype" w:hAnsi="Palatino Linotype"/>
        </w:rPr>
        <w:t>is augmenting</w:t>
      </w:r>
    </w:p>
    <w:p w:rsidRPr="001A1EC8" w:rsidR="00473AE5" w:rsidP="00701C92" w:rsidRDefault="00473AE5" w14:paraId="7341E934" w14:textId="77777777">
      <w:pPr>
        <w:autoSpaceDE w:val="0"/>
        <w:autoSpaceDN w:val="0"/>
        <w:adjustRightInd w:val="0"/>
        <w:ind w:left="360"/>
        <w:rPr>
          <w:rFonts w:ascii="Palatino Linotype" w:hAnsi="Palatino Linotype"/>
        </w:rPr>
      </w:pPr>
      <w:r w:rsidRPr="001A1EC8">
        <w:rPr>
          <w:rFonts w:ascii="Palatino Linotype" w:hAnsi="Palatino Linotype"/>
        </w:rPr>
        <w:t>(</w:t>
      </w:r>
      <w:proofErr w:type="gramStart"/>
      <w:r w:rsidRPr="001A1EC8">
        <w:rPr>
          <w:rFonts w:ascii="Palatino Linotype" w:hAnsi="Palatino Linotype"/>
        </w:rPr>
        <w:t>or</w:t>
      </w:r>
      <w:proofErr w:type="gramEnd"/>
      <w:r w:rsidRPr="001A1EC8">
        <w:rPr>
          <w:rFonts w:ascii="Palatino Linotype" w:hAnsi="Palatino Linotype"/>
        </w:rPr>
        <w:t xml:space="preserve"> modifying) this activity by initiating a pilot program to provide a mobile</w:t>
      </w:r>
    </w:p>
    <w:p w:rsidRPr="001A1EC8" w:rsidR="00473AE5" w:rsidP="00701C92" w:rsidRDefault="00473AE5" w14:paraId="429C5B7D" w14:textId="77777777">
      <w:pPr>
        <w:autoSpaceDE w:val="0"/>
        <w:autoSpaceDN w:val="0"/>
        <w:adjustRightInd w:val="0"/>
        <w:ind w:left="360"/>
        <w:rPr>
          <w:rFonts w:ascii="Palatino Linotype" w:hAnsi="Palatino Linotype"/>
        </w:rPr>
      </w:pPr>
      <w:r w:rsidRPr="001A1EC8">
        <w:rPr>
          <w:rFonts w:ascii="Palatino Linotype" w:hAnsi="Palatino Linotype"/>
        </w:rPr>
        <w:t>generator backup to electrify certain essential services in rural areas</w:t>
      </w:r>
    </w:p>
    <w:p w:rsidRPr="001A1EC8" w:rsidR="00473AE5" w:rsidP="005A1157" w:rsidRDefault="00473AE5" w14:paraId="2E53C5EA" w14:textId="0BC76666">
      <w:pPr>
        <w:pStyle w:val="Res-Caption"/>
        <w:ind w:left="360"/>
        <w:rPr>
          <w:rFonts w:ascii="Palatino Linotype" w:hAnsi="Palatino Linotype" w:eastAsiaTheme="minorHAnsi" w:cstheme="minorBidi"/>
          <w:szCs w:val="22"/>
        </w:rPr>
      </w:pPr>
      <w:r w:rsidRPr="001A1EC8">
        <w:rPr>
          <w:rFonts w:ascii="Palatino Linotype" w:hAnsi="Palatino Linotype" w:eastAsiaTheme="minorHAnsi" w:cstheme="minorBidi"/>
          <w:szCs w:val="22"/>
        </w:rPr>
        <w:t>previously impacted by PSPS event.</w:t>
      </w:r>
      <w:r w:rsidRPr="001A1EC8" w:rsidR="00517D50">
        <w:rPr>
          <w:rFonts w:ascii="Palatino Linotype" w:hAnsi="Palatino Linotype" w:eastAsiaTheme="minorHAnsi" w:cstheme="minorBidi"/>
          <w:szCs w:val="22"/>
        </w:rPr>
        <w:t xml:space="preserve">  </w:t>
      </w:r>
      <w:r w:rsidRPr="001A1EC8">
        <w:rPr>
          <w:rFonts w:ascii="Palatino Linotype" w:hAnsi="Palatino Linotype" w:cstheme="minorBidi"/>
          <w:szCs w:val="22"/>
        </w:rPr>
        <w:t xml:space="preserve">This pilot </w:t>
      </w:r>
      <w:r w:rsidRPr="001A1EC8" w:rsidR="00517D50">
        <w:rPr>
          <w:rFonts w:ascii="Palatino Linotype" w:hAnsi="Palatino Linotype" w:cstheme="minorBidi"/>
          <w:szCs w:val="22"/>
        </w:rPr>
        <w:t>would</w:t>
      </w:r>
      <w:r w:rsidRPr="001A1EC8">
        <w:rPr>
          <w:rFonts w:ascii="Palatino Linotype" w:hAnsi="Palatino Linotype" w:cstheme="minorBidi"/>
          <w:szCs w:val="22"/>
        </w:rPr>
        <w:t xml:space="preserve"> enable SCE to evaluate the benefit derived by the community with</w:t>
      </w:r>
      <w:r w:rsidRPr="001A1EC8" w:rsidR="00517D50">
        <w:rPr>
          <w:rFonts w:ascii="Palatino Linotype" w:hAnsi="Palatino Linotype" w:cstheme="minorBidi"/>
          <w:szCs w:val="22"/>
        </w:rPr>
        <w:t xml:space="preserve"> </w:t>
      </w:r>
      <w:r w:rsidRPr="001A1EC8">
        <w:rPr>
          <w:rFonts w:ascii="Palatino Linotype" w:hAnsi="Palatino Linotype" w:cstheme="minorBidi"/>
          <w:szCs w:val="22"/>
        </w:rPr>
        <w:t xml:space="preserve">respect to energizing essential services. </w:t>
      </w:r>
      <w:r w:rsidRPr="001A1EC8" w:rsidR="00517D50">
        <w:rPr>
          <w:rFonts w:ascii="Palatino Linotype" w:hAnsi="Palatino Linotype" w:cstheme="minorBidi"/>
          <w:szCs w:val="22"/>
        </w:rPr>
        <w:t xml:space="preserve"> </w:t>
      </w:r>
      <w:r w:rsidRPr="001A1EC8">
        <w:rPr>
          <w:rFonts w:ascii="Palatino Linotype" w:hAnsi="Palatino Linotype" w:cstheme="minorBidi"/>
          <w:szCs w:val="22"/>
        </w:rPr>
        <w:t>If successful and the benefits</w:t>
      </w:r>
      <w:r w:rsidRPr="001A1EC8" w:rsidR="00517D50">
        <w:rPr>
          <w:rFonts w:ascii="Palatino Linotype" w:hAnsi="Palatino Linotype" w:cstheme="minorBidi"/>
          <w:szCs w:val="22"/>
        </w:rPr>
        <w:t xml:space="preserve"> </w:t>
      </w:r>
      <w:r w:rsidRPr="001A1EC8">
        <w:rPr>
          <w:rFonts w:ascii="Palatino Linotype" w:hAnsi="Palatino Linotype" w:cstheme="minorBidi"/>
          <w:szCs w:val="22"/>
        </w:rPr>
        <w:t xml:space="preserve">support the costs, SCE </w:t>
      </w:r>
      <w:r w:rsidRPr="001A1EC8" w:rsidR="00517D50">
        <w:rPr>
          <w:rFonts w:ascii="Palatino Linotype" w:hAnsi="Palatino Linotype" w:cstheme="minorBidi"/>
          <w:szCs w:val="22"/>
        </w:rPr>
        <w:t xml:space="preserve">said it </w:t>
      </w:r>
      <w:r w:rsidRPr="001A1EC8">
        <w:rPr>
          <w:rFonts w:ascii="Palatino Linotype" w:hAnsi="Palatino Linotype" w:cstheme="minorBidi"/>
          <w:szCs w:val="22"/>
        </w:rPr>
        <w:t>may recommend expanding this to other communities</w:t>
      </w:r>
      <w:r w:rsidRPr="001A1EC8" w:rsidR="00517D50">
        <w:rPr>
          <w:rFonts w:ascii="Palatino Linotype" w:hAnsi="Palatino Linotype" w:cstheme="minorBidi"/>
          <w:szCs w:val="22"/>
        </w:rPr>
        <w:t xml:space="preserve"> </w:t>
      </w:r>
      <w:r w:rsidRPr="001A1EC8">
        <w:rPr>
          <w:rFonts w:ascii="Palatino Linotype" w:hAnsi="Palatino Linotype" w:eastAsiaTheme="minorHAnsi" w:cstheme="minorBidi"/>
          <w:szCs w:val="22"/>
        </w:rPr>
        <w:t>in a phased approach in 2021.</w:t>
      </w:r>
    </w:p>
    <w:p w:rsidRPr="001A1EC8" w:rsidR="00517D50" w:rsidP="006D7983" w:rsidRDefault="00517D50" w14:paraId="7BAFFB8B" w14:textId="2951FA72">
      <w:pPr>
        <w:autoSpaceDE w:val="0"/>
        <w:autoSpaceDN w:val="0"/>
        <w:adjustRightInd w:val="0"/>
        <w:ind w:left="360"/>
        <w:rPr>
          <w:rFonts w:ascii="Palatino Linotype" w:hAnsi="Palatino Linotype"/>
        </w:rPr>
      </w:pPr>
    </w:p>
    <w:p w:rsidRPr="001A1EC8" w:rsidR="006D7983" w:rsidP="006D7983" w:rsidRDefault="00C34D1B" w14:paraId="7E0B376A" w14:textId="640DD657">
      <w:pPr>
        <w:autoSpaceDE w:val="0"/>
        <w:autoSpaceDN w:val="0"/>
        <w:adjustRightInd w:val="0"/>
        <w:ind w:left="360"/>
        <w:rPr>
          <w:rFonts w:ascii="Palatino Linotype" w:hAnsi="Palatino Linotype"/>
        </w:rPr>
      </w:pPr>
      <w:r w:rsidRPr="001A1EC8">
        <w:rPr>
          <w:rFonts w:ascii="Palatino Linotype" w:hAnsi="Palatino Linotype"/>
        </w:rPr>
        <w:t xml:space="preserve">Current Status: </w:t>
      </w:r>
      <w:r w:rsidRPr="001A1EC8" w:rsidR="006D7983">
        <w:rPr>
          <w:rFonts w:ascii="Palatino Linotype" w:hAnsi="Palatino Linotype"/>
        </w:rPr>
        <w:t>As part of its 2020 WMP, SCE included an expanded pilot program for PSPS-8, stating it plans to “1) Execute RFP for six resiliency microgrid projects</w:t>
      </w:r>
      <w:r w:rsidR="00821DDA">
        <w:rPr>
          <w:rFonts w:ascii="Palatino Linotype" w:hAnsi="Palatino Linotype"/>
        </w:rPr>
        <w:t>;</w:t>
      </w:r>
      <w:r w:rsidRPr="001A1EC8" w:rsidR="006D7983">
        <w:rPr>
          <w:rFonts w:ascii="Palatino Linotype" w:hAnsi="Palatino Linotype"/>
        </w:rPr>
        <w:t xml:space="preserve"> 2) Depending on RFP results, implementation of up to 6 resiliency microgrid projects shown to be technically feasible and cost-effective.”</w:t>
      </w:r>
      <w:r w:rsidRPr="001A1EC8" w:rsidR="006D7983">
        <w:rPr>
          <w:rStyle w:val="FootnoteReference"/>
          <w:rFonts w:ascii="Palatino Linotype" w:hAnsi="Palatino Linotype"/>
        </w:rPr>
        <w:footnoteReference w:id="10"/>
      </w:r>
    </w:p>
    <w:p w:rsidRPr="001A1EC8" w:rsidR="006D7983" w:rsidP="006D7983" w:rsidRDefault="006D7983" w14:paraId="745AC314" w14:textId="77777777">
      <w:pPr>
        <w:autoSpaceDE w:val="0"/>
        <w:autoSpaceDN w:val="0"/>
        <w:adjustRightInd w:val="0"/>
        <w:ind w:left="360"/>
        <w:rPr>
          <w:rFonts w:ascii="Palatino Linotype" w:hAnsi="Palatino Linotype"/>
        </w:rPr>
      </w:pPr>
    </w:p>
    <w:p w:rsidRPr="00F2311F" w:rsidR="001A1EC8" w:rsidP="001A1EC8" w:rsidRDefault="001A1EC8" w14:paraId="3BDD1102" w14:textId="64178CC9">
      <w:pPr>
        <w:autoSpaceDE w:val="0"/>
        <w:autoSpaceDN w:val="0"/>
        <w:adjustRightInd w:val="0"/>
        <w:ind w:left="360"/>
      </w:pPr>
      <w:r>
        <w:t>The changes to PSPS-</w:t>
      </w:r>
      <w:r w:rsidR="00821DDA">
        <w:t>8</w:t>
      </w:r>
      <w:r>
        <w:t xml:space="preserve"> described in AL 4222 have been superseded by the approval of the 2020 WMP.</w:t>
      </w:r>
    </w:p>
    <w:p w:rsidRPr="00A213E2" w:rsidR="00473AE5" w:rsidP="00701C92" w:rsidRDefault="00473AE5" w14:paraId="6ACDEECF" w14:textId="794F6153">
      <w:pPr>
        <w:pStyle w:val="Res-Caption"/>
        <w:ind w:left="360"/>
        <w:rPr>
          <w:rFonts w:ascii="Book Antiqua" w:hAnsi="Book Antiqua" w:eastAsiaTheme="minorHAnsi" w:cstheme="minorBidi"/>
          <w:szCs w:val="22"/>
        </w:rPr>
      </w:pPr>
    </w:p>
    <w:p w:rsidRPr="002A31D8" w:rsidR="00473AE5" w:rsidP="002A31D8" w:rsidRDefault="00473AE5" w14:paraId="75559D2B" w14:textId="0BFC8718">
      <w:pPr>
        <w:pStyle w:val="ListParagraph"/>
        <w:keepNext/>
        <w:numPr>
          <w:ilvl w:val="0"/>
          <w:numId w:val="41"/>
        </w:numPr>
        <w:autoSpaceDE w:val="0"/>
        <w:autoSpaceDN w:val="0"/>
        <w:adjustRightInd w:val="0"/>
        <w:ind w:left="1080" w:hanging="720"/>
      </w:pPr>
      <w:r w:rsidRPr="002A31D8">
        <w:t>Customer Resiliency Equipment Incentives – Activity PSPS-3 – PSPS</w:t>
      </w:r>
      <w:r w:rsidRPr="002A31D8" w:rsidR="00517D50">
        <w:t xml:space="preserve"> </w:t>
      </w:r>
      <w:r w:rsidRPr="002A31D8">
        <w:rPr>
          <w:rFonts w:ascii="Book Antiqua" w:hAnsi="Book Antiqua" w:eastAsiaTheme="minorHAnsi" w:cstheme="minorBidi"/>
          <w:szCs w:val="22"/>
        </w:rPr>
        <w:t>Well Water Resiliency Generator Incentive</w:t>
      </w:r>
    </w:p>
    <w:p w:rsidR="005D3760" w:rsidP="00701C92" w:rsidRDefault="00473AE5" w14:paraId="60486903" w14:textId="29D5614D">
      <w:pPr>
        <w:ind w:left="360"/>
      </w:pPr>
      <w:r>
        <w:t>SCE indicated a potential to modify</w:t>
      </w:r>
      <w:r w:rsidRPr="00701C92" w:rsidR="005D3760">
        <w:t xml:space="preserve"> its Customer Resiliency</w:t>
      </w:r>
      <w:r w:rsidR="00517D50">
        <w:t xml:space="preserve"> </w:t>
      </w:r>
      <w:r w:rsidRPr="00701C92" w:rsidR="005D3760">
        <w:t>Equipment Incentives initiative by adding a $300 to $500 equipment incentive for</w:t>
      </w:r>
      <w:r w:rsidR="00517D50">
        <w:t xml:space="preserve"> </w:t>
      </w:r>
      <w:r w:rsidRPr="00701C92" w:rsidR="005D3760">
        <w:t>residential, small commercial, and schools who are dependent on well water. SCE said it expected to begin the outreach phase of this program in June and assess its</w:t>
      </w:r>
      <w:r w:rsidR="005A1157">
        <w:t xml:space="preserve"> </w:t>
      </w:r>
      <w:r w:rsidRPr="00701C92" w:rsidR="005D3760">
        <w:t>effectiveness and need throughout the year.</w:t>
      </w:r>
    </w:p>
    <w:p w:rsidR="005D3760" w:rsidP="00517D50" w:rsidRDefault="005D3760" w14:paraId="5247141C" w14:textId="28EBD614">
      <w:pPr>
        <w:pStyle w:val="Res-Caption"/>
        <w:ind w:left="360"/>
        <w:rPr>
          <w:rFonts w:ascii="Book Antiqua" w:hAnsi="Book Antiqua" w:eastAsiaTheme="minorHAnsi" w:cstheme="minorBidi"/>
          <w:szCs w:val="22"/>
        </w:rPr>
      </w:pPr>
    </w:p>
    <w:p w:rsidR="00976646" w:rsidP="00C34D1B" w:rsidRDefault="00C34D1B" w14:paraId="62A4EFCA" w14:textId="7680F8F9">
      <w:pPr>
        <w:autoSpaceDE w:val="0"/>
        <w:autoSpaceDN w:val="0"/>
        <w:adjustRightInd w:val="0"/>
        <w:ind w:left="360"/>
      </w:pPr>
      <w:r>
        <w:t xml:space="preserve">Current Status: </w:t>
      </w:r>
      <w:r w:rsidR="006D7983">
        <w:t>In its 2020 WMP, SCE no longer included this mitigation measure</w:t>
      </w:r>
      <w:r w:rsidR="00F2311F">
        <w:t xml:space="preserve"> for well water resiliency. Instead PSPS-3 was recast to </w:t>
      </w:r>
      <w:r>
        <w:t>d</w:t>
      </w:r>
      <w:r w:rsidRPr="00F2311F" w:rsidR="00F2311F">
        <w:t xml:space="preserve">evelop a customer resiliency equipment incentive pilot program that provides financial </w:t>
      </w:r>
      <w:r w:rsidRPr="00F2311F" w:rsidR="00F2311F">
        <w:lastRenderedPageBreak/>
        <w:t>support to customers willing to increase resiliency within its HFRA. One customer will be</w:t>
      </w:r>
      <w:r w:rsidR="00F2311F">
        <w:t xml:space="preserve"> </w:t>
      </w:r>
      <w:r w:rsidRPr="00F2311F" w:rsidR="00F2311F">
        <w:t>implemented for this pilot in 2020.</w:t>
      </w:r>
      <w:r w:rsidR="00F2311F">
        <w:rPr>
          <w:rStyle w:val="FootnoteReference"/>
        </w:rPr>
        <w:footnoteReference w:id="11"/>
      </w:r>
      <w:r>
        <w:t xml:space="preserve">  </w:t>
      </w:r>
    </w:p>
    <w:p w:rsidR="00976646" w:rsidP="00C34D1B" w:rsidRDefault="00976646" w14:paraId="69F2FEE0" w14:textId="77777777">
      <w:pPr>
        <w:autoSpaceDE w:val="0"/>
        <w:autoSpaceDN w:val="0"/>
        <w:adjustRightInd w:val="0"/>
        <w:ind w:left="360"/>
      </w:pPr>
    </w:p>
    <w:p w:rsidR="00517D50" w:rsidP="0006112C" w:rsidRDefault="001A1EC8" w14:paraId="7A80862B" w14:textId="2A519A79">
      <w:pPr>
        <w:autoSpaceDE w:val="0"/>
        <w:autoSpaceDN w:val="0"/>
        <w:adjustRightInd w:val="0"/>
        <w:ind w:left="360"/>
      </w:pPr>
      <w:r>
        <w:t>The changes to PSPS-3 described in AL 4222 have been superseded by the approval of the 2020 WMP.</w:t>
      </w:r>
    </w:p>
    <w:p w:rsidR="00D95F5C" w:rsidP="0006112C" w:rsidRDefault="00D95F5C" w14:paraId="179FD6F2" w14:textId="6A05C439">
      <w:pPr>
        <w:autoSpaceDE w:val="0"/>
        <w:autoSpaceDN w:val="0"/>
        <w:adjustRightInd w:val="0"/>
        <w:ind w:left="360"/>
      </w:pPr>
    </w:p>
    <w:p w:rsidRPr="007A0246" w:rsidR="00D95F5C" w:rsidP="00D95F5C" w:rsidRDefault="00D95F5C" w14:paraId="59E21445" w14:textId="77777777">
      <w:pPr>
        <w:autoSpaceDE w:val="0"/>
        <w:autoSpaceDN w:val="0"/>
        <w:adjustRightInd w:val="0"/>
        <w:rPr>
          <w:b/>
          <w:bCs/>
        </w:rPr>
      </w:pPr>
      <w:r w:rsidRPr="007A0246">
        <w:rPr>
          <w:b/>
          <w:bCs/>
        </w:rPr>
        <w:t>NOTICE</w:t>
      </w:r>
    </w:p>
    <w:p w:rsidR="00D95F5C" w:rsidP="00D95F5C" w:rsidRDefault="00D95F5C" w14:paraId="51307BF3" w14:textId="77777777">
      <w:pPr>
        <w:autoSpaceDE w:val="0"/>
        <w:autoSpaceDN w:val="0"/>
        <w:adjustRightInd w:val="0"/>
      </w:pPr>
    </w:p>
    <w:p w:rsidR="00D95F5C" w:rsidP="00D95F5C" w:rsidRDefault="00D95F5C" w14:paraId="7A45B564" w14:textId="315719EF">
      <w:pPr>
        <w:autoSpaceDE w:val="0"/>
        <w:autoSpaceDN w:val="0"/>
        <w:adjustRightInd w:val="0"/>
        <w:ind w:left="360"/>
      </w:pPr>
      <w:r w:rsidRPr="008E26F5">
        <w:t xml:space="preserve">Notice of </w:t>
      </w:r>
      <w:r>
        <w:t xml:space="preserve">Liberty AL 143-E, PacifiCorp AL 616-E, BVES AL 390-E, PG&amp;E AL 5837-E, SDG&amp;E AL 3549-E, and SCE AL 4222-E </w:t>
      </w:r>
      <w:r w:rsidRPr="008E26F5">
        <w:t>was made by publication in the Commission’s Daily Calendar.</w:t>
      </w:r>
    </w:p>
    <w:p w:rsidR="00D95F5C" w:rsidP="00D95F5C" w:rsidRDefault="00D95F5C" w14:paraId="22BEDB36" w14:textId="0EEC6B54">
      <w:pPr>
        <w:autoSpaceDE w:val="0"/>
        <w:autoSpaceDN w:val="0"/>
        <w:adjustRightInd w:val="0"/>
        <w:ind w:left="360"/>
      </w:pPr>
    </w:p>
    <w:p w:rsidRPr="00564497" w:rsidR="00D95F5C" w:rsidP="002A31D8" w:rsidRDefault="00D95F5C" w14:paraId="1EDE3EA6" w14:textId="4D8647BD">
      <w:pPr>
        <w:autoSpaceDE w:val="0"/>
        <w:autoSpaceDN w:val="0"/>
        <w:adjustRightInd w:val="0"/>
        <w:rPr>
          <w:b/>
          <w:bCs/>
        </w:rPr>
      </w:pPr>
      <w:r w:rsidRPr="00564497">
        <w:rPr>
          <w:b/>
          <w:bCs/>
        </w:rPr>
        <w:t>PROTESTS</w:t>
      </w:r>
    </w:p>
    <w:p w:rsidR="005D3760" w:rsidP="005D3760" w:rsidRDefault="005D3760" w14:paraId="32731426" w14:textId="03D8B92B">
      <w:pPr>
        <w:autoSpaceDE w:val="0"/>
        <w:autoSpaceDN w:val="0"/>
        <w:adjustRightInd w:val="0"/>
        <w:rPr>
          <w:rFonts w:ascii="Arial" w:hAnsi="Arial" w:cs="Arial"/>
          <w:sz w:val="22"/>
        </w:rPr>
      </w:pPr>
    </w:p>
    <w:p w:rsidR="00463304" w:rsidP="000C4B70" w:rsidRDefault="005D3760" w14:paraId="34615256" w14:textId="4E03907D">
      <w:pPr>
        <w:pStyle w:val="WMPHeading2"/>
        <w:numPr>
          <w:ilvl w:val="0"/>
          <w:numId w:val="0"/>
        </w:numPr>
        <w:ind w:left="360"/>
        <w:rPr>
          <w:rFonts w:ascii="Book Antiqua" w:hAnsi="Book Antiqua"/>
        </w:rPr>
      </w:pPr>
      <w:bookmarkStart w:name="_Toc53571232" w:id="0"/>
      <w:r>
        <w:rPr>
          <w:rFonts w:ascii="Book Antiqua" w:hAnsi="Book Antiqua"/>
        </w:rPr>
        <w:t>P</w:t>
      </w:r>
      <w:r w:rsidR="00463304">
        <w:rPr>
          <w:rFonts w:ascii="Book Antiqua" w:hAnsi="Book Antiqua"/>
        </w:rPr>
        <w:t>ro</w:t>
      </w:r>
      <w:r w:rsidR="00DC3711">
        <w:rPr>
          <w:rFonts w:ascii="Book Antiqua" w:hAnsi="Book Antiqua"/>
        </w:rPr>
        <w:t xml:space="preserve">tests of the Advice Letters </w:t>
      </w:r>
      <w:bookmarkEnd w:id="0"/>
    </w:p>
    <w:p w:rsidRPr="00517D50" w:rsidR="00517D50" w:rsidP="00701C92" w:rsidRDefault="00517D50" w14:paraId="78069D12" w14:textId="0B41A9F5">
      <w:pPr>
        <w:pStyle w:val="Standard"/>
        <w:ind w:left="360"/>
        <w:rPr>
          <w:rFonts w:ascii="Times New Roman" w:hAnsi="Times New Roman" w:cs="Times New Roman"/>
          <w:color w:val="000000"/>
          <w:sz w:val="24"/>
          <w:szCs w:val="24"/>
        </w:rPr>
      </w:pPr>
      <w:r>
        <w:t xml:space="preserve">On June 22, 2020, the Protect Our Communities Foundation (PCF) filed timely </w:t>
      </w:r>
      <w:proofErr w:type="gramStart"/>
      <w:r>
        <w:t>protests against</w:t>
      </w:r>
      <w:proofErr w:type="gramEnd"/>
      <w:r>
        <w:t xml:space="preserve"> the PG&amp;E, SCE and SDG&amp;E ALs, in a consolidated protest.  PCF did not object to any of the specifics of the Off-Ramp reports, but rather based its protests on the following grounds:</w:t>
      </w:r>
      <w:r w:rsidRPr="00517D50">
        <w:rPr>
          <w:rFonts w:ascii="Times New Roman" w:hAnsi="Times New Roman" w:cs="Times New Roman"/>
          <w:color w:val="000000"/>
          <w:sz w:val="24"/>
          <w:szCs w:val="24"/>
        </w:rPr>
        <w:t xml:space="preserve"> </w:t>
      </w:r>
    </w:p>
    <w:p w:rsidRPr="00701C92" w:rsidR="00517D50" w:rsidP="00701C92" w:rsidRDefault="00517D50" w14:paraId="30C4AB1C" w14:textId="77777777">
      <w:pPr>
        <w:pStyle w:val="ListParagraph"/>
        <w:numPr>
          <w:ilvl w:val="1"/>
          <w:numId w:val="36"/>
        </w:numPr>
        <w:autoSpaceDE w:val="0"/>
        <w:autoSpaceDN w:val="0"/>
        <w:adjustRightInd w:val="0"/>
        <w:spacing w:after="45"/>
        <w:rPr>
          <w:rFonts w:ascii="Palatino Linotype" w:hAnsi="Palatino Linotype"/>
          <w:color w:val="000000"/>
          <w:szCs w:val="26"/>
        </w:rPr>
      </w:pPr>
      <w:r w:rsidRPr="00701C92">
        <w:rPr>
          <w:rFonts w:ascii="Palatino Linotype" w:hAnsi="Palatino Linotype"/>
          <w:color w:val="000000"/>
          <w:szCs w:val="26"/>
        </w:rPr>
        <w:t xml:space="preserve">The relief requested in the advice letter would violate statute or Commission order, or is not authorized by statute or Commission order on which the utility </w:t>
      </w:r>
      <w:proofErr w:type="gramStart"/>
      <w:r w:rsidRPr="00701C92">
        <w:rPr>
          <w:rFonts w:ascii="Palatino Linotype" w:hAnsi="Palatino Linotype"/>
          <w:color w:val="000000"/>
          <w:szCs w:val="26"/>
        </w:rPr>
        <w:t>relies;</w:t>
      </w:r>
      <w:proofErr w:type="gramEnd"/>
      <w:r w:rsidRPr="00701C92">
        <w:rPr>
          <w:rFonts w:ascii="Palatino Linotype" w:hAnsi="Palatino Linotype"/>
          <w:color w:val="000000"/>
          <w:szCs w:val="26"/>
        </w:rPr>
        <w:t xml:space="preserve"> </w:t>
      </w:r>
    </w:p>
    <w:p w:rsidRPr="00701C92" w:rsidR="00517D50" w:rsidP="00701C92" w:rsidRDefault="00517D50" w14:paraId="03E5167C" w14:textId="1D30B8EF">
      <w:pPr>
        <w:pStyle w:val="ListParagraph"/>
        <w:numPr>
          <w:ilvl w:val="1"/>
          <w:numId w:val="36"/>
        </w:numPr>
        <w:autoSpaceDE w:val="0"/>
        <w:autoSpaceDN w:val="0"/>
        <w:adjustRightInd w:val="0"/>
        <w:spacing w:after="45"/>
        <w:rPr>
          <w:rFonts w:ascii="Palatino Linotype" w:hAnsi="Palatino Linotype"/>
          <w:color w:val="000000"/>
          <w:szCs w:val="26"/>
        </w:rPr>
      </w:pPr>
      <w:r w:rsidRPr="00701C92">
        <w:rPr>
          <w:rFonts w:ascii="Palatino Linotype" w:hAnsi="Palatino Linotype"/>
          <w:color w:val="000000"/>
          <w:szCs w:val="26"/>
        </w:rPr>
        <w:t xml:space="preserve">The analysis, calculations, or data in the advice letter contain material errors or </w:t>
      </w:r>
      <w:proofErr w:type="gramStart"/>
      <w:r w:rsidRPr="00701C92">
        <w:rPr>
          <w:rFonts w:ascii="Palatino Linotype" w:hAnsi="Palatino Linotype"/>
          <w:color w:val="000000"/>
          <w:szCs w:val="26"/>
        </w:rPr>
        <w:t>omissions;</w:t>
      </w:r>
      <w:proofErr w:type="gramEnd"/>
      <w:r w:rsidRPr="00701C92">
        <w:rPr>
          <w:rFonts w:ascii="Palatino Linotype" w:hAnsi="Palatino Linotype"/>
          <w:color w:val="000000"/>
          <w:szCs w:val="26"/>
        </w:rPr>
        <w:t xml:space="preserve"> </w:t>
      </w:r>
    </w:p>
    <w:p w:rsidRPr="00701C92" w:rsidR="00517D50" w:rsidP="00701C92" w:rsidRDefault="00517D50" w14:paraId="069C4733" w14:textId="4F57FE79">
      <w:pPr>
        <w:pStyle w:val="ListParagraph"/>
        <w:numPr>
          <w:ilvl w:val="1"/>
          <w:numId w:val="36"/>
        </w:numPr>
        <w:autoSpaceDE w:val="0"/>
        <w:autoSpaceDN w:val="0"/>
        <w:adjustRightInd w:val="0"/>
        <w:spacing w:after="45"/>
        <w:rPr>
          <w:rFonts w:ascii="Palatino Linotype" w:hAnsi="Palatino Linotype"/>
          <w:color w:val="000000"/>
          <w:szCs w:val="26"/>
        </w:rPr>
      </w:pPr>
      <w:r w:rsidRPr="00701C92">
        <w:rPr>
          <w:rFonts w:ascii="Palatino Linotype" w:hAnsi="Palatino Linotype"/>
          <w:color w:val="000000"/>
          <w:szCs w:val="26"/>
        </w:rPr>
        <w:t xml:space="preserve">The relief requested in the advice letter is pending before the Commission in a formal </w:t>
      </w:r>
      <w:proofErr w:type="gramStart"/>
      <w:r w:rsidRPr="00701C92">
        <w:rPr>
          <w:rFonts w:ascii="Palatino Linotype" w:hAnsi="Palatino Linotype"/>
          <w:color w:val="000000"/>
          <w:szCs w:val="26"/>
        </w:rPr>
        <w:t>proceeding;</w:t>
      </w:r>
      <w:proofErr w:type="gramEnd"/>
      <w:r w:rsidRPr="00701C92">
        <w:rPr>
          <w:rFonts w:ascii="Palatino Linotype" w:hAnsi="Palatino Linotype"/>
          <w:color w:val="000000"/>
          <w:szCs w:val="26"/>
        </w:rPr>
        <w:t xml:space="preserve"> </w:t>
      </w:r>
    </w:p>
    <w:p w:rsidR="00517D50" w:rsidP="00517D50" w:rsidRDefault="00517D50" w14:paraId="34643330" w14:textId="684E2639">
      <w:pPr>
        <w:pStyle w:val="ListParagraph"/>
        <w:numPr>
          <w:ilvl w:val="1"/>
          <w:numId w:val="36"/>
        </w:numPr>
        <w:autoSpaceDE w:val="0"/>
        <w:autoSpaceDN w:val="0"/>
        <w:adjustRightInd w:val="0"/>
        <w:rPr>
          <w:rFonts w:ascii="Palatino Linotype" w:hAnsi="Palatino Linotype"/>
          <w:color w:val="000000"/>
          <w:szCs w:val="26"/>
        </w:rPr>
      </w:pPr>
      <w:r w:rsidRPr="00701C92">
        <w:rPr>
          <w:rFonts w:ascii="Palatino Linotype" w:hAnsi="Palatino Linotype"/>
          <w:color w:val="000000"/>
          <w:szCs w:val="26"/>
        </w:rPr>
        <w:t xml:space="preserve">The relief requested in the advice letter requires consideration in a formal </w:t>
      </w:r>
      <w:proofErr w:type="gramStart"/>
      <w:r w:rsidRPr="00701C92">
        <w:rPr>
          <w:rFonts w:ascii="Palatino Linotype" w:hAnsi="Palatino Linotype"/>
          <w:color w:val="000000"/>
          <w:szCs w:val="26"/>
        </w:rPr>
        <w:t>hearing, or</w:t>
      </w:r>
      <w:proofErr w:type="gramEnd"/>
      <w:r w:rsidRPr="00701C92">
        <w:rPr>
          <w:rFonts w:ascii="Palatino Linotype" w:hAnsi="Palatino Linotype"/>
          <w:color w:val="000000"/>
          <w:szCs w:val="26"/>
        </w:rPr>
        <w:t xml:space="preserve"> is otherwise inappropriate for the advice letter process.</w:t>
      </w:r>
    </w:p>
    <w:p w:rsidR="00A133CA" w:rsidP="00DB0176" w:rsidRDefault="00DB0176" w14:paraId="0B5FE4CA" w14:textId="77777777">
      <w:pPr>
        <w:autoSpaceDE w:val="0"/>
        <w:autoSpaceDN w:val="0"/>
        <w:adjustRightInd w:val="0"/>
        <w:rPr>
          <w:sz w:val="23"/>
          <w:szCs w:val="23"/>
        </w:rPr>
      </w:pPr>
      <w:r>
        <w:rPr>
          <w:rFonts w:ascii="Palatino Linotype" w:hAnsi="Palatino Linotype"/>
          <w:color w:val="000000"/>
          <w:szCs w:val="26"/>
        </w:rPr>
        <w:t xml:space="preserve">PCF </w:t>
      </w:r>
      <w:r w:rsidR="006A5793">
        <w:rPr>
          <w:rFonts w:ascii="Palatino Linotype" w:hAnsi="Palatino Linotype"/>
          <w:color w:val="000000"/>
          <w:szCs w:val="26"/>
        </w:rPr>
        <w:t>argued that the “</w:t>
      </w:r>
      <w:r w:rsidRPr="004F7373" w:rsidR="006A5793">
        <w:rPr>
          <w:rFonts w:ascii="Palatino Linotype" w:hAnsi="Palatino Linotype"/>
          <w:color w:val="000000"/>
          <w:szCs w:val="26"/>
        </w:rPr>
        <w:t xml:space="preserve">evaluation and resolution of the utilities’ Second Off Ramp Reports should not be addressed via informal advice letter” but rather in the WMP </w:t>
      </w:r>
      <w:r w:rsidR="00D611F2">
        <w:rPr>
          <w:rFonts w:ascii="Palatino Linotype" w:hAnsi="Palatino Linotype"/>
          <w:color w:val="000000"/>
          <w:szCs w:val="26"/>
        </w:rPr>
        <w:t xml:space="preserve">rulemaking </w:t>
      </w:r>
      <w:r w:rsidRPr="004F7373" w:rsidR="006A5793">
        <w:rPr>
          <w:rFonts w:ascii="Palatino Linotype" w:hAnsi="Palatino Linotype"/>
          <w:color w:val="000000"/>
          <w:szCs w:val="26"/>
        </w:rPr>
        <w:t>proceeding R.1</w:t>
      </w:r>
      <w:r w:rsidR="006A5793">
        <w:rPr>
          <w:rFonts w:ascii="Palatino Linotype" w:hAnsi="Palatino Linotype"/>
          <w:color w:val="000000"/>
          <w:szCs w:val="26"/>
        </w:rPr>
        <w:t>8</w:t>
      </w:r>
      <w:r w:rsidRPr="004F7373" w:rsidR="006A5793">
        <w:rPr>
          <w:rFonts w:ascii="Palatino Linotype" w:hAnsi="Palatino Linotype"/>
          <w:color w:val="000000"/>
          <w:szCs w:val="26"/>
        </w:rPr>
        <w:t xml:space="preserve">-10-007.  </w:t>
      </w:r>
      <w:r w:rsidRPr="004F7373" w:rsidR="00C74932">
        <w:rPr>
          <w:rFonts w:ascii="Palatino Linotype" w:hAnsi="Palatino Linotype"/>
          <w:color w:val="000000"/>
          <w:szCs w:val="26"/>
        </w:rPr>
        <w:t xml:space="preserve">The group also contended that the </w:t>
      </w:r>
      <w:r w:rsidRPr="004F7373" w:rsidR="00C74932">
        <w:rPr>
          <w:rFonts w:ascii="Palatino Linotype" w:hAnsi="Palatino Linotype"/>
          <w:color w:val="000000"/>
          <w:szCs w:val="26"/>
        </w:rPr>
        <w:lastRenderedPageBreak/>
        <w:t>advice letters failed to include any description of its then-pending request for rehearing of D.20-03-004</w:t>
      </w:r>
      <w:r w:rsidR="00017878">
        <w:rPr>
          <w:sz w:val="23"/>
          <w:szCs w:val="23"/>
        </w:rPr>
        <w:t>.</w:t>
      </w:r>
      <w:r w:rsidR="00A133CA">
        <w:rPr>
          <w:rStyle w:val="FootnoteReference"/>
          <w:sz w:val="23"/>
          <w:szCs w:val="23"/>
        </w:rPr>
        <w:footnoteReference w:id="12"/>
      </w:r>
      <w:r w:rsidR="00017878">
        <w:rPr>
          <w:sz w:val="23"/>
          <w:szCs w:val="23"/>
        </w:rPr>
        <w:t xml:space="preserve"> </w:t>
      </w:r>
    </w:p>
    <w:p w:rsidR="00A133CA" w:rsidP="00DB0176" w:rsidRDefault="00A133CA" w14:paraId="31BBF423" w14:textId="77777777">
      <w:pPr>
        <w:autoSpaceDE w:val="0"/>
        <w:autoSpaceDN w:val="0"/>
        <w:adjustRightInd w:val="0"/>
        <w:rPr>
          <w:sz w:val="23"/>
          <w:szCs w:val="23"/>
        </w:rPr>
      </w:pPr>
    </w:p>
    <w:p w:rsidR="00DB0176" w:rsidP="00DB0176" w:rsidRDefault="006A5793" w14:paraId="191D3579" w14:textId="78D8D6F9">
      <w:pPr>
        <w:autoSpaceDE w:val="0"/>
        <w:autoSpaceDN w:val="0"/>
        <w:adjustRightInd w:val="0"/>
        <w:rPr>
          <w:rFonts w:ascii="Palatino Linotype" w:hAnsi="Palatino Linotype"/>
          <w:color w:val="000000"/>
          <w:szCs w:val="26"/>
        </w:rPr>
      </w:pPr>
      <w:r>
        <w:rPr>
          <w:rFonts w:ascii="Palatino Linotype" w:hAnsi="Palatino Linotype"/>
          <w:color w:val="000000"/>
          <w:szCs w:val="26"/>
        </w:rPr>
        <w:t xml:space="preserve">PCF </w:t>
      </w:r>
      <w:r w:rsidR="00DB0176">
        <w:rPr>
          <w:rFonts w:ascii="Palatino Linotype" w:hAnsi="Palatino Linotype"/>
          <w:color w:val="000000"/>
          <w:szCs w:val="26"/>
        </w:rPr>
        <w:t xml:space="preserve">did not include the smaller utilities in its protest, and no other protests were received. </w:t>
      </w:r>
    </w:p>
    <w:p w:rsidR="00DB0176" w:rsidRDefault="00DB0176" w14:paraId="0E3D2D94" w14:textId="32ADDE86">
      <w:pPr>
        <w:autoSpaceDE w:val="0"/>
        <w:autoSpaceDN w:val="0"/>
        <w:adjustRightInd w:val="0"/>
        <w:rPr>
          <w:rFonts w:ascii="Palatino Linotype" w:hAnsi="Palatino Linotype"/>
          <w:color w:val="000000"/>
          <w:szCs w:val="26"/>
        </w:rPr>
      </w:pPr>
    </w:p>
    <w:p w:rsidRPr="0006112C" w:rsidR="00E31132" w:rsidRDefault="00E31132" w14:paraId="533E7ABE" w14:textId="616F4A39">
      <w:pPr>
        <w:autoSpaceDE w:val="0"/>
        <w:autoSpaceDN w:val="0"/>
        <w:adjustRightInd w:val="0"/>
        <w:rPr>
          <w:rFonts w:ascii="Palatino Linotype" w:hAnsi="Palatino Linotype"/>
          <w:b/>
          <w:bCs/>
          <w:color w:val="000000"/>
          <w:szCs w:val="26"/>
        </w:rPr>
      </w:pPr>
      <w:r w:rsidRPr="0006112C">
        <w:rPr>
          <w:rFonts w:ascii="Palatino Linotype" w:hAnsi="Palatino Linotype"/>
          <w:b/>
          <w:bCs/>
          <w:color w:val="000000"/>
          <w:szCs w:val="26"/>
        </w:rPr>
        <w:t>Utility Responses to PCF:</w:t>
      </w:r>
    </w:p>
    <w:p w:rsidR="00E31132" w:rsidRDefault="00E31132" w14:paraId="057F614D" w14:textId="2A28CE4A">
      <w:pPr>
        <w:autoSpaceDE w:val="0"/>
        <w:autoSpaceDN w:val="0"/>
        <w:adjustRightInd w:val="0"/>
        <w:rPr>
          <w:rFonts w:ascii="Palatino Linotype" w:hAnsi="Palatino Linotype"/>
          <w:color w:val="000000"/>
          <w:szCs w:val="26"/>
        </w:rPr>
      </w:pPr>
    </w:p>
    <w:p w:rsidR="00E31132" w:rsidP="00E31132" w:rsidRDefault="00976646" w14:paraId="447DF7C3" w14:textId="3AE0A644">
      <w:pPr>
        <w:autoSpaceDE w:val="0"/>
        <w:autoSpaceDN w:val="0"/>
        <w:adjustRightInd w:val="0"/>
        <w:rPr>
          <w:rFonts w:ascii="Palatino Linotype" w:hAnsi="Palatino Linotype"/>
          <w:color w:val="000000"/>
          <w:szCs w:val="26"/>
        </w:rPr>
      </w:pPr>
      <w:r>
        <w:rPr>
          <w:rFonts w:ascii="Palatino Linotype" w:hAnsi="Palatino Linotype"/>
          <w:color w:val="000000"/>
          <w:szCs w:val="26"/>
        </w:rPr>
        <w:t xml:space="preserve">PG&amp;E, SCE and SDG&amp;E responded to the PCF protests </w:t>
      </w:r>
      <w:r w:rsidR="006A5793">
        <w:rPr>
          <w:rFonts w:ascii="Palatino Linotype" w:hAnsi="Palatino Linotype"/>
          <w:color w:val="000000"/>
          <w:szCs w:val="26"/>
        </w:rPr>
        <w:t xml:space="preserve">with </w:t>
      </w:r>
      <w:r>
        <w:rPr>
          <w:rFonts w:ascii="Palatino Linotype" w:hAnsi="Palatino Linotype"/>
          <w:color w:val="000000"/>
          <w:szCs w:val="26"/>
        </w:rPr>
        <w:t xml:space="preserve">separate replies </w:t>
      </w:r>
      <w:r w:rsidR="00A133CA">
        <w:rPr>
          <w:rFonts w:ascii="Palatino Linotype" w:hAnsi="Palatino Linotype"/>
          <w:color w:val="000000"/>
          <w:szCs w:val="26"/>
        </w:rPr>
        <w:t>that</w:t>
      </w:r>
      <w:r>
        <w:rPr>
          <w:rFonts w:ascii="Palatino Linotype" w:hAnsi="Palatino Linotype"/>
          <w:color w:val="000000"/>
          <w:szCs w:val="26"/>
        </w:rPr>
        <w:t xml:space="preserve"> exhibited uniform objections</w:t>
      </w:r>
      <w:r w:rsidR="00A133CA">
        <w:rPr>
          <w:rFonts w:ascii="Palatino Linotype" w:hAnsi="Palatino Linotype"/>
          <w:color w:val="000000"/>
          <w:szCs w:val="26"/>
        </w:rPr>
        <w:t>:</w:t>
      </w:r>
      <w:r>
        <w:rPr>
          <w:rFonts w:ascii="Palatino Linotype" w:hAnsi="Palatino Linotype"/>
          <w:color w:val="000000"/>
          <w:szCs w:val="26"/>
        </w:rPr>
        <w:t xml:space="preserve"> that PCF misunderst</w:t>
      </w:r>
      <w:r w:rsidR="00416C48">
        <w:rPr>
          <w:rFonts w:ascii="Palatino Linotype" w:hAnsi="Palatino Linotype"/>
          <w:color w:val="000000"/>
          <w:szCs w:val="26"/>
        </w:rPr>
        <w:t>ood</w:t>
      </w:r>
      <w:r>
        <w:rPr>
          <w:rFonts w:ascii="Palatino Linotype" w:hAnsi="Palatino Linotype"/>
          <w:color w:val="000000"/>
          <w:szCs w:val="26"/>
        </w:rPr>
        <w:t xml:space="preserve"> the purpose of the Tier 3 ALs</w:t>
      </w:r>
      <w:r w:rsidR="006A5793">
        <w:rPr>
          <w:rFonts w:ascii="Palatino Linotype" w:hAnsi="Palatino Linotype"/>
          <w:color w:val="000000"/>
          <w:szCs w:val="26"/>
        </w:rPr>
        <w:t xml:space="preserve"> </w:t>
      </w:r>
      <w:r w:rsidR="00C74932">
        <w:rPr>
          <w:rFonts w:ascii="Palatino Linotype" w:hAnsi="Palatino Linotype"/>
          <w:color w:val="000000"/>
          <w:szCs w:val="26"/>
        </w:rPr>
        <w:t>and misconstrued the Commission’s determinations in D.20-03-004</w:t>
      </w:r>
      <w:r>
        <w:rPr>
          <w:rFonts w:ascii="Palatino Linotype" w:hAnsi="Palatino Linotype"/>
          <w:color w:val="000000"/>
          <w:szCs w:val="26"/>
        </w:rPr>
        <w:t>.  They argued that</w:t>
      </w:r>
      <w:r w:rsidR="00650E9E">
        <w:rPr>
          <w:rFonts w:ascii="Palatino Linotype" w:hAnsi="Palatino Linotype"/>
          <w:color w:val="000000"/>
          <w:szCs w:val="26"/>
        </w:rPr>
        <w:t xml:space="preserve"> the</w:t>
      </w:r>
      <w:r>
        <w:rPr>
          <w:rFonts w:ascii="Palatino Linotype" w:hAnsi="Palatino Linotype"/>
          <w:color w:val="000000"/>
          <w:szCs w:val="26"/>
        </w:rPr>
        <w:t xml:space="preserve"> </w:t>
      </w:r>
      <w:r w:rsidRPr="00701C92" w:rsidR="00E31132">
        <w:rPr>
          <w:rFonts w:ascii="Palatino Linotype" w:hAnsi="Palatino Linotype"/>
          <w:color w:val="000000"/>
          <w:szCs w:val="26"/>
        </w:rPr>
        <w:t>Off-Ramp Report is not a vehicle for parties</w:t>
      </w:r>
      <w:r>
        <w:rPr>
          <w:rFonts w:ascii="Palatino Linotype" w:hAnsi="Palatino Linotype"/>
          <w:color w:val="000000"/>
          <w:szCs w:val="26"/>
        </w:rPr>
        <w:t xml:space="preserve"> </w:t>
      </w:r>
      <w:r w:rsidRPr="00701C92" w:rsidR="00E31132">
        <w:rPr>
          <w:rFonts w:ascii="Palatino Linotype" w:hAnsi="Palatino Linotype"/>
          <w:color w:val="000000"/>
          <w:szCs w:val="26"/>
        </w:rPr>
        <w:t xml:space="preserve">to relitigate decisions approving WMPs, </w:t>
      </w:r>
      <w:r>
        <w:rPr>
          <w:rFonts w:ascii="Palatino Linotype" w:hAnsi="Palatino Linotype"/>
          <w:color w:val="000000"/>
          <w:szCs w:val="26"/>
        </w:rPr>
        <w:t>and it is not a</w:t>
      </w:r>
      <w:r w:rsidRPr="00701C92" w:rsidR="00E31132">
        <w:rPr>
          <w:rFonts w:ascii="Palatino Linotype" w:hAnsi="Palatino Linotype"/>
          <w:color w:val="000000"/>
          <w:szCs w:val="26"/>
        </w:rPr>
        <w:t xml:space="preserve"> vehicle for the utilities to address any</w:t>
      </w:r>
      <w:r w:rsidR="00E31132">
        <w:rPr>
          <w:rFonts w:ascii="Palatino Linotype" w:hAnsi="Palatino Linotype"/>
          <w:color w:val="000000"/>
          <w:szCs w:val="26"/>
        </w:rPr>
        <w:t xml:space="preserve"> </w:t>
      </w:r>
      <w:r w:rsidRPr="00701C92" w:rsidR="00E31132">
        <w:rPr>
          <w:rFonts w:ascii="Palatino Linotype" w:hAnsi="Palatino Linotype"/>
          <w:color w:val="000000"/>
          <w:szCs w:val="26"/>
        </w:rPr>
        <w:t>perceived deficiencies identified by the Commission</w:t>
      </w:r>
      <w:r>
        <w:rPr>
          <w:rFonts w:ascii="Palatino Linotype" w:hAnsi="Palatino Linotype"/>
          <w:color w:val="000000"/>
          <w:szCs w:val="26"/>
        </w:rPr>
        <w:t xml:space="preserve">. </w:t>
      </w:r>
    </w:p>
    <w:p w:rsidR="00976646" w:rsidP="00E31132" w:rsidRDefault="00976646" w14:paraId="1FD98BE2" w14:textId="77777777">
      <w:pPr>
        <w:autoSpaceDE w:val="0"/>
        <w:autoSpaceDN w:val="0"/>
        <w:adjustRightInd w:val="0"/>
        <w:rPr>
          <w:rFonts w:ascii="Palatino Linotype" w:hAnsi="Palatino Linotype"/>
          <w:color w:val="000000"/>
          <w:szCs w:val="26"/>
        </w:rPr>
      </w:pPr>
    </w:p>
    <w:p w:rsidRPr="00701C92" w:rsidR="00E31132" w:rsidP="00E31132" w:rsidRDefault="00976646" w14:paraId="2466C30A" w14:textId="4CDC4F42">
      <w:pPr>
        <w:autoSpaceDE w:val="0"/>
        <w:autoSpaceDN w:val="0"/>
        <w:adjustRightInd w:val="0"/>
        <w:rPr>
          <w:rFonts w:ascii="Palatino Linotype" w:hAnsi="Palatino Linotype"/>
          <w:color w:val="000000"/>
          <w:szCs w:val="26"/>
        </w:rPr>
      </w:pPr>
      <w:r>
        <w:rPr>
          <w:rFonts w:ascii="Palatino Linotype" w:hAnsi="Palatino Linotype"/>
          <w:color w:val="000000"/>
          <w:szCs w:val="26"/>
        </w:rPr>
        <w:t>In addition, the</w:t>
      </w:r>
      <w:r w:rsidR="00A133CA">
        <w:rPr>
          <w:rFonts w:ascii="Palatino Linotype" w:hAnsi="Palatino Linotype"/>
          <w:color w:val="000000"/>
          <w:szCs w:val="26"/>
        </w:rPr>
        <w:t xml:space="preserve"> utilities</w:t>
      </w:r>
      <w:r>
        <w:rPr>
          <w:rFonts w:ascii="Palatino Linotype" w:hAnsi="Palatino Linotype"/>
          <w:color w:val="000000"/>
          <w:szCs w:val="26"/>
        </w:rPr>
        <w:t xml:space="preserve"> pointed out that in </w:t>
      </w:r>
      <w:r w:rsidRPr="00701C92" w:rsidR="00E31132">
        <w:rPr>
          <w:rFonts w:ascii="Palatino Linotype" w:hAnsi="Palatino Linotype"/>
          <w:color w:val="000000"/>
          <w:szCs w:val="26"/>
        </w:rPr>
        <w:t>D.20-03-004, the Commission explained that the provision to describe “</w:t>
      </w:r>
      <w:r w:rsidR="001F5F34">
        <w:rPr>
          <w:rFonts w:ascii="Palatino Linotype" w:hAnsi="Palatino Linotype"/>
          <w:color w:val="000000"/>
          <w:szCs w:val="26"/>
        </w:rPr>
        <w:t>‘</w:t>
      </w:r>
      <w:r w:rsidRPr="00701C92" w:rsidR="00E31132">
        <w:rPr>
          <w:rFonts w:ascii="Palatino Linotype" w:hAnsi="Palatino Linotype"/>
          <w:color w:val="000000"/>
          <w:szCs w:val="26"/>
        </w:rPr>
        <w:t>any concerns about the effectiveness of any program in their individual Wildfire Mitigation Plans</w:t>
      </w:r>
      <w:r w:rsidR="00C74932">
        <w:rPr>
          <w:rFonts w:ascii="Palatino Linotype" w:hAnsi="Palatino Linotype"/>
          <w:color w:val="000000"/>
          <w:szCs w:val="26"/>
        </w:rPr>
        <w:t>’</w:t>
      </w:r>
      <w:r w:rsidRPr="00701C92" w:rsidR="00E31132">
        <w:rPr>
          <w:rFonts w:ascii="Palatino Linotype" w:hAnsi="Palatino Linotype"/>
          <w:color w:val="000000"/>
          <w:szCs w:val="26"/>
        </w:rPr>
        <w:t xml:space="preserve"> is a condition solely for the </w:t>
      </w:r>
      <w:r w:rsidRPr="00701C92" w:rsidR="00650E9E">
        <w:rPr>
          <w:rFonts w:ascii="Palatino Linotype" w:hAnsi="Palatino Linotype"/>
          <w:color w:val="000000"/>
          <w:szCs w:val="26"/>
        </w:rPr>
        <w:t>I</w:t>
      </w:r>
      <w:r w:rsidR="00650E9E">
        <w:rPr>
          <w:rFonts w:ascii="Palatino Linotype" w:hAnsi="Palatino Linotype"/>
          <w:color w:val="000000"/>
          <w:szCs w:val="26"/>
        </w:rPr>
        <w:t>nvestor-Owned Utilities (IOU)</w:t>
      </w:r>
      <w:r w:rsidRPr="00701C92" w:rsidR="00650E9E">
        <w:rPr>
          <w:rFonts w:ascii="Palatino Linotype" w:hAnsi="Palatino Linotype"/>
          <w:color w:val="000000"/>
          <w:szCs w:val="26"/>
        </w:rPr>
        <w:t xml:space="preserve"> </w:t>
      </w:r>
      <w:r w:rsidRPr="00701C92" w:rsidR="00E31132">
        <w:rPr>
          <w:rFonts w:ascii="Palatino Linotype" w:hAnsi="Palatino Linotype"/>
          <w:color w:val="000000"/>
          <w:szCs w:val="26"/>
        </w:rPr>
        <w:t xml:space="preserve">to assess and </w:t>
      </w:r>
      <w:proofErr w:type="spellStart"/>
      <w:r w:rsidRPr="00701C92" w:rsidR="00E31132">
        <w:rPr>
          <w:rFonts w:ascii="Palatino Linotype" w:hAnsi="Palatino Linotype"/>
          <w:color w:val="000000"/>
          <w:szCs w:val="26"/>
        </w:rPr>
        <w:t>not</w:t>
      </w:r>
      <w:proofErr w:type="spellEnd"/>
      <w:r w:rsidRPr="00701C92" w:rsidR="00E31132">
        <w:rPr>
          <w:rFonts w:ascii="Palatino Linotype" w:hAnsi="Palatino Linotype"/>
          <w:color w:val="000000"/>
          <w:szCs w:val="26"/>
        </w:rPr>
        <w:t xml:space="preserve"> other parties</w:t>
      </w:r>
      <w:r>
        <w:rPr>
          <w:rFonts w:ascii="Palatino Linotype" w:hAnsi="Palatino Linotype"/>
          <w:color w:val="000000"/>
          <w:szCs w:val="26"/>
        </w:rPr>
        <w:t>.</w:t>
      </w:r>
      <w:r w:rsidR="00C74932">
        <w:rPr>
          <w:rFonts w:ascii="Palatino Linotype" w:hAnsi="Palatino Linotype"/>
          <w:color w:val="000000"/>
          <w:szCs w:val="26"/>
        </w:rPr>
        <w:t>”</w:t>
      </w:r>
      <w:r>
        <w:rPr>
          <w:rStyle w:val="FootnoteReference"/>
          <w:rFonts w:ascii="Palatino Linotype" w:hAnsi="Palatino Linotype"/>
          <w:color w:val="000000"/>
          <w:szCs w:val="26"/>
        </w:rPr>
        <w:footnoteReference w:id="13"/>
      </w:r>
      <w:r w:rsidRPr="00701C92" w:rsidR="00E31132">
        <w:rPr>
          <w:rFonts w:ascii="Palatino Linotype" w:hAnsi="Palatino Linotype"/>
          <w:color w:val="000000"/>
          <w:szCs w:val="26"/>
        </w:rPr>
        <w:t xml:space="preserve"> </w:t>
      </w:r>
    </w:p>
    <w:p w:rsidRPr="00701C92" w:rsidR="00E31132" w:rsidP="00701C92" w:rsidRDefault="00E31132" w14:paraId="1918872B" w14:textId="77777777">
      <w:pPr>
        <w:autoSpaceDE w:val="0"/>
        <w:autoSpaceDN w:val="0"/>
        <w:adjustRightInd w:val="0"/>
        <w:rPr>
          <w:rFonts w:ascii="Palatino Linotype" w:hAnsi="Palatino Linotype"/>
          <w:color w:val="000000"/>
          <w:szCs w:val="26"/>
        </w:rPr>
      </w:pPr>
    </w:p>
    <w:p w:rsidR="0063224E" w:rsidP="0028378C" w:rsidRDefault="0063224E" w14:paraId="4EFDA0EF" w14:textId="255D226C">
      <w:pPr>
        <w:autoSpaceDE w:val="0"/>
        <w:autoSpaceDN w:val="0"/>
        <w:adjustRightInd w:val="0"/>
        <w:spacing w:after="240"/>
        <w:rPr>
          <w:rFonts w:ascii="Palatino Linotype" w:hAnsi="Palatino Linotype"/>
          <w:b/>
          <w:bCs/>
          <w:color w:val="000000"/>
          <w:szCs w:val="26"/>
        </w:rPr>
      </w:pPr>
      <w:r w:rsidRPr="0063224E">
        <w:rPr>
          <w:rFonts w:ascii="Palatino Linotype" w:hAnsi="Palatino Linotype"/>
          <w:b/>
          <w:bCs/>
          <w:color w:val="000000"/>
          <w:szCs w:val="26"/>
        </w:rPr>
        <w:t>DISCUSSION</w:t>
      </w:r>
    </w:p>
    <w:p w:rsidRPr="0028378C" w:rsidR="0063224E" w:rsidP="00701C92" w:rsidRDefault="0063224E" w14:paraId="344F34C1" w14:textId="1747671E">
      <w:pPr>
        <w:autoSpaceDE w:val="0"/>
        <w:autoSpaceDN w:val="0"/>
        <w:adjustRightInd w:val="0"/>
        <w:spacing w:after="45"/>
        <w:rPr>
          <w:rFonts w:ascii="Palatino Linotype" w:hAnsi="Palatino Linotype"/>
          <w:color w:val="000000"/>
          <w:szCs w:val="26"/>
        </w:rPr>
      </w:pPr>
      <w:r w:rsidRPr="0028378C">
        <w:rPr>
          <w:rFonts w:ascii="Palatino Linotype" w:hAnsi="Palatino Linotype"/>
          <w:color w:val="000000"/>
          <w:szCs w:val="26"/>
        </w:rPr>
        <w:t xml:space="preserve">For the reasons articulated below, Staff has determined that PCF’s protests should be rejected.  The following discussion addresses each of PCF’s arguments. </w:t>
      </w:r>
    </w:p>
    <w:p w:rsidRPr="0063224E" w:rsidR="0063224E" w:rsidP="00701C92" w:rsidRDefault="0063224E" w14:paraId="1A20F8B4" w14:textId="77777777">
      <w:pPr>
        <w:autoSpaceDE w:val="0"/>
        <w:autoSpaceDN w:val="0"/>
        <w:adjustRightInd w:val="0"/>
        <w:spacing w:after="45"/>
        <w:rPr>
          <w:rFonts w:ascii="Palatino Linotype" w:hAnsi="Palatino Linotype"/>
          <w:b/>
          <w:bCs/>
          <w:color w:val="000000"/>
          <w:szCs w:val="26"/>
        </w:rPr>
      </w:pPr>
    </w:p>
    <w:p w:rsidRPr="00701C92" w:rsidR="001F05E9" w:rsidP="00701C92" w:rsidRDefault="001F05E9" w14:paraId="36E786C2" w14:textId="0B96E0E3">
      <w:pPr>
        <w:pStyle w:val="ListParagraph"/>
        <w:numPr>
          <w:ilvl w:val="0"/>
          <w:numId w:val="39"/>
        </w:numPr>
        <w:autoSpaceDE w:val="0"/>
        <w:autoSpaceDN w:val="0"/>
        <w:adjustRightInd w:val="0"/>
        <w:spacing w:after="45"/>
        <w:rPr>
          <w:rFonts w:ascii="Palatino Linotype" w:hAnsi="Palatino Linotype"/>
          <w:color w:val="000000"/>
          <w:szCs w:val="26"/>
        </w:rPr>
      </w:pPr>
      <w:r>
        <w:rPr>
          <w:rFonts w:ascii="Palatino Linotype" w:hAnsi="Palatino Linotype"/>
          <w:color w:val="000000"/>
          <w:szCs w:val="26"/>
        </w:rPr>
        <w:t>S</w:t>
      </w:r>
      <w:r w:rsidRPr="00701C92">
        <w:rPr>
          <w:rFonts w:ascii="Palatino Linotype" w:hAnsi="Palatino Linotype"/>
          <w:color w:val="000000"/>
          <w:szCs w:val="26"/>
        </w:rPr>
        <w:t>DG&amp;E, SCE, and PG&amp;E fail to mention that the Commission decided in D.</w:t>
      </w:r>
      <w:r w:rsidR="00DB0176">
        <w:rPr>
          <w:rFonts w:ascii="Palatino Linotype" w:hAnsi="Palatino Linotype"/>
          <w:color w:val="000000"/>
          <w:szCs w:val="26"/>
        </w:rPr>
        <w:t xml:space="preserve"> </w:t>
      </w:r>
      <w:r w:rsidRPr="00701C92">
        <w:rPr>
          <w:rFonts w:ascii="Palatino Linotype" w:hAnsi="Palatino Linotype"/>
          <w:color w:val="000000"/>
          <w:szCs w:val="26"/>
        </w:rPr>
        <w:t xml:space="preserve">20-03-004 that the Off Ramp Report advice letters </w:t>
      </w:r>
      <w:r w:rsidRPr="00701C92">
        <w:rPr>
          <w:rFonts w:ascii="Palatino Linotype" w:hAnsi="Palatino Linotype"/>
          <w:color w:val="000000"/>
          <w:szCs w:val="26"/>
        </w:rPr>
        <w:lastRenderedPageBreak/>
        <w:t>should be evaluated and resolved in R.18-10-007 as opposed to via the advice letter process in individual Commission resolutions.</w:t>
      </w:r>
    </w:p>
    <w:p w:rsidR="00DB0176" w:rsidP="00DB0176" w:rsidRDefault="00DB0176" w14:paraId="34068203" w14:textId="77777777">
      <w:pPr>
        <w:autoSpaceDE w:val="0"/>
        <w:autoSpaceDN w:val="0"/>
        <w:adjustRightInd w:val="0"/>
        <w:spacing w:after="45"/>
        <w:rPr>
          <w:rFonts w:ascii="Palatino Linotype" w:hAnsi="Palatino Linotype"/>
          <w:b/>
          <w:bCs/>
          <w:color w:val="000000"/>
          <w:szCs w:val="26"/>
        </w:rPr>
      </w:pPr>
    </w:p>
    <w:p w:rsidR="001F05E9" w:rsidP="0006112C" w:rsidRDefault="001F05E9" w14:paraId="0CE7E276" w14:textId="37133A25">
      <w:pPr>
        <w:autoSpaceDE w:val="0"/>
        <w:autoSpaceDN w:val="0"/>
        <w:adjustRightInd w:val="0"/>
        <w:spacing w:after="45"/>
        <w:ind w:left="720"/>
        <w:rPr>
          <w:rFonts w:ascii="Palatino Linotype" w:hAnsi="Palatino Linotype"/>
          <w:color w:val="000000"/>
          <w:szCs w:val="26"/>
        </w:rPr>
      </w:pPr>
      <w:r w:rsidRPr="00701C92">
        <w:rPr>
          <w:rFonts w:ascii="Palatino Linotype" w:hAnsi="Palatino Linotype"/>
          <w:b/>
          <w:bCs/>
          <w:color w:val="000000"/>
          <w:szCs w:val="26"/>
        </w:rPr>
        <w:t>Response:</w:t>
      </w:r>
      <w:r w:rsidRPr="00701C92">
        <w:rPr>
          <w:rFonts w:ascii="Palatino Linotype" w:hAnsi="Palatino Linotype"/>
          <w:color w:val="000000"/>
          <w:szCs w:val="26"/>
        </w:rPr>
        <w:t xml:space="preserve"> D.</w:t>
      </w:r>
      <w:r>
        <w:rPr>
          <w:rFonts w:ascii="Palatino Linotype" w:hAnsi="Palatino Linotype"/>
          <w:color w:val="000000"/>
          <w:szCs w:val="26"/>
        </w:rPr>
        <w:t xml:space="preserve"> </w:t>
      </w:r>
      <w:r w:rsidRPr="00701C92">
        <w:rPr>
          <w:rFonts w:ascii="Palatino Linotype" w:hAnsi="Palatino Linotype"/>
          <w:color w:val="000000"/>
          <w:szCs w:val="26"/>
        </w:rPr>
        <w:t xml:space="preserve">20-03-004 did not determine that the second Off-Ramp ALs should be adjudicated in the rulemaking proceeding.  It was specifically limited to the first set of ALs, determining that </w:t>
      </w:r>
      <w:r w:rsidR="00DB0176">
        <w:rPr>
          <w:rFonts w:ascii="Palatino Linotype" w:hAnsi="Palatino Linotype"/>
          <w:color w:val="000000"/>
          <w:szCs w:val="26"/>
        </w:rPr>
        <w:t>implementation</w:t>
      </w:r>
      <w:r w:rsidRPr="00701C92">
        <w:rPr>
          <w:rFonts w:ascii="Palatino Linotype" w:hAnsi="Palatino Linotype"/>
          <w:color w:val="000000"/>
          <w:szCs w:val="26"/>
        </w:rPr>
        <w:t xml:space="preserve"> required interpretation of the previous order’s Off Ramp provisions</w:t>
      </w:r>
      <w:r w:rsidR="00A133CA">
        <w:rPr>
          <w:rFonts w:ascii="Palatino Linotype" w:hAnsi="Palatino Linotype"/>
          <w:color w:val="000000"/>
          <w:szCs w:val="26"/>
        </w:rPr>
        <w:t>. T</w:t>
      </w:r>
      <w:r w:rsidRPr="00701C92">
        <w:rPr>
          <w:rFonts w:ascii="Palatino Linotype" w:hAnsi="Palatino Linotype"/>
          <w:color w:val="000000"/>
          <w:szCs w:val="26"/>
        </w:rPr>
        <w:t>he decision</w:t>
      </w:r>
      <w:r w:rsidR="00813850">
        <w:rPr>
          <w:rFonts w:ascii="Palatino Linotype" w:hAnsi="Palatino Linotype"/>
          <w:color w:val="000000"/>
          <w:szCs w:val="26"/>
        </w:rPr>
        <w:t xml:space="preserve"> </w:t>
      </w:r>
      <w:r w:rsidRPr="00701C92" w:rsidR="00813850">
        <w:rPr>
          <w:rFonts w:ascii="Palatino Linotype" w:hAnsi="Palatino Linotype"/>
          <w:color w:val="000000"/>
          <w:szCs w:val="26"/>
        </w:rPr>
        <w:t>listed the advice letters to be addressed.</w:t>
      </w:r>
      <w:r w:rsidR="00813850">
        <w:rPr>
          <w:rStyle w:val="FootnoteReference"/>
          <w:rFonts w:ascii="Palatino Linotype" w:hAnsi="Palatino Linotype"/>
          <w:color w:val="000000"/>
          <w:szCs w:val="26"/>
        </w:rPr>
        <w:footnoteReference w:id="14"/>
      </w:r>
      <w:r w:rsidRPr="00701C92" w:rsidR="00813850">
        <w:rPr>
          <w:rFonts w:ascii="Palatino Linotype" w:hAnsi="Palatino Linotype"/>
          <w:color w:val="000000"/>
          <w:szCs w:val="26"/>
        </w:rPr>
        <w:t xml:space="preserve"> It made no </w:t>
      </w:r>
      <w:r w:rsidR="00813850">
        <w:rPr>
          <w:rFonts w:ascii="Palatino Linotype" w:hAnsi="Palatino Linotype"/>
          <w:color w:val="000000"/>
          <w:szCs w:val="26"/>
        </w:rPr>
        <w:t>statement at all</w:t>
      </w:r>
      <w:r w:rsidRPr="00701C92" w:rsidR="00813850">
        <w:rPr>
          <w:rFonts w:ascii="Palatino Linotype" w:hAnsi="Palatino Linotype"/>
          <w:color w:val="000000"/>
          <w:szCs w:val="26"/>
        </w:rPr>
        <w:t xml:space="preserve"> about subsequent </w:t>
      </w:r>
      <w:r w:rsidR="00813850">
        <w:rPr>
          <w:rFonts w:ascii="Palatino Linotype" w:hAnsi="Palatino Linotype"/>
          <w:color w:val="000000"/>
          <w:szCs w:val="26"/>
        </w:rPr>
        <w:t xml:space="preserve">Off-Ramp </w:t>
      </w:r>
      <w:r w:rsidRPr="00701C92" w:rsidR="00813850">
        <w:rPr>
          <w:rFonts w:ascii="Palatino Linotype" w:hAnsi="Palatino Linotype"/>
          <w:color w:val="000000"/>
          <w:szCs w:val="26"/>
        </w:rPr>
        <w:t>ALs</w:t>
      </w:r>
      <w:r w:rsidR="00813850">
        <w:rPr>
          <w:rFonts w:ascii="Palatino Linotype" w:hAnsi="Palatino Linotype"/>
          <w:color w:val="000000"/>
          <w:szCs w:val="26"/>
        </w:rPr>
        <w:t xml:space="preserve">. </w:t>
      </w:r>
      <w:r w:rsidRPr="00701C92">
        <w:rPr>
          <w:rFonts w:ascii="Palatino Linotype" w:hAnsi="Palatino Linotype"/>
          <w:color w:val="000000"/>
          <w:szCs w:val="26"/>
        </w:rPr>
        <w:t xml:space="preserve"> </w:t>
      </w:r>
    </w:p>
    <w:p w:rsidRPr="00701C92" w:rsidR="001F05E9" w:rsidP="00701C92" w:rsidRDefault="001F05E9" w14:paraId="0D403FBE" w14:textId="77777777">
      <w:pPr>
        <w:autoSpaceDE w:val="0"/>
        <w:autoSpaceDN w:val="0"/>
        <w:adjustRightInd w:val="0"/>
        <w:spacing w:after="45"/>
        <w:ind w:left="360"/>
        <w:rPr>
          <w:rFonts w:ascii="Palatino Linotype" w:hAnsi="Palatino Linotype"/>
          <w:color w:val="000000"/>
          <w:szCs w:val="26"/>
        </w:rPr>
      </w:pPr>
    </w:p>
    <w:p w:rsidR="001F05E9" w:rsidP="001F05E9" w:rsidRDefault="001F05E9" w14:paraId="363492D7" w14:textId="60ADDD46">
      <w:pPr>
        <w:pStyle w:val="ListParagraph"/>
        <w:numPr>
          <w:ilvl w:val="0"/>
          <w:numId w:val="39"/>
        </w:numPr>
        <w:autoSpaceDE w:val="0"/>
        <w:autoSpaceDN w:val="0"/>
        <w:adjustRightInd w:val="0"/>
        <w:spacing w:after="45"/>
        <w:rPr>
          <w:rFonts w:ascii="Palatino Linotype" w:hAnsi="Palatino Linotype"/>
          <w:color w:val="000000"/>
          <w:szCs w:val="26"/>
        </w:rPr>
      </w:pPr>
      <w:r w:rsidRPr="00701C92">
        <w:rPr>
          <w:rFonts w:ascii="Palatino Linotype" w:hAnsi="Palatino Linotype"/>
          <w:color w:val="000000"/>
          <w:szCs w:val="26"/>
        </w:rPr>
        <w:t xml:space="preserve">Despite the Commission’s express requirement that the utilities describe </w:t>
      </w:r>
      <w:r w:rsidR="00D006A7">
        <w:rPr>
          <w:rFonts w:ascii="Palatino Linotype" w:hAnsi="Palatino Linotype"/>
          <w:color w:val="000000"/>
          <w:szCs w:val="26"/>
        </w:rPr>
        <w:t>“</w:t>
      </w:r>
      <w:r w:rsidRPr="00701C92">
        <w:rPr>
          <w:rFonts w:ascii="Palatino Linotype" w:hAnsi="Palatino Linotype"/>
          <w:color w:val="000000"/>
          <w:szCs w:val="26"/>
        </w:rPr>
        <w:t>any concerns about the effectiveness of any program in their individual Wildfire Mitigation Plans</w:t>
      </w:r>
      <w:proofErr w:type="gramStart"/>
      <w:r w:rsidRPr="00701C92">
        <w:rPr>
          <w:rFonts w:ascii="Palatino Linotype" w:hAnsi="Palatino Linotype"/>
          <w:color w:val="000000"/>
          <w:szCs w:val="26"/>
        </w:rPr>
        <w:t>,</w:t>
      </w:r>
      <w:r w:rsidR="00D006A7">
        <w:rPr>
          <w:rFonts w:ascii="Palatino Linotype" w:hAnsi="Palatino Linotype"/>
          <w:color w:val="000000"/>
          <w:szCs w:val="26"/>
        </w:rPr>
        <w:t>”</w:t>
      </w:r>
      <w:r w:rsidRPr="00701C92">
        <w:rPr>
          <w:rFonts w:ascii="Palatino Linotype" w:hAnsi="Palatino Linotype"/>
          <w:color w:val="000000"/>
          <w:szCs w:val="26"/>
        </w:rPr>
        <w:t xml:space="preserve">  the</w:t>
      </w:r>
      <w:proofErr w:type="gramEnd"/>
      <w:r w:rsidRPr="00701C92">
        <w:rPr>
          <w:rFonts w:ascii="Palatino Linotype" w:hAnsi="Palatino Linotype"/>
          <w:color w:val="000000"/>
          <w:szCs w:val="26"/>
        </w:rPr>
        <w:t xml:space="preserve"> utilities’ Second Off Ramp Reports fail to describe any concerns raised by the Commission to date, much less the concerns raised by the parties to this proceeding and others.</w:t>
      </w:r>
    </w:p>
    <w:p w:rsidRPr="00701C92" w:rsidR="00DB0176" w:rsidP="00701C92" w:rsidRDefault="00DB0176" w14:paraId="0D7D08F9" w14:textId="77777777">
      <w:pPr>
        <w:pStyle w:val="ListParagraph"/>
        <w:autoSpaceDE w:val="0"/>
        <w:autoSpaceDN w:val="0"/>
        <w:adjustRightInd w:val="0"/>
        <w:spacing w:after="45"/>
        <w:ind w:left="1440"/>
        <w:rPr>
          <w:rFonts w:ascii="Palatino Linotype" w:hAnsi="Palatino Linotype"/>
          <w:color w:val="000000"/>
          <w:szCs w:val="26"/>
        </w:rPr>
      </w:pPr>
    </w:p>
    <w:p w:rsidR="001F05E9" w:rsidP="00416C48" w:rsidRDefault="001F05E9" w14:paraId="4F4F651F" w14:textId="63D5BEE4">
      <w:pPr>
        <w:autoSpaceDE w:val="0"/>
        <w:autoSpaceDN w:val="0"/>
        <w:adjustRightInd w:val="0"/>
        <w:spacing w:after="45"/>
        <w:ind w:left="720"/>
        <w:rPr>
          <w:rFonts w:ascii="Palatino Linotype" w:hAnsi="Palatino Linotype"/>
          <w:color w:val="000000"/>
          <w:szCs w:val="26"/>
        </w:rPr>
      </w:pPr>
      <w:r w:rsidRPr="00701C92">
        <w:rPr>
          <w:rFonts w:ascii="Palatino Linotype" w:hAnsi="Palatino Linotype"/>
          <w:b/>
          <w:bCs/>
          <w:color w:val="000000"/>
          <w:szCs w:val="26"/>
        </w:rPr>
        <w:t>Response:</w:t>
      </w:r>
      <w:r w:rsidRPr="00701C92">
        <w:rPr>
          <w:rFonts w:ascii="Palatino Linotype" w:hAnsi="Palatino Linotype"/>
          <w:color w:val="000000"/>
          <w:szCs w:val="26"/>
        </w:rPr>
        <w:t xml:space="preserve"> PCF misconstrues the findings of the decision. In dismissing Public Advocates’ protest of the initial PG&amp;E AL, D. 20-03-004 held (citing the Off-Ramp provision of D. 19-05-036):</w:t>
      </w:r>
    </w:p>
    <w:p w:rsidRPr="00701C92" w:rsidR="00416C48" w:rsidP="0006112C" w:rsidRDefault="00416C48" w14:paraId="1A091922" w14:textId="77777777">
      <w:pPr>
        <w:autoSpaceDE w:val="0"/>
        <w:autoSpaceDN w:val="0"/>
        <w:adjustRightInd w:val="0"/>
        <w:spacing w:after="45"/>
        <w:ind w:left="720"/>
        <w:rPr>
          <w:rFonts w:ascii="Palatino Linotype" w:hAnsi="Palatino Linotype"/>
          <w:szCs w:val="26"/>
        </w:rPr>
      </w:pPr>
    </w:p>
    <w:p w:rsidRPr="00701C92" w:rsidR="001F05E9" w:rsidP="004F7373" w:rsidRDefault="001F05E9" w14:paraId="33E73366" w14:textId="3BE2C53D">
      <w:pPr>
        <w:autoSpaceDE w:val="0"/>
        <w:autoSpaceDN w:val="0"/>
        <w:adjustRightInd w:val="0"/>
        <w:spacing w:after="45"/>
        <w:ind w:left="1440"/>
        <w:rPr>
          <w:rFonts w:ascii="Palatino Linotype" w:hAnsi="Palatino Linotype"/>
          <w:szCs w:val="26"/>
        </w:rPr>
      </w:pPr>
      <w:r w:rsidRPr="00701C92">
        <w:rPr>
          <w:rFonts w:ascii="Palatino Linotype" w:hAnsi="Palatino Linotype"/>
          <w:color w:val="000000"/>
          <w:szCs w:val="26"/>
        </w:rPr>
        <w:t xml:space="preserve">“The provision asks the IOU to describe concerns, not other parties. While the Commission may disagree with an IOU's or SMJU's determination in its Off-Ramp Advice Letter of whether a mitigation measure is effective, the Commission's process for determining effectiveness is separate from the Off-Ramp Advice Letter process. As noted earlier in this decision, Wildfire Safety Division will oversee the independent evaluation of WMPs, and metrics for determining WMPs' effectiveness will be applied at that time. Therefore, the Advice Letter has no bearing on whether the </w:t>
      </w:r>
      <w:r w:rsidRPr="00701C92">
        <w:rPr>
          <w:rFonts w:ascii="Palatino Linotype" w:hAnsi="Palatino Linotype"/>
          <w:color w:val="000000"/>
          <w:szCs w:val="26"/>
        </w:rPr>
        <w:lastRenderedPageBreak/>
        <w:t>Commission or other parties believe any of PG&amp;E's wildfire mitigation is effective.”</w:t>
      </w:r>
      <w:r w:rsidRPr="00701C92">
        <w:rPr>
          <w:rStyle w:val="FootnoteReference"/>
          <w:sz w:val="22"/>
          <w:szCs w:val="20"/>
        </w:rPr>
        <w:footnoteReference w:id="15"/>
      </w:r>
      <w:r w:rsidRPr="00701C92">
        <w:rPr>
          <w:rStyle w:val="FootnoteReference"/>
          <w:sz w:val="22"/>
          <w:szCs w:val="20"/>
        </w:rPr>
        <w:t xml:space="preserve"> </w:t>
      </w:r>
    </w:p>
    <w:p w:rsidR="001F05E9" w:rsidP="001F05E9" w:rsidRDefault="001F05E9" w14:paraId="47ABA16D" w14:textId="77777777">
      <w:pPr>
        <w:rPr>
          <w:szCs w:val="26"/>
        </w:rPr>
      </w:pPr>
    </w:p>
    <w:p w:rsidRPr="00F646A1" w:rsidR="00D55548" w:rsidP="004F7373" w:rsidRDefault="00D55548" w14:paraId="7E688207" w14:textId="0F9BDF84">
      <w:pPr>
        <w:pStyle w:val="ListParagraph"/>
        <w:spacing w:after="160" w:line="259" w:lineRule="auto"/>
        <w:ind w:left="1440"/>
      </w:pPr>
      <w:r w:rsidRPr="00701C92">
        <w:rPr>
          <w:szCs w:val="26"/>
        </w:rPr>
        <w:t>C)</w:t>
      </w:r>
      <w:r>
        <w:rPr>
          <w:sz w:val="23"/>
          <w:szCs w:val="23"/>
        </w:rPr>
        <w:t xml:space="preserve"> </w:t>
      </w:r>
      <w:r w:rsidRPr="00701C92">
        <w:rPr>
          <w:rFonts w:ascii="Palatino Linotype" w:hAnsi="Palatino Linotype" w:eastAsiaTheme="minorHAnsi" w:cstheme="minorBidi"/>
          <w:color w:val="000000"/>
          <w:szCs w:val="26"/>
        </w:rPr>
        <w:t xml:space="preserve">“[E]valuation and resolution of the utilities’ Second Off Ramp Reports should not be addressed via informal advice letter. In addition to the fact that PCF’s Application for Rehearing of D.20-03-004 </w:t>
      </w:r>
      <w:r w:rsidR="00A133CA">
        <w:rPr>
          <w:rFonts w:ascii="Palatino Linotype" w:hAnsi="Palatino Linotype" w:eastAsiaTheme="minorHAnsi" w:cstheme="minorBidi"/>
          <w:color w:val="000000"/>
          <w:szCs w:val="26"/>
        </w:rPr>
        <w:t>was then</w:t>
      </w:r>
      <w:r w:rsidRPr="00701C92">
        <w:rPr>
          <w:rFonts w:ascii="Palatino Linotype" w:hAnsi="Palatino Linotype" w:eastAsiaTheme="minorHAnsi" w:cstheme="minorBidi"/>
          <w:color w:val="000000"/>
          <w:szCs w:val="26"/>
        </w:rPr>
        <w:t xml:space="preserve"> pending, the Commission’s constitutional and statutory obligations to actively supervise the utilities requires that the Off Ramp Reports be evaluated and resolved in a formal proceeding, and D.</w:t>
      </w:r>
      <w:r>
        <w:rPr>
          <w:rFonts w:ascii="Palatino Linotype" w:hAnsi="Palatino Linotype" w:eastAsiaTheme="minorHAnsi" w:cstheme="minorBidi"/>
          <w:color w:val="000000"/>
          <w:szCs w:val="26"/>
        </w:rPr>
        <w:t xml:space="preserve"> </w:t>
      </w:r>
      <w:r w:rsidRPr="00701C92">
        <w:rPr>
          <w:rFonts w:ascii="Palatino Linotype" w:hAnsi="Palatino Linotype" w:eastAsiaTheme="minorHAnsi" w:cstheme="minorBidi"/>
          <w:color w:val="000000"/>
          <w:szCs w:val="26"/>
        </w:rPr>
        <w:t>20-03-004 requires that such evaluation and resolution occur in R.18-10-007.</w:t>
      </w:r>
    </w:p>
    <w:p w:rsidRPr="009F38AC" w:rsidR="005A1157" w:rsidP="0006112C" w:rsidRDefault="00D55548" w14:paraId="6A873326" w14:textId="5539967D">
      <w:pPr>
        <w:pStyle w:val="Standard"/>
        <w:ind w:left="720"/>
        <w:rPr>
          <w:rFonts w:ascii="Palatino Linotype" w:hAnsi="Palatino Linotype"/>
        </w:rPr>
      </w:pPr>
      <w:r w:rsidRPr="009F38AC">
        <w:rPr>
          <w:rFonts w:ascii="Palatino Linotype" w:hAnsi="Palatino Linotype"/>
          <w:b/>
          <w:bCs/>
        </w:rPr>
        <w:t>Response:</w:t>
      </w:r>
      <w:r w:rsidRPr="009F38AC">
        <w:rPr>
          <w:rFonts w:ascii="Palatino Linotype" w:hAnsi="Palatino Linotype"/>
        </w:rPr>
        <w:t xml:space="preserve">  Again, PCF misconstrues the intent of D.20-03-004 to address the first set of Off-Ramp reports but not subsequent ALs. </w:t>
      </w:r>
    </w:p>
    <w:p w:rsidRPr="009F38AC" w:rsidR="00D55548" w:rsidP="0006112C" w:rsidRDefault="00D55548" w14:paraId="46B9411C" w14:textId="77777777">
      <w:pPr>
        <w:ind w:left="720"/>
        <w:rPr>
          <w:rFonts w:ascii="Palatino Linotype" w:hAnsi="Palatino Linotype"/>
        </w:rPr>
      </w:pPr>
      <w:r w:rsidRPr="009F38AC">
        <w:rPr>
          <w:rFonts w:ascii="Palatino Linotype" w:hAnsi="Palatino Linotype"/>
        </w:rPr>
        <w:t>D.19-05-036 established the process for utilities to file their Off-Ramp reports as Tier 3 Advice Letters, which require Commission approval (either in the form of a Resolution or a decision, as was employed for the initial Off-Ramp ALs). D. 20-03-004 was concerned only with that initial set of filings and did not establish a precedent for treating subsequent Off-Ramp filings in R.18-10-007.</w:t>
      </w:r>
    </w:p>
    <w:p w:rsidRPr="009F38AC" w:rsidR="00DB0176" w:rsidP="0006112C" w:rsidRDefault="00DB0176" w14:paraId="47037FF2" w14:textId="77777777">
      <w:pPr>
        <w:ind w:left="720"/>
        <w:rPr>
          <w:rFonts w:ascii="Palatino Linotype" w:hAnsi="Palatino Linotype"/>
        </w:rPr>
      </w:pPr>
    </w:p>
    <w:p w:rsidRPr="009F38AC" w:rsidR="00D55548" w:rsidP="0006112C" w:rsidRDefault="00D55548" w14:paraId="4C03B90C" w14:textId="24154B7F">
      <w:pPr>
        <w:ind w:left="720"/>
        <w:rPr>
          <w:rFonts w:ascii="Palatino Linotype" w:hAnsi="Palatino Linotype"/>
        </w:rPr>
      </w:pPr>
      <w:r w:rsidRPr="009F38AC">
        <w:rPr>
          <w:rFonts w:ascii="Palatino Linotype" w:hAnsi="Palatino Linotype"/>
        </w:rPr>
        <w:t>Notwithstanding PCF’s Application for Rehearing of D. 20-03-004, the decision’s treatment of the Off-Ramp Advice Letters stands.  D.</w:t>
      </w:r>
      <w:r w:rsidRPr="009F38AC" w:rsidR="00DB0176">
        <w:rPr>
          <w:rFonts w:ascii="Palatino Linotype" w:hAnsi="Palatino Linotype"/>
        </w:rPr>
        <w:t xml:space="preserve"> </w:t>
      </w:r>
      <w:r w:rsidRPr="009F38AC">
        <w:rPr>
          <w:rFonts w:ascii="Palatino Linotype" w:hAnsi="Palatino Linotype"/>
        </w:rPr>
        <w:t>20-09-041 issued Sept</w:t>
      </w:r>
      <w:r w:rsidRPr="009F38AC" w:rsidR="00A133CA">
        <w:rPr>
          <w:rFonts w:ascii="Palatino Linotype" w:hAnsi="Palatino Linotype"/>
        </w:rPr>
        <w:t>ember</w:t>
      </w:r>
      <w:r w:rsidRPr="009F38AC">
        <w:rPr>
          <w:rFonts w:ascii="Palatino Linotype" w:hAnsi="Palatino Linotype"/>
        </w:rPr>
        <w:t xml:space="preserve"> 28, 2020, addressed PCF’s application by modifying D.</w:t>
      </w:r>
      <w:r w:rsidRPr="009F38AC" w:rsidR="00DB0176">
        <w:rPr>
          <w:rFonts w:ascii="Palatino Linotype" w:hAnsi="Palatino Linotype"/>
        </w:rPr>
        <w:t xml:space="preserve"> </w:t>
      </w:r>
      <w:r w:rsidRPr="009F38AC">
        <w:rPr>
          <w:rFonts w:ascii="Palatino Linotype" w:hAnsi="Palatino Linotype"/>
        </w:rPr>
        <w:t>20-03-004 to include information about parties’ filings that w</w:t>
      </w:r>
      <w:r w:rsidRPr="009F38AC" w:rsidR="00DB0176">
        <w:rPr>
          <w:rFonts w:ascii="Palatino Linotype" w:hAnsi="Palatino Linotype"/>
        </w:rPr>
        <w:t>as</w:t>
      </w:r>
      <w:r w:rsidRPr="009F38AC">
        <w:rPr>
          <w:rFonts w:ascii="Palatino Linotype" w:hAnsi="Palatino Linotype"/>
        </w:rPr>
        <w:t xml:space="preserve"> inadvertently left out of the original decision, but the Commission declined PCF’s rehearing request. </w:t>
      </w:r>
    </w:p>
    <w:p w:rsidRPr="009F38AC" w:rsidR="00D55548" w:rsidP="0006112C" w:rsidRDefault="00D55548" w14:paraId="15638EC3" w14:textId="77777777">
      <w:pPr>
        <w:ind w:left="1440"/>
        <w:rPr>
          <w:rFonts w:ascii="Palatino Linotype" w:hAnsi="Palatino Linotype"/>
        </w:rPr>
      </w:pPr>
    </w:p>
    <w:p w:rsidRPr="009F38AC" w:rsidR="00D55548" w:rsidP="0006112C" w:rsidRDefault="00D55548" w14:paraId="45DECE16" w14:textId="1173E967">
      <w:pPr>
        <w:ind w:left="720"/>
        <w:rPr>
          <w:rFonts w:ascii="Palatino Linotype" w:hAnsi="Palatino Linotype"/>
        </w:rPr>
      </w:pPr>
      <w:r w:rsidRPr="009F38AC">
        <w:rPr>
          <w:rFonts w:ascii="Palatino Linotype" w:hAnsi="Palatino Linotype"/>
        </w:rPr>
        <w:t xml:space="preserve">D.20-09-041 also noted that PCF’s rehearing request </w:t>
      </w:r>
      <w:r w:rsidRPr="009F38AC" w:rsidR="00D006A7">
        <w:rPr>
          <w:rFonts w:ascii="Palatino Linotype" w:hAnsi="Palatino Linotype"/>
        </w:rPr>
        <w:t>did not</w:t>
      </w:r>
      <w:r w:rsidRPr="009F38AC">
        <w:rPr>
          <w:rFonts w:ascii="Palatino Linotype" w:hAnsi="Palatino Linotype"/>
        </w:rPr>
        <w:t xml:space="preserve"> specifically </w:t>
      </w:r>
      <w:r w:rsidRPr="009F38AC" w:rsidR="00D006A7">
        <w:rPr>
          <w:rFonts w:ascii="Palatino Linotype" w:hAnsi="Palatino Linotype"/>
        </w:rPr>
        <w:t xml:space="preserve">challenge the </w:t>
      </w:r>
      <w:r w:rsidRPr="009F38AC">
        <w:rPr>
          <w:rFonts w:ascii="Palatino Linotype" w:hAnsi="Palatino Linotype"/>
        </w:rPr>
        <w:t xml:space="preserve">Off-Ramp </w:t>
      </w:r>
      <w:r w:rsidRPr="009F38AC" w:rsidR="00D006A7">
        <w:rPr>
          <w:rFonts w:ascii="Palatino Linotype" w:hAnsi="Palatino Linotype"/>
        </w:rPr>
        <w:t xml:space="preserve">determinations of D.20-03-004 but was merely </w:t>
      </w:r>
      <w:r w:rsidRPr="009F38AC" w:rsidR="00D006A7">
        <w:rPr>
          <w:rFonts w:ascii="Palatino Linotype" w:hAnsi="Palatino Linotype"/>
        </w:rPr>
        <w:lastRenderedPageBreak/>
        <w:t>referencing Public Advocates’ argument that the ALs should include concerns raised by non-utilities</w:t>
      </w:r>
      <w:r w:rsidRPr="009F38AC">
        <w:rPr>
          <w:rFonts w:ascii="Palatino Linotype" w:hAnsi="Palatino Linotype"/>
        </w:rPr>
        <w:t>.</w:t>
      </w:r>
      <w:r w:rsidRPr="009F38AC" w:rsidR="00D006A7">
        <w:rPr>
          <w:rStyle w:val="FootnoteReference"/>
          <w:rFonts w:ascii="Palatino Linotype" w:hAnsi="Palatino Linotype"/>
        </w:rPr>
        <w:footnoteReference w:id="16"/>
      </w:r>
    </w:p>
    <w:p w:rsidRPr="009F38AC" w:rsidR="005A1157" w:rsidP="0028378C" w:rsidRDefault="00D55548" w14:paraId="1E70CB1F" w14:textId="61101072">
      <w:pPr>
        <w:pStyle w:val="Standard"/>
        <w:spacing w:before="240"/>
        <w:rPr>
          <w:rFonts w:ascii="Palatino Linotype" w:hAnsi="Palatino Linotype"/>
          <w:b/>
          <w:bCs/>
        </w:rPr>
      </w:pPr>
      <w:r w:rsidRPr="009F38AC">
        <w:rPr>
          <w:rFonts w:ascii="Palatino Linotype" w:hAnsi="Palatino Linotype"/>
          <w:b/>
          <w:bCs/>
        </w:rPr>
        <w:t>Disposition of the Advice Letters:</w:t>
      </w:r>
    </w:p>
    <w:p w:rsidRPr="009F38AC" w:rsidR="005A1157" w:rsidP="0006112C" w:rsidRDefault="00D55548" w14:paraId="098271D6" w14:textId="523FFAAE">
      <w:pPr>
        <w:pStyle w:val="Standard"/>
        <w:ind w:left="720"/>
        <w:rPr>
          <w:rFonts w:ascii="Palatino Linotype" w:hAnsi="Palatino Linotype"/>
        </w:rPr>
      </w:pPr>
      <w:r w:rsidRPr="009F38AC">
        <w:rPr>
          <w:rFonts w:ascii="Palatino Linotype" w:hAnsi="Palatino Linotype"/>
        </w:rPr>
        <w:t xml:space="preserve">Because they do not identify any concerns </w:t>
      </w:r>
      <w:r w:rsidRPr="009F38AC" w:rsidR="00DE261E">
        <w:rPr>
          <w:rFonts w:ascii="Palatino Linotype" w:hAnsi="Palatino Linotype"/>
        </w:rPr>
        <w:t xml:space="preserve">or </w:t>
      </w:r>
      <w:r w:rsidRPr="009F38AC">
        <w:rPr>
          <w:rFonts w:ascii="Palatino Linotype" w:hAnsi="Palatino Linotype"/>
        </w:rPr>
        <w:t>pr</w:t>
      </w:r>
      <w:r w:rsidRPr="009F38AC" w:rsidR="00DE261E">
        <w:rPr>
          <w:rFonts w:ascii="Palatino Linotype" w:hAnsi="Palatino Linotype"/>
        </w:rPr>
        <w:t>o</w:t>
      </w:r>
      <w:r w:rsidRPr="009F38AC">
        <w:rPr>
          <w:rFonts w:ascii="Palatino Linotype" w:hAnsi="Palatino Linotype"/>
        </w:rPr>
        <w:t xml:space="preserve">pose any modifications </w:t>
      </w:r>
      <w:r w:rsidRPr="009F38AC" w:rsidR="00DA0F73">
        <w:rPr>
          <w:rFonts w:ascii="Palatino Linotype" w:hAnsi="Palatino Linotype"/>
        </w:rPr>
        <w:t xml:space="preserve">to WMP program activities or mitigation measure, the ALs from Liberty, PacifiCorp, PG&amp;E are approved. </w:t>
      </w:r>
    </w:p>
    <w:p w:rsidRPr="009F38AC" w:rsidR="00DA0F73" w:rsidP="0006112C" w:rsidRDefault="00DA0F73" w14:paraId="18C0A8F2" w14:textId="7095932C">
      <w:pPr>
        <w:pStyle w:val="Standard"/>
        <w:ind w:left="720"/>
        <w:rPr>
          <w:rFonts w:ascii="Palatino Linotype" w:hAnsi="Palatino Linotype"/>
        </w:rPr>
      </w:pPr>
      <w:r w:rsidRPr="009F38AC">
        <w:rPr>
          <w:rFonts w:ascii="Palatino Linotype" w:hAnsi="Palatino Linotype"/>
        </w:rPr>
        <w:t>BVES’</w:t>
      </w:r>
      <w:r w:rsidR="0063224E">
        <w:rPr>
          <w:rFonts w:ascii="Palatino Linotype" w:hAnsi="Palatino Linotype"/>
        </w:rPr>
        <w:t>s</w:t>
      </w:r>
      <w:r w:rsidRPr="009F38AC">
        <w:rPr>
          <w:rFonts w:ascii="Palatino Linotype" w:hAnsi="Palatino Linotype"/>
        </w:rPr>
        <w:t xml:space="preserve"> reported delay to the Radford Covered Conductor Replacement Program is noted, </w:t>
      </w:r>
      <w:r w:rsidRPr="009F38AC" w:rsidR="00416C48">
        <w:rPr>
          <w:rFonts w:ascii="Palatino Linotype" w:hAnsi="Palatino Linotype"/>
        </w:rPr>
        <w:t xml:space="preserve">and in its more recent WMP filing, BVES has </w:t>
      </w:r>
      <w:r w:rsidRPr="009F38AC" w:rsidR="002402E9">
        <w:rPr>
          <w:rFonts w:ascii="Palatino Linotype" w:hAnsi="Palatino Linotype"/>
        </w:rPr>
        <w:t xml:space="preserve">deferred </w:t>
      </w:r>
      <w:r w:rsidRPr="009F38AC" w:rsidR="00416C48">
        <w:rPr>
          <w:rFonts w:ascii="Palatino Linotype" w:hAnsi="Palatino Linotype"/>
        </w:rPr>
        <w:t xml:space="preserve">the </w:t>
      </w:r>
      <w:r w:rsidRPr="009F38AC" w:rsidR="002402E9">
        <w:rPr>
          <w:rFonts w:ascii="Palatino Linotype" w:hAnsi="Palatino Linotype"/>
        </w:rPr>
        <w:t xml:space="preserve">expected </w:t>
      </w:r>
      <w:r w:rsidRPr="009F38AC" w:rsidR="00416C48">
        <w:rPr>
          <w:rFonts w:ascii="Palatino Linotype" w:hAnsi="Palatino Linotype"/>
        </w:rPr>
        <w:t xml:space="preserve">project completion date to October 2021.  </w:t>
      </w:r>
      <w:r w:rsidRPr="009F38AC">
        <w:rPr>
          <w:rFonts w:ascii="Palatino Linotype" w:hAnsi="Palatino Linotype"/>
        </w:rPr>
        <w:t xml:space="preserve">AL </w:t>
      </w:r>
      <w:r w:rsidR="00D95F5C">
        <w:rPr>
          <w:rFonts w:ascii="Palatino Linotype" w:hAnsi="Palatino Linotype"/>
        </w:rPr>
        <w:t>390</w:t>
      </w:r>
      <w:r w:rsidRPr="009F38AC">
        <w:rPr>
          <w:rFonts w:ascii="Palatino Linotype" w:hAnsi="Palatino Linotype"/>
        </w:rPr>
        <w:t xml:space="preserve">-E is approved. </w:t>
      </w:r>
    </w:p>
    <w:p w:rsidRPr="009F38AC" w:rsidR="00DA0F73" w:rsidP="00416C48" w:rsidRDefault="00DA0F73" w14:paraId="1A99EEEA" w14:textId="0EB85C2E">
      <w:pPr>
        <w:pStyle w:val="Standard"/>
        <w:ind w:left="720"/>
        <w:rPr>
          <w:rFonts w:ascii="Palatino Linotype" w:hAnsi="Palatino Linotype"/>
        </w:rPr>
      </w:pPr>
      <w:r w:rsidRPr="009F38AC">
        <w:rPr>
          <w:rFonts w:ascii="Palatino Linotype" w:hAnsi="Palatino Linotype"/>
        </w:rPr>
        <w:t xml:space="preserve">SDG&amp;E’s modification of its Community Outreach Program is reasonable given the constraints on conducting Community Outreach </w:t>
      </w:r>
      <w:r w:rsidRPr="009F38AC" w:rsidR="002402E9">
        <w:rPr>
          <w:rFonts w:ascii="Palatino Linotype" w:hAnsi="Palatino Linotype"/>
        </w:rPr>
        <w:t xml:space="preserve">and Open House </w:t>
      </w:r>
      <w:r w:rsidRPr="009F38AC">
        <w:rPr>
          <w:rFonts w:ascii="Palatino Linotype" w:hAnsi="Palatino Linotype"/>
        </w:rPr>
        <w:t xml:space="preserve">programs during the </w:t>
      </w:r>
      <w:r w:rsidR="008B787C">
        <w:rPr>
          <w:rFonts w:ascii="Palatino Linotype" w:hAnsi="Palatino Linotype"/>
        </w:rPr>
        <w:t>COVID</w:t>
      </w:r>
      <w:r w:rsidRPr="009F38AC">
        <w:rPr>
          <w:rFonts w:ascii="Palatino Linotype" w:hAnsi="Palatino Linotype"/>
        </w:rPr>
        <w:t>-19 pandemic.  AL 3549-E is approved</w:t>
      </w:r>
      <w:r w:rsidRPr="009F38AC" w:rsidR="00416C48">
        <w:rPr>
          <w:rFonts w:ascii="Palatino Linotype" w:hAnsi="Palatino Linotype"/>
        </w:rPr>
        <w:t>.</w:t>
      </w:r>
      <w:r w:rsidRPr="009F38AC">
        <w:rPr>
          <w:rFonts w:ascii="Palatino Linotype" w:hAnsi="Palatino Linotype"/>
        </w:rPr>
        <w:t xml:space="preserve"> </w:t>
      </w:r>
    </w:p>
    <w:p w:rsidRPr="009F38AC" w:rsidR="00416C48" w:rsidP="00416C48" w:rsidRDefault="00416C48" w14:paraId="3E6CDFA9" w14:textId="51B51C63">
      <w:pPr>
        <w:pStyle w:val="Standard"/>
        <w:ind w:left="720"/>
        <w:rPr>
          <w:rFonts w:ascii="Palatino Linotype" w:hAnsi="Palatino Linotype"/>
        </w:rPr>
      </w:pPr>
      <w:r w:rsidRPr="009F38AC">
        <w:rPr>
          <w:rFonts w:ascii="Palatino Linotype" w:hAnsi="Palatino Linotype"/>
        </w:rPr>
        <w:t xml:space="preserve">SCE’s </w:t>
      </w:r>
      <w:r w:rsidRPr="009F38AC" w:rsidR="00BF1E8F">
        <w:rPr>
          <w:rFonts w:ascii="Palatino Linotype" w:hAnsi="Palatino Linotype"/>
        </w:rPr>
        <w:t xml:space="preserve">three </w:t>
      </w:r>
      <w:r w:rsidRPr="009F38AC">
        <w:rPr>
          <w:rFonts w:ascii="Palatino Linotype" w:hAnsi="Palatino Linotype"/>
        </w:rPr>
        <w:t>program modifications have been incorporated into the 2020 WMP, with the elimination of two of the individual measures and expansion of the pilot program for microgrids. This supersedes the 2019 W</w:t>
      </w:r>
      <w:r w:rsidR="008B787C">
        <w:rPr>
          <w:rFonts w:ascii="Palatino Linotype" w:hAnsi="Palatino Linotype"/>
        </w:rPr>
        <w:t>M</w:t>
      </w:r>
      <w:r w:rsidRPr="009F38AC">
        <w:rPr>
          <w:rFonts w:ascii="Palatino Linotype" w:hAnsi="Palatino Linotype"/>
        </w:rPr>
        <w:t xml:space="preserve">P.  SCE’s AL 4222-E is approved.   </w:t>
      </w:r>
    </w:p>
    <w:p w:rsidRPr="009F38AC" w:rsidR="00DA0F73" w:rsidP="0028378C" w:rsidRDefault="00DA0F73" w14:paraId="4CE43EC4" w14:textId="5354C34E">
      <w:pPr>
        <w:pStyle w:val="Standard"/>
        <w:spacing w:before="240"/>
        <w:rPr>
          <w:rFonts w:ascii="Palatino Linotype" w:hAnsi="Palatino Linotype"/>
          <w:b/>
          <w:bCs/>
        </w:rPr>
      </w:pPr>
      <w:r w:rsidRPr="009F38AC">
        <w:rPr>
          <w:rFonts w:ascii="Palatino Linotype" w:hAnsi="Palatino Linotype"/>
          <w:b/>
          <w:bCs/>
        </w:rPr>
        <w:t>Disposition of the Second Round Off-Ramps Reports</w:t>
      </w:r>
    </w:p>
    <w:tbl>
      <w:tblPr>
        <w:tblStyle w:val="TableGrid"/>
        <w:tblW w:w="0" w:type="auto"/>
        <w:tblLook w:val="04A0" w:firstRow="1" w:lastRow="0" w:firstColumn="1" w:lastColumn="0" w:noHBand="0" w:noVBand="1"/>
      </w:tblPr>
      <w:tblGrid>
        <w:gridCol w:w="3116"/>
        <w:gridCol w:w="3117"/>
        <w:gridCol w:w="3117"/>
      </w:tblGrid>
      <w:tr w:rsidR="005A4863" w14:paraId="3C9CA578" w14:textId="77777777">
        <w:tc>
          <w:tcPr>
            <w:tcW w:w="3116" w:type="dxa"/>
          </w:tcPr>
          <w:p w:rsidRPr="009F38AC" w:rsidR="00DA0F73" w:rsidP="00C6215C" w:rsidRDefault="006F52A2" w14:paraId="048427DC" w14:textId="3D9033FA">
            <w:pPr>
              <w:pStyle w:val="Standard"/>
              <w:spacing w:after="0"/>
              <w:jc w:val="both"/>
              <w:rPr>
                <w:rFonts w:ascii="Palatino Linotype" w:hAnsi="Palatino Linotype"/>
                <w:b/>
                <w:bCs/>
              </w:rPr>
            </w:pPr>
            <w:r w:rsidRPr="009F38AC">
              <w:rPr>
                <w:rFonts w:ascii="Palatino Linotype" w:hAnsi="Palatino Linotype"/>
                <w:b/>
                <w:bCs/>
              </w:rPr>
              <w:t>Utility</w:t>
            </w:r>
          </w:p>
        </w:tc>
        <w:tc>
          <w:tcPr>
            <w:tcW w:w="3117" w:type="dxa"/>
          </w:tcPr>
          <w:p w:rsidRPr="009F38AC" w:rsidR="00DA0F73" w:rsidP="00C6215C" w:rsidRDefault="006F52A2" w14:paraId="5CF9E35C" w14:textId="2A63506C">
            <w:pPr>
              <w:pStyle w:val="Standard"/>
              <w:spacing w:after="0"/>
              <w:rPr>
                <w:rFonts w:ascii="Palatino Linotype" w:hAnsi="Palatino Linotype"/>
                <w:b/>
                <w:bCs/>
              </w:rPr>
            </w:pPr>
            <w:r w:rsidRPr="009F38AC">
              <w:rPr>
                <w:rFonts w:ascii="Palatino Linotype" w:hAnsi="Palatino Linotype"/>
                <w:b/>
                <w:bCs/>
              </w:rPr>
              <w:t>Advice Letter</w:t>
            </w:r>
          </w:p>
        </w:tc>
        <w:tc>
          <w:tcPr>
            <w:tcW w:w="3117" w:type="dxa"/>
          </w:tcPr>
          <w:p w:rsidRPr="009F38AC" w:rsidR="00DA0F73" w:rsidP="00C6215C" w:rsidRDefault="006F52A2" w14:paraId="7994225A" w14:textId="53D66129">
            <w:pPr>
              <w:pStyle w:val="Standard"/>
              <w:spacing w:after="0"/>
              <w:rPr>
                <w:rFonts w:ascii="Palatino Linotype" w:hAnsi="Palatino Linotype"/>
                <w:b/>
                <w:bCs/>
              </w:rPr>
            </w:pPr>
            <w:r w:rsidRPr="009F38AC">
              <w:rPr>
                <w:rFonts w:ascii="Palatino Linotype" w:hAnsi="Palatino Linotype"/>
                <w:b/>
                <w:bCs/>
              </w:rPr>
              <w:t>Disposition</w:t>
            </w:r>
          </w:p>
        </w:tc>
      </w:tr>
      <w:tr w:rsidR="005A4863" w14:paraId="6084BA5E" w14:textId="77777777">
        <w:tc>
          <w:tcPr>
            <w:tcW w:w="3116" w:type="dxa"/>
          </w:tcPr>
          <w:p w:rsidRPr="009F38AC" w:rsidR="00DA0F73" w:rsidP="00C6215C" w:rsidRDefault="006F52A2" w14:paraId="0F324ED3" w14:textId="71450952">
            <w:pPr>
              <w:pStyle w:val="Standard"/>
              <w:spacing w:after="0"/>
              <w:rPr>
                <w:rFonts w:ascii="Palatino Linotype" w:hAnsi="Palatino Linotype"/>
              </w:rPr>
            </w:pPr>
            <w:r w:rsidRPr="009F38AC">
              <w:rPr>
                <w:rFonts w:ascii="Palatino Linotype" w:hAnsi="Palatino Linotype"/>
              </w:rPr>
              <w:t>Liberty Utilities</w:t>
            </w:r>
          </w:p>
        </w:tc>
        <w:tc>
          <w:tcPr>
            <w:tcW w:w="3117" w:type="dxa"/>
          </w:tcPr>
          <w:p w:rsidRPr="009F38AC" w:rsidR="00DA0F73" w:rsidP="00C6215C" w:rsidRDefault="006F52A2" w14:paraId="1806AC8D" w14:textId="02C24105">
            <w:pPr>
              <w:pStyle w:val="Standard"/>
              <w:spacing w:after="0"/>
              <w:rPr>
                <w:rFonts w:ascii="Palatino Linotype" w:hAnsi="Palatino Linotype"/>
              </w:rPr>
            </w:pPr>
            <w:r w:rsidRPr="009F38AC">
              <w:rPr>
                <w:rFonts w:ascii="Palatino Linotype" w:hAnsi="Palatino Linotype"/>
              </w:rPr>
              <w:t>143-E</w:t>
            </w:r>
          </w:p>
        </w:tc>
        <w:tc>
          <w:tcPr>
            <w:tcW w:w="3117" w:type="dxa"/>
          </w:tcPr>
          <w:p w:rsidRPr="009F38AC" w:rsidR="00DA0F73" w:rsidP="00C6215C" w:rsidRDefault="006F52A2" w14:paraId="53166407" w14:textId="23B0E1E2">
            <w:pPr>
              <w:pStyle w:val="Standard"/>
              <w:spacing w:after="0"/>
              <w:rPr>
                <w:rFonts w:ascii="Palatino Linotype" w:hAnsi="Palatino Linotype"/>
              </w:rPr>
            </w:pPr>
            <w:r w:rsidRPr="009F38AC">
              <w:rPr>
                <w:rFonts w:ascii="Palatino Linotype" w:hAnsi="Palatino Linotype"/>
              </w:rPr>
              <w:t>Granted</w:t>
            </w:r>
          </w:p>
        </w:tc>
      </w:tr>
      <w:tr w:rsidR="005A4863" w14:paraId="5EEE96D1" w14:textId="77777777">
        <w:tc>
          <w:tcPr>
            <w:tcW w:w="3116" w:type="dxa"/>
          </w:tcPr>
          <w:p w:rsidRPr="009F38AC" w:rsidR="00DA0F73" w:rsidP="00C6215C" w:rsidRDefault="006F52A2" w14:paraId="6371C835" w14:textId="0B50F529">
            <w:pPr>
              <w:pStyle w:val="Standard"/>
              <w:spacing w:after="0"/>
              <w:rPr>
                <w:rFonts w:ascii="Palatino Linotype" w:hAnsi="Palatino Linotype"/>
              </w:rPr>
            </w:pPr>
            <w:r w:rsidRPr="009F38AC">
              <w:rPr>
                <w:rFonts w:ascii="Palatino Linotype" w:hAnsi="Palatino Linotype"/>
              </w:rPr>
              <w:t>PacifiCorp</w:t>
            </w:r>
          </w:p>
        </w:tc>
        <w:tc>
          <w:tcPr>
            <w:tcW w:w="3117" w:type="dxa"/>
          </w:tcPr>
          <w:p w:rsidRPr="009F38AC" w:rsidR="00DA0F73" w:rsidP="00C6215C" w:rsidRDefault="006F52A2" w14:paraId="1F1A7B6A" w14:textId="45DFC969">
            <w:pPr>
              <w:pStyle w:val="Standard"/>
              <w:spacing w:after="0"/>
              <w:rPr>
                <w:rFonts w:ascii="Palatino Linotype" w:hAnsi="Palatino Linotype"/>
              </w:rPr>
            </w:pPr>
            <w:r w:rsidRPr="009F38AC">
              <w:rPr>
                <w:rFonts w:ascii="Palatino Linotype" w:hAnsi="Palatino Linotype"/>
              </w:rPr>
              <w:t>616-E</w:t>
            </w:r>
          </w:p>
        </w:tc>
        <w:tc>
          <w:tcPr>
            <w:tcW w:w="3117" w:type="dxa"/>
          </w:tcPr>
          <w:p w:rsidRPr="009F38AC" w:rsidR="00DA0F73" w:rsidP="00C6215C" w:rsidRDefault="006F52A2" w14:paraId="55FD4309" w14:textId="3DCD3826">
            <w:pPr>
              <w:pStyle w:val="Standard"/>
              <w:spacing w:after="0"/>
              <w:rPr>
                <w:rFonts w:ascii="Palatino Linotype" w:hAnsi="Palatino Linotype"/>
              </w:rPr>
            </w:pPr>
            <w:r w:rsidRPr="009F38AC">
              <w:rPr>
                <w:rFonts w:ascii="Palatino Linotype" w:hAnsi="Palatino Linotype"/>
              </w:rPr>
              <w:t>Granted</w:t>
            </w:r>
          </w:p>
        </w:tc>
      </w:tr>
      <w:tr w:rsidR="005A4863" w14:paraId="021CB4A2" w14:textId="77777777">
        <w:tc>
          <w:tcPr>
            <w:tcW w:w="3116" w:type="dxa"/>
          </w:tcPr>
          <w:p w:rsidRPr="009F38AC" w:rsidR="00DA0F73" w:rsidP="00C6215C" w:rsidRDefault="006F52A2" w14:paraId="067B0194" w14:textId="73E98A81">
            <w:pPr>
              <w:pStyle w:val="Standard"/>
              <w:spacing w:after="0"/>
              <w:rPr>
                <w:rFonts w:ascii="Palatino Linotype" w:hAnsi="Palatino Linotype"/>
              </w:rPr>
            </w:pPr>
            <w:r w:rsidRPr="009F38AC">
              <w:rPr>
                <w:rFonts w:ascii="Palatino Linotype" w:hAnsi="Palatino Linotype"/>
              </w:rPr>
              <w:t>PG&amp;E</w:t>
            </w:r>
          </w:p>
        </w:tc>
        <w:tc>
          <w:tcPr>
            <w:tcW w:w="3117" w:type="dxa"/>
          </w:tcPr>
          <w:p w:rsidRPr="009F38AC" w:rsidR="00DA0F73" w:rsidP="00C6215C" w:rsidRDefault="006F52A2" w14:paraId="37F84F53" w14:textId="55DDD544">
            <w:pPr>
              <w:pStyle w:val="Standard"/>
              <w:spacing w:after="0"/>
              <w:rPr>
                <w:rFonts w:ascii="Palatino Linotype" w:hAnsi="Palatino Linotype"/>
              </w:rPr>
            </w:pPr>
            <w:r w:rsidRPr="009F38AC">
              <w:rPr>
                <w:rFonts w:ascii="Palatino Linotype" w:hAnsi="Palatino Linotype"/>
              </w:rPr>
              <w:t>5837-E</w:t>
            </w:r>
          </w:p>
        </w:tc>
        <w:tc>
          <w:tcPr>
            <w:tcW w:w="3117" w:type="dxa"/>
          </w:tcPr>
          <w:p w:rsidRPr="009F38AC" w:rsidR="00DA0F73" w:rsidP="00C6215C" w:rsidRDefault="006F52A2" w14:paraId="4C0804B5" w14:textId="6A379A86">
            <w:pPr>
              <w:pStyle w:val="Standard"/>
              <w:spacing w:after="0"/>
              <w:rPr>
                <w:rFonts w:ascii="Palatino Linotype" w:hAnsi="Palatino Linotype"/>
              </w:rPr>
            </w:pPr>
            <w:r w:rsidRPr="009F38AC">
              <w:rPr>
                <w:rFonts w:ascii="Palatino Linotype" w:hAnsi="Palatino Linotype"/>
              </w:rPr>
              <w:t>Granted</w:t>
            </w:r>
          </w:p>
        </w:tc>
      </w:tr>
      <w:tr w:rsidR="005A4863" w14:paraId="224A6320" w14:textId="77777777">
        <w:tc>
          <w:tcPr>
            <w:tcW w:w="3116" w:type="dxa"/>
          </w:tcPr>
          <w:p w:rsidRPr="009F38AC" w:rsidR="00DA0F73" w:rsidP="00C6215C" w:rsidRDefault="006F52A2" w14:paraId="03B8510C" w14:textId="0282E91D">
            <w:pPr>
              <w:pStyle w:val="Standard"/>
              <w:spacing w:after="0"/>
              <w:rPr>
                <w:rFonts w:ascii="Palatino Linotype" w:hAnsi="Palatino Linotype"/>
              </w:rPr>
            </w:pPr>
            <w:r w:rsidRPr="009F38AC">
              <w:rPr>
                <w:rFonts w:ascii="Palatino Linotype" w:hAnsi="Palatino Linotype"/>
              </w:rPr>
              <w:t>BVES</w:t>
            </w:r>
          </w:p>
        </w:tc>
        <w:tc>
          <w:tcPr>
            <w:tcW w:w="3117" w:type="dxa"/>
          </w:tcPr>
          <w:p w:rsidRPr="009F38AC" w:rsidR="00DA0F73" w:rsidP="00C6215C" w:rsidRDefault="00D95F5C" w14:paraId="5109E172" w14:textId="2C0EED57">
            <w:pPr>
              <w:pStyle w:val="Standard"/>
              <w:spacing w:after="0"/>
              <w:rPr>
                <w:rFonts w:ascii="Palatino Linotype" w:hAnsi="Palatino Linotype"/>
              </w:rPr>
            </w:pPr>
            <w:r>
              <w:rPr>
                <w:rFonts w:ascii="Palatino Linotype" w:hAnsi="Palatino Linotype"/>
              </w:rPr>
              <w:t>390</w:t>
            </w:r>
            <w:r w:rsidRPr="009F38AC" w:rsidR="006F52A2">
              <w:rPr>
                <w:rFonts w:ascii="Palatino Linotype" w:hAnsi="Palatino Linotype"/>
              </w:rPr>
              <w:t>-E</w:t>
            </w:r>
          </w:p>
        </w:tc>
        <w:tc>
          <w:tcPr>
            <w:tcW w:w="3117" w:type="dxa"/>
          </w:tcPr>
          <w:p w:rsidRPr="009F38AC" w:rsidR="00DA0F73" w:rsidP="00C6215C" w:rsidRDefault="006F52A2" w14:paraId="031AB313" w14:textId="62F32543">
            <w:pPr>
              <w:pStyle w:val="Standard"/>
              <w:spacing w:after="0"/>
              <w:rPr>
                <w:rFonts w:ascii="Palatino Linotype" w:hAnsi="Palatino Linotype"/>
              </w:rPr>
            </w:pPr>
            <w:r w:rsidRPr="009F38AC">
              <w:rPr>
                <w:rFonts w:ascii="Palatino Linotype" w:hAnsi="Palatino Linotype"/>
              </w:rPr>
              <w:t>Granted</w:t>
            </w:r>
          </w:p>
        </w:tc>
      </w:tr>
      <w:tr w:rsidR="005A4863" w14:paraId="1AC985EA" w14:textId="77777777">
        <w:tc>
          <w:tcPr>
            <w:tcW w:w="3116" w:type="dxa"/>
          </w:tcPr>
          <w:p w:rsidRPr="009F38AC" w:rsidR="00DA0F73" w:rsidP="00C6215C" w:rsidRDefault="006F52A2" w14:paraId="73786CF5" w14:textId="4FD57858">
            <w:pPr>
              <w:pStyle w:val="Standard"/>
              <w:spacing w:after="0"/>
              <w:rPr>
                <w:rFonts w:ascii="Palatino Linotype" w:hAnsi="Palatino Linotype"/>
              </w:rPr>
            </w:pPr>
            <w:r w:rsidRPr="009F38AC">
              <w:rPr>
                <w:rFonts w:ascii="Palatino Linotype" w:hAnsi="Palatino Linotype"/>
              </w:rPr>
              <w:t>SDG&amp;E</w:t>
            </w:r>
          </w:p>
        </w:tc>
        <w:tc>
          <w:tcPr>
            <w:tcW w:w="3117" w:type="dxa"/>
          </w:tcPr>
          <w:p w:rsidRPr="009F38AC" w:rsidR="00DA0F73" w:rsidP="00C6215C" w:rsidRDefault="006F52A2" w14:paraId="6DF8FA52" w14:textId="70AE257E">
            <w:pPr>
              <w:pStyle w:val="Standard"/>
              <w:spacing w:after="0"/>
              <w:rPr>
                <w:rFonts w:ascii="Palatino Linotype" w:hAnsi="Palatino Linotype"/>
              </w:rPr>
            </w:pPr>
            <w:r w:rsidRPr="009F38AC">
              <w:rPr>
                <w:rFonts w:ascii="Palatino Linotype" w:hAnsi="Palatino Linotype"/>
              </w:rPr>
              <w:t>3549-E</w:t>
            </w:r>
          </w:p>
        </w:tc>
        <w:tc>
          <w:tcPr>
            <w:tcW w:w="3117" w:type="dxa"/>
          </w:tcPr>
          <w:p w:rsidRPr="009F38AC" w:rsidR="00DA0F73" w:rsidP="00C6215C" w:rsidRDefault="006F52A2" w14:paraId="03A81DCB" w14:textId="24E96AD6">
            <w:pPr>
              <w:pStyle w:val="Standard"/>
              <w:spacing w:after="0"/>
              <w:rPr>
                <w:rFonts w:ascii="Palatino Linotype" w:hAnsi="Palatino Linotype"/>
              </w:rPr>
            </w:pPr>
            <w:r w:rsidRPr="009F38AC">
              <w:rPr>
                <w:rFonts w:ascii="Palatino Linotype" w:hAnsi="Palatino Linotype"/>
              </w:rPr>
              <w:t>Grante</w:t>
            </w:r>
            <w:r w:rsidRPr="009F38AC" w:rsidR="0089630A">
              <w:rPr>
                <w:rFonts w:ascii="Palatino Linotype" w:hAnsi="Palatino Linotype"/>
              </w:rPr>
              <w:t>d</w:t>
            </w:r>
          </w:p>
        </w:tc>
      </w:tr>
      <w:tr w:rsidR="005A4863" w14:paraId="402330D5" w14:textId="77777777">
        <w:tc>
          <w:tcPr>
            <w:tcW w:w="3116" w:type="dxa"/>
          </w:tcPr>
          <w:p w:rsidRPr="009F38AC" w:rsidR="00DA0F73" w:rsidP="00C6215C" w:rsidRDefault="006F52A2" w14:paraId="009BDA8E" w14:textId="5B5A8EB1">
            <w:pPr>
              <w:pStyle w:val="Standard"/>
              <w:spacing w:after="0"/>
              <w:rPr>
                <w:rFonts w:ascii="Palatino Linotype" w:hAnsi="Palatino Linotype"/>
              </w:rPr>
            </w:pPr>
            <w:r w:rsidRPr="009F38AC">
              <w:rPr>
                <w:rFonts w:ascii="Palatino Linotype" w:hAnsi="Palatino Linotype"/>
              </w:rPr>
              <w:t>SCE</w:t>
            </w:r>
          </w:p>
        </w:tc>
        <w:tc>
          <w:tcPr>
            <w:tcW w:w="3117" w:type="dxa"/>
          </w:tcPr>
          <w:p w:rsidRPr="009F38AC" w:rsidR="00DA0F73" w:rsidP="00C6215C" w:rsidRDefault="006F52A2" w14:paraId="761C2651" w14:textId="0CF8FDE2">
            <w:pPr>
              <w:pStyle w:val="Standard"/>
              <w:spacing w:after="0"/>
              <w:rPr>
                <w:rFonts w:ascii="Palatino Linotype" w:hAnsi="Palatino Linotype"/>
              </w:rPr>
            </w:pPr>
            <w:r w:rsidRPr="009F38AC">
              <w:rPr>
                <w:rFonts w:ascii="Palatino Linotype" w:hAnsi="Palatino Linotype"/>
              </w:rPr>
              <w:t>4222-E</w:t>
            </w:r>
          </w:p>
        </w:tc>
        <w:tc>
          <w:tcPr>
            <w:tcW w:w="3117" w:type="dxa"/>
          </w:tcPr>
          <w:p w:rsidRPr="009F38AC" w:rsidR="00DA0F73" w:rsidP="00C6215C" w:rsidRDefault="006F52A2" w14:paraId="30F6DC20" w14:textId="29B45202">
            <w:pPr>
              <w:pStyle w:val="Standard"/>
              <w:spacing w:after="0"/>
              <w:rPr>
                <w:rFonts w:ascii="Palatino Linotype" w:hAnsi="Palatino Linotype"/>
              </w:rPr>
            </w:pPr>
            <w:r w:rsidRPr="009F38AC">
              <w:rPr>
                <w:rFonts w:ascii="Palatino Linotype" w:hAnsi="Palatino Linotype"/>
              </w:rPr>
              <w:t xml:space="preserve">Granted </w:t>
            </w:r>
          </w:p>
        </w:tc>
      </w:tr>
      <w:tr w:rsidR="005A4863" w14:paraId="21153884" w14:textId="77777777">
        <w:tc>
          <w:tcPr>
            <w:tcW w:w="3116" w:type="dxa"/>
          </w:tcPr>
          <w:p w:rsidRPr="009F38AC" w:rsidR="00DA0F73" w:rsidP="00C6215C" w:rsidRDefault="006F52A2" w14:paraId="650516BF" w14:textId="2E08E7F1">
            <w:pPr>
              <w:pStyle w:val="Standard"/>
              <w:spacing w:after="0"/>
              <w:rPr>
                <w:rFonts w:ascii="Palatino Linotype" w:hAnsi="Palatino Linotype"/>
              </w:rPr>
            </w:pPr>
            <w:r w:rsidRPr="009F38AC">
              <w:rPr>
                <w:rFonts w:ascii="Palatino Linotype" w:hAnsi="Palatino Linotype"/>
              </w:rPr>
              <w:t>PCF Protests</w:t>
            </w:r>
          </w:p>
        </w:tc>
        <w:tc>
          <w:tcPr>
            <w:tcW w:w="3117" w:type="dxa"/>
          </w:tcPr>
          <w:p w:rsidRPr="009F38AC" w:rsidR="00DA0F73" w:rsidP="00C6215C" w:rsidRDefault="00DA0F73" w14:paraId="0F4684B7" w14:textId="77777777">
            <w:pPr>
              <w:pStyle w:val="Standard"/>
              <w:spacing w:after="0"/>
              <w:rPr>
                <w:rFonts w:ascii="Palatino Linotype" w:hAnsi="Palatino Linotype"/>
              </w:rPr>
            </w:pPr>
          </w:p>
        </w:tc>
        <w:tc>
          <w:tcPr>
            <w:tcW w:w="3117" w:type="dxa"/>
          </w:tcPr>
          <w:p w:rsidRPr="009F38AC" w:rsidR="00DA0F73" w:rsidP="00C6215C" w:rsidRDefault="006F52A2" w14:paraId="1F5E2677" w14:textId="6C7E756D">
            <w:pPr>
              <w:pStyle w:val="Standard"/>
              <w:spacing w:after="0"/>
              <w:rPr>
                <w:rFonts w:ascii="Palatino Linotype" w:hAnsi="Palatino Linotype"/>
              </w:rPr>
            </w:pPr>
            <w:r w:rsidRPr="009F38AC">
              <w:rPr>
                <w:rFonts w:ascii="Palatino Linotype" w:hAnsi="Palatino Linotype"/>
              </w:rPr>
              <w:t>Rejected</w:t>
            </w:r>
          </w:p>
        </w:tc>
      </w:tr>
    </w:tbl>
    <w:p w:rsidRPr="00564497" w:rsidR="00705C88" w:rsidP="00A133CA" w:rsidRDefault="00705C88" w14:paraId="354CCC2F" w14:textId="3C0D46DB">
      <w:pPr>
        <w:pStyle w:val="Standard"/>
        <w:rPr>
          <w:b/>
          <w:bCs/>
          <w:u w:val="single"/>
        </w:rPr>
      </w:pPr>
    </w:p>
    <w:p w:rsidR="00DC3711" w:rsidP="001F7053" w:rsidRDefault="00B265CF" w14:paraId="087FE9DB" w14:textId="72F3F01E">
      <w:pPr>
        <w:pStyle w:val="Standard"/>
      </w:pPr>
      <w:r w:rsidRPr="009F38AC">
        <w:t xml:space="preserve">The Commission has reviewed the </w:t>
      </w:r>
      <w:r w:rsidRPr="009F38AC" w:rsidR="00DC3711">
        <w:t>proposed disposition of these Advice Letters</w:t>
      </w:r>
      <w:r w:rsidR="009F38AC">
        <w:t xml:space="preserve"> and rejects PCF’s protests of AL 5837-E, AL</w:t>
      </w:r>
      <w:r w:rsidR="008B787C">
        <w:t xml:space="preserve"> </w:t>
      </w:r>
      <w:r w:rsidR="009F38AC">
        <w:t xml:space="preserve">3549-E and AL 4222-E based on the technical grounds described.  The six Off Ramp reports are accepted as of their dates of filing. </w:t>
      </w:r>
    </w:p>
    <w:p w:rsidRPr="002A31D8" w:rsidR="4B2F443B" w:rsidP="00701C92" w:rsidRDefault="0063224E" w14:paraId="0F3FA417" w14:textId="0E8EDF3D">
      <w:pPr>
        <w:pStyle w:val="WMPHeading1"/>
        <w:numPr>
          <w:ilvl w:val="0"/>
          <w:numId w:val="0"/>
        </w:numPr>
        <w:ind w:left="360" w:hanging="360"/>
        <w:rPr>
          <w:rFonts w:ascii="Book Antiqua" w:hAnsi="Book Antiqua"/>
          <w:u w:val="single"/>
        </w:rPr>
      </w:pPr>
      <w:bookmarkStart w:name="_Hlk37070887" w:id="1"/>
      <w:bookmarkStart w:name="_Hlk37675543" w:id="2"/>
      <w:bookmarkStart w:name="_Hlk37070521" w:id="3"/>
      <w:bookmarkStart w:name="_Hlk37006517" w:id="4"/>
      <w:bookmarkStart w:name="_Hlk37773066" w:id="5"/>
      <w:bookmarkStart w:name="_Toc39329175" w:id="6"/>
      <w:bookmarkStart w:name="_Hlk37340949" w:id="7"/>
      <w:bookmarkStart w:name="_Hlk37842101" w:id="8"/>
      <w:bookmarkStart w:name="_Hlk37341654" w:id="9"/>
      <w:bookmarkStart w:name="_Hlk38017933" w:id="10"/>
      <w:bookmarkStart w:name="_Hlk36910080" w:id="11"/>
      <w:bookmarkStart w:name="_Hlk36910259" w:id="12"/>
      <w:bookmarkStart w:name="_Toc53571255" w:id="13"/>
      <w:bookmarkEnd w:id="1"/>
      <w:bookmarkEnd w:id="2"/>
      <w:bookmarkEnd w:id="3"/>
      <w:bookmarkEnd w:id="4"/>
      <w:bookmarkEnd w:id="5"/>
      <w:bookmarkEnd w:id="6"/>
      <w:bookmarkEnd w:id="7"/>
      <w:bookmarkEnd w:id="8"/>
      <w:bookmarkEnd w:id="9"/>
      <w:bookmarkEnd w:id="10"/>
      <w:bookmarkEnd w:id="11"/>
      <w:bookmarkEnd w:id="12"/>
      <w:r w:rsidRPr="0063224E">
        <w:rPr>
          <w:rFonts w:ascii="Book Antiqua" w:hAnsi="Book Antiqua"/>
          <w:u w:val="single"/>
        </w:rPr>
        <w:t>IMPACT OF COVID-19 PANDEMIC</w:t>
      </w:r>
      <w:bookmarkEnd w:id="13"/>
    </w:p>
    <w:p w:rsidRPr="00A213E2" w:rsidR="4B2F443B" w:rsidP="5B5E984F" w:rsidRDefault="00042FF8" w14:paraId="782F03B4" w14:textId="4B35695B">
      <w:pPr>
        <w:pStyle w:val="Standard"/>
      </w:pPr>
      <w:r w:rsidRPr="00A213E2">
        <w:t>O</w:t>
      </w:r>
      <w:r w:rsidRPr="00A213E2" w:rsidR="4B2F443B">
        <w:t>n March 19, 2020, California Governor Gavin Newsom signed Executive Order N-33-20 requiring Californians to stay at home to combat the spread of the COVID-19 virus.</w:t>
      </w:r>
      <w:r w:rsidRPr="00A213E2" w:rsidR="009C6747">
        <w:t xml:space="preserve"> </w:t>
      </w:r>
      <w:r w:rsidRPr="00A213E2"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A213E2" w:rsidR="4B2F443B">
        <w:t>in order to</w:t>
      </w:r>
      <w:proofErr w:type="gramEnd"/>
      <w:r w:rsidRPr="00A213E2" w:rsidR="4B2F443B">
        <w:t xml:space="preserve"> address the public health emergency presented by the COVID-19 disease (stay-at-home order).</w:t>
      </w:r>
      <w:r w:rsidRPr="00A213E2" w:rsidR="4B2F443B">
        <w:rPr>
          <w:vertAlign w:val="superscript"/>
        </w:rPr>
        <w:footnoteReference w:id="17"/>
      </w:r>
    </w:p>
    <w:p w:rsidRPr="00A213E2" w:rsidR="4B2F443B" w:rsidP="5B5E984F" w:rsidRDefault="4B2F443B" w14:paraId="7845157D" w14:textId="3304A53F">
      <w:pPr>
        <w:pStyle w:val="Standard"/>
      </w:pPr>
      <w:r w:rsidRPr="00A213E2">
        <w:t>As articulated in the March 27, 2020</w:t>
      </w:r>
      <w:r w:rsidRPr="00A213E2" w:rsidR="000A5726">
        <w:t>,</w:t>
      </w:r>
      <w:r w:rsidRPr="00A213E2">
        <w:t xml:space="preserve"> joint letters</w:t>
      </w:r>
      <w:r w:rsidRPr="00A213E2">
        <w:rPr>
          <w:vertAlign w:val="superscript"/>
        </w:rPr>
        <w:footnoteReference w:id="18"/>
      </w:r>
      <w:r w:rsidRPr="00A213E2">
        <w:t xml:space="preserve"> of the WSD, CAL FIRE and the California Governor’s Office of Emergency Services regarding essential wildfire and PSPS mitigation work during COVID-19 sent to each electrical corporation, electrical corporations are expected to continue to prioritize essential safety work. </w:t>
      </w:r>
      <w:r w:rsidRPr="00A213E2" w:rsidR="00042FF8">
        <w:t xml:space="preserve">In the year following </w:t>
      </w:r>
      <w:r w:rsidRPr="00A213E2">
        <w:t xml:space="preserve">WSD </w:t>
      </w:r>
      <w:r w:rsidRPr="00A213E2" w:rsidR="00042FF8">
        <w:t xml:space="preserve">has </w:t>
      </w:r>
      <w:r w:rsidRPr="00A213E2">
        <w:t>expect</w:t>
      </w:r>
      <w:r w:rsidRPr="00A213E2" w:rsidR="00042FF8">
        <w:t>ed</w:t>
      </w:r>
      <w:r w:rsidRPr="00A213E2">
        <w:t xml:space="preserve"> the electrical corporations to make every effort to keep WMP implementation progress on track, including necessary coordination with local jurisdictions.</w:t>
      </w:r>
      <w:r w:rsidRPr="00A213E2" w:rsidR="009C6747">
        <w:t xml:space="preserve"> </w:t>
      </w:r>
      <w:r w:rsidRPr="00A213E2">
        <w:t>Such effort is essential to ensuring that electrical corporations are prepared for the upcoming and</w:t>
      </w:r>
      <w:r w:rsidRPr="00A213E2">
        <w:rPr>
          <w:shd w:val="clear" w:color="auto" w:fill="E6E6E6"/>
        </w:rPr>
        <w:t xml:space="preserve"> </w:t>
      </w:r>
      <w:r w:rsidRPr="00A213E2">
        <w:t xml:space="preserve">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A213E2" w:rsidR="4B2F443B" w:rsidP="5B5E984F" w:rsidRDefault="00042FF8" w14:paraId="3F0AA3F4" w14:textId="5FCC91F6">
      <w:pPr>
        <w:pStyle w:val="Standard"/>
      </w:pPr>
      <w:r w:rsidRPr="00A213E2">
        <w:t>Moving into 2021</w:t>
      </w:r>
      <w:r w:rsidRPr="00A213E2" w:rsidR="4B2F443B">
        <w:t xml:space="preserve">, the WSD expects the electrical corporations to continue to make meaningful progress on </w:t>
      </w:r>
      <w:r w:rsidRPr="00A213E2" w:rsidR="000A5726">
        <w:t xml:space="preserve">WMP </w:t>
      </w:r>
      <w:r w:rsidRPr="00A213E2" w:rsidR="4B2F443B">
        <w:t>mitigation goals</w:t>
      </w:r>
      <w:r w:rsidRPr="00A213E2" w:rsidR="000A5726">
        <w:t xml:space="preserve">. </w:t>
      </w:r>
      <w:r w:rsidRPr="00A213E2" w:rsidR="4B2F443B">
        <w:t xml:space="preserve"> In addition, electrical </w:t>
      </w:r>
      <w:r w:rsidRPr="00A213E2" w:rsidR="4B2F443B">
        <w:lastRenderedPageBreak/>
        <w:t xml:space="preserve">corporations are expected to undertake any other critical work related to operating a safe and reliable grid and to mitigate wildfire and/or PSPS risk. </w:t>
      </w:r>
    </w:p>
    <w:p w:rsidRPr="00564497" w:rsidR="00705C88" w:rsidP="00701C92" w:rsidRDefault="00F807C7" w14:paraId="72A4C65A" w14:textId="4EE5B0A9">
      <w:pPr>
        <w:pStyle w:val="WMPHeading1"/>
        <w:numPr>
          <w:ilvl w:val="0"/>
          <w:numId w:val="0"/>
        </w:numPr>
        <w:ind w:left="360" w:hanging="360"/>
        <w:rPr>
          <w:rFonts w:ascii="Book Antiqua" w:hAnsi="Book Antiqua"/>
          <w:u w:val="single"/>
        </w:rPr>
      </w:pPr>
      <w:bookmarkStart w:name="_Toc53571257" w:id="14"/>
      <w:r w:rsidRPr="00564497">
        <w:rPr>
          <w:rFonts w:ascii="Book Antiqua" w:hAnsi="Book Antiqua"/>
          <w:u w:val="single"/>
        </w:rPr>
        <w:t>COMMENTS</w:t>
      </w:r>
      <w:bookmarkEnd w:id="14"/>
    </w:p>
    <w:p w:rsidR="005A4863" w:rsidRDefault="00E56360" w14:paraId="1B70CE9E" w14:textId="77777777">
      <w:pPr>
        <w:pStyle w:val="Standard"/>
        <w:contextualSpacing/>
      </w:pPr>
      <w:r w:rsidRPr="00A213E2">
        <w:t xml:space="preserve">Pub. Util. Code § 311(g)(1) provides that resolutions must be served on all parties and subject to at least 30 days public review </w:t>
      </w:r>
      <w:r w:rsidRPr="00A213E2" w:rsidR="001248CF">
        <w:t>and 20 days comment period prior to a vote of the Commission. Section 311(g)(2) provides that this 30-day period may be reduced or waived upon the stipulation of all parties in the proceeding.</w:t>
      </w:r>
      <w:r w:rsidR="00BE1995">
        <w:t xml:space="preserve"> </w:t>
      </w:r>
      <w:r w:rsidRPr="00A213E2">
        <w:t xml:space="preserve">The 30-day review and 20-day comment period for the draft of this resolution was neither waived nor reduced. Accordingly, </w:t>
      </w:r>
      <w:r w:rsidR="00BE1995">
        <w:t>a</w:t>
      </w:r>
      <w:r w:rsidRPr="00A213E2">
        <w:t xml:space="preserve"> draft</w:t>
      </w:r>
      <w:r w:rsidR="00BE1995">
        <w:t xml:space="preserve"> of this</w:t>
      </w:r>
      <w:r w:rsidRPr="00A213E2">
        <w:t xml:space="preserve"> resolution was mailed to parties for comments</w:t>
      </w:r>
      <w:r w:rsidR="00BE1995">
        <w:t xml:space="preserve"> on </w:t>
      </w:r>
      <w:r w:rsidR="00716590">
        <w:t>May 19</w:t>
      </w:r>
      <w:r w:rsidR="00BE1995">
        <w:t>, 2021.</w:t>
      </w:r>
      <w:bookmarkStart w:name="_Toc53571258" w:id="15"/>
    </w:p>
    <w:p w:rsidR="00AE0B12" w:rsidP="00BE1995" w:rsidRDefault="00AE0B12" w14:paraId="1D4AFE61" w14:textId="67DE6F01">
      <w:pPr>
        <w:pStyle w:val="Standard"/>
        <w:contextualSpacing/>
      </w:pPr>
    </w:p>
    <w:p w:rsidRPr="0028378C" w:rsidR="00AE0B12" w:rsidP="00BE1995" w:rsidRDefault="00AE0B12" w14:paraId="5B556A6E" w14:textId="479AFCBC">
      <w:pPr>
        <w:pStyle w:val="Standard"/>
        <w:contextualSpacing/>
      </w:pPr>
      <w:r>
        <w:t>No comments were submitted; therefore, no substantive changes were made to this Resolution.</w:t>
      </w:r>
    </w:p>
    <w:p w:rsidR="00705C88" w:rsidP="0028378C" w:rsidRDefault="00F807C7" w14:paraId="67319621" w14:textId="206873DE">
      <w:pPr>
        <w:pStyle w:val="Dummy"/>
        <w:spacing w:before="240"/>
        <w:rPr>
          <w:rFonts w:ascii="Book Antiqua" w:hAnsi="Book Antiqua"/>
        </w:rPr>
      </w:pPr>
      <w:r w:rsidRPr="00564497">
        <w:rPr>
          <w:rFonts w:ascii="Book Antiqua" w:hAnsi="Book Antiqua"/>
          <w:u w:val="single"/>
        </w:rPr>
        <w:t>FINDINGS</w:t>
      </w:r>
      <w:bookmarkEnd w:id="15"/>
    </w:p>
    <w:p w:rsidRPr="00A213E2" w:rsidR="009F2957" w:rsidP="00017878" w:rsidRDefault="009F2957" w14:paraId="19FF9E32" w14:textId="7F662327">
      <w:pPr>
        <w:pStyle w:val="Res-Caption"/>
        <w:numPr>
          <w:ilvl w:val="0"/>
          <w:numId w:val="44"/>
        </w:numPr>
        <w:rPr>
          <w:szCs w:val="26"/>
        </w:rPr>
      </w:pPr>
      <w:r w:rsidRPr="0007611D">
        <w:rPr>
          <w:rFonts w:ascii="Palatino Linotype" w:hAnsi="Palatino Linotype" w:cs="Palatino Linotype"/>
          <w:color w:val="000000"/>
          <w:szCs w:val="26"/>
        </w:rPr>
        <w:t>The Off-Ramp process approved in D.19-</w:t>
      </w:r>
      <w:r w:rsidRPr="0063224E" w:rsidR="00A133CA">
        <w:rPr>
          <w:rFonts w:ascii="Palatino Linotype" w:hAnsi="Palatino Linotype" w:cs="Palatino Linotype"/>
          <w:color w:val="000000"/>
          <w:szCs w:val="26"/>
        </w:rPr>
        <w:t>05</w:t>
      </w:r>
      <w:r w:rsidRPr="0063224E">
        <w:rPr>
          <w:rFonts w:ascii="Palatino Linotype" w:hAnsi="Palatino Linotype" w:cs="Palatino Linotype"/>
          <w:color w:val="000000"/>
          <w:szCs w:val="26"/>
        </w:rPr>
        <w:t xml:space="preserve">-036 allows utilities to modify approved mitigations so they </w:t>
      </w:r>
      <w:r w:rsidRPr="00A213E2">
        <w:rPr>
          <w:szCs w:val="26"/>
        </w:rPr>
        <w:t xml:space="preserve">do not continue mitigation measures that are not effective, and they have the flexibility to increase measures showing great promise. </w:t>
      </w:r>
    </w:p>
    <w:p w:rsidRPr="00A213E2" w:rsidR="00DE261E" w:rsidP="00017878" w:rsidRDefault="00416C48" w14:paraId="7F3AD810" w14:textId="4C7436C6">
      <w:pPr>
        <w:pStyle w:val="ListParagraph"/>
        <w:numPr>
          <w:ilvl w:val="0"/>
          <w:numId w:val="44"/>
        </w:numPr>
      </w:pPr>
      <w:r w:rsidRPr="00A213E2">
        <w:t>The Second Off Ramp reports by the utilities fulfill the requirements of D.19-</w:t>
      </w:r>
      <w:r w:rsidRPr="00A213E2" w:rsidR="001523CA">
        <w:t>05</w:t>
      </w:r>
      <w:r w:rsidRPr="00A213E2">
        <w:t>-036 O</w:t>
      </w:r>
      <w:r w:rsidRPr="00A213E2" w:rsidR="00D95F5C">
        <w:t xml:space="preserve">rdering </w:t>
      </w:r>
      <w:r w:rsidRPr="00A213E2">
        <w:t>P</w:t>
      </w:r>
      <w:r w:rsidRPr="00A213E2" w:rsidR="00D95F5C">
        <w:t>aragraph</w:t>
      </w:r>
      <w:r w:rsidRPr="00A213E2">
        <w:t xml:space="preserve"> 1.</w:t>
      </w:r>
    </w:p>
    <w:p w:rsidRPr="00A213E2" w:rsidR="00416C48" w:rsidP="00017878" w:rsidRDefault="00416C48" w14:paraId="5A547C33" w14:textId="5D360C69">
      <w:pPr>
        <w:pStyle w:val="ListParagraph"/>
        <w:numPr>
          <w:ilvl w:val="0"/>
          <w:numId w:val="44"/>
        </w:numPr>
      </w:pPr>
      <w:r w:rsidRPr="00A213E2">
        <w:t xml:space="preserve">The Advice Letter reporting mechanism adopted </w:t>
      </w:r>
      <w:r w:rsidRPr="00A213E2" w:rsidR="002402E9">
        <w:t>i</w:t>
      </w:r>
      <w:r w:rsidRPr="00A213E2">
        <w:t>n D. 19-</w:t>
      </w:r>
      <w:r w:rsidRPr="00A213E2" w:rsidR="001523CA">
        <w:t>05</w:t>
      </w:r>
      <w:r w:rsidRPr="00A213E2">
        <w:t xml:space="preserve">-036 has been superseded by the "Change Report" requirements adopted </w:t>
      </w:r>
      <w:r w:rsidRPr="00A213E2" w:rsidR="002402E9">
        <w:t>i</w:t>
      </w:r>
      <w:r w:rsidRPr="00A213E2">
        <w:t>n WSD-002 for the 2020 WMPs.</w:t>
      </w:r>
    </w:p>
    <w:p w:rsidR="00416C48" w:rsidP="00017878" w:rsidRDefault="00416C48" w14:paraId="41531D7F" w14:textId="23D3D686">
      <w:pPr>
        <w:pStyle w:val="ListParagraph"/>
        <w:numPr>
          <w:ilvl w:val="0"/>
          <w:numId w:val="44"/>
        </w:numPr>
      </w:pPr>
      <w:r w:rsidRPr="00A213E2">
        <w:t>The mitigation measure modifications reported by B</w:t>
      </w:r>
      <w:r w:rsidRPr="00A213E2" w:rsidR="005A217E">
        <w:t>V</w:t>
      </w:r>
      <w:r w:rsidRPr="00A213E2">
        <w:t xml:space="preserve">ES, SCE and SDG&amp;E </w:t>
      </w:r>
      <w:r w:rsidRPr="00A213E2" w:rsidR="002402E9">
        <w:t>i</w:t>
      </w:r>
      <w:r w:rsidRPr="00A213E2">
        <w:t xml:space="preserve">n their </w:t>
      </w:r>
      <w:r w:rsidRPr="00A213E2" w:rsidR="005A217E">
        <w:t xml:space="preserve">respective </w:t>
      </w:r>
      <w:r w:rsidRPr="00A213E2">
        <w:t xml:space="preserve">ALs have been </w:t>
      </w:r>
      <w:r w:rsidRPr="00A213E2" w:rsidR="005A217E">
        <w:t>i</w:t>
      </w:r>
      <w:r w:rsidRPr="00A213E2">
        <w:t xml:space="preserve">ncorporated </w:t>
      </w:r>
      <w:r w:rsidRPr="00A213E2" w:rsidR="005A217E">
        <w:t xml:space="preserve">into or eliminated from the utilities' 2020 WMPs. </w:t>
      </w:r>
    </w:p>
    <w:p w:rsidRPr="00A213E2" w:rsidR="00A213E2" w:rsidP="00017878" w:rsidRDefault="00C06D94" w14:paraId="10D987E2" w14:textId="5900B823">
      <w:pPr>
        <w:pStyle w:val="ListParagraph"/>
        <w:numPr>
          <w:ilvl w:val="0"/>
          <w:numId w:val="44"/>
        </w:numPr>
      </w:pPr>
      <w:r>
        <w:t xml:space="preserve">D.20-03-004 did not determine that the second Off-Ramp Advice Letters should be adjudicated </w:t>
      </w:r>
      <w:r w:rsidR="0028378C">
        <w:t>through</w:t>
      </w:r>
      <w:r>
        <w:t xml:space="preserve"> the rulemaking process.</w:t>
      </w:r>
    </w:p>
    <w:p w:rsidRPr="00244EF2" w:rsidR="005F5ABD" w:rsidP="0028378C" w:rsidRDefault="00BA3550" w14:paraId="5A52EA48" w14:textId="535B6EE6">
      <w:pPr>
        <w:pStyle w:val="Dummy"/>
        <w:spacing w:before="240"/>
        <w:rPr>
          <w:rFonts w:ascii="Book Antiqua" w:hAnsi="Book Antiqua"/>
        </w:rPr>
      </w:pPr>
      <w:bookmarkStart w:name="_Toc53571259" w:id="16"/>
      <w:r w:rsidRPr="00564497">
        <w:rPr>
          <w:rFonts w:ascii="Book Antiqua" w:hAnsi="Book Antiqua"/>
          <w:u w:val="single"/>
        </w:rPr>
        <w:t>THEREFORE, IT IS ORDERED THAT</w:t>
      </w:r>
      <w:bookmarkEnd w:id="16"/>
    </w:p>
    <w:p w:rsidR="00DC3711" w:rsidP="00017878" w:rsidRDefault="006F52A2" w14:paraId="067DF6B7" w14:textId="66AD3907">
      <w:pPr>
        <w:pStyle w:val="paragraph"/>
        <w:numPr>
          <w:ilvl w:val="0"/>
          <w:numId w:val="45"/>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The protests filed by Protect Our Communities Foundation are rejected.</w:t>
      </w:r>
    </w:p>
    <w:p w:rsidR="00DC3711" w:rsidP="00017878" w:rsidRDefault="006F52A2" w14:paraId="0DF73C49" w14:textId="2E0EE984">
      <w:pPr>
        <w:pStyle w:val="paragraph"/>
        <w:numPr>
          <w:ilvl w:val="0"/>
          <w:numId w:val="45"/>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 xml:space="preserve">Approval of the six advice letters reporting on the WMP Off-Ramps </w:t>
      </w:r>
      <w:r w:rsidR="002402E9">
        <w:rPr>
          <w:rStyle w:val="normaltextrun"/>
          <w:rFonts w:ascii="Book Antiqua" w:hAnsi="Book Antiqua" w:eastAsiaTheme="majorEastAsia"/>
          <w:sz w:val="26"/>
          <w:szCs w:val="26"/>
        </w:rPr>
        <w:t xml:space="preserve">is </w:t>
      </w:r>
      <w:r>
        <w:rPr>
          <w:rStyle w:val="normaltextrun"/>
          <w:rFonts w:ascii="Book Antiqua" w:hAnsi="Book Antiqua" w:eastAsiaTheme="majorEastAsia"/>
          <w:sz w:val="26"/>
          <w:szCs w:val="26"/>
        </w:rPr>
        <w:t>granted as described herein</w:t>
      </w:r>
      <w:r w:rsidR="009F38AC">
        <w:rPr>
          <w:rStyle w:val="normaltextrun"/>
          <w:rFonts w:ascii="Book Antiqua" w:hAnsi="Book Antiqua" w:eastAsiaTheme="majorEastAsia"/>
          <w:sz w:val="26"/>
          <w:szCs w:val="26"/>
        </w:rPr>
        <w:t>.</w:t>
      </w:r>
    </w:p>
    <w:p w:rsidRPr="00244EF2" w:rsidR="00A21C84" w:rsidP="00017878" w:rsidRDefault="00A21C84" w14:paraId="3B44B7E3" w14:textId="296E77D0">
      <w:pPr>
        <w:pStyle w:val="paragraph"/>
        <w:numPr>
          <w:ilvl w:val="0"/>
          <w:numId w:val="45"/>
        </w:numPr>
        <w:spacing w:before="0" w:beforeAutospacing="0" w:after="0" w:afterAutospacing="0"/>
        <w:textAlignment w:val="baseline"/>
        <w:rPr>
          <w:rStyle w:val="normaltextrun"/>
          <w:rFonts w:ascii="Book Antiqua" w:hAnsi="Book Antiqua" w:eastAsiaTheme="majorEastAsia"/>
          <w:sz w:val="26"/>
          <w:szCs w:val="26"/>
        </w:rPr>
      </w:pPr>
      <w:r w:rsidRPr="00244EF2">
        <w:rPr>
          <w:rStyle w:val="normaltextrun"/>
          <w:rFonts w:ascii="Book Antiqua" w:hAnsi="Book Antiqua" w:eastAsiaTheme="majorEastAsia"/>
          <w:sz w:val="26"/>
          <w:szCs w:val="26"/>
        </w:rPr>
        <w:t>Nothing in this Resolution should be construed as a defense to any enforcement action for a violation of a Commission decision, order, or rule. </w:t>
      </w:r>
    </w:p>
    <w:p w:rsidRPr="00244EF2"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244EF2" w:rsidR="005F5ABD" w:rsidP="005F5ABD" w:rsidRDefault="005F5ABD" w14:paraId="627CA97B" w14:textId="77777777">
      <w:pPr>
        <w:pStyle w:val="Standard"/>
      </w:pPr>
      <w:r w:rsidRPr="00244EF2">
        <w:t>This Resolution is effective today.</w:t>
      </w:r>
    </w:p>
    <w:p w:rsidR="005F5ABD" w:rsidP="005F5ABD" w:rsidRDefault="005F5ABD" w14:paraId="0F71ACBB" w14:textId="20FF0D97">
      <w:pPr>
        <w:pStyle w:val="Standard"/>
        <w:rPr>
          <w:snapToGrid w:val="0"/>
        </w:rPr>
      </w:pPr>
      <w:r w:rsidRPr="00244EF2">
        <w:rPr>
          <w:snapToGrid w:val="0"/>
        </w:rPr>
        <w:t xml:space="preserve">I certify that the foregoing resolution was duly introduced, </w:t>
      </w:r>
      <w:proofErr w:type="gramStart"/>
      <w:r w:rsidRPr="00244EF2">
        <w:rPr>
          <w:snapToGrid w:val="0"/>
        </w:rPr>
        <w:t>passed</w:t>
      </w:r>
      <w:proofErr w:type="gramEnd"/>
      <w:r w:rsidRPr="00244EF2">
        <w:rPr>
          <w:snapToGrid w:val="0"/>
        </w:rPr>
        <w:t xml:space="preserve"> and adopted at a conference of the Public Utilities Commission of the State of California held on</w:t>
      </w:r>
      <w:r w:rsidR="00B5240E">
        <w:rPr>
          <w:snapToGrid w:val="0"/>
        </w:rPr>
        <w:t xml:space="preserve"> June 24</w:t>
      </w:r>
      <w:r w:rsidR="00564497">
        <w:rPr>
          <w:snapToGrid w:val="0"/>
        </w:rPr>
        <w:t>, 2021</w:t>
      </w:r>
      <w:r w:rsidRPr="00244EF2">
        <w:rPr>
          <w:snapToGrid w:val="0"/>
        </w:rPr>
        <w:t>; the following Commissioners voting favorably thereon:</w:t>
      </w:r>
    </w:p>
    <w:p w:rsidR="00B5240E" w:rsidP="005F5ABD" w:rsidRDefault="00B5240E" w14:paraId="73B9224F" w14:textId="398C9704">
      <w:pPr>
        <w:pStyle w:val="Standard"/>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Pr="00EA6E8D" w:rsidR="00B5240E" w:rsidP="00B5240E" w:rsidRDefault="00B5240E" w14:paraId="547B0254" w14:textId="77777777">
      <w:pPr>
        <w:tabs>
          <w:tab w:val="left" w:pos="720"/>
          <w:tab w:val="left" w:pos="1152"/>
          <w:tab w:val="left" w:pos="1728"/>
          <w:tab w:val="left" w:pos="3168"/>
          <w:tab w:val="left" w:pos="5040"/>
        </w:tabs>
        <w:ind w:right="144"/>
        <w:rPr>
          <w:rFonts w:ascii="Palatino Linotype" w:hAnsi="Palatino Linotyp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3416E2" w:rsidP="003416E2" w:rsidRDefault="00B5240E" w14:paraId="41CB5026" w14:textId="6F4B147B">
      <w:pPr>
        <w:tabs>
          <w:tab w:val="left" w:pos="720"/>
          <w:tab w:val="left" w:pos="1152"/>
          <w:tab w:val="left" w:pos="1728"/>
          <w:tab w:val="left" w:pos="3168"/>
          <w:tab w:val="left" w:pos="5040"/>
        </w:tabs>
        <w:ind w:right="144"/>
        <w:jc w:val="both"/>
        <w:rPr>
          <w:rFonts w:ascii="Palatino Linotype" w:hAnsi="Palatino Linotype"/>
          <w:szCs w:val="26"/>
        </w:rPr>
      </w:pPr>
      <w:r w:rsidRPr="00EA6E8D">
        <w:rPr>
          <w:rFonts w:ascii="Palatino Linotype" w:hAnsi="Palatino Linotype"/>
        </w:rPr>
        <w:tab/>
      </w:r>
      <w:r w:rsidR="003416E2">
        <w:rPr>
          <w:rFonts w:ascii="Palatino Linotype" w:hAnsi="Palatino Linotype"/>
        </w:rPr>
        <w:tab/>
      </w:r>
      <w:r w:rsidR="003416E2">
        <w:rPr>
          <w:rFonts w:ascii="Palatino Linotype" w:hAnsi="Palatino Linotype"/>
        </w:rPr>
        <w:tab/>
      </w:r>
      <w:r w:rsidR="003416E2">
        <w:rPr>
          <w:rFonts w:ascii="Palatino Linotype" w:hAnsi="Palatino Linotype"/>
        </w:rPr>
        <w:tab/>
      </w:r>
      <w:r w:rsidR="003416E2">
        <w:rPr>
          <w:rFonts w:ascii="Palatino Linotype" w:hAnsi="Palatino Linotype"/>
        </w:rPr>
        <w:tab/>
      </w:r>
      <w:r>
        <w:rPr>
          <w:rFonts w:ascii="Palatino Linotype" w:hAnsi="Palatino Linotype"/>
        </w:rPr>
        <w:tab/>
      </w:r>
      <w:r w:rsidRPr="004F74BE" w:rsidR="003416E2">
        <w:rPr>
          <w:rFonts w:ascii="Palatino Linotype" w:hAnsi="Palatino Linotype"/>
          <w:i/>
          <w:iCs/>
          <w:szCs w:val="26"/>
          <w:u w:val="single"/>
        </w:rPr>
        <w:t>/s/ Rachel Peterson</w:t>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t>RACHEL PETERSON</w:t>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r>
      <w:r w:rsidR="003416E2">
        <w:rPr>
          <w:rFonts w:ascii="Palatino Linotype" w:hAnsi="Palatino Linotype"/>
          <w:szCs w:val="26"/>
        </w:rPr>
        <w:tab/>
        <w:t>Executive Director</w:t>
      </w:r>
    </w:p>
    <w:p w:rsidR="003416E2" w:rsidP="003416E2" w:rsidRDefault="003416E2" w14:paraId="22FC88B6" w14:textId="2E5DB5CF">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MARYBEL BATJER</w:t>
      </w:r>
    </w:p>
    <w:p w:rsidR="003416E2" w:rsidP="003416E2" w:rsidRDefault="003416E2" w14:paraId="4D157C58"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President</w:t>
      </w:r>
    </w:p>
    <w:p w:rsidR="003416E2" w:rsidP="003416E2" w:rsidRDefault="003416E2" w14:paraId="4C5007B9"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MARTHA GUZMAN ACEVES </w:t>
      </w:r>
    </w:p>
    <w:p w:rsidR="003416E2" w:rsidP="003416E2" w:rsidRDefault="003416E2" w14:paraId="3545102F" w14:textId="77777777">
      <w:pPr>
        <w:pStyle w:val="Default"/>
        <w:ind w:left="5760"/>
        <w:rPr>
          <w:rFonts w:ascii="Palatino Linotype" w:hAnsi="Palatino Linotype"/>
          <w:szCs w:val="26"/>
        </w:rPr>
      </w:pPr>
      <w:r>
        <w:rPr>
          <w:rFonts w:ascii="Palatino Linotype" w:hAnsi="Palatino Linotype"/>
          <w:szCs w:val="26"/>
        </w:rPr>
        <w:t>CLIFFORD RECHTSCHAFFEN</w:t>
      </w:r>
    </w:p>
    <w:p w:rsidR="003416E2" w:rsidP="003416E2" w:rsidRDefault="003416E2" w14:paraId="358ABBF5" w14:textId="77777777">
      <w:pPr>
        <w:pStyle w:val="Default"/>
        <w:ind w:left="5760"/>
        <w:rPr>
          <w:rFonts w:ascii="Palatino Linotype" w:hAnsi="Palatino Linotype"/>
          <w:szCs w:val="26"/>
        </w:rPr>
      </w:pPr>
      <w:r>
        <w:rPr>
          <w:rFonts w:ascii="Palatino Linotype" w:hAnsi="Palatino Linotype"/>
          <w:szCs w:val="26"/>
        </w:rPr>
        <w:t>GENEVIEVE SHIROMA</w:t>
      </w:r>
    </w:p>
    <w:p w:rsidR="003416E2" w:rsidP="003416E2" w:rsidRDefault="003416E2" w14:paraId="26597A86" w14:textId="77777777">
      <w:pPr>
        <w:pStyle w:val="Default"/>
        <w:ind w:left="5760"/>
        <w:rPr>
          <w:rFonts w:ascii="Palatino Linotype" w:hAnsi="Palatino Linotype"/>
          <w:szCs w:val="26"/>
        </w:rPr>
      </w:pPr>
      <w:r>
        <w:rPr>
          <w:rFonts w:ascii="Palatino Linotype" w:hAnsi="Palatino Linotype"/>
          <w:szCs w:val="26"/>
        </w:rPr>
        <w:t>DARCIE HOUCK</w:t>
      </w:r>
    </w:p>
    <w:p w:rsidR="003416E2" w:rsidP="003416E2" w:rsidRDefault="003416E2" w14:paraId="51BE3C52" w14:textId="77777777">
      <w:pPr>
        <w:pStyle w:val="Default"/>
        <w:rPr>
          <w:rFonts w:ascii="Palatino Linotype" w:hAnsi="Palatino Linotype"/>
          <w:sz w:val="26"/>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t>Commissioners</w:t>
      </w:r>
    </w:p>
    <w:p w:rsidR="00B5240E" w:rsidP="003416E2" w:rsidRDefault="00B5240E" w14:paraId="684D81DE" w14:textId="0A1D073C">
      <w:pPr>
        <w:tabs>
          <w:tab w:val="left" w:pos="4950"/>
          <w:tab w:val="left" w:pos="6120"/>
        </w:tabs>
        <w:rPr>
          <w:snapToGrid w:val="0"/>
        </w:rPr>
      </w:pPr>
    </w:p>
    <w:p w:rsidRPr="00244EF2" w:rsidR="00B5240E" w:rsidP="005F5ABD" w:rsidRDefault="00B5240E" w14:paraId="341CDBE4" w14:textId="77777777">
      <w:pPr>
        <w:pStyle w:val="Standard"/>
        <w:rPr>
          <w:snapToGrid w:val="0"/>
        </w:rPr>
      </w:pPr>
    </w:p>
    <w:p w:rsidRPr="00244EF2" w:rsidR="005F5ABD" w:rsidP="007446B6" w:rsidRDefault="005F5ABD" w14:paraId="4E96FF10" w14:textId="77777777"/>
    <w:p w:rsidR="76C0A8E8" w:rsidP="2D0233EA" w:rsidRDefault="76C0A8E8" w14:paraId="3E196772" w14:textId="70DEA6D2">
      <w:pPr>
        <w:rPr>
          <w:lang w:val="en"/>
        </w:rPr>
      </w:pPr>
    </w:p>
    <w:sectPr w:rsidR="76C0A8E8" w:rsidSect="00C6215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A649" w14:textId="77777777" w:rsidR="00615064" w:rsidRDefault="00615064" w:rsidP="0098138E">
      <w:r>
        <w:separator/>
      </w:r>
    </w:p>
  </w:endnote>
  <w:endnote w:type="continuationSeparator" w:id="0">
    <w:p w14:paraId="5B4CF9F2" w14:textId="77777777" w:rsidR="00615064" w:rsidRDefault="00615064" w:rsidP="0098138E">
      <w:r>
        <w:continuationSeparator/>
      </w:r>
    </w:p>
  </w:endnote>
  <w:endnote w:type="continuationNotice" w:id="1">
    <w:p w14:paraId="147EFAA7" w14:textId="77777777" w:rsidR="00615064" w:rsidRDefault="0061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07727"/>
      <w:docPartObj>
        <w:docPartGallery w:val="Page Numbers (Bottom of Page)"/>
        <w:docPartUnique/>
      </w:docPartObj>
    </w:sdtPr>
    <w:sdtEndPr>
      <w:rPr>
        <w:noProof/>
      </w:rPr>
    </w:sdtEndPr>
    <w:sdtContent>
      <w:p w14:paraId="18FA78A0" w14:textId="7A30E1EC" w:rsidR="003416E2" w:rsidRDefault="003416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88C25" w14:textId="69D50B98" w:rsidR="0020605D" w:rsidRPr="00F21594" w:rsidRDefault="0020605D" w:rsidP="008359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66909"/>
      <w:docPartObj>
        <w:docPartGallery w:val="Page Numbers (Bottom of Page)"/>
        <w:docPartUnique/>
      </w:docPartObj>
    </w:sdtPr>
    <w:sdtEndPr>
      <w:rPr>
        <w:noProof/>
      </w:rPr>
    </w:sdtEndPr>
    <w:sdtContent>
      <w:p w14:paraId="06EB48C1" w14:textId="0C2C3112" w:rsidR="003416E2" w:rsidRDefault="00475E61" w:rsidP="00475E61">
        <w:pPr>
          <w:pStyle w:val="Footer"/>
        </w:pPr>
        <w:r w:rsidRPr="00475E61">
          <w:t>389594908</w:t>
        </w:r>
        <w:r>
          <w:tab/>
        </w:r>
        <w:r w:rsidR="003416E2">
          <w:fldChar w:fldCharType="begin"/>
        </w:r>
        <w:r w:rsidR="003416E2">
          <w:instrText xml:space="preserve"> PAGE   \* MERGEFORMAT </w:instrText>
        </w:r>
        <w:r w:rsidR="003416E2">
          <w:fldChar w:fldCharType="separate"/>
        </w:r>
        <w:r w:rsidR="003416E2">
          <w:rPr>
            <w:noProof/>
          </w:rPr>
          <w:t>2</w:t>
        </w:r>
        <w:r w:rsidR="003416E2">
          <w:rPr>
            <w:noProof/>
          </w:rPr>
          <w:fldChar w:fldCharType="end"/>
        </w:r>
      </w:p>
    </w:sdtContent>
  </w:sdt>
  <w:p w14:paraId="7816FCB3" w14:textId="64B1753B" w:rsidR="0020605D" w:rsidRPr="00F21594" w:rsidRDefault="0020605D" w:rsidP="002C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5087" w14:textId="77777777" w:rsidR="00615064" w:rsidRDefault="00615064" w:rsidP="00DF58E7">
      <w:r>
        <w:separator/>
      </w:r>
    </w:p>
  </w:footnote>
  <w:footnote w:type="continuationSeparator" w:id="0">
    <w:p w14:paraId="0EE214A5" w14:textId="77777777" w:rsidR="00615064" w:rsidRDefault="00615064" w:rsidP="00DF58E7">
      <w:r>
        <w:continuationSeparator/>
      </w:r>
    </w:p>
  </w:footnote>
  <w:footnote w:type="continuationNotice" w:id="1">
    <w:p w14:paraId="0C932BBE" w14:textId="77777777" w:rsidR="00615064" w:rsidRPr="00DF58E7" w:rsidRDefault="00615064"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23490C9B" w14:textId="0C2AFED2" w:rsidR="0020605D" w:rsidRPr="002A31D8" w:rsidRDefault="0020605D" w:rsidP="002A31D8">
      <w:pPr>
        <w:pStyle w:val="FootnoteText"/>
        <w:spacing w:after="0"/>
        <w:rPr>
          <w:szCs w:val="22"/>
        </w:rPr>
      </w:pPr>
      <w:r w:rsidRPr="002A31D8">
        <w:rPr>
          <w:rStyle w:val="FootnoteReference"/>
          <w:szCs w:val="22"/>
        </w:rPr>
        <w:footnoteRef/>
      </w:r>
      <w:r w:rsidRPr="002A31D8">
        <w:rPr>
          <w:szCs w:val="22"/>
        </w:rPr>
        <w:t xml:space="preserve"> Decisions 19-05-036, </w:t>
      </w:r>
      <w:r w:rsidR="00D95F5C" w:rsidRPr="002A31D8">
        <w:rPr>
          <w:szCs w:val="22"/>
        </w:rPr>
        <w:t>-</w:t>
      </w:r>
      <w:r w:rsidRPr="002A31D8">
        <w:rPr>
          <w:szCs w:val="22"/>
        </w:rPr>
        <w:t xml:space="preserve">037, </w:t>
      </w:r>
      <w:r w:rsidR="00D95F5C" w:rsidRPr="002A31D8">
        <w:rPr>
          <w:szCs w:val="22"/>
        </w:rPr>
        <w:t>-</w:t>
      </w:r>
      <w:r w:rsidRPr="002A31D8">
        <w:rPr>
          <w:szCs w:val="22"/>
        </w:rPr>
        <w:t xml:space="preserve">038, </w:t>
      </w:r>
      <w:r w:rsidR="00D95F5C" w:rsidRPr="002A31D8">
        <w:rPr>
          <w:szCs w:val="22"/>
        </w:rPr>
        <w:t>-</w:t>
      </w:r>
      <w:r w:rsidRPr="002A31D8">
        <w:rPr>
          <w:szCs w:val="22"/>
        </w:rPr>
        <w:t xml:space="preserve">039, </w:t>
      </w:r>
      <w:r w:rsidR="00D95F5C" w:rsidRPr="002A31D8">
        <w:rPr>
          <w:szCs w:val="22"/>
        </w:rPr>
        <w:t>-</w:t>
      </w:r>
      <w:r w:rsidRPr="002A31D8">
        <w:rPr>
          <w:szCs w:val="22"/>
        </w:rPr>
        <w:t xml:space="preserve">040 and </w:t>
      </w:r>
      <w:r w:rsidR="00D95F5C" w:rsidRPr="002A31D8">
        <w:rPr>
          <w:szCs w:val="22"/>
        </w:rPr>
        <w:t>-</w:t>
      </w:r>
      <w:r w:rsidRPr="002A31D8">
        <w:rPr>
          <w:szCs w:val="22"/>
        </w:rPr>
        <w:t>041 (May 30, 2019).</w:t>
      </w:r>
    </w:p>
  </w:footnote>
  <w:footnote w:id="3">
    <w:p w14:paraId="6E5AD226" w14:textId="630F0CBD" w:rsidR="0020605D" w:rsidRPr="002A31D8" w:rsidRDefault="0020605D" w:rsidP="002A31D8">
      <w:pPr>
        <w:pStyle w:val="FootnoteText"/>
        <w:spacing w:after="0"/>
        <w:rPr>
          <w:szCs w:val="22"/>
        </w:rPr>
      </w:pPr>
      <w:r w:rsidRPr="002A31D8">
        <w:rPr>
          <w:rStyle w:val="FootnoteReference"/>
          <w:szCs w:val="22"/>
        </w:rPr>
        <w:footnoteRef/>
      </w:r>
      <w:r w:rsidRPr="002A31D8">
        <w:rPr>
          <w:szCs w:val="22"/>
        </w:rPr>
        <w:t xml:space="preserve"> D.19-05-036, OP 1, pg. 40-41, issued June 3, 2019.</w:t>
      </w:r>
    </w:p>
  </w:footnote>
  <w:footnote w:id="4">
    <w:p w14:paraId="720ACC75" w14:textId="395F3DA0" w:rsidR="0020605D" w:rsidRPr="002A31D8" w:rsidRDefault="0020605D" w:rsidP="002A31D8">
      <w:pPr>
        <w:pStyle w:val="FootnoteText"/>
        <w:spacing w:after="0"/>
        <w:rPr>
          <w:szCs w:val="22"/>
        </w:rPr>
      </w:pPr>
      <w:r w:rsidRPr="002A31D8">
        <w:rPr>
          <w:rStyle w:val="FootnoteReference"/>
          <w:szCs w:val="22"/>
        </w:rPr>
        <w:footnoteRef/>
      </w:r>
      <w:r w:rsidRPr="002A31D8">
        <w:rPr>
          <w:szCs w:val="22"/>
        </w:rPr>
        <w:t xml:space="preserve"> D. 20-03-004 granted approval to PG&amp;E AL 5703-E, SDG&amp;E AL 3472-E, and Liberty AL 133-E.  BVES AL 34-E was approved with conditions. SCE AL 4120-E was approved but the proposed Battery Backup Incentive Program was denied, without prejudice.   PacifiCorp AL 596-E was denied without prejudice. </w:t>
      </w:r>
    </w:p>
  </w:footnote>
  <w:footnote w:id="5">
    <w:p w14:paraId="7B2832D9" w14:textId="78F2EF96" w:rsidR="008615A5" w:rsidRPr="002A31D8" w:rsidRDefault="00E0586E" w:rsidP="002A31D8">
      <w:pPr>
        <w:rPr>
          <w:sz w:val="22"/>
        </w:rPr>
      </w:pPr>
      <w:r w:rsidRPr="002A31D8">
        <w:rPr>
          <w:rStyle w:val="FootnoteReference"/>
          <w:sz w:val="22"/>
        </w:rPr>
        <w:footnoteRef/>
      </w:r>
      <w:r w:rsidRPr="002A31D8">
        <w:rPr>
          <w:sz w:val="22"/>
        </w:rPr>
        <w:t xml:space="preserve"> </w:t>
      </w:r>
      <w:r w:rsidR="00314929" w:rsidRPr="002A31D8">
        <w:rPr>
          <w:sz w:val="22"/>
        </w:rPr>
        <w:t>BVES resubmitted their 2020 WMP on September 18, 2020, as ordered by WSD’s August 20, 2020 Action Statement. Subsequently, the WSD conditionally approved BVES’s resubmission and the CPUC ratified WSD’s action in Resolution WSD-013 on January 14, 2021.</w:t>
      </w:r>
    </w:p>
    <w:p w14:paraId="099AD677" w14:textId="5033ACC9" w:rsidR="00E0586E" w:rsidRDefault="00E0586E">
      <w:pPr>
        <w:pStyle w:val="FootnoteText"/>
      </w:pPr>
    </w:p>
  </w:footnote>
  <w:footnote w:id="6">
    <w:p w14:paraId="7DC835A8" w14:textId="275022E2" w:rsidR="0020605D" w:rsidRPr="002A31D8" w:rsidRDefault="0020605D">
      <w:pPr>
        <w:pStyle w:val="FootnoteText"/>
      </w:pPr>
      <w:r w:rsidRPr="002A31D8">
        <w:rPr>
          <w:rStyle w:val="FootnoteReference"/>
        </w:rPr>
        <w:footnoteRef/>
      </w:r>
      <w:r w:rsidRPr="002A31D8">
        <w:t xml:space="preserve"> </w:t>
      </w:r>
      <w:r w:rsidR="002A31D8" w:rsidRPr="002A31D8">
        <w:t>D.20-03-004</w:t>
      </w:r>
      <w:r w:rsidRPr="002A31D8">
        <w:t>, COL 7, pg. 37.</w:t>
      </w:r>
    </w:p>
  </w:footnote>
  <w:footnote w:id="7">
    <w:p w14:paraId="347F690E" w14:textId="4E3E8A05" w:rsidR="00A65B6B" w:rsidRPr="002A31D8" w:rsidRDefault="00A65B6B" w:rsidP="002A31D8">
      <w:pPr>
        <w:pStyle w:val="FootnoteText"/>
        <w:spacing w:after="0"/>
      </w:pPr>
      <w:r w:rsidRPr="002A31D8">
        <w:rPr>
          <w:rStyle w:val="FootnoteReference"/>
        </w:rPr>
        <w:footnoteRef/>
      </w:r>
      <w:r w:rsidRPr="002A31D8">
        <w:t xml:space="preserve"> </w:t>
      </w:r>
      <w:r w:rsidR="00253408" w:rsidRPr="002A31D8">
        <w:t>Bear Valley Electric Service Wildfire Mitigation Plan, 2020 Final Action Statement Refiling, September 18, 2020 found at: https://www.cpuc.ca.gov/uploadedFiles/CPUCWebsite/Content/About_Us/Organization/Divisions/WSD/BVES%202020%20WMP%20Refile%2009.18.2020A.pdf</w:t>
      </w:r>
    </w:p>
  </w:footnote>
  <w:footnote w:id="8">
    <w:p w14:paraId="4EA4229D" w14:textId="6816ACDA" w:rsidR="005317B1" w:rsidRPr="002A31D8" w:rsidRDefault="005317B1" w:rsidP="0006112C">
      <w:pPr>
        <w:autoSpaceDE w:val="0"/>
        <w:autoSpaceDN w:val="0"/>
        <w:adjustRightInd w:val="0"/>
      </w:pPr>
      <w:r w:rsidRPr="002A31D8">
        <w:rPr>
          <w:rStyle w:val="FootnoteReference"/>
          <w:sz w:val="22"/>
          <w:szCs w:val="20"/>
        </w:rPr>
        <w:footnoteRef/>
      </w:r>
      <w:r w:rsidRPr="002A31D8">
        <w:t xml:space="preserve"> </w:t>
      </w:r>
      <w:r w:rsidRPr="002A31D8">
        <w:rPr>
          <w:sz w:val="22"/>
        </w:rPr>
        <w:t xml:space="preserve">SDG&amp;E </w:t>
      </w:r>
      <w:r w:rsidRPr="002A31D8">
        <w:rPr>
          <w:rFonts w:cs="Calibri"/>
          <w:sz w:val="22"/>
        </w:rPr>
        <w:t>Quarterly Report on 2020 Wildfire Mitigation Plan for Q3 2020, September 9, 2020; pg.</w:t>
      </w:r>
      <w:r w:rsidR="002A31D8" w:rsidRPr="002A31D8">
        <w:rPr>
          <w:rFonts w:cs="Calibri"/>
          <w:sz w:val="22"/>
        </w:rPr>
        <w:t> </w:t>
      </w:r>
      <w:r w:rsidRPr="002A31D8">
        <w:rPr>
          <w:rFonts w:cs="Calibri"/>
          <w:sz w:val="22"/>
        </w:rPr>
        <w:t>111.</w:t>
      </w:r>
      <w:r w:rsidRPr="002A31D8">
        <w:rPr>
          <w:rFonts w:cs="Calibri"/>
          <w:sz w:val="56"/>
          <w:szCs w:val="56"/>
        </w:rPr>
        <w:t xml:space="preserve"> </w:t>
      </w:r>
    </w:p>
  </w:footnote>
  <w:footnote w:id="9">
    <w:p w14:paraId="50E27E55" w14:textId="470EE8E1" w:rsidR="007736A4" w:rsidRPr="002A31D8" w:rsidRDefault="007736A4" w:rsidP="006D7983">
      <w:pPr>
        <w:autoSpaceDE w:val="0"/>
        <w:autoSpaceDN w:val="0"/>
        <w:adjustRightInd w:val="0"/>
        <w:rPr>
          <w:sz w:val="22"/>
        </w:rPr>
      </w:pPr>
      <w:r w:rsidRPr="002A31D8">
        <w:rPr>
          <w:rStyle w:val="FootnoteReference"/>
          <w:sz w:val="22"/>
        </w:rPr>
        <w:footnoteRef/>
      </w:r>
      <w:r w:rsidRPr="002A31D8">
        <w:rPr>
          <w:sz w:val="22"/>
        </w:rPr>
        <w:t xml:space="preserve"> </w:t>
      </w:r>
      <w:r w:rsidRPr="002A31D8">
        <w:rPr>
          <w:rFonts w:cs="Times New Roman"/>
          <w:sz w:val="22"/>
        </w:rPr>
        <w:t>Southern California Edison Company</w:t>
      </w:r>
      <w:r w:rsidRPr="002A31D8">
        <w:rPr>
          <w:rFonts w:cs="TimesNewRomanPSMT"/>
          <w:sz w:val="22"/>
        </w:rPr>
        <w:t xml:space="preserve">’s </w:t>
      </w:r>
      <w:r w:rsidRPr="002A31D8">
        <w:rPr>
          <w:rFonts w:cs="Times New Roman"/>
          <w:sz w:val="22"/>
        </w:rPr>
        <w:t>First Quarterly Report on 2020-2022 Wildfire Mitigation Plan for Class B Deficiencies, Sept. 9, 2020. Appendix B, B-2</w:t>
      </w:r>
    </w:p>
  </w:footnote>
  <w:footnote w:id="10">
    <w:p w14:paraId="269012F8" w14:textId="5041C1CD" w:rsidR="006D7983" w:rsidRPr="006D7983" w:rsidRDefault="006D7983" w:rsidP="006D7983">
      <w:pPr>
        <w:autoSpaceDE w:val="0"/>
        <w:autoSpaceDN w:val="0"/>
        <w:adjustRightInd w:val="0"/>
        <w:rPr>
          <w:rFonts w:ascii="Palatino Linotype" w:hAnsi="Palatino Linotype" w:cs="Times New Roman"/>
          <w:sz w:val="20"/>
          <w:szCs w:val="20"/>
        </w:rPr>
      </w:pPr>
      <w:r w:rsidRPr="002A31D8">
        <w:rPr>
          <w:rStyle w:val="FootnoteReference"/>
          <w:sz w:val="22"/>
        </w:rPr>
        <w:footnoteRef/>
      </w:r>
      <w:r w:rsidRPr="002A31D8">
        <w:rPr>
          <w:sz w:val="22"/>
        </w:rPr>
        <w:t xml:space="preserve"> </w:t>
      </w:r>
      <w:r w:rsidRPr="002A31D8">
        <w:rPr>
          <w:rFonts w:cs="Times New Roman"/>
          <w:sz w:val="22"/>
        </w:rPr>
        <w:t>SCE 2020 WMP 5.3.3.2 pg. 5-16.  Details of SC</w:t>
      </w:r>
      <w:r w:rsidR="001F5F34" w:rsidRPr="002A31D8">
        <w:rPr>
          <w:rFonts w:cs="Times New Roman"/>
          <w:sz w:val="22"/>
        </w:rPr>
        <w:t>E</w:t>
      </w:r>
      <w:r w:rsidR="00E93278" w:rsidRPr="002A31D8">
        <w:rPr>
          <w:rFonts w:cs="Times New Roman"/>
          <w:sz w:val="22"/>
        </w:rPr>
        <w:t>’s</w:t>
      </w:r>
      <w:r w:rsidRPr="002A31D8">
        <w:rPr>
          <w:rFonts w:cs="Times New Roman"/>
          <w:sz w:val="22"/>
        </w:rPr>
        <w:t xml:space="preserve"> PSPS microgrid pilot may be found in its Comments on Track 1 Microgrid and Resiliency Strategies Staff Proposal (January 30, 2020), at http://docs.cpuc.ca.gov/PublishedDocs/Efile/</w:t>
      </w:r>
      <w:r w:rsidRPr="0006112C">
        <w:rPr>
          <w:rFonts w:ascii="Palatino Linotype" w:hAnsi="Palatino Linotype" w:cs="Times New Roman"/>
          <w:sz w:val="22"/>
        </w:rPr>
        <w:t>G000/M325/K544/325544944.PDF</w:t>
      </w:r>
    </w:p>
  </w:footnote>
  <w:footnote w:id="11">
    <w:p w14:paraId="3B26D9D5" w14:textId="33D20305" w:rsidR="00F2311F" w:rsidRPr="0006112C" w:rsidRDefault="00F2311F">
      <w:pPr>
        <w:pStyle w:val="FootnoteText"/>
        <w:rPr>
          <w:rFonts w:ascii="Palatino Linotype" w:hAnsi="Palatino Linotype"/>
        </w:rPr>
      </w:pPr>
      <w:r w:rsidRPr="0006112C">
        <w:rPr>
          <w:rStyle w:val="FootnoteReference"/>
          <w:rFonts w:ascii="Palatino Linotype" w:hAnsi="Palatino Linotype"/>
        </w:rPr>
        <w:footnoteRef/>
      </w:r>
      <w:r w:rsidRPr="0006112C">
        <w:rPr>
          <w:rFonts w:ascii="Palatino Linotype" w:hAnsi="Palatino Linotype"/>
        </w:rPr>
        <w:t xml:space="preserve"> SCE 2020 WMP, 5.3.6.5.2, pg. 5-15</w:t>
      </w:r>
    </w:p>
  </w:footnote>
  <w:footnote w:id="12">
    <w:p w14:paraId="550E4C7A" w14:textId="71579911" w:rsidR="00A133CA" w:rsidRDefault="00A133CA">
      <w:pPr>
        <w:pStyle w:val="FootnoteText"/>
      </w:pPr>
      <w:r>
        <w:rPr>
          <w:rStyle w:val="FootnoteReference"/>
        </w:rPr>
        <w:footnoteRef/>
      </w:r>
      <w:r>
        <w:t xml:space="preserve"> </w:t>
      </w:r>
      <w:r w:rsidRPr="0006112C">
        <w:rPr>
          <w:rFonts w:ascii="Palatino Linotype" w:hAnsi="Palatino Linotype"/>
        </w:rPr>
        <w:t xml:space="preserve">PCF on April 17, 2020, filed a Request for Rehearing of D. 20-03-004, alleging that the Commission had approved its decision on an incomplete statement of the record of the case by neglecting to include mention of PCF’s opening comments, and challenging the utility’s approval of the 2019 WMPs. While PCF had mentioned another party’s protests of the disposition of the first Off-Ramp Report ALs in its rehearing request, it did not base its challenge on those determinations, but rather claimed the decision inaccurately portrayed the </w:t>
      </w:r>
      <w:r>
        <w:rPr>
          <w:rFonts w:ascii="Palatino Linotype" w:hAnsi="Palatino Linotype"/>
        </w:rPr>
        <w:t xml:space="preserve">other </w:t>
      </w:r>
      <w:r w:rsidRPr="0006112C">
        <w:rPr>
          <w:rFonts w:ascii="Palatino Linotype" w:hAnsi="Palatino Linotype"/>
        </w:rPr>
        <w:t>party’s comments on the inadequacy of those ALs.  The Commission subsequently issued D. 20-09-041</w:t>
      </w:r>
      <w:r>
        <w:rPr>
          <w:rFonts w:ascii="Palatino Linotype" w:hAnsi="Palatino Linotype"/>
        </w:rPr>
        <w:t xml:space="preserve"> on September 28, 2020</w:t>
      </w:r>
      <w:r w:rsidRPr="0006112C">
        <w:rPr>
          <w:rFonts w:ascii="Palatino Linotype" w:hAnsi="Palatino Linotype"/>
        </w:rPr>
        <w:t>, modifying D. 20-03-004 to include the neglected reference but reject</w:t>
      </w:r>
      <w:r>
        <w:rPr>
          <w:rFonts w:ascii="Palatino Linotype" w:hAnsi="Palatino Linotype"/>
        </w:rPr>
        <w:t>ed</w:t>
      </w:r>
      <w:r w:rsidRPr="0006112C">
        <w:rPr>
          <w:rFonts w:ascii="Palatino Linotype" w:hAnsi="Palatino Linotype"/>
        </w:rPr>
        <w:t xml:space="preserve"> PCF’s request for rehearing.</w:t>
      </w:r>
    </w:p>
  </w:footnote>
  <w:footnote w:id="13">
    <w:p w14:paraId="1AB8EE87" w14:textId="18E6A85D" w:rsidR="00976646" w:rsidRPr="002A31D8" w:rsidRDefault="00976646" w:rsidP="002A31D8">
      <w:pPr>
        <w:pStyle w:val="FootnoteText"/>
        <w:spacing w:after="0"/>
        <w:rPr>
          <w:szCs w:val="22"/>
        </w:rPr>
      </w:pPr>
      <w:r w:rsidRPr="002A31D8">
        <w:rPr>
          <w:rStyle w:val="FootnoteReference"/>
          <w:szCs w:val="22"/>
        </w:rPr>
        <w:footnoteRef/>
      </w:r>
      <w:r w:rsidRPr="002A31D8">
        <w:rPr>
          <w:szCs w:val="22"/>
        </w:rPr>
        <w:t xml:space="preserve"> </w:t>
      </w:r>
      <w:r w:rsidR="00416C48" w:rsidRPr="002A31D8">
        <w:rPr>
          <w:szCs w:val="22"/>
        </w:rPr>
        <w:t>SCE</w:t>
      </w:r>
      <w:r w:rsidRPr="002A31D8">
        <w:rPr>
          <w:szCs w:val="22"/>
        </w:rPr>
        <w:t xml:space="preserve"> Re</w:t>
      </w:r>
      <w:r w:rsidR="00416C48" w:rsidRPr="002A31D8">
        <w:rPr>
          <w:szCs w:val="22"/>
        </w:rPr>
        <w:t>ply</w:t>
      </w:r>
      <w:r w:rsidRPr="002A31D8">
        <w:rPr>
          <w:szCs w:val="22"/>
        </w:rPr>
        <w:t xml:space="preserve"> to the Protest by Protect Our Communities Foundation, </w:t>
      </w:r>
      <w:r w:rsidR="00416C48" w:rsidRPr="002A31D8">
        <w:rPr>
          <w:szCs w:val="22"/>
        </w:rPr>
        <w:t>June 29, 2020, pg. 3.</w:t>
      </w:r>
    </w:p>
  </w:footnote>
  <w:footnote w:id="14">
    <w:p w14:paraId="556498F5" w14:textId="2DD4EF67" w:rsidR="00813850" w:rsidRPr="002A31D8" w:rsidRDefault="00813850" w:rsidP="002A31D8">
      <w:pPr>
        <w:rPr>
          <w:sz w:val="22"/>
        </w:rPr>
      </w:pPr>
      <w:r w:rsidRPr="002A31D8">
        <w:rPr>
          <w:rStyle w:val="FootnoteReference"/>
          <w:sz w:val="22"/>
        </w:rPr>
        <w:footnoteRef/>
      </w:r>
      <w:r w:rsidRPr="002A31D8">
        <w:rPr>
          <w:sz w:val="22"/>
        </w:rPr>
        <w:t xml:space="preserve"> “We amend D.19-05-036 to address the Off-Ramp ALs in this formal proceeding rather than by resolution, since passing on the ALs requires interpretation of the language of D.19-05-036.“ Pg. 27  The decision then provided a listing of the specific ALs to be addressed:</w:t>
      </w:r>
      <w:r w:rsidR="00E93278" w:rsidRPr="002A31D8">
        <w:rPr>
          <w:sz w:val="22"/>
        </w:rPr>
        <w:t xml:space="preserve"> PG&amp;E 5703-E, SCE 4120-E, SDG&amp;E 3472-E, Bear Valley 374-E, Liberty 133-E, and PacifiCorp 596-E.</w:t>
      </w:r>
    </w:p>
    <w:p w14:paraId="2ADA84D2" w14:textId="77777777" w:rsidR="00813850" w:rsidRDefault="00813850" w:rsidP="00813850">
      <w:pPr>
        <w:pStyle w:val="FootnoteText"/>
      </w:pPr>
    </w:p>
  </w:footnote>
  <w:footnote w:id="15">
    <w:p w14:paraId="7A380A92" w14:textId="70740182" w:rsidR="0020605D" w:rsidRDefault="0020605D">
      <w:pPr>
        <w:pStyle w:val="FootnoteText"/>
      </w:pPr>
      <w:r w:rsidRPr="002A31D8">
        <w:rPr>
          <w:rStyle w:val="FootnoteReference"/>
        </w:rPr>
        <w:footnoteRef/>
      </w:r>
      <w:r w:rsidRPr="002A31D8">
        <w:t xml:space="preserve"> </w:t>
      </w:r>
      <w:r w:rsidR="002A31D8" w:rsidRPr="002A31D8">
        <w:t>D.20</w:t>
      </w:r>
      <w:r w:rsidR="002A31D8">
        <w:rPr>
          <w:rFonts w:ascii="Palatino Linotype" w:hAnsi="Palatino Linotype"/>
        </w:rPr>
        <w:t>-03-004,</w:t>
      </w:r>
      <w:r w:rsidRPr="0006112C">
        <w:rPr>
          <w:rFonts w:ascii="Palatino Linotype" w:hAnsi="Palatino Linotype"/>
        </w:rPr>
        <w:t xml:space="preserve"> pgs. 28-29.</w:t>
      </w:r>
    </w:p>
  </w:footnote>
  <w:footnote w:id="16">
    <w:p w14:paraId="6AA5C170" w14:textId="754BED73" w:rsidR="00D006A7" w:rsidRDefault="00D006A7">
      <w:pPr>
        <w:pStyle w:val="FootnoteText"/>
      </w:pPr>
      <w:r w:rsidRPr="002A31D8">
        <w:rPr>
          <w:rStyle w:val="FootnoteReference"/>
        </w:rPr>
        <w:footnoteRef/>
      </w:r>
      <w:r w:rsidRPr="002A31D8">
        <w:t xml:space="preserve"> “</w:t>
      </w:r>
      <w:r w:rsidRPr="002A31D8">
        <w:rPr>
          <w:szCs w:val="22"/>
        </w:rPr>
        <w:t>We generally give little weight to ‘me too’ pleadings that simply opt to piggyback on to other parties’ pleadings and positions.</w:t>
      </w:r>
      <w:r w:rsidRPr="002A31D8">
        <w:rPr>
          <w:b/>
          <w:bCs/>
          <w:szCs w:val="22"/>
        </w:rPr>
        <w:t xml:space="preserve"> </w:t>
      </w:r>
      <w:r w:rsidRPr="002A31D8">
        <w:rPr>
          <w:szCs w:val="22"/>
        </w:rPr>
        <w:t>And in any case, we did discuss the relevant concerns by having addressed the protest submitted by the Public Advocates Office.</w:t>
      </w:r>
      <w:r w:rsidRPr="002A31D8">
        <w:rPr>
          <w:b/>
          <w:bCs/>
          <w:szCs w:val="22"/>
        </w:rPr>
        <w:t xml:space="preserve"> </w:t>
      </w:r>
      <w:r w:rsidRPr="002A31D8">
        <w:rPr>
          <w:szCs w:val="22"/>
        </w:rPr>
        <w:t>Accordingly, we did lawfully consider all the issues and comments that were relevant to the challenged determination.” D. 20-09-041, pg</w:t>
      </w:r>
      <w:r>
        <w:rPr>
          <w:rFonts w:ascii="Palatino Linotype" w:hAnsi="Palatino Linotype"/>
          <w:szCs w:val="22"/>
        </w:rPr>
        <w:t>. 4.</w:t>
      </w:r>
    </w:p>
  </w:footnote>
  <w:footnote w:id="17">
    <w:p w14:paraId="24F7A25F" w14:textId="1B86FF47" w:rsidR="0020605D" w:rsidRPr="002A31D8" w:rsidRDefault="0020605D" w:rsidP="0028378C">
      <w:pPr>
        <w:pStyle w:val="FootnoteText"/>
        <w:spacing w:after="0"/>
        <w:rPr>
          <w:rFonts w:eastAsia="Book Antiqua" w:cs="Book Antiqua"/>
          <w:szCs w:val="22"/>
          <w:u w:val="single"/>
        </w:rPr>
      </w:pPr>
      <w:r w:rsidRPr="002A31D8">
        <w:rPr>
          <w:rStyle w:val="FootnoteReference"/>
          <w:szCs w:val="22"/>
        </w:rPr>
        <w:footnoteRef/>
      </w:r>
      <w:r w:rsidRPr="002A31D8">
        <w:rPr>
          <w:szCs w:val="22"/>
        </w:rPr>
        <w:t xml:space="preserve"> </w:t>
      </w:r>
      <w:r w:rsidRPr="002A31D8">
        <w:rPr>
          <w:rFonts w:eastAsia="Book Antiqua" w:cs="Book Antiqua"/>
          <w:szCs w:val="22"/>
        </w:rPr>
        <w:t xml:space="preserve">Executive Order N-30-20. Available at </w:t>
      </w:r>
      <w:hyperlink r:id="rId1" w:history="1">
        <w:r w:rsidRPr="002A31D8">
          <w:rPr>
            <w:rFonts w:eastAsia="Book Antiqua" w:cs="Book Antiqua"/>
            <w:szCs w:val="22"/>
          </w:rPr>
          <w:t>http://covid19.ca.gov/img/Executive</w:t>
        </w:r>
        <w:r w:rsidRPr="002A31D8">
          <w:rPr>
            <w:rStyle w:val="Hyperlink"/>
            <w:rFonts w:eastAsia="Book Antiqua" w:cs="Book Antiqua"/>
            <w:color w:val="auto"/>
            <w:szCs w:val="22"/>
            <w:u w:val="none"/>
          </w:rPr>
          <w:t>-Order-N-30-20.pdf</w:t>
        </w:r>
      </w:hyperlink>
      <w:r w:rsidRPr="002A31D8">
        <w:rPr>
          <w:rFonts w:eastAsia="Book Antiqua" w:cs="Book Antiqua"/>
          <w:szCs w:val="22"/>
        </w:rPr>
        <w:t>.</w:t>
      </w:r>
    </w:p>
  </w:footnote>
  <w:footnote w:id="18">
    <w:p w14:paraId="797D975C" w14:textId="6E4FBF7D" w:rsidR="0020605D" w:rsidRDefault="0020605D" w:rsidP="0028378C">
      <w:pPr>
        <w:rPr>
          <w:rFonts w:eastAsia="Book Antiqua" w:cs="Book Antiqua"/>
          <w:sz w:val="22"/>
        </w:rPr>
      </w:pPr>
      <w:r w:rsidRPr="002A31D8">
        <w:rPr>
          <w:rStyle w:val="FootnoteReference"/>
          <w:sz w:val="22"/>
        </w:rPr>
        <w:footnoteRef/>
      </w:r>
      <w:r w:rsidRPr="002A31D8">
        <w:rPr>
          <w:sz w:val="22"/>
        </w:rPr>
        <w:t xml:space="preserve"> </w:t>
      </w:r>
      <w:hyperlink r:id="rId2" w:history="1">
        <w:r w:rsidRPr="002A31D8">
          <w:rPr>
            <w:rFonts w:eastAsia="Book Antiqua" w:cs="Book Antiqua"/>
            <w:sz w:val="22"/>
          </w:rPr>
          <w:t>https:/</w:t>
        </w:r>
        <w:r w:rsidRPr="002A31D8">
          <w:rPr>
            <w:rStyle w:val="Hyperlink"/>
            <w:rFonts w:eastAsia="Book Antiqua" w:cs="Book Antiqua"/>
            <w:color w:val="auto"/>
            <w:sz w:val="22"/>
            <w:u w:val="none"/>
          </w:rPr>
          <w:t>/www.cpuc.ca.gov/covid/</w:t>
        </w:r>
      </w:hyperlink>
      <w:r w:rsidRPr="002A31D8">
        <w:rPr>
          <w:rFonts w:eastAsia="Book Antiqua" w:cs="Book Antiqua"/>
          <w:sz w:val="22"/>
        </w:rPr>
        <w:t>. Letters to each electrical corporation are found under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15D8" w14:textId="6DF30192" w:rsidR="0020605D" w:rsidRDefault="0020605D" w:rsidP="00FF40DF">
    <w:pPr>
      <w:pStyle w:val="Header"/>
    </w:pPr>
    <w:r>
      <w:t>Resolution WSD</w:t>
    </w:r>
    <w:r w:rsidR="00564497">
      <w:t>-014</w:t>
    </w:r>
    <w:r>
      <w:tab/>
    </w:r>
    <w:r>
      <w:tab/>
    </w:r>
    <w:r w:rsidR="00C5200A">
      <w:t>June 24,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453" w14:textId="5D32FF46" w:rsidR="0020605D" w:rsidRPr="003416E2" w:rsidRDefault="003416E2" w:rsidP="00FF40DF">
    <w:pPr>
      <w:pStyle w:val="Header"/>
      <w:jc w:val="center"/>
      <w:rPr>
        <w:rFonts w:ascii="Palatino Linotype" w:hAnsi="Palatino Linotype"/>
        <w:szCs w:val="26"/>
      </w:rPr>
    </w:pPr>
    <w:r>
      <w:rPr>
        <w:rFonts w:ascii="Palatino Linotype" w:hAnsi="Palatino Linotype"/>
        <w:szCs w:val="26"/>
      </w:rPr>
      <w:tab/>
    </w:r>
    <w:r>
      <w:rPr>
        <w:rFonts w:ascii="Palatino Linotype" w:hAnsi="Palatino Linotype"/>
        <w:szCs w:val="26"/>
      </w:rPr>
      <w:tab/>
    </w:r>
    <w:r w:rsidRPr="003416E2">
      <w:rPr>
        <w:rFonts w:ascii="Palatino Linotype" w:hAnsi="Palatino Linotype"/>
        <w:szCs w:val="26"/>
      </w:rPr>
      <w:t>Date of Issuance: June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A7592"/>
    <w:multiLevelType w:val="hybridMultilevel"/>
    <w:tmpl w:val="1B19C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 w15:restartNumberingAfterBreak="0">
    <w:nsid w:val="051C3BAA"/>
    <w:multiLevelType w:val="multilevel"/>
    <w:tmpl w:val="433245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444033"/>
    <w:multiLevelType w:val="hybridMultilevel"/>
    <w:tmpl w:val="D6C253FA"/>
    <w:lvl w:ilvl="0" w:tplc="9606FE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5731F"/>
    <w:multiLevelType w:val="multilevel"/>
    <w:tmpl w:val="3752B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C96B06"/>
    <w:multiLevelType w:val="multilevel"/>
    <w:tmpl w:val="CA720104"/>
    <w:lvl w:ilvl="0">
      <w:start w:val="1"/>
      <w:numFmt w:val="decimal"/>
      <w:lvlText w:val="%1."/>
      <w:lvlJc w:val="left"/>
      <w:pPr>
        <w:ind w:left="360" w:hanging="360"/>
      </w:pPr>
      <w:rPr>
        <w:rFonts w:ascii="Arial" w:hAnsi="Arial" w:hint="default"/>
        <w:b/>
        <w:i w:val="0"/>
        <w:sz w:val="26"/>
      </w:rPr>
    </w:lvl>
    <w:lvl w:ilvl="1">
      <w:start w:val="1"/>
      <w:numFmt w:val="bullet"/>
      <w:lvlText w:val=""/>
      <w:lvlJc w:val="left"/>
      <w:pPr>
        <w:ind w:left="1080" w:hanging="720"/>
      </w:pPr>
      <w:rPr>
        <w:rFonts w:ascii="Symbol" w:hAnsi="Symbol" w:hint="default"/>
        <w:b/>
        <w:i w:val="0"/>
        <w:sz w:val="26"/>
      </w:rPr>
    </w:lvl>
    <w:lvl w:ilvl="2">
      <w:start w:val="1"/>
      <w:numFmt w:val="decimal"/>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8"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104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C6410"/>
    <w:multiLevelType w:val="hybridMultilevel"/>
    <w:tmpl w:val="DEB8C97A"/>
    <w:lvl w:ilvl="0" w:tplc="A4361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4E6BC"/>
    <w:multiLevelType w:val="hybridMultilevel"/>
    <w:tmpl w:val="8F4E3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34EE42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1" w15:restartNumberingAfterBreak="0">
    <w:nsid w:val="39E96C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3"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A463C"/>
    <w:multiLevelType w:val="multilevel"/>
    <w:tmpl w:val="4C04C854"/>
    <w:lvl w:ilvl="0">
      <w:start w:val="1"/>
      <w:numFmt w:val="bullet"/>
      <w:lvlText w:val=""/>
      <w:lvlJc w:val="left"/>
      <w:pPr>
        <w:ind w:left="360" w:hanging="360"/>
      </w:pPr>
      <w:rPr>
        <w:rFonts w:ascii="Symbol" w:hAnsi="Symbol" w:hint="default"/>
        <w:b/>
        <w:i w:val="0"/>
        <w:sz w:val="26"/>
      </w:rPr>
    </w:lvl>
    <w:lvl w:ilvl="1">
      <w:start w:val="1"/>
      <w:numFmt w:val="bullet"/>
      <w:lvlText w:val=""/>
      <w:lvlJc w:val="left"/>
      <w:pPr>
        <w:ind w:left="1080" w:hanging="720"/>
      </w:pPr>
      <w:rPr>
        <w:rFonts w:ascii="Symbol" w:hAnsi="Symbol" w:hint="default"/>
        <w:b/>
        <w:i w:val="0"/>
        <w:sz w:val="26"/>
      </w:rPr>
    </w:lvl>
    <w:lvl w:ilvl="2">
      <w:start w:val="1"/>
      <w:numFmt w:val="decimal"/>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8608B3"/>
    <w:multiLevelType w:val="multilevel"/>
    <w:tmpl w:val="BC20C678"/>
    <w:numStyleLink w:val="Headings"/>
  </w:abstractNum>
  <w:abstractNum w:abstractNumId="26" w15:restartNumberingAfterBreak="0">
    <w:nsid w:val="495501C0"/>
    <w:multiLevelType w:val="hybridMultilevel"/>
    <w:tmpl w:val="B77A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415AF"/>
    <w:multiLevelType w:val="hybridMultilevel"/>
    <w:tmpl w:val="6E5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10D2F"/>
    <w:multiLevelType w:val="multilevel"/>
    <w:tmpl w:val="CA720104"/>
    <w:lvl w:ilvl="0">
      <w:start w:val="1"/>
      <w:numFmt w:val="decimal"/>
      <w:lvlText w:val="%1."/>
      <w:lvlJc w:val="left"/>
      <w:pPr>
        <w:ind w:left="360" w:hanging="360"/>
      </w:pPr>
      <w:rPr>
        <w:rFonts w:ascii="Arial" w:hAnsi="Arial" w:hint="default"/>
        <w:b/>
        <w:i w:val="0"/>
        <w:sz w:val="26"/>
      </w:rPr>
    </w:lvl>
    <w:lvl w:ilvl="1">
      <w:start w:val="1"/>
      <w:numFmt w:val="bullet"/>
      <w:lvlText w:val=""/>
      <w:lvlJc w:val="left"/>
      <w:pPr>
        <w:ind w:left="1080" w:hanging="720"/>
      </w:pPr>
      <w:rPr>
        <w:rFonts w:ascii="Symbol" w:hAnsi="Symbol" w:hint="default"/>
        <w:b/>
        <w:i w:val="0"/>
        <w:sz w:val="26"/>
      </w:rPr>
    </w:lvl>
    <w:lvl w:ilvl="2">
      <w:start w:val="1"/>
      <w:numFmt w:val="decimal"/>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E0F07"/>
    <w:multiLevelType w:val="hybridMultilevel"/>
    <w:tmpl w:val="BB820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106A43"/>
    <w:multiLevelType w:val="hybridMultilevel"/>
    <w:tmpl w:val="879E1F8C"/>
    <w:lvl w:ilvl="0" w:tplc="A1CECDFE">
      <w:start w:val="1"/>
      <w:numFmt w:val="decimal"/>
      <w:lvlText w:val="%1."/>
      <w:lvlJc w:val="left"/>
      <w:pPr>
        <w:ind w:left="72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6"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7" w15:restartNumberingAfterBreak="0">
    <w:nsid w:val="621334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1C0D0F"/>
    <w:multiLevelType w:val="multilevel"/>
    <w:tmpl w:val="3752B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51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130CD"/>
    <w:multiLevelType w:val="hybridMultilevel"/>
    <w:tmpl w:val="B4BE6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0"/>
  </w:num>
  <w:num w:numId="4">
    <w:abstractNumId w:val="8"/>
  </w:num>
  <w:num w:numId="5">
    <w:abstractNumId w:val="18"/>
  </w:num>
  <w:num w:numId="6">
    <w:abstractNumId w:val="1"/>
  </w:num>
  <w:num w:numId="7">
    <w:abstractNumId w:val="25"/>
  </w:num>
  <w:num w:numId="8">
    <w:abstractNumId w:val="23"/>
  </w:num>
  <w:num w:numId="9">
    <w:abstractNumId w:val="34"/>
  </w:num>
  <w:num w:numId="10">
    <w:abstractNumId w:val="41"/>
  </w:num>
  <w:num w:numId="11">
    <w:abstractNumId w:val="13"/>
  </w:num>
  <w:num w:numId="12">
    <w:abstractNumId w:val="33"/>
  </w:num>
  <w:num w:numId="13">
    <w:abstractNumId w:val="12"/>
  </w:num>
  <w:num w:numId="14">
    <w:abstractNumId w:val="40"/>
  </w:num>
  <w:num w:numId="15">
    <w:abstractNumId w:val="17"/>
  </w:num>
  <w:num w:numId="16">
    <w:abstractNumId w:val="22"/>
  </w:num>
  <w:num w:numId="17">
    <w:abstractNumId w:val="35"/>
  </w:num>
  <w:num w:numId="18">
    <w:abstractNumId w:val="9"/>
  </w:num>
  <w:num w:numId="19">
    <w:abstractNumId w:val="5"/>
  </w:num>
  <w:num w:numId="20">
    <w:abstractNumId w:val="38"/>
  </w:num>
  <w:num w:numId="21">
    <w:abstractNumId w:val="3"/>
  </w:num>
  <w:num w:numId="22">
    <w:abstractNumId w:val="30"/>
  </w:num>
  <w:num w:numId="23">
    <w:abstractNumId w:val="37"/>
  </w:num>
  <w:num w:numId="24">
    <w:abstractNumId w:val="42"/>
  </w:num>
  <w:num w:numId="25">
    <w:abstractNumId w:val="15"/>
  </w:num>
  <w:num w:numId="26">
    <w:abstractNumId w:val="16"/>
  </w:num>
  <w:num w:numId="27">
    <w:abstractNumId w:val="21"/>
  </w:num>
  <w:num w:numId="28">
    <w:abstractNumId w:val="36"/>
  </w:num>
  <w:num w:numId="29">
    <w:abstractNumId w:val="10"/>
  </w:num>
  <w:num w:numId="30">
    <w:abstractNumId w:val="19"/>
  </w:num>
  <w:num w:numId="31">
    <w:abstractNumId w:val="39"/>
  </w:num>
  <w:num w:numId="32">
    <w:abstractNumId w:val="43"/>
  </w:num>
  <w:num w:numId="33">
    <w:abstractNumId w:val="28"/>
  </w:num>
  <w:num w:numId="34">
    <w:abstractNumId w:val="44"/>
  </w:num>
  <w:num w:numId="35">
    <w:abstractNumId w:val="29"/>
  </w:num>
  <w:num w:numId="36">
    <w:abstractNumId w:val="6"/>
  </w:num>
  <w:num w:numId="37">
    <w:abstractNumId w:val="14"/>
  </w:num>
  <w:num w:numId="38">
    <w:abstractNumId w:val="27"/>
  </w:num>
  <w:num w:numId="39">
    <w:abstractNumId w:val="11"/>
  </w:num>
  <w:num w:numId="40">
    <w:abstractNumId w:val="4"/>
  </w:num>
  <w:num w:numId="41">
    <w:abstractNumId w:val="24"/>
  </w:num>
  <w:num w:numId="42">
    <w:abstractNumId w:val="0"/>
  </w:num>
  <w:num w:numId="43">
    <w:abstractNumId w:val="31"/>
  </w:num>
  <w:num w:numId="44">
    <w:abstractNumId w:val="32"/>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2207"/>
    <w:rsid w:val="00003850"/>
    <w:rsid w:val="000070DE"/>
    <w:rsid w:val="00007FD5"/>
    <w:rsid w:val="000103BB"/>
    <w:rsid w:val="00011B4D"/>
    <w:rsid w:val="00012F5E"/>
    <w:rsid w:val="0001301E"/>
    <w:rsid w:val="00014922"/>
    <w:rsid w:val="0001503F"/>
    <w:rsid w:val="00017878"/>
    <w:rsid w:val="00021FC5"/>
    <w:rsid w:val="000227B0"/>
    <w:rsid w:val="000247F9"/>
    <w:rsid w:val="000253D9"/>
    <w:rsid w:val="000267A1"/>
    <w:rsid w:val="00026E55"/>
    <w:rsid w:val="00033936"/>
    <w:rsid w:val="000347E8"/>
    <w:rsid w:val="00034A56"/>
    <w:rsid w:val="00035F7A"/>
    <w:rsid w:val="00036A1A"/>
    <w:rsid w:val="00036BBA"/>
    <w:rsid w:val="00037AB0"/>
    <w:rsid w:val="00040C1A"/>
    <w:rsid w:val="00040E4F"/>
    <w:rsid w:val="00041922"/>
    <w:rsid w:val="000419CC"/>
    <w:rsid w:val="00042FF8"/>
    <w:rsid w:val="00046C33"/>
    <w:rsid w:val="00050366"/>
    <w:rsid w:val="00053BAA"/>
    <w:rsid w:val="00053D70"/>
    <w:rsid w:val="0005470F"/>
    <w:rsid w:val="00054831"/>
    <w:rsid w:val="00055FD1"/>
    <w:rsid w:val="00056496"/>
    <w:rsid w:val="0006109C"/>
    <w:rsid w:val="0006112C"/>
    <w:rsid w:val="000613A6"/>
    <w:rsid w:val="000614FE"/>
    <w:rsid w:val="00065950"/>
    <w:rsid w:val="00066459"/>
    <w:rsid w:val="000665AD"/>
    <w:rsid w:val="000668C3"/>
    <w:rsid w:val="000673CE"/>
    <w:rsid w:val="00070E67"/>
    <w:rsid w:val="0007115A"/>
    <w:rsid w:val="0007315A"/>
    <w:rsid w:val="00074481"/>
    <w:rsid w:val="00075133"/>
    <w:rsid w:val="000759C6"/>
    <w:rsid w:val="0007611D"/>
    <w:rsid w:val="00080750"/>
    <w:rsid w:val="000824C6"/>
    <w:rsid w:val="00082EB3"/>
    <w:rsid w:val="0008447C"/>
    <w:rsid w:val="000857FE"/>
    <w:rsid w:val="000858A2"/>
    <w:rsid w:val="00085E8A"/>
    <w:rsid w:val="00087F52"/>
    <w:rsid w:val="000917F2"/>
    <w:rsid w:val="00092634"/>
    <w:rsid w:val="0009442B"/>
    <w:rsid w:val="000950AF"/>
    <w:rsid w:val="0009574E"/>
    <w:rsid w:val="000973C8"/>
    <w:rsid w:val="000A0298"/>
    <w:rsid w:val="000A0CBE"/>
    <w:rsid w:val="000A2AA9"/>
    <w:rsid w:val="000A2DB6"/>
    <w:rsid w:val="000A56F2"/>
    <w:rsid w:val="000A5726"/>
    <w:rsid w:val="000A6213"/>
    <w:rsid w:val="000A6E05"/>
    <w:rsid w:val="000A6EC4"/>
    <w:rsid w:val="000B02E8"/>
    <w:rsid w:val="000B0FC0"/>
    <w:rsid w:val="000B12C7"/>
    <w:rsid w:val="000B12FA"/>
    <w:rsid w:val="000B4C0D"/>
    <w:rsid w:val="000B5F42"/>
    <w:rsid w:val="000B78E0"/>
    <w:rsid w:val="000C08BF"/>
    <w:rsid w:val="000C0999"/>
    <w:rsid w:val="000C0F1D"/>
    <w:rsid w:val="000C1F3F"/>
    <w:rsid w:val="000C29AA"/>
    <w:rsid w:val="000C2D51"/>
    <w:rsid w:val="000C3784"/>
    <w:rsid w:val="000C39D6"/>
    <w:rsid w:val="000C3B9A"/>
    <w:rsid w:val="000C4B70"/>
    <w:rsid w:val="000C4FF0"/>
    <w:rsid w:val="000C54EB"/>
    <w:rsid w:val="000C5B6E"/>
    <w:rsid w:val="000C5C5A"/>
    <w:rsid w:val="000D01C7"/>
    <w:rsid w:val="000D04A0"/>
    <w:rsid w:val="000D09AB"/>
    <w:rsid w:val="000D2448"/>
    <w:rsid w:val="000D25A8"/>
    <w:rsid w:val="000D5BCE"/>
    <w:rsid w:val="000D5C96"/>
    <w:rsid w:val="000D7994"/>
    <w:rsid w:val="000E0C34"/>
    <w:rsid w:val="000E2717"/>
    <w:rsid w:val="000E2C85"/>
    <w:rsid w:val="000E3031"/>
    <w:rsid w:val="000E36C3"/>
    <w:rsid w:val="000E4C53"/>
    <w:rsid w:val="000F30DB"/>
    <w:rsid w:val="000F48AD"/>
    <w:rsid w:val="000F6F2A"/>
    <w:rsid w:val="00102FCE"/>
    <w:rsid w:val="001034B2"/>
    <w:rsid w:val="00104BD3"/>
    <w:rsid w:val="00105FA1"/>
    <w:rsid w:val="001065BD"/>
    <w:rsid w:val="00107083"/>
    <w:rsid w:val="00107BC7"/>
    <w:rsid w:val="001101A6"/>
    <w:rsid w:val="0011442A"/>
    <w:rsid w:val="001179E2"/>
    <w:rsid w:val="00121089"/>
    <w:rsid w:val="00121441"/>
    <w:rsid w:val="001227CD"/>
    <w:rsid w:val="001248CF"/>
    <w:rsid w:val="00126651"/>
    <w:rsid w:val="00127203"/>
    <w:rsid w:val="00130AA0"/>
    <w:rsid w:val="00133382"/>
    <w:rsid w:val="00136219"/>
    <w:rsid w:val="0013678D"/>
    <w:rsid w:val="00141A16"/>
    <w:rsid w:val="00141B2D"/>
    <w:rsid w:val="00141B7F"/>
    <w:rsid w:val="00146C58"/>
    <w:rsid w:val="00147A10"/>
    <w:rsid w:val="00150E81"/>
    <w:rsid w:val="001523CA"/>
    <w:rsid w:val="00153EB5"/>
    <w:rsid w:val="001578A1"/>
    <w:rsid w:val="00163023"/>
    <w:rsid w:val="001631B6"/>
    <w:rsid w:val="001649A2"/>
    <w:rsid w:val="00164AEB"/>
    <w:rsid w:val="00164EDD"/>
    <w:rsid w:val="00165AF6"/>
    <w:rsid w:val="001700BD"/>
    <w:rsid w:val="00170857"/>
    <w:rsid w:val="00170CB4"/>
    <w:rsid w:val="001724E7"/>
    <w:rsid w:val="00174454"/>
    <w:rsid w:val="00177686"/>
    <w:rsid w:val="001776F9"/>
    <w:rsid w:val="00182168"/>
    <w:rsid w:val="00182C8B"/>
    <w:rsid w:val="00182DC0"/>
    <w:rsid w:val="001836B4"/>
    <w:rsid w:val="00184A2A"/>
    <w:rsid w:val="00186EC6"/>
    <w:rsid w:val="001911A2"/>
    <w:rsid w:val="001937FD"/>
    <w:rsid w:val="00194C54"/>
    <w:rsid w:val="001962A6"/>
    <w:rsid w:val="00196B08"/>
    <w:rsid w:val="00197CF2"/>
    <w:rsid w:val="001A1B63"/>
    <w:rsid w:val="001A1EC8"/>
    <w:rsid w:val="001A28E1"/>
    <w:rsid w:val="001A2B4C"/>
    <w:rsid w:val="001A36E2"/>
    <w:rsid w:val="001A43AA"/>
    <w:rsid w:val="001A6531"/>
    <w:rsid w:val="001A6E1D"/>
    <w:rsid w:val="001B10B8"/>
    <w:rsid w:val="001B121A"/>
    <w:rsid w:val="001B1D58"/>
    <w:rsid w:val="001B34E3"/>
    <w:rsid w:val="001B35D4"/>
    <w:rsid w:val="001B648A"/>
    <w:rsid w:val="001C06E6"/>
    <w:rsid w:val="001C0886"/>
    <w:rsid w:val="001C24F2"/>
    <w:rsid w:val="001C363F"/>
    <w:rsid w:val="001C3899"/>
    <w:rsid w:val="001C3935"/>
    <w:rsid w:val="001C4340"/>
    <w:rsid w:val="001C53AA"/>
    <w:rsid w:val="001D50C1"/>
    <w:rsid w:val="001D79AC"/>
    <w:rsid w:val="001D7C62"/>
    <w:rsid w:val="001D7D6C"/>
    <w:rsid w:val="001E111A"/>
    <w:rsid w:val="001E2A62"/>
    <w:rsid w:val="001E44B5"/>
    <w:rsid w:val="001E6502"/>
    <w:rsid w:val="001F0527"/>
    <w:rsid w:val="001F05E9"/>
    <w:rsid w:val="001F2819"/>
    <w:rsid w:val="001F33A9"/>
    <w:rsid w:val="001F3DF5"/>
    <w:rsid w:val="001F56EE"/>
    <w:rsid w:val="001F5F34"/>
    <w:rsid w:val="001F62D1"/>
    <w:rsid w:val="001F6B9A"/>
    <w:rsid w:val="001F7053"/>
    <w:rsid w:val="001F7187"/>
    <w:rsid w:val="0020124A"/>
    <w:rsid w:val="00201918"/>
    <w:rsid w:val="0020223E"/>
    <w:rsid w:val="002043EC"/>
    <w:rsid w:val="002049BC"/>
    <w:rsid w:val="00204B72"/>
    <w:rsid w:val="00205125"/>
    <w:rsid w:val="0020605D"/>
    <w:rsid w:val="00206E71"/>
    <w:rsid w:val="00212373"/>
    <w:rsid w:val="0021311E"/>
    <w:rsid w:val="0021513D"/>
    <w:rsid w:val="00215FEF"/>
    <w:rsid w:val="0021680D"/>
    <w:rsid w:val="0022267D"/>
    <w:rsid w:val="00222A76"/>
    <w:rsid w:val="002241B3"/>
    <w:rsid w:val="00231566"/>
    <w:rsid w:val="0023252D"/>
    <w:rsid w:val="0023363B"/>
    <w:rsid w:val="00233BB0"/>
    <w:rsid w:val="0023471B"/>
    <w:rsid w:val="00235987"/>
    <w:rsid w:val="00235AD6"/>
    <w:rsid w:val="00237349"/>
    <w:rsid w:val="002402E9"/>
    <w:rsid w:val="00240403"/>
    <w:rsid w:val="0024134E"/>
    <w:rsid w:val="00241771"/>
    <w:rsid w:val="002417C1"/>
    <w:rsid w:val="00243DC0"/>
    <w:rsid w:val="00244D77"/>
    <w:rsid w:val="00244EF2"/>
    <w:rsid w:val="002456AD"/>
    <w:rsid w:val="00247477"/>
    <w:rsid w:val="002501A1"/>
    <w:rsid w:val="002522C5"/>
    <w:rsid w:val="00252EA0"/>
    <w:rsid w:val="00253408"/>
    <w:rsid w:val="00256621"/>
    <w:rsid w:val="0025A1EA"/>
    <w:rsid w:val="0026044B"/>
    <w:rsid w:val="0026179B"/>
    <w:rsid w:val="00263765"/>
    <w:rsid w:val="00265904"/>
    <w:rsid w:val="00267A65"/>
    <w:rsid w:val="00270440"/>
    <w:rsid w:val="0027165E"/>
    <w:rsid w:val="002722CE"/>
    <w:rsid w:val="00277418"/>
    <w:rsid w:val="0027787C"/>
    <w:rsid w:val="002814F8"/>
    <w:rsid w:val="0028378C"/>
    <w:rsid w:val="002842B9"/>
    <w:rsid w:val="00285327"/>
    <w:rsid w:val="00285A75"/>
    <w:rsid w:val="0028664F"/>
    <w:rsid w:val="00290777"/>
    <w:rsid w:val="002916DE"/>
    <w:rsid w:val="00291899"/>
    <w:rsid w:val="00293105"/>
    <w:rsid w:val="00293596"/>
    <w:rsid w:val="00293DEE"/>
    <w:rsid w:val="00294D14"/>
    <w:rsid w:val="00295494"/>
    <w:rsid w:val="00296719"/>
    <w:rsid w:val="0029679A"/>
    <w:rsid w:val="002A0237"/>
    <w:rsid w:val="002A31D8"/>
    <w:rsid w:val="002A34F8"/>
    <w:rsid w:val="002A4499"/>
    <w:rsid w:val="002A4FBC"/>
    <w:rsid w:val="002A674D"/>
    <w:rsid w:val="002A763F"/>
    <w:rsid w:val="002B37F4"/>
    <w:rsid w:val="002B5F90"/>
    <w:rsid w:val="002B6ADA"/>
    <w:rsid w:val="002B6B66"/>
    <w:rsid w:val="002B6B70"/>
    <w:rsid w:val="002B744A"/>
    <w:rsid w:val="002C06DE"/>
    <w:rsid w:val="002C0FC3"/>
    <w:rsid w:val="002C15A9"/>
    <w:rsid w:val="002C165E"/>
    <w:rsid w:val="002C1C7D"/>
    <w:rsid w:val="002C1E37"/>
    <w:rsid w:val="002C39C4"/>
    <w:rsid w:val="002C59C5"/>
    <w:rsid w:val="002C70FE"/>
    <w:rsid w:val="002C7411"/>
    <w:rsid w:val="002C7FE9"/>
    <w:rsid w:val="002D061D"/>
    <w:rsid w:val="002D08F6"/>
    <w:rsid w:val="002D39C4"/>
    <w:rsid w:val="002D42CE"/>
    <w:rsid w:val="002D4352"/>
    <w:rsid w:val="002D4EFD"/>
    <w:rsid w:val="002D613D"/>
    <w:rsid w:val="002D73C0"/>
    <w:rsid w:val="002E0B0D"/>
    <w:rsid w:val="002E449C"/>
    <w:rsid w:val="002E60F4"/>
    <w:rsid w:val="002F0C27"/>
    <w:rsid w:val="002F109F"/>
    <w:rsid w:val="002F1132"/>
    <w:rsid w:val="002F2617"/>
    <w:rsid w:val="002F4BCC"/>
    <w:rsid w:val="002F510A"/>
    <w:rsid w:val="002F720E"/>
    <w:rsid w:val="00301613"/>
    <w:rsid w:val="00302191"/>
    <w:rsid w:val="00303512"/>
    <w:rsid w:val="003043A8"/>
    <w:rsid w:val="00304ECE"/>
    <w:rsid w:val="003055C4"/>
    <w:rsid w:val="0031042E"/>
    <w:rsid w:val="00311EBC"/>
    <w:rsid w:val="0031467E"/>
    <w:rsid w:val="00314929"/>
    <w:rsid w:val="0031558F"/>
    <w:rsid w:val="00316071"/>
    <w:rsid w:val="003165A6"/>
    <w:rsid w:val="00316919"/>
    <w:rsid w:val="0031777A"/>
    <w:rsid w:val="00320866"/>
    <w:rsid w:val="00320ACA"/>
    <w:rsid w:val="00320E1C"/>
    <w:rsid w:val="0033133C"/>
    <w:rsid w:val="00332427"/>
    <w:rsid w:val="00333499"/>
    <w:rsid w:val="00334CA9"/>
    <w:rsid w:val="00335E19"/>
    <w:rsid w:val="003372B8"/>
    <w:rsid w:val="003377F0"/>
    <w:rsid w:val="0034030F"/>
    <w:rsid w:val="00340B59"/>
    <w:rsid w:val="003413FF"/>
    <w:rsid w:val="003416E2"/>
    <w:rsid w:val="00342CE3"/>
    <w:rsid w:val="00343E5C"/>
    <w:rsid w:val="00344C07"/>
    <w:rsid w:val="003456B3"/>
    <w:rsid w:val="00345C13"/>
    <w:rsid w:val="00346514"/>
    <w:rsid w:val="00346756"/>
    <w:rsid w:val="003469EA"/>
    <w:rsid w:val="0035193D"/>
    <w:rsid w:val="00351952"/>
    <w:rsid w:val="00354CD5"/>
    <w:rsid w:val="003559B4"/>
    <w:rsid w:val="0036017B"/>
    <w:rsid w:val="00360A67"/>
    <w:rsid w:val="00362755"/>
    <w:rsid w:val="00362F23"/>
    <w:rsid w:val="003655EF"/>
    <w:rsid w:val="00367A53"/>
    <w:rsid w:val="0037092F"/>
    <w:rsid w:val="00372678"/>
    <w:rsid w:val="00373B93"/>
    <w:rsid w:val="003743D0"/>
    <w:rsid w:val="00374688"/>
    <w:rsid w:val="00375287"/>
    <w:rsid w:val="003759EE"/>
    <w:rsid w:val="003764FE"/>
    <w:rsid w:val="00377A2C"/>
    <w:rsid w:val="00377ED3"/>
    <w:rsid w:val="003804E7"/>
    <w:rsid w:val="00381733"/>
    <w:rsid w:val="00381A9D"/>
    <w:rsid w:val="003823DE"/>
    <w:rsid w:val="00382823"/>
    <w:rsid w:val="00382ADB"/>
    <w:rsid w:val="00384745"/>
    <w:rsid w:val="003847B6"/>
    <w:rsid w:val="0038503F"/>
    <w:rsid w:val="0038554B"/>
    <w:rsid w:val="00386F96"/>
    <w:rsid w:val="003874FF"/>
    <w:rsid w:val="0039014F"/>
    <w:rsid w:val="003905CB"/>
    <w:rsid w:val="0039188F"/>
    <w:rsid w:val="00394458"/>
    <w:rsid w:val="00395D18"/>
    <w:rsid w:val="00395D84"/>
    <w:rsid w:val="003972EE"/>
    <w:rsid w:val="003A2597"/>
    <w:rsid w:val="003A2832"/>
    <w:rsid w:val="003A35A2"/>
    <w:rsid w:val="003A36D6"/>
    <w:rsid w:val="003A51F1"/>
    <w:rsid w:val="003A6280"/>
    <w:rsid w:val="003B00A9"/>
    <w:rsid w:val="003B06FB"/>
    <w:rsid w:val="003B10DE"/>
    <w:rsid w:val="003B2000"/>
    <w:rsid w:val="003B2ECE"/>
    <w:rsid w:val="003B4C1D"/>
    <w:rsid w:val="003B6997"/>
    <w:rsid w:val="003B6B16"/>
    <w:rsid w:val="003C076B"/>
    <w:rsid w:val="003C166A"/>
    <w:rsid w:val="003C1C95"/>
    <w:rsid w:val="003C1DE0"/>
    <w:rsid w:val="003C2EB9"/>
    <w:rsid w:val="003C3204"/>
    <w:rsid w:val="003C531C"/>
    <w:rsid w:val="003C7BC0"/>
    <w:rsid w:val="003D19ED"/>
    <w:rsid w:val="003D366C"/>
    <w:rsid w:val="003D4116"/>
    <w:rsid w:val="003D556D"/>
    <w:rsid w:val="003E0179"/>
    <w:rsid w:val="003E0763"/>
    <w:rsid w:val="003E07DA"/>
    <w:rsid w:val="003E07DC"/>
    <w:rsid w:val="003E3684"/>
    <w:rsid w:val="003E528B"/>
    <w:rsid w:val="003E6B6C"/>
    <w:rsid w:val="003E7829"/>
    <w:rsid w:val="003E7E13"/>
    <w:rsid w:val="003F24EC"/>
    <w:rsid w:val="003F2FC2"/>
    <w:rsid w:val="003F34FF"/>
    <w:rsid w:val="003F3E28"/>
    <w:rsid w:val="003F4329"/>
    <w:rsid w:val="003F5DAC"/>
    <w:rsid w:val="003F63A5"/>
    <w:rsid w:val="003F65F5"/>
    <w:rsid w:val="003F7636"/>
    <w:rsid w:val="00403BA9"/>
    <w:rsid w:val="00407F26"/>
    <w:rsid w:val="004108E4"/>
    <w:rsid w:val="00411067"/>
    <w:rsid w:val="00412C83"/>
    <w:rsid w:val="00412E12"/>
    <w:rsid w:val="004147CB"/>
    <w:rsid w:val="00414FF1"/>
    <w:rsid w:val="004154C1"/>
    <w:rsid w:val="0041604B"/>
    <w:rsid w:val="0041609A"/>
    <w:rsid w:val="00416C48"/>
    <w:rsid w:val="00416DF9"/>
    <w:rsid w:val="004174B0"/>
    <w:rsid w:val="0042083E"/>
    <w:rsid w:val="00421971"/>
    <w:rsid w:val="00422F4F"/>
    <w:rsid w:val="00424D31"/>
    <w:rsid w:val="00424E49"/>
    <w:rsid w:val="00426014"/>
    <w:rsid w:val="004273A7"/>
    <w:rsid w:val="00427623"/>
    <w:rsid w:val="00427CB7"/>
    <w:rsid w:val="0043234E"/>
    <w:rsid w:val="0043253A"/>
    <w:rsid w:val="004330E0"/>
    <w:rsid w:val="004341EF"/>
    <w:rsid w:val="00435061"/>
    <w:rsid w:val="00435320"/>
    <w:rsid w:val="004429AD"/>
    <w:rsid w:val="00444800"/>
    <w:rsid w:val="00444F2F"/>
    <w:rsid w:val="00445160"/>
    <w:rsid w:val="004467F5"/>
    <w:rsid w:val="00447686"/>
    <w:rsid w:val="00450A11"/>
    <w:rsid w:val="00451DF8"/>
    <w:rsid w:val="004524E8"/>
    <w:rsid w:val="004529D1"/>
    <w:rsid w:val="00452E3C"/>
    <w:rsid w:val="004545FE"/>
    <w:rsid w:val="00457E2B"/>
    <w:rsid w:val="004605A8"/>
    <w:rsid w:val="00460B7D"/>
    <w:rsid w:val="00463304"/>
    <w:rsid w:val="00465640"/>
    <w:rsid w:val="004658DC"/>
    <w:rsid w:val="004667C9"/>
    <w:rsid w:val="00467F4E"/>
    <w:rsid w:val="004703EC"/>
    <w:rsid w:val="00470568"/>
    <w:rsid w:val="0047394B"/>
    <w:rsid w:val="00473AE5"/>
    <w:rsid w:val="00473DA1"/>
    <w:rsid w:val="00475E61"/>
    <w:rsid w:val="004764D3"/>
    <w:rsid w:val="0047692E"/>
    <w:rsid w:val="00477983"/>
    <w:rsid w:val="00477C58"/>
    <w:rsid w:val="00477F37"/>
    <w:rsid w:val="004805F4"/>
    <w:rsid w:val="00480CB0"/>
    <w:rsid w:val="00480CFB"/>
    <w:rsid w:val="00480DBA"/>
    <w:rsid w:val="004814D7"/>
    <w:rsid w:val="00481EC2"/>
    <w:rsid w:val="00484E65"/>
    <w:rsid w:val="0048543C"/>
    <w:rsid w:val="00486FA7"/>
    <w:rsid w:val="00487F1F"/>
    <w:rsid w:val="00490780"/>
    <w:rsid w:val="00490D65"/>
    <w:rsid w:val="00490EBB"/>
    <w:rsid w:val="00495A6D"/>
    <w:rsid w:val="00495F9F"/>
    <w:rsid w:val="00496192"/>
    <w:rsid w:val="00497B4D"/>
    <w:rsid w:val="004A13D8"/>
    <w:rsid w:val="004A29F9"/>
    <w:rsid w:val="004A3509"/>
    <w:rsid w:val="004A4D33"/>
    <w:rsid w:val="004A56F9"/>
    <w:rsid w:val="004A58D1"/>
    <w:rsid w:val="004A73B6"/>
    <w:rsid w:val="004A787F"/>
    <w:rsid w:val="004B03B0"/>
    <w:rsid w:val="004B16D8"/>
    <w:rsid w:val="004B2537"/>
    <w:rsid w:val="004B34EA"/>
    <w:rsid w:val="004B5494"/>
    <w:rsid w:val="004B5817"/>
    <w:rsid w:val="004B596A"/>
    <w:rsid w:val="004B6ABC"/>
    <w:rsid w:val="004C0517"/>
    <w:rsid w:val="004C0749"/>
    <w:rsid w:val="004C342E"/>
    <w:rsid w:val="004C5260"/>
    <w:rsid w:val="004C68F1"/>
    <w:rsid w:val="004C7D3A"/>
    <w:rsid w:val="004D27E4"/>
    <w:rsid w:val="004D5BD3"/>
    <w:rsid w:val="004E1010"/>
    <w:rsid w:val="004E2EE0"/>
    <w:rsid w:val="004E2EE3"/>
    <w:rsid w:val="004E3614"/>
    <w:rsid w:val="004E3EC8"/>
    <w:rsid w:val="004E42E8"/>
    <w:rsid w:val="004E4C0D"/>
    <w:rsid w:val="004E67CD"/>
    <w:rsid w:val="004E7861"/>
    <w:rsid w:val="004F412F"/>
    <w:rsid w:val="004F5685"/>
    <w:rsid w:val="004F7373"/>
    <w:rsid w:val="005018A8"/>
    <w:rsid w:val="005019B4"/>
    <w:rsid w:val="00501B57"/>
    <w:rsid w:val="00502E83"/>
    <w:rsid w:val="00503375"/>
    <w:rsid w:val="005037E6"/>
    <w:rsid w:val="005038A5"/>
    <w:rsid w:val="00505427"/>
    <w:rsid w:val="00505A39"/>
    <w:rsid w:val="005079C4"/>
    <w:rsid w:val="0051481C"/>
    <w:rsid w:val="00514D12"/>
    <w:rsid w:val="00515682"/>
    <w:rsid w:val="0051649A"/>
    <w:rsid w:val="00516501"/>
    <w:rsid w:val="00516C7D"/>
    <w:rsid w:val="00516CED"/>
    <w:rsid w:val="00516D4E"/>
    <w:rsid w:val="00517D50"/>
    <w:rsid w:val="00521562"/>
    <w:rsid w:val="005240BF"/>
    <w:rsid w:val="0052507D"/>
    <w:rsid w:val="00525541"/>
    <w:rsid w:val="0052654B"/>
    <w:rsid w:val="00526E61"/>
    <w:rsid w:val="005277A4"/>
    <w:rsid w:val="00527848"/>
    <w:rsid w:val="005308BE"/>
    <w:rsid w:val="005317B1"/>
    <w:rsid w:val="00535150"/>
    <w:rsid w:val="0053595B"/>
    <w:rsid w:val="00535BF1"/>
    <w:rsid w:val="00536282"/>
    <w:rsid w:val="00541504"/>
    <w:rsid w:val="005415A6"/>
    <w:rsid w:val="00542B58"/>
    <w:rsid w:val="005436B2"/>
    <w:rsid w:val="005508FE"/>
    <w:rsid w:val="0055241F"/>
    <w:rsid w:val="00553F11"/>
    <w:rsid w:val="005542C1"/>
    <w:rsid w:val="005562C1"/>
    <w:rsid w:val="00556CB5"/>
    <w:rsid w:val="00557086"/>
    <w:rsid w:val="00557346"/>
    <w:rsid w:val="00557EA8"/>
    <w:rsid w:val="0056069E"/>
    <w:rsid w:val="005611E2"/>
    <w:rsid w:val="00561281"/>
    <w:rsid w:val="005617B1"/>
    <w:rsid w:val="00561AC4"/>
    <w:rsid w:val="00562763"/>
    <w:rsid w:val="0056297B"/>
    <w:rsid w:val="005634B9"/>
    <w:rsid w:val="005634BF"/>
    <w:rsid w:val="005636AD"/>
    <w:rsid w:val="00564497"/>
    <w:rsid w:val="00564D87"/>
    <w:rsid w:val="005665B5"/>
    <w:rsid w:val="005723A6"/>
    <w:rsid w:val="0057567D"/>
    <w:rsid w:val="005758AF"/>
    <w:rsid w:val="0057769A"/>
    <w:rsid w:val="00577DAE"/>
    <w:rsid w:val="0057850A"/>
    <w:rsid w:val="00581A21"/>
    <w:rsid w:val="00581DC5"/>
    <w:rsid w:val="0058229D"/>
    <w:rsid w:val="00582988"/>
    <w:rsid w:val="00582FA9"/>
    <w:rsid w:val="005848FF"/>
    <w:rsid w:val="00584F23"/>
    <w:rsid w:val="00585390"/>
    <w:rsid w:val="00590FAC"/>
    <w:rsid w:val="0059128A"/>
    <w:rsid w:val="0059353E"/>
    <w:rsid w:val="005939A5"/>
    <w:rsid w:val="00595CC9"/>
    <w:rsid w:val="005963A2"/>
    <w:rsid w:val="005A0270"/>
    <w:rsid w:val="005A1157"/>
    <w:rsid w:val="005A148C"/>
    <w:rsid w:val="005A217E"/>
    <w:rsid w:val="005A393A"/>
    <w:rsid w:val="005A3AA5"/>
    <w:rsid w:val="005A4863"/>
    <w:rsid w:val="005A5C10"/>
    <w:rsid w:val="005A6F80"/>
    <w:rsid w:val="005B2436"/>
    <w:rsid w:val="005B26AA"/>
    <w:rsid w:val="005B3553"/>
    <w:rsid w:val="005B52F4"/>
    <w:rsid w:val="005B7744"/>
    <w:rsid w:val="005B7798"/>
    <w:rsid w:val="005B7A83"/>
    <w:rsid w:val="005B7BAE"/>
    <w:rsid w:val="005C0566"/>
    <w:rsid w:val="005C0D4A"/>
    <w:rsid w:val="005C291E"/>
    <w:rsid w:val="005C2A1E"/>
    <w:rsid w:val="005C323B"/>
    <w:rsid w:val="005C3E64"/>
    <w:rsid w:val="005C4350"/>
    <w:rsid w:val="005C4AC1"/>
    <w:rsid w:val="005C571B"/>
    <w:rsid w:val="005C7E18"/>
    <w:rsid w:val="005D0AC3"/>
    <w:rsid w:val="005D0BC6"/>
    <w:rsid w:val="005D3174"/>
    <w:rsid w:val="005D329F"/>
    <w:rsid w:val="005D3760"/>
    <w:rsid w:val="005D4C90"/>
    <w:rsid w:val="005D7298"/>
    <w:rsid w:val="005E024B"/>
    <w:rsid w:val="005E1341"/>
    <w:rsid w:val="005E33BA"/>
    <w:rsid w:val="005F10E6"/>
    <w:rsid w:val="005F5ABD"/>
    <w:rsid w:val="005F64FB"/>
    <w:rsid w:val="005F6981"/>
    <w:rsid w:val="005F6BFD"/>
    <w:rsid w:val="00603409"/>
    <w:rsid w:val="00606A73"/>
    <w:rsid w:val="006077CE"/>
    <w:rsid w:val="00607D47"/>
    <w:rsid w:val="00610478"/>
    <w:rsid w:val="0061484B"/>
    <w:rsid w:val="00614B7D"/>
    <w:rsid w:val="00615064"/>
    <w:rsid w:val="006154E6"/>
    <w:rsid w:val="00620F2E"/>
    <w:rsid w:val="00621182"/>
    <w:rsid w:val="006227EC"/>
    <w:rsid w:val="006236C0"/>
    <w:rsid w:val="00625DE9"/>
    <w:rsid w:val="00626312"/>
    <w:rsid w:val="00632207"/>
    <w:rsid w:val="0063224E"/>
    <w:rsid w:val="006335BC"/>
    <w:rsid w:val="0063491C"/>
    <w:rsid w:val="00635E38"/>
    <w:rsid w:val="00636502"/>
    <w:rsid w:val="00636E1A"/>
    <w:rsid w:val="00640D28"/>
    <w:rsid w:val="006443D0"/>
    <w:rsid w:val="006446A2"/>
    <w:rsid w:val="00644BE8"/>
    <w:rsid w:val="00645353"/>
    <w:rsid w:val="006467E1"/>
    <w:rsid w:val="006508C6"/>
    <w:rsid w:val="00650E3E"/>
    <w:rsid w:val="00650E9E"/>
    <w:rsid w:val="00651D05"/>
    <w:rsid w:val="00656695"/>
    <w:rsid w:val="00657E63"/>
    <w:rsid w:val="00660171"/>
    <w:rsid w:val="00660E7E"/>
    <w:rsid w:val="00662219"/>
    <w:rsid w:val="006633A0"/>
    <w:rsid w:val="00663FCD"/>
    <w:rsid w:val="006641EA"/>
    <w:rsid w:val="00664305"/>
    <w:rsid w:val="00664C4D"/>
    <w:rsid w:val="00666CAF"/>
    <w:rsid w:val="00666E6E"/>
    <w:rsid w:val="00670132"/>
    <w:rsid w:val="00672C49"/>
    <w:rsid w:val="00673A1F"/>
    <w:rsid w:val="00675A19"/>
    <w:rsid w:val="00675AE1"/>
    <w:rsid w:val="00677093"/>
    <w:rsid w:val="006775BF"/>
    <w:rsid w:val="00681870"/>
    <w:rsid w:val="0068465A"/>
    <w:rsid w:val="006848DB"/>
    <w:rsid w:val="00684E7E"/>
    <w:rsid w:val="00687001"/>
    <w:rsid w:val="00687663"/>
    <w:rsid w:val="00690688"/>
    <w:rsid w:val="00690B4C"/>
    <w:rsid w:val="00691113"/>
    <w:rsid w:val="00697570"/>
    <w:rsid w:val="006A0AD3"/>
    <w:rsid w:val="006A29E2"/>
    <w:rsid w:val="006A5113"/>
    <w:rsid w:val="006A5793"/>
    <w:rsid w:val="006B10F3"/>
    <w:rsid w:val="006B16BD"/>
    <w:rsid w:val="006B3A16"/>
    <w:rsid w:val="006B5C99"/>
    <w:rsid w:val="006B6525"/>
    <w:rsid w:val="006B7F40"/>
    <w:rsid w:val="006C190F"/>
    <w:rsid w:val="006C1D12"/>
    <w:rsid w:val="006C2074"/>
    <w:rsid w:val="006C225C"/>
    <w:rsid w:val="006C3445"/>
    <w:rsid w:val="006C5B00"/>
    <w:rsid w:val="006C6EC7"/>
    <w:rsid w:val="006C780F"/>
    <w:rsid w:val="006D1B27"/>
    <w:rsid w:val="006D285B"/>
    <w:rsid w:val="006D2D33"/>
    <w:rsid w:val="006D77FA"/>
    <w:rsid w:val="006D7983"/>
    <w:rsid w:val="006E1488"/>
    <w:rsid w:val="006E1B9D"/>
    <w:rsid w:val="006E5E28"/>
    <w:rsid w:val="006E6574"/>
    <w:rsid w:val="006E6F34"/>
    <w:rsid w:val="006E74AA"/>
    <w:rsid w:val="006F1247"/>
    <w:rsid w:val="006F1E75"/>
    <w:rsid w:val="006F371D"/>
    <w:rsid w:val="006F4E18"/>
    <w:rsid w:val="006F52A2"/>
    <w:rsid w:val="006F5B91"/>
    <w:rsid w:val="006F7B44"/>
    <w:rsid w:val="006F7CD3"/>
    <w:rsid w:val="00700F0D"/>
    <w:rsid w:val="007011C0"/>
    <w:rsid w:val="00701C92"/>
    <w:rsid w:val="007047FF"/>
    <w:rsid w:val="00704A26"/>
    <w:rsid w:val="00704D82"/>
    <w:rsid w:val="007054BE"/>
    <w:rsid w:val="00705C88"/>
    <w:rsid w:val="00706213"/>
    <w:rsid w:val="00707A1C"/>
    <w:rsid w:val="0071091D"/>
    <w:rsid w:val="00710A38"/>
    <w:rsid w:val="007110FE"/>
    <w:rsid w:val="007127D0"/>
    <w:rsid w:val="00712C97"/>
    <w:rsid w:val="00713BE8"/>
    <w:rsid w:val="00714CF2"/>
    <w:rsid w:val="007156B9"/>
    <w:rsid w:val="00716590"/>
    <w:rsid w:val="00717180"/>
    <w:rsid w:val="007173C1"/>
    <w:rsid w:val="00717937"/>
    <w:rsid w:val="00720817"/>
    <w:rsid w:val="00722850"/>
    <w:rsid w:val="00723A84"/>
    <w:rsid w:val="00723D50"/>
    <w:rsid w:val="0072720C"/>
    <w:rsid w:val="007276E8"/>
    <w:rsid w:val="0073076A"/>
    <w:rsid w:val="0073353F"/>
    <w:rsid w:val="00734B7D"/>
    <w:rsid w:val="00735A3E"/>
    <w:rsid w:val="00737BA8"/>
    <w:rsid w:val="00740602"/>
    <w:rsid w:val="00741FF8"/>
    <w:rsid w:val="00742E45"/>
    <w:rsid w:val="0074370D"/>
    <w:rsid w:val="007446B6"/>
    <w:rsid w:val="007447AF"/>
    <w:rsid w:val="00745C69"/>
    <w:rsid w:val="007462E1"/>
    <w:rsid w:val="007467EE"/>
    <w:rsid w:val="00747DC8"/>
    <w:rsid w:val="00747F5E"/>
    <w:rsid w:val="007505D5"/>
    <w:rsid w:val="00750816"/>
    <w:rsid w:val="00753AAF"/>
    <w:rsid w:val="00754069"/>
    <w:rsid w:val="00755CD4"/>
    <w:rsid w:val="00756950"/>
    <w:rsid w:val="00757E45"/>
    <w:rsid w:val="00762123"/>
    <w:rsid w:val="0076442E"/>
    <w:rsid w:val="007657C1"/>
    <w:rsid w:val="00765961"/>
    <w:rsid w:val="00765CF3"/>
    <w:rsid w:val="00767884"/>
    <w:rsid w:val="00771D31"/>
    <w:rsid w:val="0077289A"/>
    <w:rsid w:val="007728A4"/>
    <w:rsid w:val="007736A4"/>
    <w:rsid w:val="00773760"/>
    <w:rsid w:val="00773765"/>
    <w:rsid w:val="0077501D"/>
    <w:rsid w:val="0077569D"/>
    <w:rsid w:val="00776214"/>
    <w:rsid w:val="00776457"/>
    <w:rsid w:val="00780B23"/>
    <w:rsid w:val="0078209D"/>
    <w:rsid w:val="0078249B"/>
    <w:rsid w:val="00782823"/>
    <w:rsid w:val="00784168"/>
    <w:rsid w:val="00785347"/>
    <w:rsid w:val="007865D7"/>
    <w:rsid w:val="00787588"/>
    <w:rsid w:val="00787637"/>
    <w:rsid w:val="007916CB"/>
    <w:rsid w:val="00794507"/>
    <w:rsid w:val="0079575E"/>
    <w:rsid w:val="0079733B"/>
    <w:rsid w:val="00797365"/>
    <w:rsid w:val="007A13C0"/>
    <w:rsid w:val="007A406D"/>
    <w:rsid w:val="007A40F9"/>
    <w:rsid w:val="007A586B"/>
    <w:rsid w:val="007A62B0"/>
    <w:rsid w:val="007A6BDC"/>
    <w:rsid w:val="007A6E5A"/>
    <w:rsid w:val="007B1F1F"/>
    <w:rsid w:val="007B2E6B"/>
    <w:rsid w:val="007B3BC4"/>
    <w:rsid w:val="007B408E"/>
    <w:rsid w:val="007B7DDB"/>
    <w:rsid w:val="007C0122"/>
    <w:rsid w:val="007C1D12"/>
    <w:rsid w:val="007C2ADC"/>
    <w:rsid w:val="007C3124"/>
    <w:rsid w:val="007C3DCE"/>
    <w:rsid w:val="007C3FC3"/>
    <w:rsid w:val="007C4A0B"/>
    <w:rsid w:val="007C51C4"/>
    <w:rsid w:val="007C5A0C"/>
    <w:rsid w:val="007D291C"/>
    <w:rsid w:val="007D3138"/>
    <w:rsid w:val="007D7204"/>
    <w:rsid w:val="007E0FEE"/>
    <w:rsid w:val="007E427F"/>
    <w:rsid w:val="007E594A"/>
    <w:rsid w:val="007E5F75"/>
    <w:rsid w:val="007E6291"/>
    <w:rsid w:val="007F08EB"/>
    <w:rsid w:val="007F1370"/>
    <w:rsid w:val="007F2017"/>
    <w:rsid w:val="007F527E"/>
    <w:rsid w:val="007F54BB"/>
    <w:rsid w:val="007F5CA2"/>
    <w:rsid w:val="007F5DBC"/>
    <w:rsid w:val="008004C7"/>
    <w:rsid w:val="00800992"/>
    <w:rsid w:val="00801424"/>
    <w:rsid w:val="008018EC"/>
    <w:rsid w:val="00801957"/>
    <w:rsid w:val="00802298"/>
    <w:rsid w:val="00804FBE"/>
    <w:rsid w:val="00805FA1"/>
    <w:rsid w:val="00807291"/>
    <w:rsid w:val="00810BC4"/>
    <w:rsid w:val="00811ECD"/>
    <w:rsid w:val="0081341E"/>
    <w:rsid w:val="00813850"/>
    <w:rsid w:val="00813FD4"/>
    <w:rsid w:val="00814F1A"/>
    <w:rsid w:val="00815C8F"/>
    <w:rsid w:val="008206AB"/>
    <w:rsid w:val="0082126F"/>
    <w:rsid w:val="00821DDA"/>
    <w:rsid w:val="0082341F"/>
    <w:rsid w:val="00825634"/>
    <w:rsid w:val="00826668"/>
    <w:rsid w:val="008268F9"/>
    <w:rsid w:val="00826F48"/>
    <w:rsid w:val="00831677"/>
    <w:rsid w:val="00832DEE"/>
    <w:rsid w:val="008339BB"/>
    <w:rsid w:val="00833F02"/>
    <w:rsid w:val="0083535B"/>
    <w:rsid w:val="00835935"/>
    <w:rsid w:val="00841F9A"/>
    <w:rsid w:val="00842D7C"/>
    <w:rsid w:val="0084308B"/>
    <w:rsid w:val="008440C9"/>
    <w:rsid w:val="00844C0E"/>
    <w:rsid w:val="0084592C"/>
    <w:rsid w:val="0084676E"/>
    <w:rsid w:val="008476D7"/>
    <w:rsid w:val="008537AE"/>
    <w:rsid w:val="00854859"/>
    <w:rsid w:val="00856A9F"/>
    <w:rsid w:val="008615A5"/>
    <w:rsid w:val="0086419A"/>
    <w:rsid w:val="00866C56"/>
    <w:rsid w:val="00867CA2"/>
    <w:rsid w:val="0087023B"/>
    <w:rsid w:val="008710DA"/>
    <w:rsid w:val="00873FE5"/>
    <w:rsid w:val="00874E51"/>
    <w:rsid w:val="008803D5"/>
    <w:rsid w:val="00880A7F"/>
    <w:rsid w:val="00881E5E"/>
    <w:rsid w:val="00882107"/>
    <w:rsid w:val="008847A8"/>
    <w:rsid w:val="00884B43"/>
    <w:rsid w:val="008862C4"/>
    <w:rsid w:val="008863E7"/>
    <w:rsid w:val="008874AF"/>
    <w:rsid w:val="008877FE"/>
    <w:rsid w:val="0089081A"/>
    <w:rsid w:val="00891124"/>
    <w:rsid w:val="00891D0A"/>
    <w:rsid w:val="00893117"/>
    <w:rsid w:val="008945EA"/>
    <w:rsid w:val="00894BB9"/>
    <w:rsid w:val="00894D25"/>
    <w:rsid w:val="008957E2"/>
    <w:rsid w:val="0089630A"/>
    <w:rsid w:val="008A1294"/>
    <w:rsid w:val="008A179F"/>
    <w:rsid w:val="008A17BB"/>
    <w:rsid w:val="008A3A70"/>
    <w:rsid w:val="008A459D"/>
    <w:rsid w:val="008A53ED"/>
    <w:rsid w:val="008A584F"/>
    <w:rsid w:val="008A63B7"/>
    <w:rsid w:val="008B02B3"/>
    <w:rsid w:val="008B083D"/>
    <w:rsid w:val="008B0864"/>
    <w:rsid w:val="008B1E44"/>
    <w:rsid w:val="008B2A32"/>
    <w:rsid w:val="008B36D9"/>
    <w:rsid w:val="008B6EC6"/>
    <w:rsid w:val="008B787C"/>
    <w:rsid w:val="008B7EB3"/>
    <w:rsid w:val="008BA974"/>
    <w:rsid w:val="008C178A"/>
    <w:rsid w:val="008C318A"/>
    <w:rsid w:val="008C36EA"/>
    <w:rsid w:val="008C40F8"/>
    <w:rsid w:val="008C4F4B"/>
    <w:rsid w:val="008C4F4C"/>
    <w:rsid w:val="008C5456"/>
    <w:rsid w:val="008C56E0"/>
    <w:rsid w:val="008C6269"/>
    <w:rsid w:val="008C7413"/>
    <w:rsid w:val="008C7C61"/>
    <w:rsid w:val="008D16B7"/>
    <w:rsid w:val="008D3234"/>
    <w:rsid w:val="008D3EB8"/>
    <w:rsid w:val="008D4721"/>
    <w:rsid w:val="008D5169"/>
    <w:rsid w:val="008D65AF"/>
    <w:rsid w:val="008E2018"/>
    <w:rsid w:val="008E22E3"/>
    <w:rsid w:val="008E477C"/>
    <w:rsid w:val="008E4C29"/>
    <w:rsid w:val="008E61F1"/>
    <w:rsid w:val="008E6321"/>
    <w:rsid w:val="008E683D"/>
    <w:rsid w:val="008E6AE6"/>
    <w:rsid w:val="008E7B52"/>
    <w:rsid w:val="008E7D2D"/>
    <w:rsid w:val="008F0116"/>
    <w:rsid w:val="008F01C4"/>
    <w:rsid w:val="008F143D"/>
    <w:rsid w:val="008F2E72"/>
    <w:rsid w:val="008F31E5"/>
    <w:rsid w:val="008F3E89"/>
    <w:rsid w:val="008F3F77"/>
    <w:rsid w:val="008F5DD5"/>
    <w:rsid w:val="008F63FE"/>
    <w:rsid w:val="008F7BF8"/>
    <w:rsid w:val="0090310C"/>
    <w:rsid w:val="00903124"/>
    <w:rsid w:val="0090326A"/>
    <w:rsid w:val="00905112"/>
    <w:rsid w:val="00905D17"/>
    <w:rsid w:val="00907CC0"/>
    <w:rsid w:val="00911F2C"/>
    <w:rsid w:val="00914B4D"/>
    <w:rsid w:val="00915123"/>
    <w:rsid w:val="009176B7"/>
    <w:rsid w:val="00920B9F"/>
    <w:rsid w:val="0092361F"/>
    <w:rsid w:val="00923DFE"/>
    <w:rsid w:val="009252C0"/>
    <w:rsid w:val="0092647D"/>
    <w:rsid w:val="00926A81"/>
    <w:rsid w:val="0092727A"/>
    <w:rsid w:val="009276D7"/>
    <w:rsid w:val="009308C5"/>
    <w:rsid w:val="0093138F"/>
    <w:rsid w:val="00932865"/>
    <w:rsid w:val="00932EFD"/>
    <w:rsid w:val="0093555E"/>
    <w:rsid w:val="00937D7A"/>
    <w:rsid w:val="009400C6"/>
    <w:rsid w:val="00940629"/>
    <w:rsid w:val="0094083E"/>
    <w:rsid w:val="00942A5E"/>
    <w:rsid w:val="00943DA7"/>
    <w:rsid w:val="0094666D"/>
    <w:rsid w:val="00946E65"/>
    <w:rsid w:val="00950CBD"/>
    <w:rsid w:val="00952C2E"/>
    <w:rsid w:val="00953389"/>
    <w:rsid w:val="00954326"/>
    <w:rsid w:val="00955BE8"/>
    <w:rsid w:val="00955C4F"/>
    <w:rsid w:val="00957262"/>
    <w:rsid w:val="00957BC9"/>
    <w:rsid w:val="009600F0"/>
    <w:rsid w:val="009645C5"/>
    <w:rsid w:val="00964F79"/>
    <w:rsid w:val="00965EB4"/>
    <w:rsid w:val="00966082"/>
    <w:rsid w:val="00966BB1"/>
    <w:rsid w:val="00967129"/>
    <w:rsid w:val="00970AB5"/>
    <w:rsid w:val="00970FB3"/>
    <w:rsid w:val="00971165"/>
    <w:rsid w:val="0097142B"/>
    <w:rsid w:val="0097155D"/>
    <w:rsid w:val="00972E82"/>
    <w:rsid w:val="009735DC"/>
    <w:rsid w:val="009743D9"/>
    <w:rsid w:val="009762DC"/>
    <w:rsid w:val="00976646"/>
    <w:rsid w:val="0098138E"/>
    <w:rsid w:val="00981663"/>
    <w:rsid w:val="009819B6"/>
    <w:rsid w:val="00982898"/>
    <w:rsid w:val="0098655A"/>
    <w:rsid w:val="009903C9"/>
    <w:rsid w:val="00991A5C"/>
    <w:rsid w:val="00993A80"/>
    <w:rsid w:val="00994AB5"/>
    <w:rsid w:val="009951DC"/>
    <w:rsid w:val="00996EAB"/>
    <w:rsid w:val="009A309D"/>
    <w:rsid w:val="009A498D"/>
    <w:rsid w:val="009A51D4"/>
    <w:rsid w:val="009A5706"/>
    <w:rsid w:val="009A5A2F"/>
    <w:rsid w:val="009B260E"/>
    <w:rsid w:val="009B27F5"/>
    <w:rsid w:val="009B36B5"/>
    <w:rsid w:val="009B4AA1"/>
    <w:rsid w:val="009B56AC"/>
    <w:rsid w:val="009B6BFB"/>
    <w:rsid w:val="009B7C3E"/>
    <w:rsid w:val="009C0837"/>
    <w:rsid w:val="009C39B7"/>
    <w:rsid w:val="009C44E8"/>
    <w:rsid w:val="009C4E5D"/>
    <w:rsid w:val="009C56BC"/>
    <w:rsid w:val="009C5EE8"/>
    <w:rsid w:val="009C6747"/>
    <w:rsid w:val="009D25D1"/>
    <w:rsid w:val="009D3C38"/>
    <w:rsid w:val="009D41EF"/>
    <w:rsid w:val="009D5573"/>
    <w:rsid w:val="009D6327"/>
    <w:rsid w:val="009E0AAC"/>
    <w:rsid w:val="009E3935"/>
    <w:rsid w:val="009E3B33"/>
    <w:rsid w:val="009E461D"/>
    <w:rsid w:val="009E622D"/>
    <w:rsid w:val="009E7348"/>
    <w:rsid w:val="009E77A1"/>
    <w:rsid w:val="009E7C7F"/>
    <w:rsid w:val="009F2096"/>
    <w:rsid w:val="009F2957"/>
    <w:rsid w:val="009F38AC"/>
    <w:rsid w:val="009F3B7C"/>
    <w:rsid w:val="009F5D8A"/>
    <w:rsid w:val="009F6C09"/>
    <w:rsid w:val="009F70C8"/>
    <w:rsid w:val="00A007BB"/>
    <w:rsid w:val="00A00A33"/>
    <w:rsid w:val="00A00A5B"/>
    <w:rsid w:val="00A01A16"/>
    <w:rsid w:val="00A02657"/>
    <w:rsid w:val="00A02E51"/>
    <w:rsid w:val="00A03415"/>
    <w:rsid w:val="00A04B89"/>
    <w:rsid w:val="00A04BBE"/>
    <w:rsid w:val="00A04C71"/>
    <w:rsid w:val="00A053DD"/>
    <w:rsid w:val="00A05624"/>
    <w:rsid w:val="00A057D1"/>
    <w:rsid w:val="00A07A10"/>
    <w:rsid w:val="00A1111C"/>
    <w:rsid w:val="00A11CA7"/>
    <w:rsid w:val="00A133CA"/>
    <w:rsid w:val="00A1380E"/>
    <w:rsid w:val="00A13F50"/>
    <w:rsid w:val="00A14DC6"/>
    <w:rsid w:val="00A16FFD"/>
    <w:rsid w:val="00A17CE0"/>
    <w:rsid w:val="00A20ECA"/>
    <w:rsid w:val="00A213E2"/>
    <w:rsid w:val="00A21775"/>
    <w:rsid w:val="00A218F1"/>
    <w:rsid w:val="00A21C84"/>
    <w:rsid w:val="00A22340"/>
    <w:rsid w:val="00A23BB0"/>
    <w:rsid w:val="00A240C8"/>
    <w:rsid w:val="00A242F8"/>
    <w:rsid w:val="00A2503D"/>
    <w:rsid w:val="00A25217"/>
    <w:rsid w:val="00A25429"/>
    <w:rsid w:val="00A27ED3"/>
    <w:rsid w:val="00A3390B"/>
    <w:rsid w:val="00A358D6"/>
    <w:rsid w:val="00A37BCB"/>
    <w:rsid w:val="00A402A2"/>
    <w:rsid w:val="00A42306"/>
    <w:rsid w:val="00A427D5"/>
    <w:rsid w:val="00A46AAD"/>
    <w:rsid w:val="00A47291"/>
    <w:rsid w:val="00A5154A"/>
    <w:rsid w:val="00A51FE8"/>
    <w:rsid w:val="00A534E4"/>
    <w:rsid w:val="00A55ACD"/>
    <w:rsid w:val="00A56D85"/>
    <w:rsid w:val="00A6403D"/>
    <w:rsid w:val="00A642D7"/>
    <w:rsid w:val="00A6457B"/>
    <w:rsid w:val="00A65B6B"/>
    <w:rsid w:val="00A66A14"/>
    <w:rsid w:val="00A672B9"/>
    <w:rsid w:val="00A70E27"/>
    <w:rsid w:val="00A7105C"/>
    <w:rsid w:val="00A71EE3"/>
    <w:rsid w:val="00A72A0B"/>
    <w:rsid w:val="00A72D8C"/>
    <w:rsid w:val="00A73C03"/>
    <w:rsid w:val="00A7452C"/>
    <w:rsid w:val="00A76755"/>
    <w:rsid w:val="00A80711"/>
    <w:rsid w:val="00A80883"/>
    <w:rsid w:val="00A80EDB"/>
    <w:rsid w:val="00A81DC5"/>
    <w:rsid w:val="00A82D77"/>
    <w:rsid w:val="00A839E3"/>
    <w:rsid w:val="00A83C9A"/>
    <w:rsid w:val="00A854AE"/>
    <w:rsid w:val="00A85D9E"/>
    <w:rsid w:val="00A862B7"/>
    <w:rsid w:val="00A868B1"/>
    <w:rsid w:val="00A86AF6"/>
    <w:rsid w:val="00A874CC"/>
    <w:rsid w:val="00A8798F"/>
    <w:rsid w:val="00A93AC8"/>
    <w:rsid w:val="00A94F36"/>
    <w:rsid w:val="00A95A6E"/>
    <w:rsid w:val="00A95DA8"/>
    <w:rsid w:val="00A97AD6"/>
    <w:rsid w:val="00AA00D2"/>
    <w:rsid w:val="00AA03A0"/>
    <w:rsid w:val="00AA137D"/>
    <w:rsid w:val="00AA1947"/>
    <w:rsid w:val="00AA2DC3"/>
    <w:rsid w:val="00AA37BC"/>
    <w:rsid w:val="00AA4786"/>
    <w:rsid w:val="00AA6613"/>
    <w:rsid w:val="00AA7915"/>
    <w:rsid w:val="00AB22AF"/>
    <w:rsid w:val="00AB6FA4"/>
    <w:rsid w:val="00AB7C23"/>
    <w:rsid w:val="00AC0054"/>
    <w:rsid w:val="00AC0F7F"/>
    <w:rsid w:val="00AC3196"/>
    <w:rsid w:val="00AC3E33"/>
    <w:rsid w:val="00AD1855"/>
    <w:rsid w:val="00AD2404"/>
    <w:rsid w:val="00AD40E5"/>
    <w:rsid w:val="00AD4B7E"/>
    <w:rsid w:val="00AD51F2"/>
    <w:rsid w:val="00AD5CF1"/>
    <w:rsid w:val="00AE0A31"/>
    <w:rsid w:val="00AE0B12"/>
    <w:rsid w:val="00AE43C1"/>
    <w:rsid w:val="00AE5515"/>
    <w:rsid w:val="00AE7CDB"/>
    <w:rsid w:val="00AE9C85"/>
    <w:rsid w:val="00AF00BB"/>
    <w:rsid w:val="00AF00E5"/>
    <w:rsid w:val="00AF078A"/>
    <w:rsid w:val="00AF27B3"/>
    <w:rsid w:val="00AF4ED0"/>
    <w:rsid w:val="00AF5A92"/>
    <w:rsid w:val="00AF5C24"/>
    <w:rsid w:val="00B019B3"/>
    <w:rsid w:val="00B01F7E"/>
    <w:rsid w:val="00B01FA8"/>
    <w:rsid w:val="00B02570"/>
    <w:rsid w:val="00B0349F"/>
    <w:rsid w:val="00B03A79"/>
    <w:rsid w:val="00B0730B"/>
    <w:rsid w:val="00B07F75"/>
    <w:rsid w:val="00B10128"/>
    <w:rsid w:val="00B10E96"/>
    <w:rsid w:val="00B15D06"/>
    <w:rsid w:val="00B16AF3"/>
    <w:rsid w:val="00B1766D"/>
    <w:rsid w:val="00B204D1"/>
    <w:rsid w:val="00B2074F"/>
    <w:rsid w:val="00B20CA8"/>
    <w:rsid w:val="00B2118A"/>
    <w:rsid w:val="00B22ED5"/>
    <w:rsid w:val="00B237F5"/>
    <w:rsid w:val="00B24002"/>
    <w:rsid w:val="00B2620E"/>
    <w:rsid w:val="00B265CF"/>
    <w:rsid w:val="00B301F2"/>
    <w:rsid w:val="00B3087D"/>
    <w:rsid w:val="00B316FF"/>
    <w:rsid w:val="00B31F9C"/>
    <w:rsid w:val="00B32B9F"/>
    <w:rsid w:val="00B337F5"/>
    <w:rsid w:val="00B34794"/>
    <w:rsid w:val="00B3497C"/>
    <w:rsid w:val="00B3591A"/>
    <w:rsid w:val="00B368D5"/>
    <w:rsid w:val="00B36C7F"/>
    <w:rsid w:val="00B3731E"/>
    <w:rsid w:val="00B4013C"/>
    <w:rsid w:val="00B41356"/>
    <w:rsid w:val="00B41E9F"/>
    <w:rsid w:val="00B46C36"/>
    <w:rsid w:val="00B50681"/>
    <w:rsid w:val="00B516BF"/>
    <w:rsid w:val="00B5193B"/>
    <w:rsid w:val="00B51E25"/>
    <w:rsid w:val="00B52183"/>
    <w:rsid w:val="00B5240E"/>
    <w:rsid w:val="00B5362B"/>
    <w:rsid w:val="00B5615B"/>
    <w:rsid w:val="00B56C1F"/>
    <w:rsid w:val="00B60421"/>
    <w:rsid w:val="00B60C20"/>
    <w:rsid w:val="00B64700"/>
    <w:rsid w:val="00B66C94"/>
    <w:rsid w:val="00B67A6C"/>
    <w:rsid w:val="00B705FC"/>
    <w:rsid w:val="00B7079C"/>
    <w:rsid w:val="00B70B3F"/>
    <w:rsid w:val="00B714E0"/>
    <w:rsid w:val="00B717FE"/>
    <w:rsid w:val="00B72995"/>
    <w:rsid w:val="00B74607"/>
    <w:rsid w:val="00B74977"/>
    <w:rsid w:val="00B74E55"/>
    <w:rsid w:val="00B80485"/>
    <w:rsid w:val="00B807D4"/>
    <w:rsid w:val="00B80F83"/>
    <w:rsid w:val="00B81144"/>
    <w:rsid w:val="00B8190E"/>
    <w:rsid w:val="00B81C74"/>
    <w:rsid w:val="00B81EFB"/>
    <w:rsid w:val="00B835A0"/>
    <w:rsid w:val="00B83C51"/>
    <w:rsid w:val="00B8557E"/>
    <w:rsid w:val="00B856E3"/>
    <w:rsid w:val="00B85E85"/>
    <w:rsid w:val="00B86E27"/>
    <w:rsid w:val="00B900B4"/>
    <w:rsid w:val="00B90628"/>
    <w:rsid w:val="00B91F06"/>
    <w:rsid w:val="00B93473"/>
    <w:rsid w:val="00B937F1"/>
    <w:rsid w:val="00B93EE6"/>
    <w:rsid w:val="00B94480"/>
    <w:rsid w:val="00B94D1E"/>
    <w:rsid w:val="00B94F65"/>
    <w:rsid w:val="00B969B3"/>
    <w:rsid w:val="00B971CE"/>
    <w:rsid w:val="00B9752C"/>
    <w:rsid w:val="00B976AD"/>
    <w:rsid w:val="00BA0820"/>
    <w:rsid w:val="00BA3550"/>
    <w:rsid w:val="00BA4529"/>
    <w:rsid w:val="00BA56F7"/>
    <w:rsid w:val="00BA5E10"/>
    <w:rsid w:val="00BA6A81"/>
    <w:rsid w:val="00BA7887"/>
    <w:rsid w:val="00BB0243"/>
    <w:rsid w:val="00BB21C6"/>
    <w:rsid w:val="00BB29CC"/>
    <w:rsid w:val="00BB3CDE"/>
    <w:rsid w:val="00BB3D3D"/>
    <w:rsid w:val="00BB41FE"/>
    <w:rsid w:val="00BB4774"/>
    <w:rsid w:val="00BB567A"/>
    <w:rsid w:val="00BB6C04"/>
    <w:rsid w:val="00BC486A"/>
    <w:rsid w:val="00BC66C4"/>
    <w:rsid w:val="00BC6FE1"/>
    <w:rsid w:val="00BC7FA6"/>
    <w:rsid w:val="00BD0C51"/>
    <w:rsid w:val="00BD2D15"/>
    <w:rsid w:val="00BD3EEC"/>
    <w:rsid w:val="00BD654E"/>
    <w:rsid w:val="00BD6A6F"/>
    <w:rsid w:val="00BE1995"/>
    <w:rsid w:val="00BE199C"/>
    <w:rsid w:val="00BE23D9"/>
    <w:rsid w:val="00BE2511"/>
    <w:rsid w:val="00BE2809"/>
    <w:rsid w:val="00BE309F"/>
    <w:rsid w:val="00BE30C3"/>
    <w:rsid w:val="00BE4572"/>
    <w:rsid w:val="00BE4DF5"/>
    <w:rsid w:val="00BE7FF5"/>
    <w:rsid w:val="00BF0336"/>
    <w:rsid w:val="00BF1C59"/>
    <w:rsid w:val="00BF1E8F"/>
    <w:rsid w:val="00BF48CC"/>
    <w:rsid w:val="00BF4B51"/>
    <w:rsid w:val="00BF7488"/>
    <w:rsid w:val="00BF7A0F"/>
    <w:rsid w:val="00C0063E"/>
    <w:rsid w:val="00C018DD"/>
    <w:rsid w:val="00C023FA"/>
    <w:rsid w:val="00C0311C"/>
    <w:rsid w:val="00C03158"/>
    <w:rsid w:val="00C0380F"/>
    <w:rsid w:val="00C04232"/>
    <w:rsid w:val="00C05525"/>
    <w:rsid w:val="00C055F2"/>
    <w:rsid w:val="00C06606"/>
    <w:rsid w:val="00C06D94"/>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619B"/>
    <w:rsid w:val="00C1630E"/>
    <w:rsid w:val="00C16F65"/>
    <w:rsid w:val="00C2012E"/>
    <w:rsid w:val="00C20966"/>
    <w:rsid w:val="00C20988"/>
    <w:rsid w:val="00C236FF"/>
    <w:rsid w:val="00C34A60"/>
    <w:rsid w:val="00C34D1B"/>
    <w:rsid w:val="00C37BE5"/>
    <w:rsid w:val="00C40A96"/>
    <w:rsid w:val="00C4148B"/>
    <w:rsid w:val="00C414C5"/>
    <w:rsid w:val="00C42AE9"/>
    <w:rsid w:val="00C451E6"/>
    <w:rsid w:val="00C4540D"/>
    <w:rsid w:val="00C45F63"/>
    <w:rsid w:val="00C4628D"/>
    <w:rsid w:val="00C5200A"/>
    <w:rsid w:val="00C52A98"/>
    <w:rsid w:val="00C53821"/>
    <w:rsid w:val="00C5437A"/>
    <w:rsid w:val="00C55788"/>
    <w:rsid w:val="00C5623B"/>
    <w:rsid w:val="00C56704"/>
    <w:rsid w:val="00C57D1B"/>
    <w:rsid w:val="00C62021"/>
    <w:rsid w:val="00C6215C"/>
    <w:rsid w:val="00C62DC3"/>
    <w:rsid w:val="00C631F0"/>
    <w:rsid w:val="00C6342D"/>
    <w:rsid w:val="00C636CF"/>
    <w:rsid w:val="00C63B36"/>
    <w:rsid w:val="00C656DB"/>
    <w:rsid w:val="00C66777"/>
    <w:rsid w:val="00C72038"/>
    <w:rsid w:val="00C72548"/>
    <w:rsid w:val="00C725F1"/>
    <w:rsid w:val="00C73178"/>
    <w:rsid w:val="00C74932"/>
    <w:rsid w:val="00C74C40"/>
    <w:rsid w:val="00C7561A"/>
    <w:rsid w:val="00C774C0"/>
    <w:rsid w:val="00C7783D"/>
    <w:rsid w:val="00C80C76"/>
    <w:rsid w:val="00C81D36"/>
    <w:rsid w:val="00C85EDB"/>
    <w:rsid w:val="00C85FD5"/>
    <w:rsid w:val="00C86571"/>
    <w:rsid w:val="00C86C98"/>
    <w:rsid w:val="00C90780"/>
    <w:rsid w:val="00C913A1"/>
    <w:rsid w:val="00C9215C"/>
    <w:rsid w:val="00C938DE"/>
    <w:rsid w:val="00C94748"/>
    <w:rsid w:val="00C94DD6"/>
    <w:rsid w:val="00CA0867"/>
    <w:rsid w:val="00CA1B33"/>
    <w:rsid w:val="00CA22A2"/>
    <w:rsid w:val="00CA3AD4"/>
    <w:rsid w:val="00CA3DB1"/>
    <w:rsid w:val="00CA5AA6"/>
    <w:rsid w:val="00CA70C6"/>
    <w:rsid w:val="00CA7117"/>
    <w:rsid w:val="00CA7837"/>
    <w:rsid w:val="00CB11FC"/>
    <w:rsid w:val="00CB4AB6"/>
    <w:rsid w:val="00CB5AEA"/>
    <w:rsid w:val="00CB6790"/>
    <w:rsid w:val="00CC211A"/>
    <w:rsid w:val="00CC3745"/>
    <w:rsid w:val="00CC4955"/>
    <w:rsid w:val="00CC691B"/>
    <w:rsid w:val="00CC6A99"/>
    <w:rsid w:val="00CC782C"/>
    <w:rsid w:val="00CD16ED"/>
    <w:rsid w:val="00CD348D"/>
    <w:rsid w:val="00CD467C"/>
    <w:rsid w:val="00CD480E"/>
    <w:rsid w:val="00CD4D01"/>
    <w:rsid w:val="00CD69EA"/>
    <w:rsid w:val="00CE1601"/>
    <w:rsid w:val="00CE19E3"/>
    <w:rsid w:val="00CE1A7D"/>
    <w:rsid w:val="00CE47F3"/>
    <w:rsid w:val="00CE64C2"/>
    <w:rsid w:val="00CF040C"/>
    <w:rsid w:val="00CF0418"/>
    <w:rsid w:val="00CF0479"/>
    <w:rsid w:val="00CF1D0B"/>
    <w:rsid w:val="00CF37E3"/>
    <w:rsid w:val="00CF3BAD"/>
    <w:rsid w:val="00CF677C"/>
    <w:rsid w:val="00D006A7"/>
    <w:rsid w:val="00D00AA3"/>
    <w:rsid w:val="00D00E4F"/>
    <w:rsid w:val="00D02400"/>
    <w:rsid w:val="00D0271A"/>
    <w:rsid w:val="00D02A7F"/>
    <w:rsid w:val="00D05780"/>
    <w:rsid w:val="00D05F02"/>
    <w:rsid w:val="00D0741B"/>
    <w:rsid w:val="00D07F73"/>
    <w:rsid w:val="00D10A7F"/>
    <w:rsid w:val="00D10DDF"/>
    <w:rsid w:val="00D1117F"/>
    <w:rsid w:val="00D11961"/>
    <w:rsid w:val="00D11FC9"/>
    <w:rsid w:val="00D13052"/>
    <w:rsid w:val="00D14776"/>
    <w:rsid w:val="00D14A23"/>
    <w:rsid w:val="00D17992"/>
    <w:rsid w:val="00D2002E"/>
    <w:rsid w:val="00D2041C"/>
    <w:rsid w:val="00D20E30"/>
    <w:rsid w:val="00D2188E"/>
    <w:rsid w:val="00D21BDE"/>
    <w:rsid w:val="00D22F93"/>
    <w:rsid w:val="00D24291"/>
    <w:rsid w:val="00D25ADE"/>
    <w:rsid w:val="00D26471"/>
    <w:rsid w:val="00D3014A"/>
    <w:rsid w:val="00D3061E"/>
    <w:rsid w:val="00D30B98"/>
    <w:rsid w:val="00D36787"/>
    <w:rsid w:val="00D40510"/>
    <w:rsid w:val="00D40667"/>
    <w:rsid w:val="00D430C0"/>
    <w:rsid w:val="00D43297"/>
    <w:rsid w:val="00D43622"/>
    <w:rsid w:val="00D438CD"/>
    <w:rsid w:val="00D44026"/>
    <w:rsid w:val="00D44DB6"/>
    <w:rsid w:val="00D46FC4"/>
    <w:rsid w:val="00D47018"/>
    <w:rsid w:val="00D4714F"/>
    <w:rsid w:val="00D47FF7"/>
    <w:rsid w:val="00D50119"/>
    <w:rsid w:val="00D51542"/>
    <w:rsid w:val="00D53BCE"/>
    <w:rsid w:val="00D54380"/>
    <w:rsid w:val="00D5552E"/>
    <w:rsid w:val="00D55548"/>
    <w:rsid w:val="00D5575C"/>
    <w:rsid w:val="00D55979"/>
    <w:rsid w:val="00D567F3"/>
    <w:rsid w:val="00D611F2"/>
    <w:rsid w:val="00D61E69"/>
    <w:rsid w:val="00D623CF"/>
    <w:rsid w:val="00D6515D"/>
    <w:rsid w:val="00D6603C"/>
    <w:rsid w:val="00D66760"/>
    <w:rsid w:val="00D67711"/>
    <w:rsid w:val="00D71F03"/>
    <w:rsid w:val="00D733A0"/>
    <w:rsid w:val="00D7394F"/>
    <w:rsid w:val="00D75DB6"/>
    <w:rsid w:val="00D75ECB"/>
    <w:rsid w:val="00D82651"/>
    <w:rsid w:val="00D82A43"/>
    <w:rsid w:val="00D86AE4"/>
    <w:rsid w:val="00D86C21"/>
    <w:rsid w:val="00D86D96"/>
    <w:rsid w:val="00D87AC0"/>
    <w:rsid w:val="00D90F65"/>
    <w:rsid w:val="00D90FCB"/>
    <w:rsid w:val="00D93414"/>
    <w:rsid w:val="00D936F2"/>
    <w:rsid w:val="00D95D3A"/>
    <w:rsid w:val="00D95D96"/>
    <w:rsid w:val="00D95F5C"/>
    <w:rsid w:val="00D96FA1"/>
    <w:rsid w:val="00DA0F73"/>
    <w:rsid w:val="00DA10CB"/>
    <w:rsid w:val="00DA137D"/>
    <w:rsid w:val="00DA1D34"/>
    <w:rsid w:val="00DA1EEE"/>
    <w:rsid w:val="00DA35C1"/>
    <w:rsid w:val="00DA40CA"/>
    <w:rsid w:val="00DA441D"/>
    <w:rsid w:val="00DA4C90"/>
    <w:rsid w:val="00DA55FE"/>
    <w:rsid w:val="00DA636E"/>
    <w:rsid w:val="00DA7159"/>
    <w:rsid w:val="00DA7B5D"/>
    <w:rsid w:val="00DA7D36"/>
    <w:rsid w:val="00DB00B2"/>
    <w:rsid w:val="00DB0176"/>
    <w:rsid w:val="00DB1860"/>
    <w:rsid w:val="00DB1AD5"/>
    <w:rsid w:val="00DB3E13"/>
    <w:rsid w:val="00DB498F"/>
    <w:rsid w:val="00DB6A93"/>
    <w:rsid w:val="00DB718F"/>
    <w:rsid w:val="00DB7C38"/>
    <w:rsid w:val="00DC0A39"/>
    <w:rsid w:val="00DC2A2B"/>
    <w:rsid w:val="00DC355C"/>
    <w:rsid w:val="00DC36EB"/>
    <w:rsid w:val="00DC3711"/>
    <w:rsid w:val="00DC4EAB"/>
    <w:rsid w:val="00DC67EF"/>
    <w:rsid w:val="00DC6A26"/>
    <w:rsid w:val="00DC7114"/>
    <w:rsid w:val="00DC76B5"/>
    <w:rsid w:val="00DC7F47"/>
    <w:rsid w:val="00DC7F63"/>
    <w:rsid w:val="00DD1583"/>
    <w:rsid w:val="00DD502E"/>
    <w:rsid w:val="00DD511A"/>
    <w:rsid w:val="00DD5E7B"/>
    <w:rsid w:val="00DD6215"/>
    <w:rsid w:val="00DD62EE"/>
    <w:rsid w:val="00DD7B75"/>
    <w:rsid w:val="00DD7F7A"/>
    <w:rsid w:val="00DD7F87"/>
    <w:rsid w:val="00DE07F6"/>
    <w:rsid w:val="00DE0A18"/>
    <w:rsid w:val="00DE0D8E"/>
    <w:rsid w:val="00DE261E"/>
    <w:rsid w:val="00DE3802"/>
    <w:rsid w:val="00DE5C92"/>
    <w:rsid w:val="00DE6192"/>
    <w:rsid w:val="00DE66D7"/>
    <w:rsid w:val="00DE7362"/>
    <w:rsid w:val="00DE7CAA"/>
    <w:rsid w:val="00DF0224"/>
    <w:rsid w:val="00DF0322"/>
    <w:rsid w:val="00DF1265"/>
    <w:rsid w:val="00DF26FF"/>
    <w:rsid w:val="00DF2D8D"/>
    <w:rsid w:val="00DF333E"/>
    <w:rsid w:val="00DF4144"/>
    <w:rsid w:val="00DF58E7"/>
    <w:rsid w:val="00DF72F9"/>
    <w:rsid w:val="00E013CC"/>
    <w:rsid w:val="00E01DC2"/>
    <w:rsid w:val="00E02176"/>
    <w:rsid w:val="00E03F67"/>
    <w:rsid w:val="00E042DD"/>
    <w:rsid w:val="00E0586E"/>
    <w:rsid w:val="00E07FCE"/>
    <w:rsid w:val="00E117AA"/>
    <w:rsid w:val="00E11876"/>
    <w:rsid w:val="00E123D6"/>
    <w:rsid w:val="00E12827"/>
    <w:rsid w:val="00E128A6"/>
    <w:rsid w:val="00E15E0A"/>
    <w:rsid w:val="00E163DD"/>
    <w:rsid w:val="00E1654A"/>
    <w:rsid w:val="00E16DFE"/>
    <w:rsid w:val="00E178E0"/>
    <w:rsid w:val="00E206F4"/>
    <w:rsid w:val="00E221F4"/>
    <w:rsid w:val="00E22428"/>
    <w:rsid w:val="00E2249B"/>
    <w:rsid w:val="00E233CA"/>
    <w:rsid w:val="00E23CBB"/>
    <w:rsid w:val="00E23F27"/>
    <w:rsid w:val="00E25233"/>
    <w:rsid w:val="00E253F7"/>
    <w:rsid w:val="00E31132"/>
    <w:rsid w:val="00E32867"/>
    <w:rsid w:val="00E34E0E"/>
    <w:rsid w:val="00E36FDA"/>
    <w:rsid w:val="00E376A3"/>
    <w:rsid w:val="00E37A6E"/>
    <w:rsid w:val="00E37B59"/>
    <w:rsid w:val="00E41045"/>
    <w:rsid w:val="00E41442"/>
    <w:rsid w:val="00E41C9D"/>
    <w:rsid w:val="00E441D3"/>
    <w:rsid w:val="00E4425C"/>
    <w:rsid w:val="00E44260"/>
    <w:rsid w:val="00E448D8"/>
    <w:rsid w:val="00E457F2"/>
    <w:rsid w:val="00E47A76"/>
    <w:rsid w:val="00E50712"/>
    <w:rsid w:val="00E50BC1"/>
    <w:rsid w:val="00E51036"/>
    <w:rsid w:val="00E53CEA"/>
    <w:rsid w:val="00E5451C"/>
    <w:rsid w:val="00E55702"/>
    <w:rsid w:val="00E55B0E"/>
    <w:rsid w:val="00E561F4"/>
    <w:rsid w:val="00E56360"/>
    <w:rsid w:val="00E56852"/>
    <w:rsid w:val="00E56BCE"/>
    <w:rsid w:val="00E571F8"/>
    <w:rsid w:val="00E616F0"/>
    <w:rsid w:val="00E643AD"/>
    <w:rsid w:val="00E64D82"/>
    <w:rsid w:val="00E652F1"/>
    <w:rsid w:val="00E65DD5"/>
    <w:rsid w:val="00E66A62"/>
    <w:rsid w:val="00E670B2"/>
    <w:rsid w:val="00E716B5"/>
    <w:rsid w:val="00E718A3"/>
    <w:rsid w:val="00E71C3F"/>
    <w:rsid w:val="00E7358C"/>
    <w:rsid w:val="00E73BED"/>
    <w:rsid w:val="00E755B9"/>
    <w:rsid w:val="00E76059"/>
    <w:rsid w:val="00E76DC8"/>
    <w:rsid w:val="00E802EB"/>
    <w:rsid w:val="00E82DB8"/>
    <w:rsid w:val="00E82F9E"/>
    <w:rsid w:val="00E84141"/>
    <w:rsid w:val="00E86C93"/>
    <w:rsid w:val="00E87BEF"/>
    <w:rsid w:val="00E87F25"/>
    <w:rsid w:val="00E87FCE"/>
    <w:rsid w:val="00E90B90"/>
    <w:rsid w:val="00E918CC"/>
    <w:rsid w:val="00E91E43"/>
    <w:rsid w:val="00E920EB"/>
    <w:rsid w:val="00E93278"/>
    <w:rsid w:val="00E93654"/>
    <w:rsid w:val="00E95D10"/>
    <w:rsid w:val="00E97356"/>
    <w:rsid w:val="00E9CF6D"/>
    <w:rsid w:val="00EA129C"/>
    <w:rsid w:val="00EA16EB"/>
    <w:rsid w:val="00EA1F3F"/>
    <w:rsid w:val="00EA296E"/>
    <w:rsid w:val="00EA2F4B"/>
    <w:rsid w:val="00EA33A3"/>
    <w:rsid w:val="00EA36C6"/>
    <w:rsid w:val="00EA3785"/>
    <w:rsid w:val="00EA4CE8"/>
    <w:rsid w:val="00EA506F"/>
    <w:rsid w:val="00EA5190"/>
    <w:rsid w:val="00EA5EA8"/>
    <w:rsid w:val="00EA5FBA"/>
    <w:rsid w:val="00EA6748"/>
    <w:rsid w:val="00EA732F"/>
    <w:rsid w:val="00EB0524"/>
    <w:rsid w:val="00EB3A40"/>
    <w:rsid w:val="00EB47E6"/>
    <w:rsid w:val="00EB5725"/>
    <w:rsid w:val="00EB72EB"/>
    <w:rsid w:val="00EC1A40"/>
    <w:rsid w:val="00EC2CF7"/>
    <w:rsid w:val="00EC402C"/>
    <w:rsid w:val="00EC725A"/>
    <w:rsid w:val="00EC7F7E"/>
    <w:rsid w:val="00ED3440"/>
    <w:rsid w:val="00ED5725"/>
    <w:rsid w:val="00ED7031"/>
    <w:rsid w:val="00EE0FF3"/>
    <w:rsid w:val="00EE3060"/>
    <w:rsid w:val="00EE30ED"/>
    <w:rsid w:val="00EE3FFB"/>
    <w:rsid w:val="00EE4315"/>
    <w:rsid w:val="00EE52A8"/>
    <w:rsid w:val="00EE7866"/>
    <w:rsid w:val="00EF0803"/>
    <w:rsid w:val="00EF0BA5"/>
    <w:rsid w:val="00EF100B"/>
    <w:rsid w:val="00EF4419"/>
    <w:rsid w:val="00EF7C31"/>
    <w:rsid w:val="00F00154"/>
    <w:rsid w:val="00F01489"/>
    <w:rsid w:val="00F01B05"/>
    <w:rsid w:val="00F01DC9"/>
    <w:rsid w:val="00F022DF"/>
    <w:rsid w:val="00F028A2"/>
    <w:rsid w:val="00F0392A"/>
    <w:rsid w:val="00F03B35"/>
    <w:rsid w:val="00F0706E"/>
    <w:rsid w:val="00F07875"/>
    <w:rsid w:val="00F11E76"/>
    <w:rsid w:val="00F15037"/>
    <w:rsid w:val="00F154C6"/>
    <w:rsid w:val="00F15B9A"/>
    <w:rsid w:val="00F17C5E"/>
    <w:rsid w:val="00F20559"/>
    <w:rsid w:val="00F21594"/>
    <w:rsid w:val="00F216AD"/>
    <w:rsid w:val="00F217DE"/>
    <w:rsid w:val="00F2229C"/>
    <w:rsid w:val="00F22A6D"/>
    <w:rsid w:val="00F2311F"/>
    <w:rsid w:val="00F231AE"/>
    <w:rsid w:val="00F23E9A"/>
    <w:rsid w:val="00F24EA2"/>
    <w:rsid w:val="00F26E9B"/>
    <w:rsid w:val="00F26ED3"/>
    <w:rsid w:val="00F307A8"/>
    <w:rsid w:val="00F31060"/>
    <w:rsid w:val="00F3141C"/>
    <w:rsid w:val="00F31D1C"/>
    <w:rsid w:val="00F3255C"/>
    <w:rsid w:val="00F3351F"/>
    <w:rsid w:val="00F361A8"/>
    <w:rsid w:val="00F37489"/>
    <w:rsid w:val="00F438BD"/>
    <w:rsid w:val="00F44C91"/>
    <w:rsid w:val="00F45E47"/>
    <w:rsid w:val="00F47237"/>
    <w:rsid w:val="00F47DB5"/>
    <w:rsid w:val="00F50D49"/>
    <w:rsid w:val="00F51717"/>
    <w:rsid w:val="00F522C6"/>
    <w:rsid w:val="00F52EFB"/>
    <w:rsid w:val="00F5305E"/>
    <w:rsid w:val="00F5407A"/>
    <w:rsid w:val="00F549CB"/>
    <w:rsid w:val="00F571F7"/>
    <w:rsid w:val="00F61CAF"/>
    <w:rsid w:val="00F621CE"/>
    <w:rsid w:val="00F62B7A"/>
    <w:rsid w:val="00F6304B"/>
    <w:rsid w:val="00F63108"/>
    <w:rsid w:val="00F635C7"/>
    <w:rsid w:val="00F6397D"/>
    <w:rsid w:val="00F6399B"/>
    <w:rsid w:val="00F705FF"/>
    <w:rsid w:val="00F7126C"/>
    <w:rsid w:val="00F714C9"/>
    <w:rsid w:val="00F72263"/>
    <w:rsid w:val="00F7293E"/>
    <w:rsid w:val="00F756D7"/>
    <w:rsid w:val="00F76650"/>
    <w:rsid w:val="00F766F7"/>
    <w:rsid w:val="00F807C7"/>
    <w:rsid w:val="00F80EFF"/>
    <w:rsid w:val="00F810F4"/>
    <w:rsid w:val="00F812AA"/>
    <w:rsid w:val="00F82025"/>
    <w:rsid w:val="00F8276C"/>
    <w:rsid w:val="00F827EE"/>
    <w:rsid w:val="00F82DEA"/>
    <w:rsid w:val="00F8437E"/>
    <w:rsid w:val="00F854D7"/>
    <w:rsid w:val="00F85A42"/>
    <w:rsid w:val="00F8623C"/>
    <w:rsid w:val="00F9187B"/>
    <w:rsid w:val="00F92385"/>
    <w:rsid w:val="00F960F3"/>
    <w:rsid w:val="00F96D6E"/>
    <w:rsid w:val="00F97C11"/>
    <w:rsid w:val="00F97D2F"/>
    <w:rsid w:val="00FA171B"/>
    <w:rsid w:val="00FA1984"/>
    <w:rsid w:val="00FA1B4F"/>
    <w:rsid w:val="00FA1C01"/>
    <w:rsid w:val="00FA22FB"/>
    <w:rsid w:val="00FA2A52"/>
    <w:rsid w:val="00FA2F80"/>
    <w:rsid w:val="00FA3FCC"/>
    <w:rsid w:val="00FA51CD"/>
    <w:rsid w:val="00FA5B45"/>
    <w:rsid w:val="00FB0729"/>
    <w:rsid w:val="00FB1D90"/>
    <w:rsid w:val="00FB2C54"/>
    <w:rsid w:val="00FC0F42"/>
    <w:rsid w:val="00FC169B"/>
    <w:rsid w:val="00FC35A8"/>
    <w:rsid w:val="00FC47F9"/>
    <w:rsid w:val="00FC727D"/>
    <w:rsid w:val="00FC76EE"/>
    <w:rsid w:val="00FD080B"/>
    <w:rsid w:val="00FD2995"/>
    <w:rsid w:val="00FD7E99"/>
    <w:rsid w:val="00FE0849"/>
    <w:rsid w:val="00FE1D20"/>
    <w:rsid w:val="00FE2513"/>
    <w:rsid w:val="00FE458C"/>
    <w:rsid w:val="00FE4A4A"/>
    <w:rsid w:val="00FE5580"/>
    <w:rsid w:val="00FE5BFA"/>
    <w:rsid w:val="00FF110C"/>
    <w:rsid w:val="00FF3F48"/>
    <w:rsid w:val="00FF40DF"/>
    <w:rsid w:val="00FF4180"/>
    <w:rsid w:val="00FF4B32"/>
    <w:rsid w:val="00FF4B41"/>
    <w:rsid w:val="00FF548E"/>
    <w:rsid w:val="00FF5517"/>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rsid w:val="00B01F7E"/>
    <w:pPr>
      <w:spacing w:after="120"/>
    </w:pPr>
    <w:rPr>
      <w:sz w:val="22"/>
      <w:szCs w:val="20"/>
    </w:rPr>
  </w:style>
  <w:style w:type="character" w:customStyle="1" w:styleId="FootnoteTextChar">
    <w:name w:val="Footnote Text Char"/>
    <w:aliases w:val="Footnote style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paragraph" w:customStyle="1" w:styleId="Default">
    <w:name w:val="Default"/>
    <w:rsid w:val="00B36C7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115446156">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covid/" TargetMode="External"/><Relationship Id="rId1" Type="http://schemas.openxmlformats.org/officeDocument/2006/relationships/hyperlink" Target="http://covid19.ca.gov/img/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8443-BAFE-403C-AF71-24C52825246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3519</ap:Words>
  <ap:Characters>20064</ap:Characters>
  <ap:Application>Microsoft Office Word</ap:Application>
  <ap:DocSecurity>0</ap:DocSecurity>
  <ap:Lines>167</ap:Lines>
  <ap:Paragraphs>47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23536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2021-06-25T10:22:20Z</dcterms:created>
  <dcterms:modified xsi:type="dcterms:W3CDTF">2021-06-25T10:22:20Z</dcterms:modified>
</cp:coreProperties>
</file>