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62F" w:rsidR="003B1DBD" w:rsidP="00A622F6" w:rsidRDefault="003B1DBD" w14:paraId="57F382AD" w14:textId="77777777">
      <w:pPr>
        <w:pStyle w:val="Title"/>
        <w:rPr>
          <w:rFonts w:ascii="Palatino Linotype" w:hAnsi="Palatino Linotype" w:cstheme="minorHAnsi"/>
          <w:szCs w:val="24"/>
        </w:rPr>
      </w:pPr>
      <w:r w:rsidRPr="00E0262F">
        <w:rPr>
          <w:rFonts w:ascii="Palatino Linotype" w:hAnsi="Palatino Linotype" w:cstheme="minorHAnsi"/>
          <w:szCs w:val="24"/>
        </w:rPr>
        <w:t>PUBLIC UTILITIES COMMISSION OF THE STATE OF CALIFORNIA</w:t>
      </w:r>
    </w:p>
    <w:p w:rsidRPr="00E0262F" w:rsidR="003B1DBD" w:rsidP="00A622F6" w:rsidRDefault="003B1DBD" w14:paraId="33E8FF30" w14:textId="77777777">
      <w:pPr>
        <w:rPr>
          <w:rFonts w:ascii="Palatino Linotype" w:hAnsi="Palatino Linotype" w:cstheme="minorHAnsi"/>
        </w:rPr>
      </w:pPr>
    </w:p>
    <w:p w:rsidRPr="00E0262F" w:rsidR="003B1DBD" w:rsidP="003B1DBD" w:rsidRDefault="003B1DBD" w14:paraId="7317C13F" w14:textId="1B6216B2">
      <w:pPr>
        <w:tabs>
          <w:tab w:val="right" w:pos="9360"/>
        </w:tabs>
        <w:rPr>
          <w:rFonts w:ascii="Palatino Linotype" w:hAnsi="Palatino Linotype" w:cstheme="minorHAnsi"/>
          <w:b/>
        </w:rPr>
      </w:pPr>
      <w:r w:rsidRPr="00E0262F">
        <w:rPr>
          <w:rFonts w:ascii="Palatino Linotype" w:hAnsi="Palatino Linotype" w:cstheme="minorHAnsi"/>
          <w:b/>
        </w:rPr>
        <w:t>Communications Division</w:t>
      </w:r>
      <w:r w:rsidRPr="00E0262F">
        <w:rPr>
          <w:rFonts w:ascii="Palatino Linotype" w:hAnsi="Palatino Linotype" w:cstheme="minorHAnsi"/>
          <w:b/>
        </w:rPr>
        <w:tab/>
        <w:t>RESOLUTION T-</w:t>
      </w:r>
      <w:r w:rsidRPr="00E0262F" w:rsidR="007D146F">
        <w:rPr>
          <w:rFonts w:ascii="Palatino Linotype" w:hAnsi="Palatino Linotype" w:cstheme="minorHAnsi"/>
          <w:b/>
        </w:rPr>
        <w:t>17734</w:t>
      </w:r>
    </w:p>
    <w:p w:rsidRPr="00E0262F" w:rsidR="003B1DBD" w:rsidP="003B1DBD" w:rsidRDefault="00A47ECF" w14:paraId="715D7AFB" w14:textId="639030F4">
      <w:pPr>
        <w:tabs>
          <w:tab w:val="right" w:pos="9360"/>
        </w:tabs>
        <w:rPr>
          <w:rFonts w:ascii="Palatino Linotype" w:hAnsi="Palatino Linotype" w:cstheme="minorHAnsi"/>
          <w:b/>
        </w:rPr>
      </w:pPr>
      <w:r w:rsidRPr="00B479ED">
        <w:rPr>
          <w:rFonts w:ascii="Palatino Linotype" w:hAnsi="Palatino Linotype" w:cstheme="minorHAnsi"/>
          <w:b/>
        </w:rPr>
        <w:t xml:space="preserve">Carrier Oversight and Programs </w:t>
      </w:r>
      <w:r w:rsidRPr="00B479ED" w:rsidR="003B1DBD">
        <w:rPr>
          <w:rFonts w:ascii="Palatino Linotype" w:hAnsi="Palatino Linotype" w:cstheme="minorHAnsi"/>
          <w:b/>
        </w:rPr>
        <w:t>Branch</w:t>
      </w:r>
      <w:r w:rsidRPr="00B479ED" w:rsidR="003B1DBD">
        <w:rPr>
          <w:rFonts w:ascii="Palatino Linotype" w:hAnsi="Palatino Linotype" w:cstheme="minorHAnsi"/>
          <w:b/>
        </w:rPr>
        <w:tab/>
      </w:r>
      <w:r w:rsidRPr="00B479ED" w:rsidR="003A5F1A">
        <w:rPr>
          <w:rFonts w:ascii="Palatino Linotype" w:hAnsi="Palatino Linotype" w:cstheme="minorHAnsi"/>
          <w:b/>
        </w:rPr>
        <w:t xml:space="preserve">August </w:t>
      </w:r>
      <w:r w:rsidRPr="00B479ED" w:rsidR="00EC24E6">
        <w:rPr>
          <w:rFonts w:ascii="Palatino Linotype" w:hAnsi="Palatino Linotype" w:cstheme="minorHAnsi"/>
          <w:b/>
        </w:rPr>
        <w:t>19</w:t>
      </w:r>
      <w:r w:rsidRPr="00B479ED" w:rsidR="003A5F1A">
        <w:rPr>
          <w:rFonts w:ascii="Palatino Linotype" w:hAnsi="Palatino Linotype" w:cstheme="minorHAnsi"/>
          <w:b/>
        </w:rPr>
        <w:t>,</w:t>
      </w:r>
      <w:r w:rsidRPr="00B479ED" w:rsidR="003B1DBD">
        <w:rPr>
          <w:rFonts w:ascii="Palatino Linotype" w:hAnsi="Palatino Linotype" w:cstheme="minorHAnsi"/>
          <w:b/>
        </w:rPr>
        <w:t xml:space="preserve"> 20</w:t>
      </w:r>
      <w:r w:rsidRPr="00B479ED" w:rsidR="00C73BD4">
        <w:rPr>
          <w:rFonts w:ascii="Palatino Linotype" w:hAnsi="Palatino Linotype" w:cstheme="minorHAnsi"/>
          <w:b/>
        </w:rPr>
        <w:t>21</w:t>
      </w:r>
    </w:p>
    <w:p w:rsidRPr="00E0262F" w:rsidR="003B1DBD" w:rsidP="001716EC" w:rsidRDefault="003B1DBD" w14:paraId="2A43DB02" w14:textId="1C6C618B">
      <w:pPr>
        <w:tabs>
          <w:tab w:val="left" w:pos="6210"/>
        </w:tabs>
        <w:rPr>
          <w:rFonts w:ascii="Palatino Linotype" w:hAnsi="Palatino Linotype" w:cstheme="minorHAnsi"/>
          <w:i/>
        </w:rPr>
      </w:pPr>
      <w:r w:rsidRPr="00E0262F">
        <w:rPr>
          <w:rFonts w:ascii="Palatino Linotype" w:hAnsi="Palatino Linotype" w:cstheme="minorHAnsi"/>
          <w:b/>
        </w:rPr>
        <w:tab/>
      </w:r>
      <w:r w:rsidRPr="00E0262F" w:rsidR="001716EC">
        <w:rPr>
          <w:rFonts w:ascii="Palatino Linotype" w:hAnsi="Palatino Linotype" w:cstheme="minorHAnsi"/>
          <w:b/>
        </w:rPr>
        <w:t xml:space="preserve"> </w:t>
      </w:r>
      <w:r w:rsidRPr="00E0262F">
        <w:rPr>
          <w:rFonts w:ascii="Palatino Linotype" w:hAnsi="Palatino Linotype" w:cstheme="minorHAnsi"/>
          <w:b/>
        </w:rPr>
        <w:t xml:space="preserve">     </w:t>
      </w:r>
    </w:p>
    <w:p w:rsidRPr="00E0262F" w:rsidR="003B1DBD" w:rsidP="003B1DBD" w:rsidRDefault="003B1DBD" w14:paraId="0BF6F638" w14:textId="77777777">
      <w:pPr>
        <w:tabs>
          <w:tab w:val="right" w:pos="10080"/>
        </w:tabs>
        <w:jc w:val="center"/>
        <w:rPr>
          <w:rFonts w:ascii="Palatino Linotype" w:hAnsi="Palatino Linotype" w:cstheme="minorHAnsi"/>
          <w:b/>
          <w:u w:val="single"/>
        </w:rPr>
      </w:pPr>
      <w:r w:rsidRPr="00E0262F">
        <w:rPr>
          <w:rFonts w:ascii="Palatino Linotype" w:hAnsi="Palatino Linotype" w:cstheme="minorHAnsi"/>
          <w:b/>
          <w:u w:val="single"/>
        </w:rPr>
        <w:t>R E S O L U T I O N</w:t>
      </w:r>
    </w:p>
    <w:p w:rsidRPr="00E0262F" w:rsidR="003B1DBD" w:rsidP="003B1DBD" w:rsidRDefault="003B1DBD" w14:paraId="1C507346" w14:textId="77777777">
      <w:pPr>
        <w:tabs>
          <w:tab w:val="right" w:pos="10080"/>
        </w:tabs>
        <w:jc w:val="center"/>
        <w:rPr>
          <w:rFonts w:ascii="Palatino Linotype" w:hAnsi="Palatino Linotype" w:cstheme="minorHAnsi"/>
          <w:b/>
        </w:rPr>
      </w:pPr>
    </w:p>
    <w:p w:rsidRPr="00E0262F" w:rsidR="00C73BD4" w:rsidP="003B1DBD" w:rsidRDefault="003B1DBD" w14:paraId="1A7DBD3B" w14:textId="41E70EC9">
      <w:pPr>
        <w:tabs>
          <w:tab w:val="right" w:pos="10080"/>
        </w:tabs>
        <w:rPr>
          <w:rFonts w:ascii="Palatino Linotype" w:hAnsi="Palatino Linotype" w:cstheme="minorHAnsi"/>
          <w:b/>
        </w:rPr>
      </w:pPr>
      <w:r w:rsidRPr="00E0262F">
        <w:rPr>
          <w:rFonts w:ascii="Palatino Linotype" w:hAnsi="Palatino Linotype" w:cstheme="minorHAnsi"/>
          <w:b/>
        </w:rPr>
        <w:t>RESOLUTION T-</w:t>
      </w:r>
      <w:r w:rsidRPr="00E0262F" w:rsidR="007D146F">
        <w:rPr>
          <w:rFonts w:ascii="Palatino Linotype" w:hAnsi="Palatino Linotype" w:cstheme="minorHAnsi"/>
          <w:b/>
        </w:rPr>
        <w:t>17734</w:t>
      </w:r>
      <w:r w:rsidRPr="00E0262F" w:rsidR="009F7EF0">
        <w:rPr>
          <w:rFonts w:ascii="Palatino Linotype" w:hAnsi="Palatino Linotype" w:cstheme="minorHAnsi"/>
          <w:b/>
        </w:rPr>
        <w:t>.</w:t>
      </w:r>
      <w:r w:rsidRPr="00E0262F" w:rsidR="007D146F">
        <w:rPr>
          <w:rFonts w:ascii="Palatino Linotype" w:hAnsi="Palatino Linotype" w:cstheme="minorHAnsi"/>
          <w:b/>
        </w:rPr>
        <w:t xml:space="preserve"> </w:t>
      </w:r>
      <w:r w:rsidRPr="00E0262F" w:rsidR="00016D98">
        <w:rPr>
          <w:rFonts w:ascii="Palatino Linotype" w:hAnsi="Palatino Linotype" w:cstheme="minorHAnsi"/>
          <w:b/>
        </w:rPr>
        <w:t>Approves</w:t>
      </w:r>
      <w:r w:rsidRPr="00E0262F" w:rsidR="00392639">
        <w:rPr>
          <w:rFonts w:ascii="Palatino Linotype" w:hAnsi="Palatino Linotype" w:cstheme="minorHAnsi"/>
          <w:b/>
        </w:rPr>
        <w:t xml:space="preserve"> </w:t>
      </w:r>
      <w:r w:rsidR="00BF3FA9">
        <w:rPr>
          <w:rFonts w:ascii="Palatino Linotype" w:hAnsi="Palatino Linotype" w:cstheme="minorHAnsi"/>
          <w:b/>
        </w:rPr>
        <w:t xml:space="preserve">the adoption of </w:t>
      </w:r>
      <w:r w:rsidRPr="00E0262F" w:rsidR="00392639">
        <w:rPr>
          <w:rFonts w:ascii="Palatino Linotype" w:hAnsi="Palatino Linotype" w:cstheme="minorHAnsi"/>
          <w:b/>
        </w:rPr>
        <w:t>a</w:t>
      </w:r>
      <w:r w:rsidRPr="00E0262F" w:rsidR="00975898">
        <w:rPr>
          <w:rFonts w:ascii="Palatino Linotype" w:hAnsi="Palatino Linotype" w:cstheme="minorHAnsi"/>
          <w:b/>
        </w:rPr>
        <w:t>n</w:t>
      </w:r>
      <w:r w:rsidRPr="00E0262F">
        <w:rPr>
          <w:rFonts w:ascii="Palatino Linotype" w:hAnsi="Palatino Linotype" w:cstheme="minorHAnsi"/>
          <w:b/>
        </w:rPr>
        <w:t xml:space="preserve"> </w:t>
      </w:r>
      <w:r w:rsidRPr="00E0262F" w:rsidR="00C73BD4">
        <w:rPr>
          <w:rFonts w:ascii="Palatino Linotype" w:hAnsi="Palatino Linotype" w:cstheme="minorHAnsi"/>
          <w:b/>
        </w:rPr>
        <w:t xml:space="preserve">Enforcement Program to </w:t>
      </w:r>
      <w:r w:rsidRPr="00E0262F" w:rsidR="003B2865">
        <w:rPr>
          <w:rFonts w:ascii="Palatino Linotype" w:hAnsi="Palatino Linotype" w:cstheme="minorHAnsi"/>
          <w:b/>
        </w:rPr>
        <w:t>e</w:t>
      </w:r>
      <w:r w:rsidRPr="00E0262F" w:rsidR="00C73BD4">
        <w:rPr>
          <w:rFonts w:ascii="Palatino Linotype" w:hAnsi="Palatino Linotype" w:cstheme="minorHAnsi"/>
          <w:b/>
        </w:rPr>
        <w:t xml:space="preserve">nsure </w:t>
      </w:r>
      <w:r w:rsidR="003932C4">
        <w:rPr>
          <w:rFonts w:ascii="Palatino Linotype" w:hAnsi="Palatino Linotype" w:cstheme="minorHAnsi"/>
          <w:b/>
        </w:rPr>
        <w:t xml:space="preserve">compliance with the </w:t>
      </w:r>
      <w:r w:rsidRPr="00E0262F" w:rsidR="003932C4">
        <w:rPr>
          <w:rFonts w:ascii="Palatino Linotype" w:hAnsi="Palatino Linotype" w:cstheme="minorHAnsi"/>
          <w:b/>
        </w:rPr>
        <w:t xml:space="preserve">requirements, </w:t>
      </w:r>
      <w:r w:rsidR="0041611D">
        <w:rPr>
          <w:rFonts w:ascii="Palatino Linotype" w:hAnsi="Palatino Linotype" w:cstheme="minorHAnsi"/>
          <w:b/>
        </w:rPr>
        <w:t xml:space="preserve">terms, </w:t>
      </w:r>
      <w:r w:rsidRPr="00E0262F" w:rsidR="003932C4">
        <w:rPr>
          <w:rFonts w:ascii="Palatino Linotype" w:hAnsi="Palatino Linotype" w:cstheme="minorHAnsi"/>
          <w:b/>
        </w:rPr>
        <w:t xml:space="preserve">and conditions pursuant to Decision </w:t>
      </w:r>
      <w:r w:rsidR="00CC6136">
        <w:rPr>
          <w:rFonts w:ascii="Palatino Linotype" w:hAnsi="Palatino Linotype" w:cstheme="minorHAnsi"/>
          <w:b/>
        </w:rPr>
        <w:br/>
      </w:r>
      <w:r w:rsidRPr="00E0262F" w:rsidR="003932C4">
        <w:rPr>
          <w:rFonts w:ascii="Palatino Linotype" w:hAnsi="Palatino Linotype" w:cstheme="minorHAnsi"/>
          <w:b/>
        </w:rPr>
        <w:t>21-04-008</w:t>
      </w:r>
      <w:r w:rsidR="003932C4">
        <w:rPr>
          <w:rFonts w:ascii="Palatino Linotype" w:hAnsi="Palatino Linotype" w:cstheme="minorHAnsi"/>
          <w:b/>
        </w:rPr>
        <w:t xml:space="preserve"> by </w:t>
      </w:r>
      <w:r w:rsidRPr="00E0262F" w:rsidR="00C73BD4">
        <w:rPr>
          <w:rFonts w:ascii="Palatino Linotype" w:hAnsi="Palatino Linotype" w:cstheme="minorHAnsi"/>
          <w:b/>
        </w:rPr>
        <w:t xml:space="preserve">Frontier Communications </w:t>
      </w:r>
      <w:r w:rsidR="004D1C77">
        <w:rPr>
          <w:rFonts w:ascii="Palatino Linotype" w:hAnsi="Palatino Linotype" w:cstheme="minorHAnsi"/>
          <w:b/>
        </w:rPr>
        <w:t xml:space="preserve">Corporation </w:t>
      </w:r>
      <w:r w:rsidR="00961852">
        <w:rPr>
          <w:rFonts w:ascii="Palatino Linotype" w:hAnsi="Palatino Linotype" w:cstheme="minorHAnsi"/>
          <w:b/>
        </w:rPr>
        <w:t xml:space="preserve">and </w:t>
      </w:r>
      <w:r w:rsidRPr="00517E2F" w:rsidR="00961852">
        <w:rPr>
          <w:rFonts w:ascii="Palatino Linotype" w:hAnsi="Palatino Linotype" w:cstheme="minorHAnsi"/>
          <w:b/>
        </w:rPr>
        <w:t>its California local exchange and long-distance subsidiaries</w:t>
      </w:r>
      <w:r w:rsidR="00961852">
        <w:rPr>
          <w:rFonts w:ascii="Palatino Linotype" w:hAnsi="Palatino Linotype" w:cstheme="minorHAnsi"/>
          <w:b/>
        </w:rPr>
        <w:t xml:space="preserve">. </w:t>
      </w:r>
    </w:p>
    <w:p w:rsidRPr="00E0262F" w:rsidR="003B1DBD" w:rsidP="003B1DBD" w:rsidRDefault="003B1DBD" w14:paraId="43BEF1CF" w14:textId="594A4F1C">
      <w:pPr>
        <w:tabs>
          <w:tab w:val="right" w:pos="9360"/>
        </w:tabs>
        <w:rPr>
          <w:rFonts w:ascii="Palatino Linotype" w:hAnsi="Palatino Linotype" w:cstheme="minorHAnsi"/>
          <w:b/>
        </w:rPr>
      </w:pPr>
      <w:r w:rsidRPr="00E0262F">
        <w:rPr>
          <w:rFonts w:ascii="Palatino Linotype" w:hAnsi="Palatino Linotype" w:cstheme="minorHAnsi"/>
          <w:b/>
        </w:rPr>
        <w:t>______________________________________________________________________________</w:t>
      </w:r>
    </w:p>
    <w:p w:rsidRPr="00E0262F" w:rsidR="003B1DBD" w:rsidP="003B1DBD" w:rsidRDefault="003B1DBD" w14:paraId="0F4F629A" w14:textId="77777777">
      <w:pPr>
        <w:tabs>
          <w:tab w:val="right" w:pos="10080"/>
        </w:tabs>
        <w:rPr>
          <w:rFonts w:ascii="Palatino Linotype" w:hAnsi="Palatino Linotype" w:cstheme="minorHAnsi"/>
        </w:rPr>
      </w:pPr>
    </w:p>
    <w:p w:rsidR="003B1DBD" w:rsidP="00426552" w:rsidRDefault="003B1DBD" w14:paraId="04C1A481" w14:textId="77777777">
      <w:pPr>
        <w:keepNext/>
        <w:rPr>
          <w:rFonts w:ascii="Palatino Linotype" w:hAnsi="Palatino Linotype" w:cstheme="minorHAnsi"/>
          <w:b/>
        </w:rPr>
      </w:pPr>
      <w:r w:rsidRPr="00E0262F">
        <w:rPr>
          <w:rFonts w:ascii="Palatino Linotype" w:hAnsi="Palatino Linotype" w:cstheme="minorHAnsi"/>
          <w:b/>
        </w:rPr>
        <w:t>SUMMARY</w:t>
      </w:r>
    </w:p>
    <w:p w:rsidRPr="00E0262F" w:rsidR="00C94753" w:rsidP="00426552" w:rsidRDefault="00C94753" w14:paraId="074AD21C" w14:textId="77777777">
      <w:pPr>
        <w:keepNext/>
        <w:rPr>
          <w:rFonts w:ascii="Palatino Linotype" w:hAnsi="Palatino Linotype" w:cstheme="minorHAnsi"/>
          <w:b/>
        </w:rPr>
      </w:pPr>
    </w:p>
    <w:p w:rsidRPr="00E0262F" w:rsidR="004F5C56" w:rsidP="00557155" w:rsidRDefault="00D618BD" w14:paraId="66F1FC6B" w14:textId="51DC50B6">
      <w:pPr>
        <w:keepNext/>
        <w:rPr>
          <w:rFonts w:ascii="Palatino Linotype" w:hAnsi="Palatino Linotype" w:cstheme="minorHAnsi"/>
        </w:rPr>
      </w:pPr>
      <w:r w:rsidRPr="00E0262F">
        <w:rPr>
          <w:rFonts w:ascii="Palatino Linotype" w:hAnsi="Palatino Linotype" w:cstheme="minorHAnsi"/>
        </w:rPr>
        <w:t xml:space="preserve">This Resolution approves </w:t>
      </w:r>
      <w:r w:rsidR="00A036D4">
        <w:rPr>
          <w:rFonts w:ascii="Palatino Linotype" w:hAnsi="Palatino Linotype" w:cstheme="minorHAnsi"/>
        </w:rPr>
        <w:t xml:space="preserve">the adoption of </w:t>
      </w:r>
      <w:r w:rsidRPr="00E0262F">
        <w:rPr>
          <w:rFonts w:ascii="Palatino Linotype" w:hAnsi="Palatino Linotype" w:cstheme="minorHAnsi"/>
        </w:rPr>
        <w:t>an Enforcement Program under the administration of</w:t>
      </w:r>
      <w:r w:rsidRPr="00E0262F" w:rsidR="009177B6">
        <w:rPr>
          <w:rFonts w:ascii="Palatino Linotype" w:hAnsi="Palatino Linotype" w:cstheme="minorHAnsi"/>
        </w:rPr>
        <w:t xml:space="preserve"> </w:t>
      </w:r>
      <w:r w:rsidRPr="00E0262F">
        <w:rPr>
          <w:rFonts w:ascii="Palatino Linotype" w:hAnsi="Palatino Linotype" w:cstheme="minorHAnsi"/>
        </w:rPr>
        <w:t>California Public Utilities Commission</w:t>
      </w:r>
      <w:r w:rsidRPr="00E0262F" w:rsidR="001655C7">
        <w:rPr>
          <w:rFonts w:ascii="Palatino Linotype" w:hAnsi="Palatino Linotype" w:cstheme="minorHAnsi"/>
        </w:rPr>
        <w:t xml:space="preserve"> (CPUC or Commission)</w:t>
      </w:r>
      <w:r w:rsidRPr="00E0262F">
        <w:rPr>
          <w:rFonts w:ascii="Palatino Linotype" w:hAnsi="Palatino Linotype" w:cstheme="minorHAnsi"/>
        </w:rPr>
        <w:t xml:space="preserve"> Staff</w:t>
      </w:r>
      <w:r w:rsidR="00164596">
        <w:rPr>
          <w:rFonts w:ascii="Palatino Linotype" w:hAnsi="Palatino Linotype" w:cstheme="minorHAnsi"/>
        </w:rPr>
        <w:t>.</w:t>
      </w:r>
      <w:r w:rsidRPr="00E0262F">
        <w:rPr>
          <w:rFonts w:ascii="Palatino Linotype" w:hAnsi="Palatino Linotype" w:cstheme="minorHAnsi"/>
        </w:rPr>
        <w:t xml:space="preserve"> </w:t>
      </w:r>
      <w:r w:rsidR="00164596">
        <w:rPr>
          <w:rFonts w:ascii="Palatino Linotype" w:hAnsi="Palatino Linotype" w:cstheme="minorHAnsi"/>
        </w:rPr>
        <w:t xml:space="preserve">The Enforcement Program </w:t>
      </w:r>
      <w:r w:rsidR="00EE39C2">
        <w:rPr>
          <w:rFonts w:ascii="Palatino Linotype" w:hAnsi="Palatino Linotype" w:cstheme="minorHAnsi"/>
        </w:rPr>
        <w:t>aims to</w:t>
      </w:r>
      <w:r w:rsidRPr="00E0262F">
        <w:rPr>
          <w:rFonts w:ascii="Palatino Linotype" w:hAnsi="Palatino Linotype" w:cstheme="minorHAnsi"/>
        </w:rPr>
        <w:t xml:space="preserve"> ensure Frontier Communications Corporation</w:t>
      </w:r>
      <w:r w:rsidR="006268EB">
        <w:rPr>
          <w:rFonts w:ascii="Palatino Linotype" w:hAnsi="Palatino Linotype" w:cstheme="minorHAnsi"/>
        </w:rPr>
        <w:t xml:space="preserve"> </w:t>
      </w:r>
      <w:r w:rsidRPr="00C06111" w:rsidR="006268EB">
        <w:rPr>
          <w:rFonts w:ascii="Palatino Linotype" w:hAnsi="Palatino Linotype" w:cstheme="minorHAnsi"/>
          <w:bCs/>
        </w:rPr>
        <w:t>and its California local exchange and long-distance subsidiaries namely</w:t>
      </w:r>
      <w:r w:rsidRPr="00E0262F">
        <w:rPr>
          <w:rFonts w:ascii="Palatino Linotype" w:hAnsi="Palatino Linotype" w:cstheme="minorHAnsi"/>
        </w:rPr>
        <w:t xml:space="preserve"> Frontier California Inc.</w:t>
      </w:r>
      <w:r w:rsidR="00AB20B1">
        <w:rPr>
          <w:rFonts w:ascii="Palatino Linotype" w:hAnsi="Palatino Linotype" w:cstheme="minorHAnsi"/>
        </w:rPr>
        <w:t xml:space="preserve"> (U-1002-C</w:t>
      </w:r>
      <w:r w:rsidR="00960B6E">
        <w:rPr>
          <w:rFonts w:ascii="Palatino Linotype" w:hAnsi="Palatino Linotype" w:cstheme="minorHAnsi"/>
        </w:rPr>
        <w:t>)</w:t>
      </w:r>
      <w:r w:rsidRPr="00E0262F">
        <w:rPr>
          <w:rFonts w:ascii="Palatino Linotype" w:hAnsi="Palatino Linotype" w:cstheme="minorHAnsi"/>
        </w:rPr>
        <w:t>, Citizens Telecommunications Company of California Inc.</w:t>
      </w:r>
      <w:r w:rsidR="00960B6E">
        <w:rPr>
          <w:rFonts w:ascii="Palatino Linotype" w:hAnsi="Palatino Linotype" w:cstheme="minorHAnsi"/>
        </w:rPr>
        <w:t xml:space="preserve"> (U-1024-C)</w:t>
      </w:r>
      <w:r w:rsidRPr="00E0262F">
        <w:rPr>
          <w:rFonts w:ascii="Palatino Linotype" w:hAnsi="Palatino Linotype" w:cstheme="minorHAnsi"/>
        </w:rPr>
        <w:t>, Frontier Communications of the Southwest Inc.</w:t>
      </w:r>
      <w:r w:rsidR="00960B6E">
        <w:rPr>
          <w:rFonts w:ascii="Palatino Linotype" w:hAnsi="Palatino Linotype" w:cstheme="minorHAnsi"/>
        </w:rPr>
        <w:t xml:space="preserve"> (U-1026-C)</w:t>
      </w:r>
      <w:r w:rsidRPr="00E0262F">
        <w:rPr>
          <w:rFonts w:ascii="Palatino Linotype" w:hAnsi="Palatino Linotype" w:cstheme="minorHAnsi"/>
        </w:rPr>
        <w:t>, Frontier Communications of America Inc.</w:t>
      </w:r>
      <w:r w:rsidR="00960B6E">
        <w:rPr>
          <w:rFonts w:ascii="Palatino Linotype" w:hAnsi="Palatino Linotype" w:cstheme="minorHAnsi"/>
        </w:rPr>
        <w:t xml:space="preserve"> (U-5429-C)</w:t>
      </w:r>
      <w:r w:rsidRPr="00E0262F">
        <w:rPr>
          <w:rFonts w:ascii="Palatino Linotype" w:hAnsi="Palatino Linotype" w:cstheme="minorHAnsi"/>
        </w:rPr>
        <w:t>,</w:t>
      </w:r>
      <w:r w:rsidRPr="00E0262F" w:rsidR="003B2865">
        <w:rPr>
          <w:rFonts w:ascii="Palatino Linotype" w:hAnsi="Palatino Linotype" w:cstheme="minorHAnsi"/>
        </w:rPr>
        <w:t xml:space="preserve"> and</w:t>
      </w:r>
      <w:r w:rsidRPr="00E0262F">
        <w:rPr>
          <w:rFonts w:ascii="Palatino Linotype" w:hAnsi="Palatino Linotype" w:cstheme="minorHAnsi"/>
        </w:rPr>
        <w:t xml:space="preserve"> Frontier Communications Online and Long Distance Inc.</w:t>
      </w:r>
      <w:r w:rsidR="00960B6E">
        <w:rPr>
          <w:rFonts w:ascii="Palatino Linotype" w:hAnsi="Palatino Linotype" w:cstheme="minorHAnsi"/>
        </w:rPr>
        <w:t xml:space="preserve"> (U-</w:t>
      </w:r>
      <w:r w:rsidR="000052FC">
        <w:rPr>
          <w:rFonts w:ascii="Palatino Linotype" w:hAnsi="Palatino Linotype" w:cstheme="minorHAnsi"/>
        </w:rPr>
        <w:t>7167-C)</w:t>
      </w:r>
      <w:r w:rsidRPr="00E0262F">
        <w:rPr>
          <w:rFonts w:ascii="Palatino Linotype" w:hAnsi="Palatino Linotype" w:cstheme="minorHAnsi"/>
        </w:rPr>
        <w:t xml:space="preserve"> </w:t>
      </w:r>
      <w:r w:rsidR="001E6218">
        <w:rPr>
          <w:rFonts w:ascii="Palatino Linotype" w:hAnsi="Palatino Linotype" w:cstheme="minorHAnsi"/>
        </w:rPr>
        <w:t>(collectively</w:t>
      </w:r>
      <w:r w:rsidR="000F1721">
        <w:rPr>
          <w:rFonts w:ascii="Palatino Linotype" w:hAnsi="Palatino Linotype" w:cstheme="minorHAnsi"/>
        </w:rPr>
        <w:t xml:space="preserve"> “</w:t>
      </w:r>
      <w:r w:rsidR="001E6218">
        <w:rPr>
          <w:rFonts w:ascii="Palatino Linotype" w:hAnsi="Palatino Linotype" w:cstheme="minorHAnsi"/>
        </w:rPr>
        <w:t>Frontier</w:t>
      </w:r>
      <w:r w:rsidR="000F1721">
        <w:rPr>
          <w:rFonts w:ascii="Palatino Linotype" w:hAnsi="Palatino Linotype" w:cstheme="minorHAnsi"/>
        </w:rPr>
        <w:t>”</w:t>
      </w:r>
      <w:r w:rsidR="001E6218">
        <w:rPr>
          <w:rFonts w:ascii="Palatino Linotype" w:hAnsi="Palatino Linotype" w:cstheme="minorHAnsi"/>
        </w:rPr>
        <w:t xml:space="preserve">) </w:t>
      </w:r>
      <w:r w:rsidRPr="00E0262F" w:rsidR="003B2865">
        <w:rPr>
          <w:rFonts w:ascii="Palatino Linotype" w:hAnsi="Palatino Linotype" w:cstheme="minorHAnsi"/>
        </w:rPr>
        <w:t>comply with</w:t>
      </w:r>
      <w:r w:rsidRPr="00E0262F" w:rsidR="00154709">
        <w:rPr>
          <w:rFonts w:ascii="Palatino Linotype" w:hAnsi="Palatino Linotype" w:cstheme="minorHAnsi"/>
        </w:rPr>
        <w:t xml:space="preserve"> its obligation to</w:t>
      </w:r>
      <w:r w:rsidRPr="00E0262F" w:rsidR="003B2865">
        <w:rPr>
          <w:rFonts w:ascii="Palatino Linotype" w:hAnsi="Palatino Linotype" w:cstheme="minorHAnsi"/>
        </w:rPr>
        <w:t xml:space="preserve"> all </w:t>
      </w:r>
      <w:r w:rsidR="00EE39C2">
        <w:rPr>
          <w:rFonts w:ascii="Palatino Linotype" w:hAnsi="Palatino Linotype" w:cstheme="minorHAnsi"/>
        </w:rPr>
        <w:t xml:space="preserve">of </w:t>
      </w:r>
      <w:r w:rsidRPr="00E0262F" w:rsidR="003B2865">
        <w:rPr>
          <w:rFonts w:ascii="Palatino Linotype" w:hAnsi="Palatino Linotype" w:cstheme="minorHAnsi"/>
        </w:rPr>
        <w:t>the requirements</w:t>
      </w:r>
      <w:r w:rsidR="00EE39C2">
        <w:rPr>
          <w:rFonts w:ascii="Palatino Linotype" w:hAnsi="Palatino Linotype" w:cstheme="minorHAnsi"/>
        </w:rPr>
        <w:t>,</w:t>
      </w:r>
      <w:r w:rsidRPr="00EE39C2" w:rsidR="00EE39C2">
        <w:rPr>
          <w:rFonts w:ascii="Palatino Linotype" w:hAnsi="Palatino Linotype" w:cstheme="minorHAnsi"/>
        </w:rPr>
        <w:t xml:space="preserve"> </w:t>
      </w:r>
      <w:r w:rsidRPr="00E0262F" w:rsidR="00EE39C2">
        <w:rPr>
          <w:rFonts w:ascii="Palatino Linotype" w:hAnsi="Palatino Linotype" w:cstheme="minorHAnsi"/>
        </w:rPr>
        <w:t>terms,</w:t>
      </w:r>
      <w:r w:rsidRPr="00E0262F" w:rsidR="003B2865">
        <w:rPr>
          <w:rFonts w:ascii="Palatino Linotype" w:hAnsi="Palatino Linotype" w:cstheme="minorHAnsi"/>
        </w:rPr>
        <w:t xml:space="preserve"> and conditions </w:t>
      </w:r>
      <w:r w:rsidRPr="00E0262F" w:rsidR="00CB6CB5">
        <w:rPr>
          <w:rFonts w:ascii="Palatino Linotype" w:hAnsi="Palatino Linotype" w:cstheme="minorHAnsi"/>
        </w:rPr>
        <w:t>pursuant to D</w:t>
      </w:r>
      <w:r w:rsidR="00EE39C2">
        <w:rPr>
          <w:rFonts w:ascii="Palatino Linotype" w:hAnsi="Palatino Linotype" w:cstheme="minorHAnsi"/>
        </w:rPr>
        <w:t>ecision</w:t>
      </w:r>
      <w:r w:rsidR="001C68AC">
        <w:rPr>
          <w:rFonts w:ascii="Palatino Linotype" w:hAnsi="Palatino Linotype" w:cstheme="minorHAnsi"/>
        </w:rPr>
        <w:t xml:space="preserve"> (D.) </w:t>
      </w:r>
      <w:r w:rsidRPr="00E0262F" w:rsidR="00CB6CB5">
        <w:rPr>
          <w:rFonts w:ascii="Palatino Linotype" w:hAnsi="Palatino Linotype" w:cstheme="minorHAnsi"/>
        </w:rPr>
        <w:t>21-04-008 that approved its transfer of control</w:t>
      </w:r>
      <w:r w:rsidRPr="00E0262F">
        <w:rPr>
          <w:rFonts w:ascii="Palatino Linotype" w:hAnsi="Palatino Linotype" w:cstheme="minorHAnsi"/>
        </w:rPr>
        <w:t xml:space="preserve">. </w:t>
      </w:r>
      <w:r w:rsidRPr="00E0262F" w:rsidR="007E62BA">
        <w:rPr>
          <w:rFonts w:ascii="Palatino Linotype" w:hAnsi="Palatino Linotype" w:cstheme="minorHAnsi"/>
        </w:rPr>
        <w:t>This Resolution establishes the rules and processes</w:t>
      </w:r>
      <w:r w:rsidR="000A25F6">
        <w:rPr>
          <w:rFonts w:ascii="Palatino Linotype" w:hAnsi="Palatino Linotype" w:cstheme="minorHAnsi"/>
        </w:rPr>
        <w:t xml:space="preserve"> that apply if</w:t>
      </w:r>
      <w:r w:rsidR="000052FC">
        <w:rPr>
          <w:rFonts w:ascii="Palatino Linotype" w:hAnsi="Palatino Linotype" w:cstheme="minorHAnsi"/>
        </w:rPr>
        <w:t xml:space="preserve"> </w:t>
      </w:r>
      <w:r w:rsidR="001E6218">
        <w:rPr>
          <w:rFonts w:ascii="Palatino Linotype" w:hAnsi="Palatino Linotype" w:cstheme="minorHAnsi"/>
        </w:rPr>
        <w:t>Frontier</w:t>
      </w:r>
      <w:r w:rsidRPr="00E0262F" w:rsidR="00E9703B">
        <w:rPr>
          <w:rFonts w:ascii="Palatino Linotype" w:hAnsi="Palatino Linotype" w:cstheme="minorHAnsi"/>
        </w:rPr>
        <w:t xml:space="preserve"> </w:t>
      </w:r>
      <w:r w:rsidRPr="00E0262F" w:rsidR="007E62BA">
        <w:rPr>
          <w:rFonts w:ascii="Palatino Linotype" w:hAnsi="Palatino Linotype" w:cstheme="minorHAnsi"/>
        </w:rPr>
        <w:t>fail</w:t>
      </w:r>
      <w:r w:rsidR="001E6218">
        <w:rPr>
          <w:rFonts w:ascii="Palatino Linotype" w:hAnsi="Palatino Linotype" w:cstheme="minorHAnsi"/>
        </w:rPr>
        <w:t>s</w:t>
      </w:r>
      <w:r w:rsidRPr="00E0262F" w:rsidR="007E62BA">
        <w:rPr>
          <w:rFonts w:ascii="Palatino Linotype" w:hAnsi="Palatino Linotype" w:cstheme="minorHAnsi"/>
        </w:rPr>
        <w:t xml:space="preserve"> to fulfill </w:t>
      </w:r>
      <w:r w:rsidR="0061327B">
        <w:rPr>
          <w:rFonts w:ascii="Palatino Linotype" w:hAnsi="Palatino Linotype" w:cstheme="minorHAnsi"/>
        </w:rPr>
        <w:t>its</w:t>
      </w:r>
      <w:r w:rsidRPr="00E0262F" w:rsidR="0061327B">
        <w:rPr>
          <w:rFonts w:ascii="Palatino Linotype" w:hAnsi="Palatino Linotype" w:cstheme="minorHAnsi"/>
        </w:rPr>
        <w:t xml:space="preserve"> </w:t>
      </w:r>
      <w:r w:rsidRPr="00E0262F" w:rsidR="007E62BA">
        <w:rPr>
          <w:rFonts w:ascii="Palatino Linotype" w:hAnsi="Palatino Linotype" w:cstheme="minorHAnsi"/>
        </w:rPr>
        <w:t>obligations</w:t>
      </w:r>
      <w:r w:rsidR="007E6C0C">
        <w:rPr>
          <w:rFonts w:ascii="Palatino Linotype" w:hAnsi="Palatino Linotype" w:cstheme="minorHAnsi"/>
        </w:rPr>
        <w:t xml:space="preserve"> </w:t>
      </w:r>
      <w:r w:rsidRPr="00E0262F" w:rsidR="007E6C0C">
        <w:rPr>
          <w:rFonts w:ascii="Palatino Linotype" w:hAnsi="Palatino Linotype" w:cstheme="minorHAnsi"/>
        </w:rPr>
        <w:t xml:space="preserve">pursuant to </w:t>
      </w:r>
      <w:r w:rsidR="001C68AC">
        <w:rPr>
          <w:rFonts w:ascii="Palatino Linotype" w:hAnsi="Palatino Linotype" w:cstheme="minorHAnsi"/>
        </w:rPr>
        <w:t xml:space="preserve">D. </w:t>
      </w:r>
      <w:r w:rsidRPr="00E0262F" w:rsidR="007E6C0C">
        <w:rPr>
          <w:rFonts w:ascii="Palatino Linotype" w:hAnsi="Palatino Linotype" w:cstheme="minorHAnsi"/>
        </w:rPr>
        <w:t>21-04-008</w:t>
      </w:r>
      <w:r w:rsidRPr="00E0262F" w:rsidR="007E62BA">
        <w:rPr>
          <w:rFonts w:ascii="Palatino Linotype" w:hAnsi="Palatino Linotype" w:cstheme="minorHAnsi"/>
        </w:rPr>
        <w:t>. Additionally, this Resolution describes various roles and responsibilities for implementing this Enforcement Program.</w:t>
      </w:r>
      <w:r w:rsidRPr="00E0262F" w:rsidR="004F5C56">
        <w:rPr>
          <w:rFonts w:ascii="Palatino Linotype" w:hAnsi="Palatino Linotype" w:cstheme="minorHAnsi"/>
        </w:rPr>
        <w:t xml:space="preserve"> Nothing in this Resolution affects the Commission's existing constitutional and statutory authority to pursue enforcement actions for non-compliance by public utilities with any Commission order and requirement. </w:t>
      </w:r>
    </w:p>
    <w:p w:rsidRPr="00E0262F" w:rsidR="00426552" w:rsidP="00426552" w:rsidRDefault="00426552" w14:paraId="6C088704" w14:textId="77777777">
      <w:pPr>
        <w:keepNext/>
        <w:rPr>
          <w:rFonts w:ascii="Palatino Linotype" w:hAnsi="Palatino Linotype" w:cstheme="minorHAnsi"/>
          <w:u w:val="single"/>
        </w:rPr>
      </w:pPr>
    </w:p>
    <w:p w:rsidRPr="00E0262F" w:rsidR="004F5C56" w:rsidP="007E62BA" w:rsidRDefault="007E62BA" w14:paraId="290627E4" w14:textId="0DCF7DF9">
      <w:pPr>
        <w:rPr>
          <w:rFonts w:ascii="Palatino Linotype" w:hAnsi="Palatino Linotype" w:cstheme="minorHAnsi"/>
        </w:rPr>
      </w:pPr>
      <w:r w:rsidRPr="00E0262F">
        <w:rPr>
          <w:rFonts w:ascii="Palatino Linotype" w:hAnsi="Palatino Linotype" w:cstheme="minorHAnsi"/>
        </w:rPr>
        <w:t xml:space="preserve">In November 2020, the Commission adopted Resolution M-4846 establishing guiding principles on enforcement approaches and actions to advance the goals of consistent, firm, meaningful, transparent, and timely enforcement. </w:t>
      </w:r>
      <w:r w:rsidRPr="00E0262F" w:rsidR="004F5C56">
        <w:rPr>
          <w:rFonts w:ascii="Palatino Linotype" w:hAnsi="Palatino Linotype" w:cstheme="minorHAnsi"/>
        </w:rPr>
        <w:t xml:space="preserve">Resolution M-4846 </w:t>
      </w:r>
      <w:r w:rsidRPr="00E0262F" w:rsidR="00B638C5">
        <w:rPr>
          <w:rFonts w:ascii="Palatino Linotype" w:hAnsi="Palatino Linotype" w:cstheme="minorHAnsi"/>
        </w:rPr>
        <w:t>reinforces</w:t>
      </w:r>
      <w:r w:rsidRPr="00E0262F">
        <w:rPr>
          <w:rFonts w:ascii="Palatino Linotype" w:hAnsi="Palatino Linotype" w:cstheme="minorHAnsi"/>
        </w:rPr>
        <w:t xml:space="preserve"> </w:t>
      </w:r>
      <w:r w:rsidR="005D7A44">
        <w:rPr>
          <w:rFonts w:ascii="Palatino Linotype" w:hAnsi="Palatino Linotype" w:cstheme="minorHAnsi"/>
        </w:rPr>
        <w:t>the Commission’s</w:t>
      </w:r>
      <w:r w:rsidRPr="00E0262F">
        <w:rPr>
          <w:rFonts w:ascii="Palatino Linotype" w:hAnsi="Palatino Linotype" w:cstheme="minorHAnsi"/>
        </w:rPr>
        <w:t xml:space="preserve"> long-standing history of enforcing statutes, rules, orders, and other regulations applicable to regulated entities for the betterment of the residents of California.</w:t>
      </w:r>
      <w:r w:rsidRPr="00E0262F" w:rsidR="00C1333E">
        <w:rPr>
          <w:rStyle w:val="FootnoteReference"/>
          <w:rFonts w:ascii="Palatino Linotype" w:hAnsi="Palatino Linotype" w:cstheme="minorHAnsi"/>
        </w:rPr>
        <w:footnoteReference w:id="2"/>
      </w:r>
      <w:r w:rsidRPr="00E0262F">
        <w:rPr>
          <w:rFonts w:ascii="Palatino Linotype" w:hAnsi="Palatino Linotype" w:cstheme="minorHAnsi"/>
        </w:rPr>
        <w:t xml:space="preserve"> </w:t>
      </w:r>
      <w:r w:rsidRPr="00E0262F" w:rsidR="007C039E">
        <w:rPr>
          <w:rFonts w:ascii="Palatino Linotype" w:hAnsi="Palatino Linotype" w:cstheme="minorHAnsi"/>
        </w:rPr>
        <w:t xml:space="preserve">This </w:t>
      </w:r>
      <w:r w:rsidR="00C82AB0">
        <w:rPr>
          <w:rFonts w:ascii="Palatino Linotype" w:hAnsi="Palatino Linotype" w:cstheme="minorHAnsi"/>
        </w:rPr>
        <w:t>Enforcement Program</w:t>
      </w:r>
      <w:r w:rsidRPr="00E0262F" w:rsidR="00C82AB0">
        <w:rPr>
          <w:rFonts w:ascii="Palatino Linotype" w:hAnsi="Palatino Linotype" w:cstheme="minorHAnsi"/>
        </w:rPr>
        <w:t xml:space="preserve"> </w:t>
      </w:r>
      <w:r w:rsidRPr="00E0262F" w:rsidR="007C039E">
        <w:rPr>
          <w:rFonts w:ascii="Palatino Linotype" w:hAnsi="Palatino Linotype" w:cstheme="minorHAnsi"/>
        </w:rPr>
        <w:t>uses Resolution M-4846</w:t>
      </w:r>
      <w:r w:rsidR="00B7588C">
        <w:rPr>
          <w:rFonts w:ascii="Palatino Linotype" w:hAnsi="Palatino Linotype" w:cstheme="minorHAnsi"/>
        </w:rPr>
        <w:t xml:space="preserve">’s </w:t>
      </w:r>
      <w:r w:rsidRPr="00E0262F" w:rsidR="00B7588C">
        <w:rPr>
          <w:rFonts w:ascii="Palatino Linotype" w:hAnsi="Palatino Linotype" w:cstheme="minorHAnsi"/>
        </w:rPr>
        <w:t>guiding principles</w:t>
      </w:r>
      <w:r w:rsidRPr="00E0262F" w:rsidR="007C039E">
        <w:rPr>
          <w:rFonts w:ascii="Palatino Linotype" w:hAnsi="Palatino Linotype" w:cstheme="minorHAnsi"/>
        </w:rPr>
        <w:t>.</w:t>
      </w:r>
    </w:p>
    <w:p w:rsidRPr="00E0262F" w:rsidR="003B1DBD" w:rsidP="00426552" w:rsidRDefault="003B1DBD" w14:paraId="21F7CDF2" w14:textId="77777777">
      <w:pPr>
        <w:keepNext/>
        <w:rPr>
          <w:rFonts w:ascii="Palatino Linotype" w:hAnsi="Palatino Linotype" w:cstheme="minorHAnsi"/>
          <w:b/>
        </w:rPr>
      </w:pPr>
      <w:r w:rsidRPr="00E0262F">
        <w:rPr>
          <w:rFonts w:ascii="Palatino Linotype" w:hAnsi="Palatino Linotype" w:cstheme="minorHAnsi"/>
          <w:b/>
        </w:rPr>
        <w:lastRenderedPageBreak/>
        <w:t>BACKGROUND</w:t>
      </w:r>
    </w:p>
    <w:p w:rsidRPr="00E0262F" w:rsidR="009B71B7" w:rsidP="006F452A" w:rsidRDefault="009B71B7" w14:paraId="5E3AF6F9" w14:textId="77777777">
      <w:pPr>
        <w:keepNext/>
        <w:tabs>
          <w:tab w:val="right" w:pos="10080"/>
        </w:tabs>
        <w:rPr>
          <w:rFonts w:ascii="Palatino Linotype" w:hAnsi="Palatino Linotype" w:cstheme="minorHAnsi"/>
        </w:rPr>
      </w:pPr>
    </w:p>
    <w:p w:rsidRPr="00E0262F" w:rsidR="009B71B7" w:rsidP="006F452A" w:rsidRDefault="001A6FED" w14:paraId="406EF066" w14:textId="7ACAEA4B">
      <w:pPr>
        <w:keepNext/>
        <w:tabs>
          <w:tab w:val="right" w:pos="10080"/>
        </w:tabs>
        <w:rPr>
          <w:rFonts w:ascii="Palatino Linotype" w:hAnsi="Palatino Linotype" w:cstheme="minorHAnsi"/>
        </w:rPr>
      </w:pPr>
      <w:r>
        <w:rPr>
          <w:rFonts w:ascii="Palatino Linotype" w:hAnsi="Palatino Linotype" w:cstheme="minorHAnsi"/>
        </w:rPr>
        <w:t xml:space="preserve">On April 14, 2020, </w:t>
      </w:r>
      <w:r w:rsidRPr="00E0262F" w:rsidR="00D71CEA">
        <w:rPr>
          <w:rFonts w:ascii="Palatino Linotype" w:hAnsi="Palatino Linotype" w:cstheme="minorHAnsi"/>
        </w:rPr>
        <w:t>Frontier filed for Chapter 11 bankruptcy, which propose</w:t>
      </w:r>
      <w:r w:rsidRPr="00E0262F" w:rsidR="00DF5556">
        <w:rPr>
          <w:rFonts w:ascii="Palatino Linotype" w:hAnsi="Palatino Linotype" w:cstheme="minorHAnsi"/>
        </w:rPr>
        <w:t>d</w:t>
      </w:r>
      <w:r w:rsidRPr="00E0262F" w:rsidR="00D71CEA">
        <w:rPr>
          <w:rFonts w:ascii="Palatino Linotype" w:hAnsi="Palatino Linotype" w:cstheme="minorHAnsi"/>
        </w:rPr>
        <w:t xml:space="preserve"> to reorganize its corporate structure among other things</w:t>
      </w:r>
      <w:r w:rsidRPr="00E0262F" w:rsidR="007C039E">
        <w:rPr>
          <w:rFonts w:ascii="Palatino Linotype" w:hAnsi="Palatino Linotype" w:cstheme="minorHAnsi"/>
        </w:rPr>
        <w:t xml:space="preserve"> (corporate reorganization)</w:t>
      </w:r>
      <w:r w:rsidRPr="00E0262F" w:rsidR="00D71CEA">
        <w:rPr>
          <w:rFonts w:ascii="Palatino Linotype" w:hAnsi="Palatino Linotype" w:cstheme="minorHAnsi"/>
        </w:rPr>
        <w:t xml:space="preserve">. </w:t>
      </w:r>
      <w:r w:rsidRPr="00E0262F" w:rsidR="00C23E33">
        <w:rPr>
          <w:rFonts w:ascii="Palatino Linotype" w:hAnsi="Palatino Linotype" w:cstheme="minorHAnsi"/>
        </w:rPr>
        <w:t xml:space="preserve">On May 22, 2020, Frontier filed an application </w:t>
      </w:r>
      <w:r w:rsidR="00C23E33">
        <w:rPr>
          <w:rFonts w:ascii="Palatino Linotype" w:hAnsi="Palatino Linotype" w:cstheme="minorHAnsi"/>
        </w:rPr>
        <w:t xml:space="preserve">to </w:t>
      </w:r>
      <w:r w:rsidRPr="00E0262F" w:rsidR="00C23E33">
        <w:rPr>
          <w:rFonts w:ascii="Palatino Linotype" w:hAnsi="Palatino Linotype" w:cstheme="minorHAnsi"/>
        </w:rPr>
        <w:t xml:space="preserve">transfer the control of </w:t>
      </w:r>
      <w:r w:rsidR="00C23E33">
        <w:rPr>
          <w:rFonts w:ascii="Palatino Linotype" w:hAnsi="Palatino Linotype" w:cstheme="minorHAnsi"/>
        </w:rPr>
        <w:t>its</w:t>
      </w:r>
      <w:r w:rsidRPr="00E0262F" w:rsidR="00C23E33">
        <w:rPr>
          <w:rFonts w:ascii="Palatino Linotype" w:hAnsi="Palatino Linotype" w:cstheme="minorHAnsi"/>
        </w:rPr>
        <w:t xml:space="preserve"> companies. </w:t>
      </w:r>
      <w:r w:rsidRPr="00E0262F" w:rsidR="00D71CEA">
        <w:rPr>
          <w:rFonts w:ascii="Palatino Linotype" w:hAnsi="Palatino Linotype" w:cstheme="minorHAnsi"/>
        </w:rPr>
        <w:t>California law requires the Commission</w:t>
      </w:r>
      <w:r w:rsidRPr="00E0262F" w:rsidR="002A55F6">
        <w:rPr>
          <w:rFonts w:ascii="Palatino Linotype" w:hAnsi="Palatino Linotype" w:cstheme="minorHAnsi"/>
        </w:rPr>
        <w:t xml:space="preserve"> </w:t>
      </w:r>
      <w:r w:rsidRPr="00E0262F" w:rsidR="00D71CEA">
        <w:rPr>
          <w:rFonts w:ascii="Palatino Linotype" w:hAnsi="Palatino Linotype" w:cstheme="minorHAnsi"/>
        </w:rPr>
        <w:t xml:space="preserve">to weigh in on situations when there may be a transfer or encumbrance of utility property. The Commission </w:t>
      </w:r>
      <w:r w:rsidR="00EA6962">
        <w:rPr>
          <w:rFonts w:ascii="Palatino Linotype" w:hAnsi="Palatino Linotype" w:cstheme="minorHAnsi"/>
        </w:rPr>
        <w:t xml:space="preserve">thus </w:t>
      </w:r>
      <w:r w:rsidRPr="00E0262F" w:rsidR="00D71CEA">
        <w:rPr>
          <w:rFonts w:ascii="Palatino Linotype" w:hAnsi="Palatino Linotype" w:cstheme="minorHAnsi"/>
        </w:rPr>
        <w:t xml:space="preserve">opened a proceeding, Application </w:t>
      </w:r>
      <w:hyperlink w:tooltip="(A.) 20-05-10" w:history="1" r:id="rId8">
        <w:r w:rsidRPr="00E0262F" w:rsidR="00D71CEA">
          <w:rPr>
            <w:rStyle w:val="Hyperlink"/>
            <w:rFonts w:ascii="Palatino Linotype" w:hAnsi="Palatino Linotype" w:cstheme="minorHAnsi"/>
          </w:rPr>
          <w:t>(A.) 20-05-010</w:t>
        </w:r>
      </w:hyperlink>
      <w:r w:rsidRPr="00E0262F" w:rsidR="003816CB">
        <w:rPr>
          <w:rFonts w:ascii="Palatino Linotype" w:hAnsi="Palatino Linotype" w:cstheme="minorHAnsi"/>
        </w:rPr>
        <w:t xml:space="preserve">, </w:t>
      </w:r>
      <w:r w:rsidRPr="00E0262F" w:rsidR="00D71CEA">
        <w:rPr>
          <w:rFonts w:ascii="Palatino Linotype" w:hAnsi="Palatino Linotype" w:cstheme="minorHAnsi"/>
        </w:rPr>
        <w:t>to review Frontier's application and decide whether to reject or approve it.</w:t>
      </w:r>
      <w:r w:rsidRPr="00E0262F" w:rsidR="003816CB">
        <w:rPr>
          <w:rFonts w:ascii="Palatino Linotype" w:hAnsi="Palatino Linotype" w:cstheme="minorHAnsi"/>
        </w:rPr>
        <w:t xml:space="preserve"> During this proceeding </w:t>
      </w:r>
      <w:r w:rsidRPr="00E0262F" w:rsidR="00E821C8">
        <w:rPr>
          <w:rFonts w:ascii="Palatino Linotype" w:hAnsi="Palatino Linotype" w:cstheme="minorHAnsi"/>
        </w:rPr>
        <w:t xml:space="preserve">the </w:t>
      </w:r>
      <w:r w:rsidRPr="00E0262F" w:rsidR="001C6163">
        <w:rPr>
          <w:rFonts w:ascii="Palatino Linotype" w:hAnsi="Palatino Linotype" w:cstheme="minorHAnsi"/>
        </w:rPr>
        <w:t xml:space="preserve">Yurok Tribe, </w:t>
      </w:r>
      <w:r w:rsidRPr="00E0262F" w:rsidR="003816CB">
        <w:rPr>
          <w:rFonts w:ascii="Palatino Linotype" w:hAnsi="Palatino Linotype" w:cstheme="minorHAnsi"/>
        </w:rPr>
        <w:t>California Emerging Technology Fund</w:t>
      </w:r>
      <w:r w:rsidRPr="00E0262F" w:rsidR="00F94096">
        <w:rPr>
          <w:rFonts w:ascii="Palatino Linotype" w:hAnsi="Palatino Linotype" w:cstheme="minorHAnsi"/>
        </w:rPr>
        <w:t xml:space="preserve"> (CETF)</w:t>
      </w:r>
      <w:r w:rsidRPr="00E0262F" w:rsidR="003816CB">
        <w:rPr>
          <w:rFonts w:ascii="Palatino Linotype" w:hAnsi="Palatino Linotype" w:cstheme="minorHAnsi"/>
        </w:rPr>
        <w:t xml:space="preserve">, </w:t>
      </w:r>
      <w:r w:rsidRPr="00E0262F" w:rsidR="00E9014F">
        <w:rPr>
          <w:rFonts w:ascii="Palatino Linotype" w:hAnsi="Palatino Linotype" w:cstheme="minorHAnsi"/>
        </w:rPr>
        <w:t>Communications Workers of America District 9</w:t>
      </w:r>
      <w:r w:rsidRPr="00E0262F" w:rsidR="00F94096">
        <w:rPr>
          <w:rFonts w:ascii="Palatino Linotype" w:hAnsi="Palatino Linotype" w:cstheme="minorHAnsi"/>
        </w:rPr>
        <w:t xml:space="preserve"> (CWA)</w:t>
      </w:r>
      <w:r w:rsidRPr="00E0262F" w:rsidR="00E821C8">
        <w:rPr>
          <w:rFonts w:ascii="Palatino Linotype" w:hAnsi="Palatino Linotype" w:cstheme="minorHAnsi"/>
        </w:rPr>
        <w:t>, The Utility Reform Network</w:t>
      </w:r>
      <w:r w:rsidRPr="00E0262F" w:rsidR="00F94096">
        <w:rPr>
          <w:rFonts w:ascii="Palatino Linotype" w:hAnsi="Palatino Linotype" w:cstheme="minorHAnsi"/>
        </w:rPr>
        <w:t xml:space="preserve"> (TURN)</w:t>
      </w:r>
      <w:r w:rsidRPr="00E0262F" w:rsidR="00E821C8">
        <w:rPr>
          <w:rFonts w:ascii="Palatino Linotype" w:hAnsi="Palatino Linotype" w:cstheme="minorHAnsi"/>
        </w:rPr>
        <w:t xml:space="preserve">, and </w:t>
      </w:r>
      <w:r w:rsidRPr="00E0262F" w:rsidR="006F452A">
        <w:rPr>
          <w:rFonts w:ascii="Palatino Linotype" w:hAnsi="Palatino Linotype" w:cstheme="minorHAnsi"/>
        </w:rPr>
        <w:t>the Commission’s Public Advocates Office</w:t>
      </w:r>
      <w:r w:rsidRPr="00E0262F" w:rsidR="00F94096">
        <w:rPr>
          <w:rFonts w:ascii="Palatino Linotype" w:hAnsi="Palatino Linotype" w:cstheme="minorHAnsi"/>
        </w:rPr>
        <w:t xml:space="preserve"> (CAL Advocates) </w:t>
      </w:r>
      <w:r w:rsidRPr="00E0262F" w:rsidR="006F452A">
        <w:rPr>
          <w:rFonts w:ascii="Palatino Linotype" w:hAnsi="Palatino Linotype" w:cstheme="minorHAnsi"/>
        </w:rPr>
        <w:t xml:space="preserve">(collectively, “Settling Parties”) </w:t>
      </w:r>
      <w:r w:rsidRPr="00E0262F" w:rsidR="003816CB">
        <w:rPr>
          <w:rFonts w:ascii="Palatino Linotype" w:hAnsi="Palatino Linotype" w:cstheme="minorHAnsi"/>
        </w:rPr>
        <w:t>entered into settlement agreements with Frontier.</w:t>
      </w:r>
      <w:r w:rsidRPr="00E0262F" w:rsidR="0064075E">
        <w:rPr>
          <w:rFonts w:ascii="Palatino Linotype" w:hAnsi="Palatino Linotype" w:cstheme="minorHAnsi"/>
        </w:rPr>
        <w:t xml:space="preserve"> </w:t>
      </w:r>
    </w:p>
    <w:p w:rsidRPr="00E0262F" w:rsidR="009B71B7" w:rsidP="006F452A" w:rsidRDefault="009B71B7" w14:paraId="2E3F9E11" w14:textId="77777777">
      <w:pPr>
        <w:keepNext/>
        <w:tabs>
          <w:tab w:val="right" w:pos="10080"/>
        </w:tabs>
        <w:rPr>
          <w:rFonts w:ascii="Palatino Linotype" w:hAnsi="Palatino Linotype" w:cstheme="minorHAnsi"/>
        </w:rPr>
      </w:pPr>
    </w:p>
    <w:p w:rsidRPr="00E0262F" w:rsidR="00D94E0C" w:rsidP="006F452A" w:rsidRDefault="0059407C" w14:paraId="2259E7EB" w14:textId="78467EFF">
      <w:pPr>
        <w:keepNext/>
        <w:tabs>
          <w:tab w:val="right" w:pos="10080"/>
        </w:tabs>
        <w:rPr>
          <w:rFonts w:ascii="Palatino Linotype" w:hAnsi="Palatino Linotype" w:cstheme="minorHAnsi"/>
        </w:rPr>
      </w:pPr>
      <w:r w:rsidRPr="00E0262F">
        <w:rPr>
          <w:rFonts w:ascii="Palatino Linotype" w:hAnsi="Palatino Linotype" w:cstheme="minorHAnsi"/>
        </w:rPr>
        <w:t xml:space="preserve">On </w:t>
      </w:r>
      <w:r w:rsidRPr="00E0262F" w:rsidR="005902BE">
        <w:rPr>
          <w:rFonts w:ascii="Palatino Linotype" w:hAnsi="Palatino Linotype" w:cstheme="minorHAnsi"/>
        </w:rPr>
        <w:t xml:space="preserve">April </w:t>
      </w:r>
      <w:r w:rsidRPr="00E0262F">
        <w:rPr>
          <w:rFonts w:ascii="Palatino Linotype" w:hAnsi="Palatino Linotype" w:cstheme="minorHAnsi"/>
        </w:rPr>
        <w:t xml:space="preserve">15, </w:t>
      </w:r>
      <w:r w:rsidRPr="00E0262F" w:rsidR="00134F92">
        <w:rPr>
          <w:rFonts w:ascii="Palatino Linotype" w:hAnsi="Palatino Linotype" w:cstheme="minorHAnsi"/>
        </w:rPr>
        <w:t xml:space="preserve">2021, the Commission </w:t>
      </w:r>
      <w:r w:rsidRPr="00E0262F" w:rsidR="00BE2C70">
        <w:rPr>
          <w:rFonts w:ascii="Palatino Linotype" w:hAnsi="Palatino Linotype" w:cstheme="minorHAnsi"/>
        </w:rPr>
        <w:t xml:space="preserve">adopted </w:t>
      </w:r>
      <w:r w:rsidRPr="00E0262F">
        <w:rPr>
          <w:rFonts w:ascii="Palatino Linotype" w:hAnsi="Palatino Linotype" w:cstheme="minorHAnsi"/>
        </w:rPr>
        <w:t>D</w:t>
      </w:r>
      <w:r w:rsidR="007C5E4E">
        <w:rPr>
          <w:rFonts w:ascii="Palatino Linotype" w:hAnsi="Palatino Linotype" w:cstheme="minorHAnsi"/>
        </w:rPr>
        <w:t>ecision (D</w:t>
      </w:r>
      <w:r w:rsidRPr="00E0262F">
        <w:rPr>
          <w:rFonts w:ascii="Palatino Linotype" w:hAnsi="Palatino Linotype" w:cstheme="minorHAnsi"/>
        </w:rPr>
        <w:t>.</w:t>
      </w:r>
      <w:r w:rsidR="007C5E4E">
        <w:rPr>
          <w:rFonts w:ascii="Palatino Linotype" w:hAnsi="Palatino Linotype" w:cstheme="minorHAnsi"/>
        </w:rPr>
        <w:t>)</w:t>
      </w:r>
      <w:r w:rsidRPr="00E0262F">
        <w:rPr>
          <w:rFonts w:ascii="Palatino Linotype" w:hAnsi="Palatino Linotype" w:cstheme="minorHAnsi"/>
        </w:rPr>
        <w:t xml:space="preserve"> 21-04-008</w:t>
      </w:r>
      <w:r w:rsidRPr="00E0262F" w:rsidR="00156195">
        <w:rPr>
          <w:rFonts w:ascii="Palatino Linotype" w:hAnsi="Palatino Linotype" w:cstheme="minorHAnsi"/>
        </w:rPr>
        <w:t xml:space="preserve"> that approved with conditions the request of Frontier </w:t>
      </w:r>
      <w:r w:rsidRPr="00E0262F" w:rsidR="00A02443">
        <w:rPr>
          <w:rFonts w:ascii="Palatino Linotype" w:hAnsi="Palatino Linotype" w:cstheme="minorHAnsi"/>
        </w:rPr>
        <w:t xml:space="preserve">for approval of its corporate </w:t>
      </w:r>
      <w:r w:rsidRPr="00E0262F" w:rsidR="00C879CF">
        <w:rPr>
          <w:rFonts w:ascii="Palatino Linotype" w:hAnsi="Palatino Linotype" w:cstheme="minorHAnsi"/>
        </w:rPr>
        <w:t xml:space="preserve">restructuring. The Commission has identified that the approval with conditions </w:t>
      </w:r>
      <w:r w:rsidR="008F52FF">
        <w:rPr>
          <w:rFonts w:ascii="Palatino Linotype" w:hAnsi="Palatino Linotype" w:cstheme="minorHAnsi"/>
        </w:rPr>
        <w:t xml:space="preserve">of Frontier’s request </w:t>
      </w:r>
      <w:r w:rsidRPr="00E0262F" w:rsidR="00C879CF">
        <w:rPr>
          <w:rFonts w:ascii="Palatino Linotype" w:hAnsi="Palatino Linotype" w:cstheme="minorHAnsi"/>
        </w:rPr>
        <w:t>is in the public interest</w:t>
      </w:r>
      <w:r w:rsidR="00CF6BC7">
        <w:rPr>
          <w:rFonts w:ascii="Palatino Linotype" w:hAnsi="Palatino Linotype" w:cstheme="minorHAnsi"/>
        </w:rPr>
        <w:t>,</w:t>
      </w:r>
      <w:r w:rsidRPr="00E0262F" w:rsidR="00C879CF">
        <w:rPr>
          <w:rFonts w:ascii="Palatino Linotype" w:hAnsi="Palatino Linotype" w:cstheme="minorHAnsi"/>
        </w:rPr>
        <w:t xml:space="preserve"> and therefore</w:t>
      </w:r>
      <w:r w:rsidR="00CF6BC7">
        <w:rPr>
          <w:rFonts w:ascii="Palatino Linotype" w:hAnsi="Palatino Linotype" w:cstheme="minorHAnsi"/>
        </w:rPr>
        <w:t>,</w:t>
      </w:r>
      <w:r w:rsidRPr="00E0262F" w:rsidR="00C879CF">
        <w:rPr>
          <w:rFonts w:ascii="Palatino Linotype" w:hAnsi="Palatino Linotype" w:cstheme="minorHAnsi"/>
        </w:rPr>
        <w:t xml:space="preserve"> satisfies the requirements </w:t>
      </w:r>
      <w:r w:rsidR="00F9711B">
        <w:rPr>
          <w:rFonts w:ascii="Palatino Linotype" w:hAnsi="Palatino Linotype" w:cstheme="minorHAnsi"/>
        </w:rPr>
        <w:t xml:space="preserve">to </w:t>
      </w:r>
      <w:r w:rsidRPr="00E0262F" w:rsidR="00C879CF">
        <w:rPr>
          <w:rFonts w:ascii="Palatino Linotype" w:hAnsi="Palatino Linotype" w:cstheme="minorHAnsi"/>
        </w:rPr>
        <w:t xml:space="preserve">transfer </w:t>
      </w:r>
      <w:r w:rsidR="008F52FF">
        <w:rPr>
          <w:rFonts w:ascii="Palatino Linotype" w:hAnsi="Palatino Linotype" w:cstheme="minorHAnsi"/>
        </w:rPr>
        <w:t>utility property</w:t>
      </w:r>
      <w:r w:rsidRPr="00E0262F" w:rsidR="00C879CF">
        <w:rPr>
          <w:rFonts w:ascii="Palatino Linotype" w:hAnsi="Palatino Linotype" w:cstheme="minorHAnsi"/>
        </w:rPr>
        <w:t xml:space="preserve"> under </w:t>
      </w:r>
      <w:r w:rsidR="003476B3">
        <w:rPr>
          <w:rFonts w:ascii="Palatino Linotype" w:hAnsi="Palatino Linotype" w:cstheme="minorHAnsi"/>
        </w:rPr>
        <w:t xml:space="preserve">California </w:t>
      </w:r>
      <w:r w:rsidRPr="00E0262F" w:rsidR="00C879CF">
        <w:rPr>
          <w:rFonts w:ascii="Palatino Linotype" w:hAnsi="Palatino Linotype" w:cstheme="minorHAnsi"/>
        </w:rPr>
        <w:t>P</w:t>
      </w:r>
      <w:r w:rsidR="003476B3">
        <w:rPr>
          <w:rFonts w:ascii="Palatino Linotype" w:hAnsi="Palatino Linotype" w:cstheme="minorHAnsi"/>
        </w:rPr>
        <w:t xml:space="preserve">ublic </w:t>
      </w:r>
      <w:r w:rsidRPr="00E0262F" w:rsidR="00C879CF">
        <w:rPr>
          <w:rFonts w:ascii="Palatino Linotype" w:hAnsi="Palatino Linotype" w:cstheme="minorHAnsi"/>
        </w:rPr>
        <w:t>U</w:t>
      </w:r>
      <w:r w:rsidR="003476B3">
        <w:rPr>
          <w:rFonts w:ascii="Palatino Linotype" w:hAnsi="Palatino Linotype" w:cstheme="minorHAnsi"/>
        </w:rPr>
        <w:t>tilities</w:t>
      </w:r>
      <w:r w:rsidRPr="00E0262F" w:rsidR="00C879CF">
        <w:rPr>
          <w:rFonts w:ascii="Palatino Linotype" w:hAnsi="Palatino Linotype" w:cstheme="minorHAnsi"/>
        </w:rPr>
        <w:t xml:space="preserve"> Code </w:t>
      </w:r>
      <w:r w:rsidRPr="00E0262F" w:rsidR="00EF04D4">
        <w:rPr>
          <w:rFonts w:ascii="Palatino Linotype" w:hAnsi="Palatino Linotype" w:cstheme="minorHAnsi"/>
        </w:rPr>
        <w:t>(PU Code) §</w:t>
      </w:r>
      <w:r w:rsidRPr="00E0262F" w:rsidR="00C879CF">
        <w:rPr>
          <w:rFonts w:ascii="Palatino Linotype" w:hAnsi="Palatino Linotype" w:cstheme="minorHAnsi"/>
        </w:rPr>
        <w:t>8</w:t>
      </w:r>
      <w:r w:rsidR="003476B3">
        <w:rPr>
          <w:rFonts w:ascii="Palatino Linotype" w:hAnsi="Palatino Linotype" w:cstheme="minorHAnsi"/>
        </w:rPr>
        <w:t>5</w:t>
      </w:r>
      <w:r w:rsidRPr="00E0262F" w:rsidR="00C879CF">
        <w:rPr>
          <w:rFonts w:ascii="Palatino Linotype" w:hAnsi="Palatino Linotype" w:cstheme="minorHAnsi"/>
        </w:rPr>
        <w:t xml:space="preserve">4. </w:t>
      </w:r>
    </w:p>
    <w:p w:rsidRPr="00D91EE2" w:rsidR="00D94E0C" w:rsidP="00FB4AEA" w:rsidRDefault="00D94E0C" w14:paraId="4AEB5210" w14:textId="40B81531">
      <w:pPr>
        <w:keepNext/>
        <w:tabs>
          <w:tab w:val="right" w:pos="10080"/>
        </w:tabs>
        <w:rPr>
          <w:rFonts w:ascii="Palatino Linotype" w:hAnsi="Palatino Linotype" w:cstheme="minorHAnsi"/>
        </w:rPr>
      </w:pPr>
    </w:p>
    <w:p w:rsidRPr="00E0262F" w:rsidR="00575568" w:rsidP="005B76AE" w:rsidRDefault="00510155" w14:paraId="0080249D" w14:textId="4C1EB14C">
      <w:pPr>
        <w:keepNext/>
        <w:tabs>
          <w:tab w:val="right" w:pos="10080"/>
        </w:tabs>
        <w:rPr>
          <w:rFonts w:ascii="Palatino Linotype" w:hAnsi="Palatino Linotype" w:cstheme="minorHAnsi"/>
        </w:rPr>
      </w:pPr>
      <w:r w:rsidRPr="00E0262F">
        <w:rPr>
          <w:rFonts w:ascii="Palatino Linotype" w:hAnsi="Palatino Linotype" w:cstheme="minorHAnsi"/>
        </w:rPr>
        <w:t>F</w:t>
      </w:r>
      <w:r w:rsidRPr="00E0262F" w:rsidR="008F36F2">
        <w:rPr>
          <w:rFonts w:ascii="Palatino Linotype" w:hAnsi="Palatino Linotype" w:cstheme="minorHAnsi"/>
        </w:rPr>
        <w:t>rontier’s f</w:t>
      </w:r>
      <w:r w:rsidRPr="00E0262F">
        <w:rPr>
          <w:rFonts w:ascii="Palatino Linotype" w:hAnsi="Palatino Linotype" w:cstheme="minorHAnsi"/>
        </w:rPr>
        <w:t>ulfill</w:t>
      </w:r>
      <w:r w:rsidR="002806DA">
        <w:rPr>
          <w:rFonts w:ascii="Palatino Linotype" w:hAnsi="Palatino Linotype" w:cstheme="minorHAnsi"/>
        </w:rPr>
        <w:t>ment of</w:t>
      </w:r>
      <w:r w:rsidRPr="00E0262F">
        <w:rPr>
          <w:rFonts w:ascii="Palatino Linotype" w:hAnsi="Palatino Linotype" w:cstheme="minorHAnsi"/>
        </w:rPr>
        <w:t xml:space="preserve"> </w:t>
      </w:r>
      <w:r w:rsidR="00805A7E">
        <w:rPr>
          <w:rFonts w:ascii="Palatino Linotype" w:hAnsi="Palatino Linotype" w:cstheme="minorHAnsi"/>
        </w:rPr>
        <w:t>its</w:t>
      </w:r>
      <w:r w:rsidRPr="00E0262F" w:rsidR="00805A7E">
        <w:rPr>
          <w:rFonts w:ascii="Palatino Linotype" w:hAnsi="Palatino Linotype" w:cstheme="minorHAnsi"/>
        </w:rPr>
        <w:t xml:space="preserve"> </w:t>
      </w:r>
      <w:r w:rsidRPr="00E0262F">
        <w:rPr>
          <w:rFonts w:ascii="Palatino Linotype" w:hAnsi="Palatino Linotype" w:cstheme="minorHAnsi"/>
        </w:rPr>
        <w:t>obligations</w:t>
      </w:r>
      <w:r w:rsidR="00CB1A1D">
        <w:rPr>
          <w:rFonts w:ascii="Palatino Linotype" w:hAnsi="Palatino Linotype" w:cstheme="minorHAnsi"/>
        </w:rPr>
        <w:t xml:space="preserve"> from </w:t>
      </w:r>
      <w:r w:rsidR="007C5E4E">
        <w:rPr>
          <w:rFonts w:ascii="Palatino Linotype" w:hAnsi="Palatino Linotype" w:cstheme="minorHAnsi"/>
        </w:rPr>
        <w:t>D</w:t>
      </w:r>
      <w:r w:rsidRPr="00E0262F" w:rsidR="007C5E4E">
        <w:rPr>
          <w:rFonts w:ascii="Palatino Linotype" w:hAnsi="Palatino Linotype" w:cstheme="minorHAnsi"/>
        </w:rPr>
        <w:t xml:space="preserve">.21-04-008 </w:t>
      </w:r>
      <w:r w:rsidRPr="00E0262F" w:rsidR="006047F4">
        <w:rPr>
          <w:rFonts w:ascii="Palatino Linotype" w:hAnsi="Palatino Linotype" w:cstheme="minorHAnsi"/>
        </w:rPr>
        <w:t>will assure that th</w:t>
      </w:r>
      <w:r w:rsidRPr="00E0262F" w:rsidR="00B55E4D">
        <w:rPr>
          <w:rFonts w:ascii="Palatino Linotype" w:hAnsi="Palatino Linotype" w:cstheme="minorHAnsi"/>
        </w:rPr>
        <w:t>e</w:t>
      </w:r>
      <w:r w:rsidRPr="00E0262F" w:rsidR="006047F4">
        <w:rPr>
          <w:rFonts w:ascii="Palatino Linotype" w:hAnsi="Palatino Linotype" w:cstheme="minorHAnsi"/>
        </w:rPr>
        <w:t xml:space="preserve"> </w:t>
      </w:r>
      <w:r w:rsidR="00B91074">
        <w:rPr>
          <w:rFonts w:ascii="Palatino Linotype" w:hAnsi="Palatino Linotype" w:cstheme="minorHAnsi"/>
        </w:rPr>
        <w:t>transfer of control</w:t>
      </w:r>
      <w:r w:rsidRPr="00E0262F" w:rsidR="00B91074">
        <w:rPr>
          <w:rFonts w:ascii="Palatino Linotype" w:hAnsi="Palatino Linotype" w:cstheme="minorHAnsi"/>
        </w:rPr>
        <w:t xml:space="preserve"> </w:t>
      </w:r>
      <w:r w:rsidRPr="00E0262F" w:rsidR="006047F4">
        <w:rPr>
          <w:rFonts w:ascii="Palatino Linotype" w:hAnsi="Palatino Linotype" w:cstheme="minorHAnsi"/>
        </w:rPr>
        <w:t>will benefit California</w:t>
      </w:r>
      <w:r w:rsidR="00B91074">
        <w:rPr>
          <w:rFonts w:ascii="Palatino Linotype" w:hAnsi="Palatino Linotype" w:cstheme="minorHAnsi"/>
        </w:rPr>
        <w:t>ns</w:t>
      </w:r>
      <w:r w:rsidRPr="00E0262F" w:rsidR="006047F4">
        <w:rPr>
          <w:rFonts w:ascii="Palatino Linotype" w:hAnsi="Palatino Linotype" w:cstheme="minorHAnsi"/>
        </w:rPr>
        <w:t xml:space="preserve">. These </w:t>
      </w:r>
      <w:r w:rsidRPr="00E0262F" w:rsidR="007820D0">
        <w:rPr>
          <w:rFonts w:ascii="Palatino Linotype" w:hAnsi="Palatino Linotype" w:cstheme="minorHAnsi"/>
        </w:rPr>
        <w:t>obligations</w:t>
      </w:r>
      <w:r w:rsidRPr="00E0262F" w:rsidR="006047F4">
        <w:rPr>
          <w:rFonts w:ascii="Palatino Linotype" w:hAnsi="Palatino Linotype" w:cstheme="minorHAnsi"/>
        </w:rPr>
        <w:t xml:space="preserve"> cover a host of issues, including</w:t>
      </w:r>
      <w:r w:rsidRPr="00E0262F" w:rsidR="00443B91">
        <w:rPr>
          <w:rFonts w:ascii="Palatino Linotype" w:hAnsi="Palatino Linotype" w:cstheme="minorHAnsi"/>
        </w:rPr>
        <w:t>,</w:t>
      </w:r>
      <w:r w:rsidRPr="00E0262F" w:rsidR="006047F4">
        <w:rPr>
          <w:rFonts w:ascii="Palatino Linotype" w:hAnsi="Palatino Linotype" w:cstheme="minorHAnsi"/>
        </w:rPr>
        <w:t xml:space="preserve"> but not limited to</w:t>
      </w:r>
      <w:r w:rsidRPr="00E0262F" w:rsidR="00A61F1F">
        <w:rPr>
          <w:rFonts w:ascii="Palatino Linotype" w:hAnsi="Palatino Linotype" w:cstheme="minorHAnsi"/>
        </w:rPr>
        <w:t xml:space="preserve"> the following</w:t>
      </w:r>
      <w:r w:rsidRPr="00E0262F" w:rsidR="006047F4">
        <w:rPr>
          <w:rFonts w:ascii="Palatino Linotype" w:hAnsi="Palatino Linotype" w:cstheme="minorHAnsi"/>
        </w:rPr>
        <w:t>:</w:t>
      </w:r>
      <w:r w:rsidRPr="00E0262F" w:rsidR="004920AB">
        <w:rPr>
          <w:rFonts w:ascii="Palatino Linotype" w:hAnsi="Palatino Linotype" w:cstheme="minorHAnsi"/>
        </w:rPr>
        <w:t xml:space="preserve"> </w:t>
      </w:r>
      <w:r w:rsidRPr="00E0262F" w:rsidR="00F16E7D">
        <w:rPr>
          <w:rFonts w:ascii="Palatino Linotype" w:hAnsi="Palatino Linotype" w:cstheme="minorHAnsi"/>
        </w:rPr>
        <w:t xml:space="preserve">ensuring Frontier timely restore service outages, </w:t>
      </w:r>
      <w:r w:rsidRPr="00E0262F" w:rsidR="000C3069">
        <w:rPr>
          <w:rFonts w:ascii="Palatino Linotype" w:hAnsi="Palatino Linotype" w:cstheme="minorHAnsi"/>
        </w:rPr>
        <w:t>upgrading the speed of Frontier’s broadband Internet access service</w:t>
      </w:r>
      <w:r w:rsidRPr="00E0262F" w:rsidR="0066644B">
        <w:rPr>
          <w:rFonts w:ascii="Palatino Linotype" w:hAnsi="Palatino Linotype" w:cstheme="minorHAnsi"/>
        </w:rPr>
        <w:t xml:space="preserve"> offerings</w:t>
      </w:r>
      <w:r w:rsidRPr="00E0262F" w:rsidR="000C3069">
        <w:rPr>
          <w:rFonts w:ascii="Palatino Linotype" w:hAnsi="Palatino Linotype" w:cstheme="minorHAnsi"/>
        </w:rPr>
        <w:t>,</w:t>
      </w:r>
      <w:r w:rsidRPr="00E0262F" w:rsidR="0066644B">
        <w:rPr>
          <w:rFonts w:ascii="Palatino Linotype" w:hAnsi="Palatino Linotype" w:cstheme="minorHAnsi"/>
        </w:rPr>
        <w:t xml:space="preserve"> </w:t>
      </w:r>
      <w:r w:rsidRPr="00E0262F" w:rsidR="007C000F">
        <w:rPr>
          <w:rFonts w:ascii="Palatino Linotype" w:hAnsi="Palatino Linotype" w:cstheme="minorHAnsi"/>
        </w:rPr>
        <w:t xml:space="preserve">expanding Frontier’s network infrastructure, </w:t>
      </w:r>
      <w:r w:rsidRPr="00E0262F" w:rsidR="005B76AE">
        <w:rPr>
          <w:rFonts w:ascii="Palatino Linotype" w:hAnsi="Palatino Linotype" w:cstheme="minorHAnsi"/>
        </w:rPr>
        <w:t xml:space="preserve">and </w:t>
      </w:r>
      <w:r w:rsidRPr="00E0262F" w:rsidR="0066644B">
        <w:rPr>
          <w:rFonts w:ascii="Palatino Linotype" w:hAnsi="Palatino Linotype" w:cstheme="minorHAnsi"/>
        </w:rPr>
        <w:t>increasing Frontier’s engagement with the communities it serves</w:t>
      </w:r>
      <w:r w:rsidRPr="00E0262F" w:rsidR="005B76AE">
        <w:rPr>
          <w:rFonts w:ascii="Palatino Linotype" w:hAnsi="Palatino Linotype" w:cstheme="minorHAnsi"/>
        </w:rPr>
        <w:t xml:space="preserve">. </w:t>
      </w:r>
    </w:p>
    <w:p w:rsidRPr="00E0262F" w:rsidR="00575568" w:rsidP="005B76AE" w:rsidRDefault="00575568" w14:paraId="30CE4384" w14:textId="77777777">
      <w:pPr>
        <w:keepNext/>
        <w:tabs>
          <w:tab w:val="right" w:pos="10080"/>
        </w:tabs>
        <w:rPr>
          <w:rFonts w:ascii="Palatino Linotype" w:hAnsi="Palatino Linotype" w:cstheme="minorHAnsi"/>
        </w:rPr>
      </w:pPr>
    </w:p>
    <w:p w:rsidRPr="00E0262F" w:rsidR="00DF1425" w:rsidP="00C06111" w:rsidRDefault="00EE558D" w14:paraId="6108D2C9" w14:textId="70ACE5D9">
      <w:pPr>
        <w:keepNext/>
        <w:tabs>
          <w:tab w:val="right" w:pos="10080"/>
        </w:tabs>
        <w:rPr>
          <w:rFonts w:ascii="Palatino Linotype" w:hAnsi="Palatino Linotype" w:cstheme="minorHAnsi"/>
        </w:rPr>
      </w:pPr>
      <w:r w:rsidRPr="00E0262F">
        <w:rPr>
          <w:rFonts w:ascii="Palatino Linotype" w:hAnsi="Palatino Linotype" w:cstheme="minorHAnsi"/>
        </w:rPr>
        <w:t>The Commission has broad regulatory authority as set forth in PU Code §§701, 702, 2101, and 2107. PU Code §7 states that the any public office of the Commission may authorize Staff to exercise powers and perform duties granted to the officer, unless expressly provided otherwise.</w:t>
      </w:r>
      <w:r w:rsidRPr="00E0262F">
        <w:rPr>
          <w:rStyle w:val="FootnoteReference"/>
          <w:rFonts w:ascii="Palatino Linotype" w:hAnsi="Palatino Linotype" w:cstheme="minorHAnsi"/>
        </w:rPr>
        <w:footnoteReference w:id="3"/>
      </w:r>
      <w:r w:rsidRPr="00E0262F">
        <w:rPr>
          <w:rFonts w:ascii="Palatino Linotype" w:hAnsi="Palatino Linotype" w:cstheme="minorHAnsi"/>
        </w:rPr>
        <w:t xml:space="preserve"> These may include the investigation of facts preliminary to agency action, and the issuance of citations for violations, up to specified amounts, subject to appeal to the Commission. </w:t>
      </w:r>
      <w:r w:rsidRPr="00E0262F" w:rsidR="0043185E">
        <w:rPr>
          <w:rFonts w:ascii="Palatino Linotype" w:hAnsi="Palatino Linotype" w:cstheme="minorHAnsi"/>
        </w:rPr>
        <w:t>This Resolution establishes an Enforcement Program</w:t>
      </w:r>
      <w:r w:rsidRPr="00E0262F" w:rsidR="006C2576">
        <w:rPr>
          <w:rFonts w:ascii="Palatino Linotype" w:hAnsi="Palatino Linotype" w:cstheme="minorHAnsi"/>
        </w:rPr>
        <w:t xml:space="preserve"> associated with Frontier’s corporate reorganization</w:t>
      </w:r>
      <w:r w:rsidRPr="00E0262F" w:rsidR="002C2754">
        <w:rPr>
          <w:rFonts w:ascii="Palatino Linotype" w:hAnsi="Palatino Linotype" w:cstheme="minorHAnsi"/>
        </w:rPr>
        <w:t>.</w:t>
      </w:r>
    </w:p>
    <w:p w:rsidRPr="00E0262F" w:rsidR="00BC7F32" w:rsidP="003B1DBD" w:rsidRDefault="00BC7F32" w14:paraId="2600D3BD" w14:textId="69050C17">
      <w:pPr>
        <w:tabs>
          <w:tab w:val="right" w:pos="10080"/>
        </w:tabs>
        <w:rPr>
          <w:rFonts w:ascii="Palatino Linotype" w:hAnsi="Palatino Linotype" w:cstheme="minorHAnsi"/>
        </w:rPr>
      </w:pPr>
    </w:p>
    <w:p w:rsidR="003B1DBD" w:rsidP="00426552" w:rsidRDefault="003B1DBD" w14:paraId="224D4F18" w14:textId="77777777">
      <w:pPr>
        <w:keepNext/>
        <w:tabs>
          <w:tab w:val="right" w:pos="10080"/>
        </w:tabs>
        <w:jc w:val="both"/>
        <w:rPr>
          <w:rFonts w:ascii="Palatino Linotype" w:hAnsi="Palatino Linotype" w:cstheme="minorHAnsi"/>
          <w:b/>
        </w:rPr>
      </w:pPr>
      <w:r w:rsidRPr="00E0262F">
        <w:rPr>
          <w:rFonts w:ascii="Palatino Linotype" w:hAnsi="Palatino Linotype" w:cstheme="minorHAnsi"/>
          <w:b/>
        </w:rPr>
        <w:lastRenderedPageBreak/>
        <w:t>DISCUSSION</w:t>
      </w:r>
    </w:p>
    <w:p w:rsidRPr="00E0262F" w:rsidR="00C92D50" w:rsidP="00426552" w:rsidRDefault="00C92D50" w14:paraId="36F84F3C" w14:textId="77777777">
      <w:pPr>
        <w:keepNext/>
        <w:tabs>
          <w:tab w:val="right" w:pos="10080"/>
        </w:tabs>
        <w:jc w:val="both"/>
        <w:rPr>
          <w:rFonts w:ascii="Palatino Linotype" w:hAnsi="Palatino Linotype" w:cstheme="minorHAnsi"/>
          <w:b/>
        </w:rPr>
      </w:pPr>
    </w:p>
    <w:p w:rsidRPr="00E0262F" w:rsidR="006E0B46" w:rsidP="006E0B46" w:rsidRDefault="006E0B46" w14:paraId="5C9331C7" w14:textId="582F0784">
      <w:pPr>
        <w:pStyle w:val="NoSpacing"/>
        <w:rPr>
          <w:rFonts w:ascii="Palatino Linotype" w:hAnsi="Palatino Linotype" w:cstheme="minorHAnsi"/>
        </w:rPr>
      </w:pPr>
      <w:r w:rsidRPr="00E0262F">
        <w:rPr>
          <w:rFonts w:ascii="Palatino Linotype" w:hAnsi="Palatino Linotype" w:cstheme="minorHAnsi"/>
        </w:rPr>
        <w:t xml:space="preserve">The Commission </w:t>
      </w:r>
      <w:r w:rsidRPr="00E0262F" w:rsidR="004D7DEF">
        <w:rPr>
          <w:rFonts w:ascii="Palatino Linotype" w:hAnsi="Palatino Linotype" w:cstheme="minorHAnsi"/>
        </w:rPr>
        <w:t>needs to</w:t>
      </w:r>
      <w:r w:rsidRPr="00E0262F">
        <w:rPr>
          <w:rFonts w:ascii="Palatino Linotype" w:hAnsi="Palatino Linotype" w:cstheme="minorHAnsi"/>
        </w:rPr>
        <w:t xml:space="preserve"> establish and communicate the consequences for Frontier in the instances where </w:t>
      </w:r>
      <w:r w:rsidRPr="00E0262F" w:rsidR="003900D3">
        <w:rPr>
          <w:rFonts w:ascii="Palatino Linotype" w:hAnsi="Palatino Linotype" w:cstheme="minorHAnsi"/>
        </w:rPr>
        <w:t>Frontier</w:t>
      </w:r>
      <w:r w:rsidRPr="00E0262F">
        <w:rPr>
          <w:rFonts w:ascii="Palatino Linotype" w:hAnsi="Palatino Linotype" w:cstheme="minorHAnsi"/>
        </w:rPr>
        <w:t xml:space="preserve"> does not fulfill </w:t>
      </w:r>
      <w:r w:rsidRPr="00E0262F" w:rsidR="00620377">
        <w:rPr>
          <w:rFonts w:ascii="Palatino Linotype" w:hAnsi="Palatino Linotype" w:cstheme="minorHAnsi"/>
        </w:rPr>
        <w:t>its</w:t>
      </w:r>
      <w:r w:rsidRPr="00E0262F">
        <w:rPr>
          <w:rFonts w:ascii="Palatino Linotype" w:hAnsi="Palatino Linotype" w:cstheme="minorHAnsi"/>
        </w:rPr>
        <w:t xml:space="preserve"> obligations. Except as outlined</w:t>
      </w:r>
      <w:r w:rsidRPr="00E0262F" w:rsidR="00A063CF">
        <w:rPr>
          <w:rFonts w:ascii="Palatino Linotype" w:hAnsi="Palatino Linotype" w:cstheme="minorHAnsi"/>
        </w:rPr>
        <w:t xml:space="preserve"> in the section immediately</w:t>
      </w:r>
      <w:r w:rsidRPr="00E0262F">
        <w:rPr>
          <w:rFonts w:ascii="Palatino Linotype" w:hAnsi="Palatino Linotype" w:cstheme="minorHAnsi"/>
        </w:rPr>
        <w:t xml:space="preserve"> </w:t>
      </w:r>
      <w:r w:rsidRPr="00E0262F" w:rsidR="00526CDA">
        <w:rPr>
          <w:rFonts w:ascii="Palatino Linotype" w:hAnsi="Palatino Linotype" w:cstheme="minorHAnsi"/>
        </w:rPr>
        <w:t>below</w:t>
      </w:r>
      <w:r w:rsidRPr="00E0262F">
        <w:rPr>
          <w:rFonts w:ascii="Palatino Linotype" w:hAnsi="Palatino Linotype" w:cstheme="minorHAnsi"/>
        </w:rPr>
        <w:t xml:space="preserve">, if Frontier does not fulfill its obligations, including those from the Settlement Agreements, the monetary </w:t>
      </w:r>
      <w:r w:rsidR="00FA00C6">
        <w:rPr>
          <w:rFonts w:ascii="Palatino Linotype" w:hAnsi="Palatino Linotype" w:cstheme="minorHAnsi"/>
        </w:rPr>
        <w:t>fine</w:t>
      </w:r>
      <w:r w:rsidRPr="00E0262F" w:rsidR="004A68DC">
        <w:rPr>
          <w:rFonts w:ascii="Palatino Linotype" w:hAnsi="Palatino Linotype" w:cstheme="minorHAnsi"/>
        </w:rPr>
        <w:t xml:space="preserve"> </w:t>
      </w:r>
      <w:r w:rsidRPr="00E0262F">
        <w:rPr>
          <w:rFonts w:ascii="Palatino Linotype" w:hAnsi="Palatino Linotype" w:cstheme="minorHAnsi"/>
        </w:rPr>
        <w:t xml:space="preserve">for Frontier will not exceed </w:t>
      </w:r>
      <w:r w:rsidR="00CC6136">
        <w:rPr>
          <w:rFonts w:ascii="Palatino Linotype" w:hAnsi="Palatino Linotype" w:cstheme="minorHAnsi"/>
        </w:rPr>
        <w:br/>
      </w:r>
      <w:r w:rsidRPr="00E0262F">
        <w:rPr>
          <w:rFonts w:ascii="Palatino Linotype" w:hAnsi="Palatino Linotype" w:cstheme="minorHAnsi"/>
        </w:rPr>
        <w:t xml:space="preserve">$14 million a month for each obligation it fails to meet. </w:t>
      </w:r>
      <w:r w:rsidRPr="00E0262F" w:rsidR="00C33313">
        <w:rPr>
          <w:rFonts w:ascii="Palatino Linotype" w:hAnsi="Palatino Linotype" w:cstheme="minorHAnsi"/>
        </w:rPr>
        <w:t xml:space="preserve">All of the consequences in this Resolution are in </w:t>
      </w:r>
      <w:r w:rsidRPr="00E0262F" w:rsidR="0078565A">
        <w:rPr>
          <w:rFonts w:ascii="Palatino Linotype" w:hAnsi="Palatino Linotype" w:cstheme="minorHAnsi"/>
        </w:rPr>
        <w:t xml:space="preserve">addition to </w:t>
      </w:r>
      <w:r w:rsidRPr="00E0262F" w:rsidR="00C33313">
        <w:rPr>
          <w:rFonts w:ascii="Palatino Linotype" w:hAnsi="Palatino Linotype" w:cstheme="minorHAnsi"/>
        </w:rPr>
        <w:t xml:space="preserve">any existing </w:t>
      </w:r>
      <w:r w:rsidRPr="00E0262F" w:rsidR="00E67220">
        <w:rPr>
          <w:rFonts w:ascii="Palatino Linotype" w:hAnsi="Palatino Linotype" w:cstheme="minorHAnsi"/>
        </w:rPr>
        <w:t xml:space="preserve">Commission requirements and </w:t>
      </w:r>
      <w:r w:rsidRPr="00E0262F" w:rsidR="00E17B5F">
        <w:rPr>
          <w:rFonts w:ascii="Palatino Linotype" w:hAnsi="Palatino Linotype" w:cstheme="minorHAnsi"/>
        </w:rPr>
        <w:t xml:space="preserve">to the </w:t>
      </w:r>
      <w:r w:rsidRPr="00E0262F" w:rsidR="0078565A">
        <w:rPr>
          <w:rFonts w:ascii="Palatino Linotype" w:hAnsi="Palatino Linotype" w:cstheme="minorHAnsi"/>
        </w:rPr>
        <w:t>Settlement Agreements.</w:t>
      </w:r>
      <w:r w:rsidRPr="00E0262F" w:rsidR="00E67220">
        <w:rPr>
          <w:rFonts w:ascii="Palatino Linotype" w:hAnsi="Palatino Linotype" w:cstheme="minorHAnsi"/>
        </w:rPr>
        <w:t xml:space="preserve"> </w:t>
      </w:r>
      <w:r w:rsidRPr="00E0262F" w:rsidR="003D5C03">
        <w:rPr>
          <w:rFonts w:ascii="Palatino Linotype" w:hAnsi="Palatino Linotype" w:cstheme="minorHAnsi"/>
        </w:rPr>
        <w:t>T</w:t>
      </w:r>
      <w:r w:rsidRPr="00E0262F">
        <w:rPr>
          <w:rFonts w:ascii="Palatino Linotype" w:hAnsi="Palatino Linotype" w:cstheme="minorHAnsi"/>
        </w:rPr>
        <w:t xml:space="preserve">his </w:t>
      </w:r>
      <w:r w:rsidRPr="00E0262F" w:rsidR="0070481F">
        <w:rPr>
          <w:rFonts w:ascii="Palatino Linotype" w:hAnsi="Palatino Linotype" w:cstheme="minorHAnsi"/>
        </w:rPr>
        <w:t>Resolution</w:t>
      </w:r>
      <w:r w:rsidRPr="00E0262F">
        <w:rPr>
          <w:rFonts w:ascii="Palatino Linotype" w:hAnsi="Palatino Linotype" w:cstheme="minorHAnsi"/>
        </w:rPr>
        <w:t xml:space="preserve"> </w:t>
      </w:r>
      <w:r w:rsidRPr="00E0262F" w:rsidR="003D5C03">
        <w:rPr>
          <w:rFonts w:ascii="Palatino Linotype" w:hAnsi="Palatino Linotype" w:cstheme="minorHAnsi"/>
        </w:rPr>
        <w:t xml:space="preserve">also </w:t>
      </w:r>
      <w:r w:rsidRPr="00E0262F">
        <w:rPr>
          <w:rFonts w:ascii="Palatino Linotype" w:hAnsi="Palatino Linotype" w:cstheme="minorHAnsi"/>
        </w:rPr>
        <w:t>lays out the enforcement</w:t>
      </w:r>
      <w:r w:rsidR="002D7230">
        <w:rPr>
          <w:rFonts w:ascii="Palatino Linotype" w:hAnsi="Palatino Linotype" w:cstheme="minorHAnsi"/>
        </w:rPr>
        <w:t>-</w:t>
      </w:r>
      <w:r w:rsidRPr="00E0262F">
        <w:rPr>
          <w:rFonts w:ascii="Palatino Linotype" w:hAnsi="Palatino Linotype" w:cstheme="minorHAnsi"/>
        </w:rPr>
        <w:t xml:space="preserve">related processes for the purposes of clarity and transparency. </w:t>
      </w:r>
      <w:r w:rsidRPr="00E0262F" w:rsidR="00B64B0A">
        <w:rPr>
          <w:rFonts w:ascii="Palatino Linotype" w:hAnsi="Palatino Linotype" w:cstheme="minorHAnsi"/>
        </w:rPr>
        <w:t xml:space="preserve">Staff </w:t>
      </w:r>
      <w:r w:rsidRPr="00E0262F" w:rsidR="00D91F6D">
        <w:rPr>
          <w:rFonts w:ascii="Palatino Linotype" w:hAnsi="Palatino Linotype" w:cstheme="minorHAnsi"/>
        </w:rPr>
        <w:t xml:space="preserve">can take </w:t>
      </w:r>
      <w:r w:rsidRPr="00E0262F" w:rsidR="00B64B0A">
        <w:rPr>
          <w:rFonts w:ascii="Palatino Linotype" w:hAnsi="Palatino Linotype" w:cstheme="minorHAnsi"/>
        </w:rPr>
        <w:t xml:space="preserve">more immediate action to address and correct </w:t>
      </w:r>
      <w:r w:rsidRPr="00E0262F" w:rsidR="00D91F6D">
        <w:rPr>
          <w:rFonts w:ascii="Palatino Linotype" w:hAnsi="Palatino Linotype" w:cstheme="minorHAnsi"/>
        </w:rPr>
        <w:t xml:space="preserve">Frontier’s </w:t>
      </w:r>
      <w:r w:rsidRPr="00E0262F" w:rsidR="00B64B0A">
        <w:rPr>
          <w:rFonts w:ascii="Palatino Linotype" w:hAnsi="Palatino Linotype" w:cstheme="minorHAnsi"/>
        </w:rPr>
        <w:t>non-compliance, while simultaneously providing a clear process for Frontier to contest or appeal violations.</w:t>
      </w:r>
      <w:r w:rsidRPr="00E0262F" w:rsidR="00D91F6D">
        <w:rPr>
          <w:rFonts w:ascii="Palatino Linotype" w:hAnsi="Palatino Linotype" w:cstheme="minorHAnsi"/>
        </w:rPr>
        <w:t xml:space="preserve"> </w:t>
      </w:r>
      <w:r w:rsidR="0068175F">
        <w:rPr>
          <w:rFonts w:ascii="Palatino Linotype" w:hAnsi="Palatino Linotype" w:cstheme="minorHAnsi"/>
        </w:rPr>
        <w:t>T</w:t>
      </w:r>
      <w:r w:rsidRPr="00E0262F">
        <w:rPr>
          <w:rFonts w:ascii="Palatino Linotype" w:hAnsi="Palatino Linotype" w:cstheme="minorHAnsi"/>
        </w:rPr>
        <w:t xml:space="preserve">his </w:t>
      </w:r>
      <w:r w:rsidRPr="00E0262F" w:rsidR="007B47FA">
        <w:rPr>
          <w:rFonts w:ascii="Palatino Linotype" w:hAnsi="Palatino Linotype" w:cstheme="minorHAnsi"/>
        </w:rPr>
        <w:t>E</w:t>
      </w:r>
      <w:r w:rsidRPr="00E0262F">
        <w:rPr>
          <w:rFonts w:ascii="Palatino Linotype" w:hAnsi="Palatino Linotype" w:cstheme="minorHAnsi"/>
        </w:rPr>
        <w:t xml:space="preserve">nforcement </w:t>
      </w:r>
      <w:r w:rsidRPr="00E0262F" w:rsidR="007B47FA">
        <w:rPr>
          <w:rFonts w:ascii="Palatino Linotype" w:hAnsi="Palatino Linotype" w:cstheme="minorHAnsi"/>
        </w:rPr>
        <w:t>P</w:t>
      </w:r>
      <w:r w:rsidRPr="00E0262F">
        <w:rPr>
          <w:rFonts w:ascii="Palatino Linotype" w:hAnsi="Palatino Linotype" w:cstheme="minorHAnsi"/>
        </w:rPr>
        <w:t>rogram explicitly gives the parties that settled with Frontier the opportunity to influence the appropriate remedies</w:t>
      </w:r>
      <w:r w:rsidRPr="00E0262F" w:rsidR="001A0056">
        <w:rPr>
          <w:rFonts w:ascii="Palatino Linotype" w:hAnsi="Palatino Linotype" w:cstheme="minorHAnsi"/>
        </w:rPr>
        <w:t xml:space="preserve"> (except as already determined </w:t>
      </w:r>
      <w:r w:rsidRPr="00E0262F" w:rsidR="006E0EF8">
        <w:rPr>
          <w:rFonts w:ascii="Palatino Linotype" w:hAnsi="Palatino Linotype" w:cstheme="minorHAnsi"/>
        </w:rPr>
        <w:t xml:space="preserve">by this Resolution </w:t>
      </w:r>
      <w:r w:rsidRPr="00E0262F" w:rsidR="00A063CF">
        <w:rPr>
          <w:rFonts w:ascii="Palatino Linotype" w:hAnsi="Palatino Linotype" w:cstheme="minorHAnsi"/>
        </w:rPr>
        <w:t xml:space="preserve">in the section </w:t>
      </w:r>
      <w:r w:rsidRPr="00E0262F" w:rsidR="002D6E54">
        <w:rPr>
          <w:rFonts w:ascii="Palatino Linotype" w:hAnsi="Palatino Linotype" w:cstheme="minorHAnsi"/>
        </w:rPr>
        <w:t xml:space="preserve">called, “Consequences of Not Fulfilling Obligations,” </w:t>
      </w:r>
      <w:r w:rsidRPr="00E0262F" w:rsidR="00A063CF">
        <w:rPr>
          <w:rFonts w:ascii="Palatino Linotype" w:hAnsi="Palatino Linotype" w:cstheme="minorHAnsi"/>
        </w:rPr>
        <w:t xml:space="preserve">immediately </w:t>
      </w:r>
      <w:r w:rsidRPr="00E0262F" w:rsidR="001A0056">
        <w:rPr>
          <w:rFonts w:ascii="Palatino Linotype" w:hAnsi="Palatino Linotype" w:cstheme="minorHAnsi"/>
        </w:rPr>
        <w:t>below)</w:t>
      </w:r>
      <w:r w:rsidRPr="00E0262F" w:rsidR="00E56866">
        <w:rPr>
          <w:rFonts w:ascii="Palatino Linotype" w:hAnsi="Palatino Linotype" w:cstheme="minorHAnsi"/>
        </w:rPr>
        <w:t>, as applicable,</w:t>
      </w:r>
      <w:r w:rsidRPr="00E0262F">
        <w:rPr>
          <w:rFonts w:ascii="Palatino Linotype" w:hAnsi="Palatino Linotype" w:cstheme="minorHAnsi"/>
        </w:rPr>
        <w:t xml:space="preserve"> for the Commission to choose</w:t>
      </w:r>
      <w:r w:rsidRPr="00E0262F" w:rsidR="00FA749A">
        <w:rPr>
          <w:rFonts w:ascii="Palatino Linotype" w:hAnsi="Palatino Linotype" w:cstheme="minorHAnsi"/>
        </w:rPr>
        <w:t xml:space="preserve"> </w:t>
      </w:r>
      <w:r w:rsidRPr="00E0262F" w:rsidR="00DC3596">
        <w:rPr>
          <w:rFonts w:ascii="Palatino Linotype" w:hAnsi="Palatino Linotype" w:cstheme="minorHAnsi"/>
        </w:rPr>
        <w:t xml:space="preserve">when Frontier does not fulfill </w:t>
      </w:r>
      <w:r w:rsidR="00614A06">
        <w:rPr>
          <w:rFonts w:ascii="Palatino Linotype" w:hAnsi="Palatino Linotype" w:cstheme="minorHAnsi"/>
        </w:rPr>
        <w:t>an</w:t>
      </w:r>
      <w:r w:rsidRPr="00E0262F" w:rsidR="00DC3596">
        <w:rPr>
          <w:rFonts w:ascii="Palatino Linotype" w:hAnsi="Palatino Linotype" w:cstheme="minorHAnsi"/>
        </w:rPr>
        <w:t xml:space="preserve"> obligation</w:t>
      </w:r>
      <w:r w:rsidRPr="00E0262F" w:rsidR="00E56866">
        <w:rPr>
          <w:rFonts w:ascii="Palatino Linotype" w:hAnsi="Palatino Linotype" w:cstheme="minorHAnsi"/>
        </w:rPr>
        <w:t>.</w:t>
      </w:r>
    </w:p>
    <w:p w:rsidRPr="00E0262F" w:rsidR="00637AF3" w:rsidP="006E0B46" w:rsidRDefault="00637AF3" w14:paraId="1A9D3E5D" w14:textId="1D6E4177">
      <w:pPr>
        <w:pStyle w:val="NoSpacing"/>
        <w:rPr>
          <w:rFonts w:ascii="Palatino Linotype" w:hAnsi="Palatino Linotype" w:cstheme="minorHAnsi"/>
          <w:highlight w:val="yellow"/>
        </w:rPr>
      </w:pPr>
    </w:p>
    <w:p w:rsidR="009D60EF" w:rsidP="006E0B46" w:rsidRDefault="00637AF3" w14:paraId="68BA5B0A" w14:textId="34FD49C3">
      <w:pPr>
        <w:pStyle w:val="NoSpacing"/>
        <w:rPr>
          <w:rFonts w:ascii="Palatino Linotype" w:hAnsi="Palatino Linotype" w:cstheme="minorHAnsi"/>
        </w:rPr>
      </w:pPr>
      <w:r w:rsidRPr="00E0262F">
        <w:rPr>
          <w:rFonts w:ascii="Palatino Linotype" w:hAnsi="Palatino Linotype" w:cstheme="minorHAnsi"/>
        </w:rPr>
        <w:t xml:space="preserve">This </w:t>
      </w:r>
      <w:r w:rsidRPr="00E0262F" w:rsidR="0098457B">
        <w:rPr>
          <w:rFonts w:ascii="Palatino Linotype" w:hAnsi="Palatino Linotype" w:cstheme="minorHAnsi"/>
        </w:rPr>
        <w:t xml:space="preserve">Enforcement Program </w:t>
      </w:r>
      <w:r w:rsidR="00082836">
        <w:rPr>
          <w:rFonts w:ascii="Palatino Linotype" w:hAnsi="Palatino Linotype" w:cstheme="minorHAnsi"/>
        </w:rPr>
        <w:t>also</w:t>
      </w:r>
      <w:r w:rsidR="0068175F">
        <w:rPr>
          <w:rFonts w:ascii="Palatino Linotype" w:hAnsi="Palatino Linotype" w:cstheme="minorHAnsi"/>
        </w:rPr>
        <w:t xml:space="preserve"> </w:t>
      </w:r>
      <w:r w:rsidRPr="00E0262F">
        <w:rPr>
          <w:rFonts w:ascii="Palatino Linotype" w:hAnsi="Palatino Linotype" w:cstheme="minorHAnsi"/>
        </w:rPr>
        <w:t xml:space="preserve">ensures that the Commission properly notify </w:t>
      </w:r>
      <w:r w:rsidRPr="00E0262F" w:rsidR="00783539">
        <w:rPr>
          <w:rFonts w:ascii="Palatino Linotype" w:hAnsi="Palatino Linotype" w:cstheme="minorHAnsi"/>
        </w:rPr>
        <w:t>Frontier</w:t>
      </w:r>
      <w:r w:rsidRPr="00E0262F">
        <w:rPr>
          <w:rFonts w:ascii="Palatino Linotype" w:hAnsi="Palatino Linotype" w:cstheme="minorHAnsi"/>
        </w:rPr>
        <w:t xml:space="preserve"> in writing of compliance problems. In addition, </w:t>
      </w:r>
      <w:r w:rsidRPr="00E0262F" w:rsidR="00783539">
        <w:rPr>
          <w:rFonts w:ascii="Palatino Linotype" w:hAnsi="Palatino Linotype" w:cstheme="minorHAnsi"/>
        </w:rPr>
        <w:t>Frontier w</w:t>
      </w:r>
      <w:r w:rsidRPr="00E0262F" w:rsidR="009E38B7">
        <w:rPr>
          <w:rFonts w:ascii="Palatino Linotype" w:hAnsi="Palatino Linotype" w:cstheme="minorHAnsi"/>
        </w:rPr>
        <w:t>ill</w:t>
      </w:r>
      <w:r w:rsidRPr="00E0262F" w:rsidR="00783539">
        <w:rPr>
          <w:rFonts w:ascii="Palatino Linotype" w:hAnsi="Palatino Linotype" w:cstheme="minorHAnsi"/>
        </w:rPr>
        <w:t xml:space="preserve"> have </w:t>
      </w:r>
      <w:r w:rsidRPr="00E0262F">
        <w:rPr>
          <w:rFonts w:ascii="Palatino Linotype" w:hAnsi="Palatino Linotype" w:cstheme="minorHAnsi"/>
        </w:rPr>
        <w:t xml:space="preserve">the opportunity to </w:t>
      </w:r>
      <w:r w:rsidR="00140070">
        <w:rPr>
          <w:rFonts w:ascii="Palatino Linotype" w:hAnsi="Palatino Linotype" w:cstheme="minorHAnsi"/>
        </w:rPr>
        <w:t xml:space="preserve">satisfy </w:t>
      </w:r>
      <w:r w:rsidRPr="00E0262F">
        <w:rPr>
          <w:rFonts w:ascii="Palatino Linotype" w:hAnsi="Palatino Linotype" w:cstheme="minorHAnsi"/>
        </w:rPr>
        <w:t xml:space="preserve">the </w:t>
      </w:r>
      <w:r w:rsidRPr="00E0262F" w:rsidR="00646A43">
        <w:rPr>
          <w:rFonts w:ascii="Palatino Linotype" w:hAnsi="Palatino Linotype" w:cstheme="minorHAnsi"/>
        </w:rPr>
        <w:t>consequence</w:t>
      </w:r>
      <w:r w:rsidR="00037358">
        <w:rPr>
          <w:rFonts w:ascii="Palatino Linotype" w:hAnsi="Palatino Linotype" w:cstheme="minorHAnsi"/>
        </w:rPr>
        <w:t xml:space="preserve"> of its failure t</w:t>
      </w:r>
      <w:r w:rsidR="009724A5">
        <w:rPr>
          <w:rFonts w:ascii="Palatino Linotype" w:hAnsi="Palatino Linotype" w:cstheme="minorHAnsi"/>
        </w:rPr>
        <w:t>o fulfill an obligation</w:t>
      </w:r>
      <w:r w:rsidRPr="00E0262F">
        <w:rPr>
          <w:rFonts w:ascii="Palatino Linotype" w:hAnsi="Palatino Linotype" w:cstheme="minorHAnsi"/>
        </w:rPr>
        <w:t xml:space="preserve">, </w:t>
      </w:r>
      <w:r w:rsidRPr="00E0262F" w:rsidR="00646A43">
        <w:rPr>
          <w:rFonts w:ascii="Palatino Linotype" w:hAnsi="Palatino Linotype" w:cstheme="minorHAnsi"/>
        </w:rPr>
        <w:t xml:space="preserve">to </w:t>
      </w:r>
      <w:r w:rsidRPr="00E0262F" w:rsidR="004D6E43">
        <w:rPr>
          <w:rFonts w:ascii="Palatino Linotype" w:hAnsi="Palatino Linotype" w:cstheme="minorHAnsi"/>
        </w:rPr>
        <w:t>bring itself into compliance,</w:t>
      </w:r>
      <w:r w:rsidRPr="00E0262F">
        <w:rPr>
          <w:rFonts w:ascii="Palatino Linotype" w:hAnsi="Palatino Linotype" w:cstheme="minorHAnsi"/>
        </w:rPr>
        <w:t xml:space="preserve"> and to advise </w:t>
      </w:r>
      <w:r w:rsidR="00130D1A">
        <w:rPr>
          <w:rFonts w:ascii="Palatino Linotype" w:hAnsi="Palatino Linotype" w:cstheme="minorHAnsi"/>
        </w:rPr>
        <w:t xml:space="preserve">the Commission (and the parties that settled with Frontier) </w:t>
      </w:r>
      <w:r w:rsidRPr="00E0262F">
        <w:rPr>
          <w:rFonts w:ascii="Palatino Linotype" w:hAnsi="Palatino Linotype" w:cstheme="minorHAnsi"/>
        </w:rPr>
        <w:t>of any error</w:t>
      </w:r>
      <w:r w:rsidR="00D513EB">
        <w:rPr>
          <w:rFonts w:ascii="Palatino Linotype" w:hAnsi="Palatino Linotype" w:cstheme="minorHAnsi"/>
        </w:rPr>
        <w:t>(</w:t>
      </w:r>
      <w:r w:rsidRPr="00E0262F">
        <w:rPr>
          <w:rFonts w:ascii="Palatino Linotype" w:hAnsi="Palatino Linotype" w:cstheme="minorHAnsi"/>
        </w:rPr>
        <w:t>s</w:t>
      </w:r>
      <w:r w:rsidR="00D513EB">
        <w:rPr>
          <w:rFonts w:ascii="Palatino Linotype" w:hAnsi="Palatino Linotype" w:cstheme="minorHAnsi"/>
        </w:rPr>
        <w:t>)</w:t>
      </w:r>
      <w:r w:rsidRPr="00E0262F">
        <w:rPr>
          <w:rFonts w:ascii="Palatino Linotype" w:hAnsi="Palatino Linotype" w:cstheme="minorHAnsi"/>
        </w:rPr>
        <w:t xml:space="preserve"> in </w:t>
      </w:r>
      <w:r w:rsidR="00A10A51">
        <w:rPr>
          <w:rFonts w:ascii="Palatino Linotype" w:hAnsi="Palatino Linotype" w:cstheme="minorHAnsi"/>
        </w:rPr>
        <w:t>an</w:t>
      </w:r>
      <w:r w:rsidRPr="00E0262F" w:rsidR="00A10A51">
        <w:rPr>
          <w:rFonts w:ascii="Palatino Linotype" w:hAnsi="Palatino Linotype" w:cstheme="minorHAnsi"/>
        </w:rPr>
        <w:t xml:space="preserve"> </w:t>
      </w:r>
      <w:r w:rsidRPr="00E0262F">
        <w:rPr>
          <w:rFonts w:ascii="Palatino Linotype" w:hAnsi="Palatino Linotype" w:cstheme="minorHAnsi"/>
        </w:rPr>
        <w:t>evaluation and conclusion</w:t>
      </w:r>
      <w:r w:rsidR="00A10A51">
        <w:rPr>
          <w:rFonts w:ascii="Palatino Linotype" w:hAnsi="Palatino Linotype" w:cstheme="minorHAnsi"/>
        </w:rPr>
        <w:t xml:space="preserve"> of</w:t>
      </w:r>
      <w:r w:rsidR="00130D1A">
        <w:rPr>
          <w:rFonts w:ascii="Palatino Linotype" w:hAnsi="Palatino Linotype" w:cstheme="minorHAnsi"/>
        </w:rPr>
        <w:t xml:space="preserve"> compliance (or lack thereof)</w:t>
      </w:r>
      <w:r w:rsidRPr="00E0262F">
        <w:rPr>
          <w:rFonts w:ascii="Palatino Linotype" w:hAnsi="Palatino Linotype" w:cstheme="minorHAnsi"/>
        </w:rPr>
        <w:t xml:space="preserve">. </w:t>
      </w:r>
      <w:r w:rsidRPr="00E0262F" w:rsidR="004D6E43">
        <w:rPr>
          <w:rFonts w:ascii="Palatino Linotype" w:hAnsi="Palatino Linotype" w:cstheme="minorHAnsi"/>
        </w:rPr>
        <w:t>Frontier</w:t>
      </w:r>
      <w:r w:rsidRPr="00E0262F">
        <w:rPr>
          <w:rFonts w:ascii="Palatino Linotype" w:hAnsi="Palatino Linotype" w:cstheme="minorHAnsi"/>
        </w:rPr>
        <w:t xml:space="preserve"> </w:t>
      </w:r>
      <w:r w:rsidRPr="00E0262F" w:rsidR="009E38B7">
        <w:rPr>
          <w:rFonts w:ascii="Palatino Linotype" w:hAnsi="Palatino Linotype" w:cstheme="minorHAnsi"/>
        </w:rPr>
        <w:t xml:space="preserve">also </w:t>
      </w:r>
      <w:r w:rsidRPr="00E0262F">
        <w:rPr>
          <w:rFonts w:ascii="Palatino Linotype" w:hAnsi="Palatino Linotype" w:cstheme="minorHAnsi"/>
        </w:rPr>
        <w:t>w</w:t>
      </w:r>
      <w:r w:rsidRPr="00E0262F" w:rsidR="009E38B7">
        <w:rPr>
          <w:rFonts w:ascii="Palatino Linotype" w:hAnsi="Palatino Linotype" w:cstheme="minorHAnsi"/>
        </w:rPr>
        <w:t>ill</w:t>
      </w:r>
      <w:r w:rsidRPr="00E0262F">
        <w:rPr>
          <w:rFonts w:ascii="Palatino Linotype" w:hAnsi="Palatino Linotype" w:cstheme="minorHAnsi"/>
        </w:rPr>
        <w:t xml:space="preserve"> have the </w:t>
      </w:r>
      <w:r w:rsidRPr="00E0262F" w:rsidR="009E38B7">
        <w:rPr>
          <w:rFonts w:ascii="Palatino Linotype" w:hAnsi="Palatino Linotype" w:cstheme="minorHAnsi"/>
        </w:rPr>
        <w:t>chance</w:t>
      </w:r>
      <w:r w:rsidRPr="00E0262F">
        <w:rPr>
          <w:rFonts w:ascii="Palatino Linotype" w:hAnsi="Palatino Linotype" w:cstheme="minorHAnsi"/>
        </w:rPr>
        <w:t xml:space="preserve"> to </w:t>
      </w:r>
      <w:r w:rsidR="00733457">
        <w:rPr>
          <w:rFonts w:ascii="Palatino Linotype" w:hAnsi="Palatino Linotype" w:cstheme="minorHAnsi"/>
        </w:rPr>
        <w:t>appeal</w:t>
      </w:r>
      <w:r w:rsidRPr="00E0262F" w:rsidR="00733457">
        <w:rPr>
          <w:rFonts w:ascii="Palatino Linotype" w:hAnsi="Palatino Linotype" w:cstheme="minorHAnsi"/>
        </w:rPr>
        <w:t xml:space="preserve"> </w:t>
      </w:r>
      <w:r w:rsidRPr="00E0262F">
        <w:rPr>
          <w:rFonts w:ascii="Palatino Linotype" w:hAnsi="Palatino Linotype" w:cstheme="minorHAnsi"/>
        </w:rPr>
        <w:t xml:space="preserve">the violation and the </w:t>
      </w:r>
      <w:r w:rsidRPr="00E0262F" w:rsidR="004A2C95">
        <w:rPr>
          <w:rFonts w:ascii="Palatino Linotype" w:hAnsi="Palatino Linotype" w:cstheme="minorHAnsi"/>
        </w:rPr>
        <w:t>applicable consequence</w:t>
      </w:r>
      <w:r w:rsidR="006F1DD4">
        <w:rPr>
          <w:rFonts w:ascii="Palatino Linotype" w:hAnsi="Palatino Linotype" w:cstheme="minorHAnsi"/>
        </w:rPr>
        <w:t xml:space="preserve"> p</w:t>
      </w:r>
      <w:r w:rsidRPr="00E0262F" w:rsidR="006F1DD4">
        <w:rPr>
          <w:rFonts w:ascii="Palatino Linotype" w:hAnsi="Palatino Linotype" w:cstheme="minorHAnsi"/>
        </w:rPr>
        <w:t>ursuant to Resolution ALJ-377</w:t>
      </w:r>
      <w:r w:rsidRPr="00E0262F">
        <w:rPr>
          <w:rFonts w:ascii="Palatino Linotype" w:hAnsi="Palatino Linotype" w:cstheme="minorHAnsi"/>
        </w:rPr>
        <w:t xml:space="preserve">. </w:t>
      </w:r>
    </w:p>
    <w:p w:rsidR="009D60EF" w:rsidP="006E0B46" w:rsidRDefault="009D60EF" w14:paraId="4622A616" w14:textId="77777777">
      <w:pPr>
        <w:pStyle w:val="NoSpacing"/>
        <w:rPr>
          <w:rFonts w:ascii="Palatino Linotype" w:hAnsi="Palatino Linotype" w:cstheme="minorHAnsi"/>
        </w:rPr>
      </w:pPr>
    </w:p>
    <w:p w:rsidR="003E043E" w:rsidP="006E0B46" w:rsidRDefault="005A3232" w14:paraId="7C563E6F" w14:textId="500C92A5">
      <w:pPr>
        <w:pStyle w:val="NoSpacing"/>
        <w:rPr>
          <w:rFonts w:ascii="Palatino Linotype" w:hAnsi="Palatino Linotype" w:cstheme="minorHAnsi"/>
        </w:rPr>
      </w:pPr>
      <w:r w:rsidRPr="00E0262F">
        <w:rPr>
          <w:rFonts w:ascii="Palatino Linotype" w:hAnsi="Palatino Linotype" w:cstheme="minorHAnsi"/>
        </w:rPr>
        <w:t xml:space="preserve">Frontier </w:t>
      </w:r>
      <w:r w:rsidRPr="00E0262F" w:rsidR="00637AF3">
        <w:rPr>
          <w:rFonts w:ascii="Palatino Linotype" w:hAnsi="Palatino Linotype" w:cstheme="minorHAnsi"/>
        </w:rPr>
        <w:t>may</w:t>
      </w:r>
      <w:r w:rsidR="009D60EF">
        <w:rPr>
          <w:rFonts w:ascii="Palatino Linotype" w:hAnsi="Palatino Linotype" w:cstheme="minorHAnsi"/>
        </w:rPr>
        <w:t xml:space="preserve"> also</w:t>
      </w:r>
      <w:r w:rsidRPr="00E0262F" w:rsidR="00637AF3">
        <w:rPr>
          <w:rFonts w:ascii="Palatino Linotype" w:hAnsi="Palatino Linotype" w:cstheme="minorHAnsi"/>
        </w:rPr>
        <w:t xml:space="preserve"> request an extension of </w:t>
      </w:r>
      <w:r w:rsidRPr="00E0262F">
        <w:rPr>
          <w:rFonts w:ascii="Palatino Linotype" w:hAnsi="Palatino Linotype" w:cstheme="minorHAnsi"/>
        </w:rPr>
        <w:t>a</w:t>
      </w:r>
      <w:r w:rsidRPr="00E0262F" w:rsidR="00637AF3">
        <w:rPr>
          <w:rFonts w:ascii="Palatino Linotype" w:hAnsi="Palatino Linotype" w:cstheme="minorHAnsi"/>
        </w:rPr>
        <w:t xml:space="preserve"> deadline to achieve compliance</w:t>
      </w:r>
      <w:r w:rsidR="00C6727F">
        <w:rPr>
          <w:rFonts w:ascii="Palatino Linotype" w:hAnsi="Palatino Linotype" w:cstheme="minorHAnsi"/>
        </w:rPr>
        <w:t xml:space="preserve"> for each obligation</w:t>
      </w:r>
      <w:r w:rsidRPr="00E0262F" w:rsidR="00637AF3">
        <w:rPr>
          <w:rFonts w:ascii="Palatino Linotype" w:hAnsi="Palatino Linotype" w:cstheme="minorHAnsi"/>
        </w:rPr>
        <w:t xml:space="preserve">. </w:t>
      </w:r>
      <w:r w:rsidRPr="00E0262F" w:rsidR="00EC5C89">
        <w:rPr>
          <w:rFonts w:ascii="Palatino Linotype" w:hAnsi="Palatino Linotype" w:cstheme="minorHAnsi"/>
        </w:rPr>
        <w:t>Staff</w:t>
      </w:r>
      <w:r w:rsidRPr="00E0262F" w:rsidR="00637AF3">
        <w:rPr>
          <w:rFonts w:ascii="Palatino Linotype" w:hAnsi="Palatino Linotype" w:cstheme="minorHAnsi"/>
        </w:rPr>
        <w:t xml:space="preserve"> </w:t>
      </w:r>
      <w:r w:rsidR="00CB527D">
        <w:rPr>
          <w:rFonts w:ascii="Palatino Linotype" w:hAnsi="Palatino Linotype" w:cstheme="minorHAnsi"/>
        </w:rPr>
        <w:t>can</w:t>
      </w:r>
      <w:r w:rsidRPr="00E0262F" w:rsidR="00637AF3">
        <w:rPr>
          <w:rFonts w:ascii="Palatino Linotype" w:hAnsi="Palatino Linotype" w:cstheme="minorHAnsi"/>
        </w:rPr>
        <w:t xml:space="preserve"> grant a one-time extension of up to 60 </w:t>
      </w:r>
      <w:r w:rsidR="00DF26AC">
        <w:rPr>
          <w:rFonts w:ascii="Palatino Linotype" w:hAnsi="Palatino Linotype" w:cstheme="minorHAnsi"/>
        </w:rPr>
        <w:t xml:space="preserve">calendar </w:t>
      </w:r>
      <w:r w:rsidRPr="00E0262F" w:rsidR="00637AF3">
        <w:rPr>
          <w:rFonts w:ascii="Palatino Linotype" w:hAnsi="Palatino Linotype" w:cstheme="minorHAnsi"/>
        </w:rPr>
        <w:t xml:space="preserve">days for additional time for </w:t>
      </w:r>
      <w:r w:rsidRPr="00E0262F" w:rsidR="00EC5C89">
        <w:rPr>
          <w:rFonts w:ascii="Palatino Linotype" w:hAnsi="Palatino Linotype" w:cstheme="minorHAnsi"/>
        </w:rPr>
        <w:t>Frontier</w:t>
      </w:r>
      <w:r w:rsidRPr="00E0262F" w:rsidR="00637AF3">
        <w:rPr>
          <w:rFonts w:ascii="Palatino Linotype" w:hAnsi="Palatino Linotype" w:cstheme="minorHAnsi"/>
        </w:rPr>
        <w:t xml:space="preserve"> to achieve compliance </w:t>
      </w:r>
      <w:r w:rsidR="003A656D">
        <w:rPr>
          <w:rFonts w:ascii="Palatino Linotype" w:hAnsi="Palatino Linotype" w:cstheme="minorHAnsi"/>
        </w:rPr>
        <w:t>of an obligation</w:t>
      </w:r>
      <w:r w:rsidR="00390BB3">
        <w:rPr>
          <w:rFonts w:ascii="Palatino Linotype" w:hAnsi="Palatino Linotype" w:cstheme="minorHAnsi"/>
        </w:rPr>
        <w:t xml:space="preserve"> if</w:t>
      </w:r>
      <w:r w:rsidR="00E4795D">
        <w:rPr>
          <w:rFonts w:ascii="Palatino Linotype" w:hAnsi="Palatino Linotype" w:cstheme="minorHAnsi"/>
        </w:rPr>
        <w:t xml:space="preserve"> </w:t>
      </w:r>
      <w:r w:rsidRPr="00E0262F" w:rsidR="00EC5C89">
        <w:rPr>
          <w:rFonts w:ascii="Palatino Linotype" w:hAnsi="Palatino Linotype" w:cstheme="minorHAnsi"/>
        </w:rPr>
        <w:t>Frontier</w:t>
      </w:r>
      <w:r w:rsidRPr="00E0262F" w:rsidR="00637AF3">
        <w:rPr>
          <w:rFonts w:ascii="Palatino Linotype" w:hAnsi="Palatino Linotype" w:cstheme="minorHAnsi"/>
        </w:rPr>
        <w:t xml:space="preserve"> makes a written request to the </w:t>
      </w:r>
      <w:r w:rsidR="00D77940">
        <w:rPr>
          <w:rFonts w:ascii="Palatino Linotype" w:hAnsi="Palatino Linotype" w:cstheme="minorHAnsi"/>
        </w:rPr>
        <w:t xml:space="preserve">Director of the </w:t>
      </w:r>
      <w:r w:rsidRPr="00E0262F" w:rsidR="00637AF3">
        <w:rPr>
          <w:rFonts w:ascii="Palatino Linotype" w:hAnsi="Palatino Linotype" w:cstheme="minorHAnsi"/>
        </w:rPr>
        <w:t>Communications Division</w:t>
      </w:r>
      <w:r w:rsidR="00D77940">
        <w:rPr>
          <w:rFonts w:ascii="Palatino Linotype" w:hAnsi="Palatino Linotype" w:cstheme="minorHAnsi"/>
        </w:rPr>
        <w:t xml:space="preserve"> (CD)</w:t>
      </w:r>
      <w:r w:rsidRPr="00E0262F" w:rsidR="00EC5C89">
        <w:rPr>
          <w:rFonts w:ascii="Palatino Linotype" w:hAnsi="Palatino Linotype" w:cstheme="minorHAnsi"/>
        </w:rPr>
        <w:t xml:space="preserve"> </w:t>
      </w:r>
      <w:r w:rsidR="008468E5">
        <w:rPr>
          <w:rFonts w:ascii="Palatino Linotype" w:hAnsi="Palatino Linotype" w:cstheme="minorHAnsi"/>
        </w:rPr>
        <w:t xml:space="preserve">30 </w:t>
      </w:r>
      <w:r w:rsidR="00DF26AC">
        <w:rPr>
          <w:rFonts w:ascii="Palatino Linotype" w:hAnsi="Palatino Linotype" w:cstheme="minorHAnsi"/>
        </w:rPr>
        <w:t xml:space="preserve">calendar </w:t>
      </w:r>
      <w:r w:rsidR="008468E5">
        <w:rPr>
          <w:rFonts w:ascii="Palatino Linotype" w:hAnsi="Palatino Linotype" w:cstheme="minorHAnsi"/>
        </w:rPr>
        <w:t xml:space="preserve">days </w:t>
      </w:r>
      <w:r w:rsidRPr="00E0262F" w:rsidR="00637AF3">
        <w:rPr>
          <w:rFonts w:ascii="Palatino Linotype" w:hAnsi="Palatino Linotype" w:cstheme="minorHAnsi"/>
        </w:rPr>
        <w:t xml:space="preserve">before the expiration of the compliance deadline. </w:t>
      </w:r>
    </w:p>
    <w:p w:rsidR="003E043E" w:rsidP="006E0B46" w:rsidRDefault="003E043E" w14:paraId="6A5BFE8B" w14:textId="77777777">
      <w:pPr>
        <w:pStyle w:val="NoSpacing"/>
        <w:rPr>
          <w:rFonts w:ascii="Palatino Linotype" w:hAnsi="Palatino Linotype" w:cstheme="minorHAnsi"/>
        </w:rPr>
      </w:pPr>
    </w:p>
    <w:p w:rsidRPr="00E0262F" w:rsidR="00D23A41" w:rsidP="006E0B46" w:rsidRDefault="003E043E" w14:paraId="158D4C31" w14:textId="1C43E02B">
      <w:pPr>
        <w:pStyle w:val="NoSpacing"/>
        <w:rPr>
          <w:rFonts w:ascii="Palatino Linotype" w:hAnsi="Palatino Linotype" w:cstheme="minorHAnsi"/>
        </w:rPr>
      </w:pPr>
      <w:r>
        <w:rPr>
          <w:rFonts w:ascii="Palatino Linotype" w:hAnsi="Palatino Linotype" w:cstheme="minorHAnsi"/>
        </w:rPr>
        <w:t>Staff cannot automatically gran</w:t>
      </w:r>
      <w:r w:rsidR="002405CE">
        <w:rPr>
          <w:rFonts w:ascii="Palatino Linotype" w:hAnsi="Palatino Linotype" w:cstheme="minorHAnsi"/>
        </w:rPr>
        <w:t xml:space="preserve">t a request to extend the deadline to comply with an obligation. </w:t>
      </w:r>
      <w:r w:rsidRPr="00E0262F" w:rsidR="006A09C3">
        <w:rPr>
          <w:rFonts w:ascii="Palatino Linotype" w:hAnsi="Palatino Linotype" w:cstheme="minorHAnsi"/>
        </w:rPr>
        <w:t xml:space="preserve">Frontier </w:t>
      </w:r>
      <w:r w:rsidRPr="00E0262F" w:rsidR="00637AF3">
        <w:rPr>
          <w:rFonts w:ascii="Palatino Linotype" w:hAnsi="Palatino Linotype" w:cstheme="minorHAnsi"/>
        </w:rPr>
        <w:t xml:space="preserve">must demonstrate good cause for the additional time requested to correct </w:t>
      </w:r>
      <w:r w:rsidR="004C0516">
        <w:rPr>
          <w:rFonts w:ascii="Palatino Linotype" w:hAnsi="Palatino Linotype" w:cstheme="minorHAnsi"/>
        </w:rPr>
        <w:t xml:space="preserve">a </w:t>
      </w:r>
      <w:r w:rsidRPr="00E0262F" w:rsidR="00637AF3">
        <w:rPr>
          <w:rFonts w:ascii="Palatino Linotype" w:hAnsi="Palatino Linotype" w:cstheme="minorHAnsi"/>
        </w:rPr>
        <w:t xml:space="preserve">violation and show a good-faith effort to correct </w:t>
      </w:r>
      <w:r w:rsidR="00195C26">
        <w:rPr>
          <w:rFonts w:ascii="Palatino Linotype" w:hAnsi="Palatino Linotype" w:cstheme="minorHAnsi"/>
        </w:rPr>
        <w:t xml:space="preserve">the </w:t>
      </w:r>
      <w:r w:rsidRPr="00E0262F" w:rsidR="00637AF3">
        <w:rPr>
          <w:rFonts w:ascii="Palatino Linotype" w:hAnsi="Palatino Linotype" w:cstheme="minorHAnsi"/>
        </w:rPr>
        <w:t>violation</w:t>
      </w:r>
      <w:r w:rsidR="00195C26">
        <w:rPr>
          <w:rFonts w:ascii="Palatino Linotype" w:hAnsi="Palatino Linotype" w:cstheme="minorHAnsi"/>
        </w:rPr>
        <w:t xml:space="preserve"> for which Frontier requested an extension</w:t>
      </w:r>
      <w:r w:rsidRPr="00E0262F" w:rsidR="00637AF3">
        <w:rPr>
          <w:rFonts w:ascii="Palatino Linotype" w:hAnsi="Palatino Linotype" w:cstheme="minorHAnsi"/>
        </w:rPr>
        <w:t>.</w:t>
      </w:r>
      <w:r w:rsidR="00390BB3">
        <w:rPr>
          <w:rFonts w:ascii="Palatino Linotype" w:hAnsi="Palatino Linotype" w:cstheme="minorHAnsi"/>
        </w:rPr>
        <w:t xml:space="preserve"> </w:t>
      </w:r>
      <w:r w:rsidRPr="00E0262F" w:rsidR="00650871">
        <w:rPr>
          <w:rFonts w:ascii="Palatino Linotype" w:hAnsi="Palatino Linotype" w:cstheme="minorHAnsi"/>
        </w:rPr>
        <w:t>If Staff grants an extension</w:t>
      </w:r>
      <w:r w:rsidR="00AC4367">
        <w:rPr>
          <w:rFonts w:ascii="Palatino Linotype" w:hAnsi="Palatino Linotype" w:cstheme="minorHAnsi"/>
        </w:rPr>
        <w:t xml:space="preserve"> to fulfill </w:t>
      </w:r>
      <w:r w:rsidR="008E4653">
        <w:rPr>
          <w:rFonts w:ascii="Palatino Linotype" w:hAnsi="Palatino Linotype" w:cstheme="minorHAnsi"/>
        </w:rPr>
        <w:t>an obligation</w:t>
      </w:r>
      <w:r w:rsidRPr="00E0262F" w:rsidR="00650871">
        <w:rPr>
          <w:rFonts w:ascii="Palatino Linotype" w:hAnsi="Palatino Linotype" w:cstheme="minorHAnsi"/>
        </w:rPr>
        <w:t xml:space="preserve">, </w:t>
      </w:r>
      <w:r w:rsidR="00374D0F">
        <w:rPr>
          <w:rFonts w:ascii="Palatino Linotype" w:hAnsi="Palatino Linotype" w:cstheme="minorHAnsi"/>
        </w:rPr>
        <w:t xml:space="preserve">then Staff will set </w:t>
      </w:r>
      <w:r w:rsidRPr="00E0262F" w:rsidR="00650871">
        <w:rPr>
          <w:rFonts w:ascii="Palatino Linotype" w:hAnsi="Palatino Linotype" w:cstheme="minorHAnsi"/>
        </w:rPr>
        <w:t>a new compliance deadline</w:t>
      </w:r>
      <w:r w:rsidR="00374D0F">
        <w:rPr>
          <w:rFonts w:ascii="Palatino Linotype" w:hAnsi="Palatino Linotype" w:cstheme="minorHAnsi"/>
        </w:rPr>
        <w:t>.</w:t>
      </w:r>
      <w:r w:rsidRPr="00E0262F" w:rsidR="00650871">
        <w:rPr>
          <w:rFonts w:ascii="Palatino Linotype" w:hAnsi="Palatino Linotype" w:cstheme="minorHAnsi"/>
        </w:rPr>
        <w:t xml:space="preserve"> </w:t>
      </w:r>
      <w:r w:rsidR="003973EF">
        <w:rPr>
          <w:rFonts w:ascii="Palatino Linotype" w:hAnsi="Palatino Linotype" w:cstheme="minorHAnsi"/>
        </w:rPr>
        <w:t>Otherwise, Frontier must pay the monetary fine</w:t>
      </w:r>
      <w:r w:rsidRPr="00E0262F" w:rsidR="00554594">
        <w:rPr>
          <w:rFonts w:ascii="Palatino Linotype" w:hAnsi="Palatino Linotype" w:cstheme="minorHAnsi"/>
        </w:rPr>
        <w:t xml:space="preserve"> for the violation </w:t>
      </w:r>
      <w:r w:rsidR="00CE3C11">
        <w:rPr>
          <w:rFonts w:ascii="Palatino Linotype" w:hAnsi="Palatino Linotype" w:cstheme="minorHAnsi"/>
        </w:rPr>
        <w:t>by the</w:t>
      </w:r>
      <w:r w:rsidR="00A807EA">
        <w:rPr>
          <w:rFonts w:ascii="Palatino Linotype" w:hAnsi="Palatino Linotype" w:cstheme="minorHAnsi"/>
        </w:rPr>
        <w:t xml:space="preserve"> due date</w:t>
      </w:r>
      <w:r w:rsidR="00EE733A">
        <w:rPr>
          <w:rFonts w:ascii="Palatino Linotype" w:hAnsi="Palatino Linotype" w:cstheme="minorHAnsi"/>
        </w:rPr>
        <w:t xml:space="preserve"> as stated in the “Notice of Violation</w:t>
      </w:r>
      <w:r w:rsidR="00A807EA">
        <w:rPr>
          <w:rFonts w:ascii="Palatino Linotype" w:hAnsi="Palatino Linotype" w:cstheme="minorHAnsi"/>
        </w:rPr>
        <w:t>,</w:t>
      </w:r>
      <w:r w:rsidR="00EE733A">
        <w:rPr>
          <w:rFonts w:ascii="Palatino Linotype" w:hAnsi="Palatino Linotype" w:cstheme="minorHAnsi"/>
        </w:rPr>
        <w:t>”</w:t>
      </w:r>
      <w:r w:rsidR="00A807EA">
        <w:rPr>
          <w:rFonts w:ascii="Palatino Linotype" w:hAnsi="Palatino Linotype" w:cstheme="minorHAnsi"/>
        </w:rPr>
        <w:t xml:space="preserve"> as applicable</w:t>
      </w:r>
      <w:r w:rsidR="006217FF">
        <w:rPr>
          <w:rFonts w:ascii="Palatino Linotype" w:hAnsi="Palatino Linotype" w:cstheme="minorHAnsi"/>
        </w:rPr>
        <w:t>, if Frontier failed to fulfill an obligation</w:t>
      </w:r>
      <w:r w:rsidR="00A807EA">
        <w:rPr>
          <w:rFonts w:ascii="Palatino Linotype" w:hAnsi="Palatino Linotype" w:cstheme="minorHAnsi"/>
        </w:rPr>
        <w:t>.</w:t>
      </w:r>
    </w:p>
    <w:p w:rsidRPr="00E0262F" w:rsidR="006E0B46" w:rsidP="00794756" w:rsidRDefault="006E0B46" w14:paraId="1FC61E87" w14:textId="41637504">
      <w:pPr>
        <w:pStyle w:val="Heading1"/>
        <w:numPr>
          <w:ilvl w:val="0"/>
          <w:numId w:val="19"/>
        </w:numPr>
        <w:rPr>
          <w:rFonts w:ascii="Palatino Linotype" w:hAnsi="Palatino Linotype"/>
          <w:sz w:val="24"/>
          <w:szCs w:val="24"/>
        </w:rPr>
      </w:pPr>
      <w:r w:rsidRPr="00E0262F">
        <w:rPr>
          <w:rFonts w:ascii="Palatino Linotype" w:hAnsi="Palatino Linotype"/>
          <w:sz w:val="24"/>
          <w:szCs w:val="24"/>
        </w:rPr>
        <w:lastRenderedPageBreak/>
        <w:t>Consequences of Not Fulfilling Obligations</w:t>
      </w:r>
    </w:p>
    <w:p w:rsidRPr="00E0262F" w:rsidR="006E0B46" w:rsidP="00794756" w:rsidRDefault="006E0B46" w14:paraId="0E8DE8C1" w14:textId="131D9B31">
      <w:pPr>
        <w:pStyle w:val="NoSpacing"/>
        <w:numPr>
          <w:ilvl w:val="0"/>
          <w:numId w:val="21"/>
        </w:numPr>
        <w:rPr>
          <w:rStyle w:val="IntenseEmphasis"/>
          <w:rFonts w:ascii="Palatino Linotype" w:hAnsi="Palatino Linotype" w:eastAsiaTheme="majorEastAsia" w:cstheme="majorBidi"/>
          <w:sz w:val="32"/>
          <w:szCs w:val="32"/>
        </w:rPr>
      </w:pPr>
      <w:r w:rsidRPr="00E0262F">
        <w:rPr>
          <w:rStyle w:val="IntenseEmphasis"/>
          <w:rFonts w:ascii="Palatino Linotype" w:hAnsi="Palatino Linotype"/>
        </w:rPr>
        <w:t>Timely Restoring Service Outages</w:t>
      </w:r>
    </w:p>
    <w:p w:rsidRPr="00E0262F" w:rsidR="00E41750" w:rsidP="00E41750" w:rsidRDefault="001B4293" w14:paraId="1D689FD6" w14:textId="68E58133">
      <w:pPr>
        <w:pStyle w:val="NoSpacing"/>
        <w:rPr>
          <w:rFonts w:ascii="Palatino Linotype" w:hAnsi="Palatino Linotype" w:cstheme="minorHAnsi"/>
        </w:rPr>
      </w:pPr>
      <w:r w:rsidRPr="00E0262F">
        <w:rPr>
          <w:rFonts w:ascii="Palatino Linotype" w:hAnsi="Palatino Linotype" w:cstheme="minorHAnsi"/>
        </w:rPr>
        <w:t>R</w:t>
      </w:r>
      <w:r w:rsidRPr="00E0262F" w:rsidR="006E0B46">
        <w:rPr>
          <w:rFonts w:ascii="Palatino Linotype" w:hAnsi="Palatino Linotype" w:cstheme="minorHAnsi"/>
        </w:rPr>
        <w:t xml:space="preserve">estoring outages in a timely manner is critical in the provision of high quality and reliable communications services. </w:t>
      </w:r>
      <w:r w:rsidRPr="00E0262F" w:rsidR="00E41750">
        <w:rPr>
          <w:rFonts w:ascii="Palatino Linotype" w:hAnsi="Palatino Linotype" w:cstheme="minorHAnsi"/>
        </w:rPr>
        <w:t xml:space="preserve">The </w:t>
      </w:r>
      <w:r w:rsidRPr="00E0262F" w:rsidR="001270C1">
        <w:rPr>
          <w:rFonts w:ascii="Palatino Linotype" w:hAnsi="Palatino Linotype" w:cstheme="minorHAnsi"/>
        </w:rPr>
        <w:t>Commission</w:t>
      </w:r>
      <w:r w:rsidRPr="00E0262F" w:rsidR="00E41750">
        <w:rPr>
          <w:rFonts w:ascii="Palatino Linotype" w:hAnsi="Palatino Linotype" w:cstheme="minorHAnsi"/>
        </w:rPr>
        <w:t xml:space="preserve"> established uniform minimum standards of service to be observed in the operation of public utility telephone corporations. </w:t>
      </w:r>
      <w:r w:rsidR="003B2C15">
        <w:rPr>
          <w:rFonts w:ascii="Palatino Linotype" w:hAnsi="Palatino Linotype" w:cstheme="minorHAnsi"/>
        </w:rPr>
        <w:t xml:space="preserve">A </w:t>
      </w:r>
      <w:r w:rsidR="002140E9">
        <w:rPr>
          <w:rFonts w:ascii="Palatino Linotype" w:hAnsi="Palatino Linotype" w:cstheme="minorHAnsi"/>
        </w:rPr>
        <w:t>key</w:t>
      </w:r>
      <w:r w:rsidRPr="00E0262F" w:rsidR="008E609E">
        <w:rPr>
          <w:rFonts w:ascii="Palatino Linotype" w:hAnsi="Palatino Linotype" w:cstheme="minorHAnsi"/>
        </w:rPr>
        <w:t xml:space="preserve"> </w:t>
      </w:r>
      <w:r w:rsidRPr="00E0262F" w:rsidR="00E41750">
        <w:rPr>
          <w:rFonts w:ascii="Palatino Linotype" w:hAnsi="Palatino Linotype" w:cstheme="minorHAnsi"/>
        </w:rPr>
        <w:t xml:space="preserve">measure the </w:t>
      </w:r>
      <w:r w:rsidRPr="00E0262F" w:rsidR="001270C1">
        <w:rPr>
          <w:rFonts w:ascii="Palatino Linotype" w:hAnsi="Palatino Linotype" w:cstheme="minorHAnsi"/>
        </w:rPr>
        <w:t>Commission</w:t>
      </w:r>
      <w:r w:rsidRPr="00E0262F" w:rsidR="00E41750">
        <w:rPr>
          <w:rFonts w:ascii="Palatino Linotype" w:hAnsi="Palatino Linotype" w:cstheme="minorHAnsi"/>
        </w:rPr>
        <w:t xml:space="preserve"> uses to determine the quality of service provided by </w:t>
      </w:r>
      <w:r w:rsidR="00FC0499">
        <w:rPr>
          <w:rFonts w:ascii="Palatino Linotype" w:hAnsi="Palatino Linotype" w:cstheme="minorHAnsi"/>
        </w:rPr>
        <w:t>a</w:t>
      </w:r>
      <w:r w:rsidRPr="00E0262F" w:rsidR="00E41750">
        <w:rPr>
          <w:rFonts w:ascii="Palatino Linotype" w:hAnsi="Palatino Linotype" w:cstheme="minorHAnsi"/>
        </w:rPr>
        <w:t xml:space="preserve"> telephone corporation is the “Out of Service (OOS) Repair Interval.” The OOS Repair Interval measures the average interval between the time a telephone corporation responds to an OOS trouble report and the restoration of the telephone service. The </w:t>
      </w:r>
      <w:r w:rsidRPr="00E0262F" w:rsidR="001270C1">
        <w:rPr>
          <w:rFonts w:ascii="Palatino Linotype" w:hAnsi="Palatino Linotype" w:cstheme="minorHAnsi"/>
        </w:rPr>
        <w:t>Commission</w:t>
      </w:r>
      <w:r w:rsidRPr="00E0262F" w:rsidR="00E41750">
        <w:rPr>
          <w:rFonts w:ascii="Palatino Linotype" w:hAnsi="Palatino Linotype" w:cstheme="minorHAnsi"/>
        </w:rPr>
        <w:t xml:space="preserve"> defined a telephone service outage in G.O. 133-D §1.3.r. as a telephone line without a dial tone. The </w:t>
      </w:r>
      <w:r w:rsidRPr="00E0262F" w:rsidR="001270C1">
        <w:rPr>
          <w:rFonts w:ascii="Palatino Linotype" w:hAnsi="Palatino Linotype" w:cstheme="minorHAnsi"/>
        </w:rPr>
        <w:t>Commission</w:t>
      </w:r>
      <w:r w:rsidRPr="00E0262F" w:rsidR="00E41750">
        <w:rPr>
          <w:rFonts w:ascii="Palatino Linotype" w:hAnsi="Palatino Linotype" w:cstheme="minorHAnsi"/>
        </w:rPr>
        <w:t xml:space="preserve"> set a standard for the telephone corporation to restore </w:t>
      </w:r>
      <w:r w:rsidRPr="00E0262F" w:rsidR="00401806">
        <w:rPr>
          <w:rFonts w:ascii="Palatino Linotype" w:hAnsi="Palatino Linotype" w:cstheme="minorHAnsi"/>
        </w:rPr>
        <w:t>a minimum</w:t>
      </w:r>
      <w:r w:rsidRPr="00E0262F" w:rsidR="0058757F">
        <w:rPr>
          <w:rFonts w:ascii="Palatino Linotype" w:hAnsi="Palatino Linotype" w:cstheme="minorHAnsi"/>
        </w:rPr>
        <w:t xml:space="preserve"> of 90% of their</w:t>
      </w:r>
      <w:r w:rsidRPr="00E0262F" w:rsidR="00E41750">
        <w:rPr>
          <w:rFonts w:ascii="Palatino Linotype" w:hAnsi="Palatino Linotype" w:cstheme="minorHAnsi"/>
        </w:rPr>
        <w:t xml:space="preserve"> OOS trouble reports </w:t>
      </w:r>
      <w:r w:rsidR="009611E4">
        <w:rPr>
          <w:rFonts w:ascii="Palatino Linotype" w:hAnsi="Palatino Linotype" w:cstheme="minorHAnsi"/>
        </w:rPr>
        <w:t>with</w:t>
      </w:r>
      <w:r w:rsidRPr="00E0262F" w:rsidR="00E41750">
        <w:rPr>
          <w:rFonts w:ascii="Palatino Linotype" w:hAnsi="Palatino Linotype" w:cstheme="minorHAnsi"/>
        </w:rPr>
        <w:t xml:space="preserve">in 24 hours (excluding </w:t>
      </w:r>
      <w:r w:rsidRPr="00E0262F" w:rsidR="000E07E3">
        <w:rPr>
          <w:rFonts w:ascii="Palatino Linotype" w:hAnsi="Palatino Linotype" w:cstheme="minorHAnsi"/>
        </w:rPr>
        <w:t xml:space="preserve">all or parts of outages occurring on </w:t>
      </w:r>
      <w:r w:rsidRPr="00E0262F" w:rsidR="00E41750">
        <w:rPr>
          <w:rFonts w:ascii="Palatino Linotype" w:hAnsi="Palatino Linotype" w:cstheme="minorHAnsi"/>
        </w:rPr>
        <w:t>Sundays, federal holidays, and catastrophic events and widespread outages that are beyond a telephone corporation’s control).</w:t>
      </w:r>
      <w:r w:rsidRPr="00E0262F" w:rsidR="00520603">
        <w:rPr>
          <w:rFonts w:ascii="Palatino Linotype" w:hAnsi="Palatino Linotype" w:cstheme="minorHAnsi"/>
        </w:rPr>
        <w:t xml:space="preserve"> Determining whether Frontier failed to resolve a minimum 90% of OOS </w:t>
      </w:r>
      <w:r w:rsidR="009611E4">
        <w:rPr>
          <w:rFonts w:ascii="Palatino Linotype" w:hAnsi="Palatino Linotype" w:cstheme="minorHAnsi"/>
        </w:rPr>
        <w:t xml:space="preserve">trouble </w:t>
      </w:r>
      <w:r w:rsidRPr="00E0262F" w:rsidR="00520603">
        <w:rPr>
          <w:rFonts w:ascii="Palatino Linotype" w:hAnsi="Palatino Linotype" w:cstheme="minorHAnsi"/>
        </w:rPr>
        <w:t xml:space="preserve">reports within 24 hours will be based on </w:t>
      </w:r>
      <w:r w:rsidR="00AE6409">
        <w:rPr>
          <w:rFonts w:ascii="Palatino Linotype" w:hAnsi="Palatino Linotype" w:cstheme="minorHAnsi"/>
        </w:rPr>
        <w:t xml:space="preserve">its </w:t>
      </w:r>
      <w:r w:rsidRPr="00E0262F" w:rsidR="001E1BC8">
        <w:rPr>
          <w:rFonts w:ascii="Palatino Linotype" w:hAnsi="Palatino Linotype" w:cstheme="minorHAnsi"/>
        </w:rPr>
        <w:t>companywide</w:t>
      </w:r>
      <w:r w:rsidRPr="00E0262F" w:rsidR="00520603">
        <w:rPr>
          <w:rFonts w:ascii="Palatino Linotype" w:hAnsi="Palatino Linotype" w:cstheme="minorHAnsi"/>
        </w:rPr>
        <w:t xml:space="preserve"> OOS results.</w:t>
      </w:r>
    </w:p>
    <w:p w:rsidRPr="00E0262F" w:rsidR="00E41750" w:rsidP="006E0B46" w:rsidRDefault="00E41750" w14:paraId="09445474" w14:textId="77777777">
      <w:pPr>
        <w:pStyle w:val="NoSpacing"/>
        <w:rPr>
          <w:rFonts w:ascii="Palatino Linotype" w:hAnsi="Palatino Linotype" w:cstheme="minorHAnsi"/>
        </w:rPr>
      </w:pPr>
    </w:p>
    <w:p w:rsidRPr="00E0262F" w:rsidR="000B5FBF" w:rsidP="006E0B46" w:rsidRDefault="006E0B46" w14:paraId="494E2803" w14:textId="28B23505">
      <w:pPr>
        <w:pStyle w:val="NoSpacing"/>
        <w:rPr>
          <w:rFonts w:ascii="Palatino Linotype" w:hAnsi="Palatino Linotype" w:cstheme="minorHAnsi"/>
        </w:rPr>
      </w:pPr>
      <w:r w:rsidRPr="00E0262F">
        <w:rPr>
          <w:rFonts w:ascii="Palatino Linotype" w:hAnsi="Palatino Linotype" w:cstheme="minorHAnsi"/>
        </w:rPr>
        <w:t>If Frontier does not meet the ob</w:t>
      </w:r>
      <w:r w:rsidR="00AE6409">
        <w:rPr>
          <w:rFonts w:ascii="Palatino Linotype" w:hAnsi="Palatino Linotype" w:cstheme="minorHAnsi"/>
        </w:rPr>
        <w:t>ligation</w:t>
      </w:r>
      <w:r w:rsidRPr="00E0262F">
        <w:rPr>
          <w:rFonts w:ascii="Palatino Linotype" w:hAnsi="Palatino Linotype" w:cstheme="minorHAnsi"/>
        </w:rPr>
        <w:t xml:space="preserve"> </w:t>
      </w:r>
      <w:r w:rsidR="00AE6409">
        <w:rPr>
          <w:rFonts w:ascii="Palatino Linotype" w:hAnsi="Palatino Linotype" w:cstheme="minorHAnsi"/>
        </w:rPr>
        <w:t>to</w:t>
      </w:r>
      <w:r w:rsidRPr="00E0262F">
        <w:rPr>
          <w:rFonts w:ascii="Palatino Linotype" w:hAnsi="Palatino Linotype" w:cstheme="minorHAnsi"/>
        </w:rPr>
        <w:t xml:space="preserve"> repair at least 90% of its OOS trouble reports within 24 hours for any month between </w:t>
      </w:r>
      <w:r w:rsidR="00F824FD">
        <w:rPr>
          <w:rFonts w:ascii="Palatino Linotype" w:hAnsi="Palatino Linotype" w:cstheme="minorHAnsi"/>
        </w:rPr>
        <w:t>October</w:t>
      </w:r>
      <w:r w:rsidRPr="00E0262F" w:rsidR="00FE3783">
        <w:rPr>
          <w:rFonts w:ascii="Palatino Linotype" w:hAnsi="Palatino Linotype" w:cstheme="minorHAnsi"/>
        </w:rPr>
        <w:t xml:space="preserve"> 1</w:t>
      </w:r>
      <w:r w:rsidRPr="00E0262F">
        <w:rPr>
          <w:rFonts w:ascii="Palatino Linotype" w:hAnsi="Palatino Linotype" w:cstheme="minorHAnsi"/>
        </w:rPr>
        <w:t xml:space="preserve">, 2021 and </w:t>
      </w:r>
      <w:r w:rsidR="007739CF">
        <w:rPr>
          <w:rFonts w:ascii="Palatino Linotype" w:hAnsi="Palatino Linotype" w:cstheme="minorHAnsi"/>
        </w:rPr>
        <w:t>Septem</w:t>
      </w:r>
      <w:r w:rsidR="00F824FD">
        <w:rPr>
          <w:rFonts w:ascii="Palatino Linotype" w:hAnsi="Palatino Linotype" w:cstheme="minorHAnsi"/>
        </w:rPr>
        <w:t>b</w:t>
      </w:r>
      <w:r w:rsidRPr="00E0262F" w:rsidR="00E328AC">
        <w:rPr>
          <w:rFonts w:ascii="Palatino Linotype" w:hAnsi="Palatino Linotype" w:cstheme="minorHAnsi"/>
        </w:rPr>
        <w:t>e</w:t>
      </w:r>
      <w:r w:rsidR="00F824FD">
        <w:rPr>
          <w:rFonts w:ascii="Palatino Linotype" w:hAnsi="Palatino Linotype" w:cstheme="minorHAnsi"/>
        </w:rPr>
        <w:t>r</w:t>
      </w:r>
      <w:r w:rsidRPr="00E0262F" w:rsidR="00FE3783">
        <w:rPr>
          <w:rFonts w:ascii="Palatino Linotype" w:hAnsi="Palatino Linotype" w:cstheme="minorHAnsi"/>
        </w:rPr>
        <w:t xml:space="preserve"> 3</w:t>
      </w:r>
      <w:r w:rsidR="007739CF">
        <w:rPr>
          <w:rFonts w:ascii="Palatino Linotype" w:hAnsi="Palatino Linotype" w:cstheme="minorHAnsi"/>
        </w:rPr>
        <w:t>0</w:t>
      </w:r>
      <w:r w:rsidRPr="00E0262F">
        <w:rPr>
          <w:rFonts w:ascii="Palatino Linotype" w:hAnsi="Palatino Linotype" w:cstheme="minorHAnsi"/>
        </w:rPr>
        <w:t xml:space="preserve">, 2025, then it will need to </w:t>
      </w:r>
      <w:r w:rsidR="007739CF">
        <w:rPr>
          <w:rFonts w:ascii="Palatino Linotype" w:hAnsi="Palatino Linotype" w:cstheme="minorHAnsi"/>
        </w:rPr>
        <w:t>pay</w:t>
      </w:r>
      <w:r w:rsidRPr="00E0262F" w:rsidR="007739CF">
        <w:rPr>
          <w:rFonts w:ascii="Palatino Linotype" w:hAnsi="Palatino Linotype" w:cstheme="minorHAnsi"/>
        </w:rPr>
        <w:t xml:space="preserve"> </w:t>
      </w:r>
      <w:r w:rsidRPr="00E0262F">
        <w:rPr>
          <w:rFonts w:ascii="Palatino Linotype" w:hAnsi="Palatino Linotype" w:cstheme="minorHAnsi"/>
        </w:rPr>
        <w:t xml:space="preserve">the relevant monthly </w:t>
      </w:r>
      <w:r w:rsidR="00A57C1E">
        <w:rPr>
          <w:rFonts w:ascii="Palatino Linotype" w:hAnsi="Palatino Linotype" w:cstheme="minorHAnsi"/>
        </w:rPr>
        <w:t>monetary fines</w:t>
      </w:r>
      <w:r w:rsidRPr="00E0262F">
        <w:rPr>
          <w:rFonts w:ascii="Palatino Linotype" w:hAnsi="Palatino Linotype" w:cstheme="minorHAnsi"/>
        </w:rPr>
        <w:t>.</w:t>
      </w:r>
      <w:r w:rsidRPr="00E0262F" w:rsidR="009D44B5">
        <w:rPr>
          <w:rStyle w:val="FootnoteReference"/>
          <w:rFonts w:ascii="Palatino Linotype" w:hAnsi="Palatino Linotype" w:cstheme="minorHAnsi"/>
        </w:rPr>
        <w:footnoteReference w:id="4"/>
      </w:r>
      <w:r w:rsidRPr="00E0262F">
        <w:rPr>
          <w:rFonts w:ascii="Palatino Linotype" w:hAnsi="Palatino Linotype" w:cstheme="minorHAnsi"/>
        </w:rPr>
        <w:t xml:space="preserve"> Frontier will need to p</w:t>
      </w:r>
      <w:r w:rsidR="00A57C1E">
        <w:rPr>
          <w:rFonts w:ascii="Palatino Linotype" w:hAnsi="Palatino Linotype" w:cstheme="minorHAnsi"/>
        </w:rPr>
        <w:t>ay</w:t>
      </w:r>
      <w:r w:rsidRPr="00E0262F">
        <w:rPr>
          <w:rFonts w:ascii="Palatino Linotype" w:hAnsi="Palatino Linotype" w:cstheme="minorHAnsi"/>
        </w:rPr>
        <w:t xml:space="preserve"> $1,000,000</w:t>
      </w:r>
      <w:r w:rsidR="00C7298C">
        <w:rPr>
          <w:rFonts w:ascii="Palatino Linotype" w:hAnsi="Palatino Linotype" w:cstheme="minorHAnsi"/>
        </w:rPr>
        <w:t xml:space="preserve"> for</w:t>
      </w:r>
      <w:r w:rsidRPr="00E0262F">
        <w:rPr>
          <w:rFonts w:ascii="Palatino Linotype" w:hAnsi="Palatino Linotype" w:cstheme="minorHAnsi"/>
        </w:rPr>
        <w:t xml:space="preserve"> </w:t>
      </w:r>
      <w:r w:rsidRPr="00E0262F" w:rsidR="001C3D64">
        <w:rPr>
          <w:rFonts w:ascii="Palatino Linotype" w:hAnsi="Palatino Linotype" w:cstheme="minorHAnsi"/>
        </w:rPr>
        <w:t xml:space="preserve">every </w:t>
      </w:r>
      <w:r w:rsidRPr="00E0262F">
        <w:rPr>
          <w:rFonts w:ascii="Palatino Linotype" w:hAnsi="Palatino Linotype" w:cstheme="minorHAnsi"/>
        </w:rPr>
        <w:t xml:space="preserve">month its OOS performance is at least 80 percent but less than 90 percent. Frontier will need to </w:t>
      </w:r>
      <w:r w:rsidR="00CC513A">
        <w:rPr>
          <w:rFonts w:ascii="Palatino Linotype" w:hAnsi="Palatino Linotype" w:cstheme="minorHAnsi"/>
        </w:rPr>
        <w:t>pay</w:t>
      </w:r>
      <w:r w:rsidRPr="00E0262F">
        <w:rPr>
          <w:rFonts w:ascii="Palatino Linotype" w:hAnsi="Palatino Linotype" w:cstheme="minorHAnsi"/>
        </w:rPr>
        <w:t xml:space="preserve"> $5,000,000 </w:t>
      </w:r>
      <w:r w:rsidR="00CC513A">
        <w:rPr>
          <w:rFonts w:ascii="Palatino Linotype" w:hAnsi="Palatino Linotype" w:cstheme="minorHAnsi"/>
        </w:rPr>
        <w:t xml:space="preserve">for </w:t>
      </w:r>
      <w:r w:rsidRPr="00E0262F" w:rsidR="001C3D64">
        <w:rPr>
          <w:rFonts w:ascii="Palatino Linotype" w:hAnsi="Palatino Linotype" w:cstheme="minorHAnsi"/>
        </w:rPr>
        <w:t xml:space="preserve">every </w:t>
      </w:r>
      <w:r w:rsidRPr="00E0262F">
        <w:rPr>
          <w:rFonts w:ascii="Palatino Linotype" w:hAnsi="Palatino Linotype" w:cstheme="minorHAnsi"/>
        </w:rPr>
        <w:t>month its OOS performance is at least 70 percent but less than 80 percent. Frontier will need to p</w:t>
      </w:r>
      <w:r w:rsidR="00CC513A">
        <w:rPr>
          <w:rFonts w:ascii="Palatino Linotype" w:hAnsi="Palatino Linotype" w:cstheme="minorHAnsi"/>
        </w:rPr>
        <w:t>ay</w:t>
      </w:r>
      <w:r w:rsidRPr="00E0262F">
        <w:rPr>
          <w:rFonts w:ascii="Palatino Linotype" w:hAnsi="Palatino Linotype" w:cstheme="minorHAnsi"/>
        </w:rPr>
        <w:t xml:space="preserve"> $10,000,000 </w:t>
      </w:r>
      <w:r w:rsidR="00CC513A">
        <w:rPr>
          <w:rFonts w:ascii="Palatino Linotype" w:hAnsi="Palatino Linotype" w:cstheme="minorHAnsi"/>
        </w:rPr>
        <w:t xml:space="preserve">for </w:t>
      </w:r>
      <w:r w:rsidRPr="00E0262F" w:rsidR="001C3D64">
        <w:rPr>
          <w:rFonts w:ascii="Palatino Linotype" w:hAnsi="Palatino Linotype" w:cstheme="minorHAnsi"/>
        </w:rPr>
        <w:t xml:space="preserve">every </w:t>
      </w:r>
      <w:r w:rsidRPr="00E0262F">
        <w:rPr>
          <w:rFonts w:ascii="Palatino Linotype" w:hAnsi="Palatino Linotype" w:cstheme="minorHAnsi"/>
        </w:rPr>
        <w:t xml:space="preserve">month its OOS performance is at least 60 percent but less than 70 percent. Frontier will need to </w:t>
      </w:r>
      <w:r w:rsidR="00CC513A">
        <w:rPr>
          <w:rFonts w:ascii="Palatino Linotype" w:hAnsi="Palatino Linotype" w:cstheme="minorHAnsi"/>
        </w:rPr>
        <w:t>pay</w:t>
      </w:r>
      <w:r w:rsidRPr="00E0262F" w:rsidR="00CC513A">
        <w:rPr>
          <w:rFonts w:ascii="Palatino Linotype" w:hAnsi="Palatino Linotype" w:cstheme="minorHAnsi"/>
        </w:rPr>
        <w:t xml:space="preserve"> </w:t>
      </w:r>
      <w:r w:rsidRPr="00E0262F">
        <w:rPr>
          <w:rFonts w:ascii="Palatino Linotype" w:hAnsi="Palatino Linotype" w:cstheme="minorHAnsi"/>
        </w:rPr>
        <w:t xml:space="preserve">$15,000,000 </w:t>
      </w:r>
      <w:r w:rsidR="00CC513A">
        <w:rPr>
          <w:rFonts w:ascii="Palatino Linotype" w:hAnsi="Palatino Linotype" w:cstheme="minorHAnsi"/>
        </w:rPr>
        <w:t xml:space="preserve">for </w:t>
      </w:r>
      <w:r w:rsidRPr="00E0262F" w:rsidR="001C3D64">
        <w:rPr>
          <w:rFonts w:ascii="Palatino Linotype" w:hAnsi="Palatino Linotype" w:cstheme="minorHAnsi"/>
        </w:rPr>
        <w:t xml:space="preserve">every </w:t>
      </w:r>
      <w:r w:rsidRPr="00E0262F">
        <w:rPr>
          <w:rFonts w:ascii="Palatino Linotype" w:hAnsi="Palatino Linotype" w:cstheme="minorHAnsi"/>
        </w:rPr>
        <w:t>month its OOS performance is less than 60% percent.</w:t>
      </w:r>
      <w:r w:rsidRPr="00E0262F" w:rsidR="00E86833">
        <w:rPr>
          <w:rFonts w:ascii="Palatino Linotype" w:hAnsi="Palatino Linotype" w:cstheme="minorHAnsi"/>
        </w:rPr>
        <w:t xml:space="preserve"> </w:t>
      </w:r>
      <w:r w:rsidRPr="00E0262F">
        <w:rPr>
          <w:rFonts w:ascii="Palatino Linotype" w:hAnsi="Palatino Linotype" w:cstheme="minorHAnsi"/>
        </w:rPr>
        <w:t>Frontier will need to pay the sum of the</w:t>
      </w:r>
      <w:r w:rsidR="000660D5">
        <w:rPr>
          <w:rFonts w:ascii="Palatino Linotype" w:hAnsi="Palatino Linotype" w:cstheme="minorHAnsi"/>
        </w:rPr>
        <w:t>se</w:t>
      </w:r>
      <w:r w:rsidRPr="00E0262F">
        <w:rPr>
          <w:rFonts w:ascii="Palatino Linotype" w:hAnsi="Palatino Linotype" w:cstheme="minorHAnsi"/>
        </w:rPr>
        <w:t xml:space="preserve"> relevant amounts by the last day of the calendar quarter following the quarter in which the obligation arose. For example, payment for obligations that arise in July, August, and September 2021 shall be due by December 31, 2021.</w:t>
      </w:r>
      <w:r w:rsidRPr="00E0262F" w:rsidR="007E242C">
        <w:rPr>
          <w:rFonts w:ascii="Palatino Linotype" w:hAnsi="Palatino Linotype" w:cstheme="minorHAnsi"/>
        </w:rPr>
        <w:t xml:space="preserve"> </w:t>
      </w:r>
      <w:r w:rsidR="001A249F">
        <w:rPr>
          <w:rFonts w:ascii="Palatino Linotype" w:hAnsi="Palatino Linotype" w:cstheme="minorHAnsi"/>
        </w:rPr>
        <w:t xml:space="preserve">Most importantly, </w:t>
      </w:r>
      <w:r w:rsidRPr="00E0262F" w:rsidR="0049238B">
        <w:rPr>
          <w:rFonts w:ascii="Palatino Linotype" w:hAnsi="Palatino Linotype" w:cstheme="minorHAnsi"/>
        </w:rPr>
        <w:t>Frontier cannot use these relevant amounts to improve its network infrastructure.</w:t>
      </w:r>
      <w:r w:rsidR="00A36E41">
        <w:rPr>
          <w:rFonts w:ascii="Palatino Linotype" w:hAnsi="Palatino Linotype" w:cstheme="minorHAnsi"/>
        </w:rPr>
        <w:t xml:space="preserve"> </w:t>
      </w:r>
    </w:p>
    <w:p w:rsidRPr="00E0262F" w:rsidR="007803EF" w:rsidP="006E0B46" w:rsidRDefault="007803EF" w14:paraId="6F9211BC" w14:textId="77777777">
      <w:pPr>
        <w:pStyle w:val="NoSpacing"/>
        <w:rPr>
          <w:rFonts w:ascii="Palatino Linotype" w:hAnsi="Palatino Linotype" w:cstheme="minorHAnsi"/>
        </w:rPr>
      </w:pPr>
    </w:p>
    <w:p w:rsidRPr="00E0262F" w:rsidR="006E0B46" w:rsidP="006E0B46" w:rsidRDefault="006E0B46" w14:paraId="6F9548C7" w14:textId="308502C5">
      <w:pPr>
        <w:pStyle w:val="NoSpacing"/>
        <w:rPr>
          <w:rFonts w:ascii="Palatino Linotype" w:hAnsi="Palatino Linotype" w:cstheme="minorHAnsi"/>
        </w:rPr>
      </w:pPr>
      <w:r w:rsidRPr="00E0262F">
        <w:rPr>
          <w:rFonts w:ascii="Palatino Linotype" w:hAnsi="Palatino Linotype" w:cstheme="minorHAnsi"/>
        </w:rPr>
        <w:t xml:space="preserve">If the Commission, subsequently, (i.e., after </w:t>
      </w:r>
      <w:r w:rsidRPr="00E0262F" w:rsidR="005C1AA4">
        <w:rPr>
          <w:rFonts w:ascii="Palatino Linotype" w:hAnsi="Palatino Linotype" w:cstheme="minorHAnsi"/>
        </w:rPr>
        <w:t>this Resolution</w:t>
      </w:r>
      <w:r w:rsidRPr="00E0262F">
        <w:rPr>
          <w:rFonts w:ascii="Palatino Linotype" w:hAnsi="Palatino Linotype" w:cstheme="minorHAnsi"/>
        </w:rPr>
        <w:t xml:space="preserve">) alters the rules related to ensuring the quality and reliability of communication services in a successor Commission rulemaking or decision(s), the Commission can choose, at that time, to maintain the service quality related provisions adopted in this </w:t>
      </w:r>
      <w:r w:rsidRPr="00E0262F" w:rsidR="005C1AA4">
        <w:rPr>
          <w:rFonts w:ascii="Palatino Linotype" w:hAnsi="Palatino Linotype" w:cstheme="minorHAnsi"/>
        </w:rPr>
        <w:t>Resolution</w:t>
      </w:r>
      <w:r w:rsidRPr="00E0262F">
        <w:rPr>
          <w:rFonts w:ascii="Palatino Linotype" w:hAnsi="Palatino Linotype" w:cstheme="minorHAnsi"/>
        </w:rPr>
        <w:t xml:space="preserve"> or to rely upon the new service quality and reliability related rules.</w:t>
      </w:r>
    </w:p>
    <w:p w:rsidRPr="00E0262F" w:rsidR="007803EF" w:rsidP="006E0B46" w:rsidRDefault="007803EF" w14:paraId="01E89E9D" w14:textId="77777777">
      <w:pPr>
        <w:pStyle w:val="NoSpacing"/>
        <w:rPr>
          <w:rFonts w:ascii="Palatino Linotype" w:hAnsi="Palatino Linotype" w:cstheme="minorHAnsi"/>
        </w:rPr>
      </w:pPr>
    </w:p>
    <w:p w:rsidRPr="00E0262F" w:rsidR="006E0B46" w:rsidP="00794756" w:rsidRDefault="006E0B46" w14:paraId="4D15E105" w14:textId="7393D08A">
      <w:pPr>
        <w:pStyle w:val="NoSpacing"/>
        <w:numPr>
          <w:ilvl w:val="0"/>
          <w:numId w:val="21"/>
        </w:numPr>
        <w:rPr>
          <w:rStyle w:val="IntenseEmphasis"/>
          <w:rFonts w:ascii="Palatino Linotype" w:hAnsi="Palatino Linotype"/>
        </w:rPr>
      </w:pPr>
      <w:r w:rsidRPr="00E0262F">
        <w:rPr>
          <w:rStyle w:val="IntenseEmphasis"/>
          <w:rFonts w:ascii="Palatino Linotype" w:hAnsi="Palatino Linotype"/>
        </w:rPr>
        <w:lastRenderedPageBreak/>
        <w:t xml:space="preserve">Improving the Speeds of Broadband Internet Access Services for Infrastructure Projects Supported by the California Advanced Services Fund </w:t>
      </w:r>
    </w:p>
    <w:p w:rsidRPr="00E0262F" w:rsidR="006E0B46" w:rsidP="003736EA" w:rsidRDefault="00B32537" w14:paraId="7AE73D07" w14:textId="7BEF1A52">
      <w:pPr>
        <w:pStyle w:val="NoSpacing"/>
        <w:rPr>
          <w:rFonts w:ascii="Palatino Linotype" w:hAnsi="Palatino Linotype" w:cstheme="minorHAnsi"/>
        </w:rPr>
      </w:pPr>
      <w:r w:rsidRPr="00E0262F">
        <w:rPr>
          <w:rFonts w:ascii="Palatino Linotype" w:hAnsi="Palatino Linotype" w:cstheme="minorHAnsi"/>
        </w:rPr>
        <w:t xml:space="preserve">The Commission is committed to improving </w:t>
      </w:r>
      <w:r w:rsidRPr="00E0262F" w:rsidR="00D10F0C">
        <w:rPr>
          <w:rFonts w:ascii="Palatino Linotype" w:hAnsi="Palatino Linotype" w:cstheme="minorHAnsi"/>
        </w:rPr>
        <w:t xml:space="preserve">access to broadband Internet access services in unserved and underserved areas of California. </w:t>
      </w:r>
      <w:r w:rsidRPr="00E0262F" w:rsidR="008E7B97">
        <w:rPr>
          <w:rFonts w:ascii="Palatino Linotype" w:hAnsi="Palatino Linotype" w:cstheme="minorHAnsi"/>
        </w:rPr>
        <w:t xml:space="preserve">Frontier must deploy </w:t>
      </w:r>
      <w:r w:rsidRPr="00E0262F" w:rsidR="009005A0">
        <w:rPr>
          <w:rFonts w:ascii="Palatino Linotype" w:hAnsi="Palatino Linotype" w:cstheme="minorHAnsi"/>
        </w:rPr>
        <w:t xml:space="preserve">and deem </w:t>
      </w:r>
      <w:r w:rsidRPr="00E0262F" w:rsidR="008E7B97">
        <w:rPr>
          <w:rFonts w:ascii="Palatino Linotype" w:hAnsi="Palatino Linotype" w:cstheme="minorHAnsi"/>
        </w:rPr>
        <w:t>a</w:t>
      </w:r>
      <w:r w:rsidRPr="00E0262F" w:rsidR="00294AA4">
        <w:rPr>
          <w:rFonts w:ascii="Palatino Linotype" w:hAnsi="Palatino Linotype" w:cstheme="minorHAnsi"/>
        </w:rPr>
        <w:t>ll</w:t>
      </w:r>
      <w:r w:rsidRPr="00E0262F" w:rsidR="006E0B46">
        <w:rPr>
          <w:rFonts w:ascii="Palatino Linotype" w:hAnsi="Palatino Linotype" w:cstheme="minorHAnsi"/>
        </w:rPr>
        <w:t xml:space="preserve"> middle</w:t>
      </w:r>
      <w:r w:rsidRPr="00E0262F" w:rsidR="00E425A1">
        <w:rPr>
          <w:rFonts w:ascii="Palatino Linotype" w:hAnsi="Palatino Linotype" w:cstheme="minorHAnsi"/>
        </w:rPr>
        <w:t xml:space="preserve"> </w:t>
      </w:r>
      <w:r w:rsidRPr="00E0262F" w:rsidR="006E0B46">
        <w:rPr>
          <w:rFonts w:ascii="Palatino Linotype" w:hAnsi="Palatino Linotype" w:cstheme="minorHAnsi"/>
        </w:rPr>
        <w:t>mile infrastructure included as part of an approved</w:t>
      </w:r>
      <w:r w:rsidRPr="00E0262F" w:rsidR="003736EA">
        <w:rPr>
          <w:rFonts w:ascii="Palatino Linotype" w:hAnsi="Palatino Linotype" w:cstheme="minorHAnsi"/>
        </w:rPr>
        <w:t xml:space="preserve"> California Advanced Services Fund</w:t>
      </w:r>
      <w:r w:rsidRPr="00E0262F" w:rsidR="006E0B46">
        <w:rPr>
          <w:rFonts w:ascii="Palatino Linotype" w:hAnsi="Palatino Linotype" w:cstheme="minorHAnsi"/>
        </w:rPr>
        <w:t xml:space="preserve"> </w:t>
      </w:r>
      <w:r w:rsidRPr="00E0262F" w:rsidR="003736EA">
        <w:rPr>
          <w:rFonts w:ascii="Palatino Linotype" w:hAnsi="Palatino Linotype" w:cstheme="minorHAnsi"/>
        </w:rPr>
        <w:t>(</w:t>
      </w:r>
      <w:r w:rsidRPr="00E0262F" w:rsidR="006E0B46">
        <w:rPr>
          <w:rFonts w:ascii="Palatino Linotype" w:hAnsi="Palatino Linotype" w:cstheme="minorHAnsi"/>
        </w:rPr>
        <w:t>CASF</w:t>
      </w:r>
      <w:r w:rsidRPr="00E0262F" w:rsidR="003736EA">
        <w:rPr>
          <w:rFonts w:ascii="Palatino Linotype" w:hAnsi="Palatino Linotype" w:cstheme="minorHAnsi"/>
        </w:rPr>
        <w:t>)</w:t>
      </w:r>
      <w:r w:rsidRPr="00E0262F" w:rsidR="006E0B46">
        <w:rPr>
          <w:rFonts w:ascii="Palatino Linotype" w:hAnsi="Palatino Linotype" w:cstheme="minorHAnsi"/>
        </w:rPr>
        <w:t xml:space="preserve"> Infrastructure Grant project</w:t>
      </w:r>
      <w:r w:rsidRPr="00E0262F" w:rsidR="00240D44">
        <w:rPr>
          <w:rFonts w:ascii="Palatino Linotype" w:hAnsi="Palatino Linotype" w:cstheme="minorHAnsi"/>
        </w:rPr>
        <w:t>, specifically,</w:t>
      </w:r>
      <w:r w:rsidR="00A22DA3">
        <w:rPr>
          <w:rFonts w:ascii="Palatino Linotype" w:hAnsi="Palatino Linotype" w:cstheme="minorHAnsi"/>
        </w:rPr>
        <w:t xml:space="preserve"> Resolution </w:t>
      </w:r>
      <w:r w:rsidRPr="00E0262F" w:rsidR="00240D44">
        <w:rPr>
          <w:rFonts w:ascii="Palatino Linotype" w:hAnsi="Palatino Linotype" w:cstheme="minorHAnsi"/>
        </w:rPr>
        <w:t xml:space="preserve">T-17671 Northeast Phase I and </w:t>
      </w:r>
      <w:r w:rsidR="00A22DA3">
        <w:rPr>
          <w:rFonts w:ascii="Palatino Linotype" w:hAnsi="Palatino Linotype" w:cstheme="minorHAnsi"/>
        </w:rPr>
        <w:t xml:space="preserve">Resolution </w:t>
      </w:r>
      <w:r w:rsidRPr="00E0262F" w:rsidR="00240D44">
        <w:rPr>
          <w:rFonts w:ascii="Palatino Linotype" w:hAnsi="Palatino Linotype" w:cstheme="minorHAnsi"/>
        </w:rPr>
        <w:t>T-17613 Lytle Creek</w:t>
      </w:r>
      <w:r w:rsidRPr="00E0262F" w:rsidR="001E4F78">
        <w:rPr>
          <w:rFonts w:ascii="Palatino Linotype" w:hAnsi="Palatino Linotype" w:cstheme="minorHAnsi"/>
        </w:rPr>
        <w:t>,</w:t>
      </w:r>
      <w:r w:rsidRPr="00E0262F" w:rsidR="006E0B46">
        <w:rPr>
          <w:rFonts w:ascii="Palatino Linotype" w:hAnsi="Palatino Linotype" w:cstheme="minorHAnsi"/>
        </w:rPr>
        <w:t xml:space="preserve"> </w:t>
      </w:r>
      <w:r w:rsidRPr="00E0262F" w:rsidR="008E7B97">
        <w:rPr>
          <w:rFonts w:ascii="Palatino Linotype" w:hAnsi="Palatino Linotype" w:cstheme="minorHAnsi"/>
        </w:rPr>
        <w:t xml:space="preserve">to </w:t>
      </w:r>
      <w:r w:rsidRPr="00E0262F" w:rsidR="006E0B46">
        <w:rPr>
          <w:rFonts w:ascii="Palatino Linotype" w:hAnsi="Palatino Linotype" w:cstheme="minorHAnsi"/>
        </w:rPr>
        <w:t>be open access</w:t>
      </w:r>
      <w:r w:rsidRPr="00E0262F" w:rsidR="00C74125">
        <w:rPr>
          <w:rFonts w:ascii="Palatino Linotype" w:hAnsi="Palatino Linotype" w:cstheme="minorHAnsi"/>
        </w:rPr>
        <w:t xml:space="preserve">. Open access </w:t>
      </w:r>
      <w:r w:rsidRPr="00E0262F" w:rsidR="00D94A7B">
        <w:rPr>
          <w:rFonts w:ascii="Palatino Linotype" w:hAnsi="Palatino Linotype" w:cstheme="minorHAnsi"/>
        </w:rPr>
        <w:t xml:space="preserve">requires the middle mile infrastructure be made available to </w:t>
      </w:r>
      <w:r w:rsidRPr="240F3427" w:rsidR="000A25F6">
        <w:rPr>
          <w:rFonts w:ascii="Palatino Linotype" w:hAnsi="Palatino Linotype" w:cstheme="minorBidi"/>
        </w:rPr>
        <w:t xml:space="preserve">independent service providers or other entities for </w:t>
      </w:r>
      <w:r w:rsidRPr="00E0262F" w:rsidR="006E0B46">
        <w:rPr>
          <w:rFonts w:ascii="Palatino Linotype" w:hAnsi="Palatino Linotype" w:cstheme="minorHAnsi"/>
        </w:rPr>
        <w:t>non-discriminatory on reasonable and equal terms</w:t>
      </w:r>
      <w:r w:rsidRPr="00E0262F" w:rsidR="002762B5">
        <w:rPr>
          <w:rFonts w:ascii="Palatino Linotype" w:hAnsi="Palatino Linotype" w:cstheme="minorHAnsi"/>
        </w:rPr>
        <w:t xml:space="preserve">. </w:t>
      </w:r>
      <w:r w:rsidR="002D146A">
        <w:rPr>
          <w:rFonts w:ascii="Palatino Linotype" w:hAnsi="Palatino Linotype" w:cstheme="minorHAnsi"/>
        </w:rPr>
        <w:t xml:space="preserve">Frontier must </w:t>
      </w:r>
      <w:r w:rsidR="00A272F0">
        <w:rPr>
          <w:rFonts w:ascii="Palatino Linotype" w:hAnsi="Palatino Linotype" w:cstheme="minorHAnsi"/>
        </w:rPr>
        <w:t>provision this open access</w:t>
      </w:r>
      <w:r w:rsidR="00CB0489">
        <w:rPr>
          <w:rFonts w:ascii="Palatino Linotype" w:hAnsi="Palatino Linotype" w:cstheme="minorHAnsi"/>
        </w:rPr>
        <w:t xml:space="preserve"> for </w:t>
      </w:r>
      <w:r w:rsidR="003116C5">
        <w:rPr>
          <w:rFonts w:ascii="Palatino Linotype" w:hAnsi="Palatino Linotype" w:cstheme="minorHAnsi"/>
        </w:rPr>
        <w:t>both of these</w:t>
      </w:r>
      <w:r w:rsidR="00CB0489">
        <w:rPr>
          <w:rFonts w:ascii="Palatino Linotype" w:hAnsi="Palatino Linotype" w:cstheme="minorHAnsi"/>
        </w:rPr>
        <w:t xml:space="preserve"> </w:t>
      </w:r>
      <w:r w:rsidRPr="00E0262F" w:rsidR="00CB0489">
        <w:rPr>
          <w:rFonts w:ascii="Palatino Linotype" w:hAnsi="Palatino Linotype" w:cstheme="minorHAnsi"/>
        </w:rPr>
        <w:t>CASF Infrastructure Grant</w:t>
      </w:r>
      <w:r w:rsidR="003116C5">
        <w:rPr>
          <w:rFonts w:ascii="Palatino Linotype" w:hAnsi="Palatino Linotype" w:cstheme="minorHAnsi"/>
        </w:rPr>
        <w:t xml:space="preserve"> projects</w:t>
      </w:r>
      <w:r w:rsidR="00CB0489">
        <w:rPr>
          <w:rFonts w:ascii="Palatino Linotype" w:hAnsi="Palatino Linotype" w:cstheme="minorHAnsi"/>
        </w:rPr>
        <w:t xml:space="preserve"> </w:t>
      </w:r>
      <w:r w:rsidR="00A272F0">
        <w:rPr>
          <w:rFonts w:ascii="Palatino Linotype" w:hAnsi="Palatino Linotype" w:cstheme="minorHAnsi"/>
        </w:rPr>
        <w:t xml:space="preserve">by </w:t>
      </w:r>
      <w:r w:rsidR="004913D4">
        <w:rPr>
          <w:rFonts w:ascii="Palatino Linotype" w:hAnsi="Palatino Linotype" w:cstheme="minorHAnsi"/>
        </w:rPr>
        <w:t xml:space="preserve">the </w:t>
      </w:r>
      <w:r w:rsidR="00A272F0">
        <w:rPr>
          <w:rFonts w:ascii="Palatino Linotype" w:hAnsi="Palatino Linotype" w:cstheme="minorHAnsi"/>
        </w:rPr>
        <w:t>deadlines set forth</w:t>
      </w:r>
      <w:r w:rsidR="004913D4">
        <w:rPr>
          <w:rFonts w:ascii="Palatino Linotype" w:hAnsi="Palatino Linotype" w:cstheme="minorHAnsi"/>
        </w:rPr>
        <w:t xml:space="preserve"> </w:t>
      </w:r>
      <w:r w:rsidR="00A272F0">
        <w:rPr>
          <w:rFonts w:ascii="Palatino Linotype" w:hAnsi="Palatino Linotype" w:cstheme="minorHAnsi"/>
        </w:rPr>
        <w:t>in Ordering Paragraph 4.(r) of D.2</w:t>
      </w:r>
      <w:r w:rsidR="00D02C6D">
        <w:rPr>
          <w:rFonts w:ascii="Palatino Linotype" w:hAnsi="Palatino Linotype" w:cstheme="minorHAnsi"/>
        </w:rPr>
        <w:t>1</w:t>
      </w:r>
      <w:r w:rsidR="00A272F0">
        <w:rPr>
          <w:rFonts w:ascii="Palatino Linotype" w:hAnsi="Palatino Linotype" w:cstheme="minorHAnsi"/>
        </w:rPr>
        <w:t>-04-008</w:t>
      </w:r>
      <w:r w:rsidR="00D60039">
        <w:rPr>
          <w:rFonts w:ascii="Palatino Linotype" w:hAnsi="Palatino Linotype" w:cstheme="minorHAnsi"/>
        </w:rPr>
        <w:t>,</w:t>
      </w:r>
      <w:r w:rsidR="00980161">
        <w:rPr>
          <w:rFonts w:ascii="Palatino Linotype" w:hAnsi="Palatino Linotype" w:cstheme="minorHAnsi"/>
        </w:rPr>
        <w:t xml:space="preserve"> and continue to do so </w:t>
      </w:r>
      <w:r w:rsidR="00E05251">
        <w:rPr>
          <w:rFonts w:ascii="Palatino Linotype" w:hAnsi="Palatino Linotype" w:cstheme="minorHAnsi"/>
        </w:rPr>
        <w:t>for the life of the infrastructure of each</w:t>
      </w:r>
      <w:r w:rsidR="00E6070D">
        <w:rPr>
          <w:rFonts w:ascii="Palatino Linotype" w:hAnsi="Palatino Linotype" w:cstheme="minorHAnsi"/>
        </w:rPr>
        <w:t xml:space="preserve"> of these</w:t>
      </w:r>
      <w:r w:rsidR="00E05251">
        <w:rPr>
          <w:rFonts w:ascii="Palatino Linotype" w:hAnsi="Palatino Linotype" w:cstheme="minorHAnsi"/>
        </w:rPr>
        <w:t xml:space="preserve"> </w:t>
      </w:r>
      <w:r w:rsidRPr="00E0262F" w:rsidR="003116C5">
        <w:rPr>
          <w:rFonts w:ascii="Palatino Linotype" w:hAnsi="Palatino Linotype" w:cstheme="minorHAnsi"/>
        </w:rPr>
        <w:t>CASF Infrastructure Grant</w:t>
      </w:r>
      <w:r w:rsidR="003116C5">
        <w:rPr>
          <w:rFonts w:ascii="Palatino Linotype" w:hAnsi="Palatino Linotype" w:cstheme="minorHAnsi"/>
        </w:rPr>
        <w:t xml:space="preserve"> </w:t>
      </w:r>
      <w:r w:rsidR="00E05251">
        <w:rPr>
          <w:rFonts w:ascii="Palatino Linotype" w:hAnsi="Palatino Linotype" w:cstheme="minorHAnsi"/>
        </w:rPr>
        <w:t>project</w:t>
      </w:r>
      <w:r w:rsidR="00E6070D">
        <w:rPr>
          <w:rFonts w:ascii="Palatino Linotype" w:hAnsi="Palatino Linotype" w:cstheme="minorHAnsi"/>
        </w:rPr>
        <w:t>s</w:t>
      </w:r>
      <w:r w:rsidR="004913D4">
        <w:rPr>
          <w:rFonts w:ascii="Palatino Linotype" w:hAnsi="Palatino Linotype" w:cstheme="minorHAnsi"/>
        </w:rPr>
        <w:t>.</w:t>
      </w:r>
    </w:p>
    <w:p w:rsidRPr="00E0262F" w:rsidR="007803EF" w:rsidP="006E0B46" w:rsidRDefault="007803EF" w14:paraId="709791B3" w14:textId="77777777">
      <w:pPr>
        <w:pStyle w:val="NoSpacing"/>
        <w:rPr>
          <w:rFonts w:ascii="Palatino Linotype" w:hAnsi="Palatino Linotype" w:cstheme="minorHAnsi"/>
        </w:rPr>
      </w:pPr>
    </w:p>
    <w:p w:rsidRPr="00E0262F" w:rsidR="006E0B46" w:rsidP="006E0B46" w:rsidRDefault="006E0B46" w14:paraId="141D3021" w14:textId="7BE8E036">
      <w:pPr>
        <w:pStyle w:val="NoSpacing"/>
        <w:rPr>
          <w:rFonts w:ascii="Palatino Linotype" w:hAnsi="Palatino Linotype" w:cstheme="minorHAnsi"/>
        </w:rPr>
      </w:pPr>
      <w:r w:rsidRPr="00E0262F">
        <w:rPr>
          <w:rFonts w:ascii="Palatino Linotype" w:hAnsi="Palatino Linotype" w:cstheme="minorHAnsi"/>
        </w:rPr>
        <w:t xml:space="preserve">Frontier </w:t>
      </w:r>
      <w:r w:rsidRPr="00E0262F" w:rsidR="007954D1">
        <w:rPr>
          <w:rFonts w:ascii="Palatino Linotype" w:hAnsi="Palatino Linotype" w:cstheme="minorHAnsi"/>
        </w:rPr>
        <w:t>must</w:t>
      </w:r>
      <w:r w:rsidRPr="00E0262F" w:rsidR="00240D44">
        <w:rPr>
          <w:rFonts w:ascii="Palatino Linotype" w:hAnsi="Palatino Linotype" w:cstheme="minorHAnsi"/>
        </w:rPr>
        <w:t xml:space="preserve"> also</w:t>
      </w:r>
      <w:r w:rsidRPr="00E0262F">
        <w:rPr>
          <w:rFonts w:ascii="Palatino Linotype" w:hAnsi="Palatino Linotype" w:cstheme="minorHAnsi"/>
        </w:rPr>
        <w:t xml:space="preserve"> deploy Fiber to the </w:t>
      </w:r>
      <w:r w:rsidRPr="00E0262F" w:rsidR="00527986">
        <w:rPr>
          <w:rFonts w:ascii="Palatino Linotype" w:hAnsi="Palatino Linotype" w:cstheme="minorHAnsi"/>
        </w:rPr>
        <w:t>Home</w:t>
      </w:r>
      <w:r w:rsidRPr="00E0262F">
        <w:rPr>
          <w:rFonts w:ascii="Palatino Linotype" w:hAnsi="Palatino Linotype" w:cstheme="minorHAnsi"/>
        </w:rPr>
        <w:t xml:space="preserve"> or, at minimum, provide 25/3 </w:t>
      </w:r>
      <w:r w:rsidRPr="00E0262F" w:rsidR="00F46FB9">
        <w:rPr>
          <w:rFonts w:ascii="Palatino Linotype" w:hAnsi="Palatino Linotype" w:cstheme="minorHAnsi"/>
        </w:rPr>
        <w:t>mega</w:t>
      </w:r>
      <w:r w:rsidRPr="00E0262F">
        <w:rPr>
          <w:rFonts w:ascii="Palatino Linotype" w:hAnsi="Palatino Linotype" w:cstheme="minorHAnsi"/>
        </w:rPr>
        <w:t>b</w:t>
      </w:r>
      <w:r w:rsidRPr="00E0262F" w:rsidR="00F46FB9">
        <w:rPr>
          <w:rFonts w:ascii="Palatino Linotype" w:hAnsi="Palatino Linotype" w:cstheme="minorHAnsi"/>
        </w:rPr>
        <w:t xml:space="preserve">its </w:t>
      </w:r>
      <w:r w:rsidRPr="00E0262F">
        <w:rPr>
          <w:rFonts w:ascii="Palatino Linotype" w:hAnsi="Palatino Linotype" w:cstheme="minorHAnsi"/>
        </w:rPr>
        <w:t>p</w:t>
      </w:r>
      <w:r w:rsidRPr="00E0262F" w:rsidR="00F46FB9">
        <w:rPr>
          <w:rFonts w:ascii="Palatino Linotype" w:hAnsi="Palatino Linotype" w:cstheme="minorHAnsi"/>
        </w:rPr>
        <w:t xml:space="preserve">er </w:t>
      </w:r>
      <w:r w:rsidRPr="00E0262F">
        <w:rPr>
          <w:rFonts w:ascii="Palatino Linotype" w:hAnsi="Palatino Linotype" w:cstheme="minorHAnsi"/>
        </w:rPr>
        <w:t>s</w:t>
      </w:r>
      <w:r w:rsidRPr="00E0262F" w:rsidR="00F46FB9">
        <w:rPr>
          <w:rFonts w:ascii="Palatino Linotype" w:hAnsi="Palatino Linotype" w:cstheme="minorHAnsi"/>
        </w:rPr>
        <w:t>econd</w:t>
      </w:r>
      <w:r w:rsidRPr="00E0262F">
        <w:rPr>
          <w:rFonts w:ascii="Palatino Linotype" w:hAnsi="Palatino Linotype" w:cstheme="minorHAnsi"/>
        </w:rPr>
        <w:t xml:space="preserve"> to all households in the CASF Infrastructure Grant project areas in </w:t>
      </w:r>
      <w:r w:rsidR="00A22DA3">
        <w:rPr>
          <w:rFonts w:ascii="Palatino Linotype" w:hAnsi="Palatino Linotype" w:cstheme="minorHAnsi"/>
        </w:rPr>
        <w:t xml:space="preserve">Resolution </w:t>
      </w:r>
      <w:r w:rsidRPr="00E0262F">
        <w:rPr>
          <w:rFonts w:ascii="Palatino Linotype" w:hAnsi="Palatino Linotype" w:cstheme="minorHAnsi"/>
        </w:rPr>
        <w:t xml:space="preserve">T-17660 Weimar, </w:t>
      </w:r>
      <w:r w:rsidR="00A22DA3">
        <w:rPr>
          <w:rFonts w:ascii="Palatino Linotype" w:hAnsi="Palatino Linotype" w:cstheme="minorHAnsi"/>
        </w:rPr>
        <w:t xml:space="preserve">Resolution </w:t>
      </w:r>
      <w:r w:rsidRPr="00E0262F">
        <w:rPr>
          <w:rFonts w:ascii="Palatino Linotype" w:hAnsi="Palatino Linotype" w:cstheme="minorHAnsi"/>
        </w:rPr>
        <w:t xml:space="preserve">T-17668 Taft Cluster and </w:t>
      </w:r>
      <w:r w:rsidR="00A22DA3">
        <w:rPr>
          <w:rFonts w:ascii="Palatino Linotype" w:hAnsi="Palatino Linotype" w:cstheme="minorHAnsi"/>
        </w:rPr>
        <w:t xml:space="preserve">Resolution </w:t>
      </w:r>
      <w:r w:rsidRPr="00E0262F">
        <w:rPr>
          <w:rFonts w:ascii="Palatino Linotype" w:hAnsi="Palatino Linotype" w:cstheme="minorHAnsi"/>
        </w:rPr>
        <w:t>T-17671 Northeast Phase I</w:t>
      </w:r>
      <w:r w:rsidR="00B57DEB">
        <w:rPr>
          <w:rFonts w:ascii="Palatino Linotype" w:hAnsi="Palatino Linotype" w:cstheme="minorHAnsi"/>
        </w:rPr>
        <w:t xml:space="preserve"> (Northeast)</w:t>
      </w:r>
      <w:r w:rsidRPr="00E0262F" w:rsidR="00562906">
        <w:rPr>
          <w:rFonts w:ascii="Palatino Linotype" w:hAnsi="Palatino Linotype" w:cstheme="minorHAnsi"/>
        </w:rPr>
        <w:t xml:space="preserve">. </w:t>
      </w:r>
      <w:r w:rsidR="005E3551">
        <w:rPr>
          <w:rFonts w:ascii="Palatino Linotype" w:hAnsi="Palatino Linotype" w:cstheme="minorHAnsi"/>
        </w:rPr>
        <w:t xml:space="preserve">In Ordering Paragraph </w:t>
      </w:r>
      <w:r w:rsidR="006B70F2">
        <w:rPr>
          <w:rFonts w:ascii="Palatino Linotype" w:hAnsi="Palatino Linotype" w:cstheme="minorHAnsi"/>
        </w:rPr>
        <w:t xml:space="preserve">4.(q) of </w:t>
      </w:r>
      <w:r w:rsidR="005E3551">
        <w:rPr>
          <w:rFonts w:ascii="Palatino Linotype" w:hAnsi="Palatino Linotype" w:cstheme="minorHAnsi"/>
        </w:rPr>
        <w:t>D.2</w:t>
      </w:r>
      <w:r w:rsidR="00D02C6D">
        <w:rPr>
          <w:rFonts w:ascii="Palatino Linotype" w:hAnsi="Palatino Linotype" w:cstheme="minorHAnsi"/>
        </w:rPr>
        <w:t>1</w:t>
      </w:r>
      <w:r w:rsidR="005E3551">
        <w:rPr>
          <w:rFonts w:ascii="Palatino Linotype" w:hAnsi="Palatino Linotype" w:cstheme="minorHAnsi"/>
        </w:rPr>
        <w:t>-04-008, t</w:t>
      </w:r>
      <w:r w:rsidR="00C07B06">
        <w:rPr>
          <w:rFonts w:ascii="Palatino Linotype" w:hAnsi="Palatino Linotype" w:cstheme="minorHAnsi"/>
        </w:rPr>
        <w:t xml:space="preserve">he </w:t>
      </w:r>
      <w:r w:rsidR="005E3551">
        <w:rPr>
          <w:rFonts w:ascii="Palatino Linotype" w:hAnsi="Palatino Linotype" w:cstheme="minorHAnsi"/>
        </w:rPr>
        <w:t xml:space="preserve">Commission </w:t>
      </w:r>
      <w:r w:rsidR="00282628">
        <w:rPr>
          <w:rFonts w:ascii="Palatino Linotype" w:hAnsi="Palatino Linotype" w:cstheme="minorHAnsi"/>
        </w:rPr>
        <w:t>established the deadlines by which Frontier must</w:t>
      </w:r>
      <w:r w:rsidR="005B4532">
        <w:rPr>
          <w:rFonts w:ascii="Palatino Linotype" w:hAnsi="Palatino Linotype" w:cstheme="minorHAnsi"/>
        </w:rPr>
        <w:t xml:space="preserve"> deploy broadband Internet access services at</w:t>
      </w:r>
      <w:r w:rsidR="005C17CC">
        <w:rPr>
          <w:rFonts w:ascii="Palatino Linotype" w:hAnsi="Palatino Linotype" w:cstheme="minorHAnsi"/>
        </w:rPr>
        <w:t xml:space="preserve"> the</w:t>
      </w:r>
      <w:r w:rsidR="005B4532">
        <w:rPr>
          <w:rFonts w:ascii="Palatino Linotype" w:hAnsi="Palatino Linotype" w:cstheme="minorHAnsi"/>
        </w:rPr>
        <w:t xml:space="preserve"> </w:t>
      </w:r>
      <w:r w:rsidR="00E80FD5">
        <w:rPr>
          <w:rFonts w:ascii="Palatino Linotype" w:hAnsi="Palatino Linotype" w:cstheme="minorHAnsi"/>
        </w:rPr>
        <w:t>required speed.</w:t>
      </w:r>
      <w:r w:rsidR="005C17CC">
        <w:rPr>
          <w:rFonts w:ascii="Palatino Linotype" w:hAnsi="Palatino Linotype" w:cstheme="minorHAnsi"/>
        </w:rPr>
        <w:t xml:space="preserve"> For the Weimar and Taft Cluster project</w:t>
      </w:r>
      <w:r w:rsidR="00C87C1D">
        <w:rPr>
          <w:rFonts w:ascii="Palatino Linotype" w:hAnsi="Palatino Linotype" w:cstheme="minorHAnsi"/>
        </w:rPr>
        <w:t xml:space="preserve"> area</w:t>
      </w:r>
      <w:r w:rsidR="005C17CC">
        <w:rPr>
          <w:rFonts w:ascii="Palatino Linotype" w:hAnsi="Palatino Linotype" w:cstheme="minorHAnsi"/>
        </w:rPr>
        <w:t xml:space="preserve">s, Frontier </w:t>
      </w:r>
      <w:r w:rsidR="00291D6B">
        <w:rPr>
          <w:rFonts w:ascii="Palatino Linotype" w:hAnsi="Palatino Linotype" w:cstheme="minorHAnsi"/>
        </w:rPr>
        <w:t xml:space="preserve">must complete the deployment by April 15, 2022. </w:t>
      </w:r>
      <w:r w:rsidR="00B57DEB">
        <w:rPr>
          <w:rFonts w:ascii="Palatino Linotype" w:hAnsi="Palatino Linotype" w:cstheme="minorHAnsi"/>
        </w:rPr>
        <w:t xml:space="preserve">In contrast, for the </w:t>
      </w:r>
      <w:r w:rsidRPr="00E0262F" w:rsidR="00B57DEB">
        <w:rPr>
          <w:rFonts w:ascii="Palatino Linotype" w:hAnsi="Palatino Linotype" w:cstheme="minorHAnsi"/>
        </w:rPr>
        <w:t>Northeast</w:t>
      </w:r>
      <w:r w:rsidR="00EA646F">
        <w:rPr>
          <w:rFonts w:ascii="Palatino Linotype" w:hAnsi="Palatino Linotype" w:cstheme="minorHAnsi"/>
        </w:rPr>
        <w:t xml:space="preserve"> </w:t>
      </w:r>
      <w:r w:rsidR="00C87C1D">
        <w:rPr>
          <w:rFonts w:ascii="Palatino Linotype" w:hAnsi="Palatino Linotype" w:cstheme="minorHAnsi"/>
        </w:rPr>
        <w:t xml:space="preserve">project area, the </w:t>
      </w:r>
      <w:r w:rsidR="00413A9D">
        <w:rPr>
          <w:rFonts w:ascii="Palatino Linotype" w:hAnsi="Palatino Linotype" w:cstheme="minorHAnsi"/>
        </w:rPr>
        <w:t xml:space="preserve">Commission retained the deadline from </w:t>
      </w:r>
      <w:r w:rsidR="00A22DA3">
        <w:rPr>
          <w:rFonts w:ascii="Palatino Linotype" w:hAnsi="Palatino Linotype" w:cstheme="minorHAnsi"/>
        </w:rPr>
        <w:t xml:space="preserve">Resolution </w:t>
      </w:r>
      <w:r w:rsidR="00413A9D">
        <w:rPr>
          <w:rFonts w:ascii="Palatino Linotype" w:hAnsi="Palatino Linotype" w:cstheme="minorHAnsi"/>
        </w:rPr>
        <w:t>T-17671, which is</w:t>
      </w:r>
      <w:r w:rsidR="00670B8B">
        <w:rPr>
          <w:rFonts w:ascii="Palatino Linotype" w:hAnsi="Palatino Linotype" w:cstheme="minorHAnsi"/>
        </w:rPr>
        <w:t xml:space="preserve"> for “Frontier to </w:t>
      </w:r>
      <w:r w:rsidRPr="00670B8B" w:rsidR="00670B8B">
        <w:rPr>
          <w:rFonts w:ascii="Palatino Linotype" w:hAnsi="Palatino Linotype" w:cstheme="minorHAnsi"/>
        </w:rPr>
        <w:t>complete the project within 24 months from the start date (whereby the applicants have secured CEQA approval from the Commission and all required permits</w:t>
      </w:r>
      <w:r w:rsidR="000A25F6">
        <w:rPr>
          <w:rFonts w:ascii="Palatino Linotype" w:hAnsi="Palatino Linotype" w:cstheme="minorHAnsi"/>
        </w:rPr>
        <w:t>)</w:t>
      </w:r>
      <w:r w:rsidR="00413A9D">
        <w:rPr>
          <w:rFonts w:ascii="Palatino Linotype" w:hAnsi="Palatino Linotype" w:cstheme="minorHAnsi"/>
        </w:rPr>
        <w:t>.</w:t>
      </w:r>
      <w:r w:rsidR="00670B8B">
        <w:rPr>
          <w:rFonts w:ascii="Palatino Linotype" w:hAnsi="Palatino Linotype" w:cstheme="minorHAnsi"/>
        </w:rPr>
        <w:t>”</w:t>
      </w:r>
      <w:r w:rsidR="00751954">
        <w:rPr>
          <w:rStyle w:val="FootnoteReference"/>
          <w:rFonts w:ascii="Palatino Linotype" w:hAnsi="Palatino Linotype" w:cstheme="minorHAnsi"/>
        </w:rPr>
        <w:footnoteReference w:id="5"/>
      </w:r>
    </w:p>
    <w:p w:rsidRPr="00E0262F" w:rsidR="006A577D" w:rsidP="006E0B46" w:rsidRDefault="006A577D" w14:paraId="76EB266F" w14:textId="362E655D">
      <w:pPr>
        <w:pStyle w:val="NoSpacing"/>
        <w:rPr>
          <w:rFonts w:ascii="Palatino Linotype" w:hAnsi="Palatino Linotype" w:cstheme="minorHAnsi"/>
        </w:rPr>
      </w:pPr>
    </w:p>
    <w:p w:rsidR="00194BF8" w:rsidP="006A577D" w:rsidRDefault="006A577D" w14:paraId="3CF3029A" w14:textId="36434C2A">
      <w:pPr>
        <w:pStyle w:val="NoSpacing"/>
        <w:rPr>
          <w:rFonts w:ascii="Palatino Linotype" w:hAnsi="Palatino Linotype" w:cstheme="minorHAnsi"/>
        </w:rPr>
      </w:pPr>
      <w:r w:rsidRPr="00E0262F">
        <w:rPr>
          <w:rFonts w:ascii="Palatino Linotype" w:hAnsi="Palatino Linotype" w:cstheme="minorHAnsi"/>
        </w:rPr>
        <w:t>If Frontier does not fulfill</w:t>
      </w:r>
      <w:r w:rsidR="007F6010">
        <w:rPr>
          <w:rFonts w:ascii="Palatino Linotype" w:hAnsi="Palatino Linotype" w:cstheme="minorHAnsi"/>
        </w:rPr>
        <w:t xml:space="preserve"> any of</w:t>
      </w:r>
      <w:r w:rsidRPr="00E0262F">
        <w:rPr>
          <w:rFonts w:ascii="Palatino Linotype" w:hAnsi="Palatino Linotype" w:cstheme="minorHAnsi"/>
        </w:rPr>
        <w:t xml:space="preserve"> these </w:t>
      </w:r>
      <w:r w:rsidRPr="00E0262F" w:rsidR="001E4F78">
        <w:rPr>
          <w:rFonts w:ascii="Palatino Linotype" w:hAnsi="Palatino Linotype" w:cstheme="minorHAnsi"/>
        </w:rPr>
        <w:t>obligations,</w:t>
      </w:r>
      <w:r w:rsidRPr="00E0262F">
        <w:rPr>
          <w:rFonts w:ascii="Palatino Linotype" w:hAnsi="Palatino Linotype" w:cstheme="minorHAnsi"/>
        </w:rPr>
        <w:t xml:space="preserve"> then Frontier must reimburse the Commission for all of the CASF Infrastructure Grant funds that it has received for the relevant project area(s).</w:t>
      </w:r>
      <w:r w:rsidR="00CC40F0">
        <w:rPr>
          <w:rFonts w:ascii="Palatino Linotype" w:hAnsi="Palatino Linotype" w:cstheme="minorHAnsi"/>
        </w:rPr>
        <w:t xml:space="preserve"> </w:t>
      </w:r>
    </w:p>
    <w:p w:rsidR="00194BF8" w:rsidP="006A577D" w:rsidRDefault="00194BF8" w14:paraId="0B1A5950" w14:textId="77777777">
      <w:pPr>
        <w:pStyle w:val="NoSpacing"/>
        <w:rPr>
          <w:rFonts w:ascii="Palatino Linotype" w:hAnsi="Palatino Linotype" w:cstheme="minorHAnsi"/>
        </w:rPr>
      </w:pPr>
    </w:p>
    <w:p w:rsidR="006A577D" w:rsidP="006A577D" w:rsidRDefault="00194BF8" w14:paraId="1221AFE8" w14:textId="72CFE5E4">
      <w:pPr>
        <w:pStyle w:val="NoSpacing"/>
        <w:rPr>
          <w:rFonts w:ascii="Palatino Linotype" w:hAnsi="Palatino Linotype" w:cstheme="minorHAnsi"/>
        </w:rPr>
      </w:pPr>
      <w:r>
        <w:rPr>
          <w:rFonts w:ascii="Palatino Linotype" w:hAnsi="Palatino Linotype" w:cstheme="minorHAnsi"/>
        </w:rPr>
        <w:t>Addi</w:t>
      </w:r>
      <w:r w:rsidR="00CC40F0">
        <w:rPr>
          <w:rFonts w:ascii="Palatino Linotype" w:hAnsi="Palatino Linotype" w:cstheme="minorHAnsi"/>
        </w:rPr>
        <w:t xml:space="preserve">tionally, if Frontier has already </w:t>
      </w:r>
      <w:r w:rsidR="00B415DE">
        <w:rPr>
          <w:rFonts w:ascii="Palatino Linotype" w:hAnsi="Palatino Linotype" w:cstheme="minorHAnsi"/>
        </w:rPr>
        <w:t xml:space="preserve">reimbursed the </w:t>
      </w:r>
      <w:r w:rsidR="005F241C">
        <w:rPr>
          <w:rFonts w:ascii="Palatino Linotype" w:hAnsi="Palatino Linotype" w:cstheme="minorHAnsi"/>
        </w:rPr>
        <w:t xml:space="preserve">Commission for the </w:t>
      </w:r>
      <w:r w:rsidRPr="00E0262F" w:rsidR="00856F81">
        <w:rPr>
          <w:rFonts w:ascii="Palatino Linotype" w:hAnsi="Palatino Linotype" w:cstheme="minorHAnsi"/>
        </w:rPr>
        <w:t xml:space="preserve">CASF Infrastructure Grant </w:t>
      </w:r>
      <w:r w:rsidR="005F241C">
        <w:rPr>
          <w:rFonts w:ascii="Palatino Linotype" w:hAnsi="Palatino Linotype" w:cstheme="minorHAnsi"/>
        </w:rPr>
        <w:t xml:space="preserve">funds provided to Frontier, but Frontier continues to </w:t>
      </w:r>
      <w:r w:rsidR="00237093">
        <w:rPr>
          <w:rFonts w:ascii="Palatino Linotype" w:hAnsi="Palatino Linotype" w:cstheme="minorHAnsi"/>
        </w:rPr>
        <w:t xml:space="preserve">fail to comply with </w:t>
      </w:r>
      <w:r w:rsidR="0016544A">
        <w:rPr>
          <w:rFonts w:ascii="Palatino Linotype" w:hAnsi="Palatino Linotype" w:cstheme="minorHAnsi"/>
        </w:rPr>
        <w:t xml:space="preserve">any of </w:t>
      </w:r>
      <w:r w:rsidR="00237093">
        <w:rPr>
          <w:rFonts w:ascii="Palatino Linotype" w:hAnsi="Palatino Linotype" w:cstheme="minorHAnsi"/>
        </w:rPr>
        <w:t>these CASF-related obligations</w:t>
      </w:r>
      <w:r w:rsidR="00CD67C4">
        <w:rPr>
          <w:rFonts w:ascii="Palatino Linotype" w:hAnsi="Palatino Linotype" w:cstheme="minorHAnsi"/>
        </w:rPr>
        <w:t>, then Frontier must pay</w:t>
      </w:r>
      <w:r w:rsidRPr="00E0262F" w:rsidR="00CD67C4">
        <w:rPr>
          <w:rFonts w:ascii="Palatino Linotype" w:hAnsi="Palatino Linotype" w:cstheme="minorHAnsi"/>
        </w:rPr>
        <w:t xml:space="preserve"> $50,000 </w:t>
      </w:r>
      <w:r w:rsidR="00CD67C4">
        <w:rPr>
          <w:rFonts w:ascii="Palatino Linotype" w:hAnsi="Palatino Linotype" w:cstheme="minorHAnsi"/>
        </w:rPr>
        <w:t xml:space="preserve">for </w:t>
      </w:r>
      <w:r w:rsidRPr="00E0262F" w:rsidR="00CD67C4">
        <w:rPr>
          <w:rFonts w:ascii="Palatino Linotype" w:hAnsi="Palatino Linotype" w:cstheme="minorHAnsi"/>
        </w:rPr>
        <w:t>every month</w:t>
      </w:r>
      <w:r w:rsidR="0016544A">
        <w:rPr>
          <w:rFonts w:ascii="Palatino Linotype" w:hAnsi="Palatino Linotype" w:cstheme="minorHAnsi"/>
        </w:rPr>
        <w:t xml:space="preserve"> it violates</w:t>
      </w:r>
      <w:r w:rsidR="00084245">
        <w:rPr>
          <w:rFonts w:ascii="Palatino Linotype" w:hAnsi="Palatino Linotype" w:cstheme="minorHAnsi"/>
        </w:rPr>
        <w:t xml:space="preserve"> </w:t>
      </w:r>
      <w:r w:rsidR="00434D90">
        <w:rPr>
          <w:rFonts w:ascii="Palatino Linotype" w:hAnsi="Palatino Linotype" w:cstheme="minorHAnsi"/>
        </w:rPr>
        <w:t xml:space="preserve">an </w:t>
      </w:r>
      <w:r w:rsidR="003F7021">
        <w:rPr>
          <w:rFonts w:ascii="Palatino Linotype" w:hAnsi="Palatino Linotype" w:cstheme="minorHAnsi"/>
        </w:rPr>
        <w:t>o</w:t>
      </w:r>
      <w:r w:rsidR="0016544A">
        <w:rPr>
          <w:rFonts w:ascii="Palatino Linotype" w:hAnsi="Palatino Linotype" w:cstheme="minorHAnsi"/>
        </w:rPr>
        <w:t>bligation</w:t>
      </w:r>
      <w:r w:rsidR="00EB2D87">
        <w:rPr>
          <w:rFonts w:ascii="Palatino Linotype" w:hAnsi="Palatino Linotype" w:cstheme="minorHAnsi"/>
        </w:rPr>
        <w:t xml:space="preserve"> related to </w:t>
      </w:r>
      <w:r w:rsidR="00434D90">
        <w:rPr>
          <w:rFonts w:ascii="Palatino Linotype" w:hAnsi="Palatino Linotype" w:cstheme="minorHAnsi"/>
        </w:rPr>
        <w:t xml:space="preserve">each of the aforementioned </w:t>
      </w:r>
      <w:r w:rsidRPr="00E0262F" w:rsidR="00434D90">
        <w:rPr>
          <w:rFonts w:ascii="Palatino Linotype" w:hAnsi="Palatino Linotype" w:cstheme="minorHAnsi"/>
        </w:rPr>
        <w:t>CASF Infrastructure Grant</w:t>
      </w:r>
      <w:r w:rsidR="00434D90">
        <w:rPr>
          <w:rFonts w:ascii="Palatino Linotype" w:hAnsi="Palatino Linotype" w:cstheme="minorHAnsi"/>
        </w:rPr>
        <w:t xml:space="preserve"> projects</w:t>
      </w:r>
      <w:r w:rsidR="0016544A">
        <w:rPr>
          <w:rFonts w:ascii="Palatino Linotype" w:hAnsi="Palatino Linotype" w:cstheme="minorHAnsi"/>
        </w:rPr>
        <w:t>.</w:t>
      </w:r>
      <w:r w:rsidR="00E911D9">
        <w:rPr>
          <w:rFonts w:ascii="Palatino Linotype" w:hAnsi="Palatino Linotype" w:cstheme="minorHAnsi"/>
        </w:rPr>
        <w:t xml:space="preserve"> </w:t>
      </w:r>
      <w:r w:rsidRPr="00E0262F" w:rsidR="00E911D9">
        <w:rPr>
          <w:rFonts w:ascii="Palatino Linotype" w:hAnsi="Palatino Linotype" w:cstheme="minorHAnsi"/>
        </w:rPr>
        <w:t xml:space="preserve">Frontier will need to pay the relevant </w:t>
      </w:r>
      <w:r w:rsidR="00E911D9">
        <w:rPr>
          <w:rFonts w:ascii="Palatino Linotype" w:hAnsi="Palatino Linotype" w:cstheme="minorHAnsi"/>
        </w:rPr>
        <w:t xml:space="preserve">monthly </w:t>
      </w:r>
      <w:r w:rsidRPr="00E0262F" w:rsidR="00E911D9">
        <w:rPr>
          <w:rFonts w:ascii="Palatino Linotype" w:hAnsi="Palatino Linotype" w:cstheme="minorHAnsi"/>
        </w:rPr>
        <w:t xml:space="preserve">amount by the last day of the </w:t>
      </w:r>
      <w:r w:rsidR="00E911D9">
        <w:rPr>
          <w:rFonts w:ascii="Palatino Linotype" w:hAnsi="Palatino Linotype" w:cstheme="minorHAnsi"/>
        </w:rPr>
        <w:t>month</w:t>
      </w:r>
      <w:r w:rsidRPr="00E0262F" w:rsidR="00E911D9">
        <w:rPr>
          <w:rFonts w:ascii="Palatino Linotype" w:hAnsi="Palatino Linotype" w:cstheme="minorHAnsi"/>
        </w:rPr>
        <w:t xml:space="preserve"> following the </w:t>
      </w:r>
      <w:r w:rsidR="00E911D9">
        <w:rPr>
          <w:rFonts w:ascii="Palatino Linotype" w:hAnsi="Palatino Linotype" w:cstheme="minorHAnsi"/>
        </w:rPr>
        <w:t>month</w:t>
      </w:r>
      <w:r w:rsidRPr="00E0262F" w:rsidR="00E911D9">
        <w:rPr>
          <w:rFonts w:ascii="Palatino Linotype" w:hAnsi="Palatino Linotype" w:cstheme="minorHAnsi"/>
        </w:rPr>
        <w:t xml:space="preserve"> in which the obligation arose.</w:t>
      </w:r>
    </w:p>
    <w:p w:rsidRPr="00E0262F" w:rsidR="00A22DA3" w:rsidP="006A577D" w:rsidRDefault="00A22DA3" w14:paraId="2CB35597" w14:textId="77777777">
      <w:pPr>
        <w:pStyle w:val="NoSpacing"/>
        <w:rPr>
          <w:rFonts w:ascii="Palatino Linotype" w:hAnsi="Palatino Linotype" w:cstheme="minorHAnsi"/>
        </w:rPr>
      </w:pPr>
    </w:p>
    <w:p w:rsidRPr="00E0262F" w:rsidR="006E0B46" w:rsidP="00794756" w:rsidRDefault="006E0B46" w14:paraId="3ECC2A25" w14:textId="412D9248">
      <w:pPr>
        <w:pStyle w:val="NoSpacing"/>
        <w:numPr>
          <w:ilvl w:val="0"/>
          <w:numId w:val="21"/>
        </w:numPr>
        <w:rPr>
          <w:rStyle w:val="IntenseEmphasis"/>
          <w:rFonts w:ascii="Palatino Linotype" w:hAnsi="Palatino Linotype"/>
        </w:rPr>
      </w:pPr>
      <w:r w:rsidRPr="00E0262F">
        <w:rPr>
          <w:rStyle w:val="IntenseEmphasis"/>
          <w:rFonts w:ascii="Palatino Linotype" w:hAnsi="Palatino Linotype"/>
        </w:rPr>
        <w:lastRenderedPageBreak/>
        <w:t>Timely Reporting</w:t>
      </w:r>
      <w:r w:rsidRPr="00E0262F" w:rsidR="008D2F9B">
        <w:rPr>
          <w:rStyle w:val="FootnoteReference"/>
          <w:rFonts w:ascii="Palatino Linotype" w:hAnsi="Palatino Linotype"/>
          <w:color w:val="4472C4" w:themeColor="accent1"/>
        </w:rPr>
        <w:footnoteReference w:id="6"/>
      </w:r>
    </w:p>
    <w:p w:rsidR="00046FFC" w:rsidP="006E0B46" w:rsidRDefault="00614FE6" w14:paraId="3B660818" w14:textId="4D4303C4">
      <w:pPr>
        <w:pStyle w:val="NoSpacing"/>
        <w:rPr>
          <w:rFonts w:ascii="Palatino Linotype" w:hAnsi="Palatino Linotype" w:cstheme="minorHAnsi"/>
        </w:rPr>
      </w:pPr>
      <w:r w:rsidRPr="00E0262F">
        <w:rPr>
          <w:rFonts w:ascii="Palatino Linotype" w:hAnsi="Palatino Linotype" w:cstheme="minorHAnsi"/>
        </w:rPr>
        <w:t>When a utility submits a document late, the Commission has previously defined a monetary consequence of the utility paying $1,000 a day per document.</w:t>
      </w:r>
      <w:r w:rsidRPr="00E0262F">
        <w:rPr>
          <w:rStyle w:val="FootnoteReference"/>
          <w:rFonts w:ascii="Palatino Linotype" w:hAnsi="Palatino Linotype" w:cstheme="minorHAnsi"/>
        </w:rPr>
        <w:footnoteReference w:id="7"/>
      </w:r>
      <w:r w:rsidRPr="00E0262F" w:rsidR="006E0B46">
        <w:rPr>
          <w:rFonts w:ascii="Palatino Linotype" w:hAnsi="Palatino Linotype" w:cstheme="minorHAnsi"/>
        </w:rPr>
        <w:t xml:space="preserve"> </w:t>
      </w:r>
      <w:r w:rsidRPr="00E0262F">
        <w:rPr>
          <w:rFonts w:ascii="Palatino Linotype" w:hAnsi="Palatino Linotype" w:cstheme="minorHAnsi"/>
        </w:rPr>
        <w:t>T</w:t>
      </w:r>
      <w:r w:rsidRPr="00E0262F" w:rsidR="006E0B46">
        <w:rPr>
          <w:rFonts w:ascii="Palatino Linotype" w:hAnsi="Palatino Linotype" w:cstheme="minorHAnsi"/>
        </w:rPr>
        <w:t xml:space="preserve">imely reporting by Frontier is important in adequately monitoring Frontier’s post-Restructuring activities. Frontier will need to </w:t>
      </w:r>
      <w:r w:rsidR="00D5612F">
        <w:rPr>
          <w:rFonts w:ascii="Palatino Linotype" w:hAnsi="Palatino Linotype" w:cstheme="minorHAnsi"/>
        </w:rPr>
        <w:t xml:space="preserve">pay </w:t>
      </w:r>
      <w:r w:rsidRPr="00E0262F" w:rsidR="006E0B46">
        <w:rPr>
          <w:rFonts w:ascii="Palatino Linotype" w:hAnsi="Palatino Linotype" w:cstheme="minorHAnsi"/>
        </w:rPr>
        <w:t xml:space="preserve">$30,000 per month per utility number for each late or incomplete submission of a report. </w:t>
      </w:r>
    </w:p>
    <w:p w:rsidR="00046FFC" w:rsidP="006E0B46" w:rsidRDefault="00046FFC" w14:paraId="4F009DA6" w14:textId="77777777">
      <w:pPr>
        <w:pStyle w:val="NoSpacing"/>
        <w:rPr>
          <w:rFonts w:ascii="Palatino Linotype" w:hAnsi="Palatino Linotype" w:cstheme="minorHAnsi"/>
        </w:rPr>
      </w:pPr>
    </w:p>
    <w:p w:rsidRPr="00E0262F" w:rsidR="00053C73" w:rsidP="006E0B46" w:rsidRDefault="006E0B46" w14:paraId="044B9B96" w14:textId="1EF44435">
      <w:pPr>
        <w:pStyle w:val="NoSpacing"/>
        <w:rPr>
          <w:rFonts w:ascii="Palatino Linotype" w:hAnsi="Palatino Linotype" w:cstheme="minorHAnsi"/>
        </w:rPr>
      </w:pPr>
      <w:r w:rsidRPr="00E0262F">
        <w:rPr>
          <w:rFonts w:ascii="Palatino Linotype" w:hAnsi="Palatino Linotype" w:cstheme="minorHAnsi"/>
        </w:rPr>
        <w:t xml:space="preserve">Frontier will have a grace period of five calendar days after the relevant report’s deadline. The Commission will not conclude Frontier has failed to fulfill a reporting requirement until after the grace period. Frontier has to </w:t>
      </w:r>
      <w:r w:rsidRPr="00E0262F" w:rsidR="00D5612F">
        <w:rPr>
          <w:rFonts w:ascii="Palatino Linotype" w:hAnsi="Palatino Linotype" w:cstheme="minorHAnsi"/>
        </w:rPr>
        <w:t>p</w:t>
      </w:r>
      <w:r w:rsidR="00D5612F">
        <w:rPr>
          <w:rFonts w:ascii="Palatino Linotype" w:hAnsi="Palatino Linotype" w:cstheme="minorHAnsi"/>
        </w:rPr>
        <w:t>ay</w:t>
      </w:r>
      <w:r w:rsidRPr="00E0262F" w:rsidR="00D5612F">
        <w:rPr>
          <w:rFonts w:ascii="Palatino Linotype" w:hAnsi="Palatino Linotype" w:cstheme="minorHAnsi"/>
        </w:rPr>
        <w:t xml:space="preserve"> </w:t>
      </w:r>
      <w:r w:rsidRPr="00E0262F">
        <w:rPr>
          <w:rFonts w:ascii="Palatino Linotype" w:hAnsi="Palatino Linotype" w:cstheme="minorHAnsi"/>
        </w:rPr>
        <w:t>the applicable payment amount within 30 calendar days of filing the complete report along with a cover letter. Within this cover letter, Frontier will provide the utility number, the proceeding number of A</w:t>
      </w:r>
      <w:r w:rsidR="0086431A">
        <w:rPr>
          <w:rFonts w:ascii="Palatino Linotype" w:hAnsi="Palatino Linotype" w:cstheme="minorHAnsi"/>
        </w:rPr>
        <w:t>.</w:t>
      </w:r>
      <w:r w:rsidRPr="00E0262F">
        <w:rPr>
          <w:rFonts w:ascii="Palatino Linotype" w:hAnsi="Palatino Linotype" w:cstheme="minorHAnsi"/>
        </w:rPr>
        <w:t>20</w:t>
      </w:r>
      <w:r w:rsidR="0086431A">
        <w:rPr>
          <w:rFonts w:ascii="Palatino Linotype" w:hAnsi="Palatino Linotype" w:cstheme="minorHAnsi"/>
        </w:rPr>
        <w:t>-</w:t>
      </w:r>
      <w:r w:rsidRPr="00E0262F">
        <w:rPr>
          <w:rFonts w:ascii="Palatino Linotype" w:hAnsi="Palatino Linotype" w:cstheme="minorHAnsi"/>
        </w:rPr>
        <w:t>05</w:t>
      </w:r>
      <w:r w:rsidR="0086431A">
        <w:rPr>
          <w:rFonts w:ascii="Palatino Linotype" w:hAnsi="Palatino Linotype" w:cstheme="minorHAnsi"/>
        </w:rPr>
        <w:t>-</w:t>
      </w:r>
      <w:r w:rsidRPr="00E0262F">
        <w:rPr>
          <w:rFonts w:ascii="Palatino Linotype" w:hAnsi="Palatino Linotype" w:cstheme="minorHAnsi"/>
        </w:rPr>
        <w:t>010, the report’s name, the number of calendar days beyond the deadline of the report, the amount enclosed if the report is late or incomplete, and a statement recognizing the late or incomplete submission</w:t>
      </w:r>
      <w:r w:rsidRPr="00E0262F" w:rsidR="001B542D">
        <w:rPr>
          <w:rFonts w:ascii="Palatino Linotype" w:hAnsi="Palatino Linotype" w:cstheme="minorHAnsi"/>
        </w:rPr>
        <w:t xml:space="preserve"> </w:t>
      </w:r>
      <w:r w:rsidRPr="00E0262F" w:rsidR="004976F8">
        <w:rPr>
          <w:rFonts w:ascii="Palatino Linotype" w:hAnsi="Palatino Linotype" w:cstheme="minorHAnsi"/>
        </w:rPr>
        <w:t>(</w:t>
      </w:r>
      <w:r w:rsidRPr="00E0262F" w:rsidR="001B542D">
        <w:rPr>
          <w:rFonts w:ascii="Palatino Linotype" w:hAnsi="Palatino Linotype" w:cstheme="minorHAnsi"/>
        </w:rPr>
        <w:t>as applicable)</w:t>
      </w:r>
      <w:r w:rsidRPr="00E0262F">
        <w:rPr>
          <w:rFonts w:ascii="Palatino Linotype" w:hAnsi="Palatino Linotype" w:cstheme="minorHAnsi"/>
        </w:rPr>
        <w:t>.</w:t>
      </w:r>
    </w:p>
    <w:p w:rsidRPr="00E0262F" w:rsidR="00A01947" w:rsidP="006E0B46" w:rsidRDefault="00A01947" w14:paraId="11B35DFA" w14:textId="77777777">
      <w:pPr>
        <w:pStyle w:val="NoSpacing"/>
        <w:rPr>
          <w:rFonts w:ascii="Palatino Linotype" w:hAnsi="Palatino Linotype" w:cstheme="minorHAnsi"/>
        </w:rPr>
      </w:pPr>
    </w:p>
    <w:p w:rsidRPr="00915727" w:rsidR="00D72520" w:rsidP="00794756" w:rsidRDefault="00924DA2" w14:paraId="330C41B6" w14:textId="1F1057CB">
      <w:pPr>
        <w:pStyle w:val="NoSpacing"/>
        <w:numPr>
          <w:ilvl w:val="0"/>
          <w:numId w:val="21"/>
        </w:numPr>
        <w:rPr>
          <w:rFonts w:ascii="Palatino Linotype" w:hAnsi="Palatino Linotype" w:cstheme="minorHAnsi"/>
          <w:b/>
          <w:bCs/>
          <w:color w:val="0070C0"/>
        </w:rPr>
      </w:pPr>
      <w:r w:rsidRPr="00915727">
        <w:rPr>
          <w:rStyle w:val="IntenseEmphasis"/>
          <w:rFonts w:ascii="Palatino Linotype" w:hAnsi="Palatino Linotype"/>
          <w:color w:val="0070C0"/>
        </w:rPr>
        <w:t xml:space="preserve">Fully Completing </w:t>
      </w:r>
      <w:r w:rsidRPr="00915727" w:rsidR="000262D1">
        <w:rPr>
          <w:rStyle w:val="IntenseEmphasis"/>
          <w:rFonts w:ascii="Palatino Linotype" w:hAnsi="Palatino Linotype"/>
          <w:color w:val="0070C0"/>
        </w:rPr>
        <w:t xml:space="preserve">and Submitting </w:t>
      </w:r>
      <w:r w:rsidRPr="00915727" w:rsidR="00336DE9">
        <w:rPr>
          <w:rStyle w:val="IntenseEmphasis"/>
          <w:rFonts w:ascii="Palatino Linotype" w:hAnsi="Palatino Linotype"/>
          <w:color w:val="0070C0"/>
        </w:rPr>
        <w:t>Timely Responses to Data Requests</w:t>
      </w:r>
    </w:p>
    <w:p w:rsidR="004965D0" w:rsidP="006E0B46" w:rsidRDefault="007E5D3A" w14:paraId="5A9C5DF5" w14:textId="539415E3">
      <w:pPr>
        <w:pStyle w:val="NoSpacing"/>
        <w:rPr>
          <w:rFonts w:ascii="Palatino Linotype" w:hAnsi="Palatino Linotype" w:cstheme="minorHAnsi"/>
        </w:rPr>
      </w:pPr>
      <w:r w:rsidRPr="00E0262F">
        <w:rPr>
          <w:rFonts w:ascii="Palatino Linotype" w:hAnsi="Palatino Linotype" w:cstheme="minorHAnsi"/>
        </w:rPr>
        <w:t>The Commission routinely needs to issue request</w:t>
      </w:r>
      <w:r w:rsidRPr="00E0262F" w:rsidR="000B3F6F">
        <w:rPr>
          <w:rFonts w:ascii="Palatino Linotype" w:hAnsi="Palatino Linotype" w:cstheme="minorHAnsi"/>
        </w:rPr>
        <w:t>s</w:t>
      </w:r>
      <w:r w:rsidRPr="00E0262F" w:rsidR="000245E6">
        <w:rPr>
          <w:rFonts w:ascii="Palatino Linotype" w:hAnsi="Palatino Linotype" w:cstheme="minorHAnsi"/>
        </w:rPr>
        <w:t xml:space="preserve"> for information</w:t>
      </w:r>
      <w:r w:rsidRPr="00E0262F">
        <w:rPr>
          <w:rFonts w:ascii="Palatino Linotype" w:hAnsi="Palatino Linotype" w:cstheme="minorHAnsi"/>
        </w:rPr>
        <w:t xml:space="preserve"> to utilities</w:t>
      </w:r>
      <w:r w:rsidRPr="00E0262F" w:rsidR="0086085F">
        <w:rPr>
          <w:rFonts w:ascii="Palatino Linotype" w:hAnsi="Palatino Linotype" w:cstheme="minorHAnsi"/>
        </w:rPr>
        <w:t xml:space="preserve"> such as Frontier</w:t>
      </w:r>
      <w:r w:rsidRPr="00E0262F">
        <w:rPr>
          <w:rFonts w:ascii="Palatino Linotype" w:hAnsi="Palatino Linotype" w:cstheme="minorHAnsi"/>
        </w:rPr>
        <w:t>.</w:t>
      </w:r>
      <w:r w:rsidRPr="00E0262F" w:rsidR="0086085F">
        <w:rPr>
          <w:rFonts w:ascii="Palatino Linotype" w:hAnsi="Palatino Linotype" w:cstheme="minorHAnsi"/>
        </w:rPr>
        <w:t xml:space="preserve"> </w:t>
      </w:r>
      <w:r w:rsidRPr="00E0262F" w:rsidR="004976F8">
        <w:rPr>
          <w:rFonts w:ascii="Palatino Linotype" w:hAnsi="Palatino Linotype" w:cstheme="minorHAnsi"/>
        </w:rPr>
        <w:t>Timely</w:t>
      </w:r>
      <w:r w:rsidRPr="00E0262F" w:rsidR="006D408A">
        <w:rPr>
          <w:rFonts w:ascii="Palatino Linotype" w:hAnsi="Palatino Linotype" w:cstheme="minorHAnsi"/>
        </w:rPr>
        <w:t xml:space="preserve"> and complete submission of information </w:t>
      </w:r>
      <w:r w:rsidRPr="00E0262F" w:rsidR="004976F8">
        <w:rPr>
          <w:rFonts w:ascii="Palatino Linotype" w:hAnsi="Palatino Linotype" w:cstheme="minorHAnsi"/>
        </w:rPr>
        <w:t xml:space="preserve">by Frontier is important in adequately monitoring Frontier’s post-Restructuring activities. Frontier </w:t>
      </w:r>
      <w:r w:rsidR="00686D81">
        <w:rPr>
          <w:rFonts w:ascii="Palatino Linotype" w:hAnsi="Palatino Linotype" w:cstheme="minorHAnsi"/>
        </w:rPr>
        <w:t>shall pay</w:t>
      </w:r>
      <w:r w:rsidRPr="00E0262F" w:rsidR="004976F8">
        <w:rPr>
          <w:rFonts w:ascii="Palatino Linotype" w:hAnsi="Palatino Linotype" w:cstheme="minorHAnsi"/>
        </w:rPr>
        <w:t xml:space="preserve"> $</w:t>
      </w:r>
      <w:r w:rsidRPr="00E0262F" w:rsidR="00DB69D7">
        <w:rPr>
          <w:rFonts w:ascii="Palatino Linotype" w:hAnsi="Palatino Linotype" w:cstheme="minorHAnsi"/>
        </w:rPr>
        <w:t>6</w:t>
      </w:r>
      <w:r w:rsidRPr="00E0262F" w:rsidR="004976F8">
        <w:rPr>
          <w:rFonts w:ascii="Palatino Linotype" w:hAnsi="Palatino Linotype" w:cstheme="minorHAnsi"/>
        </w:rPr>
        <w:t xml:space="preserve">0,000 per month </w:t>
      </w:r>
      <w:r w:rsidRPr="00E0262F" w:rsidR="00D156FB">
        <w:rPr>
          <w:rFonts w:ascii="Palatino Linotype" w:hAnsi="Palatino Linotype" w:cstheme="minorHAnsi"/>
        </w:rPr>
        <w:t xml:space="preserve">for each of its </w:t>
      </w:r>
      <w:r w:rsidRPr="00E0262F" w:rsidR="004976F8">
        <w:rPr>
          <w:rFonts w:ascii="Palatino Linotype" w:hAnsi="Palatino Linotype" w:cstheme="minorHAnsi"/>
        </w:rPr>
        <w:t>utility number</w:t>
      </w:r>
      <w:r w:rsidRPr="00E0262F" w:rsidR="00D156FB">
        <w:rPr>
          <w:rFonts w:ascii="Palatino Linotype" w:hAnsi="Palatino Linotype" w:cstheme="minorHAnsi"/>
        </w:rPr>
        <w:t>s</w:t>
      </w:r>
      <w:r w:rsidRPr="00E0262F" w:rsidR="004976F8">
        <w:rPr>
          <w:rFonts w:ascii="Palatino Linotype" w:hAnsi="Palatino Linotype" w:cstheme="minorHAnsi"/>
        </w:rPr>
        <w:t xml:space="preserve"> for each late or incomplete submission of a re</w:t>
      </w:r>
      <w:r w:rsidRPr="00E0262F" w:rsidR="006C68C3">
        <w:rPr>
          <w:rFonts w:ascii="Palatino Linotype" w:hAnsi="Palatino Linotype" w:cstheme="minorHAnsi"/>
        </w:rPr>
        <w:t>sponse to a data request</w:t>
      </w:r>
      <w:r w:rsidRPr="00E0262F" w:rsidR="004976F8">
        <w:rPr>
          <w:rFonts w:ascii="Palatino Linotype" w:hAnsi="Palatino Linotype" w:cstheme="minorHAnsi"/>
        </w:rPr>
        <w:t xml:space="preserve">. </w:t>
      </w:r>
    </w:p>
    <w:p w:rsidR="004965D0" w:rsidP="006E0B46" w:rsidRDefault="004965D0" w14:paraId="540196D7" w14:textId="77777777">
      <w:pPr>
        <w:pStyle w:val="NoSpacing"/>
        <w:rPr>
          <w:rFonts w:ascii="Palatino Linotype" w:hAnsi="Palatino Linotype" w:cstheme="minorHAnsi"/>
        </w:rPr>
      </w:pPr>
    </w:p>
    <w:p w:rsidRPr="00E0262F" w:rsidR="006E0B46" w:rsidP="006E0B46" w:rsidRDefault="004976F8" w14:paraId="191BCFB8" w14:textId="10092BCB">
      <w:pPr>
        <w:pStyle w:val="NoSpacing"/>
        <w:rPr>
          <w:rFonts w:ascii="Palatino Linotype" w:hAnsi="Palatino Linotype" w:cstheme="minorHAnsi"/>
        </w:rPr>
      </w:pPr>
      <w:r w:rsidRPr="00E0262F">
        <w:rPr>
          <w:rFonts w:ascii="Palatino Linotype" w:hAnsi="Palatino Linotype" w:cstheme="minorHAnsi"/>
        </w:rPr>
        <w:t xml:space="preserve">Frontier will have a grace period of five calendar days after the relevant </w:t>
      </w:r>
      <w:r w:rsidRPr="00E0262F" w:rsidR="006C68C3">
        <w:rPr>
          <w:rFonts w:ascii="Palatino Linotype" w:hAnsi="Palatino Linotype" w:cstheme="minorHAnsi"/>
        </w:rPr>
        <w:t>data request</w:t>
      </w:r>
      <w:r w:rsidRPr="00E0262F">
        <w:rPr>
          <w:rFonts w:ascii="Palatino Linotype" w:hAnsi="Palatino Linotype" w:cstheme="minorHAnsi"/>
        </w:rPr>
        <w:t xml:space="preserve">’s deadline. The Commission will not conclude Frontier has failed to </w:t>
      </w:r>
      <w:r w:rsidRPr="00E0262F" w:rsidR="00E75310">
        <w:rPr>
          <w:rFonts w:ascii="Palatino Linotype" w:hAnsi="Palatino Linotype" w:cstheme="minorHAnsi"/>
        </w:rPr>
        <w:t xml:space="preserve">fully </w:t>
      </w:r>
      <w:r w:rsidRPr="00E0262F" w:rsidR="00594986">
        <w:rPr>
          <w:rFonts w:ascii="Palatino Linotype" w:hAnsi="Palatino Linotype" w:cstheme="minorHAnsi"/>
        </w:rPr>
        <w:t xml:space="preserve">and timely </w:t>
      </w:r>
      <w:r w:rsidRPr="00E0262F" w:rsidR="00E75310">
        <w:rPr>
          <w:rFonts w:ascii="Palatino Linotype" w:hAnsi="Palatino Linotype" w:cstheme="minorHAnsi"/>
        </w:rPr>
        <w:t>complete and submit</w:t>
      </w:r>
      <w:r w:rsidRPr="00E0262F" w:rsidR="00594986">
        <w:rPr>
          <w:rFonts w:ascii="Palatino Linotype" w:hAnsi="Palatino Linotype" w:cstheme="minorHAnsi"/>
        </w:rPr>
        <w:t xml:space="preserve"> a response to a data request</w:t>
      </w:r>
      <w:r w:rsidRPr="00E0262F">
        <w:rPr>
          <w:rFonts w:ascii="Palatino Linotype" w:hAnsi="Palatino Linotype" w:cstheme="minorHAnsi"/>
        </w:rPr>
        <w:t xml:space="preserve"> until after the </w:t>
      </w:r>
      <w:r w:rsidRPr="00E0262F" w:rsidR="00645A0B">
        <w:rPr>
          <w:rFonts w:ascii="Palatino Linotype" w:hAnsi="Palatino Linotype" w:cstheme="minorHAnsi"/>
        </w:rPr>
        <w:t xml:space="preserve">expiration of the </w:t>
      </w:r>
      <w:r w:rsidRPr="00E0262F">
        <w:rPr>
          <w:rFonts w:ascii="Palatino Linotype" w:hAnsi="Palatino Linotype" w:cstheme="minorHAnsi"/>
        </w:rPr>
        <w:t xml:space="preserve">grace period. Frontier has to </w:t>
      </w:r>
      <w:r w:rsidRPr="00E0262F" w:rsidR="00AC5A9B">
        <w:rPr>
          <w:rFonts w:ascii="Palatino Linotype" w:hAnsi="Palatino Linotype" w:cstheme="minorHAnsi"/>
        </w:rPr>
        <w:t>p</w:t>
      </w:r>
      <w:r w:rsidR="00AC5A9B">
        <w:rPr>
          <w:rFonts w:ascii="Palatino Linotype" w:hAnsi="Palatino Linotype" w:cstheme="minorHAnsi"/>
        </w:rPr>
        <w:t>ay</w:t>
      </w:r>
      <w:r w:rsidRPr="00E0262F" w:rsidR="00AC5A9B">
        <w:rPr>
          <w:rFonts w:ascii="Palatino Linotype" w:hAnsi="Palatino Linotype" w:cstheme="minorHAnsi"/>
        </w:rPr>
        <w:t xml:space="preserve"> </w:t>
      </w:r>
      <w:r w:rsidRPr="00E0262F">
        <w:rPr>
          <w:rFonts w:ascii="Palatino Linotype" w:hAnsi="Palatino Linotype" w:cstheme="minorHAnsi"/>
        </w:rPr>
        <w:t xml:space="preserve">the applicable amount within 30 calendar days of </w:t>
      </w:r>
      <w:r w:rsidRPr="00E0262F" w:rsidR="002E6D0F">
        <w:rPr>
          <w:rFonts w:ascii="Palatino Linotype" w:hAnsi="Palatino Linotype" w:cstheme="minorHAnsi"/>
        </w:rPr>
        <w:t>submitt</w:t>
      </w:r>
      <w:r w:rsidRPr="00E0262F">
        <w:rPr>
          <w:rFonts w:ascii="Palatino Linotype" w:hAnsi="Palatino Linotype" w:cstheme="minorHAnsi"/>
        </w:rPr>
        <w:t>ing the complete</w:t>
      </w:r>
      <w:r w:rsidRPr="00E0262F" w:rsidR="00107CAF">
        <w:rPr>
          <w:rFonts w:ascii="Palatino Linotype" w:hAnsi="Palatino Linotype" w:cstheme="minorHAnsi"/>
        </w:rPr>
        <w:t>d</w:t>
      </w:r>
      <w:r w:rsidRPr="00E0262F">
        <w:rPr>
          <w:rFonts w:ascii="Palatino Linotype" w:hAnsi="Palatino Linotype" w:cstheme="minorHAnsi"/>
        </w:rPr>
        <w:t xml:space="preserve"> </w:t>
      </w:r>
      <w:r w:rsidRPr="00E0262F" w:rsidR="002E6D0F">
        <w:rPr>
          <w:rFonts w:ascii="Palatino Linotype" w:hAnsi="Palatino Linotype" w:cstheme="minorHAnsi"/>
        </w:rPr>
        <w:t>data request response</w:t>
      </w:r>
      <w:r w:rsidRPr="00E0262F">
        <w:rPr>
          <w:rFonts w:ascii="Palatino Linotype" w:hAnsi="Palatino Linotype" w:cstheme="minorHAnsi"/>
        </w:rPr>
        <w:t xml:space="preserve"> along with a cover letter. Within this cover letter, Frontier will provide the utility number, the proceeding number of A</w:t>
      </w:r>
      <w:r w:rsidR="00730550">
        <w:rPr>
          <w:rFonts w:ascii="Palatino Linotype" w:hAnsi="Palatino Linotype" w:cstheme="minorHAnsi"/>
        </w:rPr>
        <w:t>.</w:t>
      </w:r>
      <w:r w:rsidRPr="00E0262F">
        <w:rPr>
          <w:rFonts w:ascii="Palatino Linotype" w:hAnsi="Palatino Linotype" w:cstheme="minorHAnsi"/>
        </w:rPr>
        <w:t>20</w:t>
      </w:r>
      <w:r w:rsidR="00730550">
        <w:rPr>
          <w:rFonts w:ascii="Palatino Linotype" w:hAnsi="Palatino Linotype" w:cstheme="minorHAnsi"/>
        </w:rPr>
        <w:t>-</w:t>
      </w:r>
      <w:r w:rsidRPr="00E0262F">
        <w:rPr>
          <w:rFonts w:ascii="Palatino Linotype" w:hAnsi="Palatino Linotype" w:cstheme="minorHAnsi"/>
        </w:rPr>
        <w:t>05</w:t>
      </w:r>
      <w:r w:rsidR="00730550">
        <w:rPr>
          <w:rFonts w:ascii="Palatino Linotype" w:hAnsi="Palatino Linotype" w:cstheme="minorHAnsi"/>
        </w:rPr>
        <w:t>-</w:t>
      </w:r>
      <w:r w:rsidRPr="00E0262F">
        <w:rPr>
          <w:rFonts w:ascii="Palatino Linotype" w:hAnsi="Palatino Linotype" w:cstheme="minorHAnsi"/>
        </w:rPr>
        <w:t xml:space="preserve">010, the </w:t>
      </w:r>
      <w:r w:rsidRPr="00E0262F" w:rsidR="006C3A15">
        <w:rPr>
          <w:rFonts w:ascii="Palatino Linotype" w:hAnsi="Palatino Linotype" w:cstheme="minorHAnsi"/>
        </w:rPr>
        <w:t>data request</w:t>
      </w:r>
      <w:r w:rsidRPr="00E0262F">
        <w:rPr>
          <w:rFonts w:ascii="Palatino Linotype" w:hAnsi="Palatino Linotype" w:cstheme="minorHAnsi"/>
        </w:rPr>
        <w:t>’s name</w:t>
      </w:r>
      <w:r w:rsidRPr="00E0262F" w:rsidR="006C3A15">
        <w:rPr>
          <w:rFonts w:ascii="Palatino Linotype" w:hAnsi="Palatino Linotype" w:cstheme="minorHAnsi"/>
        </w:rPr>
        <w:t xml:space="preserve"> or number</w:t>
      </w:r>
      <w:r w:rsidRPr="00E0262F">
        <w:rPr>
          <w:rFonts w:ascii="Palatino Linotype" w:hAnsi="Palatino Linotype" w:cstheme="minorHAnsi"/>
        </w:rPr>
        <w:t xml:space="preserve">, the number of calendar days beyond the deadline of the </w:t>
      </w:r>
      <w:r w:rsidRPr="00E0262F" w:rsidR="006F48E5">
        <w:rPr>
          <w:rFonts w:ascii="Palatino Linotype" w:hAnsi="Palatino Linotype" w:cstheme="minorHAnsi"/>
        </w:rPr>
        <w:t>data request response</w:t>
      </w:r>
      <w:r w:rsidRPr="00E0262F">
        <w:rPr>
          <w:rFonts w:ascii="Palatino Linotype" w:hAnsi="Palatino Linotype" w:cstheme="minorHAnsi"/>
        </w:rPr>
        <w:t xml:space="preserve">, the amount enclosed if the </w:t>
      </w:r>
      <w:r w:rsidRPr="00E0262F" w:rsidR="006F48E5">
        <w:rPr>
          <w:rFonts w:ascii="Palatino Linotype" w:hAnsi="Palatino Linotype" w:cstheme="minorHAnsi"/>
        </w:rPr>
        <w:t>data request response</w:t>
      </w:r>
      <w:r w:rsidRPr="00E0262F">
        <w:rPr>
          <w:rFonts w:ascii="Palatino Linotype" w:hAnsi="Palatino Linotype" w:cstheme="minorHAnsi"/>
        </w:rPr>
        <w:t xml:space="preserve"> is late or incomplete, and a statement recognizing the late or incomplete submission (as applicable).</w:t>
      </w:r>
    </w:p>
    <w:p w:rsidRPr="00E0262F" w:rsidR="00336DE9" w:rsidP="006E0B46" w:rsidRDefault="00336DE9" w14:paraId="7E9FD2B7" w14:textId="0756EA1F">
      <w:pPr>
        <w:pStyle w:val="NoSpacing"/>
        <w:rPr>
          <w:rFonts w:ascii="Palatino Linotype" w:hAnsi="Palatino Linotype" w:cstheme="minorHAnsi"/>
        </w:rPr>
      </w:pPr>
    </w:p>
    <w:p w:rsidRPr="00E0262F" w:rsidR="00F56479" w:rsidP="00915727" w:rsidRDefault="00F56479" w14:paraId="2B132DB1" w14:textId="7A83EFD5">
      <w:pPr>
        <w:pStyle w:val="NoSpacing"/>
        <w:keepNext/>
        <w:numPr>
          <w:ilvl w:val="0"/>
          <w:numId w:val="21"/>
        </w:numPr>
        <w:rPr>
          <w:rStyle w:val="IntenseEmphasis"/>
          <w:rFonts w:ascii="Palatino Linotype" w:hAnsi="Palatino Linotype"/>
        </w:rPr>
      </w:pPr>
      <w:r w:rsidRPr="00E0262F">
        <w:rPr>
          <w:rStyle w:val="IntenseEmphasis"/>
          <w:rFonts w:ascii="Palatino Linotype" w:hAnsi="Palatino Linotype"/>
        </w:rPr>
        <w:lastRenderedPageBreak/>
        <w:t>Timely Payments</w:t>
      </w:r>
    </w:p>
    <w:p w:rsidR="00F56479" w:rsidP="00915727" w:rsidRDefault="00F56479" w14:paraId="19CCB03A" w14:textId="4E4DF8C4">
      <w:pPr>
        <w:pStyle w:val="NoSpacing"/>
        <w:keepNext/>
        <w:rPr>
          <w:rFonts w:ascii="Palatino Linotype" w:hAnsi="Palatino Linotype" w:cstheme="minorHAnsi"/>
        </w:rPr>
      </w:pPr>
      <w:r w:rsidRPr="00E0262F">
        <w:rPr>
          <w:rFonts w:ascii="Palatino Linotype" w:hAnsi="Palatino Linotype" w:cstheme="minorHAnsi"/>
        </w:rPr>
        <w:t>The Commission has also created an existing practice of assessing the utility a monthly late payment fee of 10 percent for each late payment.</w:t>
      </w:r>
      <w:r w:rsidRPr="00E0262F">
        <w:rPr>
          <w:rStyle w:val="FootnoteReference"/>
          <w:rFonts w:ascii="Palatino Linotype" w:hAnsi="Palatino Linotype" w:cstheme="minorHAnsi"/>
        </w:rPr>
        <w:footnoteReference w:id="8"/>
      </w:r>
      <w:r w:rsidRPr="00E0262F">
        <w:rPr>
          <w:rFonts w:ascii="Palatino Linotype" w:hAnsi="Palatino Linotype" w:cstheme="minorHAnsi"/>
        </w:rPr>
        <w:t xml:space="preserve"> Timely submission of payments by Frontier is critical in our meaningful and timely enforcement actions. </w:t>
      </w:r>
      <w:r w:rsidRPr="00E0262F" w:rsidR="00124ACF">
        <w:rPr>
          <w:rFonts w:ascii="Palatino Linotype" w:hAnsi="Palatino Linotype" w:cstheme="minorHAnsi"/>
        </w:rPr>
        <w:t>Staff will</w:t>
      </w:r>
      <w:r w:rsidRPr="00E0262F" w:rsidR="004A2CFA">
        <w:rPr>
          <w:rFonts w:ascii="Palatino Linotype" w:hAnsi="Palatino Linotype" w:cstheme="minorHAnsi"/>
        </w:rPr>
        <w:t xml:space="preserve"> separately</w:t>
      </w:r>
      <w:r w:rsidRPr="00E0262F" w:rsidR="00124ACF">
        <w:rPr>
          <w:rFonts w:ascii="Palatino Linotype" w:hAnsi="Palatino Linotype" w:cstheme="minorHAnsi"/>
        </w:rPr>
        <w:t xml:space="preserve"> provide instructions </w:t>
      </w:r>
      <w:r w:rsidRPr="00E0262F" w:rsidR="004D7000">
        <w:rPr>
          <w:rFonts w:ascii="Palatino Linotype" w:hAnsi="Palatino Linotype" w:cstheme="minorHAnsi"/>
        </w:rPr>
        <w:t>to</w:t>
      </w:r>
      <w:r w:rsidRPr="00E0262F" w:rsidR="00124ACF">
        <w:rPr>
          <w:rFonts w:ascii="Palatino Linotype" w:hAnsi="Palatino Linotype" w:cstheme="minorHAnsi"/>
        </w:rPr>
        <w:t xml:space="preserve"> </w:t>
      </w:r>
      <w:r w:rsidRPr="00E0262F" w:rsidR="004A2CFA">
        <w:rPr>
          <w:rFonts w:ascii="Palatino Linotype" w:hAnsi="Palatino Linotype" w:cstheme="minorHAnsi"/>
        </w:rPr>
        <w:t xml:space="preserve">Frontier </w:t>
      </w:r>
      <w:r w:rsidRPr="00E0262F" w:rsidR="004D7000">
        <w:rPr>
          <w:rFonts w:ascii="Palatino Linotype" w:hAnsi="Palatino Linotype" w:cstheme="minorHAnsi"/>
        </w:rPr>
        <w:t xml:space="preserve">for </w:t>
      </w:r>
      <w:r w:rsidRPr="00E0262F" w:rsidR="004A2CFA">
        <w:rPr>
          <w:rFonts w:ascii="Palatino Linotype" w:hAnsi="Palatino Linotype" w:cstheme="minorHAnsi"/>
        </w:rPr>
        <w:t>submit</w:t>
      </w:r>
      <w:r w:rsidRPr="00E0262F" w:rsidR="004D7000">
        <w:rPr>
          <w:rFonts w:ascii="Palatino Linotype" w:hAnsi="Palatino Linotype" w:cstheme="minorHAnsi"/>
        </w:rPr>
        <w:t>ting</w:t>
      </w:r>
      <w:r w:rsidRPr="00E0262F" w:rsidR="004A2CFA">
        <w:rPr>
          <w:rFonts w:ascii="Palatino Linotype" w:hAnsi="Palatino Linotype" w:cstheme="minorHAnsi"/>
        </w:rPr>
        <w:t xml:space="preserve"> the payments. </w:t>
      </w:r>
      <w:r w:rsidR="007B49FD">
        <w:rPr>
          <w:rFonts w:ascii="Palatino Linotype" w:hAnsi="Palatino Linotype" w:cstheme="minorHAnsi"/>
        </w:rPr>
        <w:t>The Commission</w:t>
      </w:r>
      <w:r w:rsidRPr="00E0262F" w:rsidR="007B49FD">
        <w:rPr>
          <w:rFonts w:ascii="Palatino Linotype" w:hAnsi="Palatino Linotype" w:cstheme="minorHAnsi"/>
        </w:rPr>
        <w:t xml:space="preserve"> </w:t>
      </w:r>
      <w:r w:rsidRPr="00E0262F">
        <w:rPr>
          <w:rFonts w:ascii="Palatino Linotype" w:hAnsi="Palatino Linotype" w:cstheme="minorHAnsi"/>
        </w:rPr>
        <w:t xml:space="preserve">will assess a monthly late payment fee of 10 percent. A payment </w:t>
      </w:r>
      <w:r w:rsidRPr="00E0262F" w:rsidR="008D2F9B">
        <w:rPr>
          <w:rFonts w:ascii="Palatino Linotype" w:hAnsi="Palatino Linotype" w:cstheme="minorHAnsi"/>
        </w:rPr>
        <w:t>wi</w:t>
      </w:r>
      <w:r w:rsidRPr="00E0262F">
        <w:rPr>
          <w:rFonts w:ascii="Palatino Linotype" w:hAnsi="Palatino Linotype" w:cstheme="minorHAnsi"/>
        </w:rPr>
        <w:t>ll be considered late if it is received after the applicable due date. As necessary, the Commission may consider additional enforcement actions.</w:t>
      </w:r>
    </w:p>
    <w:p w:rsidRPr="00915727" w:rsidR="00303790" w:rsidP="00915727" w:rsidRDefault="00303790" w14:paraId="349DB68D" w14:textId="77777777">
      <w:pPr>
        <w:pStyle w:val="NoSpacing"/>
        <w:rPr>
          <w:rFonts w:ascii="Palatino Linotype" w:hAnsi="Palatino Linotype"/>
        </w:rPr>
      </w:pPr>
    </w:p>
    <w:p w:rsidRPr="00E0262F" w:rsidR="006E0B46" w:rsidP="00794756" w:rsidRDefault="006E0B46" w14:paraId="395CE7B2" w14:textId="6A649588">
      <w:pPr>
        <w:pStyle w:val="Heading1"/>
        <w:numPr>
          <w:ilvl w:val="0"/>
          <w:numId w:val="19"/>
        </w:numPr>
        <w:rPr>
          <w:rFonts w:ascii="Palatino Linotype" w:hAnsi="Palatino Linotype"/>
          <w:sz w:val="24"/>
          <w:szCs w:val="24"/>
        </w:rPr>
      </w:pPr>
      <w:r w:rsidRPr="00E0262F">
        <w:rPr>
          <w:rFonts w:ascii="Palatino Linotype" w:hAnsi="Palatino Linotype"/>
          <w:sz w:val="24"/>
          <w:szCs w:val="24"/>
        </w:rPr>
        <w:t>Processes</w:t>
      </w:r>
      <w:r w:rsidRPr="00E0262F" w:rsidR="0022747B">
        <w:rPr>
          <w:rFonts w:ascii="Palatino Linotype" w:hAnsi="Palatino Linotype"/>
          <w:sz w:val="24"/>
          <w:szCs w:val="24"/>
        </w:rPr>
        <w:t xml:space="preserve"> Related to Implementing the Enforcement Program</w:t>
      </w:r>
      <w:r w:rsidRPr="00E0262F">
        <w:rPr>
          <w:rFonts w:ascii="Palatino Linotype" w:hAnsi="Palatino Linotype"/>
          <w:sz w:val="24"/>
          <w:szCs w:val="24"/>
        </w:rPr>
        <w:t xml:space="preserve"> </w:t>
      </w:r>
    </w:p>
    <w:p w:rsidRPr="00E0262F" w:rsidR="006E0B46" w:rsidP="00794756" w:rsidRDefault="006E0B46" w14:paraId="3C315A5A" w14:textId="3294BDFC">
      <w:pPr>
        <w:pStyle w:val="NoSpacing"/>
        <w:numPr>
          <w:ilvl w:val="0"/>
          <w:numId w:val="22"/>
        </w:numPr>
        <w:rPr>
          <w:rStyle w:val="IntenseEmphasis"/>
          <w:rFonts w:ascii="Palatino Linotype" w:hAnsi="Palatino Linotype" w:eastAsiaTheme="majorEastAsia" w:cstheme="majorBidi"/>
          <w:sz w:val="32"/>
          <w:szCs w:val="32"/>
        </w:rPr>
      </w:pPr>
      <w:r w:rsidRPr="00E0262F">
        <w:rPr>
          <w:rStyle w:val="IntenseEmphasis"/>
          <w:rFonts w:ascii="Palatino Linotype" w:hAnsi="Palatino Linotype"/>
        </w:rPr>
        <w:t>Compliance Monitor</w:t>
      </w:r>
      <w:r w:rsidR="0042639C">
        <w:rPr>
          <w:rStyle w:val="FootnoteReference"/>
          <w:rFonts w:ascii="Palatino Linotype" w:hAnsi="Palatino Linotype"/>
          <w:i/>
          <w:iCs/>
          <w:color w:val="4472C4" w:themeColor="accent1"/>
        </w:rPr>
        <w:footnoteReference w:id="9"/>
      </w:r>
    </w:p>
    <w:p w:rsidR="004965D0" w:rsidP="006E0B46" w:rsidRDefault="006E0B46" w14:paraId="1C6E0699" w14:textId="27D76E98">
      <w:pPr>
        <w:pStyle w:val="NoSpacing"/>
        <w:rPr>
          <w:rFonts w:ascii="Palatino Linotype" w:hAnsi="Palatino Linotype" w:cstheme="minorHAnsi"/>
        </w:rPr>
      </w:pPr>
      <w:r w:rsidRPr="00E0262F">
        <w:rPr>
          <w:rFonts w:ascii="Palatino Linotype" w:hAnsi="Palatino Linotype" w:cstheme="minorHAnsi"/>
        </w:rPr>
        <w:t>At the expense of Frontier, the Commission</w:t>
      </w:r>
      <w:r w:rsidRPr="00E0262F" w:rsidR="008D2F9B">
        <w:rPr>
          <w:rFonts w:ascii="Palatino Linotype" w:hAnsi="Palatino Linotype" w:cstheme="minorHAnsi"/>
        </w:rPr>
        <w:t>’s Communications Division</w:t>
      </w:r>
      <w:r w:rsidRPr="00E0262F">
        <w:rPr>
          <w:rFonts w:ascii="Palatino Linotype" w:hAnsi="Palatino Linotype" w:cstheme="minorHAnsi"/>
        </w:rPr>
        <w:t xml:space="preserve"> </w:t>
      </w:r>
      <w:r w:rsidRPr="00E0262F" w:rsidR="008D2F9B">
        <w:rPr>
          <w:rFonts w:ascii="Palatino Linotype" w:hAnsi="Palatino Linotype" w:cstheme="minorHAnsi"/>
        </w:rPr>
        <w:t>will</w:t>
      </w:r>
      <w:r w:rsidRPr="00E0262F">
        <w:rPr>
          <w:rFonts w:ascii="Palatino Linotype" w:hAnsi="Palatino Linotype" w:cstheme="minorHAnsi"/>
        </w:rPr>
        <w:t xml:space="preserve"> hire an independent monitor (Compliance Monitor) to assist in reviewing Frontier’s compliance with the terms, requirements, and conditions of </w:t>
      </w:r>
      <w:r w:rsidRPr="00E0262F" w:rsidR="00CA2E92">
        <w:rPr>
          <w:rFonts w:ascii="Palatino Linotype" w:hAnsi="Palatino Linotype" w:cstheme="minorHAnsi"/>
        </w:rPr>
        <w:t>D.21-04-008</w:t>
      </w:r>
      <w:r w:rsidRPr="00E0262F">
        <w:rPr>
          <w:rFonts w:ascii="Palatino Linotype" w:hAnsi="Palatino Linotype" w:cstheme="minorHAnsi"/>
        </w:rPr>
        <w:t xml:space="preserve">. Within 15 days after receipt of notice from the </w:t>
      </w:r>
      <w:r w:rsidRPr="00E0262F" w:rsidR="006E74DB">
        <w:rPr>
          <w:rFonts w:ascii="Palatino Linotype" w:hAnsi="Palatino Linotype" w:cstheme="minorHAnsi"/>
        </w:rPr>
        <w:t>S</w:t>
      </w:r>
      <w:r w:rsidRPr="00E0262F">
        <w:rPr>
          <w:rFonts w:ascii="Palatino Linotype" w:hAnsi="Palatino Linotype" w:cstheme="minorHAnsi"/>
        </w:rPr>
        <w:t xml:space="preserve">taff, Frontier </w:t>
      </w:r>
      <w:r w:rsidRPr="00E0262F" w:rsidR="008D2F9B">
        <w:rPr>
          <w:rFonts w:ascii="Palatino Linotype" w:hAnsi="Palatino Linotype" w:cstheme="minorHAnsi"/>
        </w:rPr>
        <w:t>will</w:t>
      </w:r>
      <w:r w:rsidRPr="00E0262F">
        <w:rPr>
          <w:rFonts w:ascii="Palatino Linotype" w:hAnsi="Palatino Linotype" w:cstheme="minorHAnsi"/>
        </w:rPr>
        <w:t xml:space="preserve"> provide the amounts specified by </w:t>
      </w:r>
      <w:r w:rsidRPr="00E0262F" w:rsidR="006E74DB">
        <w:rPr>
          <w:rFonts w:ascii="Palatino Linotype" w:hAnsi="Palatino Linotype" w:cstheme="minorHAnsi"/>
        </w:rPr>
        <w:t>S</w:t>
      </w:r>
      <w:r w:rsidRPr="00E0262F">
        <w:rPr>
          <w:rFonts w:ascii="Palatino Linotype" w:hAnsi="Palatino Linotype" w:cstheme="minorHAnsi"/>
        </w:rPr>
        <w:t xml:space="preserve">taff reflecting the fees and expenses of the Compliance Monitor. Within 45 days after the end of each calendar quarter, Frontier </w:t>
      </w:r>
      <w:r w:rsidR="00D0715D">
        <w:rPr>
          <w:rFonts w:ascii="Palatino Linotype" w:hAnsi="Palatino Linotype" w:cstheme="minorHAnsi"/>
        </w:rPr>
        <w:t>shall</w:t>
      </w:r>
      <w:r w:rsidRPr="00E0262F" w:rsidR="00D0715D">
        <w:rPr>
          <w:rFonts w:ascii="Palatino Linotype" w:hAnsi="Palatino Linotype" w:cstheme="minorHAnsi"/>
        </w:rPr>
        <w:t xml:space="preserve"> </w:t>
      </w:r>
      <w:r w:rsidRPr="00E0262F">
        <w:rPr>
          <w:rFonts w:ascii="Palatino Linotype" w:hAnsi="Palatino Linotype" w:cstheme="minorHAnsi"/>
        </w:rPr>
        <w:t xml:space="preserve">submit to the Compliance Monitor and to </w:t>
      </w:r>
      <w:hyperlink w:history="1" r:id="rId9">
        <w:r w:rsidRPr="00E0262F">
          <w:rPr>
            <w:rStyle w:val="Hyperlink"/>
            <w:rFonts w:ascii="Palatino Linotype" w:hAnsi="Palatino Linotype" w:cstheme="minorHAnsi"/>
          </w:rPr>
          <w:t>cdcompliance@cpuc.ca.gov</w:t>
        </w:r>
      </w:hyperlink>
      <w:r w:rsidRPr="00E0262F">
        <w:rPr>
          <w:rFonts w:ascii="Palatino Linotype" w:hAnsi="Palatino Linotype" w:cstheme="minorHAnsi"/>
        </w:rPr>
        <w:t xml:space="preserve"> compliance reports in a format designed by </w:t>
      </w:r>
      <w:r w:rsidRPr="00E0262F" w:rsidR="006E74DB">
        <w:rPr>
          <w:rFonts w:ascii="Palatino Linotype" w:hAnsi="Palatino Linotype" w:cstheme="minorHAnsi"/>
        </w:rPr>
        <w:t>S</w:t>
      </w:r>
      <w:r w:rsidRPr="00E0262F">
        <w:rPr>
          <w:rFonts w:ascii="Palatino Linotype" w:hAnsi="Palatino Linotype" w:cstheme="minorHAnsi"/>
        </w:rPr>
        <w:t>taff that will be treated as public information.</w:t>
      </w:r>
      <w:r w:rsidR="00B52DC3">
        <w:rPr>
          <w:rStyle w:val="FootnoteReference"/>
          <w:rFonts w:ascii="Palatino Linotype" w:hAnsi="Palatino Linotype" w:cstheme="minorHAnsi"/>
        </w:rPr>
        <w:footnoteReference w:id="10"/>
      </w:r>
      <w:r w:rsidRPr="00E0262F">
        <w:rPr>
          <w:rFonts w:ascii="Palatino Linotype" w:hAnsi="Palatino Linotype" w:cstheme="minorHAnsi"/>
        </w:rPr>
        <w:t xml:space="preserve"> </w:t>
      </w:r>
    </w:p>
    <w:p w:rsidR="004965D0" w:rsidP="006E0B46" w:rsidRDefault="004965D0" w14:paraId="4A636557" w14:textId="77777777">
      <w:pPr>
        <w:pStyle w:val="NoSpacing"/>
        <w:rPr>
          <w:rFonts w:ascii="Palatino Linotype" w:hAnsi="Palatino Linotype" w:cstheme="minorHAnsi"/>
        </w:rPr>
      </w:pPr>
    </w:p>
    <w:p w:rsidR="002B2482" w:rsidP="006E0B46" w:rsidRDefault="006E0B46" w14:paraId="4F079B6E" w14:textId="0EBA9111">
      <w:pPr>
        <w:pStyle w:val="NoSpacing"/>
        <w:rPr>
          <w:rFonts w:ascii="Palatino Linotype" w:hAnsi="Palatino Linotype" w:cstheme="minorHAnsi"/>
        </w:rPr>
      </w:pPr>
      <w:r w:rsidRPr="00E0262F">
        <w:rPr>
          <w:rFonts w:ascii="Palatino Linotype" w:hAnsi="Palatino Linotype" w:cstheme="minorHAnsi"/>
        </w:rPr>
        <w:t xml:space="preserve">The Compliance Monitor </w:t>
      </w:r>
      <w:r w:rsidRPr="00E0262F" w:rsidR="008D2F9B">
        <w:rPr>
          <w:rFonts w:ascii="Palatino Linotype" w:hAnsi="Palatino Linotype" w:cstheme="minorHAnsi"/>
        </w:rPr>
        <w:t>wi</w:t>
      </w:r>
      <w:r w:rsidRPr="00E0262F">
        <w:rPr>
          <w:rFonts w:ascii="Palatino Linotype" w:hAnsi="Palatino Linotype" w:cstheme="minorHAnsi"/>
        </w:rPr>
        <w:t xml:space="preserve">ll meet with </w:t>
      </w:r>
      <w:r w:rsidRPr="00E0262F" w:rsidR="006E74DB">
        <w:rPr>
          <w:rFonts w:ascii="Palatino Linotype" w:hAnsi="Palatino Linotype" w:cstheme="minorHAnsi"/>
        </w:rPr>
        <w:t>S</w:t>
      </w:r>
      <w:r w:rsidRPr="00E0262F">
        <w:rPr>
          <w:rFonts w:ascii="Palatino Linotype" w:hAnsi="Palatino Linotype" w:cstheme="minorHAnsi"/>
        </w:rPr>
        <w:t xml:space="preserve">taff at least four times per year and at other times as requested by </w:t>
      </w:r>
      <w:r w:rsidRPr="00E0262F" w:rsidR="006E74DB">
        <w:rPr>
          <w:rFonts w:ascii="Palatino Linotype" w:hAnsi="Palatino Linotype" w:cstheme="minorHAnsi"/>
        </w:rPr>
        <w:t>S</w:t>
      </w:r>
      <w:r w:rsidRPr="00E0262F">
        <w:rPr>
          <w:rFonts w:ascii="Palatino Linotype" w:hAnsi="Palatino Linotype" w:cstheme="minorHAnsi"/>
        </w:rPr>
        <w:t xml:space="preserve">taff to report on Frontier’s compliance with the terms, requirements, and conditions of this Decision and </w:t>
      </w:r>
      <w:r w:rsidRPr="00E0262F" w:rsidR="008D2F9B">
        <w:rPr>
          <w:rFonts w:ascii="Palatino Linotype" w:hAnsi="Palatino Linotype" w:cstheme="minorHAnsi"/>
        </w:rPr>
        <w:t>wi</w:t>
      </w:r>
      <w:r w:rsidRPr="00E0262F">
        <w:rPr>
          <w:rFonts w:ascii="Palatino Linotype" w:hAnsi="Palatino Linotype" w:cstheme="minorHAnsi"/>
        </w:rPr>
        <w:t xml:space="preserve">ll submit recurring (e.g., semi-annual) and </w:t>
      </w:r>
      <w:r w:rsidRPr="00E0262F" w:rsidR="008A6A98">
        <w:rPr>
          <w:rFonts w:ascii="Palatino Linotype" w:hAnsi="Palatino Linotype" w:cstheme="minorHAnsi"/>
        </w:rPr>
        <w:t>ad</w:t>
      </w:r>
      <w:r w:rsidR="008A6A98">
        <w:rPr>
          <w:rFonts w:ascii="Palatino Linotype" w:hAnsi="Palatino Linotype" w:cstheme="minorHAnsi"/>
        </w:rPr>
        <w:t>-</w:t>
      </w:r>
      <w:r w:rsidRPr="00E0262F">
        <w:rPr>
          <w:rFonts w:ascii="Palatino Linotype" w:hAnsi="Palatino Linotype" w:cstheme="minorHAnsi"/>
        </w:rPr>
        <w:t xml:space="preserve">hoc reports to </w:t>
      </w:r>
      <w:r w:rsidRPr="00E0262F" w:rsidR="006E74DB">
        <w:rPr>
          <w:rFonts w:ascii="Palatino Linotype" w:hAnsi="Palatino Linotype" w:cstheme="minorHAnsi"/>
        </w:rPr>
        <w:t>S</w:t>
      </w:r>
      <w:r w:rsidRPr="00E0262F">
        <w:rPr>
          <w:rFonts w:ascii="Palatino Linotype" w:hAnsi="Palatino Linotype" w:cstheme="minorHAnsi"/>
        </w:rPr>
        <w:t xml:space="preserve">taff regarding Frontier’s compliance with the requirements and conditions of this Decision. </w:t>
      </w:r>
    </w:p>
    <w:p w:rsidR="002B2482" w:rsidP="006E0B46" w:rsidRDefault="002B2482" w14:paraId="22909357" w14:textId="77777777">
      <w:pPr>
        <w:pStyle w:val="NoSpacing"/>
        <w:rPr>
          <w:rFonts w:ascii="Palatino Linotype" w:hAnsi="Palatino Linotype" w:cstheme="minorHAnsi"/>
        </w:rPr>
      </w:pPr>
    </w:p>
    <w:p w:rsidRPr="00E0262F" w:rsidR="006E0B46" w:rsidP="006E0B46" w:rsidRDefault="002613ED" w14:paraId="4C63FB7F" w14:textId="50D970DF">
      <w:pPr>
        <w:pStyle w:val="NoSpacing"/>
        <w:rPr>
          <w:rFonts w:ascii="Palatino Linotype" w:hAnsi="Palatino Linotype" w:cstheme="minorHAnsi"/>
        </w:rPr>
      </w:pPr>
      <w:r>
        <w:rPr>
          <w:rFonts w:ascii="Palatino Linotype" w:hAnsi="Palatino Linotype" w:cstheme="minorHAnsi"/>
        </w:rPr>
        <w:t>If</w:t>
      </w:r>
      <w:r w:rsidRPr="00E0262F" w:rsidR="006E0B46">
        <w:rPr>
          <w:rFonts w:ascii="Palatino Linotype" w:hAnsi="Palatino Linotype" w:cstheme="minorHAnsi"/>
        </w:rPr>
        <w:t xml:space="preserve"> Frontier is not in compliance with any requirement or condition, the Compliance Monitor will recommend a penalty to bring Frontier into compliance and forward findings and a recommendation to the Commission’s C</w:t>
      </w:r>
      <w:r w:rsidRPr="00E0262F" w:rsidR="00184ADB">
        <w:rPr>
          <w:rFonts w:ascii="Palatino Linotype" w:hAnsi="Palatino Linotype" w:cstheme="minorHAnsi"/>
        </w:rPr>
        <w:t>ommunications Division’s</w:t>
      </w:r>
      <w:r w:rsidRPr="00E0262F" w:rsidR="006E0B46">
        <w:rPr>
          <w:rFonts w:ascii="Palatino Linotype" w:hAnsi="Palatino Linotype" w:cstheme="minorHAnsi"/>
        </w:rPr>
        <w:t xml:space="preserve"> Director at </w:t>
      </w:r>
      <w:hyperlink w:history="1" r:id="rId10">
        <w:r w:rsidRPr="00E0262F" w:rsidR="006E0B46">
          <w:rPr>
            <w:rStyle w:val="Hyperlink"/>
            <w:rFonts w:ascii="Palatino Linotype" w:hAnsi="Palatino Linotype" w:cstheme="minorHAnsi"/>
          </w:rPr>
          <w:t>cdcompliance@cpuc.ca.gov</w:t>
        </w:r>
      </w:hyperlink>
      <w:r w:rsidRPr="00E0262F" w:rsidR="006E0B46">
        <w:rPr>
          <w:rFonts w:ascii="Palatino Linotype" w:hAnsi="Palatino Linotype" w:cstheme="minorHAnsi"/>
        </w:rPr>
        <w:t>. The Compliance Monitor can take into consideration</w:t>
      </w:r>
      <w:r w:rsidR="00CC2085">
        <w:rPr>
          <w:rFonts w:ascii="Palatino Linotype" w:hAnsi="Palatino Linotype" w:cstheme="minorHAnsi"/>
        </w:rPr>
        <w:t xml:space="preserve"> these t</w:t>
      </w:r>
      <w:r w:rsidR="00A77B75">
        <w:rPr>
          <w:rFonts w:ascii="Palatino Linotype" w:hAnsi="Palatino Linotype" w:cstheme="minorHAnsi"/>
        </w:rPr>
        <w:t>hree</w:t>
      </w:r>
      <w:r w:rsidR="00CC2085">
        <w:rPr>
          <w:rFonts w:ascii="Palatino Linotype" w:hAnsi="Palatino Linotype" w:cstheme="minorHAnsi"/>
        </w:rPr>
        <w:t xml:space="preserve"> items</w:t>
      </w:r>
      <w:r w:rsidR="00144836">
        <w:rPr>
          <w:rFonts w:ascii="Palatino Linotype" w:hAnsi="Palatino Linotype" w:cstheme="minorHAnsi"/>
        </w:rPr>
        <w:t xml:space="preserve">: </w:t>
      </w:r>
      <w:r w:rsidR="003F41F3">
        <w:rPr>
          <w:rFonts w:ascii="Palatino Linotype" w:hAnsi="Palatino Linotype" w:cstheme="minorHAnsi"/>
        </w:rPr>
        <w:t>1</w:t>
      </w:r>
      <w:r w:rsidR="00A13787">
        <w:rPr>
          <w:rFonts w:ascii="Palatino Linotype" w:hAnsi="Palatino Linotype" w:cstheme="minorHAnsi"/>
        </w:rPr>
        <w:t>)</w:t>
      </w:r>
      <w:r w:rsidR="003F41F3">
        <w:rPr>
          <w:rFonts w:ascii="Palatino Linotype" w:hAnsi="Palatino Linotype" w:cstheme="minorHAnsi"/>
        </w:rPr>
        <w:t>.</w:t>
      </w:r>
      <w:r w:rsidRPr="00E0262F" w:rsidR="006E0B46">
        <w:rPr>
          <w:rFonts w:ascii="Palatino Linotype" w:hAnsi="Palatino Linotype" w:cstheme="minorHAnsi"/>
        </w:rPr>
        <w:t xml:space="preserve"> input from the parties that settled with Frontier</w:t>
      </w:r>
      <w:r w:rsidR="00A77B75">
        <w:rPr>
          <w:rFonts w:ascii="Palatino Linotype" w:hAnsi="Palatino Linotype" w:cstheme="minorHAnsi"/>
        </w:rPr>
        <w:t>,</w:t>
      </w:r>
      <w:r w:rsidRPr="00E0262F" w:rsidR="006E0B46">
        <w:rPr>
          <w:rFonts w:ascii="Palatino Linotype" w:hAnsi="Palatino Linotype" w:cstheme="minorHAnsi"/>
        </w:rPr>
        <w:t xml:space="preserve"> </w:t>
      </w:r>
      <w:r w:rsidR="003F41F3">
        <w:rPr>
          <w:rFonts w:ascii="Palatino Linotype" w:hAnsi="Palatino Linotype" w:cstheme="minorHAnsi"/>
        </w:rPr>
        <w:t>2</w:t>
      </w:r>
      <w:r w:rsidR="00A13787">
        <w:rPr>
          <w:rFonts w:ascii="Palatino Linotype" w:hAnsi="Palatino Linotype" w:cstheme="minorHAnsi"/>
        </w:rPr>
        <w:t>)</w:t>
      </w:r>
      <w:r w:rsidR="003F41F3">
        <w:rPr>
          <w:rFonts w:ascii="Palatino Linotype" w:hAnsi="Palatino Linotype" w:cstheme="minorHAnsi"/>
        </w:rPr>
        <w:t xml:space="preserve">. </w:t>
      </w:r>
      <w:r w:rsidR="00FE3FD9">
        <w:rPr>
          <w:rFonts w:ascii="Palatino Linotype" w:hAnsi="Palatino Linotype" w:cstheme="minorHAnsi"/>
        </w:rPr>
        <w:t>g</w:t>
      </w:r>
      <w:r w:rsidR="003F41F3">
        <w:rPr>
          <w:rFonts w:ascii="Palatino Linotype" w:hAnsi="Palatino Linotype" w:cstheme="minorHAnsi"/>
        </w:rPr>
        <w:t>uidelines from</w:t>
      </w:r>
      <w:r w:rsidR="00FE3FD9">
        <w:rPr>
          <w:rFonts w:ascii="Palatino Linotype" w:hAnsi="Palatino Linotype" w:cstheme="minorHAnsi"/>
        </w:rPr>
        <w:t xml:space="preserve"> </w:t>
      </w:r>
      <w:r w:rsidR="00E218CA">
        <w:rPr>
          <w:rFonts w:ascii="Palatino Linotype" w:hAnsi="Palatino Linotype" w:cstheme="minorHAnsi"/>
        </w:rPr>
        <w:t>M</w:t>
      </w:r>
      <w:r w:rsidR="00FE3FD9">
        <w:rPr>
          <w:rFonts w:ascii="Palatino Linotype" w:hAnsi="Palatino Linotype" w:cstheme="minorHAnsi"/>
        </w:rPr>
        <w:t>-4846</w:t>
      </w:r>
      <w:r w:rsidR="00E218CA">
        <w:rPr>
          <w:rFonts w:ascii="Palatino Linotype" w:hAnsi="Palatino Linotype" w:cstheme="minorHAnsi"/>
        </w:rPr>
        <w:t>,</w:t>
      </w:r>
      <w:r w:rsidR="00A77B75">
        <w:rPr>
          <w:rFonts w:ascii="Palatino Linotype" w:hAnsi="Palatino Linotype" w:cstheme="minorHAnsi"/>
        </w:rPr>
        <w:t xml:space="preserve"> and 3</w:t>
      </w:r>
      <w:r w:rsidR="00A13787">
        <w:rPr>
          <w:rFonts w:ascii="Palatino Linotype" w:hAnsi="Palatino Linotype" w:cstheme="minorHAnsi"/>
        </w:rPr>
        <w:t>)</w:t>
      </w:r>
      <w:r w:rsidR="00A77B75">
        <w:rPr>
          <w:rFonts w:ascii="Palatino Linotype" w:hAnsi="Palatino Linotype" w:cstheme="minorHAnsi"/>
        </w:rPr>
        <w:t xml:space="preserve">. </w:t>
      </w:r>
      <w:r w:rsidR="00870B1B">
        <w:rPr>
          <w:rFonts w:ascii="Palatino Linotype" w:hAnsi="Palatino Linotype" w:cstheme="minorHAnsi"/>
        </w:rPr>
        <w:t>the consequences delineated in this Resolution</w:t>
      </w:r>
      <w:r w:rsidR="00A77B75">
        <w:rPr>
          <w:rFonts w:ascii="Palatino Linotype" w:hAnsi="Palatino Linotype" w:cstheme="minorHAnsi"/>
        </w:rPr>
        <w:t>,</w:t>
      </w:r>
      <w:r w:rsidR="00E218CA">
        <w:rPr>
          <w:rFonts w:ascii="Palatino Linotype" w:hAnsi="Palatino Linotype" w:cstheme="minorHAnsi"/>
        </w:rPr>
        <w:t xml:space="preserve"> </w:t>
      </w:r>
      <w:r w:rsidRPr="00E0262F" w:rsidR="006E0B46">
        <w:rPr>
          <w:rFonts w:ascii="Palatino Linotype" w:hAnsi="Palatino Linotype" w:cstheme="minorHAnsi"/>
        </w:rPr>
        <w:t xml:space="preserve">in devising its recommendations to the Commission’s </w:t>
      </w:r>
      <w:r w:rsidRPr="00E0262F" w:rsidR="00184ADB">
        <w:rPr>
          <w:rFonts w:ascii="Palatino Linotype" w:hAnsi="Palatino Linotype" w:cstheme="minorHAnsi"/>
        </w:rPr>
        <w:t>Communications Division’s</w:t>
      </w:r>
      <w:r w:rsidRPr="00E0262F" w:rsidR="006E0B46">
        <w:rPr>
          <w:rFonts w:ascii="Palatino Linotype" w:hAnsi="Palatino Linotype" w:cstheme="minorHAnsi"/>
        </w:rPr>
        <w:t xml:space="preserve"> Director.</w:t>
      </w:r>
    </w:p>
    <w:p w:rsidR="00870B1B" w:rsidP="00782BC7" w:rsidRDefault="00870B1B" w14:paraId="67D7FDA1" w14:textId="77777777">
      <w:pPr>
        <w:pStyle w:val="NoSpacing"/>
        <w:rPr>
          <w:rFonts w:ascii="Palatino Linotype" w:hAnsi="Palatino Linotype" w:cstheme="minorHAnsi"/>
        </w:rPr>
      </w:pPr>
    </w:p>
    <w:p w:rsidRPr="00E0262F" w:rsidR="006E0B46" w:rsidP="00794756" w:rsidRDefault="006E0B46" w14:paraId="32B417F2" w14:textId="3ECB6D93">
      <w:pPr>
        <w:pStyle w:val="NoSpacing"/>
        <w:numPr>
          <w:ilvl w:val="0"/>
          <w:numId w:val="22"/>
        </w:numPr>
        <w:rPr>
          <w:rStyle w:val="IntenseEmphasis"/>
          <w:rFonts w:ascii="Palatino Linotype" w:hAnsi="Palatino Linotype"/>
        </w:rPr>
      </w:pPr>
      <w:r w:rsidRPr="00E0262F">
        <w:rPr>
          <w:rStyle w:val="IntenseEmphasis"/>
          <w:rFonts w:ascii="Palatino Linotype" w:hAnsi="Palatino Linotype"/>
        </w:rPr>
        <w:lastRenderedPageBreak/>
        <w:t>Involvement of Parties Settling with Frontier</w:t>
      </w:r>
    </w:p>
    <w:p w:rsidRPr="00E0262F" w:rsidR="006E0B46" w:rsidP="006E0B46" w:rsidRDefault="006E0B46" w14:paraId="42076C77" w14:textId="6FE25979">
      <w:pPr>
        <w:pStyle w:val="NoSpacing"/>
        <w:rPr>
          <w:rFonts w:ascii="Palatino Linotype" w:hAnsi="Palatino Linotype" w:cstheme="minorHAnsi"/>
        </w:rPr>
      </w:pPr>
      <w:r w:rsidRPr="00E0262F">
        <w:rPr>
          <w:rFonts w:ascii="Palatino Linotype" w:hAnsi="Palatino Linotype" w:cstheme="minorHAnsi"/>
        </w:rPr>
        <w:t xml:space="preserve">The Settlement Agreements established in detail the roles and responsibilities of the </w:t>
      </w:r>
      <w:r w:rsidRPr="00E0262F" w:rsidR="00EF7C0C">
        <w:rPr>
          <w:rFonts w:ascii="Palatino Linotype" w:hAnsi="Palatino Linotype" w:cstheme="minorHAnsi"/>
        </w:rPr>
        <w:t>S</w:t>
      </w:r>
      <w:r w:rsidRPr="00E0262F">
        <w:rPr>
          <w:rFonts w:ascii="Palatino Linotype" w:hAnsi="Palatino Linotype" w:cstheme="minorHAnsi"/>
        </w:rPr>
        <w:t xml:space="preserve">ettling </w:t>
      </w:r>
      <w:r w:rsidRPr="00E0262F" w:rsidR="00EF7C0C">
        <w:rPr>
          <w:rFonts w:ascii="Palatino Linotype" w:hAnsi="Palatino Linotype" w:cstheme="minorHAnsi"/>
        </w:rPr>
        <w:t xml:space="preserve">Parties </w:t>
      </w:r>
      <w:r w:rsidRPr="00E0262F">
        <w:rPr>
          <w:rFonts w:ascii="Palatino Linotype" w:hAnsi="Palatino Linotype" w:cstheme="minorHAnsi"/>
        </w:rPr>
        <w:t xml:space="preserve">in terms of monitoring, collaborating, and engaging with Frontier. We encourage </w:t>
      </w:r>
      <w:r w:rsidRPr="00E0262F" w:rsidR="00A83F4F">
        <w:rPr>
          <w:rFonts w:ascii="Palatino Linotype" w:hAnsi="Palatino Linotype" w:cstheme="minorHAnsi"/>
        </w:rPr>
        <w:t xml:space="preserve">the Settling Parties </w:t>
      </w:r>
      <w:r w:rsidRPr="00E0262F">
        <w:rPr>
          <w:rFonts w:ascii="Palatino Linotype" w:hAnsi="Palatino Linotype" w:cstheme="minorHAnsi"/>
        </w:rPr>
        <w:t xml:space="preserve">to independently resolve their issues to the best of their abilities. </w:t>
      </w:r>
      <w:r w:rsidRPr="00E0262F" w:rsidR="00AC29FE">
        <w:rPr>
          <w:rFonts w:ascii="Palatino Linotype" w:hAnsi="Palatino Linotype" w:cstheme="minorHAnsi"/>
        </w:rPr>
        <w:t xml:space="preserve">Settling </w:t>
      </w:r>
      <w:r w:rsidRPr="00E0262F">
        <w:rPr>
          <w:rFonts w:ascii="Palatino Linotype" w:hAnsi="Palatino Linotype" w:cstheme="minorHAnsi"/>
        </w:rPr>
        <w:t xml:space="preserve">Parties </w:t>
      </w:r>
      <w:r w:rsidR="00324DBF">
        <w:rPr>
          <w:rFonts w:ascii="Palatino Linotype" w:hAnsi="Palatino Linotype" w:cstheme="minorHAnsi"/>
        </w:rPr>
        <w:t xml:space="preserve">also </w:t>
      </w:r>
      <w:r w:rsidRPr="00E0262F">
        <w:rPr>
          <w:rFonts w:ascii="Palatino Linotype" w:hAnsi="Palatino Linotype" w:cstheme="minorHAnsi"/>
        </w:rPr>
        <w:t xml:space="preserve">have the option of suggesting consequences to the Compliance Monitor for each obligation that Frontier has not fulfilled beyond those consequences as specified </w:t>
      </w:r>
      <w:r w:rsidRPr="00E0262F" w:rsidR="00FF2B19">
        <w:rPr>
          <w:rFonts w:ascii="Palatino Linotype" w:hAnsi="Palatino Linotype" w:cstheme="minorHAnsi"/>
        </w:rPr>
        <w:t>above</w:t>
      </w:r>
      <w:r w:rsidRPr="00E0262F">
        <w:rPr>
          <w:rFonts w:ascii="Palatino Linotype" w:hAnsi="Palatino Linotype" w:cstheme="minorHAnsi"/>
        </w:rPr>
        <w:t xml:space="preserve">. </w:t>
      </w:r>
      <w:r w:rsidR="004460B6">
        <w:rPr>
          <w:rFonts w:ascii="Palatino Linotype" w:hAnsi="Palatino Linotype" w:cstheme="minorHAnsi"/>
        </w:rPr>
        <w:t>When</w:t>
      </w:r>
      <w:r w:rsidRPr="00E0262F">
        <w:rPr>
          <w:rFonts w:ascii="Palatino Linotype" w:hAnsi="Palatino Linotype" w:cstheme="minorHAnsi"/>
        </w:rPr>
        <w:t xml:space="preserve"> suggesting additional consequences to the Compliance Monitor, these </w:t>
      </w:r>
      <w:r w:rsidRPr="00E0262F" w:rsidR="00AC29FE">
        <w:rPr>
          <w:rFonts w:ascii="Palatino Linotype" w:hAnsi="Palatino Linotype" w:cstheme="minorHAnsi"/>
        </w:rPr>
        <w:t xml:space="preserve">Settling Parties </w:t>
      </w:r>
      <w:r w:rsidRPr="00E0262F">
        <w:rPr>
          <w:rFonts w:ascii="Palatino Linotype" w:hAnsi="Palatino Linotype" w:cstheme="minorHAnsi"/>
        </w:rPr>
        <w:t>would need to provide supporting documentation and justification to the Compliance Monitor. The Compliance Monitor will then verify the assertion of Frontier’s failure to fulfill the corresponding obligation.</w:t>
      </w:r>
    </w:p>
    <w:p w:rsidRPr="00E0262F" w:rsidR="006E0B46" w:rsidP="006E0B46" w:rsidRDefault="006E0B46" w14:paraId="1BB47A51" w14:textId="77777777">
      <w:pPr>
        <w:pStyle w:val="NoSpacing"/>
        <w:rPr>
          <w:rFonts w:ascii="Palatino Linotype" w:hAnsi="Palatino Linotype" w:cstheme="minorHAnsi"/>
        </w:rPr>
      </w:pPr>
    </w:p>
    <w:p w:rsidRPr="00E0262F" w:rsidR="006E0B46" w:rsidP="006E0B46" w:rsidRDefault="006E0B46" w14:paraId="31D8EAFF" w14:textId="598F78F5">
      <w:pPr>
        <w:pStyle w:val="NoSpacing"/>
        <w:rPr>
          <w:rFonts w:ascii="Palatino Linotype" w:hAnsi="Palatino Linotype" w:cstheme="minorHAnsi"/>
        </w:rPr>
      </w:pPr>
      <w:r w:rsidRPr="00E0262F">
        <w:rPr>
          <w:rFonts w:ascii="Palatino Linotype" w:hAnsi="Palatino Linotype" w:cstheme="minorHAnsi"/>
        </w:rPr>
        <w:t xml:space="preserve">The </w:t>
      </w:r>
      <w:r w:rsidRPr="00E0262F" w:rsidR="00B7746F">
        <w:rPr>
          <w:rFonts w:ascii="Palatino Linotype" w:hAnsi="Palatino Linotype" w:cstheme="minorHAnsi"/>
        </w:rPr>
        <w:t xml:space="preserve">Settling Parties </w:t>
      </w:r>
      <w:r w:rsidRPr="00E0262F">
        <w:rPr>
          <w:rFonts w:ascii="Palatino Linotype" w:hAnsi="Palatino Linotype" w:cstheme="minorHAnsi"/>
        </w:rPr>
        <w:t>also have the ability to pursue remedies of their own accord</w:t>
      </w:r>
      <w:r w:rsidR="00F97866">
        <w:rPr>
          <w:rFonts w:ascii="Palatino Linotype" w:hAnsi="Palatino Linotype" w:cstheme="minorHAnsi"/>
        </w:rPr>
        <w:t xml:space="preserve"> with the Commission instead of with the Compliance Monitor</w:t>
      </w:r>
      <w:r w:rsidRPr="00E0262F">
        <w:rPr>
          <w:rFonts w:ascii="Palatino Linotype" w:hAnsi="Palatino Linotype" w:cstheme="minorHAnsi"/>
        </w:rPr>
        <w:t>, as they deem appropriate.</w:t>
      </w:r>
      <w:r w:rsidRPr="00E0262F" w:rsidR="004B3BBA">
        <w:rPr>
          <w:rStyle w:val="FootnoteReference"/>
          <w:rFonts w:ascii="Palatino Linotype" w:hAnsi="Palatino Linotype" w:cstheme="minorHAnsi"/>
        </w:rPr>
        <w:footnoteReference w:id="11"/>
      </w:r>
      <w:r w:rsidRPr="00E0262F">
        <w:rPr>
          <w:rFonts w:ascii="Palatino Linotype" w:hAnsi="Palatino Linotype" w:cstheme="minorHAnsi"/>
        </w:rPr>
        <w:t xml:space="preserve"> If Frontier fails to perform its respective obligations under any of the Settlement Agreements, after reasonable notice and opportunity to cure its default, any other Party to the Settlement Agreements may come before the Commission to pursue a remedy, including enforcement. As duly recognized in each of the Settlement Agreements, the Commission has plenary authority to enforce the Settlement Agreements and its own rules.</w:t>
      </w:r>
    </w:p>
    <w:p w:rsidRPr="00E0262F" w:rsidR="006E0B46" w:rsidP="006E0B46" w:rsidRDefault="006E0B46" w14:paraId="14C565E9" w14:textId="77777777">
      <w:pPr>
        <w:pStyle w:val="NoSpacing"/>
        <w:rPr>
          <w:rFonts w:ascii="Palatino Linotype" w:hAnsi="Palatino Linotype" w:cstheme="minorHAnsi"/>
        </w:rPr>
      </w:pPr>
    </w:p>
    <w:p w:rsidRPr="00E0262F" w:rsidR="006E0B46" w:rsidP="00794756" w:rsidRDefault="006E0B46" w14:paraId="69BC0357" w14:textId="44BF66F6">
      <w:pPr>
        <w:pStyle w:val="NoSpacing"/>
        <w:numPr>
          <w:ilvl w:val="0"/>
          <w:numId w:val="22"/>
        </w:numPr>
        <w:rPr>
          <w:rStyle w:val="IntenseEmphasis"/>
          <w:rFonts w:ascii="Palatino Linotype" w:hAnsi="Palatino Linotype"/>
          <w:i w:val="0"/>
          <w:iCs w:val="0"/>
        </w:rPr>
      </w:pPr>
      <w:r w:rsidRPr="00E0262F">
        <w:rPr>
          <w:rStyle w:val="IntenseEmphasis"/>
          <w:rFonts w:ascii="Palatino Linotype" w:hAnsi="Palatino Linotype"/>
        </w:rPr>
        <w:t>Notifying Frontier of Payments that are Due</w:t>
      </w:r>
      <w:r w:rsidRPr="00E0262F" w:rsidR="000F08B9">
        <w:rPr>
          <w:rStyle w:val="FootnoteReference"/>
          <w:rFonts w:ascii="Palatino Linotype" w:hAnsi="Palatino Linotype"/>
          <w:i/>
          <w:iCs/>
          <w:color w:val="4472C4" w:themeColor="accent1"/>
        </w:rPr>
        <w:footnoteReference w:id="12"/>
      </w:r>
    </w:p>
    <w:p w:rsidRPr="00E0262F" w:rsidR="00FC2ABE" w:rsidP="40E2A38E" w:rsidRDefault="00FC2ABE" w14:paraId="3A58267F" w14:textId="70202E89">
      <w:pPr>
        <w:pStyle w:val="NoSpacing"/>
        <w:rPr>
          <w:rFonts w:ascii="Palatino Linotype" w:hAnsi="Palatino Linotype" w:cstheme="minorBidi"/>
        </w:rPr>
      </w:pPr>
      <w:r w:rsidRPr="40E2A38E">
        <w:rPr>
          <w:rFonts w:ascii="Palatino Linotype" w:hAnsi="Palatino Linotype" w:cstheme="minorBidi"/>
        </w:rPr>
        <w:t>Staff will primarily use written communications to notify Frontier of payments that are due.</w:t>
      </w:r>
      <w:r w:rsidRPr="00E0262F" w:rsidR="00893505">
        <w:rPr>
          <w:rStyle w:val="FootnoteReference"/>
          <w:rFonts w:ascii="Palatino Linotype" w:hAnsi="Palatino Linotype" w:cstheme="minorHAnsi"/>
        </w:rPr>
        <w:footnoteReference w:id="13"/>
      </w:r>
      <w:r w:rsidRPr="40E2A38E">
        <w:rPr>
          <w:rFonts w:ascii="Palatino Linotype" w:hAnsi="Palatino Linotype" w:cstheme="minorBidi"/>
        </w:rPr>
        <w:t xml:space="preserve"> Staff may issue a Warning Letter or email, citation, Notice of Violation or refer a case for other enforcement</w:t>
      </w:r>
      <w:r w:rsidR="00532731">
        <w:rPr>
          <w:rFonts w:ascii="Palatino Linotype" w:hAnsi="Palatino Linotype" w:cstheme="minorBidi"/>
        </w:rPr>
        <w:t xml:space="preserve"> action</w:t>
      </w:r>
      <w:r w:rsidRPr="40E2A38E">
        <w:rPr>
          <w:rFonts w:ascii="Palatino Linotype" w:hAnsi="Palatino Linotype" w:cstheme="minorBidi"/>
        </w:rPr>
        <w:t>.</w:t>
      </w:r>
    </w:p>
    <w:p w:rsidRPr="00E0262F" w:rsidR="00FC2ABE" w:rsidP="006E0B46" w:rsidRDefault="00FC2ABE" w14:paraId="20062869" w14:textId="77777777">
      <w:pPr>
        <w:pStyle w:val="NoSpacing"/>
        <w:rPr>
          <w:rFonts w:ascii="Palatino Linotype" w:hAnsi="Palatino Linotype" w:cstheme="minorHAnsi"/>
        </w:rPr>
      </w:pPr>
    </w:p>
    <w:p w:rsidRPr="00794756" w:rsidR="00B16F8A" w:rsidP="00FA03E4" w:rsidRDefault="00B16F8A" w14:paraId="1E64DD30" w14:textId="2BB36D87">
      <w:pPr>
        <w:pStyle w:val="NoSpacing"/>
        <w:numPr>
          <w:ilvl w:val="0"/>
          <w:numId w:val="23"/>
        </w:numPr>
        <w:ind w:left="1080"/>
        <w:rPr>
          <w:rFonts w:ascii="Palatino Linotype" w:hAnsi="Palatino Linotype" w:cstheme="minorHAnsi"/>
        </w:rPr>
      </w:pPr>
      <w:r w:rsidRPr="00E0262F">
        <w:rPr>
          <w:rFonts w:ascii="Palatino Linotype" w:hAnsi="Palatino Linotype" w:cstheme="minorHAnsi"/>
          <w:color w:val="4472C4" w:themeColor="accent1"/>
          <w:u w:val="single"/>
        </w:rPr>
        <w:t>In Person or Telephone Communications</w:t>
      </w:r>
    </w:p>
    <w:p w:rsidRPr="00E0262F" w:rsidR="00EB1874" w:rsidP="00EB1874" w:rsidRDefault="00EB1874" w14:paraId="3E51E155" w14:textId="77777777">
      <w:pPr>
        <w:pStyle w:val="NoSpacing"/>
        <w:rPr>
          <w:rFonts w:ascii="Palatino Linotype" w:hAnsi="Palatino Linotype" w:cstheme="minorHAnsi"/>
          <w:b/>
          <w:bCs/>
        </w:rPr>
      </w:pPr>
      <w:r w:rsidRPr="00E0262F">
        <w:rPr>
          <w:rFonts w:ascii="Palatino Linotype" w:hAnsi="Palatino Linotype" w:cstheme="minorHAnsi"/>
        </w:rPr>
        <w:t xml:space="preserve">Staff may, but is not required to, inform regulated entities in person or by telephone of violations or of violations that must be corrected. Staff may also orally inform regulated entities of weaknesses, safety concerns, or opportunities for improvement that are not violations but should be corrected to avoid a violation or to reduce safety risk. Staff will keep a detailed written record of such oral communications with the regulated entity in the case file. The minimum requirements for documenting an oral communication with a regulated entity are: </w:t>
      </w:r>
    </w:p>
    <w:p w:rsidRPr="00E0262F" w:rsidR="00EB1874" w:rsidP="00EB1874" w:rsidRDefault="00EB1874" w14:paraId="663E4B2D" w14:textId="77777777">
      <w:pPr>
        <w:pStyle w:val="NoSpacing"/>
        <w:numPr>
          <w:ilvl w:val="0"/>
          <w:numId w:val="9"/>
        </w:numPr>
        <w:rPr>
          <w:rFonts w:ascii="Palatino Linotype" w:hAnsi="Palatino Linotype" w:cstheme="minorHAnsi"/>
          <w:b/>
          <w:bCs/>
        </w:rPr>
      </w:pPr>
      <w:r w:rsidRPr="00E0262F">
        <w:rPr>
          <w:rFonts w:ascii="Palatino Linotype" w:hAnsi="Palatino Linotype" w:cstheme="minorHAnsi"/>
        </w:rPr>
        <w:t xml:space="preserve">Date and time of the communication; </w:t>
      </w:r>
    </w:p>
    <w:p w:rsidRPr="00E0262F" w:rsidR="00EB1874" w:rsidP="00EB1874" w:rsidRDefault="00EB1874" w14:paraId="7ED6DA41" w14:textId="77777777">
      <w:pPr>
        <w:pStyle w:val="NoSpacing"/>
        <w:numPr>
          <w:ilvl w:val="0"/>
          <w:numId w:val="9"/>
        </w:numPr>
        <w:rPr>
          <w:rFonts w:ascii="Palatino Linotype" w:hAnsi="Palatino Linotype" w:cstheme="minorHAnsi"/>
          <w:b/>
          <w:bCs/>
        </w:rPr>
      </w:pPr>
      <w:r w:rsidRPr="00E0262F">
        <w:rPr>
          <w:rFonts w:ascii="Palatino Linotype" w:hAnsi="Palatino Linotype" w:cstheme="minorHAnsi"/>
        </w:rPr>
        <w:t xml:space="preserve">The name of the Staff member[s] and the representative[s] of the regulated entity involved in the communication; </w:t>
      </w:r>
    </w:p>
    <w:p w:rsidRPr="00E0262F" w:rsidR="00EB1874" w:rsidP="00EB1874" w:rsidRDefault="00EB1874" w14:paraId="137FF8CF" w14:textId="77777777">
      <w:pPr>
        <w:pStyle w:val="NoSpacing"/>
        <w:numPr>
          <w:ilvl w:val="0"/>
          <w:numId w:val="9"/>
        </w:numPr>
        <w:rPr>
          <w:rFonts w:ascii="Palatino Linotype" w:hAnsi="Palatino Linotype" w:cstheme="minorHAnsi"/>
          <w:b/>
          <w:bCs/>
        </w:rPr>
      </w:pPr>
      <w:r w:rsidRPr="00E0262F">
        <w:rPr>
          <w:rFonts w:ascii="Palatino Linotype" w:hAnsi="Palatino Linotype" w:cstheme="minorHAnsi"/>
        </w:rPr>
        <w:lastRenderedPageBreak/>
        <w:t xml:space="preserve">The violation, weakness, safety concern, or opportunity for improvement that was discussed; </w:t>
      </w:r>
    </w:p>
    <w:p w:rsidRPr="00E0262F" w:rsidR="00EB1874" w:rsidP="00EB1874" w:rsidRDefault="00EB1874" w14:paraId="2F78E728" w14:textId="77777777">
      <w:pPr>
        <w:pStyle w:val="NoSpacing"/>
        <w:numPr>
          <w:ilvl w:val="0"/>
          <w:numId w:val="9"/>
        </w:numPr>
        <w:rPr>
          <w:rFonts w:ascii="Palatino Linotype" w:hAnsi="Palatino Linotype" w:cstheme="minorHAnsi"/>
          <w:b/>
          <w:bCs/>
        </w:rPr>
      </w:pPr>
      <w:r w:rsidRPr="00E0262F">
        <w:rPr>
          <w:rFonts w:ascii="Palatino Linotype" w:hAnsi="Palatino Linotype" w:cstheme="minorHAnsi"/>
        </w:rPr>
        <w:t xml:space="preserve">Actions for correcting the violation or addressing the weakness, safety concern, or opportunity for improvement that were discussed, including required timeframes for completing such actions; </w:t>
      </w:r>
    </w:p>
    <w:p w:rsidRPr="00E0262F" w:rsidR="00EB1874" w:rsidP="00EB1874" w:rsidRDefault="00EB1874" w14:paraId="4C48A7B9" w14:textId="77777777">
      <w:pPr>
        <w:pStyle w:val="NoSpacing"/>
        <w:numPr>
          <w:ilvl w:val="0"/>
          <w:numId w:val="9"/>
        </w:numPr>
        <w:rPr>
          <w:rFonts w:ascii="Palatino Linotype" w:hAnsi="Palatino Linotype" w:cstheme="minorHAnsi"/>
          <w:b/>
          <w:bCs/>
        </w:rPr>
      </w:pPr>
      <w:r w:rsidRPr="00E0262F">
        <w:rPr>
          <w:rFonts w:ascii="Palatino Linotype" w:hAnsi="Palatino Linotype" w:cstheme="minorHAnsi"/>
        </w:rPr>
        <w:t xml:space="preserve">The regulated entity’s response to the communication of the violation, weakness, safety concern, or opportunity for improvement; and </w:t>
      </w:r>
    </w:p>
    <w:p w:rsidRPr="00E0262F" w:rsidR="00EB1874" w:rsidP="00EB1874" w:rsidRDefault="00EB1874" w14:paraId="1A5734E8" w14:textId="77777777">
      <w:pPr>
        <w:pStyle w:val="NoSpacing"/>
        <w:numPr>
          <w:ilvl w:val="0"/>
          <w:numId w:val="9"/>
        </w:numPr>
        <w:rPr>
          <w:rFonts w:ascii="Palatino Linotype" w:hAnsi="Palatino Linotype" w:cstheme="minorHAnsi"/>
          <w:b/>
          <w:bCs/>
        </w:rPr>
      </w:pPr>
      <w:r w:rsidRPr="00E0262F">
        <w:rPr>
          <w:rFonts w:ascii="Palatino Linotype" w:hAnsi="Palatino Linotype" w:cstheme="minorHAnsi"/>
        </w:rPr>
        <w:t xml:space="preserve">The evaluation of whether the response is sufficient and/or warrants a follow-up investigation. </w:t>
      </w:r>
    </w:p>
    <w:p w:rsidR="002A0E7B" w:rsidP="00BF4C9E" w:rsidRDefault="002A0E7B" w14:paraId="73A2BF1C" w14:textId="77777777">
      <w:pPr>
        <w:pStyle w:val="NoSpacing"/>
        <w:rPr>
          <w:rFonts w:ascii="Palatino Linotype" w:hAnsi="Palatino Linotype" w:cstheme="minorHAnsi"/>
        </w:rPr>
      </w:pPr>
    </w:p>
    <w:p w:rsidR="00F906BC" w:rsidP="00BF4C9E" w:rsidRDefault="00EB1874" w14:paraId="6EF59937" w14:textId="3784905B">
      <w:pPr>
        <w:pStyle w:val="NoSpacing"/>
        <w:rPr>
          <w:rFonts w:ascii="Palatino Linotype" w:hAnsi="Palatino Linotype" w:cstheme="minorHAnsi"/>
        </w:rPr>
      </w:pPr>
      <w:r w:rsidRPr="00E0262F">
        <w:rPr>
          <w:rFonts w:ascii="Palatino Linotype" w:hAnsi="Palatino Linotype" w:cstheme="minorHAnsi"/>
        </w:rPr>
        <w:t>All oral communications will be memorialized in a warning email or letter, Notice of Violation, or other written communication. Oral communications are not required in every case.</w:t>
      </w:r>
    </w:p>
    <w:p w:rsidRPr="00794756" w:rsidR="00BF4C9E" w:rsidP="00794756" w:rsidRDefault="00BF4C9E" w14:paraId="719C88A6" w14:textId="77777777">
      <w:pPr>
        <w:pStyle w:val="NoSpacing"/>
        <w:rPr>
          <w:rFonts w:ascii="Palatino Linotype" w:hAnsi="Palatino Linotype" w:cstheme="minorHAnsi"/>
        </w:rPr>
      </w:pPr>
    </w:p>
    <w:p w:rsidRPr="00794756" w:rsidR="008647E3" w:rsidP="00FA03E4" w:rsidRDefault="008647E3" w14:paraId="1D7D9156" w14:textId="0E6BFC16">
      <w:pPr>
        <w:pStyle w:val="NoSpacing"/>
        <w:numPr>
          <w:ilvl w:val="0"/>
          <w:numId w:val="23"/>
        </w:numPr>
        <w:ind w:left="1080"/>
        <w:rPr>
          <w:rFonts w:ascii="Palatino Linotype" w:hAnsi="Palatino Linotype" w:cstheme="minorHAnsi"/>
        </w:rPr>
      </w:pPr>
      <w:r w:rsidRPr="00E0262F">
        <w:rPr>
          <w:rFonts w:ascii="Palatino Linotype" w:hAnsi="Palatino Linotype" w:cstheme="minorHAnsi"/>
          <w:color w:val="4472C4" w:themeColor="accent1"/>
          <w:u w:val="single"/>
        </w:rPr>
        <w:t>Warning Letter or Email</w:t>
      </w:r>
      <w:r w:rsidRPr="00E0262F" w:rsidR="00BF4C9E">
        <w:rPr>
          <w:rStyle w:val="FootnoteReference"/>
          <w:rFonts w:ascii="Palatino Linotype" w:hAnsi="Palatino Linotype" w:cstheme="minorHAnsi"/>
          <w:color w:val="4472C4" w:themeColor="accent1"/>
        </w:rPr>
        <w:footnoteReference w:id="14"/>
      </w:r>
    </w:p>
    <w:p w:rsidRPr="00E0262F" w:rsidR="00E36D67" w:rsidP="00E36D67" w:rsidRDefault="00E36D67" w14:paraId="6AD07D07" w14:textId="77777777">
      <w:pPr>
        <w:pStyle w:val="NoSpacing"/>
        <w:rPr>
          <w:rFonts w:ascii="Palatino Linotype" w:hAnsi="Palatino Linotype" w:cstheme="minorHAnsi"/>
          <w:b/>
          <w:bCs/>
        </w:rPr>
      </w:pPr>
      <w:r w:rsidRPr="00E0262F">
        <w:rPr>
          <w:rFonts w:ascii="Palatino Linotype" w:hAnsi="Palatino Linotype" w:cstheme="minorHAnsi"/>
        </w:rPr>
        <w:t xml:space="preserve">Staff may send a regulated entity a letter or an email that identifies program weaknesses, safety concerns, or opportunities for improvement. A Warning Letter or Email should only be sent to a regulated entity to address issues that are not being cited as violations but should be corrected to avoid a citation or Notice of Violation or to reduce a safety risk. Staff will verify delivery of the Warning Letter or Email using a Proof of Service form. A Warning Letter or Email will be placed in the regulated entity case file and recorded in the enforcement database and will include the following: </w:t>
      </w:r>
    </w:p>
    <w:p w:rsidRPr="00E0262F" w:rsidR="00E36D67" w:rsidP="00794756" w:rsidRDefault="00E36D67" w14:paraId="5B596BB4" w14:textId="77777777">
      <w:pPr>
        <w:pStyle w:val="NoSpacing"/>
        <w:numPr>
          <w:ilvl w:val="0"/>
          <w:numId w:val="7"/>
        </w:numPr>
        <w:ind w:left="1440" w:hanging="360"/>
        <w:rPr>
          <w:rFonts w:ascii="Palatino Linotype" w:hAnsi="Palatino Linotype" w:cstheme="minorHAnsi"/>
          <w:b/>
          <w:bCs/>
        </w:rPr>
      </w:pPr>
      <w:r w:rsidRPr="00E0262F">
        <w:rPr>
          <w:rFonts w:ascii="Palatino Linotype" w:hAnsi="Palatino Linotype" w:cstheme="minorHAnsi"/>
        </w:rPr>
        <w:t xml:space="preserve">The date the letter or email was sent; </w:t>
      </w:r>
    </w:p>
    <w:p w:rsidRPr="00E0262F" w:rsidR="00E36D67" w:rsidP="00794756" w:rsidRDefault="00E36D67" w14:paraId="1085C377" w14:textId="77777777">
      <w:pPr>
        <w:pStyle w:val="NoSpacing"/>
        <w:numPr>
          <w:ilvl w:val="0"/>
          <w:numId w:val="7"/>
        </w:numPr>
        <w:ind w:left="1440" w:hanging="360"/>
        <w:rPr>
          <w:rFonts w:ascii="Palatino Linotype" w:hAnsi="Palatino Linotype" w:cstheme="minorHAnsi"/>
          <w:b/>
          <w:bCs/>
        </w:rPr>
      </w:pPr>
      <w:r w:rsidRPr="00E0262F">
        <w:rPr>
          <w:rFonts w:ascii="Palatino Linotype" w:hAnsi="Palatino Linotype" w:cstheme="minorHAnsi"/>
        </w:rPr>
        <w:t xml:space="preserve">The date Staff identified the situation or condition at issue; </w:t>
      </w:r>
    </w:p>
    <w:p w:rsidRPr="00E0262F" w:rsidR="00E36D67" w:rsidP="00794756" w:rsidRDefault="00E36D67" w14:paraId="76A8755C" w14:textId="77777777">
      <w:pPr>
        <w:pStyle w:val="NoSpacing"/>
        <w:numPr>
          <w:ilvl w:val="0"/>
          <w:numId w:val="7"/>
        </w:numPr>
        <w:ind w:left="1440" w:hanging="360"/>
        <w:rPr>
          <w:rFonts w:ascii="Palatino Linotype" w:hAnsi="Palatino Linotype" w:cstheme="minorHAnsi"/>
          <w:b/>
          <w:bCs/>
        </w:rPr>
      </w:pPr>
      <w:r w:rsidRPr="00E0262F">
        <w:rPr>
          <w:rFonts w:ascii="Palatino Linotype" w:hAnsi="Palatino Linotype" w:cstheme="minorHAnsi"/>
        </w:rPr>
        <w:t xml:space="preserve">The circumstances under which Staff identified the situation or condition at issue (e.g., during an inspection or by consumer complaint); </w:t>
      </w:r>
    </w:p>
    <w:p w:rsidRPr="00E0262F" w:rsidR="00E36D67" w:rsidP="00794756" w:rsidRDefault="00E36D67" w14:paraId="37AB2F0D" w14:textId="77777777">
      <w:pPr>
        <w:pStyle w:val="NoSpacing"/>
        <w:numPr>
          <w:ilvl w:val="0"/>
          <w:numId w:val="7"/>
        </w:numPr>
        <w:ind w:left="1440" w:hanging="360"/>
        <w:rPr>
          <w:rFonts w:ascii="Palatino Linotype" w:hAnsi="Palatino Linotype" w:cstheme="minorHAnsi"/>
          <w:b/>
          <w:bCs/>
        </w:rPr>
      </w:pPr>
      <w:r w:rsidRPr="00E0262F">
        <w:rPr>
          <w:rFonts w:ascii="Palatino Linotype" w:hAnsi="Palatino Linotype" w:cstheme="minorHAnsi"/>
        </w:rPr>
        <w:t>Actions recommended to address the situation or condition at issue, including any recommended timeframes to complete such actions; and</w:t>
      </w:r>
    </w:p>
    <w:p w:rsidRPr="00E0262F" w:rsidR="00E36D67" w:rsidP="00794756" w:rsidRDefault="00E36D67" w14:paraId="3D38DD77" w14:textId="77777777">
      <w:pPr>
        <w:pStyle w:val="NoSpacing"/>
        <w:numPr>
          <w:ilvl w:val="0"/>
          <w:numId w:val="7"/>
        </w:numPr>
        <w:ind w:left="1440" w:hanging="360"/>
        <w:rPr>
          <w:rFonts w:ascii="Palatino Linotype" w:hAnsi="Palatino Linotype" w:cstheme="minorHAnsi"/>
          <w:b/>
          <w:bCs/>
        </w:rPr>
      </w:pPr>
      <w:r w:rsidRPr="00E0262F">
        <w:rPr>
          <w:rFonts w:ascii="Palatino Linotype" w:hAnsi="Palatino Linotype" w:cstheme="minorHAnsi"/>
        </w:rPr>
        <w:t xml:space="preserve">Request for Information. </w:t>
      </w:r>
    </w:p>
    <w:p w:rsidRPr="00E0262F" w:rsidR="00E36D67" w:rsidP="00E36D67" w:rsidRDefault="00E36D67" w14:paraId="4994EC9B" w14:textId="77777777">
      <w:pPr>
        <w:pStyle w:val="NoSpacing"/>
        <w:rPr>
          <w:rFonts w:ascii="Palatino Linotype" w:hAnsi="Palatino Linotype" w:cstheme="minorHAnsi"/>
        </w:rPr>
      </w:pPr>
    </w:p>
    <w:p w:rsidRPr="00E0262F" w:rsidR="00E36D67" w:rsidP="00E36D67" w:rsidRDefault="00E36D67" w14:paraId="7145CFFF" w14:textId="77777777">
      <w:pPr>
        <w:pStyle w:val="NoSpacing"/>
        <w:rPr>
          <w:rFonts w:ascii="Palatino Linotype" w:hAnsi="Palatino Linotype" w:cstheme="minorHAnsi"/>
        </w:rPr>
      </w:pPr>
      <w:r w:rsidRPr="00E0262F">
        <w:rPr>
          <w:rFonts w:ascii="Palatino Linotype" w:hAnsi="Palatino Linotype" w:cstheme="minorHAnsi"/>
        </w:rPr>
        <w:t>Staff are authorized to inspect the accounts, books, papers, and documents of a regulated entity.</w:t>
      </w:r>
      <w:r w:rsidRPr="00E0262F">
        <w:rPr>
          <w:rStyle w:val="FootnoteReference"/>
          <w:rFonts w:ascii="Palatino Linotype" w:hAnsi="Palatino Linotype" w:cstheme="minorHAnsi"/>
        </w:rPr>
        <w:footnoteReference w:id="15"/>
      </w:r>
      <w:r w:rsidRPr="00E0262F">
        <w:rPr>
          <w:rFonts w:ascii="Palatino Linotype" w:hAnsi="Palatino Linotype" w:cstheme="minorHAnsi"/>
        </w:rPr>
        <w:t xml:space="preserve"> Staff may request the production of accounts, books, papers, and documents of a regulated entity. Failure to make such records available may lead to the issuance of a subpoena or other enforcement action.</w:t>
      </w:r>
      <w:r w:rsidRPr="00E0262F">
        <w:rPr>
          <w:rStyle w:val="FootnoteReference"/>
          <w:rFonts w:ascii="Palatino Linotype" w:hAnsi="Palatino Linotype" w:cstheme="minorHAnsi"/>
        </w:rPr>
        <w:footnoteReference w:id="16"/>
      </w:r>
    </w:p>
    <w:p w:rsidRPr="00794756" w:rsidR="00BF4C9E" w:rsidP="00794756" w:rsidRDefault="00BF4C9E" w14:paraId="539693E0" w14:textId="77777777">
      <w:pPr>
        <w:pStyle w:val="NoSpacing"/>
        <w:ind w:left="1080"/>
        <w:rPr>
          <w:rFonts w:ascii="Palatino Linotype" w:hAnsi="Palatino Linotype" w:cstheme="minorHAnsi"/>
        </w:rPr>
      </w:pPr>
    </w:p>
    <w:p w:rsidRPr="00E0262F" w:rsidR="008647E3" w:rsidP="00794756" w:rsidRDefault="00F906BC" w14:paraId="47D253E1" w14:textId="32E549F4">
      <w:pPr>
        <w:pStyle w:val="NoSpacing"/>
        <w:numPr>
          <w:ilvl w:val="0"/>
          <w:numId w:val="23"/>
        </w:numPr>
        <w:ind w:left="1080"/>
        <w:rPr>
          <w:rFonts w:ascii="Palatino Linotype" w:hAnsi="Palatino Linotype" w:cstheme="minorHAnsi"/>
        </w:rPr>
      </w:pPr>
      <w:r w:rsidRPr="00E0262F">
        <w:rPr>
          <w:rFonts w:ascii="Palatino Linotype" w:hAnsi="Palatino Linotype" w:cstheme="minorHAnsi"/>
          <w:color w:val="4472C4" w:themeColor="accent1"/>
          <w:u w:val="single"/>
        </w:rPr>
        <w:lastRenderedPageBreak/>
        <w:t>Notice of Violation</w:t>
      </w:r>
      <w:r w:rsidRPr="00E0262F" w:rsidR="00E36D67">
        <w:rPr>
          <w:rStyle w:val="FootnoteReference"/>
          <w:rFonts w:ascii="Palatino Linotype" w:hAnsi="Palatino Linotype" w:cstheme="minorHAnsi"/>
          <w:color w:val="4472C4" w:themeColor="accent1"/>
        </w:rPr>
        <w:footnoteReference w:id="17"/>
      </w:r>
    </w:p>
    <w:p w:rsidRPr="00E0262F" w:rsidR="006E0B46" w:rsidP="00794756" w:rsidRDefault="006E0B46" w14:paraId="78EC5634" w14:textId="1DA71C92">
      <w:pPr>
        <w:pStyle w:val="NoSpacing"/>
        <w:rPr>
          <w:rFonts w:ascii="Palatino Linotype" w:hAnsi="Palatino Linotype" w:cstheme="minorHAnsi"/>
          <w:b/>
          <w:bCs/>
        </w:rPr>
      </w:pPr>
      <w:r w:rsidRPr="00E0262F">
        <w:rPr>
          <w:rFonts w:ascii="Palatino Linotype" w:hAnsi="Palatino Linotype" w:cstheme="minorHAnsi"/>
        </w:rPr>
        <w:t xml:space="preserve">When a violation is identified, </w:t>
      </w:r>
      <w:r w:rsidRPr="00E0262F" w:rsidR="007E31D3">
        <w:rPr>
          <w:rFonts w:ascii="Palatino Linotype" w:hAnsi="Palatino Linotype" w:cstheme="minorHAnsi"/>
        </w:rPr>
        <w:t>S</w:t>
      </w:r>
      <w:r w:rsidRPr="00E0262F">
        <w:rPr>
          <w:rFonts w:ascii="Palatino Linotype" w:hAnsi="Palatino Linotype" w:cstheme="minorHAnsi"/>
        </w:rPr>
        <w:t xml:space="preserve">taff may issue a Notice of Violation to a regulated entity. Staff </w:t>
      </w:r>
      <w:r w:rsidRPr="00E0262F" w:rsidR="008D2F9B">
        <w:rPr>
          <w:rFonts w:ascii="Palatino Linotype" w:hAnsi="Palatino Linotype" w:cstheme="minorHAnsi"/>
        </w:rPr>
        <w:t>will</w:t>
      </w:r>
      <w:r w:rsidRPr="00E0262F">
        <w:rPr>
          <w:rFonts w:ascii="Palatino Linotype" w:hAnsi="Palatino Linotype" w:cstheme="minorHAnsi"/>
        </w:rPr>
        <w:t xml:space="preserve"> use a Notice of Violation form. Staff </w:t>
      </w:r>
      <w:r w:rsidRPr="00E0262F" w:rsidR="008D2F9B">
        <w:rPr>
          <w:rFonts w:ascii="Palatino Linotype" w:hAnsi="Palatino Linotype" w:cstheme="minorHAnsi"/>
        </w:rPr>
        <w:t>will</w:t>
      </w:r>
      <w:r w:rsidRPr="00E0262F">
        <w:rPr>
          <w:rFonts w:ascii="Palatino Linotype" w:hAnsi="Palatino Linotype" w:cstheme="minorHAnsi"/>
        </w:rPr>
        <w:t xml:space="preserve"> verify delivery of the Notice of Violation using a Proof of Service form. A Notice of Violation </w:t>
      </w:r>
      <w:r w:rsidRPr="00E0262F" w:rsidR="008D2F9B">
        <w:rPr>
          <w:rFonts w:ascii="Palatino Linotype" w:hAnsi="Palatino Linotype" w:cstheme="minorHAnsi"/>
        </w:rPr>
        <w:t>will</w:t>
      </w:r>
      <w:r w:rsidRPr="00E0262F">
        <w:rPr>
          <w:rFonts w:ascii="Palatino Linotype" w:hAnsi="Palatino Linotype" w:cstheme="minorHAnsi"/>
        </w:rPr>
        <w:t xml:space="preserve"> be placed in the regulated entity case file and recorded in the enforcement database and </w:t>
      </w:r>
      <w:r w:rsidRPr="00E0262F" w:rsidR="008D2F9B">
        <w:rPr>
          <w:rFonts w:ascii="Palatino Linotype" w:hAnsi="Palatino Linotype" w:cstheme="minorHAnsi"/>
        </w:rPr>
        <w:t>will</w:t>
      </w:r>
      <w:r w:rsidRPr="00E0262F">
        <w:rPr>
          <w:rFonts w:ascii="Palatino Linotype" w:hAnsi="Palatino Linotype" w:cstheme="minorHAnsi"/>
        </w:rPr>
        <w:t xml:space="preserve"> include: </w:t>
      </w:r>
    </w:p>
    <w:p w:rsidRPr="00E0262F" w:rsidR="006E0B46" w:rsidP="00794756" w:rsidRDefault="006E0B46" w14:paraId="1DB3F637"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The law or Commission order, decision or rule violated by the regulated entity; </w:t>
      </w:r>
    </w:p>
    <w:p w:rsidRPr="00E0262F" w:rsidR="006E0B46" w:rsidP="00794756" w:rsidRDefault="006E0B46" w14:paraId="1BF9500F"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The facts that form the basis for each violation; </w:t>
      </w:r>
    </w:p>
    <w:p w:rsidRPr="00E0262F" w:rsidR="006E0B46" w:rsidP="00794756" w:rsidRDefault="006E0B46" w14:paraId="46810C24"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Information related to the potential for additional or ongoing violations; </w:t>
      </w:r>
    </w:p>
    <w:p w:rsidRPr="00E0262F" w:rsidR="006E0B46" w:rsidP="00794756" w:rsidRDefault="006E0B46" w14:paraId="5FBB9FDC"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A directive to correct each violation to avoid additional enforcement action; </w:t>
      </w:r>
    </w:p>
    <w:p w:rsidRPr="00E0262F" w:rsidR="006E0B46" w:rsidP="00794756" w:rsidRDefault="006E0B46" w14:paraId="3BF0B282"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A date by which the regulated entity must submit a plan for correcting each violation if a plan is   appropriate; </w:t>
      </w:r>
    </w:p>
    <w:p w:rsidRPr="00E0262F" w:rsidR="006E0B46" w:rsidP="00794756" w:rsidRDefault="006E0B46" w14:paraId="1BFCFB2C"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A date by which the regulated entity must certify that each violation has been corrected; </w:t>
      </w:r>
    </w:p>
    <w:p w:rsidRPr="00E0262F" w:rsidR="006E0B46" w:rsidP="00794756" w:rsidRDefault="006E0B46" w14:paraId="533C8792"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A penalty amount if the Notice of Violation includes a penalty; </w:t>
      </w:r>
    </w:p>
    <w:p w:rsidRPr="00E0262F" w:rsidR="006E0B46" w:rsidP="00794756" w:rsidRDefault="006E0B46" w14:paraId="5429DBE8" w14:textId="57636575">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Staff contact information; and </w:t>
      </w:r>
    </w:p>
    <w:p w:rsidRPr="00E0262F" w:rsidR="006E0B46" w:rsidP="00794756" w:rsidRDefault="006E0B46" w14:paraId="64E63463" w14:textId="77777777">
      <w:pPr>
        <w:pStyle w:val="NoSpacing"/>
        <w:numPr>
          <w:ilvl w:val="1"/>
          <w:numId w:val="25"/>
        </w:numPr>
        <w:rPr>
          <w:rFonts w:ascii="Palatino Linotype" w:hAnsi="Palatino Linotype" w:cstheme="minorHAnsi"/>
          <w:b/>
          <w:bCs/>
        </w:rPr>
      </w:pPr>
      <w:r w:rsidRPr="00E0262F">
        <w:rPr>
          <w:rFonts w:ascii="Palatino Linotype" w:hAnsi="Palatino Linotype" w:cstheme="minorHAnsi"/>
        </w:rPr>
        <w:t xml:space="preserve">Information about how to respond to the Notice of Violation. </w:t>
      </w:r>
    </w:p>
    <w:p w:rsidRPr="00E0262F" w:rsidR="006E0B46" w:rsidP="00794756" w:rsidRDefault="006E0B46" w14:paraId="6E74A363" w14:textId="4E416F74">
      <w:pPr>
        <w:pStyle w:val="NoSpacing"/>
        <w:rPr>
          <w:rFonts w:ascii="Palatino Linotype" w:hAnsi="Palatino Linotype" w:cstheme="minorHAnsi"/>
          <w:b/>
          <w:bCs/>
        </w:rPr>
      </w:pPr>
      <w:r w:rsidRPr="00E0262F">
        <w:rPr>
          <w:rFonts w:ascii="Palatino Linotype" w:hAnsi="Palatino Linotype" w:cstheme="minorHAnsi"/>
        </w:rPr>
        <w:t xml:space="preserve">A regulated entity that receives a Notice of Violation </w:t>
      </w:r>
      <w:r w:rsidRPr="00E0262F" w:rsidR="008D2F9B">
        <w:rPr>
          <w:rFonts w:ascii="Palatino Linotype" w:hAnsi="Palatino Linotype" w:cstheme="minorHAnsi"/>
        </w:rPr>
        <w:t>will</w:t>
      </w:r>
      <w:r w:rsidRPr="00E0262F">
        <w:rPr>
          <w:rFonts w:ascii="Palatino Linotype" w:hAnsi="Palatino Linotype" w:cstheme="minorHAnsi"/>
        </w:rPr>
        <w:t xml:space="preserve"> be given an opportunity to respond in writing to that Notice of Violation. The response </w:t>
      </w:r>
      <w:r w:rsidRPr="00E0262F" w:rsidR="008D2F9B">
        <w:rPr>
          <w:rFonts w:ascii="Palatino Linotype" w:hAnsi="Palatino Linotype" w:cstheme="minorHAnsi"/>
        </w:rPr>
        <w:t>will</w:t>
      </w:r>
      <w:r w:rsidRPr="00E0262F">
        <w:rPr>
          <w:rFonts w:ascii="Palatino Linotype" w:hAnsi="Palatino Linotype" w:cstheme="minorHAnsi"/>
        </w:rPr>
        <w:t xml:space="preserve"> be provided to the enforcing division within 30 days from the date the Notice of Violation was served upon the regulated entity. The response time may be extended or shortened by </w:t>
      </w:r>
      <w:r w:rsidRPr="00E0262F" w:rsidR="007E31D3">
        <w:rPr>
          <w:rFonts w:ascii="Palatino Linotype" w:hAnsi="Palatino Linotype" w:cstheme="minorHAnsi"/>
        </w:rPr>
        <w:t>S</w:t>
      </w:r>
      <w:r w:rsidRPr="00E0262F">
        <w:rPr>
          <w:rFonts w:ascii="Palatino Linotype" w:hAnsi="Palatino Linotype" w:cstheme="minorHAnsi"/>
        </w:rPr>
        <w:t xml:space="preserve">taff, depending on the exigencies of a case. The response </w:t>
      </w:r>
      <w:r w:rsidRPr="00E0262F" w:rsidR="008D2F9B">
        <w:rPr>
          <w:rFonts w:ascii="Palatino Linotype" w:hAnsi="Palatino Linotype" w:cstheme="minorHAnsi"/>
        </w:rPr>
        <w:t>will</w:t>
      </w:r>
      <w:r w:rsidRPr="00E0262F">
        <w:rPr>
          <w:rFonts w:ascii="Palatino Linotype" w:hAnsi="Palatino Linotype" w:cstheme="minorHAnsi"/>
        </w:rPr>
        <w:t xml:space="preserve"> include: </w:t>
      </w:r>
    </w:p>
    <w:p w:rsidRPr="00E0262F" w:rsidR="006E0B46" w:rsidP="00794756" w:rsidRDefault="006E0B46" w14:paraId="0BACFC9D" w14:textId="77777777">
      <w:pPr>
        <w:pStyle w:val="NoSpacing"/>
        <w:numPr>
          <w:ilvl w:val="0"/>
          <w:numId w:val="26"/>
        </w:numPr>
        <w:rPr>
          <w:rFonts w:ascii="Palatino Linotype" w:hAnsi="Palatino Linotype" w:cstheme="minorHAnsi"/>
          <w:b/>
          <w:bCs/>
        </w:rPr>
      </w:pPr>
      <w:r w:rsidRPr="00E0262F">
        <w:rPr>
          <w:rFonts w:ascii="Palatino Linotype" w:hAnsi="Palatino Linotype" w:cstheme="minorHAnsi"/>
        </w:rPr>
        <w:t xml:space="preserve">If the regulated entity disputes that a violation has occurred, a statement of the facts upon which the dispute is based; </w:t>
      </w:r>
    </w:p>
    <w:p w:rsidRPr="00E0262F" w:rsidR="006E0B46" w:rsidP="00794756" w:rsidRDefault="006E0B46" w14:paraId="0663B907" w14:textId="77777777">
      <w:pPr>
        <w:pStyle w:val="NoSpacing"/>
        <w:numPr>
          <w:ilvl w:val="0"/>
          <w:numId w:val="26"/>
        </w:numPr>
        <w:rPr>
          <w:rFonts w:ascii="Palatino Linotype" w:hAnsi="Palatino Linotype" w:cstheme="minorHAnsi"/>
          <w:b/>
          <w:bCs/>
        </w:rPr>
      </w:pPr>
      <w:r w:rsidRPr="00E0262F">
        <w:rPr>
          <w:rFonts w:ascii="Palatino Linotype" w:hAnsi="Palatino Linotype" w:cstheme="minorHAnsi"/>
        </w:rPr>
        <w:t xml:space="preserve">A plan to correct any undisputed violations; </w:t>
      </w:r>
    </w:p>
    <w:p w:rsidRPr="00E0262F" w:rsidR="006E0B46" w:rsidP="00794756" w:rsidRDefault="006E0B46" w14:paraId="3ABDF88A" w14:textId="77777777">
      <w:pPr>
        <w:pStyle w:val="NoSpacing"/>
        <w:numPr>
          <w:ilvl w:val="0"/>
          <w:numId w:val="26"/>
        </w:numPr>
        <w:rPr>
          <w:rFonts w:ascii="Palatino Linotype" w:hAnsi="Palatino Linotype" w:cstheme="minorHAnsi"/>
          <w:b/>
          <w:bCs/>
        </w:rPr>
      </w:pPr>
      <w:r w:rsidRPr="00E0262F">
        <w:rPr>
          <w:rFonts w:ascii="Palatino Linotype" w:hAnsi="Palatino Linotype" w:cstheme="minorHAnsi"/>
        </w:rPr>
        <w:t xml:space="preserve">Confirmation that the regulated entity will correct any undisputed violations by the date(s) specified in the Notice of Violation or a proposal for a later date with an explanation of the need for additional time; and </w:t>
      </w:r>
    </w:p>
    <w:p w:rsidRPr="00E0262F" w:rsidR="006E0B46" w:rsidP="00794756" w:rsidRDefault="006E0B46" w14:paraId="24F4AC69" w14:textId="77777777">
      <w:pPr>
        <w:pStyle w:val="NoSpacing"/>
        <w:numPr>
          <w:ilvl w:val="0"/>
          <w:numId w:val="26"/>
        </w:numPr>
        <w:rPr>
          <w:rFonts w:ascii="Palatino Linotype" w:hAnsi="Palatino Linotype" w:cstheme="minorHAnsi"/>
          <w:b/>
          <w:bCs/>
        </w:rPr>
      </w:pPr>
      <w:r w:rsidRPr="00E0262F">
        <w:rPr>
          <w:rFonts w:ascii="Palatino Linotype" w:hAnsi="Palatino Linotype" w:cstheme="minorHAnsi"/>
        </w:rPr>
        <w:t xml:space="preserve">Confirmation that a penalty assessed will be paid within 30 days of the issuance of the Notice of Violation or a proposal for a lower penalty amount with an explanation of why the lower amount is appropriate. </w:t>
      </w:r>
    </w:p>
    <w:p w:rsidR="00513490" w:rsidP="00513490" w:rsidRDefault="00513490" w14:paraId="12E7F68B" w14:textId="77777777">
      <w:pPr>
        <w:pStyle w:val="NoSpacing"/>
        <w:rPr>
          <w:rFonts w:ascii="Palatino Linotype" w:hAnsi="Palatino Linotype" w:cstheme="minorHAnsi"/>
        </w:rPr>
      </w:pPr>
    </w:p>
    <w:p w:rsidRPr="00E0262F" w:rsidR="006E0B46" w:rsidP="00794756" w:rsidRDefault="006E0B46" w14:paraId="59870FA9" w14:textId="21995894">
      <w:pPr>
        <w:pStyle w:val="NoSpacing"/>
        <w:rPr>
          <w:rFonts w:ascii="Palatino Linotype" w:hAnsi="Palatino Linotype" w:cstheme="minorHAnsi"/>
        </w:rPr>
      </w:pPr>
      <w:r w:rsidRPr="00E0262F">
        <w:rPr>
          <w:rFonts w:ascii="Palatino Linotype" w:hAnsi="Palatino Linotype" w:cstheme="minorHAnsi"/>
        </w:rPr>
        <w:t xml:space="preserve">Staff </w:t>
      </w:r>
      <w:r w:rsidRPr="00E0262F" w:rsidR="008D2F9B">
        <w:rPr>
          <w:rFonts w:ascii="Palatino Linotype" w:hAnsi="Palatino Linotype" w:cstheme="minorHAnsi"/>
        </w:rPr>
        <w:t>will</w:t>
      </w:r>
      <w:r w:rsidRPr="00E0262F">
        <w:rPr>
          <w:rFonts w:ascii="Palatino Linotype" w:hAnsi="Palatino Linotype" w:cstheme="minorHAnsi"/>
        </w:rPr>
        <w:t xml:space="preserve"> review the regulated entity’s response to a Notice of Violation and consider the regulated entity’s explanation or defenses. Staff </w:t>
      </w:r>
      <w:r w:rsidRPr="00E0262F" w:rsidR="008D2F9B">
        <w:rPr>
          <w:rFonts w:ascii="Palatino Linotype" w:hAnsi="Palatino Linotype" w:cstheme="minorHAnsi"/>
        </w:rPr>
        <w:t>will</w:t>
      </w:r>
      <w:r w:rsidRPr="00E0262F">
        <w:rPr>
          <w:rFonts w:ascii="Palatino Linotype" w:hAnsi="Palatino Linotype" w:cstheme="minorHAnsi"/>
        </w:rPr>
        <w:t xml:space="preserve"> determine whether to accept the response or proceed with additional enforcement. The reasons for a determination that the regulated entity’s explanation or defenses lack merit should be included in the </w:t>
      </w:r>
      <w:r w:rsidRPr="00E0262F">
        <w:rPr>
          <w:rFonts w:ascii="Palatino Linotype" w:hAnsi="Palatino Linotype" w:cstheme="minorHAnsi"/>
        </w:rPr>
        <w:lastRenderedPageBreak/>
        <w:t xml:space="preserve">regulated entity case file. After reviewing the response, </w:t>
      </w:r>
      <w:r w:rsidRPr="00E0262F" w:rsidR="007E31D3">
        <w:rPr>
          <w:rFonts w:ascii="Palatino Linotype" w:hAnsi="Palatino Linotype" w:cstheme="minorHAnsi"/>
        </w:rPr>
        <w:t>S</w:t>
      </w:r>
      <w:r w:rsidRPr="00E0262F">
        <w:rPr>
          <w:rFonts w:ascii="Palatino Linotype" w:hAnsi="Palatino Linotype" w:cstheme="minorHAnsi"/>
        </w:rPr>
        <w:t xml:space="preserve">taff may take any appropriate action including any of the following actions: </w:t>
      </w:r>
    </w:p>
    <w:p w:rsidRPr="00E0262F" w:rsidR="006E0B46" w:rsidP="003915DE" w:rsidRDefault="006E0B46" w14:paraId="2D70A63B" w14:textId="77777777">
      <w:pPr>
        <w:pStyle w:val="NoSpacing"/>
        <w:numPr>
          <w:ilvl w:val="1"/>
          <w:numId w:val="8"/>
        </w:numPr>
        <w:ind w:left="1440" w:hanging="540"/>
        <w:rPr>
          <w:rFonts w:ascii="Palatino Linotype" w:hAnsi="Palatino Linotype" w:cstheme="minorHAnsi"/>
          <w:b/>
          <w:bCs/>
        </w:rPr>
      </w:pPr>
      <w:r w:rsidRPr="00E0262F">
        <w:rPr>
          <w:rFonts w:ascii="Palatino Linotype" w:hAnsi="Palatino Linotype" w:cstheme="minorHAnsi"/>
        </w:rPr>
        <w:t>Request that the regulated entity provide additional information;</w:t>
      </w:r>
    </w:p>
    <w:p w:rsidRPr="00E0262F" w:rsidR="006E0B46" w:rsidP="003915DE" w:rsidRDefault="006E0B46" w14:paraId="55A5E51F" w14:textId="77777777">
      <w:pPr>
        <w:pStyle w:val="NoSpacing"/>
        <w:numPr>
          <w:ilvl w:val="1"/>
          <w:numId w:val="8"/>
        </w:numPr>
        <w:ind w:left="1440" w:hanging="540"/>
        <w:rPr>
          <w:rFonts w:ascii="Palatino Linotype" w:hAnsi="Palatino Linotype" w:cstheme="minorHAnsi"/>
          <w:b/>
          <w:bCs/>
        </w:rPr>
      </w:pPr>
      <w:r w:rsidRPr="00E0262F">
        <w:rPr>
          <w:rFonts w:ascii="Palatino Linotype" w:hAnsi="Palatino Linotype" w:cstheme="minorHAnsi"/>
        </w:rPr>
        <w:t>Take the next appropriate enforcement action; and</w:t>
      </w:r>
    </w:p>
    <w:p w:rsidRPr="00E0262F" w:rsidR="006E0B46" w:rsidP="003915DE" w:rsidRDefault="006E0B46" w14:paraId="5853BF3C" w14:textId="030D8948">
      <w:pPr>
        <w:pStyle w:val="NoSpacing"/>
        <w:numPr>
          <w:ilvl w:val="1"/>
          <w:numId w:val="8"/>
        </w:numPr>
        <w:ind w:left="1440" w:hanging="540"/>
        <w:rPr>
          <w:rFonts w:ascii="Palatino Linotype" w:hAnsi="Palatino Linotype" w:cstheme="minorHAnsi"/>
          <w:b/>
          <w:bCs/>
        </w:rPr>
      </w:pPr>
      <w:r w:rsidRPr="00E0262F">
        <w:rPr>
          <w:rFonts w:ascii="Palatino Linotype" w:hAnsi="Palatino Linotype" w:cstheme="minorHAnsi"/>
        </w:rPr>
        <w:t xml:space="preserve">Notify the regulated entity that the response resolved one or more violations identified in the Notice of Violation. </w:t>
      </w:r>
    </w:p>
    <w:p w:rsidRPr="00E0262F" w:rsidR="006E0B46" w:rsidP="006E0B46" w:rsidRDefault="006E0B46" w14:paraId="39584DDF" w14:textId="77777777">
      <w:pPr>
        <w:pStyle w:val="NoSpacing"/>
        <w:ind w:left="1800"/>
        <w:rPr>
          <w:rFonts w:ascii="Palatino Linotype" w:hAnsi="Palatino Linotype" w:cstheme="minorHAnsi"/>
          <w:b/>
          <w:bCs/>
        </w:rPr>
      </w:pPr>
    </w:p>
    <w:p w:rsidRPr="00E0262F" w:rsidR="00551297" w:rsidP="00794756" w:rsidRDefault="00C05F45" w14:paraId="71FB3B85" w14:textId="37ABA568">
      <w:pPr>
        <w:pStyle w:val="NoSpacing"/>
        <w:numPr>
          <w:ilvl w:val="0"/>
          <w:numId w:val="22"/>
        </w:numPr>
        <w:rPr>
          <w:rStyle w:val="IntenseEmphasis"/>
          <w:rFonts w:ascii="Palatino Linotype" w:hAnsi="Palatino Linotype"/>
        </w:rPr>
      </w:pPr>
      <w:r w:rsidRPr="00E0262F">
        <w:rPr>
          <w:rStyle w:val="IntenseEmphasis"/>
          <w:rFonts w:ascii="Palatino Linotype" w:hAnsi="Palatino Linotype"/>
        </w:rPr>
        <w:t xml:space="preserve">Stronger Types of </w:t>
      </w:r>
      <w:r w:rsidRPr="00E0262F" w:rsidR="00C3561E">
        <w:rPr>
          <w:rStyle w:val="IntenseEmphasis"/>
          <w:rFonts w:ascii="Palatino Linotype" w:hAnsi="Palatino Linotype"/>
        </w:rPr>
        <w:t xml:space="preserve">Enforcement Actions </w:t>
      </w:r>
      <w:r w:rsidRPr="00E0262F" w:rsidR="006769F6">
        <w:rPr>
          <w:rStyle w:val="IntenseEmphasis"/>
          <w:rFonts w:ascii="Palatino Linotype" w:hAnsi="Palatino Linotype"/>
        </w:rPr>
        <w:t xml:space="preserve">for the Commission’s </w:t>
      </w:r>
      <w:r w:rsidRPr="00E0262F">
        <w:rPr>
          <w:rStyle w:val="IntenseEmphasis"/>
          <w:rFonts w:ascii="Palatino Linotype" w:hAnsi="Palatino Linotype"/>
        </w:rPr>
        <w:t>Consideration</w:t>
      </w:r>
    </w:p>
    <w:p w:rsidRPr="00E0262F" w:rsidR="00B823B6" w:rsidP="00B823B6" w:rsidRDefault="00AC6E3D" w14:paraId="3C14179C" w14:textId="43537438">
      <w:pPr>
        <w:pStyle w:val="NoSpacing"/>
        <w:rPr>
          <w:rFonts w:ascii="Palatino Linotype" w:hAnsi="Palatino Linotype" w:cstheme="minorHAnsi"/>
        </w:rPr>
      </w:pPr>
      <w:r w:rsidRPr="00E0262F">
        <w:rPr>
          <w:rFonts w:ascii="Palatino Linotype" w:hAnsi="Palatino Linotype" w:cstheme="minorHAnsi"/>
        </w:rPr>
        <w:t>S</w:t>
      </w:r>
      <w:r w:rsidRPr="00E0262F" w:rsidR="00640895">
        <w:rPr>
          <w:rFonts w:ascii="Palatino Linotype" w:hAnsi="Palatino Linotype" w:cstheme="minorHAnsi"/>
        </w:rPr>
        <w:t>taff may pursue different levels of enforcement action.</w:t>
      </w:r>
      <w:r w:rsidRPr="00E0262F" w:rsidR="008D2F9B">
        <w:rPr>
          <w:rStyle w:val="FootnoteReference"/>
          <w:rFonts w:ascii="Palatino Linotype" w:hAnsi="Palatino Linotype" w:cstheme="minorHAnsi"/>
        </w:rPr>
        <w:footnoteReference w:id="18"/>
      </w:r>
      <w:r w:rsidRPr="00E0262F" w:rsidR="00640895">
        <w:rPr>
          <w:rFonts w:ascii="Palatino Linotype" w:hAnsi="Palatino Linotype" w:cstheme="minorHAnsi"/>
        </w:rPr>
        <w:t xml:space="preserve"> In some cases, an enforcement response, such as an oral communication followed by a Warning Letter or Email or a Notice of Violation, will be enough.</w:t>
      </w:r>
      <w:r w:rsidRPr="00E0262F" w:rsidR="008D2F9B">
        <w:rPr>
          <w:rStyle w:val="FootnoteReference"/>
          <w:rFonts w:ascii="Palatino Linotype" w:hAnsi="Palatino Linotype" w:cstheme="minorHAnsi"/>
        </w:rPr>
        <w:footnoteReference w:id="19"/>
      </w:r>
      <w:r w:rsidRPr="00E0262F" w:rsidR="00640895">
        <w:rPr>
          <w:rFonts w:ascii="Palatino Linotype" w:hAnsi="Palatino Linotype" w:cstheme="minorHAnsi"/>
        </w:rPr>
        <w:t xml:space="preserve"> Other cases may warrant a stronger enforcement action in lieu of or in addition to a warning or other initial enforcement response.</w:t>
      </w:r>
      <w:r w:rsidRPr="00E0262F" w:rsidR="008D2F9B">
        <w:rPr>
          <w:rStyle w:val="FootnoteReference"/>
          <w:rFonts w:ascii="Palatino Linotype" w:hAnsi="Palatino Linotype" w:cstheme="minorHAnsi"/>
        </w:rPr>
        <w:footnoteReference w:id="20"/>
      </w:r>
      <w:r w:rsidRPr="00E0262F" w:rsidR="00844D89">
        <w:rPr>
          <w:rFonts w:ascii="Palatino Linotype" w:hAnsi="Palatino Linotype" w:cstheme="minorHAnsi"/>
        </w:rPr>
        <w:t xml:space="preserve"> </w:t>
      </w:r>
      <w:r w:rsidRPr="00E0262F" w:rsidR="007773BB">
        <w:rPr>
          <w:rFonts w:ascii="Palatino Linotype" w:hAnsi="Palatino Linotype" w:cstheme="minorHAnsi"/>
        </w:rPr>
        <w:t>Pursuant to Resolution M</w:t>
      </w:r>
      <w:r w:rsidRPr="00E0262F" w:rsidR="00AE2C49">
        <w:rPr>
          <w:rFonts w:ascii="Palatino Linotype" w:hAnsi="Palatino Linotype" w:cstheme="minorHAnsi"/>
        </w:rPr>
        <w:t>-4846, S</w:t>
      </w:r>
      <w:r w:rsidRPr="00E0262F" w:rsidR="007773BB">
        <w:rPr>
          <w:rFonts w:ascii="Palatino Linotype" w:hAnsi="Palatino Linotype" w:cstheme="minorHAnsi"/>
        </w:rPr>
        <w:t xml:space="preserve">taff </w:t>
      </w:r>
      <w:r w:rsidRPr="00E0262F" w:rsidR="00AE2C49">
        <w:rPr>
          <w:rFonts w:ascii="Palatino Linotype" w:hAnsi="Palatino Linotype" w:cstheme="minorHAnsi"/>
        </w:rPr>
        <w:t>may</w:t>
      </w:r>
      <w:r w:rsidRPr="00E0262F" w:rsidR="007773BB">
        <w:rPr>
          <w:rFonts w:ascii="Palatino Linotype" w:hAnsi="Palatino Linotype" w:cstheme="minorHAnsi"/>
        </w:rPr>
        <w:t xml:space="preserve"> draft</w:t>
      </w:r>
      <w:r w:rsidRPr="00E0262F" w:rsidR="00AE2C49">
        <w:rPr>
          <w:rFonts w:ascii="Palatino Linotype" w:hAnsi="Palatino Linotype" w:cstheme="minorHAnsi"/>
        </w:rPr>
        <w:t>, as applicable,</w:t>
      </w:r>
      <w:r w:rsidRPr="00E0262F" w:rsidR="007773BB">
        <w:rPr>
          <w:rFonts w:ascii="Palatino Linotype" w:hAnsi="Palatino Linotype" w:cstheme="minorHAnsi"/>
        </w:rPr>
        <w:t xml:space="preserve"> proposed Administrative Consent Orders and Administrative Enforcement Orders, subject to Commission review and disposition</w:t>
      </w:r>
      <w:r w:rsidRPr="00E0262F" w:rsidR="00F5476D">
        <w:rPr>
          <w:rFonts w:ascii="Palatino Linotype" w:hAnsi="Palatino Linotype" w:cstheme="minorHAnsi"/>
        </w:rPr>
        <w:t xml:space="preserve">. </w:t>
      </w:r>
      <w:r w:rsidRPr="00E0262F" w:rsidR="00B823B6">
        <w:rPr>
          <w:rFonts w:ascii="Palatino Linotype" w:hAnsi="Palatino Linotype" w:cstheme="minorHAnsi"/>
        </w:rPr>
        <w:t>When Staff considers drafting either a proposed Administrative Consent Order and Administrative Enforcement Order, they should follow the guidelines and process in Resolution M-4846.</w:t>
      </w:r>
    </w:p>
    <w:p w:rsidRPr="00E0262F" w:rsidR="00B823B6" w:rsidP="007773BB" w:rsidRDefault="00B823B6" w14:paraId="0DC53C56" w14:textId="77777777">
      <w:pPr>
        <w:pStyle w:val="NoSpacing"/>
        <w:rPr>
          <w:rFonts w:ascii="Palatino Linotype" w:hAnsi="Palatino Linotype" w:cstheme="minorHAnsi"/>
        </w:rPr>
      </w:pPr>
    </w:p>
    <w:p w:rsidRPr="00E0262F" w:rsidR="007773BB" w:rsidP="007773BB" w:rsidRDefault="00FD0F9C" w14:paraId="02BEAE62" w14:textId="2CA3DB3E">
      <w:pPr>
        <w:pStyle w:val="NoSpacing"/>
        <w:rPr>
          <w:rFonts w:ascii="Palatino Linotype" w:hAnsi="Palatino Linotype" w:cstheme="minorHAnsi"/>
        </w:rPr>
      </w:pPr>
      <w:r w:rsidRPr="00E0262F">
        <w:rPr>
          <w:rFonts w:ascii="Palatino Linotype" w:hAnsi="Palatino Linotype" w:cstheme="minorHAnsi"/>
        </w:rPr>
        <w:t>However,</w:t>
      </w:r>
      <w:r w:rsidRPr="00E0262F" w:rsidR="00E93C67">
        <w:rPr>
          <w:rFonts w:ascii="Palatino Linotype" w:hAnsi="Palatino Linotype" w:cstheme="minorHAnsi"/>
        </w:rPr>
        <w:t xml:space="preserve"> proposed Administrative Consent Orders </w:t>
      </w:r>
      <w:r w:rsidRPr="00E0262F" w:rsidR="005721EA">
        <w:rPr>
          <w:rFonts w:ascii="Palatino Linotype" w:hAnsi="Palatino Linotype" w:cstheme="minorHAnsi"/>
        </w:rPr>
        <w:t>are unnecessary for those consequences</w:t>
      </w:r>
      <w:r w:rsidRPr="00E0262F" w:rsidR="00A62C68">
        <w:rPr>
          <w:rFonts w:ascii="Palatino Linotype" w:hAnsi="Palatino Linotype" w:cstheme="minorHAnsi"/>
        </w:rPr>
        <w:t xml:space="preserve"> (i.e., the section called, “Consequences of Not Fulfilling Obligations”)</w:t>
      </w:r>
      <w:r w:rsidRPr="00E0262F" w:rsidR="005721EA">
        <w:rPr>
          <w:rFonts w:ascii="Palatino Linotype" w:hAnsi="Palatino Linotype" w:cstheme="minorHAnsi"/>
        </w:rPr>
        <w:t xml:space="preserve"> of this Resolution already, specifically, identifies.</w:t>
      </w:r>
      <w:r w:rsidRPr="00E0262F" w:rsidR="00482964">
        <w:rPr>
          <w:rFonts w:ascii="Palatino Linotype" w:hAnsi="Palatino Linotype" w:cstheme="minorHAnsi"/>
        </w:rPr>
        <w:t xml:space="preserve"> </w:t>
      </w:r>
      <w:r w:rsidRPr="00E0262F" w:rsidR="00561DE8">
        <w:rPr>
          <w:rFonts w:ascii="Palatino Linotype" w:hAnsi="Palatino Linotype" w:cstheme="minorHAnsi"/>
        </w:rPr>
        <w:t>The Commission has</w:t>
      </w:r>
      <w:r w:rsidRPr="00E0262F" w:rsidR="00D93813">
        <w:rPr>
          <w:rFonts w:ascii="Palatino Linotype" w:hAnsi="Palatino Linotype" w:cstheme="minorHAnsi"/>
        </w:rPr>
        <w:t xml:space="preserve"> a</w:t>
      </w:r>
      <w:r w:rsidRPr="00E0262F" w:rsidR="00561DE8">
        <w:rPr>
          <w:rFonts w:ascii="Palatino Linotype" w:hAnsi="Palatino Linotype" w:cstheme="minorHAnsi"/>
        </w:rPr>
        <w:t xml:space="preserve"> finite </w:t>
      </w:r>
      <w:r w:rsidRPr="00E0262F" w:rsidR="00D93813">
        <w:rPr>
          <w:rFonts w:ascii="Palatino Linotype" w:hAnsi="Palatino Linotype" w:cstheme="minorHAnsi"/>
        </w:rPr>
        <w:t xml:space="preserve">set of </w:t>
      </w:r>
      <w:r w:rsidRPr="00E0262F" w:rsidR="00672185">
        <w:rPr>
          <w:rFonts w:ascii="Palatino Linotype" w:hAnsi="Palatino Linotype" w:cstheme="minorHAnsi"/>
        </w:rPr>
        <w:t>resources;</w:t>
      </w:r>
      <w:r w:rsidRPr="00E0262F" w:rsidR="00561DE8">
        <w:rPr>
          <w:rFonts w:ascii="Palatino Linotype" w:hAnsi="Palatino Linotype" w:cstheme="minorHAnsi"/>
        </w:rPr>
        <w:t xml:space="preserve"> thus Staff do not need to negotiate any proposed settlements </w:t>
      </w:r>
      <w:r w:rsidRPr="00E0262F" w:rsidR="00132EA1">
        <w:rPr>
          <w:rFonts w:ascii="Palatino Linotype" w:hAnsi="Palatino Linotype" w:cstheme="minorHAnsi"/>
        </w:rPr>
        <w:t xml:space="preserve">or draft any orders </w:t>
      </w:r>
      <w:r w:rsidRPr="00E0262F" w:rsidR="00561DE8">
        <w:rPr>
          <w:rFonts w:ascii="Palatino Linotype" w:hAnsi="Palatino Linotype" w:cstheme="minorHAnsi"/>
        </w:rPr>
        <w:t xml:space="preserve">as </w:t>
      </w:r>
      <w:r w:rsidRPr="00E0262F" w:rsidR="008F1025">
        <w:rPr>
          <w:rFonts w:ascii="Palatino Linotype" w:hAnsi="Palatino Linotype" w:cstheme="minorHAnsi"/>
        </w:rPr>
        <w:t>an enforcement action</w:t>
      </w:r>
      <w:r w:rsidRPr="00E0262F" w:rsidR="00410A51">
        <w:rPr>
          <w:rFonts w:ascii="Palatino Linotype" w:hAnsi="Palatino Linotype" w:cstheme="minorHAnsi"/>
        </w:rPr>
        <w:t xml:space="preserve"> for the consequences described in the section called, “Consequences of Not Fulfilling Obligations</w:t>
      </w:r>
      <w:r w:rsidRPr="00E0262F" w:rsidR="00D93813">
        <w:rPr>
          <w:rFonts w:ascii="Palatino Linotype" w:hAnsi="Palatino Linotype" w:cstheme="minorHAnsi"/>
        </w:rPr>
        <w:t>,</w:t>
      </w:r>
      <w:r w:rsidRPr="00E0262F" w:rsidR="00410A51">
        <w:rPr>
          <w:rFonts w:ascii="Palatino Linotype" w:hAnsi="Palatino Linotype" w:cstheme="minorHAnsi"/>
        </w:rPr>
        <w:t>”</w:t>
      </w:r>
      <w:r w:rsidRPr="00E0262F" w:rsidR="00D93813">
        <w:rPr>
          <w:rFonts w:ascii="Palatino Linotype" w:hAnsi="Palatino Linotype" w:cstheme="minorHAnsi"/>
        </w:rPr>
        <w:t xml:space="preserve"> in this Resolution</w:t>
      </w:r>
      <w:r w:rsidRPr="00E0262F" w:rsidR="008F1025">
        <w:rPr>
          <w:rFonts w:ascii="Palatino Linotype" w:hAnsi="Palatino Linotype" w:cstheme="minorHAnsi"/>
        </w:rPr>
        <w:t>.</w:t>
      </w:r>
    </w:p>
    <w:p w:rsidRPr="00E0262F" w:rsidR="0094187F" w:rsidP="007773BB" w:rsidRDefault="0094187F" w14:paraId="50C63290" w14:textId="5028C916">
      <w:pPr>
        <w:pStyle w:val="NoSpacing"/>
        <w:rPr>
          <w:rFonts w:ascii="Palatino Linotype" w:hAnsi="Palatino Linotype" w:cstheme="minorHAnsi"/>
        </w:rPr>
      </w:pPr>
    </w:p>
    <w:p w:rsidRPr="00E0262F" w:rsidR="00854347" w:rsidP="007773BB" w:rsidRDefault="00854347" w14:paraId="47B7395E" w14:textId="5BABA7EE">
      <w:pPr>
        <w:pStyle w:val="NoSpacing"/>
        <w:rPr>
          <w:rFonts w:ascii="Palatino Linotype" w:hAnsi="Palatino Linotype" w:cstheme="minorHAnsi"/>
        </w:rPr>
      </w:pPr>
      <w:r w:rsidRPr="00E0262F">
        <w:rPr>
          <w:rFonts w:ascii="Palatino Linotype" w:hAnsi="Palatino Linotype" w:cstheme="minorHAnsi"/>
        </w:rPr>
        <w:t>Additionally, Staff or the Commission</w:t>
      </w:r>
      <w:r w:rsidRPr="00E0262F" w:rsidR="00C663CC">
        <w:rPr>
          <w:rFonts w:ascii="Palatino Linotype" w:hAnsi="Palatino Linotype" w:cstheme="minorHAnsi"/>
        </w:rPr>
        <w:t xml:space="preserve"> have other types of enforcement actions at its disposal such as </w:t>
      </w:r>
      <w:r w:rsidRPr="00E0262F" w:rsidR="006932CC">
        <w:rPr>
          <w:rFonts w:ascii="Palatino Linotype" w:hAnsi="Palatino Linotype" w:cstheme="minorHAnsi"/>
        </w:rPr>
        <w:t xml:space="preserve">the following: a) </w:t>
      </w:r>
      <w:r w:rsidRPr="00E0262F" w:rsidR="00C663CC">
        <w:rPr>
          <w:rFonts w:ascii="Palatino Linotype" w:hAnsi="Palatino Linotype" w:cstheme="minorHAnsi"/>
        </w:rPr>
        <w:t xml:space="preserve">issuing an Order Instituting Investigation or </w:t>
      </w:r>
      <w:r w:rsidRPr="00E0262F" w:rsidR="006932CC">
        <w:rPr>
          <w:rFonts w:ascii="Palatino Linotype" w:hAnsi="Palatino Linotype" w:cstheme="minorHAnsi"/>
        </w:rPr>
        <w:t xml:space="preserve">Order to Show Cause; b) </w:t>
      </w:r>
      <w:r w:rsidRPr="00E0262F" w:rsidR="003864B1">
        <w:rPr>
          <w:rFonts w:ascii="Palatino Linotype" w:hAnsi="Palatino Linotype" w:cstheme="minorHAnsi"/>
        </w:rPr>
        <w:t xml:space="preserve">suspending, altering, amending, or revoking the license or certification of a regulated entity; c) </w:t>
      </w:r>
      <w:r w:rsidRPr="00E0262F" w:rsidR="001C15DB">
        <w:rPr>
          <w:rFonts w:ascii="Palatino Linotype" w:hAnsi="Palatino Linotype" w:cstheme="minorHAnsi"/>
        </w:rPr>
        <w:t xml:space="preserve">filing a civil or criminal action </w:t>
      </w:r>
      <w:r w:rsidRPr="00E0262F" w:rsidR="004A253E">
        <w:rPr>
          <w:rFonts w:ascii="Palatino Linotype" w:hAnsi="Palatino Linotype" w:cstheme="minorHAnsi"/>
        </w:rPr>
        <w:t>against the regulated entity.</w:t>
      </w:r>
    </w:p>
    <w:p w:rsidRPr="00E0262F" w:rsidR="008F709B" w:rsidP="007773BB" w:rsidRDefault="008F709B" w14:paraId="05497B78" w14:textId="6F125500">
      <w:pPr>
        <w:pStyle w:val="NoSpacing"/>
        <w:rPr>
          <w:rFonts w:ascii="Palatino Linotype" w:hAnsi="Palatino Linotype" w:cstheme="minorHAnsi"/>
        </w:rPr>
      </w:pPr>
    </w:p>
    <w:p w:rsidRPr="00E0262F" w:rsidR="008F709B" w:rsidP="007773BB" w:rsidRDefault="0053188C" w14:paraId="2D53D9DC" w14:textId="531A49F6">
      <w:pPr>
        <w:pStyle w:val="NoSpacing"/>
        <w:rPr>
          <w:rFonts w:ascii="Palatino Linotype" w:hAnsi="Palatino Linotype" w:cstheme="minorHAnsi"/>
        </w:rPr>
      </w:pPr>
      <w:r w:rsidRPr="00E0262F">
        <w:rPr>
          <w:rFonts w:ascii="Palatino Linotype" w:hAnsi="Palatino Linotype" w:cstheme="minorHAnsi"/>
        </w:rPr>
        <w:t xml:space="preserve">The </w:t>
      </w:r>
      <w:r w:rsidRPr="00E0262F" w:rsidR="00186E1F">
        <w:rPr>
          <w:rFonts w:ascii="Palatino Linotype" w:hAnsi="Palatino Linotype" w:cstheme="minorHAnsi"/>
        </w:rPr>
        <w:t>Settling P</w:t>
      </w:r>
      <w:r w:rsidRPr="00E0262F">
        <w:rPr>
          <w:rFonts w:ascii="Palatino Linotype" w:hAnsi="Palatino Linotype" w:cstheme="minorHAnsi"/>
        </w:rPr>
        <w:t>arties may also</w:t>
      </w:r>
      <w:r w:rsidRPr="00E0262F" w:rsidR="000B5AAC">
        <w:rPr>
          <w:rFonts w:ascii="Palatino Linotype" w:hAnsi="Palatino Linotype" w:cstheme="minorHAnsi"/>
        </w:rPr>
        <w:t xml:space="preserve"> inform the Commission</w:t>
      </w:r>
      <w:r w:rsidRPr="00E0262F" w:rsidR="008D2F9B">
        <w:rPr>
          <w:rFonts w:ascii="Palatino Linotype" w:hAnsi="Palatino Linotype" w:cstheme="minorHAnsi"/>
        </w:rPr>
        <w:t xml:space="preserve"> </w:t>
      </w:r>
      <w:r w:rsidR="006C3428">
        <w:rPr>
          <w:rFonts w:ascii="Palatino Linotype" w:hAnsi="Palatino Linotype" w:cstheme="minorHAnsi"/>
        </w:rPr>
        <w:t>(</w:t>
      </w:r>
      <w:r w:rsidRPr="00E0262F" w:rsidR="008D2F9B">
        <w:rPr>
          <w:rFonts w:ascii="Palatino Linotype" w:hAnsi="Palatino Linotype" w:cstheme="minorHAnsi"/>
        </w:rPr>
        <w:t>or its Staff</w:t>
      </w:r>
      <w:r w:rsidR="006C3428">
        <w:rPr>
          <w:rFonts w:ascii="Palatino Linotype" w:hAnsi="Palatino Linotype" w:cstheme="minorHAnsi"/>
        </w:rPr>
        <w:t>)</w:t>
      </w:r>
      <w:r w:rsidRPr="00E0262F" w:rsidR="00D55AFF">
        <w:rPr>
          <w:rFonts w:ascii="Palatino Linotype" w:hAnsi="Palatino Linotype" w:cstheme="minorHAnsi"/>
        </w:rPr>
        <w:t xml:space="preserve"> of Frontier’s failure to fulfill its obligations for the corporate </w:t>
      </w:r>
      <w:r w:rsidRPr="00E0262F" w:rsidR="00672185">
        <w:rPr>
          <w:rFonts w:ascii="Palatino Linotype" w:hAnsi="Palatino Linotype" w:cstheme="minorHAnsi"/>
        </w:rPr>
        <w:t>reorganization and</w:t>
      </w:r>
      <w:r w:rsidRPr="00E0262F" w:rsidR="00E9375B">
        <w:rPr>
          <w:rFonts w:ascii="Palatino Linotype" w:hAnsi="Palatino Linotype" w:cstheme="minorHAnsi"/>
        </w:rPr>
        <w:t xml:space="preserve"> seek action from the Commission</w:t>
      </w:r>
      <w:r w:rsidRPr="00E0262F" w:rsidR="000F37CF">
        <w:rPr>
          <w:rFonts w:ascii="Palatino Linotype" w:hAnsi="Palatino Linotype" w:cstheme="minorHAnsi"/>
        </w:rPr>
        <w:t xml:space="preserve"> </w:t>
      </w:r>
      <w:r w:rsidR="00B35BEF">
        <w:rPr>
          <w:rFonts w:ascii="Palatino Linotype" w:hAnsi="Palatino Linotype" w:cstheme="minorHAnsi"/>
        </w:rPr>
        <w:t>(</w:t>
      </w:r>
      <w:r w:rsidRPr="00E0262F" w:rsidR="000F37CF">
        <w:rPr>
          <w:rFonts w:ascii="Palatino Linotype" w:hAnsi="Palatino Linotype" w:cstheme="minorHAnsi"/>
        </w:rPr>
        <w:t>or its Staff</w:t>
      </w:r>
      <w:r w:rsidR="00B35BEF">
        <w:rPr>
          <w:rFonts w:ascii="Palatino Linotype" w:hAnsi="Palatino Linotype" w:cstheme="minorHAnsi"/>
        </w:rPr>
        <w:t>)</w:t>
      </w:r>
      <w:r w:rsidRPr="00E0262F" w:rsidR="00E9375B">
        <w:rPr>
          <w:rFonts w:ascii="Palatino Linotype" w:hAnsi="Palatino Linotype" w:cstheme="minorHAnsi"/>
        </w:rPr>
        <w:t xml:space="preserve"> </w:t>
      </w:r>
      <w:r w:rsidRPr="00E0262F" w:rsidR="00D41552">
        <w:rPr>
          <w:rFonts w:ascii="Palatino Linotype" w:hAnsi="Palatino Linotype" w:cstheme="minorHAnsi"/>
        </w:rPr>
        <w:t>to compel compliance from Frontier.</w:t>
      </w:r>
    </w:p>
    <w:p w:rsidRPr="00E0262F" w:rsidR="00685BEF" w:rsidP="006E0B46" w:rsidRDefault="00685BEF" w14:paraId="3FB75E33" w14:textId="77777777">
      <w:pPr>
        <w:pStyle w:val="NoSpacing"/>
        <w:rPr>
          <w:rFonts w:ascii="Palatino Linotype" w:hAnsi="Palatino Linotype" w:cstheme="minorHAnsi"/>
        </w:rPr>
      </w:pPr>
    </w:p>
    <w:p w:rsidRPr="00E0262F" w:rsidR="004A253E" w:rsidP="007B49FD" w:rsidRDefault="004A253E" w14:paraId="40D13C74" w14:textId="65B8054C">
      <w:pPr>
        <w:pStyle w:val="NoSpacing"/>
        <w:keepNext/>
        <w:numPr>
          <w:ilvl w:val="0"/>
          <w:numId w:val="22"/>
        </w:numPr>
        <w:rPr>
          <w:rStyle w:val="IntenseEmphasis"/>
          <w:rFonts w:ascii="Palatino Linotype" w:hAnsi="Palatino Linotype"/>
        </w:rPr>
      </w:pPr>
      <w:r w:rsidRPr="00E0262F">
        <w:rPr>
          <w:rStyle w:val="IntenseEmphasis"/>
          <w:rFonts w:ascii="Palatino Linotype" w:hAnsi="Palatino Linotype"/>
        </w:rPr>
        <w:lastRenderedPageBreak/>
        <w:t xml:space="preserve">Frontier’s Ability to Appeal </w:t>
      </w:r>
      <w:r w:rsidR="006F1DD4">
        <w:rPr>
          <w:rStyle w:val="IntenseEmphasis"/>
          <w:rFonts w:ascii="Palatino Linotype" w:hAnsi="Palatino Linotype"/>
        </w:rPr>
        <w:t>Violation</w:t>
      </w:r>
      <w:r w:rsidR="00BB4A20">
        <w:rPr>
          <w:rStyle w:val="IntenseEmphasis"/>
          <w:rFonts w:ascii="Palatino Linotype" w:hAnsi="Palatino Linotype"/>
        </w:rPr>
        <w:t>s</w:t>
      </w:r>
      <w:r w:rsidR="006F1DD4">
        <w:rPr>
          <w:rStyle w:val="IntenseEmphasis"/>
          <w:rFonts w:ascii="Palatino Linotype" w:hAnsi="Palatino Linotype"/>
        </w:rPr>
        <w:t xml:space="preserve"> and the</w:t>
      </w:r>
      <w:r w:rsidRPr="00E0262F">
        <w:rPr>
          <w:rStyle w:val="IntenseEmphasis"/>
          <w:rFonts w:ascii="Palatino Linotype" w:hAnsi="Palatino Linotype"/>
        </w:rPr>
        <w:t xml:space="preserve"> Consequences Associated with Failing to Fulfill its Obligations</w:t>
      </w:r>
    </w:p>
    <w:p w:rsidRPr="00E0262F" w:rsidR="004A253E" w:rsidP="007B49FD" w:rsidRDefault="004A253E" w14:paraId="36091265" w14:textId="1121F663">
      <w:pPr>
        <w:pStyle w:val="NoSpacing"/>
        <w:keepNext/>
        <w:rPr>
          <w:rFonts w:ascii="Palatino Linotype" w:hAnsi="Palatino Linotype" w:cstheme="minorHAnsi"/>
        </w:rPr>
      </w:pPr>
      <w:r w:rsidRPr="00E0262F">
        <w:rPr>
          <w:rFonts w:ascii="Palatino Linotype" w:hAnsi="Palatino Linotype" w:cstheme="minorHAnsi"/>
        </w:rPr>
        <w:t xml:space="preserve">Pursuant to Resolution ALJ-377, Frontier may appeal </w:t>
      </w:r>
      <w:r w:rsidR="00BB4A20">
        <w:rPr>
          <w:rFonts w:ascii="Palatino Linotype" w:hAnsi="Palatino Linotype" w:cstheme="minorHAnsi"/>
        </w:rPr>
        <w:t>v</w:t>
      </w:r>
      <w:r w:rsidR="006F1DD4">
        <w:rPr>
          <w:rFonts w:ascii="Palatino Linotype" w:hAnsi="Palatino Linotype" w:cstheme="minorHAnsi"/>
        </w:rPr>
        <w:t>iolation</w:t>
      </w:r>
      <w:r w:rsidR="00BB4A20">
        <w:rPr>
          <w:rFonts w:ascii="Palatino Linotype" w:hAnsi="Palatino Linotype" w:cstheme="minorHAnsi"/>
        </w:rPr>
        <w:t>s</w:t>
      </w:r>
      <w:r w:rsidR="006F1DD4">
        <w:rPr>
          <w:rFonts w:ascii="Palatino Linotype" w:hAnsi="Palatino Linotype" w:cstheme="minorHAnsi"/>
        </w:rPr>
        <w:t xml:space="preserve"> and </w:t>
      </w:r>
      <w:r w:rsidRPr="00E0262F">
        <w:rPr>
          <w:rFonts w:ascii="Palatino Linotype" w:hAnsi="Palatino Linotype" w:cstheme="minorHAnsi"/>
        </w:rPr>
        <w:t>the consequences of its failure to meet any of its obligations.</w:t>
      </w:r>
    </w:p>
    <w:p w:rsidRPr="00E0262F" w:rsidR="006E0B46" w:rsidP="006E0B46" w:rsidRDefault="006E0B46" w14:paraId="7C568F58" w14:textId="064EA9B4">
      <w:pPr>
        <w:pStyle w:val="NoSpacing"/>
        <w:rPr>
          <w:rFonts w:ascii="Palatino Linotype" w:hAnsi="Palatino Linotype" w:cstheme="minorHAnsi"/>
        </w:rPr>
      </w:pPr>
    </w:p>
    <w:p w:rsidRPr="00E0262F" w:rsidR="00C03A7D" w:rsidP="00794756" w:rsidRDefault="00C03A7D" w14:paraId="12D10D13" w14:textId="497DDE5E">
      <w:pPr>
        <w:pStyle w:val="NoSpacing"/>
        <w:numPr>
          <w:ilvl w:val="0"/>
          <w:numId w:val="22"/>
        </w:numPr>
        <w:rPr>
          <w:rStyle w:val="IntenseEmphasis"/>
          <w:rFonts w:ascii="Palatino Linotype" w:hAnsi="Palatino Linotype"/>
        </w:rPr>
      </w:pPr>
      <w:r w:rsidRPr="00E0262F">
        <w:rPr>
          <w:rStyle w:val="IntenseEmphasis"/>
          <w:rFonts w:ascii="Palatino Linotype" w:hAnsi="Palatino Linotype"/>
        </w:rPr>
        <w:t>Transparency</w:t>
      </w:r>
    </w:p>
    <w:p w:rsidRPr="00E0262F" w:rsidR="00C03A7D" w:rsidP="00C03A7D" w:rsidRDefault="00C03A7D" w14:paraId="591DF808" w14:textId="204D4C8C">
      <w:pPr>
        <w:pStyle w:val="NoSpacing"/>
        <w:rPr>
          <w:rFonts w:ascii="Palatino Linotype" w:hAnsi="Palatino Linotype" w:cstheme="minorHAnsi"/>
          <w:b/>
          <w:bCs/>
        </w:rPr>
      </w:pPr>
      <w:r w:rsidRPr="00E0262F">
        <w:rPr>
          <w:rFonts w:ascii="Palatino Linotype" w:hAnsi="Palatino Linotype" w:cstheme="minorHAnsi"/>
        </w:rPr>
        <w:t>Communications Division will publish the following items</w:t>
      </w:r>
      <w:r w:rsidRPr="00E0262F" w:rsidR="00D0646F">
        <w:rPr>
          <w:rFonts w:ascii="Palatino Linotype" w:hAnsi="Palatino Linotype" w:cstheme="minorHAnsi"/>
        </w:rPr>
        <w:t xml:space="preserve"> (excluding information and documents of which the Commission grants confidential treatment consistent with D</w:t>
      </w:r>
      <w:r w:rsidR="00D02C6D">
        <w:rPr>
          <w:rFonts w:ascii="Palatino Linotype" w:hAnsi="Palatino Linotype" w:cstheme="minorHAnsi"/>
        </w:rPr>
        <w:t>.</w:t>
      </w:r>
      <w:r w:rsidRPr="00E0262F" w:rsidR="00D0646F">
        <w:rPr>
          <w:rFonts w:ascii="Palatino Linotype" w:hAnsi="Palatino Linotype" w:cstheme="minorHAnsi"/>
        </w:rPr>
        <w:t>16</w:t>
      </w:r>
      <w:r w:rsidR="00D02C6D">
        <w:rPr>
          <w:rFonts w:ascii="Palatino Linotype" w:hAnsi="Palatino Linotype" w:cstheme="minorHAnsi"/>
        </w:rPr>
        <w:t>-</w:t>
      </w:r>
      <w:r w:rsidRPr="00E0262F" w:rsidR="00D0646F">
        <w:rPr>
          <w:rFonts w:ascii="Palatino Linotype" w:hAnsi="Palatino Linotype" w:cstheme="minorHAnsi"/>
        </w:rPr>
        <w:t>08</w:t>
      </w:r>
      <w:r w:rsidR="00D02C6D">
        <w:rPr>
          <w:rFonts w:ascii="Palatino Linotype" w:hAnsi="Palatino Linotype" w:cstheme="minorHAnsi"/>
        </w:rPr>
        <w:t>-</w:t>
      </w:r>
      <w:r w:rsidRPr="00E0262F" w:rsidR="00D0646F">
        <w:rPr>
          <w:rFonts w:ascii="Palatino Linotype" w:hAnsi="Palatino Linotype" w:cstheme="minorHAnsi"/>
        </w:rPr>
        <w:t>024)</w:t>
      </w:r>
      <w:r w:rsidRPr="00E0262F">
        <w:rPr>
          <w:rFonts w:ascii="Palatino Linotype" w:hAnsi="Palatino Linotype" w:cstheme="minorHAnsi"/>
        </w:rPr>
        <w:t xml:space="preserve"> </w:t>
      </w:r>
      <w:r w:rsidRPr="00E0262F" w:rsidR="004E442F">
        <w:rPr>
          <w:rFonts w:ascii="Palatino Linotype" w:hAnsi="Palatino Linotype" w:cstheme="minorHAnsi"/>
        </w:rPr>
        <w:t xml:space="preserve">related to Frontier’s fulfillment of their obligations pursuant to their corporate reorganization </w:t>
      </w:r>
      <w:r w:rsidRPr="00E0262F">
        <w:rPr>
          <w:rFonts w:ascii="Palatino Linotype" w:hAnsi="Palatino Linotype" w:cstheme="minorHAnsi"/>
        </w:rPr>
        <w:t xml:space="preserve">on the Commission’s Web site at </w:t>
      </w:r>
      <w:hyperlink w:history="1" r:id="rId11">
        <w:r w:rsidRPr="00E0262F">
          <w:rPr>
            <w:rStyle w:val="Hyperlink"/>
            <w:rFonts w:ascii="Palatino Linotype" w:hAnsi="Palatino Linotype" w:cstheme="minorHAnsi"/>
          </w:rPr>
          <w:t>https://www.cpuc.ca.gov/General.aspx?id=6442465774</w:t>
        </w:r>
      </w:hyperlink>
      <w:r w:rsidRPr="00E0262F">
        <w:rPr>
          <w:rFonts w:ascii="Palatino Linotype" w:hAnsi="Palatino Linotype" w:cstheme="minorHAnsi"/>
        </w:rPr>
        <w:t xml:space="preserve">: </w:t>
      </w:r>
    </w:p>
    <w:p w:rsidRPr="00E0262F" w:rsidR="00C03A7D" w:rsidP="00C03A7D" w:rsidRDefault="00C03A7D" w14:paraId="6DC13F31" w14:textId="77777777">
      <w:pPr>
        <w:pStyle w:val="NoSpacing"/>
        <w:rPr>
          <w:rFonts w:ascii="Palatino Linotype" w:hAnsi="Palatino Linotype" w:cstheme="minorHAnsi"/>
          <w:b/>
          <w:bCs/>
        </w:rPr>
      </w:pPr>
    </w:p>
    <w:p w:rsidRPr="00E0262F" w:rsidR="009E1235" w:rsidP="00794756" w:rsidRDefault="009E1235" w14:paraId="7A4AD43C" w14:textId="251C2B75">
      <w:pPr>
        <w:pStyle w:val="NoSpacing"/>
        <w:numPr>
          <w:ilvl w:val="0"/>
          <w:numId w:val="12"/>
        </w:numPr>
        <w:ind w:left="1440"/>
        <w:rPr>
          <w:rFonts w:ascii="Palatino Linotype" w:hAnsi="Palatino Linotype" w:cstheme="minorHAnsi"/>
          <w:b/>
          <w:bCs/>
        </w:rPr>
      </w:pPr>
      <w:r w:rsidRPr="00E0262F">
        <w:rPr>
          <w:rFonts w:ascii="Palatino Linotype" w:hAnsi="Palatino Linotype" w:cstheme="minorHAnsi"/>
        </w:rPr>
        <w:t>reports developed by the Compliance Monitor;</w:t>
      </w:r>
    </w:p>
    <w:p w:rsidRPr="00E0262F" w:rsidR="00C03A7D" w:rsidP="00794756" w:rsidRDefault="00C03A7D" w14:paraId="29A23769" w14:textId="792F41DC">
      <w:pPr>
        <w:pStyle w:val="NoSpacing"/>
        <w:numPr>
          <w:ilvl w:val="0"/>
          <w:numId w:val="12"/>
        </w:numPr>
        <w:ind w:left="1440"/>
        <w:rPr>
          <w:rFonts w:ascii="Palatino Linotype" w:hAnsi="Palatino Linotype" w:cstheme="minorHAnsi"/>
          <w:b/>
          <w:bCs/>
        </w:rPr>
      </w:pPr>
      <w:r w:rsidRPr="00E0262F">
        <w:rPr>
          <w:rFonts w:ascii="Palatino Linotype" w:hAnsi="Palatino Linotype" w:cstheme="minorHAnsi"/>
        </w:rPr>
        <w:t>recurring and ad hoc reports submitted by each of Frontier’s relevant utility numbers;</w:t>
      </w:r>
    </w:p>
    <w:p w:rsidRPr="00E0262F" w:rsidR="000461C7" w:rsidP="00794756" w:rsidRDefault="00F430E4" w14:paraId="6F7F8481" w14:textId="16A5D8B2">
      <w:pPr>
        <w:pStyle w:val="NoSpacing"/>
        <w:numPr>
          <w:ilvl w:val="0"/>
          <w:numId w:val="12"/>
        </w:numPr>
        <w:ind w:left="1440"/>
        <w:rPr>
          <w:rFonts w:ascii="Palatino Linotype" w:hAnsi="Palatino Linotype" w:cstheme="minorHAnsi"/>
          <w:b/>
          <w:bCs/>
        </w:rPr>
      </w:pPr>
      <w:r w:rsidRPr="00E0262F">
        <w:rPr>
          <w:rFonts w:ascii="Palatino Linotype" w:hAnsi="Palatino Linotype" w:cstheme="minorHAnsi"/>
        </w:rPr>
        <w:t>each in</w:t>
      </w:r>
      <w:r w:rsidRPr="00E0262F" w:rsidR="00C03A7D">
        <w:rPr>
          <w:rFonts w:ascii="Palatino Linotype" w:hAnsi="Palatino Linotype" w:cstheme="minorHAnsi"/>
        </w:rPr>
        <w:t>s</w:t>
      </w:r>
      <w:r w:rsidRPr="00E0262F">
        <w:rPr>
          <w:rFonts w:ascii="Palatino Linotype" w:hAnsi="Palatino Linotype" w:cstheme="minorHAnsi"/>
        </w:rPr>
        <w:t>tance in which Frontier failed</w:t>
      </w:r>
      <w:r w:rsidRPr="00E0262F" w:rsidR="00C03A7D">
        <w:rPr>
          <w:rFonts w:ascii="Palatino Linotype" w:hAnsi="Palatino Linotype" w:cstheme="minorHAnsi"/>
        </w:rPr>
        <w:t xml:space="preserve"> </w:t>
      </w:r>
      <w:r w:rsidRPr="00E0262F">
        <w:rPr>
          <w:rFonts w:ascii="Palatino Linotype" w:hAnsi="Palatino Linotype" w:cstheme="minorHAnsi"/>
        </w:rPr>
        <w:t>to fulfill their obligations pursuant to their corporate reorganization</w:t>
      </w:r>
      <w:r w:rsidRPr="00E0262F" w:rsidR="000461C7">
        <w:rPr>
          <w:rFonts w:ascii="Palatino Linotype" w:hAnsi="Palatino Linotype" w:cstheme="minorHAnsi"/>
        </w:rPr>
        <w:t>;</w:t>
      </w:r>
    </w:p>
    <w:p w:rsidRPr="00E0262F" w:rsidR="00AF502B" w:rsidP="00794756" w:rsidRDefault="000461C7" w14:paraId="64C5E68F" w14:textId="77777777">
      <w:pPr>
        <w:pStyle w:val="NoSpacing"/>
        <w:numPr>
          <w:ilvl w:val="0"/>
          <w:numId w:val="12"/>
        </w:numPr>
        <w:ind w:left="1440"/>
        <w:rPr>
          <w:rFonts w:ascii="Palatino Linotype" w:hAnsi="Palatino Linotype" w:cstheme="minorHAnsi"/>
          <w:b/>
          <w:bCs/>
        </w:rPr>
      </w:pPr>
      <w:r w:rsidRPr="00E0262F">
        <w:rPr>
          <w:rFonts w:ascii="Palatino Linotype" w:hAnsi="Palatino Linotype" w:cstheme="minorHAnsi"/>
        </w:rPr>
        <w:t>each</w:t>
      </w:r>
      <w:r w:rsidRPr="00E0262F" w:rsidR="00271F8F">
        <w:rPr>
          <w:rFonts w:ascii="Palatino Linotype" w:hAnsi="Palatino Linotype" w:cstheme="minorHAnsi"/>
        </w:rPr>
        <w:t xml:space="preserve"> </w:t>
      </w:r>
      <w:r w:rsidRPr="00E0262F" w:rsidR="00447827">
        <w:rPr>
          <w:rFonts w:ascii="Palatino Linotype" w:hAnsi="Palatino Linotype" w:cstheme="minorHAnsi"/>
        </w:rPr>
        <w:t xml:space="preserve">applicable </w:t>
      </w:r>
      <w:r w:rsidRPr="00E0262F" w:rsidR="00365A47">
        <w:rPr>
          <w:rFonts w:ascii="Palatino Linotype" w:hAnsi="Palatino Linotype" w:cstheme="minorHAnsi"/>
        </w:rPr>
        <w:t>consequence</w:t>
      </w:r>
      <w:r w:rsidRPr="00E0262F" w:rsidR="0063619C">
        <w:rPr>
          <w:rFonts w:ascii="Palatino Linotype" w:hAnsi="Palatino Linotype" w:cstheme="minorHAnsi"/>
        </w:rPr>
        <w:t xml:space="preserve"> faced by Frontier</w:t>
      </w:r>
      <w:r w:rsidRPr="00E0262F" w:rsidR="00AF502B">
        <w:rPr>
          <w:rFonts w:ascii="Palatino Linotype" w:hAnsi="Palatino Linotype" w:cstheme="minorHAnsi"/>
        </w:rPr>
        <w:t xml:space="preserve">; </w:t>
      </w:r>
      <w:r w:rsidRPr="00E0262F" w:rsidR="00576D6E">
        <w:rPr>
          <w:rFonts w:ascii="Palatino Linotype" w:hAnsi="Palatino Linotype" w:cstheme="minorHAnsi"/>
        </w:rPr>
        <w:t>and</w:t>
      </w:r>
      <w:r w:rsidRPr="00E0262F" w:rsidR="00271F8F">
        <w:rPr>
          <w:rFonts w:ascii="Palatino Linotype" w:hAnsi="Palatino Linotype" w:cstheme="minorHAnsi"/>
        </w:rPr>
        <w:t xml:space="preserve"> </w:t>
      </w:r>
    </w:p>
    <w:p w:rsidRPr="00E0262F" w:rsidR="00C03A7D" w:rsidP="00794756" w:rsidRDefault="00576D6E" w14:paraId="6618A755" w14:textId="172ADEDB">
      <w:pPr>
        <w:pStyle w:val="NoSpacing"/>
        <w:numPr>
          <w:ilvl w:val="0"/>
          <w:numId w:val="12"/>
        </w:numPr>
        <w:ind w:left="1440"/>
        <w:rPr>
          <w:rFonts w:ascii="Palatino Linotype" w:hAnsi="Palatino Linotype" w:cstheme="minorHAnsi"/>
          <w:b/>
          <w:bCs/>
        </w:rPr>
      </w:pPr>
      <w:r w:rsidRPr="00E0262F">
        <w:rPr>
          <w:rFonts w:ascii="Palatino Linotype" w:hAnsi="Palatino Linotype" w:cstheme="minorHAnsi"/>
        </w:rPr>
        <w:t>other enforcement action</w:t>
      </w:r>
      <w:r w:rsidRPr="00E0262F" w:rsidR="00AF502B">
        <w:rPr>
          <w:rFonts w:ascii="Palatino Linotype" w:hAnsi="Palatino Linotype" w:cstheme="minorHAnsi"/>
        </w:rPr>
        <w:t>s</w:t>
      </w:r>
      <w:r w:rsidRPr="00E0262F">
        <w:rPr>
          <w:rFonts w:ascii="Palatino Linotype" w:hAnsi="Palatino Linotype" w:cstheme="minorHAnsi"/>
        </w:rPr>
        <w:t xml:space="preserve"> taken by the </w:t>
      </w:r>
      <w:r w:rsidRPr="00E0262F" w:rsidR="00271F8F">
        <w:rPr>
          <w:rFonts w:ascii="Palatino Linotype" w:hAnsi="Palatino Linotype" w:cstheme="minorHAnsi"/>
        </w:rPr>
        <w:t>Commission</w:t>
      </w:r>
      <w:r w:rsidRPr="00E0262F" w:rsidR="009B2139">
        <w:rPr>
          <w:rFonts w:ascii="Palatino Linotype" w:hAnsi="Palatino Linotype" w:cstheme="minorHAnsi"/>
        </w:rPr>
        <w:t>.</w:t>
      </w:r>
    </w:p>
    <w:p w:rsidRPr="00E0262F" w:rsidR="00E42006" w:rsidP="006E0B46" w:rsidRDefault="00E42006" w14:paraId="445B962C" w14:textId="77777777">
      <w:pPr>
        <w:pStyle w:val="NoSpacing"/>
        <w:rPr>
          <w:rFonts w:ascii="Palatino Linotype" w:hAnsi="Palatino Linotype" w:cstheme="minorHAnsi"/>
        </w:rPr>
      </w:pPr>
    </w:p>
    <w:p w:rsidR="00112AEC" w:rsidP="00112AEC" w:rsidRDefault="00112AEC" w14:paraId="29CDEC6D" w14:textId="33F5B98C">
      <w:pPr>
        <w:keepNext/>
        <w:tabs>
          <w:tab w:val="right" w:pos="10080"/>
        </w:tabs>
        <w:jc w:val="both"/>
        <w:rPr>
          <w:rFonts w:ascii="Palatino Linotype" w:hAnsi="Palatino Linotype" w:cstheme="minorHAnsi"/>
          <w:b/>
        </w:rPr>
      </w:pPr>
      <w:r w:rsidRPr="00E0262F">
        <w:rPr>
          <w:rFonts w:ascii="Palatino Linotype" w:hAnsi="Palatino Linotype" w:cstheme="minorHAnsi"/>
          <w:b/>
        </w:rPr>
        <w:t>SAFETY CONSIDERATIONS</w:t>
      </w:r>
    </w:p>
    <w:p w:rsidRPr="00E0262F" w:rsidR="00E05DF9" w:rsidP="00112AEC" w:rsidRDefault="00E05DF9" w14:paraId="6DBA4C2E" w14:textId="77777777">
      <w:pPr>
        <w:keepNext/>
        <w:tabs>
          <w:tab w:val="right" w:pos="10080"/>
        </w:tabs>
        <w:jc w:val="both"/>
        <w:rPr>
          <w:rFonts w:ascii="Palatino Linotype" w:hAnsi="Palatino Linotype" w:cstheme="minorHAnsi"/>
          <w:b/>
        </w:rPr>
      </w:pPr>
    </w:p>
    <w:p w:rsidRPr="00E0262F" w:rsidR="00112AEC" w:rsidP="006E0B46" w:rsidRDefault="003839C3" w14:paraId="0A2ADF87" w14:textId="686C05AF">
      <w:pPr>
        <w:pStyle w:val="NoSpacing"/>
        <w:rPr>
          <w:rFonts w:ascii="Palatino Linotype" w:hAnsi="Palatino Linotype" w:cstheme="minorHAnsi"/>
        </w:rPr>
      </w:pPr>
      <w:r w:rsidRPr="00E0262F">
        <w:rPr>
          <w:rFonts w:ascii="Palatino Linotype" w:hAnsi="Palatino Linotype" w:cstheme="minorHAnsi"/>
        </w:rPr>
        <w:t>It is the policy of the Commission that every violation should result in an appropriate enforcement action consistent with the priority of the violation.</w:t>
      </w:r>
      <w:r w:rsidRPr="00E0262F" w:rsidR="00125FFE">
        <w:rPr>
          <w:rStyle w:val="FootnoteReference"/>
          <w:rFonts w:ascii="Palatino Linotype" w:hAnsi="Palatino Linotype" w:cstheme="minorHAnsi"/>
        </w:rPr>
        <w:footnoteReference w:id="21"/>
      </w:r>
      <w:r w:rsidRPr="00E0262F">
        <w:rPr>
          <w:rFonts w:ascii="Palatino Linotype" w:hAnsi="Palatino Linotype" w:cstheme="minorHAnsi"/>
        </w:rPr>
        <w:t xml:space="preserve"> In recognition of its finite resources, the Commission exercise</w:t>
      </w:r>
      <w:r w:rsidRPr="00E0262F" w:rsidR="00A90906">
        <w:rPr>
          <w:rFonts w:ascii="Palatino Linotype" w:hAnsi="Palatino Linotype" w:cstheme="minorHAnsi"/>
        </w:rPr>
        <w:t>s</w:t>
      </w:r>
      <w:r w:rsidRPr="00E0262F">
        <w:rPr>
          <w:rFonts w:ascii="Palatino Linotype" w:hAnsi="Palatino Linotype" w:cstheme="minorHAnsi"/>
        </w:rPr>
        <w:t xml:space="preserve"> its enforcement discretion to prioritize enforcement actions.</w:t>
      </w:r>
      <w:r w:rsidRPr="00E0262F" w:rsidR="008D2F9B">
        <w:rPr>
          <w:rStyle w:val="FootnoteReference"/>
          <w:rFonts w:ascii="Palatino Linotype" w:hAnsi="Palatino Linotype" w:cstheme="minorHAnsi"/>
        </w:rPr>
        <w:footnoteReference w:id="22"/>
      </w:r>
      <w:r w:rsidRPr="00E0262F">
        <w:rPr>
          <w:rFonts w:ascii="Palatino Linotype" w:hAnsi="Palatino Linotype" w:cstheme="minorHAnsi"/>
        </w:rPr>
        <w:t xml:space="preserve"> Enforcement prioritization enhances the Commission’s ability to leverage its finite enforcement resources and to achieve the general deterrence needed to encourage the regulated </w:t>
      </w:r>
      <w:r w:rsidRPr="00E0262F" w:rsidR="00A90906">
        <w:rPr>
          <w:rFonts w:ascii="Palatino Linotype" w:hAnsi="Palatino Linotype" w:cstheme="minorHAnsi"/>
        </w:rPr>
        <w:t>ent</w:t>
      </w:r>
      <w:r w:rsidRPr="00E0262F">
        <w:rPr>
          <w:rFonts w:ascii="Palatino Linotype" w:hAnsi="Palatino Linotype" w:cstheme="minorHAnsi"/>
        </w:rPr>
        <w:t>ity to anticipate, identify and correct violations.</w:t>
      </w:r>
      <w:r w:rsidRPr="00E0262F" w:rsidR="008D2F9B">
        <w:rPr>
          <w:rStyle w:val="FootnoteReference"/>
          <w:rFonts w:ascii="Palatino Linotype" w:hAnsi="Palatino Linotype" w:cstheme="minorHAnsi"/>
        </w:rPr>
        <w:footnoteReference w:id="23"/>
      </w:r>
      <w:r w:rsidRPr="00E0262F">
        <w:rPr>
          <w:rFonts w:ascii="Palatino Linotype" w:hAnsi="Palatino Linotype" w:cstheme="minorHAnsi"/>
        </w:rPr>
        <w:t xml:space="preserve"> </w:t>
      </w:r>
      <w:r w:rsidRPr="00E0262F" w:rsidR="00FB634B">
        <w:rPr>
          <w:rFonts w:ascii="Palatino Linotype" w:hAnsi="Palatino Linotype" w:cstheme="minorHAnsi"/>
        </w:rPr>
        <w:t>This Resolution establishes the largest monetary consequence for</w:t>
      </w:r>
      <w:r w:rsidRPr="00E0262F" w:rsidR="005B6B84">
        <w:rPr>
          <w:rFonts w:ascii="Palatino Linotype" w:hAnsi="Palatino Linotype" w:cstheme="minorHAnsi"/>
        </w:rPr>
        <w:t xml:space="preserve"> instances when Frontier </w:t>
      </w:r>
      <w:r w:rsidRPr="00E0262F" w:rsidR="001D2A3B">
        <w:rPr>
          <w:rFonts w:ascii="Palatino Linotype" w:hAnsi="Palatino Linotype" w:cstheme="minorHAnsi"/>
        </w:rPr>
        <w:t>f</w:t>
      </w:r>
      <w:r w:rsidRPr="00E0262F" w:rsidR="00C86A04">
        <w:rPr>
          <w:rFonts w:ascii="Palatino Linotype" w:hAnsi="Palatino Linotype" w:cstheme="minorHAnsi"/>
        </w:rPr>
        <w:t>ail</w:t>
      </w:r>
      <w:r w:rsidRPr="00E0262F" w:rsidR="005B6B84">
        <w:rPr>
          <w:rFonts w:ascii="Palatino Linotype" w:hAnsi="Palatino Linotype" w:cstheme="minorHAnsi"/>
        </w:rPr>
        <w:t>s</w:t>
      </w:r>
      <w:r w:rsidRPr="00E0262F" w:rsidR="00C86A04">
        <w:rPr>
          <w:rFonts w:ascii="Palatino Linotype" w:hAnsi="Palatino Linotype" w:cstheme="minorHAnsi"/>
        </w:rPr>
        <w:t xml:space="preserve"> to timely restore service out</w:t>
      </w:r>
      <w:r w:rsidRPr="00E0262F" w:rsidR="007F1515">
        <w:rPr>
          <w:rFonts w:ascii="Palatino Linotype" w:hAnsi="Palatino Linotype" w:cstheme="minorHAnsi"/>
        </w:rPr>
        <w:t>a</w:t>
      </w:r>
      <w:r w:rsidRPr="00E0262F" w:rsidR="00C86A04">
        <w:rPr>
          <w:rFonts w:ascii="Palatino Linotype" w:hAnsi="Palatino Linotype" w:cstheme="minorHAnsi"/>
        </w:rPr>
        <w:t>ges.</w:t>
      </w:r>
      <w:r w:rsidRPr="00E0262F" w:rsidR="007F1515">
        <w:rPr>
          <w:rFonts w:ascii="Palatino Linotype" w:hAnsi="Palatino Linotype" w:cstheme="minorHAnsi"/>
        </w:rPr>
        <w:t xml:space="preserve"> The Enforcement Program prioritizes </w:t>
      </w:r>
      <w:r w:rsidRPr="00E0262F" w:rsidR="00DA7625">
        <w:rPr>
          <w:rFonts w:ascii="Palatino Linotype" w:hAnsi="Palatino Linotype" w:cstheme="minorHAnsi"/>
        </w:rPr>
        <w:t xml:space="preserve">the importance of ensuring </w:t>
      </w:r>
      <w:r w:rsidRPr="00E0262F" w:rsidR="00552241">
        <w:rPr>
          <w:rFonts w:ascii="Palatino Linotype" w:hAnsi="Palatino Linotype" w:cstheme="minorHAnsi"/>
        </w:rPr>
        <w:t xml:space="preserve">that </w:t>
      </w:r>
      <w:r w:rsidRPr="00E0262F" w:rsidR="00DA7625">
        <w:rPr>
          <w:rFonts w:ascii="Palatino Linotype" w:hAnsi="Palatino Linotype" w:cstheme="minorHAnsi"/>
        </w:rPr>
        <w:t xml:space="preserve">the </w:t>
      </w:r>
      <w:r w:rsidRPr="00E0262F" w:rsidR="00552241">
        <w:rPr>
          <w:rFonts w:ascii="Palatino Linotype" w:hAnsi="Palatino Linotype" w:cstheme="minorHAnsi"/>
        </w:rPr>
        <w:t xml:space="preserve">communities of which Frontier serves will have reliable </w:t>
      </w:r>
      <w:r w:rsidRPr="00E0262F" w:rsidR="005E13A7">
        <w:rPr>
          <w:rFonts w:ascii="Palatino Linotype" w:hAnsi="Palatino Linotype" w:cstheme="minorHAnsi"/>
        </w:rPr>
        <w:t>access to 911</w:t>
      </w:r>
      <w:r w:rsidRPr="00E0262F" w:rsidR="00C47E52">
        <w:rPr>
          <w:rFonts w:ascii="Palatino Linotype" w:hAnsi="Palatino Linotype" w:cstheme="minorHAnsi"/>
        </w:rPr>
        <w:t xml:space="preserve"> services</w:t>
      </w:r>
      <w:r w:rsidRPr="00E0262F" w:rsidR="005E13A7">
        <w:rPr>
          <w:rFonts w:ascii="Palatino Linotype" w:hAnsi="Palatino Linotype" w:cstheme="minorHAnsi"/>
        </w:rPr>
        <w:t>, 211</w:t>
      </w:r>
      <w:r w:rsidRPr="00E0262F" w:rsidR="00C47E52">
        <w:rPr>
          <w:rFonts w:ascii="Palatino Linotype" w:hAnsi="Palatino Linotype" w:cstheme="minorHAnsi"/>
        </w:rPr>
        <w:t xml:space="preserve"> services, and </w:t>
      </w:r>
      <w:r w:rsidRPr="00E0262F" w:rsidR="00417EE3">
        <w:rPr>
          <w:rFonts w:ascii="Palatino Linotype" w:hAnsi="Palatino Linotype" w:cstheme="minorHAnsi"/>
        </w:rPr>
        <w:t>the capability to receive emergency alerts and notifications.</w:t>
      </w:r>
    </w:p>
    <w:p w:rsidRPr="00E0262F" w:rsidR="00426552" w:rsidP="003B1DBD" w:rsidRDefault="00426552" w14:paraId="22C6B096" w14:textId="089CE5C9">
      <w:pPr>
        <w:tabs>
          <w:tab w:val="right" w:pos="10080"/>
        </w:tabs>
        <w:jc w:val="both"/>
        <w:rPr>
          <w:rFonts w:ascii="Palatino Linotype" w:hAnsi="Palatino Linotype" w:cstheme="minorHAnsi"/>
        </w:rPr>
      </w:pPr>
    </w:p>
    <w:p w:rsidR="002D31AD" w:rsidP="00540E17" w:rsidRDefault="002D31AD" w14:paraId="786D7FC5" w14:textId="77777777">
      <w:pPr>
        <w:keepNext/>
        <w:rPr>
          <w:rFonts w:ascii="Palatino Linotype" w:hAnsi="Palatino Linotype"/>
          <w:b/>
          <w:bCs/>
        </w:rPr>
      </w:pPr>
      <w:r>
        <w:rPr>
          <w:rFonts w:ascii="Palatino Linotype" w:hAnsi="Palatino Linotype"/>
          <w:b/>
        </w:rPr>
        <w:lastRenderedPageBreak/>
        <w:t>COMMENTS ON PROPOSED RESOLUTION</w:t>
      </w:r>
    </w:p>
    <w:p w:rsidR="002D31AD" w:rsidP="00540E17" w:rsidRDefault="002D31AD" w14:paraId="1BCB9165" w14:textId="77777777">
      <w:pPr>
        <w:keepNext/>
        <w:tabs>
          <w:tab w:val="left" w:pos="0"/>
          <w:tab w:val="left" w:pos="1080"/>
        </w:tabs>
        <w:rPr>
          <w:rFonts w:ascii="Palatino Linotype" w:hAnsi="Palatino Linotype"/>
          <w:bCs/>
        </w:rPr>
      </w:pPr>
    </w:p>
    <w:p w:rsidR="002D31AD" w:rsidP="00540E17" w:rsidRDefault="002D31AD" w14:paraId="6B9587A9" w14:textId="0762A444">
      <w:pPr>
        <w:keepNext/>
        <w:tabs>
          <w:tab w:val="left" w:pos="0"/>
          <w:tab w:val="left" w:pos="1080"/>
        </w:tabs>
        <w:rPr>
          <w:rFonts w:ascii="Palatino Linotype" w:hAnsi="Palatino Linotype"/>
          <w:bCs/>
        </w:rPr>
      </w:pPr>
      <w:r>
        <w:rPr>
          <w:rFonts w:ascii="Palatino Linotype" w:hAnsi="Palatino Linotype"/>
          <w:bCs/>
        </w:rPr>
        <w:t xml:space="preserve">In compliance with P.U. Code § 311(g), a notice letter was emailed </w:t>
      </w:r>
      <w:r w:rsidRPr="00915727">
        <w:rPr>
          <w:rFonts w:ascii="Palatino Linotype" w:hAnsi="Palatino Linotype"/>
          <w:bCs/>
        </w:rPr>
        <w:t xml:space="preserve">on </w:t>
      </w:r>
      <w:r w:rsidRPr="00D02C6D" w:rsidR="00F63738">
        <w:rPr>
          <w:rFonts w:ascii="Palatino Linotype" w:hAnsi="Palatino Linotype"/>
          <w:bCs/>
        </w:rPr>
        <w:t xml:space="preserve">July </w:t>
      </w:r>
      <w:r w:rsidRPr="00D02C6D" w:rsidR="00915727">
        <w:rPr>
          <w:rFonts w:ascii="Palatino Linotype" w:hAnsi="Palatino Linotype"/>
          <w:bCs/>
        </w:rPr>
        <w:t>16</w:t>
      </w:r>
      <w:r w:rsidRPr="00D02C6D">
        <w:rPr>
          <w:rFonts w:ascii="Palatino Linotype" w:hAnsi="Palatino Linotype"/>
          <w:bCs/>
        </w:rPr>
        <w:t>, 2021</w:t>
      </w:r>
      <w:r>
        <w:rPr>
          <w:rFonts w:ascii="Palatino Linotype" w:hAnsi="Palatino Linotype"/>
          <w:bCs/>
        </w:rPr>
        <w:t xml:space="preserve"> informing interested parties of the availability of the draft of this Resolution for public comments at the Commission’s website </w:t>
      </w:r>
      <w:hyperlink w:history="1" r:id="rId12">
        <w:r>
          <w:rPr>
            <w:rStyle w:val="Hyperlink"/>
            <w:rFonts w:ascii="Palatino Linotype" w:hAnsi="Palatino Linotype"/>
            <w:bCs/>
          </w:rPr>
          <w:t>http://www.cpuc.ca</w:t>
        </w:r>
        <w:r>
          <w:rPr>
            <w:rStyle w:val="Hyperlink"/>
            <w:rFonts w:ascii="Palatino Linotype" w:hAnsi="Palatino Linotype"/>
          </w:rPr>
          <w:t>.</w:t>
        </w:r>
        <w:r>
          <w:rPr>
            <w:rStyle w:val="Hyperlink"/>
            <w:rFonts w:ascii="Palatino Linotype" w:hAnsi="Palatino Linotype"/>
            <w:bCs/>
          </w:rPr>
          <w:t>gov</w:t>
        </w:r>
      </w:hyperlink>
      <w:r>
        <w:rPr>
          <w:rFonts w:ascii="Palatino Linotype" w:hAnsi="Palatino Linotype"/>
          <w:bCs/>
        </w:rPr>
        <w:t xml:space="preserve">.  This letter also informed parties that the final Resolution adopted by the Commission will be posted and will be available at the same website.  </w:t>
      </w:r>
    </w:p>
    <w:p w:rsidR="002A0E7B" w:rsidP="002D31AD" w:rsidRDefault="002A0E7B" w14:paraId="239E02BE" w14:textId="77777777">
      <w:pPr>
        <w:tabs>
          <w:tab w:val="left" w:pos="0"/>
          <w:tab w:val="left" w:pos="1080"/>
        </w:tabs>
        <w:rPr>
          <w:rFonts w:ascii="Palatino Linotype" w:hAnsi="Palatino Linotype"/>
          <w:bCs/>
        </w:rPr>
      </w:pPr>
    </w:p>
    <w:p w:rsidR="003B1DBD" w:rsidP="00426552" w:rsidRDefault="003B1DBD" w14:paraId="47785B7D" w14:textId="4B0C00A1">
      <w:pPr>
        <w:keepNext/>
        <w:tabs>
          <w:tab w:val="right" w:pos="10080"/>
        </w:tabs>
        <w:jc w:val="both"/>
        <w:rPr>
          <w:rFonts w:ascii="Palatino Linotype" w:hAnsi="Palatino Linotype" w:cstheme="minorHAnsi"/>
          <w:b/>
        </w:rPr>
      </w:pPr>
      <w:r w:rsidRPr="00E0262F">
        <w:rPr>
          <w:rFonts w:ascii="Palatino Linotype" w:hAnsi="Palatino Linotype" w:cstheme="minorHAnsi"/>
          <w:b/>
        </w:rPr>
        <w:t>FINDINGS</w:t>
      </w:r>
      <w:r w:rsidRPr="00E0262F" w:rsidR="004168F6">
        <w:rPr>
          <w:rFonts w:ascii="Palatino Linotype" w:hAnsi="Palatino Linotype" w:cstheme="minorHAnsi"/>
          <w:b/>
        </w:rPr>
        <w:t xml:space="preserve"> AND CONCLUSIONS</w:t>
      </w:r>
    </w:p>
    <w:p w:rsidRPr="00E0262F" w:rsidR="00380F20" w:rsidP="00426552" w:rsidRDefault="00380F20" w14:paraId="390D47FB" w14:textId="77777777">
      <w:pPr>
        <w:keepNext/>
        <w:tabs>
          <w:tab w:val="right" w:pos="10080"/>
        </w:tabs>
        <w:jc w:val="both"/>
        <w:rPr>
          <w:rFonts w:ascii="Palatino Linotype" w:hAnsi="Palatino Linotype" w:cstheme="minorHAnsi"/>
          <w:b/>
        </w:rPr>
      </w:pPr>
    </w:p>
    <w:p w:rsidRPr="00E0262F" w:rsidR="00044014" w:rsidP="00497D73" w:rsidRDefault="00EB787E" w14:paraId="1A985982" w14:textId="76E0F983">
      <w:pPr>
        <w:keepNext/>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Public Utilities Code §</w:t>
      </w:r>
      <w:r w:rsidRPr="00E0262F" w:rsidR="006D220B">
        <w:rPr>
          <w:rFonts w:ascii="Palatino Linotype" w:hAnsi="Palatino Linotype" w:cstheme="minorHAnsi"/>
        </w:rPr>
        <w:t xml:space="preserve">7 </w:t>
      </w:r>
      <w:r w:rsidRPr="00E0262F" w:rsidR="005518BD">
        <w:rPr>
          <w:rFonts w:ascii="Palatino Linotype" w:hAnsi="Palatino Linotype" w:cstheme="minorHAnsi"/>
        </w:rPr>
        <w:t>indicates wh</w:t>
      </w:r>
      <w:r w:rsidRPr="00E0262F" w:rsidR="00044014">
        <w:rPr>
          <w:rFonts w:ascii="Palatino Linotype" w:hAnsi="Palatino Linotype" w:cstheme="minorHAnsi"/>
        </w:rPr>
        <w:t>enever a power is granted to, or a duty is imposed upon, a public officer, the power may be exercised or the duty may be performed by a deputy of the officer or by a person authorized, pursuant to law, by the officer, unless this code expressly provides otherwise.</w:t>
      </w:r>
    </w:p>
    <w:p w:rsidRPr="00E0262F" w:rsidR="003B1DBD" w:rsidP="00426552" w:rsidRDefault="00D11FEF" w14:paraId="02452978" w14:textId="7E7E7F4F">
      <w:pPr>
        <w:keepNext/>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Public Utilities Code §701 authorizes the Commission to supervise and regulate every public utility in the State</w:t>
      </w:r>
      <w:r w:rsidRPr="00E0262F" w:rsidR="00497D73">
        <w:rPr>
          <w:rFonts w:ascii="Palatino Linotype" w:hAnsi="Palatino Linotype" w:cstheme="minorHAnsi"/>
        </w:rPr>
        <w:t>.</w:t>
      </w:r>
      <w:r w:rsidRPr="00E0262F" w:rsidR="00F31413">
        <w:rPr>
          <w:rFonts w:ascii="Palatino Linotype" w:hAnsi="Palatino Linotype" w:cstheme="minorHAnsi"/>
        </w:rPr>
        <w:t xml:space="preserve"> It also </w:t>
      </w:r>
      <w:r w:rsidRPr="00E0262F" w:rsidR="00F742BB">
        <w:rPr>
          <w:rFonts w:ascii="Palatino Linotype" w:hAnsi="Palatino Linotype" w:cstheme="minorHAnsi"/>
        </w:rPr>
        <w:t>authorizes the Commission to do all things, whether specifically designated in this part or in addition thereto, which are necessary and convenient in the exercise of such power and jurisdiction</w:t>
      </w:r>
      <w:r w:rsidRPr="00E0262F" w:rsidR="0008613C">
        <w:rPr>
          <w:rFonts w:ascii="Palatino Linotype" w:hAnsi="Palatino Linotype" w:cstheme="minorHAnsi"/>
        </w:rPr>
        <w:t>.</w:t>
      </w:r>
    </w:p>
    <w:p w:rsidRPr="00E0262F" w:rsidR="00311E0E" w:rsidP="00311E0E" w:rsidRDefault="00BC5E16" w14:paraId="7873C06C" w14:textId="00B1DD32">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Public Utilities Code §702 mandates every public utility to obey and comply with every Commission order, decision, direction, or rule.</w:t>
      </w:r>
    </w:p>
    <w:p w:rsidRPr="00E0262F" w:rsidR="00125853" w:rsidP="00311E0E" w:rsidRDefault="00BC5E16" w14:paraId="48BA2312" w14:textId="1199F232">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Public Utilities Code §2101 mandates the Commission shall ensure that the provision</w:t>
      </w:r>
      <w:r w:rsidRPr="00E0262F" w:rsidR="00AB2477">
        <w:rPr>
          <w:rFonts w:ascii="Palatino Linotype" w:hAnsi="Palatino Linotype" w:cstheme="minorHAnsi"/>
        </w:rPr>
        <w:t>s</w:t>
      </w:r>
      <w:r w:rsidRPr="00E0262F">
        <w:rPr>
          <w:rFonts w:ascii="Palatino Linotype" w:hAnsi="Palatino Linotype" w:cstheme="minorHAnsi"/>
        </w:rPr>
        <w:t xml:space="preserve"> of the Constitution and statutes affecting public utilities are enforced and obeyed.</w:t>
      </w:r>
      <w:r w:rsidRPr="00E0262F" w:rsidR="00284F45">
        <w:rPr>
          <w:rFonts w:ascii="Palatino Linotype" w:hAnsi="Palatino Linotype" w:cstheme="minorHAnsi"/>
        </w:rPr>
        <w:t xml:space="preserve"> The </w:t>
      </w:r>
      <w:r w:rsidRPr="00E0262F" w:rsidR="00565F35">
        <w:rPr>
          <w:rFonts w:ascii="Palatino Linotype" w:hAnsi="Palatino Linotype" w:cstheme="minorHAnsi"/>
        </w:rPr>
        <w:t>C</w:t>
      </w:r>
      <w:r w:rsidRPr="00E0262F" w:rsidR="00284F45">
        <w:rPr>
          <w:rFonts w:ascii="Palatino Linotype" w:hAnsi="Palatino Linotype" w:cstheme="minorHAnsi"/>
        </w:rPr>
        <w:t xml:space="preserve">ommission </w:t>
      </w:r>
      <w:r w:rsidRPr="00E0262F" w:rsidR="00C76E5C">
        <w:rPr>
          <w:rFonts w:ascii="Palatino Linotype" w:hAnsi="Palatino Linotype" w:cstheme="minorHAnsi"/>
        </w:rPr>
        <w:t>must also ensure</w:t>
      </w:r>
      <w:r w:rsidRPr="00E0262F" w:rsidR="00284F45">
        <w:rPr>
          <w:rFonts w:ascii="Palatino Linotype" w:hAnsi="Palatino Linotype" w:cstheme="minorHAnsi"/>
        </w:rPr>
        <w:t xml:space="preserve"> that violations thereof are promptly prosecuted and penalties due the State therefor recovered and collected, and to this end </w:t>
      </w:r>
      <w:r w:rsidRPr="00E0262F" w:rsidR="009217BF">
        <w:rPr>
          <w:rFonts w:ascii="Palatino Linotype" w:hAnsi="Palatino Linotype" w:cstheme="minorHAnsi"/>
        </w:rPr>
        <w:t>the Commission</w:t>
      </w:r>
      <w:r w:rsidRPr="00E0262F" w:rsidR="00284F45">
        <w:rPr>
          <w:rFonts w:ascii="Palatino Linotype" w:hAnsi="Palatino Linotype" w:cstheme="minorHAnsi"/>
        </w:rPr>
        <w:t xml:space="preserve"> may sue in the name of the people of the State of California.</w:t>
      </w:r>
    </w:p>
    <w:p w:rsidRPr="00D02C6D" w:rsidR="00BC5E16" w:rsidP="00311E0E" w:rsidRDefault="00A132EB" w14:paraId="773304DD" w14:textId="304C6679">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 xml:space="preserve">Public Utilities Code §2107 mandates that utilities are subject to a minimum penalty of five hundred dollars ($500) and a maximum penalty of fifty thousand dollars ($50,000) for each </w:t>
      </w:r>
      <w:r w:rsidRPr="00E0262F" w:rsidR="00D1008C">
        <w:rPr>
          <w:rFonts w:ascii="Palatino Linotype" w:hAnsi="Palatino Linotype" w:cstheme="minorHAnsi"/>
        </w:rPr>
        <w:t xml:space="preserve">offense (i.e., instance of </w:t>
      </w:r>
      <w:r w:rsidRPr="00E0262F" w:rsidR="00710888">
        <w:rPr>
          <w:rFonts w:ascii="Palatino Linotype" w:hAnsi="Palatino Linotype" w:cstheme="minorHAnsi"/>
        </w:rPr>
        <w:t>non-compliance or violation</w:t>
      </w:r>
      <w:r w:rsidRPr="00E0262F" w:rsidR="00D769AA">
        <w:rPr>
          <w:rFonts w:ascii="Palatino Linotype" w:hAnsi="Palatino Linotype" w:cstheme="minorHAnsi"/>
        </w:rPr>
        <w:t xml:space="preserve"> of </w:t>
      </w:r>
      <w:r w:rsidRPr="00E0262F" w:rsidR="004B27FF">
        <w:rPr>
          <w:rFonts w:ascii="Palatino Linotype" w:hAnsi="Palatino Linotype" w:cstheme="minorHAnsi"/>
        </w:rPr>
        <w:t xml:space="preserve">any provision of the Constitution of this state or </w:t>
      </w:r>
      <w:r w:rsidRPr="00E0262F" w:rsidR="00D769AA">
        <w:rPr>
          <w:rFonts w:ascii="Palatino Linotype" w:hAnsi="Palatino Linotype" w:cstheme="minorHAnsi"/>
        </w:rPr>
        <w:t>any part or provision of any Commission order, decision, decree, rule, direction, demand, or requirement</w:t>
      </w:r>
      <w:r w:rsidRPr="00E0262F" w:rsidR="00710888">
        <w:rPr>
          <w:rFonts w:ascii="Palatino Linotype" w:hAnsi="Palatino Linotype" w:cstheme="minorHAnsi"/>
        </w:rPr>
        <w:t>)</w:t>
      </w:r>
      <w:r w:rsidRPr="00E0262F">
        <w:rPr>
          <w:rFonts w:ascii="Palatino Linotype" w:hAnsi="Palatino Linotype" w:cstheme="minorHAnsi"/>
        </w:rPr>
        <w:t xml:space="preserve"> </w:t>
      </w:r>
      <w:r w:rsidRPr="00D02C6D">
        <w:rPr>
          <w:rFonts w:ascii="Palatino Linotype" w:hAnsi="Palatino Linotype" w:cstheme="minorHAnsi"/>
        </w:rPr>
        <w:t>in cases in which a penalty has not otherwise been provided</w:t>
      </w:r>
      <w:r w:rsidRPr="00D02C6D" w:rsidR="001838B5">
        <w:rPr>
          <w:rFonts w:ascii="Palatino Linotype" w:hAnsi="Palatino Linotype" w:cstheme="minorHAnsi"/>
        </w:rPr>
        <w:t>.</w:t>
      </w:r>
    </w:p>
    <w:p w:rsidRPr="00E0262F" w:rsidR="00FE2D25" w:rsidP="00311E0E" w:rsidRDefault="007B54E7" w14:paraId="7A0BC6AD" w14:textId="68FFFF40">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An enforcement program will encourage compliance with Commission requirements, provide Staff with an additional tool to address non-compliance, and will allow the Commission to take prompt action</w:t>
      </w:r>
      <w:r w:rsidRPr="00E0262F" w:rsidR="00027004">
        <w:rPr>
          <w:rFonts w:ascii="Palatino Linotype" w:hAnsi="Palatino Linotype" w:cstheme="minorHAnsi"/>
        </w:rPr>
        <w:t>.</w:t>
      </w:r>
    </w:p>
    <w:p w:rsidRPr="00E0262F" w:rsidR="00027004" w:rsidP="00311E0E" w:rsidRDefault="00027004" w14:paraId="206AE0DA" w14:textId="3205CFC5">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The establishment of an enforcement program does not prevent the Commission from taking other necessary enforcement actions including revoking</w:t>
      </w:r>
      <w:r w:rsidRPr="00E0262F" w:rsidR="00E138B1">
        <w:rPr>
          <w:rFonts w:ascii="Palatino Linotype" w:hAnsi="Palatino Linotype" w:cstheme="minorHAnsi"/>
        </w:rPr>
        <w:t xml:space="preserve"> the utility</w:t>
      </w:r>
      <w:r w:rsidRPr="00E0262F">
        <w:rPr>
          <w:rFonts w:ascii="Palatino Linotype" w:hAnsi="Palatino Linotype" w:cstheme="minorHAnsi"/>
        </w:rPr>
        <w:t>’s Certificate of Public Convenience and Necessity and/or registration licenses</w:t>
      </w:r>
      <w:r w:rsidRPr="00E0262F" w:rsidR="00E138B1">
        <w:rPr>
          <w:rFonts w:ascii="Palatino Linotype" w:hAnsi="Palatino Linotype" w:cstheme="minorHAnsi"/>
        </w:rPr>
        <w:t>.</w:t>
      </w:r>
    </w:p>
    <w:p w:rsidRPr="00E0262F" w:rsidR="007861EE" w:rsidP="00311E0E" w:rsidRDefault="007861EE" w14:paraId="24339C7E" w14:textId="684EDAE7">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lastRenderedPageBreak/>
        <w:t>The enforcement program does not affect a subscriber’s private right of action.</w:t>
      </w:r>
    </w:p>
    <w:p w:rsidRPr="00E0262F" w:rsidR="00D47A23" w:rsidP="008D2F9B" w:rsidRDefault="00D47A23" w14:paraId="3430C987" w14:textId="40BF39D1">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 xml:space="preserve">The </w:t>
      </w:r>
      <w:r w:rsidRPr="00E0262F" w:rsidR="004230B9">
        <w:rPr>
          <w:rFonts w:ascii="Palatino Linotype" w:hAnsi="Palatino Linotype" w:cstheme="minorHAnsi"/>
        </w:rPr>
        <w:t>enforcement</w:t>
      </w:r>
      <w:r w:rsidRPr="00E0262F">
        <w:rPr>
          <w:rFonts w:ascii="Palatino Linotype" w:hAnsi="Palatino Linotype" w:cstheme="minorHAnsi"/>
        </w:rPr>
        <w:t xml:space="preserve"> program gives </w:t>
      </w:r>
      <w:r w:rsidRPr="00E0262F" w:rsidR="00EF6775">
        <w:rPr>
          <w:rFonts w:ascii="Palatino Linotype" w:hAnsi="Palatino Linotype" w:cstheme="minorHAnsi"/>
        </w:rPr>
        <w:t>the utility</w:t>
      </w:r>
      <w:r w:rsidRPr="00E0262F">
        <w:rPr>
          <w:rFonts w:ascii="Palatino Linotype" w:hAnsi="Palatino Linotype" w:cstheme="minorHAnsi"/>
        </w:rPr>
        <w:t xml:space="preserve"> the right to appeal </w:t>
      </w:r>
      <w:r w:rsidRPr="00E0262F" w:rsidR="003F0FB6">
        <w:rPr>
          <w:rFonts w:ascii="Palatino Linotype" w:hAnsi="Palatino Linotype" w:cstheme="minorHAnsi"/>
        </w:rPr>
        <w:t xml:space="preserve">(as </w:t>
      </w:r>
      <w:r w:rsidRPr="00E0262F" w:rsidR="002A1E0B">
        <w:rPr>
          <w:rFonts w:ascii="Palatino Linotype" w:hAnsi="Palatino Linotype" w:cstheme="minorHAnsi"/>
        </w:rPr>
        <w:t>s</w:t>
      </w:r>
      <w:r w:rsidRPr="00E0262F" w:rsidR="003F0FB6">
        <w:rPr>
          <w:rFonts w:ascii="Palatino Linotype" w:hAnsi="Palatino Linotype" w:cstheme="minorHAnsi"/>
        </w:rPr>
        <w:t>tipulated in</w:t>
      </w:r>
      <w:r w:rsidRPr="00E0262F" w:rsidR="002A1E0B">
        <w:rPr>
          <w:rFonts w:ascii="Palatino Linotype" w:hAnsi="Palatino Linotype" w:cstheme="minorHAnsi"/>
        </w:rPr>
        <w:t xml:space="preserve"> </w:t>
      </w:r>
      <w:r w:rsidRPr="00E0262F" w:rsidR="003F0FB6">
        <w:rPr>
          <w:rFonts w:ascii="Palatino Linotype" w:hAnsi="Palatino Linotype" w:cstheme="minorHAnsi"/>
        </w:rPr>
        <w:t xml:space="preserve">Resolution ALJ-299) </w:t>
      </w:r>
      <w:r w:rsidRPr="00E0262F" w:rsidR="00EF6775">
        <w:rPr>
          <w:rFonts w:ascii="Palatino Linotype" w:hAnsi="Palatino Linotype" w:cstheme="minorHAnsi"/>
        </w:rPr>
        <w:t>notices of violations and consequences for non</w:t>
      </w:r>
      <w:r w:rsidRPr="00E0262F" w:rsidR="003F0FB6">
        <w:rPr>
          <w:rFonts w:ascii="Palatino Linotype" w:hAnsi="Palatino Linotype" w:cstheme="minorHAnsi"/>
        </w:rPr>
        <w:t>-compliance</w:t>
      </w:r>
      <w:r w:rsidRPr="00E0262F">
        <w:rPr>
          <w:rFonts w:ascii="Palatino Linotype" w:hAnsi="Palatino Linotype" w:cstheme="minorHAnsi"/>
        </w:rPr>
        <w:t>.</w:t>
      </w:r>
    </w:p>
    <w:p w:rsidRPr="00E0262F" w:rsidR="00C573C6" w:rsidP="008D2F9B" w:rsidRDefault="00C573C6" w14:paraId="0319D049" w14:textId="0E5A1A9D">
      <w:pPr>
        <w:numPr>
          <w:ilvl w:val="0"/>
          <w:numId w:val="1"/>
        </w:numPr>
        <w:tabs>
          <w:tab w:val="clear" w:pos="240"/>
        </w:tabs>
        <w:spacing w:after="120"/>
        <w:ind w:left="360" w:hanging="360"/>
        <w:rPr>
          <w:rFonts w:ascii="Palatino Linotype" w:hAnsi="Palatino Linotype" w:cstheme="minorHAnsi"/>
        </w:rPr>
      </w:pPr>
      <w:r w:rsidRPr="00E0262F">
        <w:rPr>
          <w:rFonts w:ascii="Palatino Linotype" w:hAnsi="Palatino Linotype" w:cstheme="minorHAnsi"/>
        </w:rPr>
        <w:t>Decision 16</w:t>
      </w:r>
      <w:r w:rsidR="002F5543">
        <w:rPr>
          <w:rFonts w:ascii="Palatino Linotype" w:hAnsi="Palatino Linotype" w:cstheme="minorHAnsi"/>
        </w:rPr>
        <w:t>-</w:t>
      </w:r>
      <w:r w:rsidRPr="00E0262F">
        <w:rPr>
          <w:rFonts w:ascii="Palatino Linotype" w:hAnsi="Palatino Linotype" w:cstheme="minorHAnsi"/>
        </w:rPr>
        <w:t>08</w:t>
      </w:r>
      <w:r w:rsidR="002F5543">
        <w:rPr>
          <w:rFonts w:ascii="Palatino Linotype" w:hAnsi="Palatino Linotype" w:cstheme="minorHAnsi"/>
        </w:rPr>
        <w:t>-</w:t>
      </w:r>
      <w:r w:rsidRPr="00E0262F">
        <w:rPr>
          <w:rFonts w:ascii="Palatino Linotype" w:hAnsi="Palatino Linotype" w:cstheme="minorHAnsi"/>
        </w:rPr>
        <w:t xml:space="preserve">024 </w:t>
      </w:r>
      <w:r w:rsidRPr="00E0262F" w:rsidR="00691F54">
        <w:rPr>
          <w:rFonts w:ascii="Palatino Linotype" w:hAnsi="Palatino Linotype" w:cstheme="minorHAnsi"/>
        </w:rPr>
        <w:t>describes the</w:t>
      </w:r>
      <w:r w:rsidRPr="00E0262F">
        <w:rPr>
          <w:rFonts w:ascii="Palatino Linotype" w:hAnsi="Palatino Linotype" w:cstheme="minorHAnsi"/>
        </w:rPr>
        <w:t xml:space="preserve"> process for submitting potentially confidential documents to the Commission</w:t>
      </w:r>
      <w:r w:rsidRPr="00E0262F" w:rsidR="00691F54">
        <w:rPr>
          <w:rFonts w:ascii="Palatino Linotype" w:hAnsi="Palatino Linotype" w:cstheme="minorHAnsi"/>
        </w:rPr>
        <w:t>.</w:t>
      </w:r>
    </w:p>
    <w:p w:rsidRPr="00E0262F" w:rsidR="003B1DBD" w:rsidP="00557155" w:rsidRDefault="003B1DBD" w14:paraId="289BD70F" w14:textId="77777777">
      <w:pPr>
        <w:pStyle w:val="NoSpacing"/>
        <w:rPr>
          <w:rFonts w:ascii="Palatino Linotype" w:hAnsi="Palatino Linotype"/>
          <w:b/>
        </w:rPr>
      </w:pPr>
    </w:p>
    <w:p w:rsidR="003B1DBD" w:rsidP="00426552" w:rsidRDefault="003B1DBD" w14:paraId="7D96260D" w14:textId="77777777">
      <w:pPr>
        <w:keepNext/>
        <w:jc w:val="both"/>
        <w:rPr>
          <w:rFonts w:ascii="Palatino Linotype" w:hAnsi="Palatino Linotype" w:cstheme="minorHAnsi"/>
        </w:rPr>
      </w:pPr>
      <w:r w:rsidRPr="00E0262F">
        <w:rPr>
          <w:rFonts w:ascii="Palatino Linotype" w:hAnsi="Palatino Linotype" w:cstheme="minorHAnsi"/>
          <w:b/>
        </w:rPr>
        <w:t xml:space="preserve">THERFORE, IT IS ORDERED </w:t>
      </w:r>
      <w:r w:rsidRPr="00E0262F">
        <w:rPr>
          <w:rFonts w:ascii="Palatino Linotype" w:hAnsi="Palatino Linotype" w:cstheme="minorHAnsi"/>
        </w:rPr>
        <w:t>that:</w:t>
      </w:r>
    </w:p>
    <w:p w:rsidRPr="00E0262F" w:rsidR="00380F20" w:rsidP="00426552" w:rsidRDefault="00380F20" w14:paraId="16A8261C" w14:textId="77777777">
      <w:pPr>
        <w:keepNext/>
        <w:jc w:val="both"/>
        <w:rPr>
          <w:rFonts w:ascii="Palatino Linotype" w:hAnsi="Palatino Linotype" w:cstheme="minorHAnsi"/>
        </w:rPr>
      </w:pPr>
    </w:p>
    <w:p w:rsidRPr="00E0262F" w:rsidR="00AF75DE" w:rsidP="004230B9" w:rsidRDefault="000B3AEB" w14:paraId="64B8A1E5" w14:textId="3C3C6B8A">
      <w:pPr>
        <w:keepNext/>
        <w:numPr>
          <w:ilvl w:val="0"/>
          <w:numId w:val="5"/>
        </w:numPr>
        <w:tabs>
          <w:tab w:val="clear" w:pos="240"/>
        </w:tabs>
        <w:spacing w:after="120"/>
        <w:ind w:left="360" w:hanging="360"/>
        <w:rPr>
          <w:rFonts w:ascii="Palatino Linotype" w:hAnsi="Palatino Linotype" w:cstheme="minorHAnsi"/>
        </w:rPr>
      </w:pPr>
      <w:r>
        <w:rPr>
          <w:rFonts w:ascii="Palatino Linotype" w:hAnsi="Palatino Linotype" w:cstheme="minorHAnsi"/>
        </w:rPr>
        <w:t>The Commission</w:t>
      </w:r>
      <w:r w:rsidRPr="00E0262F">
        <w:rPr>
          <w:rFonts w:ascii="Palatino Linotype" w:hAnsi="Palatino Linotype" w:cstheme="minorHAnsi"/>
        </w:rPr>
        <w:t xml:space="preserve"> </w:t>
      </w:r>
      <w:r w:rsidRPr="00E0262F" w:rsidR="004230B9">
        <w:rPr>
          <w:rFonts w:ascii="Palatino Linotype" w:hAnsi="Palatino Linotype" w:cstheme="minorHAnsi"/>
        </w:rPr>
        <w:t xml:space="preserve">hereby adopt the </w:t>
      </w:r>
      <w:r w:rsidRPr="00E0262F" w:rsidR="00A3774A">
        <w:rPr>
          <w:rFonts w:ascii="Palatino Linotype" w:hAnsi="Palatino Linotype" w:cstheme="minorHAnsi"/>
        </w:rPr>
        <w:t>enforcement</w:t>
      </w:r>
      <w:r w:rsidRPr="00E0262F" w:rsidR="004230B9">
        <w:rPr>
          <w:rFonts w:ascii="Palatino Linotype" w:hAnsi="Palatino Linotype" w:cstheme="minorHAnsi"/>
        </w:rPr>
        <w:t xml:space="preserve"> program </w:t>
      </w:r>
      <w:r w:rsidRPr="00E0262F" w:rsidR="00A3774A">
        <w:rPr>
          <w:rFonts w:ascii="Palatino Linotype" w:hAnsi="Palatino Linotype" w:cstheme="minorHAnsi"/>
        </w:rPr>
        <w:t xml:space="preserve">in this Resolution </w:t>
      </w:r>
      <w:r w:rsidRPr="00E0262F" w:rsidR="004230B9">
        <w:rPr>
          <w:rFonts w:ascii="Palatino Linotype" w:hAnsi="Palatino Linotype" w:cstheme="minorHAnsi"/>
        </w:rPr>
        <w:t xml:space="preserve">to govern the </w:t>
      </w:r>
      <w:r w:rsidRPr="00E0262F" w:rsidR="00E02B80">
        <w:rPr>
          <w:rFonts w:ascii="Palatino Linotype" w:hAnsi="Palatino Linotype" w:cstheme="minorHAnsi"/>
        </w:rPr>
        <w:t xml:space="preserve">instances in which </w:t>
      </w:r>
      <w:r w:rsidRPr="00E0262F" w:rsidR="00AF75DE">
        <w:rPr>
          <w:rFonts w:ascii="Palatino Linotype" w:hAnsi="Palatino Linotype" w:cstheme="minorHAnsi"/>
        </w:rPr>
        <w:t xml:space="preserve">Frontier </w:t>
      </w:r>
      <w:r w:rsidR="00915727">
        <w:rPr>
          <w:rFonts w:ascii="Palatino Linotype" w:hAnsi="Palatino Linotype" w:cstheme="minorHAnsi"/>
        </w:rPr>
        <w:t xml:space="preserve">fails to meet and </w:t>
      </w:r>
      <w:r w:rsidRPr="00E0262F" w:rsidR="00E02B80">
        <w:rPr>
          <w:rFonts w:ascii="Palatino Linotype" w:hAnsi="Palatino Linotype" w:cstheme="minorHAnsi"/>
        </w:rPr>
        <w:t>fulf</w:t>
      </w:r>
      <w:r w:rsidRPr="00E0262F" w:rsidR="00AF75DE">
        <w:rPr>
          <w:rFonts w:ascii="Palatino Linotype" w:hAnsi="Palatino Linotype" w:cstheme="minorHAnsi"/>
        </w:rPr>
        <w:t>i</w:t>
      </w:r>
      <w:r w:rsidRPr="00E0262F" w:rsidR="00E02B80">
        <w:rPr>
          <w:rFonts w:ascii="Palatino Linotype" w:hAnsi="Palatino Linotype" w:cstheme="minorHAnsi"/>
        </w:rPr>
        <w:t xml:space="preserve">ll </w:t>
      </w:r>
      <w:r w:rsidRPr="00E0262F" w:rsidR="00AF75DE">
        <w:rPr>
          <w:rFonts w:ascii="Palatino Linotype" w:hAnsi="Palatino Linotype" w:cstheme="minorHAnsi"/>
        </w:rPr>
        <w:t>their obligations pursuant to their corporate reorganization</w:t>
      </w:r>
      <w:r w:rsidR="00D02C6D">
        <w:rPr>
          <w:rFonts w:ascii="Palatino Linotype" w:hAnsi="Palatino Linotype" w:cstheme="minorHAnsi"/>
        </w:rPr>
        <w:t xml:space="preserve"> pursuant to D. 21-04-008</w:t>
      </w:r>
      <w:r w:rsidRPr="00E0262F" w:rsidR="008A44C7">
        <w:rPr>
          <w:rFonts w:ascii="Palatino Linotype" w:hAnsi="Palatino Linotype" w:cstheme="minorHAnsi"/>
        </w:rPr>
        <w:t>.</w:t>
      </w:r>
    </w:p>
    <w:p w:rsidRPr="00E0262F" w:rsidR="00BB439F" w:rsidP="000472C2" w:rsidRDefault="000B3AEB" w14:paraId="65CC1785" w14:textId="1111E335">
      <w:pPr>
        <w:keepNext/>
        <w:numPr>
          <w:ilvl w:val="0"/>
          <w:numId w:val="5"/>
        </w:numPr>
        <w:tabs>
          <w:tab w:val="clear" w:pos="240"/>
        </w:tabs>
        <w:spacing w:after="120"/>
        <w:ind w:left="360" w:hanging="360"/>
        <w:rPr>
          <w:rFonts w:ascii="Palatino Linotype" w:hAnsi="Palatino Linotype" w:cstheme="minorHAnsi"/>
        </w:rPr>
      </w:pPr>
      <w:r>
        <w:rPr>
          <w:rFonts w:ascii="Palatino Linotype" w:hAnsi="Palatino Linotype" w:cstheme="minorHAnsi"/>
        </w:rPr>
        <w:t>The Commission</w:t>
      </w:r>
      <w:r w:rsidRPr="00E0262F">
        <w:rPr>
          <w:rFonts w:ascii="Palatino Linotype" w:hAnsi="Palatino Linotype" w:cstheme="minorHAnsi"/>
        </w:rPr>
        <w:t xml:space="preserve"> </w:t>
      </w:r>
      <w:r w:rsidRPr="00E0262F" w:rsidR="003A40BA">
        <w:rPr>
          <w:rFonts w:ascii="Palatino Linotype" w:hAnsi="Palatino Linotype" w:cstheme="minorHAnsi"/>
        </w:rPr>
        <w:t xml:space="preserve">authorize </w:t>
      </w:r>
      <w:r>
        <w:rPr>
          <w:rFonts w:ascii="Palatino Linotype" w:hAnsi="Palatino Linotype" w:cstheme="minorHAnsi"/>
        </w:rPr>
        <w:t xml:space="preserve">CD </w:t>
      </w:r>
      <w:r w:rsidRPr="00E0262F" w:rsidR="003A40BA">
        <w:rPr>
          <w:rFonts w:ascii="Palatino Linotype" w:hAnsi="Palatino Linotype" w:cstheme="minorHAnsi"/>
        </w:rPr>
        <w:t xml:space="preserve">Staff to </w:t>
      </w:r>
      <w:r w:rsidRPr="00E0262F" w:rsidR="006907F1">
        <w:rPr>
          <w:rFonts w:ascii="Palatino Linotype" w:hAnsi="Palatino Linotype" w:cstheme="minorHAnsi"/>
        </w:rPr>
        <w:t>implement the enforcement program in this Resolution.</w:t>
      </w:r>
    </w:p>
    <w:p w:rsidRPr="00E0262F" w:rsidR="003B1DBD" w:rsidP="00BD16E8" w:rsidRDefault="003B1DBD" w14:paraId="0F321E0B" w14:textId="71BC5E56">
      <w:pPr>
        <w:jc w:val="both"/>
        <w:rPr>
          <w:rFonts w:ascii="Palatino Linotype" w:hAnsi="Palatino Linotype" w:cstheme="minorHAnsi"/>
        </w:rPr>
      </w:pPr>
      <w:r w:rsidRPr="00E0262F">
        <w:rPr>
          <w:rFonts w:ascii="Palatino Linotype" w:hAnsi="Palatino Linotype" w:cstheme="minorHAnsi"/>
        </w:rPr>
        <w:t xml:space="preserve">This </w:t>
      </w:r>
      <w:r w:rsidRPr="00E0262F" w:rsidR="00E76296">
        <w:rPr>
          <w:rFonts w:ascii="Palatino Linotype" w:hAnsi="Palatino Linotype" w:cstheme="minorHAnsi"/>
        </w:rPr>
        <w:t>R</w:t>
      </w:r>
      <w:r w:rsidRPr="00E0262F">
        <w:rPr>
          <w:rFonts w:ascii="Palatino Linotype" w:hAnsi="Palatino Linotype" w:cstheme="minorHAnsi"/>
        </w:rPr>
        <w:t>esolution is effective today.</w:t>
      </w:r>
    </w:p>
    <w:p w:rsidRPr="00E0262F" w:rsidR="003B1DBD" w:rsidP="00344784" w:rsidRDefault="003B1DBD" w14:paraId="10B7452B" w14:textId="77777777">
      <w:pPr>
        <w:jc w:val="both"/>
        <w:rPr>
          <w:rFonts w:ascii="Palatino Linotype" w:hAnsi="Palatino Linotype" w:cstheme="minorHAnsi"/>
        </w:rPr>
      </w:pPr>
    </w:p>
    <w:p w:rsidR="00401EDB" w:rsidP="00401EDB" w:rsidRDefault="00401EDB" w14:paraId="6D773C6A" w14:textId="127EB778">
      <w:pPr>
        <w:pStyle w:val="Title"/>
        <w:jc w:val="left"/>
        <w:rPr>
          <w:rFonts w:ascii="Palatino Linotype" w:hAnsi="Palatino Linotype"/>
          <w:b w:val="0"/>
          <w:szCs w:val="24"/>
        </w:rPr>
      </w:pPr>
      <w:r>
        <w:rPr>
          <w:rFonts w:ascii="Palatino Linotype" w:hAnsi="Palatino Linotype"/>
          <w:b w:val="0"/>
          <w:szCs w:val="24"/>
        </w:rPr>
        <w:t>I hereby certify that the Public Utilities Commission adopted this Resolution at its regular meeting on _________________. The following Commissioners adopted it:</w:t>
      </w:r>
    </w:p>
    <w:p w:rsidR="003644F9" w:rsidP="00401EDB" w:rsidRDefault="003644F9" w14:paraId="22512E31" w14:textId="1F65DF1A">
      <w:pPr>
        <w:pStyle w:val="Title"/>
        <w:jc w:val="left"/>
        <w:rPr>
          <w:rFonts w:ascii="Palatino Linotype" w:hAnsi="Palatino Linotype"/>
          <w:b w:val="0"/>
          <w:szCs w:val="24"/>
        </w:rPr>
      </w:pPr>
    </w:p>
    <w:p w:rsidR="003644F9" w:rsidP="00401EDB" w:rsidRDefault="003644F9" w14:paraId="222C9EFF" w14:textId="77777777">
      <w:pPr>
        <w:pStyle w:val="Title"/>
        <w:jc w:val="left"/>
        <w:rPr>
          <w:rFonts w:ascii="Palatino Linotype" w:hAnsi="Palatino Linotype"/>
          <w:b w:val="0"/>
          <w:szCs w:val="24"/>
        </w:rPr>
      </w:pPr>
    </w:p>
    <w:p w:rsidRPr="00E0262F" w:rsidR="003B1DBD" w:rsidP="00344784" w:rsidRDefault="003B1DBD" w14:paraId="34C02792" w14:textId="77777777">
      <w:pPr>
        <w:jc w:val="both"/>
        <w:rPr>
          <w:rFonts w:ascii="Palatino Linotype" w:hAnsi="Palatino Linotype"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6"/>
        <w:gridCol w:w="4694"/>
      </w:tblGrid>
      <w:tr w:rsidRPr="006E0B46" w:rsidR="009B7857" w:rsidTr="00380F20" w14:paraId="1A8FD1FE" w14:textId="77777777">
        <w:tc>
          <w:tcPr>
            <w:tcW w:w="4666" w:type="dxa"/>
            <w:tcBorders>
              <w:top w:val="nil"/>
              <w:left w:val="nil"/>
              <w:bottom w:val="nil"/>
              <w:right w:val="nil"/>
            </w:tcBorders>
            <w:shd w:val="clear" w:color="auto" w:fill="auto"/>
          </w:tcPr>
          <w:p w:rsidRPr="00E0262F" w:rsidR="009B7857" w:rsidP="00344784" w:rsidRDefault="009B7857" w14:paraId="718F8C33" w14:textId="77777777">
            <w:pPr>
              <w:rPr>
                <w:rFonts w:ascii="Palatino Linotype" w:hAnsi="Palatino Linotype" w:cstheme="minorHAnsi"/>
              </w:rPr>
            </w:pPr>
          </w:p>
        </w:tc>
        <w:tc>
          <w:tcPr>
            <w:tcW w:w="4694" w:type="dxa"/>
            <w:tcBorders>
              <w:top w:val="nil"/>
              <w:left w:val="nil"/>
              <w:bottom w:val="single" w:color="auto" w:sz="4" w:space="0"/>
              <w:right w:val="nil"/>
            </w:tcBorders>
            <w:shd w:val="clear" w:color="auto" w:fill="auto"/>
          </w:tcPr>
          <w:p w:rsidRPr="00E0262F" w:rsidR="009B7857" w:rsidP="00344784" w:rsidRDefault="009B7857" w14:paraId="2B028407" w14:textId="77777777">
            <w:pPr>
              <w:rPr>
                <w:rFonts w:ascii="Palatino Linotype" w:hAnsi="Palatino Linotype" w:cstheme="minorHAnsi"/>
              </w:rPr>
            </w:pPr>
          </w:p>
        </w:tc>
      </w:tr>
      <w:tr w:rsidRPr="006E0B46" w:rsidR="009B7857" w:rsidTr="00380F20" w14:paraId="3CC7D436" w14:textId="77777777">
        <w:tc>
          <w:tcPr>
            <w:tcW w:w="4666" w:type="dxa"/>
            <w:tcBorders>
              <w:top w:val="nil"/>
              <w:left w:val="nil"/>
              <w:bottom w:val="nil"/>
              <w:right w:val="nil"/>
            </w:tcBorders>
            <w:shd w:val="clear" w:color="auto" w:fill="auto"/>
          </w:tcPr>
          <w:p w:rsidRPr="00E0262F" w:rsidR="009B7857" w:rsidP="00344784" w:rsidRDefault="009B7857" w14:paraId="62FBF8CD" w14:textId="77777777">
            <w:pPr>
              <w:rPr>
                <w:rFonts w:ascii="Palatino Linotype" w:hAnsi="Palatino Linotype" w:cstheme="minorHAnsi"/>
              </w:rPr>
            </w:pPr>
          </w:p>
        </w:tc>
        <w:tc>
          <w:tcPr>
            <w:tcW w:w="4694" w:type="dxa"/>
            <w:tcBorders>
              <w:top w:val="single" w:color="auto" w:sz="4" w:space="0"/>
              <w:left w:val="nil"/>
              <w:bottom w:val="nil"/>
              <w:right w:val="nil"/>
            </w:tcBorders>
            <w:shd w:val="clear" w:color="auto" w:fill="auto"/>
          </w:tcPr>
          <w:p w:rsidRPr="00E0262F" w:rsidR="009B7857" w:rsidP="00F97153" w:rsidRDefault="00A47ECF" w14:paraId="41C6BA67" w14:textId="551A34BA">
            <w:pPr>
              <w:jc w:val="center"/>
              <w:rPr>
                <w:rFonts w:ascii="Palatino Linotype" w:hAnsi="Palatino Linotype" w:cstheme="minorHAnsi"/>
              </w:rPr>
            </w:pPr>
            <w:r w:rsidRPr="00E0262F">
              <w:rPr>
                <w:rFonts w:ascii="Palatino Linotype" w:hAnsi="Palatino Linotype" w:cstheme="minorHAnsi"/>
              </w:rPr>
              <w:t>Rachel Peterson</w:t>
            </w:r>
          </w:p>
          <w:p w:rsidRPr="00E0262F" w:rsidR="00805FD6" w:rsidP="00F97153" w:rsidRDefault="00805FD6" w14:paraId="7784CD60" w14:textId="372B9C45">
            <w:pPr>
              <w:jc w:val="center"/>
              <w:rPr>
                <w:rFonts w:ascii="Palatino Linotype" w:hAnsi="Palatino Linotype" w:cstheme="minorHAnsi"/>
              </w:rPr>
            </w:pPr>
            <w:r w:rsidRPr="00E0262F">
              <w:rPr>
                <w:rFonts w:ascii="Palatino Linotype" w:hAnsi="Palatino Linotype" w:cstheme="minorHAnsi"/>
              </w:rPr>
              <w:t>Executive Director</w:t>
            </w:r>
          </w:p>
        </w:tc>
      </w:tr>
    </w:tbl>
    <w:p w:rsidRPr="00E0262F" w:rsidR="003B1DBD" w:rsidP="00344784" w:rsidRDefault="003B1DBD" w14:paraId="7BD8BF86" w14:textId="6C18FD56">
      <w:pPr>
        <w:rPr>
          <w:rFonts w:ascii="Palatino Linotype" w:hAnsi="Palatino Linotype" w:cstheme="minorHAnsi"/>
        </w:rPr>
      </w:pPr>
    </w:p>
    <w:p w:rsidRPr="00E0262F" w:rsidR="009B7857" w:rsidP="00344784" w:rsidRDefault="009B7857" w14:paraId="15BBCAF3" w14:textId="77777777">
      <w:pPr>
        <w:rPr>
          <w:rFonts w:ascii="Palatino Linotype" w:hAnsi="Palatino Linotype" w:cstheme="minorHAnsi"/>
        </w:rPr>
      </w:pPr>
    </w:p>
    <w:p w:rsidR="00DC7910" w:rsidRDefault="00DC7910" w14:paraId="086449AD" w14:textId="67639386">
      <w:pPr>
        <w:rPr>
          <w:rFonts w:ascii="Palatino Linotype" w:hAnsi="Palatino Linotype" w:cstheme="minorHAnsi"/>
        </w:rPr>
      </w:pPr>
    </w:p>
    <w:p w:rsidR="00380F20" w:rsidRDefault="00380F20" w14:paraId="386E11FD" w14:textId="77777777">
      <w:pPr>
        <w:rPr>
          <w:rFonts w:ascii="Palatino Linotype" w:hAnsi="Palatino Linotype" w:cstheme="minorHAnsi"/>
        </w:rPr>
      </w:pPr>
    </w:p>
    <w:p w:rsidR="00380F20" w:rsidRDefault="00380F20" w14:paraId="42D2E676" w14:textId="77777777">
      <w:pPr>
        <w:rPr>
          <w:rFonts w:ascii="Palatino Linotype" w:hAnsi="Palatino Linotype" w:cstheme="minorHAnsi"/>
        </w:rPr>
      </w:pPr>
    </w:p>
    <w:p w:rsidR="00380F20" w:rsidRDefault="00380F20" w14:paraId="41867E6E" w14:textId="77777777">
      <w:pPr>
        <w:rPr>
          <w:rFonts w:ascii="Palatino Linotype" w:hAnsi="Palatino Linotype" w:cstheme="minorHAnsi"/>
        </w:rPr>
      </w:pPr>
    </w:p>
    <w:p w:rsidR="00380F20" w:rsidRDefault="00380F20" w14:paraId="0BE5BD9E" w14:textId="77777777">
      <w:pPr>
        <w:rPr>
          <w:rFonts w:ascii="Palatino Linotype" w:hAnsi="Palatino Linotype" w:cstheme="minorHAnsi"/>
        </w:rPr>
      </w:pPr>
    </w:p>
    <w:p w:rsidR="00380F20" w:rsidRDefault="00380F20" w14:paraId="562D956C" w14:textId="77777777">
      <w:pPr>
        <w:rPr>
          <w:rFonts w:ascii="Palatino Linotype" w:hAnsi="Palatino Linotype" w:cstheme="minorHAnsi"/>
        </w:rPr>
      </w:pPr>
    </w:p>
    <w:p w:rsidR="00380F20" w:rsidRDefault="00380F20" w14:paraId="13846CB4" w14:textId="77777777">
      <w:pPr>
        <w:rPr>
          <w:rFonts w:ascii="Palatino Linotype" w:hAnsi="Palatino Linotype" w:cstheme="minorHAnsi"/>
        </w:rPr>
        <w:sectPr w:rsidR="00380F20" w:rsidSect="007834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Pr="00E0262F" w:rsidR="00FC609E" w:rsidP="00884272" w:rsidRDefault="00FC609E" w14:paraId="4AE1835D" w14:textId="0D459111">
      <w:pPr>
        <w:jc w:val="center"/>
        <w:rPr>
          <w:rFonts w:ascii="Palatino Linotype" w:hAnsi="Palatino Linotype" w:cstheme="minorHAnsi"/>
          <w:b/>
          <w:bCs/>
        </w:rPr>
      </w:pPr>
      <w:r w:rsidRPr="00E0262F">
        <w:rPr>
          <w:rFonts w:ascii="Palatino Linotype" w:hAnsi="Palatino Linotype" w:cstheme="minorHAnsi"/>
          <w:b/>
          <w:bCs/>
        </w:rPr>
        <w:lastRenderedPageBreak/>
        <w:t xml:space="preserve">APPENDIX </w:t>
      </w:r>
      <w:r w:rsidR="003F18AA">
        <w:rPr>
          <w:rFonts w:ascii="Palatino Linotype" w:hAnsi="Palatino Linotype" w:cstheme="minorHAnsi"/>
          <w:b/>
          <w:bCs/>
        </w:rPr>
        <w:t>A</w:t>
      </w:r>
    </w:p>
    <w:p w:rsidRPr="00860B97" w:rsidR="00FC609E" w:rsidRDefault="00FC609E" w14:paraId="1F866BEF" w14:textId="5006137A">
      <w:pPr>
        <w:rPr>
          <w:rFonts w:ascii="Palatino Linotype" w:hAnsi="Palatino Linotype" w:cstheme="minorHAnsi"/>
          <w:b/>
          <w:bCs/>
          <w:highlight w:val="cyan"/>
        </w:rPr>
      </w:pPr>
    </w:p>
    <w:tbl>
      <w:tblPr>
        <w:tblStyle w:val="TableGrid"/>
        <w:tblW w:w="10160" w:type="dxa"/>
        <w:jc w:val="center"/>
        <w:tblLook w:val="04A0" w:firstRow="1" w:lastRow="0" w:firstColumn="1" w:lastColumn="0" w:noHBand="0" w:noVBand="1"/>
      </w:tblPr>
      <w:tblGrid>
        <w:gridCol w:w="685"/>
        <w:gridCol w:w="657"/>
        <w:gridCol w:w="687"/>
        <w:gridCol w:w="642"/>
        <w:gridCol w:w="736"/>
        <w:gridCol w:w="635"/>
        <w:gridCol w:w="706"/>
        <w:gridCol w:w="746"/>
        <w:gridCol w:w="695"/>
        <w:gridCol w:w="666"/>
        <w:gridCol w:w="635"/>
        <w:gridCol w:w="755"/>
        <w:gridCol w:w="1915"/>
      </w:tblGrid>
      <w:tr w:rsidRPr="00557155" w:rsidR="001E2D49" w:rsidTr="00860B97" w14:paraId="7A85D7C7" w14:textId="77777777">
        <w:trPr>
          <w:jc w:val="center"/>
        </w:trPr>
        <w:tc>
          <w:tcPr>
            <w:tcW w:w="10160" w:type="dxa"/>
            <w:gridSpan w:val="13"/>
            <w:shd w:val="clear" w:color="auto" w:fill="FFC000"/>
          </w:tcPr>
          <w:p w:rsidRPr="00860B97" w:rsidR="001E2D49" w:rsidP="008D2F9B" w:rsidRDefault="004647C8" w14:paraId="651BE750" w14:textId="2008AC5C">
            <w:pPr>
              <w:jc w:val="center"/>
              <w:rPr>
                <w:rFonts w:ascii="Palatino Linotype" w:hAnsi="Palatino Linotype" w:cstheme="minorHAnsi"/>
              </w:rPr>
            </w:pPr>
            <w:r w:rsidRPr="00860B97">
              <w:rPr>
                <w:rFonts w:ascii="Palatino Linotype" w:hAnsi="Palatino Linotype" w:cstheme="minorHAnsi"/>
              </w:rPr>
              <w:t xml:space="preserve">EXAMPLES OF </w:t>
            </w:r>
            <w:r w:rsidRPr="00860B97" w:rsidR="00415AAA">
              <w:rPr>
                <w:rFonts w:ascii="Palatino Linotype" w:hAnsi="Palatino Linotype" w:cstheme="minorHAnsi"/>
              </w:rPr>
              <w:t>PAYMENTS FRONTIER NEEDS TO MAKE</w:t>
            </w:r>
            <w:r w:rsidRPr="00860B97" w:rsidR="001E2D49">
              <w:rPr>
                <w:rFonts w:ascii="Palatino Linotype" w:hAnsi="Palatino Linotype" w:cstheme="minorHAnsi"/>
              </w:rPr>
              <w:t xml:space="preserve"> ASSUMING </w:t>
            </w:r>
            <w:r w:rsidRPr="00860B97" w:rsidR="006B2C57">
              <w:rPr>
                <w:rFonts w:ascii="Palatino Linotype" w:hAnsi="Palatino Linotype" w:cstheme="minorHAnsi"/>
              </w:rPr>
              <w:t>RE</w:t>
            </w:r>
            <w:r w:rsidRPr="00860B97" w:rsidR="00C218A4">
              <w:rPr>
                <w:rFonts w:ascii="Palatino Linotype" w:hAnsi="Palatino Linotype" w:cstheme="minorHAnsi"/>
              </w:rPr>
              <w:t>PAIR RATE OF</w:t>
            </w:r>
            <w:r w:rsidRPr="00860B97">
              <w:rPr>
                <w:rFonts w:ascii="Palatino Linotype" w:hAnsi="Palatino Linotype" w:cstheme="minorHAnsi"/>
              </w:rPr>
              <w:t xml:space="preserve"> AT LEAST</w:t>
            </w:r>
            <w:r w:rsidRPr="00860B97" w:rsidR="006B2C57">
              <w:rPr>
                <w:rFonts w:ascii="Palatino Linotype" w:hAnsi="Palatino Linotype" w:cstheme="minorHAnsi"/>
              </w:rPr>
              <w:t xml:space="preserve"> </w:t>
            </w:r>
            <w:r w:rsidRPr="00860B97" w:rsidR="001E2D49">
              <w:rPr>
                <w:rFonts w:ascii="Palatino Linotype" w:hAnsi="Palatino Linotype" w:cstheme="minorHAnsi"/>
              </w:rPr>
              <w:t xml:space="preserve">80% </w:t>
            </w:r>
            <w:r w:rsidRPr="00860B97">
              <w:rPr>
                <w:rFonts w:ascii="Palatino Linotype" w:hAnsi="Palatino Linotype" w:cstheme="minorHAnsi"/>
              </w:rPr>
              <w:t>BUT LESS THAN</w:t>
            </w:r>
            <w:r w:rsidRPr="00860B97" w:rsidR="001E2D49">
              <w:rPr>
                <w:rFonts w:ascii="Palatino Linotype" w:hAnsi="Palatino Linotype" w:cstheme="minorHAnsi"/>
              </w:rPr>
              <w:t xml:space="preserve"> 90%</w:t>
            </w:r>
          </w:p>
        </w:tc>
      </w:tr>
      <w:tr w:rsidRPr="00557155" w:rsidR="00860B97" w:rsidTr="00860B97" w14:paraId="7ACE338F" w14:textId="77777777">
        <w:trPr>
          <w:jc w:val="center"/>
        </w:trPr>
        <w:tc>
          <w:tcPr>
            <w:tcW w:w="685" w:type="dxa"/>
          </w:tcPr>
          <w:p w:rsidRPr="00926A85" w:rsidR="001E2D49" w:rsidP="008D2F9B" w:rsidRDefault="00860B97" w14:paraId="7BB3E6D3" w14:textId="59297DEC">
            <w:pPr>
              <w:rPr>
                <w:rFonts w:ascii="Palatino Linotype" w:hAnsi="Palatino Linotype" w:cstheme="minorHAnsi"/>
                <w:b/>
                <w:bCs/>
                <w:sz w:val="18"/>
                <w:szCs w:val="18"/>
              </w:rPr>
            </w:pPr>
            <w:r>
              <w:rPr>
                <w:rFonts w:ascii="Palatino Linotype" w:hAnsi="Palatino Linotype" w:cstheme="minorHAnsi"/>
                <w:b/>
                <w:bCs/>
                <w:sz w:val="18"/>
                <w:szCs w:val="18"/>
              </w:rPr>
              <w:t>APR</w:t>
            </w:r>
          </w:p>
        </w:tc>
        <w:tc>
          <w:tcPr>
            <w:tcW w:w="657" w:type="dxa"/>
          </w:tcPr>
          <w:p w:rsidRPr="00926A85" w:rsidR="001E2D49" w:rsidP="008D2F9B" w:rsidRDefault="001E2D49" w14:paraId="3FAB1E78" w14:textId="77777777">
            <w:pPr>
              <w:rPr>
                <w:rFonts w:ascii="Palatino Linotype" w:hAnsi="Palatino Linotype" w:cstheme="minorHAnsi"/>
                <w:b/>
                <w:bCs/>
                <w:sz w:val="18"/>
                <w:szCs w:val="18"/>
              </w:rPr>
            </w:pPr>
            <w:r w:rsidRPr="00926A85">
              <w:rPr>
                <w:rFonts w:ascii="Palatino Linotype" w:hAnsi="Palatino Linotype" w:cstheme="minorHAnsi"/>
                <w:b/>
                <w:bCs/>
                <w:sz w:val="18"/>
                <w:szCs w:val="18"/>
              </w:rPr>
              <w:t>MAY</w:t>
            </w:r>
          </w:p>
        </w:tc>
        <w:tc>
          <w:tcPr>
            <w:tcW w:w="687" w:type="dxa"/>
          </w:tcPr>
          <w:p w:rsidRPr="00926A85" w:rsidR="001E2D49" w:rsidP="008D2F9B" w:rsidRDefault="001E2D49" w14:paraId="22BCB823" w14:textId="27D0B8B4">
            <w:pPr>
              <w:rPr>
                <w:rFonts w:ascii="Palatino Linotype" w:hAnsi="Palatino Linotype" w:cstheme="minorHAnsi"/>
                <w:b/>
                <w:bCs/>
                <w:sz w:val="18"/>
                <w:szCs w:val="18"/>
              </w:rPr>
            </w:pPr>
            <w:r w:rsidRPr="00926A85">
              <w:rPr>
                <w:rFonts w:ascii="Palatino Linotype" w:hAnsi="Palatino Linotype" w:cstheme="minorHAnsi"/>
                <w:b/>
                <w:bCs/>
                <w:sz w:val="18"/>
                <w:szCs w:val="18"/>
              </w:rPr>
              <w:t>JUN</w:t>
            </w:r>
          </w:p>
        </w:tc>
        <w:tc>
          <w:tcPr>
            <w:tcW w:w="642" w:type="dxa"/>
          </w:tcPr>
          <w:p w:rsidRPr="00926A85" w:rsidR="001E2D49" w:rsidP="008D2F9B" w:rsidRDefault="001E2D49" w14:paraId="3CF0E8B0" w14:textId="0D4A8F6F">
            <w:pPr>
              <w:rPr>
                <w:rFonts w:ascii="Palatino Linotype" w:hAnsi="Palatino Linotype" w:cstheme="minorHAnsi"/>
                <w:b/>
                <w:bCs/>
                <w:sz w:val="18"/>
                <w:szCs w:val="18"/>
              </w:rPr>
            </w:pPr>
            <w:r w:rsidRPr="00926A85">
              <w:rPr>
                <w:rFonts w:ascii="Palatino Linotype" w:hAnsi="Palatino Linotype" w:cstheme="minorHAnsi"/>
                <w:b/>
                <w:bCs/>
                <w:sz w:val="18"/>
                <w:szCs w:val="18"/>
              </w:rPr>
              <w:t>JUL</w:t>
            </w:r>
          </w:p>
        </w:tc>
        <w:tc>
          <w:tcPr>
            <w:tcW w:w="736" w:type="dxa"/>
          </w:tcPr>
          <w:p w:rsidRPr="00926A85" w:rsidR="001E2D49" w:rsidP="008D2F9B" w:rsidRDefault="001E2D49" w14:paraId="011B76D7" w14:textId="0C717088">
            <w:pPr>
              <w:rPr>
                <w:rFonts w:ascii="Palatino Linotype" w:hAnsi="Palatino Linotype" w:cstheme="minorHAnsi"/>
                <w:b/>
                <w:bCs/>
                <w:sz w:val="18"/>
                <w:szCs w:val="18"/>
              </w:rPr>
            </w:pPr>
            <w:r w:rsidRPr="00926A85">
              <w:rPr>
                <w:rFonts w:ascii="Palatino Linotype" w:hAnsi="Palatino Linotype" w:cstheme="minorHAnsi"/>
                <w:b/>
                <w:bCs/>
                <w:sz w:val="18"/>
                <w:szCs w:val="18"/>
              </w:rPr>
              <w:t>AUG</w:t>
            </w:r>
          </w:p>
        </w:tc>
        <w:tc>
          <w:tcPr>
            <w:tcW w:w="635" w:type="dxa"/>
          </w:tcPr>
          <w:p w:rsidRPr="00926A85" w:rsidR="001E2D49" w:rsidP="008D2F9B" w:rsidRDefault="001E2D49" w14:paraId="15AAD3D9" w14:textId="3F4847E8">
            <w:pPr>
              <w:rPr>
                <w:rFonts w:ascii="Palatino Linotype" w:hAnsi="Palatino Linotype" w:cstheme="minorHAnsi"/>
                <w:b/>
                <w:bCs/>
                <w:sz w:val="18"/>
                <w:szCs w:val="18"/>
              </w:rPr>
            </w:pPr>
            <w:r w:rsidRPr="00926A85">
              <w:rPr>
                <w:rFonts w:ascii="Palatino Linotype" w:hAnsi="Palatino Linotype" w:cstheme="minorHAnsi"/>
                <w:b/>
                <w:bCs/>
                <w:sz w:val="18"/>
                <w:szCs w:val="18"/>
              </w:rPr>
              <w:t>SEP</w:t>
            </w:r>
          </w:p>
        </w:tc>
        <w:tc>
          <w:tcPr>
            <w:tcW w:w="706" w:type="dxa"/>
          </w:tcPr>
          <w:p w:rsidRPr="00926A85" w:rsidR="001E2D49" w:rsidP="008D2F9B" w:rsidRDefault="001E2D49" w14:paraId="558DF915" w14:textId="2F5FD569">
            <w:pPr>
              <w:rPr>
                <w:rFonts w:ascii="Palatino Linotype" w:hAnsi="Palatino Linotype" w:cstheme="minorHAnsi"/>
                <w:b/>
                <w:bCs/>
                <w:sz w:val="18"/>
                <w:szCs w:val="18"/>
              </w:rPr>
            </w:pPr>
            <w:r w:rsidRPr="00926A85">
              <w:rPr>
                <w:rFonts w:ascii="Palatino Linotype" w:hAnsi="Palatino Linotype" w:cstheme="minorHAnsi"/>
                <w:b/>
                <w:bCs/>
                <w:sz w:val="18"/>
                <w:szCs w:val="18"/>
              </w:rPr>
              <w:t>OCT</w:t>
            </w:r>
          </w:p>
        </w:tc>
        <w:tc>
          <w:tcPr>
            <w:tcW w:w="746" w:type="dxa"/>
          </w:tcPr>
          <w:p w:rsidRPr="00926A85" w:rsidR="001E2D49" w:rsidP="008D2F9B" w:rsidRDefault="001E2D49" w14:paraId="42998A62" w14:textId="7D3F2496">
            <w:pPr>
              <w:rPr>
                <w:rFonts w:ascii="Palatino Linotype" w:hAnsi="Palatino Linotype" w:cstheme="minorHAnsi"/>
                <w:b/>
                <w:bCs/>
                <w:sz w:val="18"/>
                <w:szCs w:val="18"/>
              </w:rPr>
            </w:pPr>
            <w:r w:rsidRPr="00926A85">
              <w:rPr>
                <w:rFonts w:ascii="Palatino Linotype" w:hAnsi="Palatino Linotype" w:cstheme="minorHAnsi"/>
                <w:b/>
                <w:bCs/>
                <w:sz w:val="18"/>
                <w:szCs w:val="18"/>
              </w:rPr>
              <w:t>NOV</w:t>
            </w:r>
          </w:p>
        </w:tc>
        <w:tc>
          <w:tcPr>
            <w:tcW w:w="695" w:type="dxa"/>
          </w:tcPr>
          <w:p w:rsidRPr="00926A85" w:rsidR="001E2D49" w:rsidP="008D2F9B" w:rsidRDefault="001E2D49" w14:paraId="175EBB67" w14:textId="1BADAC20">
            <w:pPr>
              <w:rPr>
                <w:rFonts w:ascii="Palatino Linotype" w:hAnsi="Palatino Linotype" w:cstheme="minorHAnsi"/>
                <w:b/>
                <w:bCs/>
                <w:sz w:val="18"/>
                <w:szCs w:val="18"/>
              </w:rPr>
            </w:pPr>
            <w:r w:rsidRPr="00926A85">
              <w:rPr>
                <w:rFonts w:ascii="Palatino Linotype" w:hAnsi="Palatino Linotype" w:cstheme="minorHAnsi"/>
                <w:b/>
                <w:bCs/>
                <w:sz w:val="18"/>
                <w:szCs w:val="18"/>
              </w:rPr>
              <w:t>DEC</w:t>
            </w:r>
          </w:p>
        </w:tc>
        <w:tc>
          <w:tcPr>
            <w:tcW w:w="666" w:type="dxa"/>
          </w:tcPr>
          <w:p w:rsidRPr="00926A85" w:rsidR="001E2D49" w:rsidP="008D2F9B" w:rsidRDefault="001E2D49" w14:paraId="2848242E" w14:textId="739AD22F">
            <w:pPr>
              <w:rPr>
                <w:rFonts w:ascii="Palatino Linotype" w:hAnsi="Palatino Linotype" w:cstheme="minorHAnsi"/>
                <w:b/>
                <w:bCs/>
                <w:sz w:val="18"/>
                <w:szCs w:val="18"/>
              </w:rPr>
            </w:pPr>
            <w:r w:rsidRPr="00926A85">
              <w:rPr>
                <w:rFonts w:ascii="Palatino Linotype" w:hAnsi="Palatino Linotype" w:cstheme="minorHAnsi"/>
                <w:b/>
                <w:bCs/>
                <w:sz w:val="18"/>
                <w:szCs w:val="18"/>
              </w:rPr>
              <w:t>JAN</w:t>
            </w:r>
          </w:p>
        </w:tc>
        <w:tc>
          <w:tcPr>
            <w:tcW w:w="635" w:type="dxa"/>
          </w:tcPr>
          <w:p w:rsidRPr="00926A85" w:rsidR="001E2D49" w:rsidP="008D2F9B" w:rsidRDefault="001E2D49" w14:paraId="72A0B04E" w14:textId="34D902F9">
            <w:pPr>
              <w:rPr>
                <w:rFonts w:ascii="Palatino Linotype" w:hAnsi="Palatino Linotype" w:cstheme="minorHAnsi"/>
                <w:b/>
                <w:bCs/>
                <w:sz w:val="18"/>
                <w:szCs w:val="18"/>
              </w:rPr>
            </w:pPr>
            <w:r w:rsidRPr="00926A85">
              <w:rPr>
                <w:rFonts w:ascii="Palatino Linotype" w:hAnsi="Palatino Linotype" w:cstheme="minorHAnsi"/>
                <w:b/>
                <w:bCs/>
                <w:sz w:val="18"/>
                <w:szCs w:val="18"/>
              </w:rPr>
              <w:t>FEB</w:t>
            </w:r>
          </w:p>
        </w:tc>
        <w:tc>
          <w:tcPr>
            <w:tcW w:w="755" w:type="dxa"/>
          </w:tcPr>
          <w:p w:rsidRPr="00926A85" w:rsidR="001E2D49" w:rsidP="008D2F9B" w:rsidRDefault="001E2D49" w14:paraId="19989800" w14:textId="1DD232AB">
            <w:pPr>
              <w:rPr>
                <w:rFonts w:ascii="Palatino Linotype" w:hAnsi="Palatino Linotype" w:cstheme="minorHAnsi"/>
                <w:b/>
                <w:bCs/>
                <w:sz w:val="18"/>
                <w:szCs w:val="18"/>
              </w:rPr>
            </w:pPr>
            <w:r w:rsidRPr="00926A85">
              <w:rPr>
                <w:rFonts w:ascii="Palatino Linotype" w:hAnsi="Palatino Linotype" w:cstheme="minorHAnsi"/>
                <w:b/>
                <w:bCs/>
                <w:sz w:val="18"/>
                <w:szCs w:val="18"/>
              </w:rPr>
              <w:t>MAR</w:t>
            </w:r>
          </w:p>
        </w:tc>
        <w:tc>
          <w:tcPr>
            <w:tcW w:w="1915" w:type="dxa"/>
          </w:tcPr>
          <w:p w:rsidRPr="00926A85" w:rsidR="001E2D49" w:rsidP="008D2F9B" w:rsidRDefault="001E2D49" w14:paraId="0E0BEEA0" w14:textId="4F1E00F8">
            <w:pPr>
              <w:rPr>
                <w:rFonts w:ascii="Palatino Linotype" w:hAnsi="Palatino Linotype" w:cstheme="minorHAnsi"/>
                <w:b/>
                <w:bCs/>
                <w:sz w:val="18"/>
                <w:szCs w:val="18"/>
              </w:rPr>
            </w:pPr>
            <w:r w:rsidRPr="00926A85">
              <w:rPr>
                <w:rFonts w:ascii="Palatino Linotype" w:hAnsi="Palatino Linotype" w:cstheme="minorHAnsi"/>
                <w:b/>
                <w:bCs/>
                <w:sz w:val="18"/>
                <w:szCs w:val="18"/>
              </w:rPr>
              <w:t>AMOUNT</w:t>
            </w:r>
          </w:p>
        </w:tc>
      </w:tr>
      <w:tr w:rsidRPr="00557155" w:rsidR="00860B97" w:rsidTr="00860B97" w14:paraId="1C95A144" w14:textId="77777777">
        <w:trPr>
          <w:jc w:val="center"/>
        </w:trPr>
        <w:tc>
          <w:tcPr>
            <w:tcW w:w="685" w:type="dxa"/>
            <w:shd w:val="clear" w:color="auto" w:fill="C00000"/>
          </w:tcPr>
          <w:p w:rsidRPr="00926A85" w:rsidR="001E2D49" w:rsidP="008D2F9B" w:rsidRDefault="001E2D49" w14:paraId="539CE112"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57" w:type="dxa"/>
          </w:tcPr>
          <w:p w:rsidRPr="00926A85" w:rsidR="001E2D49" w:rsidP="008D2F9B" w:rsidRDefault="001E2D49" w14:paraId="44734D93" w14:textId="77777777">
            <w:pPr>
              <w:rPr>
                <w:rFonts w:ascii="Palatino Linotype" w:hAnsi="Palatino Linotype" w:cstheme="minorHAnsi"/>
                <w:sz w:val="18"/>
                <w:szCs w:val="18"/>
              </w:rPr>
            </w:pPr>
          </w:p>
        </w:tc>
        <w:tc>
          <w:tcPr>
            <w:tcW w:w="687" w:type="dxa"/>
            <w:shd w:val="clear" w:color="auto" w:fill="C00000"/>
          </w:tcPr>
          <w:p w:rsidRPr="00926A85" w:rsidR="001E2D49" w:rsidP="008D2F9B" w:rsidRDefault="001E2D49" w14:paraId="1673D8AC"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42" w:type="dxa"/>
          </w:tcPr>
          <w:p w:rsidRPr="00926A85" w:rsidR="001E2D49" w:rsidP="008D2F9B" w:rsidRDefault="001E2D49" w14:paraId="754BF0E8" w14:textId="77777777">
            <w:pPr>
              <w:rPr>
                <w:rFonts w:ascii="Palatino Linotype" w:hAnsi="Palatino Linotype" w:cstheme="minorHAnsi"/>
                <w:sz w:val="18"/>
                <w:szCs w:val="18"/>
              </w:rPr>
            </w:pPr>
          </w:p>
        </w:tc>
        <w:tc>
          <w:tcPr>
            <w:tcW w:w="736" w:type="dxa"/>
            <w:shd w:val="clear" w:color="auto" w:fill="C00000"/>
          </w:tcPr>
          <w:p w:rsidRPr="00926A85" w:rsidR="001E2D49" w:rsidP="008D2F9B" w:rsidRDefault="001E2D49" w14:paraId="7D65FDD9"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35" w:type="dxa"/>
          </w:tcPr>
          <w:p w:rsidRPr="00926A85" w:rsidR="001E2D49" w:rsidP="008D2F9B" w:rsidRDefault="001E2D49" w14:paraId="4CC85A8D" w14:textId="77777777">
            <w:pPr>
              <w:rPr>
                <w:rFonts w:ascii="Palatino Linotype" w:hAnsi="Palatino Linotype" w:cstheme="minorHAnsi"/>
                <w:sz w:val="18"/>
                <w:szCs w:val="18"/>
              </w:rPr>
            </w:pPr>
          </w:p>
        </w:tc>
        <w:tc>
          <w:tcPr>
            <w:tcW w:w="706" w:type="dxa"/>
            <w:shd w:val="clear" w:color="auto" w:fill="C00000"/>
          </w:tcPr>
          <w:p w:rsidRPr="00926A85" w:rsidR="001E2D49" w:rsidP="008D2F9B" w:rsidRDefault="001E2D49" w14:paraId="3D46C2A4"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46" w:type="dxa"/>
          </w:tcPr>
          <w:p w:rsidRPr="00926A85" w:rsidR="001E2D49" w:rsidP="008D2F9B" w:rsidRDefault="001E2D49" w14:paraId="5EA5EB3D" w14:textId="77777777">
            <w:pPr>
              <w:rPr>
                <w:rFonts w:ascii="Palatino Linotype" w:hAnsi="Palatino Linotype" w:cstheme="minorHAnsi"/>
                <w:sz w:val="18"/>
                <w:szCs w:val="18"/>
              </w:rPr>
            </w:pPr>
          </w:p>
        </w:tc>
        <w:tc>
          <w:tcPr>
            <w:tcW w:w="695" w:type="dxa"/>
            <w:shd w:val="clear" w:color="auto" w:fill="C00000"/>
          </w:tcPr>
          <w:p w:rsidRPr="00926A85" w:rsidR="001E2D49" w:rsidP="008D2F9B" w:rsidRDefault="001E2D49" w14:paraId="1E3E5EF3"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66" w:type="dxa"/>
          </w:tcPr>
          <w:p w:rsidRPr="00926A85" w:rsidR="001E2D49" w:rsidP="008D2F9B" w:rsidRDefault="001E2D49" w14:paraId="59CD574F" w14:textId="77777777">
            <w:pPr>
              <w:rPr>
                <w:rFonts w:ascii="Palatino Linotype" w:hAnsi="Palatino Linotype" w:cstheme="minorHAnsi"/>
                <w:sz w:val="18"/>
                <w:szCs w:val="18"/>
              </w:rPr>
            </w:pPr>
          </w:p>
        </w:tc>
        <w:tc>
          <w:tcPr>
            <w:tcW w:w="635" w:type="dxa"/>
            <w:shd w:val="clear" w:color="auto" w:fill="C00000"/>
          </w:tcPr>
          <w:p w:rsidRPr="00926A85" w:rsidR="001E2D49" w:rsidP="008D2F9B" w:rsidRDefault="001E2D49" w14:paraId="359B5308"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55" w:type="dxa"/>
          </w:tcPr>
          <w:p w:rsidRPr="00926A85" w:rsidR="001E2D49" w:rsidP="008D2F9B" w:rsidRDefault="001E2D49" w14:paraId="22CD31E0" w14:textId="77777777">
            <w:pPr>
              <w:rPr>
                <w:rFonts w:ascii="Palatino Linotype" w:hAnsi="Palatino Linotype" w:cstheme="minorHAnsi"/>
                <w:sz w:val="18"/>
                <w:szCs w:val="18"/>
              </w:rPr>
            </w:pPr>
          </w:p>
        </w:tc>
        <w:tc>
          <w:tcPr>
            <w:tcW w:w="1915" w:type="dxa"/>
          </w:tcPr>
          <w:p w:rsidRPr="00926A85" w:rsidR="001E2D49" w:rsidP="008D2F9B" w:rsidRDefault="001E2D49" w14:paraId="34FF1B4B" w14:textId="11F8AA4A">
            <w:pPr>
              <w:rPr>
                <w:rFonts w:ascii="Palatino Linotype" w:hAnsi="Palatino Linotype" w:cstheme="minorHAnsi"/>
                <w:color w:val="C00000"/>
                <w:sz w:val="18"/>
                <w:szCs w:val="18"/>
              </w:rPr>
            </w:pPr>
            <w:r w:rsidRPr="00926A85">
              <w:rPr>
                <w:rFonts w:ascii="Palatino Linotype" w:hAnsi="Palatino Linotype" w:cstheme="minorHAnsi"/>
                <w:color w:val="C00000"/>
                <w:sz w:val="18"/>
                <w:szCs w:val="18"/>
              </w:rPr>
              <w:t xml:space="preserve">= 6 </w:t>
            </w:r>
            <w:r w:rsidRPr="00926A85" w:rsidR="00F72235">
              <w:rPr>
                <w:rFonts w:ascii="Palatino Linotype" w:hAnsi="Palatino Linotype" w:cstheme="minorHAnsi"/>
                <w:color w:val="C00000"/>
                <w:sz w:val="18"/>
                <w:szCs w:val="18"/>
              </w:rPr>
              <w:t xml:space="preserve">months </w:t>
            </w:r>
            <w:r w:rsidRPr="00926A85">
              <w:rPr>
                <w:rFonts w:ascii="Palatino Linotype" w:hAnsi="Palatino Linotype" w:cstheme="minorHAnsi"/>
                <w:color w:val="C00000"/>
                <w:sz w:val="18"/>
                <w:szCs w:val="18"/>
              </w:rPr>
              <w:t>X $1</w:t>
            </w:r>
            <w:r w:rsidRPr="00926A85" w:rsidR="00593ED7">
              <w:rPr>
                <w:rFonts w:ascii="Palatino Linotype" w:hAnsi="Palatino Linotype" w:cstheme="minorHAnsi"/>
                <w:color w:val="C00000"/>
                <w:sz w:val="18"/>
                <w:szCs w:val="18"/>
              </w:rPr>
              <w:t xml:space="preserve"> million</w:t>
            </w:r>
          </w:p>
          <w:p w:rsidRPr="00926A85" w:rsidR="001E2D49" w:rsidP="008D2F9B" w:rsidRDefault="001E2D49" w14:paraId="39C6D993" w14:textId="77777777">
            <w:pPr>
              <w:rPr>
                <w:rFonts w:ascii="Palatino Linotype" w:hAnsi="Palatino Linotype" w:cstheme="minorHAnsi"/>
                <w:sz w:val="18"/>
                <w:szCs w:val="18"/>
              </w:rPr>
            </w:pPr>
            <w:r w:rsidRPr="00926A85">
              <w:rPr>
                <w:rFonts w:ascii="Palatino Linotype" w:hAnsi="Palatino Linotype" w:cstheme="minorHAnsi"/>
                <w:color w:val="C00000"/>
                <w:sz w:val="18"/>
                <w:szCs w:val="18"/>
              </w:rPr>
              <w:t>= $6 million</w:t>
            </w:r>
          </w:p>
        </w:tc>
      </w:tr>
      <w:tr w:rsidRPr="00557155" w:rsidR="00860B97" w:rsidTr="00860B97" w14:paraId="5F001B1D" w14:textId="77777777">
        <w:trPr>
          <w:jc w:val="center"/>
        </w:trPr>
        <w:tc>
          <w:tcPr>
            <w:tcW w:w="685" w:type="dxa"/>
            <w:shd w:val="clear" w:color="auto" w:fill="C00000"/>
          </w:tcPr>
          <w:p w:rsidRPr="00926A85" w:rsidR="001E2D49" w:rsidP="008D2F9B" w:rsidRDefault="001E2D49" w14:paraId="33585E68"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57" w:type="dxa"/>
            <w:shd w:val="clear" w:color="auto" w:fill="C00000"/>
          </w:tcPr>
          <w:p w:rsidRPr="00926A85" w:rsidR="001E2D49" w:rsidP="008D2F9B" w:rsidRDefault="001E2D49" w14:paraId="602A982B"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87" w:type="dxa"/>
            <w:shd w:val="clear" w:color="auto" w:fill="C00000"/>
          </w:tcPr>
          <w:p w:rsidRPr="00926A85" w:rsidR="001E2D49" w:rsidP="008D2F9B" w:rsidRDefault="001E2D49" w14:paraId="5D1C8209"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42" w:type="dxa"/>
          </w:tcPr>
          <w:p w:rsidRPr="00926A85" w:rsidR="001E2D49" w:rsidP="008D2F9B" w:rsidRDefault="001E2D49" w14:paraId="29B579FF" w14:textId="77777777">
            <w:pPr>
              <w:rPr>
                <w:rFonts w:ascii="Palatino Linotype" w:hAnsi="Palatino Linotype" w:cstheme="minorHAnsi"/>
                <w:sz w:val="18"/>
                <w:szCs w:val="18"/>
              </w:rPr>
            </w:pPr>
          </w:p>
        </w:tc>
        <w:tc>
          <w:tcPr>
            <w:tcW w:w="736" w:type="dxa"/>
          </w:tcPr>
          <w:p w:rsidRPr="00926A85" w:rsidR="001E2D49" w:rsidP="008D2F9B" w:rsidRDefault="001E2D49" w14:paraId="3216069A" w14:textId="77777777">
            <w:pPr>
              <w:rPr>
                <w:rFonts w:ascii="Palatino Linotype" w:hAnsi="Palatino Linotype" w:cstheme="minorHAnsi"/>
                <w:sz w:val="18"/>
                <w:szCs w:val="18"/>
              </w:rPr>
            </w:pPr>
          </w:p>
        </w:tc>
        <w:tc>
          <w:tcPr>
            <w:tcW w:w="635" w:type="dxa"/>
          </w:tcPr>
          <w:p w:rsidRPr="00926A85" w:rsidR="001E2D49" w:rsidP="008D2F9B" w:rsidRDefault="001E2D49" w14:paraId="1208090E" w14:textId="77777777">
            <w:pPr>
              <w:rPr>
                <w:rFonts w:ascii="Palatino Linotype" w:hAnsi="Palatino Linotype" w:cstheme="minorHAnsi"/>
                <w:sz w:val="18"/>
                <w:szCs w:val="18"/>
              </w:rPr>
            </w:pPr>
          </w:p>
        </w:tc>
        <w:tc>
          <w:tcPr>
            <w:tcW w:w="706" w:type="dxa"/>
          </w:tcPr>
          <w:p w:rsidRPr="00926A85" w:rsidR="001E2D49" w:rsidP="008D2F9B" w:rsidRDefault="001E2D49" w14:paraId="59502006" w14:textId="77777777">
            <w:pPr>
              <w:rPr>
                <w:rFonts w:ascii="Palatino Linotype" w:hAnsi="Palatino Linotype" w:cstheme="minorHAnsi"/>
                <w:sz w:val="18"/>
                <w:szCs w:val="18"/>
              </w:rPr>
            </w:pPr>
          </w:p>
        </w:tc>
        <w:tc>
          <w:tcPr>
            <w:tcW w:w="746" w:type="dxa"/>
          </w:tcPr>
          <w:p w:rsidRPr="00926A85" w:rsidR="001E2D49" w:rsidP="008D2F9B" w:rsidRDefault="001E2D49" w14:paraId="71E95A06" w14:textId="77777777">
            <w:pPr>
              <w:rPr>
                <w:rFonts w:ascii="Palatino Linotype" w:hAnsi="Palatino Linotype" w:cstheme="minorHAnsi"/>
                <w:sz w:val="18"/>
                <w:szCs w:val="18"/>
              </w:rPr>
            </w:pPr>
          </w:p>
        </w:tc>
        <w:tc>
          <w:tcPr>
            <w:tcW w:w="695" w:type="dxa"/>
          </w:tcPr>
          <w:p w:rsidRPr="00926A85" w:rsidR="001E2D49" w:rsidP="008D2F9B" w:rsidRDefault="001E2D49" w14:paraId="202F7BD6" w14:textId="77777777">
            <w:pPr>
              <w:rPr>
                <w:rFonts w:ascii="Palatino Linotype" w:hAnsi="Palatino Linotype" w:cstheme="minorHAnsi"/>
                <w:sz w:val="18"/>
                <w:szCs w:val="18"/>
              </w:rPr>
            </w:pPr>
          </w:p>
        </w:tc>
        <w:tc>
          <w:tcPr>
            <w:tcW w:w="666" w:type="dxa"/>
          </w:tcPr>
          <w:p w:rsidRPr="00926A85" w:rsidR="001E2D49" w:rsidP="008D2F9B" w:rsidRDefault="001E2D49" w14:paraId="58AE8AB2" w14:textId="77777777">
            <w:pPr>
              <w:rPr>
                <w:rFonts w:ascii="Palatino Linotype" w:hAnsi="Palatino Linotype" w:cstheme="minorHAnsi"/>
                <w:sz w:val="18"/>
                <w:szCs w:val="18"/>
              </w:rPr>
            </w:pPr>
          </w:p>
        </w:tc>
        <w:tc>
          <w:tcPr>
            <w:tcW w:w="635" w:type="dxa"/>
          </w:tcPr>
          <w:p w:rsidRPr="00926A85" w:rsidR="001E2D49" w:rsidP="008D2F9B" w:rsidRDefault="001E2D49" w14:paraId="3B0BB338" w14:textId="77777777">
            <w:pPr>
              <w:rPr>
                <w:rFonts w:ascii="Palatino Linotype" w:hAnsi="Palatino Linotype" w:cstheme="minorHAnsi"/>
                <w:sz w:val="18"/>
                <w:szCs w:val="18"/>
              </w:rPr>
            </w:pPr>
          </w:p>
        </w:tc>
        <w:tc>
          <w:tcPr>
            <w:tcW w:w="755" w:type="dxa"/>
          </w:tcPr>
          <w:p w:rsidRPr="00926A85" w:rsidR="001E2D49" w:rsidP="008D2F9B" w:rsidRDefault="001E2D49" w14:paraId="4AE73C0B" w14:textId="77777777">
            <w:pPr>
              <w:rPr>
                <w:rFonts w:ascii="Palatino Linotype" w:hAnsi="Palatino Linotype" w:cstheme="minorHAnsi"/>
                <w:sz w:val="18"/>
                <w:szCs w:val="18"/>
              </w:rPr>
            </w:pPr>
          </w:p>
        </w:tc>
        <w:tc>
          <w:tcPr>
            <w:tcW w:w="1915" w:type="dxa"/>
          </w:tcPr>
          <w:p w:rsidRPr="00926A85" w:rsidR="00891357" w:rsidP="00891357" w:rsidRDefault="00891357" w14:paraId="4896445F" w14:textId="344D3380">
            <w:pPr>
              <w:rPr>
                <w:rFonts w:ascii="Palatino Linotype" w:hAnsi="Palatino Linotype" w:cstheme="minorHAnsi"/>
                <w:color w:val="C00000"/>
                <w:sz w:val="18"/>
                <w:szCs w:val="18"/>
              </w:rPr>
            </w:pPr>
            <w:r w:rsidRPr="00926A85">
              <w:rPr>
                <w:rFonts w:ascii="Palatino Linotype" w:hAnsi="Palatino Linotype" w:cstheme="minorHAnsi"/>
                <w:color w:val="C00000"/>
                <w:sz w:val="18"/>
                <w:szCs w:val="18"/>
              </w:rPr>
              <w:t xml:space="preserve">= </w:t>
            </w:r>
            <w:r w:rsidRPr="00926A85" w:rsidR="00F72235">
              <w:rPr>
                <w:rFonts w:ascii="Palatino Linotype" w:hAnsi="Palatino Linotype" w:cstheme="minorHAnsi"/>
                <w:color w:val="C00000"/>
                <w:sz w:val="18"/>
                <w:szCs w:val="18"/>
              </w:rPr>
              <w:t xml:space="preserve">3 months </w:t>
            </w:r>
            <w:r w:rsidRPr="00926A85">
              <w:rPr>
                <w:rFonts w:ascii="Palatino Linotype" w:hAnsi="Palatino Linotype" w:cstheme="minorHAnsi"/>
                <w:color w:val="C00000"/>
                <w:sz w:val="18"/>
                <w:szCs w:val="18"/>
              </w:rPr>
              <w:t>X $1</w:t>
            </w:r>
            <w:r w:rsidRPr="00926A85" w:rsidR="00F72235">
              <w:rPr>
                <w:rFonts w:ascii="Palatino Linotype" w:hAnsi="Palatino Linotype" w:cstheme="minorHAnsi"/>
                <w:color w:val="C00000"/>
                <w:sz w:val="18"/>
                <w:szCs w:val="18"/>
              </w:rPr>
              <w:t xml:space="preserve"> million</w:t>
            </w:r>
          </w:p>
          <w:p w:rsidRPr="00926A85" w:rsidR="001E2D49" w:rsidP="00891357" w:rsidRDefault="00891357" w14:paraId="23F73D87" w14:textId="0FC66100">
            <w:pPr>
              <w:rPr>
                <w:rFonts w:ascii="Palatino Linotype" w:hAnsi="Palatino Linotype" w:cstheme="minorHAnsi"/>
                <w:sz w:val="18"/>
                <w:szCs w:val="18"/>
              </w:rPr>
            </w:pPr>
            <w:r w:rsidRPr="00926A85">
              <w:rPr>
                <w:rFonts w:ascii="Palatino Linotype" w:hAnsi="Palatino Linotype" w:cstheme="minorHAnsi"/>
                <w:color w:val="C00000"/>
                <w:sz w:val="18"/>
                <w:szCs w:val="18"/>
              </w:rPr>
              <w:t>= $3 million</w:t>
            </w:r>
          </w:p>
        </w:tc>
      </w:tr>
      <w:tr w:rsidRPr="00557155" w:rsidR="00860B97" w:rsidTr="00860B97" w14:paraId="45E508B3" w14:textId="77777777">
        <w:trPr>
          <w:jc w:val="center"/>
        </w:trPr>
        <w:tc>
          <w:tcPr>
            <w:tcW w:w="685" w:type="dxa"/>
          </w:tcPr>
          <w:p w:rsidRPr="00926A85" w:rsidR="001E2D49" w:rsidP="008D2F9B" w:rsidRDefault="001E2D49" w14:paraId="028AC229" w14:textId="77777777">
            <w:pPr>
              <w:rPr>
                <w:rFonts w:ascii="Palatino Linotype" w:hAnsi="Palatino Linotype" w:cstheme="minorHAnsi"/>
                <w:sz w:val="18"/>
                <w:szCs w:val="18"/>
              </w:rPr>
            </w:pPr>
          </w:p>
        </w:tc>
        <w:tc>
          <w:tcPr>
            <w:tcW w:w="657" w:type="dxa"/>
          </w:tcPr>
          <w:p w:rsidRPr="00926A85" w:rsidR="001E2D49" w:rsidP="008D2F9B" w:rsidRDefault="001E2D49" w14:paraId="20475B10" w14:textId="77777777">
            <w:pPr>
              <w:rPr>
                <w:rFonts w:ascii="Palatino Linotype" w:hAnsi="Palatino Linotype" w:cstheme="minorHAnsi"/>
                <w:sz w:val="18"/>
                <w:szCs w:val="18"/>
              </w:rPr>
            </w:pPr>
          </w:p>
        </w:tc>
        <w:tc>
          <w:tcPr>
            <w:tcW w:w="687" w:type="dxa"/>
          </w:tcPr>
          <w:p w:rsidRPr="00926A85" w:rsidR="001E2D49" w:rsidP="008D2F9B" w:rsidRDefault="001E2D49" w14:paraId="6C7D492F" w14:textId="77777777">
            <w:pPr>
              <w:rPr>
                <w:rFonts w:ascii="Palatino Linotype" w:hAnsi="Palatino Linotype" w:cstheme="minorHAnsi"/>
                <w:sz w:val="18"/>
                <w:szCs w:val="18"/>
              </w:rPr>
            </w:pPr>
          </w:p>
        </w:tc>
        <w:tc>
          <w:tcPr>
            <w:tcW w:w="642" w:type="dxa"/>
          </w:tcPr>
          <w:p w:rsidRPr="00926A85" w:rsidR="001E2D49" w:rsidP="008D2F9B" w:rsidRDefault="001E2D49" w14:paraId="1D6D6EC9" w14:textId="77777777">
            <w:pPr>
              <w:rPr>
                <w:rFonts w:ascii="Palatino Linotype" w:hAnsi="Palatino Linotype" w:cstheme="minorHAnsi"/>
                <w:sz w:val="18"/>
                <w:szCs w:val="18"/>
              </w:rPr>
            </w:pPr>
          </w:p>
        </w:tc>
        <w:tc>
          <w:tcPr>
            <w:tcW w:w="736" w:type="dxa"/>
          </w:tcPr>
          <w:p w:rsidRPr="00926A85" w:rsidR="001E2D49" w:rsidP="008D2F9B" w:rsidRDefault="001E2D49" w14:paraId="0A3FDF47" w14:textId="77777777">
            <w:pPr>
              <w:rPr>
                <w:rFonts w:ascii="Palatino Linotype" w:hAnsi="Palatino Linotype" w:cstheme="minorHAnsi"/>
                <w:sz w:val="18"/>
                <w:szCs w:val="18"/>
              </w:rPr>
            </w:pPr>
          </w:p>
        </w:tc>
        <w:tc>
          <w:tcPr>
            <w:tcW w:w="635" w:type="dxa"/>
            <w:shd w:val="clear" w:color="auto" w:fill="C00000"/>
          </w:tcPr>
          <w:p w:rsidRPr="00926A85" w:rsidR="001E2D49" w:rsidP="008D2F9B" w:rsidRDefault="001E2D49" w14:paraId="4F655A7E"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06" w:type="dxa"/>
          </w:tcPr>
          <w:p w:rsidRPr="00926A85" w:rsidR="001E2D49" w:rsidP="008D2F9B" w:rsidRDefault="001E2D49" w14:paraId="7E4D7A59" w14:textId="77777777">
            <w:pPr>
              <w:rPr>
                <w:rFonts w:ascii="Palatino Linotype" w:hAnsi="Palatino Linotype" w:cstheme="minorHAnsi"/>
                <w:sz w:val="18"/>
                <w:szCs w:val="18"/>
              </w:rPr>
            </w:pPr>
          </w:p>
        </w:tc>
        <w:tc>
          <w:tcPr>
            <w:tcW w:w="746" w:type="dxa"/>
          </w:tcPr>
          <w:p w:rsidRPr="00926A85" w:rsidR="001E2D49" w:rsidP="008D2F9B" w:rsidRDefault="001E2D49" w14:paraId="7D5B9BB8" w14:textId="77777777">
            <w:pPr>
              <w:rPr>
                <w:rFonts w:ascii="Palatino Linotype" w:hAnsi="Palatino Linotype" w:cstheme="minorHAnsi"/>
                <w:sz w:val="18"/>
                <w:szCs w:val="18"/>
              </w:rPr>
            </w:pPr>
          </w:p>
        </w:tc>
        <w:tc>
          <w:tcPr>
            <w:tcW w:w="695" w:type="dxa"/>
          </w:tcPr>
          <w:p w:rsidRPr="00926A85" w:rsidR="001E2D49" w:rsidP="008D2F9B" w:rsidRDefault="001E2D49" w14:paraId="3E71D78E" w14:textId="77777777">
            <w:pPr>
              <w:rPr>
                <w:rFonts w:ascii="Palatino Linotype" w:hAnsi="Palatino Linotype" w:cstheme="minorHAnsi"/>
                <w:sz w:val="18"/>
                <w:szCs w:val="18"/>
              </w:rPr>
            </w:pPr>
          </w:p>
        </w:tc>
        <w:tc>
          <w:tcPr>
            <w:tcW w:w="666" w:type="dxa"/>
          </w:tcPr>
          <w:p w:rsidRPr="00926A85" w:rsidR="001E2D49" w:rsidP="008D2F9B" w:rsidRDefault="001E2D49" w14:paraId="30674A37" w14:textId="77777777">
            <w:pPr>
              <w:rPr>
                <w:rFonts w:ascii="Palatino Linotype" w:hAnsi="Palatino Linotype" w:cstheme="minorHAnsi"/>
                <w:sz w:val="18"/>
                <w:szCs w:val="18"/>
              </w:rPr>
            </w:pPr>
          </w:p>
        </w:tc>
        <w:tc>
          <w:tcPr>
            <w:tcW w:w="635" w:type="dxa"/>
          </w:tcPr>
          <w:p w:rsidRPr="00926A85" w:rsidR="001E2D49" w:rsidP="008D2F9B" w:rsidRDefault="001E2D49" w14:paraId="0596DB7A" w14:textId="77777777">
            <w:pPr>
              <w:rPr>
                <w:rFonts w:ascii="Palatino Linotype" w:hAnsi="Palatino Linotype" w:cstheme="minorHAnsi"/>
                <w:sz w:val="18"/>
                <w:szCs w:val="18"/>
              </w:rPr>
            </w:pPr>
          </w:p>
        </w:tc>
        <w:tc>
          <w:tcPr>
            <w:tcW w:w="755" w:type="dxa"/>
          </w:tcPr>
          <w:p w:rsidRPr="00926A85" w:rsidR="001E2D49" w:rsidP="008D2F9B" w:rsidRDefault="001E2D49" w14:paraId="076E9357" w14:textId="77777777">
            <w:pPr>
              <w:rPr>
                <w:rFonts w:ascii="Palatino Linotype" w:hAnsi="Palatino Linotype" w:cstheme="minorHAnsi"/>
                <w:sz w:val="18"/>
                <w:szCs w:val="18"/>
              </w:rPr>
            </w:pPr>
          </w:p>
        </w:tc>
        <w:tc>
          <w:tcPr>
            <w:tcW w:w="1915" w:type="dxa"/>
          </w:tcPr>
          <w:p w:rsidRPr="00926A85" w:rsidR="001E2D49" w:rsidP="008D2F9B" w:rsidRDefault="001E2D49" w14:paraId="3817370A" w14:textId="18637093">
            <w:pPr>
              <w:rPr>
                <w:rFonts w:ascii="Palatino Linotype" w:hAnsi="Palatino Linotype" w:cstheme="minorHAnsi"/>
                <w:color w:val="C00000"/>
                <w:sz w:val="18"/>
                <w:szCs w:val="18"/>
              </w:rPr>
            </w:pPr>
            <w:r w:rsidRPr="00926A85">
              <w:rPr>
                <w:rFonts w:ascii="Palatino Linotype" w:hAnsi="Palatino Linotype" w:cstheme="minorHAnsi"/>
                <w:color w:val="C00000"/>
                <w:sz w:val="18"/>
                <w:szCs w:val="18"/>
              </w:rPr>
              <w:t xml:space="preserve">= 1 </w:t>
            </w:r>
            <w:r w:rsidRPr="00926A85" w:rsidR="00F72235">
              <w:rPr>
                <w:rFonts w:ascii="Palatino Linotype" w:hAnsi="Palatino Linotype" w:cstheme="minorHAnsi"/>
                <w:color w:val="C00000"/>
                <w:sz w:val="18"/>
                <w:szCs w:val="18"/>
              </w:rPr>
              <w:t xml:space="preserve">month </w:t>
            </w:r>
            <w:r w:rsidRPr="00926A85">
              <w:rPr>
                <w:rFonts w:ascii="Palatino Linotype" w:hAnsi="Palatino Linotype" w:cstheme="minorHAnsi"/>
                <w:color w:val="C00000"/>
                <w:sz w:val="18"/>
                <w:szCs w:val="18"/>
              </w:rPr>
              <w:t>X $1</w:t>
            </w:r>
            <w:r w:rsidRPr="00926A85" w:rsidR="00F72235">
              <w:rPr>
                <w:rFonts w:ascii="Palatino Linotype" w:hAnsi="Palatino Linotype" w:cstheme="minorHAnsi"/>
                <w:color w:val="C00000"/>
                <w:sz w:val="18"/>
                <w:szCs w:val="18"/>
              </w:rPr>
              <w:t xml:space="preserve"> million</w:t>
            </w:r>
          </w:p>
          <w:p w:rsidRPr="00926A85" w:rsidR="001E2D49" w:rsidP="008D2F9B" w:rsidRDefault="001E2D49" w14:paraId="6DA74A94" w14:textId="77777777">
            <w:pPr>
              <w:rPr>
                <w:rFonts w:ascii="Palatino Linotype" w:hAnsi="Palatino Linotype" w:cstheme="minorHAnsi"/>
                <w:sz w:val="18"/>
                <w:szCs w:val="18"/>
              </w:rPr>
            </w:pPr>
            <w:r w:rsidRPr="00926A85">
              <w:rPr>
                <w:rFonts w:ascii="Palatino Linotype" w:hAnsi="Palatino Linotype" w:cstheme="minorHAnsi"/>
                <w:color w:val="C00000"/>
                <w:sz w:val="18"/>
                <w:szCs w:val="18"/>
              </w:rPr>
              <w:t>= $1 million</w:t>
            </w:r>
          </w:p>
        </w:tc>
      </w:tr>
      <w:tr w:rsidRPr="00557155" w:rsidR="00860B97" w:rsidTr="00860B97" w14:paraId="0CA4A03D" w14:textId="77777777">
        <w:trPr>
          <w:jc w:val="center"/>
        </w:trPr>
        <w:tc>
          <w:tcPr>
            <w:tcW w:w="685" w:type="dxa"/>
            <w:tcBorders>
              <w:bottom w:val="single" w:color="auto" w:sz="4" w:space="0"/>
            </w:tcBorders>
          </w:tcPr>
          <w:p w:rsidRPr="00926A85" w:rsidR="001E2D49" w:rsidP="008D2F9B" w:rsidRDefault="001E2D49" w14:paraId="7E8B9B75" w14:textId="77777777">
            <w:pPr>
              <w:rPr>
                <w:rFonts w:ascii="Palatino Linotype" w:hAnsi="Palatino Linotype" w:cstheme="minorHAnsi"/>
                <w:sz w:val="18"/>
                <w:szCs w:val="18"/>
              </w:rPr>
            </w:pPr>
          </w:p>
        </w:tc>
        <w:tc>
          <w:tcPr>
            <w:tcW w:w="657" w:type="dxa"/>
            <w:tcBorders>
              <w:bottom w:val="single" w:color="auto" w:sz="4" w:space="0"/>
            </w:tcBorders>
          </w:tcPr>
          <w:p w:rsidRPr="00926A85" w:rsidR="001E2D49" w:rsidP="008D2F9B" w:rsidRDefault="001E2D49" w14:paraId="4CD7CEF0" w14:textId="77777777">
            <w:pPr>
              <w:rPr>
                <w:rFonts w:ascii="Palatino Linotype" w:hAnsi="Palatino Linotype" w:cstheme="minorHAnsi"/>
                <w:sz w:val="18"/>
                <w:szCs w:val="18"/>
              </w:rPr>
            </w:pPr>
          </w:p>
        </w:tc>
        <w:tc>
          <w:tcPr>
            <w:tcW w:w="687" w:type="dxa"/>
            <w:tcBorders>
              <w:bottom w:val="single" w:color="auto" w:sz="4" w:space="0"/>
            </w:tcBorders>
          </w:tcPr>
          <w:p w:rsidRPr="00926A85" w:rsidR="001E2D49" w:rsidP="008D2F9B" w:rsidRDefault="001E2D49" w14:paraId="0E2ABBB6" w14:textId="77777777">
            <w:pPr>
              <w:rPr>
                <w:rFonts w:ascii="Palatino Linotype" w:hAnsi="Palatino Linotype" w:cstheme="minorHAnsi"/>
                <w:sz w:val="18"/>
                <w:szCs w:val="18"/>
              </w:rPr>
            </w:pPr>
          </w:p>
        </w:tc>
        <w:tc>
          <w:tcPr>
            <w:tcW w:w="642" w:type="dxa"/>
            <w:tcBorders>
              <w:bottom w:val="single" w:color="auto" w:sz="4" w:space="0"/>
            </w:tcBorders>
            <w:shd w:val="clear" w:color="auto" w:fill="C00000"/>
          </w:tcPr>
          <w:p w:rsidRPr="00926A85" w:rsidR="001E2D49" w:rsidP="008D2F9B" w:rsidRDefault="001E2D49" w14:paraId="186FE586"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36" w:type="dxa"/>
            <w:tcBorders>
              <w:bottom w:val="single" w:color="auto" w:sz="4" w:space="0"/>
            </w:tcBorders>
            <w:shd w:val="clear" w:color="auto" w:fill="C00000"/>
          </w:tcPr>
          <w:p w:rsidRPr="00926A85" w:rsidR="001E2D49" w:rsidP="008D2F9B" w:rsidRDefault="001E2D49" w14:paraId="17C50632"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35" w:type="dxa"/>
            <w:tcBorders>
              <w:bottom w:val="single" w:color="auto" w:sz="4" w:space="0"/>
            </w:tcBorders>
          </w:tcPr>
          <w:p w:rsidRPr="00926A85" w:rsidR="001E2D49" w:rsidP="008D2F9B" w:rsidRDefault="001E2D49" w14:paraId="7C8B6EB2" w14:textId="77777777">
            <w:pPr>
              <w:rPr>
                <w:rFonts w:ascii="Palatino Linotype" w:hAnsi="Palatino Linotype" w:cstheme="minorHAnsi"/>
                <w:sz w:val="18"/>
                <w:szCs w:val="18"/>
              </w:rPr>
            </w:pPr>
          </w:p>
        </w:tc>
        <w:tc>
          <w:tcPr>
            <w:tcW w:w="706" w:type="dxa"/>
            <w:tcBorders>
              <w:bottom w:val="single" w:color="auto" w:sz="4" w:space="0"/>
            </w:tcBorders>
            <w:shd w:val="clear" w:color="auto" w:fill="C00000"/>
          </w:tcPr>
          <w:p w:rsidRPr="00926A85" w:rsidR="001E2D49" w:rsidP="008D2F9B" w:rsidRDefault="001E2D49" w14:paraId="0C22AE42"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46" w:type="dxa"/>
            <w:tcBorders>
              <w:bottom w:val="single" w:color="auto" w:sz="4" w:space="0"/>
            </w:tcBorders>
            <w:shd w:val="clear" w:color="auto" w:fill="C00000"/>
          </w:tcPr>
          <w:p w:rsidRPr="00926A85" w:rsidR="001E2D49" w:rsidP="008D2F9B" w:rsidRDefault="001E2D49" w14:paraId="2983DCBD"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95" w:type="dxa"/>
            <w:tcBorders>
              <w:bottom w:val="single" w:color="auto" w:sz="4" w:space="0"/>
            </w:tcBorders>
          </w:tcPr>
          <w:p w:rsidRPr="00926A85" w:rsidR="001E2D49" w:rsidP="008D2F9B" w:rsidRDefault="001E2D49" w14:paraId="42B8126E" w14:textId="77777777">
            <w:pPr>
              <w:rPr>
                <w:rFonts w:ascii="Palatino Linotype" w:hAnsi="Palatino Linotype" w:cstheme="minorHAnsi"/>
                <w:sz w:val="18"/>
                <w:szCs w:val="18"/>
              </w:rPr>
            </w:pPr>
          </w:p>
        </w:tc>
        <w:tc>
          <w:tcPr>
            <w:tcW w:w="666" w:type="dxa"/>
            <w:tcBorders>
              <w:bottom w:val="single" w:color="auto" w:sz="4" w:space="0"/>
            </w:tcBorders>
            <w:shd w:val="clear" w:color="auto" w:fill="C00000"/>
          </w:tcPr>
          <w:p w:rsidRPr="00926A85" w:rsidR="001E2D49" w:rsidP="008D2F9B" w:rsidRDefault="001E2D49" w14:paraId="2AA7E2A6"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35" w:type="dxa"/>
            <w:tcBorders>
              <w:bottom w:val="single" w:color="auto" w:sz="4" w:space="0"/>
            </w:tcBorders>
            <w:shd w:val="clear" w:color="auto" w:fill="C00000"/>
          </w:tcPr>
          <w:p w:rsidRPr="00926A85" w:rsidR="001E2D49" w:rsidP="008D2F9B" w:rsidRDefault="001E2D49" w14:paraId="05AEC83C"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55" w:type="dxa"/>
            <w:tcBorders>
              <w:bottom w:val="single" w:color="auto" w:sz="4" w:space="0"/>
            </w:tcBorders>
          </w:tcPr>
          <w:p w:rsidRPr="00926A85" w:rsidR="001E2D49" w:rsidP="008D2F9B" w:rsidRDefault="001E2D49" w14:paraId="1D4455AE" w14:textId="77777777">
            <w:pPr>
              <w:rPr>
                <w:rFonts w:ascii="Palatino Linotype" w:hAnsi="Palatino Linotype" w:cstheme="minorHAnsi"/>
                <w:sz w:val="18"/>
                <w:szCs w:val="18"/>
              </w:rPr>
            </w:pPr>
          </w:p>
        </w:tc>
        <w:tc>
          <w:tcPr>
            <w:tcW w:w="1915" w:type="dxa"/>
            <w:tcBorders>
              <w:bottom w:val="single" w:color="auto" w:sz="4" w:space="0"/>
            </w:tcBorders>
          </w:tcPr>
          <w:p w:rsidRPr="00926A85" w:rsidR="001E2D49" w:rsidP="008D2F9B" w:rsidRDefault="001E2D49" w14:paraId="6197AA4F" w14:textId="408C6FFE">
            <w:pPr>
              <w:rPr>
                <w:rFonts w:ascii="Palatino Linotype" w:hAnsi="Palatino Linotype" w:cstheme="minorHAnsi"/>
                <w:color w:val="C00000"/>
                <w:sz w:val="18"/>
                <w:szCs w:val="18"/>
              </w:rPr>
            </w:pPr>
            <w:r w:rsidRPr="00926A85">
              <w:rPr>
                <w:rFonts w:ascii="Palatino Linotype" w:hAnsi="Palatino Linotype" w:cstheme="minorHAnsi"/>
                <w:color w:val="C00000"/>
                <w:sz w:val="18"/>
                <w:szCs w:val="18"/>
              </w:rPr>
              <w:t xml:space="preserve">= 6 </w:t>
            </w:r>
            <w:r w:rsidRPr="00926A85" w:rsidR="00F72235">
              <w:rPr>
                <w:rFonts w:ascii="Palatino Linotype" w:hAnsi="Palatino Linotype" w:cstheme="minorHAnsi"/>
                <w:color w:val="C00000"/>
                <w:sz w:val="18"/>
                <w:szCs w:val="18"/>
              </w:rPr>
              <w:t xml:space="preserve">months </w:t>
            </w:r>
            <w:r w:rsidRPr="00926A85">
              <w:rPr>
                <w:rFonts w:ascii="Palatino Linotype" w:hAnsi="Palatino Linotype" w:cstheme="minorHAnsi"/>
                <w:color w:val="C00000"/>
                <w:sz w:val="18"/>
                <w:szCs w:val="18"/>
              </w:rPr>
              <w:t>X $1</w:t>
            </w:r>
            <w:r w:rsidRPr="00926A85" w:rsidR="00F72235">
              <w:rPr>
                <w:rFonts w:ascii="Palatino Linotype" w:hAnsi="Palatino Linotype" w:cstheme="minorHAnsi"/>
                <w:color w:val="C00000"/>
                <w:sz w:val="18"/>
                <w:szCs w:val="18"/>
              </w:rPr>
              <w:t xml:space="preserve"> million</w:t>
            </w:r>
          </w:p>
          <w:p w:rsidRPr="00926A85" w:rsidR="001E2D49" w:rsidP="008D2F9B" w:rsidRDefault="001E2D49" w14:paraId="126D7816" w14:textId="77777777">
            <w:pPr>
              <w:rPr>
                <w:rFonts w:ascii="Palatino Linotype" w:hAnsi="Palatino Linotype" w:cstheme="minorHAnsi"/>
                <w:sz w:val="18"/>
                <w:szCs w:val="18"/>
              </w:rPr>
            </w:pPr>
            <w:r w:rsidRPr="00926A85">
              <w:rPr>
                <w:rFonts w:ascii="Palatino Linotype" w:hAnsi="Palatino Linotype" w:cstheme="minorHAnsi"/>
                <w:color w:val="C00000"/>
                <w:sz w:val="18"/>
                <w:szCs w:val="18"/>
              </w:rPr>
              <w:t>= $6 million</w:t>
            </w:r>
          </w:p>
        </w:tc>
      </w:tr>
      <w:tr w:rsidRPr="00557155" w:rsidR="00860B97" w:rsidTr="00860B97" w14:paraId="66C9B6AB" w14:textId="77777777">
        <w:trPr>
          <w:jc w:val="center"/>
        </w:trPr>
        <w:tc>
          <w:tcPr>
            <w:tcW w:w="685" w:type="dxa"/>
            <w:tcBorders>
              <w:bottom w:val="single" w:color="auto" w:sz="4" w:space="0"/>
            </w:tcBorders>
            <w:shd w:val="clear" w:color="auto" w:fill="C00000"/>
          </w:tcPr>
          <w:p w:rsidRPr="00926A85" w:rsidR="001E2D49" w:rsidP="008D2F9B" w:rsidRDefault="001E2D49" w14:paraId="3CB0D954"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57" w:type="dxa"/>
            <w:tcBorders>
              <w:bottom w:val="single" w:color="auto" w:sz="4" w:space="0"/>
            </w:tcBorders>
          </w:tcPr>
          <w:p w:rsidRPr="00926A85" w:rsidR="001E2D49" w:rsidP="008D2F9B" w:rsidRDefault="001E2D49" w14:paraId="678E4B92" w14:textId="77777777">
            <w:pPr>
              <w:rPr>
                <w:rFonts w:ascii="Palatino Linotype" w:hAnsi="Palatino Linotype" w:cstheme="minorHAnsi"/>
                <w:sz w:val="18"/>
                <w:szCs w:val="18"/>
              </w:rPr>
            </w:pPr>
          </w:p>
        </w:tc>
        <w:tc>
          <w:tcPr>
            <w:tcW w:w="687" w:type="dxa"/>
            <w:tcBorders>
              <w:bottom w:val="single" w:color="auto" w:sz="4" w:space="0"/>
            </w:tcBorders>
            <w:shd w:val="clear" w:color="auto" w:fill="C00000"/>
          </w:tcPr>
          <w:p w:rsidRPr="00926A85" w:rsidR="001E2D49" w:rsidP="008D2F9B" w:rsidRDefault="001E2D49" w14:paraId="58F61AFF"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42" w:type="dxa"/>
            <w:tcBorders>
              <w:bottom w:val="single" w:color="auto" w:sz="4" w:space="0"/>
            </w:tcBorders>
            <w:shd w:val="clear" w:color="auto" w:fill="C00000"/>
          </w:tcPr>
          <w:p w:rsidRPr="00926A85" w:rsidR="001E2D49" w:rsidP="008D2F9B" w:rsidRDefault="001E2D49" w14:paraId="7476853F"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36" w:type="dxa"/>
            <w:tcBorders>
              <w:bottom w:val="single" w:color="auto" w:sz="4" w:space="0"/>
            </w:tcBorders>
            <w:shd w:val="clear" w:color="auto" w:fill="C00000"/>
          </w:tcPr>
          <w:p w:rsidRPr="00926A85" w:rsidR="001E2D49" w:rsidP="008D2F9B" w:rsidRDefault="001E2D49" w14:paraId="01E2AF36"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35" w:type="dxa"/>
            <w:tcBorders>
              <w:bottom w:val="single" w:color="auto" w:sz="4" w:space="0"/>
            </w:tcBorders>
            <w:shd w:val="clear" w:color="auto" w:fill="C00000"/>
          </w:tcPr>
          <w:p w:rsidRPr="00926A85" w:rsidR="001E2D49" w:rsidP="008D2F9B" w:rsidRDefault="001E2D49" w14:paraId="70685EB1"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06" w:type="dxa"/>
            <w:tcBorders>
              <w:bottom w:val="single" w:color="auto" w:sz="4" w:space="0"/>
            </w:tcBorders>
            <w:shd w:val="clear" w:color="auto" w:fill="C00000"/>
          </w:tcPr>
          <w:p w:rsidRPr="00926A85" w:rsidR="001E2D49" w:rsidP="008D2F9B" w:rsidRDefault="001E2D49" w14:paraId="6F058F5B"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46" w:type="dxa"/>
            <w:tcBorders>
              <w:bottom w:val="single" w:color="auto" w:sz="4" w:space="0"/>
            </w:tcBorders>
            <w:shd w:val="clear" w:color="auto" w:fill="C00000"/>
          </w:tcPr>
          <w:p w:rsidRPr="00926A85" w:rsidR="001E2D49" w:rsidP="008D2F9B" w:rsidRDefault="001E2D49" w14:paraId="43598BEC"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95" w:type="dxa"/>
            <w:tcBorders>
              <w:bottom w:val="single" w:color="auto" w:sz="4" w:space="0"/>
            </w:tcBorders>
          </w:tcPr>
          <w:p w:rsidRPr="00926A85" w:rsidR="001E2D49" w:rsidP="008D2F9B" w:rsidRDefault="001E2D49" w14:paraId="5D59ABEF" w14:textId="77777777">
            <w:pPr>
              <w:rPr>
                <w:rFonts w:ascii="Palatino Linotype" w:hAnsi="Palatino Linotype" w:cstheme="minorHAnsi"/>
                <w:sz w:val="18"/>
                <w:szCs w:val="18"/>
              </w:rPr>
            </w:pPr>
          </w:p>
        </w:tc>
        <w:tc>
          <w:tcPr>
            <w:tcW w:w="666" w:type="dxa"/>
            <w:tcBorders>
              <w:bottom w:val="single" w:color="auto" w:sz="4" w:space="0"/>
            </w:tcBorders>
            <w:shd w:val="clear" w:color="auto" w:fill="C00000"/>
          </w:tcPr>
          <w:p w:rsidRPr="00926A85" w:rsidR="001E2D49" w:rsidP="008D2F9B" w:rsidRDefault="001E2D49" w14:paraId="5425C970"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635" w:type="dxa"/>
            <w:tcBorders>
              <w:bottom w:val="single" w:color="auto" w:sz="4" w:space="0"/>
            </w:tcBorders>
            <w:shd w:val="clear" w:color="auto" w:fill="C00000"/>
          </w:tcPr>
          <w:p w:rsidRPr="00926A85" w:rsidR="001E2D49" w:rsidP="008D2F9B" w:rsidRDefault="001E2D49" w14:paraId="48ADB0D1"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755" w:type="dxa"/>
            <w:tcBorders>
              <w:bottom w:val="single" w:color="auto" w:sz="4" w:space="0"/>
            </w:tcBorders>
            <w:shd w:val="clear" w:color="auto" w:fill="C00000"/>
          </w:tcPr>
          <w:p w:rsidRPr="00926A85" w:rsidR="001E2D49" w:rsidP="008D2F9B" w:rsidRDefault="001E2D49" w14:paraId="4A6527AE" w14:textId="77777777">
            <w:pPr>
              <w:rPr>
                <w:rFonts w:ascii="Palatino Linotype" w:hAnsi="Palatino Linotype" w:cstheme="minorHAnsi"/>
                <w:sz w:val="18"/>
                <w:szCs w:val="18"/>
              </w:rPr>
            </w:pPr>
            <w:r w:rsidRPr="00926A85">
              <w:rPr>
                <w:rFonts w:ascii="Palatino Linotype" w:hAnsi="Palatino Linotype" w:cstheme="minorHAnsi"/>
                <w:sz w:val="18"/>
                <w:szCs w:val="18"/>
              </w:rPr>
              <w:t>1</w:t>
            </w:r>
          </w:p>
        </w:tc>
        <w:tc>
          <w:tcPr>
            <w:tcW w:w="1915" w:type="dxa"/>
            <w:tcBorders>
              <w:bottom w:val="single" w:color="auto" w:sz="4" w:space="0"/>
            </w:tcBorders>
          </w:tcPr>
          <w:p w:rsidRPr="00926A85" w:rsidR="001E2D49" w:rsidP="008D2F9B" w:rsidRDefault="001E2D49" w14:paraId="25B00B50" w14:textId="46BA3F15">
            <w:pPr>
              <w:rPr>
                <w:rFonts w:ascii="Palatino Linotype" w:hAnsi="Palatino Linotype" w:cstheme="minorHAnsi"/>
                <w:color w:val="C00000"/>
                <w:sz w:val="18"/>
                <w:szCs w:val="18"/>
              </w:rPr>
            </w:pPr>
            <w:r w:rsidRPr="00926A85">
              <w:rPr>
                <w:rFonts w:ascii="Palatino Linotype" w:hAnsi="Palatino Linotype" w:cstheme="minorHAnsi"/>
                <w:color w:val="C00000"/>
                <w:sz w:val="18"/>
                <w:szCs w:val="18"/>
              </w:rPr>
              <w:t xml:space="preserve">= 10 </w:t>
            </w:r>
            <w:r w:rsidRPr="00926A85" w:rsidR="004F34E5">
              <w:rPr>
                <w:rFonts w:ascii="Palatino Linotype" w:hAnsi="Palatino Linotype" w:cstheme="minorHAnsi"/>
                <w:color w:val="C00000"/>
                <w:sz w:val="18"/>
                <w:szCs w:val="18"/>
              </w:rPr>
              <w:t xml:space="preserve">months </w:t>
            </w:r>
            <w:r w:rsidRPr="00926A85">
              <w:rPr>
                <w:rFonts w:ascii="Palatino Linotype" w:hAnsi="Palatino Linotype" w:cstheme="minorHAnsi"/>
                <w:color w:val="C00000"/>
                <w:sz w:val="18"/>
                <w:szCs w:val="18"/>
              </w:rPr>
              <w:t>X $1</w:t>
            </w:r>
            <w:r w:rsidRPr="00926A85" w:rsidR="00F72235">
              <w:rPr>
                <w:rFonts w:ascii="Palatino Linotype" w:hAnsi="Palatino Linotype" w:cstheme="minorHAnsi"/>
                <w:color w:val="C00000"/>
                <w:sz w:val="18"/>
                <w:szCs w:val="18"/>
              </w:rPr>
              <w:t xml:space="preserve"> million</w:t>
            </w:r>
          </w:p>
          <w:p w:rsidRPr="00926A85" w:rsidR="001E2D49" w:rsidP="008D2F9B" w:rsidRDefault="001E2D49" w14:paraId="6DAED261" w14:textId="77777777">
            <w:pPr>
              <w:rPr>
                <w:rFonts w:ascii="Palatino Linotype" w:hAnsi="Palatino Linotype" w:cstheme="minorHAnsi"/>
                <w:sz w:val="18"/>
                <w:szCs w:val="18"/>
              </w:rPr>
            </w:pPr>
            <w:r w:rsidRPr="00926A85">
              <w:rPr>
                <w:rFonts w:ascii="Palatino Linotype" w:hAnsi="Palatino Linotype" w:cstheme="minorHAnsi"/>
                <w:color w:val="C00000"/>
                <w:sz w:val="18"/>
                <w:szCs w:val="18"/>
              </w:rPr>
              <w:t>= $10 million</w:t>
            </w:r>
          </w:p>
        </w:tc>
      </w:tr>
      <w:tr w:rsidRPr="00557155" w:rsidR="00C05766" w:rsidTr="00860B97" w14:paraId="3D3CF774" w14:textId="77777777">
        <w:trPr>
          <w:trHeight w:val="2132"/>
          <w:jc w:val="center"/>
        </w:trPr>
        <w:tc>
          <w:tcPr>
            <w:tcW w:w="10160" w:type="dxa"/>
            <w:gridSpan w:val="13"/>
            <w:tcBorders>
              <w:top w:val="single" w:color="auto" w:sz="4" w:space="0"/>
              <w:left w:val="nil"/>
              <w:bottom w:val="nil"/>
              <w:right w:val="nil"/>
            </w:tcBorders>
            <w:shd w:val="clear" w:color="auto" w:fill="auto"/>
          </w:tcPr>
          <w:p w:rsidRPr="00926A85" w:rsidR="000A1550" w:rsidP="00247181" w:rsidRDefault="000A1550" w14:paraId="11437847" w14:textId="77777777">
            <w:pPr>
              <w:rPr>
                <w:rFonts w:ascii="Palatino Linotype" w:hAnsi="Palatino Linotype" w:cstheme="minorHAnsi"/>
                <w:sz w:val="18"/>
                <w:szCs w:val="18"/>
              </w:rPr>
            </w:pPr>
          </w:p>
          <w:p w:rsidRPr="00926A85" w:rsidR="000A1550" w:rsidP="00247181" w:rsidRDefault="000A1550" w14:paraId="520F5914" w14:textId="77777777">
            <w:pPr>
              <w:rPr>
                <w:rFonts w:ascii="Palatino Linotype" w:hAnsi="Palatino Linotype" w:cstheme="minorHAnsi"/>
                <w:sz w:val="18"/>
                <w:szCs w:val="18"/>
              </w:rPr>
            </w:pPr>
          </w:p>
          <w:p w:rsidRPr="00926A85" w:rsidR="000A1550" w:rsidP="00247181" w:rsidRDefault="000A1550" w14:paraId="74EFC649" w14:textId="77777777">
            <w:pPr>
              <w:rPr>
                <w:rFonts w:ascii="Palatino Linotype" w:hAnsi="Palatino Linotype" w:cstheme="minorHAnsi"/>
                <w:sz w:val="18"/>
                <w:szCs w:val="18"/>
              </w:rPr>
            </w:pPr>
          </w:p>
          <w:p w:rsidRPr="00926A85" w:rsidR="00C05766" w:rsidP="009D44B5" w:rsidRDefault="007714BA" w14:paraId="013A8640" w14:textId="31287F40">
            <w:pPr>
              <w:rPr>
                <w:rFonts w:ascii="Palatino Linotype" w:hAnsi="Palatino Linotype" w:cstheme="minorHAnsi"/>
                <w:sz w:val="18"/>
                <w:szCs w:val="18"/>
                <w:u w:val="single"/>
              </w:rPr>
            </w:pPr>
            <w:r w:rsidRPr="00926A85">
              <w:rPr>
                <w:rFonts w:ascii="Palatino Linotype" w:hAnsi="Palatino Linotype" w:cstheme="minorHAnsi"/>
                <w:noProof/>
                <w:sz w:val="18"/>
                <w:szCs w:val="18"/>
                <w:u w:val="single"/>
              </w:rPr>
              <mc:AlternateContent>
                <mc:Choice Requires="wps">
                  <w:drawing>
                    <wp:anchor distT="0" distB="0" distL="114300" distR="114300" simplePos="0" relativeHeight="251658240" behindDoc="0" locked="0" layoutInCell="1" allowOverlap="1" wp14:editId="0F56315F" wp14:anchorId="0E22743C">
                      <wp:simplePos x="0" y="0"/>
                      <wp:positionH relativeFrom="column">
                        <wp:posOffset>71918</wp:posOffset>
                      </wp:positionH>
                      <wp:positionV relativeFrom="paragraph">
                        <wp:posOffset>287020</wp:posOffset>
                      </wp:positionV>
                      <wp:extent cx="1149350" cy="262255"/>
                      <wp:effectExtent l="0" t="0" r="0" b="4445"/>
                      <wp:wrapNone/>
                      <wp:docPr id="1" name="Rectangle 1"/>
                      <wp:cNvGraphicFramePr/>
                      <a:graphic xmlns:a="http://schemas.openxmlformats.org/drawingml/2006/main">
                        <a:graphicData uri="http://schemas.microsoft.com/office/word/2010/wordprocessingShape">
                          <wps:wsp>
                            <wps:cNvSpPr/>
                            <wps:spPr>
                              <a:xfrm>
                                <a:off x="0" y="0"/>
                                <a:ext cx="1149350" cy="26225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5.65pt;margin-top:22.6pt;width:90.5pt;height:20.6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00000" stroked="f" strokeweight="1pt" w14:anchorId="7BFD0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RkgIAAIUFAAAOAAAAZHJzL2Uyb0RvYy54bWysVMFu2zAMvQ/YPwi6r469pGuDOkWQosOA&#10;og3aDj0rshQbkEVNUuJkXz9Kst2sK3YYloMimuQj+UTy6vrQKrIX1jWgS5qfTSgRmkPV6G1Jvz/f&#10;frqgxHmmK6ZAi5IehaPXi48frjozFwXUoCphCYJoN+9MSWvvzTzLHK9Fy9wZGKFRKcG2zKNot1ll&#10;WYforcqKyeQ868BWxgIXzuHXm6Ski4gvpeD+QUonPFElxdx8PG08N+HMFldsvrXM1A3v02D/kEXL&#10;Go1BR6gb5hnZ2eYPqLbhFhxIf8ahzUDKhotYA1aTT95U81QzI2ItSI4zI03u/8Hy+/3akqbCt6NE&#10;sxaf6BFJY3qrBMkDPZ1xc7R6MmvbSw6vodaDtG34xyrIIVJ6HCkVB084fszz6eXnGTLPUVecF8Vs&#10;FkCzV29jnf8qoCXhUlKL0SOTbH/nfDIdTEIwB6qpbhulomC3m5WyZM/weVeT8OvRfzNTOhhrCG4J&#10;MXzJQmWplnjzRyWCndKPQiIlmH0RM4nNKMY4jHOhfZ5UNatECj87jR7aN3jESiNgQJYYf8TuAQbL&#10;BDJgpyx7++AqYi+PzpO/JZacR48YGbQfndtGg30PQGFVfeRkP5CUqAksbaA6YsNYSJPkDL9t8N3u&#10;mPNrZnF08KlxHfgHPKSCrqTQ3yipwf5873uwx45GLSUdjmJJ3Y8ds4IS9U1jr1/m02mY3ShMZ18K&#10;FOypZnOq0bt2BdgO2M+YXbwGe6+Gq7TQvuDWWIaoqGKaY+yScm8HYeXTisC9w8VyGc1wXg3zd/rJ&#10;8AAeWA19+Xx4Ydb0zeux7e9hGFs2f9PDyTZ4aljuPMgmNvgrrz3fOOuxcfq9FJbJqRytXrfn4hcA&#10;AAD//wMAUEsDBBQABgAIAAAAIQA6PpLy3gAAAAgBAAAPAAAAZHJzL2Rvd25yZXYueG1sTI9BS8NA&#10;EIXvgv9hGcGL2E2jLWmaTYmiIAiFRg8ep9kxCd2dDdltG/+925Me37zHm+8Vm8kacaLR944VzGcJ&#10;COLG6Z5bBZ8fr/cZCB+QNRrHpOCHPGzK66sCc+3OvKNTHVoRS9jnqKALYcil9E1HFv3MDcTR+3aj&#10;xRDl2Eo94jmWWyPTJFlKiz3HDx0O9NxRc6iPVoHR2ZN7MW9YHar6S2/fw502Qanbm6lagwg0hb8w&#10;XPAjOpSRae+OrL0wUc8fYlLB4yIFcfFXaTzsFWTLBciykP8HlL8AAAD//wMAUEsBAi0AFAAGAAgA&#10;AAAhALaDOJL+AAAA4QEAABMAAAAAAAAAAAAAAAAAAAAAAFtDb250ZW50X1R5cGVzXS54bWxQSwEC&#10;LQAUAAYACAAAACEAOP0h/9YAAACUAQAACwAAAAAAAAAAAAAAAAAvAQAAX3JlbHMvLnJlbHNQSwEC&#10;LQAUAAYACAAAACEAtGDsUZICAACFBQAADgAAAAAAAAAAAAAAAAAuAgAAZHJzL2Uyb0RvYy54bWxQ&#10;SwECLQAUAAYACAAAACEAOj6S8t4AAAAIAQAADwAAAAAAAAAAAAAAAADsBAAAZHJzL2Rvd25yZXYu&#10;eG1sUEsFBgAAAAAEAAQA8wAAAPcFAAAAAA==&#10;"/>
                  </w:pict>
                </mc:Fallback>
              </mc:AlternateContent>
            </w:r>
            <w:r w:rsidRPr="00926A85">
              <w:rPr>
                <w:rFonts w:ascii="Palatino Linotype" w:hAnsi="Palatino Linotype" w:cstheme="minorHAnsi"/>
                <w:noProof/>
                <w:sz w:val="18"/>
                <w:szCs w:val="18"/>
                <w:u w:val="single"/>
              </w:rPr>
              <mc:AlternateContent>
                <mc:Choice Requires="wps">
                  <w:drawing>
                    <wp:anchor distT="45720" distB="45720" distL="114300" distR="114300" simplePos="0" relativeHeight="251658241" behindDoc="0" locked="0" layoutInCell="1" allowOverlap="1" wp14:editId="3DCF8B35" wp14:anchorId="05B03367">
                      <wp:simplePos x="0" y="0"/>
                      <wp:positionH relativeFrom="column">
                        <wp:posOffset>1195359</wp:posOffset>
                      </wp:positionH>
                      <wp:positionV relativeFrom="paragraph">
                        <wp:posOffset>262733</wp:posOffset>
                      </wp:positionV>
                      <wp:extent cx="6074410" cy="30734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07340"/>
                              </a:xfrm>
                              <a:prstGeom prst="rect">
                                <a:avLst/>
                              </a:prstGeom>
                              <a:solidFill>
                                <a:srgbClr val="FFFFFF"/>
                              </a:solidFill>
                              <a:ln w="9525">
                                <a:noFill/>
                                <a:miter lim="800000"/>
                                <a:headEnd/>
                                <a:tailEnd/>
                              </a:ln>
                            </wps:spPr>
                            <wps:txbx>
                              <w:txbxContent>
                                <w:p w:rsidR="008D2F9B" w:rsidRDefault="008D2F9B" w14:paraId="298DCB3F" w14:textId="5800F4C5">
                                  <w:r w:rsidRPr="00F60E41">
                                    <w:rPr>
                                      <w:rFonts w:asciiTheme="minorHAnsi" w:hAnsiTheme="minorHAnsi" w:cstheme="minorHAnsi"/>
                                      <w:sz w:val="22"/>
                                      <w:szCs w:val="22"/>
                                    </w:rPr>
                                    <w:t>Represents a month in which Frontier did not meet the Out of Service Standard of at least 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B03367">
                      <v:stroke joinstyle="miter"/>
                      <v:path gradientshapeok="t" o:connecttype="rect"/>
                    </v:shapetype>
                    <v:shape id="Text Box 2" style="position:absolute;margin-left:94.1pt;margin-top:20.7pt;width:478.3pt;height:24.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fGIQIAAB0EAAAOAAAAZHJzL2Uyb0RvYy54bWysU9tuGyEQfa/Uf0C813uJHScrr6PUqatK&#10;6UVK+gEsy3pRgaGAvZt+fQbWcaz0rSoPiGGGw5kzM6ubUStyEM5LMDUtZjklwnBopdnV9Ofj9sMV&#10;JT4w0zIFRtT0SXh6s37/bjXYSpTQg2qFIwhifDXYmvYh2CrLPO+FZn4GVhh0duA0C2i6XdY6NiC6&#10;VlmZ55fZAK61DrjwHm/vJiddJ/yuEzx87zovAlE1RW4h7S7tTdyz9YpVO8dsL/mRBvsHFppJg5+e&#10;oO5YYGTv5F9QWnIHHrow46Az6DrJRcoBsynyN9k89MyKlAuK4+1JJv//YPm3ww9HZFvTslhSYpjG&#10;Ij2KMZCPMJIy6jNYX2HYg8XAMOI11jnl6u098F+eGNj0zOzErXMw9IK1yK+IL7OzpxOOjyDN8BVa&#10;/IbtAySgsXM6iodyEETHOj2dahOpcLy8zJfzeYEujr6LfHkxT8XLWPXy2jofPgvQJB5q6rD2CZ0d&#10;7n2IbFj1EhI/86Bku5VKJcPtmo1y5MCwT7ZppQTehClDhppeL8pFQjYQ36cW0jJgHyupa3qVxzV1&#10;VlTjk2lTSGBSTWdkosxRnqjIpE0YmxEDo2YNtE8olIOpX3G+8NCD+0PJgL1aU/97z5ygRH0xKPZ1&#10;MUc1SEjGfLEs0XDnnubcwwxHqJoGSqbjJqSBiDoYuMWidDLp9crkyBV7MMl4nJfY5Od2inqd6vUz&#10;AAAA//8DAFBLAwQUAAYACAAAACEAwuVMCd4AAAAKAQAADwAAAGRycy9kb3ducmV2LnhtbEyPy07D&#10;MBBF90j8gzVIbBB1UoXWDXEqQAKx7eMDJrGbRMTjKHab9O+ZrmB5NUd3zi22s+vFxY6h86QhXSQg&#10;LNXedNRoOB4+nxWIEJEM9p6shqsNsC3v7wrMjZ9oZy/72AguoZCjhjbGIZcy1K11GBZ+sMS3kx8d&#10;Ro5jI82IE5e7Xi6TZCUddsQfWhzsR2vrn/3ZaTh9T08vm6n6isf1Llu9Y7eu/FXrx4f57RVEtHP8&#10;g+Gmz+pQslPlz2SC6DkrtWRUQ5ZmIG5AmmU8ptKgNgpkWcj/E8pfAAAA//8DAFBLAQItABQABgAI&#10;AAAAIQC2gziS/gAAAOEBAAATAAAAAAAAAAAAAAAAAAAAAABbQ29udGVudF9UeXBlc10ueG1sUEsB&#10;Ai0AFAAGAAgAAAAhADj9If/WAAAAlAEAAAsAAAAAAAAAAAAAAAAALwEAAF9yZWxzLy5yZWxzUEsB&#10;Ai0AFAAGAAgAAAAhAO4o98YhAgAAHQQAAA4AAAAAAAAAAAAAAAAALgIAAGRycy9lMm9Eb2MueG1s&#10;UEsBAi0AFAAGAAgAAAAhAMLlTAneAAAACgEAAA8AAAAAAAAAAAAAAAAAewQAAGRycy9kb3ducmV2&#10;LnhtbFBLBQYAAAAABAAEAPMAAACGBQAAAAA=&#10;">
                      <v:textbox>
                        <w:txbxContent>
                          <w:p w:rsidR="008D2F9B" w:rsidRDefault="008D2F9B" w14:paraId="298DCB3F" w14:textId="5800F4C5">
                            <w:r w:rsidRPr="00F60E41">
                              <w:rPr>
                                <w:rFonts w:asciiTheme="minorHAnsi" w:hAnsiTheme="minorHAnsi" w:cstheme="minorHAnsi"/>
                                <w:sz w:val="22"/>
                                <w:szCs w:val="22"/>
                              </w:rPr>
                              <w:t>Represents a month in which Frontier did not meet the Out of Service Standard of at least 90%</w:t>
                            </w:r>
                          </w:p>
                        </w:txbxContent>
                      </v:textbox>
                      <w10:wrap type="square"/>
                    </v:shape>
                  </w:pict>
                </mc:Fallback>
              </mc:AlternateContent>
            </w:r>
            <w:r w:rsidRPr="00926A85" w:rsidR="000A1550">
              <w:rPr>
                <w:rFonts w:ascii="Palatino Linotype" w:hAnsi="Palatino Linotype" w:cstheme="minorHAnsi"/>
                <w:sz w:val="18"/>
                <w:szCs w:val="18"/>
                <w:u w:val="single"/>
              </w:rPr>
              <w:t>Key</w:t>
            </w:r>
          </w:p>
        </w:tc>
      </w:tr>
    </w:tbl>
    <w:p w:rsidR="0054190B" w:rsidRDefault="0054190B" w14:paraId="12AF27BF" w14:textId="77777777">
      <w:pPr>
        <w:rPr>
          <w:rFonts w:ascii="Palatino Linotype" w:hAnsi="Palatino Linotype" w:cstheme="minorHAnsi"/>
          <w:b/>
          <w:bCs/>
          <w:highlight w:val="cyan"/>
        </w:rPr>
      </w:pPr>
    </w:p>
    <w:p w:rsidRPr="00380F20" w:rsidR="00380F20" w:rsidP="00380F20" w:rsidRDefault="00380F20" w14:paraId="307C4FA6" w14:textId="2956B89C">
      <w:pPr>
        <w:jc w:val="center"/>
        <w:rPr>
          <w:rFonts w:ascii="Palatino Linotype" w:hAnsi="Palatino Linotype" w:cstheme="minorHAnsi"/>
          <w:b/>
          <w:bCs/>
        </w:rPr>
      </w:pPr>
      <w:r w:rsidRPr="00380F20">
        <w:rPr>
          <w:rFonts w:ascii="Palatino Linotype" w:hAnsi="Palatino Linotype" w:cstheme="minorHAnsi"/>
          <w:b/>
          <w:bCs/>
        </w:rPr>
        <w:t xml:space="preserve">END OF APPENDIX </w:t>
      </w:r>
      <w:r w:rsidR="003F18AA">
        <w:rPr>
          <w:rFonts w:ascii="Palatino Linotype" w:hAnsi="Palatino Linotype" w:cstheme="minorHAnsi"/>
          <w:b/>
          <w:bCs/>
        </w:rPr>
        <w:t>A</w:t>
      </w:r>
    </w:p>
    <w:p w:rsidRPr="00380F20" w:rsidR="00380F20" w:rsidRDefault="00380F20" w14:paraId="5605E784" w14:textId="77777777">
      <w:pPr>
        <w:rPr>
          <w:rFonts w:ascii="Palatino Linotype" w:hAnsi="Palatino Linotype" w:cstheme="minorHAnsi"/>
          <w:b/>
          <w:bCs/>
        </w:rPr>
      </w:pPr>
    </w:p>
    <w:p w:rsidRPr="00380F20" w:rsidR="00380F20" w:rsidRDefault="00380F20" w14:paraId="6596B14C" w14:textId="77777777">
      <w:pPr>
        <w:rPr>
          <w:rFonts w:ascii="Palatino Linotype" w:hAnsi="Palatino Linotype" w:cstheme="minorHAnsi"/>
          <w:b/>
          <w:bCs/>
        </w:rPr>
      </w:pPr>
    </w:p>
    <w:p w:rsidRPr="00380F20" w:rsidR="00380F20" w:rsidP="00380F20" w:rsidRDefault="00380F20" w14:paraId="223F89B0" w14:textId="77777777">
      <w:pPr>
        <w:rPr>
          <w:rFonts w:ascii="Palatino Linotype" w:hAnsi="Palatino Linotype" w:cstheme="minorHAnsi"/>
        </w:rPr>
      </w:pPr>
    </w:p>
    <w:p w:rsidRPr="00380F20" w:rsidR="00380F20" w:rsidP="00380F20" w:rsidRDefault="00380F20" w14:paraId="4BBA430E" w14:textId="77777777">
      <w:pPr>
        <w:rPr>
          <w:rFonts w:ascii="Palatino Linotype" w:hAnsi="Palatino Linotype" w:cstheme="minorHAnsi"/>
        </w:rPr>
      </w:pPr>
    </w:p>
    <w:p w:rsidRPr="00380F20" w:rsidR="00380F20" w:rsidP="00380F20" w:rsidRDefault="00380F20" w14:paraId="1C42E627" w14:textId="77777777">
      <w:pPr>
        <w:rPr>
          <w:rFonts w:ascii="Palatino Linotype" w:hAnsi="Palatino Linotype" w:cstheme="minorHAnsi"/>
        </w:rPr>
      </w:pPr>
    </w:p>
    <w:p w:rsidRPr="00380F20" w:rsidR="00380F20" w:rsidP="00380F20" w:rsidRDefault="00380F20" w14:paraId="62624362" w14:textId="77777777">
      <w:pPr>
        <w:rPr>
          <w:rFonts w:ascii="Palatino Linotype" w:hAnsi="Palatino Linotype" w:cstheme="minorHAnsi"/>
        </w:rPr>
      </w:pPr>
    </w:p>
    <w:p w:rsidRPr="00380F20" w:rsidR="00380F20" w:rsidP="00380F20" w:rsidRDefault="00380F20" w14:paraId="562871A6" w14:textId="77777777">
      <w:pPr>
        <w:rPr>
          <w:rFonts w:ascii="Palatino Linotype" w:hAnsi="Palatino Linotype" w:cstheme="minorHAnsi"/>
        </w:rPr>
      </w:pPr>
    </w:p>
    <w:p w:rsidRPr="00380F20" w:rsidR="00380F20" w:rsidP="00380F20" w:rsidRDefault="00380F20" w14:paraId="60EFAF5B" w14:textId="77777777">
      <w:pPr>
        <w:rPr>
          <w:rFonts w:ascii="Palatino Linotype" w:hAnsi="Palatino Linotype" w:cstheme="minorHAnsi"/>
        </w:rPr>
      </w:pPr>
    </w:p>
    <w:p w:rsidRPr="00380F20" w:rsidR="00380F20" w:rsidP="00380F20" w:rsidRDefault="00380F20" w14:paraId="039F7BF9" w14:textId="77777777">
      <w:pPr>
        <w:rPr>
          <w:rFonts w:ascii="Palatino Linotype" w:hAnsi="Palatino Linotype" w:cstheme="minorHAnsi"/>
        </w:rPr>
      </w:pPr>
    </w:p>
    <w:p w:rsidRPr="00380F20" w:rsidR="00380F20" w:rsidP="00380F20" w:rsidRDefault="00380F20" w14:paraId="4286DB7F" w14:textId="77777777">
      <w:pPr>
        <w:rPr>
          <w:rFonts w:ascii="Palatino Linotype" w:hAnsi="Palatino Linotype" w:cstheme="minorHAnsi"/>
        </w:rPr>
      </w:pPr>
    </w:p>
    <w:p w:rsidRPr="00380F20" w:rsidR="00380F20" w:rsidP="00380F20" w:rsidRDefault="00380F20" w14:paraId="64531ABF" w14:textId="77777777">
      <w:pPr>
        <w:rPr>
          <w:rFonts w:ascii="Palatino Linotype" w:hAnsi="Palatino Linotype" w:cstheme="minorHAnsi"/>
        </w:rPr>
      </w:pPr>
    </w:p>
    <w:p w:rsidRPr="00380F20" w:rsidR="00380F20" w:rsidP="00380F20" w:rsidRDefault="00380F20" w14:paraId="59BB40EE" w14:textId="77777777">
      <w:pPr>
        <w:rPr>
          <w:rFonts w:ascii="Palatino Linotype" w:hAnsi="Palatino Linotype" w:cstheme="minorHAnsi"/>
        </w:rPr>
      </w:pPr>
    </w:p>
    <w:p w:rsidRPr="00380F20" w:rsidR="00380F20" w:rsidP="00380F20" w:rsidRDefault="00380F20" w14:paraId="23F6F43B" w14:textId="77777777">
      <w:pPr>
        <w:rPr>
          <w:rFonts w:ascii="Palatino Linotype" w:hAnsi="Palatino Linotype" w:cstheme="minorHAnsi"/>
        </w:rPr>
      </w:pPr>
    </w:p>
    <w:p w:rsidRPr="00380F20" w:rsidR="00380F20" w:rsidP="00380F20" w:rsidRDefault="00380F20" w14:paraId="40CA63D5" w14:textId="769C933F">
      <w:pPr>
        <w:tabs>
          <w:tab w:val="left" w:pos="5715"/>
        </w:tabs>
        <w:rPr>
          <w:rFonts w:ascii="Palatino Linotype" w:hAnsi="Palatino Linotype" w:cstheme="minorHAnsi"/>
        </w:rPr>
      </w:pPr>
      <w:r w:rsidRPr="00380F20">
        <w:rPr>
          <w:rFonts w:ascii="Palatino Linotype" w:hAnsi="Palatino Linotype" w:cstheme="minorHAnsi"/>
        </w:rPr>
        <w:tab/>
      </w:r>
    </w:p>
    <w:p w:rsidR="00380F20" w:rsidP="00380F20" w:rsidRDefault="00380F20" w14:paraId="465644DC" w14:textId="77777777">
      <w:pPr>
        <w:rPr>
          <w:rFonts w:ascii="Palatino Linotype" w:hAnsi="Palatino Linotype" w:cstheme="minorHAnsi"/>
          <w:b/>
          <w:bCs/>
          <w:highlight w:val="cyan"/>
        </w:rPr>
      </w:pPr>
    </w:p>
    <w:p w:rsidRPr="00380F20" w:rsidR="00380F20" w:rsidP="00380F20" w:rsidRDefault="00380F20" w14:paraId="33D18FE3" w14:textId="2F64BA92">
      <w:pPr>
        <w:rPr>
          <w:rFonts w:ascii="Palatino Linotype" w:hAnsi="Palatino Linotype" w:cstheme="minorHAnsi"/>
          <w:highlight w:val="cyan"/>
        </w:rPr>
        <w:sectPr w:rsidRPr="00380F20" w:rsidR="00380F20" w:rsidSect="00860B97">
          <w:headerReference w:type="first" r:id="rId19"/>
          <w:footerReference w:type="first" r:id="rId20"/>
          <w:pgSz w:w="12240" w:h="15840"/>
          <w:pgMar w:top="1008" w:right="1440" w:bottom="1008" w:left="1440" w:header="720" w:footer="720" w:gutter="0"/>
          <w:cols w:space="720"/>
          <w:titlePg/>
          <w:docGrid w:linePitch="360"/>
        </w:sectPr>
      </w:pPr>
    </w:p>
    <w:p w:rsidRPr="00E0262F" w:rsidR="008E6E9A" w:rsidP="00884272" w:rsidRDefault="00884272" w14:paraId="763FC577" w14:textId="7EF50099">
      <w:pPr>
        <w:jc w:val="center"/>
        <w:rPr>
          <w:rFonts w:ascii="Palatino Linotype" w:hAnsi="Palatino Linotype" w:cstheme="minorHAnsi"/>
          <w:b/>
          <w:bCs/>
        </w:rPr>
      </w:pPr>
      <w:r w:rsidRPr="00E0262F">
        <w:rPr>
          <w:rFonts w:ascii="Palatino Linotype" w:hAnsi="Palatino Linotype" w:cstheme="minorHAnsi"/>
          <w:b/>
          <w:bCs/>
        </w:rPr>
        <w:lastRenderedPageBreak/>
        <w:t xml:space="preserve">APPENDIX </w:t>
      </w:r>
      <w:r w:rsidR="00862781">
        <w:rPr>
          <w:rFonts w:ascii="Palatino Linotype" w:hAnsi="Palatino Linotype" w:cstheme="minorHAnsi"/>
          <w:b/>
          <w:bCs/>
        </w:rPr>
        <w:t>B</w:t>
      </w:r>
      <w:r w:rsidRPr="00E0262F" w:rsidR="00EB6D2B">
        <w:rPr>
          <w:rFonts w:ascii="Palatino Linotype" w:hAnsi="Palatino Linotype" w:cstheme="minorHAnsi"/>
          <w:b/>
          <w:bCs/>
        </w:rPr>
        <w:t xml:space="preserve"> </w:t>
      </w:r>
    </w:p>
    <w:p w:rsidRPr="00E0262F" w:rsidR="00723FA7" w:rsidP="00884272" w:rsidRDefault="00723FA7" w14:paraId="3EB82B5F" w14:textId="5C4032A9">
      <w:pPr>
        <w:rPr>
          <w:rFonts w:ascii="Palatino Linotype" w:hAnsi="Palatino Linotype" w:cstheme="minorHAnsi"/>
          <w:b/>
          <w:bCs/>
        </w:rPr>
      </w:pPr>
    </w:p>
    <w:tbl>
      <w:tblPr>
        <w:tblStyle w:val="TableGrid"/>
        <w:tblW w:w="0" w:type="auto"/>
        <w:jc w:val="center"/>
        <w:tblLook w:val="04A0" w:firstRow="1" w:lastRow="0" w:firstColumn="1" w:lastColumn="0" w:noHBand="0" w:noVBand="1"/>
      </w:tblPr>
      <w:tblGrid>
        <w:gridCol w:w="2132"/>
        <w:gridCol w:w="2412"/>
        <w:gridCol w:w="2412"/>
        <w:gridCol w:w="2394"/>
      </w:tblGrid>
      <w:tr w:rsidRPr="008D2F9B" w:rsidR="0049385E" w:rsidTr="00380F20" w14:paraId="46A3FD3B" w14:textId="77777777">
        <w:trPr>
          <w:jc w:val="center"/>
        </w:trPr>
        <w:tc>
          <w:tcPr>
            <w:tcW w:w="2178" w:type="dxa"/>
            <w:vMerge w:val="restart"/>
            <w:shd w:val="clear" w:color="auto" w:fill="D9D9D9" w:themeFill="background1" w:themeFillShade="D9"/>
          </w:tcPr>
          <w:p w:rsidRPr="00E0262F" w:rsidR="0049385E" w:rsidP="008D2F9B" w:rsidRDefault="0049385E" w14:paraId="3E15A0EB" w14:textId="77777777">
            <w:pPr>
              <w:rPr>
                <w:rFonts w:ascii="Palatino Linotype" w:hAnsi="Palatino Linotype" w:cstheme="minorHAnsi"/>
                <w:b/>
                <w:bCs/>
              </w:rPr>
            </w:pPr>
          </w:p>
        </w:tc>
        <w:tc>
          <w:tcPr>
            <w:tcW w:w="7357" w:type="dxa"/>
            <w:gridSpan w:val="3"/>
            <w:shd w:val="clear" w:color="auto" w:fill="D9D9D9" w:themeFill="background1" w:themeFillShade="D9"/>
          </w:tcPr>
          <w:p w:rsidRPr="00E0262F" w:rsidR="0049385E" w:rsidP="00380F20" w:rsidRDefault="0049385E" w14:paraId="21654F68" w14:textId="6798C7F6">
            <w:pPr>
              <w:jc w:val="center"/>
              <w:rPr>
                <w:rFonts w:ascii="Palatino Linotype" w:hAnsi="Palatino Linotype" w:cstheme="minorHAnsi"/>
                <w:b/>
                <w:bCs/>
              </w:rPr>
            </w:pPr>
            <w:r w:rsidRPr="00E0262F">
              <w:rPr>
                <w:rFonts w:ascii="Palatino Linotype" w:hAnsi="Palatino Linotype" w:cstheme="minorHAnsi"/>
                <w:b/>
                <w:bCs/>
              </w:rPr>
              <w:t>Frequency of Recurring Report</w:t>
            </w:r>
          </w:p>
        </w:tc>
      </w:tr>
      <w:tr w:rsidRPr="008D2F9B" w:rsidR="0049385E" w:rsidTr="00380F20" w14:paraId="0216F6E6" w14:textId="77777777">
        <w:trPr>
          <w:jc w:val="center"/>
        </w:trPr>
        <w:tc>
          <w:tcPr>
            <w:tcW w:w="2178" w:type="dxa"/>
            <w:vMerge/>
            <w:shd w:val="clear" w:color="auto" w:fill="D9D9D9" w:themeFill="background1" w:themeFillShade="D9"/>
          </w:tcPr>
          <w:p w:rsidRPr="00E0262F" w:rsidR="0049385E" w:rsidP="008D2F9B" w:rsidRDefault="0049385E" w14:paraId="52AEE8BE" w14:textId="77777777">
            <w:pPr>
              <w:rPr>
                <w:rFonts w:ascii="Palatino Linotype" w:hAnsi="Palatino Linotype" w:cstheme="minorHAnsi"/>
                <w:b/>
                <w:bCs/>
              </w:rPr>
            </w:pPr>
          </w:p>
        </w:tc>
        <w:tc>
          <w:tcPr>
            <w:tcW w:w="2459" w:type="dxa"/>
            <w:shd w:val="clear" w:color="auto" w:fill="D9D9D9" w:themeFill="background1" w:themeFillShade="D9"/>
          </w:tcPr>
          <w:p w:rsidRPr="00E0262F" w:rsidR="0049385E" w:rsidP="00380F20" w:rsidRDefault="0049385E" w14:paraId="1B239FA9" w14:textId="77777777">
            <w:pPr>
              <w:jc w:val="center"/>
              <w:rPr>
                <w:rFonts w:ascii="Palatino Linotype" w:hAnsi="Palatino Linotype" w:cstheme="minorHAnsi"/>
                <w:b/>
                <w:bCs/>
              </w:rPr>
            </w:pPr>
            <w:r w:rsidRPr="00E0262F">
              <w:rPr>
                <w:rFonts w:ascii="Palatino Linotype" w:hAnsi="Palatino Linotype" w:cstheme="minorHAnsi"/>
                <w:b/>
                <w:bCs/>
              </w:rPr>
              <w:t>Monthly</w:t>
            </w:r>
          </w:p>
        </w:tc>
        <w:tc>
          <w:tcPr>
            <w:tcW w:w="2459" w:type="dxa"/>
            <w:shd w:val="clear" w:color="auto" w:fill="D9D9D9" w:themeFill="background1" w:themeFillShade="D9"/>
          </w:tcPr>
          <w:p w:rsidRPr="00E0262F" w:rsidR="0049385E" w:rsidP="00380F20" w:rsidRDefault="0049385E" w14:paraId="40B0D9AE" w14:textId="77777777">
            <w:pPr>
              <w:jc w:val="center"/>
              <w:rPr>
                <w:rFonts w:ascii="Palatino Linotype" w:hAnsi="Palatino Linotype" w:cstheme="minorHAnsi"/>
                <w:b/>
                <w:bCs/>
              </w:rPr>
            </w:pPr>
            <w:r w:rsidRPr="00E0262F">
              <w:rPr>
                <w:rFonts w:ascii="Palatino Linotype" w:hAnsi="Palatino Linotype" w:cstheme="minorHAnsi"/>
                <w:b/>
                <w:bCs/>
              </w:rPr>
              <w:t>Quarterly</w:t>
            </w:r>
          </w:p>
        </w:tc>
        <w:tc>
          <w:tcPr>
            <w:tcW w:w="2439" w:type="dxa"/>
            <w:shd w:val="clear" w:color="auto" w:fill="D9D9D9" w:themeFill="background1" w:themeFillShade="D9"/>
          </w:tcPr>
          <w:p w:rsidRPr="00E0262F" w:rsidR="0049385E" w:rsidP="00380F20" w:rsidRDefault="0049385E" w14:paraId="5B9BC665" w14:textId="77777777">
            <w:pPr>
              <w:jc w:val="center"/>
              <w:rPr>
                <w:rFonts w:ascii="Palatino Linotype" w:hAnsi="Palatino Linotype" w:cstheme="minorHAnsi"/>
                <w:b/>
                <w:bCs/>
              </w:rPr>
            </w:pPr>
            <w:r w:rsidRPr="00E0262F">
              <w:rPr>
                <w:rFonts w:ascii="Palatino Linotype" w:hAnsi="Palatino Linotype" w:cstheme="minorHAnsi"/>
                <w:b/>
                <w:bCs/>
              </w:rPr>
              <w:t>Annual</w:t>
            </w:r>
          </w:p>
        </w:tc>
      </w:tr>
      <w:tr w:rsidRPr="008D2F9B" w:rsidR="009B6653" w:rsidTr="00380F20" w14:paraId="799910E7" w14:textId="77777777">
        <w:trPr>
          <w:jc w:val="center"/>
        </w:trPr>
        <w:tc>
          <w:tcPr>
            <w:tcW w:w="2178" w:type="dxa"/>
          </w:tcPr>
          <w:p w:rsidRPr="00E0262F" w:rsidR="009B6653" w:rsidP="008D2F9B" w:rsidRDefault="009B6653" w14:paraId="460A7FBD" w14:textId="77777777">
            <w:pPr>
              <w:rPr>
                <w:rFonts w:ascii="Palatino Linotype" w:hAnsi="Palatino Linotype" w:cstheme="minorHAnsi"/>
              </w:rPr>
            </w:pPr>
            <w:r w:rsidRPr="00E0262F">
              <w:rPr>
                <w:rFonts w:ascii="Palatino Linotype" w:hAnsi="Palatino Linotype" w:cstheme="minorHAnsi"/>
              </w:rPr>
              <w:t xml:space="preserve">Deadline for Submission of Report </w:t>
            </w:r>
          </w:p>
        </w:tc>
        <w:tc>
          <w:tcPr>
            <w:tcW w:w="2459" w:type="dxa"/>
          </w:tcPr>
          <w:p w:rsidRPr="00E0262F" w:rsidR="009B6653" w:rsidP="008D2F9B" w:rsidRDefault="009B6653" w14:paraId="1BD3599F" w14:textId="77777777">
            <w:pPr>
              <w:rPr>
                <w:rFonts w:ascii="Palatino Linotype" w:hAnsi="Palatino Linotype" w:cstheme="minorHAnsi"/>
              </w:rPr>
            </w:pPr>
            <w:r w:rsidRPr="00E0262F">
              <w:rPr>
                <w:rFonts w:ascii="Palatino Linotype" w:hAnsi="Palatino Linotype" w:cstheme="minorHAnsi"/>
              </w:rPr>
              <w:t>15 calendar days after the end of the reporting month</w:t>
            </w:r>
          </w:p>
        </w:tc>
        <w:tc>
          <w:tcPr>
            <w:tcW w:w="2459" w:type="dxa"/>
          </w:tcPr>
          <w:p w:rsidRPr="00E0262F" w:rsidR="009B6653" w:rsidP="008D2F9B" w:rsidRDefault="009B6653" w14:paraId="1621D8B8" w14:textId="77777777">
            <w:pPr>
              <w:rPr>
                <w:rFonts w:ascii="Palatino Linotype" w:hAnsi="Palatino Linotype" w:cstheme="minorHAnsi"/>
              </w:rPr>
            </w:pPr>
            <w:r w:rsidRPr="00E0262F">
              <w:rPr>
                <w:rFonts w:ascii="Palatino Linotype" w:hAnsi="Palatino Linotype" w:cstheme="minorHAnsi"/>
              </w:rPr>
              <w:t>45 calendar days after the end of the reporting quarter</w:t>
            </w:r>
          </w:p>
        </w:tc>
        <w:tc>
          <w:tcPr>
            <w:tcW w:w="2439" w:type="dxa"/>
          </w:tcPr>
          <w:p w:rsidRPr="00E0262F" w:rsidR="009B6653" w:rsidP="008D2F9B" w:rsidRDefault="009B6653" w14:paraId="2B83C7E9" w14:textId="3278D923">
            <w:pPr>
              <w:rPr>
                <w:rFonts w:ascii="Palatino Linotype" w:hAnsi="Palatino Linotype" w:cstheme="minorHAnsi"/>
              </w:rPr>
            </w:pPr>
            <w:r w:rsidRPr="00E0262F">
              <w:rPr>
                <w:rFonts w:ascii="Palatino Linotype" w:hAnsi="Palatino Linotype" w:cstheme="minorHAnsi"/>
              </w:rPr>
              <w:t>February 1 after the end of the reporting year</w:t>
            </w:r>
            <w:r w:rsidRPr="00E0262F" w:rsidR="003A7462">
              <w:rPr>
                <w:rFonts w:ascii="Palatino Linotype" w:hAnsi="Palatino Linotype" w:cstheme="minorHAnsi"/>
              </w:rPr>
              <w:t xml:space="preserve"> (unless otherwise specified)</w:t>
            </w:r>
          </w:p>
        </w:tc>
      </w:tr>
      <w:tr w:rsidRPr="008D2F9B" w:rsidR="009B6653" w:rsidTr="00380F20" w14:paraId="3EC18965" w14:textId="77777777">
        <w:trPr>
          <w:jc w:val="center"/>
        </w:trPr>
        <w:tc>
          <w:tcPr>
            <w:tcW w:w="2178" w:type="dxa"/>
          </w:tcPr>
          <w:p w:rsidRPr="00E0262F" w:rsidR="009B6653" w:rsidP="008D2F9B" w:rsidRDefault="009B6653" w14:paraId="002A7744" w14:textId="77777777">
            <w:pPr>
              <w:rPr>
                <w:rFonts w:ascii="Palatino Linotype" w:hAnsi="Palatino Linotype" w:cstheme="minorHAnsi"/>
              </w:rPr>
            </w:pPr>
            <w:r w:rsidRPr="00E0262F">
              <w:rPr>
                <w:rFonts w:ascii="Palatino Linotype" w:hAnsi="Palatino Linotype" w:cstheme="minorHAnsi"/>
              </w:rPr>
              <w:t>Grace Period After the Deadline</w:t>
            </w:r>
          </w:p>
        </w:tc>
        <w:tc>
          <w:tcPr>
            <w:tcW w:w="2459" w:type="dxa"/>
          </w:tcPr>
          <w:p w:rsidRPr="00E0262F" w:rsidR="009B6653" w:rsidP="008D2F9B" w:rsidRDefault="009B6653" w14:paraId="782E1D3A" w14:textId="77777777">
            <w:pPr>
              <w:rPr>
                <w:rFonts w:ascii="Palatino Linotype" w:hAnsi="Palatino Linotype" w:cstheme="minorHAnsi"/>
              </w:rPr>
            </w:pPr>
            <w:r w:rsidRPr="00E0262F">
              <w:rPr>
                <w:rFonts w:ascii="Palatino Linotype" w:hAnsi="Palatino Linotype" w:cstheme="minorHAnsi"/>
              </w:rPr>
              <w:t>5 calendar days</w:t>
            </w:r>
          </w:p>
        </w:tc>
        <w:tc>
          <w:tcPr>
            <w:tcW w:w="2459" w:type="dxa"/>
          </w:tcPr>
          <w:p w:rsidRPr="00E0262F" w:rsidR="009B6653" w:rsidP="008D2F9B" w:rsidRDefault="009B6653" w14:paraId="1C243CC0" w14:textId="77777777">
            <w:pPr>
              <w:rPr>
                <w:rFonts w:ascii="Palatino Linotype" w:hAnsi="Palatino Linotype" w:cstheme="minorHAnsi"/>
              </w:rPr>
            </w:pPr>
            <w:r w:rsidRPr="00E0262F">
              <w:rPr>
                <w:rFonts w:ascii="Palatino Linotype" w:hAnsi="Palatino Linotype" w:cstheme="minorHAnsi"/>
              </w:rPr>
              <w:t>5 calendar days</w:t>
            </w:r>
          </w:p>
        </w:tc>
        <w:tc>
          <w:tcPr>
            <w:tcW w:w="2439" w:type="dxa"/>
          </w:tcPr>
          <w:p w:rsidRPr="00E0262F" w:rsidR="009B6653" w:rsidP="008D2F9B" w:rsidRDefault="009B6653" w14:paraId="353B4B39" w14:textId="77777777">
            <w:pPr>
              <w:rPr>
                <w:rFonts w:ascii="Palatino Linotype" w:hAnsi="Palatino Linotype" w:cstheme="minorHAnsi"/>
              </w:rPr>
            </w:pPr>
            <w:r w:rsidRPr="00E0262F">
              <w:rPr>
                <w:rFonts w:ascii="Palatino Linotype" w:hAnsi="Palatino Linotype" w:cstheme="minorHAnsi"/>
              </w:rPr>
              <w:t>5 calendar days</w:t>
            </w:r>
          </w:p>
        </w:tc>
      </w:tr>
      <w:tr w:rsidRPr="008D2F9B" w:rsidR="009B6653" w:rsidTr="00380F20" w14:paraId="2C7CD723" w14:textId="77777777">
        <w:trPr>
          <w:jc w:val="center"/>
        </w:trPr>
        <w:tc>
          <w:tcPr>
            <w:tcW w:w="2178" w:type="dxa"/>
          </w:tcPr>
          <w:p w:rsidRPr="00E0262F" w:rsidR="009B6653" w:rsidP="008D2F9B" w:rsidRDefault="009B6653" w14:paraId="21C0D0AB" w14:textId="77777777">
            <w:pPr>
              <w:rPr>
                <w:rFonts w:ascii="Palatino Linotype" w:hAnsi="Palatino Linotype" w:cstheme="minorHAnsi"/>
              </w:rPr>
            </w:pPr>
            <w:r w:rsidRPr="00E0262F">
              <w:rPr>
                <w:rFonts w:ascii="Palatino Linotype" w:hAnsi="Palatino Linotype" w:cstheme="minorHAnsi"/>
              </w:rPr>
              <w:t>Citation Amount for Late or Incomplete Submission of Report</w:t>
            </w:r>
          </w:p>
        </w:tc>
        <w:tc>
          <w:tcPr>
            <w:tcW w:w="2459" w:type="dxa"/>
          </w:tcPr>
          <w:p w:rsidRPr="00E0262F" w:rsidR="009B6653" w:rsidP="008D2F9B" w:rsidRDefault="009B6653" w14:paraId="7D11F5F3" w14:textId="77777777">
            <w:pPr>
              <w:rPr>
                <w:rFonts w:ascii="Palatino Linotype" w:hAnsi="Palatino Linotype" w:cstheme="minorHAnsi"/>
              </w:rPr>
            </w:pPr>
            <w:r w:rsidRPr="00E0262F">
              <w:rPr>
                <w:rFonts w:ascii="Palatino Linotype" w:hAnsi="Palatino Linotype" w:cstheme="minorHAnsi"/>
              </w:rPr>
              <w:t>$30,000 a month per report and per utility number</w:t>
            </w:r>
          </w:p>
        </w:tc>
        <w:tc>
          <w:tcPr>
            <w:tcW w:w="2459" w:type="dxa"/>
          </w:tcPr>
          <w:p w:rsidRPr="00E0262F" w:rsidR="009B6653" w:rsidP="008D2F9B" w:rsidRDefault="009B6653" w14:paraId="35157692" w14:textId="77777777">
            <w:pPr>
              <w:rPr>
                <w:rFonts w:ascii="Palatino Linotype" w:hAnsi="Palatino Linotype" w:cstheme="minorHAnsi"/>
              </w:rPr>
            </w:pPr>
            <w:r w:rsidRPr="00E0262F">
              <w:rPr>
                <w:rFonts w:ascii="Palatino Linotype" w:hAnsi="Palatino Linotype" w:cstheme="minorHAnsi"/>
              </w:rPr>
              <w:t>$30,000 a month per report and per utility number</w:t>
            </w:r>
          </w:p>
        </w:tc>
        <w:tc>
          <w:tcPr>
            <w:tcW w:w="2439" w:type="dxa"/>
          </w:tcPr>
          <w:p w:rsidRPr="00E0262F" w:rsidR="009B6653" w:rsidP="008D2F9B" w:rsidRDefault="009B6653" w14:paraId="13728C4B" w14:textId="77777777">
            <w:pPr>
              <w:rPr>
                <w:rFonts w:ascii="Palatino Linotype" w:hAnsi="Palatino Linotype" w:cstheme="minorHAnsi"/>
              </w:rPr>
            </w:pPr>
            <w:r w:rsidRPr="00E0262F">
              <w:rPr>
                <w:rFonts w:ascii="Palatino Linotype" w:hAnsi="Palatino Linotype" w:cstheme="minorHAnsi"/>
              </w:rPr>
              <w:t>$30,000 a month per report and per utility number</w:t>
            </w:r>
          </w:p>
        </w:tc>
      </w:tr>
      <w:tr w:rsidRPr="008D2F9B" w:rsidR="009B6653" w:rsidTr="00380F20" w14:paraId="27E03193" w14:textId="77777777">
        <w:trPr>
          <w:jc w:val="center"/>
        </w:trPr>
        <w:tc>
          <w:tcPr>
            <w:tcW w:w="2178" w:type="dxa"/>
          </w:tcPr>
          <w:p w:rsidRPr="00E0262F" w:rsidR="009B6653" w:rsidP="008D2F9B" w:rsidRDefault="009B6653" w14:paraId="06BAABC9" w14:textId="77777777">
            <w:pPr>
              <w:rPr>
                <w:rFonts w:ascii="Palatino Linotype" w:hAnsi="Palatino Linotype" w:cstheme="minorHAnsi"/>
              </w:rPr>
            </w:pPr>
            <w:r w:rsidRPr="00E0262F">
              <w:rPr>
                <w:rFonts w:ascii="Palatino Linotype" w:hAnsi="Palatino Linotype" w:cstheme="minorHAnsi"/>
              </w:rPr>
              <w:t>Deadline for Giving the CPUC the Citation Amount</w:t>
            </w:r>
          </w:p>
        </w:tc>
        <w:tc>
          <w:tcPr>
            <w:tcW w:w="2459" w:type="dxa"/>
          </w:tcPr>
          <w:p w:rsidRPr="00E0262F" w:rsidR="009B6653" w:rsidP="008D2F9B" w:rsidRDefault="009B6653" w14:paraId="425CF3E5" w14:textId="77777777">
            <w:pPr>
              <w:rPr>
                <w:rFonts w:ascii="Palatino Linotype" w:hAnsi="Palatino Linotype" w:cstheme="minorHAnsi"/>
              </w:rPr>
            </w:pPr>
            <w:r w:rsidRPr="00E0262F">
              <w:rPr>
                <w:rFonts w:ascii="Palatino Linotype" w:hAnsi="Palatino Linotype" w:cstheme="minorHAnsi"/>
              </w:rPr>
              <w:t>Within 30 calendar days of filing the complete report along with a cover letter</w:t>
            </w:r>
          </w:p>
        </w:tc>
        <w:tc>
          <w:tcPr>
            <w:tcW w:w="2459" w:type="dxa"/>
          </w:tcPr>
          <w:p w:rsidRPr="00E0262F" w:rsidR="009B6653" w:rsidP="008D2F9B" w:rsidRDefault="009B6653" w14:paraId="030562AD" w14:textId="77777777">
            <w:pPr>
              <w:rPr>
                <w:rFonts w:ascii="Palatino Linotype" w:hAnsi="Palatino Linotype" w:cstheme="minorHAnsi"/>
              </w:rPr>
            </w:pPr>
            <w:r w:rsidRPr="00E0262F">
              <w:rPr>
                <w:rFonts w:ascii="Palatino Linotype" w:hAnsi="Palatino Linotype" w:cstheme="minorHAnsi"/>
              </w:rPr>
              <w:t>Within 30 calendar days of filing the complete report along with a cover letter</w:t>
            </w:r>
          </w:p>
        </w:tc>
        <w:tc>
          <w:tcPr>
            <w:tcW w:w="2439" w:type="dxa"/>
          </w:tcPr>
          <w:p w:rsidRPr="00E0262F" w:rsidR="009B6653" w:rsidP="008D2F9B" w:rsidRDefault="009B6653" w14:paraId="00A72918" w14:textId="77777777">
            <w:pPr>
              <w:rPr>
                <w:rFonts w:ascii="Palatino Linotype" w:hAnsi="Palatino Linotype" w:cstheme="minorHAnsi"/>
              </w:rPr>
            </w:pPr>
            <w:r w:rsidRPr="00E0262F">
              <w:rPr>
                <w:rFonts w:ascii="Palatino Linotype" w:hAnsi="Palatino Linotype" w:cstheme="minorHAnsi"/>
              </w:rPr>
              <w:t>Within 30 calendar days of filing the complete report along with a cover letter</w:t>
            </w:r>
          </w:p>
        </w:tc>
      </w:tr>
      <w:tr w:rsidRPr="008D2F9B" w:rsidR="009B6653" w:rsidTr="00380F20" w14:paraId="75D3D8DA" w14:textId="77777777">
        <w:trPr>
          <w:jc w:val="center"/>
        </w:trPr>
        <w:tc>
          <w:tcPr>
            <w:tcW w:w="2178" w:type="dxa"/>
          </w:tcPr>
          <w:p w:rsidRPr="00E0262F" w:rsidR="009B6653" w:rsidP="008D2F9B" w:rsidRDefault="009B6653" w14:paraId="5EDA932F" w14:textId="77777777">
            <w:pPr>
              <w:rPr>
                <w:rFonts w:ascii="Palatino Linotype" w:hAnsi="Palatino Linotype" w:cstheme="minorHAnsi"/>
              </w:rPr>
            </w:pPr>
            <w:r w:rsidRPr="00E0262F">
              <w:rPr>
                <w:rFonts w:ascii="Palatino Linotype" w:hAnsi="Palatino Linotype" w:cstheme="minorHAnsi"/>
              </w:rPr>
              <w:t>Content of Cover Letter</w:t>
            </w:r>
          </w:p>
        </w:tc>
        <w:tc>
          <w:tcPr>
            <w:tcW w:w="2459" w:type="dxa"/>
          </w:tcPr>
          <w:p w:rsidRPr="00E0262F" w:rsidR="009B6653" w:rsidP="009B6653" w:rsidRDefault="009B6653" w14:paraId="024D6761" w14:textId="77777777">
            <w:pPr>
              <w:pStyle w:val="ListParagraph"/>
              <w:numPr>
                <w:ilvl w:val="0"/>
                <w:numId w:val="14"/>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 xml:space="preserve">Utility Number </w:t>
            </w:r>
          </w:p>
          <w:p w:rsidRPr="00E0262F" w:rsidR="009B6653" w:rsidP="009B6653" w:rsidRDefault="009B6653" w14:paraId="6E83A23E" w14:textId="77777777">
            <w:pPr>
              <w:pStyle w:val="ListParagraph"/>
              <w:numPr>
                <w:ilvl w:val="0"/>
                <w:numId w:val="14"/>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 xml:space="preserve">A2005010 as the proceeding number </w:t>
            </w:r>
          </w:p>
          <w:p w:rsidRPr="00E0262F" w:rsidR="009B6653" w:rsidP="009B6653" w:rsidRDefault="009B6653" w14:paraId="4AF41298" w14:textId="77777777">
            <w:pPr>
              <w:pStyle w:val="ListParagraph"/>
              <w:numPr>
                <w:ilvl w:val="0"/>
                <w:numId w:val="14"/>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Number of calendar days beyond the deadline of the report</w:t>
            </w:r>
          </w:p>
          <w:p w:rsidRPr="00E0262F" w:rsidR="009B6653" w:rsidP="009B6653" w:rsidRDefault="009B6653" w14:paraId="107A3B8C" w14:textId="77777777">
            <w:pPr>
              <w:pStyle w:val="ListParagraph"/>
              <w:numPr>
                <w:ilvl w:val="0"/>
                <w:numId w:val="14"/>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Citation amount</w:t>
            </w:r>
          </w:p>
          <w:p w:rsidRPr="00E0262F" w:rsidR="009B6653" w:rsidP="009B6653" w:rsidRDefault="009B6653" w14:paraId="3C4B13AB" w14:textId="77777777">
            <w:pPr>
              <w:pStyle w:val="ListParagraph"/>
              <w:numPr>
                <w:ilvl w:val="0"/>
                <w:numId w:val="14"/>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Statement recognizing the late submission</w:t>
            </w:r>
          </w:p>
        </w:tc>
        <w:tc>
          <w:tcPr>
            <w:tcW w:w="2459" w:type="dxa"/>
          </w:tcPr>
          <w:p w:rsidRPr="00E0262F" w:rsidR="009B6653" w:rsidP="009B6653" w:rsidRDefault="009B6653" w14:paraId="273E6E99" w14:textId="77777777">
            <w:pPr>
              <w:pStyle w:val="ListParagraph"/>
              <w:numPr>
                <w:ilvl w:val="0"/>
                <w:numId w:val="15"/>
              </w:numPr>
              <w:spacing w:after="0" w:line="240" w:lineRule="auto"/>
              <w:ind w:left="252" w:hanging="270"/>
              <w:rPr>
                <w:rFonts w:ascii="Palatino Linotype" w:hAnsi="Palatino Linotype" w:cstheme="minorHAnsi"/>
                <w:sz w:val="24"/>
                <w:szCs w:val="24"/>
              </w:rPr>
            </w:pPr>
            <w:r w:rsidRPr="00E0262F">
              <w:rPr>
                <w:rFonts w:ascii="Palatino Linotype" w:hAnsi="Palatino Linotype" w:cstheme="minorHAnsi"/>
                <w:sz w:val="24"/>
                <w:szCs w:val="24"/>
              </w:rPr>
              <w:t>Utility Number</w:t>
            </w:r>
          </w:p>
          <w:p w:rsidRPr="00E0262F" w:rsidR="009B6653" w:rsidP="009B6653" w:rsidRDefault="009B6653" w14:paraId="2125B781" w14:textId="77777777">
            <w:pPr>
              <w:pStyle w:val="ListParagraph"/>
              <w:numPr>
                <w:ilvl w:val="0"/>
                <w:numId w:val="15"/>
              </w:numPr>
              <w:spacing w:after="0" w:line="240" w:lineRule="auto"/>
              <w:ind w:left="252" w:hanging="270"/>
              <w:rPr>
                <w:rFonts w:ascii="Palatino Linotype" w:hAnsi="Palatino Linotype" w:cstheme="minorHAnsi"/>
                <w:sz w:val="24"/>
                <w:szCs w:val="24"/>
              </w:rPr>
            </w:pPr>
            <w:r w:rsidRPr="00E0262F">
              <w:rPr>
                <w:rFonts w:ascii="Palatino Linotype" w:hAnsi="Palatino Linotype" w:cstheme="minorHAnsi"/>
                <w:sz w:val="24"/>
                <w:szCs w:val="24"/>
              </w:rPr>
              <w:t>A2005010 as the proceeding number</w:t>
            </w:r>
          </w:p>
          <w:p w:rsidRPr="00E0262F" w:rsidR="009B6653" w:rsidP="009B6653" w:rsidRDefault="009B6653" w14:paraId="3EFD9420" w14:textId="77777777">
            <w:pPr>
              <w:pStyle w:val="ListParagraph"/>
              <w:numPr>
                <w:ilvl w:val="0"/>
                <w:numId w:val="15"/>
              </w:numPr>
              <w:spacing w:after="0" w:line="240" w:lineRule="auto"/>
              <w:ind w:left="252" w:hanging="270"/>
              <w:rPr>
                <w:rFonts w:ascii="Palatino Linotype" w:hAnsi="Palatino Linotype" w:cstheme="minorHAnsi"/>
                <w:sz w:val="24"/>
                <w:szCs w:val="24"/>
              </w:rPr>
            </w:pPr>
            <w:r w:rsidRPr="00E0262F">
              <w:rPr>
                <w:rFonts w:ascii="Palatino Linotype" w:hAnsi="Palatino Linotype" w:cstheme="minorHAnsi"/>
                <w:sz w:val="24"/>
                <w:szCs w:val="24"/>
              </w:rPr>
              <w:t>Number of calendar days beyond the deadline of the report</w:t>
            </w:r>
          </w:p>
          <w:p w:rsidRPr="00E0262F" w:rsidR="009B6653" w:rsidP="009B6653" w:rsidRDefault="009B6653" w14:paraId="2128554F" w14:textId="77777777">
            <w:pPr>
              <w:pStyle w:val="ListParagraph"/>
              <w:numPr>
                <w:ilvl w:val="0"/>
                <w:numId w:val="15"/>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Citation amount</w:t>
            </w:r>
          </w:p>
          <w:p w:rsidRPr="00E0262F" w:rsidR="009B6653" w:rsidP="009B6653" w:rsidRDefault="009B6653" w14:paraId="235D8EB1" w14:textId="77777777">
            <w:pPr>
              <w:pStyle w:val="ListParagraph"/>
              <w:numPr>
                <w:ilvl w:val="0"/>
                <w:numId w:val="15"/>
              </w:numPr>
              <w:spacing w:after="0" w:line="240" w:lineRule="auto"/>
              <w:ind w:left="256" w:hanging="270"/>
              <w:rPr>
                <w:rFonts w:ascii="Palatino Linotype" w:hAnsi="Palatino Linotype" w:eastAsiaTheme="minorEastAsia" w:cstheme="minorHAnsi"/>
                <w:sz w:val="24"/>
                <w:szCs w:val="24"/>
              </w:rPr>
            </w:pPr>
            <w:r w:rsidRPr="00E0262F">
              <w:rPr>
                <w:rFonts w:ascii="Palatino Linotype" w:hAnsi="Palatino Linotype" w:cstheme="minorHAnsi"/>
                <w:sz w:val="24"/>
                <w:szCs w:val="24"/>
              </w:rPr>
              <w:t>Statement recognizing the late submission</w:t>
            </w:r>
          </w:p>
        </w:tc>
        <w:tc>
          <w:tcPr>
            <w:tcW w:w="2439" w:type="dxa"/>
          </w:tcPr>
          <w:p w:rsidRPr="00E0262F" w:rsidR="009B6653" w:rsidP="009B6653" w:rsidRDefault="009B6653" w14:paraId="5737F1B8" w14:textId="77777777">
            <w:pPr>
              <w:pStyle w:val="ListParagraph"/>
              <w:numPr>
                <w:ilvl w:val="0"/>
                <w:numId w:val="16"/>
              </w:numPr>
              <w:spacing w:after="0" w:line="240" w:lineRule="auto"/>
              <w:ind w:left="254" w:hanging="270"/>
              <w:rPr>
                <w:rFonts w:ascii="Palatino Linotype" w:hAnsi="Palatino Linotype" w:cstheme="minorHAnsi"/>
                <w:sz w:val="24"/>
                <w:szCs w:val="24"/>
              </w:rPr>
            </w:pPr>
            <w:r w:rsidRPr="00E0262F">
              <w:rPr>
                <w:rFonts w:ascii="Palatino Linotype" w:hAnsi="Palatino Linotype" w:cstheme="minorHAnsi"/>
                <w:sz w:val="24"/>
                <w:szCs w:val="24"/>
              </w:rPr>
              <w:t>Utility Number</w:t>
            </w:r>
          </w:p>
          <w:p w:rsidRPr="00E0262F" w:rsidR="009B6653" w:rsidP="009B6653" w:rsidRDefault="009B6653" w14:paraId="1840FC62" w14:textId="77777777">
            <w:pPr>
              <w:pStyle w:val="ListParagraph"/>
              <w:numPr>
                <w:ilvl w:val="0"/>
                <w:numId w:val="16"/>
              </w:numPr>
              <w:spacing w:after="0" w:line="240" w:lineRule="auto"/>
              <w:ind w:left="254" w:hanging="270"/>
              <w:rPr>
                <w:rFonts w:ascii="Palatino Linotype" w:hAnsi="Palatino Linotype" w:cstheme="minorHAnsi"/>
                <w:sz w:val="24"/>
                <w:szCs w:val="24"/>
              </w:rPr>
            </w:pPr>
            <w:r w:rsidRPr="00E0262F">
              <w:rPr>
                <w:rFonts w:ascii="Palatino Linotype" w:hAnsi="Palatino Linotype" w:cstheme="minorHAnsi"/>
                <w:sz w:val="24"/>
                <w:szCs w:val="24"/>
              </w:rPr>
              <w:t>A2005010 as the proceeding</w:t>
            </w:r>
          </w:p>
          <w:p w:rsidRPr="00E0262F" w:rsidR="009B6653" w:rsidP="009B6653" w:rsidRDefault="009B6653" w14:paraId="101EFB98" w14:textId="77777777">
            <w:pPr>
              <w:pStyle w:val="ListParagraph"/>
              <w:numPr>
                <w:ilvl w:val="0"/>
                <w:numId w:val="16"/>
              </w:numPr>
              <w:spacing w:after="0" w:line="240" w:lineRule="auto"/>
              <w:ind w:left="254" w:hanging="270"/>
              <w:rPr>
                <w:rFonts w:ascii="Palatino Linotype" w:hAnsi="Palatino Linotype" w:cstheme="minorHAnsi"/>
                <w:sz w:val="24"/>
                <w:szCs w:val="24"/>
              </w:rPr>
            </w:pPr>
            <w:r w:rsidRPr="00E0262F">
              <w:rPr>
                <w:rFonts w:ascii="Palatino Linotype" w:hAnsi="Palatino Linotype" w:cstheme="minorHAnsi"/>
                <w:sz w:val="24"/>
                <w:szCs w:val="24"/>
              </w:rPr>
              <w:t>Number of calendar days beyond the deadline of the report</w:t>
            </w:r>
          </w:p>
          <w:p w:rsidRPr="00E0262F" w:rsidR="009B6653" w:rsidP="009B6653" w:rsidRDefault="009B6653" w14:paraId="0FA6AE58" w14:textId="77777777">
            <w:pPr>
              <w:pStyle w:val="ListParagraph"/>
              <w:numPr>
                <w:ilvl w:val="0"/>
                <w:numId w:val="16"/>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Citation amount</w:t>
            </w:r>
          </w:p>
          <w:p w:rsidRPr="00E0262F" w:rsidR="009B6653" w:rsidP="009B6653" w:rsidRDefault="009B6653" w14:paraId="087B1B52" w14:textId="77777777">
            <w:pPr>
              <w:pStyle w:val="ListParagraph"/>
              <w:numPr>
                <w:ilvl w:val="0"/>
                <w:numId w:val="16"/>
              </w:numPr>
              <w:spacing w:after="0" w:line="240" w:lineRule="auto"/>
              <w:ind w:left="256" w:hanging="270"/>
              <w:rPr>
                <w:rFonts w:ascii="Palatino Linotype" w:hAnsi="Palatino Linotype" w:cstheme="minorHAnsi"/>
                <w:sz w:val="24"/>
                <w:szCs w:val="24"/>
              </w:rPr>
            </w:pPr>
            <w:r w:rsidRPr="00E0262F">
              <w:rPr>
                <w:rFonts w:ascii="Palatino Linotype" w:hAnsi="Palatino Linotype" w:cstheme="minorHAnsi"/>
                <w:sz w:val="24"/>
                <w:szCs w:val="24"/>
              </w:rPr>
              <w:t>Statement recognizing the late submission</w:t>
            </w:r>
          </w:p>
        </w:tc>
      </w:tr>
    </w:tbl>
    <w:p w:rsidRPr="00E0262F" w:rsidR="009242DA" w:rsidP="00884272" w:rsidRDefault="009242DA" w14:paraId="70545952" w14:textId="27347074">
      <w:pPr>
        <w:rPr>
          <w:rFonts w:ascii="Palatino Linotype" w:hAnsi="Palatino Linotype" w:cstheme="minorHAnsi"/>
          <w:b/>
          <w:bCs/>
        </w:rPr>
      </w:pPr>
    </w:p>
    <w:p w:rsidR="00C6300F" w:rsidP="00380F20" w:rsidRDefault="00C6300F" w14:paraId="404F7E0E" w14:textId="77777777">
      <w:pPr>
        <w:jc w:val="center"/>
        <w:rPr>
          <w:rFonts w:ascii="Palatino Linotype" w:hAnsi="Palatino Linotype" w:cstheme="minorHAnsi"/>
          <w:b/>
          <w:bCs/>
        </w:rPr>
      </w:pPr>
    </w:p>
    <w:p w:rsidR="00C6300F" w:rsidP="00380F20" w:rsidRDefault="00C6300F" w14:paraId="58EBA2E8" w14:textId="77777777">
      <w:pPr>
        <w:jc w:val="center"/>
        <w:rPr>
          <w:rFonts w:ascii="Palatino Linotype" w:hAnsi="Palatino Linotype" w:cstheme="minorHAnsi"/>
          <w:b/>
          <w:bCs/>
        </w:rPr>
      </w:pPr>
    </w:p>
    <w:p w:rsidR="00AE0685" w:rsidP="00380F20" w:rsidRDefault="00380F20" w14:paraId="29C2D48A" w14:textId="1824FC2C">
      <w:pPr>
        <w:jc w:val="center"/>
        <w:rPr>
          <w:rFonts w:ascii="Palatino Linotype" w:hAnsi="Palatino Linotype" w:cstheme="minorHAnsi"/>
          <w:b/>
          <w:bCs/>
        </w:rPr>
      </w:pPr>
      <w:r w:rsidRPr="00380F20">
        <w:rPr>
          <w:rFonts w:ascii="Palatino Linotype" w:hAnsi="Palatino Linotype" w:cstheme="minorHAnsi"/>
          <w:b/>
          <w:bCs/>
        </w:rPr>
        <w:t xml:space="preserve">END OF APPENDIX </w:t>
      </w:r>
      <w:r w:rsidR="00862781">
        <w:rPr>
          <w:rFonts w:ascii="Palatino Linotype" w:hAnsi="Palatino Linotype" w:cstheme="minorHAnsi"/>
          <w:b/>
          <w:bCs/>
        </w:rPr>
        <w:t>B</w:t>
      </w:r>
    </w:p>
    <w:p w:rsidR="00380F20" w:rsidP="00380F20" w:rsidRDefault="00380F20" w14:paraId="6BBC3EBE" w14:textId="2FBFE899">
      <w:pPr>
        <w:tabs>
          <w:tab w:val="left" w:pos="6855"/>
        </w:tabs>
        <w:rPr>
          <w:rFonts w:ascii="Palatino Linotype" w:hAnsi="Palatino Linotype" w:cstheme="minorHAnsi"/>
        </w:rPr>
      </w:pPr>
      <w:r>
        <w:rPr>
          <w:rFonts w:ascii="Palatino Linotype" w:hAnsi="Palatino Linotype" w:cstheme="minorHAnsi"/>
        </w:rPr>
        <w:tab/>
      </w:r>
    </w:p>
    <w:p w:rsidR="00AC6F91" w:rsidP="00794756" w:rsidRDefault="002C0229" w14:paraId="3D789186" w14:textId="2C65E7C7">
      <w:pPr>
        <w:jc w:val="center"/>
        <w:rPr>
          <w:rFonts w:ascii="Palatino Linotype" w:hAnsi="Palatino Linotype" w:cstheme="minorHAnsi"/>
          <w:b/>
          <w:bCs/>
        </w:rPr>
      </w:pPr>
      <w:r>
        <w:rPr>
          <w:rFonts w:ascii="Palatino Linotype" w:hAnsi="Palatino Linotype" w:cstheme="minorHAnsi"/>
        </w:rPr>
        <w:br w:type="page"/>
      </w:r>
      <w:r w:rsidR="00C6300F">
        <w:rPr>
          <w:rFonts w:ascii="Palatino Linotype" w:hAnsi="Palatino Linotype" w:cstheme="minorHAnsi"/>
          <w:b/>
          <w:bCs/>
        </w:rPr>
        <w:lastRenderedPageBreak/>
        <w:t>APPENDIX C</w:t>
      </w:r>
    </w:p>
    <w:p w:rsidRPr="00353741" w:rsidR="00AC6F91" w:rsidP="00AC6F91" w:rsidRDefault="00AC6F91" w14:paraId="557389E9" w14:textId="619FA3F1">
      <w:pPr>
        <w:ind w:left="270" w:hanging="270"/>
        <w:jc w:val="center"/>
        <w:rPr>
          <w:rFonts w:ascii="Palatino Linotype" w:hAnsi="Palatino Linotype" w:cstheme="minorHAnsi"/>
          <w:b/>
          <w:bCs/>
        </w:rPr>
      </w:pPr>
      <w:r w:rsidRPr="00353741">
        <w:rPr>
          <w:rFonts w:ascii="Palatino Linotype" w:hAnsi="Palatino Linotype" w:cstheme="minorHAnsi"/>
          <w:b/>
          <w:bCs/>
        </w:rPr>
        <w:t xml:space="preserve">STATEMENT OF WORK FOR COMPLIANCE MONITOR </w:t>
      </w:r>
    </w:p>
    <w:p w:rsidRPr="00353741" w:rsidR="00AC6F91" w:rsidP="00AC6F91" w:rsidRDefault="00AC6F91" w14:paraId="4C7E8D61" w14:textId="77777777">
      <w:pPr>
        <w:ind w:left="270" w:hanging="270"/>
        <w:jc w:val="center"/>
        <w:rPr>
          <w:rFonts w:ascii="Palatino Linotype" w:hAnsi="Palatino Linotype" w:cstheme="minorHAnsi"/>
          <w:b/>
          <w:bCs/>
        </w:rPr>
      </w:pPr>
      <w:r w:rsidRPr="00353741">
        <w:rPr>
          <w:rFonts w:ascii="Palatino Linotype" w:hAnsi="Palatino Linotype" w:cstheme="minorHAnsi"/>
          <w:b/>
          <w:bCs/>
        </w:rPr>
        <w:t>PURSUANT TO DECISION (D).</w:t>
      </w:r>
      <w:r>
        <w:rPr>
          <w:rFonts w:ascii="Palatino Linotype" w:hAnsi="Palatino Linotype" w:cstheme="minorHAnsi"/>
          <w:b/>
          <w:bCs/>
        </w:rPr>
        <w:t xml:space="preserve"> </w:t>
      </w:r>
      <w:r w:rsidRPr="00353741">
        <w:rPr>
          <w:rFonts w:ascii="Palatino Linotype" w:hAnsi="Palatino Linotype" w:cstheme="minorHAnsi"/>
          <w:b/>
          <w:bCs/>
        </w:rPr>
        <w:t>21-04-008</w:t>
      </w:r>
    </w:p>
    <w:p w:rsidRPr="00353741" w:rsidR="00AC6F91" w:rsidP="00AC6F91" w:rsidRDefault="00AC6F91" w14:paraId="2E02A4FF" w14:textId="77777777">
      <w:pPr>
        <w:rPr>
          <w:rFonts w:ascii="Palatino Linotype" w:hAnsi="Palatino Linotype" w:cstheme="minorHAnsi"/>
          <w:b/>
          <w:bCs/>
        </w:rPr>
      </w:pPr>
    </w:p>
    <w:p w:rsidRPr="00353741" w:rsidR="00AC6F91" w:rsidP="00AC6F91" w:rsidRDefault="00AC6F91" w14:paraId="36808D8C" w14:textId="236A6362">
      <w:pPr>
        <w:rPr>
          <w:rFonts w:ascii="Palatino Linotype" w:hAnsi="Palatino Linotype" w:cstheme="minorHAnsi"/>
        </w:rPr>
      </w:pPr>
      <w:r w:rsidRPr="00353741">
        <w:rPr>
          <w:rFonts w:ascii="Palatino Linotype" w:hAnsi="Palatino Linotype" w:cstheme="minorHAnsi"/>
        </w:rPr>
        <w:t xml:space="preserve">The Compliance Monitor will be responsible for reviewing Frontier’s reports and making findings on Frontier’s compliance with, and progress toward, the terms, requirements, and conditions within D.21-04-008.  The </w:t>
      </w:r>
      <w:r w:rsidR="002F5543">
        <w:rPr>
          <w:rFonts w:ascii="Palatino Linotype" w:hAnsi="Palatino Linotype" w:cstheme="minorHAnsi"/>
        </w:rPr>
        <w:t>C</w:t>
      </w:r>
      <w:r w:rsidRPr="00353741">
        <w:rPr>
          <w:rFonts w:ascii="Palatino Linotype" w:hAnsi="Palatino Linotype" w:cstheme="minorHAnsi"/>
        </w:rPr>
        <w:t xml:space="preserve">ompliance </w:t>
      </w:r>
      <w:r w:rsidR="002F5543">
        <w:rPr>
          <w:rFonts w:ascii="Palatino Linotype" w:hAnsi="Palatino Linotype" w:cstheme="minorHAnsi"/>
        </w:rPr>
        <w:t>M</w:t>
      </w:r>
      <w:r w:rsidRPr="00353741">
        <w:rPr>
          <w:rFonts w:ascii="Palatino Linotype" w:hAnsi="Palatino Linotype" w:cstheme="minorHAnsi"/>
        </w:rPr>
        <w:t>onitor will also be responsible for reporting these findings to the Communications Division</w:t>
      </w:r>
      <w:r w:rsidR="002F5543">
        <w:rPr>
          <w:rFonts w:ascii="Palatino Linotype" w:hAnsi="Palatino Linotype" w:cstheme="minorHAnsi"/>
        </w:rPr>
        <w:t xml:space="preserve"> (CD)</w:t>
      </w:r>
      <w:r w:rsidRPr="00353741">
        <w:rPr>
          <w:rFonts w:ascii="Palatino Linotype" w:hAnsi="Palatino Linotype" w:cstheme="minorHAnsi"/>
        </w:rPr>
        <w:t xml:space="preserve">. </w:t>
      </w:r>
    </w:p>
    <w:p w:rsidRPr="00353741" w:rsidR="00AC6F91" w:rsidP="00AC6F91" w:rsidRDefault="00AC6F91" w14:paraId="7CC31590" w14:textId="77777777">
      <w:pPr>
        <w:pStyle w:val="ListParagraph"/>
        <w:ind w:left="0"/>
        <w:rPr>
          <w:rFonts w:ascii="Palatino Linotype" w:hAnsi="Palatino Linotype" w:cstheme="minorHAnsi"/>
          <w:sz w:val="24"/>
          <w:szCs w:val="24"/>
        </w:rPr>
      </w:pPr>
    </w:p>
    <w:p w:rsidRPr="00353741" w:rsidR="00AC6F91" w:rsidP="00AC6F91" w:rsidRDefault="00AC6F91" w14:paraId="631F301E" w14:textId="77777777">
      <w:pPr>
        <w:pStyle w:val="ListParagraph"/>
        <w:ind w:left="0"/>
        <w:rPr>
          <w:rFonts w:ascii="Palatino Linotype" w:hAnsi="Palatino Linotype" w:cstheme="minorHAnsi"/>
          <w:sz w:val="24"/>
          <w:szCs w:val="24"/>
        </w:rPr>
      </w:pPr>
      <w:r w:rsidRPr="00353741">
        <w:rPr>
          <w:rFonts w:ascii="Palatino Linotype" w:hAnsi="Palatino Linotype" w:cstheme="minorHAnsi"/>
          <w:sz w:val="24"/>
          <w:szCs w:val="24"/>
        </w:rPr>
        <w:t>The Compliance Monitor, will perform the following:</w:t>
      </w:r>
    </w:p>
    <w:p w:rsidRPr="00353741" w:rsidR="00AC6F91" w:rsidP="00AC6F91" w:rsidRDefault="00AC6F91" w14:paraId="3E85E403" w14:textId="77777777">
      <w:pPr>
        <w:pStyle w:val="ListParagraph"/>
        <w:ind w:left="0"/>
        <w:rPr>
          <w:rFonts w:ascii="Palatino Linotype" w:hAnsi="Palatino Linotype" w:cstheme="minorHAnsi"/>
          <w:sz w:val="24"/>
          <w:szCs w:val="24"/>
        </w:rPr>
      </w:pPr>
    </w:p>
    <w:p w:rsidRPr="00353741" w:rsidR="00AC6F91" w:rsidP="00AC6F91" w:rsidRDefault="00AC6F91" w14:paraId="31891D42" w14:textId="109DF783">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Review all the terms, requirements, and conditions that Frontier is required to meet under D.21-04-008 and the settlement agreements. </w:t>
      </w:r>
    </w:p>
    <w:p w:rsidRPr="00353741" w:rsidR="00AC6F91" w:rsidP="00AC6F91" w:rsidRDefault="00AC6F91" w14:paraId="74344278"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Establish a clear and effective methodology to track and verify all the terms, requirements, and conditions that Frontier is required to meet under D.21-04-008 and the settlement agreements. </w:t>
      </w:r>
    </w:p>
    <w:p w:rsidRPr="00353741" w:rsidR="00AC6F91" w:rsidP="00AC6F91" w:rsidRDefault="00AC6F91" w14:paraId="13E6D91A"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Identify documentation needs for verifying Frontier’s progress towards fulfilling each obligation. If the existing reporting requirements are sufficient, then the compliance monitor should state this opinion in writing.</w:t>
      </w:r>
    </w:p>
    <w:p w:rsidRPr="00353741" w:rsidR="00AC6F91" w:rsidP="00AC6F91" w:rsidRDefault="00AC6F91" w14:paraId="1A237651"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Seek approval of any recommendations, documents, documentation needs, approaches, and processes from Staff.</w:t>
      </w:r>
    </w:p>
    <w:p w:rsidRPr="00353741" w:rsidR="00AC6F91" w:rsidP="00AC6F91" w:rsidRDefault="00AC6F91" w14:paraId="5D7EB9EC" w14:textId="40CE43D4">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Work with CD staff to design and establish the compliance report formats that Frontier will use to submit to the Compliance Monitor and to </w:t>
      </w:r>
      <w:hyperlink w:history="1" r:id="rId21">
        <w:r w:rsidRPr="00353741">
          <w:rPr>
            <w:rStyle w:val="Hyperlink"/>
            <w:rFonts w:ascii="Palatino Linotype" w:hAnsi="Palatino Linotype" w:cstheme="minorHAnsi"/>
            <w:sz w:val="24"/>
            <w:szCs w:val="24"/>
          </w:rPr>
          <w:t>cdcompliance@cpuc.ca.gov</w:t>
        </w:r>
      </w:hyperlink>
      <w:r w:rsidRPr="00353741">
        <w:rPr>
          <w:rFonts w:ascii="Palatino Linotype" w:hAnsi="Palatino Linotype" w:cstheme="minorHAnsi"/>
          <w:sz w:val="24"/>
          <w:szCs w:val="24"/>
        </w:rPr>
        <w:t xml:space="preserve">. </w:t>
      </w:r>
    </w:p>
    <w:p w:rsidRPr="00353741" w:rsidR="00AC6F91" w:rsidP="00AC6F91" w:rsidRDefault="00AC6F91" w14:paraId="61AF6AEC" w14:textId="172D2499">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Collect and retain all documents in an organized and centralized location filed by Frontier in response to the terms, requirements, and conditions that Frontier is required to meet under D.21-04-008 and the settlement agreements. The centralized location will be secured and accessible to CPUC staff (e.g., shared CPUC network folder).</w:t>
      </w:r>
    </w:p>
    <w:p w:rsidRPr="00353741" w:rsidR="00AC6F91" w:rsidP="00AC6F91" w:rsidRDefault="00AC6F91" w14:paraId="21A5D7EC"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Develop and retain a log of communications with Frontier and/or the entities settling with Frontier.</w:t>
      </w:r>
    </w:p>
    <w:p w:rsidRPr="00353741" w:rsidR="00AC6F91" w:rsidP="00AC6F91" w:rsidRDefault="00AC6F91" w14:paraId="725939B2"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Timely report all findings (within 5 days of the deadline) so that the CPUC can ascertain whether Frontier is meeting the milestones and requirements in the decision and settlement agreements and take appropriate action. </w:t>
      </w:r>
    </w:p>
    <w:p w:rsidRPr="00353741" w:rsidR="00AC6F91" w:rsidP="00AC6F91" w:rsidRDefault="00AC6F91" w14:paraId="64074E02"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Submit progress reports to CD staff on a semi-annual basis and at other times as requested by staff (if staff determines follow-up reports are needed) regarding </w:t>
      </w:r>
      <w:r w:rsidRPr="00353741">
        <w:rPr>
          <w:rFonts w:ascii="Palatino Linotype" w:hAnsi="Palatino Linotype" w:cstheme="minorHAnsi"/>
          <w:sz w:val="24"/>
          <w:szCs w:val="24"/>
        </w:rPr>
        <w:lastRenderedPageBreak/>
        <w:t>Frontier’s compliance with the terms, requirements, and conditions of D.21-04-008.</w:t>
      </w:r>
    </w:p>
    <w:p w:rsidRPr="00353741" w:rsidR="00AC6F91" w:rsidP="00AC6F91" w:rsidRDefault="00AC6F91" w14:paraId="074895BF"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Develop content for public dissemination on the Commission’s Web site about Frontier’s compliance with the terms, requirements, and conditions of D.21-04-008.</w:t>
      </w:r>
    </w:p>
    <w:p w:rsidRPr="00353741" w:rsidR="00AC6F91" w:rsidP="00AC6F91" w:rsidRDefault="00AC6F91" w14:paraId="06A56CE6"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Assist the Commission with enforcement of the terms, requirements, and conditions throughout D.21-04-008.</w:t>
      </w:r>
    </w:p>
    <w:p w:rsidRPr="00353741" w:rsidR="00AC6F91" w:rsidP="00AC6F91" w:rsidRDefault="00AC6F91" w14:paraId="134F62FD"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Develop rationale for suggesting the consequences by which to hold Frontier accountable. </w:t>
      </w:r>
    </w:p>
    <w:p w:rsidR="00FE07CF" w:rsidP="00AC6F91" w:rsidRDefault="00FE07CF" w14:paraId="6B118DCC" w14:textId="4D7BFD39">
      <w:pPr>
        <w:pStyle w:val="ListParagraph"/>
        <w:numPr>
          <w:ilvl w:val="0"/>
          <w:numId w:val="18"/>
        </w:numPr>
        <w:spacing w:after="120" w:line="240" w:lineRule="auto"/>
        <w:contextualSpacing w:val="0"/>
        <w:rPr>
          <w:rFonts w:ascii="Palatino Linotype" w:hAnsi="Palatino Linotype" w:cstheme="minorHAnsi"/>
          <w:sz w:val="24"/>
          <w:szCs w:val="24"/>
        </w:rPr>
      </w:pPr>
      <w:r>
        <w:rPr>
          <w:rFonts w:ascii="Palatino Linotype" w:hAnsi="Palatino Linotype" w:cstheme="minorHAnsi"/>
          <w:sz w:val="24"/>
          <w:szCs w:val="24"/>
        </w:rPr>
        <w:t xml:space="preserve">Implement the Enforcement Program pursuant to the adopted Resolution T-17734. </w:t>
      </w:r>
    </w:p>
    <w:p w:rsidRPr="00353741" w:rsidR="00AC6F91" w:rsidP="00AC6F91" w:rsidRDefault="00AC6F91" w14:paraId="6795368F" w14:textId="736B00FB">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If and when the Compliance Monitor concludes that Frontier is not in compliance with any requirement or condition of </w:t>
      </w:r>
      <w:r w:rsidR="00085B2E">
        <w:rPr>
          <w:rFonts w:ascii="Palatino Linotype" w:hAnsi="Palatino Linotype" w:cstheme="minorHAnsi"/>
          <w:sz w:val="24"/>
          <w:szCs w:val="24"/>
        </w:rPr>
        <w:t xml:space="preserve">an </w:t>
      </w:r>
      <w:r w:rsidRPr="00353741">
        <w:rPr>
          <w:rFonts w:ascii="Palatino Linotype" w:hAnsi="Palatino Linotype" w:cstheme="minorHAnsi"/>
          <w:sz w:val="24"/>
          <w:szCs w:val="24"/>
        </w:rPr>
        <w:t>Ordering Paragraph</w:t>
      </w:r>
      <w:r w:rsidR="00085B2E">
        <w:rPr>
          <w:rFonts w:ascii="Palatino Linotype" w:hAnsi="Palatino Linotype" w:cstheme="minorHAnsi"/>
          <w:sz w:val="24"/>
          <w:szCs w:val="24"/>
        </w:rPr>
        <w:t xml:space="preserve"> from D.21-04-008</w:t>
      </w:r>
      <w:r w:rsidRPr="00353741">
        <w:rPr>
          <w:rFonts w:ascii="Palatino Linotype" w:hAnsi="Palatino Linotype" w:cstheme="minorHAnsi"/>
          <w:sz w:val="24"/>
          <w:szCs w:val="24"/>
        </w:rPr>
        <w:t xml:space="preserve">, the Compliance Monitor may recommend a penalty to bring Frontier into compliance and forward findings and a recommendation to the Commission’s CD Director at </w:t>
      </w:r>
      <w:hyperlink w:history="1" r:id="rId22">
        <w:r w:rsidRPr="00353741">
          <w:rPr>
            <w:rStyle w:val="Hyperlink"/>
            <w:rFonts w:ascii="Palatino Linotype" w:hAnsi="Palatino Linotype" w:cstheme="minorHAnsi"/>
            <w:sz w:val="24"/>
            <w:szCs w:val="24"/>
          </w:rPr>
          <w:t>cdcompliance@cpuc.ca.gov</w:t>
        </w:r>
      </w:hyperlink>
      <w:r w:rsidRPr="00353741">
        <w:rPr>
          <w:rFonts w:ascii="Palatino Linotype" w:hAnsi="Palatino Linotype" w:cstheme="minorHAnsi"/>
          <w:sz w:val="24"/>
          <w:szCs w:val="24"/>
        </w:rPr>
        <w:t xml:space="preserve">. </w:t>
      </w:r>
    </w:p>
    <w:p w:rsidRPr="00353741" w:rsidR="00AC6F91" w:rsidP="00AC6F91" w:rsidRDefault="00AC6F91" w14:paraId="625B040F" w14:textId="77777777">
      <w:pPr>
        <w:pStyle w:val="ListParagraph"/>
        <w:numPr>
          <w:ilvl w:val="0"/>
          <w:numId w:val="18"/>
        </w:numPr>
        <w:spacing w:after="120" w:line="240" w:lineRule="auto"/>
        <w:contextualSpacing w:val="0"/>
        <w:rPr>
          <w:rFonts w:ascii="Palatino Linotype" w:hAnsi="Palatino Linotype" w:cstheme="minorHAnsi"/>
          <w:sz w:val="24"/>
          <w:szCs w:val="24"/>
        </w:rPr>
      </w:pPr>
      <w:r>
        <w:rPr>
          <w:rFonts w:ascii="Palatino Linotype" w:hAnsi="Palatino Linotype"/>
          <w:sz w:val="24"/>
          <w:szCs w:val="24"/>
        </w:rPr>
        <w:t>Review and v</w:t>
      </w:r>
      <w:r w:rsidRPr="00353741">
        <w:rPr>
          <w:rFonts w:ascii="Palatino Linotype" w:hAnsi="Palatino Linotype"/>
          <w:sz w:val="24"/>
          <w:szCs w:val="24"/>
        </w:rPr>
        <w:t>alidate infrastructure investments</w:t>
      </w:r>
      <w:r>
        <w:rPr>
          <w:rFonts w:ascii="Palatino Linotype" w:hAnsi="Palatino Linotype"/>
          <w:sz w:val="24"/>
          <w:szCs w:val="24"/>
        </w:rPr>
        <w:t xml:space="preserve"> that may include but not limited to p</w:t>
      </w:r>
      <w:r w:rsidRPr="00353741">
        <w:rPr>
          <w:rFonts w:ascii="Palatino Linotype" w:hAnsi="Palatino Linotype"/>
          <w:sz w:val="24"/>
          <w:szCs w:val="24"/>
        </w:rPr>
        <w:t>erform</w:t>
      </w:r>
      <w:r>
        <w:rPr>
          <w:rFonts w:ascii="Palatino Linotype" w:hAnsi="Palatino Linotype"/>
          <w:sz w:val="24"/>
          <w:szCs w:val="24"/>
        </w:rPr>
        <w:t>ing</w:t>
      </w:r>
      <w:r w:rsidRPr="00353741">
        <w:rPr>
          <w:rFonts w:ascii="Palatino Linotype" w:hAnsi="Palatino Linotype"/>
          <w:sz w:val="24"/>
          <w:szCs w:val="24"/>
        </w:rPr>
        <w:t xml:space="preserve"> field/onsite visits</w:t>
      </w:r>
      <w:r>
        <w:rPr>
          <w:rFonts w:ascii="Palatino Linotype" w:hAnsi="Palatino Linotype"/>
          <w:sz w:val="24"/>
          <w:szCs w:val="24"/>
        </w:rPr>
        <w:t xml:space="preserve"> and other methods appropriate assist in ensuring to goals are met. </w:t>
      </w:r>
    </w:p>
    <w:p w:rsidRPr="00353741" w:rsidR="00AC6F91" w:rsidP="00AC6F91" w:rsidRDefault="00AC6F91" w14:paraId="58B793CE" w14:textId="77777777">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Meet with CD </w:t>
      </w:r>
      <w:r>
        <w:rPr>
          <w:rFonts w:ascii="Palatino Linotype" w:hAnsi="Palatino Linotype" w:cstheme="minorHAnsi"/>
          <w:sz w:val="24"/>
          <w:szCs w:val="24"/>
        </w:rPr>
        <w:t xml:space="preserve">and CPUC </w:t>
      </w:r>
      <w:r w:rsidRPr="00353741">
        <w:rPr>
          <w:rFonts w:ascii="Palatino Linotype" w:hAnsi="Palatino Linotype" w:cstheme="minorHAnsi"/>
          <w:sz w:val="24"/>
          <w:szCs w:val="24"/>
        </w:rPr>
        <w:t>Staff to report on Frontier’s compliance in terms, requirements, and conditions of the D.21-04-008.</w:t>
      </w:r>
    </w:p>
    <w:p w:rsidRPr="00353741" w:rsidR="00AC6F91" w:rsidP="00AC6F91" w:rsidRDefault="00AC6F91" w14:paraId="15AE364E" w14:textId="55D6AAA4">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 xml:space="preserve">Participate and attend external </w:t>
      </w:r>
      <w:r w:rsidRPr="00353741" w:rsidR="00096E8E">
        <w:rPr>
          <w:rFonts w:ascii="Palatino Linotype" w:hAnsi="Palatino Linotype" w:cstheme="minorHAnsi"/>
          <w:sz w:val="24"/>
          <w:szCs w:val="24"/>
        </w:rPr>
        <w:t>(e.g., community outreach, tribal discussions, CWA/TURN/CalAdvocates</w:t>
      </w:r>
      <w:r w:rsidR="00AD544B">
        <w:rPr>
          <w:rFonts w:ascii="Palatino Linotype" w:hAnsi="Palatino Linotype" w:cstheme="minorHAnsi"/>
          <w:sz w:val="24"/>
          <w:szCs w:val="24"/>
        </w:rPr>
        <w:t>, and</w:t>
      </w:r>
      <w:r w:rsidRPr="00353741" w:rsidR="00096E8E">
        <w:rPr>
          <w:rFonts w:ascii="Palatino Linotype" w:hAnsi="Palatino Linotype" w:cstheme="minorHAnsi"/>
          <w:sz w:val="24"/>
          <w:szCs w:val="24"/>
        </w:rPr>
        <w:t xml:space="preserve"> Frontier)</w:t>
      </w:r>
      <w:r w:rsidR="00096E8E">
        <w:rPr>
          <w:rFonts w:ascii="Palatino Linotype" w:hAnsi="Palatino Linotype" w:cstheme="minorHAnsi"/>
          <w:sz w:val="24"/>
          <w:szCs w:val="24"/>
        </w:rPr>
        <w:t xml:space="preserve"> </w:t>
      </w:r>
      <w:r w:rsidRPr="00353741">
        <w:rPr>
          <w:rFonts w:ascii="Palatino Linotype" w:hAnsi="Palatino Linotype" w:cstheme="minorHAnsi"/>
          <w:sz w:val="24"/>
          <w:szCs w:val="24"/>
        </w:rPr>
        <w:t xml:space="preserve">stakeholder meetings (in person or remotely) on behalf of CD. </w:t>
      </w:r>
    </w:p>
    <w:p w:rsidR="00AC6F91" w:rsidP="00AC6F91" w:rsidRDefault="00AC6F91" w14:paraId="57661A76" w14:textId="37348420">
      <w:pPr>
        <w:pStyle w:val="ListParagraph"/>
        <w:numPr>
          <w:ilvl w:val="0"/>
          <w:numId w:val="18"/>
        </w:numPr>
        <w:spacing w:after="120" w:line="240" w:lineRule="auto"/>
        <w:contextualSpacing w:val="0"/>
        <w:rPr>
          <w:rFonts w:ascii="Palatino Linotype" w:hAnsi="Palatino Linotype" w:cstheme="minorHAnsi"/>
          <w:sz w:val="24"/>
          <w:szCs w:val="24"/>
        </w:rPr>
      </w:pPr>
      <w:r w:rsidRPr="00353741">
        <w:rPr>
          <w:rFonts w:ascii="Palatino Linotype" w:hAnsi="Palatino Linotype" w:cstheme="minorHAnsi"/>
          <w:sz w:val="24"/>
          <w:szCs w:val="24"/>
        </w:rPr>
        <w:t>Ensure close and frequent contact with Frontier as necessary, as well as</w:t>
      </w:r>
      <w:r w:rsidR="00F671B0">
        <w:rPr>
          <w:rFonts w:ascii="Palatino Linotype" w:hAnsi="Palatino Linotype" w:cstheme="minorHAnsi"/>
          <w:sz w:val="24"/>
          <w:szCs w:val="24"/>
        </w:rPr>
        <w:t>,</w:t>
      </w:r>
      <w:r w:rsidRPr="00353741">
        <w:rPr>
          <w:rFonts w:ascii="Palatino Linotype" w:hAnsi="Palatino Linotype" w:cstheme="minorHAnsi"/>
          <w:sz w:val="24"/>
          <w:szCs w:val="24"/>
        </w:rPr>
        <w:t xml:space="preserve"> with the CPUC, to be able to report to the Commission reasoned findings about Frontier’s compliance with the Decision’s requirements.   </w:t>
      </w:r>
    </w:p>
    <w:p w:rsidR="00AC6F91" w:rsidP="00AC6F91" w:rsidRDefault="00AC6F91" w14:paraId="2C0B58EA" w14:textId="77777777">
      <w:pPr>
        <w:spacing w:after="120"/>
        <w:rPr>
          <w:rFonts w:ascii="Palatino Linotype" w:hAnsi="Palatino Linotype" w:cstheme="minorHAnsi"/>
        </w:rPr>
      </w:pPr>
    </w:p>
    <w:p w:rsidR="00AC6F91" w:rsidP="00AC6F91" w:rsidRDefault="00AC6F91" w14:paraId="4A5ED715" w14:textId="77777777">
      <w:pPr>
        <w:spacing w:after="120"/>
        <w:rPr>
          <w:rFonts w:ascii="Palatino Linotype" w:hAnsi="Palatino Linotype" w:cstheme="minorHAnsi"/>
        </w:rPr>
      </w:pPr>
    </w:p>
    <w:p w:rsidRPr="00B45ECC" w:rsidR="00AC6F91" w:rsidP="00AC6F91" w:rsidRDefault="00AC6F91" w14:paraId="336E24CF" w14:textId="5FC611CE">
      <w:pPr>
        <w:spacing w:after="120"/>
        <w:jc w:val="center"/>
        <w:rPr>
          <w:rFonts w:ascii="Palatino Linotype" w:hAnsi="Palatino Linotype" w:cstheme="minorHAnsi"/>
        </w:rPr>
      </w:pPr>
      <w:r w:rsidRPr="00794756">
        <w:rPr>
          <w:rFonts w:ascii="Palatino Linotype" w:hAnsi="Palatino Linotype" w:cstheme="minorHAnsi"/>
          <w:b/>
          <w:bCs/>
        </w:rPr>
        <w:t>END OF</w:t>
      </w:r>
      <w:r>
        <w:rPr>
          <w:rFonts w:ascii="Palatino Linotype" w:hAnsi="Palatino Linotype" w:cstheme="minorHAnsi"/>
        </w:rPr>
        <w:t xml:space="preserve"> </w:t>
      </w:r>
      <w:r w:rsidR="00C6300F">
        <w:rPr>
          <w:rFonts w:ascii="Palatino Linotype" w:hAnsi="Palatino Linotype" w:cstheme="minorHAnsi"/>
          <w:b/>
          <w:bCs/>
        </w:rPr>
        <w:t>APPENDIX C</w:t>
      </w:r>
    </w:p>
    <w:p w:rsidRPr="00380F20" w:rsidR="00993FF3" w:rsidP="00380F20" w:rsidRDefault="00993FF3" w14:paraId="36BBF312" w14:textId="77777777">
      <w:pPr>
        <w:tabs>
          <w:tab w:val="left" w:pos="6855"/>
        </w:tabs>
        <w:rPr>
          <w:rFonts w:ascii="Palatino Linotype" w:hAnsi="Palatino Linotype" w:cstheme="minorHAnsi"/>
        </w:rPr>
      </w:pPr>
    </w:p>
    <w:sectPr w:rsidRPr="00380F20" w:rsidR="00993FF3" w:rsidSect="00794756">
      <w:headerReference w:type="default" r:id="rId23"/>
      <w:footerReference w:type="defaul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B10A" w14:textId="77777777" w:rsidR="00DE45E2" w:rsidRDefault="00DE45E2">
      <w:r>
        <w:separator/>
      </w:r>
    </w:p>
  </w:endnote>
  <w:endnote w:type="continuationSeparator" w:id="0">
    <w:p w14:paraId="265C5864" w14:textId="77777777" w:rsidR="00DE45E2" w:rsidRDefault="00DE45E2">
      <w:r>
        <w:continuationSeparator/>
      </w:r>
    </w:p>
  </w:endnote>
  <w:endnote w:type="continuationNotice" w:id="1">
    <w:p w14:paraId="08D7A006" w14:textId="77777777" w:rsidR="00DE45E2" w:rsidRDefault="00DE4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8A1" w14:textId="77777777" w:rsidR="003644F9" w:rsidRDefault="00364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97886"/>
      <w:docPartObj>
        <w:docPartGallery w:val="Page Numbers (Bottom of Page)"/>
        <w:docPartUnique/>
      </w:docPartObj>
    </w:sdtPr>
    <w:sdtEndPr>
      <w:rPr>
        <w:noProof/>
      </w:rPr>
    </w:sdtEndPr>
    <w:sdtContent>
      <w:p w14:paraId="07B79CCC" w14:textId="6560D0D4" w:rsidR="006E5441" w:rsidRDefault="006E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E6BB9C" w14:textId="340D9270" w:rsidR="008D2F9B" w:rsidRPr="003B1DBD" w:rsidRDefault="008D2F9B" w:rsidP="00380F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A6B" w14:textId="38A11342" w:rsidR="008D2F9B" w:rsidRPr="004C3B12" w:rsidRDefault="004C3B12" w:rsidP="004C3B12">
    <w:pPr>
      <w:pStyle w:val="Footer"/>
      <w:rPr>
        <w:sz w:val="20"/>
        <w:szCs w:val="20"/>
      </w:rPr>
    </w:pPr>
    <w:r w:rsidRPr="004C3B12">
      <w:rPr>
        <w:sz w:val="20"/>
        <w:szCs w:val="20"/>
      </w:rPr>
      <w:t>389955686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68C3" w14:textId="24BCE253" w:rsidR="00380F20" w:rsidRPr="00380F20" w:rsidRDefault="003F18AA" w:rsidP="00380F20">
    <w:pPr>
      <w:jc w:val="center"/>
      <w:rPr>
        <w:rFonts w:ascii="Palatino Linotype" w:eastAsiaTheme="majorEastAsia" w:hAnsi="Palatino Linotype" w:cstheme="majorBidi"/>
      </w:rPr>
    </w:pPr>
    <w:r>
      <w:rPr>
        <w:rFonts w:ascii="Palatino Linotype" w:hAnsi="Palatino Linotype"/>
      </w:rPr>
      <w:t>A</w:t>
    </w:r>
    <w:r w:rsidR="00380F20" w:rsidRPr="00380F20">
      <w:rPr>
        <w:rFonts w:ascii="Palatino Linotype" w:hAnsi="Palatino Linotype"/>
      </w:rPr>
      <w:t>-</w:t>
    </w:r>
    <w:sdt>
      <w:sdtPr>
        <w:rPr>
          <w:rFonts w:ascii="Palatino Linotype" w:eastAsiaTheme="majorEastAsia" w:hAnsi="Palatino Linotype" w:cstheme="majorBidi"/>
        </w:rPr>
        <w:id w:val="-1732918912"/>
        <w:docPartObj>
          <w:docPartGallery w:val="Page Numbers (Margins)"/>
          <w:docPartUnique/>
        </w:docPartObj>
      </w:sdtPr>
      <w:sdtEndPr/>
      <w:sdtContent>
        <w:sdt>
          <w:sdtPr>
            <w:rPr>
              <w:rFonts w:ascii="Palatino Linotype" w:eastAsiaTheme="majorEastAsia" w:hAnsi="Palatino Linotype" w:cstheme="majorBidi"/>
            </w:rPr>
            <w:id w:val="-1193767575"/>
            <w:docPartObj>
              <w:docPartGallery w:val="Page Numbers (Margins)"/>
              <w:docPartUnique/>
            </w:docPartObj>
          </w:sdtPr>
          <w:sdtEndPr/>
          <w:sdtContent>
            <w:r w:rsidR="00380F20">
              <w:rPr>
                <w:rFonts w:ascii="Palatino Linotype" w:eastAsiaTheme="minorEastAsia" w:hAnsi="Palatino Linotype"/>
              </w:rPr>
              <w:t>1</w:t>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CD1C" w14:textId="51612B01" w:rsidR="00AC6F91" w:rsidRPr="003B1DBD" w:rsidRDefault="001372DD" w:rsidP="00380F20">
    <w:pPr>
      <w:pStyle w:val="Footer"/>
      <w:jc w:val="center"/>
    </w:pPr>
    <w:r>
      <w:t>C</w:t>
    </w:r>
    <w:r w:rsidR="00277643">
      <w:t>-</w:t>
    </w:r>
    <w:r w:rsidR="002A73D4">
      <w:rPr>
        <w:rStyle w:val="PageNumber"/>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D9C9" w14:textId="17BB9F48" w:rsidR="00380F20" w:rsidRPr="00380F20" w:rsidRDefault="00862781" w:rsidP="00380F20">
    <w:pPr>
      <w:jc w:val="center"/>
      <w:rPr>
        <w:rFonts w:ascii="Palatino Linotype" w:eastAsiaTheme="majorEastAsia" w:hAnsi="Palatino Linotype" w:cstheme="majorBidi"/>
      </w:rPr>
    </w:pPr>
    <w:r>
      <w:rPr>
        <w:rFonts w:ascii="Palatino Linotype" w:hAnsi="Palatino Linotype"/>
      </w:rPr>
      <w:t>B</w:t>
    </w:r>
    <w:r w:rsidR="00380F20" w:rsidRPr="00380F20">
      <w:rPr>
        <w:rFonts w:ascii="Palatino Linotype" w:hAnsi="Palatino Linotype"/>
      </w:rPr>
      <w:t>-</w:t>
    </w:r>
    <w:sdt>
      <w:sdtPr>
        <w:rPr>
          <w:rFonts w:ascii="Palatino Linotype" w:eastAsiaTheme="majorEastAsia" w:hAnsi="Palatino Linotype" w:cstheme="majorBidi"/>
        </w:rPr>
        <w:id w:val="308985885"/>
        <w:docPartObj>
          <w:docPartGallery w:val="Page Numbers (Margins)"/>
          <w:docPartUnique/>
        </w:docPartObj>
      </w:sdtPr>
      <w:sdtEndPr/>
      <w:sdtContent>
        <w:sdt>
          <w:sdtPr>
            <w:rPr>
              <w:rFonts w:ascii="Palatino Linotype" w:eastAsiaTheme="majorEastAsia" w:hAnsi="Palatino Linotype" w:cstheme="majorBidi"/>
            </w:rPr>
            <w:id w:val="-2011815514"/>
            <w:docPartObj>
              <w:docPartGallery w:val="Page Numbers (Margins)"/>
              <w:docPartUnique/>
            </w:docPartObj>
          </w:sdtPr>
          <w:sdtEndPr/>
          <w:sdtContent>
            <w:r w:rsidR="00380F20">
              <w:rPr>
                <w:rFonts w:ascii="Palatino Linotype" w:eastAsiaTheme="minorEastAsia" w:hAnsi="Palatino Linotype"/>
              </w:rPr>
              <w:t>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3B7F" w14:textId="77777777" w:rsidR="00DE45E2" w:rsidRDefault="00DE45E2">
      <w:r>
        <w:separator/>
      </w:r>
    </w:p>
  </w:footnote>
  <w:footnote w:type="continuationSeparator" w:id="0">
    <w:p w14:paraId="05B066ED" w14:textId="77777777" w:rsidR="00DE45E2" w:rsidRDefault="00DE45E2">
      <w:r>
        <w:continuationSeparator/>
      </w:r>
    </w:p>
  </w:footnote>
  <w:footnote w:type="continuationNotice" w:id="1">
    <w:p w14:paraId="6E0CA7B0" w14:textId="77777777" w:rsidR="00DE45E2" w:rsidRDefault="00DE45E2"/>
  </w:footnote>
  <w:footnote w:id="2">
    <w:p w14:paraId="01722D74" w14:textId="0F458C7F" w:rsidR="008D2F9B" w:rsidRPr="00915727" w:rsidRDefault="008D2F9B">
      <w:pPr>
        <w:pStyle w:val="FootnoteText"/>
      </w:pPr>
      <w:r w:rsidRPr="00915727">
        <w:rPr>
          <w:rStyle w:val="FootnoteReference"/>
        </w:rPr>
        <w:footnoteRef/>
      </w:r>
      <w:r w:rsidRPr="00915727">
        <w:t xml:space="preserve">  </w:t>
      </w:r>
      <w:r w:rsidRPr="00915727">
        <w:rPr>
          <w:i/>
          <w:iCs/>
        </w:rPr>
        <w:t>See</w:t>
      </w:r>
      <w:r w:rsidRPr="00915727">
        <w:t xml:space="preserve"> Resolution M-4846 at 2. </w:t>
      </w:r>
    </w:p>
  </w:footnote>
  <w:footnote w:id="3">
    <w:p w14:paraId="69A3CBD6" w14:textId="77777777" w:rsidR="008D2F9B" w:rsidRPr="00915727" w:rsidRDefault="008D2F9B" w:rsidP="00EE558D">
      <w:pPr>
        <w:pStyle w:val="FootnoteText"/>
      </w:pPr>
      <w:r w:rsidRPr="00915727">
        <w:rPr>
          <w:rStyle w:val="FootnoteReference"/>
        </w:rPr>
        <w:footnoteRef/>
      </w:r>
      <w:r w:rsidRPr="00915727">
        <w:t xml:space="preserve"> The term “Staff” refers to the portion of the Commission’s Staff designated by the Executive Director to carry out the particular function involved.</w:t>
      </w:r>
    </w:p>
  </w:footnote>
  <w:footnote w:id="4">
    <w:p w14:paraId="1637F8D9" w14:textId="24D2D6A2" w:rsidR="008D2F9B" w:rsidRPr="00915727" w:rsidRDefault="008D2F9B">
      <w:pPr>
        <w:pStyle w:val="FootnoteText"/>
      </w:pPr>
      <w:r w:rsidRPr="00915727">
        <w:rPr>
          <w:rStyle w:val="FootnoteReference"/>
        </w:rPr>
        <w:footnoteRef/>
      </w:r>
      <w:r w:rsidRPr="00915727">
        <w:t xml:space="preserve"> </w:t>
      </w:r>
      <w:r w:rsidRPr="00915727">
        <w:rPr>
          <w:i/>
          <w:iCs/>
        </w:rPr>
        <w:t>See</w:t>
      </w:r>
      <w:r w:rsidRPr="00915727">
        <w:t xml:space="preserve"> Appendix </w:t>
      </w:r>
      <w:r w:rsidR="00915727">
        <w:t>A</w:t>
      </w:r>
      <w:r w:rsidRPr="00B479ED">
        <w:t xml:space="preserve"> of this Resolution for some example calculations.</w:t>
      </w:r>
      <w:r w:rsidRPr="00B479ED">
        <w:rPr>
          <w:i/>
          <w:iCs/>
        </w:rPr>
        <w:t xml:space="preserve"> </w:t>
      </w:r>
    </w:p>
  </w:footnote>
  <w:footnote w:id="5">
    <w:p w14:paraId="6635618E" w14:textId="64A68F71" w:rsidR="00751954" w:rsidRPr="00915727" w:rsidRDefault="00751954">
      <w:pPr>
        <w:pStyle w:val="FootnoteText"/>
      </w:pPr>
      <w:r w:rsidRPr="00915727">
        <w:rPr>
          <w:rStyle w:val="FootnoteReference"/>
        </w:rPr>
        <w:footnoteRef/>
      </w:r>
      <w:r w:rsidRPr="00915727">
        <w:t xml:space="preserve"> </w:t>
      </w:r>
      <w:r w:rsidRPr="00915727">
        <w:rPr>
          <w:i/>
          <w:iCs/>
        </w:rPr>
        <w:t>See</w:t>
      </w:r>
      <w:r w:rsidRPr="00915727">
        <w:t xml:space="preserve"> Resolution T-17671</w:t>
      </w:r>
      <w:r w:rsidR="00BA6005" w:rsidRPr="00915727">
        <w:t xml:space="preserve"> at</w:t>
      </w:r>
      <w:r w:rsidRPr="00915727">
        <w:t xml:space="preserve"> 13.</w:t>
      </w:r>
    </w:p>
  </w:footnote>
  <w:footnote w:id="6">
    <w:p w14:paraId="0C51B950" w14:textId="4780DB52" w:rsidR="008D2F9B" w:rsidRPr="00915727" w:rsidRDefault="008D2F9B">
      <w:pPr>
        <w:pStyle w:val="FootnoteText"/>
      </w:pPr>
      <w:r w:rsidRPr="00915727">
        <w:rPr>
          <w:rStyle w:val="FootnoteReference"/>
        </w:rPr>
        <w:footnoteRef/>
      </w:r>
      <w:r w:rsidRPr="00915727">
        <w:t xml:space="preserve"> </w:t>
      </w:r>
      <w:r w:rsidRPr="00915727">
        <w:rPr>
          <w:i/>
          <w:iCs/>
        </w:rPr>
        <w:t>See</w:t>
      </w:r>
      <w:r w:rsidRPr="00915727">
        <w:t xml:space="preserve"> Appendix </w:t>
      </w:r>
      <w:r w:rsidR="00915727">
        <w:t>B</w:t>
      </w:r>
      <w:r w:rsidRPr="00B479ED">
        <w:t xml:space="preserve"> of this Resolution</w:t>
      </w:r>
      <w:r w:rsidR="00F6528E" w:rsidRPr="00B479ED">
        <w:t xml:space="preserve"> for</w:t>
      </w:r>
      <w:r w:rsidR="006945BB" w:rsidRPr="00B479ED">
        <w:t xml:space="preserve"> information about some recurring reports</w:t>
      </w:r>
      <w:r w:rsidRPr="00B479ED">
        <w:t>.</w:t>
      </w:r>
    </w:p>
  </w:footnote>
  <w:footnote w:id="7">
    <w:p w14:paraId="47F7C995" w14:textId="77460D0D" w:rsidR="008D2F9B" w:rsidRPr="00915727" w:rsidRDefault="008D2F9B">
      <w:pPr>
        <w:pStyle w:val="FootnoteText"/>
      </w:pPr>
      <w:r w:rsidRPr="00915727">
        <w:rPr>
          <w:rStyle w:val="FootnoteReference"/>
        </w:rPr>
        <w:footnoteRef/>
      </w:r>
      <w:r w:rsidRPr="00915727">
        <w:t xml:space="preserve"> </w:t>
      </w:r>
      <w:r w:rsidRPr="00915727">
        <w:rPr>
          <w:i/>
          <w:iCs/>
        </w:rPr>
        <w:t>See</w:t>
      </w:r>
      <w:r w:rsidRPr="00915727">
        <w:t xml:space="preserve"> Resolution T-17601 at 4 and A-1.</w:t>
      </w:r>
    </w:p>
  </w:footnote>
  <w:footnote w:id="8">
    <w:p w14:paraId="5C915B23" w14:textId="0F98947B" w:rsidR="008D2F9B" w:rsidRPr="00915727" w:rsidRDefault="008D2F9B" w:rsidP="00F56479">
      <w:pPr>
        <w:pStyle w:val="FootnoteText"/>
      </w:pPr>
      <w:r w:rsidRPr="00915727">
        <w:rPr>
          <w:rStyle w:val="FootnoteReference"/>
        </w:rPr>
        <w:footnoteRef/>
      </w:r>
      <w:r w:rsidRPr="00915727">
        <w:t xml:space="preserve"> </w:t>
      </w:r>
      <w:r w:rsidR="00BA3AB3" w:rsidRPr="00915727">
        <w:rPr>
          <w:i/>
          <w:iCs/>
        </w:rPr>
        <w:t>See</w:t>
      </w:r>
      <w:r w:rsidR="00BA3AB3" w:rsidRPr="00915727">
        <w:t xml:space="preserve"> Resolution T-17601 </w:t>
      </w:r>
      <w:r w:rsidRPr="00915727">
        <w:t>at 6.</w:t>
      </w:r>
    </w:p>
  </w:footnote>
  <w:footnote w:id="9">
    <w:p w14:paraId="75D4B5CE" w14:textId="26112E0B" w:rsidR="0042639C" w:rsidRPr="00915727" w:rsidRDefault="0042639C">
      <w:pPr>
        <w:pStyle w:val="FootnoteText"/>
      </w:pPr>
      <w:r w:rsidRPr="00915727">
        <w:rPr>
          <w:rStyle w:val="FootnoteReference"/>
        </w:rPr>
        <w:footnoteRef/>
      </w:r>
      <w:r w:rsidRPr="00915727">
        <w:t xml:space="preserve"> </w:t>
      </w:r>
      <w:r w:rsidRPr="00915727">
        <w:rPr>
          <w:i/>
          <w:iCs/>
        </w:rPr>
        <w:t>See</w:t>
      </w:r>
      <w:r w:rsidRPr="00915727">
        <w:t xml:space="preserve"> Appendix C of this Resolution for </w:t>
      </w:r>
      <w:r w:rsidR="00B36C29" w:rsidRPr="00915727">
        <w:t>the scope of work associated with the Compliance Monitor.</w:t>
      </w:r>
    </w:p>
  </w:footnote>
  <w:footnote w:id="10">
    <w:p w14:paraId="0DF84B6B" w14:textId="192657B0" w:rsidR="00B52DC3" w:rsidRPr="00915727" w:rsidRDefault="00B52DC3">
      <w:pPr>
        <w:pStyle w:val="FootnoteText"/>
      </w:pPr>
      <w:r w:rsidRPr="00915727">
        <w:rPr>
          <w:rStyle w:val="FootnoteReference"/>
        </w:rPr>
        <w:footnoteRef/>
      </w:r>
      <w:r w:rsidRPr="00915727">
        <w:t xml:space="preserve"> </w:t>
      </w:r>
      <w:r w:rsidR="003025A0" w:rsidRPr="00915727">
        <w:rPr>
          <w:i/>
          <w:iCs/>
        </w:rPr>
        <w:t xml:space="preserve">See </w:t>
      </w:r>
      <w:r w:rsidR="003025A0" w:rsidRPr="00915727">
        <w:t>GO 66-</w:t>
      </w:r>
      <w:r w:rsidR="007C3C24" w:rsidRPr="00915727">
        <w:t>D</w:t>
      </w:r>
      <w:r w:rsidR="003025A0" w:rsidRPr="00915727">
        <w:t xml:space="preserve"> </w:t>
      </w:r>
      <w:r w:rsidR="000D1D4F" w:rsidRPr="00915727">
        <w:t>and D.16-08-024 regarding the Commission’s process f</w:t>
      </w:r>
      <w:r w:rsidR="001C4071" w:rsidRPr="00915727">
        <w:t>or handling claims of confidentiality.</w:t>
      </w:r>
    </w:p>
  </w:footnote>
  <w:footnote w:id="11">
    <w:p w14:paraId="4C39D8F9" w14:textId="78EADBCD" w:rsidR="008D2F9B" w:rsidRPr="00915727" w:rsidRDefault="008D2F9B">
      <w:pPr>
        <w:pStyle w:val="FootnoteText"/>
      </w:pPr>
      <w:r w:rsidRPr="00915727">
        <w:rPr>
          <w:rStyle w:val="FootnoteReference"/>
        </w:rPr>
        <w:footnoteRef/>
      </w:r>
      <w:r w:rsidRPr="00915727">
        <w:t xml:space="preserve"> </w:t>
      </w:r>
      <w:r w:rsidRPr="00915727">
        <w:rPr>
          <w:i/>
          <w:iCs/>
        </w:rPr>
        <w:t>See</w:t>
      </w:r>
      <w:r w:rsidRPr="00915727">
        <w:t xml:space="preserve"> each of the settlement agreements</w:t>
      </w:r>
      <w:r w:rsidR="00D02C6D">
        <w:t xml:space="preserve"> attached</w:t>
      </w:r>
      <w:r w:rsidR="00915727">
        <w:t xml:space="preserve"> in D.2</w:t>
      </w:r>
      <w:r w:rsidR="00D02C6D">
        <w:t>1</w:t>
      </w:r>
      <w:r w:rsidR="00915727">
        <w:t>-04-008</w:t>
      </w:r>
      <w:r w:rsidRPr="00915727">
        <w:t>.</w:t>
      </w:r>
    </w:p>
  </w:footnote>
  <w:footnote w:id="12">
    <w:p w14:paraId="7DDDD4B7" w14:textId="322F620C" w:rsidR="008D2F9B" w:rsidRPr="00915727" w:rsidRDefault="008D2F9B">
      <w:pPr>
        <w:pStyle w:val="FootnoteText"/>
      </w:pPr>
      <w:r w:rsidRPr="00915727">
        <w:rPr>
          <w:rStyle w:val="FootnoteReference"/>
        </w:rPr>
        <w:footnoteRef/>
      </w:r>
      <w:r w:rsidRPr="00915727">
        <w:t xml:space="preserve"> </w:t>
      </w:r>
      <w:r w:rsidRPr="00915727">
        <w:rPr>
          <w:i/>
          <w:iCs/>
        </w:rPr>
        <w:t>See</w:t>
      </w:r>
      <w:r w:rsidRPr="00915727">
        <w:t xml:space="preserve"> Attachment of Resolution M-4846.</w:t>
      </w:r>
    </w:p>
  </w:footnote>
  <w:footnote w:id="13">
    <w:p w14:paraId="316448C0" w14:textId="104DB553" w:rsidR="00893505" w:rsidRPr="00915727" w:rsidRDefault="00893505" w:rsidP="00893505">
      <w:pPr>
        <w:pStyle w:val="FootnoteText"/>
      </w:pPr>
      <w:r w:rsidRPr="00915727">
        <w:rPr>
          <w:rStyle w:val="FootnoteReference"/>
        </w:rPr>
        <w:footnoteRef/>
      </w:r>
      <w:r w:rsidRPr="00915727">
        <w:t xml:space="preserve"> Staff may delegate </w:t>
      </w:r>
      <w:r w:rsidR="00BB05C7" w:rsidRPr="00915727">
        <w:t>this</w:t>
      </w:r>
      <w:r w:rsidR="004A5EA8" w:rsidRPr="00915727">
        <w:t xml:space="preserve"> minor </w:t>
      </w:r>
      <w:r w:rsidR="00BB05C7" w:rsidRPr="00915727">
        <w:t>task</w:t>
      </w:r>
      <w:r w:rsidRPr="00915727">
        <w:t xml:space="preserve"> to the Compliance Monitor</w:t>
      </w:r>
      <w:r w:rsidR="004A5EA8" w:rsidRPr="00915727">
        <w:t xml:space="preserve"> as appropriate</w:t>
      </w:r>
      <w:r w:rsidRPr="00915727">
        <w:t>.</w:t>
      </w:r>
    </w:p>
  </w:footnote>
  <w:footnote w:id="14">
    <w:p w14:paraId="5FB28732" w14:textId="77777777" w:rsidR="00BF4C9E" w:rsidRPr="00915727" w:rsidRDefault="00BF4C9E" w:rsidP="00BF4C9E">
      <w:pPr>
        <w:pStyle w:val="FootnoteText"/>
      </w:pPr>
      <w:r w:rsidRPr="00915727">
        <w:rPr>
          <w:rStyle w:val="FootnoteReference"/>
        </w:rPr>
        <w:footnoteRef/>
      </w:r>
      <w:r w:rsidRPr="00915727">
        <w:t xml:space="preserve"> </w:t>
      </w:r>
      <w:r w:rsidRPr="006B5E68">
        <w:rPr>
          <w:i/>
          <w:iCs/>
        </w:rPr>
        <w:t>Id</w:t>
      </w:r>
      <w:r w:rsidRPr="006B5E68">
        <w:t>.</w:t>
      </w:r>
    </w:p>
  </w:footnote>
  <w:footnote w:id="15">
    <w:p w14:paraId="7E1E34ED" w14:textId="77777777" w:rsidR="00E36D67" w:rsidRPr="00915727" w:rsidRDefault="00E36D67" w:rsidP="00E36D67">
      <w:pPr>
        <w:pStyle w:val="FootnoteText"/>
      </w:pPr>
      <w:r w:rsidRPr="00915727">
        <w:rPr>
          <w:rStyle w:val="FootnoteReference"/>
        </w:rPr>
        <w:footnoteRef/>
      </w:r>
      <w:r w:rsidRPr="00915727">
        <w:t xml:space="preserve"> </w:t>
      </w:r>
      <w:r w:rsidRPr="006B5E68">
        <w:rPr>
          <w:i/>
          <w:iCs/>
        </w:rPr>
        <w:t>See</w:t>
      </w:r>
      <w:r w:rsidRPr="006B5E68">
        <w:t xml:space="preserve"> PU Code §312.</w:t>
      </w:r>
    </w:p>
  </w:footnote>
  <w:footnote w:id="16">
    <w:p w14:paraId="67E15BEF" w14:textId="77777777" w:rsidR="00E36D67" w:rsidRPr="00915727" w:rsidRDefault="00E36D67" w:rsidP="00E36D67">
      <w:pPr>
        <w:pStyle w:val="FootnoteText"/>
      </w:pPr>
      <w:r w:rsidRPr="00915727">
        <w:rPr>
          <w:rStyle w:val="FootnoteReference"/>
        </w:rPr>
        <w:footnoteRef/>
      </w:r>
      <w:r w:rsidRPr="00915727">
        <w:t xml:space="preserve"> </w:t>
      </w:r>
      <w:r w:rsidRPr="006B5E68">
        <w:rPr>
          <w:i/>
          <w:iCs/>
        </w:rPr>
        <w:t>See</w:t>
      </w:r>
      <w:r w:rsidRPr="006B5E68">
        <w:t xml:space="preserve"> PU Code §311.</w:t>
      </w:r>
    </w:p>
  </w:footnote>
  <w:footnote w:id="17">
    <w:p w14:paraId="2152D81B" w14:textId="77777777" w:rsidR="00E36D67" w:rsidRPr="00915727" w:rsidRDefault="00E36D67" w:rsidP="00E36D67">
      <w:pPr>
        <w:pStyle w:val="FootnoteText"/>
      </w:pPr>
      <w:r w:rsidRPr="00915727">
        <w:rPr>
          <w:rStyle w:val="FootnoteReference"/>
        </w:rPr>
        <w:footnoteRef/>
      </w:r>
      <w:r w:rsidRPr="00915727">
        <w:t xml:space="preserve"> </w:t>
      </w:r>
      <w:r w:rsidRPr="006B5E68">
        <w:rPr>
          <w:i/>
          <w:iCs/>
        </w:rPr>
        <w:t>See</w:t>
      </w:r>
      <w:r w:rsidRPr="006B5E68">
        <w:t xml:space="preserve"> Attachment of Resolution M-4846.</w:t>
      </w:r>
    </w:p>
  </w:footnote>
  <w:footnote w:id="18">
    <w:p w14:paraId="14B5BE06" w14:textId="3F3C7911" w:rsidR="008D2F9B" w:rsidRPr="00915727" w:rsidRDefault="008D2F9B">
      <w:pPr>
        <w:pStyle w:val="FootnoteText"/>
      </w:pPr>
      <w:r w:rsidRPr="00915727">
        <w:rPr>
          <w:rStyle w:val="FootnoteReference"/>
        </w:rPr>
        <w:footnoteRef/>
      </w:r>
      <w:r w:rsidRPr="00915727">
        <w:t xml:space="preserve"> </w:t>
      </w:r>
      <w:r w:rsidRPr="006B5E68">
        <w:rPr>
          <w:i/>
          <w:iCs/>
        </w:rPr>
        <w:t>Id</w:t>
      </w:r>
      <w:r w:rsidRPr="006B5E68">
        <w:t>.</w:t>
      </w:r>
    </w:p>
  </w:footnote>
  <w:footnote w:id="19">
    <w:p w14:paraId="77C3AEC9" w14:textId="4345100A" w:rsidR="008D2F9B" w:rsidRPr="00915727" w:rsidRDefault="008D2F9B">
      <w:pPr>
        <w:pStyle w:val="FootnoteText"/>
      </w:pPr>
      <w:r w:rsidRPr="00915727">
        <w:rPr>
          <w:rStyle w:val="FootnoteReference"/>
        </w:rPr>
        <w:footnoteRef/>
      </w:r>
      <w:r w:rsidRPr="00915727">
        <w:t xml:space="preserve"> </w:t>
      </w:r>
      <w:r w:rsidRPr="006B5E68">
        <w:rPr>
          <w:i/>
          <w:iCs/>
        </w:rPr>
        <w:t>Id</w:t>
      </w:r>
      <w:r w:rsidRPr="006B5E68">
        <w:t>.</w:t>
      </w:r>
    </w:p>
  </w:footnote>
  <w:footnote w:id="20">
    <w:p w14:paraId="739E6733" w14:textId="52B2BBF9" w:rsidR="008D2F9B" w:rsidRPr="00915727" w:rsidRDefault="008D2F9B">
      <w:pPr>
        <w:pStyle w:val="FootnoteText"/>
      </w:pPr>
      <w:r w:rsidRPr="00915727">
        <w:rPr>
          <w:rStyle w:val="FootnoteReference"/>
        </w:rPr>
        <w:footnoteRef/>
      </w:r>
      <w:r w:rsidRPr="00915727">
        <w:t xml:space="preserve"> </w:t>
      </w:r>
      <w:r w:rsidRPr="006B5E68">
        <w:rPr>
          <w:i/>
          <w:iCs/>
        </w:rPr>
        <w:t>Id</w:t>
      </w:r>
      <w:r w:rsidRPr="006B5E68">
        <w:t>.</w:t>
      </w:r>
    </w:p>
  </w:footnote>
  <w:footnote w:id="21">
    <w:p w14:paraId="41EB55E2" w14:textId="02B69CCA" w:rsidR="008D2F9B" w:rsidRPr="00915727" w:rsidRDefault="008D2F9B">
      <w:pPr>
        <w:pStyle w:val="FootnoteText"/>
      </w:pPr>
      <w:r w:rsidRPr="00915727">
        <w:rPr>
          <w:rStyle w:val="FootnoteReference"/>
        </w:rPr>
        <w:footnoteRef/>
      </w:r>
      <w:r w:rsidRPr="00915727">
        <w:t xml:space="preserve"> </w:t>
      </w:r>
      <w:r w:rsidRPr="00D02C6D">
        <w:rPr>
          <w:i/>
          <w:iCs/>
        </w:rPr>
        <w:t>See</w:t>
      </w:r>
      <w:r w:rsidRPr="00D02C6D">
        <w:t xml:space="preserve"> Resolution M-4846.</w:t>
      </w:r>
    </w:p>
  </w:footnote>
  <w:footnote w:id="22">
    <w:p w14:paraId="174CB18B" w14:textId="41A23F1F" w:rsidR="008D2F9B" w:rsidRPr="00915727" w:rsidRDefault="008D2F9B">
      <w:pPr>
        <w:pStyle w:val="FootnoteText"/>
      </w:pPr>
      <w:r w:rsidRPr="00915727">
        <w:rPr>
          <w:rStyle w:val="FootnoteReference"/>
        </w:rPr>
        <w:footnoteRef/>
      </w:r>
      <w:r w:rsidRPr="00915727">
        <w:t xml:space="preserve"> </w:t>
      </w:r>
      <w:r w:rsidRPr="00D02C6D">
        <w:rPr>
          <w:i/>
          <w:iCs/>
        </w:rPr>
        <w:t>Id</w:t>
      </w:r>
      <w:r w:rsidRPr="00D02C6D">
        <w:t>.</w:t>
      </w:r>
    </w:p>
  </w:footnote>
  <w:footnote w:id="23">
    <w:p w14:paraId="1322F0C8" w14:textId="4064146A" w:rsidR="008D2F9B" w:rsidRPr="00915727" w:rsidRDefault="008D2F9B">
      <w:pPr>
        <w:pStyle w:val="FootnoteText"/>
      </w:pPr>
      <w:r w:rsidRPr="00915727">
        <w:rPr>
          <w:rStyle w:val="FootnoteReference"/>
        </w:rPr>
        <w:footnoteRef/>
      </w:r>
      <w:r w:rsidRPr="00915727">
        <w:t xml:space="preserve"> </w:t>
      </w:r>
      <w:r w:rsidRPr="00D02C6D">
        <w:rPr>
          <w:i/>
          <w:iCs/>
        </w:rPr>
        <w:t>Id</w:t>
      </w:r>
      <w:r w:rsidRPr="00D02C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0C80" w14:textId="77777777" w:rsidR="003644F9" w:rsidRDefault="00364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2500" w14:textId="1929EF92" w:rsidR="008D2F9B" w:rsidRPr="00621E03" w:rsidRDefault="008D2F9B" w:rsidP="00A647B5">
    <w:pPr>
      <w:pStyle w:val="Header"/>
      <w:tabs>
        <w:tab w:val="clear" w:pos="4320"/>
        <w:tab w:val="clear" w:pos="8640"/>
        <w:tab w:val="left" w:pos="4140"/>
        <w:tab w:val="right" w:pos="9360"/>
      </w:tabs>
      <w:rPr>
        <w:rFonts w:ascii="Palatino Linotype" w:hAnsi="Palatino Linotype"/>
      </w:rPr>
    </w:pPr>
    <w:r w:rsidRPr="00621E03">
      <w:rPr>
        <w:rFonts w:ascii="Palatino Linotype" w:hAnsi="Palatino Linotype"/>
      </w:rPr>
      <w:t>Resolution T-17734</w:t>
    </w:r>
    <w:r w:rsidRPr="00621E03">
      <w:rPr>
        <w:rFonts w:ascii="Palatino Linotype" w:hAnsi="Palatino Linotype"/>
      </w:rPr>
      <w:tab/>
      <w:t>DRAFT</w:t>
    </w:r>
    <w:r w:rsidRPr="00621E03">
      <w:rPr>
        <w:rFonts w:ascii="Palatino Linotype" w:hAnsi="Palatino Linotype"/>
      </w:rPr>
      <w:tab/>
      <w:t>0</w:t>
    </w:r>
    <w:r w:rsidR="000A33B9">
      <w:rPr>
        <w:rFonts w:ascii="Palatino Linotype" w:hAnsi="Palatino Linotype"/>
      </w:rPr>
      <w:t>8</w:t>
    </w:r>
    <w:r w:rsidRPr="00621E03">
      <w:rPr>
        <w:rFonts w:ascii="Palatino Linotype" w:hAnsi="Palatino Linotype"/>
      </w:rPr>
      <w:t>/</w:t>
    </w:r>
    <w:r w:rsidR="000A33B9">
      <w:rPr>
        <w:rFonts w:ascii="Palatino Linotype" w:hAnsi="Palatino Linotype"/>
      </w:rPr>
      <w:t>19</w:t>
    </w:r>
    <w:r w:rsidRPr="00621E03">
      <w:rPr>
        <w:rFonts w:ascii="Palatino Linotype" w:hAnsi="Palatino Linotype"/>
      </w:rPr>
      <w:t>/2021</w:t>
    </w:r>
  </w:p>
  <w:p w14:paraId="0531A4F2" w14:textId="77777777" w:rsidR="00621E03" w:rsidRDefault="008D2F9B" w:rsidP="003B1DBD">
    <w:pPr>
      <w:pStyle w:val="Header"/>
      <w:tabs>
        <w:tab w:val="clear" w:pos="8640"/>
        <w:tab w:val="right" w:pos="9360"/>
      </w:tabs>
      <w:rPr>
        <w:rFonts w:ascii="Palatino Linotype" w:hAnsi="Palatino Linotype"/>
      </w:rPr>
    </w:pPr>
    <w:r w:rsidRPr="00926A85">
      <w:rPr>
        <w:rFonts w:ascii="Palatino Linotype" w:hAnsi="Palatino Linotype"/>
      </w:rPr>
      <w:t>CD/WOW</w:t>
    </w:r>
  </w:p>
  <w:p w14:paraId="14C439C2" w14:textId="31B4EE95" w:rsidR="008D2F9B" w:rsidRPr="00926A85" w:rsidRDefault="008D2F9B" w:rsidP="003B1DBD">
    <w:pPr>
      <w:pStyle w:val="Header"/>
      <w:tabs>
        <w:tab w:val="clear" w:pos="8640"/>
        <w:tab w:val="right" w:pos="9360"/>
      </w:tabs>
      <w:rPr>
        <w:rFonts w:ascii="Palatino Linotype" w:hAnsi="Palatino Linotype"/>
      </w:rPr>
    </w:pPr>
    <w:r w:rsidRPr="00926A85">
      <w:rPr>
        <w:rFonts w:ascii="Palatino Linotype" w:hAnsi="Palatino Linotype"/>
      </w:rPr>
      <w:tab/>
    </w:r>
    <w:r w:rsidRPr="00926A85">
      <w:rPr>
        <w:rFonts w:ascii="Palatino Linotype" w:hAnsi="Palatino Linotyp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2BC" w14:textId="7EEE2594" w:rsidR="008D2F9B" w:rsidRPr="00380F20" w:rsidRDefault="008D2F9B" w:rsidP="00FD6D6B">
    <w:pPr>
      <w:pStyle w:val="Header"/>
      <w:tabs>
        <w:tab w:val="clear" w:pos="4320"/>
        <w:tab w:val="clear" w:pos="8640"/>
        <w:tab w:val="left" w:pos="4140"/>
        <w:tab w:val="right" w:pos="9360"/>
      </w:tabs>
      <w:rPr>
        <w:rFonts w:ascii="Palatino Linotype" w:hAnsi="Palatino Linotype"/>
      </w:rPr>
    </w:pPr>
    <w:r w:rsidRPr="00380F20">
      <w:rPr>
        <w:rFonts w:ascii="Palatino Linotype" w:hAnsi="Palatino Linotype"/>
      </w:rPr>
      <w:t>Resolution T-17734</w:t>
    </w:r>
    <w:r w:rsidRPr="00380F20">
      <w:rPr>
        <w:rFonts w:ascii="Palatino Linotype" w:hAnsi="Palatino Linotype"/>
      </w:rPr>
      <w:tab/>
      <w:t>DRAFT</w:t>
    </w:r>
    <w:r w:rsidRPr="00380F20">
      <w:rPr>
        <w:rFonts w:ascii="Palatino Linotype" w:hAnsi="Palatino Linotype"/>
      </w:rPr>
      <w:tab/>
    </w:r>
    <w:r w:rsidR="00400D9A" w:rsidRPr="00380F20">
      <w:rPr>
        <w:rFonts w:ascii="Palatino Linotype" w:hAnsi="Palatino Linotype"/>
      </w:rPr>
      <w:t>Agenda ID</w:t>
    </w:r>
    <w:r w:rsidR="00CC6136">
      <w:rPr>
        <w:rFonts w:ascii="Palatino Linotype" w:hAnsi="Palatino Linotype"/>
      </w:rPr>
      <w:t xml:space="preserve"># </w:t>
    </w:r>
    <w:r w:rsidR="00CC6136" w:rsidRPr="00CC6136">
      <w:rPr>
        <w:rFonts w:ascii="Palatino Linotype" w:hAnsi="Palatino Linotype"/>
      </w:rPr>
      <w:t>19695</w:t>
    </w:r>
  </w:p>
  <w:p w14:paraId="52926E09" w14:textId="77777777" w:rsidR="008D2F9B" w:rsidRPr="00380F20" w:rsidRDefault="008D2F9B" w:rsidP="00FD6D6B">
    <w:pPr>
      <w:pStyle w:val="Header"/>
      <w:tabs>
        <w:tab w:val="clear" w:pos="8640"/>
        <w:tab w:val="right" w:pos="9360"/>
      </w:tabs>
      <w:rPr>
        <w:rFonts w:ascii="Palatino Linotype" w:hAnsi="Palatino Linotype"/>
      </w:rPr>
    </w:pPr>
    <w:r w:rsidRPr="00380F20">
      <w:rPr>
        <w:rFonts w:ascii="Palatino Linotype" w:hAnsi="Palatino Linotype"/>
      </w:rPr>
      <w:t xml:space="preserve">CD/WOW </w:t>
    </w:r>
    <w:r w:rsidRPr="00380F20">
      <w:rPr>
        <w:rFonts w:ascii="Palatino Linotype" w:hAnsi="Palatino Linotype"/>
      </w:rPr>
      <w:tab/>
    </w:r>
    <w:r w:rsidRPr="00380F20">
      <w:rPr>
        <w:rFonts w:ascii="Palatino Linotype" w:hAnsi="Palatino Linotype"/>
      </w:rPr>
      <w:tab/>
    </w:r>
  </w:p>
  <w:p w14:paraId="56944402" w14:textId="77777777" w:rsidR="008D2F9B" w:rsidRPr="00380F20" w:rsidRDefault="008D2F9B">
    <w:pPr>
      <w:pStyle w:val="Header"/>
      <w:rPr>
        <w:rFonts w:ascii="Palatino Linotype" w:hAnsi="Palatino Linotyp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423C" w14:textId="5586FA8A" w:rsidR="00DC7FCF" w:rsidRPr="00380F20" w:rsidRDefault="00DC7FCF" w:rsidP="00FD6D6B">
    <w:pPr>
      <w:pStyle w:val="Header"/>
      <w:tabs>
        <w:tab w:val="clear" w:pos="4320"/>
        <w:tab w:val="clear" w:pos="8640"/>
        <w:tab w:val="left" w:pos="4140"/>
        <w:tab w:val="right" w:pos="9360"/>
      </w:tabs>
      <w:rPr>
        <w:rFonts w:ascii="Palatino Linotype" w:hAnsi="Palatino Linotype"/>
      </w:rPr>
    </w:pPr>
    <w:r w:rsidRPr="00380F20">
      <w:rPr>
        <w:rFonts w:ascii="Palatino Linotype" w:hAnsi="Palatino Linotype"/>
      </w:rPr>
      <w:t>Resolution T-17734</w:t>
    </w:r>
    <w:r w:rsidRPr="00380F20">
      <w:rPr>
        <w:rFonts w:ascii="Palatino Linotype" w:hAnsi="Palatino Linotype"/>
      </w:rPr>
      <w:tab/>
      <w:t>DRAFT</w:t>
    </w:r>
    <w:r w:rsidRPr="00380F20">
      <w:rPr>
        <w:rFonts w:ascii="Palatino Linotype" w:hAnsi="Palatino Linotype"/>
      </w:rPr>
      <w:tab/>
    </w:r>
    <w:r>
      <w:rPr>
        <w:rFonts w:ascii="Palatino Linotype" w:hAnsi="Palatino Linotype"/>
      </w:rPr>
      <w:t>8/19/2021</w:t>
    </w:r>
  </w:p>
  <w:p w14:paraId="27C8E7D1" w14:textId="77777777" w:rsidR="00DC7FCF" w:rsidRPr="00380F20" w:rsidRDefault="00DC7FCF" w:rsidP="00FD6D6B">
    <w:pPr>
      <w:pStyle w:val="Header"/>
      <w:tabs>
        <w:tab w:val="clear" w:pos="8640"/>
        <w:tab w:val="right" w:pos="9360"/>
      </w:tabs>
      <w:rPr>
        <w:rFonts w:ascii="Palatino Linotype" w:hAnsi="Palatino Linotype"/>
      </w:rPr>
    </w:pPr>
    <w:r w:rsidRPr="00380F20">
      <w:rPr>
        <w:rFonts w:ascii="Palatino Linotype" w:hAnsi="Palatino Linotype"/>
      </w:rPr>
      <w:t xml:space="preserve">CD/WOW </w:t>
    </w:r>
    <w:r w:rsidRPr="00380F20">
      <w:rPr>
        <w:rFonts w:ascii="Palatino Linotype" w:hAnsi="Palatino Linotype"/>
      </w:rPr>
      <w:tab/>
    </w:r>
    <w:r w:rsidRPr="00380F20">
      <w:rPr>
        <w:rFonts w:ascii="Palatino Linotype" w:hAnsi="Palatino Linotype"/>
      </w:rPr>
      <w:tab/>
    </w:r>
  </w:p>
  <w:p w14:paraId="6172059B" w14:textId="77777777" w:rsidR="00DC7FCF" w:rsidRPr="00380F20" w:rsidRDefault="00DC7FCF">
    <w:pPr>
      <w:pStyle w:val="Header"/>
      <w:rPr>
        <w:rFonts w:ascii="Palatino Linotype" w:hAnsi="Palatino Linotyp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ADCD" w14:textId="59326F49" w:rsidR="00E42131" w:rsidRPr="00621E03" w:rsidRDefault="00E42131" w:rsidP="00A647B5">
    <w:pPr>
      <w:pStyle w:val="Header"/>
      <w:tabs>
        <w:tab w:val="clear" w:pos="4320"/>
        <w:tab w:val="clear" w:pos="8640"/>
        <w:tab w:val="left" w:pos="4140"/>
        <w:tab w:val="right" w:pos="9360"/>
      </w:tabs>
      <w:rPr>
        <w:rFonts w:ascii="Palatino Linotype" w:hAnsi="Palatino Linotype"/>
      </w:rPr>
    </w:pPr>
    <w:r w:rsidRPr="00621E03">
      <w:rPr>
        <w:rFonts w:ascii="Palatino Linotype" w:hAnsi="Palatino Linotype"/>
      </w:rPr>
      <w:t>Resolution T-17734</w:t>
    </w:r>
    <w:r w:rsidRPr="00621E03">
      <w:rPr>
        <w:rFonts w:ascii="Palatino Linotype" w:hAnsi="Palatino Linotype"/>
      </w:rPr>
      <w:tab/>
      <w:t>DRAFT</w:t>
    </w:r>
    <w:r w:rsidRPr="00621E03">
      <w:rPr>
        <w:rFonts w:ascii="Palatino Linotype" w:hAnsi="Palatino Linotype"/>
      </w:rPr>
      <w:tab/>
    </w:r>
    <w:r w:rsidR="00C46BCA">
      <w:rPr>
        <w:rFonts w:ascii="Palatino Linotype" w:hAnsi="Palatino Linotype"/>
      </w:rPr>
      <w:t>8/19/2021</w:t>
    </w:r>
    <w:r w:rsidR="00982477" w:rsidRPr="00621E03" w:rsidDel="00982477">
      <w:rPr>
        <w:rFonts w:ascii="Palatino Linotype" w:hAnsi="Palatino Linotype"/>
      </w:rPr>
      <w:t xml:space="preserve"> </w:t>
    </w:r>
  </w:p>
  <w:p w14:paraId="0B0D6BEA" w14:textId="77777777" w:rsidR="00E42131" w:rsidRDefault="00E42131" w:rsidP="003B1DBD">
    <w:pPr>
      <w:pStyle w:val="Header"/>
      <w:tabs>
        <w:tab w:val="clear" w:pos="8640"/>
        <w:tab w:val="right" w:pos="9360"/>
      </w:tabs>
      <w:rPr>
        <w:rFonts w:ascii="Palatino Linotype" w:hAnsi="Palatino Linotype"/>
      </w:rPr>
    </w:pPr>
    <w:r w:rsidRPr="00926A85">
      <w:rPr>
        <w:rFonts w:ascii="Palatino Linotype" w:hAnsi="Palatino Linotype"/>
      </w:rPr>
      <w:t>CD/WOW</w:t>
    </w:r>
  </w:p>
  <w:p w14:paraId="1CF1ACB4" w14:textId="77777777" w:rsidR="00E42131" w:rsidRPr="00926A85" w:rsidRDefault="00E42131" w:rsidP="003B1DBD">
    <w:pPr>
      <w:pStyle w:val="Header"/>
      <w:tabs>
        <w:tab w:val="clear" w:pos="8640"/>
        <w:tab w:val="right" w:pos="9360"/>
      </w:tabs>
      <w:rPr>
        <w:rFonts w:ascii="Palatino Linotype" w:hAnsi="Palatino Linotype"/>
      </w:rPr>
    </w:pPr>
    <w:r w:rsidRPr="00926A85">
      <w:rPr>
        <w:rFonts w:ascii="Palatino Linotype" w:hAnsi="Palatino Linotype"/>
      </w:rPr>
      <w:tab/>
    </w:r>
    <w:r w:rsidRPr="00926A85">
      <w:rPr>
        <w:rFonts w:ascii="Palatino Linotype" w:hAnsi="Palatino Linoty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C82088B"/>
    <w:multiLevelType w:val="hybridMultilevel"/>
    <w:tmpl w:val="E140F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10A"/>
    <w:multiLevelType w:val="hybridMultilevel"/>
    <w:tmpl w:val="02026B6C"/>
    <w:lvl w:ilvl="0" w:tplc="0409001B">
      <w:start w:val="1"/>
      <w:numFmt w:val="lowerRoman"/>
      <w:lvlText w:val="%1."/>
      <w:lvlJc w:val="right"/>
      <w:pPr>
        <w:ind w:left="1440" w:hanging="360"/>
      </w:pPr>
      <w:rPr>
        <w:b w:val="0"/>
        <w:bCs w:val="0"/>
      </w:rPr>
    </w:lvl>
    <w:lvl w:ilvl="1" w:tplc="C9C624CA">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C07052"/>
    <w:multiLevelType w:val="hybridMultilevel"/>
    <w:tmpl w:val="992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F795C"/>
    <w:multiLevelType w:val="hybridMultilevel"/>
    <w:tmpl w:val="FFD40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C7C19"/>
    <w:multiLevelType w:val="hybridMultilevel"/>
    <w:tmpl w:val="20AE168A"/>
    <w:lvl w:ilvl="0" w:tplc="EACE9DCE">
      <w:start w:val="1"/>
      <w:numFmt w:val="upperRoman"/>
      <w:lvlText w:val="%1."/>
      <w:lvlJc w:val="right"/>
      <w:pPr>
        <w:ind w:left="720" w:hanging="36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AB9"/>
    <w:multiLevelType w:val="hybridMultilevel"/>
    <w:tmpl w:val="E568505E"/>
    <w:lvl w:ilvl="0" w:tplc="0409001B">
      <w:start w:val="1"/>
      <w:numFmt w:val="lowerRoman"/>
      <w:lvlText w:val="%1."/>
      <w:lvlJc w:val="right"/>
      <w:pPr>
        <w:ind w:left="720" w:hanging="360"/>
      </w:pPr>
    </w:lvl>
    <w:lvl w:ilvl="1" w:tplc="04090017">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31C90"/>
    <w:multiLevelType w:val="hybridMultilevel"/>
    <w:tmpl w:val="07082082"/>
    <w:lvl w:ilvl="0" w:tplc="D7661F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07B93"/>
    <w:multiLevelType w:val="hybridMultilevel"/>
    <w:tmpl w:val="C60A136A"/>
    <w:lvl w:ilvl="0" w:tplc="3E745F2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D5C9C"/>
    <w:multiLevelType w:val="hybridMultilevel"/>
    <w:tmpl w:val="2180AC84"/>
    <w:lvl w:ilvl="0" w:tplc="496E4E4E">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352BD"/>
    <w:multiLevelType w:val="hybridMultilevel"/>
    <w:tmpl w:val="0570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4294644D"/>
    <w:multiLevelType w:val="hybridMultilevel"/>
    <w:tmpl w:val="EB327C0C"/>
    <w:lvl w:ilvl="0" w:tplc="0409001B">
      <w:start w:val="1"/>
      <w:numFmt w:val="lowerRoman"/>
      <w:lvlText w:val="%1."/>
      <w:lvlJc w:val="right"/>
      <w:pPr>
        <w:ind w:left="720" w:hanging="360"/>
      </w:pPr>
    </w:lvl>
    <w:lvl w:ilvl="1" w:tplc="571EB40C">
      <w:start w:val="1"/>
      <w:numFmt w:val="lowerRoman"/>
      <w:lvlText w:val="%2."/>
      <w:lvlJc w:val="righ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C6413"/>
    <w:multiLevelType w:val="hybridMultilevel"/>
    <w:tmpl w:val="0570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F3505"/>
    <w:multiLevelType w:val="hybridMultilevel"/>
    <w:tmpl w:val="AE742FE0"/>
    <w:lvl w:ilvl="0" w:tplc="2AF0A240">
      <w:start w:val="1"/>
      <w:numFmt w:val="low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66C42"/>
    <w:multiLevelType w:val="hybridMultilevel"/>
    <w:tmpl w:val="F788A328"/>
    <w:lvl w:ilvl="0" w:tplc="E688B72A">
      <w:start w:val="1"/>
      <w:numFmt w:val="upperLetter"/>
      <w:lvlText w:val="%1."/>
      <w:lvlJc w:val="left"/>
      <w:pPr>
        <w:ind w:left="720" w:hanging="360"/>
      </w:pPr>
      <w:rPr>
        <w:rFonts w:ascii="Palatino Linotype" w:hAnsi="Palatino Linotype" w:hint="default"/>
        <w:i/>
        <w:iCs/>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F4C50"/>
    <w:multiLevelType w:val="hybridMultilevel"/>
    <w:tmpl w:val="F8102234"/>
    <w:lvl w:ilvl="0" w:tplc="7E142758">
      <w:start w:val="1"/>
      <w:numFmt w:val="lowerLetter"/>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0F18DD"/>
    <w:multiLevelType w:val="hybridMultilevel"/>
    <w:tmpl w:val="1480D4D2"/>
    <w:lvl w:ilvl="0" w:tplc="04090017">
      <w:start w:val="1"/>
      <w:numFmt w:val="lowerLetter"/>
      <w:lvlText w:val="%1)"/>
      <w:lvlJc w:val="left"/>
      <w:pPr>
        <w:ind w:left="1440" w:hanging="360"/>
      </w:pPr>
      <w:rPr>
        <w:b w:val="0"/>
        <w:bCs w:val="0"/>
      </w:rPr>
    </w:lvl>
    <w:lvl w:ilvl="1" w:tplc="C9C624CA">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EE0BF3"/>
    <w:multiLevelType w:val="hybridMultilevel"/>
    <w:tmpl w:val="0570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D2DEC"/>
    <w:multiLevelType w:val="hybridMultilevel"/>
    <w:tmpl w:val="1D1AE8DC"/>
    <w:lvl w:ilvl="0" w:tplc="C2049088">
      <w:start w:val="1"/>
      <w:numFmt w:val="lowerLetter"/>
      <w:lvlText w:val="%1)"/>
      <w:lvlJc w:val="left"/>
      <w:pPr>
        <w:ind w:left="1423" w:hanging="360"/>
      </w:pPr>
      <w:rPr>
        <w:b w:val="0"/>
        <w:bCs w:val="0"/>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0" w15:restartNumberingAfterBreak="0">
    <w:nsid w:val="6D7A23EC"/>
    <w:multiLevelType w:val="hybridMultilevel"/>
    <w:tmpl w:val="99FE23C2"/>
    <w:lvl w:ilvl="0" w:tplc="47642216">
      <w:start w:val="1"/>
      <w:numFmt w:val="lowerLetter"/>
      <w:lvlText w:val="%1)"/>
      <w:lvlJc w:val="left"/>
      <w:pPr>
        <w:ind w:left="720" w:hanging="360"/>
      </w:pPr>
      <w:rPr>
        <w:b w:val="0"/>
        <w:bCs w:val="0"/>
      </w:rPr>
    </w:lvl>
    <w:lvl w:ilvl="1" w:tplc="147E7C26">
      <w:start w:val="1"/>
      <w:numFmt w:val="lowerRoman"/>
      <w:lvlText w:val="%2."/>
      <w:lvlJc w:val="left"/>
      <w:pPr>
        <w:ind w:left="1800" w:hanging="72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D653A"/>
    <w:multiLevelType w:val="hybridMultilevel"/>
    <w:tmpl w:val="1C44C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94186"/>
    <w:multiLevelType w:val="hybridMultilevel"/>
    <w:tmpl w:val="195C397C"/>
    <w:lvl w:ilvl="0" w:tplc="BA7A8A5C">
      <w:start w:val="1"/>
      <w:numFmt w:val="upperLetter"/>
      <w:lvlText w:val="%1."/>
      <w:lvlJc w:val="left"/>
      <w:pPr>
        <w:ind w:left="720" w:hanging="360"/>
      </w:pPr>
      <w:rPr>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C62C1"/>
    <w:multiLevelType w:val="hybridMultilevel"/>
    <w:tmpl w:val="A43C3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C384D"/>
    <w:multiLevelType w:val="hybridMultilevel"/>
    <w:tmpl w:val="D5CEF524"/>
    <w:lvl w:ilvl="0" w:tplc="283613A6">
      <w:start w:val="1"/>
      <w:numFmt w:val="decimal"/>
      <w:lvlText w:val="%1."/>
      <w:lvlJc w:val="left"/>
      <w:pPr>
        <w:ind w:left="720" w:hanging="360"/>
      </w:pPr>
      <w:rPr>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3B090"/>
    <w:multiLevelType w:val="hybridMultilevel"/>
    <w:tmpl w:val="0BBFF8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0"/>
  </w:num>
  <w:num w:numId="3">
    <w:abstractNumId w:val="3"/>
  </w:num>
  <w:num w:numId="4">
    <w:abstractNumId w:val="23"/>
  </w:num>
  <w:num w:numId="5">
    <w:abstractNumId w:val="9"/>
  </w:num>
  <w:num w:numId="6">
    <w:abstractNumId w:val="25"/>
  </w:num>
  <w:num w:numId="7">
    <w:abstractNumId w:val="16"/>
  </w:num>
  <w:num w:numId="8">
    <w:abstractNumId w:val="20"/>
  </w:num>
  <w:num w:numId="9">
    <w:abstractNumId w:val="19"/>
  </w:num>
  <w:num w:numId="10">
    <w:abstractNumId w:val="12"/>
  </w:num>
  <w:num w:numId="11">
    <w:abstractNumId w:val="2"/>
  </w:num>
  <w:num w:numId="12">
    <w:abstractNumId w:val="14"/>
  </w:num>
  <w:num w:numId="13">
    <w:abstractNumId w:val="8"/>
  </w:num>
  <w:num w:numId="14">
    <w:abstractNumId w:val="13"/>
  </w:num>
  <w:num w:numId="15">
    <w:abstractNumId w:val="10"/>
  </w:num>
  <w:num w:numId="16">
    <w:abstractNumId w:val="18"/>
  </w:num>
  <w:num w:numId="17">
    <w:abstractNumId w:val="7"/>
  </w:num>
  <w:num w:numId="18">
    <w:abstractNumId w:val="1"/>
  </w:num>
  <w:num w:numId="19">
    <w:abstractNumId w:val="5"/>
  </w:num>
  <w:num w:numId="20">
    <w:abstractNumId w:val="4"/>
  </w:num>
  <w:num w:numId="21">
    <w:abstractNumId w:val="15"/>
  </w:num>
  <w:num w:numId="22">
    <w:abstractNumId w:val="22"/>
  </w:num>
  <w:num w:numId="23">
    <w:abstractNumId w:val="24"/>
  </w:num>
  <w:num w:numId="24">
    <w:abstractNumId w:val="2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1694"/>
    <w:rsid w:val="00002676"/>
    <w:rsid w:val="00003B52"/>
    <w:rsid w:val="0000410B"/>
    <w:rsid w:val="00004B7C"/>
    <w:rsid w:val="000052FC"/>
    <w:rsid w:val="00005A55"/>
    <w:rsid w:val="00010443"/>
    <w:rsid w:val="00013029"/>
    <w:rsid w:val="00013DE0"/>
    <w:rsid w:val="00014683"/>
    <w:rsid w:val="000156EC"/>
    <w:rsid w:val="00016D98"/>
    <w:rsid w:val="0001742D"/>
    <w:rsid w:val="00017CB8"/>
    <w:rsid w:val="00021C9C"/>
    <w:rsid w:val="00021D1D"/>
    <w:rsid w:val="00023A7C"/>
    <w:rsid w:val="000245E6"/>
    <w:rsid w:val="00024AFF"/>
    <w:rsid w:val="000262D1"/>
    <w:rsid w:val="00027004"/>
    <w:rsid w:val="000279D2"/>
    <w:rsid w:val="00033467"/>
    <w:rsid w:val="000335A5"/>
    <w:rsid w:val="00037358"/>
    <w:rsid w:val="00040574"/>
    <w:rsid w:val="000405FD"/>
    <w:rsid w:val="0004177E"/>
    <w:rsid w:val="00042335"/>
    <w:rsid w:val="00044014"/>
    <w:rsid w:val="0004504E"/>
    <w:rsid w:val="00045062"/>
    <w:rsid w:val="000461C7"/>
    <w:rsid w:val="000462B4"/>
    <w:rsid w:val="00046BD8"/>
    <w:rsid w:val="00046FFC"/>
    <w:rsid w:val="000472C2"/>
    <w:rsid w:val="00053C73"/>
    <w:rsid w:val="00054BA4"/>
    <w:rsid w:val="00055502"/>
    <w:rsid w:val="000559CD"/>
    <w:rsid w:val="00055A75"/>
    <w:rsid w:val="00056D0D"/>
    <w:rsid w:val="0006023A"/>
    <w:rsid w:val="000609FE"/>
    <w:rsid w:val="00061C68"/>
    <w:rsid w:val="0006338B"/>
    <w:rsid w:val="00063523"/>
    <w:rsid w:val="00063659"/>
    <w:rsid w:val="00065C37"/>
    <w:rsid w:val="00065CA3"/>
    <w:rsid w:val="000660D5"/>
    <w:rsid w:val="00066B61"/>
    <w:rsid w:val="00067039"/>
    <w:rsid w:val="00070401"/>
    <w:rsid w:val="0007240B"/>
    <w:rsid w:val="000724B7"/>
    <w:rsid w:val="0007379A"/>
    <w:rsid w:val="00073EC5"/>
    <w:rsid w:val="00075B1E"/>
    <w:rsid w:val="00075FA1"/>
    <w:rsid w:val="00076162"/>
    <w:rsid w:val="00076B51"/>
    <w:rsid w:val="00077CEE"/>
    <w:rsid w:val="000800CC"/>
    <w:rsid w:val="00082101"/>
    <w:rsid w:val="000827F0"/>
    <w:rsid w:val="00082836"/>
    <w:rsid w:val="00083ACA"/>
    <w:rsid w:val="00084245"/>
    <w:rsid w:val="00084C73"/>
    <w:rsid w:val="00085712"/>
    <w:rsid w:val="000859EC"/>
    <w:rsid w:val="00085B2E"/>
    <w:rsid w:val="0008613C"/>
    <w:rsid w:val="00087431"/>
    <w:rsid w:val="00087AFA"/>
    <w:rsid w:val="00092868"/>
    <w:rsid w:val="00092F18"/>
    <w:rsid w:val="00093286"/>
    <w:rsid w:val="00096E8E"/>
    <w:rsid w:val="000A059A"/>
    <w:rsid w:val="000A08C2"/>
    <w:rsid w:val="000A1550"/>
    <w:rsid w:val="000A1D9F"/>
    <w:rsid w:val="000A25F6"/>
    <w:rsid w:val="000A2836"/>
    <w:rsid w:val="000A30DC"/>
    <w:rsid w:val="000A33B9"/>
    <w:rsid w:val="000A33F5"/>
    <w:rsid w:val="000A77DF"/>
    <w:rsid w:val="000B0BD1"/>
    <w:rsid w:val="000B1EDE"/>
    <w:rsid w:val="000B39CA"/>
    <w:rsid w:val="000B3AEB"/>
    <w:rsid w:val="000B3F6F"/>
    <w:rsid w:val="000B4D28"/>
    <w:rsid w:val="000B57FA"/>
    <w:rsid w:val="000B5A0D"/>
    <w:rsid w:val="000B5AAC"/>
    <w:rsid w:val="000B5FBF"/>
    <w:rsid w:val="000B7070"/>
    <w:rsid w:val="000C0993"/>
    <w:rsid w:val="000C0B92"/>
    <w:rsid w:val="000C0BC3"/>
    <w:rsid w:val="000C2EB3"/>
    <w:rsid w:val="000C2FAB"/>
    <w:rsid w:val="000C3069"/>
    <w:rsid w:val="000C46D6"/>
    <w:rsid w:val="000C5AEA"/>
    <w:rsid w:val="000C6055"/>
    <w:rsid w:val="000C6FE8"/>
    <w:rsid w:val="000C70EF"/>
    <w:rsid w:val="000C7E1D"/>
    <w:rsid w:val="000D1240"/>
    <w:rsid w:val="000D1C66"/>
    <w:rsid w:val="000D1D4F"/>
    <w:rsid w:val="000D2598"/>
    <w:rsid w:val="000D36A9"/>
    <w:rsid w:val="000D4A96"/>
    <w:rsid w:val="000D55C3"/>
    <w:rsid w:val="000E0402"/>
    <w:rsid w:val="000E0614"/>
    <w:rsid w:val="000E07E3"/>
    <w:rsid w:val="000E1464"/>
    <w:rsid w:val="000E3EDA"/>
    <w:rsid w:val="000E43AE"/>
    <w:rsid w:val="000E4644"/>
    <w:rsid w:val="000E6D26"/>
    <w:rsid w:val="000E75B5"/>
    <w:rsid w:val="000F0161"/>
    <w:rsid w:val="000F08B9"/>
    <w:rsid w:val="000F11B6"/>
    <w:rsid w:val="000F1721"/>
    <w:rsid w:val="000F1CEA"/>
    <w:rsid w:val="000F32F8"/>
    <w:rsid w:val="000F37CF"/>
    <w:rsid w:val="000F5608"/>
    <w:rsid w:val="000F56E1"/>
    <w:rsid w:val="000F7B82"/>
    <w:rsid w:val="001001E3"/>
    <w:rsid w:val="0010055A"/>
    <w:rsid w:val="00100C10"/>
    <w:rsid w:val="00100C5F"/>
    <w:rsid w:val="00102405"/>
    <w:rsid w:val="00103570"/>
    <w:rsid w:val="0010358E"/>
    <w:rsid w:val="00104186"/>
    <w:rsid w:val="00104A84"/>
    <w:rsid w:val="0010775B"/>
    <w:rsid w:val="00107CAF"/>
    <w:rsid w:val="00110237"/>
    <w:rsid w:val="00110B18"/>
    <w:rsid w:val="00110B51"/>
    <w:rsid w:val="00110BE0"/>
    <w:rsid w:val="00112AEC"/>
    <w:rsid w:val="00113B18"/>
    <w:rsid w:val="0011533D"/>
    <w:rsid w:val="00115B2C"/>
    <w:rsid w:val="00116F74"/>
    <w:rsid w:val="00117B3E"/>
    <w:rsid w:val="00117ED0"/>
    <w:rsid w:val="001201C6"/>
    <w:rsid w:val="00121866"/>
    <w:rsid w:val="001222D7"/>
    <w:rsid w:val="001229E3"/>
    <w:rsid w:val="00122C5B"/>
    <w:rsid w:val="00122E8D"/>
    <w:rsid w:val="00123885"/>
    <w:rsid w:val="00124ACF"/>
    <w:rsid w:val="00125853"/>
    <w:rsid w:val="00125FFE"/>
    <w:rsid w:val="001269A2"/>
    <w:rsid w:val="001269D6"/>
    <w:rsid w:val="001270C1"/>
    <w:rsid w:val="001273CE"/>
    <w:rsid w:val="001276D7"/>
    <w:rsid w:val="001305B0"/>
    <w:rsid w:val="00130D1A"/>
    <w:rsid w:val="00131654"/>
    <w:rsid w:val="00131F8D"/>
    <w:rsid w:val="001327FA"/>
    <w:rsid w:val="00132EA1"/>
    <w:rsid w:val="00134F92"/>
    <w:rsid w:val="00135469"/>
    <w:rsid w:val="00135BFD"/>
    <w:rsid w:val="00135FA2"/>
    <w:rsid w:val="001365AD"/>
    <w:rsid w:val="001372DD"/>
    <w:rsid w:val="00140070"/>
    <w:rsid w:val="00140B72"/>
    <w:rsid w:val="00143642"/>
    <w:rsid w:val="00143BFA"/>
    <w:rsid w:val="00144836"/>
    <w:rsid w:val="00146E26"/>
    <w:rsid w:val="00146F8B"/>
    <w:rsid w:val="001476A1"/>
    <w:rsid w:val="00152D4E"/>
    <w:rsid w:val="00152E04"/>
    <w:rsid w:val="00153665"/>
    <w:rsid w:val="00154709"/>
    <w:rsid w:val="00156195"/>
    <w:rsid w:val="001566BE"/>
    <w:rsid w:val="0015670C"/>
    <w:rsid w:val="0016101E"/>
    <w:rsid w:val="001618B7"/>
    <w:rsid w:val="00162B96"/>
    <w:rsid w:val="00163250"/>
    <w:rsid w:val="001640E9"/>
    <w:rsid w:val="00164596"/>
    <w:rsid w:val="0016544A"/>
    <w:rsid w:val="001655C7"/>
    <w:rsid w:val="00165D05"/>
    <w:rsid w:val="001662FB"/>
    <w:rsid w:val="00166B0A"/>
    <w:rsid w:val="00167A40"/>
    <w:rsid w:val="00170AB7"/>
    <w:rsid w:val="001716EC"/>
    <w:rsid w:val="00174A2A"/>
    <w:rsid w:val="00175D93"/>
    <w:rsid w:val="001766F3"/>
    <w:rsid w:val="001767FF"/>
    <w:rsid w:val="00177C98"/>
    <w:rsid w:val="00181A72"/>
    <w:rsid w:val="001820C5"/>
    <w:rsid w:val="00182DB2"/>
    <w:rsid w:val="00182EBA"/>
    <w:rsid w:val="00183009"/>
    <w:rsid w:val="001838B5"/>
    <w:rsid w:val="00184806"/>
    <w:rsid w:val="00184ADB"/>
    <w:rsid w:val="00185A5C"/>
    <w:rsid w:val="00186E1F"/>
    <w:rsid w:val="00190B50"/>
    <w:rsid w:val="00192D5B"/>
    <w:rsid w:val="00193202"/>
    <w:rsid w:val="00193448"/>
    <w:rsid w:val="00193DF5"/>
    <w:rsid w:val="00194BF8"/>
    <w:rsid w:val="00195C26"/>
    <w:rsid w:val="00197F25"/>
    <w:rsid w:val="001A0056"/>
    <w:rsid w:val="001A1B03"/>
    <w:rsid w:val="001A1E18"/>
    <w:rsid w:val="001A249F"/>
    <w:rsid w:val="001A3951"/>
    <w:rsid w:val="001A48E9"/>
    <w:rsid w:val="001A49A6"/>
    <w:rsid w:val="001A4D11"/>
    <w:rsid w:val="001A57F1"/>
    <w:rsid w:val="001A62D9"/>
    <w:rsid w:val="001A6DE6"/>
    <w:rsid w:val="001A6FED"/>
    <w:rsid w:val="001B11E8"/>
    <w:rsid w:val="001B2F83"/>
    <w:rsid w:val="001B3E27"/>
    <w:rsid w:val="001B4293"/>
    <w:rsid w:val="001B542D"/>
    <w:rsid w:val="001B60C6"/>
    <w:rsid w:val="001B776F"/>
    <w:rsid w:val="001C15DB"/>
    <w:rsid w:val="001C306E"/>
    <w:rsid w:val="001C3D64"/>
    <w:rsid w:val="001C4071"/>
    <w:rsid w:val="001C44DB"/>
    <w:rsid w:val="001C6163"/>
    <w:rsid w:val="001C68AC"/>
    <w:rsid w:val="001D0707"/>
    <w:rsid w:val="001D1AFD"/>
    <w:rsid w:val="001D1BFB"/>
    <w:rsid w:val="001D278F"/>
    <w:rsid w:val="001D2A3B"/>
    <w:rsid w:val="001D2A74"/>
    <w:rsid w:val="001D44F7"/>
    <w:rsid w:val="001D4A9D"/>
    <w:rsid w:val="001D4D97"/>
    <w:rsid w:val="001D5232"/>
    <w:rsid w:val="001D68DB"/>
    <w:rsid w:val="001E03B0"/>
    <w:rsid w:val="001E09D3"/>
    <w:rsid w:val="001E1BC8"/>
    <w:rsid w:val="001E2B74"/>
    <w:rsid w:val="001E2D49"/>
    <w:rsid w:val="001E34DE"/>
    <w:rsid w:val="001E4F78"/>
    <w:rsid w:val="001E5083"/>
    <w:rsid w:val="001E6218"/>
    <w:rsid w:val="001E6551"/>
    <w:rsid w:val="001E703C"/>
    <w:rsid w:val="001F1A0F"/>
    <w:rsid w:val="001F48E8"/>
    <w:rsid w:val="002012B2"/>
    <w:rsid w:val="00201DE8"/>
    <w:rsid w:val="00202B68"/>
    <w:rsid w:val="0020535F"/>
    <w:rsid w:val="00205D3D"/>
    <w:rsid w:val="00206249"/>
    <w:rsid w:val="00207128"/>
    <w:rsid w:val="002076BD"/>
    <w:rsid w:val="00207E5D"/>
    <w:rsid w:val="002103DF"/>
    <w:rsid w:val="00210CFC"/>
    <w:rsid w:val="00211DF2"/>
    <w:rsid w:val="00212463"/>
    <w:rsid w:val="002140E9"/>
    <w:rsid w:val="002142EF"/>
    <w:rsid w:val="00214D4D"/>
    <w:rsid w:val="002156E5"/>
    <w:rsid w:val="0021589C"/>
    <w:rsid w:val="00216FE5"/>
    <w:rsid w:val="00217FDE"/>
    <w:rsid w:val="002207C0"/>
    <w:rsid w:val="002215CC"/>
    <w:rsid w:val="00222A21"/>
    <w:rsid w:val="002260FE"/>
    <w:rsid w:val="0022674E"/>
    <w:rsid w:val="00226EED"/>
    <w:rsid w:val="0022747B"/>
    <w:rsid w:val="00232130"/>
    <w:rsid w:val="00232764"/>
    <w:rsid w:val="0023297E"/>
    <w:rsid w:val="00237093"/>
    <w:rsid w:val="00237742"/>
    <w:rsid w:val="002405CE"/>
    <w:rsid w:val="00240D44"/>
    <w:rsid w:val="00242C36"/>
    <w:rsid w:val="00244AAB"/>
    <w:rsid w:val="00244B94"/>
    <w:rsid w:val="00244EF0"/>
    <w:rsid w:val="00247181"/>
    <w:rsid w:val="00247D33"/>
    <w:rsid w:val="00251BF9"/>
    <w:rsid w:val="00251C41"/>
    <w:rsid w:val="00253F1A"/>
    <w:rsid w:val="00255A75"/>
    <w:rsid w:val="00256C90"/>
    <w:rsid w:val="002613ED"/>
    <w:rsid w:val="00261BA0"/>
    <w:rsid w:val="002621B2"/>
    <w:rsid w:val="0026237F"/>
    <w:rsid w:val="00264221"/>
    <w:rsid w:val="00264D75"/>
    <w:rsid w:val="00264E2F"/>
    <w:rsid w:val="0026641C"/>
    <w:rsid w:val="00266D56"/>
    <w:rsid w:val="00266D99"/>
    <w:rsid w:val="002677E7"/>
    <w:rsid w:val="00270458"/>
    <w:rsid w:val="00270E32"/>
    <w:rsid w:val="00271F8F"/>
    <w:rsid w:val="00272CF9"/>
    <w:rsid w:val="00274665"/>
    <w:rsid w:val="002762B5"/>
    <w:rsid w:val="00276417"/>
    <w:rsid w:val="00277643"/>
    <w:rsid w:val="002806DA"/>
    <w:rsid w:val="0028078D"/>
    <w:rsid w:val="00280C1F"/>
    <w:rsid w:val="002810E1"/>
    <w:rsid w:val="00282263"/>
    <w:rsid w:val="00282628"/>
    <w:rsid w:val="00282D23"/>
    <w:rsid w:val="00283CB9"/>
    <w:rsid w:val="00284F45"/>
    <w:rsid w:val="00286995"/>
    <w:rsid w:val="00287921"/>
    <w:rsid w:val="00287AF6"/>
    <w:rsid w:val="00291D6B"/>
    <w:rsid w:val="00291E92"/>
    <w:rsid w:val="00293450"/>
    <w:rsid w:val="00294495"/>
    <w:rsid w:val="00294AA4"/>
    <w:rsid w:val="002965F6"/>
    <w:rsid w:val="00296AA4"/>
    <w:rsid w:val="00296B11"/>
    <w:rsid w:val="002A070E"/>
    <w:rsid w:val="002A0E7B"/>
    <w:rsid w:val="002A1A62"/>
    <w:rsid w:val="002A1E0B"/>
    <w:rsid w:val="002A2154"/>
    <w:rsid w:val="002A44A5"/>
    <w:rsid w:val="002A55F6"/>
    <w:rsid w:val="002A59E5"/>
    <w:rsid w:val="002A6A19"/>
    <w:rsid w:val="002A73D4"/>
    <w:rsid w:val="002A77D8"/>
    <w:rsid w:val="002A7D53"/>
    <w:rsid w:val="002B0A85"/>
    <w:rsid w:val="002B0E96"/>
    <w:rsid w:val="002B1B55"/>
    <w:rsid w:val="002B2482"/>
    <w:rsid w:val="002B3239"/>
    <w:rsid w:val="002B4810"/>
    <w:rsid w:val="002B6AD7"/>
    <w:rsid w:val="002C0229"/>
    <w:rsid w:val="002C051F"/>
    <w:rsid w:val="002C0BF5"/>
    <w:rsid w:val="002C0E98"/>
    <w:rsid w:val="002C1CB2"/>
    <w:rsid w:val="002C2754"/>
    <w:rsid w:val="002C2D22"/>
    <w:rsid w:val="002C30BA"/>
    <w:rsid w:val="002C3563"/>
    <w:rsid w:val="002C4017"/>
    <w:rsid w:val="002C5C4D"/>
    <w:rsid w:val="002C6527"/>
    <w:rsid w:val="002C6660"/>
    <w:rsid w:val="002D10C7"/>
    <w:rsid w:val="002D146A"/>
    <w:rsid w:val="002D1F69"/>
    <w:rsid w:val="002D31AD"/>
    <w:rsid w:val="002D3441"/>
    <w:rsid w:val="002D3B18"/>
    <w:rsid w:val="002D580B"/>
    <w:rsid w:val="002D5B98"/>
    <w:rsid w:val="002D5F26"/>
    <w:rsid w:val="002D6E54"/>
    <w:rsid w:val="002D6FB4"/>
    <w:rsid w:val="002D7230"/>
    <w:rsid w:val="002E1C8A"/>
    <w:rsid w:val="002E2407"/>
    <w:rsid w:val="002E3409"/>
    <w:rsid w:val="002E4377"/>
    <w:rsid w:val="002E600A"/>
    <w:rsid w:val="002E669B"/>
    <w:rsid w:val="002E6D0F"/>
    <w:rsid w:val="002E76AF"/>
    <w:rsid w:val="002F0E02"/>
    <w:rsid w:val="002F0E17"/>
    <w:rsid w:val="002F27F4"/>
    <w:rsid w:val="002F28FD"/>
    <w:rsid w:val="002F4305"/>
    <w:rsid w:val="002F5543"/>
    <w:rsid w:val="002F6439"/>
    <w:rsid w:val="002F6CEC"/>
    <w:rsid w:val="002F7682"/>
    <w:rsid w:val="003025A0"/>
    <w:rsid w:val="0030360F"/>
    <w:rsid w:val="00303790"/>
    <w:rsid w:val="003044BB"/>
    <w:rsid w:val="003046CE"/>
    <w:rsid w:val="00305CEA"/>
    <w:rsid w:val="00307160"/>
    <w:rsid w:val="0030733F"/>
    <w:rsid w:val="00307C38"/>
    <w:rsid w:val="003116C5"/>
    <w:rsid w:val="0031182A"/>
    <w:rsid w:val="00311E0E"/>
    <w:rsid w:val="00312520"/>
    <w:rsid w:val="003127F0"/>
    <w:rsid w:val="003135A8"/>
    <w:rsid w:val="003141C7"/>
    <w:rsid w:val="00314736"/>
    <w:rsid w:val="00314C76"/>
    <w:rsid w:val="003161E5"/>
    <w:rsid w:val="0032025F"/>
    <w:rsid w:val="00320F01"/>
    <w:rsid w:val="00322519"/>
    <w:rsid w:val="003229A8"/>
    <w:rsid w:val="00324DBF"/>
    <w:rsid w:val="00325325"/>
    <w:rsid w:val="00325D76"/>
    <w:rsid w:val="00330714"/>
    <w:rsid w:val="00332800"/>
    <w:rsid w:val="00332E3F"/>
    <w:rsid w:val="00333AC3"/>
    <w:rsid w:val="00334A76"/>
    <w:rsid w:val="00334E01"/>
    <w:rsid w:val="003351B8"/>
    <w:rsid w:val="00335508"/>
    <w:rsid w:val="00335543"/>
    <w:rsid w:val="00336DE9"/>
    <w:rsid w:val="0033784B"/>
    <w:rsid w:val="00337AAE"/>
    <w:rsid w:val="00337D4A"/>
    <w:rsid w:val="003425B6"/>
    <w:rsid w:val="00343BA7"/>
    <w:rsid w:val="00344328"/>
    <w:rsid w:val="00344784"/>
    <w:rsid w:val="003476B3"/>
    <w:rsid w:val="00350325"/>
    <w:rsid w:val="00353584"/>
    <w:rsid w:val="00353776"/>
    <w:rsid w:val="003566A7"/>
    <w:rsid w:val="003617FD"/>
    <w:rsid w:val="0036307D"/>
    <w:rsid w:val="00363636"/>
    <w:rsid w:val="00363A51"/>
    <w:rsid w:val="003644F9"/>
    <w:rsid w:val="00364CDC"/>
    <w:rsid w:val="00365860"/>
    <w:rsid w:val="00365A47"/>
    <w:rsid w:val="00365E36"/>
    <w:rsid w:val="003661B7"/>
    <w:rsid w:val="003736EA"/>
    <w:rsid w:val="00374D0F"/>
    <w:rsid w:val="00376FE3"/>
    <w:rsid w:val="00377A83"/>
    <w:rsid w:val="00377CE8"/>
    <w:rsid w:val="00380F20"/>
    <w:rsid w:val="003816CB"/>
    <w:rsid w:val="00381DF2"/>
    <w:rsid w:val="0038334E"/>
    <w:rsid w:val="003839C3"/>
    <w:rsid w:val="0038411A"/>
    <w:rsid w:val="003841F1"/>
    <w:rsid w:val="00384E20"/>
    <w:rsid w:val="0038504D"/>
    <w:rsid w:val="00385735"/>
    <w:rsid w:val="00386191"/>
    <w:rsid w:val="0038649F"/>
    <w:rsid w:val="003864B1"/>
    <w:rsid w:val="00387AD0"/>
    <w:rsid w:val="003900D3"/>
    <w:rsid w:val="00390BB3"/>
    <w:rsid w:val="003915DE"/>
    <w:rsid w:val="00392639"/>
    <w:rsid w:val="00392B48"/>
    <w:rsid w:val="00392B8A"/>
    <w:rsid w:val="00393248"/>
    <w:rsid w:val="003932C4"/>
    <w:rsid w:val="00394ACC"/>
    <w:rsid w:val="0039669C"/>
    <w:rsid w:val="003973EF"/>
    <w:rsid w:val="003A0BC6"/>
    <w:rsid w:val="003A1800"/>
    <w:rsid w:val="003A184B"/>
    <w:rsid w:val="003A1AF8"/>
    <w:rsid w:val="003A2F94"/>
    <w:rsid w:val="003A3CF3"/>
    <w:rsid w:val="003A40BA"/>
    <w:rsid w:val="003A4434"/>
    <w:rsid w:val="003A4A78"/>
    <w:rsid w:val="003A5008"/>
    <w:rsid w:val="003A55F7"/>
    <w:rsid w:val="003A5CB0"/>
    <w:rsid w:val="003A5F1A"/>
    <w:rsid w:val="003A656D"/>
    <w:rsid w:val="003A680B"/>
    <w:rsid w:val="003A6C2D"/>
    <w:rsid w:val="003A7462"/>
    <w:rsid w:val="003B074E"/>
    <w:rsid w:val="003B19EF"/>
    <w:rsid w:val="003B1DBD"/>
    <w:rsid w:val="003B2865"/>
    <w:rsid w:val="003B2A63"/>
    <w:rsid w:val="003B2C15"/>
    <w:rsid w:val="003B33CE"/>
    <w:rsid w:val="003B4995"/>
    <w:rsid w:val="003B642F"/>
    <w:rsid w:val="003B69FE"/>
    <w:rsid w:val="003C1F48"/>
    <w:rsid w:val="003C4421"/>
    <w:rsid w:val="003C481D"/>
    <w:rsid w:val="003C6FB3"/>
    <w:rsid w:val="003D08E5"/>
    <w:rsid w:val="003D1172"/>
    <w:rsid w:val="003D16A6"/>
    <w:rsid w:val="003D17C3"/>
    <w:rsid w:val="003D1AE5"/>
    <w:rsid w:val="003D519C"/>
    <w:rsid w:val="003D5268"/>
    <w:rsid w:val="003D5C03"/>
    <w:rsid w:val="003D6C7C"/>
    <w:rsid w:val="003D6CA2"/>
    <w:rsid w:val="003D7151"/>
    <w:rsid w:val="003D7FB4"/>
    <w:rsid w:val="003E0382"/>
    <w:rsid w:val="003E043E"/>
    <w:rsid w:val="003E0F9F"/>
    <w:rsid w:val="003E17DC"/>
    <w:rsid w:val="003E3266"/>
    <w:rsid w:val="003E3F4C"/>
    <w:rsid w:val="003E63D3"/>
    <w:rsid w:val="003E7338"/>
    <w:rsid w:val="003E7A0E"/>
    <w:rsid w:val="003F0FB6"/>
    <w:rsid w:val="003F18AA"/>
    <w:rsid w:val="003F32B9"/>
    <w:rsid w:val="003F41F3"/>
    <w:rsid w:val="003F4315"/>
    <w:rsid w:val="003F53C9"/>
    <w:rsid w:val="003F5792"/>
    <w:rsid w:val="003F6369"/>
    <w:rsid w:val="003F7021"/>
    <w:rsid w:val="003F726F"/>
    <w:rsid w:val="00400D9A"/>
    <w:rsid w:val="00401806"/>
    <w:rsid w:val="00401BE8"/>
    <w:rsid w:val="00401CF4"/>
    <w:rsid w:val="00401EDB"/>
    <w:rsid w:val="00403EA9"/>
    <w:rsid w:val="00404812"/>
    <w:rsid w:val="004049C6"/>
    <w:rsid w:val="004063CB"/>
    <w:rsid w:val="0040641C"/>
    <w:rsid w:val="0040671E"/>
    <w:rsid w:val="004071F9"/>
    <w:rsid w:val="0040760C"/>
    <w:rsid w:val="0040798B"/>
    <w:rsid w:val="00407D76"/>
    <w:rsid w:val="00410A51"/>
    <w:rsid w:val="00410CD8"/>
    <w:rsid w:val="00412F0C"/>
    <w:rsid w:val="00413A9D"/>
    <w:rsid w:val="00413F83"/>
    <w:rsid w:val="00414329"/>
    <w:rsid w:val="00415AAA"/>
    <w:rsid w:val="00415AC6"/>
    <w:rsid w:val="00415D47"/>
    <w:rsid w:val="0041611D"/>
    <w:rsid w:val="004168F6"/>
    <w:rsid w:val="00416BCE"/>
    <w:rsid w:val="00416FC7"/>
    <w:rsid w:val="00417EE3"/>
    <w:rsid w:val="004208A4"/>
    <w:rsid w:val="004230B9"/>
    <w:rsid w:val="004259CE"/>
    <w:rsid w:val="0042639C"/>
    <w:rsid w:val="00426552"/>
    <w:rsid w:val="00427862"/>
    <w:rsid w:val="00430771"/>
    <w:rsid w:val="00430F6B"/>
    <w:rsid w:val="004313BE"/>
    <w:rsid w:val="0043185E"/>
    <w:rsid w:val="00431E97"/>
    <w:rsid w:val="00432E27"/>
    <w:rsid w:val="0043498A"/>
    <w:rsid w:val="00434D90"/>
    <w:rsid w:val="00434F84"/>
    <w:rsid w:val="004358B3"/>
    <w:rsid w:val="00437872"/>
    <w:rsid w:val="00437A54"/>
    <w:rsid w:val="00440068"/>
    <w:rsid w:val="004405C8"/>
    <w:rsid w:val="00441080"/>
    <w:rsid w:val="0044259F"/>
    <w:rsid w:val="00443B91"/>
    <w:rsid w:val="00444891"/>
    <w:rsid w:val="0044526E"/>
    <w:rsid w:val="004460B6"/>
    <w:rsid w:val="00447354"/>
    <w:rsid w:val="0044745E"/>
    <w:rsid w:val="00447757"/>
    <w:rsid w:val="00447827"/>
    <w:rsid w:val="004525D5"/>
    <w:rsid w:val="00455B1A"/>
    <w:rsid w:val="004565FD"/>
    <w:rsid w:val="00456C0B"/>
    <w:rsid w:val="00460A96"/>
    <w:rsid w:val="0046473C"/>
    <w:rsid w:val="004647C8"/>
    <w:rsid w:val="00464AA3"/>
    <w:rsid w:val="00465277"/>
    <w:rsid w:val="00470B99"/>
    <w:rsid w:val="00471C19"/>
    <w:rsid w:val="0047228D"/>
    <w:rsid w:val="00473483"/>
    <w:rsid w:val="00473FE6"/>
    <w:rsid w:val="00475166"/>
    <w:rsid w:val="00475465"/>
    <w:rsid w:val="004756A6"/>
    <w:rsid w:val="0048020B"/>
    <w:rsid w:val="004804B2"/>
    <w:rsid w:val="00480DAB"/>
    <w:rsid w:val="00481BE0"/>
    <w:rsid w:val="00481D46"/>
    <w:rsid w:val="00482964"/>
    <w:rsid w:val="00483B47"/>
    <w:rsid w:val="00484BC5"/>
    <w:rsid w:val="004850E3"/>
    <w:rsid w:val="0048741E"/>
    <w:rsid w:val="00487964"/>
    <w:rsid w:val="00487C1A"/>
    <w:rsid w:val="0049085A"/>
    <w:rsid w:val="004913D4"/>
    <w:rsid w:val="00491DF0"/>
    <w:rsid w:val="004920AB"/>
    <w:rsid w:val="0049238B"/>
    <w:rsid w:val="0049300F"/>
    <w:rsid w:val="0049385E"/>
    <w:rsid w:val="00493F9A"/>
    <w:rsid w:val="004965D0"/>
    <w:rsid w:val="00496A96"/>
    <w:rsid w:val="004976F8"/>
    <w:rsid w:val="00497803"/>
    <w:rsid w:val="00497B9C"/>
    <w:rsid w:val="00497D73"/>
    <w:rsid w:val="004A16B5"/>
    <w:rsid w:val="004A21C2"/>
    <w:rsid w:val="004A253E"/>
    <w:rsid w:val="004A2C95"/>
    <w:rsid w:val="004A2CFA"/>
    <w:rsid w:val="004A4A27"/>
    <w:rsid w:val="004A592E"/>
    <w:rsid w:val="004A5EA8"/>
    <w:rsid w:val="004A61AF"/>
    <w:rsid w:val="004A68DC"/>
    <w:rsid w:val="004B0D49"/>
    <w:rsid w:val="004B27FF"/>
    <w:rsid w:val="004B2C64"/>
    <w:rsid w:val="004B301D"/>
    <w:rsid w:val="004B3623"/>
    <w:rsid w:val="004B3BBA"/>
    <w:rsid w:val="004B4716"/>
    <w:rsid w:val="004B540E"/>
    <w:rsid w:val="004B5DA0"/>
    <w:rsid w:val="004B645E"/>
    <w:rsid w:val="004B6505"/>
    <w:rsid w:val="004B702F"/>
    <w:rsid w:val="004B73AB"/>
    <w:rsid w:val="004C00B2"/>
    <w:rsid w:val="004C0516"/>
    <w:rsid w:val="004C0573"/>
    <w:rsid w:val="004C0895"/>
    <w:rsid w:val="004C1403"/>
    <w:rsid w:val="004C1E71"/>
    <w:rsid w:val="004C2098"/>
    <w:rsid w:val="004C2884"/>
    <w:rsid w:val="004C2A3F"/>
    <w:rsid w:val="004C371A"/>
    <w:rsid w:val="004C38FB"/>
    <w:rsid w:val="004C3B12"/>
    <w:rsid w:val="004C55AA"/>
    <w:rsid w:val="004C5D85"/>
    <w:rsid w:val="004D0355"/>
    <w:rsid w:val="004D0EA2"/>
    <w:rsid w:val="004D1C60"/>
    <w:rsid w:val="004D1C77"/>
    <w:rsid w:val="004D36BC"/>
    <w:rsid w:val="004D3A2E"/>
    <w:rsid w:val="004D4CD4"/>
    <w:rsid w:val="004D5ACD"/>
    <w:rsid w:val="004D5FE9"/>
    <w:rsid w:val="004D6E43"/>
    <w:rsid w:val="004D7000"/>
    <w:rsid w:val="004D7DEF"/>
    <w:rsid w:val="004E017C"/>
    <w:rsid w:val="004E1AAB"/>
    <w:rsid w:val="004E442F"/>
    <w:rsid w:val="004E590A"/>
    <w:rsid w:val="004E6BB3"/>
    <w:rsid w:val="004F021B"/>
    <w:rsid w:val="004F097D"/>
    <w:rsid w:val="004F1536"/>
    <w:rsid w:val="004F1B47"/>
    <w:rsid w:val="004F34E5"/>
    <w:rsid w:val="004F5439"/>
    <w:rsid w:val="004F5BD8"/>
    <w:rsid w:val="004F5C56"/>
    <w:rsid w:val="004F63CB"/>
    <w:rsid w:val="004F6676"/>
    <w:rsid w:val="004F7125"/>
    <w:rsid w:val="0050097B"/>
    <w:rsid w:val="00502078"/>
    <w:rsid w:val="00504A6A"/>
    <w:rsid w:val="00506370"/>
    <w:rsid w:val="00506565"/>
    <w:rsid w:val="00510155"/>
    <w:rsid w:val="005101E4"/>
    <w:rsid w:val="005105A4"/>
    <w:rsid w:val="005119D4"/>
    <w:rsid w:val="00511CC2"/>
    <w:rsid w:val="005121AE"/>
    <w:rsid w:val="005125F9"/>
    <w:rsid w:val="00513490"/>
    <w:rsid w:val="005139A2"/>
    <w:rsid w:val="0051494C"/>
    <w:rsid w:val="00514C74"/>
    <w:rsid w:val="0051589D"/>
    <w:rsid w:val="00520603"/>
    <w:rsid w:val="00520C68"/>
    <w:rsid w:val="005214D8"/>
    <w:rsid w:val="005216E0"/>
    <w:rsid w:val="00522680"/>
    <w:rsid w:val="00525A45"/>
    <w:rsid w:val="00526CDA"/>
    <w:rsid w:val="00527986"/>
    <w:rsid w:val="00530433"/>
    <w:rsid w:val="00530884"/>
    <w:rsid w:val="00531822"/>
    <w:rsid w:val="0053188C"/>
    <w:rsid w:val="00531CB7"/>
    <w:rsid w:val="00532731"/>
    <w:rsid w:val="00532A5E"/>
    <w:rsid w:val="00532A90"/>
    <w:rsid w:val="00536317"/>
    <w:rsid w:val="00537D3E"/>
    <w:rsid w:val="00537DD0"/>
    <w:rsid w:val="00540E17"/>
    <w:rsid w:val="0054190B"/>
    <w:rsid w:val="00542D44"/>
    <w:rsid w:val="00542E7F"/>
    <w:rsid w:val="00544C55"/>
    <w:rsid w:val="005457A7"/>
    <w:rsid w:val="005457E1"/>
    <w:rsid w:val="005465B5"/>
    <w:rsid w:val="00546A2C"/>
    <w:rsid w:val="005500D5"/>
    <w:rsid w:val="00551297"/>
    <w:rsid w:val="005517BA"/>
    <w:rsid w:val="005518BD"/>
    <w:rsid w:val="00551E39"/>
    <w:rsid w:val="00552241"/>
    <w:rsid w:val="005542E8"/>
    <w:rsid w:val="00554594"/>
    <w:rsid w:val="00555C5A"/>
    <w:rsid w:val="00557155"/>
    <w:rsid w:val="00557C93"/>
    <w:rsid w:val="005602C2"/>
    <w:rsid w:val="0056032F"/>
    <w:rsid w:val="00560555"/>
    <w:rsid w:val="0056163D"/>
    <w:rsid w:val="00561DE8"/>
    <w:rsid w:val="00562906"/>
    <w:rsid w:val="00565509"/>
    <w:rsid w:val="0056563B"/>
    <w:rsid w:val="00565F35"/>
    <w:rsid w:val="00566A90"/>
    <w:rsid w:val="0056702C"/>
    <w:rsid w:val="00570A36"/>
    <w:rsid w:val="00571827"/>
    <w:rsid w:val="005721EA"/>
    <w:rsid w:val="0057270E"/>
    <w:rsid w:val="0057339F"/>
    <w:rsid w:val="00574C0F"/>
    <w:rsid w:val="00575067"/>
    <w:rsid w:val="00575568"/>
    <w:rsid w:val="00575B54"/>
    <w:rsid w:val="00575BC4"/>
    <w:rsid w:val="00575F35"/>
    <w:rsid w:val="00576D6E"/>
    <w:rsid w:val="0057732C"/>
    <w:rsid w:val="005775E0"/>
    <w:rsid w:val="0058004F"/>
    <w:rsid w:val="00582907"/>
    <w:rsid w:val="00583768"/>
    <w:rsid w:val="00583885"/>
    <w:rsid w:val="005841B6"/>
    <w:rsid w:val="00585871"/>
    <w:rsid w:val="00586EE9"/>
    <w:rsid w:val="0058757F"/>
    <w:rsid w:val="005902BE"/>
    <w:rsid w:val="005911BA"/>
    <w:rsid w:val="00592EF8"/>
    <w:rsid w:val="00593ED7"/>
    <w:rsid w:val="0059407C"/>
    <w:rsid w:val="00594986"/>
    <w:rsid w:val="005953D1"/>
    <w:rsid w:val="005966E8"/>
    <w:rsid w:val="0059764C"/>
    <w:rsid w:val="005A04F5"/>
    <w:rsid w:val="005A0672"/>
    <w:rsid w:val="005A11DF"/>
    <w:rsid w:val="005A2607"/>
    <w:rsid w:val="005A2BB3"/>
    <w:rsid w:val="005A3232"/>
    <w:rsid w:val="005A3B9E"/>
    <w:rsid w:val="005A3D48"/>
    <w:rsid w:val="005A447C"/>
    <w:rsid w:val="005A4649"/>
    <w:rsid w:val="005A480F"/>
    <w:rsid w:val="005A4A84"/>
    <w:rsid w:val="005A5ED2"/>
    <w:rsid w:val="005A6BDA"/>
    <w:rsid w:val="005B149E"/>
    <w:rsid w:val="005B1501"/>
    <w:rsid w:val="005B21DD"/>
    <w:rsid w:val="005B3BCE"/>
    <w:rsid w:val="005B4532"/>
    <w:rsid w:val="005B5855"/>
    <w:rsid w:val="005B6B84"/>
    <w:rsid w:val="005B76AE"/>
    <w:rsid w:val="005C0244"/>
    <w:rsid w:val="005C094B"/>
    <w:rsid w:val="005C1322"/>
    <w:rsid w:val="005C14FC"/>
    <w:rsid w:val="005C17CC"/>
    <w:rsid w:val="005C1AA4"/>
    <w:rsid w:val="005C21A8"/>
    <w:rsid w:val="005C2F37"/>
    <w:rsid w:val="005C3087"/>
    <w:rsid w:val="005C3120"/>
    <w:rsid w:val="005C5244"/>
    <w:rsid w:val="005C6667"/>
    <w:rsid w:val="005C6A5C"/>
    <w:rsid w:val="005C77BB"/>
    <w:rsid w:val="005D1603"/>
    <w:rsid w:val="005D1B2F"/>
    <w:rsid w:val="005D5790"/>
    <w:rsid w:val="005D5D73"/>
    <w:rsid w:val="005D7462"/>
    <w:rsid w:val="005D7A44"/>
    <w:rsid w:val="005E13A7"/>
    <w:rsid w:val="005E18AA"/>
    <w:rsid w:val="005E2630"/>
    <w:rsid w:val="005E3145"/>
    <w:rsid w:val="005E32FE"/>
    <w:rsid w:val="005E3551"/>
    <w:rsid w:val="005E3E94"/>
    <w:rsid w:val="005E4D86"/>
    <w:rsid w:val="005E5539"/>
    <w:rsid w:val="005E5BE3"/>
    <w:rsid w:val="005F241C"/>
    <w:rsid w:val="005F481B"/>
    <w:rsid w:val="005F4BE1"/>
    <w:rsid w:val="005F5356"/>
    <w:rsid w:val="005F53EC"/>
    <w:rsid w:val="005F586A"/>
    <w:rsid w:val="005F73CD"/>
    <w:rsid w:val="006000AA"/>
    <w:rsid w:val="0060083D"/>
    <w:rsid w:val="00601112"/>
    <w:rsid w:val="006011D9"/>
    <w:rsid w:val="0060266F"/>
    <w:rsid w:val="00602AD5"/>
    <w:rsid w:val="006047C8"/>
    <w:rsid w:val="006047F4"/>
    <w:rsid w:val="00604FD5"/>
    <w:rsid w:val="006065CF"/>
    <w:rsid w:val="006102BA"/>
    <w:rsid w:val="00611276"/>
    <w:rsid w:val="00611B10"/>
    <w:rsid w:val="00612325"/>
    <w:rsid w:val="0061327B"/>
    <w:rsid w:val="00613BA2"/>
    <w:rsid w:val="00614769"/>
    <w:rsid w:val="00614A06"/>
    <w:rsid w:val="00614BE3"/>
    <w:rsid w:val="00614E4B"/>
    <w:rsid w:val="00614FE6"/>
    <w:rsid w:val="006150A9"/>
    <w:rsid w:val="0061538C"/>
    <w:rsid w:val="00615B1A"/>
    <w:rsid w:val="00617741"/>
    <w:rsid w:val="00620377"/>
    <w:rsid w:val="006217FF"/>
    <w:rsid w:val="00621E03"/>
    <w:rsid w:val="006230BA"/>
    <w:rsid w:val="00623EA6"/>
    <w:rsid w:val="00625BFC"/>
    <w:rsid w:val="00625DB3"/>
    <w:rsid w:val="006264FD"/>
    <w:rsid w:val="006265AF"/>
    <w:rsid w:val="006268EB"/>
    <w:rsid w:val="0063092E"/>
    <w:rsid w:val="00630CF2"/>
    <w:rsid w:val="006319A8"/>
    <w:rsid w:val="00632B48"/>
    <w:rsid w:val="00634567"/>
    <w:rsid w:val="0063619C"/>
    <w:rsid w:val="0063634A"/>
    <w:rsid w:val="00637AF3"/>
    <w:rsid w:val="0064075E"/>
    <w:rsid w:val="00640895"/>
    <w:rsid w:val="00641E21"/>
    <w:rsid w:val="006420F3"/>
    <w:rsid w:val="00643DDB"/>
    <w:rsid w:val="00645A0B"/>
    <w:rsid w:val="0064661A"/>
    <w:rsid w:val="00646A43"/>
    <w:rsid w:val="00646D45"/>
    <w:rsid w:val="00650871"/>
    <w:rsid w:val="00651727"/>
    <w:rsid w:val="00653237"/>
    <w:rsid w:val="00654010"/>
    <w:rsid w:val="00655D56"/>
    <w:rsid w:val="006602E7"/>
    <w:rsid w:val="00661A73"/>
    <w:rsid w:val="00661E9E"/>
    <w:rsid w:val="00662B9A"/>
    <w:rsid w:val="00662D96"/>
    <w:rsid w:val="0066644B"/>
    <w:rsid w:val="00670B8B"/>
    <w:rsid w:val="00670D68"/>
    <w:rsid w:val="0067174D"/>
    <w:rsid w:val="00672185"/>
    <w:rsid w:val="00672E1D"/>
    <w:rsid w:val="0067326A"/>
    <w:rsid w:val="00673A88"/>
    <w:rsid w:val="00675476"/>
    <w:rsid w:val="00675CB4"/>
    <w:rsid w:val="006769F6"/>
    <w:rsid w:val="006802B6"/>
    <w:rsid w:val="0068148A"/>
    <w:rsid w:val="0068175F"/>
    <w:rsid w:val="0068351A"/>
    <w:rsid w:val="00685BEF"/>
    <w:rsid w:val="00686BEF"/>
    <w:rsid w:val="00686C01"/>
    <w:rsid w:val="00686D81"/>
    <w:rsid w:val="006879D5"/>
    <w:rsid w:val="00690154"/>
    <w:rsid w:val="00690387"/>
    <w:rsid w:val="006907F1"/>
    <w:rsid w:val="00690E20"/>
    <w:rsid w:val="00691F54"/>
    <w:rsid w:val="006932CC"/>
    <w:rsid w:val="00693B4A"/>
    <w:rsid w:val="006945BB"/>
    <w:rsid w:val="00695ECC"/>
    <w:rsid w:val="00695F7D"/>
    <w:rsid w:val="006A09C3"/>
    <w:rsid w:val="006A1BCB"/>
    <w:rsid w:val="006A21B1"/>
    <w:rsid w:val="006A2DC0"/>
    <w:rsid w:val="006A577D"/>
    <w:rsid w:val="006A5A78"/>
    <w:rsid w:val="006A7D90"/>
    <w:rsid w:val="006B0EC3"/>
    <w:rsid w:val="006B281D"/>
    <w:rsid w:val="006B2C57"/>
    <w:rsid w:val="006B329B"/>
    <w:rsid w:val="006B5176"/>
    <w:rsid w:val="006B5441"/>
    <w:rsid w:val="006B5E68"/>
    <w:rsid w:val="006B69B9"/>
    <w:rsid w:val="006B70F2"/>
    <w:rsid w:val="006B74FF"/>
    <w:rsid w:val="006B7B58"/>
    <w:rsid w:val="006C03CE"/>
    <w:rsid w:val="006C240B"/>
    <w:rsid w:val="006C2576"/>
    <w:rsid w:val="006C2F08"/>
    <w:rsid w:val="006C3428"/>
    <w:rsid w:val="006C3A15"/>
    <w:rsid w:val="006C4293"/>
    <w:rsid w:val="006C56A9"/>
    <w:rsid w:val="006C68C3"/>
    <w:rsid w:val="006C6EF9"/>
    <w:rsid w:val="006C730B"/>
    <w:rsid w:val="006C7611"/>
    <w:rsid w:val="006C7B18"/>
    <w:rsid w:val="006D220B"/>
    <w:rsid w:val="006D3B7D"/>
    <w:rsid w:val="006D3CAE"/>
    <w:rsid w:val="006D408A"/>
    <w:rsid w:val="006D6585"/>
    <w:rsid w:val="006D7C7C"/>
    <w:rsid w:val="006E06C0"/>
    <w:rsid w:val="006E0B46"/>
    <w:rsid w:val="006E0E9F"/>
    <w:rsid w:val="006E0EF8"/>
    <w:rsid w:val="006E1A5B"/>
    <w:rsid w:val="006E1CB3"/>
    <w:rsid w:val="006E2E6D"/>
    <w:rsid w:val="006E3152"/>
    <w:rsid w:val="006E38C7"/>
    <w:rsid w:val="006E43E4"/>
    <w:rsid w:val="006E5441"/>
    <w:rsid w:val="006E5DB1"/>
    <w:rsid w:val="006E74DB"/>
    <w:rsid w:val="006F05C2"/>
    <w:rsid w:val="006F1DD4"/>
    <w:rsid w:val="006F2FE5"/>
    <w:rsid w:val="006F36FE"/>
    <w:rsid w:val="006F452A"/>
    <w:rsid w:val="006F48E5"/>
    <w:rsid w:val="006F49F6"/>
    <w:rsid w:val="006F4D57"/>
    <w:rsid w:val="006F52F1"/>
    <w:rsid w:val="006F5337"/>
    <w:rsid w:val="006F6321"/>
    <w:rsid w:val="006F77F6"/>
    <w:rsid w:val="006F7AB8"/>
    <w:rsid w:val="0070015F"/>
    <w:rsid w:val="00702B71"/>
    <w:rsid w:val="007039CD"/>
    <w:rsid w:val="0070481F"/>
    <w:rsid w:val="00704901"/>
    <w:rsid w:val="00706A85"/>
    <w:rsid w:val="00706FC5"/>
    <w:rsid w:val="00710888"/>
    <w:rsid w:val="007139EE"/>
    <w:rsid w:val="00714EB2"/>
    <w:rsid w:val="007175FE"/>
    <w:rsid w:val="00717889"/>
    <w:rsid w:val="00722F91"/>
    <w:rsid w:val="0072302D"/>
    <w:rsid w:val="00723302"/>
    <w:rsid w:val="00723905"/>
    <w:rsid w:val="00723FA7"/>
    <w:rsid w:val="00725167"/>
    <w:rsid w:val="00726883"/>
    <w:rsid w:val="00730550"/>
    <w:rsid w:val="00730DCE"/>
    <w:rsid w:val="00732A49"/>
    <w:rsid w:val="00732EAA"/>
    <w:rsid w:val="0073310E"/>
    <w:rsid w:val="00733457"/>
    <w:rsid w:val="007349B8"/>
    <w:rsid w:val="00736D72"/>
    <w:rsid w:val="0074116E"/>
    <w:rsid w:val="007435B0"/>
    <w:rsid w:val="00744A10"/>
    <w:rsid w:val="0074556C"/>
    <w:rsid w:val="00745B57"/>
    <w:rsid w:val="0074602E"/>
    <w:rsid w:val="00746D9D"/>
    <w:rsid w:val="00751954"/>
    <w:rsid w:val="00751D02"/>
    <w:rsid w:val="0075279F"/>
    <w:rsid w:val="0075295E"/>
    <w:rsid w:val="00754585"/>
    <w:rsid w:val="00755F5E"/>
    <w:rsid w:val="007560FF"/>
    <w:rsid w:val="00761132"/>
    <w:rsid w:val="007627F3"/>
    <w:rsid w:val="00762859"/>
    <w:rsid w:val="007648DC"/>
    <w:rsid w:val="00767241"/>
    <w:rsid w:val="00767CF4"/>
    <w:rsid w:val="00767E54"/>
    <w:rsid w:val="007714BA"/>
    <w:rsid w:val="00771F09"/>
    <w:rsid w:val="007739CF"/>
    <w:rsid w:val="00774E0A"/>
    <w:rsid w:val="00776993"/>
    <w:rsid w:val="007773BB"/>
    <w:rsid w:val="007778BE"/>
    <w:rsid w:val="007803EF"/>
    <w:rsid w:val="007813FC"/>
    <w:rsid w:val="007818DA"/>
    <w:rsid w:val="007820D0"/>
    <w:rsid w:val="00782BC7"/>
    <w:rsid w:val="0078344D"/>
    <w:rsid w:val="00783539"/>
    <w:rsid w:val="00783644"/>
    <w:rsid w:val="00783975"/>
    <w:rsid w:val="00783AAD"/>
    <w:rsid w:val="007840A9"/>
    <w:rsid w:val="0078565A"/>
    <w:rsid w:val="007859BB"/>
    <w:rsid w:val="00785B06"/>
    <w:rsid w:val="007861EE"/>
    <w:rsid w:val="00790C13"/>
    <w:rsid w:val="007911DA"/>
    <w:rsid w:val="00792928"/>
    <w:rsid w:val="0079326B"/>
    <w:rsid w:val="00794756"/>
    <w:rsid w:val="007947D9"/>
    <w:rsid w:val="007954D1"/>
    <w:rsid w:val="007972AA"/>
    <w:rsid w:val="007A0E80"/>
    <w:rsid w:val="007A137D"/>
    <w:rsid w:val="007A22B5"/>
    <w:rsid w:val="007A3D24"/>
    <w:rsid w:val="007A553D"/>
    <w:rsid w:val="007A7030"/>
    <w:rsid w:val="007A71A0"/>
    <w:rsid w:val="007B187C"/>
    <w:rsid w:val="007B249A"/>
    <w:rsid w:val="007B2965"/>
    <w:rsid w:val="007B36F7"/>
    <w:rsid w:val="007B41CE"/>
    <w:rsid w:val="007B43E9"/>
    <w:rsid w:val="007B47FA"/>
    <w:rsid w:val="007B49FD"/>
    <w:rsid w:val="007B4CCE"/>
    <w:rsid w:val="007B54E7"/>
    <w:rsid w:val="007B5D39"/>
    <w:rsid w:val="007B6012"/>
    <w:rsid w:val="007C000F"/>
    <w:rsid w:val="007C01F3"/>
    <w:rsid w:val="007C039E"/>
    <w:rsid w:val="007C132B"/>
    <w:rsid w:val="007C164D"/>
    <w:rsid w:val="007C24C9"/>
    <w:rsid w:val="007C2985"/>
    <w:rsid w:val="007C29C1"/>
    <w:rsid w:val="007C3413"/>
    <w:rsid w:val="007C345C"/>
    <w:rsid w:val="007C3C24"/>
    <w:rsid w:val="007C4CEC"/>
    <w:rsid w:val="007C5062"/>
    <w:rsid w:val="007C514A"/>
    <w:rsid w:val="007C558F"/>
    <w:rsid w:val="007C5E4E"/>
    <w:rsid w:val="007C7F6B"/>
    <w:rsid w:val="007D0B1F"/>
    <w:rsid w:val="007D146F"/>
    <w:rsid w:val="007D1FC9"/>
    <w:rsid w:val="007D25B5"/>
    <w:rsid w:val="007D2C67"/>
    <w:rsid w:val="007D3920"/>
    <w:rsid w:val="007D3C37"/>
    <w:rsid w:val="007D464D"/>
    <w:rsid w:val="007D4B52"/>
    <w:rsid w:val="007E0D9B"/>
    <w:rsid w:val="007E0E3E"/>
    <w:rsid w:val="007E1868"/>
    <w:rsid w:val="007E242C"/>
    <w:rsid w:val="007E31D3"/>
    <w:rsid w:val="007E380E"/>
    <w:rsid w:val="007E5635"/>
    <w:rsid w:val="007E5D3A"/>
    <w:rsid w:val="007E62BA"/>
    <w:rsid w:val="007E62FD"/>
    <w:rsid w:val="007E6C0C"/>
    <w:rsid w:val="007E71A2"/>
    <w:rsid w:val="007F02B3"/>
    <w:rsid w:val="007F1343"/>
    <w:rsid w:val="007F1515"/>
    <w:rsid w:val="007F1BE4"/>
    <w:rsid w:val="007F539B"/>
    <w:rsid w:val="007F5E6D"/>
    <w:rsid w:val="007F6010"/>
    <w:rsid w:val="007F7F69"/>
    <w:rsid w:val="008004CD"/>
    <w:rsid w:val="00801313"/>
    <w:rsid w:val="00801471"/>
    <w:rsid w:val="008021DB"/>
    <w:rsid w:val="0080243A"/>
    <w:rsid w:val="0080435C"/>
    <w:rsid w:val="00804A0D"/>
    <w:rsid w:val="00804AE1"/>
    <w:rsid w:val="00804BD7"/>
    <w:rsid w:val="00804D5E"/>
    <w:rsid w:val="00805512"/>
    <w:rsid w:val="00805A7E"/>
    <w:rsid w:val="00805BB7"/>
    <w:rsid w:val="00805FD6"/>
    <w:rsid w:val="00806691"/>
    <w:rsid w:val="00812FA8"/>
    <w:rsid w:val="00814701"/>
    <w:rsid w:val="00814E1E"/>
    <w:rsid w:val="00815068"/>
    <w:rsid w:val="00815329"/>
    <w:rsid w:val="00815F1C"/>
    <w:rsid w:val="0081600E"/>
    <w:rsid w:val="00822C0E"/>
    <w:rsid w:val="00823D04"/>
    <w:rsid w:val="00824D51"/>
    <w:rsid w:val="00827D88"/>
    <w:rsid w:val="00830034"/>
    <w:rsid w:val="00830D71"/>
    <w:rsid w:val="00830F69"/>
    <w:rsid w:val="00832108"/>
    <w:rsid w:val="00832366"/>
    <w:rsid w:val="00832A1D"/>
    <w:rsid w:val="008336B4"/>
    <w:rsid w:val="008338A8"/>
    <w:rsid w:val="00833E06"/>
    <w:rsid w:val="00833E7E"/>
    <w:rsid w:val="00834C44"/>
    <w:rsid w:val="00835641"/>
    <w:rsid w:val="00835A29"/>
    <w:rsid w:val="00836861"/>
    <w:rsid w:val="0083724E"/>
    <w:rsid w:val="008378BB"/>
    <w:rsid w:val="00841DC2"/>
    <w:rsid w:val="008421B3"/>
    <w:rsid w:val="0084416A"/>
    <w:rsid w:val="00844D89"/>
    <w:rsid w:val="00845164"/>
    <w:rsid w:val="008468E5"/>
    <w:rsid w:val="008469D5"/>
    <w:rsid w:val="008472AE"/>
    <w:rsid w:val="008505A1"/>
    <w:rsid w:val="008523BB"/>
    <w:rsid w:val="00852BFA"/>
    <w:rsid w:val="00853162"/>
    <w:rsid w:val="00854347"/>
    <w:rsid w:val="008552B4"/>
    <w:rsid w:val="00856F81"/>
    <w:rsid w:val="0086085F"/>
    <w:rsid w:val="00860B97"/>
    <w:rsid w:val="00860FDF"/>
    <w:rsid w:val="008610D5"/>
    <w:rsid w:val="0086114F"/>
    <w:rsid w:val="00862617"/>
    <w:rsid w:val="00862781"/>
    <w:rsid w:val="00863527"/>
    <w:rsid w:val="0086431A"/>
    <w:rsid w:val="008647E3"/>
    <w:rsid w:val="00865756"/>
    <w:rsid w:val="008659B5"/>
    <w:rsid w:val="00867780"/>
    <w:rsid w:val="00870485"/>
    <w:rsid w:val="00870B1B"/>
    <w:rsid w:val="0087174D"/>
    <w:rsid w:val="008722AB"/>
    <w:rsid w:val="00874149"/>
    <w:rsid w:val="0087606D"/>
    <w:rsid w:val="00876619"/>
    <w:rsid w:val="0087671C"/>
    <w:rsid w:val="00877FB6"/>
    <w:rsid w:val="0088098E"/>
    <w:rsid w:val="008811DC"/>
    <w:rsid w:val="00881CE1"/>
    <w:rsid w:val="00881DAD"/>
    <w:rsid w:val="00881EA8"/>
    <w:rsid w:val="00882FC1"/>
    <w:rsid w:val="008835AF"/>
    <w:rsid w:val="008840D1"/>
    <w:rsid w:val="00884272"/>
    <w:rsid w:val="0088475C"/>
    <w:rsid w:val="00884F26"/>
    <w:rsid w:val="008855FD"/>
    <w:rsid w:val="00886625"/>
    <w:rsid w:val="00887A5F"/>
    <w:rsid w:val="00891357"/>
    <w:rsid w:val="00891E06"/>
    <w:rsid w:val="00893505"/>
    <w:rsid w:val="00893952"/>
    <w:rsid w:val="0089464E"/>
    <w:rsid w:val="00894B15"/>
    <w:rsid w:val="00894BFD"/>
    <w:rsid w:val="00894E10"/>
    <w:rsid w:val="00895099"/>
    <w:rsid w:val="00895701"/>
    <w:rsid w:val="008964F2"/>
    <w:rsid w:val="00897054"/>
    <w:rsid w:val="008A0BE7"/>
    <w:rsid w:val="008A163F"/>
    <w:rsid w:val="008A16B2"/>
    <w:rsid w:val="008A44C7"/>
    <w:rsid w:val="008A4A25"/>
    <w:rsid w:val="008A5134"/>
    <w:rsid w:val="008A6A98"/>
    <w:rsid w:val="008A6E1C"/>
    <w:rsid w:val="008B11F6"/>
    <w:rsid w:val="008B1240"/>
    <w:rsid w:val="008B238E"/>
    <w:rsid w:val="008B3E7F"/>
    <w:rsid w:val="008B5956"/>
    <w:rsid w:val="008B7E67"/>
    <w:rsid w:val="008C2670"/>
    <w:rsid w:val="008C30D1"/>
    <w:rsid w:val="008C3862"/>
    <w:rsid w:val="008C3B07"/>
    <w:rsid w:val="008C51EE"/>
    <w:rsid w:val="008C5AB7"/>
    <w:rsid w:val="008C5C3B"/>
    <w:rsid w:val="008C6A0B"/>
    <w:rsid w:val="008C7435"/>
    <w:rsid w:val="008D016C"/>
    <w:rsid w:val="008D1410"/>
    <w:rsid w:val="008D1E4D"/>
    <w:rsid w:val="008D2F68"/>
    <w:rsid w:val="008D2F9B"/>
    <w:rsid w:val="008D30AF"/>
    <w:rsid w:val="008D5A37"/>
    <w:rsid w:val="008D7A56"/>
    <w:rsid w:val="008E44B5"/>
    <w:rsid w:val="008E4653"/>
    <w:rsid w:val="008E609E"/>
    <w:rsid w:val="008E6A84"/>
    <w:rsid w:val="008E6E9A"/>
    <w:rsid w:val="008E7B97"/>
    <w:rsid w:val="008F1025"/>
    <w:rsid w:val="008F1057"/>
    <w:rsid w:val="008F303C"/>
    <w:rsid w:val="008F36F2"/>
    <w:rsid w:val="008F3E58"/>
    <w:rsid w:val="008F4114"/>
    <w:rsid w:val="008F52FF"/>
    <w:rsid w:val="008F709B"/>
    <w:rsid w:val="008F7192"/>
    <w:rsid w:val="008F7740"/>
    <w:rsid w:val="008F7AF4"/>
    <w:rsid w:val="009005A0"/>
    <w:rsid w:val="009030CB"/>
    <w:rsid w:val="00904831"/>
    <w:rsid w:val="0090507F"/>
    <w:rsid w:val="00905413"/>
    <w:rsid w:val="00905594"/>
    <w:rsid w:val="00905F9C"/>
    <w:rsid w:val="00907850"/>
    <w:rsid w:val="009132F6"/>
    <w:rsid w:val="009145E2"/>
    <w:rsid w:val="00914F1A"/>
    <w:rsid w:val="00915228"/>
    <w:rsid w:val="00915727"/>
    <w:rsid w:val="009165BD"/>
    <w:rsid w:val="00917373"/>
    <w:rsid w:val="009177B6"/>
    <w:rsid w:val="00917DB8"/>
    <w:rsid w:val="00920722"/>
    <w:rsid w:val="00921164"/>
    <w:rsid w:val="009217BF"/>
    <w:rsid w:val="00922C60"/>
    <w:rsid w:val="00922C8E"/>
    <w:rsid w:val="00922DD2"/>
    <w:rsid w:val="009230F9"/>
    <w:rsid w:val="00923DF8"/>
    <w:rsid w:val="009242DA"/>
    <w:rsid w:val="00924DA2"/>
    <w:rsid w:val="009262FF"/>
    <w:rsid w:val="00926498"/>
    <w:rsid w:val="009269B8"/>
    <w:rsid w:val="00926A85"/>
    <w:rsid w:val="009275F3"/>
    <w:rsid w:val="009279C8"/>
    <w:rsid w:val="00930BA0"/>
    <w:rsid w:val="00930F1C"/>
    <w:rsid w:val="00930F93"/>
    <w:rsid w:val="00932D8C"/>
    <w:rsid w:val="00933608"/>
    <w:rsid w:val="00933D9A"/>
    <w:rsid w:val="0093448E"/>
    <w:rsid w:val="009358B4"/>
    <w:rsid w:val="00935E50"/>
    <w:rsid w:val="009360B7"/>
    <w:rsid w:val="00936508"/>
    <w:rsid w:val="009367A2"/>
    <w:rsid w:val="00940145"/>
    <w:rsid w:val="00940DD7"/>
    <w:rsid w:val="0094187F"/>
    <w:rsid w:val="00941A31"/>
    <w:rsid w:val="00941D3F"/>
    <w:rsid w:val="00944152"/>
    <w:rsid w:val="009442FF"/>
    <w:rsid w:val="0094449E"/>
    <w:rsid w:val="00944609"/>
    <w:rsid w:val="00944FEA"/>
    <w:rsid w:val="00945345"/>
    <w:rsid w:val="00950BBE"/>
    <w:rsid w:val="00951BC6"/>
    <w:rsid w:val="0095266D"/>
    <w:rsid w:val="009530D6"/>
    <w:rsid w:val="00954E74"/>
    <w:rsid w:val="00956000"/>
    <w:rsid w:val="00956129"/>
    <w:rsid w:val="0095677D"/>
    <w:rsid w:val="00956990"/>
    <w:rsid w:val="00960B6E"/>
    <w:rsid w:val="009611E4"/>
    <w:rsid w:val="00961852"/>
    <w:rsid w:val="00962F7C"/>
    <w:rsid w:val="00964D03"/>
    <w:rsid w:val="009650D4"/>
    <w:rsid w:val="00965265"/>
    <w:rsid w:val="00966A5C"/>
    <w:rsid w:val="0096772C"/>
    <w:rsid w:val="00971DF9"/>
    <w:rsid w:val="009724A5"/>
    <w:rsid w:val="00972DEE"/>
    <w:rsid w:val="00973695"/>
    <w:rsid w:val="0097528D"/>
    <w:rsid w:val="00975898"/>
    <w:rsid w:val="00975ECF"/>
    <w:rsid w:val="00976D84"/>
    <w:rsid w:val="00980161"/>
    <w:rsid w:val="00982477"/>
    <w:rsid w:val="0098337A"/>
    <w:rsid w:val="009836CA"/>
    <w:rsid w:val="0098374E"/>
    <w:rsid w:val="00983ADC"/>
    <w:rsid w:val="0098436E"/>
    <w:rsid w:val="0098457B"/>
    <w:rsid w:val="00985D29"/>
    <w:rsid w:val="00987E10"/>
    <w:rsid w:val="00990D8B"/>
    <w:rsid w:val="009924F9"/>
    <w:rsid w:val="00992861"/>
    <w:rsid w:val="00992B86"/>
    <w:rsid w:val="00993FF3"/>
    <w:rsid w:val="00994E11"/>
    <w:rsid w:val="009973BC"/>
    <w:rsid w:val="009979BA"/>
    <w:rsid w:val="009979CA"/>
    <w:rsid w:val="00997BBF"/>
    <w:rsid w:val="009A0643"/>
    <w:rsid w:val="009A19CA"/>
    <w:rsid w:val="009A1D50"/>
    <w:rsid w:val="009A317A"/>
    <w:rsid w:val="009A331D"/>
    <w:rsid w:val="009A3D15"/>
    <w:rsid w:val="009A62E2"/>
    <w:rsid w:val="009A630F"/>
    <w:rsid w:val="009A68B6"/>
    <w:rsid w:val="009A6A5E"/>
    <w:rsid w:val="009A7401"/>
    <w:rsid w:val="009B0E42"/>
    <w:rsid w:val="009B18C5"/>
    <w:rsid w:val="009B1FAF"/>
    <w:rsid w:val="009B2139"/>
    <w:rsid w:val="009B2C5D"/>
    <w:rsid w:val="009B4988"/>
    <w:rsid w:val="009B6653"/>
    <w:rsid w:val="009B71B7"/>
    <w:rsid w:val="009B7857"/>
    <w:rsid w:val="009C0068"/>
    <w:rsid w:val="009C1673"/>
    <w:rsid w:val="009C1E88"/>
    <w:rsid w:val="009C1EF9"/>
    <w:rsid w:val="009C1F5C"/>
    <w:rsid w:val="009C2505"/>
    <w:rsid w:val="009C3D7C"/>
    <w:rsid w:val="009C48E3"/>
    <w:rsid w:val="009D0BBF"/>
    <w:rsid w:val="009D1C51"/>
    <w:rsid w:val="009D1D7D"/>
    <w:rsid w:val="009D2719"/>
    <w:rsid w:val="009D2B72"/>
    <w:rsid w:val="009D358B"/>
    <w:rsid w:val="009D44B5"/>
    <w:rsid w:val="009D4E46"/>
    <w:rsid w:val="009D573D"/>
    <w:rsid w:val="009D60EF"/>
    <w:rsid w:val="009E0332"/>
    <w:rsid w:val="009E1235"/>
    <w:rsid w:val="009E1427"/>
    <w:rsid w:val="009E30B4"/>
    <w:rsid w:val="009E38B7"/>
    <w:rsid w:val="009E5238"/>
    <w:rsid w:val="009E7CA4"/>
    <w:rsid w:val="009E7FF2"/>
    <w:rsid w:val="009F342E"/>
    <w:rsid w:val="009F3B34"/>
    <w:rsid w:val="009F42BD"/>
    <w:rsid w:val="009F63EC"/>
    <w:rsid w:val="009F7EF0"/>
    <w:rsid w:val="00A00440"/>
    <w:rsid w:val="00A00C13"/>
    <w:rsid w:val="00A01436"/>
    <w:rsid w:val="00A01947"/>
    <w:rsid w:val="00A02443"/>
    <w:rsid w:val="00A02644"/>
    <w:rsid w:val="00A02EDF"/>
    <w:rsid w:val="00A0313D"/>
    <w:rsid w:val="00A036D4"/>
    <w:rsid w:val="00A063CF"/>
    <w:rsid w:val="00A06A76"/>
    <w:rsid w:val="00A10583"/>
    <w:rsid w:val="00A10A51"/>
    <w:rsid w:val="00A10D59"/>
    <w:rsid w:val="00A112B6"/>
    <w:rsid w:val="00A11A44"/>
    <w:rsid w:val="00A1213F"/>
    <w:rsid w:val="00A124E3"/>
    <w:rsid w:val="00A132EB"/>
    <w:rsid w:val="00A13596"/>
    <w:rsid w:val="00A13787"/>
    <w:rsid w:val="00A145A7"/>
    <w:rsid w:val="00A16C01"/>
    <w:rsid w:val="00A22C86"/>
    <w:rsid w:val="00A22DA3"/>
    <w:rsid w:val="00A2416E"/>
    <w:rsid w:val="00A272F0"/>
    <w:rsid w:val="00A304DB"/>
    <w:rsid w:val="00A308C0"/>
    <w:rsid w:val="00A3147E"/>
    <w:rsid w:val="00A31ED5"/>
    <w:rsid w:val="00A326B0"/>
    <w:rsid w:val="00A334F4"/>
    <w:rsid w:val="00A34799"/>
    <w:rsid w:val="00A35255"/>
    <w:rsid w:val="00A36E41"/>
    <w:rsid w:val="00A3774A"/>
    <w:rsid w:val="00A37945"/>
    <w:rsid w:val="00A37AFF"/>
    <w:rsid w:val="00A37CDD"/>
    <w:rsid w:val="00A403FD"/>
    <w:rsid w:val="00A40BDC"/>
    <w:rsid w:val="00A476E0"/>
    <w:rsid w:val="00A47ECF"/>
    <w:rsid w:val="00A47F5C"/>
    <w:rsid w:val="00A5018C"/>
    <w:rsid w:val="00A50961"/>
    <w:rsid w:val="00A5131C"/>
    <w:rsid w:val="00A51527"/>
    <w:rsid w:val="00A515AB"/>
    <w:rsid w:val="00A5335B"/>
    <w:rsid w:val="00A539C9"/>
    <w:rsid w:val="00A53AF1"/>
    <w:rsid w:val="00A547B0"/>
    <w:rsid w:val="00A54F67"/>
    <w:rsid w:val="00A57C1E"/>
    <w:rsid w:val="00A57F6E"/>
    <w:rsid w:val="00A61631"/>
    <w:rsid w:val="00A616A3"/>
    <w:rsid w:val="00A61F1F"/>
    <w:rsid w:val="00A622F6"/>
    <w:rsid w:val="00A62C68"/>
    <w:rsid w:val="00A63005"/>
    <w:rsid w:val="00A632DD"/>
    <w:rsid w:val="00A633DD"/>
    <w:rsid w:val="00A63A45"/>
    <w:rsid w:val="00A642EF"/>
    <w:rsid w:val="00A644F5"/>
    <w:rsid w:val="00A647B5"/>
    <w:rsid w:val="00A70342"/>
    <w:rsid w:val="00A723F6"/>
    <w:rsid w:val="00A73351"/>
    <w:rsid w:val="00A743D9"/>
    <w:rsid w:val="00A750C8"/>
    <w:rsid w:val="00A7520A"/>
    <w:rsid w:val="00A75E46"/>
    <w:rsid w:val="00A77B75"/>
    <w:rsid w:val="00A807EA"/>
    <w:rsid w:val="00A8215B"/>
    <w:rsid w:val="00A83F4F"/>
    <w:rsid w:val="00A840AE"/>
    <w:rsid w:val="00A843E5"/>
    <w:rsid w:val="00A8710A"/>
    <w:rsid w:val="00A87A39"/>
    <w:rsid w:val="00A90906"/>
    <w:rsid w:val="00A90AB0"/>
    <w:rsid w:val="00A90AFA"/>
    <w:rsid w:val="00A910BF"/>
    <w:rsid w:val="00A939A6"/>
    <w:rsid w:val="00A95450"/>
    <w:rsid w:val="00A9693E"/>
    <w:rsid w:val="00A96EE1"/>
    <w:rsid w:val="00A97730"/>
    <w:rsid w:val="00AA162B"/>
    <w:rsid w:val="00AA2180"/>
    <w:rsid w:val="00AA5475"/>
    <w:rsid w:val="00AA60C1"/>
    <w:rsid w:val="00AB20B1"/>
    <w:rsid w:val="00AB22B1"/>
    <w:rsid w:val="00AB2438"/>
    <w:rsid w:val="00AB244D"/>
    <w:rsid w:val="00AB2477"/>
    <w:rsid w:val="00AB3838"/>
    <w:rsid w:val="00AC1090"/>
    <w:rsid w:val="00AC11B1"/>
    <w:rsid w:val="00AC29FE"/>
    <w:rsid w:val="00AC30A4"/>
    <w:rsid w:val="00AC3C34"/>
    <w:rsid w:val="00AC40E6"/>
    <w:rsid w:val="00AC4367"/>
    <w:rsid w:val="00AC5512"/>
    <w:rsid w:val="00AC5A9B"/>
    <w:rsid w:val="00AC6C8B"/>
    <w:rsid w:val="00AC6E3D"/>
    <w:rsid w:val="00AC6F36"/>
    <w:rsid w:val="00AC6F91"/>
    <w:rsid w:val="00AC789C"/>
    <w:rsid w:val="00AD0F72"/>
    <w:rsid w:val="00AD10F8"/>
    <w:rsid w:val="00AD29EB"/>
    <w:rsid w:val="00AD2DC9"/>
    <w:rsid w:val="00AD4848"/>
    <w:rsid w:val="00AD544B"/>
    <w:rsid w:val="00AD79F2"/>
    <w:rsid w:val="00AE00DF"/>
    <w:rsid w:val="00AE0119"/>
    <w:rsid w:val="00AE0685"/>
    <w:rsid w:val="00AE14DB"/>
    <w:rsid w:val="00AE2C49"/>
    <w:rsid w:val="00AE301E"/>
    <w:rsid w:val="00AE3F78"/>
    <w:rsid w:val="00AE4CC2"/>
    <w:rsid w:val="00AE61FB"/>
    <w:rsid w:val="00AE628A"/>
    <w:rsid w:val="00AE6409"/>
    <w:rsid w:val="00AE6929"/>
    <w:rsid w:val="00AE7C11"/>
    <w:rsid w:val="00AF15FE"/>
    <w:rsid w:val="00AF171E"/>
    <w:rsid w:val="00AF2B07"/>
    <w:rsid w:val="00AF3586"/>
    <w:rsid w:val="00AF40EA"/>
    <w:rsid w:val="00AF502B"/>
    <w:rsid w:val="00AF75DE"/>
    <w:rsid w:val="00AF7658"/>
    <w:rsid w:val="00AF7F41"/>
    <w:rsid w:val="00B01586"/>
    <w:rsid w:val="00B03420"/>
    <w:rsid w:val="00B03E3E"/>
    <w:rsid w:val="00B048CB"/>
    <w:rsid w:val="00B05AC4"/>
    <w:rsid w:val="00B0638C"/>
    <w:rsid w:val="00B06DF3"/>
    <w:rsid w:val="00B10711"/>
    <w:rsid w:val="00B10BDB"/>
    <w:rsid w:val="00B16F8A"/>
    <w:rsid w:val="00B17D45"/>
    <w:rsid w:val="00B17FE8"/>
    <w:rsid w:val="00B207F1"/>
    <w:rsid w:val="00B21A86"/>
    <w:rsid w:val="00B22338"/>
    <w:rsid w:val="00B24BD4"/>
    <w:rsid w:val="00B24DBA"/>
    <w:rsid w:val="00B25EFF"/>
    <w:rsid w:val="00B3147F"/>
    <w:rsid w:val="00B32537"/>
    <w:rsid w:val="00B33F21"/>
    <w:rsid w:val="00B34688"/>
    <w:rsid w:val="00B34B5D"/>
    <w:rsid w:val="00B34C03"/>
    <w:rsid w:val="00B35B3A"/>
    <w:rsid w:val="00B35BEF"/>
    <w:rsid w:val="00B36491"/>
    <w:rsid w:val="00B36C29"/>
    <w:rsid w:val="00B3704F"/>
    <w:rsid w:val="00B415DE"/>
    <w:rsid w:val="00B41A0A"/>
    <w:rsid w:val="00B4287B"/>
    <w:rsid w:val="00B43E05"/>
    <w:rsid w:val="00B45172"/>
    <w:rsid w:val="00B47269"/>
    <w:rsid w:val="00B475F5"/>
    <w:rsid w:val="00B47808"/>
    <w:rsid w:val="00B479ED"/>
    <w:rsid w:val="00B506A9"/>
    <w:rsid w:val="00B50DFA"/>
    <w:rsid w:val="00B5226D"/>
    <w:rsid w:val="00B52DC3"/>
    <w:rsid w:val="00B53483"/>
    <w:rsid w:val="00B54130"/>
    <w:rsid w:val="00B55139"/>
    <w:rsid w:val="00B55E4D"/>
    <w:rsid w:val="00B56C70"/>
    <w:rsid w:val="00B57A90"/>
    <w:rsid w:val="00B57DEB"/>
    <w:rsid w:val="00B6198B"/>
    <w:rsid w:val="00B61C31"/>
    <w:rsid w:val="00B638C5"/>
    <w:rsid w:val="00B63E93"/>
    <w:rsid w:val="00B64AF2"/>
    <w:rsid w:val="00B64B0A"/>
    <w:rsid w:val="00B65128"/>
    <w:rsid w:val="00B65D45"/>
    <w:rsid w:val="00B65D75"/>
    <w:rsid w:val="00B66F91"/>
    <w:rsid w:val="00B6739A"/>
    <w:rsid w:val="00B67B0D"/>
    <w:rsid w:val="00B67C8A"/>
    <w:rsid w:val="00B7018B"/>
    <w:rsid w:val="00B70E2B"/>
    <w:rsid w:val="00B72F1B"/>
    <w:rsid w:val="00B733E1"/>
    <w:rsid w:val="00B75203"/>
    <w:rsid w:val="00B75490"/>
    <w:rsid w:val="00B7583E"/>
    <w:rsid w:val="00B7588C"/>
    <w:rsid w:val="00B762B2"/>
    <w:rsid w:val="00B76929"/>
    <w:rsid w:val="00B76C89"/>
    <w:rsid w:val="00B7746F"/>
    <w:rsid w:val="00B77B88"/>
    <w:rsid w:val="00B80010"/>
    <w:rsid w:val="00B80E04"/>
    <w:rsid w:val="00B823B6"/>
    <w:rsid w:val="00B833B0"/>
    <w:rsid w:val="00B835BE"/>
    <w:rsid w:val="00B836FA"/>
    <w:rsid w:val="00B87FA8"/>
    <w:rsid w:val="00B90CC6"/>
    <w:rsid w:val="00B91074"/>
    <w:rsid w:val="00B924E4"/>
    <w:rsid w:val="00B952C9"/>
    <w:rsid w:val="00B97E53"/>
    <w:rsid w:val="00BA1E12"/>
    <w:rsid w:val="00BA2905"/>
    <w:rsid w:val="00BA3792"/>
    <w:rsid w:val="00BA3AB3"/>
    <w:rsid w:val="00BA4105"/>
    <w:rsid w:val="00BA508B"/>
    <w:rsid w:val="00BA6005"/>
    <w:rsid w:val="00BA62B5"/>
    <w:rsid w:val="00BA6453"/>
    <w:rsid w:val="00BA6EC6"/>
    <w:rsid w:val="00BB05C7"/>
    <w:rsid w:val="00BB0AC5"/>
    <w:rsid w:val="00BB0C59"/>
    <w:rsid w:val="00BB0C66"/>
    <w:rsid w:val="00BB439F"/>
    <w:rsid w:val="00BB4A20"/>
    <w:rsid w:val="00BB764F"/>
    <w:rsid w:val="00BC05A9"/>
    <w:rsid w:val="00BC151D"/>
    <w:rsid w:val="00BC19C1"/>
    <w:rsid w:val="00BC1E3D"/>
    <w:rsid w:val="00BC32FF"/>
    <w:rsid w:val="00BC4ADD"/>
    <w:rsid w:val="00BC4EB8"/>
    <w:rsid w:val="00BC5E16"/>
    <w:rsid w:val="00BC7A95"/>
    <w:rsid w:val="00BC7DAB"/>
    <w:rsid w:val="00BC7F32"/>
    <w:rsid w:val="00BD10B4"/>
    <w:rsid w:val="00BD1105"/>
    <w:rsid w:val="00BD16E8"/>
    <w:rsid w:val="00BD3059"/>
    <w:rsid w:val="00BD573E"/>
    <w:rsid w:val="00BD5B72"/>
    <w:rsid w:val="00BE070D"/>
    <w:rsid w:val="00BE17A4"/>
    <w:rsid w:val="00BE29BB"/>
    <w:rsid w:val="00BE2A3F"/>
    <w:rsid w:val="00BE2C70"/>
    <w:rsid w:val="00BE32BE"/>
    <w:rsid w:val="00BE348A"/>
    <w:rsid w:val="00BE4846"/>
    <w:rsid w:val="00BE542B"/>
    <w:rsid w:val="00BE64FE"/>
    <w:rsid w:val="00BE6751"/>
    <w:rsid w:val="00BE6985"/>
    <w:rsid w:val="00BE6C8F"/>
    <w:rsid w:val="00BE6D93"/>
    <w:rsid w:val="00BE6E9C"/>
    <w:rsid w:val="00BF13CB"/>
    <w:rsid w:val="00BF1CE0"/>
    <w:rsid w:val="00BF27C9"/>
    <w:rsid w:val="00BF28A8"/>
    <w:rsid w:val="00BF2D86"/>
    <w:rsid w:val="00BF326B"/>
    <w:rsid w:val="00BF3F69"/>
    <w:rsid w:val="00BF3FA9"/>
    <w:rsid w:val="00BF4C9E"/>
    <w:rsid w:val="00BF51B2"/>
    <w:rsid w:val="00BF5275"/>
    <w:rsid w:val="00BF59FD"/>
    <w:rsid w:val="00BF71E4"/>
    <w:rsid w:val="00BF7BC0"/>
    <w:rsid w:val="00BF7BE3"/>
    <w:rsid w:val="00C0032C"/>
    <w:rsid w:val="00C03A7D"/>
    <w:rsid w:val="00C03BB2"/>
    <w:rsid w:val="00C05069"/>
    <w:rsid w:val="00C05766"/>
    <w:rsid w:val="00C05F45"/>
    <w:rsid w:val="00C06111"/>
    <w:rsid w:val="00C061FA"/>
    <w:rsid w:val="00C06685"/>
    <w:rsid w:val="00C07B06"/>
    <w:rsid w:val="00C07BE2"/>
    <w:rsid w:val="00C11734"/>
    <w:rsid w:val="00C125BE"/>
    <w:rsid w:val="00C13190"/>
    <w:rsid w:val="00C1333E"/>
    <w:rsid w:val="00C13382"/>
    <w:rsid w:val="00C14CD7"/>
    <w:rsid w:val="00C1626B"/>
    <w:rsid w:val="00C17559"/>
    <w:rsid w:val="00C17959"/>
    <w:rsid w:val="00C20B89"/>
    <w:rsid w:val="00C218A4"/>
    <w:rsid w:val="00C21B6B"/>
    <w:rsid w:val="00C2281D"/>
    <w:rsid w:val="00C22B14"/>
    <w:rsid w:val="00C23A69"/>
    <w:rsid w:val="00C23E33"/>
    <w:rsid w:val="00C24388"/>
    <w:rsid w:val="00C25D7D"/>
    <w:rsid w:val="00C261DB"/>
    <w:rsid w:val="00C26A32"/>
    <w:rsid w:val="00C26E93"/>
    <w:rsid w:val="00C272CA"/>
    <w:rsid w:val="00C27827"/>
    <w:rsid w:val="00C30B1E"/>
    <w:rsid w:val="00C32B8B"/>
    <w:rsid w:val="00C33313"/>
    <w:rsid w:val="00C344C7"/>
    <w:rsid w:val="00C34B9C"/>
    <w:rsid w:val="00C34C23"/>
    <w:rsid w:val="00C3561E"/>
    <w:rsid w:val="00C35D87"/>
    <w:rsid w:val="00C417F0"/>
    <w:rsid w:val="00C43688"/>
    <w:rsid w:val="00C43A3D"/>
    <w:rsid w:val="00C441A2"/>
    <w:rsid w:val="00C45B92"/>
    <w:rsid w:val="00C46BCA"/>
    <w:rsid w:val="00C47E52"/>
    <w:rsid w:val="00C51CF9"/>
    <w:rsid w:val="00C52E08"/>
    <w:rsid w:val="00C53983"/>
    <w:rsid w:val="00C54C79"/>
    <w:rsid w:val="00C54D23"/>
    <w:rsid w:val="00C56731"/>
    <w:rsid w:val="00C57230"/>
    <w:rsid w:val="00C573C6"/>
    <w:rsid w:val="00C606FE"/>
    <w:rsid w:val="00C60F74"/>
    <w:rsid w:val="00C62631"/>
    <w:rsid w:val="00C6300F"/>
    <w:rsid w:val="00C642A6"/>
    <w:rsid w:val="00C653F6"/>
    <w:rsid w:val="00C6612B"/>
    <w:rsid w:val="00C663CC"/>
    <w:rsid w:val="00C66487"/>
    <w:rsid w:val="00C6727F"/>
    <w:rsid w:val="00C70A4E"/>
    <w:rsid w:val="00C70D56"/>
    <w:rsid w:val="00C70DA2"/>
    <w:rsid w:val="00C71333"/>
    <w:rsid w:val="00C714D1"/>
    <w:rsid w:val="00C720C2"/>
    <w:rsid w:val="00C727AA"/>
    <w:rsid w:val="00C7298C"/>
    <w:rsid w:val="00C72A5B"/>
    <w:rsid w:val="00C73686"/>
    <w:rsid w:val="00C73BD4"/>
    <w:rsid w:val="00C74125"/>
    <w:rsid w:val="00C74149"/>
    <w:rsid w:val="00C74944"/>
    <w:rsid w:val="00C75555"/>
    <w:rsid w:val="00C76B58"/>
    <w:rsid w:val="00C76E5C"/>
    <w:rsid w:val="00C77022"/>
    <w:rsid w:val="00C82AB0"/>
    <w:rsid w:val="00C859A5"/>
    <w:rsid w:val="00C85E2B"/>
    <w:rsid w:val="00C8699E"/>
    <w:rsid w:val="00C86A04"/>
    <w:rsid w:val="00C86A87"/>
    <w:rsid w:val="00C86F49"/>
    <w:rsid w:val="00C87049"/>
    <w:rsid w:val="00C879CF"/>
    <w:rsid w:val="00C87A8B"/>
    <w:rsid w:val="00C87C1D"/>
    <w:rsid w:val="00C90225"/>
    <w:rsid w:val="00C91C6E"/>
    <w:rsid w:val="00C92A7F"/>
    <w:rsid w:val="00C92C41"/>
    <w:rsid w:val="00C92D50"/>
    <w:rsid w:val="00C930EC"/>
    <w:rsid w:val="00C93390"/>
    <w:rsid w:val="00C93D78"/>
    <w:rsid w:val="00C94753"/>
    <w:rsid w:val="00C95C9C"/>
    <w:rsid w:val="00CA0FEA"/>
    <w:rsid w:val="00CA2659"/>
    <w:rsid w:val="00CA2867"/>
    <w:rsid w:val="00CA2C27"/>
    <w:rsid w:val="00CA2E92"/>
    <w:rsid w:val="00CA3675"/>
    <w:rsid w:val="00CA3A6F"/>
    <w:rsid w:val="00CA43A4"/>
    <w:rsid w:val="00CA49F3"/>
    <w:rsid w:val="00CA580A"/>
    <w:rsid w:val="00CA72B2"/>
    <w:rsid w:val="00CA7B4F"/>
    <w:rsid w:val="00CA7DE3"/>
    <w:rsid w:val="00CB0489"/>
    <w:rsid w:val="00CB0AF4"/>
    <w:rsid w:val="00CB1A1D"/>
    <w:rsid w:val="00CB527D"/>
    <w:rsid w:val="00CB6550"/>
    <w:rsid w:val="00CB678D"/>
    <w:rsid w:val="00CB6CB5"/>
    <w:rsid w:val="00CB7109"/>
    <w:rsid w:val="00CB7206"/>
    <w:rsid w:val="00CB7813"/>
    <w:rsid w:val="00CC1DB1"/>
    <w:rsid w:val="00CC2085"/>
    <w:rsid w:val="00CC2CD8"/>
    <w:rsid w:val="00CC2DE2"/>
    <w:rsid w:val="00CC3EF6"/>
    <w:rsid w:val="00CC40F0"/>
    <w:rsid w:val="00CC4974"/>
    <w:rsid w:val="00CC4A30"/>
    <w:rsid w:val="00CC513A"/>
    <w:rsid w:val="00CC5F1B"/>
    <w:rsid w:val="00CC6136"/>
    <w:rsid w:val="00CC6F9D"/>
    <w:rsid w:val="00CC7C82"/>
    <w:rsid w:val="00CD0CCE"/>
    <w:rsid w:val="00CD2A77"/>
    <w:rsid w:val="00CD2DF4"/>
    <w:rsid w:val="00CD3521"/>
    <w:rsid w:val="00CD3C65"/>
    <w:rsid w:val="00CD4572"/>
    <w:rsid w:val="00CD464D"/>
    <w:rsid w:val="00CD51DF"/>
    <w:rsid w:val="00CD613F"/>
    <w:rsid w:val="00CD67C4"/>
    <w:rsid w:val="00CD734E"/>
    <w:rsid w:val="00CD7401"/>
    <w:rsid w:val="00CD7E73"/>
    <w:rsid w:val="00CE0B07"/>
    <w:rsid w:val="00CE39E2"/>
    <w:rsid w:val="00CE3C11"/>
    <w:rsid w:val="00CE4BCA"/>
    <w:rsid w:val="00CE4D3A"/>
    <w:rsid w:val="00CE7678"/>
    <w:rsid w:val="00CF008F"/>
    <w:rsid w:val="00CF0C48"/>
    <w:rsid w:val="00CF0ECD"/>
    <w:rsid w:val="00CF1974"/>
    <w:rsid w:val="00CF1DC7"/>
    <w:rsid w:val="00CF63B9"/>
    <w:rsid w:val="00CF6BC7"/>
    <w:rsid w:val="00D0027E"/>
    <w:rsid w:val="00D0158A"/>
    <w:rsid w:val="00D0211F"/>
    <w:rsid w:val="00D0215D"/>
    <w:rsid w:val="00D02736"/>
    <w:rsid w:val="00D02C6D"/>
    <w:rsid w:val="00D05035"/>
    <w:rsid w:val="00D0646F"/>
    <w:rsid w:val="00D066D8"/>
    <w:rsid w:val="00D06AC2"/>
    <w:rsid w:val="00D0715D"/>
    <w:rsid w:val="00D1008C"/>
    <w:rsid w:val="00D10F0C"/>
    <w:rsid w:val="00D11FEF"/>
    <w:rsid w:val="00D133FA"/>
    <w:rsid w:val="00D149D4"/>
    <w:rsid w:val="00D14E1E"/>
    <w:rsid w:val="00D15098"/>
    <w:rsid w:val="00D150B2"/>
    <w:rsid w:val="00D156FB"/>
    <w:rsid w:val="00D1775C"/>
    <w:rsid w:val="00D207ED"/>
    <w:rsid w:val="00D22F2A"/>
    <w:rsid w:val="00D23A41"/>
    <w:rsid w:val="00D23A75"/>
    <w:rsid w:val="00D24D67"/>
    <w:rsid w:val="00D25179"/>
    <w:rsid w:val="00D261C3"/>
    <w:rsid w:val="00D26C41"/>
    <w:rsid w:val="00D27000"/>
    <w:rsid w:val="00D275F4"/>
    <w:rsid w:val="00D3132D"/>
    <w:rsid w:val="00D320D6"/>
    <w:rsid w:val="00D3639F"/>
    <w:rsid w:val="00D36B52"/>
    <w:rsid w:val="00D40243"/>
    <w:rsid w:val="00D405AC"/>
    <w:rsid w:val="00D41073"/>
    <w:rsid w:val="00D41552"/>
    <w:rsid w:val="00D435C3"/>
    <w:rsid w:val="00D43769"/>
    <w:rsid w:val="00D444E0"/>
    <w:rsid w:val="00D45639"/>
    <w:rsid w:val="00D4579A"/>
    <w:rsid w:val="00D45963"/>
    <w:rsid w:val="00D465F3"/>
    <w:rsid w:val="00D477D1"/>
    <w:rsid w:val="00D47A23"/>
    <w:rsid w:val="00D5091E"/>
    <w:rsid w:val="00D513EB"/>
    <w:rsid w:val="00D51A00"/>
    <w:rsid w:val="00D525BD"/>
    <w:rsid w:val="00D53805"/>
    <w:rsid w:val="00D54FAC"/>
    <w:rsid w:val="00D55AFF"/>
    <w:rsid w:val="00D5612F"/>
    <w:rsid w:val="00D564BD"/>
    <w:rsid w:val="00D571F6"/>
    <w:rsid w:val="00D60039"/>
    <w:rsid w:val="00D618BD"/>
    <w:rsid w:val="00D6240A"/>
    <w:rsid w:val="00D635DA"/>
    <w:rsid w:val="00D63652"/>
    <w:rsid w:val="00D64925"/>
    <w:rsid w:val="00D657C4"/>
    <w:rsid w:val="00D65836"/>
    <w:rsid w:val="00D66957"/>
    <w:rsid w:val="00D66F69"/>
    <w:rsid w:val="00D71ABC"/>
    <w:rsid w:val="00D71CEA"/>
    <w:rsid w:val="00D71F27"/>
    <w:rsid w:val="00D7240A"/>
    <w:rsid w:val="00D72520"/>
    <w:rsid w:val="00D7464A"/>
    <w:rsid w:val="00D74E4F"/>
    <w:rsid w:val="00D7523E"/>
    <w:rsid w:val="00D75C91"/>
    <w:rsid w:val="00D76086"/>
    <w:rsid w:val="00D766C2"/>
    <w:rsid w:val="00D769AA"/>
    <w:rsid w:val="00D77940"/>
    <w:rsid w:val="00D80279"/>
    <w:rsid w:val="00D80D62"/>
    <w:rsid w:val="00D80F1C"/>
    <w:rsid w:val="00D835F2"/>
    <w:rsid w:val="00D840C3"/>
    <w:rsid w:val="00D84188"/>
    <w:rsid w:val="00D863D3"/>
    <w:rsid w:val="00D90311"/>
    <w:rsid w:val="00D91EE2"/>
    <w:rsid w:val="00D91F6D"/>
    <w:rsid w:val="00D93813"/>
    <w:rsid w:val="00D93A70"/>
    <w:rsid w:val="00D94A7B"/>
    <w:rsid w:val="00D94E0C"/>
    <w:rsid w:val="00D96183"/>
    <w:rsid w:val="00D96216"/>
    <w:rsid w:val="00D96B5A"/>
    <w:rsid w:val="00D96F63"/>
    <w:rsid w:val="00D97E4A"/>
    <w:rsid w:val="00DA6C03"/>
    <w:rsid w:val="00DA7625"/>
    <w:rsid w:val="00DA7FCC"/>
    <w:rsid w:val="00DB1225"/>
    <w:rsid w:val="00DB128F"/>
    <w:rsid w:val="00DB20C3"/>
    <w:rsid w:val="00DB303E"/>
    <w:rsid w:val="00DB39CA"/>
    <w:rsid w:val="00DB4E25"/>
    <w:rsid w:val="00DB6867"/>
    <w:rsid w:val="00DB69D7"/>
    <w:rsid w:val="00DB74CA"/>
    <w:rsid w:val="00DB76DC"/>
    <w:rsid w:val="00DC081C"/>
    <w:rsid w:val="00DC1CFE"/>
    <w:rsid w:val="00DC219E"/>
    <w:rsid w:val="00DC2B68"/>
    <w:rsid w:val="00DC2CB8"/>
    <w:rsid w:val="00DC3596"/>
    <w:rsid w:val="00DC39AE"/>
    <w:rsid w:val="00DC3BBC"/>
    <w:rsid w:val="00DC4011"/>
    <w:rsid w:val="00DC57F8"/>
    <w:rsid w:val="00DC6A0F"/>
    <w:rsid w:val="00DC7910"/>
    <w:rsid w:val="00DC7FCF"/>
    <w:rsid w:val="00DD056F"/>
    <w:rsid w:val="00DD0908"/>
    <w:rsid w:val="00DD1B13"/>
    <w:rsid w:val="00DD1BDD"/>
    <w:rsid w:val="00DD1E1F"/>
    <w:rsid w:val="00DD2B50"/>
    <w:rsid w:val="00DD3076"/>
    <w:rsid w:val="00DD364A"/>
    <w:rsid w:val="00DD439B"/>
    <w:rsid w:val="00DD481F"/>
    <w:rsid w:val="00DD56F2"/>
    <w:rsid w:val="00DD58D0"/>
    <w:rsid w:val="00DD6BAA"/>
    <w:rsid w:val="00DE1A4E"/>
    <w:rsid w:val="00DE31DE"/>
    <w:rsid w:val="00DE34BD"/>
    <w:rsid w:val="00DE3A60"/>
    <w:rsid w:val="00DE45E2"/>
    <w:rsid w:val="00DE571E"/>
    <w:rsid w:val="00DE5987"/>
    <w:rsid w:val="00DE6793"/>
    <w:rsid w:val="00DE7CEE"/>
    <w:rsid w:val="00DF04EC"/>
    <w:rsid w:val="00DF074E"/>
    <w:rsid w:val="00DF1425"/>
    <w:rsid w:val="00DF224D"/>
    <w:rsid w:val="00DF26AC"/>
    <w:rsid w:val="00DF2B46"/>
    <w:rsid w:val="00DF308D"/>
    <w:rsid w:val="00DF37D8"/>
    <w:rsid w:val="00DF3D56"/>
    <w:rsid w:val="00DF491C"/>
    <w:rsid w:val="00DF5556"/>
    <w:rsid w:val="00DF580F"/>
    <w:rsid w:val="00E00D1A"/>
    <w:rsid w:val="00E01E92"/>
    <w:rsid w:val="00E0262F"/>
    <w:rsid w:val="00E02B80"/>
    <w:rsid w:val="00E04E3C"/>
    <w:rsid w:val="00E05251"/>
    <w:rsid w:val="00E05DF9"/>
    <w:rsid w:val="00E06623"/>
    <w:rsid w:val="00E066B1"/>
    <w:rsid w:val="00E06E9D"/>
    <w:rsid w:val="00E0743A"/>
    <w:rsid w:val="00E07F03"/>
    <w:rsid w:val="00E12154"/>
    <w:rsid w:val="00E12D51"/>
    <w:rsid w:val="00E133F8"/>
    <w:rsid w:val="00E138B1"/>
    <w:rsid w:val="00E1474E"/>
    <w:rsid w:val="00E162C8"/>
    <w:rsid w:val="00E1764E"/>
    <w:rsid w:val="00E17B5F"/>
    <w:rsid w:val="00E2059B"/>
    <w:rsid w:val="00E209A5"/>
    <w:rsid w:val="00E2109B"/>
    <w:rsid w:val="00E218CA"/>
    <w:rsid w:val="00E22E65"/>
    <w:rsid w:val="00E2551A"/>
    <w:rsid w:val="00E26E1A"/>
    <w:rsid w:val="00E27EDC"/>
    <w:rsid w:val="00E27FE9"/>
    <w:rsid w:val="00E31FC0"/>
    <w:rsid w:val="00E32273"/>
    <w:rsid w:val="00E328AC"/>
    <w:rsid w:val="00E33039"/>
    <w:rsid w:val="00E330A5"/>
    <w:rsid w:val="00E3628A"/>
    <w:rsid w:val="00E36D67"/>
    <w:rsid w:val="00E36EEC"/>
    <w:rsid w:val="00E41750"/>
    <w:rsid w:val="00E417F9"/>
    <w:rsid w:val="00E42006"/>
    <w:rsid w:val="00E42131"/>
    <w:rsid w:val="00E425A1"/>
    <w:rsid w:val="00E43879"/>
    <w:rsid w:val="00E46CCD"/>
    <w:rsid w:val="00E4795D"/>
    <w:rsid w:val="00E5409C"/>
    <w:rsid w:val="00E548A3"/>
    <w:rsid w:val="00E561AC"/>
    <w:rsid w:val="00E56866"/>
    <w:rsid w:val="00E5693B"/>
    <w:rsid w:val="00E57DCB"/>
    <w:rsid w:val="00E6070D"/>
    <w:rsid w:val="00E64ADC"/>
    <w:rsid w:val="00E67220"/>
    <w:rsid w:val="00E674E0"/>
    <w:rsid w:val="00E67A7D"/>
    <w:rsid w:val="00E67EFA"/>
    <w:rsid w:val="00E70EB7"/>
    <w:rsid w:val="00E71BA4"/>
    <w:rsid w:val="00E720E0"/>
    <w:rsid w:val="00E72AE1"/>
    <w:rsid w:val="00E73A34"/>
    <w:rsid w:val="00E74EA8"/>
    <w:rsid w:val="00E75305"/>
    <w:rsid w:val="00E75310"/>
    <w:rsid w:val="00E76296"/>
    <w:rsid w:val="00E76F0E"/>
    <w:rsid w:val="00E77E37"/>
    <w:rsid w:val="00E80FD5"/>
    <w:rsid w:val="00E821C8"/>
    <w:rsid w:val="00E826A2"/>
    <w:rsid w:val="00E82B8B"/>
    <w:rsid w:val="00E82EDC"/>
    <w:rsid w:val="00E8416F"/>
    <w:rsid w:val="00E844FF"/>
    <w:rsid w:val="00E8462A"/>
    <w:rsid w:val="00E84B06"/>
    <w:rsid w:val="00E85341"/>
    <w:rsid w:val="00E85656"/>
    <w:rsid w:val="00E85ADE"/>
    <w:rsid w:val="00E86833"/>
    <w:rsid w:val="00E86BB3"/>
    <w:rsid w:val="00E87D00"/>
    <w:rsid w:val="00E9014F"/>
    <w:rsid w:val="00E911D9"/>
    <w:rsid w:val="00E91BA9"/>
    <w:rsid w:val="00E92997"/>
    <w:rsid w:val="00E934E1"/>
    <w:rsid w:val="00E9375B"/>
    <w:rsid w:val="00E93B63"/>
    <w:rsid w:val="00E93C67"/>
    <w:rsid w:val="00E9703B"/>
    <w:rsid w:val="00EA0225"/>
    <w:rsid w:val="00EA0F20"/>
    <w:rsid w:val="00EA30C5"/>
    <w:rsid w:val="00EA4BAC"/>
    <w:rsid w:val="00EA50AF"/>
    <w:rsid w:val="00EA5B59"/>
    <w:rsid w:val="00EA5CB7"/>
    <w:rsid w:val="00EA5DA8"/>
    <w:rsid w:val="00EA646F"/>
    <w:rsid w:val="00EA6962"/>
    <w:rsid w:val="00EA713B"/>
    <w:rsid w:val="00EA76B5"/>
    <w:rsid w:val="00EB02FA"/>
    <w:rsid w:val="00EB1874"/>
    <w:rsid w:val="00EB291D"/>
    <w:rsid w:val="00EB2D87"/>
    <w:rsid w:val="00EB49EA"/>
    <w:rsid w:val="00EB5089"/>
    <w:rsid w:val="00EB5425"/>
    <w:rsid w:val="00EB5B64"/>
    <w:rsid w:val="00EB68D5"/>
    <w:rsid w:val="00EB6D2B"/>
    <w:rsid w:val="00EB787E"/>
    <w:rsid w:val="00EB7DD4"/>
    <w:rsid w:val="00EB7EC8"/>
    <w:rsid w:val="00EC00BC"/>
    <w:rsid w:val="00EC088C"/>
    <w:rsid w:val="00EC0DBD"/>
    <w:rsid w:val="00EC119F"/>
    <w:rsid w:val="00EC1946"/>
    <w:rsid w:val="00EC24E6"/>
    <w:rsid w:val="00EC5C89"/>
    <w:rsid w:val="00EC66E8"/>
    <w:rsid w:val="00EC6B1D"/>
    <w:rsid w:val="00EC6F2C"/>
    <w:rsid w:val="00ED0159"/>
    <w:rsid w:val="00ED03CF"/>
    <w:rsid w:val="00ED0969"/>
    <w:rsid w:val="00ED24B0"/>
    <w:rsid w:val="00ED4A32"/>
    <w:rsid w:val="00ED5D5E"/>
    <w:rsid w:val="00ED5E0D"/>
    <w:rsid w:val="00ED65BE"/>
    <w:rsid w:val="00ED65D0"/>
    <w:rsid w:val="00EE39C2"/>
    <w:rsid w:val="00EE4556"/>
    <w:rsid w:val="00EE522F"/>
    <w:rsid w:val="00EE558D"/>
    <w:rsid w:val="00EE5A84"/>
    <w:rsid w:val="00EE6185"/>
    <w:rsid w:val="00EE64EC"/>
    <w:rsid w:val="00EE733A"/>
    <w:rsid w:val="00EF0195"/>
    <w:rsid w:val="00EF04D4"/>
    <w:rsid w:val="00EF0FD9"/>
    <w:rsid w:val="00EF1812"/>
    <w:rsid w:val="00EF206A"/>
    <w:rsid w:val="00EF28F1"/>
    <w:rsid w:val="00EF4640"/>
    <w:rsid w:val="00EF4B3A"/>
    <w:rsid w:val="00EF4EDC"/>
    <w:rsid w:val="00EF564C"/>
    <w:rsid w:val="00EF5812"/>
    <w:rsid w:val="00EF6775"/>
    <w:rsid w:val="00EF6823"/>
    <w:rsid w:val="00EF71AC"/>
    <w:rsid w:val="00EF7317"/>
    <w:rsid w:val="00EF7C0C"/>
    <w:rsid w:val="00F0157E"/>
    <w:rsid w:val="00F0232C"/>
    <w:rsid w:val="00F03620"/>
    <w:rsid w:val="00F03901"/>
    <w:rsid w:val="00F03A40"/>
    <w:rsid w:val="00F0482E"/>
    <w:rsid w:val="00F04BDE"/>
    <w:rsid w:val="00F065D5"/>
    <w:rsid w:val="00F07939"/>
    <w:rsid w:val="00F116DC"/>
    <w:rsid w:val="00F126C8"/>
    <w:rsid w:val="00F130B8"/>
    <w:rsid w:val="00F1485E"/>
    <w:rsid w:val="00F1546E"/>
    <w:rsid w:val="00F16642"/>
    <w:rsid w:val="00F16E7D"/>
    <w:rsid w:val="00F172F9"/>
    <w:rsid w:val="00F17ECF"/>
    <w:rsid w:val="00F20FAD"/>
    <w:rsid w:val="00F223A5"/>
    <w:rsid w:val="00F229D3"/>
    <w:rsid w:val="00F25D8F"/>
    <w:rsid w:val="00F26BDC"/>
    <w:rsid w:val="00F3099B"/>
    <w:rsid w:val="00F31413"/>
    <w:rsid w:val="00F34355"/>
    <w:rsid w:val="00F37DC1"/>
    <w:rsid w:val="00F40843"/>
    <w:rsid w:val="00F42234"/>
    <w:rsid w:val="00F430E4"/>
    <w:rsid w:val="00F43D76"/>
    <w:rsid w:val="00F43DEC"/>
    <w:rsid w:val="00F43EA8"/>
    <w:rsid w:val="00F446EE"/>
    <w:rsid w:val="00F44C35"/>
    <w:rsid w:val="00F45897"/>
    <w:rsid w:val="00F46FB9"/>
    <w:rsid w:val="00F4721A"/>
    <w:rsid w:val="00F47278"/>
    <w:rsid w:val="00F47C74"/>
    <w:rsid w:val="00F508DF"/>
    <w:rsid w:val="00F546E1"/>
    <w:rsid w:val="00F5476D"/>
    <w:rsid w:val="00F54F34"/>
    <w:rsid w:val="00F56479"/>
    <w:rsid w:val="00F57454"/>
    <w:rsid w:val="00F57B03"/>
    <w:rsid w:val="00F606A0"/>
    <w:rsid w:val="00F61362"/>
    <w:rsid w:val="00F616A7"/>
    <w:rsid w:val="00F62444"/>
    <w:rsid w:val="00F62F3D"/>
    <w:rsid w:val="00F63738"/>
    <w:rsid w:val="00F64824"/>
    <w:rsid w:val="00F64E04"/>
    <w:rsid w:val="00F6528E"/>
    <w:rsid w:val="00F6531E"/>
    <w:rsid w:val="00F667C0"/>
    <w:rsid w:val="00F66A7D"/>
    <w:rsid w:val="00F671B0"/>
    <w:rsid w:val="00F6773A"/>
    <w:rsid w:val="00F67E95"/>
    <w:rsid w:val="00F72235"/>
    <w:rsid w:val="00F73828"/>
    <w:rsid w:val="00F73920"/>
    <w:rsid w:val="00F742BB"/>
    <w:rsid w:val="00F7618B"/>
    <w:rsid w:val="00F76BBE"/>
    <w:rsid w:val="00F7795B"/>
    <w:rsid w:val="00F803AF"/>
    <w:rsid w:val="00F80633"/>
    <w:rsid w:val="00F811B8"/>
    <w:rsid w:val="00F81CDB"/>
    <w:rsid w:val="00F824FD"/>
    <w:rsid w:val="00F82ADB"/>
    <w:rsid w:val="00F83D60"/>
    <w:rsid w:val="00F84525"/>
    <w:rsid w:val="00F859DF"/>
    <w:rsid w:val="00F864FF"/>
    <w:rsid w:val="00F87AC5"/>
    <w:rsid w:val="00F906BC"/>
    <w:rsid w:val="00F90839"/>
    <w:rsid w:val="00F90F54"/>
    <w:rsid w:val="00F91676"/>
    <w:rsid w:val="00F922C3"/>
    <w:rsid w:val="00F933A9"/>
    <w:rsid w:val="00F94096"/>
    <w:rsid w:val="00F95511"/>
    <w:rsid w:val="00F97097"/>
    <w:rsid w:val="00F9711B"/>
    <w:rsid w:val="00F9714B"/>
    <w:rsid w:val="00F97153"/>
    <w:rsid w:val="00F97866"/>
    <w:rsid w:val="00F97890"/>
    <w:rsid w:val="00FA00C6"/>
    <w:rsid w:val="00FA010B"/>
    <w:rsid w:val="00FA03E4"/>
    <w:rsid w:val="00FA3534"/>
    <w:rsid w:val="00FA48EF"/>
    <w:rsid w:val="00FA4A50"/>
    <w:rsid w:val="00FA4B80"/>
    <w:rsid w:val="00FA749A"/>
    <w:rsid w:val="00FB0FA8"/>
    <w:rsid w:val="00FB2BD7"/>
    <w:rsid w:val="00FB2D80"/>
    <w:rsid w:val="00FB2F1F"/>
    <w:rsid w:val="00FB2F7A"/>
    <w:rsid w:val="00FB2FFC"/>
    <w:rsid w:val="00FB4AEA"/>
    <w:rsid w:val="00FB634B"/>
    <w:rsid w:val="00FB7E47"/>
    <w:rsid w:val="00FC0499"/>
    <w:rsid w:val="00FC0D83"/>
    <w:rsid w:val="00FC25F0"/>
    <w:rsid w:val="00FC2ABE"/>
    <w:rsid w:val="00FC2FD8"/>
    <w:rsid w:val="00FC3380"/>
    <w:rsid w:val="00FC4A99"/>
    <w:rsid w:val="00FC5AE4"/>
    <w:rsid w:val="00FC609E"/>
    <w:rsid w:val="00FC6AE0"/>
    <w:rsid w:val="00FD0EB3"/>
    <w:rsid w:val="00FD0F9C"/>
    <w:rsid w:val="00FD2C3D"/>
    <w:rsid w:val="00FD44B4"/>
    <w:rsid w:val="00FD46A0"/>
    <w:rsid w:val="00FD4F50"/>
    <w:rsid w:val="00FD51C5"/>
    <w:rsid w:val="00FD5300"/>
    <w:rsid w:val="00FD6727"/>
    <w:rsid w:val="00FD6D6B"/>
    <w:rsid w:val="00FE07CF"/>
    <w:rsid w:val="00FE0ACE"/>
    <w:rsid w:val="00FE2D25"/>
    <w:rsid w:val="00FE3783"/>
    <w:rsid w:val="00FE3819"/>
    <w:rsid w:val="00FE3A1B"/>
    <w:rsid w:val="00FE3FD9"/>
    <w:rsid w:val="00FE4EF8"/>
    <w:rsid w:val="00FE512A"/>
    <w:rsid w:val="00FE5EC0"/>
    <w:rsid w:val="00FE7712"/>
    <w:rsid w:val="00FF0ACC"/>
    <w:rsid w:val="00FF10D4"/>
    <w:rsid w:val="00FF18C8"/>
    <w:rsid w:val="00FF2B19"/>
    <w:rsid w:val="00FF429E"/>
    <w:rsid w:val="00FF5205"/>
    <w:rsid w:val="00FF6345"/>
    <w:rsid w:val="00FF7D8F"/>
    <w:rsid w:val="3B24F1F9"/>
    <w:rsid w:val="40E2A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7C3E5"/>
  <w15:chartTrackingRefBased/>
  <w15:docId w15:val="{C61748D8-3DBF-49B1-BC3B-634564102B8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653"/>
    <w:rPr>
      <w:sz w:val="24"/>
      <w:szCs w:val="24"/>
    </w:rPr>
  </w:style>
  <w:style w:type="paragraph" w:styleId="Heading1">
    <w:name w:val="heading 1"/>
    <w:basedOn w:val="Normal"/>
    <w:next w:val="Normal"/>
    <w:link w:val="Heading1Char"/>
    <w:qFormat/>
    <w:rsid w:val="006E0B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link w:val="TitleChar"/>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uiPriority w:val="39"/>
    <w:rsid w:val="009B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E0B46"/>
    <w:rPr>
      <w:sz w:val="16"/>
      <w:szCs w:val="16"/>
    </w:rPr>
  </w:style>
  <w:style w:type="paragraph" w:styleId="CommentText">
    <w:name w:val="annotation text"/>
    <w:basedOn w:val="Normal"/>
    <w:link w:val="CommentTextChar"/>
    <w:uiPriority w:val="99"/>
    <w:unhideWhenUsed/>
    <w:rsid w:val="006E0B46"/>
    <w:pPr>
      <w:ind w:firstLine="720"/>
    </w:pPr>
    <w:rPr>
      <w:rFonts w:ascii="Book Antiqua" w:eastAsiaTheme="minorHAnsi" w:hAnsi="Book Antiqua" w:cstheme="minorBidi"/>
      <w:sz w:val="20"/>
      <w:szCs w:val="20"/>
    </w:rPr>
  </w:style>
  <w:style w:type="character" w:customStyle="1" w:styleId="CommentTextChar">
    <w:name w:val="Comment Text Char"/>
    <w:basedOn w:val="DefaultParagraphFont"/>
    <w:link w:val="CommentText"/>
    <w:uiPriority w:val="99"/>
    <w:rsid w:val="006E0B46"/>
    <w:rPr>
      <w:rFonts w:ascii="Book Antiqua" w:eastAsiaTheme="minorHAnsi" w:hAnsi="Book Antiqua" w:cstheme="minorBidi"/>
    </w:rPr>
  </w:style>
  <w:style w:type="paragraph" w:styleId="NoSpacing">
    <w:name w:val="No Spacing"/>
    <w:uiPriority w:val="1"/>
    <w:qFormat/>
    <w:rsid w:val="006E0B46"/>
    <w:rPr>
      <w:sz w:val="24"/>
      <w:szCs w:val="24"/>
    </w:rPr>
  </w:style>
  <w:style w:type="character" w:styleId="Hyperlink">
    <w:name w:val="Hyperlink"/>
    <w:basedOn w:val="DefaultParagraphFont"/>
    <w:uiPriority w:val="99"/>
    <w:rsid w:val="006E0B46"/>
    <w:rPr>
      <w:color w:val="0563C1" w:themeColor="hyperlink"/>
      <w:u w:val="single"/>
    </w:rPr>
  </w:style>
  <w:style w:type="character" w:styleId="UnresolvedMention">
    <w:name w:val="Unresolved Mention"/>
    <w:basedOn w:val="DefaultParagraphFont"/>
    <w:uiPriority w:val="99"/>
    <w:unhideWhenUsed/>
    <w:rsid w:val="006E0B46"/>
    <w:rPr>
      <w:color w:val="605E5C"/>
      <w:shd w:val="clear" w:color="auto" w:fill="E1DFDD"/>
    </w:rPr>
  </w:style>
  <w:style w:type="character" w:customStyle="1" w:styleId="Heading1Char">
    <w:name w:val="Heading 1 Char"/>
    <w:basedOn w:val="DefaultParagraphFont"/>
    <w:link w:val="Heading1"/>
    <w:rsid w:val="006E0B46"/>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6E0B46"/>
    <w:rPr>
      <w:i/>
      <w:iCs/>
      <w:color w:val="4472C4" w:themeColor="accent1"/>
    </w:rPr>
  </w:style>
  <w:style w:type="paragraph" w:styleId="FootnoteText">
    <w:name w:val="footnote text"/>
    <w:basedOn w:val="Normal"/>
    <w:link w:val="FootnoteTextChar"/>
    <w:rsid w:val="00614FE6"/>
    <w:rPr>
      <w:sz w:val="20"/>
      <w:szCs w:val="20"/>
    </w:rPr>
  </w:style>
  <w:style w:type="character" w:customStyle="1" w:styleId="FootnoteTextChar">
    <w:name w:val="Footnote Text Char"/>
    <w:basedOn w:val="DefaultParagraphFont"/>
    <w:link w:val="FootnoteText"/>
    <w:rsid w:val="00614FE6"/>
  </w:style>
  <w:style w:type="character" w:styleId="FootnoteReference">
    <w:name w:val="footnote reference"/>
    <w:basedOn w:val="DefaultParagraphFont"/>
    <w:rsid w:val="00614FE6"/>
    <w:rPr>
      <w:vertAlign w:val="superscript"/>
    </w:rPr>
  </w:style>
  <w:style w:type="paragraph" w:styleId="CommentSubject">
    <w:name w:val="annotation subject"/>
    <w:basedOn w:val="CommentText"/>
    <w:next w:val="CommentText"/>
    <w:link w:val="CommentSubjectChar"/>
    <w:rsid w:val="006802B6"/>
    <w:pPr>
      <w:ind w:firstLine="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802B6"/>
    <w:rPr>
      <w:rFonts w:ascii="Book Antiqua" w:eastAsiaTheme="minorHAnsi" w:hAnsi="Book Antiqua" w:cstheme="minorBidi"/>
      <w:b/>
      <w:bCs/>
    </w:rPr>
  </w:style>
  <w:style w:type="paragraph" w:styleId="ListParagraph">
    <w:name w:val="List Paragraph"/>
    <w:basedOn w:val="Normal"/>
    <w:uiPriority w:val="34"/>
    <w:qFormat/>
    <w:rsid w:val="009B6653"/>
    <w:pPr>
      <w:spacing w:after="160" w:line="259"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unhideWhenUsed/>
    <w:rsid w:val="00210CFC"/>
    <w:rPr>
      <w:color w:val="2B579A"/>
      <w:shd w:val="clear" w:color="auto" w:fill="E1DFDD"/>
    </w:rPr>
  </w:style>
  <w:style w:type="paragraph" w:styleId="Revision">
    <w:name w:val="Revision"/>
    <w:hidden/>
    <w:uiPriority w:val="99"/>
    <w:semiHidden/>
    <w:rsid w:val="004F097D"/>
    <w:rPr>
      <w:sz w:val="24"/>
      <w:szCs w:val="24"/>
    </w:rPr>
  </w:style>
  <w:style w:type="character" w:customStyle="1" w:styleId="TitleChar">
    <w:name w:val="Title Char"/>
    <w:basedOn w:val="DefaultParagraphFont"/>
    <w:link w:val="Title"/>
    <w:rsid w:val="00401EDB"/>
    <w:rPr>
      <w:rFonts w:ascii="Helvetica" w:hAnsi="Helvetica"/>
      <w:b/>
      <w:sz w:val="24"/>
    </w:rPr>
  </w:style>
  <w:style w:type="character" w:customStyle="1" w:styleId="FooterChar">
    <w:name w:val="Footer Char"/>
    <w:basedOn w:val="DefaultParagraphFont"/>
    <w:link w:val="Footer"/>
    <w:uiPriority w:val="99"/>
    <w:rsid w:val="006E5441"/>
    <w:rPr>
      <w:sz w:val="24"/>
      <w:szCs w:val="24"/>
    </w:rPr>
  </w:style>
  <w:style w:type="character" w:styleId="FollowedHyperlink">
    <w:name w:val="FollowedHyperlink"/>
    <w:basedOn w:val="DefaultParagraphFont"/>
    <w:rsid w:val="001A6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555">
      <w:bodyDiv w:val="1"/>
      <w:marLeft w:val="0"/>
      <w:marRight w:val="0"/>
      <w:marTop w:val="0"/>
      <w:marBottom w:val="0"/>
      <w:divBdr>
        <w:top w:val="none" w:sz="0" w:space="0" w:color="auto"/>
        <w:left w:val="none" w:sz="0" w:space="0" w:color="auto"/>
        <w:bottom w:val="none" w:sz="0" w:space="0" w:color="auto"/>
        <w:right w:val="none" w:sz="0" w:space="0" w:color="auto"/>
      </w:divBdr>
    </w:div>
    <w:div w:id="130829833">
      <w:bodyDiv w:val="1"/>
      <w:marLeft w:val="0"/>
      <w:marRight w:val="0"/>
      <w:marTop w:val="0"/>
      <w:marBottom w:val="0"/>
      <w:divBdr>
        <w:top w:val="none" w:sz="0" w:space="0" w:color="auto"/>
        <w:left w:val="none" w:sz="0" w:space="0" w:color="auto"/>
        <w:bottom w:val="none" w:sz="0" w:space="0" w:color="auto"/>
        <w:right w:val="none" w:sz="0" w:space="0" w:color="auto"/>
      </w:divBdr>
    </w:div>
    <w:div w:id="307906983">
      <w:bodyDiv w:val="1"/>
      <w:marLeft w:val="0"/>
      <w:marRight w:val="0"/>
      <w:marTop w:val="0"/>
      <w:marBottom w:val="0"/>
      <w:divBdr>
        <w:top w:val="none" w:sz="0" w:space="0" w:color="auto"/>
        <w:left w:val="none" w:sz="0" w:space="0" w:color="auto"/>
        <w:bottom w:val="none" w:sz="0" w:space="0" w:color="auto"/>
        <w:right w:val="none" w:sz="0" w:space="0" w:color="auto"/>
      </w:divBdr>
    </w:div>
    <w:div w:id="313414416">
      <w:bodyDiv w:val="1"/>
      <w:marLeft w:val="0"/>
      <w:marRight w:val="0"/>
      <w:marTop w:val="0"/>
      <w:marBottom w:val="0"/>
      <w:divBdr>
        <w:top w:val="none" w:sz="0" w:space="0" w:color="auto"/>
        <w:left w:val="none" w:sz="0" w:space="0" w:color="auto"/>
        <w:bottom w:val="none" w:sz="0" w:space="0" w:color="auto"/>
        <w:right w:val="none" w:sz="0" w:space="0" w:color="auto"/>
      </w:divBdr>
    </w:div>
    <w:div w:id="1886748454">
      <w:bodyDiv w:val="1"/>
      <w:marLeft w:val="0"/>
      <w:marRight w:val="0"/>
      <w:marTop w:val="0"/>
      <w:marBottom w:val="0"/>
      <w:divBdr>
        <w:top w:val="none" w:sz="0" w:space="0" w:color="auto"/>
        <w:left w:val="none" w:sz="0" w:space="0" w:color="auto"/>
        <w:bottom w:val="none" w:sz="0" w:space="0" w:color="auto"/>
        <w:right w:val="none" w:sz="0" w:space="0" w:color="auto"/>
      </w:divBdr>
    </w:div>
    <w:div w:id="18947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cpuc.ca.gov/apex/f?p=401:56:0::NO:RP,57,RIR:P5_PROCEEDING_SELECT:A2005010"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dcompliance@cpuc.ca.gov" TargetMode="External"/><Relationship Id="rId7" Type="http://schemas.openxmlformats.org/officeDocument/2006/relationships/endnotes" Target="endnotes.xml"/><Relationship Id="rId12" Type="http://schemas.openxmlformats.org/officeDocument/2006/relationships/hyperlink" Target="http://www.cpuc.ca.gov"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c.ca.gov/General.aspx?id=6442465774"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cdcompliance@cpuc.ca.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dcompliance@cpuc.ca.gov" TargetMode="External"/><Relationship Id="rId14" Type="http://schemas.openxmlformats.org/officeDocument/2006/relationships/header" Target="header2.xml"/><Relationship Id="rId22" Type="http://schemas.openxmlformats.org/officeDocument/2006/relationships/hyperlink" Target="mailto:cdcompliance@cpuc.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1856-5038-4EA2-8408-47033EEF28B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5583</ap:Words>
  <ap:Characters>31825</ap:Characters>
  <ap:Application>Microsoft Office Word</ap:Application>
  <ap:DocSecurity>0</ap:DocSecurity>
  <ap:Lines>265</ap:Lines>
  <ap:Paragraphs>74</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37334</ap:CharactersWithSpaces>
  <ap:SharedDoc>false</ap:SharedDoc>
  <ap:HLinks>
    <vt:vector baseType="variant" size="102">
      <vt:variant>
        <vt:i4>1048685</vt:i4>
      </vt:variant>
      <vt:variant>
        <vt:i4>18</vt:i4>
      </vt:variant>
      <vt:variant>
        <vt:i4>0</vt:i4>
      </vt:variant>
      <vt:variant>
        <vt:i4>5</vt:i4>
      </vt:variant>
      <vt:variant>
        <vt:lpwstr>mailto:cdcompliance@cpuc.ca.gov</vt:lpwstr>
      </vt:variant>
      <vt:variant>
        <vt:lpwstr/>
      </vt:variant>
      <vt:variant>
        <vt:i4>1048685</vt:i4>
      </vt:variant>
      <vt:variant>
        <vt:i4>15</vt:i4>
      </vt:variant>
      <vt:variant>
        <vt:i4>0</vt:i4>
      </vt:variant>
      <vt:variant>
        <vt:i4>5</vt:i4>
      </vt:variant>
      <vt:variant>
        <vt:lpwstr>mailto:cdcompliance@cpuc.ca.gov</vt:lpwstr>
      </vt:variant>
      <vt:variant>
        <vt:lpwstr/>
      </vt:variant>
      <vt:variant>
        <vt:i4>6488161</vt:i4>
      </vt:variant>
      <vt:variant>
        <vt:i4>12</vt:i4>
      </vt:variant>
      <vt:variant>
        <vt:i4>0</vt:i4>
      </vt:variant>
      <vt:variant>
        <vt:i4>5</vt:i4>
      </vt:variant>
      <vt:variant>
        <vt:lpwstr>http://www.cpuc.ca.gov/</vt:lpwstr>
      </vt:variant>
      <vt:variant>
        <vt:lpwstr/>
      </vt:variant>
      <vt:variant>
        <vt:i4>7667809</vt:i4>
      </vt:variant>
      <vt:variant>
        <vt:i4>9</vt:i4>
      </vt:variant>
      <vt:variant>
        <vt:i4>0</vt:i4>
      </vt:variant>
      <vt:variant>
        <vt:i4>5</vt:i4>
      </vt:variant>
      <vt:variant>
        <vt:lpwstr>https://www.cpuc.ca.gov/General.aspx?id=6442465774</vt:lpwstr>
      </vt:variant>
      <vt:variant>
        <vt:lpwstr/>
      </vt:variant>
      <vt:variant>
        <vt:i4>1048685</vt:i4>
      </vt:variant>
      <vt:variant>
        <vt:i4>6</vt:i4>
      </vt:variant>
      <vt:variant>
        <vt:i4>0</vt:i4>
      </vt:variant>
      <vt:variant>
        <vt:i4>5</vt:i4>
      </vt:variant>
      <vt:variant>
        <vt:lpwstr>mailto:cdcompliance@cpuc.ca.gov</vt:lpwstr>
      </vt:variant>
      <vt:variant>
        <vt:lpwstr/>
      </vt:variant>
      <vt:variant>
        <vt:i4>1048685</vt:i4>
      </vt:variant>
      <vt:variant>
        <vt:i4>3</vt:i4>
      </vt:variant>
      <vt:variant>
        <vt:i4>0</vt:i4>
      </vt:variant>
      <vt:variant>
        <vt:i4>5</vt:i4>
      </vt:variant>
      <vt:variant>
        <vt:lpwstr>mailto:cdcompliance@cpuc.ca.gov</vt:lpwstr>
      </vt:variant>
      <vt:variant>
        <vt:lpwstr/>
      </vt:variant>
      <vt:variant>
        <vt:i4>5373978</vt:i4>
      </vt:variant>
      <vt:variant>
        <vt:i4>0</vt:i4>
      </vt:variant>
      <vt:variant>
        <vt:i4>0</vt:i4>
      </vt:variant>
      <vt:variant>
        <vt:i4>5</vt:i4>
      </vt:variant>
      <vt:variant>
        <vt:lpwstr>https://apps.cpuc.ca.gov/apex/f?p=401:56:0::NO:RP,57,RIR:P5_PROCEEDING_SELECT:A2005010</vt:lpwstr>
      </vt:variant>
      <vt:variant>
        <vt:lpwstr/>
      </vt:variant>
      <vt:variant>
        <vt:i4>7143489</vt:i4>
      </vt:variant>
      <vt:variant>
        <vt:i4>27</vt:i4>
      </vt:variant>
      <vt:variant>
        <vt:i4>0</vt:i4>
      </vt:variant>
      <vt:variant>
        <vt:i4>5</vt:i4>
      </vt:variant>
      <vt:variant>
        <vt:lpwstr>mailto:michaela.pangilinan@cpuc.ca.gov</vt:lpwstr>
      </vt:variant>
      <vt:variant>
        <vt:lpwstr/>
      </vt:variant>
      <vt:variant>
        <vt:i4>2818123</vt:i4>
      </vt:variant>
      <vt:variant>
        <vt:i4>24</vt:i4>
      </vt:variant>
      <vt:variant>
        <vt:i4>0</vt:i4>
      </vt:variant>
      <vt:variant>
        <vt:i4>5</vt:i4>
      </vt:variant>
      <vt:variant>
        <vt:lpwstr>mailto:llela.tan-walsh@cpuc.ca.gov</vt:lpwstr>
      </vt:variant>
      <vt:variant>
        <vt:lpwstr/>
      </vt:variant>
      <vt:variant>
        <vt:i4>7143489</vt:i4>
      </vt:variant>
      <vt:variant>
        <vt:i4>21</vt:i4>
      </vt:variant>
      <vt:variant>
        <vt:i4>0</vt:i4>
      </vt:variant>
      <vt:variant>
        <vt:i4>5</vt:i4>
      </vt:variant>
      <vt:variant>
        <vt:lpwstr>mailto:michaela.pangilinan@cpuc.ca.gov</vt:lpwstr>
      </vt:variant>
      <vt:variant>
        <vt:lpwstr/>
      </vt:variant>
      <vt:variant>
        <vt:i4>2818123</vt:i4>
      </vt:variant>
      <vt:variant>
        <vt:i4>18</vt:i4>
      </vt:variant>
      <vt:variant>
        <vt:i4>0</vt:i4>
      </vt:variant>
      <vt:variant>
        <vt:i4>5</vt:i4>
      </vt:variant>
      <vt:variant>
        <vt:lpwstr>mailto:llela.tan-walsh@cpuc.ca.gov</vt:lpwstr>
      </vt:variant>
      <vt:variant>
        <vt:lpwstr/>
      </vt:variant>
      <vt:variant>
        <vt:i4>7143489</vt:i4>
      </vt:variant>
      <vt:variant>
        <vt:i4>15</vt:i4>
      </vt:variant>
      <vt:variant>
        <vt:i4>0</vt:i4>
      </vt:variant>
      <vt:variant>
        <vt:i4>5</vt:i4>
      </vt:variant>
      <vt:variant>
        <vt:lpwstr>mailto:michaela.pangilinan@cpuc.ca.gov</vt:lpwstr>
      </vt:variant>
      <vt:variant>
        <vt:lpwstr/>
      </vt:variant>
      <vt:variant>
        <vt:i4>2818123</vt:i4>
      </vt:variant>
      <vt:variant>
        <vt:i4>12</vt:i4>
      </vt:variant>
      <vt:variant>
        <vt:i4>0</vt:i4>
      </vt:variant>
      <vt:variant>
        <vt:i4>5</vt:i4>
      </vt:variant>
      <vt:variant>
        <vt:lpwstr>mailto:llela.tan-walsh@cpuc.ca.gov</vt:lpwstr>
      </vt:variant>
      <vt:variant>
        <vt:lpwstr/>
      </vt:variant>
      <vt:variant>
        <vt:i4>7143489</vt:i4>
      </vt:variant>
      <vt:variant>
        <vt:i4>9</vt:i4>
      </vt:variant>
      <vt:variant>
        <vt:i4>0</vt:i4>
      </vt:variant>
      <vt:variant>
        <vt:i4>5</vt:i4>
      </vt:variant>
      <vt:variant>
        <vt:lpwstr>mailto:michaela.pangilinan@cpuc.ca.gov</vt:lpwstr>
      </vt:variant>
      <vt:variant>
        <vt:lpwstr/>
      </vt:variant>
      <vt:variant>
        <vt:i4>6553685</vt:i4>
      </vt:variant>
      <vt:variant>
        <vt:i4>6</vt:i4>
      </vt:variant>
      <vt:variant>
        <vt:i4>0</vt:i4>
      </vt:variant>
      <vt:variant>
        <vt:i4>5</vt:i4>
      </vt:variant>
      <vt:variant>
        <vt:lpwstr>mailto:Gregory.Rubenstein@cpuc.ca.gov</vt:lpwstr>
      </vt:variant>
      <vt:variant>
        <vt:lpwstr/>
      </vt:variant>
      <vt:variant>
        <vt:i4>6553685</vt:i4>
      </vt:variant>
      <vt:variant>
        <vt:i4>3</vt:i4>
      </vt:variant>
      <vt:variant>
        <vt:i4>0</vt:i4>
      </vt:variant>
      <vt:variant>
        <vt:i4>5</vt:i4>
      </vt:variant>
      <vt:variant>
        <vt:lpwstr>mailto:Gregory.Rubenstein@cpuc.ca.gov</vt:lpwstr>
      </vt:variant>
      <vt:variant>
        <vt:lpwstr/>
      </vt:variant>
      <vt:variant>
        <vt:i4>6553685</vt:i4>
      </vt:variant>
      <vt:variant>
        <vt:i4>0</vt:i4>
      </vt:variant>
      <vt:variant>
        <vt:i4>0</vt:i4>
      </vt:variant>
      <vt:variant>
        <vt:i4>5</vt:i4>
      </vt:variant>
      <vt:variant>
        <vt:lpwstr>mailto:Gregory.Rubenstein@cpuc.ca.gov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2021-02-24T22:56:00Z</cp:lastPrinted>
  <dcterms:created xsi:type="dcterms:W3CDTF">2021-07-16T15:46:53Z</dcterms:created>
  <dcterms:modified xsi:type="dcterms:W3CDTF">2021-07-16T15:46:53Z</dcterms:modified>
</cp:coreProperties>
</file>