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77777777">
      <w:pPr>
        <w:pStyle w:val="titlebar"/>
        <w:rPr>
          <w:sz w:val="24"/>
        </w:rPr>
      </w:pPr>
      <w:r>
        <w:rPr>
          <w:sz w:val="24"/>
        </w:rPr>
        <w:t>PUBLIC UTILITIES COMMISSION OF THE STATE OF CALIFORNIA</w:t>
      </w:r>
    </w:p>
    <w:p w:rsidR="00CF17DE" w:rsidRDefault="00CF17DE" w14:paraId="5E624470" w14:textId="77777777">
      <w:pPr>
        <w:suppressAutoHyphens/>
      </w:pPr>
    </w:p>
    <w:p w:rsidR="001643FA" w:rsidP="001643FA" w:rsidRDefault="001643FA" w14:paraId="43312557" w14:textId="16E10ACF">
      <w:pPr>
        <w:suppressAutoHyphens/>
        <w:rPr>
          <w:b/>
          <w:bCs/>
          <w:sz w:val="24"/>
          <w:szCs w:val="24"/>
        </w:rPr>
      </w:pP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Agenda ID: 19688</w:t>
      </w:r>
    </w:p>
    <w:p w:rsidR="001643FA" w:rsidP="001643FA" w:rsidRDefault="001643FA" w14:paraId="4F7249A7" w14:textId="77777777">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RESOLUTION E-5038</w:t>
      </w:r>
    </w:p>
    <w:p w:rsidR="001643FA" w:rsidP="001643FA" w:rsidRDefault="001643FA" w14:paraId="6E807DB5" w14:textId="77777777">
      <w:pPr>
        <w:tabs>
          <w:tab w:val="right" w:pos="8910"/>
        </w:tabs>
        <w:ind w:left="1440" w:firstLine="720"/>
        <w:rPr>
          <w:b/>
          <w:sz w:val="24"/>
        </w:rPr>
      </w:pPr>
      <w:r>
        <w:rPr>
          <w:b/>
          <w:sz w:val="24"/>
        </w:rPr>
        <w:t xml:space="preserve">                                                                        August 19, 2021</w:t>
      </w:r>
    </w:p>
    <w:p w:rsidR="00CF17DE" w:rsidRDefault="00CF17DE" w14:paraId="061A7957" w14:textId="77777777">
      <w:pPr>
        <w:tabs>
          <w:tab w:val="right" w:pos="8910"/>
        </w:tabs>
        <w:ind w:left="1440" w:firstLine="720"/>
        <w:rPr>
          <w:b/>
          <w:sz w:val="24"/>
        </w:rPr>
      </w:pPr>
    </w:p>
    <w:p w:rsidR="00CF17DE" w:rsidRDefault="00CF17DE" w14:paraId="40ADBA19" w14:textId="19FE9F35">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5587FCBE">
      <w:pPr>
        <w:pStyle w:val="Res-Caption"/>
      </w:pPr>
      <w:r>
        <w:t>Resolution E</w:t>
      </w:r>
      <w:r w:rsidR="00591284">
        <w:t xml:space="preserve"> </w:t>
      </w:r>
      <w:r>
        <w:t>-</w:t>
      </w:r>
      <w:r w:rsidR="00591284">
        <w:t>5038</w:t>
      </w:r>
      <w:r>
        <w:t xml:space="preserve">.  </w:t>
      </w:r>
      <w:r w:rsidR="00591284">
        <w:t>Approval, with Modifications, of Rule 21 Telemetry Requirements Proposed in Compliance with Decision 19-03-013</w:t>
      </w:r>
      <w:r w:rsidR="00A37391">
        <w:t>.</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4461AD" w:rsidR="00142FB8" w:rsidP="00DF35CC" w:rsidRDefault="008F0420" w14:paraId="6EF53595" w14:textId="20E35144">
      <w:pPr>
        <w:pStyle w:val="Res-Caption"/>
        <w:numPr>
          <w:ilvl w:val="0"/>
          <w:numId w:val="7"/>
        </w:numPr>
        <w:rPr>
          <w:szCs w:val="26"/>
        </w:rPr>
      </w:pPr>
      <w:r w:rsidRPr="004461AD">
        <w:rPr>
          <w:szCs w:val="26"/>
        </w:rPr>
        <w:t>Approves</w:t>
      </w:r>
      <w:r w:rsidRPr="004461AD" w:rsidR="00AF2AFB">
        <w:rPr>
          <w:szCs w:val="26"/>
        </w:rPr>
        <w:t>,</w:t>
      </w:r>
      <w:r w:rsidRPr="004461AD">
        <w:rPr>
          <w:szCs w:val="26"/>
        </w:rPr>
        <w:t xml:space="preserve"> with modification</w:t>
      </w:r>
      <w:r w:rsidRPr="004461AD" w:rsidR="00AF2AFB">
        <w:rPr>
          <w:szCs w:val="26"/>
        </w:rPr>
        <w:t xml:space="preserve">s, </w:t>
      </w:r>
      <w:r w:rsidRPr="004461AD" w:rsidR="00B101F7">
        <w:rPr>
          <w:szCs w:val="26"/>
        </w:rPr>
        <w:t xml:space="preserve">Pacific Gas and Electric Company (PG&amp;E) </w:t>
      </w:r>
      <w:r w:rsidRPr="004461AD" w:rsidR="00477643">
        <w:rPr>
          <w:szCs w:val="26"/>
        </w:rPr>
        <w:t xml:space="preserve">Advice Letter (AL) </w:t>
      </w:r>
      <w:r w:rsidRPr="004461AD" w:rsidR="00C81A90">
        <w:rPr>
          <w:szCs w:val="26"/>
        </w:rPr>
        <w:t>5595-E</w:t>
      </w:r>
      <w:r w:rsidRPr="004461AD" w:rsidR="00477643">
        <w:rPr>
          <w:szCs w:val="26"/>
        </w:rPr>
        <w:t xml:space="preserve">, </w:t>
      </w:r>
      <w:r w:rsidRPr="004461AD" w:rsidR="00B101F7">
        <w:rPr>
          <w:szCs w:val="26"/>
        </w:rPr>
        <w:t xml:space="preserve">Southern California Edison Company (SCE) AL </w:t>
      </w:r>
      <w:r w:rsidRPr="004461AD" w:rsidR="00635669">
        <w:rPr>
          <w:szCs w:val="26"/>
        </w:rPr>
        <w:t>4044-E</w:t>
      </w:r>
      <w:r w:rsidRPr="004461AD" w:rsidR="00B101F7">
        <w:rPr>
          <w:szCs w:val="26"/>
        </w:rPr>
        <w:t xml:space="preserve">, and </w:t>
      </w:r>
      <w:r w:rsidRPr="004461AD" w:rsidR="00477643">
        <w:rPr>
          <w:szCs w:val="26"/>
        </w:rPr>
        <w:t>San Diego Gas &amp; Electric Company (SDG&amp;E) AL 3</w:t>
      </w:r>
      <w:r w:rsidRPr="004461AD" w:rsidR="00C47248">
        <w:rPr>
          <w:szCs w:val="26"/>
        </w:rPr>
        <w:t>407</w:t>
      </w:r>
      <w:r w:rsidRPr="004461AD" w:rsidR="00477643">
        <w:rPr>
          <w:szCs w:val="26"/>
        </w:rPr>
        <w:t>-E</w:t>
      </w:r>
      <w:r w:rsidRPr="004461AD" w:rsidR="00D16551">
        <w:rPr>
          <w:szCs w:val="26"/>
        </w:rPr>
        <w:t xml:space="preserve"> to </w:t>
      </w:r>
      <w:r w:rsidRPr="004461AD" w:rsidR="00C06D6C">
        <w:rPr>
          <w:szCs w:val="26"/>
        </w:rPr>
        <w:t xml:space="preserve">update </w:t>
      </w:r>
      <w:r w:rsidRPr="004461AD" w:rsidR="00537DCE">
        <w:rPr>
          <w:szCs w:val="26"/>
        </w:rPr>
        <w:t>telemetry</w:t>
      </w:r>
      <w:r w:rsidRPr="004461AD" w:rsidR="00C06D6C">
        <w:rPr>
          <w:szCs w:val="26"/>
        </w:rPr>
        <w:t xml:space="preserve"> requirements </w:t>
      </w:r>
      <w:r w:rsidRPr="004461AD" w:rsidR="00574348">
        <w:rPr>
          <w:szCs w:val="26"/>
        </w:rPr>
        <w:t xml:space="preserve">within </w:t>
      </w:r>
      <w:r w:rsidRPr="00B92660" w:rsidR="00574348">
        <w:rPr>
          <w:szCs w:val="26"/>
        </w:rPr>
        <w:t>Electric Rule 21, Generating Facility Interconnections</w:t>
      </w:r>
      <w:r w:rsidR="00574348">
        <w:rPr>
          <w:szCs w:val="26"/>
        </w:rPr>
        <w:t>,</w:t>
      </w:r>
      <w:r w:rsidRPr="004461AD" w:rsidR="00574348">
        <w:rPr>
          <w:szCs w:val="26"/>
        </w:rPr>
        <w:t xml:space="preserve"> </w:t>
      </w:r>
      <w:r w:rsidRPr="004461AD" w:rsidR="00C06D6C">
        <w:rPr>
          <w:szCs w:val="26"/>
        </w:rPr>
        <w:t xml:space="preserve">pursuant to </w:t>
      </w:r>
      <w:r w:rsidRPr="00B92660" w:rsidR="00537DCE">
        <w:rPr>
          <w:szCs w:val="26"/>
        </w:rPr>
        <w:t>Decision 19-03-013</w:t>
      </w:r>
      <w:r w:rsidR="00537DCE">
        <w:rPr>
          <w:szCs w:val="26"/>
        </w:rPr>
        <w:t>.</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4461AD" w:rsidR="00142FB8" w:rsidP="00142FB8" w:rsidRDefault="003B7233" w14:paraId="7D3E9E52" w14:textId="607F65B4">
      <w:pPr>
        <w:pStyle w:val="Res-Caption"/>
        <w:numPr>
          <w:ilvl w:val="0"/>
          <w:numId w:val="6"/>
        </w:numPr>
        <w:rPr>
          <w:szCs w:val="26"/>
        </w:rPr>
      </w:pPr>
      <w:r w:rsidRPr="004461AD">
        <w:rPr>
          <w:szCs w:val="26"/>
        </w:rPr>
        <w:t>There are no safety considerations associated with this resolution</w:t>
      </w:r>
      <w:r w:rsidRPr="004461AD" w:rsidR="008F0420">
        <w:rPr>
          <w:szCs w:val="26"/>
        </w:rPr>
        <w:t>.</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3F6E5A" w:rsidRDefault="00DD4E2D" w14:paraId="044D008F" w14:textId="679ACD1B">
      <w:pPr>
        <w:pStyle w:val="Res-Caption"/>
        <w:numPr>
          <w:ilvl w:val="0"/>
          <w:numId w:val="6"/>
        </w:numPr>
      </w:pPr>
      <w:r w:rsidRPr="00B92660">
        <w:rPr>
          <w:szCs w:val="26"/>
        </w:rPr>
        <w:t>There are no costs associated with this resolution.</w:t>
      </w:r>
    </w:p>
    <w:p w:rsidR="00CF17DE" w:rsidRDefault="00CF17DE" w14:paraId="414B5F5B" w14:textId="77777777">
      <w:pPr>
        <w:pStyle w:val="Res-Caption"/>
      </w:pPr>
    </w:p>
    <w:p w:rsidR="00CF17DE" w:rsidRDefault="00CF17DE" w14:paraId="0395FC4E" w14:textId="233EF680">
      <w:pPr>
        <w:pStyle w:val="Res-Caption"/>
      </w:pPr>
      <w:r>
        <w:t>By Advice Letter</w:t>
      </w:r>
      <w:r w:rsidR="00591284">
        <w:t xml:space="preserve">s 5595-E, 4044-E, and 3407-E, </w:t>
      </w:r>
      <w:r>
        <w:t xml:space="preserve">Filed on </w:t>
      </w:r>
      <w:r w:rsidR="00591284">
        <w:t>July 26, 2019</w:t>
      </w:r>
      <w:r w:rsidR="00BF7D49">
        <w:t>.</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00CB6FA1" w:rsidRDefault="00CF17DE" w14:paraId="56862791" w14:textId="21806E6E">
      <w:pPr>
        <w:rPr>
          <w:szCs w:val="26"/>
        </w:rPr>
      </w:pPr>
      <w:r>
        <w:t xml:space="preserve">This Resolution </w:t>
      </w:r>
      <w:r w:rsidR="00503783">
        <w:t>approves</w:t>
      </w:r>
      <w:r w:rsidR="00AF577B">
        <w:t xml:space="preserve"> </w:t>
      </w:r>
      <w:r w:rsidR="00E42760">
        <w:t xml:space="preserve">maintaining the </w:t>
      </w:r>
      <w:r w:rsidR="00D80B00">
        <w:t xml:space="preserve">threshold for requiring telemetry </w:t>
      </w:r>
      <w:r w:rsidR="0021781A">
        <w:t>for projects size</w:t>
      </w:r>
      <w:r w:rsidR="0041259F">
        <w:t>d</w:t>
      </w:r>
      <w:r w:rsidR="0021781A">
        <w:t xml:space="preserve"> </w:t>
      </w:r>
      <w:r w:rsidR="006E44BB">
        <w:t>one (</w:t>
      </w:r>
      <w:r w:rsidR="00D80B00">
        <w:t>1</w:t>
      </w:r>
      <w:r w:rsidR="006E44BB">
        <w:t>)</w:t>
      </w:r>
      <w:r w:rsidR="00D80B00">
        <w:t xml:space="preserve"> </w:t>
      </w:r>
      <w:r w:rsidRPr="003B0094" w:rsidR="00412B06">
        <w:rPr>
          <w:szCs w:val="26"/>
        </w:rPr>
        <w:t>megawatt (</w:t>
      </w:r>
      <w:r w:rsidRPr="003B0094" w:rsidR="00E07A1D">
        <w:rPr>
          <w:szCs w:val="26"/>
        </w:rPr>
        <w:t>MW)</w:t>
      </w:r>
      <w:r w:rsidR="00E07A1D">
        <w:rPr>
          <w:szCs w:val="26"/>
        </w:rPr>
        <w:t xml:space="preserve"> </w:t>
      </w:r>
      <w:r w:rsidR="00E07A1D">
        <w:t>or</w:t>
      </w:r>
      <w:r w:rsidR="00996FDE">
        <w:t xml:space="preserve"> greater</w:t>
      </w:r>
      <w:r w:rsidR="00D80B00">
        <w:t xml:space="preserve">, </w:t>
      </w:r>
      <w:r w:rsidR="00CF4C84">
        <w:t>require</w:t>
      </w:r>
      <w:r w:rsidR="0015730C">
        <w:t>s</w:t>
      </w:r>
      <w:r w:rsidR="00CF4C84">
        <w:t xml:space="preserve"> the implementation of certain technical requirements</w:t>
      </w:r>
      <w:r w:rsidR="00CD1275">
        <w:t xml:space="preserve"> for telemetry, and direct</w:t>
      </w:r>
      <w:r w:rsidR="0015730C">
        <w:t>s</w:t>
      </w:r>
      <w:r w:rsidR="00CD1275">
        <w:t xml:space="preserve"> </w:t>
      </w:r>
      <w:r w:rsidRPr="00670BB8" w:rsidR="00CD1275">
        <w:rPr>
          <w:szCs w:val="26"/>
        </w:rPr>
        <w:t xml:space="preserve">Pacific Gas and Electric Company (PG&amp;E), San Diego Gas &amp; Electric Company (SDG&amp;E), and Southern California Edison Company (SCE) (jointly, the Utilities) </w:t>
      </w:r>
      <w:r w:rsidR="00CB6FA1">
        <w:rPr>
          <w:szCs w:val="26"/>
        </w:rPr>
        <w:t xml:space="preserve">to continue development of a telemetry solution using the IEEE 2030.5 communications standards. </w:t>
      </w:r>
    </w:p>
    <w:p w:rsidR="00CB6FA1" w:rsidRDefault="00CB6FA1" w14:paraId="2CCD90DC" w14:textId="77777777">
      <w:pPr>
        <w:rPr>
          <w:szCs w:val="26"/>
        </w:rPr>
      </w:pPr>
    </w:p>
    <w:p w:rsidR="00B97885" w:rsidRDefault="00021169" w14:paraId="18C3F414" w14:textId="1A28E36B">
      <w:pPr>
        <w:rPr>
          <w:szCs w:val="26"/>
        </w:rPr>
      </w:pPr>
      <w:r>
        <w:lastRenderedPageBreak/>
        <w:t>In accordance with Decision (D.) 19-03-013</w:t>
      </w:r>
      <w:r w:rsidR="00DD0704">
        <w:rPr>
          <w:rStyle w:val="FootnoteReference"/>
        </w:rPr>
        <w:footnoteReference w:id="2"/>
      </w:r>
      <w:r w:rsidR="00BC63D2">
        <w:t xml:space="preserve"> Ordering Paragraph 9, </w:t>
      </w:r>
      <w:r w:rsidRPr="00670BB8" w:rsidR="005E7541">
        <w:rPr>
          <w:szCs w:val="26"/>
        </w:rPr>
        <w:t xml:space="preserve">PG&amp;E filed </w:t>
      </w:r>
      <w:r w:rsidR="00DA41B0">
        <w:rPr>
          <w:szCs w:val="26"/>
        </w:rPr>
        <w:t>Advice Letter (</w:t>
      </w:r>
      <w:r w:rsidRPr="00670BB8" w:rsidR="005E7541">
        <w:rPr>
          <w:szCs w:val="26"/>
        </w:rPr>
        <w:t>AL</w:t>
      </w:r>
      <w:r w:rsidR="00DA41B0">
        <w:rPr>
          <w:szCs w:val="26"/>
        </w:rPr>
        <w:t>)</w:t>
      </w:r>
      <w:r w:rsidRPr="00670BB8" w:rsidR="005E7541">
        <w:rPr>
          <w:szCs w:val="26"/>
        </w:rPr>
        <w:t xml:space="preserve"> </w:t>
      </w:r>
      <w:r w:rsidR="005E7541">
        <w:t>5595</w:t>
      </w:r>
      <w:r w:rsidRPr="00670BB8" w:rsidR="005E7541">
        <w:rPr>
          <w:szCs w:val="26"/>
        </w:rPr>
        <w:t>-E</w:t>
      </w:r>
      <w:r w:rsidR="005E7541">
        <w:rPr>
          <w:szCs w:val="26"/>
        </w:rPr>
        <w:t>,</w:t>
      </w:r>
      <w:r w:rsidRPr="00670BB8" w:rsidR="005E7541">
        <w:rPr>
          <w:szCs w:val="26"/>
        </w:rPr>
        <w:t xml:space="preserve"> SCE filed AL </w:t>
      </w:r>
      <w:r w:rsidR="005E7541">
        <w:t>4044</w:t>
      </w:r>
      <w:r w:rsidRPr="00670BB8" w:rsidR="005E7541">
        <w:rPr>
          <w:szCs w:val="26"/>
        </w:rPr>
        <w:t xml:space="preserve">-E, </w:t>
      </w:r>
      <w:r w:rsidR="005E7541">
        <w:rPr>
          <w:szCs w:val="26"/>
        </w:rPr>
        <w:t xml:space="preserve">and </w:t>
      </w:r>
      <w:r w:rsidRPr="00670BB8" w:rsidR="005E7541">
        <w:rPr>
          <w:szCs w:val="26"/>
        </w:rPr>
        <w:t xml:space="preserve">SDG&amp;E filed AL </w:t>
      </w:r>
      <w:r w:rsidR="005E7541">
        <w:t>3407</w:t>
      </w:r>
      <w:r w:rsidRPr="00670BB8" w:rsidR="005E7541">
        <w:rPr>
          <w:szCs w:val="26"/>
        </w:rPr>
        <w:t>-E</w:t>
      </w:r>
      <w:r w:rsidR="00724FBB">
        <w:rPr>
          <w:szCs w:val="26"/>
        </w:rPr>
        <w:t xml:space="preserve">. </w:t>
      </w:r>
      <w:r w:rsidR="001F0AF0">
        <w:rPr>
          <w:szCs w:val="26"/>
        </w:rPr>
        <w:t xml:space="preserve">In their filings, </w:t>
      </w:r>
      <w:r w:rsidR="001F0AF0">
        <w:t>t</w:t>
      </w:r>
      <w:r w:rsidR="00494966">
        <w:t>he</w:t>
      </w:r>
      <w:r w:rsidR="00494966">
        <w:rPr>
          <w:szCs w:val="26"/>
        </w:rPr>
        <w:t xml:space="preserve"> Utilities compare</w:t>
      </w:r>
      <w:r w:rsidR="00443B72">
        <w:rPr>
          <w:szCs w:val="26"/>
        </w:rPr>
        <w:t>d</w:t>
      </w:r>
      <w:r w:rsidR="00494966">
        <w:rPr>
          <w:szCs w:val="26"/>
        </w:rPr>
        <w:t xml:space="preserve"> telemetry options, indicate</w:t>
      </w:r>
      <w:r w:rsidR="0015730C">
        <w:rPr>
          <w:szCs w:val="26"/>
        </w:rPr>
        <w:t>d</w:t>
      </w:r>
      <w:r w:rsidR="00494966">
        <w:rPr>
          <w:szCs w:val="26"/>
        </w:rPr>
        <w:t xml:space="preserve"> whether these options would result in utility costs less than $20,000, and </w:t>
      </w:r>
      <w:r w:rsidR="0015730C">
        <w:rPr>
          <w:szCs w:val="26"/>
        </w:rPr>
        <w:t xml:space="preserve">provided conceptual </w:t>
      </w:r>
      <w:r w:rsidR="00494966">
        <w:rPr>
          <w:szCs w:val="26"/>
        </w:rPr>
        <w:t>outline</w:t>
      </w:r>
      <w:r w:rsidR="0015730C">
        <w:rPr>
          <w:szCs w:val="26"/>
        </w:rPr>
        <w:t>s</w:t>
      </w:r>
      <w:r w:rsidR="00494966">
        <w:rPr>
          <w:szCs w:val="26"/>
        </w:rPr>
        <w:t xml:space="preserve"> </w:t>
      </w:r>
      <w:r w:rsidR="00B4388E">
        <w:rPr>
          <w:szCs w:val="26"/>
        </w:rPr>
        <w:t xml:space="preserve">of </w:t>
      </w:r>
      <w:r w:rsidR="00BF7E4D">
        <w:rPr>
          <w:szCs w:val="26"/>
        </w:rPr>
        <w:t>benefits resulting from</w:t>
      </w:r>
      <w:r w:rsidR="00494966">
        <w:rPr>
          <w:szCs w:val="26"/>
        </w:rPr>
        <w:t xml:space="preserve"> telemetry</w:t>
      </w:r>
      <w:r w:rsidR="00570775">
        <w:rPr>
          <w:szCs w:val="26"/>
        </w:rPr>
        <w:t xml:space="preserve">.  </w:t>
      </w:r>
      <w:r w:rsidR="00DA5C28">
        <w:rPr>
          <w:szCs w:val="26"/>
        </w:rPr>
        <w:t>However</w:t>
      </w:r>
      <w:r w:rsidR="00494966">
        <w:rPr>
          <w:szCs w:val="26"/>
        </w:rPr>
        <w:t>, they did not quantitatively or qualitatively estimate the benefits of telemetry as a means of collecting data on the distribution system.</w:t>
      </w:r>
      <w:r w:rsidR="00A65935">
        <w:rPr>
          <w:szCs w:val="26"/>
        </w:rPr>
        <w:t xml:space="preserve"> </w:t>
      </w:r>
      <w:r w:rsidR="00CF0EF6">
        <w:rPr>
          <w:szCs w:val="26"/>
        </w:rPr>
        <w:t xml:space="preserve">The </w:t>
      </w:r>
      <w:r w:rsidR="001F0AF0">
        <w:rPr>
          <w:szCs w:val="26"/>
        </w:rPr>
        <w:t xml:space="preserve">CPUC hereby </w:t>
      </w:r>
      <w:r w:rsidR="00C810A0">
        <w:rPr>
          <w:szCs w:val="26"/>
        </w:rPr>
        <w:t>denies</w:t>
      </w:r>
      <w:r w:rsidR="001C63BD">
        <w:rPr>
          <w:szCs w:val="26"/>
        </w:rPr>
        <w:t xml:space="preserve"> the Utilit</w:t>
      </w:r>
      <w:r w:rsidR="001F0AF0">
        <w:rPr>
          <w:szCs w:val="26"/>
        </w:rPr>
        <w:t>ies’</w:t>
      </w:r>
      <w:r w:rsidR="001C63BD">
        <w:rPr>
          <w:szCs w:val="26"/>
        </w:rPr>
        <w:t xml:space="preserve"> </w:t>
      </w:r>
      <w:r w:rsidR="001F0AF0">
        <w:rPr>
          <w:szCs w:val="26"/>
        </w:rPr>
        <w:t>p</w:t>
      </w:r>
      <w:r w:rsidR="001C63BD">
        <w:rPr>
          <w:szCs w:val="26"/>
        </w:rPr>
        <w:t xml:space="preserve">roposal to </w:t>
      </w:r>
      <w:r w:rsidR="006814BE">
        <w:rPr>
          <w:szCs w:val="26"/>
        </w:rPr>
        <w:t>lower the threshold for requiring telemetry from 1 M</w:t>
      </w:r>
      <w:r w:rsidR="00D162BC">
        <w:rPr>
          <w:szCs w:val="26"/>
        </w:rPr>
        <w:t xml:space="preserve">W to 250 </w:t>
      </w:r>
      <w:r w:rsidR="00E07A1D">
        <w:rPr>
          <w:szCs w:val="26"/>
        </w:rPr>
        <w:t>kilowatts (</w:t>
      </w:r>
      <w:r w:rsidR="00D162BC">
        <w:rPr>
          <w:szCs w:val="26"/>
        </w:rPr>
        <w:t>kW</w:t>
      </w:r>
      <w:r w:rsidR="00E07A1D">
        <w:rPr>
          <w:szCs w:val="26"/>
        </w:rPr>
        <w:t>)</w:t>
      </w:r>
      <w:r w:rsidR="004A5454">
        <w:rPr>
          <w:szCs w:val="26"/>
        </w:rPr>
        <w:t xml:space="preserve"> and approves the implementation </w:t>
      </w:r>
      <w:r w:rsidR="00653D27">
        <w:rPr>
          <w:szCs w:val="26"/>
        </w:rPr>
        <w:t>of</w:t>
      </w:r>
      <w:r w:rsidR="00602696">
        <w:rPr>
          <w:szCs w:val="26"/>
        </w:rPr>
        <w:t xml:space="preserve"> certain technical specifications as</w:t>
      </w:r>
      <w:r w:rsidR="005C4AE2">
        <w:rPr>
          <w:szCs w:val="26"/>
        </w:rPr>
        <w:t xml:space="preserve"> laid out in the</w:t>
      </w:r>
      <w:r w:rsidR="00602696">
        <w:rPr>
          <w:szCs w:val="26"/>
        </w:rPr>
        <w:t xml:space="preserve"> </w:t>
      </w:r>
      <w:r w:rsidRPr="00670BB8" w:rsidR="005C4AE2">
        <w:rPr>
          <w:i/>
          <w:iCs/>
          <w:szCs w:val="26"/>
        </w:rPr>
        <w:t>Working Group One Final Report</w:t>
      </w:r>
      <w:r w:rsidRPr="00670BB8" w:rsidR="005C4AE2">
        <w:rPr>
          <w:szCs w:val="26"/>
        </w:rPr>
        <w:t xml:space="preserve"> </w:t>
      </w:r>
      <w:r w:rsidR="006C1AD4">
        <w:rPr>
          <w:szCs w:val="26"/>
        </w:rPr>
        <w:t xml:space="preserve">filed </w:t>
      </w:r>
      <w:r w:rsidRPr="00670BB8" w:rsidR="005C4AE2">
        <w:rPr>
          <w:szCs w:val="26"/>
        </w:rPr>
        <w:t xml:space="preserve">on March 15, </w:t>
      </w:r>
      <w:proofErr w:type="gramStart"/>
      <w:r w:rsidRPr="00670BB8" w:rsidR="005C4AE2">
        <w:rPr>
          <w:szCs w:val="26"/>
        </w:rPr>
        <w:t>2018</w:t>
      </w:r>
      <w:proofErr w:type="gramEnd"/>
      <w:r w:rsidR="0072409C">
        <w:rPr>
          <w:szCs w:val="26"/>
        </w:rPr>
        <w:t xml:space="preserve"> in Rulemaking (R.) 17-07-007</w:t>
      </w:r>
      <w:r w:rsidR="007B0BD9">
        <w:rPr>
          <w:szCs w:val="26"/>
        </w:rPr>
        <w:t xml:space="preserve">. </w:t>
      </w:r>
      <w:r w:rsidR="00D9713A">
        <w:rPr>
          <w:szCs w:val="26"/>
        </w:rPr>
        <w:t>T</w:t>
      </w:r>
      <w:r w:rsidR="00E5231B">
        <w:t xml:space="preserve">he </w:t>
      </w:r>
      <w:r w:rsidR="001F0AF0">
        <w:t xml:space="preserve">CPUC </w:t>
      </w:r>
      <w:r w:rsidR="0049195E">
        <w:t xml:space="preserve">also </w:t>
      </w:r>
      <w:r w:rsidR="00E5231B">
        <w:t>finds that continued development of a</w:t>
      </w:r>
      <w:r w:rsidR="00B073E3">
        <w:t xml:space="preserve"> telemetry solution </w:t>
      </w:r>
      <w:r w:rsidR="00D52930">
        <w:t>using the</w:t>
      </w:r>
      <w:r w:rsidR="00E5231B">
        <w:t xml:space="preserve"> IEEE 2030.5</w:t>
      </w:r>
      <w:r w:rsidR="00D52930">
        <w:t xml:space="preserve"> communication standards</w:t>
      </w:r>
      <w:r w:rsidR="009C1CDB">
        <w:rPr>
          <w:rStyle w:val="FootnoteReference"/>
        </w:rPr>
        <w:footnoteReference w:id="3"/>
      </w:r>
      <w:r w:rsidR="00C5634C">
        <w:t xml:space="preserve"> </w:t>
      </w:r>
      <w:r w:rsidR="00E5231B">
        <w:t>is w</w:t>
      </w:r>
      <w:r w:rsidR="005859B4">
        <w:t xml:space="preserve">arranted </w:t>
      </w:r>
      <w:r w:rsidR="00E5231B">
        <w:t>and should be pursued</w:t>
      </w:r>
      <w:r w:rsidR="00D9713A">
        <w:t>.</w:t>
      </w:r>
    </w:p>
    <w:p w:rsidR="00D6494B" w:rsidRDefault="00D6494B" w14:paraId="10CEB14B" w14:textId="77777777"/>
    <w:p w:rsidR="00CF17DE" w:rsidRDefault="00CF17DE" w14:paraId="0BFDDE4C" w14:textId="77777777">
      <w:pPr>
        <w:pStyle w:val="Heading1"/>
      </w:pPr>
      <w:r>
        <w:t>Background</w:t>
      </w:r>
    </w:p>
    <w:p w:rsidRPr="00670BB8" w:rsidR="00AF5DE3" w:rsidP="00AF5DE3" w:rsidRDefault="00AF5DE3" w14:paraId="7CBB0BE7" w14:textId="77777777">
      <w:pPr>
        <w:rPr>
          <w:b/>
          <w:bCs/>
          <w:szCs w:val="26"/>
        </w:rPr>
      </w:pPr>
      <w:r w:rsidRPr="00670BB8">
        <w:rPr>
          <w:b/>
          <w:bCs/>
          <w:szCs w:val="26"/>
        </w:rPr>
        <w:t>A. Rulemaking 17-07-007 and Decision 19-03-013</w:t>
      </w:r>
    </w:p>
    <w:p w:rsidRPr="00670BB8" w:rsidR="00AF5DE3" w:rsidP="00AF5DE3" w:rsidRDefault="00AF5DE3" w14:paraId="2EC49ED9" w14:textId="2DA93E83">
      <w:pPr>
        <w:rPr>
          <w:szCs w:val="26"/>
          <w:vertAlign w:val="superscript"/>
        </w:rPr>
      </w:pPr>
      <w:r w:rsidRPr="00670BB8">
        <w:rPr>
          <w:szCs w:val="26"/>
        </w:rPr>
        <w:t xml:space="preserve">The </w:t>
      </w:r>
      <w:r w:rsidR="000A220B">
        <w:rPr>
          <w:szCs w:val="26"/>
        </w:rPr>
        <w:t>California Public Utilities Commi</w:t>
      </w:r>
      <w:r w:rsidR="00B907A1">
        <w:rPr>
          <w:szCs w:val="26"/>
        </w:rPr>
        <w:t>s</w:t>
      </w:r>
      <w:r w:rsidR="000A220B">
        <w:rPr>
          <w:szCs w:val="26"/>
        </w:rPr>
        <w:t>sion (</w:t>
      </w:r>
      <w:r>
        <w:rPr>
          <w:szCs w:val="26"/>
        </w:rPr>
        <w:t>CPUC</w:t>
      </w:r>
      <w:r w:rsidR="000A220B">
        <w:rPr>
          <w:szCs w:val="26"/>
        </w:rPr>
        <w:t>)</w:t>
      </w:r>
      <w:r w:rsidRPr="00670BB8">
        <w:rPr>
          <w:szCs w:val="26"/>
        </w:rPr>
        <w:t xml:space="preserve"> adopted the Order Instituting Rulemaking (R.) 17-07-007 to consider a variety of refinements to the interconnection of distributed energy resources under Electric Tariff Rule 21 of the Utilities and the equivalent tariff rules of the small and multi-jurisdictional electric utilities.</w:t>
      </w:r>
      <w:r w:rsidRPr="00670BB8">
        <w:rPr>
          <w:szCs w:val="26"/>
          <w:vertAlign w:val="superscript"/>
        </w:rPr>
        <w:footnoteReference w:id="4"/>
      </w:r>
    </w:p>
    <w:p w:rsidRPr="00670BB8" w:rsidR="00AF5DE3" w:rsidP="00AF5DE3" w:rsidRDefault="00AF5DE3" w14:paraId="480EB409" w14:textId="77777777">
      <w:pPr>
        <w:rPr>
          <w:szCs w:val="26"/>
          <w:vertAlign w:val="superscript"/>
        </w:rPr>
      </w:pPr>
    </w:p>
    <w:p w:rsidRPr="00670BB8" w:rsidR="00AF5DE3" w:rsidP="00AF5DE3" w:rsidRDefault="00AF5DE3" w14:paraId="771DA8DD" w14:textId="0A6719B1">
      <w:pPr>
        <w:rPr>
          <w:szCs w:val="26"/>
        </w:rPr>
      </w:pPr>
      <w:r w:rsidRPr="00670BB8">
        <w:rPr>
          <w:szCs w:val="26"/>
        </w:rPr>
        <w:t xml:space="preserve">The October 2, </w:t>
      </w:r>
      <w:proofErr w:type="gramStart"/>
      <w:r w:rsidRPr="00670BB8">
        <w:rPr>
          <w:szCs w:val="26"/>
        </w:rPr>
        <w:t>2017</w:t>
      </w:r>
      <w:proofErr w:type="gramEnd"/>
      <w:r w:rsidRPr="00670BB8">
        <w:rPr>
          <w:szCs w:val="26"/>
        </w:rPr>
        <w:t xml:space="preserve"> </w:t>
      </w:r>
      <w:r w:rsidRPr="00670BB8">
        <w:rPr>
          <w:i/>
          <w:iCs/>
          <w:szCs w:val="26"/>
        </w:rPr>
        <w:t>Scoping Memo of Assigned Commissioner and Administrative Law Judge</w:t>
      </w:r>
      <w:r w:rsidRPr="00670BB8">
        <w:rPr>
          <w:szCs w:val="26"/>
        </w:rPr>
        <w:t xml:space="preserve"> (Scoping Memo) set forth the scope and schedule of the proceeding.  The Scoping Memo also established a working group process in the proceeding </w:t>
      </w:r>
      <w:r w:rsidRPr="00670BB8">
        <w:rPr>
          <w:szCs w:val="26"/>
        </w:rPr>
        <w:lastRenderedPageBreak/>
        <w:t>whereby the scoped issues would be resolved.  The first set of issues was assigned to Working Group One and the Smart Inverter Working Group</w:t>
      </w:r>
      <w:r w:rsidR="00685D2E">
        <w:rPr>
          <w:szCs w:val="26"/>
        </w:rPr>
        <w:t>:</w:t>
      </w:r>
      <w:r w:rsidRPr="00670BB8">
        <w:rPr>
          <w:szCs w:val="26"/>
          <w:vertAlign w:val="superscript"/>
        </w:rPr>
        <w:footnoteReference w:id="5"/>
      </w:r>
    </w:p>
    <w:p w:rsidRPr="00670BB8" w:rsidR="00AF5DE3" w:rsidP="00AF5DE3" w:rsidRDefault="00AF5DE3" w14:paraId="47E42031" w14:textId="77777777">
      <w:pPr>
        <w:rPr>
          <w:szCs w:val="26"/>
        </w:rPr>
      </w:pPr>
    </w:p>
    <w:p w:rsidRPr="00670BB8" w:rsidR="00AF5DE3" w:rsidP="00AF5DE3" w:rsidRDefault="00AF5DE3" w14:paraId="15B3E606" w14:textId="77777777">
      <w:pPr>
        <w:pStyle w:val="ListParagraph"/>
        <w:numPr>
          <w:ilvl w:val="0"/>
          <w:numId w:val="11"/>
        </w:numPr>
        <w:rPr>
          <w:szCs w:val="26"/>
        </w:rPr>
      </w:pPr>
      <w:r w:rsidRPr="00670BB8">
        <w:rPr>
          <w:szCs w:val="26"/>
        </w:rPr>
        <w:t>Screen Q modifications</w:t>
      </w:r>
    </w:p>
    <w:p w:rsidRPr="00670BB8" w:rsidR="00AF5DE3" w:rsidP="00AF5DE3" w:rsidRDefault="00AF5DE3" w14:paraId="318C2F13" w14:textId="77777777">
      <w:pPr>
        <w:pStyle w:val="ListParagraph"/>
        <w:numPr>
          <w:ilvl w:val="0"/>
          <w:numId w:val="11"/>
        </w:numPr>
        <w:rPr>
          <w:szCs w:val="26"/>
        </w:rPr>
      </w:pPr>
      <w:r w:rsidRPr="00670BB8">
        <w:rPr>
          <w:szCs w:val="26"/>
        </w:rPr>
        <w:t>Complex Metering clarification</w:t>
      </w:r>
    </w:p>
    <w:p w:rsidRPr="00670BB8" w:rsidR="00AF5DE3" w:rsidP="00AF5DE3" w:rsidRDefault="00AF5DE3" w14:paraId="69F6BCE6" w14:textId="77777777">
      <w:pPr>
        <w:pStyle w:val="ListParagraph"/>
        <w:numPr>
          <w:ilvl w:val="0"/>
          <w:numId w:val="11"/>
        </w:numPr>
        <w:rPr>
          <w:szCs w:val="26"/>
        </w:rPr>
      </w:pPr>
      <w:r w:rsidRPr="00670BB8">
        <w:rPr>
          <w:szCs w:val="26"/>
        </w:rPr>
        <w:t>Material modifications</w:t>
      </w:r>
    </w:p>
    <w:p w:rsidRPr="00670BB8" w:rsidR="00AF5DE3" w:rsidP="00AF5DE3" w:rsidRDefault="00AF5DE3" w14:paraId="39B9AAF5" w14:textId="77777777">
      <w:pPr>
        <w:pStyle w:val="ListParagraph"/>
        <w:numPr>
          <w:ilvl w:val="0"/>
          <w:numId w:val="11"/>
        </w:numPr>
        <w:rPr>
          <w:szCs w:val="26"/>
        </w:rPr>
      </w:pPr>
      <w:r w:rsidRPr="00670BB8">
        <w:rPr>
          <w:szCs w:val="26"/>
        </w:rPr>
        <w:t>Telemetry modifications</w:t>
      </w:r>
    </w:p>
    <w:p w:rsidRPr="00670BB8" w:rsidR="00AF5DE3" w:rsidP="00AF5DE3" w:rsidRDefault="00AF5DE3" w14:paraId="22E045F5" w14:textId="77777777">
      <w:pPr>
        <w:pStyle w:val="ListParagraph"/>
        <w:numPr>
          <w:ilvl w:val="0"/>
          <w:numId w:val="11"/>
        </w:numPr>
        <w:rPr>
          <w:szCs w:val="26"/>
        </w:rPr>
      </w:pPr>
      <w:r w:rsidRPr="00670BB8">
        <w:rPr>
          <w:szCs w:val="26"/>
        </w:rPr>
        <w:t xml:space="preserve">Retroactive Smart </w:t>
      </w:r>
      <w:r>
        <w:rPr>
          <w:szCs w:val="26"/>
        </w:rPr>
        <w:t>Inverter</w:t>
      </w:r>
      <w:r w:rsidRPr="00670BB8">
        <w:rPr>
          <w:szCs w:val="26"/>
        </w:rPr>
        <w:t xml:space="preserve"> Activations</w:t>
      </w:r>
    </w:p>
    <w:p w:rsidRPr="00670BB8" w:rsidR="00AF5DE3" w:rsidP="00AF5DE3" w:rsidRDefault="00AF5DE3" w14:paraId="10E89063" w14:textId="77777777">
      <w:pPr>
        <w:pStyle w:val="ListParagraph"/>
        <w:numPr>
          <w:ilvl w:val="0"/>
          <w:numId w:val="11"/>
        </w:numPr>
        <w:rPr>
          <w:szCs w:val="26"/>
        </w:rPr>
      </w:pPr>
      <w:r w:rsidRPr="00670BB8">
        <w:rPr>
          <w:szCs w:val="26"/>
        </w:rPr>
        <w:t>Smart Inverter Aggregator Forms and Agreements</w:t>
      </w:r>
      <w:r w:rsidRPr="00670BB8">
        <w:rPr>
          <w:rStyle w:val="FootnoteReference"/>
          <w:szCs w:val="26"/>
        </w:rPr>
        <w:footnoteReference w:id="6"/>
      </w:r>
    </w:p>
    <w:p w:rsidRPr="00670BB8" w:rsidR="00AF5DE3" w:rsidP="00AF5DE3" w:rsidRDefault="00AF5DE3" w14:paraId="44F7EB46" w14:textId="5ABE127B">
      <w:pPr>
        <w:pStyle w:val="ListParagraph"/>
        <w:numPr>
          <w:ilvl w:val="0"/>
          <w:numId w:val="11"/>
        </w:numPr>
        <w:rPr>
          <w:szCs w:val="26"/>
        </w:rPr>
      </w:pPr>
      <w:r>
        <w:rPr>
          <w:szCs w:val="26"/>
        </w:rPr>
        <w:t>I</w:t>
      </w:r>
      <w:r w:rsidRPr="002225C1">
        <w:rPr>
          <w:szCs w:val="26"/>
        </w:rPr>
        <w:t xml:space="preserve">ncome </w:t>
      </w:r>
      <w:r>
        <w:rPr>
          <w:szCs w:val="26"/>
        </w:rPr>
        <w:t>T</w:t>
      </w:r>
      <w:r w:rsidRPr="002225C1">
        <w:rPr>
          <w:szCs w:val="26"/>
        </w:rPr>
        <w:t xml:space="preserve">ax </w:t>
      </w:r>
      <w:r>
        <w:rPr>
          <w:szCs w:val="26"/>
        </w:rPr>
        <w:t>C</w:t>
      </w:r>
      <w:r w:rsidRPr="002225C1">
        <w:rPr>
          <w:szCs w:val="26"/>
        </w:rPr>
        <w:t xml:space="preserve">omponent of </w:t>
      </w:r>
      <w:r>
        <w:rPr>
          <w:szCs w:val="26"/>
        </w:rPr>
        <w:t>C</w:t>
      </w:r>
      <w:r w:rsidRPr="002225C1">
        <w:rPr>
          <w:szCs w:val="26"/>
        </w:rPr>
        <w:t>ontribution</w:t>
      </w:r>
      <w:r w:rsidRPr="00670BB8">
        <w:rPr>
          <w:szCs w:val="26"/>
        </w:rPr>
        <w:t xml:space="preserve"> </w:t>
      </w:r>
      <w:r>
        <w:rPr>
          <w:szCs w:val="26"/>
        </w:rPr>
        <w:t xml:space="preserve">(ITCC) </w:t>
      </w:r>
      <w:r w:rsidRPr="00670BB8">
        <w:rPr>
          <w:szCs w:val="26"/>
        </w:rPr>
        <w:t>treatment</w:t>
      </w:r>
    </w:p>
    <w:p w:rsidRPr="00670BB8" w:rsidR="00AF5DE3" w:rsidP="00AF5DE3" w:rsidRDefault="00AF5DE3" w14:paraId="7609B6F1" w14:textId="77777777">
      <w:pPr>
        <w:rPr>
          <w:szCs w:val="26"/>
        </w:rPr>
      </w:pPr>
    </w:p>
    <w:p w:rsidR="00AF5DE3" w:rsidP="00AF5DE3" w:rsidRDefault="00AF5DE3" w14:paraId="6DBC2592" w14:textId="2D4A344C">
      <w:pPr>
        <w:rPr>
          <w:szCs w:val="26"/>
        </w:rPr>
      </w:pPr>
      <w:r w:rsidRPr="00670BB8">
        <w:rPr>
          <w:szCs w:val="26"/>
        </w:rPr>
        <w:t xml:space="preserve">Working Group One and the Smart Inverter Working Group began meeting on October 16, </w:t>
      </w:r>
      <w:proofErr w:type="gramStart"/>
      <w:r w:rsidRPr="00670BB8" w:rsidR="00285718">
        <w:rPr>
          <w:szCs w:val="26"/>
        </w:rPr>
        <w:t>2017</w:t>
      </w:r>
      <w:proofErr w:type="gramEnd"/>
      <w:r w:rsidR="005D567F">
        <w:rPr>
          <w:szCs w:val="26"/>
        </w:rPr>
        <w:t xml:space="preserve"> and</w:t>
      </w:r>
      <w:r w:rsidRPr="00670BB8">
        <w:rPr>
          <w:szCs w:val="26"/>
        </w:rPr>
        <w:t xml:space="preserve"> filed a </w:t>
      </w:r>
      <w:r w:rsidRPr="00670BB8">
        <w:rPr>
          <w:i/>
          <w:iCs/>
          <w:szCs w:val="26"/>
        </w:rPr>
        <w:t>Working Group One Final Report</w:t>
      </w:r>
      <w:r w:rsidRPr="00670BB8">
        <w:rPr>
          <w:szCs w:val="26"/>
        </w:rPr>
        <w:t xml:space="preserve"> on March 15, 2018 (March Report). </w:t>
      </w:r>
    </w:p>
    <w:p w:rsidR="00C04A71" w:rsidP="00AF5DE3" w:rsidRDefault="00C04A71" w14:paraId="739B1011" w14:textId="77777777">
      <w:pPr>
        <w:rPr>
          <w:szCs w:val="26"/>
        </w:rPr>
      </w:pPr>
    </w:p>
    <w:p w:rsidR="00675AAE" w:rsidP="00C57B0B" w:rsidRDefault="00C04A71" w14:paraId="329D1F74" w14:textId="1DE85D30">
      <w:pPr>
        <w:rPr>
          <w:szCs w:val="26"/>
        </w:rPr>
      </w:pPr>
      <w:r w:rsidRPr="00A17A91">
        <w:rPr>
          <w:szCs w:val="26"/>
        </w:rPr>
        <w:t>Issue 4</w:t>
      </w:r>
      <w:r>
        <w:rPr>
          <w:szCs w:val="26"/>
        </w:rPr>
        <w:t xml:space="preserve"> </w:t>
      </w:r>
      <w:r w:rsidR="00EF2452">
        <w:rPr>
          <w:szCs w:val="26"/>
        </w:rPr>
        <w:t>posed the following question:  "</w:t>
      </w:r>
      <w:r w:rsidRPr="00C57B0B" w:rsidR="00C57B0B">
        <w:rPr>
          <w:szCs w:val="26"/>
        </w:rPr>
        <w:t>As the penetration levels of distributed energy resources increase, what</w:t>
      </w:r>
      <w:r w:rsidR="00C57B0B">
        <w:rPr>
          <w:szCs w:val="26"/>
        </w:rPr>
        <w:t xml:space="preserve"> </w:t>
      </w:r>
      <w:r w:rsidRPr="00C57B0B" w:rsidR="00C57B0B">
        <w:rPr>
          <w:szCs w:val="26"/>
        </w:rPr>
        <w:t>changes to telemetry requirements should the Commission adopt to ensure</w:t>
      </w:r>
      <w:r w:rsidR="00C57B0B">
        <w:rPr>
          <w:szCs w:val="26"/>
        </w:rPr>
        <w:t xml:space="preserve"> </w:t>
      </w:r>
      <w:r w:rsidRPr="00C57B0B" w:rsidR="00C57B0B">
        <w:rPr>
          <w:szCs w:val="26"/>
        </w:rPr>
        <w:t>adequate visibility while minimizing cost</w:t>
      </w:r>
      <w:r w:rsidR="00EF2452">
        <w:rPr>
          <w:szCs w:val="26"/>
        </w:rPr>
        <w:t>?"</w:t>
      </w:r>
      <w:r>
        <w:rPr>
          <w:szCs w:val="26"/>
        </w:rPr>
        <w:t xml:space="preserve"> </w:t>
      </w:r>
      <w:r w:rsidRPr="00830078">
        <w:rPr>
          <w:szCs w:val="26"/>
        </w:rPr>
        <w:t xml:space="preserve">Telemetry, the near real-time transmittal of information from a </w:t>
      </w:r>
      <w:r>
        <w:rPr>
          <w:szCs w:val="26"/>
        </w:rPr>
        <w:t xml:space="preserve">generating </w:t>
      </w:r>
      <w:r w:rsidRPr="00830078">
        <w:rPr>
          <w:szCs w:val="26"/>
        </w:rPr>
        <w:t xml:space="preserve">resource to </w:t>
      </w:r>
      <w:r>
        <w:rPr>
          <w:szCs w:val="26"/>
        </w:rPr>
        <w:t>a</w:t>
      </w:r>
      <w:r w:rsidRPr="00830078">
        <w:rPr>
          <w:szCs w:val="26"/>
        </w:rPr>
        <w:t xml:space="preserve"> </w:t>
      </w:r>
      <w:r>
        <w:rPr>
          <w:szCs w:val="26"/>
        </w:rPr>
        <w:t>utility</w:t>
      </w:r>
      <w:r w:rsidR="0059353B">
        <w:rPr>
          <w:szCs w:val="26"/>
        </w:rPr>
        <w:t xml:space="preserve"> or grid operator</w:t>
      </w:r>
      <w:r>
        <w:rPr>
          <w:szCs w:val="26"/>
        </w:rPr>
        <w:t xml:space="preserve">, </w:t>
      </w:r>
      <w:r w:rsidRPr="00830078">
        <w:rPr>
          <w:szCs w:val="26"/>
        </w:rPr>
        <w:t xml:space="preserve">provides distribution system operators with operational awareness of </w:t>
      </w:r>
      <w:r>
        <w:rPr>
          <w:szCs w:val="26"/>
        </w:rPr>
        <w:t xml:space="preserve">DERs, which can be used to </w:t>
      </w:r>
      <w:r w:rsidRPr="00830078">
        <w:rPr>
          <w:szCs w:val="26"/>
        </w:rPr>
        <w:t>inform decisions about grid operations.</w:t>
      </w:r>
      <w:r>
        <w:rPr>
          <w:szCs w:val="26"/>
        </w:rPr>
        <w:t xml:space="preserve"> </w:t>
      </w:r>
      <w:r w:rsidRPr="001B4924">
        <w:rPr>
          <w:szCs w:val="26"/>
        </w:rPr>
        <w:t xml:space="preserve">Currently, Section J of Rule 21 requires </w:t>
      </w:r>
      <w:r>
        <w:rPr>
          <w:szCs w:val="26"/>
        </w:rPr>
        <w:t>DERs</w:t>
      </w:r>
      <w:r w:rsidRPr="001B4924">
        <w:rPr>
          <w:szCs w:val="26"/>
        </w:rPr>
        <w:t xml:space="preserve"> larger than 1 MW to provide telemetry at the </w:t>
      </w:r>
      <w:r>
        <w:rPr>
          <w:szCs w:val="26"/>
        </w:rPr>
        <w:t>DER</w:t>
      </w:r>
      <w:r w:rsidRPr="001B4924">
        <w:rPr>
          <w:szCs w:val="26"/>
        </w:rPr>
        <w:t xml:space="preserve"> owner’s expense</w:t>
      </w:r>
      <w:r w:rsidR="007C0F63">
        <w:rPr>
          <w:szCs w:val="26"/>
        </w:rPr>
        <w:t xml:space="preserve">, including both utility-related </w:t>
      </w:r>
      <w:r w:rsidR="00D72185">
        <w:rPr>
          <w:szCs w:val="26"/>
        </w:rPr>
        <w:t xml:space="preserve">costs </w:t>
      </w:r>
      <w:r w:rsidR="007C0F63">
        <w:rPr>
          <w:szCs w:val="26"/>
        </w:rPr>
        <w:t xml:space="preserve">and </w:t>
      </w:r>
      <w:r w:rsidR="00D72185">
        <w:rPr>
          <w:szCs w:val="26"/>
        </w:rPr>
        <w:t xml:space="preserve">additional </w:t>
      </w:r>
      <w:r w:rsidR="007C0F63">
        <w:rPr>
          <w:szCs w:val="26"/>
        </w:rPr>
        <w:t>customer costs,</w:t>
      </w:r>
      <w:r w:rsidRPr="001B4924">
        <w:rPr>
          <w:szCs w:val="26"/>
        </w:rPr>
        <w:t xml:space="preserve"> if </w:t>
      </w:r>
      <w:r>
        <w:rPr>
          <w:szCs w:val="26"/>
        </w:rPr>
        <w:t xml:space="preserve">no </w:t>
      </w:r>
      <w:r w:rsidRPr="001B4924">
        <w:rPr>
          <w:szCs w:val="26"/>
        </w:rPr>
        <w:t xml:space="preserve">more cost-effective option for providing the necessary data </w:t>
      </w:r>
      <w:r>
        <w:rPr>
          <w:szCs w:val="26"/>
        </w:rPr>
        <w:t xml:space="preserve">is available. </w:t>
      </w:r>
    </w:p>
    <w:p w:rsidR="00675AAE" w:rsidP="00C04A71" w:rsidRDefault="00675AAE" w14:paraId="4D1C984A" w14:textId="77777777">
      <w:pPr>
        <w:rPr>
          <w:szCs w:val="26"/>
        </w:rPr>
      </w:pPr>
    </w:p>
    <w:p w:rsidR="00C04A71" w:rsidP="00C04A71" w:rsidRDefault="006C02DA" w14:paraId="2E67EC8A" w14:textId="5E82CC6B">
      <w:pPr>
        <w:rPr>
          <w:szCs w:val="26"/>
        </w:rPr>
      </w:pPr>
      <w:r w:rsidRPr="00670BB8">
        <w:rPr>
          <w:szCs w:val="26"/>
        </w:rPr>
        <w:t xml:space="preserve">On April 5, 2019, the </w:t>
      </w:r>
      <w:r>
        <w:rPr>
          <w:szCs w:val="26"/>
        </w:rPr>
        <w:t>CPUC</w:t>
      </w:r>
      <w:r w:rsidRPr="00670BB8">
        <w:rPr>
          <w:szCs w:val="26"/>
        </w:rPr>
        <w:t xml:space="preserve"> issued D.19-03-013, </w:t>
      </w:r>
      <w:r w:rsidRPr="008169BC">
        <w:rPr>
          <w:i/>
          <w:iCs/>
          <w:szCs w:val="26"/>
        </w:rPr>
        <w:t xml:space="preserve">Decision Adopting Proposals from March 15, </w:t>
      </w:r>
      <w:proofErr w:type="gramStart"/>
      <w:r w:rsidRPr="008169BC">
        <w:rPr>
          <w:i/>
          <w:iCs/>
          <w:szCs w:val="26"/>
        </w:rPr>
        <w:t>2018</w:t>
      </w:r>
      <w:proofErr w:type="gramEnd"/>
      <w:r w:rsidRPr="008169BC">
        <w:rPr>
          <w:i/>
          <w:iCs/>
          <w:szCs w:val="26"/>
        </w:rPr>
        <w:t xml:space="preserve"> Working Group One Report</w:t>
      </w:r>
      <w:r w:rsidR="00AC365F">
        <w:rPr>
          <w:szCs w:val="26"/>
        </w:rPr>
        <w:t xml:space="preserve">, addressing </w:t>
      </w:r>
      <w:r w:rsidR="00E67C2A">
        <w:rPr>
          <w:szCs w:val="26"/>
        </w:rPr>
        <w:t xml:space="preserve">the </w:t>
      </w:r>
      <w:r w:rsidR="00C04A71">
        <w:rPr>
          <w:szCs w:val="26"/>
        </w:rPr>
        <w:t>five separate proposals</w:t>
      </w:r>
      <w:r w:rsidR="00E67C2A">
        <w:rPr>
          <w:szCs w:val="26"/>
        </w:rPr>
        <w:t xml:space="preserve"> to Issue 4</w:t>
      </w:r>
      <w:r w:rsidR="00C04A71">
        <w:rPr>
          <w:szCs w:val="26"/>
        </w:rPr>
        <w:t xml:space="preserve">. The first proposal was put forth by the Utilities (“the Utility Telemetry Proposal”) and would allow the Utilities to require systems </w:t>
      </w:r>
      <w:r w:rsidRPr="003F716B" w:rsidR="00C04A71">
        <w:rPr>
          <w:szCs w:val="26"/>
        </w:rPr>
        <w:t xml:space="preserve">between 250 </w:t>
      </w:r>
      <w:r w:rsidRPr="003B0094" w:rsidR="00C04A71">
        <w:rPr>
          <w:szCs w:val="26"/>
        </w:rPr>
        <w:t>kW</w:t>
      </w:r>
      <w:r w:rsidR="00C04A71">
        <w:rPr>
          <w:szCs w:val="26"/>
        </w:rPr>
        <w:t xml:space="preserve"> </w:t>
      </w:r>
      <w:r w:rsidRPr="003F716B" w:rsidR="00C04A71">
        <w:rPr>
          <w:szCs w:val="26"/>
        </w:rPr>
        <w:t xml:space="preserve">and </w:t>
      </w:r>
      <w:r w:rsidRPr="003F716B" w:rsidR="00C04A71">
        <w:rPr>
          <w:szCs w:val="26"/>
        </w:rPr>
        <w:lastRenderedPageBreak/>
        <w:t>9.9</w:t>
      </w:r>
      <w:r w:rsidRPr="003B0094" w:rsidR="00C04A71">
        <w:rPr>
          <w:szCs w:val="26"/>
        </w:rPr>
        <w:t xml:space="preserve"> MW</w:t>
      </w:r>
      <w:r w:rsidR="00C04A71">
        <w:rPr>
          <w:szCs w:val="26"/>
        </w:rPr>
        <w:t xml:space="preserve"> </w:t>
      </w:r>
      <w:r w:rsidRPr="003F716B" w:rsidR="00C04A71">
        <w:rPr>
          <w:szCs w:val="26"/>
        </w:rPr>
        <w:t>to provide telemetry if the estimated utility-related costs are less than $20,000</w:t>
      </w:r>
      <w:r w:rsidR="00C04A71">
        <w:rPr>
          <w:szCs w:val="26"/>
        </w:rPr>
        <w:t>.</w:t>
      </w:r>
      <w:r w:rsidR="007610FD">
        <w:rPr>
          <w:szCs w:val="26"/>
        </w:rPr>
        <w:t xml:space="preserve"> </w:t>
      </w:r>
      <w:r w:rsidR="009C1827">
        <w:rPr>
          <w:szCs w:val="26"/>
        </w:rPr>
        <w:t>The decision directed that i</w:t>
      </w:r>
      <w:r w:rsidR="00CC187B">
        <w:rPr>
          <w:szCs w:val="26"/>
        </w:rPr>
        <w:t xml:space="preserve">f </w:t>
      </w:r>
      <w:r w:rsidR="00F0298A">
        <w:rPr>
          <w:szCs w:val="26"/>
        </w:rPr>
        <w:t>P</w:t>
      </w:r>
      <w:r w:rsidR="00CC187B">
        <w:rPr>
          <w:szCs w:val="26"/>
        </w:rPr>
        <w:t xml:space="preserve">roposal 1 </w:t>
      </w:r>
      <w:proofErr w:type="gramStart"/>
      <w:r w:rsidR="00CC187B">
        <w:rPr>
          <w:szCs w:val="26"/>
        </w:rPr>
        <w:t>was</w:t>
      </w:r>
      <w:proofErr w:type="gramEnd"/>
      <w:r w:rsidR="00CC187B">
        <w:rPr>
          <w:szCs w:val="26"/>
        </w:rPr>
        <w:t xml:space="preserve"> adopted,</w:t>
      </w:r>
      <w:r w:rsidR="005457B2">
        <w:rPr>
          <w:szCs w:val="26"/>
        </w:rPr>
        <w:t xml:space="preserve"> this resolution would cap utility-related costs at $20,000.</w:t>
      </w:r>
      <w:r w:rsidR="00C04A71">
        <w:rPr>
          <w:szCs w:val="26"/>
        </w:rPr>
        <w:t xml:space="preserve"> </w:t>
      </w:r>
      <w:r w:rsidR="00444C91">
        <w:rPr>
          <w:szCs w:val="26"/>
        </w:rPr>
        <w:t>Proposal 2 would</w:t>
      </w:r>
      <w:r w:rsidR="004A536C">
        <w:rPr>
          <w:szCs w:val="26"/>
        </w:rPr>
        <w:t xml:space="preserve"> instead maintain the 1 MW threshold for requiring telemetry. </w:t>
      </w:r>
      <w:r w:rsidR="00D04170">
        <w:rPr>
          <w:szCs w:val="26"/>
        </w:rPr>
        <w:t xml:space="preserve">Proposal 3 </w:t>
      </w:r>
      <w:r w:rsidR="007F1CC9">
        <w:rPr>
          <w:szCs w:val="26"/>
        </w:rPr>
        <w:t>would implement specific technical requirements</w:t>
      </w:r>
      <w:r w:rsidR="007F1CC9">
        <w:rPr>
          <w:rStyle w:val="FootnoteReference"/>
          <w:szCs w:val="26"/>
        </w:rPr>
        <w:footnoteReference w:id="7"/>
      </w:r>
      <w:r w:rsidR="007F1CC9">
        <w:rPr>
          <w:szCs w:val="26"/>
        </w:rPr>
        <w:t xml:space="preserve"> for </w:t>
      </w:r>
      <w:r w:rsidRPr="00B6658A" w:rsidR="007F1CC9">
        <w:rPr>
          <w:szCs w:val="26"/>
        </w:rPr>
        <w:t>systems larger</w:t>
      </w:r>
      <w:r w:rsidR="007F1CC9">
        <w:rPr>
          <w:szCs w:val="26"/>
        </w:rPr>
        <w:t xml:space="preserve"> th</w:t>
      </w:r>
      <w:r w:rsidRPr="00B6658A" w:rsidR="007F1CC9">
        <w:rPr>
          <w:szCs w:val="26"/>
        </w:rPr>
        <w:t>an 1 MW</w:t>
      </w:r>
      <w:r w:rsidR="007F1CC9">
        <w:rPr>
          <w:szCs w:val="26"/>
        </w:rPr>
        <w:t xml:space="preserve">, which are intended to </w:t>
      </w:r>
      <w:r w:rsidRPr="00D63E6F" w:rsidR="007F1CC9">
        <w:rPr>
          <w:szCs w:val="26"/>
        </w:rPr>
        <w:t>avoid unnecessary costs</w:t>
      </w:r>
      <w:r w:rsidR="007F1CC9">
        <w:rPr>
          <w:szCs w:val="26"/>
        </w:rPr>
        <w:t>.</w:t>
      </w:r>
      <w:r w:rsidR="00D72BCE">
        <w:rPr>
          <w:szCs w:val="26"/>
        </w:rPr>
        <w:t xml:space="preserve"> </w:t>
      </w:r>
      <w:r w:rsidR="00104CE5">
        <w:rPr>
          <w:szCs w:val="26"/>
        </w:rPr>
        <w:t xml:space="preserve">The Commission found </w:t>
      </w:r>
      <w:r w:rsidR="00E67C2A">
        <w:rPr>
          <w:szCs w:val="26"/>
        </w:rPr>
        <w:t xml:space="preserve">Proposal 4 </w:t>
      </w:r>
      <w:r w:rsidR="00104CE5">
        <w:rPr>
          <w:szCs w:val="26"/>
        </w:rPr>
        <w:t>to be unn</w:t>
      </w:r>
      <w:r w:rsidR="004B219F">
        <w:rPr>
          <w:szCs w:val="26"/>
        </w:rPr>
        <w:t>e</w:t>
      </w:r>
      <w:r w:rsidR="00104CE5">
        <w:rPr>
          <w:szCs w:val="26"/>
        </w:rPr>
        <w:t xml:space="preserve">cessary </w:t>
      </w:r>
      <w:r w:rsidR="004B219F">
        <w:rPr>
          <w:szCs w:val="26"/>
        </w:rPr>
        <w:t xml:space="preserve">given the adopted combination of Proposals 1 through 3, </w:t>
      </w:r>
      <w:r w:rsidR="00E67C2A">
        <w:rPr>
          <w:szCs w:val="26"/>
        </w:rPr>
        <w:t xml:space="preserve">and </w:t>
      </w:r>
      <w:r w:rsidR="00C04DD0">
        <w:rPr>
          <w:szCs w:val="26"/>
        </w:rPr>
        <w:t>Proposal 5</w:t>
      </w:r>
      <w:r w:rsidR="00B60E15">
        <w:rPr>
          <w:szCs w:val="26"/>
        </w:rPr>
        <w:t xml:space="preserve"> was adopted to allow customer ownership of behind-the-meter telemetry equipment where practicable</w:t>
      </w:r>
      <w:r w:rsidR="00652DF4">
        <w:rPr>
          <w:szCs w:val="26"/>
        </w:rPr>
        <w:t xml:space="preserve">. </w:t>
      </w:r>
    </w:p>
    <w:p w:rsidR="00C209E3" w:rsidP="00AF5DE3" w:rsidRDefault="00C209E3" w14:paraId="4DE8635C" w14:textId="77777777">
      <w:pPr>
        <w:rPr>
          <w:szCs w:val="26"/>
        </w:rPr>
      </w:pPr>
    </w:p>
    <w:p w:rsidR="00860454" w:rsidP="00B6658A" w:rsidRDefault="001C73B2" w14:paraId="490B278F" w14:textId="5150B505">
      <w:pPr>
        <w:rPr>
          <w:szCs w:val="26"/>
        </w:rPr>
      </w:pPr>
      <w:r w:rsidRPr="00670BB8">
        <w:rPr>
          <w:szCs w:val="26"/>
        </w:rPr>
        <w:t xml:space="preserve">D.19-03-013 addressed Issue </w:t>
      </w:r>
      <w:r>
        <w:rPr>
          <w:szCs w:val="26"/>
        </w:rPr>
        <w:t>4</w:t>
      </w:r>
      <w:r w:rsidRPr="00670BB8">
        <w:rPr>
          <w:szCs w:val="26"/>
        </w:rPr>
        <w:t>, as well as the other scoped issues.</w:t>
      </w:r>
      <w:r>
        <w:rPr>
          <w:szCs w:val="26"/>
        </w:rPr>
        <w:t xml:space="preserve"> </w:t>
      </w:r>
      <w:r w:rsidR="003B3C76">
        <w:rPr>
          <w:szCs w:val="26"/>
        </w:rPr>
        <w:t>In considering the Utility Telemetry Proposal, D.19-03-013 found that additional information was necessary for implementation</w:t>
      </w:r>
      <w:r w:rsidR="002D10C3">
        <w:rPr>
          <w:szCs w:val="26"/>
        </w:rPr>
        <w:t xml:space="preserve"> and authorized a public workshop in which the </w:t>
      </w:r>
      <w:r w:rsidR="000C2D01">
        <w:rPr>
          <w:szCs w:val="26"/>
        </w:rPr>
        <w:t>Utilities would</w:t>
      </w:r>
      <w:r w:rsidR="00E1706B">
        <w:rPr>
          <w:szCs w:val="26"/>
        </w:rPr>
        <w:t xml:space="preserve"> </w:t>
      </w:r>
      <w:r w:rsidRPr="00E1706B" w:rsidR="00E1706B">
        <w:rPr>
          <w:szCs w:val="26"/>
        </w:rPr>
        <w:t>present</w:t>
      </w:r>
      <w:r w:rsidR="000C2D01">
        <w:rPr>
          <w:szCs w:val="26"/>
        </w:rPr>
        <w:t>,</w:t>
      </w:r>
      <w:r w:rsidRPr="00E1706B" w:rsidR="00E1706B">
        <w:rPr>
          <w:szCs w:val="26"/>
        </w:rPr>
        <w:t xml:space="preserve"> in detail</w:t>
      </w:r>
      <w:r w:rsidR="000C2D01">
        <w:rPr>
          <w:szCs w:val="26"/>
        </w:rPr>
        <w:t>,</w:t>
      </w:r>
      <w:r w:rsidRPr="00E1706B" w:rsidR="00E1706B">
        <w:rPr>
          <w:szCs w:val="26"/>
        </w:rPr>
        <w:t xml:space="preserve"> the telemetry requirements for systems between 250 kW and 9.9 MW</w:t>
      </w:r>
      <w:r w:rsidR="005E2541">
        <w:rPr>
          <w:szCs w:val="26"/>
        </w:rPr>
        <w:t>, before filing</w:t>
      </w:r>
      <w:r w:rsidR="00066582">
        <w:rPr>
          <w:szCs w:val="26"/>
        </w:rPr>
        <w:t xml:space="preserve"> </w:t>
      </w:r>
      <w:r w:rsidR="00A273C8">
        <w:rPr>
          <w:szCs w:val="26"/>
        </w:rPr>
        <w:t>AL</w:t>
      </w:r>
      <w:r w:rsidR="00DA41B0">
        <w:rPr>
          <w:szCs w:val="26"/>
        </w:rPr>
        <w:t>s</w:t>
      </w:r>
      <w:r w:rsidR="00066582">
        <w:rPr>
          <w:szCs w:val="26"/>
        </w:rPr>
        <w:t xml:space="preserve"> to resolve the issue</w:t>
      </w:r>
      <w:r w:rsidR="003B0094">
        <w:rPr>
          <w:szCs w:val="26"/>
        </w:rPr>
        <w:t xml:space="preserve">. </w:t>
      </w:r>
    </w:p>
    <w:p w:rsidR="00860454" w:rsidP="00B6658A" w:rsidRDefault="00860454" w14:paraId="0563F6E3" w14:textId="77777777">
      <w:pPr>
        <w:rPr>
          <w:szCs w:val="26"/>
        </w:rPr>
      </w:pPr>
    </w:p>
    <w:p w:rsidR="00EE4206" w:rsidP="00EE4206" w:rsidRDefault="00EE4206" w14:paraId="4297460B" w14:textId="69340DB3">
      <w:pPr>
        <w:rPr>
          <w:szCs w:val="26"/>
        </w:rPr>
      </w:pPr>
      <w:r>
        <w:rPr>
          <w:szCs w:val="26"/>
        </w:rPr>
        <w:t xml:space="preserve">On June 26, 2019, the CPUC’s Energy Division hosted a public workshop during which the Utilities presented their proposed </w:t>
      </w:r>
      <w:r w:rsidRPr="00E1706B">
        <w:rPr>
          <w:szCs w:val="26"/>
        </w:rPr>
        <w:t>telemetry requirements</w:t>
      </w:r>
      <w:r>
        <w:rPr>
          <w:szCs w:val="26"/>
        </w:rPr>
        <w:t>.</w:t>
      </w:r>
    </w:p>
    <w:p w:rsidR="00EE4206" w:rsidP="00EE4206" w:rsidRDefault="00EE4206" w14:paraId="64A0566B" w14:textId="77777777">
      <w:pPr>
        <w:rPr>
          <w:szCs w:val="26"/>
        </w:rPr>
      </w:pPr>
    </w:p>
    <w:p w:rsidR="00DF35CC" w:rsidP="00B6658A" w:rsidRDefault="006B3041" w14:paraId="7ED5ADC6" w14:textId="1A0BF265">
      <w:pPr>
        <w:rPr>
          <w:szCs w:val="26"/>
        </w:rPr>
      </w:pPr>
      <w:r>
        <w:rPr>
          <w:szCs w:val="26"/>
        </w:rPr>
        <w:t xml:space="preserve">Ordering Paragraph 9 </w:t>
      </w:r>
      <w:r w:rsidR="00426FD3">
        <w:rPr>
          <w:szCs w:val="26"/>
        </w:rPr>
        <w:t>of D.</w:t>
      </w:r>
      <w:r w:rsidR="00331F31">
        <w:rPr>
          <w:szCs w:val="26"/>
        </w:rPr>
        <w:t>19-03-013</w:t>
      </w:r>
      <w:r w:rsidR="00426FD3">
        <w:rPr>
          <w:szCs w:val="26"/>
        </w:rPr>
        <w:t xml:space="preserve"> </w:t>
      </w:r>
      <w:r>
        <w:rPr>
          <w:szCs w:val="26"/>
        </w:rPr>
        <w:t>required the Utilities to file Tier 3 AL</w:t>
      </w:r>
      <w:r w:rsidR="009367FE">
        <w:rPr>
          <w:szCs w:val="26"/>
        </w:rPr>
        <w:t>s</w:t>
      </w:r>
      <w:r w:rsidR="00964DB1">
        <w:rPr>
          <w:szCs w:val="26"/>
        </w:rPr>
        <w:t>:</w:t>
      </w:r>
      <w:r w:rsidR="001437E8">
        <w:rPr>
          <w:szCs w:val="26"/>
        </w:rPr>
        <w:t xml:space="preserve"> </w:t>
      </w:r>
      <w:r w:rsidR="009F0889">
        <w:rPr>
          <w:szCs w:val="26"/>
        </w:rPr>
        <w:t>(</w:t>
      </w:r>
      <w:r w:rsidR="00FD3CD9">
        <w:rPr>
          <w:szCs w:val="26"/>
        </w:rPr>
        <w:t xml:space="preserve">1) </w:t>
      </w:r>
      <w:r w:rsidR="00282E05">
        <w:t>proposing technical specifications for telemetry</w:t>
      </w:r>
      <w:r w:rsidR="00FD3CD9">
        <w:rPr>
          <w:szCs w:val="26"/>
        </w:rPr>
        <w:t xml:space="preserve">, </w:t>
      </w:r>
      <w:r w:rsidR="009F0889">
        <w:rPr>
          <w:szCs w:val="26"/>
        </w:rPr>
        <w:t>(</w:t>
      </w:r>
      <w:r w:rsidR="00FD3CD9">
        <w:rPr>
          <w:szCs w:val="26"/>
        </w:rPr>
        <w:t xml:space="preserve">2) </w:t>
      </w:r>
      <w:r w:rsidRPr="00AB6464" w:rsidR="00AB6464">
        <w:rPr>
          <w:szCs w:val="26"/>
        </w:rPr>
        <w:t>including a cost-benefit analysis of the telemetry as a means of collecting data on the distribution system,</w:t>
      </w:r>
      <w:r w:rsidR="00AB6464">
        <w:rPr>
          <w:szCs w:val="26"/>
        </w:rPr>
        <w:t xml:space="preserve"> and </w:t>
      </w:r>
      <w:r w:rsidR="009F0889">
        <w:rPr>
          <w:szCs w:val="26"/>
        </w:rPr>
        <w:t>(</w:t>
      </w:r>
      <w:r w:rsidR="00AB6464">
        <w:rPr>
          <w:szCs w:val="26"/>
        </w:rPr>
        <w:t xml:space="preserve">3) </w:t>
      </w:r>
      <w:r w:rsidRPr="003C4CB0" w:rsidR="003C4CB0">
        <w:rPr>
          <w:szCs w:val="26"/>
        </w:rPr>
        <w:t>providing information to indicate that Supervisory Control and Data Acquisition System</w:t>
      </w:r>
      <w:r w:rsidR="003C4CB0">
        <w:rPr>
          <w:szCs w:val="26"/>
        </w:rPr>
        <w:t xml:space="preserve"> </w:t>
      </w:r>
      <w:r w:rsidRPr="003C4CB0" w:rsidR="003C4CB0">
        <w:rPr>
          <w:szCs w:val="26"/>
        </w:rPr>
        <w:t>(SCADA)</w:t>
      </w:r>
      <w:r w:rsidR="005F7D31">
        <w:rPr>
          <w:rStyle w:val="FootnoteReference"/>
          <w:szCs w:val="26"/>
        </w:rPr>
        <w:footnoteReference w:id="8"/>
      </w:r>
      <w:r w:rsidRPr="003C4CB0" w:rsidR="003C4CB0">
        <w:rPr>
          <w:szCs w:val="26"/>
        </w:rPr>
        <w:t xml:space="preserve"> and smart inverter data would not be able to provide sufficient data to</w:t>
      </w:r>
      <w:r w:rsidR="003C4CB0">
        <w:rPr>
          <w:szCs w:val="26"/>
        </w:rPr>
        <w:t xml:space="preserve"> satisfy the Utilities’ needs. </w:t>
      </w:r>
      <w:r w:rsidR="00EE517C">
        <w:rPr>
          <w:szCs w:val="26"/>
        </w:rPr>
        <w:t xml:space="preserve">Ordering Paragraph 9 directed that the ensuing resolution </w:t>
      </w:r>
      <w:r w:rsidR="0059353B">
        <w:rPr>
          <w:szCs w:val="26"/>
        </w:rPr>
        <w:t xml:space="preserve">should seek to </w:t>
      </w:r>
      <w:r w:rsidRPr="00C50735" w:rsidR="00C50735">
        <w:rPr>
          <w:szCs w:val="26"/>
        </w:rPr>
        <w:t xml:space="preserve">implement </w:t>
      </w:r>
      <w:r w:rsidR="005F345D">
        <w:rPr>
          <w:szCs w:val="26"/>
        </w:rPr>
        <w:t>the Utility Telemetry Proposal</w:t>
      </w:r>
      <w:r w:rsidRPr="00C50735" w:rsidR="00C50735">
        <w:rPr>
          <w:szCs w:val="26"/>
        </w:rPr>
        <w:t xml:space="preserve">, </w:t>
      </w:r>
      <w:r w:rsidR="0059353B">
        <w:rPr>
          <w:szCs w:val="26"/>
        </w:rPr>
        <w:t>and it required</w:t>
      </w:r>
      <w:r w:rsidR="001449C9">
        <w:rPr>
          <w:szCs w:val="26"/>
        </w:rPr>
        <w:t xml:space="preserve"> that </w:t>
      </w:r>
      <w:r w:rsidR="00BE767B">
        <w:rPr>
          <w:szCs w:val="26"/>
        </w:rPr>
        <w:t xml:space="preserve">the </w:t>
      </w:r>
      <w:r w:rsidR="003A1551">
        <w:rPr>
          <w:szCs w:val="26"/>
        </w:rPr>
        <w:t xml:space="preserve">Utilities publish technical requirements rather that requiring specific </w:t>
      </w:r>
      <w:proofErr w:type="gramStart"/>
      <w:r w:rsidR="003A1551">
        <w:rPr>
          <w:szCs w:val="26"/>
        </w:rPr>
        <w:t>equipment</w:t>
      </w:r>
      <w:r w:rsidRPr="00C50735" w:rsidR="00C50735">
        <w:rPr>
          <w:szCs w:val="26"/>
        </w:rPr>
        <w:t>, if</w:t>
      </w:r>
      <w:proofErr w:type="gramEnd"/>
      <w:r w:rsidRPr="00C50735" w:rsidR="00C50735">
        <w:rPr>
          <w:szCs w:val="26"/>
        </w:rPr>
        <w:t xml:space="preserve"> the telemetry is deemed necessary</w:t>
      </w:r>
      <w:r w:rsidR="004A7773">
        <w:rPr>
          <w:szCs w:val="26"/>
        </w:rPr>
        <w:t>.</w:t>
      </w:r>
      <w:r w:rsidR="00D03090">
        <w:rPr>
          <w:szCs w:val="26"/>
        </w:rPr>
        <w:t xml:space="preserve"> </w:t>
      </w:r>
      <w:r w:rsidR="00756BF9">
        <w:rPr>
          <w:szCs w:val="26"/>
        </w:rPr>
        <w:t xml:space="preserve">However, if the </w:t>
      </w:r>
      <w:r w:rsidR="00AB6925">
        <w:rPr>
          <w:szCs w:val="26"/>
        </w:rPr>
        <w:t xml:space="preserve">Tier 3 ALs do not indicate that </w:t>
      </w:r>
      <w:r w:rsidR="00AE022A">
        <w:rPr>
          <w:szCs w:val="26"/>
        </w:rPr>
        <w:t xml:space="preserve">the Utilities’ proposed </w:t>
      </w:r>
      <w:r w:rsidR="00AE022A">
        <w:rPr>
          <w:szCs w:val="26"/>
        </w:rPr>
        <w:lastRenderedPageBreak/>
        <w:t>approach is cost</w:t>
      </w:r>
      <w:r w:rsidR="00ED79D2">
        <w:rPr>
          <w:szCs w:val="26"/>
        </w:rPr>
        <w:t>-</w:t>
      </w:r>
      <w:r w:rsidR="00AE022A">
        <w:rPr>
          <w:szCs w:val="26"/>
        </w:rPr>
        <w:t xml:space="preserve">effective, the </w:t>
      </w:r>
      <w:r w:rsidR="008F7999">
        <w:rPr>
          <w:szCs w:val="26"/>
        </w:rPr>
        <w:t xml:space="preserve">resolution should </w:t>
      </w:r>
      <w:r w:rsidR="002D1015">
        <w:rPr>
          <w:szCs w:val="26"/>
        </w:rPr>
        <w:t>instead</w:t>
      </w:r>
      <w:r w:rsidR="00FA1CB6">
        <w:rPr>
          <w:szCs w:val="26"/>
        </w:rPr>
        <w:t xml:space="preserve"> </w:t>
      </w:r>
      <w:r w:rsidR="00F938A2">
        <w:rPr>
          <w:szCs w:val="26"/>
        </w:rPr>
        <w:t xml:space="preserve">adopt Proposal 2, to </w:t>
      </w:r>
      <w:r w:rsidR="00FA1CB6">
        <w:rPr>
          <w:szCs w:val="26"/>
        </w:rPr>
        <w:t>maintain the current 1 MW threshold</w:t>
      </w:r>
      <w:r w:rsidR="00F938A2">
        <w:rPr>
          <w:szCs w:val="26"/>
        </w:rPr>
        <w:t>,</w:t>
      </w:r>
      <w:r w:rsidR="00860454">
        <w:rPr>
          <w:szCs w:val="26"/>
        </w:rPr>
        <w:t xml:space="preserve"> and</w:t>
      </w:r>
      <w:r w:rsidR="002D1015">
        <w:rPr>
          <w:szCs w:val="26"/>
        </w:rPr>
        <w:t xml:space="preserve"> </w:t>
      </w:r>
      <w:r w:rsidR="00DC5139">
        <w:rPr>
          <w:szCs w:val="26"/>
        </w:rPr>
        <w:t xml:space="preserve">Proposal </w:t>
      </w:r>
      <w:r w:rsidR="006F5C91">
        <w:rPr>
          <w:szCs w:val="26"/>
        </w:rPr>
        <w:t>3 to</w:t>
      </w:r>
      <w:r w:rsidR="002D1015">
        <w:rPr>
          <w:szCs w:val="26"/>
        </w:rPr>
        <w:t xml:space="preserve"> </w:t>
      </w:r>
      <w:r w:rsidR="00963599">
        <w:rPr>
          <w:szCs w:val="26"/>
        </w:rPr>
        <w:t xml:space="preserve">implement </w:t>
      </w:r>
      <w:r w:rsidR="009A310E">
        <w:rPr>
          <w:szCs w:val="26"/>
        </w:rPr>
        <w:t>specific technical requirements</w:t>
      </w:r>
      <w:r w:rsidR="0085249E">
        <w:rPr>
          <w:szCs w:val="26"/>
        </w:rPr>
        <w:t xml:space="preserve"> </w:t>
      </w:r>
      <w:r w:rsidR="009A310E">
        <w:rPr>
          <w:szCs w:val="26"/>
        </w:rPr>
        <w:t xml:space="preserve">for </w:t>
      </w:r>
      <w:r w:rsidRPr="00B6658A" w:rsidR="00B6658A">
        <w:rPr>
          <w:szCs w:val="26"/>
        </w:rPr>
        <w:t>systems larger</w:t>
      </w:r>
      <w:r w:rsidR="00B6658A">
        <w:rPr>
          <w:szCs w:val="26"/>
        </w:rPr>
        <w:t xml:space="preserve"> </w:t>
      </w:r>
      <w:r w:rsidR="00DC0443">
        <w:rPr>
          <w:szCs w:val="26"/>
        </w:rPr>
        <w:t>th</w:t>
      </w:r>
      <w:r w:rsidRPr="00B6658A" w:rsidR="00B6658A">
        <w:rPr>
          <w:szCs w:val="26"/>
        </w:rPr>
        <w:t>an 1 MW</w:t>
      </w:r>
      <w:r w:rsidR="00D63E6F">
        <w:rPr>
          <w:szCs w:val="26"/>
        </w:rPr>
        <w:t>.</w:t>
      </w:r>
    </w:p>
    <w:p w:rsidR="00195A69" w:rsidP="00B6658A" w:rsidRDefault="00195A69" w14:paraId="5842FA72" w14:textId="1C8EC8C0">
      <w:pPr>
        <w:rPr>
          <w:szCs w:val="26"/>
        </w:rPr>
      </w:pPr>
    </w:p>
    <w:p w:rsidRPr="00670BB8" w:rsidR="00195A69" w:rsidP="00FB7108" w:rsidRDefault="00195A69" w14:paraId="2E97A2FA" w14:textId="59D2A386">
      <w:pPr>
        <w:keepNext/>
        <w:rPr>
          <w:b/>
          <w:bCs/>
          <w:szCs w:val="26"/>
        </w:rPr>
      </w:pPr>
      <w:r w:rsidRPr="00670BB8">
        <w:rPr>
          <w:b/>
          <w:bCs/>
          <w:szCs w:val="26"/>
        </w:rPr>
        <w:t xml:space="preserve">B. Advice Letters </w:t>
      </w:r>
      <w:r w:rsidR="005866AA">
        <w:rPr>
          <w:b/>
          <w:bCs/>
          <w:szCs w:val="26"/>
        </w:rPr>
        <w:t xml:space="preserve">5595-E, </w:t>
      </w:r>
      <w:r w:rsidRPr="00670BB8">
        <w:rPr>
          <w:b/>
          <w:bCs/>
          <w:szCs w:val="26"/>
        </w:rPr>
        <w:t>40</w:t>
      </w:r>
      <w:r w:rsidR="005866AA">
        <w:rPr>
          <w:b/>
          <w:bCs/>
          <w:szCs w:val="26"/>
        </w:rPr>
        <w:t>44</w:t>
      </w:r>
      <w:r w:rsidRPr="00670BB8">
        <w:rPr>
          <w:b/>
          <w:bCs/>
          <w:szCs w:val="26"/>
        </w:rPr>
        <w:t xml:space="preserve">-E, </w:t>
      </w:r>
      <w:r w:rsidR="005866AA">
        <w:rPr>
          <w:b/>
          <w:bCs/>
          <w:szCs w:val="26"/>
        </w:rPr>
        <w:t xml:space="preserve">and </w:t>
      </w:r>
      <w:r w:rsidRPr="00670BB8">
        <w:rPr>
          <w:b/>
          <w:bCs/>
          <w:szCs w:val="26"/>
        </w:rPr>
        <w:t>3</w:t>
      </w:r>
      <w:r w:rsidR="005866AA">
        <w:rPr>
          <w:b/>
          <w:bCs/>
          <w:szCs w:val="26"/>
        </w:rPr>
        <w:t>407</w:t>
      </w:r>
      <w:r w:rsidRPr="00670BB8">
        <w:rPr>
          <w:b/>
          <w:bCs/>
          <w:szCs w:val="26"/>
        </w:rPr>
        <w:t>-E</w:t>
      </w:r>
    </w:p>
    <w:p w:rsidR="00195A69" w:rsidP="00195A69" w:rsidRDefault="00195A69" w14:paraId="0A541E26" w14:textId="4CCB61CE">
      <w:pPr>
        <w:rPr>
          <w:szCs w:val="26"/>
        </w:rPr>
      </w:pPr>
      <w:r w:rsidRPr="00670BB8">
        <w:rPr>
          <w:szCs w:val="26"/>
        </w:rPr>
        <w:t>Pursuant to D.19-03-013 O</w:t>
      </w:r>
      <w:r w:rsidR="00FC3D09">
        <w:rPr>
          <w:szCs w:val="26"/>
        </w:rPr>
        <w:t xml:space="preserve">rdering </w:t>
      </w:r>
      <w:r w:rsidRPr="00670BB8">
        <w:rPr>
          <w:szCs w:val="26"/>
        </w:rPr>
        <w:t>P</w:t>
      </w:r>
      <w:r w:rsidR="00FC3D09">
        <w:rPr>
          <w:szCs w:val="26"/>
        </w:rPr>
        <w:t>aragraph</w:t>
      </w:r>
      <w:r w:rsidRPr="00670BB8">
        <w:rPr>
          <w:szCs w:val="26"/>
        </w:rPr>
        <w:t xml:space="preserve"> </w:t>
      </w:r>
      <w:r w:rsidR="00FC3D09">
        <w:rPr>
          <w:szCs w:val="26"/>
        </w:rPr>
        <w:t>9</w:t>
      </w:r>
      <w:r w:rsidRPr="00670BB8">
        <w:rPr>
          <w:szCs w:val="26"/>
        </w:rPr>
        <w:t xml:space="preserve">, </w:t>
      </w:r>
      <w:r w:rsidRPr="00670BB8" w:rsidR="00FC3D09">
        <w:rPr>
          <w:szCs w:val="26"/>
        </w:rPr>
        <w:t xml:space="preserve">PG&amp;E filed AL </w:t>
      </w:r>
      <w:r w:rsidR="00FC3D09">
        <w:t>5595</w:t>
      </w:r>
      <w:r w:rsidRPr="00670BB8" w:rsidR="00FC3D09">
        <w:rPr>
          <w:szCs w:val="26"/>
        </w:rPr>
        <w:t>-E</w:t>
      </w:r>
      <w:r w:rsidR="00FC3D09">
        <w:rPr>
          <w:szCs w:val="26"/>
        </w:rPr>
        <w:t>,</w:t>
      </w:r>
      <w:r w:rsidRPr="00670BB8" w:rsidR="00FC3D09">
        <w:rPr>
          <w:szCs w:val="26"/>
        </w:rPr>
        <w:t xml:space="preserve"> </w:t>
      </w:r>
      <w:r w:rsidRPr="00670BB8">
        <w:rPr>
          <w:szCs w:val="26"/>
        </w:rPr>
        <w:t xml:space="preserve">SCE filed AL </w:t>
      </w:r>
      <w:r w:rsidR="001751E4">
        <w:t>4044</w:t>
      </w:r>
      <w:r w:rsidRPr="00670BB8">
        <w:rPr>
          <w:szCs w:val="26"/>
        </w:rPr>
        <w:t xml:space="preserve">-E, </w:t>
      </w:r>
      <w:r w:rsidR="00FC3D09">
        <w:rPr>
          <w:szCs w:val="26"/>
        </w:rPr>
        <w:t xml:space="preserve">and </w:t>
      </w:r>
      <w:r w:rsidRPr="00670BB8">
        <w:rPr>
          <w:szCs w:val="26"/>
        </w:rPr>
        <w:t xml:space="preserve">SDG&amp;E filed AL </w:t>
      </w:r>
      <w:r w:rsidR="001751E4">
        <w:t>3407</w:t>
      </w:r>
      <w:r w:rsidRPr="00670BB8">
        <w:rPr>
          <w:szCs w:val="26"/>
        </w:rPr>
        <w:t>-E</w:t>
      </w:r>
      <w:r w:rsidR="00FC3D09">
        <w:rPr>
          <w:szCs w:val="26"/>
        </w:rPr>
        <w:t xml:space="preserve"> </w:t>
      </w:r>
      <w:r w:rsidRPr="00670BB8">
        <w:rPr>
          <w:szCs w:val="26"/>
        </w:rPr>
        <w:t>on Ju</w:t>
      </w:r>
      <w:r w:rsidR="00FC3D09">
        <w:rPr>
          <w:szCs w:val="26"/>
        </w:rPr>
        <w:t>ly</w:t>
      </w:r>
      <w:r w:rsidRPr="00670BB8">
        <w:rPr>
          <w:szCs w:val="26"/>
        </w:rPr>
        <w:t xml:space="preserve"> </w:t>
      </w:r>
      <w:r w:rsidR="00FC3D09">
        <w:rPr>
          <w:szCs w:val="26"/>
        </w:rPr>
        <w:t>26</w:t>
      </w:r>
      <w:r w:rsidRPr="00670BB8">
        <w:rPr>
          <w:szCs w:val="26"/>
        </w:rPr>
        <w:t xml:space="preserve">, 2019. </w:t>
      </w:r>
    </w:p>
    <w:p w:rsidR="00642071" w:rsidP="00195A69" w:rsidRDefault="00642071" w14:paraId="3173F706" w14:textId="48D87D31">
      <w:pPr>
        <w:rPr>
          <w:szCs w:val="26"/>
        </w:rPr>
      </w:pPr>
    </w:p>
    <w:p w:rsidR="00642071" w:rsidP="000671DC" w:rsidRDefault="00642071" w14:paraId="34479CBD" w14:textId="686C69E3">
      <w:r w:rsidRPr="00670BB8">
        <w:rPr>
          <w:szCs w:val="26"/>
        </w:rPr>
        <w:t xml:space="preserve">PG&amp;E AL </w:t>
      </w:r>
      <w:r>
        <w:t>5595</w:t>
      </w:r>
      <w:r w:rsidRPr="00670BB8">
        <w:rPr>
          <w:szCs w:val="26"/>
        </w:rPr>
        <w:t>-E</w:t>
      </w:r>
      <w:r w:rsidR="00F43960">
        <w:rPr>
          <w:szCs w:val="26"/>
        </w:rPr>
        <w:t xml:space="preserve"> </w:t>
      </w:r>
      <w:r w:rsidR="00D14455">
        <w:rPr>
          <w:szCs w:val="26"/>
        </w:rPr>
        <w:t>states</w:t>
      </w:r>
      <w:r w:rsidR="00F43960">
        <w:rPr>
          <w:szCs w:val="26"/>
        </w:rPr>
        <w:t xml:space="preserve"> </w:t>
      </w:r>
      <w:r w:rsidR="0028707B">
        <w:rPr>
          <w:szCs w:val="26"/>
        </w:rPr>
        <w:t xml:space="preserve">that PG&amp;E </w:t>
      </w:r>
      <w:r w:rsidR="00D62F8A">
        <w:rPr>
          <w:szCs w:val="26"/>
        </w:rPr>
        <w:t xml:space="preserve">seeks </w:t>
      </w:r>
      <w:r w:rsidR="003F4E42">
        <w:t>to move towards a telemetry solution that utilizes</w:t>
      </w:r>
      <w:r w:rsidR="00331359">
        <w:t xml:space="preserve"> the</w:t>
      </w:r>
      <w:r w:rsidR="003F4E42">
        <w:t xml:space="preserve"> IEEE 2030.5 </w:t>
      </w:r>
      <w:r w:rsidR="00331359">
        <w:t xml:space="preserve">communication standards </w:t>
      </w:r>
      <w:r w:rsidR="0047670D">
        <w:t>in conjunction with the California Smart Inverter Profile (CSIP)</w:t>
      </w:r>
      <w:r w:rsidR="008D3295">
        <w:rPr>
          <w:rStyle w:val="FootnoteReference"/>
        </w:rPr>
        <w:footnoteReference w:id="9"/>
      </w:r>
      <w:r w:rsidR="0047670D">
        <w:t xml:space="preserve"> to </w:t>
      </w:r>
      <w:r w:rsidR="00A918F7">
        <w:t>retrieve measurements from</w:t>
      </w:r>
      <w:r w:rsidR="003F4E42">
        <w:t xml:space="preserve"> smart inverters. PG&amp;E comp</w:t>
      </w:r>
      <w:r w:rsidR="009A4B2C">
        <w:t xml:space="preserve">ares this </w:t>
      </w:r>
      <w:r w:rsidR="0025799B">
        <w:t xml:space="preserve">IEEE </w:t>
      </w:r>
      <w:r w:rsidR="0029706C">
        <w:t xml:space="preserve">2030.5-based </w:t>
      </w:r>
      <w:r w:rsidR="009A4B2C">
        <w:t xml:space="preserve">solution </w:t>
      </w:r>
      <w:r w:rsidR="00664BE8">
        <w:t xml:space="preserve">with </w:t>
      </w:r>
      <w:r w:rsidR="00B533DD">
        <w:t xml:space="preserve">the existing telemetry solutions, which utilize a SCADA </w:t>
      </w:r>
      <w:proofErr w:type="gramStart"/>
      <w:r w:rsidR="003B54A3">
        <w:t xml:space="preserve">telecommunications </w:t>
      </w:r>
      <w:r w:rsidR="00C077AD">
        <w:t xml:space="preserve"> network</w:t>
      </w:r>
      <w:proofErr w:type="gramEnd"/>
      <w:r w:rsidR="00C077AD">
        <w:t xml:space="preserve"> with either a </w:t>
      </w:r>
      <w:r w:rsidR="00B223C6">
        <w:t>recloser</w:t>
      </w:r>
      <w:r w:rsidR="00520211">
        <w:rPr>
          <w:rStyle w:val="FootnoteReference"/>
        </w:rPr>
        <w:footnoteReference w:id="10"/>
      </w:r>
      <w:r w:rsidR="00B223C6">
        <w:t xml:space="preserve"> or Mini-Remote Terminal Unit</w:t>
      </w:r>
      <w:r w:rsidR="00493285">
        <w:rPr>
          <w:rStyle w:val="FootnoteReference"/>
        </w:rPr>
        <w:footnoteReference w:id="11"/>
      </w:r>
      <w:r w:rsidR="00B223C6">
        <w:t xml:space="preserve"> </w:t>
      </w:r>
      <w:r w:rsidR="0068279B">
        <w:t>and cost in excess of $20,000 in utility</w:t>
      </w:r>
      <w:r w:rsidR="0029706C">
        <w:t>-related costs</w:t>
      </w:r>
      <w:r w:rsidR="007D1993">
        <w:t xml:space="preserve"> per project</w:t>
      </w:r>
      <w:r w:rsidR="0029706C">
        <w:t xml:space="preserve">. </w:t>
      </w:r>
      <w:r w:rsidR="00664BE8">
        <w:t>PG&amp;E also compares the proposed</w:t>
      </w:r>
      <w:r w:rsidR="00746D59">
        <w:t xml:space="preserve"> IEEE</w:t>
      </w:r>
      <w:r w:rsidR="00664BE8">
        <w:t xml:space="preserve"> 2030.5-based solution with </w:t>
      </w:r>
      <w:r w:rsidR="00A10E9D">
        <w:t>data collection utilizing existing Advanced Metering Infrastructure (AMI) capabilities</w:t>
      </w:r>
      <w:r w:rsidR="001427DC">
        <w:t>.</w:t>
      </w:r>
      <w:r w:rsidR="00A10E9D">
        <w:t xml:space="preserve"> </w:t>
      </w:r>
      <w:r w:rsidR="001427DC">
        <w:t>PG&amp;E</w:t>
      </w:r>
      <w:r w:rsidR="00362D10">
        <w:t xml:space="preserve"> </w:t>
      </w:r>
      <w:r w:rsidR="00ED2FDB">
        <w:t>indicates that an AMI-based solution cannot meet operational needs</w:t>
      </w:r>
      <w:r w:rsidR="00455E6E">
        <w:t xml:space="preserve"> because</w:t>
      </w:r>
      <w:r w:rsidR="009A5220">
        <w:t xml:space="preserve">, as currently configured, </w:t>
      </w:r>
      <w:r w:rsidR="00362D10">
        <w:t xml:space="preserve">AMI </w:t>
      </w:r>
      <w:r w:rsidR="009A5220">
        <w:t xml:space="preserve">provides low </w:t>
      </w:r>
      <w:r w:rsidRPr="009A5220" w:rsidR="009A5220">
        <w:t>sampling and retrieval rates</w:t>
      </w:r>
      <w:r w:rsidR="00BA2757">
        <w:t xml:space="preserve"> of data from customers</w:t>
      </w:r>
      <w:r w:rsidR="00ED2FDB">
        <w:t xml:space="preserve">. </w:t>
      </w:r>
      <w:r w:rsidR="00F33339">
        <w:t xml:space="preserve">PG&amp;E notes that </w:t>
      </w:r>
      <w:r w:rsidR="00164BFA">
        <w:t xml:space="preserve">both </w:t>
      </w:r>
      <w:r w:rsidR="009D09E9">
        <w:t xml:space="preserve">SCADA and AMI </w:t>
      </w:r>
      <w:r w:rsidR="005B4120">
        <w:t xml:space="preserve">solutions </w:t>
      </w:r>
      <w:r w:rsidR="00F32365">
        <w:t xml:space="preserve">also </w:t>
      </w:r>
      <w:r w:rsidR="00F22888">
        <w:t xml:space="preserve">provide net loading data, </w:t>
      </w:r>
      <w:r w:rsidR="002877E0">
        <w:t>"</w:t>
      </w:r>
      <w:r w:rsidR="00F22888">
        <w:t>which</w:t>
      </w:r>
      <w:r w:rsidR="002877E0">
        <w:t xml:space="preserve"> does not help with the masked load </w:t>
      </w:r>
      <w:r w:rsidR="00963879">
        <w:t>i</w:t>
      </w:r>
      <w:r w:rsidR="002877E0">
        <w:t>ssues presented by DERs."</w:t>
      </w:r>
      <w:r w:rsidR="00F33339">
        <w:rPr>
          <w:rStyle w:val="FootnoteReference"/>
        </w:rPr>
        <w:footnoteReference w:id="12"/>
      </w:r>
      <w:r w:rsidR="007C04A2">
        <w:rPr>
          <w:vertAlign w:val="superscript"/>
        </w:rPr>
        <w:t>,</w:t>
      </w:r>
      <w:r w:rsidRPr="007C04A2" w:rsidR="007C04A2">
        <w:rPr>
          <w:rStyle w:val="FootnoteReference"/>
        </w:rPr>
        <w:t xml:space="preserve"> </w:t>
      </w:r>
      <w:r w:rsidR="007C04A2">
        <w:rPr>
          <w:rStyle w:val="FootnoteReference"/>
        </w:rPr>
        <w:footnoteReference w:id="13"/>
      </w:r>
      <w:r w:rsidR="004330A4">
        <w:t xml:space="preserve"> </w:t>
      </w:r>
      <w:r w:rsidR="00227D1F">
        <w:t xml:space="preserve">PG&amp;E asserts that </w:t>
      </w:r>
      <w:r w:rsidR="009321C2">
        <w:t xml:space="preserve">a telemetry solution using </w:t>
      </w:r>
      <w:r w:rsidR="005A66FC">
        <w:t xml:space="preserve">the </w:t>
      </w:r>
      <w:r w:rsidR="009321C2">
        <w:t>IEEE</w:t>
      </w:r>
      <w:r w:rsidR="005A66FC">
        <w:t xml:space="preserve"> 2030.5 communication protocol</w:t>
      </w:r>
      <w:r w:rsidR="009E184F">
        <w:t xml:space="preserve"> </w:t>
      </w:r>
      <w:r w:rsidR="000671DC">
        <w:t>"will address the challenges with the existing solutions by identifying masked load effects, creating a near real-time system integrated with PG&amp;E Operations, and reducing costs for customers."</w:t>
      </w:r>
      <w:r w:rsidR="000671DC">
        <w:rPr>
          <w:rStyle w:val="FootnoteReference"/>
        </w:rPr>
        <w:footnoteReference w:id="14"/>
      </w:r>
      <w:r w:rsidR="00E25101">
        <w:t xml:space="preserve"> </w:t>
      </w:r>
    </w:p>
    <w:p w:rsidR="00B157FE" w:rsidP="00195A69" w:rsidRDefault="00B157FE" w14:paraId="55452928" w14:textId="5948B73A"/>
    <w:p w:rsidR="00195A69" w:rsidP="00B6658A" w:rsidRDefault="003842C4" w14:paraId="2CB81F5B" w14:textId="50659A19">
      <w:r w:rsidRPr="00670BB8">
        <w:rPr>
          <w:szCs w:val="26"/>
        </w:rPr>
        <w:lastRenderedPageBreak/>
        <w:t xml:space="preserve">AL </w:t>
      </w:r>
      <w:r>
        <w:t>5595</w:t>
      </w:r>
      <w:r w:rsidRPr="00670BB8">
        <w:rPr>
          <w:szCs w:val="26"/>
        </w:rPr>
        <w:t>-E</w:t>
      </w:r>
      <w:r w:rsidR="00B157FE">
        <w:t xml:space="preserve"> indicates that </w:t>
      </w:r>
      <w:r>
        <w:t>PG&amp;E</w:t>
      </w:r>
      <w:r w:rsidR="00B157FE">
        <w:t xml:space="preserve"> will </w:t>
      </w:r>
      <w:r w:rsidR="004E13CA">
        <w:t xml:space="preserve">carry out a </w:t>
      </w:r>
      <w:r w:rsidRPr="00BB7571" w:rsidR="00BB7571">
        <w:t xml:space="preserve">pilot that will utilize the DER </w:t>
      </w:r>
      <w:r w:rsidR="00C62F06">
        <w:t>h</w:t>
      </w:r>
      <w:r w:rsidRPr="00BB7571" w:rsidR="00BB7571">
        <w:t>eadend platform</w:t>
      </w:r>
      <w:r w:rsidR="00F45441">
        <w:rPr>
          <w:rStyle w:val="FootnoteReference"/>
        </w:rPr>
        <w:footnoteReference w:id="15"/>
      </w:r>
      <w:r w:rsidRPr="00BB7571" w:rsidR="00BB7571">
        <w:t xml:space="preserve"> in order to “(</w:t>
      </w:r>
      <w:proofErr w:type="spellStart"/>
      <w:r w:rsidRPr="00BB7571" w:rsidR="00BB7571">
        <w:t>i</w:t>
      </w:r>
      <w:proofErr w:type="spellEnd"/>
      <w:r w:rsidRPr="00BB7571" w:rsidR="00BB7571">
        <w:t>) prove out the target of lowering utility-related telemetry costs below $20,000, and (ii) enable design around the future IEEE</w:t>
      </w:r>
      <w:r w:rsidR="00571E43">
        <w:t xml:space="preserve"> </w:t>
      </w:r>
      <w:r w:rsidRPr="00BB7571" w:rsidR="00BB7571">
        <w:t>2030.5 DER communications standards that will provide PG&amp;E a way to monitor</w:t>
      </w:r>
      <w:r w:rsidR="00A1190A">
        <w:t xml:space="preserve"> and control smart inverter based DERs.</w:t>
      </w:r>
      <w:r w:rsidR="00C616F8">
        <w:t>”</w:t>
      </w:r>
      <w:r w:rsidR="00987B65">
        <w:rPr>
          <w:rStyle w:val="FootnoteReference"/>
        </w:rPr>
        <w:footnoteReference w:id="16"/>
      </w:r>
      <w:r w:rsidR="00196880">
        <w:t xml:space="preserve"> The pilot </w:t>
      </w:r>
      <w:r w:rsidR="006B291E">
        <w:t>wa</w:t>
      </w:r>
      <w:r w:rsidR="00196880">
        <w:t xml:space="preserve">s </w:t>
      </w:r>
      <w:r w:rsidR="00917D41">
        <w:t xml:space="preserve">originally scheduled </w:t>
      </w:r>
      <w:r w:rsidR="00196880">
        <w:t>to run through the end of 2020</w:t>
      </w:r>
      <w:r w:rsidR="00A02C46">
        <w:t>;</w:t>
      </w:r>
      <w:r w:rsidR="00F54C6A">
        <w:t xml:space="preserve"> </w:t>
      </w:r>
      <w:r w:rsidR="006E13FD">
        <w:t xml:space="preserve">this effort is now ongoing, and </w:t>
      </w:r>
      <w:r w:rsidR="002F3689">
        <w:t>field testing is set to be completed in 2021</w:t>
      </w:r>
      <w:r w:rsidR="00BF6CF1">
        <w:t>.</w:t>
      </w:r>
      <w:r w:rsidR="002F3689">
        <w:t xml:space="preserve"> </w:t>
      </w:r>
      <w:r w:rsidR="00BF6CF1">
        <w:t xml:space="preserve"> </w:t>
      </w:r>
      <w:r w:rsidR="002F3689">
        <w:t>A</w:t>
      </w:r>
      <w:r w:rsidR="00196880">
        <w:t>fter</w:t>
      </w:r>
      <w:r w:rsidR="00EB16CB">
        <w:t xml:space="preserve"> th</w:t>
      </w:r>
      <w:r w:rsidR="00672197">
        <w:t>at</w:t>
      </w:r>
      <w:r w:rsidR="00EB16CB">
        <w:t xml:space="preserve">, </w:t>
      </w:r>
      <w:r w:rsidR="00196880">
        <w:t xml:space="preserve">PG&amp;E </w:t>
      </w:r>
      <w:r w:rsidR="00E36D77">
        <w:t>proposes to transition towards an in-production system</w:t>
      </w:r>
      <w:r w:rsidR="00782BB8">
        <w:rPr>
          <w:rStyle w:val="FootnoteReference"/>
        </w:rPr>
        <w:footnoteReference w:id="17"/>
      </w:r>
      <w:r w:rsidR="00E36D77">
        <w:t xml:space="preserve"> for widescale field deployment.</w:t>
      </w:r>
      <w:r w:rsidR="00454EE4">
        <w:rPr>
          <w:rStyle w:val="FootnoteReference"/>
        </w:rPr>
        <w:footnoteReference w:id="18"/>
      </w:r>
      <w:r w:rsidR="00E36D77">
        <w:t xml:space="preserve"> </w:t>
      </w:r>
      <w:r w:rsidRPr="00670BB8" w:rsidR="00DB58E2">
        <w:rPr>
          <w:szCs w:val="26"/>
        </w:rPr>
        <w:t xml:space="preserve">AL </w:t>
      </w:r>
      <w:r w:rsidR="00DB58E2">
        <w:t>5595</w:t>
      </w:r>
      <w:r w:rsidRPr="00670BB8" w:rsidR="00DB58E2">
        <w:rPr>
          <w:szCs w:val="26"/>
        </w:rPr>
        <w:t>-E</w:t>
      </w:r>
      <w:r w:rsidR="00DB58E2">
        <w:rPr>
          <w:szCs w:val="26"/>
        </w:rPr>
        <w:t xml:space="preserve"> indicates that PG&amp;E will roll </w:t>
      </w:r>
      <w:r w:rsidR="00446F40">
        <w:rPr>
          <w:szCs w:val="26"/>
        </w:rPr>
        <w:t xml:space="preserve">out </w:t>
      </w:r>
      <w:r w:rsidR="00DB58E2">
        <w:rPr>
          <w:szCs w:val="26"/>
        </w:rPr>
        <w:t xml:space="preserve">the </w:t>
      </w:r>
      <w:r w:rsidR="00446F40">
        <w:rPr>
          <w:szCs w:val="26"/>
        </w:rPr>
        <w:t xml:space="preserve">IEEE </w:t>
      </w:r>
      <w:r w:rsidR="00CF5FA0">
        <w:rPr>
          <w:szCs w:val="26"/>
        </w:rPr>
        <w:t xml:space="preserve">2030.5-based solution to </w:t>
      </w:r>
      <w:r w:rsidR="00A73772">
        <w:rPr>
          <w:szCs w:val="26"/>
        </w:rPr>
        <w:t xml:space="preserve">systems of or greater than 1 MW before </w:t>
      </w:r>
      <w:r w:rsidR="00564A5C">
        <w:rPr>
          <w:szCs w:val="26"/>
        </w:rPr>
        <w:t xml:space="preserve">considering whether to </w:t>
      </w:r>
      <w:r w:rsidR="00A73772">
        <w:rPr>
          <w:szCs w:val="26"/>
        </w:rPr>
        <w:t>exp</w:t>
      </w:r>
      <w:r w:rsidR="007E3F34">
        <w:rPr>
          <w:szCs w:val="26"/>
        </w:rPr>
        <w:t>a</w:t>
      </w:r>
      <w:r w:rsidR="00A73772">
        <w:rPr>
          <w:szCs w:val="26"/>
        </w:rPr>
        <w:t xml:space="preserve">nd the </w:t>
      </w:r>
      <w:r w:rsidR="007E3F34">
        <w:rPr>
          <w:szCs w:val="26"/>
        </w:rPr>
        <w:t>requirements</w:t>
      </w:r>
      <w:r w:rsidR="00A73772">
        <w:rPr>
          <w:szCs w:val="26"/>
        </w:rPr>
        <w:t xml:space="preserve"> to </w:t>
      </w:r>
      <w:r w:rsidR="007E3F34">
        <w:rPr>
          <w:szCs w:val="26"/>
        </w:rPr>
        <w:t>systems</w:t>
      </w:r>
      <w:r w:rsidR="00A73772">
        <w:rPr>
          <w:szCs w:val="26"/>
        </w:rPr>
        <w:t xml:space="preserve"> between </w:t>
      </w:r>
      <w:r w:rsidRPr="00E1706B" w:rsidR="007E3F34">
        <w:rPr>
          <w:szCs w:val="26"/>
        </w:rPr>
        <w:t xml:space="preserve">250 kW and </w:t>
      </w:r>
      <w:r w:rsidR="00312AE7">
        <w:rPr>
          <w:szCs w:val="26"/>
        </w:rPr>
        <w:t>1</w:t>
      </w:r>
      <w:r w:rsidRPr="00E1706B" w:rsidR="007E3F34">
        <w:rPr>
          <w:szCs w:val="26"/>
        </w:rPr>
        <w:t xml:space="preserve"> MW</w:t>
      </w:r>
      <w:r w:rsidR="007E3F34">
        <w:rPr>
          <w:szCs w:val="26"/>
        </w:rPr>
        <w:t>.</w:t>
      </w:r>
      <w:r w:rsidR="00690B9E">
        <w:rPr>
          <w:szCs w:val="26"/>
        </w:rPr>
        <w:t xml:space="preserve"> </w:t>
      </w:r>
      <w:r w:rsidR="00307FDA">
        <w:rPr>
          <w:szCs w:val="26"/>
        </w:rPr>
        <w:t xml:space="preserve">While </w:t>
      </w:r>
      <w:r w:rsidRPr="00670BB8">
        <w:rPr>
          <w:szCs w:val="26"/>
        </w:rPr>
        <w:t xml:space="preserve">AL </w:t>
      </w:r>
      <w:r>
        <w:t>5595</w:t>
      </w:r>
      <w:r w:rsidRPr="00670BB8">
        <w:rPr>
          <w:szCs w:val="26"/>
        </w:rPr>
        <w:t>-E</w:t>
      </w:r>
      <w:r w:rsidR="0023772A">
        <w:rPr>
          <w:szCs w:val="26"/>
        </w:rPr>
        <w:t xml:space="preserve"> </w:t>
      </w:r>
      <w:r w:rsidR="0023772A">
        <w:t xml:space="preserve">provides some </w:t>
      </w:r>
      <w:r w:rsidRPr="00692CA0" w:rsidR="0023772A">
        <w:t>preliminary functional and technical requirements</w:t>
      </w:r>
      <w:r w:rsidR="00307FDA">
        <w:t xml:space="preserve">, it </w:t>
      </w:r>
      <w:r w:rsidR="0023772A">
        <w:t>notes that requirements will be further refined through the pilot.</w:t>
      </w:r>
      <w:r w:rsidR="005E6B5D">
        <w:rPr>
          <w:rStyle w:val="FootnoteReference"/>
        </w:rPr>
        <w:footnoteReference w:id="19"/>
      </w:r>
    </w:p>
    <w:p w:rsidR="005C346E" w:rsidP="00717855" w:rsidRDefault="005C346E" w14:paraId="076CC29E" w14:textId="77777777"/>
    <w:p w:rsidR="003919D4" w:rsidP="00717855" w:rsidRDefault="005C346E" w14:paraId="1E3AC794" w14:textId="38A4297A">
      <w:r>
        <w:t xml:space="preserve">Like </w:t>
      </w:r>
      <w:r w:rsidRPr="00670BB8" w:rsidR="00850160">
        <w:rPr>
          <w:szCs w:val="26"/>
        </w:rPr>
        <w:t xml:space="preserve">PG&amp;E AL </w:t>
      </w:r>
      <w:r w:rsidR="00850160">
        <w:t>5595</w:t>
      </w:r>
      <w:r w:rsidRPr="00670BB8" w:rsidR="00850160">
        <w:rPr>
          <w:szCs w:val="26"/>
        </w:rPr>
        <w:t>-E</w:t>
      </w:r>
      <w:r w:rsidR="00850160">
        <w:rPr>
          <w:szCs w:val="26"/>
        </w:rPr>
        <w:t xml:space="preserve">, </w:t>
      </w:r>
      <w:r w:rsidR="004D53B9">
        <w:t xml:space="preserve">SCE AL </w:t>
      </w:r>
      <w:r w:rsidR="00C05DAE">
        <w:t xml:space="preserve">4044-E </w:t>
      </w:r>
      <w:r w:rsidR="000164DC">
        <w:t xml:space="preserve">proposes to </w:t>
      </w:r>
      <w:r w:rsidR="007B43CA">
        <w:t xml:space="preserve">leverage IEEE 2030.5 and smart inverter </w:t>
      </w:r>
      <w:r w:rsidR="00045DC1">
        <w:t xml:space="preserve">data </w:t>
      </w:r>
      <w:r w:rsidR="007B43CA">
        <w:t xml:space="preserve">to enable </w:t>
      </w:r>
      <w:r w:rsidR="00EA56E0">
        <w:t>low-cost</w:t>
      </w:r>
      <w:r w:rsidR="007B43CA">
        <w:t xml:space="preserve"> telemetry. </w:t>
      </w:r>
      <w:r w:rsidR="00717855">
        <w:t xml:space="preserve">“SCE is currently developing and building a communication </w:t>
      </w:r>
      <w:r w:rsidR="006F3B66">
        <w:t>infrastructure</w:t>
      </w:r>
      <w:r w:rsidR="00717855">
        <w:t xml:space="preserve"> that will allow</w:t>
      </w:r>
      <w:r w:rsidR="006F3B66">
        <w:t xml:space="preserve"> </w:t>
      </w:r>
      <w:r w:rsidR="00717855">
        <w:t>SCE to communicate with DERs via the IEEE 2030.5 protocol</w:t>
      </w:r>
      <w:r w:rsidR="006F3B66">
        <w:t>” with completion projected for mid</w:t>
      </w:r>
      <w:r w:rsidR="004F55C4">
        <w:t>-</w:t>
      </w:r>
      <w:r w:rsidR="006F3B66">
        <w:t>2022.</w:t>
      </w:r>
      <w:r w:rsidR="00D24956">
        <w:rPr>
          <w:rStyle w:val="FootnoteReference"/>
        </w:rPr>
        <w:footnoteReference w:id="20"/>
      </w:r>
      <w:r w:rsidR="00D24956">
        <w:t xml:space="preserve"> SCE proposes to </w:t>
      </w:r>
      <w:r w:rsidR="00312AE7">
        <w:t>lower the threshold for telemetry</w:t>
      </w:r>
      <w:r w:rsidR="00D24956">
        <w:t xml:space="preserve"> requirements t</w:t>
      </w:r>
      <w:r w:rsidR="00312AE7">
        <w:t xml:space="preserve">o 250 kW only after </w:t>
      </w:r>
      <w:r w:rsidR="00340BD1">
        <w:t>t</w:t>
      </w:r>
      <w:r w:rsidR="00B648A9">
        <w:t xml:space="preserve">his communications </w:t>
      </w:r>
      <w:r w:rsidR="00340BD1">
        <w:t>infrastructure is in place</w:t>
      </w:r>
      <w:r w:rsidR="00B648A9">
        <w:t xml:space="preserve">. </w:t>
      </w:r>
    </w:p>
    <w:p w:rsidRPr="006F3B66" w:rsidR="003919D4" w:rsidP="00717855" w:rsidRDefault="003919D4" w14:paraId="3F7DE995" w14:textId="77777777"/>
    <w:p w:rsidR="001C73B2" w:rsidRDefault="003919D4" w14:paraId="2FC94C48" w14:textId="09262A3F">
      <w:r>
        <w:t xml:space="preserve">SCE compares the proposed </w:t>
      </w:r>
      <w:r w:rsidR="000E1AED">
        <w:t xml:space="preserve">IEEE </w:t>
      </w:r>
      <w:r>
        <w:t>2030.5-based solution with two alternatives</w:t>
      </w:r>
      <w:r w:rsidR="00F947E7">
        <w:t>. The first alternative would utilize a</w:t>
      </w:r>
      <w:r>
        <w:t xml:space="preserve"> SCADA </w:t>
      </w:r>
      <w:r w:rsidR="00F947E7">
        <w:t xml:space="preserve">Distribution Automation Device. AL 4044-E indicates that this </w:t>
      </w:r>
      <w:r w:rsidR="00AF1B09">
        <w:t>alternative</w:t>
      </w:r>
      <w:r w:rsidR="00F947E7">
        <w:t xml:space="preserve"> solution would </w:t>
      </w:r>
      <w:r w:rsidR="004A28DB">
        <w:t xml:space="preserve">only allow visibility into </w:t>
      </w:r>
      <w:proofErr w:type="spellStart"/>
      <w:r w:rsidR="004A28DB">
        <w:t>net</w:t>
      </w:r>
      <w:proofErr w:type="spellEnd"/>
      <w:r w:rsidR="004A28DB">
        <w:t xml:space="preserve"> generation and hence would not resolve load</w:t>
      </w:r>
      <w:r w:rsidR="009F49A9">
        <w:t xml:space="preserve"> </w:t>
      </w:r>
      <w:r w:rsidR="004A28DB">
        <w:t>masking</w:t>
      </w:r>
      <w:r w:rsidR="0028052F">
        <w:t xml:space="preserve"> </w:t>
      </w:r>
      <w:r w:rsidR="004A28DB">
        <w:t>issues. Moreover, it would result in utility-related</w:t>
      </w:r>
      <w:r>
        <w:t xml:space="preserve"> cost</w:t>
      </w:r>
      <w:r w:rsidR="004A28DB">
        <w:t>s</w:t>
      </w:r>
      <w:r>
        <w:t xml:space="preserve"> </w:t>
      </w:r>
      <w:proofErr w:type="gramStart"/>
      <w:r>
        <w:t>in excess of</w:t>
      </w:r>
      <w:proofErr w:type="gramEnd"/>
      <w:r>
        <w:t xml:space="preserve"> $20,000</w:t>
      </w:r>
      <w:r w:rsidR="001517D3">
        <w:t xml:space="preserve">, according to </w:t>
      </w:r>
      <w:r w:rsidR="00CF5641">
        <w:t>SCE's</w:t>
      </w:r>
      <w:r w:rsidR="00C77F67">
        <w:t xml:space="preserve"> </w:t>
      </w:r>
      <w:r w:rsidR="00CF5641">
        <w:t xml:space="preserve">published </w:t>
      </w:r>
      <w:r w:rsidR="00C77F67">
        <w:t>Unit Cost Guide</w:t>
      </w:r>
      <w:r>
        <w:t>.</w:t>
      </w:r>
      <w:r w:rsidR="00C77F67">
        <w:rPr>
          <w:rStyle w:val="FootnoteReference"/>
        </w:rPr>
        <w:footnoteReference w:id="21"/>
      </w:r>
      <w:r>
        <w:t xml:space="preserve"> </w:t>
      </w:r>
      <w:r w:rsidR="004A28DB">
        <w:t xml:space="preserve">The second alternative would utilize </w:t>
      </w:r>
      <w:r>
        <w:t>existing AMI capabilities</w:t>
      </w:r>
      <w:r w:rsidR="00435B73">
        <w:t xml:space="preserve"> but would likewise fail to address concerns around load</w:t>
      </w:r>
      <w:r w:rsidR="009F49A9">
        <w:t xml:space="preserve"> </w:t>
      </w:r>
      <w:r w:rsidR="00435B73">
        <w:t xml:space="preserve">masking. </w:t>
      </w:r>
      <w:r w:rsidR="00265573">
        <w:t xml:space="preserve">AL 4044-E also </w:t>
      </w:r>
      <w:r w:rsidR="00265573">
        <w:lastRenderedPageBreak/>
        <w:t xml:space="preserve">raises concerns that AMI data is not retrieved frequently enough to inform </w:t>
      </w:r>
      <w:r w:rsidR="00BD2397">
        <w:t xml:space="preserve">grid </w:t>
      </w:r>
      <w:r w:rsidR="00265573">
        <w:t>operations</w:t>
      </w:r>
      <w:r w:rsidR="00BD2397">
        <w:t xml:space="preserve"> decisions. </w:t>
      </w:r>
      <w:r w:rsidR="00265573">
        <w:t xml:space="preserve"> </w:t>
      </w:r>
    </w:p>
    <w:p w:rsidR="00782F08" w:rsidRDefault="00782F08" w14:paraId="055AE5D0" w14:textId="0B2F0EB1"/>
    <w:p w:rsidR="00782F08" w:rsidRDefault="00782F08" w14:paraId="275363A2" w14:textId="6ACBF190">
      <w:r>
        <w:t xml:space="preserve">SCE provides </w:t>
      </w:r>
      <w:r w:rsidR="005E3CEC">
        <w:t xml:space="preserve">proposed telemetry </w:t>
      </w:r>
      <w:r>
        <w:t xml:space="preserve">technical requirements </w:t>
      </w:r>
      <w:r w:rsidR="005E3CEC">
        <w:t xml:space="preserve">in an </w:t>
      </w:r>
      <w:r w:rsidR="00D36940">
        <w:t>attachment</w:t>
      </w:r>
      <w:r w:rsidR="005E3CEC">
        <w:t xml:space="preserve"> to </w:t>
      </w:r>
      <w:r>
        <w:t>AL 4044-E</w:t>
      </w:r>
      <w:r w:rsidR="005E3CEC">
        <w:t xml:space="preserve">. </w:t>
      </w:r>
      <w:r w:rsidR="00E66321">
        <w:t>In addition, AL 4044-E provides estimates of both utility</w:t>
      </w:r>
      <w:r w:rsidR="004572A5">
        <w:t xml:space="preserve">-related and non-utility-related costs. However, SCE notes that the costs of ongoing communications services are not well understood at this time and might be reduced </w:t>
      </w:r>
      <w:r w:rsidR="008250E3">
        <w:t>as the volume of projects using the ser</w:t>
      </w:r>
      <w:r w:rsidR="00B10CF1">
        <w:t>v</w:t>
      </w:r>
      <w:r w:rsidR="008250E3">
        <w:t>i</w:t>
      </w:r>
      <w:r w:rsidR="00B10CF1">
        <w:t>c</w:t>
      </w:r>
      <w:r w:rsidR="008250E3">
        <w:t>es increases.</w:t>
      </w:r>
    </w:p>
    <w:p w:rsidR="005802D6" w:rsidRDefault="005802D6" w14:paraId="2CFF10A9" w14:textId="502EEACD"/>
    <w:p w:rsidR="005802D6" w:rsidRDefault="005802D6" w14:paraId="32F29849" w14:textId="1704F0CF">
      <w:r>
        <w:t xml:space="preserve">SDG&amp;E AL </w:t>
      </w:r>
      <w:r w:rsidR="00082E2F">
        <w:t>3407-E does not propose to reduce the telemet</w:t>
      </w:r>
      <w:r w:rsidR="002367A3">
        <w:t>ry</w:t>
      </w:r>
      <w:r w:rsidR="00082E2F">
        <w:t xml:space="preserve"> threshold to 250 kW at this time, suggesting instead that </w:t>
      </w:r>
      <w:r w:rsidR="002367A3">
        <w:t>all DERs</w:t>
      </w:r>
      <w:r w:rsidR="00CF0FA7">
        <w:t>, regardless of size,</w:t>
      </w:r>
      <w:r w:rsidR="002367A3">
        <w:t xml:space="preserve"> should be required to provide telemetry </w:t>
      </w:r>
      <w:r w:rsidR="00F7008E">
        <w:t xml:space="preserve">once IEEE 2030.5 has been fully implemented. </w:t>
      </w:r>
      <w:r w:rsidR="007F540B">
        <w:t xml:space="preserve">AL 3407-E reports that SDG&amp;E is moving to an internet-based solution in the interim period </w:t>
      </w:r>
      <w:r w:rsidR="00C72936">
        <w:t xml:space="preserve">and provides technical requirements in an </w:t>
      </w:r>
      <w:r w:rsidR="00FB7CC6">
        <w:t>attachment</w:t>
      </w:r>
      <w:r w:rsidR="00C72936">
        <w:t xml:space="preserve">. </w:t>
      </w:r>
      <w:r w:rsidR="00532D9F">
        <w:t xml:space="preserve">The proposed solution </w:t>
      </w:r>
      <w:r w:rsidR="00C41202">
        <w:t>wou</w:t>
      </w:r>
      <w:r w:rsidR="009565BE">
        <w:t xml:space="preserve">ld </w:t>
      </w:r>
      <w:r w:rsidR="003E61D2">
        <w:t xml:space="preserve">transport the generator </w:t>
      </w:r>
      <w:r w:rsidR="0081769B">
        <w:t>dat</w:t>
      </w:r>
      <w:r w:rsidR="00956F23">
        <w:t>a</w:t>
      </w:r>
      <w:r w:rsidR="003E61D2">
        <w:t xml:space="preserve"> over public Internet</w:t>
      </w:r>
      <w:r w:rsidR="00C35C29">
        <w:t xml:space="preserve"> to </w:t>
      </w:r>
      <w:r w:rsidR="00EA7CB3">
        <w:t>a</w:t>
      </w:r>
      <w:r w:rsidR="00874D2E">
        <w:t xml:space="preserve"> secure gateway </w:t>
      </w:r>
      <w:r w:rsidR="00521878">
        <w:t xml:space="preserve">at </w:t>
      </w:r>
      <w:r w:rsidR="00874D2E">
        <w:t>SDG&amp;E's Data Center</w:t>
      </w:r>
      <w:r w:rsidR="002D0CEE">
        <w:t xml:space="preserve">. </w:t>
      </w:r>
      <w:r w:rsidR="0025327F">
        <w:t xml:space="preserve">It </w:t>
      </w:r>
      <w:r w:rsidR="00B92BFD">
        <w:t xml:space="preserve">would then be </w:t>
      </w:r>
      <w:r w:rsidR="008D3CEB">
        <w:t>"</w:t>
      </w:r>
      <w:r w:rsidR="00B92BFD">
        <w:t xml:space="preserve">transported </w:t>
      </w:r>
      <w:r w:rsidR="00AA2D8E">
        <w:t xml:space="preserve">to </w:t>
      </w:r>
      <w:r w:rsidR="008D3CEB">
        <w:t>SDG&amp;E's Control Center for use by the system operators."</w:t>
      </w:r>
      <w:r w:rsidR="008D3CEB">
        <w:rPr>
          <w:rStyle w:val="FootnoteReference"/>
        </w:rPr>
        <w:footnoteReference w:id="22"/>
      </w:r>
    </w:p>
    <w:p w:rsidR="005000CF" w:rsidRDefault="005000CF" w14:paraId="78E7EABA" w14:textId="7424CB71"/>
    <w:p w:rsidR="005000CF" w:rsidRDefault="00D450B3" w14:paraId="429DA137" w14:textId="64D596FC">
      <w:r>
        <w:t>AL 3407-E c</w:t>
      </w:r>
      <w:r w:rsidR="005000CF">
        <w:t xml:space="preserve">ompares </w:t>
      </w:r>
      <w:r w:rsidR="001A0BB3">
        <w:t xml:space="preserve">the </w:t>
      </w:r>
      <w:r w:rsidR="009D0B4F">
        <w:t>proposed</w:t>
      </w:r>
      <w:r w:rsidR="001A0BB3">
        <w:t xml:space="preserve"> internet-based telemetry with </w:t>
      </w:r>
      <w:r w:rsidR="00001208">
        <w:t xml:space="preserve">SCADA data collection </w:t>
      </w:r>
      <w:r w:rsidDel="00EF4138" w:rsidR="00001208">
        <w:t xml:space="preserve">and </w:t>
      </w:r>
      <w:r w:rsidR="00706E58">
        <w:t xml:space="preserve">notes </w:t>
      </w:r>
      <w:r w:rsidR="00001208">
        <w:t xml:space="preserve">that </w:t>
      </w:r>
      <w:r w:rsidR="00706E58">
        <w:t>the cost of a SCADA device would be much higher than that of SDG&amp;E</w:t>
      </w:r>
      <w:r w:rsidR="000E3106">
        <w:t>'s</w:t>
      </w:r>
      <w:r w:rsidR="00706E58">
        <w:t xml:space="preserve"> proposed </w:t>
      </w:r>
      <w:r w:rsidR="000A1BDA">
        <w:t xml:space="preserve">telemetry solution. AL 3407-E </w:t>
      </w:r>
      <w:r w:rsidR="00706E58">
        <w:t>concludes</w:t>
      </w:r>
      <w:r w:rsidR="000A1BDA">
        <w:t xml:space="preserve"> that smart inverters will provide a good solution for </w:t>
      </w:r>
      <w:r w:rsidR="0048269A">
        <w:t xml:space="preserve">telemetry </w:t>
      </w:r>
      <w:r w:rsidR="000A1BDA">
        <w:t xml:space="preserve">of smaller systems </w:t>
      </w:r>
      <w:r w:rsidR="003E7CE4">
        <w:t xml:space="preserve">in the future. </w:t>
      </w:r>
    </w:p>
    <w:p w:rsidR="00435B73" w:rsidRDefault="00435B73" w14:paraId="6AFC6782" w14:textId="77777777">
      <w:pPr>
        <w:rPr>
          <w:b/>
          <w:u w:val="single"/>
        </w:rPr>
      </w:pPr>
    </w:p>
    <w:p w:rsidR="00CF17DE" w:rsidRDefault="00394B3A" w14:paraId="66788129" w14:textId="77777777">
      <w:pPr>
        <w:pStyle w:val="Heading1"/>
      </w:pPr>
      <w:r>
        <w:t>Notice</w:t>
      </w:r>
    </w:p>
    <w:p w:rsidR="00CF17DE" w:rsidRDefault="00CF17DE" w14:paraId="37FFE207" w14:textId="16008E10">
      <w:r>
        <w:t>Notice of AL</w:t>
      </w:r>
      <w:r w:rsidR="00591284">
        <w:t>s</w:t>
      </w:r>
      <w:r>
        <w:t xml:space="preserve"> </w:t>
      </w:r>
      <w:r w:rsidR="00591284">
        <w:t xml:space="preserve">5595-E, 4044-E, and 3407-E </w:t>
      </w:r>
      <w:r>
        <w:t>was made by publication in the C</w:t>
      </w:r>
      <w:r w:rsidR="00C00F8C">
        <w:t>PUC</w:t>
      </w:r>
      <w:r>
        <w:t xml:space="preserve">’s Daily Calendar.  </w:t>
      </w:r>
      <w:r w:rsidR="00591284">
        <w:rPr>
          <w:szCs w:val="26"/>
        </w:rPr>
        <w:t xml:space="preserve">Pacific Gas and Electric, Southern California Edison, and San Diego Gas &amp; Electric state that a copy of </w:t>
      </w:r>
      <w:r w:rsidR="006725D6">
        <w:rPr>
          <w:szCs w:val="26"/>
        </w:rPr>
        <w:t xml:space="preserve">each </w:t>
      </w:r>
      <w:r w:rsidR="00591284">
        <w:rPr>
          <w:szCs w:val="26"/>
        </w:rPr>
        <w:t xml:space="preserve">Advice Letter was mailed and distributed in accordance with Section 4 of General Order 96-B. The ALs were served to </w:t>
      </w:r>
      <w:r w:rsidR="006725D6">
        <w:rPr>
          <w:szCs w:val="26"/>
        </w:rPr>
        <w:t xml:space="preserve">the </w:t>
      </w:r>
      <w:r w:rsidR="00591284">
        <w:rPr>
          <w:szCs w:val="26"/>
        </w:rPr>
        <w:t>Service List</w:t>
      </w:r>
      <w:r w:rsidR="00B246E7">
        <w:rPr>
          <w:szCs w:val="26"/>
        </w:rPr>
        <w:t>s for R.11-09-011</w:t>
      </w:r>
      <w:r w:rsidR="00C9371B">
        <w:rPr>
          <w:szCs w:val="26"/>
        </w:rPr>
        <w:t xml:space="preserve"> and</w:t>
      </w:r>
      <w:r w:rsidR="00591284">
        <w:rPr>
          <w:szCs w:val="26"/>
        </w:rPr>
        <w:t xml:space="preserve"> R.17-07-007.</w:t>
      </w:r>
    </w:p>
    <w:p w:rsidR="00CF17DE" w:rsidRDefault="00CF17DE" w14:paraId="6E8F021A" w14:textId="77777777"/>
    <w:p w:rsidR="00CF17DE" w:rsidRDefault="00CF17DE" w14:paraId="7F509E4C" w14:textId="77777777">
      <w:pPr>
        <w:pStyle w:val="Heading1"/>
      </w:pPr>
      <w:r>
        <w:lastRenderedPageBreak/>
        <w:t>Protests</w:t>
      </w:r>
    </w:p>
    <w:p w:rsidR="00CF17DE" w:rsidRDefault="002A695A" w14:paraId="52D5B761" w14:textId="3C91D8A0">
      <w:r>
        <w:t xml:space="preserve">On August 15, 2019, </w:t>
      </w:r>
      <w:r w:rsidR="00CF17DE">
        <w:t>Advice Letter</w:t>
      </w:r>
      <w:r w:rsidR="00591284">
        <w:t>s</w:t>
      </w:r>
      <w:r w:rsidR="00CF17DE">
        <w:t xml:space="preserve"> </w:t>
      </w:r>
      <w:r w:rsidR="00591284">
        <w:t xml:space="preserve">5595-E, 4044-E, and 3407-E were timely </w:t>
      </w:r>
      <w:r w:rsidR="00CF17DE">
        <w:t>protested</w:t>
      </w:r>
      <w:r>
        <w:t xml:space="preserve"> by the </w:t>
      </w:r>
      <w:bookmarkStart w:name="_Hlk75524288" w:id="1"/>
      <w:r>
        <w:t>Interstate Renewable Energy Council, Inc. (IREC)</w:t>
      </w:r>
      <w:r w:rsidR="005E2B44">
        <w:t>, the Public Advocates Office (PAO),</w:t>
      </w:r>
      <w:r>
        <w:t xml:space="preserve"> and The California Solar &amp; Storage Association (CALSSA</w:t>
      </w:r>
      <w:bookmarkEnd w:id="1"/>
      <w:r>
        <w:t>)</w:t>
      </w:r>
      <w:r w:rsidR="005E2B44">
        <w:t>, (jointly, “the Parties”)</w:t>
      </w:r>
      <w:r>
        <w:t xml:space="preserve">. </w:t>
      </w:r>
    </w:p>
    <w:p w:rsidR="00CF17DE" w:rsidRDefault="00CF17DE" w14:paraId="536604AC" w14:textId="77777777"/>
    <w:p w:rsidR="00CF17DE" w:rsidRDefault="005E2B44" w14:paraId="0BCE1CF2" w14:textId="5BD2B874">
      <w:r>
        <w:t>PG&amp;E, SCE, and SDG&amp;E each</w:t>
      </w:r>
      <w:r w:rsidR="00CF17DE">
        <w:t xml:space="preserve"> </w:t>
      </w:r>
      <w:r>
        <w:t>replied</w:t>
      </w:r>
      <w:r w:rsidR="00CF17DE">
        <w:t xml:space="preserve"> to the protests of </w:t>
      </w:r>
      <w:r>
        <w:t xml:space="preserve">the Parties </w:t>
      </w:r>
      <w:r w:rsidR="00CF17DE">
        <w:t xml:space="preserve">on </w:t>
      </w:r>
      <w:r>
        <w:t xml:space="preserve">August 22, 2019. These replies were filed timely. </w:t>
      </w:r>
    </w:p>
    <w:p w:rsidR="00CF17DE" w:rsidRDefault="00CF17DE" w14:paraId="7D3916F3" w14:textId="77777777"/>
    <w:p w:rsidR="004B2B94" w:rsidRDefault="002A695A" w14:paraId="0677D8ED" w14:textId="2E1CFA17">
      <w:pPr>
        <w:rPr>
          <w:szCs w:val="26"/>
        </w:rPr>
      </w:pPr>
      <w:r>
        <w:rPr>
          <w:szCs w:val="26"/>
        </w:rPr>
        <w:t xml:space="preserve">We address </w:t>
      </w:r>
      <w:r w:rsidR="005E2B44">
        <w:rPr>
          <w:szCs w:val="26"/>
        </w:rPr>
        <w:t>the P</w:t>
      </w:r>
      <w:r>
        <w:rPr>
          <w:szCs w:val="26"/>
        </w:rPr>
        <w:t>arties’ protests</w:t>
      </w:r>
      <w:r w:rsidR="005E2B44">
        <w:rPr>
          <w:szCs w:val="26"/>
        </w:rPr>
        <w:t xml:space="preserve"> and the IOUs’ replies</w:t>
      </w:r>
      <w:r>
        <w:rPr>
          <w:szCs w:val="26"/>
        </w:rPr>
        <w:t xml:space="preserve"> in the Discussion Section below.</w:t>
      </w:r>
    </w:p>
    <w:p w:rsidRPr="00874C21" w:rsidR="004B2B94" w:rsidRDefault="004B2B94" w14:paraId="28B2FD27" w14:textId="77777777">
      <w:pPr>
        <w:rPr>
          <w:szCs w:val="26"/>
        </w:rPr>
      </w:pPr>
    </w:p>
    <w:p w:rsidR="00A3562D" w:rsidP="00DC711A" w:rsidRDefault="00CF17DE" w14:paraId="64DE0A7E" w14:textId="354E859C">
      <w:pPr>
        <w:pStyle w:val="Heading1"/>
      </w:pPr>
      <w:r>
        <w:t>Discussion</w:t>
      </w:r>
    </w:p>
    <w:p w:rsidR="002E78A1" w:rsidP="00137ACF" w:rsidRDefault="00A3562D" w14:paraId="618DF9BD" w14:textId="79816A85">
      <w:pPr>
        <w:rPr>
          <w:b/>
          <w:bCs/>
        </w:rPr>
      </w:pPr>
      <w:r w:rsidRPr="00237E00">
        <w:rPr>
          <w:b/>
          <w:bCs/>
        </w:rPr>
        <w:t xml:space="preserve">Issue </w:t>
      </w:r>
      <w:r w:rsidRPr="00237E00" w:rsidR="00DC711A">
        <w:rPr>
          <w:b/>
          <w:bCs/>
        </w:rPr>
        <w:t>1</w:t>
      </w:r>
      <w:r w:rsidRPr="00237E00">
        <w:rPr>
          <w:b/>
          <w:bCs/>
        </w:rPr>
        <w:t>:</w:t>
      </w:r>
      <w:r w:rsidRPr="00237E00" w:rsidR="00137ACF">
        <w:rPr>
          <w:b/>
          <w:bCs/>
        </w:rPr>
        <w:t xml:space="preserve"> Demonstration of Cost-Effectiveness</w:t>
      </w:r>
    </w:p>
    <w:p w:rsidR="00D52A09" w:rsidP="00EB6B8F" w:rsidRDefault="00061FEC" w14:paraId="1CF5A47A" w14:textId="710E1C95">
      <w:pPr>
        <w:rPr>
          <w:szCs w:val="26"/>
        </w:rPr>
      </w:pPr>
      <w:r>
        <w:t>We agree with IREC</w:t>
      </w:r>
      <w:r w:rsidR="00C7183F">
        <w:t>'s</w:t>
      </w:r>
      <w:r w:rsidR="009D0D0B">
        <w:t xml:space="preserve"> Protest of ALs 5595-E, 4044-E</w:t>
      </w:r>
      <w:r w:rsidR="00C7183F">
        <w:t>,</w:t>
      </w:r>
      <w:r w:rsidR="009D0D0B">
        <w:t xml:space="preserve"> and 3407-E that t</w:t>
      </w:r>
      <w:r w:rsidR="00D52A09">
        <w:t xml:space="preserve">he Utilities failed to </w:t>
      </w:r>
      <w:bookmarkStart w:name="_Hlk75524487" w:id="2"/>
      <w:r w:rsidR="00D52A09">
        <w:t xml:space="preserve">fully explain </w:t>
      </w:r>
      <w:r w:rsidR="00FC0E2C">
        <w:t>how the</w:t>
      </w:r>
      <w:r w:rsidR="00D52A09">
        <w:t xml:space="preserve"> </w:t>
      </w:r>
      <w:r w:rsidR="00FC0E2C">
        <w:t>benefits</w:t>
      </w:r>
      <w:r w:rsidR="00D52A09">
        <w:t xml:space="preserve"> of telemetry</w:t>
      </w:r>
      <w:r w:rsidR="00FD5B33">
        <w:t xml:space="preserve"> (e.g., </w:t>
      </w:r>
      <w:r w:rsidR="00294A7B">
        <w:t>identifying load masking</w:t>
      </w:r>
      <w:r w:rsidR="00093F2F">
        <w:t xml:space="preserve"> and</w:t>
      </w:r>
      <w:r w:rsidR="00294A7B">
        <w:t xml:space="preserve"> improving </w:t>
      </w:r>
      <w:r w:rsidR="00093F2F">
        <w:t xml:space="preserve">accuracy and temporal granularity of electricity </w:t>
      </w:r>
      <w:r w:rsidR="00294A7B">
        <w:t>production data</w:t>
      </w:r>
      <w:r w:rsidR="00093F2F">
        <w:t xml:space="preserve">) </w:t>
      </w:r>
      <w:r w:rsidR="00FC0E2C">
        <w:t>justify its costs</w:t>
      </w:r>
      <w:bookmarkEnd w:id="2"/>
      <w:r w:rsidR="00D52A09">
        <w:t>.</w:t>
      </w:r>
      <w:r w:rsidR="00DA3170">
        <w:rPr>
          <w:rStyle w:val="FootnoteReference"/>
        </w:rPr>
        <w:footnoteReference w:id="23"/>
      </w:r>
      <w:r w:rsidR="00894767">
        <w:t xml:space="preserve"> </w:t>
      </w:r>
      <w:r w:rsidR="00952867">
        <w:t>T</w:t>
      </w:r>
      <w:r w:rsidR="004429B4">
        <w:t>he</w:t>
      </w:r>
      <w:r w:rsidR="00227FB3">
        <w:rPr>
          <w:szCs w:val="26"/>
        </w:rPr>
        <w:t xml:space="preserve"> Utilities </w:t>
      </w:r>
      <w:r w:rsidR="00952867">
        <w:rPr>
          <w:szCs w:val="26"/>
        </w:rPr>
        <w:t xml:space="preserve">did </w:t>
      </w:r>
      <w:r w:rsidR="00227FB3">
        <w:rPr>
          <w:szCs w:val="26"/>
        </w:rPr>
        <w:t>compare</w:t>
      </w:r>
      <w:r w:rsidR="006079AE">
        <w:rPr>
          <w:szCs w:val="26"/>
        </w:rPr>
        <w:t xml:space="preserve"> </w:t>
      </w:r>
      <w:r w:rsidR="00A55A63">
        <w:rPr>
          <w:szCs w:val="26"/>
        </w:rPr>
        <w:t>telemetry options</w:t>
      </w:r>
      <w:r w:rsidR="000C41E3">
        <w:rPr>
          <w:szCs w:val="26"/>
        </w:rPr>
        <w:t>,</w:t>
      </w:r>
      <w:r w:rsidR="00F82181">
        <w:rPr>
          <w:rStyle w:val="FootnoteReference"/>
          <w:szCs w:val="26"/>
        </w:rPr>
        <w:footnoteReference w:id="24"/>
      </w:r>
      <w:r w:rsidR="000C41E3">
        <w:rPr>
          <w:szCs w:val="26"/>
        </w:rPr>
        <w:t xml:space="preserve"> </w:t>
      </w:r>
      <w:r w:rsidR="002E594A">
        <w:rPr>
          <w:szCs w:val="26"/>
        </w:rPr>
        <w:t xml:space="preserve">indicate whether these options would result </w:t>
      </w:r>
      <w:r w:rsidR="001D3FFB">
        <w:rPr>
          <w:szCs w:val="26"/>
        </w:rPr>
        <w:t>i</w:t>
      </w:r>
      <w:r w:rsidR="00B04F9E">
        <w:rPr>
          <w:szCs w:val="26"/>
        </w:rPr>
        <w:t xml:space="preserve">n </w:t>
      </w:r>
      <w:r w:rsidR="00A735BF">
        <w:rPr>
          <w:szCs w:val="26"/>
        </w:rPr>
        <w:t>utility costs less than $20,000,</w:t>
      </w:r>
      <w:r w:rsidR="00F82181">
        <w:rPr>
          <w:rStyle w:val="FootnoteReference"/>
          <w:szCs w:val="26"/>
        </w:rPr>
        <w:footnoteReference w:id="25"/>
      </w:r>
      <w:r w:rsidR="00591645">
        <w:rPr>
          <w:szCs w:val="26"/>
        </w:rPr>
        <w:t xml:space="preserve"> </w:t>
      </w:r>
      <w:r w:rsidR="00B52EDA">
        <w:rPr>
          <w:szCs w:val="26"/>
        </w:rPr>
        <w:t>and outline telemetry investment</w:t>
      </w:r>
      <w:r w:rsidR="009343D0">
        <w:rPr>
          <w:szCs w:val="26"/>
        </w:rPr>
        <w:t xml:space="preserve"> benefits </w:t>
      </w:r>
      <w:r w:rsidR="00206B79">
        <w:rPr>
          <w:szCs w:val="26"/>
        </w:rPr>
        <w:t>in the form of work planning, minimizing customer impacts</w:t>
      </w:r>
      <w:r w:rsidR="00877149">
        <w:rPr>
          <w:szCs w:val="26"/>
        </w:rPr>
        <w:t>,</w:t>
      </w:r>
      <w:r w:rsidR="00206B79">
        <w:rPr>
          <w:szCs w:val="26"/>
        </w:rPr>
        <w:t xml:space="preserve"> and forecasting real</w:t>
      </w:r>
      <w:r w:rsidR="000F695F">
        <w:rPr>
          <w:szCs w:val="26"/>
        </w:rPr>
        <w:t>-</w:t>
      </w:r>
      <w:r w:rsidR="00206B79">
        <w:rPr>
          <w:szCs w:val="26"/>
        </w:rPr>
        <w:t>time response</w:t>
      </w:r>
      <w:r w:rsidR="00AA1EED">
        <w:rPr>
          <w:szCs w:val="26"/>
        </w:rPr>
        <w:t>.</w:t>
      </w:r>
      <w:r w:rsidR="00F82181">
        <w:rPr>
          <w:rStyle w:val="FootnoteReference"/>
          <w:szCs w:val="26"/>
        </w:rPr>
        <w:footnoteReference w:id="26"/>
      </w:r>
      <w:r w:rsidR="00AA1EED">
        <w:rPr>
          <w:szCs w:val="26"/>
        </w:rPr>
        <w:t xml:space="preserve"> Nevertheless, </w:t>
      </w:r>
      <w:r w:rsidR="004429B4">
        <w:rPr>
          <w:szCs w:val="26"/>
        </w:rPr>
        <w:t xml:space="preserve">they did not </w:t>
      </w:r>
      <w:r w:rsidR="00C361CE">
        <w:rPr>
          <w:szCs w:val="26"/>
        </w:rPr>
        <w:t xml:space="preserve">quantitatively or qualitatively </w:t>
      </w:r>
      <w:r w:rsidR="00BA1401">
        <w:rPr>
          <w:szCs w:val="26"/>
        </w:rPr>
        <w:t>estimate</w:t>
      </w:r>
      <w:r w:rsidR="00426D74">
        <w:rPr>
          <w:szCs w:val="26"/>
        </w:rPr>
        <w:t xml:space="preserve"> the</w:t>
      </w:r>
      <w:r w:rsidR="00495247">
        <w:rPr>
          <w:szCs w:val="26"/>
        </w:rPr>
        <w:t xml:space="preserve"> benefits</w:t>
      </w:r>
      <w:r w:rsidR="00426D74">
        <w:rPr>
          <w:szCs w:val="26"/>
        </w:rPr>
        <w:t xml:space="preserve"> of </w:t>
      </w:r>
      <w:r w:rsidR="00FF3236">
        <w:rPr>
          <w:szCs w:val="26"/>
        </w:rPr>
        <w:t>telemetry as a means of collecting data on the distribution system</w:t>
      </w:r>
      <w:r w:rsidR="00E55605">
        <w:rPr>
          <w:szCs w:val="26"/>
        </w:rPr>
        <w:t>,</w:t>
      </w:r>
      <w:r w:rsidR="00FF3236">
        <w:rPr>
          <w:szCs w:val="26"/>
        </w:rPr>
        <w:t xml:space="preserve"> as required </w:t>
      </w:r>
      <w:r w:rsidR="00310BE1">
        <w:rPr>
          <w:szCs w:val="26"/>
        </w:rPr>
        <w:t>by Ordering Paragraph 9 in</w:t>
      </w:r>
      <w:r w:rsidR="00FF3236">
        <w:rPr>
          <w:szCs w:val="26"/>
        </w:rPr>
        <w:t xml:space="preserve"> D.19-03-013</w:t>
      </w:r>
      <w:r w:rsidR="007E2869">
        <w:rPr>
          <w:szCs w:val="26"/>
        </w:rPr>
        <w:t>.</w:t>
      </w:r>
      <w:r w:rsidR="00BA1401">
        <w:rPr>
          <w:szCs w:val="26"/>
        </w:rPr>
        <w:t xml:space="preserve"> </w:t>
      </w:r>
      <w:r w:rsidR="00C348E3">
        <w:rPr>
          <w:szCs w:val="26"/>
        </w:rPr>
        <w:t>In their repl</w:t>
      </w:r>
      <w:r w:rsidR="0058506D">
        <w:rPr>
          <w:szCs w:val="26"/>
        </w:rPr>
        <w:t>y</w:t>
      </w:r>
      <w:r w:rsidR="00C348E3">
        <w:rPr>
          <w:szCs w:val="26"/>
        </w:rPr>
        <w:t xml:space="preserve">, </w:t>
      </w:r>
      <w:r w:rsidR="0058506D">
        <w:rPr>
          <w:szCs w:val="26"/>
        </w:rPr>
        <w:t>PG&amp;E</w:t>
      </w:r>
      <w:r w:rsidR="00C348E3">
        <w:rPr>
          <w:szCs w:val="26"/>
        </w:rPr>
        <w:t xml:space="preserve"> argue</w:t>
      </w:r>
      <w:r w:rsidR="0058506D">
        <w:rPr>
          <w:szCs w:val="26"/>
        </w:rPr>
        <w:t>s</w:t>
      </w:r>
      <w:r w:rsidR="00C348E3">
        <w:rPr>
          <w:szCs w:val="26"/>
        </w:rPr>
        <w:t xml:space="preserve"> that the need for telemetry has already been established in the March Report.</w:t>
      </w:r>
      <w:r w:rsidR="00C348E3">
        <w:rPr>
          <w:rStyle w:val="FootnoteReference"/>
          <w:szCs w:val="26"/>
        </w:rPr>
        <w:footnoteReference w:id="27"/>
      </w:r>
      <w:r w:rsidR="00C348E3">
        <w:rPr>
          <w:szCs w:val="26"/>
        </w:rPr>
        <w:t xml:space="preserve"> </w:t>
      </w:r>
      <w:r w:rsidR="0058506D">
        <w:rPr>
          <w:szCs w:val="26"/>
        </w:rPr>
        <w:t xml:space="preserve">SDG&amp;E replies that because their AL 3407-E does not propose to lower the threshold for requiring telemetry from 1 MW to 250 kW, they do not need to answer IREC’s </w:t>
      </w:r>
      <w:r w:rsidR="0058506D">
        <w:rPr>
          <w:szCs w:val="26"/>
        </w:rPr>
        <w:lastRenderedPageBreak/>
        <w:t>questions.</w:t>
      </w:r>
      <w:r w:rsidR="004A178E">
        <w:rPr>
          <w:rStyle w:val="FootnoteReference"/>
          <w:szCs w:val="26"/>
        </w:rPr>
        <w:footnoteReference w:id="28"/>
      </w:r>
      <w:r w:rsidR="0058506D">
        <w:rPr>
          <w:szCs w:val="26"/>
        </w:rPr>
        <w:t xml:space="preserve"> </w:t>
      </w:r>
      <w:r w:rsidR="001D0008">
        <w:rPr>
          <w:szCs w:val="26"/>
        </w:rPr>
        <w:t xml:space="preserve">SCE also </w:t>
      </w:r>
      <w:r w:rsidR="005B130C">
        <w:rPr>
          <w:szCs w:val="26"/>
        </w:rPr>
        <w:t>responded that IREC’s questions are irrelevant to this AL process.</w:t>
      </w:r>
      <w:r w:rsidR="005B130C">
        <w:rPr>
          <w:rStyle w:val="FootnoteReference"/>
          <w:szCs w:val="26"/>
        </w:rPr>
        <w:footnoteReference w:id="29"/>
      </w:r>
      <w:r w:rsidR="00D16409">
        <w:rPr>
          <w:szCs w:val="26"/>
        </w:rPr>
        <w:t xml:space="preserve"> </w:t>
      </w:r>
      <w:r w:rsidR="008E69D2">
        <w:rPr>
          <w:szCs w:val="26"/>
        </w:rPr>
        <w:t xml:space="preserve">We assert that it is not the </w:t>
      </w:r>
      <w:r w:rsidR="00576A8F">
        <w:rPr>
          <w:szCs w:val="26"/>
        </w:rPr>
        <w:t xml:space="preserve">need for telemetry at question here, but the need </w:t>
      </w:r>
      <w:r w:rsidR="008E7E86">
        <w:rPr>
          <w:szCs w:val="26"/>
        </w:rPr>
        <w:t>for a</w:t>
      </w:r>
      <w:r w:rsidR="00C60867">
        <w:rPr>
          <w:szCs w:val="26"/>
        </w:rPr>
        <w:t xml:space="preserve">n </w:t>
      </w:r>
      <w:r w:rsidR="00C15473">
        <w:rPr>
          <w:szCs w:val="26"/>
        </w:rPr>
        <w:t>estimate o</w:t>
      </w:r>
      <w:r w:rsidR="00C60867">
        <w:rPr>
          <w:szCs w:val="26"/>
        </w:rPr>
        <w:t xml:space="preserve">f the benefits telemetry provides that can contribute to an </w:t>
      </w:r>
      <w:r w:rsidR="00C15473">
        <w:rPr>
          <w:szCs w:val="26"/>
        </w:rPr>
        <w:t xml:space="preserve">assessment of the cost-effectiveness of the proposed solution. </w:t>
      </w:r>
      <w:r w:rsidR="00AE3C92">
        <w:rPr>
          <w:szCs w:val="26"/>
        </w:rPr>
        <w:t>It is not enough to show that the proposed solution is the most cost-</w:t>
      </w:r>
      <w:r w:rsidR="000B6D1F">
        <w:rPr>
          <w:szCs w:val="26"/>
        </w:rPr>
        <w:t xml:space="preserve">efficient </w:t>
      </w:r>
      <w:r w:rsidR="00AE3C92">
        <w:rPr>
          <w:szCs w:val="26"/>
        </w:rPr>
        <w:t>option</w:t>
      </w:r>
      <w:r w:rsidR="00D31416">
        <w:rPr>
          <w:szCs w:val="26"/>
        </w:rPr>
        <w:t xml:space="preserve">; the benefits must outweigh the costs. </w:t>
      </w:r>
    </w:p>
    <w:p w:rsidR="00D85523" w:rsidP="00EB6B8F" w:rsidRDefault="00D85523" w14:paraId="44E8370A" w14:textId="77777777"/>
    <w:p w:rsidRPr="0048196E" w:rsidR="00410707" w:rsidP="002A3100" w:rsidRDefault="00D51B7D" w14:paraId="6F895CBC" w14:textId="52F622CE">
      <w:pPr>
        <w:rPr>
          <w:vertAlign w:val="superscript"/>
        </w:rPr>
      </w:pPr>
      <w:r>
        <w:t xml:space="preserve">Ordering Paragraph </w:t>
      </w:r>
      <w:r w:rsidR="00D2230F">
        <w:t xml:space="preserve">9 of D.19-03-013 also </w:t>
      </w:r>
      <w:r w:rsidR="0097581D">
        <w:t xml:space="preserve">requests the </w:t>
      </w:r>
      <w:r w:rsidR="00E006CE">
        <w:t>Utilities provide "</w:t>
      </w:r>
      <w:r w:rsidRPr="00E006CE" w:rsidR="00E006CE">
        <w:t>information to indicate that Supervisory Control and Data Acquisition System (SCADA) and smart inverter data would not be able to provide sufficient data to satisfy the Utilities’ needs</w:t>
      </w:r>
      <w:r w:rsidR="00E006CE">
        <w:t>."</w:t>
      </w:r>
      <w:r w:rsidR="00C15DEE">
        <w:t xml:space="preserve"> </w:t>
      </w:r>
      <w:r w:rsidR="00E61010">
        <w:t xml:space="preserve">The Utilities assert that </w:t>
      </w:r>
      <w:r w:rsidR="006D65A1">
        <w:t>"</w:t>
      </w:r>
      <w:r w:rsidR="002A3186">
        <w:t>SCADA</w:t>
      </w:r>
      <w:r w:rsidR="00B0591F">
        <w:t xml:space="preserve"> devices only provide net loading</w:t>
      </w:r>
      <w:r w:rsidR="006D65A1">
        <w:t>[</w:t>
      </w:r>
      <w:r w:rsidR="00B0591F">
        <w:t>,</w:t>
      </w:r>
      <w:r w:rsidR="006D65A1">
        <w:t>]</w:t>
      </w:r>
      <w:r w:rsidR="00B0591F">
        <w:t xml:space="preserve"> which does not </w:t>
      </w:r>
      <w:r w:rsidR="006D65A1">
        <w:t xml:space="preserve">help with the masked load </w:t>
      </w:r>
      <w:r w:rsidR="003F46C9">
        <w:t>i</w:t>
      </w:r>
      <w:r w:rsidR="006D65A1">
        <w:t>ssues</w:t>
      </w:r>
      <w:r w:rsidR="00A5223E">
        <w:t>"</w:t>
      </w:r>
      <w:r w:rsidR="004848E1">
        <w:rPr>
          <w:rStyle w:val="FootnoteReference"/>
        </w:rPr>
        <w:footnoteReference w:id="30"/>
      </w:r>
      <w:r w:rsidR="00F84107">
        <w:t xml:space="preserve"> because</w:t>
      </w:r>
      <w:r w:rsidR="00E77A08">
        <w:t xml:space="preserve"> they are </w:t>
      </w:r>
      <w:r w:rsidR="00435672">
        <w:t>"</w:t>
      </w:r>
      <w:r w:rsidR="00E77A08">
        <w:t>located at the customer electric service entrance</w:t>
      </w:r>
      <w:r w:rsidR="00D22B22">
        <w:t>.</w:t>
      </w:r>
      <w:r w:rsidR="00E77A08">
        <w:t>"</w:t>
      </w:r>
      <w:r w:rsidR="00D22B22">
        <w:rPr>
          <w:rStyle w:val="FootnoteReference"/>
        </w:rPr>
        <w:footnoteReference w:id="31"/>
      </w:r>
      <w:r w:rsidR="00A5223E">
        <w:t xml:space="preserve"> </w:t>
      </w:r>
      <w:r w:rsidR="00F7169C">
        <w:t xml:space="preserve">SCE </w:t>
      </w:r>
      <w:r w:rsidR="00C334AF">
        <w:t xml:space="preserve">provides both an example and a diagram to </w:t>
      </w:r>
      <w:r w:rsidR="004848E1">
        <w:t>i</w:t>
      </w:r>
      <w:r w:rsidR="00C334AF">
        <w:t>llustrate this</w:t>
      </w:r>
      <w:r w:rsidR="000B3578">
        <w:t>.</w:t>
      </w:r>
      <w:r w:rsidR="00D22B22">
        <w:rPr>
          <w:rStyle w:val="FootnoteReference"/>
        </w:rPr>
        <w:footnoteReference w:id="32"/>
      </w:r>
      <w:r w:rsidR="000B3578">
        <w:t xml:space="preserve"> </w:t>
      </w:r>
      <w:r w:rsidR="00EF6319">
        <w:t>PAO’s protest</w:t>
      </w:r>
      <w:r w:rsidR="00426D21">
        <w:t>s</w:t>
      </w:r>
      <w:r w:rsidR="00EF6319">
        <w:t xml:space="preserve"> </w:t>
      </w:r>
      <w:r w:rsidR="00A453D0">
        <w:t xml:space="preserve">assert that </w:t>
      </w:r>
      <w:r w:rsidR="00B50BC3">
        <w:t>a</w:t>
      </w:r>
      <w:r w:rsidR="004E4789">
        <w:t xml:space="preserve">n itemized </w:t>
      </w:r>
      <w:r w:rsidR="00B50BC3">
        <w:t xml:space="preserve">cost breakdown of </w:t>
      </w:r>
      <w:r w:rsidR="00B12AAB">
        <w:t xml:space="preserve">existing SCADA systems is necessary to </w:t>
      </w:r>
      <w:r w:rsidR="00EC6448">
        <w:t>determin</w:t>
      </w:r>
      <w:r w:rsidR="007E2783">
        <w:t>e whether this solution is cost prohibitive.</w:t>
      </w:r>
      <w:r w:rsidR="007E2783">
        <w:rPr>
          <w:rStyle w:val="FootnoteReference"/>
        </w:rPr>
        <w:footnoteReference w:id="33"/>
      </w:r>
      <w:r w:rsidR="00912EB6">
        <w:rPr>
          <w:vertAlign w:val="superscript"/>
        </w:rPr>
        <w:t>,</w:t>
      </w:r>
      <w:r w:rsidR="00912EB6">
        <w:rPr>
          <w:rStyle w:val="FootnoteReference"/>
        </w:rPr>
        <w:footnoteReference w:id="34"/>
      </w:r>
      <w:r w:rsidR="00F07FE2">
        <w:rPr>
          <w:vertAlign w:val="superscript"/>
        </w:rPr>
        <w:t>,</w:t>
      </w:r>
      <w:r w:rsidR="00F07FE2">
        <w:rPr>
          <w:rStyle w:val="FootnoteReference"/>
        </w:rPr>
        <w:footnoteReference w:id="35"/>
      </w:r>
      <w:r w:rsidR="00F05B6A">
        <w:t xml:space="preserve"> The Commission </w:t>
      </w:r>
      <w:r w:rsidR="006F3317">
        <w:t xml:space="preserve">agrees with the Utilities </w:t>
      </w:r>
      <w:r w:rsidR="00F05B6A">
        <w:t xml:space="preserve">that </w:t>
      </w:r>
      <w:r w:rsidR="004E4789">
        <w:t xml:space="preserve">a detailed cost analysis of SCADA systems </w:t>
      </w:r>
      <w:r w:rsidR="00E56185">
        <w:t xml:space="preserve">does not add value </w:t>
      </w:r>
      <w:r w:rsidR="00370651">
        <w:t xml:space="preserve">because </w:t>
      </w:r>
      <w:r w:rsidR="00650891">
        <w:t xml:space="preserve">these systems </w:t>
      </w:r>
      <w:r w:rsidR="00370651">
        <w:t>do not meet the functional requirement</w:t>
      </w:r>
      <w:r w:rsidR="00D63527">
        <w:t xml:space="preserve"> of providing visibility into masked load.</w:t>
      </w:r>
      <w:r w:rsidR="009A774F">
        <w:rPr>
          <w:rStyle w:val="FootnoteReference"/>
        </w:rPr>
        <w:footnoteReference w:id="36"/>
      </w:r>
    </w:p>
    <w:p w:rsidR="00410707" w:rsidP="002A3100" w:rsidRDefault="00410707" w14:paraId="34260679" w14:textId="77777777"/>
    <w:p w:rsidR="00951606" w:rsidP="00E67333" w:rsidRDefault="004F7E31" w14:paraId="0F968D51" w14:textId="120BBBA3">
      <w:r>
        <w:lastRenderedPageBreak/>
        <w:t>Each of the Utili</w:t>
      </w:r>
      <w:r w:rsidR="003870F2">
        <w:t xml:space="preserve">ties' proposed solutions </w:t>
      </w:r>
      <w:r w:rsidR="00F36D8D">
        <w:t xml:space="preserve">use smart </w:t>
      </w:r>
      <w:r w:rsidR="00EF6723">
        <w:t>i</w:t>
      </w:r>
      <w:r w:rsidR="00F36D8D">
        <w:t>nverter</w:t>
      </w:r>
      <w:r w:rsidR="00EA744D">
        <w:t xml:space="preserve"> data</w:t>
      </w:r>
      <w:r w:rsidR="00765528">
        <w:t>, but</w:t>
      </w:r>
      <w:r w:rsidR="00D40F9E">
        <w:t>,</w:t>
      </w:r>
      <w:r w:rsidR="00765528">
        <w:t xml:space="preserve"> </w:t>
      </w:r>
      <w:r w:rsidR="00B172BF">
        <w:t xml:space="preserve">noting that </w:t>
      </w:r>
      <w:r w:rsidR="00322A80">
        <w:t>"</w:t>
      </w:r>
      <w:r w:rsidR="002A3100">
        <w:t>for the Smart Inverter to provide telemetry information to the utility it must be connected to a communication network</w:t>
      </w:r>
      <w:r w:rsidR="00322A80">
        <w:t>,"</w:t>
      </w:r>
      <w:r w:rsidR="00322A80">
        <w:rPr>
          <w:rStyle w:val="FootnoteReference"/>
        </w:rPr>
        <w:footnoteReference w:id="37"/>
      </w:r>
      <w:r w:rsidR="00316B73">
        <w:t xml:space="preserve"> they </w:t>
      </w:r>
      <w:r w:rsidR="00A953BC">
        <w:t>put forth differing s</w:t>
      </w:r>
      <w:r w:rsidR="005524F6">
        <w:t xml:space="preserve">olutions </w:t>
      </w:r>
      <w:r w:rsidR="00197A84">
        <w:t>for the communications</w:t>
      </w:r>
      <w:r w:rsidR="005C1E5F">
        <w:t xml:space="preserve"> component</w:t>
      </w:r>
      <w:r w:rsidR="00011241">
        <w:t xml:space="preserve">. </w:t>
      </w:r>
      <w:r w:rsidR="005D3965">
        <w:t>In addition, PG&amp;E</w:t>
      </w:r>
      <w:r w:rsidR="00D330BF">
        <w:t xml:space="preserve"> and SCE</w:t>
      </w:r>
      <w:r w:rsidR="005D3965">
        <w:t xml:space="preserve"> addressed </w:t>
      </w:r>
      <w:r w:rsidR="00924D09">
        <w:t xml:space="preserve">the </w:t>
      </w:r>
      <w:r w:rsidR="00033BA4">
        <w:t xml:space="preserve">availability of </w:t>
      </w:r>
      <w:r w:rsidR="00C66061">
        <w:t>data from AMI meters. These meters are used for billing purposes</w:t>
      </w:r>
      <w:r w:rsidR="00442821">
        <w:t xml:space="preserve">, </w:t>
      </w:r>
      <w:r w:rsidR="0082620E">
        <w:t>provid</w:t>
      </w:r>
      <w:r w:rsidR="00442821">
        <w:t xml:space="preserve">ing </w:t>
      </w:r>
      <w:r w:rsidR="0082620E">
        <w:t>net load</w:t>
      </w:r>
      <w:r w:rsidR="00442821">
        <w:t xml:space="preserve"> data at 15</w:t>
      </w:r>
      <w:r w:rsidR="003858A7">
        <w:t>-</w:t>
      </w:r>
      <w:r w:rsidR="00442821">
        <w:t>minute intervals with a 48-hour delay</w:t>
      </w:r>
      <w:r w:rsidR="00AA1791">
        <w:t>.</w:t>
      </w:r>
      <w:r w:rsidR="001B31DC">
        <w:rPr>
          <w:rStyle w:val="FootnoteReference"/>
        </w:rPr>
        <w:footnoteReference w:id="38"/>
      </w:r>
      <w:r w:rsidR="00AA1791">
        <w:t xml:space="preserve"> These </w:t>
      </w:r>
      <w:r w:rsidR="00143220">
        <w:t>limitations of</w:t>
      </w:r>
      <w:r w:rsidR="00AA1791">
        <w:t xml:space="preserve"> </w:t>
      </w:r>
      <w:r w:rsidR="00264930">
        <w:t xml:space="preserve">AMI </w:t>
      </w:r>
      <w:r w:rsidR="00AA1791">
        <w:t xml:space="preserve">data </w:t>
      </w:r>
      <w:r w:rsidR="00745EE5">
        <w:t>establish</w:t>
      </w:r>
      <w:r w:rsidR="00063A68">
        <w:t xml:space="preserve"> that </w:t>
      </w:r>
      <w:r w:rsidR="007818A2">
        <w:t xml:space="preserve">it does not meet the definition of </w:t>
      </w:r>
      <w:r w:rsidR="00BC23F8">
        <w:t xml:space="preserve">telemetry </w:t>
      </w:r>
      <w:r w:rsidR="00F82936">
        <w:t>from D.</w:t>
      </w:r>
      <w:r w:rsidR="00E304B4">
        <w:t>19-03-013</w:t>
      </w:r>
      <w:r w:rsidR="00530600">
        <w:t>:</w:t>
      </w:r>
      <w:r w:rsidR="00E304B4">
        <w:t xml:space="preserve"> "the near real-time transmittal of information from a resource on the distribution system to the utilities</w:t>
      </w:r>
      <w:r w:rsidR="00082A35">
        <w:t>…to inform decisions about grid operations."</w:t>
      </w:r>
      <w:r w:rsidR="004D1991">
        <w:rPr>
          <w:rStyle w:val="FootnoteReference"/>
        </w:rPr>
        <w:footnoteReference w:id="39"/>
      </w:r>
      <w:r w:rsidDel="004D1991" w:rsidR="004D1991">
        <w:t xml:space="preserve"> </w:t>
      </w:r>
      <w:r w:rsidR="00710B2F">
        <w:t xml:space="preserve">Although IREC protests that </w:t>
      </w:r>
      <w:r w:rsidR="00365AE4">
        <w:t>AMI should still be considered,</w:t>
      </w:r>
      <w:r w:rsidR="00365AE4">
        <w:rPr>
          <w:rStyle w:val="FootnoteReference"/>
        </w:rPr>
        <w:footnoteReference w:id="40"/>
      </w:r>
      <w:r w:rsidR="009A6BA3">
        <w:t xml:space="preserve"> </w:t>
      </w:r>
      <w:r w:rsidR="00A66C9E">
        <w:t xml:space="preserve">each of the Utilities refutes this. </w:t>
      </w:r>
      <w:r w:rsidR="005A484B">
        <w:t xml:space="preserve">SCE explains that </w:t>
      </w:r>
      <w:r w:rsidR="00042657">
        <w:t xml:space="preserve">the </w:t>
      </w:r>
      <w:r w:rsidR="00E67333">
        <w:t xml:space="preserve">“AMI meter is physically located </w:t>
      </w:r>
      <w:r w:rsidR="00C60BA8">
        <w:t>…</w:t>
      </w:r>
      <w:r w:rsidR="00E67333">
        <w:t xml:space="preserve"> where it can only</w:t>
      </w:r>
      <w:r w:rsidR="00C60BA8">
        <w:t xml:space="preserve"> </w:t>
      </w:r>
      <w:r w:rsidR="00E67333">
        <w:t>measure the net output</w:t>
      </w:r>
      <w:r w:rsidR="00C60BA8">
        <w:t>.”</w:t>
      </w:r>
      <w:r w:rsidR="00C60BA8">
        <w:rPr>
          <w:rStyle w:val="FootnoteReference"/>
        </w:rPr>
        <w:footnoteReference w:id="41"/>
      </w:r>
      <w:r w:rsidR="00E21272">
        <w:t xml:space="preserve"> </w:t>
      </w:r>
      <w:r w:rsidR="00A90A28">
        <w:t xml:space="preserve">SDG&amp;E recognizes that </w:t>
      </w:r>
      <w:r w:rsidR="002523FC">
        <w:t>modifying the AMI system to provide real-time data “would require a complete overhaul</w:t>
      </w:r>
      <w:r w:rsidR="00645C76">
        <w:t xml:space="preserve"> that would impact non-DER customers.”</w:t>
      </w:r>
      <w:r w:rsidR="00645C76">
        <w:rPr>
          <w:rStyle w:val="FootnoteReference"/>
        </w:rPr>
        <w:footnoteReference w:id="42"/>
      </w:r>
      <w:r w:rsidR="00851C49">
        <w:t xml:space="preserve"> </w:t>
      </w:r>
      <w:r w:rsidRPr="0048124B" w:rsidR="00851C49">
        <w:t xml:space="preserve">PG&amp;E </w:t>
      </w:r>
      <w:r w:rsidR="00851C49">
        <w:t xml:space="preserve">entertains </w:t>
      </w:r>
      <w:r w:rsidR="00DE0403">
        <w:t>“</w:t>
      </w:r>
      <w:r w:rsidRPr="0048124B" w:rsidR="00851C49">
        <w:t>that AMI could potentially be leveraged for more real-time data as IREC suggested</w:t>
      </w:r>
      <w:r w:rsidR="00851C49">
        <w:t>,”</w:t>
      </w:r>
      <w:r w:rsidR="00DE0403">
        <w:rPr>
          <w:rStyle w:val="FootnoteReference"/>
        </w:rPr>
        <w:footnoteReference w:id="43"/>
      </w:r>
      <w:r w:rsidR="00851C49">
        <w:t xml:space="preserve"> but cites cybersecurity challenges that prevent its consideration at this time.</w:t>
      </w:r>
    </w:p>
    <w:p w:rsidR="00951606" w:rsidRDefault="00951606" w14:paraId="53657FAD" w14:textId="77777777"/>
    <w:p w:rsidR="002E78A1" w:rsidP="00E44590" w:rsidRDefault="0006323F" w14:paraId="2877B001" w14:textId="5DB9D720">
      <w:bookmarkStart w:name="_Hlk75524770" w:id="3"/>
      <w:r>
        <w:t xml:space="preserve">Given </w:t>
      </w:r>
      <w:r w:rsidR="00DD1CBD">
        <w:rPr>
          <w:szCs w:val="26"/>
        </w:rPr>
        <w:t>it is impossible to assess the balance of costs and benefits without clearly articulated benefit information</w:t>
      </w:r>
      <w:r w:rsidR="00736696">
        <w:rPr>
          <w:szCs w:val="26"/>
        </w:rPr>
        <w:t>,</w:t>
      </w:r>
      <w:r w:rsidR="00DD1CBD">
        <w:rPr>
          <w:szCs w:val="26"/>
        </w:rPr>
        <w:t xml:space="preserve"> </w:t>
      </w:r>
      <w:r w:rsidR="00FA45B3">
        <w:t xml:space="preserve">the Commission declines to adopt the Utility </w:t>
      </w:r>
      <w:r w:rsidR="00345F7C">
        <w:t xml:space="preserve">Telemetry </w:t>
      </w:r>
      <w:r w:rsidR="00FA45B3">
        <w:t>Proposal</w:t>
      </w:r>
      <w:r w:rsidR="00BB716C">
        <w:t xml:space="preserve">. Thus, </w:t>
      </w:r>
      <w:r w:rsidR="00D70938">
        <w:t xml:space="preserve">the </w:t>
      </w:r>
      <w:r w:rsidR="00173C80">
        <w:t xml:space="preserve">size </w:t>
      </w:r>
      <w:r w:rsidR="00D70938">
        <w:t xml:space="preserve">threshold </w:t>
      </w:r>
      <w:r w:rsidR="00173C80">
        <w:t>for</w:t>
      </w:r>
      <w:r w:rsidR="00D70938">
        <w:t xml:space="preserve"> systems requ</w:t>
      </w:r>
      <w:r w:rsidR="00173C80">
        <w:t>i</w:t>
      </w:r>
      <w:r w:rsidR="00D70938">
        <w:t xml:space="preserve">ring telemetry </w:t>
      </w:r>
      <w:r w:rsidR="00BB716C">
        <w:t xml:space="preserve">is not reduced </w:t>
      </w:r>
      <w:r w:rsidR="00D70938">
        <w:t>to 250 kW</w:t>
      </w:r>
      <w:r w:rsidR="000B3E5E">
        <w:t>,</w:t>
      </w:r>
      <w:r w:rsidR="00BB716C">
        <w:t xml:space="preserve"> and a cap of $20,000 </w:t>
      </w:r>
      <w:r w:rsidR="007E2BFD">
        <w:t>for</w:t>
      </w:r>
      <w:r w:rsidR="00BB716C">
        <w:t xml:space="preserve"> utility-related costs is not created</w:t>
      </w:r>
      <w:r w:rsidR="00FA45B3">
        <w:t xml:space="preserve">. </w:t>
      </w:r>
      <w:bookmarkEnd w:id="3"/>
      <w:r>
        <w:t>To</w:t>
      </w:r>
      <w:r w:rsidRPr="002E78A1" w:rsidR="002E78A1">
        <w:t xml:space="preserve"> provide additional time for </w:t>
      </w:r>
      <w:r>
        <w:t xml:space="preserve">proposal </w:t>
      </w:r>
      <w:r w:rsidRPr="002E78A1" w:rsidR="002E78A1">
        <w:t xml:space="preserve">development, we approve </w:t>
      </w:r>
      <w:r w:rsidR="00F471FB">
        <w:t>P</w:t>
      </w:r>
      <w:r w:rsidRPr="002E78A1" w:rsidR="002E78A1">
        <w:t xml:space="preserve">roposal </w:t>
      </w:r>
      <w:r w:rsidR="00F471FB">
        <w:t>2</w:t>
      </w:r>
      <w:r w:rsidRPr="002E78A1" w:rsidR="002E78A1">
        <w:t xml:space="preserve"> maintain</w:t>
      </w:r>
      <w:r w:rsidR="00222518">
        <w:t>ing</w:t>
      </w:r>
      <w:r w:rsidRPr="002E78A1" w:rsidR="002E78A1">
        <w:t xml:space="preserve"> the current </w:t>
      </w:r>
      <w:r w:rsidR="00B10583">
        <w:t xml:space="preserve">threshold </w:t>
      </w:r>
      <w:r w:rsidR="00804857">
        <w:t xml:space="preserve">for requiring </w:t>
      </w:r>
      <w:r w:rsidRPr="002E78A1" w:rsidR="00804857">
        <w:t xml:space="preserve">telemetry </w:t>
      </w:r>
      <w:r w:rsidR="00804857">
        <w:t>at</w:t>
      </w:r>
      <w:r w:rsidR="00B10583">
        <w:t xml:space="preserve"> 1 MW </w:t>
      </w:r>
      <w:r w:rsidRPr="002E78A1" w:rsidR="002E78A1">
        <w:t xml:space="preserve">until more information is available.  </w:t>
      </w:r>
      <w:r w:rsidR="00D069FA">
        <w:t xml:space="preserve">We also </w:t>
      </w:r>
      <w:r w:rsidR="00F22B23">
        <w:t xml:space="preserve">agree with CALSSA's </w:t>
      </w:r>
      <w:r w:rsidRPr="00F22B23" w:rsidR="00F22B23">
        <w:t xml:space="preserve">protest of SDG&amp;E's suggestion that </w:t>
      </w:r>
      <w:r w:rsidR="001C6700">
        <w:t xml:space="preserve">IEEE </w:t>
      </w:r>
      <w:r w:rsidRPr="00F22B23" w:rsidR="00F22B23">
        <w:t>2030.5 be used to meter DERs of all size</w:t>
      </w:r>
      <w:r w:rsidR="00402933">
        <w:t>s</w:t>
      </w:r>
      <w:r w:rsidR="001C4424">
        <w:t xml:space="preserve"> once </w:t>
      </w:r>
      <w:r w:rsidR="00402933">
        <w:t>i</w:t>
      </w:r>
      <w:r w:rsidR="001C4424">
        <w:t>mplemented.</w:t>
      </w:r>
      <w:r w:rsidR="008E576C">
        <w:rPr>
          <w:rStyle w:val="FootnoteReference"/>
        </w:rPr>
        <w:footnoteReference w:id="44"/>
      </w:r>
      <w:r w:rsidR="001C4424">
        <w:t xml:space="preserve"> </w:t>
      </w:r>
      <w:r w:rsidR="000024DD">
        <w:t xml:space="preserve">SDG&amp;E's </w:t>
      </w:r>
      <w:r w:rsidR="001C4424">
        <w:t>suggestion goes beyond the scope of th</w:t>
      </w:r>
      <w:r w:rsidR="0094426A">
        <w:t xml:space="preserve">e Decision. </w:t>
      </w:r>
    </w:p>
    <w:p w:rsidR="00DC711A" w:rsidP="00137ACF" w:rsidRDefault="00DC711A" w14:paraId="670D4321" w14:textId="77777777"/>
    <w:p w:rsidR="007B1DE5" w:rsidP="00EE6D32" w:rsidRDefault="007B1DE5" w14:paraId="7C04ED5E" w14:textId="16097257">
      <w:pPr>
        <w:keepNext/>
        <w:rPr>
          <w:b/>
          <w:bCs/>
        </w:rPr>
      </w:pPr>
      <w:r w:rsidRPr="00237E00">
        <w:rPr>
          <w:b/>
          <w:bCs/>
        </w:rPr>
        <w:lastRenderedPageBreak/>
        <w:t xml:space="preserve">Issue </w:t>
      </w:r>
      <w:r w:rsidR="00C30FF0">
        <w:rPr>
          <w:b/>
          <w:bCs/>
        </w:rPr>
        <w:t>2</w:t>
      </w:r>
      <w:r w:rsidRPr="00237E00">
        <w:rPr>
          <w:b/>
          <w:bCs/>
        </w:rPr>
        <w:t xml:space="preserve">: </w:t>
      </w:r>
      <w:r>
        <w:rPr>
          <w:b/>
          <w:bCs/>
        </w:rPr>
        <w:t>Non-Utility-Related Cost</w:t>
      </w:r>
      <w:r w:rsidR="002E1B14">
        <w:rPr>
          <w:b/>
          <w:bCs/>
        </w:rPr>
        <w:t>s</w:t>
      </w:r>
      <w:r>
        <w:rPr>
          <w:b/>
          <w:bCs/>
        </w:rPr>
        <w:t xml:space="preserve"> </w:t>
      </w:r>
    </w:p>
    <w:p w:rsidRPr="00BF4137" w:rsidR="00763FB0" w:rsidP="004848E1" w:rsidRDefault="007B1DE5" w14:paraId="5D13244C" w14:textId="6F2C8A48">
      <w:r>
        <w:t xml:space="preserve">While D.19-03-013 </w:t>
      </w:r>
      <w:r w:rsidR="003303E6">
        <w:t xml:space="preserve">would </w:t>
      </w:r>
      <w:r w:rsidR="0035388C">
        <w:t>establish a cost cap of $20,000 for utility-related telemetry costs</w:t>
      </w:r>
      <w:r w:rsidR="003303E6">
        <w:t xml:space="preserve"> if the Utility </w:t>
      </w:r>
      <w:r w:rsidR="00266FAA">
        <w:t xml:space="preserve">Telemetry </w:t>
      </w:r>
      <w:r w:rsidR="003303E6">
        <w:t>Proposal were adopted</w:t>
      </w:r>
      <w:r w:rsidR="0035388C">
        <w:t xml:space="preserve">, the </w:t>
      </w:r>
      <w:r w:rsidR="00A8339C">
        <w:t xml:space="preserve">intention of the Commission is to meet operational needs for </w:t>
      </w:r>
      <w:r w:rsidR="00850353">
        <w:t>visibility while minimizing costs</w:t>
      </w:r>
      <w:r w:rsidR="00C05540">
        <w:t>.</w:t>
      </w:r>
      <w:r w:rsidR="00115FA6">
        <w:rPr>
          <w:rStyle w:val="FootnoteReference"/>
        </w:rPr>
        <w:footnoteReference w:id="45"/>
      </w:r>
      <w:r w:rsidR="004454AF">
        <w:t xml:space="preserve"> Hence, we find that it is essential to consider both utility-related telemetry costs and additional costs borne by the customer </w:t>
      </w:r>
      <w:proofErr w:type="gramStart"/>
      <w:r w:rsidR="00FE5E57">
        <w:t>in order to</w:t>
      </w:r>
      <w:proofErr w:type="gramEnd"/>
      <w:r w:rsidR="00FE5E57">
        <w:t xml:space="preserve"> meet </w:t>
      </w:r>
      <w:r w:rsidR="006E6592">
        <w:t>utility</w:t>
      </w:r>
      <w:r w:rsidR="0039419D">
        <w:t>-</w:t>
      </w:r>
      <w:r w:rsidR="00F71295">
        <w:t xml:space="preserve">imposed </w:t>
      </w:r>
      <w:r w:rsidR="00FE5E57">
        <w:t xml:space="preserve">telemetry </w:t>
      </w:r>
      <w:r w:rsidR="00FC2E2F">
        <w:t xml:space="preserve">technical </w:t>
      </w:r>
      <w:r w:rsidR="00FE5E57">
        <w:t xml:space="preserve">requirements. </w:t>
      </w:r>
      <w:r w:rsidR="001B4A56">
        <w:t xml:space="preserve">Though </w:t>
      </w:r>
      <w:r w:rsidR="00F040C1">
        <w:t xml:space="preserve">this is </w:t>
      </w:r>
      <w:r w:rsidR="001B4A56">
        <w:t xml:space="preserve">not </w:t>
      </w:r>
      <w:r w:rsidR="00F040C1">
        <w:t xml:space="preserve">a </w:t>
      </w:r>
      <w:r w:rsidR="001B4A56">
        <w:t>protested</w:t>
      </w:r>
      <w:r w:rsidR="00F040C1">
        <w:t xml:space="preserve"> issue</w:t>
      </w:r>
      <w:r w:rsidR="001B4A56">
        <w:t xml:space="preserve">, the Commission </w:t>
      </w:r>
      <w:r w:rsidR="005256FC">
        <w:t>clarifies here</w:t>
      </w:r>
      <w:r w:rsidR="001B4A56">
        <w:t xml:space="preserve"> that b</w:t>
      </w:r>
      <w:r w:rsidR="00FE5E57">
        <w:t>oth utility</w:t>
      </w:r>
      <w:r w:rsidR="00703071">
        <w:t>-</w:t>
      </w:r>
      <w:r w:rsidR="00FE5E57">
        <w:t>related and n</w:t>
      </w:r>
      <w:r w:rsidR="00703071">
        <w:t xml:space="preserve">on-utility-related costs will </w:t>
      </w:r>
      <w:r w:rsidR="002228ED">
        <w:t xml:space="preserve">need to </w:t>
      </w:r>
      <w:r w:rsidR="00703071">
        <w:t xml:space="preserve">be considered </w:t>
      </w:r>
      <w:r w:rsidR="004D139B">
        <w:t xml:space="preserve">in </w:t>
      </w:r>
      <w:r w:rsidR="00FE5E57">
        <w:t xml:space="preserve">assessing the </w:t>
      </w:r>
      <w:r w:rsidR="004D139B">
        <w:t xml:space="preserve">cost effectiveness of </w:t>
      </w:r>
      <w:r w:rsidR="00DC3B4F">
        <w:t xml:space="preserve">proposed </w:t>
      </w:r>
      <w:r w:rsidR="004D139B">
        <w:t>telemetry solutions.</w:t>
      </w:r>
      <w:r w:rsidR="002C2B59">
        <w:t xml:space="preserve"> </w:t>
      </w:r>
      <w:r w:rsidR="00F854D6">
        <w:t xml:space="preserve">For example, </w:t>
      </w:r>
      <w:r w:rsidRPr="00BF4137" w:rsidR="00EB6B8F">
        <w:t xml:space="preserve">SCE asserts that non-utility communications costs would be directly between the DER owner/operator and DER communications company, </w:t>
      </w:r>
      <w:r w:rsidRPr="00BF4137" w:rsidR="00601B3D">
        <w:t>and that SCE is open to less expensive</w:t>
      </w:r>
      <w:r w:rsidR="004A4596">
        <w:t xml:space="preserve"> </w:t>
      </w:r>
      <w:r w:rsidRPr="00BF4137" w:rsidR="00601B3D">
        <w:t>comm</w:t>
      </w:r>
      <w:r w:rsidR="00F545C5">
        <w:t>unication</w:t>
      </w:r>
      <w:r w:rsidRPr="00BF4137" w:rsidR="00601B3D">
        <w:t xml:space="preserve">s options </w:t>
      </w:r>
      <w:proofErr w:type="gramStart"/>
      <w:r w:rsidRPr="00BF4137" w:rsidR="00601B3D">
        <w:t>as long as</w:t>
      </w:r>
      <w:proofErr w:type="gramEnd"/>
      <w:r w:rsidRPr="00BF4137" w:rsidR="00601B3D">
        <w:t xml:space="preserve"> specifications </w:t>
      </w:r>
      <w:r w:rsidRPr="00BF4137" w:rsidR="00B4418E">
        <w:t>are met.</w:t>
      </w:r>
      <w:r w:rsidR="003858A7">
        <w:rPr>
          <w:rStyle w:val="FootnoteReference"/>
        </w:rPr>
        <w:footnoteReference w:id="46"/>
      </w:r>
      <w:r w:rsidRPr="00BF4137" w:rsidR="00323FF4">
        <w:t xml:space="preserve">  </w:t>
      </w:r>
      <w:r w:rsidR="00632AC4">
        <w:t>Consistent with</w:t>
      </w:r>
      <w:r w:rsidRPr="00BF4137" w:rsidR="00323FF4">
        <w:t xml:space="preserve"> the </w:t>
      </w:r>
      <w:r w:rsidRPr="00BF4137" w:rsidR="00632AC4">
        <w:t>Issue 1</w:t>
      </w:r>
      <w:r w:rsidRPr="00BF4137" w:rsidR="00323FF4">
        <w:t xml:space="preserve"> discussion</w:t>
      </w:r>
      <w:r w:rsidRPr="00BF4137" w:rsidR="00EF09E9">
        <w:t>, SCE w</w:t>
      </w:r>
      <w:r w:rsidR="00786D1B">
        <w:t>ould</w:t>
      </w:r>
      <w:r w:rsidRPr="00BF4137" w:rsidR="00EF09E9">
        <w:t xml:space="preserve"> have to justify these costs</w:t>
      </w:r>
      <w:r w:rsidR="00BF4137">
        <w:t xml:space="preserve"> by demo</w:t>
      </w:r>
      <w:r w:rsidR="00617B8E">
        <w:t>nstrating the benefits of</w:t>
      </w:r>
      <w:r w:rsidR="00A232CF">
        <w:t xml:space="preserve"> these specifications</w:t>
      </w:r>
      <w:r w:rsidR="00686BB9">
        <w:t xml:space="preserve"> in any cost-effectiveness calculation going forward</w:t>
      </w:r>
      <w:r w:rsidR="00A232CF">
        <w:t xml:space="preserve">. </w:t>
      </w:r>
    </w:p>
    <w:p w:rsidR="0014250A" w:rsidP="00137ACF" w:rsidRDefault="0014250A" w14:paraId="67E26557" w14:textId="77777777">
      <w:pPr>
        <w:rPr>
          <w:b/>
          <w:bCs/>
        </w:rPr>
      </w:pPr>
    </w:p>
    <w:p w:rsidRPr="00237E00" w:rsidR="00B30CCA" w:rsidP="00085063" w:rsidRDefault="00137ACF" w14:paraId="37E2D77D" w14:textId="3425AC54">
      <w:pPr>
        <w:keepNext/>
        <w:rPr>
          <w:b/>
          <w:bCs/>
        </w:rPr>
      </w:pPr>
      <w:r w:rsidRPr="00237E00">
        <w:rPr>
          <w:b/>
          <w:bCs/>
        </w:rPr>
        <w:t xml:space="preserve">Issue </w:t>
      </w:r>
      <w:r w:rsidR="00AE7561">
        <w:rPr>
          <w:b/>
          <w:bCs/>
        </w:rPr>
        <w:t>3</w:t>
      </w:r>
      <w:r w:rsidRPr="00237E00">
        <w:rPr>
          <w:b/>
          <w:bCs/>
        </w:rPr>
        <w:t xml:space="preserve">: </w:t>
      </w:r>
      <w:r w:rsidRPr="00237E00" w:rsidR="00F33F4E">
        <w:rPr>
          <w:b/>
          <w:bCs/>
        </w:rPr>
        <w:t>Implementation of Proposal 3</w:t>
      </w:r>
    </w:p>
    <w:p w:rsidR="000B6D1F" w:rsidP="000B6D1F" w:rsidRDefault="00E55827" w14:paraId="0FB2FBE8" w14:textId="77777777">
      <w:pPr>
        <w:spacing w:after="120"/>
        <w:rPr>
          <w:szCs w:val="26"/>
        </w:rPr>
      </w:pPr>
      <w:r>
        <w:t>Since</w:t>
      </w:r>
      <w:r w:rsidR="00800A70">
        <w:t xml:space="preserve"> the approach proposed by the </w:t>
      </w:r>
      <w:r w:rsidR="00066DCD">
        <w:t xml:space="preserve">Utilities </w:t>
      </w:r>
      <w:r w:rsidR="00800A70">
        <w:t>has not been demonstrated to be cost-effective</w:t>
      </w:r>
      <w:r w:rsidR="00B30CCA">
        <w:t xml:space="preserve">, </w:t>
      </w:r>
      <w:r w:rsidR="00F33126">
        <w:t xml:space="preserve">D.19-03-013 requires the implementation of </w:t>
      </w:r>
      <w:r w:rsidR="00571DF2">
        <w:rPr>
          <w:szCs w:val="26"/>
        </w:rPr>
        <w:t xml:space="preserve">specific technical requirements for telemetering of </w:t>
      </w:r>
      <w:r w:rsidRPr="00B6658A" w:rsidR="00571DF2">
        <w:rPr>
          <w:szCs w:val="26"/>
        </w:rPr>
        <w:t>systems larger</w:t>
      </w:r>
      <w:r w:rsidR="00571DF2">
        <w:rPr>
          <w:szCs w:val="26"/>
        </w:rPr>
        <w:t xml:space="preserve"> </w:t>
      </w:r>
      <w:r w:rsidRPr="00B6658A" w:rsidR="00571DF2">
        <w:rPr>
          <w:szCs w:val="26"/>
        </w:rPr>
        <w:t>than 1 MW</w:t>
      </w:r>
      <w:r w:rsidR="00571DF2">
        <w:rPr>
          <w:szCs w:val="26"/>
        </w:rPr>
        <w:t xml:space="preserve">. </w:t>
      </w:r>
      <w:r w:rsidR="007B45CE">
        <w:rPr>
          <w:szCs w:val="26"/>
        </w:rPr>
        <w:t xml:space="preserve">The technical specifications </w:t>
      </w:r>
      <w:r w:rsidR="00FB6C3A">
        <w:rPr>
          <w:szCs w:val="26"/>
        </w:rPr>
        <w:t xml:space="preserve">for systems larger than 1 MW </w:t>
      </w:r>
      <w:r w:rsidR="00CC3B1E">
        <w:rPr>
          <w:szCs w:val="26"/>
        </w:rPr>
        <w:t xml:space="preserve">referenced </w:t>
      </w:r>
      <w:r w:rsidR="00660624">
        <w:rPr>
          <w:szCs w:val="26"/>
        </w:rPr>
        <w:t>by D.</w:t>
      </w:r>
      <w:r w:rsidR="00605924">
        <w:rPr>
          <w:szCs w:val="26"/>
        </w:rPr>
        <w:t>1</w:t>
      </w:r>
      <w:r w:rsidR="003B4F88">
        <w:rPr>
          <w:szCs w:val="26"/>
        </w:rPr>
        <w:t>9-03-013</w:t>
      </w:r>
      <w:r w:rsidR="00605924">
        <w:rPr>
          <w:szCs w:val="26"/>
        </w:rPr>
        <w:t xml:space="preserve"> </w:t>
      </w:r>
      <w:r w:rsidR="00506C3B">
        <w:rPr>
          <w:szCs w:val="26"/>
        </w:rPr>
        <w:t xml:space="preserve">come from the March Report and </w:t>
      </w:r>
      <w:r w:rsidR="007B45CE">
        <w:rPr>
          <w:szCs w:val="26"/>
        </w:rPr>
        <w:t xml:space="preserve">are as follows: </w:t>
      </w:r>
    </w:p>
    <w:p w:rsidR="000B6D1F" w:rsidP="000B6D1F" w:rsidRDefault="007B45CE" w14:paraId="4366AC75" w14:textId="77777777">
      <w:pPr>
        <w:spacing w:after="120"/>
        <w:ind w:left="720"/>
      </w:pPr>
      <w:r>
        <w:t>1) facilities can report measurements in 15</w:t>
      </w:r>
      <w:r>
        <w:rPr>
          <w:rFonts w:ascii="Cambria Math" w:hAnsi="Cambria Math" w:cs="Cambria Math"/>
        </w:rPr>
        <w:t>‐</w:t>
      </w:r>
      <w:r>
        <w:t>minute increments using customer</w:t>
      </w:r>
      <w:r>
        <w:rPr>
          <w:rFonts w:ascii="Cambria Math" w:hAnsi="Cambria Math" w:cs="Cambria Math"/>
        </w:rPr>
        <w:t>‐</w:t>
      </w:r>
      <w:r>
        <w:t>owned, nonrevenue</w:t>
      </w:r>
      <w:r>
        <w:rPr>
          <w:rFonts w:ascii="Cambria Math" w:hAnsi="Cambria Math" w:cs="Cambria Math"/>
        </w:rPr>
        <w:t>‐</w:t>
      </w:r>
      <w:r>
        <w:t>grade metering and a data aggregation device comparable to the serial device server that SCE has historically required</w:t>
      </w:r>
      <w:r w:rsidR="00B64B39">
        <w:t>,</w:t>
      </w:r>
      <w:r w:rsidR="00DB47BF">
        <w:rPr>
          <w:rStyle w:val="FootnoteReference"/>
        </w:rPr>
        <w:footnoteReference w:id="47"/>
      </w:r>
      <w:r>
        <w:t xml:space="preserve"> </w:t>
      </w:r>
    </w:p>
    <w:p w:rsidR="000B6D1F" w:rsidP="000B6D1F" w:rsidRDefault="007B45CE" w14:paraId="05C9D651" w14:textId="77777777">
      <w:pPr>
        <w:spacing w:after="120"/>
        <w:ind w:left="720"/>
      </w:pPr>
      <w:r>
        <w:t xml:space="preserve">2) customers can choose to connect the reporting device to the utility Energy Management System via cellular modem or dedicated internet connection, and </w:t>
      </w:r>
    </w:p>
    <w:p w:rsidR="000B6D1F" w:rsidP="000B6D1F" w:rsidRDefault="007B45CE" w14:paraId="591A4E7D" w14:textId="77777777">
      <w:pPr>
        <w:spacing w:after="120"/>
        <w:ind w:left="720"/>
      </w:pPr>
      <w:r>
        <w:t>3) measurements do not have to be made from revenue grade equipment.</w:t>
      </w:r>
      <w:r w:rsidR="00A51092">
        <w:rPr>
          <w:rStyle w:val="FootnoteReference"/>
        </w:rPr>
        <w:footnoteReference w:id="48"/>
      </w:r>
      <w:r w:rsidR="000168DE">
        <w:t xml:space="preserve">  </w:t>
      </w:r>
    </w:p>
    <w:p w:rsidR="00237E00" w:rsidP="000B6D1F" w:rsidRDefault="00390847" w14:paraId="4B49548A" w14:textId="2B2F8551">
      <w:pPr>
        <w:spacing w:after="120"/>
      </w:pPr>
      <w:r>
        <w:lastRenderedPageBreak/>
        <w:t xml:space="preserve">The Utilities shall </w:t>
      </w:r>
      <w:r w:rsidR="002505C4">
        <w:t xml:space="preserve">submit </w:t>
      </w:r>
      <w:r w:rsidR="00237E00">
        <w:t xml:space="preserve">Tier 1 </w:t>
      </w:r>
      <w:r w:rsidR="002505C4">
        <w:t xml:space="preserve">Advice Letters </w:t>
      </w:r>
      <w:r w:rsidR="00237E00">
        <w:t>to implement these requirements</w:t>
      </w:r>
      <w:r w:rsidR="00891048">
        <w:t xml:space="preserve"> </w:t>
      </w:r>
      <w:r w:rsidR="00AD635D">
        <w:t xml:space="preserve">45 </w:t>
      </w:r>
      <w:r w:rsidR="00891048">
        <w:t xml:space="preserve">days from the </w:t>
      </w:r>
      <w:r w:rsidR="005C0577">
        <w:t xml:space="preserve">adoption </w:t>
      </w:r>
      <w:r w:rsidR="00891048">
        <w:t>of this Resolution.</w:t>
      </w:r>
    </w:p>
    <w:p w:rsidR="00AE7561" w:rsidP="00137ACF" w:rsidRDefault="00AE7561" w14:paraId="263B93F8" w14:textId="77777777">
      <w:pPr>
        <w:rPr>
          <w:szCs w:val="26"/>
        </w:rPr>
      </w:pPr>
    </w:p>
    <w:p w:rsidRPr="00237E00" w:rsidR="00AE7561" w:rsidP="00AE7561" w:rsidRDefault="00AE7561" w14:paraId="475F1AE6" w14:textId="6210B3DC">
      <w:pPr>
        <w:rPr>
          <w:b/>
          <w:bCs/>
        </w:rPr>
      </w:pPr>
      <w:r w:rsidRPr="00237E00">
        <w:rPr>
          <w:b/>
          <w:bCs/>
        </w:rPr>
        <w:t xml:space="preserve">Issue </w:t>
      </w:r>
      <w:r w:rsidR="00065DF1">
        <w:rPr>
          <w:b/>
          <w:bCs/>
        </w:rPr>
        <w:t>4</w:t>
      </w:r>
      <w:r w:rsidRPr="00237E00">
        <w:rPr>
          <w:b/>
          <w:bCs/>
        </w:rPr>
        <w:t xml:space="preserve">: Continued Development of </w:t>
      </w:r>
      <w:r w:rsidR="00E44BCE">
        <w:rPr>
          <w:b/>
          <w:bCs/>
        </w:rPr>
        <w:t xml:space="preserve">an </w:t>
      </w:r>
      <w:r w:rsidRPr="00237E00">
        <w:rPr>
          <w:b/>
          <w:bCs/>
        </w:rPr>
        <w:t xml:space="preserve">IEEE 2030.5-based Telemetry Solution </w:t>
      </w:r>
    </w:p>
    <w:p w:rsidR="008A18F5" w:rsidP="008A18F5" w:rsidRDefault="006747B9" w14:paraId="10A0D023" w14:textId="5C866FE8">
      <w:r>
        <w:t>Ordering Paragraph 9 of D.19-</w:t>
      </w:r>
      <w:r w:rsidR="00AB1295">
        <w:t>03-013</w:t>
      </w:r>
      <w:r w:rsidR="00ED3059">
        <w:t xml:space="preserve"> </w:t>
      </w:r>
      <w:r w:rsidR="00D84772">
        <w:t>states, "</w:t>
      </w:r>
      <w:r w:rsidRPr="00D84772" w:rsidR="00D84772">
        <w:t>The Utilities’ published technical requirements shall be able to be met through alternative data sources, such as SCADA and smart inverter data, if those options are shown to more cost-effectively produce the data necessary to provide system visibility and address load masking.</w:t>
      </w:r>
      <w:r w:rsidR="00357290">
        <w:t>"</w:t>
      </w:r>
      <w:r w:rsidR="009C23AB">
        <w:t xml:space="preserve"> </w:t>
      </w:r>
      <w:r w:rsidR="00CB7872">
        <w:t xml:space="preserve">Following the </w:t>
      </w:r>
      <w:r w:rsidR="00D15285">
        <w:t>discussion of Issue 1</w:t>
      </w:r>
      <w:r w:rsidR="00191B8F">
        <w:t xml:space="preserve">, </w:t>
      </w:r>
      <w:r w:rsidR="007C148A">
        <w:t xml:space="preserve">the Commission finds that the only proposed solution </w:t>
      </w:r>
      <w:r w:rsidR="00830793">
        <w:t>that effectively addresses load masking is one that utilizes smart inverter data</w:t>
      </w:r>
      <w:r w:rsidR="00B06279">
        <w:t xml:space="preserve">. </w:t>
      </w:r>
    </w:p>
    <w:p w:rsidR="008A18F5" w:rsidP="00B06279" w:rsidRDefault="008A18F5" w14:paraId="1377D68B" w14:textId="77777777"/>
    <w:p w:rsidR="00F44F10" w:rsidP="00F44F10" w:rsidRDefault="00BC4ACF" w14:paraId="01A8ED87" w14:textId="4663C301">
      <w:r>
        <w:t xml:space="preserve">The Utilities </w:t>
      </w:r>
      <w:r w:rsidR="004C00B7">
        <w:t>support leveraging</w:t>
      </w:r>
      <w:r w:rsidR="003B30CE">
        <w:t xml:space="preserve"> </w:t>
      </w:r>
      <w:r w:rsidR="00E34551">
        <w:t>the IEEE 2030.5 communications standard</w:t>
      </w:r>
      <w:r w:rsidR="007B6FD1">
        <w:t xml:space="preserve"> </w:t>
      </w:r>
      <w:r w:rsidR="006059A6">
        <w:t>to deliver smart inverter</w:t>
      </w:r>
      <w:r w:rsidR="007B6FD1">
        <w:t xml:space="preserve"> </w:t>
      </w:r>
      <w:r w:rsidR="00935C8B">
        <w:t xml:space="preserve">data </w:t>
      </w:r>
      <w:r w:rsidR="00687F2A">
        <w:t>as the default protocol</w:t>
      </w:r>
      <w:r w:rsidR="0074630E">
        <w:rPr>
          <w:rStyle w:val="FootnoteReference"/>
        </w:rPr>
        <w:footnoteReference w:id="49"/>
      </w:r>
      <w:r w:rsidR="00687F2A">
        <w:t xml:space="preserve"> </w:t>
      </w:r>
      <w:r w:rsidR="0055134E">
        <w:t>"</w:t>
      </w:r>
      <w:r w:rsidR="00687F2A">
        <w:t xml:space="preserve">for all smart </w:t>
      </w:r>
      <w:r w:rsidR="00B8300E">
        <w:t>i</w:t>
      </w:r>
      <w:r w:rsidR="00687F2A">
        <w:t>nverters</w:t>
      </w:r>
      <w:r w:rsidRPr="0055134E" w:rsidR="004E3DF8">
        <w:t>, including in multiple inverter-based generator aggregations and through a sing</w:t>
      </w:r>
      <w:r w:rsidRPr="0055134E" w:rsidR="0055134E">
        <w:t>le aggregator or energy management system</w:t>
      </w:r>
      <w:r w:rsidR="00243241">
        <w:t>.</w:t>
      </w:r>
      <w:r w:rsidR="0055134E">
        <w:t>"</w:t>
      </w:r>
      <w:r w:rsidR="00970D96">
        <w:rPr>
          <w:rStyle w:val="FootnoteReference"/>
        </w:rPr>
        <w:footnoteReference w:id="50"/>
      </w:r>
      <w:r w:rsidR="00812280">
        <w:t xml:space="preserve"> </w:t>
      </w:r>
      <w:r w:rsidR="00F1368D">
        <w:t>"</w:t>
      </w:r>
      <w:r w:rsidR="00EB7821">
        <w:t>SDG&amp;E looks forward to deploying</w:t>
      </w:r>
      <w:r w:rsidR="002F07C0">
        <w:t>,</w:t>
      </w:r>
      <w:r w:rsidR="00F1368D">
        <w:t>"</w:t>
      </w:r>
      <w:r w:rsidR="002F07C0">
        <w:rPr>
          <w:rStyle w:val="FootnoteReference"/>
        </w:rPr>
        <w:footnoteReference w:id="51"/>
      </w:r>
      <w:r w:rsidR="00D71843">
        <w:t xml:space="preserve"> </w:t>
      </w:r>
      <w:r w:rsidR="00F1368D">
        <w:t>"</w:t>
      </w:r>
      <w:r w:rsidR="00D71843">
        <w:t>PG&amp;E</w:t>
      </w:r>
      <w:r w:rsidR="002749B4">
        <w:t xml:space="preserve"> has decided to pursue deployment</w:t>
      </w:r>
      <w:r w:rsidR="002F07C0">
        <w:t>,</w:t>
      </w:r>
      <w:r w:rsidR="002749B4">
        <w:t>"</w:t>
      </w:r>
      <w:r w:rsidR="002F07C0">
        <w:rPr>
          <w:rStyle w:val="FootnoteReference"/>
        </w:rPr>
        <w:footnoteReference w:id="52"/>
      </w:r>
      <w:r w:rsidR="002749B4">
        <w:t xml:space="preserve"> and </w:t>
      </w:r>
      <w:r w:rsidR="00F20E43">
        <w:t xml:space="preserve">"SCE </w:t>
      </w:r>
      <w:r w:rsidR="00FC120A">
        <w:t>i</w:t>
      </w:r>
      <w:r w:rsidR="00F20E43">
        <w:t>s currently developing"</w:t>
      </w:r>
      <w:r w:rsidR="00D64D33">
        <w:rPr>
          <w:rStyle w:val="FootnoteReference"/>
        </w:rPr>
        <w:footnoteReference w:id="53"/>
      </w:r>
      <w:r w:rsidR="00525763">
        <w:t xml:space="preserve"> </w:t>
      </w:r>
      <w:r w:rsidR="00F1368D">
        <w:t>telemetry solutions</w:t>
      </w:r>
      <w:r w:rsidR="00F161E7">
        <w:t xml:space="preserve"> using IEEE 2030.5</w:t>
      </w:r>
      <w:r w:rsidR="009B08BB">
        <w:t xml:space="preserve">. </w:t>
      </w:r>
      <w:r w:rsidR="00EB2463">
        <w:t xml:space="preserve">SCE is building </w:t>
      </w:r>
      <w:r w:rsidR="00773B74">
        <w:t xml:space="preserve">out </w:t>
      </w:r>
      <w:r w:rsidR="00EB2463">
        <w:t>infr</w:t>
      </w:r>
      <w:r w:rsidR="00773B74">
        <w:t>a</w:t>
      </w:r>
      <w:r w:rsidR="00EB2463">
        <w:t>structure</w:t>
      </w:r>
      <w:r w:rsidR="00C332CF">
        <w:t xml:space="preserve"> </w:t>
      </w:r>
      <w:r w:rsidR="001A116E">
        <w:t>using the IEEE 2030.5 protocol</w:t>
      </w:r>
      <w:r w:rsidDel="00773B74" w:rsidR="001A116E">
        <w:t xml:space="preserve"> </w:t>
      </w:r>
      <w:r w:rsidR="00EB2463">
        <w:t xml:space="preserve">that will allow </w:t>
      </w:r>
      <w:r w:rsidR="000E1886">
        <w:t xml:space="preserve">them </w:t>
      </w:r>
      <w:r w:rsidR="00EB2463">
        <w:t>to communicate with DERs</w:t>
      </w:r>
      <w:r w:rsidR="003D5F5A">
        <w:t xml:space="preserve">, and </w:t>
      </w:r>
      <w:r w:rsidR="00060FD9">
        <w:t>"</w:t>
      </w:r>
      <w:r w:rsidR="00EB2463">
        <w:t>projects completing this</w:t>
      </w:r>
      <w:r w:rsidR="00C332CF">
        <w:t xml:space="preserve"> </w:t>
      </w:r>
      <w:r w:rsidR="00EB2463">
        <w:t>capability in 2022</w:t>
      </w:r>
      <w:r w:rsidR="00CA5270">
        <w:t>.</w:t>
      </w:r>
      <w:r w:rsidR="00060FD9">
        <w:t>"</w:t>
      </w:r>
      <w:r w:rsidR="00CA5270">
        <w:rPr>
          <w:rStyle w:val="FootnoteReference"/>
        </w:rPr>
        <w:footnoteReference w:id="54"/>
      </w:r>
      <w:r w:rsidRPr="00004083" w:rsidR="00004083">
        <w:rPr>
          <w:szCs w:val="26"/>
        </w:rPr>
        <w:t xml:space="preserve"> </w:t>
      </w:r>
      <w:r w:rsidR="00004083">
        <w:rPr>
          <w:szCs w:val="26"/>
        </w:rPr>
        <w:t xml:space="preserve">PG&amp;E </w:t>
      </w:r>
      <w:r w:rsidR="00004083">
        <w:t xml:space="preserve">provides some </w:t>
      </w:r>
      <w:r w:rsidRPr="00692CA0" w:rsidR="00004083">
        <w:t>preliminary functional and technical requirements</w:t>
      </w:r>
      <w:r w:rsidR="00004083">
        <w:t xml:space="preserve"> but notes that requirements will be further refined through the</w:t>
      </w:r>
      <w:r w:rsidR="00293814">
        <w:t xml:space="preserve">ir </w:t>
      </w:r>
      <w:r w:rsidR="00004083">
        <w:t>pilot.</w:t>
      </w:r>
      <w:r w:rsidR="00004083">
        <w:rPr>
          <w:rStyle w:val="FootnoteReference"/>
        </w:rPr>
        <w:footnoteReference w:id="55"/>
      </w:r>
      <w:r w:rsidR="00E0291C">
        <w:t xml:space="preserve"> The pilot utilizes</w:t>
      </w:r>
      <w:r w:rsidR="00A6301B">
        <w:t xml:space="preserve"> the IEEE 2030.5 protocol</w:t>
      </w:r>
      <w:r w:rsidR="00184B86">
        <w:t xml:space="preserve"> to create </w:t>
      </w:r>
      <w:r w:rsidR="00341730">
        <w:t>"</w:t>
      </w:r>
      <w:r w:rsidR="00184B86">
        <w:t>a near real-time system</w:t>
      </w:r>
      <w:r w:rsidR="00341730">
        <w:t xml:space="preserve"> integrated with PG&amp;E Operations</w:t>
      </w:r>
      <w:r w:rsidR="004D1B4D">
        <w:t>…and provide a foundation for more complex interactions between PG&amp;E and DERs beyond telemetry.</w:t>
      </w:r>
      <w:r w:rsidR="00341730">
        <w:t>"</w:t>
      </w:r>
      <w:r w:rsidR="00341730">
        <w:rPr>
          <w:rStyle w:val="FootnoteReference"/>
        </w:rPr>
        <w:footnoteReference w:id="56"/>
      </w:r>
      <w:r w:rsidR="00F77AA6">
        <w:t xml:space="preserve"> </w:t>
      </w:r>
      <w:r w:rsidR="002A4739">
        <w:t xml:space="preserve">SDG&amp;E adds that </w:t>
      </w:r>
      <w:r w:rsidR="00FF5620">
        <w:t>the implementation of the IEEE 2030.5 communications standards will</w:t>
      </w:r>
      <w:r w:rsidR="003451A7">
        <w:t xml:space="preserve"> </w:t>
      </w:r>
      <w:r w:rsidR="009111D0">
        <w:t xml:space="preserve">lead to a </w:t>
      </w:r>
      <w:r w:rsidR="0002134E">
        <w:t xml:space="preserve">dramatic decline in </w:t>
      </w:r>
      <w:r w:rsidR="001041FB">
        <w:t xml:space="preserve">the </w:t>
      </w:r>
      <w:r w:rsidR="0002134E">
        <w:t xml:space="preserve">cost </w:t>
      </w:r>
      <w:r w:rsidR="001041FB">
        <w:t>of</w:t>
      </w:r>
      <w:r w:rsidR="0002134E">
        <w:t xml:space="preserve"> obtain</w:t>
      </w:r>
      <w:r w:rsidR="001041FB">
        <w:t>ing</w:t>
      </w:r>
      <w:r w:rsidR="0002134E">
        <w:t xml:space="preserve"> generator </w:t>
      </w:r>
      <w:r w:rsidR="00DB1672">
        <w:t xml:space="preserve">output </w:t>
      </w:r>
      <w:r w:rsidR="0002134E">
        <w:t>data</w:t>
      </w:r>
      <w:r w:rsidR="002053B5">
        <w:t xml:space="preserve"> and "enable the kind of large-scale deployment (potentially millions of systems) envisioned </w:t>
      </w:r>
      <w:r w:rsidR="008C6B34">
        <w:t>i</w:t>
      </w:r>
      <w:r w:rsidR="002053B5">
        <w:t xml:space="preserve">n </w:t>
      </w:r>
      <w:r w:rsidR="002053B5">
        <w:lastRenderedPageBreak/>
        <w:t>California.</w:t>
      </w:r>
      <w:r w:rsidR="00A65B0E">
        <w:t>"</w:t>
      </w:r>
      <w:r w:rsidR="00A65B0E">
        <w:rPr>
          <w:rStyle w:val="FootnoteReference"/>
        </w:rPr>
        <w:footnoteReference w:id="57"/>
      </w:r>
      <w:r w:rsidR="00F44F10">
        <w:t xml:space="preserve"> </w:t>
      </w:r>
      <w:r w:rsidR="00D44100">
        <w:t xml:space="preserve">There was no protest to </w:t>
      </w:r>
      <w:r w:rsidR="00410B7C">
        <w:t>moving forward with a telemetry solution based on the</w:t>
      </w:r>
      <w:r w:rsidR="00D31B59">
        <w:t xml:space="preserve"> IEEE 2030.5 </w:t>
      </w:r>
      <w:r w:rsidR="000A7629">
        <w:t>communications protocol</w:t>
      </w:r>
      <w:r w:rsidR="00D31B59">
        <w:t>.</w:t>
      </w:r>
      <w:r w:rsidR="00AE73D9">
        <w:t xml:space="preserve">  </w:t>
      </w:r>
      <w:r w:rsidR="00E82951">
        <w:t>T</w:t>
      </w:r>
      <w:r w:rsidR="00F44F10">
        <w:t>he Commission finds that continued development of an IEEE 2030.5-based telemetry solution is w</w:t>
      </w:r>
      <w:r w:rsidR="00DD5D83">
        <w:t>arranted</w:t>
      </w:r>
      <w:r w:rsidR="00F44F10">
        <w:t xml:space="preserve"> and should be pursued.  </w:t>
      </w:r>
    </w:p>
    <w:p w:rsidRPr="001649F2" w:rsidR="007C214A" w:rsidP="002E5BD3" w:rsidRDefault="005457F8" w14:paraId="393211EB" w14:textId="21A6EF4F">
      <w:pPr>
        <w:pStyle w:val="Quote"/>
        <w:ind w:left="0" w:right="0"/>
        <w:jc w:val="left"/>
        <w:rPr>
          <w:i w:val="0"/>
          <w:iCs w:val="0"/>
          <w:color w:val="auto"/>
        </w:rPr>
      </w:pPr>
      <w:r w:rsidRPr="00D15824">
        <w:rPr>
          <w:i w:val="0"/>
          <w:iCs w:val="0"/>
          <w:color w:val="auto"/>
        </w:rPr>
        <w:t xml:space="preserve">In </w:t>
      </w:r>
      <w:r w:rsidRPr="00D15824" w:rsidR="00D2274B">
        <w:rPr>
          <w:i w:val="0"/>
          <w:iCs w:val="0"/>
          <w:color w:val="auto"/>
        </w:rPr>
        <w:t>their advice letters, t</w:t>
      </w:r>
      <w:r w:rsidRPr="00D15824" w:rsidR="00CE0A45">
        <w:rPr>
          <w:i w:val="0"/>
          <w:iCs w:val="0"/>
          <w:color w:val="auto"/>
        </w:rPr>
        <w:t>he Utilities have presented three different proposed paths forward</w:t>
      </w:r>
      <w:r w:rsidRPr="00D15824" w:rsidR="00D2274B">
        <w:rPr>
          <w:i w:val="0"/>
          <w:iCs w:val="0"/>
          <w:color w:val="auto"/>
        </w:rPr>
        <w:t>.</w:t>
      </w:r>
      <w:r w:rsidR="00EE0503">
        <w:rPr>
          <w:i w:val="0"/>
          <w:iCs w:val="0"/>
          <w:color w:val="auto"/>
        </w:rPr>
        <w:t xml:space="preserve">  </w:t>
      </w:r>
      <w:r w:rsidRPr="00D15824" w:rsidR="00D2274B">
        <w:rPr>
          <w:i w:val="0"/>
          <w:iCs w:val="0"/>
          <w:color w:val="auto"/>
        </w:rPr>
        <w:t>T</w:t>
      </w:r>
      <w:r w:rsidRPr="00D15824" w:rsidR="00B64679">
        <w:rPr>
          <w:i w:val="0"/>
          <w:iCs w:val="0"/>
          <w:color w:val="auto"/>
        </w:rPr>
        <w:t xml:space="preserve">he Commission </w:t>
      </w:r>
      <w:r w:rsidRPr="00D15824" w:rsidR="00D54D47">
        <w:rPr>
          <w:i w:val="0"/>
          <w:iCs w:val="0"/>
          <w:color w:val="auto"/>
        </w:rPr>
        <w:t>re</w:t>
      </w:r>
      <w:r w:rsidRPr="00D15824" w:rsidR="00CA371F">
        <w:rPr>
          <w:i w:val="0"/>
          <w:iCs w:val="0"/>
          <w:color w:val="auto"/>
        </w:rPr>
        <w:t xml:space="preserve">minds the Utilities that it is CPUC policy that </w:t>
      </w:r>
      <w:r w:rsidRPr="00D15824" w:rsidR="00B625B0">
        <w:rPr>
          <w:i w:val="0"/>
          <w:iCs w:val="0"/>
          <w:color w:val="auto"/>
        </w:rPr>
        <w:t>they "should maintain consistent tariffs in order to promote transparency and efficiency</w:t>
      </w:r>
      <w:r w:rsidRPr="00D15824" w:rsidR="00F91885">
        <w:rPr>
          <w:i w:val="0"/>
          <w:iCs w:val="0"/>
          <w:color w:val="auto"/>
        </w:rPr>
        <w:t>."</w:t>
      </w:r>
      <w:r w:rsidRPr="0054012C" w:rsidR="005C19F4">
        <w:rPr>
          <w:i w:val="0"/>
          <w:iCs w:val="0"/>
          <w:color w:val="auto"/>
          <w:vertAlign w:val="superscript"/>
        </w:rPr>
        <w:footnoteReference w:id="58"/>
      </w:r>
      <w:r w:rsidRPr="00D15824" w:rsidR="00F91885">
        <w:rPr>
          <w:i w:val="0"/>
          <w:iCs w:val="0"/>
          <w:color w:val="auto"/>
        </w:rPr>
        <w:t xml:space="preserve"> This </w:t>
      </w:r>
      <w:r w:rsidRPr="00D15824" w:rsidR="00AC7D5B">
        <w:rPr>
          <w:i w:val="0"/>
          <w:iCs w:val="0"/>
          <w:color w:val="auto"/>
        </w:rPr>
        <w:t xml:space="preserve">means that the Utilities should </w:t>
      </w:r>
      <w:r w:rsidRPr="00D15824" w:rsidR="005C19F4">
        <w:rPr>
          <w:i w:val="0"/>
          <w:iCs w:val="0"/>
          <w:color w:val="auto"/>
        </w:rPr>
        <w:t xml:space="preserve">put forth standardized </w:t>
      </w:r>
      <w:r w:rsidRPr="00D15824" w:rsidR="00340BC1">
        <w:rPr>
          <w:i w:val="0"/>
          <w:iCs w:val="0"/>
          <w:color w:val="auto"/>
        </w:rPr>
        <w:t>technical requirements</w:t>
      </w:r>
      <w:r w:rsidRPr="00D15824" w:rsidR="00383C6F">
        <w:rPr>
          <w:i w:val="0"/>
          <w:iCs w:val="0"/>
          <w:color w:val="auto"/>
        </w:rPr>
        <w:t xml:space="preserve">. For example, </w:t>
      </w:r>
      <w:r w:rsidRPr="00D15824" w:rsidR="00320799">
        <w:rPr>
          <w:i w:val="0"/>
          <w:iCs w:val="0"/>
          <w:color w:val="auto"/>
        </w:rPr>
        <w:t>CALSSA</w:t>
      </w:r>
      <w:r w:rsidRPr="00D15824" w:rsidR="001878EC">
        <w:rPr>
          <w:i w:val="0"/>
          <w:iCs w:val="0"/>
          <w:color w:val="auto"/>
        </w:rPr>
        <w:t xml:space="preserve">'s protest of SCE </w:t>
      </w:r>
      <w:r w:rsidRPr="00D15824" w:rsidR="00F67E2F">
        <w:rPr>
          <w:i w:val="0"/>
          <w:iCs w:val="0"/>
          <w:color w:val="auto"/>
        </w:rPr>
        <w:t>stat</w:t>
      </w:r>
      <w:r w:rsidRPr="00D15824" w:rsidR="001878EC">
        <w:rPr>
          <w:i w:val="0"/>
          <w:iCs w:val="0"/>
          <w:color w:val="auto"/>
        </w:rPr>
        <w:t>es that a fleet operator should be able to use their own cloud communications if it meets spec</w:t>
      </w:r>
      <w:r w:rsidRPr="00D15824" w:rsidR="00F67E2F">
        <w:rPr>
          <w:i w:val="0"/>
          <w:iCs w:val="0"/>
          <w:color w:val="auto"/>
        </w:rPr>
        <w:t>ifications</w:t>
      </w:r>
      <w:r w:rsidRPr="00D15824" w:rsidR="001878EC">
        <w:rPr>
          <w:i w:val="0"/>
          <w:iCs w:val="0"/>
          <w:color w:val="auto"/>
        </w:rPr>
        <w:t>.</w:t>
      </w:r>
      <w:r w:rsidRPr="0054012C" w:rsidR="00C24CB2">
        <w:rPr>
          <w:i w:val="0"/>
          <w:iCs w:val="0"/>
          <w:color w:val="auto"/>
          <w:vertAlign w:val="superscript"/>
        </w:rPr>
        <w:footnoteReference w:id="59"/>
      </w:r>
      <w:r w:rsidRPr="00D15824" w:rsidR="00B2746E">
        <w:rPr>
          <w:i w:val="0"/>
          <w:iCs w:val="0"/>
          <w:color w:val="auto"/>
        </w:rPr>
        <w:t xml:space="preserve"> </w:t>
      </w:r>
      <w:r w:rsidRPr="00D15824" w:rsidR="005E5EDF">
        <w:rPr>
          <w:i w:val="0"/>
          <w:iCs w:val="0"/>
          <w:color w:val="auto"/>
        </w:rPr>
        <w:t>While SDG&amp;E's proposal does allow for the use of customer-owned internet with encrypted payload,</w:t>
      </w:r>
      <w:r w:rsidRPr="0054012C" w:rsidR="005E5EDF">
        <w:rPr>
          <w:i w:val="0"/>
          <w:iCs w:val="0"/>
          <w:color w:val="auto"/>
          <w:vertAlign w:val="superscript"/>
        </w:rPr>
        <w:footnoteReference w:id="60"/>
      </w:r>
      <w:r w:rsidRPr="00D15824" w:rsidR="005E5EDF">
        <w:rPr>
          <w:i w:val="0"/>
          <w:iCs w:val="0"/>
          <w:color w:val="auto"/>
        </w:rPr>
        <w:t xml:space="preserve"> </w:t>
      </w:r>
      <w:r w:rsidRPr="00D15824" w:rsidR="00D70B3E">
        <w:rPr>
          <w:i w:val="0"/>
          <w:iCs w:val="0"/>
          <w:color w:val="auto"/>
        </w:rPr>
        <w:t>SCE's proposal does not</w:t>
      </w:r>
      <w:r w:rsidRPr="00D15824" w:rsidR="00162A09">
        <w:rPr>
          <w:i w:val="0"/>
          <w:iCs w:val="0"/>
          <w:color w:val="auto"/>
        </w:rPr>
        <w:t xml:space="preserve">.  </w:t>
      </w:r>
      <w:r w:rsidRPr="00D15824" w:rsidR="001B79A1">
        <w:rPr>
          <w:i w:val="0"/>
          <w:iCs w:val="0"/>
          <w:color w:val="auto"/>
        </w:rPr>
        <w:t xml:space="preserve">Any differences </w:t>
      </w:r>
      <w:r w:rsidRPr="00D15824" w:rsidR="00117225">
        <w:rPr>
          <w:i w:val="0"/>
          <w:iCs w:val="0"/>
          <w:color w:val="auto"/>
        </w:rPr>
        <w:t xml:space="preserve">between Utility proposals </w:t>
      </w:r>
      <w:r w:rsidRPr="00D15824" w:rsidR="001B79A1">
        <w:rPr>
          <w:i w:val="0"/>
          <w:iCs w:val="0"/>
          <w:color w:val="auto"/>
        </w:rPr>
        <w:t xml:space="preserve">that cannot be resolved will require justification. </w:t>
      </w:r>
    </w:p>
    <w:p w:rsidR="00AC4192" w:rsidP="009B7A57" w:rsidRDefault="006E1ABE" w14:paraId="28AB5FD3" w14:textId="7C3CDF84">
      <w:r>
        <w:t xml:space="preserve">There remains much to learn </w:t>
      </w:r>
      <w:proofErr w:type="gramStart"/>
      <w:r>
        <w:t>i</w:t>
      </w:r>
      <w:r w:rsidR="00AF4B3F">
        <w:t>n the course of</w:t>
      </w:r>
      <w:proofErr w:type="gramEnd"/>
      <w:r w:rsidR="00AF4B3F">
        <w:t xml:space="preserve"> developing a telemetry solution </w:t>
      </w:r>
      <w:r w:rsidR="00EA0E61">
        <w:t>utilizing</w:t>
      </w:r>
      <w:r w:rsidR="00AF4B3F">
        <w:t xml:space="preserve"> the IEEE 2030.5 communications standard</w:t>
      </w:r>
      <w:r>
        <w:t xml:space="preserve">. </w:t>
      </w:r>
      <w:r w:rsidR="0034097C">
        <w:t>P</w:t>
      </w:r>
      <w:r w:rsidR="00F666FE">
        <w:t>iloting</w:t>
      </w:r>
      <w:r w:rsidR="009B7A57">
        <w:t xml:space="preserve"> </w:t>
      </w:r>
      <w:r w:rsidR="006A1134">
        <w:t xml:space="preserve">telemetry solutions utilizing </w:t>
      </w:r>
      <w:r w:rsidR="009B7A57">
        <w:t>IEEE 2030.5</w:t>
      </w:r>
      <w:r w:rsidR="002E6310">
        <w:t xml:space="preserve"> </w:t>
      </w:r>
      <w:r w:rsidR="00F5414F">
        <w:t xml:space="preserve">over the public internet </w:t>
      </w:r>
      <w:r w:rsidR="009B7A57">
        <w:t xml:space="preserve">for systems </w:t>
      </w:r>
      <w:proofErr w:type="gramStart"/>
      <w:r w:rsidR="009B7A57">
        <w:t>in excess of</w:t>
      </w:r>
      <w:proofErr w:type="gramEnd"/>
      <w:r w:rsidR="009B7A57">
        <w:t xml:space="preserve"> 1 MW</w:t>
      </w:r>
      <w:r w:rsidR="005D5D47">
        <w:t xml:space="preserve"> will </w:t>
      </w:r>
      <w:r w:rsidR="000B6D1F">
        <w:t xml:space="preserve">provide </w:t>
      </w:r>
      <w:r w:rsidR="003F278F">
        <w:t xml:space="preserve">a </w:t>
      </w:r>
      <w:r w:rsidR="001C5A09">
        <w:t xml:space="preserve">valuable </w:t>
      </w:r>
      <w:r w:rsidR="003F278F">
        <w:t>body of experience</w:t>
      </w:r>
      <w:r w:rsidR="00691511">
        <w:t xml:space="preserve">. </w:t>
      </w:r>
      <w:r w:rsidR="00861C6B">
        <w:t xml:space="preserve">The Utilities may </w:t>
      </w:r>
      <w:r w:rsidR="001B333E">
        <w:t xml:space="preserve">use this </w:t>
      </w:r>
      <w:r w:rsidR="00691511">
        <w:t>experience</w:t>
      </w:r>
      <w:r w:rsidR="009B7A57">
        <w:t xml:space="preserve">, as well as any potential cost reductions or performance improvements that are identified, </w:t>
      </w:r>
      <w:r w:rsidR="001B333E">
        <w:t>to</w:t>
      </w:r>
      <w:r w:rsidR="009B7A57">
        <w:t xml:space="preserve"> request, via Tier 3 AL, to reduce the telemetry threshold from 1 MW to 250 kW at a future date. However, </w:t>
      </w:r>
      <w:r w:rsidR="00ED2BFB">
        <w:t xml:space="preserve">consistent with D.19-03-013, </w:t>
      </w:r>
      <w:r w:rsidR="009B7A57">
        <w:t xml:space="preserve">such a request must 1) report on the actual utility-related costs and non-utility-related costs incurred, over </w:t>
      </w:r>
      <w:r w:rsidR="00431773">
        <w:t>a</w:t>
      </w:r>
      <w:r w:rsidR="009B7A57">
        <w:t xml:space="preserve"> period of at least </w:t>
      </w:r>
      <w:r w:rsidR="00782A69">
        <w:t>6 months</w:t>
      </w:r>
      <w:r w:rsidR="009B7A57">
        <w:t xml:space="preserve">, by systems providing IEEE 2030.5-based telemetry, 2) discuss the specific operational needs that would be met via a reduced telemetry threshold </w:t>
      </w:r>
      <w:r w:rsidR="00782A69">
        <w:t xml:space="preserve">at a level of </w:t>
      </w:r>
      <w:r w:rsidR="009B7A57">
        <w:t>detail beyond that available in the March Report,  3) quantify the benefit provided by meeting those needs</w:t>
      </w:r>
      <w:r w:rsidR="000F3B2C">
        <w:t xml:space="preserve">, and 4) </w:t>
      </w:r>
      <w:r w:rsidR="00EC280F">
        <w:t xml:space="preserve">provide </w:t>
      </w:r>
      <w:r w:rsidR="000F3B2C">
        <w:t>detail</w:t>
      </w:r>
      <w:r w:rsidR="00EC280F">
        <w:t xml:space="preserve"> on any </w:t>
      </w:r>
      <w:r w:rsidR="00CC4A35">
        <w:t xml:space="preserve">implementation </w:t>
      </w:r>
      <w:r w:rsidR="00EC280F">
        <w:t>differences between communications</w:t>
      </w:r>
      <w:r w:rsidR="00CC4A35">
        <w:t xml:space="preserve"> directly to the inverter </w:t>
      </w:r>
      <w:r w:rsidR="00660C95">
        <w:t xml:space="preserve">versus </w:t>
      </w:r>
      <w:r w:rsidR="00F36E3B">
        <w:t xml:space="preserve">to </w:t>
      </w:r>
      <w:r w:rsidR="00660C95">
        <w:t>an aggregator or gateway.</w:t>
      </w:r>
      <w:r w:rsidRPr="00F60EC6" w:rsidR="00F60EC6">
        <w:t xml:space="preserve"> </w:t>
      </w:r>
    </w:p>
    <w:p w:rsidR="00AC4192" w:rsidP="009B7A57" w:rsidRDefault="00AC4192" w14:paraId="685D873A" w14:textId="77777777"/>
    <w:p w:rsidR="009B7A57" w:rsidP="009B7A57" w:rsidRDefault="005F30DB" w14:paraId="38CD325D" w14:textId="03C1AB71">
      <w:r>
        <w:t>A</w:t>
      </w:r>
      <w:r w:rsidR="00AC4192">
        <w:t>dditionally, a</w:t>
      </w:r>
      <w:r>
        <w:t>s the Utilities gain experience through PG&amp;E's pilot and others, the Commission finds that they should report on the capabilities and limitations of utilizing</w:t>
      </w:r>
      <w:r w:rsidR="00EA0E61">
        <w:t xml:space="preserve"> </w:t>
      </w:r>
      <w:r>
        <w:t xml:space="preserve">IEEE 2030.5 for telemetry.  </w:t>
      </w:r>
      <w:r w:rsidR="00344FBF">
        <w:t xml:space="preserve">The </w:t>
      </w:r>
      <w:r w:rsidR="005847A4">
        <w:t>U</w:t>
      </w:r>
      <w:r w:rsidR="00344FBF">
        <w:t>tilities shall present</w:t>
      </w:r>
      <w:r w:rsidR="006F7BBA">
        <w:t xml:space="preserve"> </w:t>
      </w:r>
      <w:r w:rsidR="00C10F27">
        <w:t>what they learn</w:t>
      </w:r>
      <w:r w:rsidR="00656DB7">
        <w:t xml:space="preserve"> </w:t>
      </w:r>
      <w:r w:rsidR="00656DB7">
        <w:lastRenderedPageBreak/>
        <w:t>at a meeting of the Smart Inverter Working Group</w:t>
      </w:r>
      <w:r w:rsidR="00CF72C3">
        <w:t xml:space="preserve"> at least 15 days in advance of </w:t>
      </w:r>
      <w:r w:rsidR="003B49B8">
        <w:t xml:space="preserve">any ALs proposing new requirements or options for telemetry. </w:t>
      </w:r>
    </w:p>
    <w:p w:rsidR="00986146" w:rsidP="009B7A57" w:rsidRDefault="00986146" w14:paraId="37DAB10B" w14:textId="5BC6C62A"/>
    <w:p w:rsidR="00986146" w:rsidP="00986146" w:rsidRDefault="00986146" w14:paraId="27F089BC" w14:textId="62A769E0">
      <w:pPr>
        <w:rPr>
          <w:b/>
          <w:bCs/>
        </w:rPr>
      </w:pPr>
      <w:r>
        <w:t>The Commission would also like to r</w:t>
      </w:r>
      <w:r w:rsidRPr="00BF4137">
        <w:t xml:space="preserve">emind the </w:t>
      </w:r>
      <w:r>
        <w:t>Utilities that Ordering Paragraph 9 of D.19-03-013 mandates that they "shall</w:t>
      </w:r>
      <w:r w:rsidRPr="00751F42">
        <w:t xml:space="preserve"> propose technical specifications for telemetry rather than proposing specific equipment</w:t>
      </w:r>
      <w:r>
        <w:t>."</w:t>
      </w:r>
      <w:r>
        <w:rPr>
          <w:rStyle w:val="FootnoteReference"/>
        </w:rPr>
        <w:footnoteReference w:id="61"/>
      </w:r>
      <w:r>
        <w:t xml:space="preserve">  Similarly, it is the Commission's intent that the Utilities not </w:t>
      </w:r>
      <w:r w:rsidR="001A293C">
        <w:t>mandate</w:t>
      </w:r>
      <w:r w:rsidRPr="00BF4137" w:rsidR="001A293C">
        <w:t xml:space="preserve"> </w:t>
      </w:r>
      <w:r w:rsidRPr="00BF4137">
        <w:t xml:space="preserve">a </w:t>
      </w:r>
      <w:r w:rsidR="00660420">
        <w:t>single vendor as the basis</w:t>
      </w:r>
      <w:r>
        <w:t xml:space="preserve"> of their proposed solution. </w:t>
      </w:r>
    </w:p>
    <w:p w:rsidR="007C214A" w:rsidP="00AE7561" w:rsidRDefault="007C214A" w14:paraId="013DEC67" w14:textId="51237B43"/>
    <w:p w:rsidR="00CF17DE" w:rsidRDefault="00CF17DE" w14:paraId="16A82360" w14:textId="77777777">
      <w:pPr>
        <w:pStyle w:val="Heading1"/>
      </w:pPr>
      <w:r>
        <w:t>Comments</w:t>
      </w:r>
    </w:p>
    <w:p w:rsidR="00C86D1B" w:rsidP="00C86D1B" w:rsidRDefault="0024459D" w14:paraId="0FBE29E2" w14:textId="77777777">
      <w:r>
        <w:t xml:space="preserve">Public Utilities Code section 311(g)(1) provides that this resolution must be served on all parties and subject to at least 30 days public review.  Please note that comments are due 20 days </w:t>
      </w:r>
      <w:r w:rsidR="00C86D1B">
        <w:t xml:space="preserve">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C86D1B" w:rsidP="00C86D1B" w:rsidRDefault="00C86D1B" w14:paraId="0D5978AE" w14:textId="77777777"/>
    <w:p w:rsidR="00B843EC" w:rsidP="0024459D" w:rsidRDefault="0024459D" w14:paraId="5079CB6B" w14:textId="3C7759D1">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C86D1B" w:rsidP="00C86D1B" w:rsidRDefault="00C86D1B" w14:paraId="3F6125B6" w14:textId="77777777"/>
    <w:p w:rsidR="00CF17DE" w:rsidRDefault="00CF17DE" w14:paraId="07618DBE" w14:textId="77777777">
      <w:pPr>
        <w:pStyle w:val="Heading1"/>
      </w:pPr>
      <w:r>
        <w:t>Findings</w:t>
      </w:r>
    </w:p>
    <w:p w:rsidRPr="00503783" w:rsidR="00CF17DE" w:rsidRDefault="002567D6" w14:paraId="4487620D" w14:textId="5491AB5D">
      <w:pPr>
        <w:numPr>
          <w:ilvl w:val="0"/>
          <w:numId w:val="4"/>
        </w:numPr>
      </w:pPr>
      <w:r w:rsidRPr="00670BB8">
        <w:rPr>
          <w:szCs w:val="26"/>
        </w:rPr>
        <w:t>Decision</w:t>
      </w:r>
      <w:r>
        <w:rPr>
          <w:szCs w:val="26"/>
        </w:rPr>
        <w:t xml:space="preserve"> </w:t>
      </w:r>
      <w:r w:rsidR="00C52F73">
        <w:rPr>
          <w:szCs w:val="26"/>
        </w:rPr>
        <w:t xml:space="preserve">(D.) </w:t>
      </w:r>
      <w:r w:rsidRPr="00670BB8">
        <w:rPr>
          <w:szCs w:val="26"/>
        </w:rPr>
        <w:t>19-03-013</w:t>
      </w:r>
      <w:r>
        <w:rPr>
          <w:szCs w:val="26"/>
        </w:rPr>
        <w:t xml:space="preserve"> </w:t>
      </w:r>
      <w:r w:rsidR="00CF17DE">
        <w:t xml:space="preserve">directed </w:t>
      </w:r>
      <w:r w:rsidRPr="00670BB8" w:rsidR="00C52F73">
        <w:rPr>
          <w:szCs w:val="26"/>
        </w:rPr>
        <w:t xml:space="preserve">Pacific Gas and Electric Company (PG&amp;E), San Diego Gas &amp; Electric Company (SDG&amp;E), and Southern California Edison Company (SCE) (jointly, the Utilities) </w:t>
      </w:r>
      <w:r w:rsidR="00CF17DE">
        <w:t xml:space="preserve">to file </w:t>
      </w:r>
      <w:r w:rsidR="00904AEC">
        <w:rPr>
          <w:szCs w:val="26"/>
        </w:rPr>
        <w:t>Tier 3 Advice Letters</w:t>
      </w:r>
      <w:r w:rsidR="00850741">
        <w:rPr>
          <w:szCs w:val="26"/>
        </w:rPr>
        <w:t xml:space="preserve"> (AL)</w:t>
      </w:r>
      <w:r w:rsidR="00904AEC">
        <w:rPr>
          <w:szCs w:val="26"/>
        </w:rPr>
        <w:t xml:space="preserve"> 1) </w:t>
      </w:r>
      <w:r w:rsidR="00904AEC">
        <w:t>proposing technical specifications for telemetry</w:t>
      </w:r>
      <w:r w:rsidR="00904AEC">
        <w:rPr>
          <w:szCs w:val="26"/>
        </w:rPr>
        <w:t xml:space="preserve">, 2) </w:t>
      </w:r>
      <w:r w:rsidRPr="00AB6464" w:rsidR="00904AEC">
        <w:rPr>
          <w:szCs w:val="26"/>
        </w:rPr>
        <w:t>including a cost-benefit analysis of the telemetry as a means of collecting data on the distribution system,</w:t>
      </w:r>
      <w:r w:rsidR="00904AEC">
        <w:rPr>
          <w:szCs w:val="26"/>
        </w:rPr>
        <w:t xml:space="preserve"> and 3) </w:t>
      </w:r>
      <w:r w:rsidRPr="003C4CB0" w:rsidR="00904AEC">
        <w:rPr>
          <w:szCs w:val="26"/>
        </w:rPr>
        <w:t>providing information to indicate that Supervisory Control and Data Acquisition System</w:t>
      </w:r>
      <w:r w:rsidR="00904AEC">
        <w:rPr>
          <w:szCs w:val="26"/>
        </w:rPr>
        <w:t xml:space="preserve"> </w:t>
      </w:r>
      <w:r w:rsidRPr="003C4CB0" w:rsidR="00904AEC">
        <w:rPr>
          <w:szCs w:val="26"/>
        </w:rPr>
        <w:t>(SCADA) and smart inverter data would not be able to provide sufficient data to</w:t>
      </w:r>
      <w:r w:rsidR="00904AEC">
        <w:rPr>
          <w:szCs w:val="26"/>
        </w:rPr>
        <w:t xml:space="preserve"> satisfy the Utilities’ needs.</w:t>
      </w:r>
    </w:p>
    <w:p w:rsidRPr="00503783" w:rsidR="00055B59" w:rsidRDefault="00AE3F72" w14:paraId="558AF507" w14:textId="0EDE2BAC">
      <w:pPr>
        <w:numPr>
          <w:ilvl w:val="0"/>
          <w:numId w:val="4"/>
        </w:numPr>
      </w:pPr>
      <w:r>
        <w:rPr>
          <w:szCs w:val="26"/>
        </w:rPr>
        <w:lastRenderedPageBreak/>
        <w:t>O</w:t>
      </w:r>
      <w:r w:rsidRPr="00670BB8">
        <w:rPr>
          <w:szCs w:val="26"/>
        </w:rPr>
        <w:t>n Ju</w:t>
      </w:r>
      <w:r>
        <w:rPr>
          <w:szCs w:val="26"/>
        </w:rPr>
        <w:t>ly</w:t>
      </w:r>
      <w:r w:rsidRPr="00670BB8">
        <w:rPr>
          <w:szCs w:val="26"/>
        </w:rPr>
        <w:t xml:space="preserve"> </w:t>
      </w:r>
      <w:r>
        <w:rPr>
          <w:szCs w:val="26"/>
        </w:rPr>
        <w:t>26</w:t>
      </w:r>
      <w:r w:rsidRPr="00670BB8">
        <w:rPr>
          <w:szCs w:val="26"/>
        </w:rPr>
        <w:t>, 2019</w:t>
      </w:r>
      <w:r>
        <w:rPr>
          <w:szCs w:val="26"/>
        </w:rPr>
        <w:t xml:space="preserve">, </w:t>
      </w:r>
      <w:r w:rsidRPr="00670BB8" w:rsidR="00055B59">
        <w:rPr>
          <w:szCs w:val="26"/>
        </w:rPr>
        <w:t xml:space="preserve">PG&amp;E filed AL </w:t>
      </w:r>
      <w:r w:rsidR="00055B59">
        <w:t>5595</w:t>
      </w:r>
      <w:r w:rsidRPr="00670BB8" w:rsidR="00055B59">
        <w:rPr>
          <w:szCs w:val="26"/>
        </w:rPr>
        <w:t>-E</w:t>
      </w:r>
      <w:r w:rsidR="00055B59">
        <w:rPr>
          <w:szCs w:val="26"/>
        </w:rPr>
        <w:t>,</w:t>
      </w:r>
      <w:r w:rsidRPr="00670BB8" w:rsidR="00055B59">
        <w:rPr>
          <w:szCs w:val="26"/>
        </w:rPr>
        <w:t xml:space="preserve"> SCE filed AL </w:t>
      </w:r>
      <w:r w:rsidR="00055B59">
        <w:t>4044</w:t>
      </w:r>
      <w:r w:rsidRPr="00670BB8" w:rsidR="00055B59">
        <w:rPr>
          <w:szCs w:val="26"/>
        </w:rPr>
        <w:t xml:space="preserve">-E, </w:t>
      </w:r>
      <w:r w:rsidR="00055B59">
        <w:rPr>
          <w:szCs w:val="26"/>
        </w:rPr>
        <w:t xml:space="preserve">and </w:t>
      </w:r>
      <w:r w:rsidRPr="00670BB8" w:rsidR="00055B59">
        <w:rPr>
          <w:szCs w:val="26"/>
        </w:rPr>
        <w:t xml:space="preserve">SDG&amp;E filed AL </w:t>
      </w:r>
      <w:r w:rsidR="00055B59">
        <w:t>3407</w:t>
      </w:r>
      <w:r w:rsidRPr="00670BB8" w:rsidR="00055B59">
        <w:rPr>
          <w:szCs w:val="26"/>
        </w:rPr>
        <w:t>-E</w:t>
      </w:r>
      <w:r w:rsidR="001C3615">
        <w:rPr>
          <w:szCs w:val="26"/>
        </w:rPr>
        <w:t xml:space="preserve">, in which </w:t>
      </w:r>
      <w:r w:rsidR="00C843DE">
        <w:t xml:space="preserve">they </w:t>
      </w:r>
      <w:r w:rsidR="001C3615">
        <w:rPr>
          <w:szCs w:val="26"/>
        </w:rPr>
        <w:t>compare</w:t>
      </w:r>
      <w:r w:rsidR="00C843DE">
        <w:rPr>
          <w:szCs w:val="26"/>
        </w:rPr>
        <w:t>d</w:t>
      </w:r>
      <w:r w:rsidR="001C3615">
        <w:rPr>
          <w:szCs w:val="26"/>
        </w:rPr>
        <w:t xml:space="preserve"> telemetry options, indicate</w:t>
      </w:r>
      <w:r w:rsidR="00C843DE">
        <w:rPr>
          <w:szCs w:val="26"/>
        </w:rPr>
        <w:t>d</w:t>
      </w:r>
      <w:r w:rsidR="001C3615">
        <w:rPr>
          <w:szCs w:val="26"/>
        </w:rPr>
        <w:t xml:space="preserve"> whether these options would result in utility costs less than $20,000,</w:t>
      </w:r>
      <w:r w:rsidR="00C843DE">
        <w:rPr>
          <w:szCs w:val="26"/>
        </w:rPr>
        <w:t xml:space="preserve"> </w:t>
      </w:r>
      <w:r w:rsidR="001C3615">
        <w:rPr>
          <w:szCs w:val="26"/>
        </w:rPr>
        <w:t>and outline</w:t>
      </w:r>
      <w:r w:rsidR="00C843DE">
        <w:rPr>
          <w:szCs w:val="26"/>
        </w:rPr>
        <w:t>d</w:t>
      </w:r>
      <w:r w:rsidR="001C3615">
        <w:rPr>
          <w:szCs w:val="26"/>
        </w:rPr>
        <w:t xml:space="preserve"> telemetry investment benefits</w:t>
      </w:r>
      <w:r w:rsidRPr="00670BB8" w:rsidR="00055B59">
        <w:rPr>
          <w:szCs w:val="26"/>
        </w:rPr>
        <w:t>.</w:t>
      </w:r>
    </w:p>
    <w:p w:rsidRPr="00EE1B2B" w:rsidR="00EE1B2B" w:rsidP="00EE1B2B" w:rsidRDefault="00EE1B2B" w14:paraId="01044CEF" w14:textId="2D126E73">
      <w:pPr>
        <w:pStyle w:val="ListParagraph"/>
        <w:numPr>
          <w:ilvl w:val="0"/>
          <w:numId w:val="4"/>
        </w:numPr>
        <w:rPr>
          <w:szCs w:val="26"/>
        </w:rPr>
      </w:pPr>
      <w:r>
        <w:rPr>
          <w:szCs w:val="26"/>
        </w:rPr>
        <w:t xml:space="preserve">The Utilities </w:t>
      </w:r>
      <w:r w:rsidRPr="00EE1B2B">
        <w:rPr>
          <w:szCs w:val="26"/>
        </w:rPr>
        <w:t>did not quantitatively or qualitatively estimate the benefits of telemetry as a means of collecting data on the distribution system</w:t>
      </w:r>
      <w:r w:rsidR="00ED7B4E">
        <w:rPr>
          <w:szCs w:val="26"/>
        </w:rPr>
        <w:t xml:space="preserve"> in </w:t>
      </w:r>
      <w:r w:rsidRPr="00670BB8" w:rsidR="00ED7B4E">
        <w:rPr>
          <w:szCs w:val="26"/>
        </w:rPr>
        <w:t>AL</w:t>
      </w:r>
      <w:r w:rsidR="0090191C">
        <w:rPr>
          <w:szCs w:val="26"/>
        </w:rPr>
        <w:t>s</w:t>
      </w:r>
      <w:r w:rsidRPr="00670BB8" w:rsidR="00ED7B4E">
        <w:rPr>
          <w:szCs w:val="26"/>
        </w:rPr>
        <w:t xml:space="preserve"> </w:t>
      </w:r>
      <w:r w:rsidR="00ED7B4E">
        <w:t>5595</w:t>
      </w:r>
      <w:r w:rsidRPr="00670BB8" w:rsidR="00ED7B4E">
        <w:rPr>
          <w:szCs w:val="26"/>
        </w:rPr>
        <w:t>-E</w:t>
      </w:r>
      <w:r w:rsidR="0090191C">
        <w:rPr>
          <w:szCs w:val="26"/>
        </w:rPr>
        <w:t xml:space="preserve">, </w:t>
      </w:r>
      <w:r w:rsidR="00ED7B4E">
        <w:t>4044</w:t>
      </w:r>
      <w:r w:rsidRPr="00670BB8" w:rsidR="00ED7B4E">
        <w:rPr>
          <w:szCs w:val="26"/>
        </w:rPr>
        <w:t xml:space="preserve">-E, </w:t>
      </w:r>
      <w:r w:rsidR="00ED7B4E">
        <w:rPr>
          <w:szCs w:val="26"/>
        </w:rPr>
        <w:t xml:space="preserve">and </w:t>
      </w:r>
      <w:r w:rsidR="00ED7B4E">
        <w:t>3407</w:t>
      </w:r>
      <w:r w:rsidRPr="00670BB8" w:rsidR="00ED7B4E">
        <w:rPr>
          <w:szCs w:val="26"/>
        </w:rPr>
        <w:t>-E</w:t>
      </w:r>
      <w:r w:rsidRPr="00EE1B2B">
        <w:rPr>
          <w:szCs w:val="26"/>
        </w:rPr>
        <w:t xml:space="preserve">, as required by Ordering Paragraph 9 in D.19-03-013. </w:t>
      </w:r>
    </w:p>
    <w:p w:rsidR="00403FFC" w:rsidRDefault="00403FFC" w14:paraId="642A2FC9" w14:textId="7C35F81B">
      <w:pPr>
        <w:numPr>
          <w:ilvl w:val="0"/>
          <w:numId w:val="4"/>
        </w:numPr>
      </w:pPr>
      <w:r>
        <w:t xml:space="preserve">More information </w:t>
      </w:r>
      <w:r w:rsidR="00B37919">
        <w:t xml:space="preserve">on the associated benefits </w:t>
      </w:r>
      <w:r>
        <w:t xml:space="preserve">is needed </w:t>
      </w:r>
      <w:r w:rsidR="006C369E">
        <w:t>to justify reducing the telemetry threshold from 1 MW to 250 kW.</w:t>
      </w:r>
    </w:p>
    <w:p w:rsidR="00EE1B2B" w:rsidRDefault="00D4083C" w14:paraId="54BA0FFD" w14:textId="7D7DEF96">
      <w:pPr>
        <w:numPr>
          <w:ilvl w:val="0"/>
          <w:numId w:val="4"/>
        </w:numPr>
      </w:pPr>
      <w:r>
        <w:t>The Commission should not adopt the Utility Proposal</w:t>
      </w:r>
      <w:r w:rsidR="003515E0">
        <w:t xml:space="preserve"> for Issue 4</w:t>
      </w:r>
      <w:r w:rsidR="005C195C">
        <w:t>,</w:t>
      </w:r>
      <w:r>
        <w:t xml:space="preserve"> reducing the size threshold for systems requiring telemetry to 250 kW.</w:t>
      </w:r>
    </w:p>
    <w:p w:rsidR="005C195C" w:rsidRDefault="005C195C" w14:paraId="1B979A31" w14:textId="3A4B77CD">
      <w:pPr>
        <w:numPr>
          <w:ilvl w:val="0"/>
          <w:numId w:val="4"/>
        </w:numPr>
      </w:pPr>
      <w:r>
        <w:t>The Commission should adopt Proposal 2 for Issue 4, maintaining</w:t>
      </w:r>
      <w:r w:rsidR="008C7218">
        <w:t xml:space="preserve"> the size threshold for systems requiring telemetry at 1 MW.</w:t>
      </w:r>
    </w:p>
    <w:p w:rsidRPr="00503783" w:rsidR="008C7218" w:rsidRDefault="00481118" w14:paraId="367ACA52" w14:textId="63425F46">
      <w:pPr>
        <w:numPr>
          <w:ilvl w:val="0"/>
          <w:numId w:val="4"/>
        </w:numPr>
      </w:pPr>
      <w:r>
        <w:rPr>
          <w:szCs w:val="26"/>
        </w:rPr>
        <w:t xml:space="preserve">Since the </w:t>
      </w:r>
      <w:r w:rsidR="0036123D">
        <w:rPr>
          <w:szCs w:val="26"/>
        </w:rPr>
        <w:t>advice letters do not demonstrate that the Utility Proposal for I</w:t>
      </w:r>
      <w:r w:rsidR="009E6BDA">
        <w:rPr>
          <w:szCs w:val="26"/>
        </w:rPr>
        <w:t>s</w:t>
      </w:r>
      <w:r w:rsidR="0036123D">
        <w:rPr>
          <w:szCs w:val="26"/>
        </w:rPr>
        <w:t>sue 4 is cost effective, t</w:t>
      </w:r>
      <w:r w:rsidR="00E86511">
        <w:rPr>
          <w:szCs w:val="26"/>
        </w:rPr>
        <w:t>he Commission should adopt</w:t>
      </w:r>
      <w:r w:rsidR="00142C55">
        <w:rPr>
          <w:szCs w:val="26"/>
        </w:rPr>
        <w:t xml:space="preserve"> </w:t>
      </w:r>
      <w:r w:rsidR="00EF6397">
        <w:rPr>
          <w:szCs w:val="26"/>
        </w:rPr>
        <w:t xml:space="preserve">Proposal 3 for Issue 4 </w:t>
      </w:r>
      <w:r w:rsidR="00055988">
        <w:rPr>
          <w:szCs w:val="26"/>
        </w:rPr>
        <w:t xml:space="preserve">articulating </w:t>
      </w:r>
      <w:r w:rsidR="00B4244F">
        <w:rPr>
          <w:szCs w:val="26"/>
        </w:rPr>
        <w:t xml:space="preserve">the specific technical requirements </w:t>
      </w:r>
      <w:r w:rsidR="00E86511">
        <w:rPr>
          <w:szCs w:val="26"/>
        </w:rPr>
        <w:t xml:space="preserve">for telemetering of </w:t>
      </w:r>
      <w:r w:rsidRPr="00B6658A" w:rsidR="00E86511">
        <w:rPr>
          <w:szCs w:val="26"/>
        </w:rPr>
        <w:t>systems larger</w:t>
      </w:r>
      <w:r w:rsidR="00E86511">
        <w:rPr>
          <w:szCs w:val="26"/>
        </w:rPr>
        <w:t xml:space="preserve"> </w:t>
      </w:r>
      <w:r w:rsidRPr="00B6658A" w:rsidR="00E86511">
        <w:rPr>
          <w:szCs w:val="26"/>
        </w:rPr>
        <w:t>than 1 MW</w:t>
      </w:r>
      <w:r w:rsidR="00E86511">
        <w:rPr>
          <w:szCs w:val="26"/>
        </w:rPr>
        <w:t>.</w:t>
      </w:r>
    </w:p>
    <w:p w:rsidR="004E7CE5" w:rsidP="004E7CE5" w:rsidRDefault="0066175C" w14:paraId="75E47D0D" w14:textId="655D10A9">
      <w:pPr>
        <w:numPr>
          <w:ilvl w:val="0"/>
          <w:numId w:val="4"/>
        </w:numPr>
      </w:pPr>
      <w:r>
        <w:t>The Utilities should continue development of an IEEE 2030.5-based telemetry solution.</w:t>
      </w:r>
    </w:p>
    <w:p w:rsidR="00CF17DE" w:rsidRDefault="00CF17DE" w14:paraId="18C97720" w14:textId="77777777">
      <w:pPr>
        <w:rPr>
          <w:b/>
        </w:rPr>
      </w:pPr>
    </w:p>
    <w:p w:rsidR="00CF17DE" w:rsidRDefault="00CF17DE" w14:paraId="03EBB768" w14:textId="77777777">
      <w:pPr>
        <w:pStyle w:val="Heading1"/>
      </w:pPr>
      <w:proofErr w:type="gramStart"/>
      <w:r>
        <w:t>Therefore</w:t>
      </w:r>
      <w:proofErr w:type="gramEnd"/>
      <w:r>
        <w:t xml:space="preserve"> it is ordered that:</w:t>
      </w:r>
    </w:p>
    <w:p w:rsidRPr="00503783" w:rsidR="00CF17DE" w:rsidRDefault="00D2135D" w14:paraId="04E7CDC7" w14:textId="3D9BAB86">
      <w:pPr>
        <w:numPr>
          <w:ilvl w:val="0"/>
          <w:numId w:val="5"/>
        </w:numPr>
        <w:rPr>
          <w:snapToGrid w:val="0"/>
        </w:rPr>
      </w:pPr>
      <w:r>
        <w:rPr>
          <w:snapToGrid w:val="0"/>
        </w:rPr>
        <w:t xml:space="preserve">Proposal </w:t>
      </w:r>
      <w:r w:rsidR="00FB7170">
        <w:rPr>
          <w:snapToGrid w:val="0"/>
        </w:rPr>
        <w:t>2 for Issue 4</w:t>
      </w:r>
      <w:r w:rsidR="00052E51">
        <w:rPr>
          <w:snapToGrid w:val="0"/>
        </w:rPr>
        <w:t xml:space="preserve">, </w:t>
      </w:r>
      <w:r w:rsidRPr="002E78A1" w:rsidR="00EA1969">
        <w:t xml:space="preserve">to maintain the current </w:t>
      </w:r>
      <w:r w:rsidR="00EA1969">
        <w:t xml:space="preserve">threshold of 1 MW for requiring </w:t>
      </w:r>
      <w:r w:rsidRPr="002E78A1" w:rsidR="00EA1969">
        <w:t>telemetry</w:t>
      </w:r>
      <w:r w:rsidR="00052E51">
        <w:t>,</w:t>
      </w:r>
      <w:r>
        <w:t xml:space="preserve"> is approved</w:t>
      </w:r>
      <w:r w:rsidR="00052E51">
        <w:t>.</w:t>
      </w:r>
    </w:p>
    <w:p w:rsidR="00564D73" w:rsidP="00564D73" w:rsidRDefault="009F032E" w14:paraId="00C07B55" w14:textId="18100761">
      <w:pPr>
        <w:pStyle w:val="ListParagraph"/>
        <w:numPr>
          <w:ilvl w:val="0"/>
          <w:numId w:val="5"/>
        </w:numPr>
      </w:pPr>
      <w:r w:rsidRPr="00670BB8">
        <w:rPr>
          <w:szCs w:val="26"/>
        </w:rPr>
        <w:t xml:space="preserve">Pacific Gas and Electric Company, San Diego Gas &amp; Electric Company, and Southern California Edison Company </w:t>
      </w:r>
      <w:r>
        <w:rPr>
          <w:szCs w:val="26"/>
        </w:rPr>
        <w:t xml:space="preserve">shall </w:t>
      </w:r>
      <w:r w:rsidR="00564D73">
        <w:t>implement</w:t>
      </w:r>
      <w:r w:rsidR="002E3ADE">
        <w:t xml:space="preserve"> </w:t>
      </w:r>
      <w:r w:rsidRPr="00564D73" w:rsidR="00564D73">
        <w:rPr>
          <w:szCs w:val="26"/>
        </w:rPr>
        <w:t xml:space="preserve">specific technical requirements for telemetering of systems larger than 1 MW. The adopted technical specifications for systems larger than 1 MW are as follows: </w:t>
      </w:r>
      <w:r w:rsidR="00564D73">
        <w:t>1) facilities can report measurements in 15</w:t>
      </w:r>
      <w:r w:rsidRPr="00564D73" w:rsidR="00564D73">
        <w:rPr>
          <w:rFonts w:ascii="Cambria Math" w:hAnsi="Cambria Math" w:cs="Cambria Math"/>
        </w:rPr>
        <w:t>‐</w:t>
      </w:r>
      <w:r w:rsidR="00564D73">
        <w:t>minute increments using customer</w:t>
      </w:r>
      <w:r w:rsidRPr="00564D73" w:rsidR="00564D73">
        <w:rPr>
          <w:rFonts w:ascii="Cambria Math" w:hAnsi="Cambria Math" w:cs="Cambria Math"/>
        </w:rPr>
        <w:t>‐</w:t>
      </w:r>
      <w:r w:rsidR="00564D73">
        <w:t>owned, nonrevenue</w:t>
      </w:r>
      <w:r w:rsidRPr="00564D73" w:rsidR="00564D73">
        <w:rPr>
          <w:rFonts w:ascii="Cambria Math" w:hAnsi="Cambria Math" w:cs="Cambria Math"/>
        </w:rPr>
        <w:t>‐</w:t>
      </w:r>
      <w:r w:rsidR="00564D73">
        <w:t xml:space="preserve">grade metering and a data aggregation device comparable to the serial device server that SCE has historically required, 2) customers can choose to connect the reporting device to the utility Energy Management System via cellular modem or dedicated internet connection, and 3) measurements do not have to be made from revenue grade equipment.  The Utilities shall submit Tier 1 Advice Letters to implement these requirements </w:t>
      </w:r>
      <w:r w:rsidR="00BB7981">
        <w:t xml:space="preserve">no later than </w:t>
      </w:r>
      <w:r w:rsidR="00564D73">
        <w:t xml:space="preserve">45 days from the </w:t>
      </w:r>
      <w:r w:rsidR="004C1787">
        <w:t xml:space="preserve">issuance </w:t>
      </w:r>
      <w:r w:rsidR="00564D73">
        <w:t>of this Resolution.</w:t>
      </w:r>
    </w:p>
    <w:p w:rsidR="00A02EE6" w:rsidP="00A02EE6" w:rsidRDefault="00BF12AA" w14:paraId="0A18AFA4" w14:textId="124E145F">
      <w:pPr>
        <w:pStyle w:val="ListParagraph"/>
        <w:numPr>
          <w:ilvl w:val="0"/>
          <w:numId w:val="5"/>
        </w:numPr>
      </w:pPr>
      <w:r w:rsidRPr="00670BB8">
        <w:rPr>
          <w:szCs w:val="26"/>
        </w:rPr>
        <w:t xml:space="preserve">Pacific Gas and Electric Company, San Diego Gas &amp; Electric Company, and Southern California Edison Company </w:t>
      </w:r>
      <w:r>
        <w:t>may</w:t>
      </w:r>
      <w:r w:rsidR="00A02EE6">
        <w:t xml:space="preserve"> request, via Tier 3 A</w:t>
      </w:r>
      <w:r>
        <w:t>dvice Letters</w:t>
      </w:r>
      <w:r w:rsidR="00A02EE6">
        <w:t xml:space="preserve">, </w:t>
      </w:r>
      <w:r w:rsidR="00A02EE6">
        <w:lastRenderedPageBreak/>
        <w:t xml:space="preserve">to reduce the telemetry threshold from 1 MW to 250 kW at a future date. </w:t>
      </w:r>
      <w:r w:rsidR="006F3D40">
        <w:t>S</w:t>
      </w:r>
      <w:r w:rsidR="00A02EE6">
        <w:t>uch a request must 1) report on the actual utility-related costs and non-utility-related costs incurred, over a period of at least 6 months, by systems providing IEEE 2030.5-based telemetry, 2) discuss the specific operational needs that would be met via a reduced telemetry threshold at a level of detail beyond that available in</w:t>
      </w:r>
      <w:r w:rsidR="00B84518">
        <w:t xml:space="preserve"> the</w:t>
      </w:r>
      <w:r w:rsidR="00A02EE6">
        <w:t xml:space="preserve"> </w:t>
      </w:r>
      <w:r w:rsidRPr="00670BB8" w:rsidR="00B84518">
        <w:rPr>
          <w:i/>
          <w:iCs/>
          <w:szCs w:val="26"/>
        </w:rPr>
        <w:t>Working Group One Final Report</w:t>
      </w:r>
      <w:r w:rsidRPr="00670BB8" w:rsidR="00B84518">
        <w:rPr>
          <w:szCs w:val="26"/>
        </w:rPr>
        <w:t xml:space="preserve"> </w:t>
      </w:r>
      <w:r w:rsidR="00B84518">
        <w:rPr>
          <w:szCs w:val="26"/>
        </w:rPr>
        <w:t xml:space="preserve">filed </w:t>
      </w:r>
      <w:r w:rsidRPr="00670BB8" w:rsidR="00B84518">
        <w:rPr>
          <w:szCs w:val="26"/>
        </w:rPr>
        <w:t>on March 15, 2018</w:t>
      </w:r>
      <w:r w:rsidR="00A02EE6">
        <w:t>,  3) quantify the benefit provided by meeting those needs, and 4) provide detail on any implementation differences between communications directly to the inverter versus an aggregator or gateway.</w:t>
      </w:r>
      <w:r w:rsidRPr="00F60EC6" w:rsidR="00A02EE6">
        <w:t xml:space="preserve"> </w:t>
      </w:r>
    </w:p>
    <w:p w:rsidRPr="00847618" w:rsidR="00ED0756" w:rsidRDefault="004574E5" w14:paraId="5361D938" w14:textId="044DE2BD">
      <w:pPr>
        <w:numPr>
          <w:ilvl w:val="0"/>
          <w:numId w:val="5"/>
        </w:numPr>
        <w:rPr>
          <w:snapToGrid w:val="0"/>
        </w:rPr>
      </w:pPr>
      <w:r w:rsidRPr="00670BB8">
        <w:rPr>
          <w:szCs w:val="26"/>
        </w:rPr>
        <w:t xml:space="preserve">Pacific Gas and Electric Company, San Diego Gas &amp; Electric Company, and Southern California Edison Company </w:t>
      </w:r>
      <w:r>
        <w:t xml:space="preserve">shall present </w:t>
      </w:r>
      <w:r w:rsidR="00C3786F">
        <w:t>their new understanding of the</w:t>
      </w:r>
      <w:r>
        <w:t xml:space="preserve"> </w:t>
      </w:r>
      <w:r w:rsidR="00C3786F">
        <w:t>capabilities and limitations of utilizing IEEE 2030.5 for telemetry</w:t>
      </w:r>
      <w:r w:rsidR="005A1B45">
        <w:t xml:space="preserve">, gained through </w:t>
      </w:r>
      <w:r w:rsidR="006C5B25">
        <w:t>PG&amp;E's pilot and other experience,</w:t>
      </w:r>
      <w:r w:rsidR="00C3786F">
        <w:t xml:space="preserve"> </w:t>
      </w:r>
      <w:r>
        <w:t xml:space="preserve">at a meeting of the Smart Inverter Working Group </w:t>
      </w:r>
      <w:r w:rsidRPr="00EB4814">
        <w:t xml:space="preserve">at least </w:t>
      </w:r>
      <w:r w:rsidRPr="002567F6">
        <w:t>15 days</w:t>
      </w:r>
      <w:r w:rsidRPr="00EB4814">
        <w:t xml:space="preserve"> in advance of any A</w:t>
      </w:r>
      <w:r w:rsidRPr="002567F6" w:rsidR="00BC3F24">
        <w:t>dvice Letters</w:t>
      </w:r>
      <w:r w:rsidRPr="002567F6">
        <w:t xml:space="preserve"> </w:t>
      </w:r>
      <w:r w:rsidRPr="00EB4814">
        <w:t>proposing new requirements or options for telemetry</w:t>
      </w:r>
      <w:r>
        <w:t>.</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77777777">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563D81CF">
      <w:pPr>
        <w:rPr>
          <w:snapToGrid w:val="0"/>
        </w:rPr>
      </w:pPr>
      <w:r>
        <w:rPr>
          <w:snapToGrid w:val="0"/>
        </w:rPr>
        <w:t xml:space="preserve">I certify that the foregoing resolution was duly introduced, </w:t>
      </w:r>
      <w:proofErr w:type="gramStart"/>
      <w:r>
        <w:rPr>
          <w:snapToGrid w:val="0"/>
        </w:rPr>
        <w:t>passed</w:t>
      </w:r>
      <w:proofErr w:type="gramEnd"/>
      <w:r>
        <w:rPr>
          <w:snapToGrid w:val="0"/>
        </w:rPr>
        <w:t xml:space="preserve"> and adopted at a conference of the Public Utilities Commission of the State of California held on</w:t>
      </w:r>
      <w:r w:rsidR="00C90FA0">
        <w:rPr>
          <w:snapToGrid w:val="0"/>
        </w:rPr>
        <w:t xml:space="preserve"> </w:t>
      </w:r>
      <w:r w:rsidR="00D15011">
        <w:rPr>
          <w:snapToGrid w:val="0"/>
        </w:rPr>
        <w:t>August 19, 2021</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4527F435">
      <w:r>
        <w:tab/>
      </w:r>
      <w:r>
        <w:tab/>
      </w:r>
      <w:r>
        <w:tab/>
      </w:r>
      <w:r>
        <w:tab/>
      </w:r>
      <w:r>
        <w:tab/>
      </w:r>
      <w:r>
        <w:tab/>
      </w:r>
      <w:r>
        <w:tab/>
      </w:r>
      <w:r>
        <w:tab/>
      </w:r>
      <w:r w:rsidR="002A013E">
        <w:t>Rachel Peterson</w:t>
      </w:r>
    </w:p>
    <w:p w:rsidR="00CF17DE" w:rsidRDefault="00CF17DE" w14:paraId="363F8E7E" w14:textId="77777777">
      <w:r>
        <w:tab/>
      </w:r>
      <w:r>
        <w:tab/>
      </w:r>
      <w:r>
        <w:tab/>
      </w:r>
      <w:r>
        <w:tab/>
      </w:r>
      <w:r>
        <w:tab/>
      </w:r>
      <w:r>
        <w:tab/>
      </w:r>
      <w:r>
        <w:tab/>
      </w:r>
      <w:r>
        <w:tab/>
        <w:t>Executive Director</w:t>
      </w:r>
    </w:p>
    <w:sectPr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4F3D" w14:textId="77777777" w:rsidR="005006F5" w:rsidRDefault="005006F5">
      <w:r>
        <w:separator/>
      </w:r>
    </w:p>
  </w:endnote>
  <w:endnote w:type="continuationSeparator" w:id="0">
    <w:p w14:paraId="229D0E10" w14:textId="77777777" w:rsidR="005006F5" w:rsidRDefault="005006F5">
      <w:r>
        <w:continuationSeparator/>
      </w:r>
    </w:p>
  </w:endnote>
  <w:endnote w:type="continuationNotice" w:id="1">
    <w:p w14:paraId="445F7F79" w14:textId="77777777" w:rsidR="005006F5" w:rsidRDefault="0050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77777777" w:rsidR="00B84CBF" w:rsidRDefault="00B84CB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3804BAB9" w:rsidR="00B84CBF" w:rsidRDefault="00760D09" w:rsidP="00760D09">
    <w:pPr>
      <w:pStyle w:val="Footer"/>
      <w:tabs>
        <w:tab w:val="clear" w:pos="4320"/>
        <w:tab w:val="center" w:pos="4680"/>
      </w:tabs>
      <w:jc w:val="left"/>
    </w:pPr>
    <w:r w:rsidRPr="00760D09">
      <w:rPr>
        <w:rStyle w:val="PageNumber"/>
      </w:rPr>
      <w:t>393191834</w:t>
    </w:r>
    <w:r w:rsidRPr="00760D09">
      <w:rPr>
        <w:rStyle w:val="PageNumber"/>
      </w:rPr>
      <w:t xml:space="preserve"> </w:t>
    </w:r>
    <w:r>
      <w:rPr>
        <w:rStyle w:val="PageNumber"/>
      </w:rPr>
      <w:tab/>
    </w:r>
    <w:r w:rsidR="00B84CBF">
      <w:rPr>
        <w:rStyle w:val="PageNumber"/>
      </w:rPr>
      <w:fldChar w:fldCharType="begin"/>
    </w:r>
    <w:r w:rsidR="00B84CBF">
      <w:rPr>
        <w:rStyle w:val="PageNumber"/>
      </w:rPr>
      <w:instrText xml:space="preserve"> PAGE </w:instrText>
    </w:r>
    <w:r w:rsidR="00B84CBF">
      <w:rPr>
        <w:rStyle w:val="PageNumber"/>
      </w:rPr>
      <w:fldChar w:fldCharType="separate"/>
    </w:r>
    <w:r w:rsidR="00B84CBF">
      <w:rPr>
        <w:rStyle w:val="PageNumber"/>
        <w:noProof/>
      </w:rPr>
      <w:t>1</w:t>
    </w:r>
    <w:r w:rsidR="00B84CB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87FE" w14:textId="77777777" w:rsidR="005006F5" w:rsidRDefault="005006F5">
      <w:r>
        <w:separator/>
      </w:r>
    </w:p>
  </w:footnote>
  <w:footnote w:type="continuationSeparator" w:id="0">
    <w:p w14:paraId="390F5ACD" w14:textId="77777777" w:rsidR="005006F5" w:rsidRDefault="005006F5">
      <w:r>
        <w:continuationSeparator/>
      </w:r>
    </w:p>
  </w:footnote>
  <w:footnote w:type="continuationNotice" w:id="1">
    <w:p w14:paraId="3755628D" w14:textId="77777777" w:rsidR="005006F5" w:rsidRDefault="005006F5">
      <w:pPr>
        <w:rPr>
          <w:sz w:val="22"/>
        </w:rPr>
      </w:pPr>
    </w:p>
    <w:p w14:paraId="61B27E95" w14:textId="77777777" w:rsidR="005006F5" w:rsidRDefault="005006F5">
      <w:pPr>
        <w:jc w:val="right"/>
        <w:rPr>
          <w:sz w:val="22"/>
        </w:rPr>
      </w:pPr>
      <w:r>
        <w:rPr>
          <w:i/>
          <w:sz w:val="22"/>
        </w:rPr>
        <w:t xml:space="preserve">Footnote continued on next </w:t>
      </w:r>
      <w:proofErr w:type="gramStart"/>
      <w:r>
        <w:rPr>
          <w:i/>
          <w:sz w:val="22"/>
        </w:rPr>
        <w:t>page</w:t>
      </w:r>
      <w:proofErr w:type="gramEnd"/>
    </w:p>
  </w:footnote>
  <w:footnote w:id="2">
    <w:p w14:paraId="1272E2E3" w14:textId="1133A824" w:rsidR="00DD0704" w:rsidRPr="00BE2477" w:rsidRDefault="00DD0704" w:rsidP="007E2977">
      <w:pPr>
        <w:pStyle w:val="FootnoteText"/>
        <w:numPr>
          <w:ilvl w:val="0"/>
          <w:numId w:val="0"/>
        </w:numPr>
        <w:spacing w:after="0"/>
        <w:rPr>
          <w:sz w:val="22"/>
          <w:szCs w:val="22"/>
        </w:rPr>
      </w:pPr>
      <w:r w:rsidRPr="00BE2477">
        <w:rPr>
          <w:rStyle w:val="FootnoteReference"/>
          <w:sz w:val="22"/>
          <w:szCs w:val="22"/>
        </w:rPr>
        <w:footnoteRef/>
      </w:r>
      <w:r w:rsidRPr="00BE2477">
        <w:rPr>
          <w:sz w:val="22"/>
          <w:szCs w:val="22"/>
        </w:rPr>
        <w:t xml:space="preserve"> </w:t>
      </w:r>
      <w:r w:rsidRPr="00BE2477">
        <w:rPr>
          <w:rFonts w:eastAsia="Arial Unicode MS" w:cs="Arial Unicode MS"/>
          <w:sz w:val="22"/>
          <w:szCs w:val="22"/>
        </w:rPr>
        <w:t>Filed in Rulemaking</w:t>
      </w:r>
      <w:r w:rsidR="008E6C18" w:rsidRPr="00BE2477">
        <w:rPr>
          <w:rFonts w:eastAsia="Arial Unicode MS" w:cs="Arial Unicode MS"/>
          <w:sz w:val="22"/>
          <w:szCs w:val="22"/>
        </w:rPr>
        <w:t xml:space="preserve"> </w:t>
      </w:r>
      <w:r w:rsidR="00123DE0" w:rsidRPr="00BE2477">
        <w:rPr>
          <w:rFonts w:eastAsia="Arial Unicode MS" w:cs="Arial Unicode MS"/>
          <w:sz w:val="22"/>
          <w:szCs w:val="22"/>
        </w:rPr>
        <w:t xml:space="preserve">17-07-007 </w:t>
      </w:r>
      <w:r w:rsidRPr="00BE2477">
        <w:rPr>
          <w:rFonts w:eastAsia="Arial Unicode MS" w:cs="Arial Unicode MS"/>
          <w:sz w:val="22"/>
          <w:szCs w:val="22"/>
        </w:rPr>
        <w:t>to Consider Streamlining Interconnection of Distributed Energy Resources and Improvements to Rule 21.</w:t>
      </w:r>
    </w:p>
  </w:footnote>
  <w:footnote w:id="3">
    <w:p w14:paraId="719D1010" w14:textId="19AF1562" w:rsidR="009C1CDB" w:rsidRDefault="009C1CDB" w:rsidP="009C1CDB">
      <w:pPr>
        <w:pStyle w:val="FootnoteText"/>
        <w:numPr>
          <w:ilvl w:val="0"/>
          <w:numId w:val="0"/>
        </w:numPr>
        <w:spacing w:after="0"/>
      </w:pPr>
      <w:r>
        <w:rPr>
          <w:rStyle w:val="FootnoteReference"/>
        </w:rPr>
        <w:footnoteRef/>
      </w:r>
      <w:r>
        <w:t xml:space="preserve"> </w:t>
      </w:r>
      <w:r w:rsidRPr="00CC1E11">
        <w:rPr>
          <w:sz w:val="22"/>
          <w:szCs w:val="22"/>
        </w:rPr>
        <w:t>IEEE 2030.5 is the Institute of Electrical and Electronics Engineers (IEEE) Standard for Smart Energy Profile Application Protocol. More info</w:t>
      </w:r>
      <w:r w:rsidR="000D6443">
        <w:rPr>
          <w:sz w:val="22"/>
          <w:szCs w:val="22"/>
        </w:rPr>
        <w:t>rmation</w:t>
      </w:r>
      <w:r w:rsidRPr="00CC1E11">
        <w:rPr>
          <w:sz w:val="22"/>
          <w:szCs w:val="22"/>
        </w:rPr>
        <w:t xml:space="preserve"> can be found at: </w:t>
      </w:r>
      <w:proofErr w:type="gramStart"/>
      <w:r w:rsidRPr="00CC1E11">
        <w:rPr>
          <w:sz w:val="22"/>
          <w:szCs w:val="22"/>
        </w:rPr>
        <w:t>https://standards.ieee.org/content/ieee-standards/en/standard/2030_5-2018.html</w:t>
      </w:r>
      <w:proofErr w:type="gramEnd"/>
    </w:p>
  </w:footnote>
  <w:footnote w:id="4">
    <w:p w14:paraId="65FA5323" w14:textId="11579749" w:rsidR="00B84CBF" w:rsidRPr="00BE2477" w:rsidRDefault="00B84CBF" w:rsidP="007E2977">
      <w:pPr>
        <w:pStyle w:val="FootnoteText"/>
        <w:numPr>
          <w:ilvl w:val="0"/>
          <w:numId w:val="0"/>
        </w:numPr>
        <w:spacing w:after="0"/>
        <w:rPr>
          <w:sz w:val="22"/>
          <w:szCs w:val="22"/>
        </w:rPr>
      </w:pPr>
      <w:r w:rsidRPr="00BE2477">
        <w:rPr>
          <w:rStyle w:val="FootnoteReference"/>
          <w:rFonts w:eastAsia="Arial Unicode MS"/>
          <w:sz w:val="22"/>
          <w:szCs w:val="22"/>
        </w:rPr>
        <w:footnoteRef/>
      </w:r>
      <w:r w:rsidRPr="00BE2477">
        <w:rPr>
          <w:rFonts w:eastAsia="Arial Unicode MS" w:cs="Arial Unicode MS"/>
          <w:sz w:val="22"/>
          <w:szCs w:val="22"/>
        </w:rPr>
        <w:t xml:space="preserve"> The Rule 21 tariff describes the interconnection, operating, and metering requirements for certain generating and storage facilities seeking to connect to the electric distribution system.  Rule 21 provides customers access to the electric grid to install generating or storage facilities while protecting the safety and reliability of the distribution and transmission systems at the local and system levels. </w:t>
      </w:r>
    </w:p>
  </w:footnote>
  <w:footnote w:id="5">
    <w:p w14:paraId="4F5464B8" w14:textId="685379D3" w:rsidR="00B84CBF" w:rsidRPr="009D5B29" w:rsidRDefault="00B84CBF" w:rsidP="009D5B29">
      <w:pPr>
        <w:pStyle w:val="FootnoteText"/>
        <w:numPr>
          <w:ilvl w:val="0"/>
          <w:numId w:val="0"/>
        </w:numPr>
        <w:spacing w:after="0"/>
        <w:rPr>
          <w:rFonts w:ascii="Palatino Linotype" w:hAnsi="Palatino Linotype"/>
          <w:sz w:val="22"/>
          <w:szCs w:val="22"/>
        </w:rPr>
      </w:pPr>
      <w:r w:rsidRPr="009D5B29">
        <w:rPr>
          <w:rStyle w:val="FootnoteReference"/>
          <w:rFonts w:ascii="Palatino Linotype" w:hAnsi="Palatino Linotype"/>
          <w:sz w:val="22"/>
          <w:szCs w:val="22"/>
        </w:rPr>
        <w:footnoteRef/>
      </w:r>
      <w:r w:rsidRPr="009D5B29">
        <w:rPr>
          <w:rFonts w:ascii="Palatino Linotype" w:eastAsia="Arial Unicode MS" w:hAnsi="Palatino Linotype"/>
          <w:sz w:val="22"/>
          <w:szCs w:val="22"/>
        </w:rPr>
        <w:t xml:space="preserve"> The Smart Inverter Working Group grew out of a collaboration between the CPUC and the California Energy Commission in early 2013.  The collaboration identified the development of advanced inverter functionality as an important strategy to mitigate </w:t>
      </w:r>
      <w:r w:rsidRPr="009D5B29">
        <w:rPr>
          <w:rFonts w:ascii="Palatino Linotype" w:eastAsia="Arial Unicode MS" w:hAnsi="Palatino Linotype"/>
          <w:sz w:val="22"/>
          <w:szCs w:val="22"/>
          <w:lang w:val="en"/>
        </w:rPr>
        <w:t>the impact of high penetrations of distributed energy resources</w:t>
      </w:r>
      <w:r w:rsidRPr="009D5B29">
        <w:rPr>
          <w:rFonts w:ascii="Palatino Linotype" w:eastAsia="Arial Unicode MS" w:hAnsi="Palatino Linotype"/>
          <w:sz w:val="22"/>
          <w:szCs w:val="22"/>
        </w:rPr>
        <w:t>.</w:t>
      </w:r>
    </w:p>
  </w:footnote>
  <w:footnote w:id="6">
    <w:p w14:paraId="73A8BC1C" w14:textId="48593516" w:rsidR="00B84CBF" w:rsidRPr="00365144" w:rsidRDefault="00B84CBF" w:rsidP="009D5B29">
      <w:pPr>
        <w:autoSpaceDE w:val="0"/>
        <w:autoSpaceDN w:val="0"/>
        <w:adjustRightInd w:val="0"/>
        <w:rPr>
          <w:rFonts w:ascii="Palatino Linotype" w:hAnsi="Palatino Linotype"/>
          <w:sz w:val="22"/>
          <w:szCs w:val="22"/>
        </w:rPr>
      </w:pPr>
      <w:r w:rsidRPr="009D5B29">
        <w:rPr>
          <w:rStyle w:val="FootnoteReference"/>
          <w:rFonts w:ascii="Palatino Linotype" w:hAnsi="Palatino Linotype"/>
          <w:sz w:val="22"/>
          <w:szCs w:val="22"/>
        </w:rPr>
        <w:footnoteRef/>
      </w:r>
      <w:r w:rsidRPr="009D5B29">
        <w:rPr>
          <w:rFonts w:ascii="Palatino Linotype" w:hAnsi="Palatino Linotype"/>
          <w:sz w:val="22"/>
          <w:szCs w:val="22"/>
        </w:rPr>
        <w:t xml:space="preserve"> In response to a January 25, </w:t>
      </w:r>
      <w:proofErr w:type="gramStart"/>
      <w:r w:rsidRPr="009D5B29">
        <w:rPr>
          <w:rFonts w:ascii="Palatino Linotype" w:hAnsi="Palatino Linotype"/>
          <w:sz w:val="22"/>
          <w:szCs w:val="22"/>
        </w:rPr>
        <w:t>2018</w:t>
      </w:r>
      <w:proofErr w:type="gramEnd"/>
      <w:r w:rsidRPr="009D5B29">
        <w:rPr>
          <w:rFonts w:ascii="Palatino Linotype" w:hAnsi="Palatino Linotype"/>
          <w:sz w:val="22"/>
          <w:szCs w:val="22"/>
        </w:rPr>
        <w:t xml:space="preserve"> motion filed by the California Solar Energy Industries Association, the Administrative Law Judge issued a ruling on February 14, 2018 that reassigned Issue 6 from the Smart Inverter Working Group to Working Group Two.</w:t>
      </w:r>
    </w:p>
  </w:footnote>
  <w:footnote w:id="7">
    <w:p w14:paraId="33DCE4AF" w14:textId="4BC6D1B0" w:rsidR="007F1CC9" w:rsidRPr="00EE5E99" w:rsidRDefault="007F1CC9" w:rsidP="00DC1D16">
      <w:pPr>
        <w:pStyle w:val="FootnoteText"/>
        <w:numPr>
          <w:ilvl w:val="0"/>
          <w:numId w:val="0"/>
        </w:numPr>
        <w:spacing w:after="0"/>
        <w:rPr>
          <w:sz w:val="22"/>
          <w:szCs w:val="22"/>
        </w:rPr>
      </w:pPr>
      <w:r w:rsidRPr="00365144">
        <w:rPr>
          <w:rStyle w:val="FootnoteReference"/>
          <w:rFonts w:ascii="Palatino Linotype" w:hAnsi="Palatino Linotype"/>
          <w:sz w:val="22"/>
          <w:szCs w:val="22"/>
        </w:rPr>
        <w:footnoteRef/>
      </w:r>
      <w:r w:rsidRPr="00365144">
        <w:rPr>
          <w:rFonts w:ascii="Palatino Linotype" w:hAnsi="Palatino Linotype"/>
          <w:sz w:val="22"/>
          <w:szCs w:val="22"/>
        </w:rPr>
        <w:t xml:space="preserve"> The March Report’s Issue 4, Proposal 3 puts forth the following technical specifications: 1) facilities can report measurements in 15‐minute increments using customer‐owned, nonrevenue‐grade metering and a data aggregation device comparable to the serial device </w:t>
      </w:r>
      <w:r w:rsidRPr="00EE5E99">
        <w:rPr>
          <w:rFonts w:ascii="Palatino Linotype" w:hAnsi="Palatino Linotype"/>
          <w:sz w:val="22"/>
          <w:szCs w:val="22"/>
        </w:rPr>
        <w:t>server that SCE has historically required, 2) customers can choose to connect the reporting</w:t>
      </w:r>
      <w:r w:rsidRPr="00DC1D16">
        <w:rPr>
          <w:rFonts w:ascii="Palatino Linotype" w:hAnsi="Palatino Linotype"/>
          <w:sz w:val="22"/>
          <w:szCs w:val="22"/>
        </w:rPr>
        <w:t xml:space="preserve"> device to the utility Energy Management System via cellular modem or dedicated internet </w:t>
      </w:r>
      <w:r w:rsidRPr="00EE5E99">
        <w:rPr>
          <w:sz w:val="22"/>
          <w:szCs w:val="22"/>
        </w:rPr>
        <w:t>connection, and 3) measurements do not have to be made from revenue grade equipment.</w:t>
      </w:r>
      <w:r w:rsidR="00DC1D16">
        <w:rPr>
          <w:sz w:val="22"/>
          <w:szCs w:val="22"/>
        </w:rPr>
        <w:t xml:space="preserve">  </w:t>
      </w:r>
    </w:p>
  </w:footnote>
  <w:footnote w:id="8">
    <w:p w14:paraId="12C158D9" w14:textId="0C78AF53" w:rsidR="005F7D31" w:rsidRDefault="005F7D31" w:rsidP="005F7D31">
      <w:pPr>
        <w:pStyle w:val="FootnoteText"/>
        <w:numPr>
          <w:ilvl w:val="0"/>
          <w:numId w:val="0"/>
        </w:numPr>
        <w:spacing w:after="0"/>
      </w:pPr>
      <w:r w:rsidRPr="005F7D31">
        <w:rPr>
          <w:rStyle w:val="FootnoteReference"/>
          <w:sz w:val="22"/>
          <w:szCs w:val="18"/>
        </w:rPr>
        <w:footnoteRef/>
      </w:r>
      <w:r w:rsidRPr="005F7D31">
        <w:rPr>
          <w:sz w:val="22"/>
          <w:szCs w:val="18"/>
        </w:rPr>
        <w:t xml:space="preserve"> </w:t>
      </w:r>
      <w:r w:rsidR="00414480">
        <w:rPr>
          <w:sz w:val="22"/>
          <w:szCs w:val="18"/>
        </w:rPr>
        <w:t>SCADA</w:t>
      </w:r>
      <w:r w:rsidR="00BF5F6E">
        <w:rPr>
          <w:sz w:val="22"/>
          <w:szCs w:val="18"/>
        </w:rPr>
        <w:t xml:space="preserve"> is a combination of hardware and software for collecting real-time data and </w:t>
      </w:r>
      <w:r w:rsidR="00E42157">
        <w:rPr>
          <w:sz w:val="22"/>
          <w:szCs w:val="18"/>
        </w:rPr>
        <w:t xml:space="preserve">sending commands to control remote equipment from a centralized human-machine interface. </w:t>
      </w:r>
    </w:p>
  </w:footnote>
  <w:footnote w:id="9">
    <w:p w14:paraId="3AD36E0A" w14:textId="3EE63E96" w:rsidR="008D3295" w:rsidRPr="00493285" w:rsidRDefault="008D3295" w:rsidP="000F145C">
      <w:pPr>
        <w:pStyle w:val="FootnoteText"/>
        <w:numPr>
          <w:ilvl w:val="0"/>
          <w:numId w:val="0"/>
        </w:numPr>
        <w:spacing w:after="0"/>
        <w:rPr>
          <w:sz w:val="22"/>
          <w:szCs w:val="22"/>
        </w:rPr>
      </w:pPr>
      <w:r w:rsidRPr="00493285">
        <w:rPr>
          <w:rStyle w:val="FootnoteReference"/>
          <w:sz w:val="22"/>
          <w:szCs w:val="22"/>
        </w:rPr>
        <w:footnoteRef/>
      </w:r>
      <w:r w:rsidRPr="00493285">
        <w:rPr>
          <w:sz w:val="22"/>
          <w:szCs w:val="22"/>
        </w:rPr>
        <w:t xml:space="preserve"> </w:t>
      </w:r>
      <w:r w:rsidR="006A538C" w:rsidRPr="00493285">
        <w:rPr>
          <w:sz w:val="22"/>
          <w:szCs w:val="22"/>
        </w:rPr>
        <w:t>M</w:t>
      </w:r>
      <w:r w:rsidR="00E83360" w:rsidRPr="00493285">
        <w:rPr>
          <w:sz w:val="22"/>
          <w:szCs w:val="22"/>
        </w:rPr>
        <w:t>ore information</w:t>
      </w:r>
      <w:r w:rsidR="006A538C" w:rsidRPr="00493285">
        <w:rPr>
          <w:sz w:val="22"/>
          <w:szCs w:val="22"/>
        </w:rPr>
        <w:t xml:space="preserve"> can be found in the </w:t>
      </w:r>
      <w:r w:rsidR="00B345DE" w:rsidRPr="00493285">
        <w:rPr>
          <w:sz w:val="22"/>
          <w:szCs w:val="22"/>
        </w:rPr>
        <w:t xml:space="preserve">CSIP Implementation Guide </w:t>
      </w:r>
      <w:r w:rsidR="006A538C" w:rsidRPr="00493285">
        <w:rPr>
          <w:sz w:val="22"/>
          <w:szCs w:val="22"/>
        </w:rPr>
        <w:t xml:space="preserve">at: </w:t>
      </w:r>
      <w:proofErr w:type="gramStart"/>
      <w:r w:rsidR="009D5B29" w:rsidRPr="00493285">
        <w:rPr>
          <w:sz w:val="22"/>
          <w:szCs w:val="22"/>
        </w:rPr>
        <w:t>https://sunspec.org/wp-content/uploads/2018/04/CSIPImplementationGuidev2.103-15-2018.pdf</w:t>
      </w:r>
      <w:proofErr w:type="gramEnd"/>
    </w:p>
  </w:footnote>
  <w:footnote w:id="10">
    <w:p w14:paraId="34C1C5CD" w14:textId="1548EE7B" w:rsidR="00520211" w:rsidRPr="00493285" w:rsidRDefault="00520211" w:rsidP="00520211">
      <w:pPr>
        <w:pStyle w:val="FootnoteText"/>
        <w:numPr>
          <w:ilvl w:val="0"/>
          <w:numId w:val="0"/>
        </w:numPr>
        <w:spacing w:after="0"/>
        <w:rPr>
          <w:sz w:val="22"/>
          <w:szCs w:val="22"/>
        </w:rPr>
      </w:pPr>
      <w:r w:rsidRPr="00493285">
        <w:rPr>
          <w:rStyle w:val="FootnoteReference"/>
          <w:sz w:val="22"/>
          <w:szCs w:val="22"/>
        </w:rPr>
        <w:footnoteRef/>
      </w:r>
      <w:r w:rsidRPr="00493285">
        <w:rPr>
          <w:sz w:val="22"/>
          <w:szCs w:val="22"/>
        </w:rPr>
        <w:t xml:space="preserve"> </w:t>
      </w:r>
      <w:r w:rsidR="00C21727" w:rsidRPr="00493285">
        <w:rPr>
          <w:sz w:val="22"/>
          <w:szCs w:val="22"/>
        </w:rPr>
        <w:t>A device that shuts off power</w:t>
      </w:r>
      <w:r w:rsidR="00C51E83" w:rsidRPr="00493285">
        <w:rPr>
          <w:sz w:val="22"/>
          <w:szCs w:val="22"/>
        </w:rPr>
        <w:t xml:space="preserve"> when it detects a </w:t>
      </w:r>
      <w:r w:rsidR="000C453F" w:rsidRPr="00493285">
        <w:rPr>
          <w:sz w:val="22"/>
          <w:szCs w:val="22"/>
        </w:rPr>
        <w:t>disturbance in the power quality</w:t>
      </w:r>
      <w:r w:rsidR="00203296" w:rsidRPr="00493285">
        <w:rPr>
          <w:sz w:val="22"/>
          <w:szCs w:val="22"/>
        </w:rPr>
        <w:t xml:space="preserve"> and then automatically restores power if it detects that the disturbance was only temporary</w:t>
      </w:r>
      <w:r w:rsidR="00751BEE" w:rsidRPr="00493285">
        <w:rPr>
          <w:sz w:val="22"/>
          <w:szCs w:val="22"/>
        </w:rPr>
        <w:t xml:space="preserve">. </w:t>
      </w:r>
    </w:p>
  </w:footnote>
  <w:footnote w:id="11">
    <w:p w14:paraId="6E8C5683" w14:textId="635CCABD" w:rsidR="00493285" w:rsidRPr="00874E62" w:rsidRDefault="00493285" w:rsidP="00874E62">
      <w:pPr>
        <w:pStyle w:val="FootnoteText"/>
        <w:numPr>
          <w:ilvl w:val="0"/>
          <w:numId w:val="0"/>
        </w:numPr>
        <w:spacing w:after="0"/>
        <w:rPr>
          <w:sz w:val="22"/>
          <w:szCs w:val="18"/>
        </w:rPr>
      </w:pPr>
      <w:r w:rsidRPr="00874E62">
        <w:rPr>
          <w:rStyle w:val="FootnoteReference"/>
          <w:sz w:val="22"/>
          <w:szCs w:val="18"/>
        </w:rPr>
        <w:footnoteRef/>
      </w:r>
      <w:r w:rsidRPr="00874E62">
        <w:rPr>
          <w:sz w:val="22"/>
          <w:szCs w:val="18"/>
        </w:rPr>
        <w:t xml:space="preserve"> </w:t>
      </w:r>
      <w:r w:rsidR="00FA462B">
        <w:rPr>
          <w:sz w:val="22"/>
          <w:szCs w:val="18"/>
        </w:rPr>
        <w:t xml:space="preserve">A </w:t>
      </w:r>
      <w:r w:rsidR="000146CA">
        <w:rPr>
          <w:sz w:val="22"/>
          <w:szCs w:val="18"/>
        </w:rPr>
        <w:t xml:space="preserve">power electronics device </w:t>
      </w:r>
      <w:r w:rsidR="000D751E">
        <w:rPr>
          <w:sz w:val="22"/>
          <w:szCs w:val="18"/>
        </w:rPr>
        <w:t xml:space="preserve">with </w:t>
      </w:r>
      <w:r w:rsidR="00CD596E">
        <w:rPr>
          <w:sz w:val="22"/>
          <w:szCs w:val="18"/>
        </w:rPr>
        <w:t xml:space="preserve">computational capabilities </w:t>
      </w:r>
      <w:r w:rsidR="000146CA">
        <w:rPr>
          <w:sz w:val="22"/>
          <w:szCs w:val="18"/>
        </w:rPr>
        <w:t xml:space="preserve">that </w:t>
      </w:r>
      <w:r w:rsidR="00471EB5">
        <w:rPr>
          <w:sz w:val="22"/>
          <w:szCs w:val="18"/>
        </w:rPr>
        <w:t xml:space="preserve">serves as the interface between </w:t>
      </w:r>
      <w:r w:rsidR="0045745F">
        <w:rPr>
          <w:sz w:val="22"/>
          <w:szCs w:val="18"/>
        </w:rPr>
        <w:t>physical devices</w:t>
      </w:r>
      <w:r w:rsidR="00C05A3F">
        <w:rPr>
          <w:sz w:val="22"/>
          <w:szCs w:val="18"/>
        </w:rPr>
        <w:t xml:space="preserve"> in the field</w:t>
      </w:r>
      <w:r w:rsidR="0045745F">
        <w:rPr>
          <w:sz w:val="22"/>
          <w:szCs w:val="18"/>
        </w:rPr>
        <w:t xml:space="preserve"> (e.g., relays) and </w:t>
      </w:r>
      <w:r w:rsidR="00915F5D">
        <w:rPr>
          <w:sz w:val="22"/>
          <w:szCs w:val="18"/>
        </w:rPr>
        <w:t xml:space="preserve">the SCADA system. </w:t>
      </w:r>
    </w:p>
  </w:footnote>
  <w:footnote w:id="12">
    <w:p w14:paraId="2BD3F3CF" w14:textId="77777777" w:rsidR="00F33339" w:rsidRPr="00CC1E11" w:rsidRDefault="00F33339" w:rsidP="0058775D">
      <w:pPr>
        <w:pStyle w:val="FootnoteText"/>
        <w:numPr>
          <w:ilvl w:val="0"/>
          <w:numId w:val="0"/>
        </w:numPr>
        <w:spacing w:after="0"/>
        <w:rPr>
          <w:sz w:val="22"/>
          <w:szCs w:val="22"/>
        </w:rPr>
      </w:pPr>
      <w:r w:rsidRPr="00493285">
        <w:rPr>
          <w:rStyle w:val="FootnoteReference"/>
          <w:sz w:val="22"/>
          <w:szCs w:val="22"/>
        </w:rPr>
        <w:footnoteRef/>
      </w:r>
      <w:r w:rsidRPr="00493285">
        <w:rPr>
          <w:sz w:val="22"/>
          <w:szCs w:val="22"/>
        </w:rPr>
        <w:t xml:space="preserve"> PG&amp;E AL 5595-E at 13.</w:t>
      </w:r>
    </w:p>
  </w:footnote>
  <w:footnote w:id="13">
    <w:p w14:paraId="329EEA38" w14:textId="77777777" w:rsidR="007C04A2" w:rsidRPr="00CC1E11" w:rsidRDefault="007C04A2" w:rsidP="0058775D">
      <w:pPr>
        <w:pStyle w:val="FootnoteText"/>
        <w:numPr>
          <w:ilvl w:val="0"/>
          <w:numId w:val="0"/>
        </w:numPr>
        <w:spacing w:after="0"/>
        <w:rPr>
          <w:sz w:val="22"/>
          <w:szCs w:val="22"/>
        </w:rPr>
      </w:pPr>
      <w:r w:rsidRPr="00CC1E11">
        <w:rPr>
          <w:rStyle w:val="FootnoteReference"/>
          <w:sz w:val="22"/>
          <w:szCs w:val="22"/>
        </w:rPr>
        <w:footnoteRef/>
      </w:r>
      <w:r w:rsidRPr="00CC1E11">
        <w:rPr>
          <w:sz w:val="22"/>
          <w:szCs w:val="22"/>
        </w:rPr>
        <w:t xml:space="preserve"> “Load masking” describes a situation in which the lack of generation output visibility prevents system operators and engineers from determining the real system load conditions which can inhibit the ability to plan and operate the distribution system.</w:t>
      </w:r>
    </w:p>
  </w:footnote>
  <w:footnote w:id="14">
    <w:p w14:paraId="783CBE3D" w14:textId="56F4F63F" w:rsidR="000671DC" w:rsidRPr="00CC1E11" w:rsidRDefault="000671DC" w:rsidP="0058775D">
      <w:pPr>
        <w:pStyle w:val="FootnoteText"/>
        <w:numPr>
          <w:ilvl w:val="0"/>
          <w:numId w:val="0"/>
        </w:numPr>
        <w:spacing w:after="0"/>
        <w:rPr>
          <w:sz w:val="22"/>
          <w:szCs w:val="22"/>
        </w:rPr>
      </w:pPr>
      <w:r w:rsidRPr="00CC1E11">
        <w:rPr>
          <w:rStyle w:val="FootnoteReference"/>
          <w:sz w:val="22"/>
          <w:szCs w:val="22"/>
        </w:rPr>
        <w:footnoteRef/>
      </w:r>
      <w:r w:rsidRPr="00CC1E11">
        <w:rPr>
          <w:sz w:val="22"/>
          <w:szCs w:val="22"/>
        </w:rPr>
        <w:t xml:space="preserve"> </w:t>
      </w:r>
      <w:r w:rsidR="00C842A2" w:rsidRPr="00CC1E11">
        <w:rPr>
          <w:sz w:val="22"/>
          <w:szCs w:val="22"/>
        </w:rPr>
        <w:t>PG&amp;E AL 5595-E at 5.</w:t>
      </w:r>
    </w:p>
  </w:footnote>
  <w:footnote w:id="15">
    <w:p w14:paraId="1489F61A" w14:textId="0AA8B2DF" w:rsidR="00F45441" w:rsidRDefault="00F45441" w:rsidP="003154E2">
      <w:pPr>
        <w:pStyle w:val="FootnoteText"/>
        <w:numPr>
          <w:ilvl w:val="0"/>
          <w:numId w:val="0"/>
        </w:numPr>
        <w:spacing w:after="0"/>
      </w:pPr>
      <w:r w:rsidRPr="003154E2">
        <w:rPr>
          <w:rStyle w:val="FootnoteReference"/>
          <w:sz w:val="22"/>
          <w:szCs w:val="18"/>
        </w:rPr>
        <w:footnoteRef/>
      </w:r>
      <w:r w:rsidRPr="003154E2">
        <w:rPr>
          <w:sz w:val="22"/>
          <w:szCs w:val="18"/>
        </w:rPr>
        <w:t xml:space="preserve"> </w:t>
      </w:r>
      <w:r w:rsidR="00A26DB3">
        <w:rPr>
          <w:sz w:val="22"/>
          <w:szCs w:val="18"/>
        </w:rPr>
        <w:t>The hardware and software</w:t>
      </w:r>
      <w:r w:rsidR="00FD0B7A">
        <w:rPr>
          <w:sz w:val="22"/>
          <w:szCs w:val="18"/>
        </w:rPr>
        <w:t xml:space="preserve"> system </w:t>
      </w:r>
      <w:r w:rsidR="00246D23">
        <w:rPr>
          <w:sz w:val="22"/>
          <w:szCs w:val="18"/>
        </w:rPr>
        <w:t xml:space="preserve">at the utility </w:t>
      </w:r>
      <w:r w:rsidR="00FD0B7A">
        <w:rPr>
          <w:sz w:val="22"/>
          <w:szCs w:val="18"/>
        </w:rPr>
        <w:t xml:space="preserve">that </w:t>
      </w:r>
      <w:r w:rsidR="00246D23">
        <w:rPr>
          <w:sz w:val="22"/>
          <w:szCs w:val="18"/>
        </w:rPr>
        <w:t xml:space="preserve">serves as the </w:t>
      </w:r>
      <w:r w:rsidR="00431265">
        <w:rPr>
          <w:sz w:val="22"/>
          <w:szCs w:val="18"/>
        </w:rPr>
        <w:t>collect</w:t>
      </w:r>
      <w:r w:rsidR="00246D23">
        <w:rPr>
          <w:sz w:val="22"/>
          <w:szCs w:val="18"/>
        </w:rPr>
        <w:t xml:space="preserve">ion point for </w:t>
      </w:r>
      <w:proofErr w:type="gramStart"/>
      <w:r w:rsidR="00246D23">
        <w:rPr>
          <w:sz w:val="22"/>
          <w:szCs w:val="18"/>
        </w:rPr>
        <w:t>all of</w:t>
      </w:r>
      <w:proofErr w:type="gramEnd"/>
      <w:r w:rsidR="00431265">
        <w:rPr>
          <w:sz w:val="22"/>
          <w:szCs w:val="18"/>
        </w:rPr>
        <w:t xml:space="preserve"> the </w:t>
      </w:r>
      <w:r w:rsidR="00246D23">
        <w:rPr>
          <w:sz w:val="22"/>
          <w:szCs w:val="18"/>
        </w:rPr>
        <w:t xml:space="preserve">incoming </w:t>
      </w:r>
      <w:r w:rsidR="00431265">
        <w:rPr>
          <w:sz w:val="22"/>
          <w:szCs w:val="18"/>
        </w:rPr>
        <w:t>telemetry data</w:t>
      </w:r>
      <w:r w:rsidR="00782BB8">
        <w:rPr>
          <w:sz w:val="22"/>
          <w:szCs w:val="18"/>
        </w:rPr>
        <w:t>.</w:t>
      </w:r>
    </w:p>
  </w:footnote>
  <w:footnote w:id="16">
    <w:p w14:paraId="7946F56B" w14:textId="63B1B2D7" w:rsidR="00B84CBF" w:rsidRPr="00CC1E11" w:rsidRDefault="00B84CBF" w:rsidP="0058775D">
      <w:pPr>
        <w:pStyle w:val="FootnoteText"/>
        <w:numPr>
          <w:ilvl w:val="0"/>
          <w:numId w:val="0"/>
        </w:numPr>
        <w:spacing w:after="0"/>
        <w:rPr>
          <w:sz w:val="22"/>
          <w:szCs w:val="22"/>
        </w:rPr>
      </w:pPr>
      <w:r w:rsidRPr="00CC1E11">
        <w:rPr>
          <w:rStyle w:val="FootnoteReference"/>
          <w:sz w:val="22"/>
          <w:szCs w:val="22"/>
        </w:rPr>
        <w:footnoteRef/>
      </w:r>
      <w:r w:rsidRPr="00CC1E11">
        <w:rPr>
          <w:sz w:val="22"/>
          <w:szCs w:val="22"/>
        </w:rPr>
        <w:t xml:space="preserve"> </w:t>
      </w:r>
      <w:r w:rsidR="009641D3">
        <w:rPr>
          <w:i/>
          <w:iCs/>
          <w:sz w:val="22"/>
          <w:szCs w:val="22"/>
        </w:rPr>
        <w:t>Ibid.</w:t>
      </w:r>
    </w:p>
  </w:footnote>
  <w:footnote w:id="17">
    <w:p w14:paraId="012B45BD" w14:textId="68D38FBE" w:rsidR="00782BB8" w:rsidRDefault="00782BB8" w:rsidP="00782BB8">
      <w:pPr>
        <w:pStyle w:val="FootnoteText"/>
        <w:numPr>
          <w:ilvl w:val="0"/>
          <w:numId w:val="0"/>
        </w:numPr>
        <w:spacing w:after="0"/>
      </w:pPr>
      <w:r w:rsidRPr="00782BB8">
        <w:rPr>
          <w:rStyle w:val="FootnoteReference"/>
          <w:sz w:val="22"/>
          <w:szCs w:val="18"/>
        </w:rPr>
        <w:footnoteRef/>
      </w:r>
      <w:r w:rsidRPr="00782BB8">
        <w:rPr>
          <w:sz w:val="22"/>
          <w:szCs w:val="18"/>
        </w:rPr>
        <w:t xml:space="preserve"> </w:t>
      </w:r>
      <w:r>
        <w:rPr>
          <w:sz w:val="22"/>
          <w:szCs w:val="18"/>
        </w:rPr>
        <w:t xml:space="preserve">“In-production” refers to a </w:t>
      </w:r>
      <w:r w:rsidR="0002230A">
        <w:rPr>
          <w:sz w:val="22"/>
          <w:szCs w:val="18"/>
        </w:rPr>
        <w:t xml:space="preserve">system that </w:t>
      </w:r>
      <w:r w:rsidR="009F3417">
        <w:rPr>
          <w:sz w:val="22"/>
          <w:szCs w:val="18"/>
        </w:rPr>
        <w:t>has surpassed the concept</w:t>
      </w:r>
      <w:r w:rsidR="00D81213">
        <w:rPr>
          <w:sz w:val="22"/>
          <w:szCs w:val="18"/>
        </w:rPr>
        <w:t xml:space="preserve"> or pilot</w:t>
      </w:r>
      <w:r w:rsidR="009F3417">
        <w:rPr>
          <w:sz w:val="22"/>
          <w:szCs w:val="18"/>
        </w:rPr>
        <w:t xml:space="preserve"> stage and is ready for full-scale commercial deployment. </w:t>
      </w:r>
    </w:p>
  </w:footnote>
  <w:footnote w:id="18">
    <w:p w14:paraId="3A984A95" w14:textId="6D298280" w:rsidR="00454EE4" w:rsidRDefault="00454EE4" w:rsidP="0058775D">
      <w:pPr>
        <w:pStyle w:val="FootnoteText"/>
        <w:numPr>
          <w:ilvl w:val="0"/>
          <w:numId w:val="0"/>
        </w:numPr>
        <w:spacing w:after="0"/>
      </w:pPr>
      <w:r w:rsidRPr="00CC1E11">
        <w:rPr>
          <w:rStyle w:val="FootnoteReference"/>
          <w:sz w:val="22"/>
          <w:szCs w:val="22"/>
        </w:rPr>
        <w:footnoteRef/>
      </w:r>
      <w:r w:rsidRPr="00CC1E11">
        <w:rPr>
          <w:sz w:val="22"/>
          <w:szCs w:val="22"/>
        </w:rPr>
        <w:t xml:space="preserve"> </w:t>
      </w:r>
      <w:r w:rsidR="002E3490" w:rsidRPr="00CC1E11">
        <w:rPr>
          <w:sz w:val="22"/>
          <w:szCs w:val="22"/>
        </w:rPr>
        <w:t xml:space="preserve">Conversation on </w:t>
      </w:r>
      <w:r w:rsidR="006906DE" w:rsidRPr="00CC1E11">
        <w:rPr>
          <w:sz w:val="22"/>
          <w:szCs w:val="22"/>
        </w:rPr>
        <w:t xml:space="preserve">May 12, </w:t>
      </w:r>
      <w:proofErr w:type="gramStart"/>
      <w:r w:rsidR="006906DE" w:rsidRPr="00CC1E11">
        <w:rPr>
          <w:sz w:val="22"/>
          <w:szCs w:val="22"/>
        </w:rPr>
        <w:t>2021</w:t>
      </w:r>
      <w:proofErr w:type="gramEnd"/>
      <w:r w:rsidR="00837C0F" w:rsidRPr="00CC1E11">
        <w:rPr>
          <w:sz w:val="22"/>
          <w:szCs w:val="22"/>
        </w:rPr>
        <w:t xml:space="preserve"> </w:t>
      </w:r>
      <w:r w:rsidR="00FF42E4" w:rsidRPr="00CC1E11">
        <w:rPr>
          <w:sz w:val="22"/>
          <w:szCs w:val="22"/>
        </w:rPr>
        <w:t>between</w:t>
      </w:r>
      <w:r w:rsidR="00B34399" w:rsidRPr="00CC1E11">
        <w:rPr>
          <w:sz w:val="22"/>
          <w:szCs w:val="22"/>
        </w:rPr>
        <w:t xml:space="preserve"> CPUC staff and </w:t>
      </w:r>
      <w:r w:rsidR="005C709E" w:rsidRPr="00CC1E11">
        <w:rPr>
          <w:sz w:val="22"/>
          <w:szCs w:val="22"/>
        </w:rPr>
        <w:t>PG&amp;E</w:t>
      </w:r>
      <w:r w:rsidR="00154744" w:rsidRPr="00CC1E11">
        <w:rPr>
          <w:sz w:val="22"/>
          <w:szCs w:val="22"/>
        </w:rPr>
        <w:t xml:space="preserve"> Pilot staff</w:t>
      </w:r>
      <w:r w:rsidR="005C709E" w:rsidRPr="00CC1E11">
        <w:rPr>
          <w:sz w:val="22"/>
          <w:szCs w:val="22"/>
        </w:rPr>
        <w:t>.</w:t>
      </w:r>
      <w:r w:rsidR="005C709E">
        <w:t xml:space="preserve"> </w:t>
      </w:r>
    </w:p>
  </w:footnote>
  <w:footnote w:id="19">
    <w:p w14:paraId="68ED0B27" w14:textId="6521B902" w:rsidR="005E6B5D" w:rsidRPr="00307D17" w:rsidRDefault="005E6B5D" w:rsidP="0058775D">
      <w:pPr>
        <w:pStyle w:val="FootnoteText"/>
        <w:numPr>
          <w:ilvl w:val="0"/>
          <w:numId w:val="0"/>
        </w:numPr>
        <w:spacing w:after="0"/>
        <w:rPr>
          <w:sz w:val="22"/>
          <w:szCs w:val="22"/>
        </w:rPr>
      </w:pPr>
      <w:r w:rsidRPr="00307D17">
        <w:rPr>
          <w:rStyle w:val="FootnoteReference"/>
          <w:sz w:val="22"/>
          <w:szCs w:val="22"/>
        </w:rPr>
        <w:footnoteRef/>
      </w:r>
      <w:r w:rsidRPr="00307D17">
        <w:rPr>
          <w:sz w:val="22"/>
          <w:szCs w:val="22"/>
        </w:rPr>
        <w:t xml:space="preserve"> PG&amp;E AL 5595-E at 6.</w:t>
      </w:r>
    </w:p>
  </w:footnote>
  <w:footnote w:id="20">
    <w:p w14:paraId="7F110D8D" w14:textId="0539E6CC" w:rsidR="00B84CBF" w:rsidRPr="00307D17" w:rsidRDefault="00B84CBF" w:rsidP="0058775D">
      <w:pPr>
        <w:pStyle w:val="FootnoteText"/>
        <w:numPr>
          <w:ilvl w:val="0"/>
          <w:numId w:val="0"/>
        </w:numPr>
        <w:spacing w:after="0"/>
        <w:rPr>
          <w:sz w:val="22"/>
          <w:szCs w:val="22"/>
        </w:rPr>
      </w:pPr>
      <w:r w:rsidRPr="00307D17">
        <w:rPr>
          <w:rStyle w:val="FootnoteReference"/>
          <w:sz w:val="22"/>
          <w:szCs w:val="22"/>
        </w:rPr>
        <w:footnoteRef/>
      </w:r>
      <w:r w:rsidRPr="00307D17">
        <w:rPr>
          <w:sz w:val="22"/>
          <w:szCs w:val="22"/>
        </w:rPr>
        <w:t xml:space="preserve"> SCE AL 4044-E at 2.</w:t>
      </w:r>
    </w:p>
  </w:footnote>
  <w:footnote w:id="21">
    <w:p w14:paraId="397AB068" w14:textId="4E7781CC" w:rsidR="00C77F67" w:rsidRPr="00307D17" w:rsidRDefault="00C77F67" w:rsidP="0058775D">
      <w:pPr>
        <w:pStyle w:val="FootnoteText"/>
        <w:numPr>
          <w:ilvl w:val="0"/>
          <w:numId w:val="0"/>
        </w:numPr>
        <w:spacing w:after="0"/>
        <w:rPr>
          <w:sz w:val="22"/>
          <w:szCs w:val="22"/>
        </w:rPr>
      </w:pPr>
      <w:r w:rsidRPr="00307D17">
        <w:rPr>
          <w:rStyle w:val="FootnoteReference"/>
          <w:sz w:val="22"/>
          <w:szCs w:val="22"/>
        </w:rPr>
        <w:footnoteRef/>
      </w:r>
      <w:r w:rsidRPr="00307D17">
        <w:rPr>
          <w:sz w:val="22"/>
          <w:szCs w:val="22"/>
        </w:rPr>
        <w:t xml:space="preserve"> SCE AL 4044-E at 6.</w:t>
      </w:r>
    </w:p>
  </w:footnote>
  <w:footnote w:id="22">
    <w:p w14:paraId="21CC3CC4" w14:textId="479F9257" w:rsidR="008D3CEB" w:rsidRPr="00307D17" w:rsidRDefault="008D3CEB" w:rsidP="0058775D">
      <w:pPr>
        <w:pStyle w:val="FootnoteText"/>
        <w:numPr>
          <w:ilvl w:val="0"/>
          <w:numId w:val="0"/>
        </w:numPr>
        <w:spacing w:after="0"/>
        <w:rPr>
          <w:sz w:val="22"/>
          <w:szCs w:val="22"/>
        </w:rPr>
      </w:pPr>
      <w:r w:rsidRPr="00307D17">
        <w:rPr>
          <w:rStyle w:val="FootnoteReference"/>
          <w:sz w:val="22"/>
          <w:szCs w:val="22"/>
        </w:rPr>
        <w:footnoteRef/>
      </w:r>
      <w:r w:rsidRPr="00307D17">
        <w:rPr>
          <w:sz w:val="22"/>
          <w:szCs w:val="22"/>
        </w:rPr>
        <w:t xml:space="preserve"> </w:t>
      </w:r>
      <w:r w:rsidR="00F54D0F" w:rsidRPr="00307D17">
        <w:rPr>
          <w:sz w:val="22"/>
          <w:szCs w:val="22"/>
        </w:rPr>
        <w:t xml:space="preserve">SDG&amp;E AL </w:t>
      </w:r>
      <w:r w:rsidR="008E3D2C" w:rsidRPr="00307D17">
        <w:rPr>
          <w:sz w:val="22"/>
          <w:szCs w:val="22"/>
        </w:rPr>
        <w:t xml:space="preserve">3407-E at 3. </w:t>
      </w:r>
    </w:p>
  </w:footnote>
  <w:footnote w:id="23">
    <w:p w14:paraId="79EE18B5" w14:textId="380CADBA" w:rsidR="00DA3170" w:rsidRPr="006B42D0" w:rsidRDefault="00DA3170" w:rsidP="005A1396">
      <w:pPr>
        <w:pStyle w:val="FootnoteText"/>
        <w:numPr>
          <w:ilvl w:val="0"/>
          <w:numId w:val="0"/>
        </w:numPr>
        <w:spacing w:after="0"/>
        <w:rPr>
          <w:sz w:val="22"/>
          <w:szCs w:val="22"/>
        </w:rPr>
      </w:pPr>
      <w:r w:rsidRPr="00DA3170">
        <w:rPr>
          <w:rStyle w:val="FootnoteReference"/>
          <w:sz w:val="22"/>
          <w:szCs w:val="22"/>
        </w:rPr>
        <w:footnoteRef/>
      </w:r>
      <w:r w:rsidRPr="005A1396">
        <w:rPr>
          <w:sz w:val="22"/>
          <w:szCs w:val="22"/>
        </w:rPr>
        <w:t xml:space="preserve"> </w:t>
      </w:r>
      <w:r w:rsidR="005A1396" w:rsidRPr="005A1396">
        <w:rPr>
          <w:sz w:val="22"/>
          <w:szCs w:val="22"/>
        </w:rPr>
        <w:t xml:space="preserve">IREC’s Protest to San Diego Gas &amp; Electric’s Advice Letter 3407-E, </w:t>
      </w:r>
      <w:r w:rsidR="005A1396" w:rsidRPr="006B42D0">
        <w:rPr>
          <w:sz w:val="22"/>
          <w:szCs w:val="22"/>
        </w:rPr>
        <w:t>Pacific Gas and Electric Company’s Advice Letter 5595-E, and Southern</w:t>
      </w:r>
      <w:r w:rsidR="005A1396" w:rsidRPr="005C19F4">
        <w:rPr>
          <w:sz w:val="22"/>
          <w:szCs w:val="22"/>
        </w:rPr>
        <w:t xml:space="preserve"> California Edison Company’s Advice Letter 4044-E on Telemetry</w:t>
      </w:r>
      <w:r w:rsidR="005A1396">
        <w:rPr>
          <w:sz w:val="22"/>
          <w:szCs w:val="22"/>
        </w:rPr>
        <w:t xml:space="preserve"> </w:t>
      </w:r>
      <w:r w:rsidR="005A1396" w:rsidRPr="005A1396">
        <w:rPr>
          <w:sz w:val="22"/>
          <w:szCs w:val="22"/>
        </w:rPr>
        <w:t>Technical Requirements</w:t>
      </w:r>
      <w:r w:rsidR="005A1396">
        <w:rPr>
          <w:sz w:val="22"/>
          <w:szCs w:val="22"/>
        </w:rPr>
        <w:t xml:space="preserve"> </w:t>
      </w:r>
      <w:r w:rsidRPr="005A1396">
        <w:rPr>
          <w:sz w:val="22"/>
          <w:szCs w:val="22"/>
        </w:rPr>
        <w:t>at 2.</w:t>
      </w:r>
    </w:p>
  </w:footnote>
  <w:footnote w:id="24">
    <w:p w14:paraId="025A5B28" w14:textId="37F8D51A" w:rsidR="00F82181" w:rsidRDefault="00F82181" w:rsidP="0058775D">
      <w:pPr>
        <w:pStyle w:val="FootnoteText"/>
        <w:numPr>
          <w:ilvl w:val="0"/>
          <w:numId w:val="0"/>
        </w:numPr>
        <w:spacing w:after="0"/>
      </w:pPr>
      <w:r>
        <w:rPr>
          <w:rStyle w:val="FootnoteReference"/>
        </w:rPr>
        <w:footnoteRef/>
      </w:r>
      <w:r>
        <w:t xml:space="preserve"> </w:t>
      </w:r>
      <w:r w:rsidRPr="008F729F">
        <w:rPr>
          <w:sz w:val="22"/>
          <w:szCs w:val="22"/>
        </w:rPr>
        <w:t>PG&amp;E AL 5595-E at 12.</w:t>
      </w:r>
    </w:p>
  </w:footnote>
  <w:footnote w:id="25">
    <w:p w14:paraId="137624BF" w14:textId="301E84D0" w:rsidR="00F82181" w:rsidRDefault="00F82181" w:rsidP="0058775D">
      <w:pPr>
        <w:pStyle w:val="FootnoteText"/>
        <w:numPr>
          <w:ilvl w:val="0"/>
          <w:numId w:val="0"/>
        </w:numPr>
        <w:spacing w:after="0"/>
      </w:pPr>
      <w:r>
        <w:rPr>
          <w:rStyle w:val="FootnoteReference"/>
        </w:rPr>
        <w:footnoteRef/>
      </w:r>
      <w:r>
        <w:t xml:space="preserve"> </w:t>
      </w:r>
      <w:r w:rsidRPr="008F729F">
        <w:rPr>
          <w:sz w:val="22"/>
          <w:szCs w:val="22"/>
        </w:rPr>
        <w:t>SCE AL 4044-E at 6.</w:t>
      </w:r>
    </w:p>
  </w:footnote>
  <w:footnote w:id="26">
    <w:p w14:paraId="61E521FF" w14:textId="27F32356" w:rsidR="00F82181" w:rsidRPr="00C348E3" w:rsidRDefault="00F82181" w:rsidP="0058775D">
      <w:pPr>
        <w:pStyle w:val="FootnoteText"/>
        <w:numPr>
          <w:ilvl w:val="0"/>
          <w:numId w:val="0"/>
        </w:numPr>
        <w:spacing w:after="0"/>
        <w:rPr>
          <w:sz w:val="22"/>
          <w:szCs w:val="22"/>
        </w:rPr>
      </w:pPr>
      <w:r w:rsidRPr="009C3214">
        <w:rPr>
          <w:sz w:val="22"/>
          <w:szCs w:val="22"/>
          <w:vertAlign w:val="superscript"/>
        </w:rPr>
        <w:footnoteRef/>
      </w:r>
      <w:r w:rsidRPr="00C348E3">
        <w:rPr>
          <w:sz w:val="22"/>
          <w:szCs w:val="22"/>
        </w:rPr>
        <w:t xml:space="preserve"> </w:t>
      </w:r>
      <w:r w:rsidRPr="008F729F">
        <w:rPr>
          <w:sz w:val="22"/>
          <w:szCs w:val="22"/>
        </w:rPr>
        <w:t>SDG&amp;E AL 3407-E at 4.</w:t>
      </w:r>
    </w:p>
  </w:footnote>
  <w:footnote w:id="27">
    <w:p w14:paraId="4D248E59" w14:textId="21BE76AA" w:rsidR="00C348E3" w:rsidRDefault="00C348E3" w:rsidP="00C348E3">
      <w:pPr>
        <w:pStyle w:val="FootnoteText"/>
        <w:numPr>
          <w:ilvl w:val="0"/>
          <w:numId w:val="0"/>
        </w:numPr>
        <w:spacing w:after="0"/>
      </w:pPr>
      <w:r w:rsidRPr="009C3214">
        <w:rPr>
          <w:sz w:val="22"/>
          <w:szCs w:val="22"/>
          <w:vertAlign w:val="superscript"/>
        </w:rPr>
        <w:footnoteRef/>
      </w:r>
      <w:r w:rsidRPr="00C348E3">
        <w:rPr>
          <w:sz w:val="22"/>
          <w:szCs w:val="22"/>
        </w:rPr>
        <w:t xml:space="preserve"> Pacific Gas and Electric Company’s Protest Response to the Protests of IREC, CALSSA and Public Advocates Office to Advice 5595-E – “PG&amp;E’s Telemetering Proposals Pursuant to Decision 19-03-013, Ordering Paragraph 9” at 4. </w:t>
      </w:r>
    </w:p>
  </w:footnote>
  <w:footnote w:id="28">
    <w:p w14:paraId="56CB2E37" w14:textId="285ED8A6" w:rsidR="004A178E" w:rsidRPr="00824DF7" w:rsidRDefault="004A178E" w:rsidP="00824DF7">
      <w:pPr>
        <w:pStyle w:val="FootnoteText"/>
        <w:numPr>
          <w:ilvl w:val="0"/>
          <w:numId w:val="0"/>
        </w:numPr>
        <w:spacing w:after="0"/>
        <w:rPr>
          <w:sz w:val="22"/>
          <w:szCs w:val="22"/>
        </w:rPr>
      </w:pPr>
      <w:r w:rsidRPr="00824DF7">
        <w:rPr>
          <w:sz w:val="22"/>
          <w:szCs w:val="22"/>
          <w:vertAlign w:val="superscript"/>
        </w:rPr>
        <w:footnoteRef/>
      </w:r>
      <w:r w:rsidRPr="00824DF7">
        <w:rPr>
          <w:sz w:val="22"/>
          <w:szCs w:val="22"/>
          <w:vertAlign w:val="superscript"/>
        </w:rPr>
        <w:t xml:space="preserve"> </w:t>
      </w:r>
      <w:r w:rsidR="00824DF7" w:rsidRPr="00824DF7">
        <w:rPr>
          <w:sz w:val="22"/>
          <w:szCs w:val="22"/>
        </w:rPr>
        <w:t>Response of San Diego Gas &amp; Electric to the Protests of Advice Letter 3407-E: San Diego Gas &amp; Electric’s Proposed Telemetry Requirements for Systems Between 250 Kilowatts and 9.9 Megawatts Pursuant to Decision 19-09-013 at 3.</w:t>
      </w:r>
    </w:p>
  </w:footnote>
  <w:footnote w:id="29">
    <w:p w14:paraId="3AA4AF52" w14:textId="291A0480" w:rsidR="005B130C" w:rsidRPr="002D3CAE" w:rsidRDefault="005B130C" w:rsidP="002D3CAE">
      <w:pPr>
        <w:pStyle w:val="FootnoteText"/>
        <w:numPr>
          <w:ilvl w:val="0"/>
          <w:numId w:val="0"/>
        </w:numPr>
        <w:spacing w:after="0"/>
        <w:rPr>
          <w:sz w:val="22"/>
          <w:szCs w:val="22"/>
        </w:rPr>
      </w:pPr>
      <w:r w:rsidRPr="002D3CAE">
        <w:rPr>
          <w:sz w:val="22"/>
          <w:szCs w:val="22"/>
          <w:vertAlign w:val="superscript"/>
        </w:rPr>
        <w:footnoteRef/>
      </w:r>
      <w:r w:rsidR="00B621CE">
        <w:rPr>
          <w:sz w:val="22"/>
          <w:szCs w:val="22"/>
        </w:rPr>
        <w:t xml:space="preserve"> </w:t>
      </w:r>
      <w:r w:rsidR="002D3CAE" w:rsidRPr="002D3CAE">
        <w:rPr>
          <w:sz w:val="22"/>
          <w:szCs w:val="22"/>
        </w:rPr>
        <w:t>Reply of Southern California Edison Company to the Protests of the Interstate Renewable Energy Council, Inc., the California Solar &amp; Storage Association, and the Public Advocates Office of the California Public Utilities Commission to Advice 4044-E</w:t>
      </w:r>
      <w:r w:rsidRPr="002D3CAE">
        <w:rPr>
          <w:sz w:val="22"/>
          <w:szCs w:val="22"/>
        </w:rPr>
        <w:t xml:space="preserve"> </w:t>
      </w:r>
      <w:r w:rsidR="002D3CAE" w:rsidRPr="002D3CAE">
        <w:rPr>
          <w:sz w:val="22"/>
          <w:szCs w:val="22"/>
        </w:rPr>
        <w:t>at 2.</w:t>
      </w:r>
    </w:p>
  </w:footnote>
  <w:footnote w:id="30">
    <w:p w14:paraId="2E1F884C" w14:textId="1F83253C" w:rsidR="004848E1" w:rsidRPr="008F729F" w:rsidRDefault="004848E1" w:rsidP="00824DF7">
      <w:pPr>
        <w:pStyle w:val="FootnoteText"/>
        <w:numPr>
          <w:ilvl w:val="0"/>
          <w:numId w:val="0"/>
        </w:numPr>
        <w:spacing w:after="0"/>
        <w:rPr>
          <w:sz w:val="22"/>
          <w:szCs w:val="22"/>
        </w:rPr>
      </w:pPr>
      <w:r w:rsidRPr="00824DF7">
        <w:rPr>
          <w:sz w:val="22"/>
          <w:szCs w:val="22"/>
          <w:vertAlign w:val="superscript"/>
        </w:rPr>
        <w:footnoteRef/>
      </w:r>
      <w:r w:rsidRPr="00824DF7">
        <w:rPr>
          <w:sz w:val="22"/>
          <w:szCs w:val="22"/>
        </w:rPr>
        <w:t xml:space="preserve"> </w:t>
      </w:r>
      <w:r w:rsidRPr="008F729F">
        <w:rPr>
          <w:sz w:val="22"/>
          <w:szCs w:val="22"/>
        </w:rPr>
        <w:t>PG&amp;E AL 5595-E at 13</w:t>
      </w:r>
      <w:r w:rsidR="001671A2" w:rsidRPr="008F729F">
        <w:rPr>
          <w:sz w:val="22"/>
          <w:szCs w:val="22"/>
        </w:rPr>
        <w:t>.</w:t>
      </w:r>
    </w:p>
  </w:footnote>
  <w:footnote w:id="31">
    <w:p w14:paraId="429063AF" w14:textId="30505736" w:rsidR="00D22B22" w:rsidRDefault="00D22B22" w:rsidP="0058775D">
      <w:pPr>
        <w:pStyle w:val="FootnoteText"/>
        <w:numPr>
          <w:ilvl w:val="0"/>
          <w:numId w:val="0"/>
        </w:numPr>
        <w:spacing w:after="0"/>
      </w:pPr>
      <w:r>
        <w:rPr>
          <w:rStyle w:val="FootnoteReference"/>
        </w:rPr>
        <w:footnoteRef/>
      </w:r>
      <w:r>
        <w:t xml:space="preserve"> </w:t>
      </w:r>
      <w:r w:rsidRPr="008F729F">
        <w:rPr>
          <w:sz w:val="22"/>
          <w:szCs w:val="22"/>
        </w:rPr>
        <w:t>SDG&amp;E AL 3407-E at 4.</w:t>
      </w:r>
    </w:p>
  </w:footnote>
  <w:footnote w:id="32">
    <w:p w14:paraId="37BB85ED" w14:textId="05384019" w:rsidR="00D22B22" w:rsidRPr="001070E2" w:rsidRDefault="00D22B22" w:rsidP="0058775D">
      <w:pPr>
        <w:pStyle w:val="FootnoteText"/>
        <w:numPr>
          <w:ilvl w:val="0"/>
          <w:numId w:val="0"/>
        </w:numPr>
        <w:spacing w:after="0"/>
        <w:rPr>
          <w:sz w:val="22"/>
          <w:szCs w:val="22"/>
        </w:rPr>
      </w:pPr>
      <w:r>
        <w:rPr>
          <w:rStyle w:val="FootnoteReference"/>
        </w:rPr>
        <w:footnoteRef/>
      </w:r>
      <w:r>
        <w:t xml:space="preserve"> </w:t>
      </w:r>
      <w:r w:rsidRPr="008F729F">
        <w:rPr>
          <w:sz w:val="22"/>
          <w:szCs w:val="22"/>
        </w:rPr>
        <w:t>SCE AL 4044-E a</w:t>
      </w:r>
      <w:r w:rsidRPr="001070E2">
        <w:rPr>
          <w:sz w:val="22"/>
          <w:szCs w:val="22"/>
        </w:rPr>
        <w:t>t 4-5</w:t>
      </w:r>
      <w:r w:rsidR="001671A2" w:rsidRPr="001070E2">
        <w:rPr>
          <w:sz w:val="22"/>
          <w:szCs w:val="22"/>
        </w:rPr>
        <w:t>.</w:t>
      </w:r>
    </w:p>
  </w:footnote>
  <w:footnote w:id="33">
    <w:p w14:paraId="6C764436" w14:textId="53D2FC0E" w:rsidR="007E2783" w:rsidRPr="001070E2" w:rsidRDefault="007E2783" w:rsidP="001070E2">
      <w:pPr>
        <w:pStyle w:val="FootnoteText"/>
        <w:numPr>
          <w:ilvl w:val="0"/>
          <w:numId w:val="0"/>
        </w:numPr>
        <w:spacing w:after="0"/>
        <w:rPr>
          <w:sz w:val="22"/>
          <w:szCs w:val="22"/>
        </w:rPr>
      </w:pPr>
      <w:r w:rsidRPr="001070E2">
        <w:rPr>
          <w:rStyle w:val="FootnoteReference"/>
          <w:sz w:val="22"/>
          <w:szCs w:val="22"/>
        </w:rPr>
        <w:footnoteRef/>
      </w:r>
      <w:r w:rsidRPr="001070E2">
        <w:rPr>
          <w:sz w:val="22"/>
          <w:szCs w:val="22"/>
        </w:rPr>
        <w:t xml:space="preserve"> </w:t>
      </w:r>
      <w:r w:rsidR="00D039AA" w:rsidRPr="001070E2">
        <w:rPr>
          <w:sz w:val="22"/>
          <w:szCs w:val="22"/>
        </w:rPr>
        <w:t>Protest of the Public Advocates Office of San Diego Gas &amp; Electric</w:t>
      </w:r>
      <w:r w:rsidR="001070E2" w:rsidRPr="001070E2">
        <w:rPr>
          <w:sz w:val="22"/>
          <w:szCs w:val="22"/>
        </w:rPr>
        <w:t xml:space="preserve"> </w:t>
      </w:r>
      <w:r w:rsidR="00D039AA" w:rsidRPr="001070E2">
        <w:rPr>
          <w:sz w:val="22"/>
          <w:szCs w:val="22"/>
        </w:rPr>
        <w:t>Company’s (SDG&amp;E) Advice Letter 3407-E – SDG&amp;E’s Proposed</w:t>
      </w:r>
      <w:r w:rsidR="001070E2" w:rsidRPr="001070E2">
        <w:rPr>
          <w:sz w:val="22"/>
          <w:szCs w:val="22"/>
        </w:rPr>
        <w:t xml:space="preserve"> </w:t>
      </w:r>
      <w:r w:rsidR="00D039AA" w:rsidRPr="001070E2">
        <w:rPr>
          <w:sz w:val="22"/>
          <w:szCs w:val="22"/>
        </w:rPr>
        <w:t>Telemetry Requirements for Systems Between 250 Kilowatts and</w:t>
      </w:r>
      <w:r w:rsidR="001070E2" w:rsidRPr="001070E2">
        <w:rPr>
          <w:sz w:val="22"/>
          <w:szCs w:val="22"/>
        </w:rPr>
        <w:t xml:space="preserve"> </w:t>
      </w:r>
      <w:r w:rsidR="00D039AA" w:rsidRPr="001070E2">
        <w:rPr>
          <w:sz w:val="22"/>
          <w:szCs w:val="22"/>
        </w:rPr>
        <w:t>9.9 Megawatts Pursuant to Decision 19-03-013</w:t>
      </w:r>
      <w:r w:rsidR="001070E2" w:rsidRPr="001070E2">
        <w:rPr>
          <w:sz w:val="22"/>
          <w:szCs w:val="22"/>
        </w:rPr>
        <w:t xml:space="preserve"> at 2.</w:t>
      </w:r>
    </w:p>
  </w:footnote>
  <w:footnote w:id="34">
    <w:p w14:paraId="1FB432B1" w14:textId="3CF29CC4" w:rsidR="00912EB6" w:rsidRPr="00F07FE2" w:rsidRDefault="00912EB6" w:rsidP="00F07FE2">
      <w:pPr>
        <w:pStyle w:val="FootnoteText"/>
        <w:numPr>
          <w:ilvl w:val="0"/>
          <w:numId w:val="0"/>
        </w:numPr>
        <w:spacing w:after="0"/>
        <w:rPr>
          <w:sz w:val="22"/>
          <w:szCs w:val="18"/>
        </w:rPr>
      </w:pPr>
      <w:r w:rsidRPr="00F07FE2">
        <w:rPr>
          <w:rStyle w:val="FootnoteReference"/>
          <w:sz w:val="22"/>
          <w:szCs w:val="18"/>
        </w:rPr>
        <w:footnoteRef/>
      </w:r>
      <w:r w:rsidRPr="00F07FE2">
        <w:rPr>
          <w:sz w:val="22"/>
          <w:szCs w:val="18"/>
        </w:rPr>
        <w:t xml:space="preserve"> </w:t>
      </w:r>
      <w:r w:rsidR="0011473F" w:rsidRPr="00F07FE2">
        <w:rPr>
          <w:sz w:val="22"/>
          <w:szCs w:val="18"/>
        </w:rPr>
        <w:t>Protest of the Public Advocates Office of Southern California Edison Company Advice Letter 4044-E – Rule 21 Working Group 1 Telemetry Workshop Implementation Plan in Compliance with Decision 19-03-013 at 2.</w:t>
      </w:r>
    </w:p>
  </w:footnote>
  <w:footnote w:id="35">
    <w:p w14:paraId="6E33CD92" w14:textId="7284394A" w:rsidR="00F07FE2" w:rsidRDefault="00F07FE2" w:rsidP="00F07FE2">
      <w:pPr>
        <w:pStyle w:val="FootnoteText"/>
        <w:numPr>
          <w:ilvl w:val="0"/>
          <w:numId w:val="0"/>
        </w:numPr>
        <w:spacing w:after="0"/>
      </w:pPr>
      <w:r w:rsidRPr="00F07FE2">
        <w:rPr>
          <w:rStyle w:val="FootnoteReference"/>
          <w:sz w:val="22"/>
          <w:szCs w:val="18"/>
        </w:rPr>
        <w:footnoteRef/>
      </w:r>
      <w:r w:rsidRPr="00F07FE2">
        <w:rPr>
          <w:sz w:val="22"/>
          <w:szCs w:val="18"/>
        </w:rPr>
        <w:t xml:space="preserve"> Protest of the Public Advocates Office of Pacific Gas and Electric Company (PG&amp;E) Advice Letter 5595-E – PG&amp;E’s Telemetering Proposals Pursuant to Decision (D.) 19-03-013, Ordering Paragraph 9 at 2.</w:t>
      </w:r>
    </w:p>
  </w:footnote>
  <w:footnote w:id="36">
    <w:p w14:paraId="3B23899B" w14:textId="7CEB45A2" w:rsidR="009A774F" w:rsidRPr="00C94C53" w:rsidRDefault="009A774F" w:rsidP="00C94C53">
      <w:pPr>
        <w:pStyle w:val="FootnoteText"/>
        <w:numPr>
          <w:ilvl w:val="0"/>
          <w:numId w:val="0"/>
        </w:numPr>
        <w:spacing w:after="0"/>
        <w:rPr>
          <w:sz w:val="22"/>
          <w:szCs w:val="22"/>
        </w:rPr>
      </w:pPr>
      <w:r w:rsidRPr="00C94C53">
        <w:rPr>
          <w:rStyle w:val="FootnoteReference"/>
          <w:sz w:val="22"/>
          <w:szCs w:val="22"/>
        </w:rPr>
        <w:footnoteRef/>
      </w:r>
      <w:r w:rsidR="00B621CE">
        <w:rPr>
          <w:sz w:val="22"/>
          <w:szCs w:val="22"/>
        </w:rPr>
        <w:t xml:space="preserve"> </w:t>
      </w:r>
      <w:r w:rsidR="00940F49" w:rsidRPr="00C94C53">
        <w:rPr>
          <w:sz w:val="22"/>
          <w:szCs w:val="22"/>
        </w:rPr>
        <w:t>SDG&amp;E’s Reply at 3</w:t>
      </w:r>
      <w:r w:rsidR="00A0625F">
        <w:rPr>
          <w:sz w:val="22"/>
          <w:szCs w:val="22"/>
        </w:rPr>
        <w:t xml:space="preserve">; </w:t>
      </w:r>
      <w:r w:rsidR="00A0625F" w:rsidRPr="002D511E">
        <w:rPr>
          <w:sz w:val="22"/>
          <w:szCs w:val="18"/>
        </w:rPr>
        <w:t>PG&amp;E’s Reply at 10</w:t>
      </w:r>
      <w:r w:rsidR="00A0625F">
        <w:rPr>
          <w:sz w:val="22"/>
          <w:szCs w:val="18"/>
        </w:rPr>
        <w:t xml:space="preserve">; </w:t>
      </w:r>
      <w:r w:rsidR="00A0625F" w:rsidRPr="002D511E">
        <w:rPr>
          <w:sz w:val="22"/>
          <w:szCs w:val="18"/>
        </w:rPr>
        <w:t>SCE’s Reply at 6.</w:t>
      </w:r>
    </w:p>
  </w:footnote>
  <w:footnote w:id="37">
    <w:p w14:paraId="2F29ADD2" w14:textId="1368491B" w:rsidR="00322A80" w:rsidRPr="001070E2" w:rsidRDefault="00322A80" w:rsidP="0058775D">
      <w:pPr>
        <w:pStyle w:val="FootnoteText"/>
        <w:numPr>
          <w:ilvl w:val="0"/>
          <w:numId w:val="0"/>
        </w:numPr>
        <w:spacing w:after="0"/>
        <w:rPr>
          <w:sz w:val="22"/>
          <w:szCs w:val="22"/>
        </w:rPr>
      </w:pPr>
      <w:r w:rsidRPr="001070E2">
        <w:rPr>
          <w:rStyle w:val="FootnoteReference"/>
          <w:sz w:val="22"/>
          <w:szCs w:val="22"/>
        </w:rPr>
        <w:footnoteRef/>
      </w:r>
      <w:r w:rsidRPr="001070E2">
        <w:rPr>
          <w:sz w:val="22"/>
          <w:szCs w:val="22"/>
        </w:rPr>
        <w:t xml:space="preserve"> </w:t>
      </w:r>
      <w:r w:rsidR="002A754D" w:rsidRPr="001070E2">
        <w:rPr>
          <w:sz w:val="22"/>
          <w:szCs w:val="22"/>
        </w:rPr>
        <w:t>SCE AL 4044-E at 5.</w:t>
      </w:r>
    </w:p>
  </w:footnote>
  <w:footnote w:id="38">
    <w:p w14:paraId="5B3748E0" w14:textId="2BD6C52F" w:rsidR="001B31DC" w:rsidRDefault="001B31DC" w:rsidP="0058775D">
      <w:pPr>
        <w:pStyle w:val="FootnoteText"/>
        <w:numPr>
          <w:ilvl w:val="0"/>
          <w:numId w:val="0"/>
        </w:numPr>
        <w:spacing w:after="0"/>
      </w:pPr>
      <w:r>
        <w:rPr>
          <w:rStyle w:val="FootnoteReference"/>
        </w:rPr>
        <w:footnoteRef/>
      </w:r>
      <w:r>
        <w:t xml:space="preserve"> </w:t>
      </w:r>
      <w:r w:rsidRPr="008F729F">
        <w:rPr>
          <w:sz w:val="22"/>
          <w:szCs w:val="22"/>
        </w:rPr>
        <w:t>PG&amp;E AL 5595-E at 13.</w:t>
      </w:r>
    </w:p>
  </w:footnote>
  <w:footnote w:id="39">
    <w:p w14:paraId="2C19051D" w14:textId="0FEB9633" w:rsidR="004D1991" w:rsidRPr="00A40A9D" w:rsidRDefault="004D1991" w:rsidP="00A40A9D">
      <w:pPr>
        <w:pStyle w:val="FootnoteText"/>
        <w:numPr>
          <w:ilvl w:val="0"/>
          <w:numId w:val="0"/>
        </w:numPr>
        <w:spacing w:after="0"/>
        <w:rPr>
          <w:sz w:val="22"/>
          <w:szCs w:val="22"/>
        </w:rPr>
      </w:pPr>
      <w:r w:rsidRPr="00A40A9D">
        <w:rPr>
          <w:rStyle w:val="FootnoteReference"/>
          <w:sz w:val="22"/>
          <w:szCs w:val="22"/>
        </w:rPr>
        <w:footnoteRef/>
      </w:r>
      <w:r w:rsidRPr="00A40A9D">
        <w:rPr>
          <w:sz w:val="22"/>
          <w:szCs w:val="22"/>
        </w:rPr>
        <w:t xml:space="preserve"> D.19-03-013 at 32.</w:t>
      </w:r>
    </w:p>
  </w:footnote>
  <w:footnote w:id="40">
    <w:p w14:paraId="0C0C39C1" w14:textId="1336347E" w:rsidR="00365AE4" w:rsidRPr="002822E0" w:rsidRDefault="00365AE4" w:rsidP="002822E0">
      <w:pPr>
        <w:pStyle w:val="FootnoteText"/>
        <w:numPr>
          <w:ilvl w:val="0"/>
          <w:numId w:val="0"/>
        </w:numPr>
        <w:spacing w:after="0"/>
        <w:rPr>
          <w:sz w:val="22"/>
          <w:szCs w:val="22"/>
        </w:rPr>
      </w:pPr>
      <w:r w:rsidRPr="002822E0">
        <w:rPr>
          <w:sz w:val="22"/>
          <w:szCs w:val="22"/>
          <w:vertAlign w:val="superscript"/>
        </w:rPr>
        <w:footnoteRef/>
      </w:r>
      <w:r w:rsidR="0038460D">
        <w:rPr>
          <w:sz w:val="22"/>
          <w:szCs w:val="22"/>
        </w:rPr>
        <w:t xml:space="preserve"> </w:t>
      </w:r>
      <w:r w:rsidRPr="002822E0">
        <w:rPr>
          <w:sz w:val="22"/>
          <w:szCs w:val="22"/>
        </w:rPr>
        <w:t>IREC</w:t>
      </w:r>
      <w:r w:rsidR="00FB1C72" w:rsidRPr="002822E0">
        <w:rPr>
          <w:sz w:val="22"/>
          <w:szCs w:val="22"/>
        </w:rPr>
        <w:t xml:space="preserve">’s Protest at 3. </w:t>
      </w:r>
    </w:p>
  </w:footnote>
  <w:footnote w:id="41">
    <w:p w14:paraId="245FBBD2" w14:textId="21888DEE" w:rsidR="00C60BA8" w:rsidRPr="008D3B4D" w:rsidRDefault="00C60BA8" w:rsidP="008D3B4D">
      <w:pPr>
        <w:pStyle w:val="FootnoteText"/>
        <w:numPr>
          <w:ilvl w:val="0"/>
          <w:numId w:val="0"/>
        </w:numPr>
        <w:spacing w:after="0"/>
        <w:rPr>
          <w:sz w:val="22"/>
          <w:szCs w:val="22"/>
        </w:rPr>
      </w:pPr>
      <w:r w:rsidRPr="008D3B4D">
        <w:rPr>
          <w:rStyle w:val="FootnoteReference"/>
          <w:sz w:val="22"/>
          <w:szCs w:val="22"/>
        </w:rPr>
        <w:footnoteRef/>
      </w:r>
      <w:r w:rsidR="0038460D">
        <w:rPr>
          <w:sz w:val="22"/>
          <w:szCs w:val="22"/>
        </w:rPr>
        <w:t xml:space="preserve"> </w:t>
      </w:r>
      <w:r w:rsidRPr="008D3B4D">
        <w:rPr>
          <w:sz w:val="22"/>
          <w:szCs w:val="22"/>
        </w:rPr>
        <w:t>SCE</w:t>
      </w:r>
      <w:r w:rsidR="00E21272">
        <w:rPr>
          <w:sz w:val="22"/>
          <w:szCs w:val="22"/>
        </w:rPr>
        <w:t>’s</w:t>
      </w:r>
      <w:r w:rsidRPr="008D3B4D">
        <w:rPr>
          <w:sz w:val="22"/>
          <w:szCs w:val="22"/>
        </w:rPr>
        <w:t xml:space="preserve"> </w:t>
      </w:r>
      <w:r w:rsidR="00E21272">
        <w:rPr>
          <w:sz w:val="22"/>
          <w:szCs w:val="22"/>
        </w:rPr>
        <w:t xml:space="preserve">Reply </w:t>
      </w:r>
      <w:r w:rsidRPr="008D3B4D">
        <w:rPr>
          <w:sz w:val="22"/>
          <w:szCs w:val="22"/>
        </w:rPr>
        <w:t xml:space="preserve">at </w:t>
      </w:r>
      <w:r w:rsidR="008D3B4D" w:rsidRPr="008D3B4D">
        <w:rPr>
          <w:sz w:val="22"/>
          <w:szCs w:val="22"/>
        </w:rPr>
        <w:t xml:space="preserve">4. </w:t>
      </w:r>
    </w:p>
  </w:footnote>
  <w:footnote w:id="42">
    <w:p w14:paraId="1BB9B782" w14:textId="0EB9BA3B" w:rsidR="00645C76" w:rsidRPr="00145928" w:rsidRDefault="00645C76" w:rsidP="00145928">
      <w:pPr>
        <w:pStyle w:val="FootnoteText"/>
        <w:numPr>
          <w:ilvl w:val="0"/>
          <w:numId w:val="0"/>
        </w:numPr>
        <w:spacing w:after="0"/>
        <w:rPr>
          <w:sz w:val="22"/>
          <w:szCs w:val="22"/>
        </w:rPr>
      </w:pPr>
      <w:r w:rsidRPr="00145928">
        <w:rPr>
          <w:rStyle w:val="FootnoteReference"/>
          <w:sz w:val="22"/>
          <w:szCs w:val="22"/>
        </w:rPr>
        <w:footnoteRef/>
      </w:r>
      <w:r w:rsidR="0038460D">
        <w:rPr>
          <w:sz w:val="22"/>
          <w:szCs w:val="22"/>
        </w:rPr>
        <w:t xml:space="preserve"> </w:t>
      </w:r>
      <w:r w:rsidRPr="00145928">
        <w:rPr>
          <w:sz w:val="22"/>
          <w:szCs w:val="22"/>
        </w:rPr>
        <w:t>SDG&amp;E</w:t>
      </w:r>
      <w:r w:rsidR="00E21272">
        <w:rPr>
          <w:sz w:val="22"/>
          <w:szCs w:val="22"/>
        </w:rPr>
        <w:t>’s</w:t>
      </w:r>
      <w:r w:rsidRPr="00145928">
        <w:rPr>
          <w:sz w:val="22"/>
          <w:szCs w:val="22"/>
        </w:rPr>
        <w:t xml:space="preserve"> </w:t>
      </w:r>
      <w:r w:rsidR="00E21272">
        <w:rPr>
          <w:sz w:val="22"/>
          <w:szCs w:val="22"/>
        </w:rPr>
        <w:t xml:space="preserve">Reply </w:t>
      </w:r>
      <w:r w:rsidR="00145928" w:rsidRPr="00145928">
        <w:rPr>
          <w:sz w:val="22"/>
          <w:szCs w:val="22"/>
        </w:rPr>
        <w:t xml:space="preserve">at 3. </w:t>
      </w:r>
    </w:p>
  </w:footnote>
  <w:footnote w:id="43">
    <w:p w14:paraId="672A1010" w14:textId="1BB59F8A" w:rsidR="00DE0403" w:rsidRDefault="00DE0403" w:rsidP="000925B3">
      <w:pPr>
        <w:pStyle w:val="FootnoteText"/>
        <w:numPr>
          <w:ilvl w:val="0"/>
          <w:numId w:val="0"/>
        </w:numPr>
        <w:spacing w:after="0"/>
      </w:pPr>
      <w:r w:rsidRPr="000925B3">
        <w:rPr>
          <w:rStyle w:val="FootnoteReference"/>
          <w:sz w:val="22"/>
          <w:szCs w:val="18"/>
        </w:rPr>
        <w:footnoteRef/>
      </w:r>
      <w:r w:rsidRPr="000925B3">
        <w:rPr>
          <w:sz w:val="22"/>
          <w:szCs w:val="18"/>
        </w:rPr>
        <w:t xml:space="preserve"> </w:t>
      </w:r>
      <w:r w:rsidR="000925B3" w:rsidRPr="000925B3">
        <w:rPr>
          <w:sz w:val="22"/>
          <w:szCs w:val="18"/>
        </w:rPr>
        <w:t xml:space="preserve">PG&amp;E’s Reply at 5. </w:t>
      </w:r>
    </w:p>
  </w:footnote>
  <w:footnote w:id="44">
    <w:p w14:paraId="1A55C0CA" w14:textId="7C9695BB" w:rsidR="008E576C" w:rsidRPr="00AE2711" w:rsidRDefault="008E576C" w:rsidP="00AE2711">
      <w:pPr>
        <w:pStyle w:val="FootnoteText"/>
        <w:numPr>
          <w:ilvl w:val="0"/>
          <w:numId w:val="0"/>
        </w:numPr>
        <w:spacing w:after="0"/>
        <w:rPr>
          <w:sz w:val="22"/>
          <w:szCs w:val="22"/>
        </w:rPr>
      </w:pPr>
      <w:r w:rsidRPr="00AE2711">
        <w:rPr>
          <w:rStyle w:val="FootnoteReference"/>
          <w:sz w:val="22"/>
          <w:szCs w:val="22"/>
        </w:rPr>
        <w:footnoteRef/>
      </w:r>
      <w:r w:rsidRPr="00AE2711">
        <w:rPr>
          <w:sz w:val="22"/>
          <w:szCs w:val="22"/>
        </w:rPr>
        <w:t xml:space="preserve"> CALSSA Protest of SDG&amp;E</w:t>
      </w:r>
      <w:r w:rsidR="00AE2711" w:rsidRPr="00AE2711">
        <w:rPr>
          <w:sz w:val="22"/>
          <w:szCs w:val="22"/>
        </w:rPr>
        <w:t xml:space="preserve"> AL 3407-E on Telemetry Specifications at 1.</w:t>
      </w:r>
    </w:p>
  </w:footnote>
  <w:footnote w:id="45">
    <w:p w14:paraId="00DAABDE" w14:textId="4D4597AC" w:rsidR="00B84CBF" w:rsidRPr="00822715" w:rsidRDefault="00B84CBF" w:rsidP="008F729F">
      <w:pPr>
        <w:pStyle w:val="FootnoteText"/>
        <w:numPr>
          <w:ilvl w:val="0"/>
          <w:numId w:val="0"/>
        </w:numPr>
        <w:spacing w:after="0"/>
        <w:rPr>
          <w:sz w:val="22"/>
          <w:szCs w:val="22"/>
        </w:rPr>
      </w:pPr>
      <w:r w:rsidRPr="00822715">
        <w:rPr>
          <w:rStyle w:val="FootnoteReference"/>
          <w:sz w:val="22"/>
          <w:szCs w:val="22"/>
        </w:rPr>
        <w:footnoteRef/>
      </w:r>
      <w:r w:rsidRPr="00822715">
        <w:rPr>
          <w:sz w:val="22"/>
          <w:szCs w:val="22"/>
        </w:rPr>
        <w:t xml:space="preserve"> D.19-03-013 at 32. </w:t>
      </w:r>
    </w:p>
  </w:footnote>
  <w:footnote w:id="46">
    <w:p w14:paraId="6AAEF00F" w14:textId="7EC9313B" w:rsidR="003858A7" w:rsidRPr="00822715" w:rsidRDefault="003858A7" w:rsidP="008F729F">
      <w:pPr>
        <w:pStyle w:val="FootnoteText"/>
        <w:numPr>
          <w:ilvl w:val="0"/>
          <w:numId w:val="0"/>
        </w:numPr>
        <w:spacing w:after="0"/>
        <w:rPr>
          <w:sz w:val="22"/>
          <w:szCs w:val="22"/>
        </w:rPr>
      </w:pPr>
      <w:r w:rsidRPr="00822715">
        <w:rPr>
          <w:rStyle w:val="FootnoteReference"/>
          <w:sz w:val="22"/>
          <w:szCs w:val="22"/>
        </w:rPr>
        <w:footnoteRef/>
      </w:r>
      <w:r w:rsidRPr="00822715">
        <w:rPr>
          <w:sz w:val="22"/>
          <w:szCs w:val="22"/>
        </w:rPr>
        <w:t xml:space="preserve"> SCE AL 4044-E at 3.</w:t>
      </w:r>
    </w:p>
  </w:footnote>
  <w:footnote w:id="47">
    <w:p w14:paraId="3532B161" w14:textId="690E25F2" w:rsidR="00DB47BF" w:rsidRPr="00822715" w:rsidRDefault="00DB47BF" w:rsidP="00822715">
      <w:pPr>
        <w:pStyle w:val="FootnoteText"/>
        <w:numPr>
          <w:ilvl w:val="0"/>
          <w:numId w:val="0"/>
        </w:numPr>
        <w:spacing w:after="0"/>
        <w:rPr>
          <w:sz w:val="22"/>
          <w:szCs w:val="22"/>
        </w:rPr>
      </w:pPr>
      <w:r w:rsidRPr="00822715">
        <w:rPr>
          <w:rStyle w:val="FootnoteReference"/>
          <w:sz w:val="22"/>
          <w:szCs w:val="22"/>
        </w:rPr>
        <w:footnoteRef/>
      </w:r>
      <w:r w:rsidRPr="00822715">
        <w:rPr>
          <w:sz w:val="22"/>
          <w:szCs w:val="22"/>
        </w:rPr>
        <w:t xml:space="preserve"> </w:t>
      </w:r>
      <w:r w:rsidR="00336FF3" w:rsidRPr="00822715">
        <w:rPr>
          <w:sz w:val="22"/>
          <w:szCs w:val="22"/>
        </w:rPr>
        <w:t>See (https://store.perle.com/iolansds1ta4d2) for the Serial Device Server SCE has historically required.</w:t>
      </w:r>
    </w:p>
  </w:footnote>
  <w:footnote w:id="48">
    <w:p w14:paraId="50221533" w14:textId="32C9A31C" w:rsidR="00A51092" w:rsidRPr="00822715" w:rsidRDefault="00A51092" w:rsidP="00822715">
      <w:pPr>
        <w:pStyle w:val="FootnoteText"/>
        <w:numPr>
          <w:ilvl w:val="0"/>
          <w:numId w:val="0"/>
        </w:numPr>
        <w:spacing w:after="0"/>
        <w:rPr>
          <w:sz w:val="22"/>
          <w:szCs w:val="22"/>
        </w:rPr>
      </w:pPr>
      <w:r w:rsidRPr="00822715">
        <w:rPr>
          <w:rStyle w:val="FootnoteReference"/>
          <w:sz w:val="22"/>
          <w:szCs w:val="22"/>
        </w:rPr>
        <w:footnoteRef/>
      </w:r>
      <w:r w:rsidRPr="00822715">
        <w:rPr>
          <w:sz w:val="22"/>
          <w:szCs w:val="22"/>
        </w:rPr>
        <w:t xml:space="preserve"> Working Group One Final Report at 82</w:t>
      </w:r>
      <w:r w:rsidR="00E05048" w:rsidRPr="00822715">
        <w:rPr>
          <w:sz w:val="22"/>
          <w:szCs w:val="22"/>
        </w:rPr>
        <w:t>.</w:t>
      </w:r>
    </w:p>
  </w:footnote>
  <w:footnote w:id="49">
    <w:p w14:paraId="692E7841" w14:textId="1D1A50AC" w:rsidR="0074630E" w:rsidRPr="00D92D8B" w:rsidRDefault="0074630E" w:rsidP="000B0A18">
      <w:pPr>
        <w:pStyle w:val="FootnoteText"/>
        <w:numPr>
          <w:ilvl w:val="0"/>
          <w:numId w:val="0"/>
        </w:numPr>
        <w:spacing w:after="0"/>
        <w:rPr>
          <w:sz w:val="22"/>
          <w:szCs w:val="22"/>
        </w:rPr>
      </w:pPr>
      <w:r w:rsidRPr="00D92D8B">
        <w:rPr>
          <w:sz w:val="22"/>
          <w:szCs w:val="22"/>
          <w:vertAlign w:val="superscript"/>
        </w:rPr>
        <w:footnoteRef/>
      </w:r>
      <w:r w:rsidRPr="00D92D8B">
        <w:rPr>
          <w:sz w:val="22"/>
          <w:szCs w:val="22"/>
          <w:vertAlign w:val="superscript"/>
        </w:rPr>
        <w:t xml:space="preserve"> </w:t>
      </w:r>
      <w:r w:rsidRPr="00D92D8B">
        <w:rPr>
          <w:sz w:val="22"/>
          <w:szCs w:val="22"/>
        </w:rPr>
        <w:t xml:space="preserve">IEEE 2030.5 is the approved default </w:t>
      </w:r>
      <w:r w:rsidR="00097F5D" w:rsidRPr="00D92D8B">
        <w:rPr>
          <w:sz w:val="22"/>
          <w:szCs w:val="22"/>
        </w:rPr>
        <w:t xml:space="preserve">communications </w:t>
      </w:r>
      <w:r w:rsidRPr="00D92D8B">
        <w:rPr>
          <w:sz w:val="22"/>
          <w:szCs w:val="22"/>
        </w:rPr>
        <w:t xml:space="preserve">protocol for smart inverters in Rule 21 Section </w:t>
      </w:r>
      <w:proofErr w:type="spellStart"/>
      <w:r w:rsidRPr="00D92D8B">
        <w:rPr>
          <w:sz w:val="22"/>
          <w:szCs w:val="22"/>
        </w:rPr>
        <w:t>Hh</w:t>
      </w:r>
      <w:proofErr w:type="spellEnd"/>
      <w:r w:rsidRPr="00D92D8B">
        <w:rPr>
          <w:sz w:val="22"/>
          <w:szCs w:val="22"/>
        </w:rPr>
        <w:t>.</w:t>
      </w:r>
    </w:p>
  </w:footnote>
  <w:footnote w:id="50">
    <w:p w14:paraId="7C0FD6FC" w14:textId="08161745" w:rsidR="00970D96" w:rsidRPr="00D92D8B" w:rsidRDefault="00970D96" w:rsidP="000B0A18">
      <w:pPr>
        <w:pStyle w:val="FootnoteText"/>
        <w:numPr>
          <w:ilvl w:val="0"/>
          <w:numId w:val="0"/>
        </w:numPr>
        <w:spacing w:after="0"/>
        <w:rPr>
          <w:sz w:val="22"/>
          <w:szCs w:val="22"/>
        </w:rPr>
      </w:pPr>
      <w:r w:rsidRPr="00D92D8B">
        <w:rPr>
          <w:sz w:val="22"/>
          <w:szCs w:val="22"/>
          <w:vertAlign w:val="superscript"/>
        </w:rPr>
        <w:footnoteRef/>
      </w:r>
      <w:r w:rsidRPr="00D92D8B">
        <w:rPr>
          <w:sz w:val="22"/>
          <w:szCs w:val="22"/>
          <w:vertAlign w:val="superscript"/>
        </w:rPr>
        <w:t xml:space="preserve"> </w:t>
      </w:r>
      <w:r w:rsidRPr="00D92D8B">
        <w:rPr>
          <w:sz w:val="22"/>
          <w:szCs w:val="22"/>
        </w:rPr>
        <w:t>SDG&amp;E AL 3407-E at 5.</w:t>
      </w:r>
    </w:p>
  </w:footnote>
  <w:footnote w:id="51">
    <w:p w14:paraId="62B48AA0" w14:textId="736FB20C" w:rsidR="002F07C0" w:rsidRPr="00D92D8B" w:rsidRDefault="002F07C0" w:rsidP="000B0A18">
      <w:pPr>
        <w:pStyle w:val="FootnoteText"/>
        <w:numPr>
          <w:ilvl w:val="0"/>
          <w:numId w:val="0"/>
        </w:numPr>
        <w:spacing w:after="0"/>
        <w:rPr>
          <w:sz w:val="22"/>
          <w:szCs w:val="22"/>
        </w:rPr>
      </w:pPr>
      <w:r w:rsidRPr="00D92D8B">
        <w:rPr>
          <w:rStyle w:val="FootnoteReference"/>
          <w:sz w:val="22"/>
          <w:szCs w:val="22"/>
        </w:rPr>
        <w:footnoteRef/>
      </w:r>
      <w:r w:rsidRPr="00D92D8B">
        <w:rPr>
          <w:sz w:val="22"/>
          <w:szCs w:val="22"/>
        </w:rPr>
        <w:t xml:space="preserve"> SDG&amp;E AL 3407-E Appendix A at 7.</w:t>
      </w:r>
    </w:p>
  </w:footnote>
  <w:footnote w:id="52">
    <w:p w14:paraId="0865E16D" w14:textId="0115534E" w:rsidR="002F07C0" w:rsidRPr="00D92D8B" w:rsidRDefault="002F07C0" w:rsidP="000B0A18">
      <w:pPr>
        <w:pStyle w:val="FootnoteText"/>
        <w:numPr>
          <w:ilvl w:val="0"/>
          <w:numId w:val="0"/>
        </w:numPr>
        <w:spacing w:after="0"/>
        <w:rPr>
          <w:sz w:val="22"/>
          <w:szCs w:val="22"/>
        </w:rPr>
      </w:pPr>
      <w:r w:rsidRPr="00D92D8B">
        <w:rPr>
          <w:rStyle w:val="FootnoteReference"/>
          <w:sz w:val="22"/>
          <w:szCs w:val="22"/>
        </w:rPr>
        <w:footnoteRef/>
      </w:r>
      <w:r w:rsidRPr="00D92D8B">
        <w:rPr>
          <w:sz w:val="22"/>
          <w:szCs w:val="22"/>
        </w:rPr>
        <w:t xml:space="preserve"> PG&amp;E AL 5595-E at 5.</w:t>
      </w:r>
    </w:p>
  </w:footnote>
  <w:footnote w:id="53">
    <w:p w14:paraId="188769C4" w14:textId="4E936F6B" w:rsidR="00D64D33" w:rsidRPr="00D92D8B" w:rsidRDefault="00D64D33" w:rsidP="000B0A18">
      <w:pPr>
        <w:pStyle w:val="FootnoteText"/>
        <w:numPr>
          <w:ilvl w:val="0"/>
          <w:numId w:val="0"/>
        </w:numPr>
        <w:spacing w:after="0"/>
        <w:rPr>
          <w:sz w:val="22"/>
          <w:szCs w:val="22"/>
        </w:rPr>
      </w:pPr>
      <w:r w:rsidRPr="00D92D8B">
        <w:rPr>
          <w:rStyle w:val="FootnoteReference"/>
          <w:sz w:val="22"/>
          <w:szCs w:val="22"/>
        </w:rPr>
        <w:footnoteRef/>
      </w:r>
      <w:r w:rsidRPr="00D92D8B">
        <w:rPr>
          <w:sz w:val="22"/>
          <w:szCs w:val="22"/>
        </w:rPr>
        <w:t xml:space="preserve"> SCE AL 4044-E at 2.</w:t>
      </w:r>
    </w:p>
  </w:footnote>
  <w:footnote w:id="54">
    <w:p w14:paraId="7608E838" w14:textId="322E6879" w:rsidR="00CA5270" w:rsidRPr="00D92D8B" w:rsidRDefault="00CA5270" w:rsidP="000B0A18">
      <w:pPr>
        <w:pStyle w:val="FootnoteText"/>
        <w:numPr>
          <w:ilvl w:val="0"/>
          <w:numId w:val="0"/>
        </w:numPr>
        <w:spacing w:after="0"/>
        <w:rPr>
          <w:sz w:val="22"/>
          <w:szCs w:val="22"/>
        </w:rPr>
      </w:pPr>
      <w:r w:rsidRPr="00D92D8B">
        <w:rPr>
          <w:rStyle w:val="FootnoteReference"/>
          <w:sz w:val="22"/>
          <w:szCs w:val="22"/>
        </w:rPr>
        <w:footnoteRef/>
      </w:r>
      <w:r w:rsidRPr="00D92D8B">
        <w:rPr>
          <w:sz w:val="22"/>
          <w:szCs w:val="22"/>
        </w:rPr>
        <w:t xml:space="preserve"> </w:t>
      </w:r>
      <w:r w:rsidR="00122695" w:rsidRPr="00D92D8B">
        <w:rPr>
          <w:i/>
          <w:iCs/>
          <w:sz w:val="22"/>
          <w:szCs w:val="22"/>
        </w:rPr>
        <w:t>Ibid.</w:t>
      </w:r>
    </w:p>
  </w:footnote>
  <w:footnote w:id="55">
    <w:p w14:paraId="1B3186A9" w14:textId="77777777" w:rsidR="00004083" w:rsidRPr="00D92D8B" w:rsidRDefault="00004083" w:rsidP="000B0A18">
      <w:pPr>
        <w:pStyle w:val="FootnoteText"/>
        <w:numPr>
          <w:ilvl w:val="0"/>
          <w:numId w:val="0"/>
        </w:numPr>
        <w:spacing w:after="0"/>
        <w:rPr>
          <w:sz w:val="22"/>
          <w:szCs w:val="22"/>
        </w:rPr>
      </w:pPr>
      <w:r w:rsidRPr="00D92D8B">
        <w:rPr>
          <w:rStyle w:val="FootnoteReference"/>
          <w:sz w:val="22"/>
          <w:szCs w:val="22"/>
        </w:rPr>
        <w:footnoteRef/>
      </w:r>
      <w:r w:rsidRPr="00D92D8B">
        <w:rPr>
          <w:sz w:val="22"/>
          <w:szCs w:val="22"/>
        </w:rPr>
        <w:t xml:space="preserve"> PG&amp;E AL 5595-E at 6.</w:t>
      </w:r>
    </w:p>
  </w:footnote>
  <w:footnote w:id="56">
    <w:p w14:paraId="7340887D" w14:textId="1A2E46DC" w:rsidR="00341730" w:rsidRDefault="00341730" w:rsidP="005D2AB6">
      <w:pPr>
        <w:pStyle w:val="FootnoteText"/>
        <w:numPr>
          <w:ilvl w:val="0"/>
          <w:numId w:val="0"/>
        </w:numPr>
        <w:spacing w:after="0"/>
      </w:pPr>
      <w:r w:rsidRPr="00D92D8B">
        <w:rPr>
          <w:rStyle w:val="FootnoteReference"/>
          <w:sz w:val="22"/>
          <w:szCs w:val="22"/>
        </w:rPr>
        <w:footnoteRef/>
      </w:r>
      <w:r w:rsidRPr="00D92D8B">
        <w:rPr>
          <w:sz w:val="22"/>
          <w:szCs w:val="22"/>
        </w:rPr>
        <w:t xml:space="preserve"> PG&amp;E AL 5595-E at 5.</w:t>
      </w:r>
    </w:p>
  </w:footnote>
  <w:footnote w:id="57">
    <w:p w14:paraId="19CC1009" w14:textId="4E16DD55" w:rsidR="00A65B0E" w:rsidRPr="00F76B70" w:rsidRDefault="00A65B0E" w:rsidP="00F76B70">
      <w:pPr>
        <w:pStyle w:val="FootnoteText"/>
        <w:numPr>
          <w:ilvl w:val="0"/>
          <w:numId w:val="0"/>
        </w:numPr>
        <w:spacing w:after="0"/>
        <w:rPr>
          <w:sz w:val="22"/>
          <w:szCs w:val="22"/>
        </w:rPr>
      </w:pPr>
      <w:r w:rsidRPr="00F76B70">
        <w:rPr>
          <w:rStyle w:val="FootnoteReference"/>
          <w:sz w:val="22"/>
          <w:szCs w:val="22"/>
        </w:rPr>
        <w:footnoteRef/>
      </w:r>
      <w:r w:rsidRPr="00F76B70">
        <w:rPr>
          <w:sz w:val="22"/>
          <w:szCs w:val="22"/>
        </w:rPr>
        <w:t xml:space="preserve"> </w:t>
      </w:r>
      <w:r w:rsidRPr="00AE123F">
        <w:rPr>
          <w:sz w:val="22"/>
          <w:szCs w:val="22"/>
        </w:rPr>
        <w:t>SDG&amp;E AL 3407-E, Appendix A at 7.</w:t>
      </w:r>
    </w:p>
  </w:footnote>
  <w:footnote w:id="58">
    <w:p w14:paraId="1123CBB8" w14:textId="1F81B633" w:rsidR="005C19F4" w:rsidRPr="005C19F4" w:rsidRDefault="005C19F4" w:rsidP="005C19F4">
      <w:pPr>
        <w:pStyle w:val="FootnoteText"/>
        <w:numPr>
          <w:ilvl w:val="0"/>
          <w:numId w:val="0"/>
        </w:numPr>
        <w:spacing w:after="0"/>
        <w:rPr>
          <w:sz w:val="22"/>
          <w:szCs w:val="22"/>
        </w:rPr>
      </w:pPr>
      <w:r w:rsidRPr="005C19F4">
        <w:rPr>
          <w:rStyle w:val="FootnoteReference"/>
          <w:sz w:val="22"/>
          <w:szCs w:val="22"/>
        </w:rPr>
        <w:footnoteRef/>
      </w:r>
      <w:r w:rsidRPr="005C19F4">
        <w:rPr>
          <w:sz w:val="22"/>
          <w:szCs w:val="22"/>
        </w:rPr>
        <w:t xml:space="preserve"> Resolution </w:t>
      </w:r>
      <w:r w:rsidR="00452379">
        <w:rPr>
          <w:sz w:val="22"/>
          <w:szCs w:val="22"/>
        </w:rPr>
        <w:t>E-</w:t>
      </w:r>
      <w:r w:rsidRPr="005C19F4">
        <w:rPr>
          <w:sz w:val="22"/>
          <w:szCs w:val="22"/>
        </w:rPr>
        <w:t>5035 at 9.</w:t>
      </w:r>
    </w:p>
  </w:footnote>
  <w:footnote w:id="59">
    <w:p w14:paraId="26EE0E06" w14:textId="7C7A8848" w:rsidR="00C24CB2" w:rsidRPr="00C24CB2" w:rsidRDefault="00C24CB2" w:rsidP="00C24CB2">
      <w:pPr>
        <w:pStyle w:val="FootnoteText"/>
        <w:numPr>
          <w:ilvl w:val="0"/>
          <w:numId w:val="0"/>
        </w:numPr>
        <w:spacing w:after="0"/>
        <w:rPr>
          <w:sz w:val="22"/>
          <w:szCs w:val="22"/>
        </w:rPr>
      </w:pPr>
      <w:r w:rsidRPr="00C24CB2">
        <w:rPr>
          <w:rStyle w:val="FootnoteReference"/>
          <w:sz w:val="22"/>
          <w:szCs w:val="22"/>
        </w:rPr>
        <w:footnoteRef/>
      </w:r>
      <w:r w:rsidRPr="00C24CB2">
        <w:rPr>
          <w:sz w:val="22"/>
          <w:szCs w:val="22"/>
        </w:rPr>
        <w:t xml:space="preserve"> CALSSA Protest of SDG&amp;E Advice Letter 3407-E on Telemetry Specifications at 1.</w:t>
      </w:r>
    </w:p>
  </w:footnote>
  <w:footnote w:id="60">
    <w:p w14:paraId="4D7463EC" w14:textId="77777777" w:rsidR="005E5EDF" w:rsidRPr="00F76B70" w:rsidRDefault="005E5EDF" w:rsidP="00F76B70">
      <w:pPr>
        <w:pStyle w:val="FootnoteText"/>
        <w:numPr>
          <w:ilvl w:val="0"/>
          <w:numId w:val="0"/>
        </w:numPr>
        <w:spacing w:after="0"/>
        <w:rPr>
          <w:sz w:val="22"/>
          <w:szCs w:val="22"/>
        </w:rPr>
      </w:pPr>
      <w:r w:rsidRPr="00F76B70">
        <w:rPr>
          <w:rStyle w:val="FootnoteReference"/>
          <w:sz w:val="22"/>
          <w:szCs w:val="22"/>
        </w:rPr>
        <w:footnoteRef/>
      </w:r>
      <w:r w:rsidRPr="00F76B70">
        <w:rPr>
          <w:sz w:val="22"/>
          <w:szCs w:val="22"/>
        </w:rPr>
        <w:t xml:space="preserve"> SDG&amp;E AL 3407-E Appendix A at 4.</w:t>
      </w:r>
    </w:p>
  </w:footnote>
  <w:footnote w:id="61">
    <w:p w14:paraId="7D34774F" w14:textId="77777777" w:rsidR="00986146" w:rsidRPr="00822715" w:rsidRDefault="00986146" w:rsidP="00986146">
      <w:pPr>
        <w:pStyle w:val="FootnoteText"/>
        <w:numPr>
          <w:ilvl w:val="0"/>
          <w:numId w:val="0"/>
        </w:numPr>
        <w:spacing w:after="0"/>
        <w:rPr>
          <w:sz w:val="22"/>
          <w:szCs w:val="22"/>
        </w:rPr>
      </w:pPr>
      <w:r w:rsidRPr="00822715">
        <w:rPr>
          <w:rStyle w:val="FootnoteReference"/>
          <w:sz w:val="22"/>
          <w:szCs w:val="22"/>
        </w:rPr>
        <w:footnoteRef/>
      </w:r>
      <w:r w:rsidRPr="00822715">
        <w:rPr>
          <w:sz w:val="22"/>
          <w:szCs w:val="22"/>
        </w:rPr>
        <w:t xml:space="preserve"> D.19-03-013 at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7131EE88" w:rsidR="00B84CBF" w:rsidRDefault="00B84CBF">
    <w:pPr>
      <w:pStyle w:val="Header"/>
      <w:tabs>
        <w:tab w:val="clear" w:pos="4320"/>
        <w:tab w:val="clear" w:pos="8640"/>
        <w:tab w:val="center" w:pos="4680"/>
        <w:tab w:val="right" w:pos="9180"/>
      </w:tabs>
    </w:pPr>
    <w:r>
      <w:t>Resolution E-5038</w:t>
    </w:r>
    <w:r>
      <w:tab/>
      <w:t>DRAFT</w:t>
    </w:r>
    <w:r>
      <w:tab/>
    </w:r>
    <w:r w:rsidR="00821B74">
      <w:t>August 19, 2021</w:t>
    </w:r>
  </w:p>
  <w:p w14:paraId="268A6379" w14:textId="2398CFE5" w:rsidR="00B84CBF" w:rsidRDefault="00B84CBF">
    <w:pPr>
      <w:pStyle w:val="Header"/>
      <w:tabs>
        <w:tab w:val="clear" w:pos="4320"/>
        <w:tab w:val="clear" w:pos="8640"/>
        <w:tab w:val="center" w:pos="4680"/>
        <w:tab w:val="right" w:pos="9180"/>
      </w:tabs>
    </w:pPr>
    <w:r w:rsidRPr="00670BB8">
      <w:rPr>
        <w:szCs w:val="26"/>
      </w:rPr>
      <w:t xml:space="preserve">PG&amp;E AL </w:t>
    </w:r>
    <w:r>
      <w:t>5595</w:t>
    </w:r>
    <w:r w:rsidRPr="00670BB8">
      <w:rPr>
        <w:szCs w:val="26"/>
      </w:rPr>
      <w:t>-E</w:t>
    </w:r>
    <w:r>
      <w:t>, SCE AL 4044-E, and SDG&amp;E AL 3407-E/</w:t>
    </w:r>
    <w:r w:rsidR="007711A6">
      <w:t>KL5</w:t>
    </w:r>
  </w:p>
  <w:p w14:paraId="013F4CD4" w14:textId="77777777" w:rsidR="00B84CBF" w:rsidRDefault="00B84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B84CBF" w:rsidRPr="008E6797" w:rsidRDefault="00B84CBF"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47B3C55"/>
    <w:multiLevelType w:val="hybridMultilevel"/>
    <w:tmpl w:val="906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414F"/>
    <w:multiLevelType w:val="hybridMultilevel"/>
    <w:tmpl w:val="64522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F25A2F"/>
    <w:multiLevelType w:val="hybridMultilevel"/>
    <w:tmpl w:val="269E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num>
  <w:num w:numId="7">
    <w:abstractNumId w:val="9"/>
  </w:num>
  <w:num w:numId="8">
    <w:abstractNumId w:val="11"/>
  </w:num>
  <w:num w:numId="9">
    <w:abstractNumId w:val="2"/>
  </w:num>
  <w:num w:numId="10">
    <w:abstractNumId w:val="8"/>
  </w:num>
  <w:num w:numId="11">
    <w:abstractNumId w:val="10"/>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1D70"/>
    <w:rsid w:val="00000B8B"/>
    <w:rsid w:val="00000CD3"/>
    <w:rsid w:val="00001208"/>
    <w:rsid w:val="00001E4A"/>
    <w:rsid w:val="000024DD"/>
    <w:rsid w:val="00002943"/>
    <w:rsid w:val="00004083"/>
    <w:rsid w:val="00004C61"/>
    <w:rsid w:val="0000695B"/>
    <w:rsid w:val="00006AB0"/>
    <w:rsid w:val="00006AD0"/>
    <w:rsid w:val="0001097C"/>
    <w:rsid w:val="00011241"/>
    <w:rsid w:val="00011716"/>
    <w:rsid w:val="00012D45"/>
    <w:rsid w:val="0001304F"/>
    <w:rsid w:val="000146CA"/>
    <w:rsid w:val="00014C0D"/>
    <w:rsid w:val="00015378"/>
    <w:rsid w:val="000164DC"/>
    <w:rsid w:val="000168DE"/>
    <w:rsid w:val="00017699"/>
    <w:rsid w:val="000200D9"/>
    <w:rsid w:val="00021169"/>
    <w:rsid w:val="0002134E"/>
    <w:rsid w:val="00021D31"/>
    <w:rsid w:val="0002228E"/>
    <w:rsid w:val="0002230A"/>
    <w:rsid w:val="000225C4"/>
    <w:rsid w:val="00022E65"/>
    <w:rsid w:val="0002448C"/>
    <w:rsid w:val="000247A2"/>
    <w:rsid w:val="00024C89"/>
    <w:rsid w:val="00024CCE"/>
    <w:rsid w:val="00025975"/>
    <w:rsid w:val="00026C4D"/>
    <w:rsid w:val="00027735"/>
    <w:rsid w:val="00030520"/>
    <w:rsid w:val="00030B74"/>
    <w:rsid w:val="00030E24"/>
    <w:rsid w:val="0003101A"/>
    <w:rsid w:val="00031E70"/>
    <w:rsid w:val="0003297E"/>
    <w:rsid w:val="000333FA"/>
    <w:rsid w:val="00033535"/>
    <w:rsid w:val="00033BA4"/>
    <w:rsid w:val="00033BA6"/>
    <w:rsid w:val="00034D25"/>
    <w:rsid w:val="000363CC"/>
    <w:rsid w:val="00036741"/>
    <w:rsid w:val="00037051"/>
    <w:rsid w:val="000371F6"/>
    <w:rsid w:val="00037565"/>
    <w:rsid w:val="00041BFB"/>
    <w:rsid w:val="00041F5D"/>
    <w:rsid w:val="00042657"/>
    <w:rsid w:val="00043740"/>
    <w:rsid w:val="00043955"/>
    <w:rsid w:val="000439D7"/>
    <w:rsid w:val="000453B2"/>
    <w:rsid w:val="00045DC1"/>
    <w:rsid w:val="00045ECA"/>
    <w:rsid w:val="00045FD1"/>
    <w:rsid w:val="00046F85"/>
    <w:rsid w:val="00047391"/>
    <w:rsid w:val="000506D4"/>
    <w:rsid w:val="000507B8"/>
    <w:rsid w:val="000513F4"/>
    <w:rsid w:val="00052D3E"/>
    <w:rsid w:val="00052E51"/>
    <w:rsid w:val="00053A4C"/>
    <w:rsid w:val="00053AC4"/>
    <w:rsid w:val="00053E11"/>
    <w:rsid w:val="00054D0A"/>
    <w:rsid w:val="00054DE8"/>
    <w:rsid w:val="00055467"/>
    <w:rsid w:val="00055988"/>
    <w:rsid w:val="00055B59"/>
    <w:rsid w:val="0005714F"/>
    <w:rsid w:val="000575A4"/>
    <w:rsid w:val="00060FD9"/>
    <w:rsid w:val="00061381"/>
    <w:rsid w:val="0006181D"/>
    <w:rsid w:val="00061C81"/>
    <w:rsid w:val="00061CCE"/>
    <w:rsid w:val="00061FEC"/>
    <w:rsid w:val="0006275D"/>
    <w:rsid w:val="0006323F"/>
    <w:rsid w:val="00063A68"/>
    <w:rsid w:val="000645EF"/>
    <w:rsid w:val="00065245"/>
    <w:rsid w:val="00065DF1"/>
    <w:rsid w:val="00066311"/>
    <w:rsid w:val="00066582"/>
    <w:rsid w:val="00066DCD"/>
    <w:rsid w:val="000671DC"/>
    <w:rsid w:val="0007131B"/>
    <w:rsid w:val="00071F23"/>
    <w:rsid w:val="00072788"/>
    <w:rsid w:val="00073D3D"/>
    <w:rsid w:val="00074BAF"/>
    <w:rsid w:val="00075382"/>
    <w:rsid w:val="00075B53"/>
    <w:rsid w:val="000772D8"/>
    <w:rsid w:val="0008052C"/>
    <w:rsid w:val="00081643"/>
    <w:rsid w:val="00081D6F"/>
    <w:rsid w:val="00082170"/>
    <w:rsid w:val="00082A35"/>
    <w:rsid w:val="00082E2F"/>
    <w:rsid w:val="00082F13"/>
    <w:rsid w:val="0008351E"/>
    <w:rsid w:val="00083FCE"/>
    <w:rsid w:val="00084E59"/>
    <w:rsid w:val="00085063"/>
    <w:rsid w:val="000856AE"/>
    <w:rsid w:val="00086E5C"/>
    <w:rsid w:val="0008773F"/>
    <w:rsid w:val="0008786D"/>
    <w:rsid w:val="0008791A"/>
    <w:rsid w:val="000914A8"/>
    <w:rsid w:val="000925B3"/>
    <w:rsid w:val="00093F2F"/>
    <w:rsid w:val="0009443E"/>
    <w:rsid w:val="00095662"/>
    <w:rsid w:val="0009599A"/>
    <w:rsid w:val="00096785"/>
    <w:rsid w:val="000969C4"/>
    <w:rsid w:val="00096A3C"/>
    <w:rsid w:val="00097593"/>
    <w:rsid w:val="00097E98"/>
    <w:rsid w:val="00097F5D"/>
    <w:rsid w:val="00097F7E"/>
    <w:rsid w:val="000A1357"/>
    <w:rsid w:val="000A1BDA"/>
    <w:rsid w:val="000A220B"/>
    <w:rsid w:val="000A4385"/>
    <w:rsid w:val="000A43B5"/>
    <w:rsid w:val="000A4FFB"/>
    <w:rsid w:val="000A70CE"/>
    <w:rsid w:val="000A7629"/>
    <w:rsid w:val="000A7D87"/>
    <w:rsid w:val="000B0A18"/>
    <w:rsid w:val="000B13FA"/>
    <w:rsid w:val="000B1F3E"/>
    <w:rsid w:val="000B20CF"/>
    <w:rsid w:val="000B2122"/>
    <w:rsid w:val="000B3578"/>
    <w:rsid w:val="000B3E5E"/>
    <w:rsid w:val="000B4483"/>
    <w:rsid w:val="000B5055"/>
    <w:rsid w:val="000B5C6A"/>
    <w:rsid w:val="000B5D11"/>
    <w:rsid w:val="000B6D1F"/>
    <w:rsid w:val="000B73A4"/>
    <w:rsid w:val="000B7CEE"/>
    <w:rsid w:val="000C19AB"/>
    <w:rsid w:val="000C256F"/>
    <w:rsid w:val="000C2793"/>
    <w:rsid w:val="000C2D01"/>
    <w:rsid w:val="000C3502"/>
    <w:rsid w:val="000C41E3"/>
    <w:rsid w:val="000C453F"/>
    <w:rsid w:val="000C50A3"/>
    <w:rsid w:val="000C6A5C"/>
    <w:rsid w:val="000C7509"/>
    <w:rsid w:val="000C76E0"/>
    <w:rsid w:val="000C7E17"/>
    <w:rsid w:val="000D01F4"/>
    <w:rsid w:val="000D30BE"/>
    <w:rsid w:val="000D3A75"/>
    <w:rsid w:val="000D4180"/>
    <w:rsid w:val="000D4696"/>
    <w:rsid w:val="000D5034"/>
    <w:rsid w:val="000D6443"/>
    <w:rsid w:val="000D682B"/>
    <w:rsid w:val="000D7237"/>
    <w:rsid w:val="000D751E"/>
    <w:rsid w:val="000E0533"/>
    <w:rsid w:val="000E0828"/>
    <w:rsid w:val="000E1886"/>
    <w:rsid w:val="000E1AED"/>
    <w:rsid w:val="000E1B63"/>
    <w:rsid w:val="000E1C4C"/>
    <w:rsid w:val="000E3106"/>
    <w:rsid w:val="000E40E1"/>
    <w:rsid w:val="000E4322"/>
    <w:rsid w:val="000E452B"/>
    <w:rsid w:val="000E52A8"/>
    <w:rsid w:val="000E5E9F"/>
    <w:rsid w:val="000E644C"/>
    <w:rsid w:val="000F0922"/>
    <w:rsid w:val="000F0A07"/>
    <w:rsid w:val="000F145C"/>
    <w:rsid w:val="000F1C8A"/>
    <w:rsid w:val="000F274C"/>
    <w:rsid w:val="000F3B2C"/>
    <w:rsid w:val="000F4060"/>
    <w:rsid w:val="000F4A04"/>
    <w:rsid w:val="000F4D6E"/>
    <w:rsid w:val="000F695F"/>
    <w:rsid w:val="00103DBC"/>
    <w:rsid w:val="00103E6D"/>
    <w:rsid w:val="001041FB"/>
    <w:rsid w:val="00104CE5"/>
    <w:rsid w:val="0010535F"/>
    <w:rsid w:val="00105C05"/>
    <w:rsid w:val="00105FB6"/>
    <w:rsid w:val="00106BC7"/>
    <w:rsid w:val="00106DC0"/>
    <w:rsid w:val="001070E2"/>
    <w:rsid w:val="001102B7"/>
    <w:rsid w:val="0011113F"/>
    <w:rsid w:val="0011220E"/>
    <w:rsid w:val="00112988"/>
    <w:rsid w:val="00112CB8"/>
    <w:rsid w:val="0011473F"/>
    <w:rsid w:val="00115080"/>
    <w:rsid w:val="00115D42"/>
    <w:rsid w:val="00115FA6"/>
    <w:rsid w:val="00115FD7"/>
    <w:rsid w:val="00117225"/>
    <w:rsid w:val="00117A26"/>
    <w:rsid w:val="00117FF2"/>
    <w:rsid w:val="001200FE"/>
    <w:rsid w:val="00120563"/>
    <w:rsid w:val="00120C67"/>
    <w:rsid w:val="00121368"/>
    <w:rsid w:val="00121F30"/>
    <w:rsid w:val="00122695"/>
    <w:rsid w:val="00123DE0"/>
    <w:rsid w:val="00124526"/>
    <w:rsid w:val="001247F4"/>
    <w:rsid w:val="00124D64"/>
    <w:rsid w:val="00125EA7"/>
    <w:rsid w:val="001266C5"/>
    <w:rsid w:val="0012759B"/>
    <w:rsid w:val="001310A9"/>
    <w:rsid w:val="001310C4"/>
    <w:rsid w:val="00131A22"/>
    <w:rsid w:val="00132E9D"/>
    <w:rsid w:val="001344CF"/>
    <w:rsid w:val="00134EE4"/>
    <w:rsid w:val="001378DB"/>
    <w:rsid w:val="00137ACF"/>
    <w:rsid w:val="00142043"/>
    <w:rsid w:val="0014250A"/>
    <w:rsid w:val="0014255E"/>
    <w:rsid w:val="001427DC"/>
    <w:rsid w:val="00142C55"/>
    <w:rsid w:val="00142FB8"/>
    <w:rsid w:val="00143220"/>
    <w:rsid w:val="001437E8"/>
    <w:rsid w:val="001449C9"/>
    <w:rsid w:val="00145928"/>
    <w:rsid w:val="00146A2E"/>
    <w:rsid w:val="00147513"/>
    <w:rsid w:val="001514B0"/>
    <w:rsid w:val="001517D3"/>
    <w:rsid w:val="00153405"/>
    <w:rsid w:val="00153B75"/>
    <w:rsid w:val="00154744"/>
    <w:rsid w:val="001554EB"/>
    <w:rsid w:val="00155D9B"/>
    <w:rsid w:val="0015730C"/>
    <w:rsid w:val="00157457"/>
    <w:rsid w:val="00160EF0"/>
    <w:rsid w:val="00161488"/>
    <w:rsid w:val="0016166D"/>
    <w:rsid w:val="001626AB"/>
    <w:rsid w:val="00162A09"/>
    <w:rsid w:val="00163553"/>
    <w:rsid w:val="001643FA"/>
    <w:rsid w:val="001649F2"/>
    <w:rsid w:val="00164AC3"/>
    <w:rsid w:val="00164BFA"/>
    <w:rsid w:val="00165280"/>
    <w:rsid w:val="00165326"/>
    <w:rsid w:val="00165A2D"/>
    <w:rsid w:val="0016633E"/>
    <w:rsid w:val="001671A2"/>
    <w:rsid w:val="0016744C"/>
    <w:rsid w:val="0017121B"/>
    <w:rsid w:val="00171740"/>
    <w:rsid w:val="0017208B"/>
    <w:rsid w:val="001720CD"/>
    <w:rsid w:val="00172611"/>
    <w:rsid w:val="001728BD"/>
    <w:rsid w:val="00173660"/>
    <w:rsid w:val="00173C80"/>
    <w:rsid w:val="001751E4"/>
    <w:rsid w:val="00175F61"/>
    <w:rsid w:val="00176251"/>
    <w:rsid w:val="00176998"/>
    <w:rsid w:val="00176D62"/>
    <w:rsid w:val="00177AB1"/>
    <w:rsid w:val="00177CB5"/>
    <w:rsid w:val="001807BE"/>
    <w:rsid w:val="00181292"/>
    <w:rsid w:val="00182091"/>
    <w:rsid w:val="0018267A"/>
    <w:rsid w:val="0018325E"/>
    <w:rsid w:val="00183AFD"/>
    <w:rsid w:val="0018465C"/>
    <w:rsid w:val="00184B86"/>
    <w:rsid w:val="00184F39"/>
    <w:rsid w:val="00186136"/>
    <w:rsid w:val="0018631A"/>
    <w:rsid w:val="001870BE"/>
    <w:rsid w:val="00187432"/>
    <w:rsid w:val="001878EC"/>
    <w:rsid w:val="001910CF"/>
    <w:rsid w:val="001916C7"/>
    <w:rsid w:val="00191B8F"/>
    <w:rsid w:val="00192C1D"/>
    <w:rsid w:val="00195436"/>
    <w:rsid w:val="00195A69"/>
    <w:rsid w:val="001963C8"/>
    <w:rsid w:val="001966EB"/>
    <w:rsid w:val="00196880"/>
    <w:rsid w:val="00196C98"/>
    <w:rsid w:val="00197A84"/>
    <w:rsid w:val="001A0BB3"/>
    <w:rsid w:val="001A116E"/>
    <w:rsid w:val="001A150A"/>
    <w:rsid w:val="001A22E5"/>
    <w:rsid w:val="001A293C"/>
    <w:rsid w:val="001A2A83"/>
    <w:rsid w:val="001A3AF9"/>
    <w:rsid w:val="001A4A32"/>
    <w:rsid w:val="001A5FD8"/>
    <w:rsid w:val="001A65E4"/>
    <w:rsid w:val="001B1320"/>
    <w:rsid w:val="001B1B17"/>
    <w:rsid w:val="001B2A57"/>
    <w:rsid w:val="001B31DC"/>
    <w:rsid w:val="001B333E"/>
    <w:rsid w:val="001B3F00"/>
    <w:rsid w:val="001B4818"/>
    <w:rsid w:val="001B4924"/>
    <w:rsid w:val="001B4A56"/>
    <w:rsid w:val="001B5014"/>
    <w:rsid w:val="001B79A1"/>
    <w:rsid w:val="001C06C6"/>
    <w:rsid w:val="001C130F"/>
    <w:rsid w:val="001C14FA"/>
    <w:rsid w:val="001C1827"/>
    <w:rsid w:val="001C26C5"/>
    <w:rsid w:val="001C3615"/>
    <w:rsid w:val="001C3635"/>
    <w:rsid w:val="001C4424"/>
    <w:rsid w:val="001C5223"/>
    <w:rsid w:val="001C5A09"/>
    <w:rsid w:val="001C5E5A"/>
    <w:rsid w:val="001C63BD"/>
    <w:rsid w:val="001C6700"/>
    <w:rsid w:val="001C73B2"/>
    <w:rsid w:val="001D0008"/>
    <w:rsid w:val="001D0C48"/>
    <w:rsid w:val="001D1007"/>
    <w:rsid w:val="001D318F"/>
    <w:rsid w:val="001D386C"/>
    <w:rsid w:val="001D3FFB"/>
    <w:rsid w:val="001D6049"/>
    <w:rsid w:val="001E288B"/>
    <w:rsid w:val="001E2984"/>
    <w:rsid w:val="001E3248"/>
    <w:rsid w:val="001E4649"/>
    <w:rsid w:val="001E4B71"/>
    <w:rsid w:val="001E5598"/>
    <w:rsid w:val="001E7925"/>
    <w:rsid w:val="001F0AF0"/>
    <w:rsid w:val="001F18E5"/>
    <w:rsid w:val="001F29CE"/>
    <w:rsid w:val="001F3D3C"/>
    <w:rsid w:val="001F414B"/>
    <w:rsid w:val="001F4F8B"/>
    <w:rsid w:val="001F6337"/>
    <w:rsid w:val="001F7306"/>
    <w:rsid w:val="00200001"/>
    <w:rsid w:val="002014D7"/>
    <w:rsid w:val="00201594"/>
    <w:rsid w:val="00201F93"/>
    <w:rsid w:val="00203296"/>
    <w:rsid w:val="002044AB"/>
    <w:rsid w:val="002053B5"/>
    <w:rsid w:val="00205C87"/>
    <w:rsid w:val="00206136"/>
    <w:rsid w:val="0020629C"/>
    <w:rsid w:val="00206B79"/>
    <w:rsid w:val="00206EBC"/>
    <w:rsid w:val="002102AC"/>
    <w:rsid w:val="00210CD5"/>
    <w:rsid w:val="00211194"/>
    <w:rsid w:val="00211964"/>
    <w:rsid w:val="0021230A"/>
    <w:rsid w:val="00214D7A"/>
    <w:rsid w:val="00215899"/>
    <w:rsid w:val="0021629C"/>
    <w:rsid w:val="0021781A"/>
    <w:rsid w:val="0021796F"/>
    <w:rsid w:val="002205D7"/>
    <w:rsid w:val="00222518"/>
    <w:rsid w:val="002228ED"/>
    <w:rsid w:val="00222B61"/>
    <w:rsid w:val="00222C15"/>
    <w:rsid w:val="00224026"/>
    <w:rsid w:val="0022634F"/>
    <w:rsid w:val="00227839"/>
    <w:rsid w:val="00227C2F"/>
    <w:rsid w:val="00227D1F"/>
    <w:rsid w:val="00227FB3"/>
    <w:rsid w:val="00232CBC"/>
    <w:rsid w:val="00232EBB"/>
    <w:rsid w:val="0023403C"/>
    <w:rsid w:val="002340EA"/>
    <w:rsid w:val="002353D9"/>
    <w:rsid w:val="002358AF"/>
    <w:rsid w:val="002367A3"/>
    <w:rsid w:val="00237414"/>
    <w:rsid w:val="0023772A"/>
    <w:rsid w:val="00237E00"/>
    <w:rsid w:val="0024008F"/>
    <w:rsid w:val="0024017C"/>
    <w:rsid w:val="002409ED"/>
    <w:rsid w:val="0024312D"/>
    <w:rsid w:val="00243241"/>
    <w:rsid w:val="0024459D"/>
    <w:rsid w:val="00246B0D"/>
    <w:rsid w:val="00246D23"/>
    <w:rsid w:val="002505C4"/>
    <w:rsid w:val="002523FC"/>
    <w:rsid w:val="0025327F"/>
    <w:rsid w:val="00254C38"/>
    <w:rsid w:val="00255ECF"/>
    <w:rsid w:val="002567D6"/>
    <w:rsid w:val="002567F6"/>
    <w:rsid w:val="00256E65"/>
    <w:rsid w:val="002574BF"/>
    <w:rsid w:val="0025799B"/>
    <w:rsid w:val="00260621"/>
    <w:rsid w:val="00261A62"/>
    <w:rsid w:val="00261B9F"/>
    <w:rsid w:val="00262CCD"/>
    <w:rsid w:val="00263710"/>
    <w:rsid w:val="00263A42"/>
    <w:rsid w:val="002642C1"/>
    <w:rsid w:val="00264930"/>
    <w:rsid w:val="00265573"/>
    <w:rsid w:val="002656D2"/>
    <w:rsid w:val="00266FAA"/>
    <w:rsid w:val="00267FFD"/>
    <w:rsid w:val="00270984"/>
    <w:rsid w:val="00273522"/>
    <w:rsid w:val="002749B4"/>
    <w:rsid w:val="00274CE4"/>
    <w:rsid w:val="00277971"/>
    <w:rsid w:val="0028052F"/>
    <w:rsid w:val="00280947"/>
    <w:rsid w:val="002822E0"/>
    <w:rsid w:val="00282D87"/>
    <w:rsid w:val="00282E05"/>
    <w:rsid w:val="00285718"/>
    <w:rsid w:val="00286541"/>
    <w:rsid w:val="0028707B"/>
    <w:rsid w:val="002877E0"/>
    <w:rsid w:val="00290A37"/>
    <w:rsid w:val="0029231D"/>
    <w:rsid w:val="00293814"/>
    <w:rsid w:val="00293854"/>
    <w:rsid w:val="00294A7B"/>
    <w:rsid w:val="0029706C"/>
    <w:rsid w:val="002A013E"/>
    <w:rsid w:val="002A18A6"/>
    <w:rsid w:val="002A1EC1"/>
    <w:rsid w:val="002A258C"/>
    <w:rsid w:val="002A3100"/>
    <w:rsid w:val="002A3186"/>
    <w:rsid w:val="002A35B0"/>
    <w:rsid w:val="002A4739"/>
    <w:rsid w:val="002A695A"/>
    <w:rsid w:val="002A6D4F"/>
    <w:rsid w:val="002A754D"/>
    <w:rsid w:val="002B0188"/>
    <w:rsid w:val="002B209F"/>
    <w:rsid w:val="002B649C"/>
    <w:rsid w:val="002C0E80"/>
    <w:rsid w:val="002C23E1"/>
    <w:rsid w:val="002C2B59"/>
    <w:rsid w:val="002C366F"/>
    <w:rsid w:val="002C663A"/>
    <w:rsid w:val="002C7B5E"/>
    <w:rsid w:val="002D00AD"/>
    <w:rsid w:val="002D03F3"/>
    <w:rsid w:val="002D042F"/>
    <w:rsid w:val="002D0CEE"/>
    <w:rsid w:val="002D1015"/>
    <w:rsid w:val="002D10C3"/>
    <w:rsid w:val="002D1121"/>
    <w:rsid w:val="002D33B9"/>
    <w:rsid w:val="002D3CAE"/>
    <w:rsid w:val="002D511E"/>
    <w:rsid w:val="002D69BE"/>
    <w:rsid w:val="002E16B0"/>
    <w:rsid w:val="002E199F"/>
    <w:rsid w:val="002E1B14"/>
    <w:rsid w:val="002E24BF"/>
    <w:rsid w:val="002E2623"/>
    <w:rsid w:val="002E2FCF"/>
    <w:rsid w:val="002E3490"/>
    <w:rsid w:val="002E387A"/>
    <w:rsid w:val="002E3ADE"/>
    <w:rsid w:val="002E594A"/>
    <w:rsid w:val="002E5AF5"/>
    <w:rsid w:val="002E5BD3"/>
    <w:rsid w:val="002E5D07"/>
    <w:rsid w:val="002E6310"/>
    <w:rsid w:val="002E78A1"/>
    <w:rsid w:val="002E7D95"/>
    <w:rsid w:val="002F07C0"/>
    <w:rsid w:val="002F0FBF"/>
    <w:rsid w:val="002F2BDC"/>
    <w:rsid w:val="002F324B"/>
    <w:rsid w:val="002F3689"/>
    <w:rsid w:val="002F4799"/>
    <w:rsid w:val="002F5729"/>
    <w:rsid w:val="002F583F"/>
    <w:rsid w:val="002F6560"/>
    <w:rsid w:val="002F765D"/>
    <w:rsid w:val="002F7908"/>
    <w:rsid w:val="002F7997"/>
    <w:rsid w:val="00300187"/>
    <w:rsid w:val="0030066B"/>
    <w:rsid w:val="00303F36"/>
    <w:rsid w:val="00304C18"/>
    <w:rsid w:val="0030704D"/>
    <w:rsid w:val="00307202"/>
    <w:rsid w:val="003078C4"/>
    <w:rsid w:val="00307D17"/>
    <w:rsid w:val="00307FDA"/>
    <w:rsid w:val="00310BE1"/>
    <w:rsid w:val="003117E5"/>
    <w:rsid w:val="00312699"/>
    <w:rsid w:val="00312AE7"/>
    <w:rsid w:val="00313638"/>
    <w:rsid w:val="003154E2"/>
    <w:rsid w:val="00316B73"/>
    <w:rsid w:val="003206D7"/>
    <w:rsid w:val="00320799"/>
    <w:rsid w:val="00320E52"/>
    <w:rsid w:val="00320ED2"/>
    <w:rsid w:val="00321863"/>
    <w:rsid w:val="00322A80"/>
    <w:rsid w:val="00323FF4"/>
    <w:rsid w:val="0032633E"/>
    <w:rsid w:val="0032634F"/>
    <w:rsid w:val="003303E6"/>
    <w:rsid w:val="00330D61"/>
    <w:rsid w:val="00331359"/>
    <w:rsid w:val="00331F31"/>
    <w:rsid w:val="00335313"/>
    <w:rsid w:val="00335427"/>
    <w:rsid w:val="00335A9E"/>
    <w:rsid w:val="00336FF3"/>
    <w:rsid w:val="0033764B"/>
    <w:rsid w:val="0034097C"/>
    <w:rsid w:val="00340BC1"/>
    <w:rsid w:val="00340BD1"/>
    <w:rsid w:val="00341730"/>
    <w:rsid w:val="00342A53"/>
    <w:rsid w:val="003439B8"/>
    <w:rsid w:val="00344C74"/>
    <w:rsid w:val="00344FBF"/>
    <w:rsid w:val="003451A7"/>
    <w:rsid w:val="00345F7C"/>
    <w:rsid w:val="003466F5"/>
    <w:rsid w:val="00346EB5"/>
    <w:rsid w:val="00350682"/>
    <w:rsid w:val="00350AC1"/>
    <w:rsid w:val="003515E0"/>
    <w:rsid w:val="00352C40"/>
    <w:rsid w:val="0035358E"/>
    <w:rsid w:val="003536E0"/>
    <w:rsid w:val="0035388C"/>
    <w:rsid w:val="00354F56"/>
    <w:rsid w:val="00355E39"/>
    <w:rsid w:val="00357290"/>
    <w:rsid w:val="003574B0"/>
    <w:rsid w:val="00357BDA"/>
    <w:rsid w:val="00360305"/>
    <w:rsid w:val="003605FE"/>
    <w:rsid w:val="00360F73"/>
    <w:rsid w:val="0036123D"/>
    <w:rsid w:val="00362D10"/>
    <w:rsid w:val="0036336B"/>
    <w:rsid w:val="003650D8"/>
    <w:rsid w:val="00365144"/>
    <w:rsid w:val="00365672"/>
    <w:rsid w:val="00365AE4"/>
    <w:rsid w:val="00366EC4"/>
    <w:rsid w:val="00370651"/>
    <w:rsid w:val="00371B50"/>
    <w:rsid w:val="00371C0B"/>
    <w:rsid w:val="003720DA"/>
    <w:rsid w:val="0037222B"/>
    <w:rsid w:val="00376819"/>
    <w:rsid w:val="00380AEB"/>
    <w:rsid w:val="003835FE"/>
    <w:rsid w:val="00383C6F"/>
    <w:rsid w:val="003842C4"/>
    <w:rsid w:val="0038460D"/>
    <w:rsid w:val="003858A7"/>
    <w:rsid w:val="00385C95"/>
    <w:rsid w:val="003863A1"/>
    <w:rsid w:val="003870F2"/>
    <w:rsid w:val="003901D3"/>
    <w:rsid w:val="00390847"/>
    <w:rsid w:val="003908E2"/>
    <w:rsid w:val="00390BC6"/>
    <w:rsid w:val="00391130"/>
    <w:rsid w:val="003918AE"/>
    <w:rsid w:val="003919D4"/>
    <w:rsid w:val="00391A3B"/>
    <w:rsid w:val="0039419D"/>
    <w:rsid w:val="00394B3A"/>
    <w:rsid w:val="0039653A"/>
    <w:rsid w:val="0039676C"/>
    <w:rsid w:val="00397EDA"/>
    <w:rsid w:val="003A0B56"/>
    <w:rsid w:val="003A0D4C"/>
    <w:rsid w:val="003A0FB0"/>
    <w:rsid w:val="003A1551"/>
    <w:rsid w:val="003A1A0D"/>
    <w:rsid w:val="003A20E3"/>
    <w:rsid w:val="003A32B0"/>
    <w:rsid w:val="003A35D6"/>
    <w:rsid w:val="003A3AAB"/>
    <w:rsid w:val="003A4BF1"/>
    <w:rsid w:val="003A5DA0"/>
    <w:rsid w:val="003B0094"/>
    <w:rsid w:val="003B051B"/>
    <w:rsid w:val="003B1839"/>
    <w:rsid w:val="003B2FCE"/>
    <w:rsid w:val="003B30CE"/>
    <w:rsid w:val="003B31BC"/>
    <w:rsid w:val="003B3C76"/>
    <w:rsid w:val="003B49B8"/>
    <w:rsid w:val="003B4F88"/>
    <w:rsid w:val="003B50BB"/>
    <w:rsid w:val="003B54A3"/>
    <w:rsid w:val="003B7233"/>
    <w:rsid w:val="003C04F5"/>
    <w:rsid w:val="003C0B31"/>
    <w:rsid w:val="003C1967"/>
    <w:rsid w:val="003C23F5"/>
    <w:rsid w:val="003C27C7"/>
    <w:rsid w:val="003C28FA"/>
    <w:rsid w:val="003C2DAC"/>
    <w:rsid w:val="003C35BA"/>
    <w:rsid w:val="003C4B11"/>
    <w:rsid w:val="003C4CB0"/>
    <w:rsid w:val="003C544C"/>
    <w:rsid w:val="003D13E3"/>
    <w:rsid w:val="003D1DC7"/>
    <w:rsid w:val="003D3171"/>
    <w:rsid w:val="003D38A2"/>
    <w:rsid w:val="003D38D6"/>
    <w:rsid w:val="003D3FE4"/>
    <w:rsid w:val="003D4A2B"/>
    <w:rsid w:val="003D4F6B"/>
    <w:rsid w:val="003D57DF"/>
    <w:rsid w:val="003D5F5A"/>
    <w:rsid w:val="003D7835"/>
    <w:rsid w:val="003E04E5"/>
    <w:rsid w:val="003E0DAC"/>
    <w:rsid w:val="003E4447"/>
    <w:rsid w:val="003E49CA"/>
    <w:rsid w:val="003E5D99"/>
    <w:rsid w:val="003E6163"/>
    <w:rsid w:val="003E61D2"/>
    <w:rsid w:val="003E7CE4"/>
    <w:rsid w:val="003F01BC"/>
    <w:rsid w:val="003F2505"/>
    <w:rsid w:val="003F2531"/>
    <w:rsid w:val="003F278F"/>
    <w:rsid w:val="003F2B43"/>
    <w:rsid w:val="003F2D36"/>
    <w:rsid w:val="003F2FBD"/>
    <w:rsid w:val="003F3C55"/>
    <w:rsid w:val="003F46C9"/>
    <w:rsid w:val="003F4D13"/>
    <w:rsid w:val="003F4E42"/>
    <w:rsid w:val="003F5BFF"/>
    <w:rsid w:val="003F66F2"/>
    <w:rsid w:val="003F6A8C"/>
    <w:rsid w:val="003F6E5A"/>
    <w:rsid w:val="003F716B"/>
    <w:rsid w:val="003F7F5E"/>
    <w:rsid w:val="00400ECF"/>
    <w:rsid w:val="00400F6B"/>
    <w:rsid w:val="004015D5"/>
    <w:rsid w:val="0040278F"/>
    <w:rsid w:val="00402933"/>
    <w:rsid w:val="00403FFC"/>
    <w:rsid w:val="00404300"/>
    <w:rsid w:val="00404B62"/>
    <w:rsid w:val="004057DB"/>
    <w:rsid w:val="004059C6"/>
    <w:rsid w:val="00405B3C"/>
    <w:rsid w:val="0040624B"/>
    <w:rsid w:val="00410707"/>
    <w:rsid w:val="00410B7C"/>
    <w:rsid w:val="00411A54"/>
    <w:rsid w:val="00411D6C"/>
    <w:rsid w:val="0041259F"/>
    <w:rsid w:val="00412791"/>
    <w:rsid w:val="00412B06"/>
    <w:rsid w:val="00413336"/>
    <w:rsid w:val="0041354D"/>
    <w:rsid w:val="004136A3"/>
    <w:rsid w:val="00413CF5"/>
    <w:rsid w:val="00414480"/>
    <w:rsid w:val="00420CBC"/>
    <w:rsid w:val="0042351D"/>
    <w:rsid w:val="00423F5E"/>
    <w:rsid w:val="0042464F"/>
    <w:rsid w:val="004251B6"/>
    <w:rsid w:val="00426B64"/>
    <w:rsid w:val="00426D21"/>
    <w:rsid w:val="00426D74"/>
    <w:rsid w:val="00426FD3"/>
    <w:rsid w:val="0042749E"/>
    <w:rsid w:val="00431265"/>
    <w:rsid w:val="004313C4"/>
    <w:rsid w:val="0043145B"/>
    <w:rsid w:val="004316D2"/>
    <w:rsid w:val="00431773"/>
    <w:rsid w:val="004330A4"/>
    <w:rsid w:val="00435672"/>
    <w:rsid w:val="00435744"/>
    <w:rsid w:val="00435B73"/>
    <w:rsid w:val="00436AF1"/>
    <w:rsid w:val="00436E88"/>
    <w:rsid w:val="00440AB7"/>
    <w:rsid w:val="00442821"/>
    <w:rsid w:val="004429B4"/>
    <w:rsid w:val="00443B72"/>
    <w:rsid w:val="00444C91"/>
    <w:rsid w:val="00444CF1"/>
    <w:rsid w:val="004454AF"/>
    <w:rsid w:val="004459D8"/>
    <w:rsid w:val="004461AD"/>
    <w:rsid w:val="00446F40"/>
    <w:rsid w:val="0044738E"/>
    <w:rsid w:val="0045142F"/>
    <w:rsid w:val="00451E16"/>
    <w:rsid w:val="00452379"/>
    <w:rsid w:val="00452B6F"/>
    <w:rsid w:val="0045357F"/>
    <w:rsid w:val="00453966"/>
    <w:rsid w:val="00454EE4"/>
    <w:rsid w:val="0045549D"/>
    <w:rsid w:val="00455E6E"/>
    <w:rsid w:val="00456F43"/>
    <w:rsid w:val="004572A5"/>
    <w:rsid w:val="00457369"/>
    <w:rsid w:val="0045745F"/>
    <w:rsid w:val="004574E5"/>
    <w:rsid w:val="00457A9F"/>
    <w:rsid w:val="00457B3F"/>
    <w:rsid w:val="0046097A"/>
    <w:rsid w:val="004633D9"/>
    <w:rsid w:val="004641B3"/>
    <w:rsid w:val="004661B4"/>
    <w:rsid w:val="00467956"/>
    <w:rsid w:val="00467EFC"/>
    <w:rsid w:val="00470203"/>
    <w:rsid w:val="00470B9B"/>
    <w:rsid w:val="00471EA5"/>
    <w:rsid w:val="00471EB5"/>
    <w:rsid w:val="0047308A"/>
    <w:rsid w:val="004730ED"/>
    <w:rsid w:val="00474304"/>
    <w:rsid w:val="00475986"/>
    <w:rsid w:val="0047670D"/>
    <w:rsid w:val="00476FBA"/>
    <w:rsid w:val="00477643"/>
    <w:rsid w:val="00480176"/>
    <w:rsid w:val="00480B76"/>
    <w:rsid w:val="00481118"/>
    <w:rsid w:val="0048124B"/>
    <w:rsid w:val="004815EF"/>
    <w:rsid w:val="00481755"/>
    <w:rsid w:val="0048196E"/>
    <w:rsid w:val="0048269A"/>
    <w:rsid w:val="004831BA"/>
    <w:rsid w:val="00483215"/>
    <w:rsid w:val="00483577"/>
    <w:rsid w:val="004848E1"/>
    <w:rsid w:val="00485926"/>
    <w:rsid w:val="00486B39"/>
    <w:rsid w:val="00487F80"/>
    <w:rsid w:val="004905D3"/>
    <w:rsid w:val="0049195E"/>
    <w:rsid w:val="00492121"/>
    <w:rsid w:val="00492372"/>
    <w:rsid w:val="00493285"/>
    <w:rsid w:val="00494966"/>
    <w:rsid w:val="00495247"/>
    <w:rsid w:val="00495C33"/>
    <w:rsid w:val="00496390"/>
    <w:rsid w:val="0049645C"/>
    <w:rsid w:val="00496796"/>
    <w:rsid w:val="004A01FE"/>
    <w:rsid w:val="004A0922"/>
    <w:rsid w:val="004A178E"/>
    <w:rsid w:val="004A1BA8"/>
    <w:rsid w:val="004A2546"/>
    <w:rsid w:val="004A25D2"/>
    <w:rsid w:val="004A28DB"/>
    <w:rsid w:val="004A30F8"/>
    <w:rsid w:val="004A4596"/>
    <w:rsid w:val="004A4A4F"/>
    <w:rsid w:val="004A536C"/>
    <w:rsid w:val="004A5454"/>
    <w:rsid w:val="004A643B"/>
    <w:rsid w:val="004A7773"/>
    <w:rsid w:val="004B13D4"/>
    <w:rsid w:val="004B219F"/>
    <w:rsid w:val="004B2B94"/>
    <w:rsid w:val="004B3545"/>
    <w:rsid w:val="004B4D3E"/>
    <w:rsid w:val="004B65CA"/>
    <w:rsid w:val="004B6D96"/>
    <w:rsid w:val="004B6DCB"/>
    <w:rsid w:val="004C00B7"/>
    <w:rsid w:val="004C00FE"/>
    <w:rsid w:val="004C1787"/>
    <w:rsid w:val="004C1D08"/>
    <w:rsid w:val="004C1E67"/>
    <w:rsid w:val="004C398F"/>
    <w:rsid w:val="004C3C2F"/>
    <w:rsid w:val="004C71D3"/>
    <w:rsid w:val="004D04DE"/>
    <w:rsid w:val="004D139B"/>
    <w:rsid w:val="004D1991"/>
    <w:rsid w:val="004D1B4D"/>
    <w:rsid w:val="004D256B"/>
    <w:rsid w:val="004D3212"/>
    <w:rsid w:val="004D4FF4"/>
    <w:rsid w:val="004D506C"/>
    <w:rsid w:val="004D53B9"/>
    <w:rsid w:val="004D58F2"/>
    <w:rsid w:val="004D5B6C"/>
    <w:rsid w:val="004D69B0"/>
    <w:rsid w:val="004E13CA"/>
    <w:rsid w:val="004E15E4"/>
    <w:rsid w:val="004E27B6"/>
    <w:rsid w:val="004E32CC"/>
    <w:rsid w:val="004E3DF8"/>
    <w:rsid w:val="004E4670"/>
    <w:rsid w:val="004E4789"/>
    <w:rsid w:val="004E56F1"/>
    <w:rsid w:val="004E7CE5"/>
    <w:rsid w:val="004F02C3"/>
    <w:rsid w:val="004F0943"/>
    <w:rsid w:val="004F1072"/>
    <w:rsid w:val="004F36FB"/>
    <w:rsid w:val="004F3E09"/>
    <w:rsid w:val="004F4EA3"/>
    <w:rsid w:val="004F55C4"/>
    <w:rsid w:val="004F57A9"/>
    <w:rsid w:val="004F7E31"/>
    <w:rsid w:val="005000CF"/>
    <w:rsid w:val="005006F5"/>
    <w:rsid w:val="00503783"/>
    <w:rsid w:val="005048CC"/>
    <w:rsid w:val="005068FC"/>
    <w:rsid w:val="00506C3B"/>
    <w:rsid w:val="00507736"/>
    <w:rsid w:val="0051014A"/>
    <w:rsid w:val="00512BBE"/>
    <w:rsid w:val="00515A1A"/>
    <w:rsid w:val="00520211"/>
    <w:rsid w:val="005212CA"/>
    <w:rsid w:val="005212F1"/>
    <w:rsid w:val="0052140C"/>
    <w:rsid w:val="00521878"/>
    <w:rsid w:val="00523E47"/>
    <w:rsid w:val="005256FC"/>
    <w:rsid w:val="00525763"/>
    <w:rsid w:val="00530600"/>
    <w:rsid w:val="00530DA2"/>
    <w:rsid w:val="00532D9F"/>
    <w:rsid w:val="00534674"/>
    <w:rsid w:val="005349BF"/>
    <w:rsid w:val="005362B1"/>
    <w:rsid w:val="00536D88"/>
    <w:rsid w:val="00537DCE"/>
    <w:rsid w:val="0054012C"/>
    <w:rsid w:val="00542511"/>
    <w:rsid w:val="00542A59"/>
    <w:rsid w:val="005457B2"/>
    <w:rsid w:val="005457F8"/>
    <w:rsid w:val="00545BDC"/>
    <w:rsid w:val="00545D93"/>
    <w:rsid w:val="0054608B"/>
    <w:rsid w:val="005464F8"/>
    <w:rsid w:val="00547C15"/>
    <w:rsid w:val="0055134E"/>
    <w:rsid w:val="00551B6E"/>
    <w:rsid w:val="00551E5B"/>
    <w:rsid w:val="0055232F"/>
    <w:rsid w:val="005524F6"/>
    <w:rsid w:val="0055307A"/>
    <w:rsid w:val="00553A29"/>
    <w:rsid w:val="00553C0D"/>
    <w:rsid w:val="00554A12"/>
    <w:rsid w:val="00555BA3"/>
    <w:rsid w:val="00555E0C"/>
    <w:rsid w:val="005573E6"/>
    <w:rsid w:val="00560715"/>
    <w:rsid w:val="00561C13"/>
    <w:rsid w:val="00562B82"/>
    <w:rsid w:val="00562E14"/>
    <w:rsid w:val="005641F1"/>
    <w:rsid w:val="005643BA"/>
    <w:rsid w:val="00564859"/>
    <w:rsid w:val="00564A5C"/>
    <w:rsid w:val="00564D73"/>
    <w:rsid w:val="0056660E"/>
    <w:rsid w:val="005670CE"/>
    <w:rsid w:val="005672BA"/>
    <w:rsid w:val="00570775"/>
    <w:rsid w:val="00570A81"/>
    <w:rsid w:val="0057153D"/>
    <w:rsid w:val="00571DF2"/>
    <w:rsid w:val="00571E43"/>
    <w:rsid w:val="0057398B"/>
    <w:rsid w:val="00574348"/>
    <w:rsid w:val="00574422"/>
    <w:rsid w:val="00574DE8"/>
    <w:rsid w:val="00576A8F"/>
    <w:rsid w:val="005802D6"/>
    <w:rsid w:val="0058043C"/>
    <w:rsid w:val="005805BF"/>
    <w:rsid w:val="00583319"/>
    <w:rsid w:val="005847A4"/>
    <w:rsid w:val="00584E98"/>
    <w:rsid w:val="0058506D"/>
    <w:rsid w:val="00585196"/>
    <w:rsid w:val="005859B4"/>
    <w:rsid w:val="005863E1"/>
    <w:rsid w:val="005866AA"/>
    <w:rsid w:val="0058775D"/>
    <w:rsid w:val="005905B0"/>
    <w:rsid w:val="00591284"/>
    <w:rsid w:val="00591645"/>
    <w:rsid w:val="005934AB"/>
    <w:rsid w:val="0059353B"/>
    <w:rsid w:val="00593807"/>
    <w:rsid w:val="005963F7"/>
    <w:rsid w:val="005A04B7"/>
    <w:rsid w:val="005A06AB"/>
    <w:rsid w:val="005A1396"/>
    <w:rsid w:val="005A1B45"/>
    <w:rsid w:val="005A358F"/>
    <w:rsid w:val="005A3672"/>
    <w:rsid w:val="005A484B"/>
    <w:rsid w:val="005A5B91"/>
    <w:rsid w:val="005A66FC"/>
    <w:rsid w:val="005A7E3D"/>
    <w:rsid w:val="005B048B"/>
    <w:rsid w:val="005B0A82"/>
    <w:rsid w:val="005B0EDB"/>
    <w:rsid w:val="005B130C"/>
    <w:rsid w:val="005B1366"/>
    <w:rsid w:val="005B194A"/>
    <w:rsid w:val="005B1C91"/>
    <w:rsid w:val="005B297C"/>
    <w:rsid w:val="005B34C0"/>
    <w:rsid w:val="005B4120"/>
    <w:rsid w:val="005B4928"/>
    <w:rsid w:val="005B4A03"/>
    <w:rsid w:val="005B5C10"/>
    <w:rsid w:val="005C0577"/>
    <w:rsid w:val="005C083C"/>
    <w:rsid w:val="005C195C"/>
    <w:rsid w:val="005C19F4"/>
    <w:rsid w:val="005C1E5F"/>
    <w:rsid w:val="005C247E"/>
    <w:rsid w:val="005C263A"/>
    <w:rsid w:val="005C3324"/>
    <w:rsid w:val="005C346E"/>
    <w:rsid w:val="005C4135"/>
    <w:rsid w:val="005C4AE2"/>
    <w:rsid w:val="005C5F0F"/>
    <w:rsid w:val="005C6433"/>
    <w:rsid w:val="005C709E"/>
    <w:rsid w:val="005C72AE"/>
    <w:rsid w:val="005D0845"/>
    <w:rsid w:val="005D239A"/>
    <w:rsid w:val="005D2AB6"/>
    <w:rsid w:val="005D3965"/>
    <w:rsid w:val="005D3C45"/>
    <w:rsid w:val="005D4AE8"/>
    <w:rsid w:val="005D5188"/>
    <w:rsid w:val="005D567F"/>
    <w:rsid w:val="005D5A21"/>
    <w:rsid w:val="005D5D47"/>
    <w:rsid w:val="005D5F17"/>
    <w:rsid w:val="005E2541"/>
    <w:rsid w:val="005E2B44"/>
    <w:rsid w:val="005E3CEC"/>
    <w:rsid w:val="005E5EDF"/>
    <w:rsid w:val="005E6B5D"/>
    <w:rsid w:val="005E7541"/>
    <w:rsid w:val="005F1942"/>
    <w:rsid w:val="005F213D"/>
    <w:rsid w:val="005F30DB"/>
    <w:rsid w:val="005F345D"/>
    <w:rsid w:val="005F3F49"/>
    <w:rsid w:val="005F436D"/>
    <w:rsid w:val="005F45AA"/>
    <w:rsid w:val="005F5269"/>
    <w:rsid w:val="005F7D31"/>
    <w:rsid w:val="0060039C"/>
    <w:rsid w:val="00601B3D"/>
    <w:rsid w:val="00602696"/>
    <w:rsid w:val="00602C6F"/>
    <w:rsid w:val="00603856"/>
    <w:rsid w:val="00604A3C"/>
    <w:rsid w:val="00604EEC"/>
    <w:rsid w:val="00605924"/>
    <w:rsid w:val="006059A6"/>
    <w:rsid w:val="006067E4"/>
    <w:rsid w:val="006079AE"/>
    <w:rsid w:val="00610CFA"/>
    <w:rsid w:val="006112E6"/>
    <w:rsid w:val="0061147E"/>
    <w:rsid w:val="00613C9A"/>
    <w:rsid w:val="00614340"/>
    <w:rsid w:val="00615A43"/>
    <w:rsid w:val="006165BF"/>
    <w:rsid w:val="00616AE9"/>
    <w:rsid w:val="00616C24"/>
    <w:rsid w:val="00617B8E"/>
    <w:rsid w:val="00623D3B"/>
    <w:rsid w:val="006245E9"/>
    <w:rsid w:val="00625544"/>
    <w:rsid w:val="006255E8"/>
    <w:rsid w:val="006270AB"/>
    <w:rsid w:val="006277FA"/>
    <w:rsid w:val="00630AAB"/>
    <w:rsid w:val="00630BA2"/>
    <w:rsid w:val="0063159E"/>
    <w:rsid w:val="00631F12"/>
    <w:rsid w:val="00632AC4"/>
    <w:rsid w:val="006333E6"/>
    <w:rsid w:val="00635669"/>
    <w:rsid w:val="006357A3"/>
    <w:rsid w:val="00635B12"/>
    <w:rsid w:val="006408F7"/>
    <w:rsid w:val="00642071"/>
    <w:rsid w:val="00642566"/>
    <w:rsid w:val="00643E3A"/>
    <w:rsid w:val="00644EC3"/>
    <w:rsid w:val="00645C76"/>
    <w:rsid w:val="00646988"/>
    <w:rsid w:val="0064704F"/>
    <w:rsid w:val="006502BB"/>
    <w:rsid w:val="00650891"/>
    <w:rsid w:val="00650B01"/>
    <w:rsid w:val="00651711"/>
    <w:rsid w:val="00652879"/>
    <w:rsid w:val="00652DF4"/>
    <w:rsid w:val="00653D27"/>
    <w:rsid w:val="006568C4"/>
    <w:rsid w:val="00656CA9"/>
    <w:rsid w:val="00656DB7"/>
    <w:rsid w:val="00660231"/>
    <w:rsid w:val="00660420"/>
    <w:rsid w:val="00660624"/>
    <w:rsid w:val="00660B23"/>
    <w:rsid w:val="00660C95"/>
    <w:rsid w:val="0066175C"/>
    <w:rsid w:val="00662D92"/>
    <w:rsid w:val="006634C6"/>
    <w:rsid w:val="00663786"/>
    <w:rsid w:val="00664A8D"/>
    <w:rsid w:val="00664BE8"/>
    <w:rsid w:val="006654C0"/>
    <w:rsid w:val="00666DBC"/>
    <w:rsid w:val="0066775A"/>
    <w:rsid w:val="00667A10"/>
    <w:rsid w:val="006705CD"/>
    <w:rsid w:val="00670A2C"/>
    <w:rsid w:val="00671628"/>
    <w:rsid w:val="00672197"/>
    <w:rsid w:val="006725D6"/>
    <w:rsid w:val="00672F59"/>
    <w:rsid w:val="00673757"/>
    <w:rsid w:val="006747B9"/>
    <w:rsid w:val="00675AAE"/>
    <w:rsid w:val="0067713A"/>
    <w:rsid w:val="00677773"/>
    <w:rsid w:val="00681004"/>
    <w:rsid w:val="00681398"/>
    <w:rsid w:val="006814BE"/>
    <w:rsid w:val="0068279B"/>
    <w:rsid w:val="00682892"/>
    <w:rsid w:val="00683200"/>
    <w:rsid w:val="00684E87"/>
    <w:rsid w:val="006856D7"/>
    <w:rsid w:val="00685D2E"/>
    <w:rsid w:val="00686BB9"/>
    <w:rsid w:val="006875B7"/>
    <w:rsid w:val="00687F2A"/>
    <w:rsid w:val="006906DE"/>
    <w:rsid w:val="00690A22"/>
    <w:rsid w:val="00690B9E"/>
    <w:rsid w:val="00691511"/>
    <w:rsid w:val="006921B3"/>
    <w:rsid w:val="0069229A"/>
    <w:rsid w:val="0069330C"/>
    <w:rsid w:val="006935A3"/>
    <w:rsid w:val="00694151"/>
    <w:rsid w:val="00694579"/>
    <w:rsid w:val="006947A7"/>
    <w:rsid w:val="00695265"/>
    <w:rsid w:val="006954DB"/>
    <w:rsid w:val="0069631C"/>
    <w:rsid w:val="006A1134"/>
    <w:rsid w:val="006A1E0F"/>
    <w:rsid w:val="006A2D97"/>
    <w:rsid w:val="006A2FE0"/>
    <w:rsid w:val="006A3005"/>
    <w:rsid w:val="006A335B"/>
    <w:rsid w:val="006A47BB"/>
    <w:rsid w:val="006A4B56"/>
    <w:rsid w:val="006A538C"/>
    <w:rsid w:val="006A6D74"/>
    <w:rsid w:val="006B05EE"/>
    <w:rsid w:val="006B0C37"/>
    <w:rsid w:val="006B291E"/>
    <w:rsid w:val="006B3041"/>
    <w:rsid w:val="006B3206"/>
    <w:rsid w:val="006B42D0"/>
    <w:rsid w:val="006B5267"/>
    <w:rsid w:val="006B5C0B"/>
    <w:rsid w:val="006B611C"/>
    <w:rsid w:val="006B75F6"/>
    <w:rsid w:val="006C00F4"/>
    <w:rsid w:val="006C02DA"/>
    <w:rsid w:val="006C0BEE"/>
    <w:rsid w:val="006C1AD4"/>
    <w:rsid w:val="006C1B6D"/>
    <w:rsid w:val="006C2641"/>
    <w:rsid w:val="006C3625"/>
    <w:rsid w:val="006C369E"/>
    <w:rsid w:val="006C5660"/>
    <w:rsid w:val="006C5B25"/>
    <w:rsid w:val="006C7C15"/>
    <w:rsid w:val="006D0218"/>
    <w:rsid w:val="006D0999"/>
    <w:rsid w:val="006D35D2"/>
    <w:rsid w:val="006D44B6"/>
    <w:rsid w:val="006D47E5"/>
    <w:rsid w:val="006D5342"/>
    <w:rsid w:val="006D5CBF"/>
    <w:rsid w:val="006D65A1"/>
    <w:rsid w:val="006D6C69"/>
    <w:rsid w:val="006E0926"/>
    <w:rsid w:val="006E13FD"/>
    <w:rsid w:val="006E1ABE"/>
    <w:rsid w:val="006E2C9B"/>
    <w:rsid w:val="006E366A"/>
    <w:rsid w:val="006E4294"/>
    <w:rsid w:val="006E44BB"/>
    <w:rsid w:val="006E4ACC"/>
    <w:rsid w:val="006E51B7"/>
    <w:rsid w:val="006E55E2"/>
    <w:rsid w:val="006E5C31"/>
    <w:rsid w:val="006E6592"/>
    <w:rsid w:val="006E754F"/>
    <w:rsid w:val="006E7DE1"/>
    <w:rsid w:val="006F1A52"/>
    <w:rsid w:val="006F3317"/>
    <w:rsid w:val="006F3B66"/>
    <w:rsid w:val="006F3D40"/>
    <w:rsid w:val="006F4668"/>
    <w:rsid w:val="006F5027"/>
    <w:rsid w:val="006F5C91"/>
    <w:rsid w:val="006F72B5"/>
    <w:rsid w:val="006F7BBA"/>
    <w:rsid w:val="007006E5"/>
    <w:rsid w:val="0070246B"/>
    <w:rsid w:val="00702938"/>
    <w:rsid w:val="00703071"/>
    <w:rsid w:val="00703B95"/>
    <w:rsid w:val="00703DE7"/>
    <w:rsid w:val="00704A12"/>
    <w:rsid w:val="00704BB3"/>
    <w:rsid w:val="00704F5D"/>
    <w:rsid w:val="00706E58"/>
    <w:rsid w:val="007071EC"/>
    <w:rsid w:val="00707941"/>
    <w:rsid w:val="00707A86"/>
    <w:rsid w:val="00707B9B"/>
    <w:rsid w:val="00710576"/>
    <w:rsid w:val="00710B2F"/>
    <w:rsid w:val="0071157D"/>
    <w:rsid w:val="00712B02"/>
    <w:rsid w:val="00714218"/>
    <w:rsid w:val="007167D8"/>
    <w:rsid w:val="0071707F"/>
    <w:rsid w:val="00717855"/>
    <w:rsid w:val="00720C49"/>
    <w:rsid w:val="0072114A"/>
    <w:rsid w:val="00723FEB"/>
    <w:rsid w:val="0072409C"/>
    <w:rsid w:val="00724FBB"/>
    <w:rsid w:val="00725514"/>
    <w:rsid w:val="00725867"/>
    <w:rsid w:val="00726648"/>
    <w:rsid w:val="00730AEA"/>
    <w:rsid w:val="007341CA"/>
    <w:rsid w:val="0073421C"/>
    <w:rsid w:val="007347C6"/>
    <w:rsid w:val="00734D12"/>
    <w:rsid w:val="00734FC3"/>
    <w:rsid w:val="00736696"/>
    <w:rsid w:val="00745EE5"/>
    <w:rsid w:val="0074630E"/>
    <w:rsid w:val="00746AF4"/>
    <w:rsid w:val="00746D59"/>
    <w:rsid w:val="007471CA"/>
    <w:rsid w:val="007473BE"/>
    <w:rsid w:val="007476B5"/>
    <w:rsid w:val="007477FA"/>
    <w:rsid w:val="00747990"/>
    <w:rsid w:val="00747BBA"/>
    <w:rsid w:val="007502FA"/>
    <w:rsid w:val="007516FB"/>
    <w:rsid w:val="00751BEE"/>
    <w:rsid w:val="00751F42"/>
    <w:rsid w:val="007536FD"/>
    <w:rsid w:val="00755D30"/>
    <w:rsid w:val="0075634B"/>
    <w:rsid w:val="0075696F"/>
    <w:rsid w:val="00756BF9"/>
    <w:rsid w:val="00756DBE"/>
    <w:rsid w:val="00760B11"/>
    <w:rsid w:val="00760D09"/>
    <w:rsid w:val="007610FD"/>
    <w:rsid w:val="00761C3A"/>
    <w:rsid w:val="00763E31"/>
    <w:rsid w:val="00763FB0"/>
    <w:rsid w:val="007650DB"/>
    <w:rsid w:val="00765528"/>
    <w:rsid w:val="00765653"/>
    <w:rsid w:val="0076665E"/>
    <w:rsid w:val="00766D11"/>
    <w:rsid w:val="007670F8"/>
    <w:rsid w:val="00767176"/>
    <w:rsid w:val="0077050B"/>
    <w:rsid w:val="007711A6"/>
    <w:rsid w:val="00773B74"/>
    <w:rsid w:val="0077651E"/>
    <w:rsid w:val="00777362"/>
    <w:rsid w:val="00777F2B"/>
    <w:rsid w:val="00780868"/>
    <w:rsid w:val="007818A2"/>
    <w:rsid w:val="007822AD"/>
    <w:rsid w:val="00782A69"/>
    <w:rsid w:val="00782BB8"/>
    <w:rsid w:val="00782F08"/>
    <w:rsid w:val="00783CAC"/>
    <w:rsid w:val="007841BA"/>
    <w:rsid w:val="00784D7C"/>
    <w:rsid w:val="00786803"/>
    <w:rsid w:val="00786D1B"/>
    <w:rsid w:val="00786D24"/>
    <w:rsid w:val="00790271"/>
    <w:rsid w:val="00790CAD"/>
    <w:rsid w:val="00790FAF"/>
    <w:rsid w:val="00791078"/>
    <w:rsid w:val="00791496"/>
    <w:rsid w:val="007918FF"/>
    <w:rsid w:val="00792393"/>
    <w:rsid w:val="00794D49"/>
    <w:rsid w:val="007976E5"/>
    <w:rsid w:val="007A007E"/>
    <w:rsid w:val="007A281A"/>
    <w:rsid w:val="007A2E3B"/>
    <w:rsid w:val="007A3F4C"/>
    <w:rsid w:val="007A700E"/>
    <w:rsid w:val="007B0480"/>
    <w:rsid w:val="007B0BD9"/>
    <w:rsid w:val="007B1DE5"/>
    <w:rsid w:val="007B43CA"/>
    <w:rsid w:val="007B45CE"/>
    <w:rsid w:val="007B49D5"/>
    <w:rsid w:val="007B54A9"/>
    <w:rsid w:val="007B616B"/>
    <w:rsid w:val="007B61B6"/>
    <w:rsid w:val="007B6FD1"/>
    <w:rsid w:val="007C04A2"/>
    <w:rsid w:val="007C0F63"/>
    <w:rsid w:val="007C148A"/>
    <w:rsid w:val="007C1A5A"/>
    <w:rsid w:val="007C1CA8"/>
    <w:rsid w:val="007C214A"/>
    <w:rsid w:val="007C2253"/>
    <w:rsid w:val="007C51C5"/>
    <w:rsid w:val="007C68A1"/>
    <w:rsid w:val="007C6A62"/>
    <w:rsid w:val="007D03DE"/>
    <w:rsid w:val="007D05BC"/>
    <w:rsid w:val="007D0A59"/>
    <w:rsid w:val="007D125F"/>
    <w:rsid w:val="007D1993"/>
    <w:rsid w:val="007D1CAF"/>
    <w:rsid w:val="007D3898"/>
    <w:rsid w:val="007D3CBF"/>
    <w:rsid w:val="007D4911"/>
    <w:rsid w:val="007D567A"/>
    <w:rsid w:val="007D578F"/>
    <w:rsid w:val="007D67CA"/>
    <w:rsid w:val="007D7005"/>
    <w:rsid w:val="007E24CE"/>
    <w:rsid w:val="007E2783"/>
    <w:rsid w:val="007E2869"/>
    <w:rsid w:val="007E2977"/>
    <w:rsid w:val="007E2BFD"/>
    <w:rsid w:val="007E3C23"/>
    <w:rsid w:val="007E3F06"/>
    <w:rsid w:val="007E3F34"/>
    <w:rsid w:val="007E47D4"/>
    <w:rsid w:val="007E4FDF"/>
    <w:rsid w:val="007E51BE"/>
    <w:rsid w:val="007E5AD3"/>
    <w:rsid w:val="007E5E30"/>
    <w:rsid w:val="007E6197"/>
    <w:rsid w:val="007E63FE"/>
    <w:rsid w:val="007E6452"/>
    <w:rsid w:val="007E6D12"/>
    <w:rsid w:val="007E7506"/>
    <w:rsid w:val="007F0561"/>
    <w:rsid w:val="007F0DD2"/>
    <w:rsid w:val="007F1710"/>
    <w:rsid w:val="007F1CC9"/>
    <w:rsid w:val="007F398B"/>
    <w:rsid w:val="007F4417"/>
    <w:rsid w:val="007F46C9"/>
    <w:rsid w:val="007F536D"/>
    <w:rsid w:val="007F540B"/>
    <w:rsid w:val="007F5D4C"/>
    <w:rsid w:val="007F6CC3"/>
    <w:rsid w:val="007F75B2"/>
    <w:rsid w:val="007F76D6"/>
    <w:rsid w:val="00800A70"/>
    <w:rsid w:val="00800BC2"/>
    <w:rsid w:val="00801D70"/>
    <w:rsid w:val="0080471C"/>
    <w:rsid w:val="00804857"/>
    <w:rsid w:val="00806FF5"/>
    <w:rsid w:val="00810CB2"/>
    <w:rsid w:val="008110DC"/>
    <w:rsid w:val="00812280"/>
    <w:rsid w:val="00812478"/>
    <w:rsid w:val="00812FC3"/>
    <w:rsid w:val="008131EB"/>
    <w:rsid w:val="0081566F"/>
    <w:rsid w:val="0081618E"/>
    <w:rsid w:val="008161C1"/>
    <w:rsid w:val="00817044"/>
    <w:rsid w:val="00817379"/>
    <w:rsid w:val="0081769B"/>
    <w:rsid w:val="008204A5"/>
    <w:rsid w:val="00821B74"/>
    <w:rsid w:val="00822061"/>
    <w:rsid w:val="00822715"/>
    <w:rsid w:val="00823825"/>
    <w:rsid w:val="00824DF7"/>
    <w:rsid w:val="008250E3"/>
    <w:rsid w:val="008259B8"/>
    <w:rsid w:val="00825C30"/>
    <w:rsid w:val="0082620E"/>
    <w:rsid w:val="0082675E"/>
    <w:rsid w:val="0082764E"/>
    <w:rsid w:val="00830078"/>
    <w:rsid w:val="00830793"/>
    <w:rsid w:val="0083118A"/>
    <w:rsid w:val="00832DD0"/>
    <w:rsid w:val="00833013"/>
    <w:rsid w:val="00835192"/>
    <w:rsid w:val="008366DF"/>
    <w:rsid w:val="00837911"/>
    <w:rsid w:val="00837C0F"/>
    <w:rsid w:val="00840EAE"/>
    <w:rsid w:val="00842456"/>
    <w:rsid w:val="00843DCC"/>
    <w:rsid w:val="00844375"/>
    <w:rsid w:val="0084497F"/>
    <w:rsid w:val="00846811"/>
    <w:rsid w:val="00846941"/>
    <w:rsid w:val="00846945"/>
    <w:rsid w:val="008473A8"/>
    <w:rsid w:val="00847618"/>
    <w:rsid w:val="00847640"/>
    <w:rsid w:val="00850160"/>
    <w:rsid w:val="00850353"/>
    <w:rsid w:val="00850741"/>
    <w:rsid w:val="008511C7"/>
    <w:rsid w:val="008511D0"/>
    <w:rsid w:val="00851C49"/>
    <w:rsid w:val="0085249E"/>
    <w:rsid w:val="008552D4"/>
    <w:rsid w:val="00856618"/>
    <w:rsid w:val="008568F0"/>
    <w:rsid w:val="00856974"/>
    <w:rsid w:val="00856DC2"/>
    <w:rsid w:val="00860454"/>
    <w:rsid w:val="00861AAA"/>
    <w:rsid w:val="00861C6B"/>
    <w:rsid w:val="00862C9A"/>
    <w:rsid w:val="00863D0F"/>
    <w:rsid w:val="008651FA"/>
    <w:rsid w:val="00866828"/>
    <w:rsid w:val="008701B4"/>
    <w:rsid w:val="00871504"/>
    <w:rsid w:val="00874C21"/>
    <w:rsid w:val="00874D2E"/>
    <w:rsid w:val="00874D6B"/>
    <w:rsid w:val="00874E62"/>
    <w:rsid w:val="00875089"/>
    <w:rsid w:val="00877149"/>
    <w:rsid w:val="00880A82"/>
    <w:rsid w:val="00880E2B"/>
    <w:rsid w:val="00880EB1"/>
    <w:rsid w:val="008818FE"/>
    <w:rsid w:val="00881A7F"/>
    <w:rsid w:val="00884194"/>
    <w:rsid w:val="00885C8E"/>
    <w:rsid w:val="00887340"/>
    <w:rsid w:val="00891048"/>
    <w:rsid w:val="0089193D"/>
    <w:rsid w:val="008926E2"/>
    <w:rsid w:val="00892931"/>
    <w:rsid w:val="00893C71"/>
    <w:rsid w:val="00893CBA"/>
    <w:rsid w:val="00893E0D"/>
    <w:rsid w:val="00894767"/>
    <w:rsid w:val="00897545"/>
    <w:rsid w:val="00897A6F"/>
    <w:rsid w:val="008A0AF4"/>
    <w:rsid w:val="008A0F1E"/>
    <w:rsid w:val="008A1519"/>
    <w:rsid w:val="008A18F5"/>
    <w:rsid w:val="008A1DC0"/>
    <w:rsid w:val="008A4E7D"/>
    <w:rsid w:val="008A585D"/>
    <w:rsid w:val="008A5E23"/>
    <w:rsid w:val="008A6BE1"/>
    <w:rsid w:val="008B0389"/>
    <w:rsid w:val="008B0849"/>
    <w:rsid w:val="008B13C6"/>
    <w:rsid w:val="008B25E2"/>
    <w:rsid w:val="008B3BA8"/>
    <w:rsid w:val="008B467E"/>
    <w:rsid w:val="008B4A16"/>
    <w:rsid w:val="008B6E46"/>
    <w:rsid w:val="008B7DB9"/>
    <w:rsid w:val="008C0C27"/>
    <w:rsid w:val="008C1C02"/>
    <w:rsid w:val="008C23E2"/>
    <w:rsid w:val="008C3316"/>
    <w:rsid w:val="008C371C"/>
    <w:rsid w:val="008C3F79"/>
    <w:rsid w:val="008C5BBB"/>
    <w:rsid w:val="008C5E2E"/>
    <w:rsid w:val="008C690A"/>
    <w:rsid w:val="008C6B34"/>
    <w:rsid w:val="008C7218"/>
    <w:rsid w:val="008D3295"/>
    <w:rsid w:val="008D3B4D"/>
    <w:rsid w:val="008D3CEB"/>
    <w:rsid w:val="008D50A6"/>
    <w:rsid w:val="008E115A"/>
    <w:rsid w:val="008E1CD2"/>
    <w:rsid w:val="008E329C"/>
    <w:rsid w:val="008E3D2C"/>
    <w:rsid w:val="008E4C55"/>
    <w:rsid w:val="008E576C"/>
    <w:rsid w:val="008E6693"/>
    <w:rsid w:val="008E6797"/>
    <w:rsid w:val="008E69D2"/>
    <w:rsid w:val="008E6B5B"/>
    <w:rsid w:val="008E6C18"/>
    <w:rsid w:val="008E7282"/>
    <w:rsid w:val="008E7E86"/>
    <w:rsid w:val="008F0420"/>
    <w:rsid w:val="008F2853"/>
    <w:rsid w:val="008F3B48"/>
    <w:rsid w:val="008F3E35"/>
    <w:rsid w:val="008F4FE8"/>
    <w:rsid w:val="008F578B"/>
    <w:rsid w:val="008F729F"/>
    <w:rsid w:val="008F7999"/>
    <w:rsid w:val="0090191C"/>
    <w:rsid w:val="0090207A"/>
    <w:rsid w:val="00903B74"/>
    <w:rsid w:val="00904AEC"/>
    <w:rsid w:val="009050B0"/>
    <w:rsid w:val="009051C1"/>
    <w:rsid w:val="00905318"/>
    <w:rsid w:val="00910826"/>
    <w:rsid w:val="009111D0"/>
    <w:rsid w:val="00912D03"/>
    <w:rsid w:val="00912EB6"/>
    <w:rsid w:val="00913A25"/>
    <w:rsid w:val="00914B84"/>
    <w:rsid w:val="00915F5D"/>
    <w:rsid w:val="00917868"/>
    <w:rsid w:val="00917D41"/>
    <w:rsid w:val="00921544"/>
    <w:rsid w:val="00924D09"/>
    <w:rsid w:val="0092618F"/>
    <w:rsid w:val="00927036"/>
    <w:rsid w:val="0092718B"/>
    <w:rsid w:val="0093002F"/>
    <w:rsid w:val="009321C2"/>
    <w:rsid w:val="00932D7E"/>
    <w:rsid w:val="00933077"/>
    <w:rsid w:val="009343D0"/>
    <w:rsid w:val="009348EB"/>
    <w:rsid w:val="00935C8B"/>
    <w:rsid w:val="009367FE"/>
    <w:rsid w:val="0093753E"/>
    <w:rsid w:val="00940F49"/>
    <w:rsid w:val="00941C34"/>
    <w:rsid w:val="00942304"/>
    <w:rsid w:val="0094368D"/>
    <w:rsid w:val="009436B2"/>
    <w:rsid w:val="0094426A"/>
    <w:rsid w:val="009449D6"/>
    <w:rsid w:val="00945F30"/>
    <w:rsid w:val="00946E2C"/>
    <w:rsid w:val="00947A57"/>
    <w:rsid w:val="00947AF0"/>
    <w:rsid w:val="00951606"/>
    <w:rsid w:val="00951FFF"/>
    <w:rsid w:val="0095272D"/>
    <w:rsid w:val="00952867"/>
    <w:rsid w:val="00954C77"/>
    <w:rsid w:val="009553A6"/>
    <w:rsid w:val="009565BE"/>
    <w:rsid w:val="0095693B"/>
    <w:rsid w:val="00956F23"/>
    <w:rsid w:val="009571C6"/>
    <w:rsid w:val="009575FF"/>
    <w:rsid w:val="00961685"/>
    <w:rsid w:val="00961B65"/>
    <w:rsid w:val="00961C0D"/>
    <w:rsid w:val="00962194"/>
    <w:rsid w:val="009626C1"/>
    <w:rsid w:val="00963599"/>
    <w:rsid w:val="00963879"/>
    <w:rsid w:val="00963CA6"/>
    <w:rsid w:val="009641D3"/>
    <w:rsid w:val="00964DB1"/>
    <w:rsid w:val="0096679F"/>
    <w:rsid w:val="00966821"/>
    <w:rsid w:val="009675E8"/>
    <w:rsid w:val="0097061E"/>
    <w:rsid w:val="00970D96"/>
    <w:rsid w:val="00971AF0"/>
    <w:rsid w:val="00971B2B"/>
    <w:rsid w:val="00971EF5"/>
    <w:rsid w:val="009736D2"/>
    <w:rsid w:val="009743BC"/>
    <w:rsid w:val="00974A61"/>
    <w:rsid w:val="0097581D"/>
    <w:rsid w:val="00975DE1"/>
    <w:rsid w:val="009809B1"/>
    <w:rsid w:val="00980EE8"/>
    <w:rsid w:val="00980F29"/>
    <w:rsid w:val="00981AF3"/>
    <w:rsid w:val="00983017"/>
    <w:rsid w:val="009843F5"/>
    <w:rsid w:val="00985FE2"/>
    <w:rsid w:val="00986146"/>
    <w:rsid w:val="00986A60"/>
    <w:rsid w:val="00986EB8"/>
    <w:rsid w:val="009873E7"/>
    <w:rsid w:val="0098776C"/>
    <w:rsid w:val="00987B65"/>
    <w:rsid w:val="00987FED"/>
    <w:rsid w:val="00990656"/>
    <w:rsid w:val="00992B71"/>
    <w:rsid w:val="00993D24"/>
    <w:rsid w:val="009950A4"/>
    <w:rsid w:val="00996FDE"/>
    <w:rsid w:val="009A24A8"/>
    <w:rsid w:val="009A310E"/>
    <w:rsid w:val="009A3445"/>
    <w:rsid w:val="009A4B2C"/>
    <w:rsid w:val="009A50E0"/>
    <w:rsid w:val="009A5220"/>
    <w:rsid w:val="009A6612"/>
    <w:rsid w:val="009A668F"/>
    <w:rsid w:val="009A6BA3"/>
    <w:rsid w:val="009A7200"/>
    <w:rsid w:val="009A774F"/>
    <w:rsid w:val="009A7B42"/>
    <w:rsid w:val="009B08BB"/>
    <w:rsid w:val="009B0AB0"/>
    <w:rsid w:val="009B177C"/>
    <w:rsid w:val="009B1A81"/>
    <w:rsid w:val="009B1FB2"/>
    <w:rsid w:val="009B2507"/>
    <w:rsid w:val="009B4BEE"/>
    <w:rsid w:val="009B5A3C"/>
    <w:rsid w:val="009B5CA7"/>
    <w:rsid w:val="009B670A"/>
    <w:rsid w:val="009B670B"/>
    <w:rsid w:val="009B7A57"/>
    <w:rsid w:val="009B7C62"/>
    <w:rsid w:val="009C07BA"/>
    <w:rsid w:val="009C1433"/>
    <w:rsid w:val="009C1827"/>
    <w:rsid w:val="009C1CDB"/>
    <w:rsid w:val="009C23AB"/>
    <w:rsid w:val="009C2591"/>
    <w:rsid w:val="009C3214"/>
    <w:rsid w:val="009C5B48"/>
    <w:rsid w:val="009C6B1A"/>
    <w:rsid w:val="009D01D0"/>
    <w:rsid w:val="009D09E9"/>
    <w:rsid w:val="009D0B4F"/>
    <w:rsid w:val="009D0D0B"/>
    <w:rsid w:val="009D18D4"/>
    <w:rsid w:val="009D2405"/>
    <w:rsid w:val="009D26C9"/>
    <w:rsid w:val="009D4A8F"/>
    <w:rsid w:val="009D576F"/>
    <w:rsid w:val="009D5B29"/>
    <w:rsid w:val="009D63EA"/>
    <w:rsid w:val="009D7160"/>
    <w:rsid w:val="009D7B4A"/>
    <w:rsid w:val="009E0460"/>
    <w:rsid w:val="009E184F"/>
    <w:rsid w:val="009E1C1B"/>
    <w:rsid w:val="009E25CE"/>
    <w:rsid w:val="009E3A96"/>
    <w:rsid w:val="009E641A"/>
    <w:rsid w:val="009E6BDA"/>
    <w:rsid w:val="009E6E93"/>
    <w:rsid w:val="009E706E"/>
    <w:rsid w:val="009F032E"/>
    <w:rsid w:val="009F0889"/>
    <w:rsid w:val="009F166C"/>
    <w:rsid w:val="009F183F"/>
    <w:rsid w:val="009F2371"/>
    <w:rsid w:val="009F3237"/>
    <w:rsid w:val="009F3417"/>
    <w:rsid w:val="009F49A9"/>
    <w:rsid w:val="009F4AA2"/>
    <w:rsid w:val="009F55D3"/>
    <w:rsid w:val="009F60FD"/>
    <w:rsid w:val="00A0145E"/>
    <w:rsid w:val="00A02C46"/>
    <w:rsid w:val="00A02EE6"/>
    <w:rsid w:val="00A0356E"/>
    <w:rsid w:val="00A050CB"/>
    <w:rsid w:val="00A0625F"/>
    <w:rsid w:val="00A06FCD"/>
    <w:rsid w:val="00A07299"/>
    <w:rsid w:val="00A1073C"/>
    <w:rsid w:val="00A10E9D"/>
    <w:rsid w:val="00A1190A"/>
    <w:rsid w:val="00A126B3"/>
    <w:rsid w:val="00A139BF"/>
    <w:rsid w:val="00A14455"/>
    <w:rsid w:val="00A145FC"/>
    <w:rsid w:val="00A1526C"/>
    <w:rsid w:val="00A179B0"/>
    <w:rsid w:val="00A17A91"/>
    <w:rsid w:val="00A2034C"/>
    <w:rsid w:val="00A21528"/>
    <w:rsid w:val="00A218B6"/>
    <w:rsid w:val="00A232CF"/>
    <w:rsid w:val="00A23783"/>
    <w:rsid w:val="00A23CA9"/>
    <w:rsid w:val="00A24B72"/>
    <w:rsid w:val="00A24C84"/>
    <w:rsid w:val="00A25808"/>
    <w:rsid w:val="00A26DB3"/>
    <w:rsid w:val="00A273C8"/>
    <w:rsid w:val="00A3016C"/>
    <w:rsid w:val="00A306A1"/>
    <w:rsid w:val="00A32525"/>
    <w:rsid w:val="00A32B15"/>
    <w:rsid w:val="00A341DF"/>
    <w:rsid w:val="00A3562D"/>
    <w:rsid w:val="00A37391"/>
    <w:rsid w:val="00A373C2"/>
    <w:rsid w:val="00A40096"/>
    <w:rsid w:val="00A40527"/>
    <w:rsid w:val="00A40645"/>
    <w:rsid w:val="00A40A9D"/>
    <w:rsid w:val="00A40B91"/>
    <w:rsid w:val="00A42E3B"/>
    <w:rsid w:val="00A43A16"/>
    <w:rsid w:val="00A453D0"/>
    <w:rsid w:val="00A51092"/>
    <w:rsid w:val="00A52152"/>
    <w:rsid w:val="00A5223E"/>
    <w:rsid w:val="00A53C7E"/>
    <w:rsid w:val="00A54836"/>
    <w:rsid w:val="00A54BD2"/>
    <w:rsid w:val="00A554BC"/>
    <w:rsid w:val="00A55A63"/>
    <w:rsid w:val="00A55E9F"/>
    <w:rsid w:val="00A57419"/>
    <w:rsid w:val="00A57F75"/>
    <w:rsid w:val="00A60201"/>
    <w:rsid w:val="00A614CE"/>
    <w:rsid w:val="00A62D38"/>
    <w:rsid w:val="00A6301B"/>
    <w:rsid w:val="00A641E7"/>
    <w:rsid w:val="00A6433C"/>
    <w:rsid w:val="00A64914"/>
    <w:rsid w:val="00A65520"/>
    <w:rsid w:val="00A65935"/>
    <w:rsid w:val="00A65A00"/>
    <w:rsid w:val="00A65B0E"/>
    <w:rsid w:val="00A6655F"/>
    <w:rsid w:val="00A66BE9"/>
    <w:rsid w:val="00A66C9E"/>
    <w:rsid w:val="00A67DB6"/>
    <w:rsid w:val="00A709B4"/>
    <w:rsid w:val="00A7121A"/>
    <w:rsid w:val="00A72A65"/>
    <w:rsid w:val="00A72C99"/>
    <w:rsid w:val="00A730A9"/>
    <w:rsid w:val="00A735BF"/>
    <w:rsid w:val="00A73772"/>
    <w:rsid w:val="00A7439D"/>
    <w:rsid w:val="00A75266"/>
    <w:rsid w:val="00A76FFD"/>
    <w:rsid w:val="00A8069E"/>
    <w:rsid w:val="00A80889"/>
    <w:rsid w:val="00A80A63"/>
    <w:rsid w:val="00A80BAF"/>
    <w:rsid w:val="00A81364"/>
    <w:rsid w:val="00A81492"/>
    <w:rsid w:val="00A81BB7"/>
    <w:rsid w:val="00A8339C"/>
    <w:rsid w:val="00A84053"/>
    <w:rsid w:val="00A86359"/>
    <w:rsid w:val="00A8747C"/>
    <w:rsid w:val="00A90A28"/>
    <w:rsid w:val="00A90B9A"/>
    <w:rsid w:val="00A912E8"/>
    <w:rsid w:val="00A918F7"/>
    <w:rsid w:val="00A92521"/>
    <w:rsid w:val="00A933E6"/>
    <w:rsid w:val="00A942AA"/>
    <w:rsid w:val="00A953BC"/>
    <w:rsid w:val="00A95956"/>
    <w:rsid w:val="00A95E2C"/>
    <w:rsid w:val="00A9635A"/>
    <w:rsid w:val="00AA1622"/>
    <w:rsid w:val="00AA1791"/>
    <w:rsid w:val="00AA1EED"/>
    <w:rsid w:val="00AA2391"/>
    <w:rsid w:val="00AA2579"/>
    <w:rsid w:val="00AA2935"/>
    <w:rsid w:val="00AA2D8E"/>
    <w:rsid w:val="00AA33B1"/>
    <w:rsid w:val="00AA3850"/>
    <w:rsid w:val="00AA3C01"/>
    <w:rsid w:val="00AA431B"/>
    <w:rsid w:val="00AA43EC"/>
    <w:rsid w:val="00AA47A4"/>
    <w:rsid w:val="00AA55EF"/>
    <w:rsid w:val="00AA7B46"/>
    <w:rsid w:val="00AB1295"/>
    <w:rsid w:val="00AB256B"/>
    <w:rsid w:val="00AB28B7"/>
    <w:rsid w:val="00AB3C06"/>
    <w:rsid w:val="00AB4D82"/>
    <w:rsid w:val="00AB5ED3"/>
    <w:rsid w:val="00AB6008"/>
    <w:rsid w:val="00AB6464"/>
    <w:rsid w:val="00AB6925"/>
    <w:rsid w:val="00AB6AFE"/>
    <w:rsid w:val="00AB6C42"/>
    <w:rsid w:val="00AB6E7A"/>
    <w:rsid w:val="00AB755D"/>
    <w:rsid w:val="00AC22C3"/>
    <w:rsid w:val="00AC365F"/>
    <w:rsid w:val="00AC4192"/>
    <w:rsid w:val="00AC4461"/>
    <w:rsid w:val="00AC4CE7"/>
    <w:rsid w:val="00AC5275"/>
    <w:rsid w:val="00AC5F00"/>
    <w:rsid w:val="00AC646E"/>
    <w:rsid w:val="00AC7D5B"/>
    <w:rsid w:val="00AD1B82"/>
    <w:rsid w:val="00AD284F"/>
    <w:rsid w:val="00AD2A62"/>
    <w:rsid w:val="00AD531A"/>
    <w:rsid w:val="00AD5D1D"/>
    <w:rsid w:val="00AD60EF"/>
    <w:rsid w:val="00AD635D"/>
    <w:rsid w:val="00AD7234"/>
    <w:rsid w:val="00AD7E07"/>
    <w:rsid w:val="00AE022A"/>
    <w:rsid w:val="00AE05B1"/>
    <w:rsid w:val="00AE0FC2"/>
    <w:rsid w:val="00AE123F"/>
    <w:rsid w:val="00AE1352"/>
    <w:rsid w:val="00AE1A59"/>
    <w:rsid w:val="00AE2591"/>
    <w:rsid w:val="00AE2711"/>
    <w:rsid w:val="00AE2CE7"/>
    <w:rsid w:val="00AE3C92"/>
    <w:rsid w:val="00AE3CE8"/>
    <w:rsid w:val="00AE3F72"/>
    <w:rsid w:val="00AE581D"/>
    <w:rsid w:val="00AE664C"/>
    <w:rsid w:val="00AE6C74"/>
    <w:rsid w:val="00AE73D9"/>
    <w:rsid w:val="00AE7561"/>
    <w:rsid w:val="00AF062B"/>
    <w:rsid w:val="00AF0E25"/>
    <w:rsid w:val="00AF10E3"/>
    <w:rsid w:val="00AF1138"/>
    <w:rsid w:val="00AF1B09"/>
    <w:rsid w:val="00AF1DF6"/>
    <w:rsid w:val="00AF2AFB"/>
    <w:rsid w:val="00AF2C13"/>
    <w:rsid w:val="00AF4B3F"/>
    <w:rsid w:val="00AF577B"/>
    <w:rsid w:val="00AF5822"/>
    <w:rsid w:val="00AF5DE3"/>
    <w:rsid w:val="00AF7509"/>
    <w:rsid w:val="00B02762"/>
    <w:rsid w:val="00B0371A"/>
    <w:rsid w:val="00B04F9E"/>
    <w:rsid w:val="00B0591F"/>
    <w:rsid w:val="00B059A8"/>
    <w:rsid w:val="00B05CD7"/>
    <w:rsid w:val="00B061C7"/>
    <w:rsid w:val="00B06279"/>
    <w:rsid w:val="00B068DE"/>
    <w:rsid w:val="00B06D95"/>
    <w:rsid w:val="00B06F67"/>
    <w:rsid w:val="00B073E3"/>
    <w:rsid w:val="00B101F7"/>
    <w:rsid w:val="00B10583"/>
    <w:rsid w:val="00B10CF1"/>
    <w:rsid w:val="00B11532"/>
    <w:rsid w:val="00B11E2F"/>
    <w:rsid w:val="00B12321"/>
    <w:rsid w:val="00B1274B"/>
    <w:rsid w:val="00B12AAB"/>
    <w:rsid w:val="00B14596"/>
    <w:rsid w:val="00B14BC2"/>
    <w:rsid w:val="00B1506C"/>
    <w:rsid w:val="00B15466"/>
    <w:rsid w:val="00B15637"/>
    <w:rsid w:val="00B157FE"/>
    <w:rsid w:val="00B16CA4"/>
    <w:rsid w:val="00B172BF"/>
    <w:rsid w:val="00B208FF"/>
    <w:rsid w:val="00B20AB3"/>
    <w:rsid w:val="00B20F81"/>
    <w:rsid w:val="00B223C6"/>
    <w:rsid w:val="00B2276F"/>
    <w:rsid w:val="00B22FBA"/>
    <w:rsid w:val="00B246E7"/>
    <w:rsid w:val="00B2746E"/>
    <w:rsid w:val="00B30C2A"/>
    <w:rsid w:val="00B30CCA"/>
    <w:rsid w:val="00B31303"/>
    <w:rsid w:val="00B31525"/>
    <w:rsid w:val="00B324F8"/>
    <w:rsid w:val="00B33654"/>
    <w:rsid w:val="00B34399"/>
    <w:rsid w:val="00B345DE"/>
    <w:rsid w:val="00B34714"/>
    <w:rsid w:val="00B350EB"/>
    <w:rsid w:val="00B35F41"/>
    <w:rsid w:val="00B37919"/>
    <w:rsid w:val="00B37A9B"/>
    <w:rsid w:val="00B41198"/>
    <w:rsid w:val="00B4204B"/>
    <w:rsid w:val="00B4244F"/>
    <w:rsid w:val="00B4388E"/>
    <w:rsid w:val="00B4418E"/>
    <w:rsid w:val="00B46122"/>
    <w:rsid w:val="00B47388"/>
    <w:rsid w:val="00B47AE1"/>
    <w:rsid w:val="00B50BC3"/>
    <w:rsid w:val="00B5165C"/>
    <w:rsid w:val="00B52EDA"/>
    <w:rsid w:val="00B5311B"/>
    <w:rsid w:val="00B53268"/>
    <w:rsid w:val="00B533DD"/>
    <w:rsid w:val="00B54613"/>
    <w:rsid w:val="00B564E5"/>
    <w:rsid w:val="00B56A7F"/>
    <w:rsid w:val="00B56C39"/>
    <w:rsid w:val="00B605C7"/>
    <w:rsid w:val="00B60883"/>
    <w:rsid w:val="00B60E15"/>
    <w:rsid w:val="00B61034"/>
    <w:rsid w:val="00B6168E"/>
    <w:rsid w:val="00B621CE"/>
    <w:rsid w:val="00B625B0"/>
    <w:rsid w:val="00B62F2A"/>
    <w:rsid w:val="00B6363A"/>
    <w:rsid w:val="00B63A80"/>
    <w:rsid w:val="00B64679"/>
    <w:rsid w:val="00B648A9"/>
    <w:rsid w:val="00B64B39"/>
    <w:rsid w:val="00B65565"/>
    <w:rsid w:val="00B6658A"/>
    <w:rsid w:val="00B66807"/>
    <w:rsid w:val="00B66C3B"/>
    <w:rsid w:val="00B71D84"/>
    <w:rsid w:val="00B73FA9"/>
    <w:rsid w:val="00B74238"/>
    <w:rsid w:val="00B74F21"/>
    <w:rsid w:val="00B76778"/>
    <w:rsid w:val="00B776D3"/>
    <w:rsid w:val="00B80931"/>
    <w:rsid w:val="00B82796"/>
    <w:rsid w:val="00B82E30"/>
    <w:rsid w:val="00B8300E"/>
    <w:rsid w:val="00B83D03"/>
    <w:rsid w:val="00B843EC"/>
    <w:rsid w:val="00B84518"/>
    <w:rsid w:val="00B84CBF"/>
    <w:rsid w:val="00B85781"/>
    <w:rsid w:val="00B87C2A"/>
    <w:rsid w:val="00B905CC"/>
    <w:rsid w:val="00B907A1"/>
    <w:rsid w:val="00B90D77"/>
    <w:rsid w:val="00B913ED"/>
    <w:rsid w:val="00B91F5F"/>
    <w:rsid w:val="00B920F2"/>
    <w:rsid w:val="00B927B5"/>
    <w:rsid w:val="00B92BFD"/>
    <w:rsid w:val="00B946F6"/>
    <w:rsid w:val="00B94FAF"/>
    <w:rsid w:val="00B95CC5"/>
    <w:rsid w:val="00B96183"/>
    <w:rsid w:val="00B96C2A"/>
    <w:rsid w:val="00B97885"/>
    <w:rsid w:val="00BA1401"/>
    <w:rsid w:val="00BA2304"/>
    <w:rsid w:val="00BA2757"/>
    <w:rsid w:val="00BA2D5F"/>
    <w:rsid w:val="00BA3860"/>
    <w:rsid w:val="00BA4278"/>
    <w:rsid w:val="00BA5B14"/>
    <w:rsid w:val="00BA6A46"/>
    <w:rsid w:val="00BA748A"/>
    <w:rsid w:val="00BA77E8"/>
    <w:rsid w:val="00BB49C9"/>
    <w:rsid w:val="00BB5433"/>
    <w:rsid w:val="00BB716C"/>
    <w:rsid w:val="00BB73A5"/>
    <w:rsid w:val="00BB7571"/>
    <w:rsid w:val="00BB7629"/>
    <w:rsid w:val="00BB7981"/>
    <w:rsid w:val="00BB7AB4"/>
    <w:rsid w:val="00BC1385"/>
    <w:rsid w:val="00BC23F8"/>
    <w:rsid w:val="00BC2CD7"/>
    <w:rsid w:val="00BC2D30"/>
    <w:rsid w:val="00BC3F20"/>
    <w:rsid w:val="00BC3F24"/>
    <w:rsid w:val="00BC4ACF"/>
    <w:rsid w:val="00BC63D2"/>
    <w:rsid w:val="00BC6E5C"/>
    <w:rsid w:val="00BC7D6D"/>
    <w:rsid w:val="00BD097B"/>
    <w:rsid w:val="00BD1C0C"/>
    <w:rsid w:val="00BD2397"/>
    <w:rsid w:val="00BD253A"/>
    <w:rsid w:val="00BD32C6"/>
    <w:rsid w:val="00BD3923"/>
    <w:rsid w:val="00BD41EC"/>
    <w:rsid w:val="00BD6EF2"/>
    <w:rsid w:val="00BD6FF5"/>
    <w:rsid w:val="00BE09AC"/>
    <w:rsid w:val="00BE0D64"/>
    <w:rsid w:val="00BE0FAD"/>
    <w:rsid w:val="00BE2477"/>
    <w:rsid w:val="00BE611C"/>
    <w:rsid w:val="00BE6BBC"/>
    <w:rsid w:val="00BE6CB3"/>
    <w:rsid w:val="00BE767B"/>
    <w:rsid w:val="00BF12AA"/>
    <w:rsid w:val="00BF216D"/>
    <w:rsid w:val="00BF31A8"/>
    <w:rsid w:val="00BF37A8"/>
    <w:rsid w:val="00BF4137"/>
    <w:rsid w:val="00BF44C3"/>
    <w:rsid w:val="00BF4C0C"/>
    <w:rsid w:val="00BF5207"/>
    <w:rsid w:val="00BF56CB"/>
    <w:rsid w:val="00BF5F6E"/>
    <w:rsid w:val="00BF6CF1"/>
    <w:rsid w:val="00BF7D49"/>
    <w:rsid w:val="00BF7E4D"/>
    <w:rsid w:val="00C00D9C"/>
    <w:rsid w:val="00C00F8C"/>
    <w:rsid w:val="00C01DDE"/>
    <w:rsid w:val="00C034B7"/>
    <w:rsid w:val="00C04A71"/>
    <w:rsid w:val="00C04DD0"/>
    <w:rsid w:val="00C05540"/>
    <w:rsid w:val="00C05A3F"/>
    <w:rsid w:val="00C05DAE"/>
    <w:rsid w:val="00C06D6C"/>
    <w:rsid w:val="00C06F20"/>
    <w:rsid w:val="00C06F68"/>
    <w:rsid w:val="00C07331"/>
    <w:rsid w:val="00C077AD"/>
    <w:rsid w:val="00C10F27"/>
    <w:rsid w:val="00C15097"/>
    <w:rsid w:val="00C15473"/>
    <w:rsid w:val="00C15DEE"/>
    <w:rsid w:val="00C15E77"/>
    <w:rsid w:val="00C162C5"/>
    <w:rsid w:val="00C205E1"/>
    <w:rsid w:val="00C209E3"/>
    <w:rsid w:val="00C21727"/>
    <w:rsid w:val="00C2199A"/>
    <w:rsid w:val="00C24CB2"/>
    <w:rsid w:val="00C2586F"/>
    <w:rsid w:val="00C265E5"/>
    <w:rsid w:val="00C308FF"/>
    <w:rsid w:val="00C30DEA"/>
    <w:rsid w:val="00C30FF0"/>
    <w:rsid w:val="00C322AB"/>
    <w:rsid w:val="00C332CF"/>
    <w:rsid w:val="00C334AF"/>
    <w:rsid w:val="00C348E3"/>
    <w:rsid w:val="00C35C29"/>
    <w:rsid w:val="00C361CE"/>
    <w:rsid w:val="00C3786F"/>
    <w:rsid w:val="00C4062F"/>
    <w:rsid w:val="00C41202"/>
    <w:rsid w:val="00C41737"/>
    <w:rsid w:val="00C43B70"/>
    <w:rsid w:val="00C44C07"/>
    <w:rsid w:val="00C47248"/>
    <w:rsid w:val="00C47B5D"/>
    <w:rsid w:val="00C503A2"/>
    <w:rsid w:val="00C50735"/>
    <w:rsid w:val="00C51BB9"/>
    <w:rsid w:val="00C51E83"/>
    <w:rsid w:val="00C528EE"/>
    <w:rsid w:val="00C52F73"/>
    <w:rsid w:val="00C535A5"/>
    <w:rsid w:val="00C55153"/>
    <w:rsid w:val="00C5572A"/>
    <w:rsid w:val="00C5634C"/>
    <w:rsid w:val="00C56491"/>
    <w:rsid w:val="00C56F84"/>
    <w:rsid w:val="00C572DE"/>
    <w:rsid w:val="00C57B0B"/>
    <w:rsid w:val="00C60867"/>
    <w:rsid w:val="00C60BA8"/>
    <w:rsid w:val="00C616F8"/>
    <w:rsid w:val="00C62F06"/>
    <w:rsid w:val="00C6443E"/>
    <w:rsid w:val="00C656F8"/>
    <w:rsid w:val="00C66061"/>
    <w:rsid w:val="00C67FF8"/>
    <w:rsid w:val="00C7183F"/>
    <w:rsid w:val="00C72936"/>
    <w:rsid w:val="00C72D08"/>
    <w:rsid w:val="00C7594D"/>
    <w:rsid w:val="00C77F67"/>
    <w:rsid w:val="00C810A0"/>
    <w:rsid w:val="00C81A90"/>
    <w:rsid w:val="00C8302D"/>
    <w:rsid w:val="00C8343B"/>
    <w:rsid w:val="00C83C40"/>
    <w:rsid w:val="00C842A2"/>
    <w:rsid w:val="00C843DE"/>
    <w:rsid w:val="00C85021"/>
    <w:rsid w:val="00C85343"/>
    <w:rsid w:val="00C86D1B"/>
    <w:rsid w:val="00C87A50"/>
    <w:rsid w:val="00C87BA7"/>
    <w:rsid w:val="00C87F6E"/>
    <w:rsid w:val="00C90FA0"/>
    <w:rsid w:val="00C9240C"/>
    <w:rsid w:val="00C92BE1"/>
    <w:rsid w:val="00C92F7B"/>
    <w:rsid w:val="00C9371B"/>
    <w:rsid w:val="00C94C53"/>
    <w:rsid w:val="00C96645"/>
    <w:rsid w:val="00C971B7"/>
    <w:rsid w:val="00CA0AA4"/>
    <w:rsid w:val="00CA25DC"/>
    <w:rsid w:val="00CA28A1"/>
    <w:rsid w:val="00CA28B3"/>
    <w:rsid w:val="00CA371F"/>
    <w:rsid w:val="00CA5270"/>
    <w:rsid w:val="00CA68C7"/>
    <w:rsid w:val="00CB0804"/>
    <w:rsid w:val="00CB0F7A"/>
    <w:rsid w:val="00CB2198"/>
    <w:rsid w:val="00CB2650"/>
    <w:rsid w:val="00CB2B24"/>
    <w:rsid w:val="00CB3701"/>
    <w:rsid w:val="00CB42C3"/>
    <w:rsid w:val="00CB4EB6"/>
    <w:rsid w:val="00CB519B"/>
    <w:rsid w:val="00CB55F2"/>
    <w:rsid w:val="00CB5C78"/>
    <w:rsid w:val="00CB6E8E"/>
    <w:rsid w:val="00CB6FA1"/>
    <w:rsid w:val="00CB7506"/>
    <w:rsid w:val="00CB7872"/>
    <w:rsid w:val="00CC12CD"/>
    <w:rsid w:val="00CC187B"/>
    <w:rsid w:val="00CC1A2F"/>
    <w:rsid w:val="00CC1E11"/>
    <w:rsid w:val="00CC35B4"/>
    <w:rsid w:val="00CC3B1E"/>
    <w:rsid w:val="00CC4731"/>
    <w:rsid w:val="00CC4A35"/>
    <w:rsid w:val="00CC4D11"/>
    <w:rsid w:val="00CC61B4"/>
    <w:rsid w:val="00CC7002"/>
    <w:rsid w:val="00CD1275"/>
    <w:rsid w:val="00CD3720"/>
    <w:rsid w:val="00CD3CAB"/>
    <w:rsid w:val="00CD55EE"/>
    <w:rsid w:val="00CD596E"/>
    <w:rsid w:val="00CD625D"/>
    <w:rsid w:val="00CD7585"/>
    <w:rsid w:val="00CE0079"/>
    <w:rsid w:val="00CE0A45"/>
    <w:rsid w:val="00CE1687"/>
    <w:rsid w:val="00CE1C0D"/>
    <w:rsid w:val="00CE3C2A"/>
    <w:rsid w:val="00CE3F78"/>
    <w:rsid w:val="00CE63AC"/>
    <w:rsid w:val="00CE6FAB"/>
    <w:rsid w:val="00CE7183"/>
    <w:rsid w:val="00CF0B11"/>
    <w:rsid w:val="00CF0EF6"/>
    <w:rsid w:val="00CF0FA7"/>
    <w:rsid w:val="00CF17DE"/>
    <w:rsid w:val="00CF3BF8"/>
    <w:rsid w:val="00CF4C84"/>
    <w:rsid w:val="00CF5641"/>
    <w:rsid w:val="00CF5FA0"/>
    <w:rsid w:val="00CF72C3"/>
    <w:rsid w:val="00CF76E9"/>
    <w:rsid w:val="00D00BD6"/>
    <w:rsid w:val="00D03090"/>
    <w:rsid w:val="00D039AA"/>
    <w:rsid w:val="00D04170"/>
    <w:rsid w:val="00D0484A"/>
    <w:rsid w:val="00D049EB"/>
    <w:rsid w:val="00D05F1C"/>
    <w:rsid w:val="00D069FA"/>
    <w:rsid w:val="00D110B5"/>
    <w:rsid w:val="00D12687"/>
    <w:rsid w:val="00D137B9"/>
    <w:rsid w:val="00D140CA"/>
    <w:rsid w:val="00D14455"/>
    <w:rsid w:val="00D15011"/>
    <w:rsid w:val="00D15285"/>
    <w:rsid w:val="00D15824"/>
    <w:rsid w:val="00D15FEC"/>
    <w:rsid w:val="00D162BC"/>
    <w:rsid w:val="00D16409"/>
    <w:rsid w:val="00D16551"/>
    <w:rsid w:val="00D17A24"/>
    <w:rsid w:val="00D20F6C"/>
    <w:rsid w:val="00D2135D"/>
    <w:rsid w:val="00D21B75"/>
    <w:rsid w:val="00D2230F"/>
    <w:rsid w:val="00D2274B"/>
    <w:rsid w:val="00D22B22"/>
    <w:rsid w:val="00D23302"/>
    <w:rsid w:val="00D23493"/>
    <w:rsid w:val="00D24453"/>
    <w:rsid w:val="00D24956"/>
    <w:rsid w:val="00D260B5"/>
    <w:rsid w:val="00D27553"/>
    <w:rsid w:val="00D30CDB"/>
    <w:rsid w:val="00D312A1"/>
    <w:rsid w:val="00D31416"/>
    <w:rsid w:val="00D31B59"/>
    <w:rsid w:val="00D31EF7"/>
    <w:rsid w:val="00D330BF"/>
    <w:rsid w:val="00D33CDE"/>
    <w:rsid w:val="00D340E3"/>
    <w:rsid w:val="00D344FF"/>
    <w:rsid w:val="00D36940"/>
    <w:rsid w:val="00D36DF8"/>
    <w:rsid w:val="00D4083C"/>
    <w:rsid w:val="00D40F9E"/>
    <w:rsid w:val="00D4131B"/>
    <w:rsid w:val="00D41CBA"/>
    <w:rsid w:val="00D42857"/>
    <w:rsid w:val="00D44100"/>
    <w:rsid w:val="00D450B3"/>
    <w:rsid w:val="00D451DD"/>
    <w:rsid w:val="00D45461"/>
    <w:rsid w:val="00D5051F"/>
    <w:rsid w:val="00D51B7D"/>
    <w:rsid w:val="00D523B2"/>
    <w:rsid w:val="00D52930"/>
    <w:rsid w:val="00D52A09"/>
    <w:rsid w:val="00D52F2C"/>
    <w:rsid w:val="00D535A3"/>
    <w:rsid w:val="00D54D47"/>
    <w:rsid w:val="00D56716"/>
    <w:rsid w:val="00D57767"/>
    <w:rsid w:val="00D604FA"/>
    <w:rsid w:val="00D6147C"/>
    <w:rsid w:val="00D62F8A"/>
    <w:rsid w:val="00D63527"/>
    <w:rsid w:val="00D63E6F"/>
    <w:rsid w:val="00D6494B"/>
    <w:rsid w:val="00D64D33"/>
    <w:rsid w:val="00D65DE9"/>
    <w:rsid w:val="00D677E4"/>
    <w:rsid w:val="00D7084E"/>
    <w:rsid w:val="00D70938"/>
    <w:rsid w:val="00D70B3E"/>
    <w:rsid w:val="00D71843"/>
    <w:rsid w:val="00D71CD5"/>
    <w:rsid w:val="00D72185"/>
    <w:rsid w:val="00D72BCE"/>
    <w:rsid w:val="00D75049"/>
    <w:rsid w:val="00D753CA"/>
    <w:rsid w:val="00D80B00"/>
    <w:rsid w:val="00D8114F"/>
    <w:rsid w:val="00D81213"/>
    <w:rsid w:val="00D8218E"/>
    <w:rsid w:val="00D822FD"/>
    <w:rsid w:val="00D82F7F"/>
    <w:rsid w:val="00D84772"/>
    <w:rsid w:val="00D85523"/>
    <w:rsid w:val="00D857D1"/>
    <w:rsid w:val="00D87848"/>
    <w:rsid w:val="00D901F3"/>
    <w:rsid w:val="00D909C1"/>
    <w:rsid w:val="00D91CC2"/>
    <w:rsid w:val="00D92802"/>
    <w:rsid w:val="00D92D8B"/>
    <w:rsid w:val="00D93B2A"/>
    <w:rsid w:val="00D9466B"/>
    <w:rsid w:val="00D95669"/>
    <w:rsid w:val="00D95C8E"/>
    <w:rsid w:val="00D9630A"/>
    <w:rsid w:val="00D9689A"/>
    <w:rsid w:val="00D9713A"/>
    <w:rsid w:val="00D97BD5"/>
    <w:rsid w:val="00DA2062"/>
    <w:rsid w:val="00DA24CB"/>
    <w:rsid w:val="00DA2B92"/>
    <w:rsid w:val="00DA3170"/>
    <w:rsid w:val="00DA336D"/>
    <w:rsid w:val="00DA41B0"/>
    <w:rsid w:val="00DA4C62"/>
    <w:rsid w:val="00DA5C28"/>
    <w:rsid w:val="00DA5C8B"/>
    <w:rsid w:val="00DA60F7"/>
    <w:rsid w:val="00DA6B3E"/>
    <w:rsid w:val="00DB08CE"/>
    <w:rsid w:val="00DB1672"/>
    <w:rsid w:val="00DB1B1A"/>
    <w:rsid w:val="00DB1F12"/>
    <w:rsid w:val="00DB3A8A"/>
    <w:rsid w:val="00DB405A"/>
    <w:rsid w:val="00DB47BF"/>
    <w:rsid w:val="00DB4AAB"/>
    <w:rsid w:val="00DB58E2"/>
    <w:rsid w:val="00DB619F"/>
    <w:rsid w:val="00DB6449"/>
    <w:rsid w:val="00DB6F2C"/>
    <w:rsid w:val="00DB771C"/>
    <w:rsid w:val="00DC0443"/>
    <w:rsid w:val="00DC09D9"/>
    <w:rsid w:val="00DC1D16"/>
    <w:rsid w:val="00DC239D"/>
    <w:rsid w:val="00DC3B4F"/>
    <w:rsid w:val="00DC3D90"/>
    <w:rsid w:val="00DC5139"/>
    <w:rsid w:val="00DC54A9"/>
    <w:rsid w:val="00DC711A"/>
    <w:rsid w:val="00DC7D04"/>
    <w:rsid w:val="00DD0219"/>
    <w:rsid w:val="00DD0560"/>
    <w:rsid w:val="00DD0704"/>
    <w:rsid w:val="00DD1CBD"/>
    <w:rsid w:val="00DD22BE"/>
    <w:rsid w:val="00DD2E9E"/>
    <w:rsid w:val="00DD4E2D"/>
    <w:rsid w:val="00DD4FFB"/>
    <w:rsid w:val="00DD5CA8"/>
    <w:rsid w:val="00DD5D83"/>
    <w:rsid w:val="00DD798B"/>
    <w:rsid w:val="00DE0403"/>
    <w:rsid w:val="00DE14F1"/>
    <w:rsid w:val="00DE1850"/>
    <w:rsid w:val="00DE19F6"/>
    <w:rsid w:val="00DE1B25"/>
    <w:rsid w:val="00DE26A7"/>
    <w:rsid w:val="00DE562D"/>
    <w:rsid w:val="00DE6009"/>
    <w:rsid w:val="00DE6A32"/>
    <w:rsid w:val="00DE72E9"/>
    <w:rsid w:val="00DE7AAE"/>
    <w:rsid w:val="00DE7DF6"/>
    <w:rsid w:val="00DF0881"/>
    <w:rsid w:val="00DF1082"/>
    <w:rsid w:val="00DF1C27"/>
    <w:rsid w:val="00DF1DE7"/>
    <w:rsid w:val="00DF2CE9"/>
    <w:rsid w:val="00DF3055"/>
    <w:rsid w:val="00DF35CC"/>
    <w:rsid w:val="00DF3AF2"/>
    <w:rsid w:val="00DF50F7"/>
    <w:rsid w:val="00DF57F8"/>
    <w:rsid w:val="00DF6586"/>
    <w:rsid w:val="00DF69F7"/>
    <w:rsid w:val="00DF6A0D"/>
    <w:rsid w:val="00DF73B5"/>
    <w:rsid w:val="00E0008D"/>
    <w:rsid w:val="00E00282"/>
    <w:rsid w:val="00E0044B"/>
    <w:rsid w:val="00E006CE"/>
    <w:rsid w:val="00E00754"/>
    <w:rsid w:val="00E01767"/>
    <w:rsid w:val="00E02127"/>
    <w:rsid w:val="00E0291C"/>
    <w:rsid w:val="00E03644"/>
    <w:rsid w:val="00E040AF"/>
    <w:rsid w:val="00E05048"/>
    <w:rsid w:val="00E05384"/>
    <w:rsid w:val="00E070FA"/>
    <w:rsid w:val="00E07A1D"/>
    <w:rsid w:val="00E1004E"/>
    <w:rsid w:val="00E106E5"/>
    <w:rsid w:val="00E12330"/>
    <w:rsid w:val="00E13C65"/>
    <w:rsid w:val="00E1706B"/>
    <w:rsid w:val="00E17CE7"/>
    <w:rsid w:val="00E20F7E"/>
    <w:rsid w:val="00E21272"/>
    <w:rsid w:val="00E2309E"/>
    <w:rsid w:val="00E233B0"/>
    <w:rsid w:val="00E2367B"/>
    <w:rsid w:val="00E23911"/>
    <w:rsid w:val="00E23D79"/>
    <w:rsid w:val="00E25050"/>
    <w:rsid w:val="00E25101"/>
    <w:rsid w:val="00E26303"/>
    <w:rsid w:val="00E27811"/>
    <w:rsid w:val="00E27A2F"/>
    <w:rsid w:val="00E27C2B"/>
    <w:rsid w:val="00E304B4"/>
    <w:rsid w:val="00E315B6"/>
    <w:rsid w:val="00E32347"/>
    <w:rsid w:val="00E32B2E"/>
    <w:rsid w:val="00E32F90"/>
    <w:rsid w:val="00E335E9"/>
    <w:rsid w:val="00E33BF4"/>
    <w:rsid w:val="00E34551"/>
    <w:rsid w:val="00E3466A"/>
    <w:rsid w:val="00E353B1"/>
    <w:rsid w:val="00E358D7"/>
    <w:rsid w:val="00E359EC"/>
    <w:rsid w:val="00E35EC1"/>
    <w:rsid w:val="00E3671F"/>
    <w:rsid w:val="00E36D77"/>
    <w:rsid w:val="00E42157"/>
    <w:rsid w:val="00E423DB"/>
    <w:rsid w:val="00E42760"/>
    <w:rsid w:val="00E44590"/>
    <w:rsid w:val="00E44BCE"/>
    <w:rsid w:val="00E451F1"/>
    <w:rsid w:val="00E452DB"/>
    <w:rsid w:val="00E46169"/>
    <w:rsid w:val="00E46FAA"/>
    <w:rsid w:val="00E47593"/>
    <w:rsid w:val="00E47B52"/>
    <w:rsid w:val="00E5028A"/>
    <w:rsid w:val="00E52056"/>
    <w:rsid w:val="00E5231B"/>
    <w:rsid w:val="00E537AF"/>
    <w:rsid w:val="00E54558"/>
    <w:rsid w:val="00E55605"/>
    <w:rsid w:val="00E55827"/>
    <w:rsid w:val="00E55B6A"/>
    <w:rsid w:val="00E55FE5"/>
    <w:rsid w:val="00E56185"/>
    <w:rsid w:val="00E56EE2"/>
    <w:rsid w:val="00E6064B"/>
    <w:rsid w:val="00E61010"/>
    <w:rsid w:val="00E61EC5"/>
    <w:rsid w:val="00E621D9"/>
    <w:rsid w:val="00E64167"/>
    <w:rsid w:val="00E64223"/>
    <w:rsid w:val="00E66321"/>
    <w:rsid w:val="00E66496"/>
    <w:rsid w:val="00E672E4"/>
    <w:rsid w:val="00E67333"/>
    <w:rsid w:val="00E679DF"/>
    <w:rsid w:val="00E67C2A"/>
    <w:rsid w:val="00E70957"/>
    <w:rsid w:val="00E74028"/>
    <w:rsid w:val="00E762D4"/>
    <w:rsid w:val="00E77A08"/>
    <w:rsid w:val="00E8022C"/>
    <w:rsid w:val="00E81546"/>
    <w:rsid w:val="00E81F20"/>
    <w:rsid w:val="00E82791"/>
    <w:rsid w:val="00E82951"/>
    <w:rsid w:val="00E83360"/>
    <w:rsid w:val="00E8413B"/>
    <w:rsid w:val="00E85E98"/>
    <w:rsid w:val="00E86511"/>
    <w:rsid w:val="00E8699B"/>
    <w:rsid w:val="00E874A5"/>
    <w:rsid w:val="00E92875"/>
    <w:rsid w:val="00E928CF"/>
    <w:rsid w:val="00E94D13"/>
    <w:rsid w:val="00E94EDA"/>
    <w:rsid w:val="00E95731"/>
    <w:rsid w:val="00E97068"/>
    <w:rsid w:val="00E97C7C"/>
    <w:rsid w:val="00EA0E61"/>
    <w:rsid w:val="00EA1969"/>
    <w:rsid w:val="00EA23AF"/>
    <w:rsid w:val="00EA5611"/>
    <w:rsid w:val="00EA56E0"/>
    <w:rsid w:val="00EA6926"/>
    <w:rsid w:val="00EA744D"/>
    <w:rsid w:val="00EA782A"/>
    <w:rsid w:val="00EA7CB3"/>
    <w:rsid w:val="00EB0E3C"/>
    <w:rsid w:val="00EB1200"/>
    <w:rsid w:val="00EB16CB"/>
    <w:rsid w:val="00EB1F0C"/>
    <w:rsid w:val="00EB2463"/>
    <w:rsid w:val="00EB2A8B"/>
    <w:rsid w:val="00EB40A5"/>
    <w:rsid w:val="00EB4814"/>
    <w:rsid w:val="00EB6AEB"/>
    <w:rsid w:val="00EB6B8F"/>
    <w:rsid w:val="00EB6E51"/>
    <w:rsid w:val="00EB7821"/>
    <w:rsid w:val="00EC0FC3"/>
    <w:rsid w:val="00EC280F"/>
    <w:rsid w:val="00EC2CE9"/>
    <w:rsid w:val="00EC3748"/>
    <w:rsid w:val="00EC3C2A"/>
    <w:rsid w:val="00EC47A4"/>
    <w:rsid w:val="00EC50C4"/>
    <w:rsid w:val="00EC6448"/>
    <w:rsid w:val="00EC7060"/>
    <w:rsid w:val="00EC746E"/>
    <w:rsid w:val="00EC7C01"/>
    <w:rsid w:val="00ED0756"/>
    <w:rsid w:val="00ED1280"/>
    <w:rsid w:val="00ED2155"/>
    <w:rsid w:val="00ED2BFB"/>
    <w:rsid w:val="00ED2FDB"/>
    <w:rsid w:val="00ED3059"/>
    <w:rsid w:val="00ED3796"/>
    <w:rsid w:val="00ED41E1"/>
    <w:rsid w:val="00ED5A00"/>
    <w:rsid w:val="00ED5BFB"/>
    <w:rsid w:val="00ED666C"/>
    <w:rsid w:val="00ED7167"/>
    <w:rsid w:val="00ED71F5"/>
    <w:rsid w:val="00ED79D2"/>
    <w:rsid w:val="00ED7B4E"/>
    <w:rsid w:val="00EE0503"/>
    <w:rsid w:val="00EE071F"/>
    <w:rsid w:val="00EE0E58"/>
    <w:rsid w:val="00EE1012"/>
    <w:rsid w:val="00EE164B"/>
    <w:rsid w:val="00EE19A6"/>
    <w:rsid w:val="00EE1B2B"/>
    <w:rsid w:val="00EE1D8A"/>
    <w:rsid w:val="00EE4206"/>
    <w:rsid w:val="00EE4D38"/>
    <w:rsid w:val="00EE517C"/>
    <w:rsid w:val="00EE5E99"/>
    <w:rsid w:val="00EE690F"/>
    <w:rsid w:val="00EE6D32"/>
    <w:rsid w:val="00EE71F0"/>
    <w:rsid w:val="00EE7DD9"/>
    <w:rsid w:val="00EF09E9"/>
    <w:rsid w:val="00EF2452"/>
    <w:rsid w:val="00EF39DE"/>
    <w:rsid w:val="00EF4138"/>
    <w:rsid w:val="00EF448D"/>
    <w:rsid w:val="00EF4A31"/>
    <w:rsid w:val="00EF53E6"/>
    <w:rsid w:val="00EF6319"/>
    <w:rsid w:val="00EF6397"/>
    <w:rsid w:val="00EF6723"/>
    <w:rsid w:val="00F01330"/>
    <w:rsid w:val="00F0298A"/>
    <w:rsid w:val="00F040C1"/>
    <w:rsid w:val="00F04874"/>
    <w:rsid w:val="00F05B6A"/>
    <w:rsid w:val="00F06BB5"/>
    <w:rsid w:val="00F07CE7"/>
    <w:rsid w:val="00F07EF3"/>
    <w:rsid w:val="00F07FE2"/>
    <w:rsid w:val="00F1090F"/>
    <w:rsid w:val="00F133AF"/>
    <w:rsid w:val="00F1368D"/>
    <w:rsid w:val="00F15199"/>
    <w:rsid w:val="00F15933"/>
    <w:rsid w:val="00F15F4E"/>
    <w:rsid w:val="00F161E7"/>
    <w:rsid w:val="00F16DD9"/>
    <w:rsid w:val="00F20E43"/>
    <w:rsid w:val="00F21B3E"/>
    <w:rsid w:val="00F22888"/>
    <w:rsid w:val="00F22B19"/>
    <w:rsid w:val="00F22B23"/>
    <w:rsid w:val="00F23803"/>
    <w:rsid w:val="00F24091"/>
    <w:rsid w:val="00F24250"/>
    <w:rsid w:val="00F24996"/>
    <w:rsid w:val="00F24D39"/>
    <w:rsid w:val="00F26B6C"/>
    <w:rsid w:val="00F30813"/>
    <w:rsid w:val="00F30E7A"/>
    <w:rsid w:val="00F31E6F"/>
    <w:rsid w:val="00F32365"/>
    <w:rsid w:val="00F33126"/>
    <w:rsid w:val="00F33339"/>
    <w:rsid w:val="00F33F4E"/>
    <w:rsid w:val="00F36D8D"/>
    <w:rsid w:val="00F36E3B"/>
    <w:rsid w:val="00F37720"/>
    <w:rsid w:val="00F37E41"/>
    <w:rsid w:val="00F40AC9"/>
    <w:rsid w:val="00F40EFB"/>
    <w:rsid w:val="00F41824"/>
    <w:rsid w:val="00F4276D"/>
    <w:rsid w:val="00F43521"/>
    <w:rsid w:val="00F43636"/>
    <w:rsid w:val="00F4384C"/>
    <w:rsid w:val="00F43960"/>
    <w:rsid w:val="00F44F10"/>
    <w:rsid w:val="00F44F4B"/>
    <w:rsid w:val="00F45441"/>
    <w:rsid w:val="00F461BD"/>
    <w:rsid w:val="00F471FB"/>
    <w:rsid w:val="00F51F8B"/>
    <w:rsid w:val="00F5414F"/>
    <w:rsid w:val="00F545C5"/>
    <w:rsid w:val="00F54C23"/>
    <w:rsid w:val="00F54C6A"/>
    <w:rsid w:val="00F54D0F"/>
    <w:rsid w:val="00F561E0"/>
    <w:rsid w:val="00F566A3"/>
    <w:rsid w:val="00F60981"/>
    <w:rsid w:val="00F60EC6"/>
    <w:rsid w:val="00F649C1"/>
    <w:rsid w:val="00F64F3C"/>
    <w:rsid w:val="00F6581F"/>
    <w:rsid w:val="00F666FE"/>
    <w:rsid w:val="00F66982"/>
    <w:rsid w:val="00F67A6A"/>
    <w:rsid w:val="00F67E2F"/>
    <w:rsid w:val="00F7008E"/>
    <w:rsid w:val="00F7014F"/>
    <w:rsid w:val="00F71295"/>
    <w:rsid w:val="00F7169C"/>
    <w:rsid w:val="00F71B8D"/>
    <w:rsid w:val="00F72E52"/>
    <w:rsid w:val="00F73B13"/>
    <w:rsid w:val="00F73DF8"/>
    <w:rsid w:val="00F74D0C"/>
    <w:rsid w:val="00F762E8"/>
    <w:rsid w:val="00F76A2C"/>
    <w:rsid w:val="00F76B70"/>
    <w:rsid w:val="00F76C61"/>
    <w:rsid w:val="00F76C89"/>
    <w:rsid w:val="00F772EF"/>
    <w:rsid w:val="00F779BA"/>
    <w:rsid w:val="00F77AA6"/>
    <w:rsid w:val="00F80669"/>
    <w:rsid w:val="00F808F0"/>
    <w:rsid w:val="00F82181"/>
    <w:rsid w:val="00F82936"/>
    <w:rsid w:val="00F84107"/>
    <w:rsid w:val="00F854D6"/>
    <w:rsid w:val="00F85D99"/>
    <w:rsid w:val="00F86676"/>
    <w:rsid w:val="00F866A2"/>
    <w:rsid w:val="00F8690C"/>
    <w:rsid w:val="00F87578"/>
    <w:rsid w:val="00F87F12"/>
    <w:rsid w:val="00F9036E"/>
    <w:rsid w:val="00F90DAE"/>
    <w:rsid w:val="00F91885"/>
    <w:rsid w:val="00F938A2"/>
    <w:rsid w:val="00F947E7"/>
    <w:rsid w:val="00F94933"/>
    <w:rsid w:val="00F9544E"/>
    <w:rsid w:val="00F968C5"/>
    <w:rsid w:val="00FA004E"/>
    <w:rsid w:val="00FA0716"/>
    <w:rsid w:val="00FA0C7D"/>
    <w:rsid w:val="00FA11A4"/>
    <w:rsid w:val="00FA13EE"/>
    <w:rsid w:val="00FA1B7C"/>
    <w:rsid w:val="00FA1CB6"/>
    <w:rsid w:val="00FA25B9"/>
    <w:rsid w:val="00FA42F8"/>
    <w:rsid w:val="00FA45B3"/>
    <w:rsid w:val="00FA462B"/>
    <w:rsid w:val="00FA66AC"/>
    <w:rsid w:val="00FA796A"/>
    <w:rsid w:val="00FB0DC0"/>
    <w:rsid w:val="00FB1C72"/>
    <w:rsid w:val="00FB2446"/>
    <w:rsid w:val="00FB2481"/>
    <w:rsid w:val="00FB260A"/>
    <w:rsid w:val="00FB265F"/>
    <w:rsid w:val="00FB317E"/>
    <w:rsid w:val="00FB3C19"/>
    <w:rsid w:val="00FB3DF8"/>
    <w:rsid w:val="00FB62D6"/>
    <w:rsid w:val="00FB6C3A"/>
    <w:rsid w:val="00FB7108"/>
    <w:rsid w:val="00FB7170"/>
    <w:rsid w:val="00FB7740"/>
    <w:rsid w:val="00FB7CC6"/>
    <w:rsid w:val="00FC03E8"/>
    <w:rsid w:val="00FC0E2C"/>
    <w:rsid w:val="00FC120A"/>
    <w:rsid w:val="00FC2658"/>
    <w:rsid w:val="00FC2BDD"/>
    <w:rsid w:val="00FC2C34"/>
    <w:rsid w:val="00FC2E2F"/>
    <w:rsid w:val="00FC3D09"/>
    <w:rsid w:val="00FC6A01"/>
    <w:rsid w:val="00FD0515"/>
    <w:rsid w:val="00FD0638"/>
    <w:rsid w:val="00FD0B7A"/>
    <w:rsid w:val="00FD2687"/>
    <w:rsid w:val="00FD27DD"/>
    <w:rsid w:val="00FD3CD9"/>
    <w:rsid w:val="00FD436F"/>
    <w:rsid w:val="00FD4769"/>
    <w:rsid w:val="00FD5A62"/>
    <w:rsid w:val="00FD5B33"/>
    <w:rsid w:val="00FD675E"/>
    <w:rsid w:val="00FE0D0D"/>
    <w:rsid w:val="00FE0E94"/>
    <w:rsid w:val="00FE1684"/>
    <w:rsid w:val="00FE4431"/>
    <w:rsid w:val="00FE44D0"/>
    <w:rsid w:val="00FE5C89"/>
    <w:rsid w:val="00FE5E57"/>
    <w:rsid w:val="00FE6CAC"/>
    <w:rsid w:val="00FF2213"/>
    <w:rsid w:val="00FF3236"/>
    <w:rsid w:val="00FF35B2"/>
    <w:rsid w:val="00FF42E4"/>
    <w:rsid w:val="00FF4AFC"/>
    <w:rsid w:val="00FF4F70"/>
    <w:rsid w:val="00FF5620"/>
    <w:rsid w:val="00FF637F"/>
    <w:rsid w:val="00FF68D7"/>
    <w:rsid w:val="00FF6E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C7BF"/>
  <w15:docId w15:val="{F9660E44-9AB5-4EBD-A420-661E38BBBAE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unhideWhenUsed/>
    <w:rsid w:val="009D63EA"/>
    <w:rPr>
      <w:color w:val="605E5C"/>
      <w:shd w:val="clear" w:color="auto" w:fill="E1DFDD"/>
    </w:rPr>
  </w:style>
  <w:style w:type="character" w:styleId="CommentReference">
    <w:name w:val="annotation reference"/>
    <w:basedOn w:val="DefaultParagraphFont"/>
    <w:semiHidden/>
    <w:unhideWhenUsed/>
    <w:rsid w:val="00B843EC"/>
    <w:rPr>
      <w:sz w:val="16"/>
      <w:szCs w:val="16"/>
    </w:rPr>
  </w:style>
  <w:style w:type="paragraph" w:styleId="CommentText">
    <w:name w:val="annotation text"/>
    <w:basedOn w:val="Normal"/>
    <w:link w:val="CommentTextChar"/>
    <w:semiHidden/>
    <w:unhideWhenUsed/>
    <w:rsid w:val="00B843EC"/>
    <w:rPr>
      <w:sz w:val="20"/>
    </w:rPr>
  </w:style>
  <w:style w:type="character" w:customStyle="1" w:styleId="CommentTextChar">
    <w:name w:val="Comment Text Char"/>
    <w:basedOn w:val="DefaultParagraphFont"/>
    <w:link w:val="CommentText"/>
    <w:semiHidden/>
    <w:rsid w:val="00B843EC"/>
    <w:rPr>
      <w:rFonts w:ascii="Palatino" w:hAnsi="Palatino"/>
    </w:rPr>
  </w:style>
  <w:style w:type="paragraph" w:styleId="CommentSubject">
    <w:name w:val="annotation subject"/>
    <w:basedOn w:val="CommentText"/>
    <w:next w:val="CommentText"/>
    <w:link w:val="CommentSubjectChar"/>
    <w:semiHidden/>
    <w:unhideWhenUsed/>
    <w:rsid w:val="00B843EC"/>
    <w:rPr>
      <w:b/>
      <w:bCs/>
    </w:rPr>
  </w:style>
  <w:style w:type="character" w:customStyle="1" w:styleId="CommentSubjectChar">
    <w:name w:val="Comment Subject Char"/>
    <w:basedOn w:val="CommentTextChar"/>
    <w:link w:val="CommentSubject"/>
    <w:semiHidden/>
    <w:rsid w:val="00B843EC"/>
    <w:rPr>
      <w:rFonts w:ascii="Palatino" w:hAnsi="Palatino"/>
      <w:b/>
      <w:bCs/>
    </w:rPr>
  </w:style>
  <w:style w:type="character" w:customStyle="1" w:styleId="FootnoteTextChar">
    <w:name w:val="Footnote Text Char"/>
    <w:basedOn w:val="DefaultParagraphFont"/>
    <w:link w:val="FootnoteText"/>
    <w:uiPriority w:val="99"/>
    <w:rsid w:val="00AF5DE3"/>
    <w:rPr>
      <w:rFonts w:ascii="Palatino" w:hAnsi="Palatino"/>
      <w:sz w:val="24"/>
    </w:rPr>
  </w:style>
  <w:style w:type="character" w:styleId="Mention">
    <w:name w:val="Mention"/>
    <w:basedOn w:val="DefaultParagraphFont"/>
    <w:uiPriority w:val="99"/>
    <w:unhideWhenUsed/>
    <w:rsid w:val="00780868"/>
    <w:rPr>
      <w:color w:val="2B579A"/>
      <w:shd w:val="clear" w:color="auto" w:fill="E1DFDD"/>
    </w:rPr>
  </w:style>
  <w:style w:type="character" w:styleId="FollowedHyperlink">
    <w:name w:val="FollowedHyperlink"/>
    <w:basedOn w:val="DefaultParagraphFont"/>
    <w:semiHidden/>
    <w:unhideWhenUsed/>
    <w:rsid w:val="000D7237"/>
    <w:rPr>
      <w:color w:val="800080" w:themeColor="followedHyperlink"/>
      <w:u w:val="single"/>
    </w:rPr>
  </w:style>
  <w:style w:type="paragraph" w:styleId="Revision">
    <w:name w:val="Revision"/>
    <w:hidden/>
    <w:uiPriority w:val="99"/>
    <w:semiHidden/>
    <w:rsid w:val="001D1007"/>
    <w:rPr>
      <w:rFonts w:ascii="Palatino" w:hAnsi="Palatino"/>
      <w:sz w:val="26"/>
    </w:rPr>
  </w:style>
  <w:style w:type="paragraph" w:styleId="Quote">
    <w:name w:val="Quote"/>
    <w:basedOn w:val="Normal"/>
    <w:next w:val="Normal"/>
    <w:link w:val="QuoteChar"/>
    <w:uiPriority w:val="29"/>
    <w:qFormat/>
    <w:rsid w:val="00B313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1303"/>
    <w:rPr>
      <w:rFonts w:ascii="Palatino" w:hAnsi="Palatino"/>
      <w:i/>
      <w:iCs/>
      <w:color w:val="404040" w:themeColor="text1" w:themeTint="BF"/>
      <w:sz w:val="26"/>
    </w:rPr>
  </w:style>
  <w:style w:type="paragraph" w:customStyle="1" w:styleId="Default">
    <w:name w:val="Default"/>
    <w:rsid w:val="00DE26A7"/>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551770618">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211952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4" ma:contentTypeDescription="Create a new document." ma:contentTypeScope="" ma:versionID="7dccbf3eb89d26d97b982388026acdcf">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d23f65d4a82604dc6f811a1cb2649fe7"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89CF-E3C0-4E2F-8A31-2DDA87AB3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BF86C-BF6D-4926-B0A0-2CA8B184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4557e-16e7-4ad4-9248-b950eb894e33"/>
    <ds:schemaRef ds:uri="2c7220a4-f1fe-4ad2-8dd7-a066dda6a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1419-0310-4AC3-AB30-287D1903225F}">
  <ds:schemaRefs>
    <ds:schemaRef ds:uri="http://schemas.microsoft.com/sharepoint/v3/contenttype/forms"/>
  </ds:schemaRefs>
</ds:datastoreItem>
</file>

<file path=customXml/itemProps4.xml><?xml version="1.0" encoding="utf-8"?>
<ds:datastoreItem xmlns:ds="http://schemas.openxmlformats.org/officeDocument/2006/customXml" ds:itemID="{45989244-CA59-BC4C-A7C6-FF4112EC8CE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4276</ap:Words>
  <ap:Characters>24376</ap:Characters>
  <ap:Application>Microsoft Office Word</ap:Application>
  <ap:DocSecurity>0</ap:DocSecurity>
  <ap:Lines>203</ap:Lines>
  <ap:Paragraphs>57</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28595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2021-07-15T12:03:53Z</dcterms:created>
  <dcterms:modified xsi:type="dcterms:W3CDTF">2021-07-15T12:03:53Z</dcterms:modified>
</cp:coreProperties>
</file>